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A914AD4" w:rsidR="005D5113" w:rsidRPr="0098598C" w:rsidRDefault="00480EB6" w:rsidP="0074642E">
      <w:pPr>
        <w:jc w:val="center"/>
      </w:pPr>
      <w:r>
        <w:rPr>
          <w:noProof/>
        </w:rPr>
        <w:drawing>
          <wp:inline distT="0" distB="0" distL="0" distR="0" wp14:anchorId="6565229E" wp14:editId="57BB7D3D">
            <wp:extent cx="1792605" cy="1239520"/>
            <wp:effectExtent l="0" t="0" r="0" b="0"/>
            <wp:docPr id="1728571576" name="Picture 2" title="EESCLogo_ES"/>
            <wp:cNvGraphicFramePr/>
            <a:graphic xmlns:a="http://schemas.openxmlformats.org/drawingml/2006/main">
              <a:graphicData uri="http://schemas.openxmlformats.org/drawingml/2006/picture">
                <pic:pic xmlns:pic="http://schemas.openxmlformats.org/drawingml/2006/picture">
                  <pic:nvPicPr>
                    <pic:cNvPr id="1728571576" name="Picture 2"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776C5">
        <w:rPr>
          <w:noProof/>
          <w:sz w:val="20"/>
        </w:rPr>
        <mc:AlternateContent>
          <mc:Choice Requires="wps">
            <w:drawing>
              <wp:anchor distT="0" distB="0" distL="0" distR="0" simplePos="0" relativeHeight="251659776" behindDoc="1" locked="0" layoutInCell="1" hidden="0" allowOverlap="1" wp14:anchorId="18BA5486" wp14:editId="02F04CB5">
                <wp:simplePos x="0" y="0"/>
                <wp:positionH relativeFrom="page">
                  <wp:posOffset>6759576</wp:posOffset>
                </wp:positionH>
                <wp:positionV relativeFrom="page">
                  <wp:posOffset>10071736</wp:posOffset>
                </wp:positionV>
                <wp:extent cx="666750" cy="415290"/>
                <wp:effectExtent l="0" t="0" r="0" b="0"/>
                <wp:wrapNone/>
                <wp:docPr id="1585139010" name="Rectangle 1585139010"/>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14:paraId="51801290" w14:textId="77777777" w:rsidR="005D5113" w:rsidRDefault="002776C5">
                            <w:pPr>
                              <w:jc w:val="center"/>
                              <w:textDirection w:val="btLr"/>
                            </w:pPr>
                            <w:r>
                              <w:rPr>
                                <w:rFonts w:ascii="Arial" w:hAnsi="Arial"/>
                                <w:b/>
                                <w:color w:val="000000"/>
                                <w:sz w:val="48"/>
                              </w:rPr>
                              <w:t>ES</w:t>
                            </w:r>
                          </w:p>
                        </w:txbxContent>
                      </wps:txbx>
                      <wps:bodyPr spcFirstLastPara="1" wrap="square" lIns="91425" tIns="45700" rIns="91425" bIns="45700" anchor="t" anchorCtr="0">
                        <a:noAutofit/>
                      </wps:bodyPr>
                    </wps:wsp>
                  </a:graphicData>
                </a:graphic>
              </wp:anchor>
            </w:drawing>
          </mc:Choice>
          <mc:Fallback>
            <w:pict>
              <v:rect w14:anchorId="18BA5486" id="Rectangle 1585139010" o:spid="_x0000_s1026" style="position:absolute;left:0;text-align:left;margin-left:532.25pt;margin-top:793.05pt;width:52.5pt;height:32.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" filled="f" stroked="f">
                <v:textbox inset="2.53958mm,1.2694mm,2.53958mm,1.2694mm">
                  <w:txbxContent>
                    <w:p w14:paraId="51801290" w14:textId="77777777" w:rsidR="005D5113" w:rsidRDefault="002776C5">
                      <w:pPr>
                        <w:jc w:val="center"/>
                        <w:textDirection w:val="btLr"/>
                      </w:pPr>
                      <w:r>
                        <w:rPr>
                          <w:rFonts w:ascii="Arial" w:hAnsi="Arial"/>
                          <w:b/>
                          <w:color w:val="000000"/>
                          <w:sz w:val="48"/>
                        </w:rPr>
                        <w:t>ES</w:t>
                      </w:r>
                    </w:p>
                  </w:txbxContent>
                </v:textbox>
                <w10:wrap anchorx="page" anchory="page"/>
              </v:rect>
            </w:pict>
          </mc:Fallback>
        </mc:AlternateContent>
      </w:r>
    </w:p>
    <w:p w14:paraId="00000002" w14:textId="77777777" w:rsidR="005D5113" w:rsidRPr="0098598C" w:rsidRDefault="005D5113" w:rsidP="0074642E"/>
    <w:p w14:paraId="00000003" w14:textId="77777777" w:rsidR="005D5113" w:rsidRPr="0098598C" w:rsidRDefault="002776C5" w:rsidP="0074642E">
      <w:pPr>
        <w:jc w:val="right"/>
      </w:pPr>
      <w:r>
        <w:rPr>
          <w:b/>
        </w:rPr>
        <w:t>CCMI/259</w:t>
      </w:r>
    </w:p>
    <w:p w14:paraId="00000004" w14:textId="77777777" w:rsidR="005D5113" w:rsidRPr="0098598C" w:rsidRDefault="002776C5" w:rsidP="0074642E">
      <w:pPr>
        <w:ind w:left="4820"/>
        <w:jc w:val="right"/>
        <w:rPr>
          <w:b/>
          <w:bCs/>
        </w:rPr>
      </w:pPr>
      <w:r>
        <w:rPr>
          <w:b/>
        </w:rPr>
        <w:t>Plan de Acción RESourceEU</w:t>
      </w:r>
    </w:p>
    <w:p w14:paraId="00000005" w14:textId="77777777" w:rsidR="005D5113" w:rsidRPr="0098598C" w:rsidRDefault="005D5113" w:rsidP="0074642E"/>
    <w:p w14:paraId="00000006" w14:textId="77777777" w:rsidR="005D5113" w:rsidRPr="0098598C" w:rsidRDefault="005D5113" w:rsidP="0074642E"/>
    <w:p w14:paraId="00000007" w14:textId="6C25DD2A" w:rsidR="005D5113" w:rsidRPr="0098598C" w:rsidRDefault="002776C5" w:rsidP="0074642E">
      <w:pPr>
        <w:jc w:val="center"/>
        <w:rPr>
          <w:b/>
          <w:bCs/>
          <w:sz w:val="28"/>
          <w:szCs w:val="28"/>
        </w:rPr>
      </w:pPr>
      <w:r>
        <w:rPr>
          <w:b/>
          <w:sz w:val="28"/>
        </w:rPr>
        <w:t>DICTAMEN</w:t>
      </w:r>
    </w:p>
    <w:p w14:paraId="00000008" w14:textId="77777777" w:rsidR="005D5113" w:rsidRPr="0098598C" w:rsidRDefault="005D5113" w:rsidP="0074642E">
      <w:pPr>
        <w:jc w:val="center"/>
      </w:pPr>
    </w:p>
    <w:p w14:paraId="00000009" w14:textId="77777777" w:rsidR="005D5113" w:rsidRPr="0098598C" w:rsidRDefault="002776C5" w:rsidP="0074642E">
      <w:pPr>
        <w:jc w:val="center"/>
      </w:pPr>
      <w:r>
        <w:t>Comisión Consultiva de las Transformaciones Industriales</w:t>
      </w:r>
    </w:p>
    <w:p w14:paraId="51D1ED50" w14:textId="77777777" w:rsidR="00203935" w:rsidRPr="0098598C" w:rsidRDefault="00203935" w:rsidP="0074642E">
      <w:pPr>
        <w:jc w:val="center"/>
      </w:pPr>
    </w:p>
    <w:p w14:paraId="0000000E" w14:textId="58DC67F6" w:rsidR="005D5113" w:rsidRPr="002F4D01" w:rsidRDefault="00AE4411" w:rsidP="0074642E">
      <w:pPr>
        <w:jc w:val="center"/>
      </w:pPr>
      <w:r>
        <w:rPr>
          <w:b/>
        </w:rPr>
        <w:t>Comunicación de la Comisión al Parlamento Europeo, al Consejo,</w:t>
      </w:r>
      <w:r w:rsidR="0097324A">
        <w:rPr>
          <w:b/>
        </w:rPr>
        <w:br/>
      </w:r>
      <w:r>
        <w:rPr>
          <w:b/>
        </w:rPr>
        <w:t>al Comité Económico y Social Europeo y al Comité de las Regiones</w:t>
      </w:r>
      <w:r>
        <w:rPr>
          <w:b/>
        </w:rPr>
        <w:br/>
        <w:t>Plan de Acción RESourceEU – Acelerar nuestra estrategia</w:t>
      </w:r>
      <w:r w:rsidR="0097324A">
        <w:rPr>
          <w:b/>
        </w:rPr>
        <w:br/>
      </w:r>
      <w:r>
        <w:rPr>
          <w:b/>
        </w:rPr>
        <w:t>sobre materias primas fundamentales para adaptarnos a una nueva realidad</w:t>
      </w:r>
      <w:r>
        <w:rPr>
          <w:b/>
        </w:rPr>
        <w:br/>
      </w:r>
      <w:r>
        <w:t>[COM(2025) 945 final]</w:t>
      </w:r>
    </w:p>
    <w:p w14:paraId="0000000F" w14:textId="77777777" w:rsidR="005D5113" w:rsidRPr="002F4D01" w:rsidRDefault="005D5113" w:rsidP="0074642E">
      <w:pPr>
        <w:jc w:val="center"/>
        <w:rPr>
          <w:lang w:val="pt-PT"/>
        </w:rPr>
      </w:pPr>
    </w:p>
    <w:p w14:paraId="00000010" w14:textId="77777777" w:rsidR="005D5113" w:rsidRPr="008B332C" w:rsidRDefault="002776C5" w:rsidP="0074642E">
      <w:pPr>
        <w:jc w:val="center"/>
      </w:pPr>
      <w:r>
        <w:t xml:space="preserve">Ponente: </w:t>
      </w:r>
      <w:r>
        <w:rPr>
          <w:b/>
        </w:rPr>
        <w:t>Konstantinos DIAMANTOUROS (EL-I)</w:t>
      </w:r>
    </w:p>
    <w:p w14:paraId="00000011" w14:textId="77777777" w:rsidR="005D5113" w:rsidRPr="0098598C" w:rsidRDefault="002776C5" w:rsidP="0074642E">
      <w:pPr>
        <w:jc w:val="center"/>
        <w:rPr>
          <w:b/>
          <w:bCs/>
        </w:rPr>
      </w:pPr>
      <w:r>
        <w:t xml:space="preserve">Coponente: </w:t>
      </w:r>
      <w:r>
        <w:rPr>
          <w:b/>
        </w:rPr>
        <w:t>Agata MEYSNER (PL-Cat. 3)</w:t>
      </w:r>
    </w:p>
    <w:p w14:paraId="00000012" w14:textId="77777777" w:rsidR="005D5113" w:rsidRPr="0098598C" w:rsidRDefault="005D5113" w:rsidP="0074642E"/>
    <w:p w14:paraId="0000002C" w14:textId="77777777" w:rsidR="005D5113" w:rsidRPr="0098598C" w:rsidRDefault="005D5113" w:rsidP="0074642E"/>
    <w:p w14:paraId="0000002D" w14:textId="77777777" w:rsidR="005D5113" w:rsidRPr="0098598C" w:rsidRDefault="005D5113" w:rsidP="0074642E"/>
    <w:tbl>
      <w:tblPr>
        <w:tblpPr w:leftFromText="181" w:rightFromText="181" w:vertAnchor="page" w:horzAnchor="margin" w:tblpY="13094"/>
        <w:tblW w:w="9289" w:type="dxa"/>
        <w:tblLayout w:type="fixed"/>
        <w:tblLook w:val="0400" w:firstRow="0" w:lastRow="0" w:firstColumn="0" w:lastColumn="0" w:noHBand="0" w:noVBand="1"/>
      </w:tblPr>
      <w:tblGrid>
        <w:gridCol w:w="3085"/>
        <w:gridCol w:w="6204"/>
      </w:tblGrid>
      <w:tr w:rsidR="00203935" w:rsidRPr="0098598C" w14:paraId="512E5FD9" w14:textId="77777777" w:rsidTr="006030E5">
        <w:tc>
          <w:tcPr>
            <w:tcW w:w="3085" w:type="dxa"/>
          </w:tcPr>
          <w:p w14:paraId="58F3BE13" w14:textId="77777777" w:rsidR="00203935" w:rsidRPr="0098598C" w:rsidRDefault="00203935" w:rsidP="0074642E">
            <w:pPr>
              <w:jc w:val="left"/>
            </w:pPr>
            <w:r>
              <w:t>Contacto</w:t>
            </w:r>
          </w:p>
        </w:tc>
        <w:tc>
          <w:tcPr>
            <w:tcW w:w="6204" w:type="dxa"/>
          </w:tcPr>
          <w:p w14:paraId="19CFBA64" w14:textId="67343123" w:rsidR="00203935" w:rsidRPr="0098598C" w:rsidRDefault="00510E14" w:rsidP="0074642E">
            <w:pPr>
              <w:jc w:val="left"/>
            </w:pPr>
            <w:hyperlink r:id="rId12" w:history="1">
              <w:r>
                <w:rPr>
                  <w:rStyle w:val="Hyperlink"/>
                </w:rPr>
                <w:t>Adam.Dorywalski@eesc.europa.eu</w:t>
              </w:r>
            </w:hyperlink>
          </w:p>
        </w:tc>
      </w:tr>
      <w:tr w:rsidR="00203935" w:rsidRPr="0098598C" w14:paraId="1ED11616" w14:textId="77777777" w:rsidTr="006030E5">
        <w:tc>
          <w:tcPr>
            <w:tcW w:w="3085" w:type="dxa"/>
          </w:tcPr>
          <w:p w14:paraId="7B1FF9A5" w14:textId="77777777" w:rsidR="00203935" w:rsidRPr="0098598C" w:rsidRDefault="00203935" w:rsidP="0074642E">
            <w:pPr>
              <w:jc w:val="left"/>
            </w:pPr>
            <w:r>
              <w:t>Administrador</w:t>
            </w:r>
          </w:p>
        </w:tc>
        <w:tc>
          <w:tcPr>
            <w:tcW w:w="6204" w:type="dxa"/>
          </w:tcPr>
          <w:p w14:paraId="14B92BC6" w14:textId="77777777" w:rsidR="00203935" w:rsidRPr="0098598C" w:rsidRDefault="00203935" w:rsidP="0074642E">
            <w:pPr>
              <w:jc w:val="left"/>
            </w:pPr>
            <w:r>
              <w:t>Adam Dorywalski</w:t>
            </w:r>
          </w:p>
        </w:tc>
      </w:tr>
      <w:tr w:rsidR="00203935" w:rsidRPr="0098598C" w14:paraId="58EE73B4" w14:textId="77777777" w:rsidTr="006030E5">
        <w:tc>
          <w:tcPr>
            <w:tcW w:w="3085" w:type="dxa"/>
          </w:tcPr>
          <w:p w14:paraId="56490496" w14:textId="77777777" w:rsidR="00203935" w:rsidRPr="0098598C" w:rsidRDefault="00203935" w:rsidP="0074642E">
            <w:pPr>
              <w:jc w:val="left"/>
            </w:pPr>
            <w:r>
              <w:t>Fecha del documento</w:t>
            </w:r>
          </w:p>
        </w:tc>
        <w:tc>
          <w:tcPr>
            <w:tcW w:w="6204" w:type="dxa"/>
          </w:tcPr>
          <w:p w14:paraId="4A41C9FB" w14:textId="771CF670" w:rsidR="00203935" w:rsidRPr="0098598C" w:rsidRDefault="00131E9C" w:rsidP="0074642E">
            <w:pPr>
              <w:jc w:val="left"/>
            </w:pPr>
            <w:r>
              <w:t>27/5/2026</w:t>
            </w:r>
          </w:p>
        </w:tc>
      </w:tr>
    </w:tbl>
    <w:p w14:paraId="0000002E" w14:textId="12BE4666" w:rsidR="005D5113" w:rsidRPr="0098598C" w:rsidRDefault="005D5113" w:rsidP="0074642E">
      <w:pPr>
        <w:sectPr w:rsidR="005D5113" w:rsidRPr="0098598C" w:rsidSect="00131E9C">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20"/>
          <w:docGrid w:linePitch="299"/>
        </w:sectPr>
      </w:pPr>
    </w:p>
    <w:tbl>
      <w:tblPr>
        <w:tblStyle w:val="a5"/>
        <w:tblW w:w="9073" w:type="dxa"/>
        <w:tblLayout w:type="fixed"/>
        <w:tblLook w:val="0400" w:firstRow="0" w:lastRow="0" w:firstColumn="0" w:lastColumn="0" w:noHBand="0" w:noVBand="1"/>
      </w:tblPr>
      <w:tblGrid>
        <w:gridCol w:w="3055"/>
        <w:gridCol w:w="6018"/>
      </w:tblGrid>
      <w:tr w:rsidR="005D5113" w:rsidRPr="0098598C" w14:paraId="60B4C88F" w14:textId="77777777">
        <w:trPr>
          <w:trHeight w:val="251"/>
        </w:trPr>
        <w:tc>
          <w:tcPr>
            <w:tcW w:w="3055" w:type="dxa"/>
          </w:tcPr>
          <w:p w14:paraId="0000004B" w14:textId="1A8D28CD" w:rsidR="005D5113" w:rsidRPr="0098598C" w:rsidRDefault="002776C5" w:rsidP="0074642E">
            <w:pPr>
              <w:jc w:val="left"/>
            </w:pPr>
            <w:r>
              <w:lastRenderedPageBreak/>
              <w:t>Asesores</w:t>
            </w:r>
          </w:p>
        </w:tc>
        <w:tc>
          <w:tcPr>
            <w:tcW w:w="6018" w:type="dxa"/>
          </w:tcPr>
          <w:p w14:paraId="0000004C" w14:textId="77777777" w:rsidR="005D5113" w:rsidRPr="0098598C" w:rsidRDefault="002776C5" w:rsidP="0074642E">
            <w:pPr>
              <w:jc w:val="left"/>
            </w:pPr>
            <w:r>
              <w:t>Laura BLAŽEVIĆ (por el ponente del Grupo I)</w:t>
            </w:r>
          </w:p>
          <w:p w14:paraId="0000004D" w14:textId="77777777" w:rsidR="005D5113" w:rsidRPr="0098598C" w:rsidRDefault="002776C5" w:rsidP="0074642E">
            <w:pPr>
              <w:jc w:val="left"/>
            </w:pPr>
            <w:r>
              <w:t>Robin ROELS (por la coponente de la Categoría 3)</w:t>
            </w:r>
          </w:p>
        </w:tc>
      </w:tr>
      <w:tr w:rsidR="005D5113" w:rsidRPr="0098598C" w14:paraId="127F0E83" w14:textId="77777777">
        <w:trPr>
          <w:trHeight w:val="251"/>
        </w:trPr>
        <w:tc>
          <w:tcPr>
            <w:tcW w:w="3055" w:type="dxa"/>
          </w:tcPr>
          <w:p w14:paraId="0000004E" w14:textId="77777777" w:rsidR="005D5113" w:rsidRPr="0098598C" w:rsidRDefault="005D5113" w:rsidP="0074642E">
            <w:pPr>
              <w:jc w:val="left"/>
            </w:pPr>
          </w:p>
        </w:tc>
        <w:tc>
          <w:tcPr>
            <w:tcW w:w="6018" w:type="dxa"/>
          </w:tcPr>
          <w:p w14:paraId="0000004F" w14:textId="77777777" w:rsidR="005D5113" w:rsidRPr="0098598C" w:rsidRDefault="005D5113" w:rsidP="0074642E">
            <w:pPr>
              <w:jc w:val="left"/>
            </w:pPr>
          </w:p>
        </w:tc>
      </w:tr>
      <w:tr w:rsidR="005D5113" w:rsidRPr="0098598C" w14:paraId="2F5C7508" w14:textId="77777777">
        <w:tc>
          <w:tcPr>
            <w:tcW w:w="3055" w:type="dxa"/>
          </w:tcPr>
          <w:p w14:paraId="00000050" w14:textId="77777777" w:rsidR="005D5113" w:rsidRPr="0098598C" w:rsidRDefault="002776C5" w:rsidP="0074642E">
            <w:pPr>
              <w:jc w:val="left"/>
            </w:pPr>
            <w:r>
              <w:t>Decisión de la Asamblea</w:t>
            </w:r>
          </w:p>
        </w:tc>
        <w:tc>
          <w:tcPr>
            <w:tcW w:w="6018" w:type="dxa"/>
          </w:tcPr>
          <w:p w14:paraId="00000051" w14:textId="205268D2" w:rsidR="005D5113" w:rsidRPr="0098598C" w:rsidRDefault="00775540" w:rsidP="0074642E">
            <w:pPr>
              <w:jc w:val="left"/>
            </w:pPr>
            <w:r>
              <w:t>2/12/2025</w:t>
            </w:r>
          </w:p>
        </w:tc>
      </w:tr>
      <w:tr w:rsidR="005D5113" w:rsidRPr="0098598C" w14:paraId="09028BA7" w14:textId="77777777">
        <w:tc>
          <w:tcPr>
            <w:tcW w:w="3055" w:type="dxa"/>
          </w:tcPr>
          <w:p w14:paraId="00000052" w14:textId="77777777" w:rsidR="005D5113" w:rsidRPr="0098598C" w:rsidRDefault="002776C5" w:rsidP="0074642E">
            <w:pPr>
              <w:jc w:val="left"/>
            </w:pPr>
            <w:r>
              <w:t>Consulta</w:t>
            </w:r>
          </w:p>
        </w:tc>
        <w:tc>
          <w:tcPr>
            <w:tcW w:w="6018" w:type="dxa"/>
          </w:tcPr>
          <w:p w14:paraId="00000053" w14:textId="14B94D4D" w:rsidR="005D5113" w:rsidRPr="0098598C" w:rsidRDefault="000316A4" w:rsidP="0074642E">
            <w:pPr>
              <w:jc w:val="left"/>
            </w:pPr>
            <w:r>
              <w:t>Comisión Europea, 24/2/2026</w:t>
            </w:r>
          </w:p>
        </w:tc>
      </w:tr>
      <w:tr w:rsidR="005D5113" w:rsidRPr="0098598C" w14:paraId="41B42DAE" w14:textId="77777777">
        <w:tc>
          <w:tcPr>
            <w:tcW w:w="3055" w:type="dxa"/>
          </w:tcPr>
          <w:p w14:paraId="00000054" w14:textId="77777777" w:rsidR="005D5113" w:rsidRPr="0098598C" w:rsidRDefault="002776C5" w:rsidP="0074642E">
            <w:pPr>
              <w:jc w:val="left"/>
            </w:pPr>
            <w:r>
              <w:t>Base jurídica</w:t>
            </w:r>
          </w:p>
        </w:tc>
        <w:tc>
          <w:tcPr>
            <w:tcW w:w="6018" w:type="dxa"/>
          </w:tcPr>
          <w:p w14:paraId="00000055" w14:textId="57A4EFDD" w:rsidR="005D5113" w:rsidRPr="0098598C" w:rsidRDefault="002776C5" w:rsidP="0074642E">
            <w:pPr>
              <w:jc w:val="left"/>
            </w:pPr>
            <w:r>
              <w:t>Artículo 304 del Tratado de Funcionamiento</w:t>
            </w:r>
            <w:r w:rsidR="0097324A">
              <w:br/>
            </w:r>
            <w:r>
              <w:t>de la Unión Europea</w:t>
            </w:r>
          </w:p>
        </w:tc>
      </w:tr>
      <w:tr w:rsidR="005D5113" w:rsidRPr="0098598C" w14:paraId="384945E7" w14:textId="77777777">
        <w:tc>
          <w:tcPr>
            <w:tcW w:w="3055" w:type="dxa"/>
          </w:tcPr>
          <w:p w14:paraId="00000056" w14:textId="77777777" w:rsidR="005D5113" w:rsidRPr="0098598C" w:rsidRDefault="002776C5" w:rsidP="0074642E">
            <w:pPr>
              <w:jc w:val="left"/>
            </w:pPr>
            <w:r>
              <w:t>Sección competente</w:t>
            </w:r>
          </w:p>
        </w:tc>
        <w:tc>
          <w:tcPr>
            <w:tcW w:w="6018" w:type="dxa"/>
          </w:tcPr>
          <w:p w14:paraId="00000057" w14:textId="77777777" w:rsidR="005D5113" w:rsidRPr="0098598C" w:rsidRDefault="002776C5" w:rsidP="0074642E">
            <w:pPr>
              <w:jc w:val="left"/>
            </w:pPr>
            <w:r>
              <w:t>Comisión Consultiva de las Transformaciones Industriales</w:t>
            </w:r>
          </w:p>
        </w:tc>
      </w:tr>
      <w:tr w:rsidR="005D5113" w:rsidRPr="0098598C" w14:paraId="6E0B72A7" w14:textId="77777777">
        <w:tc>
          <w:tcPr>
            <w:tcW w:w="3055" w:type="dxa"/>
          </w:tcPr>
          <w:p w14:paraId="00000058" w14:textId="77777777" w:rsidR="005D5113" w:rsidRPr="0098598C" w:rsidRDefault="002776C5" w:rsidP="0074642E">
            <w:pPr>
              <w:jc w:val="left"/>
            </w:pPr>
            <w:r>
              <w:t>Aprobado en sección</w:t>
            </w:r>
          </w:p>
        </w:tc>
        <w:tc>
          <w:tcPr>
            <w:tcW w:w="6018" w:type="dxa"/>
          </w:tcPr>
          <w:p w14:paraId="00000059" w14:textId="38F06EBD" w:rsidR="005D5113" w:rsidRPr="0098598C" w:rsidRDefault="000316A4" w:rsidP="0074642E">
            <w:pPr>
              <w:jc w:val="left"/>
            </w:pPr>
            <w:r>
              <w:t>20/5/2026</w:t>
            </w:r>
          </w:p>
        </w:tc>
      </w:tr>
      <w:tr w:rsidR="005D5113" w:rsidRPr="0098598C" w14:paraId="483A524D" w14:textId="77777777">
        <w:tc>
          <w:tcPr>
            <w:tcW w:w="3055" w:type="dxa"/>
          </w:tcPr>
          <w:p w14:paraId="0000005A" w14:textId="77777777" w:rsidR="005D5113" w:rsidRPr="0098598C" w:rsidRDefault="002776C5" w:rsidP="0074642E">
            <w:pPr>
              <w:jc w:val="left"/>
            </w:pPr>
            <w:r>
              <w:t>Resultado de la votación</w:t>
            </w:r>
            <w:r>
              <w:br/>
              <w:t>(a favor/en contra/abstenciones)</w:t>
            </w:r>
          </w:p>
        </w:tc>
        <w:tc>
          <w:tcPr>
            <w:tcW w:w="6018" w:type="dxa"/>
            <w:vAlign w:val="bottom"/>
          </w:tcPr>
          <w:p w14:paraId="0000005B" w14:textId="1E50CE87" w:rsidR="005D5113" w:rsidRPr="0098598C" w:rsidRDefault="000316A4" w:rsidP="0074642E">
            <w:pPr>
              <w:jc w:val="left"/>
            </w:pPr>
            <w:r>
              <w:t>22/0/0</w:t>
            </w:r>
          </w:p>
        </w:tc>
      </w:tr>
      <w:tr w:rsidR="005D5113" w:rsidRPr="0098598C" w14:paraId="00742187" w14:textId="77777777">
        <w:tc>
          <w:tcPr>
            <w:tcW w:w="3055" w:type="dxa"/>
          </w:tcPr>
          <w:p w14:paraId="0000005C" w14:textId="77777777" w:rsidR="005D5113" w:rsidRPr="0098598C" w:rsidRDefault="002776C5" w:rsidP="0074642E">
            <w:pPr>
              <w:jc w:val="left"/>
            </w:pPr>
            <w:r>
              <w:t>Aprobado en el pleno</w:t>
            </w:r>
          </w:p>
        </w:tc>
        <w:tc>
          <w:tcPr>
            <w:tcW w:w="6018" w:type="dxa"/>
          </w:tcPr>
          <w:p w14:paraId="0000005D" w14:textId="77777777" w:rsidR="005D5113" w:rsidRPr="0098598C" w:rsidRDefault="002776C5" w:rsidP="0074642E">
            <w:pPr>
              <w:jc w:val="left"/>
            </w:pPr>
            <w:r>
              <w:t>D/M/AAAA</w:t>
            </w:r>
          </w:p>
        </w:tc>
      </w:tr>
      <w:tr w:rsidR="005D5113" w:rsidRPr="0098598C" w14:paraId="0236EB73" w14:textId="77777777">
        <w:tc>
          <w:tcPr>
            <w:tcW w:w="3055" w:type="dxa"/>
          </w:tcPr>
          <w:p w14:paraId="0000005E" w14:textId="77777777" w:rsidR="005D5113" w:rsidRPr="0098598C" w:rsidRDefault="002776C5" w:rsidP="0074642E">
            <w:pPr>
              <w:jc w:val="left"/>
            </w:pPr>
            <w:r>
              <w:t>Pleno n.º</w:t>
            </w:r>
          </w:p>
        </w:tc>
        <w:tc>
          <w:tcPr>
            <w:tcW w:w="6018" w:type="dxa"/>
          </w:tcPr>
          <w:p w14:paraId="0000005F" w14:textId="1D0FC725" w:rsidR="005D5113" w:rsidRPr="0098598C" w:rsidRDefault="000316A4" w:rsidP="0074642E">
            <w:pPr>
              <w:jc w:val="left"/>
            </w:pPr>
            <w:r>
              <w:t>606</w:t>
            </w:r>
          </w:p>
        </w:tc>
      </w:tr>
      <w:tr w:rsidR="005D5113" w:rsidRPr="0098598C" w14:paraId="0FF33F1F" w14:textId="77777777">
        <w:tc>
          <w:tcPr>
            <w:tcW w:w="3055" w:type="dxa"/>
          </w:tcPr>
          <w:p w14:paraId="00000060" w14:textId="77777777" w:rsidR="005D5113" w:rsidRPr="0098598C" w:rsidRDefault="002776C5" w:rsidP="0074642E">
            <w:pPr>
              <w:jc w:val="left"/>
            </w:pPr>
            <w:r>
              <w:t>Resultado de la votación</w:t>
            </w:r>
            <w:r>
              <w:br/>
              <w:t>(a favor/en contra/abstenciones)</w:t>
            </w:r>
          </w:p>
        </w:tc>
        <w:tc>
          <w:tcPr>
            <w:tcW w:w="6018" w:type="dxa"/>
            <w:vAlign w:val="bottom"/>
          </w:tcPr>
          <w:p w14:paraId="00000061" w14:textId="77777777" w:rsidR="005D5113" w:rsidRPr="0098598C" w:rsidRDefault="002776C5" w:rsidP="0074642E">
            <w:pPr>
              <w:jc w:val="left"/>
            </w:pPr>
            <w:r>
              <w:t>…/…/…</w:t>
            </w:r>
          </w:p>
        </w:tc>
      </w:tr>
    </w:tbl>
    <w:p w14:paraId="00000062" w14:textId="77777777" w:rsidR="005D5113" w:rsidRPr="0098598C" w:rsidRDefault="002776C5" w:rsidP="0074642E">
      <w:r>
        <w:br w:type="page"/>
      </w:r>
    </w:p>
    <w:p w14:paraId="60367ABB" w14:textId="4C0AF94D" w:rsidR="00220241" w:rsidRPr="00F34E97" w:rsidRDefault="00220241" w:rsidP="00F34E97">
      <w:pPr>
        <w:pStyle w:val="Heading1"/>
        <w:numPr>
          <w:ilvl w:val="0"/>
          <w:numId w:val="1"/>
        </w:numPr>
        <w:ind w:left="567" w:hanging="567"/>
        <w:rPr>
          <w:b/>
          <w:bCs/>
        </w:rPr>
      </w:pPr>
      <w:r>
        <w:rPr>
          <w:b/>
        </w:rPr>
        <w:lastRenderedPageBreak/>
        <w:t>Conclusiones y recomendaciones</w:t>
      </w:r>
    </w:p>
    <w:p w14:paraId="1A622280" w14:textId="77777777" w:rsidR="00220241" w:rsidRPr="0098598C" w:rsidRDefault="00220241" w:rsidP="0074642E"/>
    <w:p w14:paraId="00000063" w14:textId="148C0A19" w:rsidR="005D5113" w:rsidRPr="0098598C" w:rsidRDefault="002776C5" w:rsidP="0074642E">
      <w:pPr>
        <w:ind w:left="567"/>
      </w:pPr>
      <w:r>
        <w:t>El CESE considera que el Plan de Acción RESourceEU constituye un paso importante hacia el refuerzo de la resiliencia de las cadenas de valor de materias primas fundamentales de la UE y la reducción de las dependencias estratégicas. Sin embargo, la consecución de este objetivo requerirá un enfoque equilibrado que combine una mayor capacidad de producción europea, circularidad y unas asociaciones internacionales responsables con precios de la energía competitivos, marcos reglamentarios viables y sólidas salvaguardias medioambientales y sociales. Por lo tanto, el CESE destaca las siguientes prioridades:</w:t>
      </w:r>
    </w:p>
    <w:p w14:paraId="00000064" w14:textId="77777777" w:rsidR="005D5113" w:rsidRPr="0098598C" w:rsidRDefault="005D5113" w:rsidP="0074642E"/>
    <w:p w14:paraId="00000065" w14:textId="7E88C469" w:rsidR="005D5113" w:rsidRPr="0098598C" w:rsidRDefault="005B7F88" w:rsidP="00F34E97">
      <w:pPr>
        <w:pStyle w:val="Heading2"/>
        <w:numPr>
          <w:ilvl w:val="1"/>
          <w:numId w:val="1"/>
        </w:numPr>
        <w:ind w:left="567" w:hanging="567"/>
      </w:pPr>
      <w:r>
        <w:rPr>
          <w:b/>
        </w:rPr>
        <w:t>facilitar proyectos estratégicos europeos y agilizar la concesión de permisos:</w:t>
      </w:r>
      <w:r>
        <w:t xml:space="preserve"> reducir los precios industriales de la energía, estructuralmente elevados, y facilitar los contratos de compra de electricidad renovable a largo plazo. Garantizar el apoyo a la electrificación, en virtud del Marco de ayudas estatales del Pacto por una Industria Limpia, para las industrias de gran consumo de energía, incluido mediante el Fondo de Innovación, manteniendo la integridad del RCDE UE y garantizando que iniciativas como la taxonomía de la UE faciliten el acceso de los proyectos estratégicos a la financiación;</w:t>
      </w:r>
    </w:p>
    <w:p w14:paraId="00000066" w14:textId="1727847A" w:rsidR="005D5113" w:rsidRPr="0098598C" w:rsidRDefault="005D5113" w:rsidP="00F34E97"/>
    <w:p w14:paraId="00000067" w14:textId="3E3973F8" w:rsidR="005D5113" w:rsidRPr="0098598C" w:rsidRDefault="005B7F88" w:rsidP="00F34E97">
      <w:pPr>
        <w:pStyle w:val="Heading2"/>
        <w:numPr>
          <w:ilvl w:val="1"/>
          <w:numId w:val="1"/>
        </w:numPr>
        <w:ind w:left="567" w:hanging="567"/>
      </w:pPr>
      <w:r>
        <w:t>si bien aprecia la próxima revisión de la Directiva marco sobre el agua, el CESE subraya que este proceso no debe dar lugar a una rebaja de las normas medioambientales;</w:t>
      </w:r>
    </w:p>
    <w:p w14:paraId="6A2D5E95" w14:textId="77777777" w:rsidR="00220241" w:rsidRPr="0098598C" w:rsidRDefault="00220241" w:rsidP="0074642E"/>
    <w:p w14:paraId="00000069" w14:textId="6B97DEF3" w:rsidR="005D5113" w:rsidRPr="0098598C" w:rsidRDefault="005B7F88" w:rsidP="00F34E97">
      <w:pPr>
        <w:pStyle w:val="Heading2"/>
        <w:numPr>
          <w:ilvl w:val="1"/>
          <w:numId w:val="1"/>
        </w:numPr>
        <w:ind w:left="567" w:hanging="567"/>
        <w:rPr>
          <w:color w:val="000000"/>
        </w:rPr>
      </w:pPr>
      <w:r>
        <w:rPr>
          <w:b/>
        </w:rPr>
        <w:t>mejorar el reciclado y la reutilización de materias primas fundamentales:</w:t>
      </w:r>
      <w:r>
        <w:t xml:space="preserve"> introducir un derecho de exportación uniforme sobre la chatarra de aluminio para mantener el valor dentro de la UE y mejorar la circulación de los residuos de materias primas fundamentales mediante procedimientos simplificados y digitalizados con arreglo al Reglamento relativo a los traslados de residuos, con definiciones claras de residuos y materiales secundarios que faciliten el reciclado y la valorización.</w:t>
      </w:r>
      <w:r>
        <w:rPr>
          <w:color w:val="000000"/>
        </w:rPr>
        <w:t xml:space="preserve"> La coherencia política debe incluir objetivos de mitigación de la huella material y planes sectoriales para reducir la intensidad de materiales, a fin de mitigar la criticidad en los sectores transformadores;</w:t>
      </w:r>
    </w:p>
    <w:p w14:paraId="385CEC43" w14:textId="77777777" w:rsidR="00220241" w:rsidRPr="0098598C" w:rsidRDefault="00220241" w:rsidP="0074642E">
      <w:pPr>
        <w:pBdr>
          <w:top w:val="nil"/>
          <w:left w:val="nil"/>
          <w:bottom w:val="nil"/>
          <w:right w:val="nil"/>
          <w:between w:val="nil"/>
        </w:pBdr>
        <w:ind w:left="720"/>
        <w:rPr>
          <w:b/>
          <w:bCs/>
          <w:color w:val="000000"/>
        </w:rPr>
      </w:pPr>
    </w:p>
    <w:p w14:paraId="0000006B" w14:textId="2B93D763" w:rsidR="005D5113" w:rsidRPr="0098598C" w:rsidRDefault="005B7F88" w:rsidP="00F34E97">
      <w:pPr>
        <w:pStyle w:val="Heading2"/>
        <w:numPr>
          <w:ilvl w:val="1"/>
          <w:numId w:val="1"/>
        </w:numPr>
        <w:ind w:left="567" w:hanging="567"/>
      </w:pPr>
      <w:r>
        <w:rPr>
          <w:b/>
        </w:rPr>
        <w:t>apoyar la inversión y el desarrollo del mercado:</w:t>
      </w:r>
      <w:r>
        <w:t xml:space="preserve"> reforzar la resiliencia de las cadenas de valor de los materiales de la UE combinando una mayor producción interior con medidas que incidan en la demanda, como la eficiencia en el uso de los materiales, el diseño ecológico y tasas de reciclado más elevadas.</w:t>
      </w:r>
      <w:r>
        <w:rPr>
          <w:color w:val="000000"/>
        </w:rPr>
        <w:t xml:space="preserve"> El almacenamiento de reservas debe complementar, más que sustituir, la producción, la transformación y el reciclado internos de la UE. Aumentar la transparencia en la gestión de las materias primas mediante mejores datos sobre los flujos de materiales, los niveles de existencias y las decisiones de asignación;</w:t>
      </w:r>
    </w:p>
    <w:p w14:paraId="6F33E14A" w14:textId="77777777" w:rsidR="00220241" w:rsidRPr="0098598C" w:rsidRDefault="00220241" w:rsidP="0074642E">
      <w:pPr>
        <w:pBdr>
          <w:top w:val="nil"/>
          <w:left w:val="nil"/>
          <w:bottom w:val="nil"/>
          <w:right w:val="nil"/>
          <w:between w:val="nil"/>
        </w:pBdr>
        <w:ind w:left="720"/>
      </w:pPr>
    </w:p>
    <w:p w14:paraId="0000006D" w14:textId="70F29B32" w:rsidR="005D5113" w:rsidRPr="0098598C" w:rsidRDefault="005B7F88" w:rsidP="00F34E97">
      <w:pPr>
        <w:pStyle w:val="Heading2"/>
        <w:numPr>
          <w:ilvl w:val="1"/>
          <w:numId w:val="1"/>
        </w:numPr>
        <w:ind w:left="567" w:hanging="567"/>
      </w:pPr>
      <w:r>
        <w:rPr>
          <w:b/>
          <w:color w:val="000000"/>
        </w:rPr>
        <w:t>crear asociaciones internacionales equilibradas:</w:t>
      </w:r>
      <w:r>
        <w:rPr>
          <w:color w:val="000000"/>
        </w:rPr>
        <w:t xml:space="preserve"> diversificar el suministro mediante asociaciones estratégicas, reforzando al mismo tiempo la capacidad de extracción, transformación, refinado y reciclado de la UE. En el entorno geopolítico actual, no existe ninguna garantía de que los socios de confianza anteriores sigan siendo proveedores estables o fiables de materiales estratégicos. Por consiguiente, la Unión debe reducir la dependencia excesiva de un único socio y seguir una estrategia de asociación diversificada basada en el beneficio mutuo, la transparencia y unas sólidas normas medioambientales y laborales.</w:t>
      </w:r>
    </w:p>
    <w:p w14:paraId="0000006E" w14:textId="77777777" w:rsidR="005D5113" w:rsidRPr="0098598C" w:rsidRDefault="005D5113" w:rsidP="0074642E"/>
    <w:p w14:paraId="0000006F" w14:textId="77777777" w:rsidR="005D5113" w:rsidRPr="0098598C" w:rsidRDefault="002776C5" w:rsidP="0074642E">
      <w:pPr>
        <w:pStyle w:val="Heading1"/>
        <w:keepNext/>
        <w:keepLines/>
        <w:numPr>
          <w:ilvl w:val="0"/>
          <w:numId w:val="1"/>
        </w:numPr>
        <w:ind w:left="567" w:hanging="567"/>
        <w:rPr>
          <w:b/>
          <w:bCs/>
        </w:rPr>
      </w:pPr>
      <w:r>
        <w:rPr>
          <w:b/>
        </w:rPr>
        <w:lastRenderedPageBreak/>
        <w:t>Observaciones generales</w:t>
      </w:r>
    </w:p>
    <w:p w14:paraId="00000070" w14:textId="77777777" w:rsidR="005D5113" w:rsidRPr="0098598C" w:rsidRDefault="005D5113" w:rsidP="0074642E">
      <w:pPr>
        <w:keepNext/>
        <w:keepLines/>
      </w:pPr>
    </w:p>
    <w:p w14:paraId="00000071" w14:textId="6338DB56" w:rsidR="005D5113" w:rsidRPr="0098598C" w:rsidRDefault="002776C5" w:rsidP="00F34E97">
      <w:pPr>
        <w:pStyle w:val="Heading2"/>
        <w:numPr>
          <w:ilvl w:val="1"/>
          <w:numId w:val="1"/>
        </w:numPr>
        <w:ind w:left="567" w:hanging="567"/>
      </w:pPr>
      <w:r>
        <w:t>Europa está entrando en una nueva fase en materia de política de materias primas en la que la rapidez, la seguridad y la expansión industrial son principios organizativos clave. El CESE reconoce la urgencia de reducir la dependencia de fuentes inseguras y de crear cadenas de valor resilientes. Iniciativas recientes, como la Ley de Aceleración Industrial, ponen de relieve la necesidad de reforzar la capacidad industrial de Europa y reducir las dependencias estratégicas. Garantizar que las materias primas y sus aplicaciones posteriores se desarrollen dentro de Europa es esencial para adoptar un enfoque «Fabricado en la UE» y mantener el liderazgo tecnológico en la transición limpia.</w:t>
      </w:r>
    </w:p>
    <w:p w14:paraId="00000072" w14:textId="77777777" w:rsidR="005D5113" w:rsidRPr="0098598C" w:rsidRDefault="005D5113" w:rsidP="0074642E"/>
    <w:p w14:paraId="00000073" w14:textId="0E37775F" w:rsidR="005D5113" w:rsidRPr="0098598C" w:rsidRDefault="002776C5" w:rsidP="00F34E97">
      <w:pPr>
        <w:pStyle w:val="Heading2"/>
        <w:numPr>
          <w:ilvl w:val="1"/>
          <w:numId w:val="1"/>
        </w:numPr>
        <w:ind w:left="567" w:hanging="567"/>
      </w:pPr>
      <w:r>
        <w:t>Por otra parte, esta urgencia no debe convertirse en una licencia para sortear los procesos democráticos. Una estrategia creíble debe respetar la legislación medioambiental vinculante, los derechos de los trabajadores y la participación pública para evitar que los proyectos se vean retrasados por conflictos, litigios y daños a la reputación. Por lo tanto, RESourceEU también debe evaluarse como un cambio de gobernanza. Instrumentos como la compra conjunta, el almacenamiento y la priorización estratégica requieren una clara rendición de cuentas, transparencia y supervisión, también por parte de los interlocutores sociales y la sociedad civil. La agenda de competitividad debe cumplir estrictas obligaciones medioambientales y sociales, así como las normas democráticas, entre ellas el acceso a la justicia.</w:t>
      </w:r>
    </w:p>
    <w:p w14:paraId="00000074" w14:textId="77777777" w:rsidR="005D5113" w:rsidRPr="0098598C" w:rsidRDefault="005D5113" w:rsidP="0074642E"/>
    <w:p w14:paraId="00000075" w14:textId="77777777" w:rsidR="005D5113" w:rsidRPr="0098598C" w:rsidRDefault="002776C5" w:rsidP="00F34E97">
      <w:pPr>
        <w:pStyle w:val="Heading2"/>
        <w:numPr>
          <w:ilvl w:val="1"/>
          <w:numId w:val="1"/>
        </w:numPr>
        <w:ind w:left="567" w:hanging="567"/>
      </w:pPr>
      <w:r>
        <w:t>El CESE acoge con satisfacción la estrategia RESourceEU, que se basa en el Reglamento de Materias Primas Fundamentales, el Pacto por una Industria Limpia y el Plan de Acción para el Acero y los Metales, a fin de reforzar la resiliencia de la UE frente a las interrupciones del suministro. La coherencia política debe incluir objetivos de mitigación de la huella material y planes sectoriales para reducir la intensidad de materiales a fin de mitigar la criticidad —en particular en los ámbitos de la movilidad, los sistemas energéticos, la construcción y los productos digitales—, junto con un diseño ecológico sólido, la reutilización, la reparación y una vida útil más larga de los productos, al tiempo que se apoya a las cadenas de suministro europeas para satisfacer la creciente demanda de materiales estratégicos y fundamentales.</w:t>
      </w:r>
    </w:p>
    <w:p w14:paraId="00000076" w14:textId="77777777" w:rsidR="005D5113" w:rsidRPr="0098598C" w:rsidRDefault="005D5113" w:rsidP="0074642E">
      <w:pPr>
        <w:rPr>
          <w:b/>
          <w:bCs/>
        </w:rPr>
      </w:pPr>
    </w:p>
    <w:p w14:paraId="00000077" w14:textId="77777777" w:rsidR="005D5113" w:rsidRPr="0098598C" w:rsidRDefault="002776C5" w:rsidP="00F61A6D">
      <w:pPr>
        <w:pStyle w:val="Heading1"/>
        <w:keepNext/>
        <w:keepLines/>
        <w:numPr>
          <w:ilvl w:val="0"/>
          <w:numId w:val="1"/>
        </w:numPr>
        <w:ind w:left="567" w:hanging="567"/>
      </w:pPr>
      <w:r>
        <w:rPr>
          <w:b/>
        </w:rPr>
        <w:t>Promover y acelerar los proyectos prioritarios</w:t>
      </w:r>
    </w:p>
    <w:p w14:paraId="00000078" w14:textId="77777777" w:rsidR="005D5113" w:rsidRPr="0098598C" w:rsidRDefault="005D5113" w:rsidP="00F61A6D">
      <w:pPr>
        <w:pStyle w:val="Heading2"/>
        <w:keepNext/>
        <w:keepLines/>
        <w:numPr>
          <w:ilvl w:val="0"/>
          <w:numId w:val="0"/>
        </w:numPr>
        <w:ind w:left="567"/>
      </w:pPr>
    </w:p>
    <w:p w14:paraId="00000079" w14:textId="74174FB3" w:rsidR="005D5113" w:rsidRPr="0098598C" w:rsidRDefault="002776C5" w:rsidP="0074642E">
      <w:pPr>
        <w:pStyle w:val="Heading2"/>
        <w:numPr>
          <w:ilvl w:val="1"/>
          <w:numId w:val="1"/>
        </w:numPr>
        <w:ind w:left="567" w:hanging="567"/>
      </w:pPr>
      <w:r>
        <w:t>El CESE subraya que los marcos reglamentarios están para salvaguardar los intereses públicos, la integridad medioambiental y los derechos de los trabajadores, por lo que deben mejorarse. La aplicación del marco actual encuentra obstáculos, en particular debido a las limitaciones de la capacidad administrativa, la volatilidad de los precios de la energía y la fragmentación de la coordinación entre los Estados miembros. La aceptación social es una condición decisiva para la viabilidad y legitimidad de los proyectos, y requiere un compromiso significativo de la comunidad, así como un diálogo social sólido desde las primeras fases, incluida la concesión de permisos, la financiación y las asociaciones. La financiación pública, junto con el desarrollo de proyectos empresariales, debe apoyar la capacidad de los entes locales, un asesoramiento independiente para las comunidades y el seguimiento y control del cumplimiento.</w:t>
      </w:r>
    </w:p>
    <w:p w14:paraId="0000007A" w14:textId="77777777" w:rsidR="005D5113" w:rsidRPr="0098598C" w:rsidRDefault="005D5113" w:rsidP="0074642E"/>
    <w:p w14:paraId="48C7F0FD" w14:textId="215464FC" w:rsidR="008F5E24" w:rsidRDefault="000647C4" w:rsidP="0097324A">
      <w:pPr>
        <w:pStyle w:val="Heading2"/>
        <w:keepLines/>
        <w:numPr>
          <w:ilvl w:val="1"/>
          <w:numId w:val="1"/>
        </w:numPr>
        <w:ind w:left="567" w:hanging="567"/>
      </w:pPr>
      <w:r>
        <w:lastRenderedPageBreak/>
        <w:t>La UE sigue soportando unos precios de la energía estructuralmente elevados en comparación con los de sus principales competidores. Dado el gran consumo de energía de muchas actividades relacionadas con las materias primas fundamentales (que en algunos casos representan el 50 % de los gastos de explotación), los costes de la energía son un factor clave a la hora de determinar la viabilidad de los proyectos. Si bien el Pacto por una Industria Limpia supone un paso en la dirección correcta, no ha tenido ninguna incidencia en los precios de la energía a corto plazo.</w:t>
      </w:r>
    </w:p>
    <w:p w14:paraId="3E6BA6E0" w14:textId="77777777" w:rsidR="008F5E24" w:rsidRPr="008F5E24" w:rsidRDefault="008F5E24" w:rsidP="008F5E24"/>
    <w:p w14:paraId="0000007D" w14:textId="70EF394A" w:rsidR="005D5113" w:rsidRPr="0098598C" w:rsidRDefault="00D16F2F" w:rsidP="00F34E97">
      <w:pPr>
        <w:pStyle w:val="Heading2"/>
        <w:numPr>
          <w:ilvl w:val="1"/>
          <w:numId w:val="1"/>
        </w:numPr>
        <w:ind w:left="567" w:hanging="567"/>
      </w:pPr>
      <w:r>
        <w:t>El Marco de ayudas estatales del Pacto por una Industria Limpia permite ayudas en materia de precios para los consumidores industriales, pero sigue siendo demasiado restrictivo como para tener un impacto significativo en los operadores de materias primas fundamentales</w:t>
      </w:r>
      <w:r w:rsidR="002776C5" w:rsidRPr="0098598C">
        <w:rPr>
          <w:sz w:val="24"/>
          <w:szCs w:val="24"/>
          <w:vertAlign w:val="superscript"/>
        </w:rPr>
        <w:footnoteReference w:id="1"/>
      </w:r>
      <w:r>
        <w:t>. Los requisitos de adicionalidad y abastecimiento —que suelen reflejar los que se aplican al hidrógeno renovable o exigir el cumplimiento de opciones económica y tecnológicamente inviables— vinculados al apoyo a la electrificación, presentan el riesgo de excluir del acceso a las ayudas a las industrias de gran consumo de energía. Esto ocurre especialmente en las regiones en las que los sistemas eléctricos aún se encuentran en fase de transición, a pesar de que la electrificación ya ofrece reducciones significativas de las emisiones.</w:t>
      </w:r>
    </w:p>
    <w:p w14:paraId="0000007E" w14:textId="77777777" w:rsidR="005D5113" w:rsidRPr="0098598C" w:rsidRDefault="005D5113" w:rsidP="0074642E">
      <w:pPr>
        <w:ind w:left="567"/>
      </w:pPr>
    </w:p>
    <w:p w14:paraId="0000007F" w14:textId="41C3E51F" w:rsidR="005D5113" w:rsidRPr="0098598C" w:rsidRDefault="002776C5" w:rsidP="00F34E97">
      <w:pPr>
        <w:pStyle w:val="Heading2"/>
        <w:numPr>
          <w:ilvl w:val="1"/>
          <w:numId w:val="1"/>
        </w:numPr>
        <w:ind w:left="567" w:hanging="567"/>
      </w:pPr>
      <w:r>
        <w:t>También siguen existiendo obstáculos para la aplicación de medidas específicas destinadas a reducir los costes de la energía, como los contratos de compra de electricidad a largo plazo. Un obstáculo importante es la falta de ayudas para los gastos de adecuación/configuración y consolidación de perfiles, como se destaca en el informe Draghi, lo que ha ralentizado considerablemente el mercado de los contratos de compra de electricidad. Deben estudiarse otros programas, como el «Energy Release 2.0» de Italia, y adaptarlos a otros Estados miembros.</w:t>
      </w:r>
    </w:p>
    <w:p w14:paraId="00000080" w14:textId="77777777" w:rsidR="005D5113" w:rsidRPr="0098598C" w:rsidRDefault="005D5113" w:rsidP="0074642E">
      <w:pPr>
        <w:ind w:left="567"/>
      </w:pPr>
    </w:p>
    <w:p w14:paraId="00000081" w14:textId="501E68C7" w:rsidR="005D5113" w:rsidRPr="0098598C" w:rsidRDefault="002776C5" w:rsidP="00F34E97">
      <w:pPr>
        <w:pStyle w:val="Heading2"/>
        <w:numPr>
          <w:ilvl w:val="1"/>
          <w:numId w:val="1"/>
        </w:numPr>
        <w:ind w:left="567" w:hanging="567"/>
      </w:pPr>
      <w:r>
        <w:t>El CESE recomienda que la Comisión facilite el uso de contratos de compra de electricidad a largo plazo para los usuarios con un gran consumo de energía, y que revise el marco de ayudas estatales del Pacto por una Industria Limpia para garantizar que la industria pueda aprovechar eficazmente el apoyo a la electrificación, contribuyendo así a la descarbonización y la competitividad de la UE, sin distorsionar la competencia. Estos programas deben incluir condiciones estrictas de interés público, como la presentación de informes, y requisitos explícitos en materia de salud y seguridad en el trabajo, formación y empleo de calidad.</w:t>
      </w:r>
    </w:p>
    <w:p w14:paraId="00000082" w14:textId="77777777" w:rsidR="005D5113" w:rsidRPr="0098598C" w:rsidRDefault="005D5113" w:rsidP="0074642E">
      <w:pPr>
        <w:ind w:left="567"/>
      </w:pPr>
    </w:p>
    <w:p w14:paraId="00000083" w14:textId="77777777" w:rsidR="005D5113" w:rsidRPr="0098598C" w:rsidRDefault="002776C5" w:rsidP="00F34E97">
      <w:pPr>
        <w:pStyle w:val="Heading2"/>
        <w:numPr>
          <w:ilvl w:val="1"/>
          <w:numId w:val="1"/>
        </w:numPr>
        <w:ind w:left="567" w:hanging="567"/>
      </w:pPr>
      <w:r>
        <w:t>Además, cualquier apoyo a corto plazo de este tipo debe ir acompañado de condiciones claras, como la protección de los trabajadores, la participación comunitaria, la transparencia de los beneficiarios y salvaguardias contra los ingresos imprevistos, al tiempo que se da prioridad a medidas específicas que reduzcan estructuralmente los costes de la energía a través de las redes, la flexibilidad y la eficiencia.</w:t>
      </w:r>
    </w:p>
    <w:p w14:paraId="00000084" w14:textId="77777777" w:rsidR="005D5113" w:rsidRPr="0098598C" w:rsidRDefault="005D5113" w:rsidP="0074642E">
      <w:pPr>
        <w:ind w:left="567"/>
      </w:pPr>
    </w:p>
    <w:p w14:paraId="00000085" w14:textId="04D8421D" w:rsidR="005D5113" w:rsidRPr="0098598C" w:rsidRDefault="002776C5" w:rsidP="00F34E97">
      <w:pPr>
        <w:pStyle w:val="Heading2"/>
        <w:numPr>
          <w:ilvl w:val="1"/>
          <w:numId w:val="1"/>
        </w:numPr>
        <w:ind w:left="567" w:hanging="567"/>
      </w:pPr>
      <w:r>
        <w:lastRenderedPageBreak/>
        <w:t>Otro factor que aumenta la presión de los costes sobre los operadores de materias primas fundamentales es el régimen de comercio de derechos de emisión (RCDE). Si bien el RCDE ha contribuido a la descarbonización del mix eléctrico, representa un coste importante para los sectores con alternativas tecnológicas limitadas a la hora de reducir las emisiones. Por consiguiente, el CESE insta a la Comisión a que evalúe el impacto del RCDE en la economía, el medio ambiente y la competitividad de las materias primas fundamentales como parte de la revisión del RCDE, en consonancia con las Conclusiones de marzo del Consejo de la UE. Al mismo tiempo, el RCDE sigue siendo un motor clave de la descarbonización de la UE y debe preservarse su integridad. Cualquier revisión debe abordar la manera en que los costes relacionados con el RCDE interactúan con las medidas de eficiencia de los materiales, las estrategias de sustitución y el uso circular de los materiales, y debe evitar exenciones sectoriales que debiliten la señal de precio del carbono o trasladen los costes a otros sectores, garantizando al mismo tiempo que se aborden adecuadamente los riesgos de fuga de carbono y la competitividad internacional. Cuando la producción de materias primas fundamentales se enfrente a obstáculos estructurales a la descarbonización, las respuestas estratégicas deben dar prioridad al apoyo a la innovación, la electrificación, la eficiencia de los materiales y la circularidad, junto con mecanismos de financiación específicos.</w:t>
      </w:r>
    </w:p>
    <w:p w14:paraId="00000086" w14:textId="77777777" w:rsidR="005D5113" w:rsidRPr="0098598C" w:rsidRDefault="005D5113" w:rsidP="0074642E">
      <w:pPr>
        <w:ind w:left="567"/>
      </w:pPr>
    </w:p>
    <w:p w14:paraId="00000087" w14:textId="380E5FBD" w:rsidR="005D5113" w:rsidRPr="0098598C" w:rsidRDefault="002776C5" w:rsidP="00F34E97">
      <w:pPr>
        <w:pStyle w:val="Heading2"/>
        <w:numPr>
          <w:ilvl w:val="1"/>
          <w:numId w:val="1"/>
        </w:numPr>
        <w:ind w:left="567" w:hanging="567"/>
      </w:pPr>
      <w:r>
        <w:t>Por último, los acuerdos de compra de materias primas fundamentales se ven influidos por la taxonomía de la UE</w:t>
      </w:r>
      <w:r w:rsidRPr="0098598C">
        <w:rPr>
          <w:vertAlign w:val="superscript"/>
        </w:rPr>
        <w:footnoteReference w:id="2"/>
      </w:r>
      <w:r>
        <w:t xml:space="preserve"> y el principio de «no causar un perjuicio significativo». Estos acuerdos se crearon para garantizar que la financiación pública y privada no apoye actividades que socaven la integridad medioambiental de la UE o la confianza de los inversores en los sistemas de clasificación ecológica. Sin embargo, los criterios y umbrales actuales de la taxonomía aún no pueden alcanzarse con las tecnologías existentes para varias actividades relacionadas con las materias primas fundamentales, por lo que algunos proyectos estratégicos de la UE corren el riesgo de quedar excluidos del acceso a la financiación, incluso cuando cumplen normas medioambientales, laborales y de transparencia más estrictas que las de terceros países. Estos umbrales deben revisarse y adaptarse periódicamente en función del progreso tecnológico. El efecto indirecto del principio de «no causar un perjuicio significativo» en los programas y marcos de financiación de la UE debe recalibrarse para evitar bloquear involuntariamente el acceso de los proyectos a la financiación.</w:t>
      </w:r>
      <w:sdt>
        <w:sdtPr>
          <w:tag w:val="goog_rdk_72"/>
          <w:id w:val="-470122961"/>
          <w:showingPlcHdr/>
        </w:sdtPr>
        <w:sdtEndPr/>
        <w:sdtContent>
          <w:r>
            <w:t xml:space="preserve">     </w:t>
          </w:r>
        </w:sdtContent>
      </w:sdt>
    </w:p>
    <w:p w14:paraId="00000088" w14:textId="77777777" w:rsidR="005D5113" w:rsidRPr="0098598C" w:rsidRDefault="005D5113" w:rsidP="00F61A6D">
      <w:pPr>
        <w:pStyle w:val="Heading2"/>
        <w:numPr>
          <w:ilvl w:val="0"/>
          <w:numId w:val="0"/>
        </w:numPr>
        <w:ind w:left="567"/>
      </w:pPr>
    </w:p>
    <w:p w14:paraId="00000089" w14:textId="77777777" w:rsidR="005D5113" w:rsidRPr="0098598C" w:rsidRDefault="002776C5" w:rsidP="00F34E97">
      <w:pPr>
        <w:pStyle w:val="Heading2"/>
        <w:numPr>
          <w:ilvl w:val="1"/>
          <w:numId w:val="1"/>
        </w:numPr>
        <w:ind w:left="567" w:hanging="567"/>
      </w:pPr>
      <w:r>
        <w:t>Cuando los proyectos de materias primas fundamentales se consideren estratégicos para la UE, los marcos de evaluación deben distinguir entre el inevitable impacto intrínseco a la extracción primaria y los daños evitables derivados de prácticas subóptimas. La protección del medio ambiente en lo que respecta a los recursos hídricos, la biodiversidad, la prevención de la contaminación, la salud humana y el impacto en las comunidades debe seguir siendo plenamente operativa. Los proyectos que demuestren emisiones durante el ciclo de vida significativamente inferiores a las de los competidores mundiales no deben clasificarse como «causantes de un perjuicio significativo», y ello debe reflejarse en las metodologías de evaluación. Se requiere un marco de evaluación más integral, que combine el rendimiento climático con las consideraciones relativas a la biodiversidad, el agua y la contaminación.</w:t>
      </w:r>
    </w:p>
    <w:p w14:paraId="0000008A" w14:textId="77777777" w:rsidR="005D5113" w:rsidRPr="0098598C" w:rsidRDefault="005D5113" w:rsidP="0074642E">
      <w:pPr>
        <w:ind w:left="567"/>
      </w:pPr>
    </w:p>
    <w:p w14:paraId="0000008C" w14:textId="221437AB" w:rsidR="005D5113" w:rsidRDefault="002776C5" w:rsidP="0074642E">
      <w:pPr>
        <w:pStyle w:val="Heading2"/>
        <w:numPr>
          <w:ilvl w:val="1"/>
          <w:numId w:val="1"/>
        </w:numPr>
        <w:ind w:left="567" w:hanging="567"/>
      </w:pPr>
      <w:r>
        <w:lastRenderedPageBreak/>
        <w:t>El CESE señala que las propuestas de precios mínimos o precios mínimos garantizados para determinadas materias primas fundamentales plantean un riesgo especial. Aunque su objetivo es proporcionar seguridad a las inversiones, estos mecanismos pueden exponer las finanzas públicas a un riesgo fiscal considerable si los precios de las materias primas sufren una fuerte caída, y transferir la volatilidad del mercado a los contribuyentes. Al mismo tiempo, la elevada volatilidad de los precios y los largos ciclos de inversión característicos de los proyectos de materias primas fundamentales pueden constituir obstáculos importantes a la inversión en la UE y deben abordarse.</w:t>
      </w:r>
    </w:p>
    <w:p w14:paraId="4A9109E3" w14:textId="77777777" w:rsidR="00735155" w:rsidRPr="00735155" w:rsidRDefault="00735155" w:rsidP="00735155"/>
    <w:p w14:paraId="0000008D" w14:textId="0717E820" w:rsidR="005D5113" w:rsidRPr="0098598C" w:rsidRDefault="002776C5" w:rsidP="00F34E97">
      <w:pPr>
        <w:pStyle w:val="Heading2"/>
        <w:numPr>
          <w:ilvl w:val="1"/>
          <w:numId w:val="1"/>
        </w:numPr>
        <w:ind w:left="567" w:hanging="567"/>
      </w:pPr>
      <w:r>
        <w:t>El CESE acoge con satisfacción la intención de la Comisión de movilizar 3 000 millones EUR en apoyo de las materias primas fundamentales. Sin embargo, las necesidades de financiación son mucho mayores y deben reflejarse en el próximo MFP. Si bien se considera positiva la asignación de 1 000 millones EUR en el marco de la convocatoria de 2025 del Fondo de Innovación para proyectos de fabricación de tecnologías limpias centrados en las cadenas de valor de las materias primas fundamentales, los criterios de evaluación actuales en el marco del Fondo de Innovación pueden limitar su eficacia para los proyectos de materias primas estratégicas. En particular, el fuerte énfasis en un grado cuantificable de reducción de las emisiones sitúa en desventaja a los proyectos que ante todo garantizan la seguridad del suministro, la resiliencia y la capacidad industrial.</w:t>
      </w:r>
    </w:p>
    <w:p w14:paraId="0000008E" w14:textId="77777777" w:rsidR="005D5113" w:rsidRPr="0098598C" w:rsidRDefault="005D5113" w:rsidP="0074642E">
      <w:pPr>
        <w:ind w:left="567"/>
      </w:pPr>
    </w:p>
    <w:p w14:paraId="0000008F" w14:textId="58E5C708" w:rsidR="005D5113" w:rsidRPr="0098598C" w:rsidRDefault="002776C5" w:rsidP="00F34E97">
      <w:pPr>
        <w:pStyle w:val="Heading2"/>
        <w:numPr>
          <w:ilvl w:val="1"/>
          <w:numId w:val="1"/>
        </w:numPr>
        <w:ind w:left="567" w:hanging="567"/>
      </w:pPr>
      <w:r>
        <w:t>El CESE acoge con satisfacción el plan de la Comisión de agilizar la concesión de permisos medioambientales. Sin embargo, la agilización de los procedimientos debe ir acompañada de una inversión adecuada en las autoridades públicas, así como de un apoyo a evaluaciones de impacto de alta calidad y a la capacidad de seguimiento y ejecución. La aceleración del proceso no debe debilitar la calidad de las evaluaciones de impacto, la participación pública, el acceso a la justicia, las obligaciones de protección de la naturaleza ni los requisitos de protección de las aguas, y cualquier simplificación debe ser estrictamente administrativa, no sustantiva.</w:t>
      </w:r>
    </w:p>
    <w:p w14:paraId="00000090" w14:textId="77777777" w:rsidR="005D5113" w:rsidRPr="0098598C" w:rsidRDefault="005D5113" w:rsidP="0074642E">
      <w:pPr>
        <w:ind w:left="567"/>
      </w:pPr>
    </w:p>
    <w:p w14:paraId="00000091" w14:textId="6EC78766" w:rsidR="005D5113" w:rsidRPr="0098598C" w:rsidRDefault="001B0A92" w:rsidP="00F34E97">
      <w:pPr>
        <w:pStyle w:val="Heading2"/>
        <w:numPr>
          <w:ilvl w:val="1"/>
          <w:numId w:val="1"/>
        </w:numPr>
        <w:ind w:left="567" w:hanging="567"/>
      </w:pPr>
      <w:r>
        <w:t xml:space="preserve">Si bien aprecia la próxima revisión de la Directiva marco sobre el agua, el CESE subraya que este proceso no debe dar lugar a una rebaja de las normas medioambientales. Al mismo tiempo, debe abordar los retos que plantea la aplicación, incluidos los procedimientos de concesión de permisos, y apoyar la autonomía estratégica de la UE mediante un acceso seguro a las materias primas fundamentales. </w:t>
      </w:r>
    </w:p>
    <w:p w14:paraId="00000092" w14:textId="77777777" w:rsidR="005D5113" w:rsidRPr="0098598C" w:rsidRDefault="005D5113" w:rsidP="0074642E">
      <w:pPr>
        <w:ind w:left="567"/>
        <w:rPr>
          <w:b/>
          <w:bCs/>
        </w:rPr>
      </w:pPr>
    </w:p>
    <w:p w14:paraId="00000093" w14:textId="77777777" w:rsidR="005D5113" w:rsidRPr="0098598C" w:rsidRDefault="002776C5" w:rsidP="0074642E">
      <w:pPr>
        <w:pStyle w:val="Heading1"/>
        <w:keepNext/>
        <w:keepLines/>
        <w:numPr>
          <w:ilvl w:val="0"/>
          <w:numId w:val="1"/>
        </w:numPr>
        <w:ind w:left="567" w:hanging="567"/>
      </w:pPr>
      <w:r>
        <w:rPr>
          <w:b/>
        </w:rPr>
        <w:t>Circularidad e innovación</w:t>
      </w:r>
    </w:p>
    <w:p w14:paraId="00000094" w14:textId="77777777" w:rsidR="005D5113" w:rsidRPr="0098598C" w:rsidRDefault="005D5113" w:rsidP="00F34E97">
      <w:pPr>
        <w:keepNext/>
        <w:keepLines/>
        <w:ind w:left="567"/>
      </w:pPr>
    </w:p>
    <w:p w14:paraId="00000095" w14:textId="7C3B8C49" w:rsidR="005D5113" w:rsidRPr="0098598C" w:rsidRDefault="002776C5" w:rsidP="00F34E97">
      <w:pPr>
        <w:pStyle w:val="Heading2"/>
        <w:numPr>
          <w:ilvl w:val="1"/>
          <w:numId w:val="1"/>
        </w:numPr>
        <w:ind w:left="567" w:hanging="567"/>
      </w:pPr>
      <w:r>
        <w:t>Maximizar la valorización y reutilización de los materiales ya comercializados en el mercado de la UE debe ser un pilar central de la estrategia industrial y de materias primas de la UE, junto con el abastecimiento primario y la diversificación del suministro. El CESE apoya el énfasis en el reciclado de las materias primas fundamentales y en un mejor uso de los flujos de residuos existentes. Reforzar la circularidad es esencial para reducir las dependencias y las emisiones y reforzar la resiliencia de Europa. La circularidad va más allá del reciclado y debe incluir la ampliación de la vida útil de los productos y la mejora de la reparabilidad, la modularidad y la reutilizabilidad, así como pasar de un enfoque de gestión de los residuos a otro de gestión de los recursos.</w:t>
      </w:r>
    </w:p>
    <w:p w14:paraId="00000096" w14:textId="77777777" w:rsidR="005D5113" w:rsidRPr="0098598C" w:rsidRDefault="005D5113" w:rsidP="0074642E">
      <w:pPr>
        <w:ind w:left="567"/>
      </w:pPr>
    </w:p>
    <w:p w14:paraId="00000097" w14:textId="0BF46887" w:rsidR="005D5113" w:rsidRPr="0098598C" w:rsidRDefault="002776C5" w:rsidP="00F34E97">
      <w:pPr>
        <w:pStyle w:val="Heading2"/>
        <w:numPr>
          <w:ilvl w:val="1"/>
          <w:numId w:val="1"/>
        </w:numPr>
        <w:ind w:left="567" w:hanging="567"/>
      </w:pPr>
      <w:r>
        <w:lastRenderedPageBreak/>
        <w:t xml:space="preserve">Por tanto, el anuncio de la Comisión de medidas específicas sobre la chatarra de aluminio es bienvenido, y debe aplicarse sin demora para garantizar que la chatarra que contenga materias primas fundamentales generada en la UE contribuya principalmente a la capacidad europea de reciclado y fabricación. Esto puede incluir medidas de exportación adecuadas, como un derecho de exportación uniforme, para abordar los desequilibrios del mercado y evitar la fuga de carbono y de valor, sin dejar de ser compatibles con las obligaciones internacionales de la UE. Dichas medidas deben ser proporcionadas y transparentes y estar acotadas en el tiempo, con salvaguardias para evitar la externalización de los daños medioambientales (incluidos los daños derivados de prácticas de reciclado inseguras, la contaminación y la explotación laboral) y los riesgos para los derechos humanos, así como para garantizar la retención responsable de valor dentro de la UE. </w:t>
      </w:r>
    </w:p>
    <w:p w14:paraId="00000098" w14:textId="77777777" w:rsidR="005D5113" w:rsidRPr="0098598C" w:rsidRDefault="005D5113" w:rsidP="0074642E">
      <w:pPr>
        <w:ind w:left="567"/>
      </w:pPr>
    </w:p>
    <w:p w14:paraId="00000099" w14:textId="77777777" w:rsidR="005D5113" w:rsidRPr="0098598C" w:rsidRDefault="002776C5" w:rsidP="00F34E97">
      <w:pPr>
        <w:pStyle w:val="Heading2"/>
        <w:numPr>
          <w:ilvl w:val="1"/>
          <w:numId w:val="1"/>
        </w:numPr>
        <w:ind w:left="567" w:hanging="567"/>
      </w:pPr>
      <w:r>
        <w:t>El CESE apoya las iniciativas destinadas a mejorar la circulación de los residuos de materias primas fundamentales dentro de la UE. La simplificación y digitalización de los procedimientos en virtud del Reglamento relativo a los traslados de residuos, incluida la documentación digital y la racionalización de los procesos administrativos, constituyen pasos positivos. El desarrollo de un sistema digital único para los traslados de residuos, con presentación electrónica y aprobaciones automáticas dentro de los plazos establecidos, contribuirá a reducir las cargas administrativas. El pasaporte digital de productos mejorará aún más la trazabilidad y facilitará un reciclado de mayor calidad, lo que permitirá un mejor seguimiento del comportamiento medioambiental, las condiciones laborales y el cumplimiento de las obligaciones de diligencia debida. La claridad normativa sigue siendo fundamental. Se necesitan definiciones claras y coherentes de cuándo un material se considera residuo, producto o sustancia, en particular en la interfaz entre el Reglamento relativo a los traslados de residuos y la legislación en materia de sustancias químicas, para evitar retrasos en el reciclado y la valorización.</w:t>
      </w:r>
    </w:p>
    <w:p w14:paraId="0000009A" w14:textId="77777777" w:rsidR="005D5113" w:rsidRPr="0098598C" w:rsidRDefault="005D5113" w:rsidP="0074642E">
      <w:pPr>
        <w:ind w:left="567"/>
      </w:pPr>
    </w:p>
    <w:p w14:paraId="0000009B" w14:textId="77777777" w:rsidR="005D5113" w:rsidRPr="0098598C" w:rsidRDefault="002776C5" w:rsidP="00F34E97">
      <w:pPr>
        <w:pStyle w:val="Heading2"/>
        <w:numPr>
          <w:ilvl w:val="1"/>
          <w:numId w:val="1"/>
        </w:numPr>
        <w:ind w:left="567" w:hanging="567"/>
      </w:pPr>
      <w:r>
        <w:t xml:space="preserve">Las medidas reglamentarias también deben complementarse con una financiación oportuna y un apoyo a la innovación. El CESE subraya la importancia de </w:t>
      </w:r>
      <w:r>
        <w:rPr>
          <w:b/>
        </w:rPr>
        <w:t>movilizar rápidamente la financiación anunciada en el marco del Plan de Acción RESourceEU</w:t>
      </w:r>
      <w:r>
        <w:t>, en particular para las aplicaciones de materias primas fundamentales en el ámbito de la defensa. Sin embargo, las decisiones de priorización requieren una rendición de cuentas democrática, transparencia y criterios claros, y no deben socavar las necesidades climáticas, la transición energética ni el interés público. Debe garantizarse la participación de la juventud mediante funciones de asesoramiento y consultas estructuradas en los organismos y programas de gestión de las materias primas fundamentales.</w:t>
      </w:r>
    </w:p>
    <w:p w14:paraId="0000009C" w14:textId="77777777" w:rsidR="005D5113" w:rsidRPr="0098598C" w:rsidRDefault="005D5113" w:rsidP="0074642E">
      <w:pPr>
        <w:ind w:left="567"/>
      </w:pPr>
    </w:p>
    <w:p w14:paraId="0000009D" w14:textId="77777777" w:rsidR="005D5113" w:rsidRPr="0098598C" w:rsidRDefault="002776C5" w:rsidP="00F61A6D">
      <w:pPr>
        <w:pStyle w:val="Heading1"/>
        <w:keepNext/>
        <w:keepLines/>
        <w:numPr>
          <w:ilvl w:val="0"/>
          <w:numId w:val="1"/>
        </w:numPr>
        <w:ind w:left="567" w:hanging="567"/>
        <w:rPr>
          <w:b/>
          <w:bCs/>
        </w:rPr>
      </w:pPr>
      <w:r>
        <w:rPr>
          <w:b/>
        </w:rPr>
        <w:t>Facilitar la ejecución de proyectos europeos y crear un mercado duradero</w:t>
      </w:r>
    </w:p>
    <w:p w14:paraId="0000009E" w14:textId="77777777" w:rsidR="005D5113" w:rsidRPr="0098598C" w:rsidRDefault="005D5113" w:rsidP="00F34E97">
      <w:pPr>
        <w:keepNext/>
        <w:keepLines/>
        <w:ind w:left="567"/>
      </w:pPr>
    </w:p>
    <w:p w14:paraId="0000009F" w14:textId="54305915" w:rsidR="005D5113" w:rsidRPr="0098598C" w:rsidRDefault="002776C5" w:rsidP="00F34E97">
      <w:pPr>
        <w:pStyle w:val="Heading2"/>
        <w:numPr>
          <w:ilvl w:val="1"/>
          <w:numId w:val="1"/>
        </w:numPr>
        <w:ind w:left="567" w:hanging="567"/>
      </w:pPr>
      <w:r>
        <w:t xml:space="preserve">El CESE apoya el refuerzo de la resiliencia de las cadenas de valor europeas de materias primas fundamentales a través de herramientas basadas en el mercado, la intervención pública y la coordinación estratégica. Además de aumentar la oferta, debe prestarse mayor atención al refuerzo de la calidad, la previsibilidad y la resiliencia de la demanda mediante la eficiencia en el uso de los materiales, un mejor diseño de los productos, tasas de reciclado más elevadas, la reducción de los residuos y la prolongación de la vida útil de los productos, al tiempo que se apoya la expansión de la producción europea sostenible. </w:t>
      </w:r>
    </w:p>
    <w:p w14:paraId="000000A0" w14:textId="77777777" w:rsidR="005D5113" w:rsidRPr="0098598C" w:rsidRDefault="005D5113" w:rsidP="0074642E">
      <w:pPr>
        <w:ind w:left="567"/>
      </w:pPr>
    </w:p>
    <w:p w14:paraId="000000A1" w14:textId="5DD66194" w:rsidR="005D5113" w:rsidRPr="0098598C" w:rsidRDefault="002776C5" w:rsidP="00F34E97">
      <w:pPr>
        <w:pStyle w:val="Heading2"/>
        <w:numPr>
          <w:ilvl w:val="1"/>
          <w:numId w:val="1"/>
        </w:numPr>
        <w:ind w:left="567" w:hanging="567"/>
      </w:pPr>
      <w:r>
        <w:lastRenderedPageBreak/>
        <w:t>El almacenamiento de reservas puede ayudar a gestionar las perturbaciones del suministro a corto plazo, pero no puede sustituir al desarrollo de la capacidad de producción y transformación internas. El refuerzo de los proyectos basados en la UE</w:t>
      </w:r>
      <w:r w:rsidRPr="0098598C">
        <w:rPr>
          <w:sz w:val="24"/>
          <w:szCs w:val="24"/>
          <w:vertAlign w:val="superscript"/>
        </w:rPr>
        <w:footnoteReference w:id="3"/>
      </w:r>
      <w:r>
        <w:t xml:space="preserve"> reviste una importancia estratégica a la hora de reducir las dependencias. Las preocupaciones de la industria en relación con los modelos de propiedad, la distorsión del mercado y los efectos de desplazamiento deben ponderarse con los objetivos de resiliencia.</w:t>
      </w:r>
    </w:p>
    <w:p w14:paraId="000000A2" w14:textId="77777777" w:rsidR="005D5113" w:rsidRPr="0098598C" w:rsidRDefault="005D5113" w:rsidP="0074642E">
      <w:pPr>
        <w:ind w:left="567"/>
      </w:pPr>
    </w:p>
    <w:p w14:paraId="000000A3" w14:textId="046A5AA3" w:rsidR="005D5113" w:rsidRPr="0098598C" w:rsidRDefault="002776C5" w:rsidP="00F34E97">
      <w:pPr>
        <w:pStyle w:val="Heading2"/>
        <w:numPr>
          <w:ilvl w:val="1"/>
          <w:numId w:val="1"/>
        </w:numPr>
        <w:ind w:left="567" w:hanging="567"/>
      </w:pPr>
      <w:r>
        <w:t xml:space="preserve">En lo que respecta a la propuesta de modificación del Reglamento de Materias Primas Fundamentales en relación con la diversificación del suministro, el CESE apoya las evaluaciones de riesgos de la cadena de suministro y una mayor transparencia, pero subraya que las obligaciones de diversificación deben ser siempre proporcionadas y viables. No debe exigirse a las empresas que diversifiquen cuando no existan fuentes alternativas viables. La intervención de la Comisión debe centrarse principalmente en medidas facilitadoras, como el apoyo a la producción en la UE, antes de considerar el establecimiento de requisitos obligatorios de diversificación. El CESE subraya asimismo la importancia de la transparencia de los datos sobre los flujos de materiales, las decisiones de asignación, los niveles de existencias y la exposición financiera pública. Debe crearse un cuadro europeo de indicadores de transparencia con respecto a las materias primas que permita la supervisión democrática y un debate público con conocimiento de causa. </w:t>
      </w:r>
    </w:p>
    <w:p w14:paraId="000000A4" w14:textId="77777777" w:rsidR="005D5113" w:rsidRPr="0098598C" w:rsidRDefault="005D5113" w:rsidP="0074642E">
      <w:pPr>
        <w:ind w:left="567"/>
      </w:pPr>
    </w:p>
    <w:p w14:paraId="000000A5" w14:textId="77777777" w:rsidR="005D5113" w:rsidRPr="0098598C" w:rsidRDefault="002776C5" w:rsidP="00F34E97">
      <w:pPr>
        <w:pStyle w:val="Heading2"/>
        <w:numPr>
          <w:ilvl w:val="1"/>
          <w:numId w:val="1"/>
        </w:numPr>
        <w:ind w:left="567" w:hanging="567"/>
      </w:pPr>
      <w:r>
        <w:t>El CESE hace hincapié en que la diversificación no es un fin en sí mismo. El objetivo debe ser reducir la vulnerabilidad y garantizar que cualquier aumento de las actividades extractivas se atenga estrictamente a las normas de sostenibilidad y las mejore, al tiempo que se modera la demanda. Por lo tanto, las asociaciones deben ser parte de una estrategia más amplia que combine la seguridad del suministro, la integridad medioambiental y los principios de equidad global.</w:t>
      </w:r>
    </w:p>
    <w:p w14:paraId="000000A6" w14:textId="77777777" w:rsidR="005D5113" w:rsidRPr="0098598C" w:rsidRDefault="005D5113" w:rsidP="0074642E">
      <w:pPr>
        <w:ind w:left="567"/>
      </w:pPr>
    </w:p>
    <w:p w14:paraId="000000A7" w14:textId="77777777" w:rsidR="005D5113" w:rsidRPr="0098598C" w:rsidRDefault="002776C5" w:rsidP="00F61A6D">
      <w:pPr>
        <w:pStyle w:val="Heading1"/>
        <w:keepNext/>
        <w:keepLines/>
        <w:numPr>
          <w:ilvl w:val="0"/>
          <w:numId w:val="1"/>
        </w:numPr>
        <w:ind w:left="567" w:hanging="567"/>
        <w:rPr>
          <w:b/>
          <w:bCs/>
        </w:rPr>
      </w:pPr>
      <w:r>
        <w:rPr>
          <w:b/>
        </w:rPr>
        <w:t>Asociarse con terceros países para diversificar</w:t>
      </w:r>
    </w:p>
    <w:p w14:paraId="000000A8" w14:textId="77777777" w:rsidR="005D5113" w:rsidRPr="0098598C" w:rsidRDefault="005D5113" w:rsidP="00F34E97">
      <w:pPr>
        <w:keepNext/>
        <w:keepLines/>
        <w:ind w:left="567"/>
      </w:pPr>
    </w:p>
    <w:p w14:paraId="000000A9" w14:textId="5CF528E2" w:rsidR="005D5113" w:rsidRPr="0098598C" w:rsidRDefault="007A59A1" w:rsidP="00F34E97">
      <w:pPr>
        <w:pStyle w:val="Heading2"/>
        <w:numPr>
          <w:ilvl w:val="1"/>
          <w:numId w:val="1"/>
        </w:numPr>
        <w:ind w:left="567" w:hanging="567"/>
      </w:pPr>
      <w:r>
        <w:t xml:space="preserve">La diversificación del comercio es una necesidad. El CESE acoge con satisfacción la intención de la Comisión de establecer asociaciones relativas a las materias primas fundamentales e integrar la cadena de valor de la UE con socios estratégicos. Las asociaciones deben ayudar a terceros países a ascender en la cadena de valor y a desarrollar su propia capacidad industrial. </w:t>
      </w:r>
    </w:p>
    <w:p w14:paraId="000000AA" w14:textId="77777777" w:rsidR="005D5113" w:rsidRPr="0098598C" w:rsidRDefault="005D5113" w:rsidP="0074642E">
      <w:pPr>
        <w:ind w:left="567"/>
      </w:pPr>
    </w:p>
    <w:p w14:paraId="000000AB" w14:textId="409F2C76" w:rsidR="005D5113" w:rsidRPr="0098598C" w:rsidRDefault="002776C5" w:rsidP="00F34E97">
      <w:pPr>
        <w:pStyle w:val="Heading2"/>
        <w:numPr>
          <w:ilvl w:val="1"/>
          <w:numId w:val="1"/>
        </w:numPr>
        <w:ind w:left="567" w:hanging="567"/>
      </w:pPr>
      <w:r>
        <w:t>Al mismo tiempo, las asociaciones exteriores no pueden sustituir al refuerzo de las capacidades internas de la UE. En varios casos, los competidores mundiales han avanzado con mayor rapidez para asegurarse recursos estratégicos antes de que las asociaciones europeas pudieran materializarse</w:t>
      </w:r>
      <w:r w:rsidRPr="0098598C">
        <w:rPr>
          <w:sz w:val="24"/>
          <w:szCs w:val="24"/>
          <w:vertAlign w:val="superscript"/>
        </w:rPr>
        <w:footnoteReference w:id="4"/>
      </w:r>
      <w:r>
        <w:t>, lo que pone de relieve la importancia de desarrollar capacidades dentro de la UE.</w:t>
      </w:r>
    </w:p>
    <w:p w14:paraId="000000AC" w14:textId="77777777" w:rsidR="005D5113" w:rsidRPr="0098598C" w:rsidRDefault="005D5113" w:rsidP="00F34E97">
      <w:pPr>
        <w:ind w:left="567"/>
      </w:pPr>
    </w:p>
    <w:p w14:paraId="000000AD" w14:textId="3579762C" w:rsidR="005D5113" w:rsidRPr="0098598C" w:rsidRDefault="002776C5" w:rsidP="00F05972">
      <w:pPr>
        <w:pStyle w:val="Heading2"/>
        <w:numPr>
          <w:ilvl w:val="1"/>
          <w:numId w:val="1"/>
        </w:numPr>
        <w:ind w:left="567" w:hanging="567"/>
      </w:pPr>
      <w:r>
        <w:lastRenderedPageBreak/>
        <w:t>Las asociaciones deben incluir salvaguardias sólidas en materia de gobernanza. Los acuerdos deben incluir parámetros de referencia mensurables, requisitos de transparencia y cláusulas de suspensión para los casos de daños medioambientales graves, financiación del terrorismo, blanqueo de capitales, corrupción o violaciones de los derechos laborales. La designación de un proyecto como estratégico no debe eximirlo de los mecanismos de rendición de cuentas, y los memorandos de entendimiento y las hojas de ruta deben ser públicos. También debe prestarse atención a los riesgos de corrupción, la transparencia en relación con los ingresos, el reparto equitativo de los beneficios, la documentación y las hojas de ruta, la información sobre la titularidad real y la armonización con las iniciativas internacionales, a fin de evitar que los ingresos procedentes de los recursos alimenten la inestabilidad o la captación de élites. La respuesta de la UE a la competencia geopolítica no debe reproducir las políticas de poder basadas en la extracción de recursos, ya que la autonomía estratégica debe basarse en normas previsibles y asociaciones justas. Por lo tanto, al incluir el principio de consentimiento libre, previo e informado (Convenio 169 de la OIT), las asociaciones deben garantizar que los pueblos indígenas afectados, cuando proceda, tengan un poder de decisión significativo sobre los proyectos que afecten a sus territorios.</w:t>
      </w:r>
    </w:p>
    <w:p w14:paraId="000000AE" w14:textId="77777777" w:rsidR="005D5113" w:rsidRPr="0098598C" w:rsidRDefault="005D5113" w:rsidP="0074642E">
      <w:pPr>
        <w:ind w:left="567"/>
      </w:pPr>
    </w:p>
    <w:p w14:paraId="000000AF" w14:textId="77777777" w:rsidR="005D5113" w:rsidRPr="0098598C" w:rsidRDefault="002776C5" w:rsidP="00F34E97">
      <w:pPr>
        <w:pStyle w:val="Heading2"/>
        <w:numPr>
          <w:ilvl w:val="1"/>
          <w:numId w:val="1"/>
        </w:numPr>
        <w:ind w:left="567" w:hanging="567"/>
        <w:rPr>
          <w:b/>
          <w:bCs/>
        </w:rPr>
      </w:pPr>
      <w:r>
        <w:t>A la hora de firmar acuerdos de libre comercio, debe alcanzarse un equilibrio adecuado entre la diversificación de los suministros procedentes del extranjero y el fomento de las capacidades autóctonas. El tratamiento arancelario preferencial para las materias primas fundamentales producidas a escala en terceros países (en particular, el acceso con arancel cero) debe evaluarse detenidamente cuando exista el riesgo de que ello socave los incentivos para invertir en la capacidad de producción y reciclado en la UE. Por lo tanto, la política comercial debe promover la diversificación sin exacerbar la fuga de carbono ni aumentar la dependencia de proveedores externos.</w:t>
      </w:r>
    </w:p>
    <w:p w14:paraId="000000B0" w14:textId="77777777" w:rsidR="005D5113" w:rsidRPr="0098598C" w:rsidRDefault="005D5113" w:rsidP="0074642E">
      <w:pPr>
        <w:ind w:left="567"/>
      </w:pPr>
    </w:p>
    <w:p w14:paraId="000000B2" w14:textId="0ACA7637" w:rsidR="005D5113" w:rsidRPr="0098598C" w:rsidRDefault="002776C5" w:rsidP="0074642E">
      <w:pPr>
        <w:pStyle w:val="Heading2"/>
        <w:numPr>
          <w:ilvl w:val="1"/>
          <w:numId w:val="1"/>
        </w:numPr>
        <w:ind w:left="567" w:hanging="567"/>
      </w:pPr>
      <w:r>
        <w:t>Por último, las asociaciones también deben reflejar las prioridades de los países socios y apoyar el desarrollo económico local mediante la inversión, la transferencia de capacidades y la creación de valor sostenible, respetando al mismo tiempo los límites medioambientales, los derechos sociales y el consentimiento de la comunidad. Asimismo, deben evitar reproducir dependencias extractivas o externalizar los costes medioambientales y sociales. Para que sean creíbles, los acuerdos de asociación y los instrumentos conexos deben incluir derechos laborales explícitos y disposiciones de diligencia debida ejecutables, con un seguimiento, transparencia y vías de recurso cuando se produzcan daños, en lugar de basarse en disposiciones voluntarias.</w:t>
      </w:r>
    </w:p>
    <w:p w14:paraId="76473B52" w14:textId="77777777" w:rsidR="00022E7C" w:rsidRDefault="00022E7C" w:rsidP="0074642E">
      <w:pPr>
        <w:ind w:left="567"/>
        <w:jc w:val="center"/>
      </w:pPr>
    </w:p>
    <w:p w14:paraId="18A2495D" w14:textId="11350EF8" w:rsidR="00287F85" w:rsidRDefault="00287F85" w:rsidP="00022E7C">
      <w:pPr>
        <w:tabs>
          <w:tab w:val="left" w:pos="142"/>
        </w:tabs>
      </w:pPr>
      <w:r>
        <w:t>Bruselas, 20 de mayo de 2026.</w:t>
      </w:r>
    </w:p>
    <w:p w14:paraId="24E543B0" w14:textId="77777777" w:rsidR="00287F85" w:rsidRDefault="00287F85" w:rsidP="00287F85"/>
    <w:p w14:paraId="0A6274AF" w14:textId="77777777" w:rsidR="00287F85" w:rsidRDefault="00287F85" w:rsidP="00287F85"/>
    <w:p w14:paraId="7E230475" w14:textId="0A61256C" w:rsidR="00287F85" w:rsidRDefault="00287F85" w:rsidP="00022E7C">
      <w:pPr>
        <w:tabs>
          <w:tab w:val="left" w:pos="142"/>
        </w:tabs>
        <w:rPr>
          <w:i/>
          <w:iCs/>
        </w:rPr>
      </w:pPr>
      <w:r>
        <w:rPr>
          <w:i/>
        </w:rPr>
        <w:t>El Presidente de la Comisión Consultiva de las Transformaciones Industriales</w:t>
      </w:r>
    </w:p>
    <w:p w14:paraId="254E9C5C" w14:textId="37678330" w:rsidR="00022E7C" w:rsidRDefault="00287F85" w:rsidP="002F4D01">
      <w:pPr>
        <w:jc w:val="left"/>
      </w:pPr>
      <w:r>
        <w:t>Alain COHEUR</w:t>
      </w:r>
    </w:p>
    <w:p w14:paraId="7FD71061" w14:textId="77777777" w:rsidR="0097324A" w:rsidRDefault="0097324A" w:rsidP="002F4D01">
      <w:pPr>
        <w:overflowPunct w:val="0"/>
        <w:autoSpaceDE w:val="0"/>
        <w:autoSpaceDN w:val="0"/>
        <w:adjustRightInd w:val="0"/>
        <w:jc w:val="center"/>
        <w:textAlignment w:val="baseline"/>
      </w:pPr>
    </w:p>
    <w:p w14:paraId="7A53CE54" w14:textId="61A130B9" w:rsidR="00022E7C" w:rsidRPr="0098598C" w:rsidRDefault="00022E7C" w:rsidP="002F4D01">
      <w:pPr>
        <w:overflowPunct w:val="0"/>
        <w:autoSpaceDE w:val="0"/>
        <w:autoSpaceDN w:val="0"/>
        <w:adjustRightInd w:val="0"/>
        <w:jc w:val="center"/>
        <w:textAlignment w:val="baseline"/>
      </w:pPr>
      <w:r>
        <w:t>_____________</w:t>
      </w:r>
    </w:p>
    <w:sectPr w:rsidR="00022E7C" w:rsidRPr="0098598C" w:rsidSect="00131E9C">
      <w:headerReference w:type="even" r:id="rId19"/>
      <w:headerReference w:type="default" r:id="rId20"/>
      <w:footerReference w:type="even" r:id="rId21"/>
      <w:footerReference w:type="default" r:id="rId22"/>
      <w:headerReference w:type="first" r:id="rId23"/>
      <w:footerReference w:type="first" r:id="rId24"/>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271A" w14:textId="77777777" w:rsidR="00014320" w:rsidRDefault="00014320">
      <w:pPr>
        <w:spacing w:line="240" w:lineRule="auto"/>
      </w:pPr>
      <w:r>
        <w:separator/>
      </w:r>
    </w:p>
  </w:endnote>
  <w:endnote w:type="continuationSeparator" w:id="0">
    <w:p w14:paraId="4D9F5314" w14:textId="77777777" w:rsidR="00014320" w:rsidRDefault="00014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2DE" w14:textId="77777777" w:rsidR="00535399" w:rsidRPr="00131E9C" w:rsidRDefault="00535399" w:rsidP="0013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0A477EA"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rsidR="00366DD9">
      <w:t>1</w:t>
    </w:r>
    <w:r>
      <w:fldChar w:fldCharType="end"/>
    </w:r>
    <w:r>
      <w:t>/</w:t>
    </w:r>
    <w:fldSimple w:instr=" NUMPAGES ">
      <w:r w:rsidR="00366DD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6B7F" w14:textId="77777777" w:rsidR="00535399" w:rsidRPr="00131E9C" w:rsidRDefault="00535399" w:rsidP="00131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5D5113" w:rsidRPr="00131E9C" w:rsidRDefault="005D5113" w:rsidP="00131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38147BDB"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5D5113" w:rsidRPr="00131E9C" w:rsidRDefault="005D5113" w:rsidP="0013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C1D1" w14:textId="77777777" w:rsidR="00014320" w:rsidRDefault="00014320">
      <w:pPr>
        <w:spacing w:line="240" w:lineRule="auto"/>
      </w:pPr>
      <w:r>
        <w:separator/>
      </w:r>
    </w:p>
  </w:footnote>
  <w:footnote w:type="continuationSeparator" w:id="0">
    <w:p w14:paraId="2344F045" w14:textId="77777777" w:rsidR="00014320" w:rsidRDefault="00014320">
      <w:pPr>
        <w:spacing w:line="240" w:lineRule="auto"/>
      </w:pPr>
      <w:r>
        <w:continuationSeparator/>
      </w:r>
    </w:p>
  </w:footnote>
  <w:footnote w:id="1">
    <w:p w14:paraId="000000B5" w14:textId="59850336" w:rsidR="005D5113" w:rsidRDefault="002776C5">
      <w:pPr>
        <w:keepLines/>
        <w:spacing w:after="60" w:line="240" w:lineRule="auto"/>
        <w:ind w:left="567" w:hanging="567"/>
        <w:rPr>
          <w:color w:val="000000"/>
          <w:sz w:val="16"/>
          <w:szCs w:val="16"/>
        </w:rPr>
      </w:pPr>
      <w:r>
        <w:rPr>
          <w:rStyle w:val="FootnoteReference"/>
        </w:rPr>
        <w:footnoteRef/>
      </w:r>
      <w:r>
        <w:tab/>
      </w:r>
      <w:r>
        <w:rPr>
          <w:color w:val="000000"/>
          <w:sz w:val="16"/>
        </w:rPr>
        <w:t>En la práctica, el efecto acumulativo de estas condiciones es que las industrias de gran consumo de energía que ya reciben una compensación de los costes indirectos del RCDE quedan efectivamente excluidas del beneficio de esta reducción de los precios de la electricidad. El límite máximo de consumo y precio subvencionables, junto con las estrictas normas de asignación de inversiones y de no acumulación, implica que las empresas que alcancen la máxima compensación permitida de los costes indirectos no pueden acceder a una reducción adicional.</w:t>
      </w:r>
    </w:p>
  </w:footnote>
  <w:footnote w:id="2">
    <w:p w14:paraId="000000B8" w14:textId="5ED90981" w:rsidR="005D5113" w:rsidRDefault="002776C5" w:rsidP="00470E7F">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tab/>
      </w:r>
      <w:r>
        <w:rPr>
          <w:color w:val="000000"/>
          <w:sz w:val="16"/>
        </w:rPr>
        <w:t xml:space="preserve">El mismo BEI (conocido como el Banco del Clima de la UE) informó a principios de 2025 de que solo cumple la taxonomía de la UE en un 1 %, lo que pone de relieve la excesiva complejidad e inviabilidad de la misma. (Fuente: </w:t>
      </w:r>
      <w:hyperlink r:id="rId1">
        <w:r>
          <w:rPr>
            <w:i/>
            <w:color w:val="0000FF"/>
            <w:sz w:val="16"/>
            <w:u w:val="single"/>
          </w:rPr>
          <w:t>Financ</w:t>
        </w:r>
        <w:r>
          <w:rPr>
            <w:i/>
            <w:color w:val="0000FF"/>
            <w:sz w:val="16"/>
            <w:u w:val="single"/>
          </w:rPr>
          <w:t>i</w:t>
        </w:r>
        <w:r>
          <w:rPr>
            <w:i/>
            <w:color w:val="0000FF"/>
            <w:sz w:val="16"/>
            <w:u w:val="single"/>
          </w:rPr>
          <w:t>al Times</w:t>
        </w:r>
      </w:hyperlink>
      <w:r>
        <w:rPr>
          <w:color w:val="000000"/>
          <w:sz w:val="16"/>
        </w:rPr>
        <w:t>).</w:t>
      </w:r>
    </w:p>
  </w:footnote>
  <w:footnote w:id="3">
    <w:p w14:paraId="000000BA" w14:textId="474E805D" w:rsidR="005D5113" w:rsidRDefault="002776C5" w:rsidP="0097324A">
      <w:pPr>
        <w:keepLines/>
        <w:spacing w:after="60" w:line="240" w:lineRule="auto"/>
        <w:ind w:left="567" w:hanging="567"/>
        <w:rPr>
          <w:color w:val="000000"/>
          <w:sz w:val="16"/>
          <w:szCs w:val="16"/>
        </w:rPr>
      </w:pPr>
      <w:r>
        <w:rPr>
          <w:rStyle w:val="FootnoteReference"/>
        </w:rPr>
        <w:footnoteRef/>
      </w:r>
      <w:r>
        <w:tab/>
      </w:r>
      <w:r>
        <w:rPr>
          <w:color w:val="000000"/>
          <w:sz w:val="16"/>
        </w:rPr>
        <w:t>El CESE señala que un único proyecto de inversión en galio en la UE, una vez completado, podría cubrir hasta el 100 % de la demanda de la UE, lo que reforzaría considerablemente la seguridad del suministro para cadenas clave de valor industriales y de defensa.</w:t>
      </w:r>
    </w:p>
  </w:footnote>
  <w:footnote w:id="4">
    <w:p w14:paraId="000000BB" w14:textId="299F5C35" w:rsidR="005D5113" w:rsidRDefault="002776C5">
      <w:pPr>
        <w:keepLines/>
        <w:spacing w:after="60" w:line="240" w:lineRule="auto"/>
        <w:ind w:left="567" w:hanging="567"/>
        <w:rPr>
          <w:color w:val="000000"/>
          <w:sz w:val="16"/>
          <w:szCs w:val="16"/>
        </w:rPr>
      </w:pPr>
      <w:r>
        <w:rPr>
          <w:rStyle w:val="FootnoteReference"/>
        </w:rPr>
        <w:footnoteRef/>
      </w:r>
      <w:r>
        <w:tab/>
      </w:r>
      <w:r>
        <w:rPr>
          <w:color w:val="000000"/>
          <w:sz w:val="16"/>
        </w:rPr>
        <w:t xml:space="preserve">A finales de 2025, Estados Unidos consiguió que su Corporación Financiera para el Desarrollo se comprometiera a aportar hasta 465 millones USD para respaldar la expansión de un proyecto brasileño de tierras raras, adelantándose apenas unos días a los funcionarios de la UE que también tenían previsto participar en la misma oportunidad de suministro. (Fuente: </w:t>
      </w:r>
      <w:hyperlink r:id="rId2">
        <w:r>
          <w:rPr>
            <w:color w:val="0000FF"/>
            <w:sz w:val="16"/>
            <w:u w:val="single"/>
          </w:rPr>
          <w:t>enlac</w:t>
        </w:r>
        <w:r>
          <w:rPr>
            <w:color w:val="0000FF"/>
            <w:sz w:val="16"/>
            <w:u w:val="single"/>
          </w:rPr>
          <w:t>e</w:t>
        </w:r>
      </w:hyperlink>
      <w:r>
        <w:rPr>
          <w:color w:val="00000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4569" w14:textId="77777777" w:rsidR="00535399" w:rsidRPr="00131E9C" w:rsidRDefault="00535399" w:rsidP="0013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152E" w14:textId="34BF055F" w:rsidR="00535399" w:rsidRPr="00131E9C" w:rsidRDefault="00535399" w:rsidP="0013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13EF" w14:textId="77777777" w:rsidR="00535399" w:rsidRPr="00131E9C" w:rsidRDefault="00535399" w:rsidP="00131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77777777" w:rsidR="005D5113" w:rsidRPr="00131E9C" w:rsidRDefault="005D5113" w:rsidP="00131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2254B6BA" w:rsidR="005D5113" w:rsidRPr="00131E9C" w:rsidRDefault="005D5113" w:rsidP="00131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5D5113" w:rsidRPr="00131E9C" w:rsidRDefault="005D5113" w:rsidP="0013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463893"/>
    <w:multiLevelType w:val="multilevel"/>
    <w:tmpl w:val="1FBE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1127A"/>
    <w:multiLevelType w:val="multilevel"/>
    <w:tmpl w:val="B1269CF4"/>
    <w:lvl w:ilvl="0">
      <w:start w:val="1"/>
      <w:numFmt w:val="decimal"/>
      <w:lvlText w:val="%1."/>
      <w:lvlJc w:val="left"/>
      <w:pPr>
        <w:ind w:left="0" w:firstLine="0"/>
      </w:pPr>
      <w:rPr>
        <w:b w:val="0"/>
        <w:bCs w:val="0"/>
      </w:rPr>
    </w:lvl>
    <w:lvl w:ilvl="1">
      <w:start w:val="1"/>
      <w:numFmt w:val="decimal"/>
      <w:lvlText w:val="%1.%2"/>
      <w:lvlJc w:val="left"/>
      <w:pPr>
        <w:ind w:left="0" w:firstLine="0"/>
      </w:pPr>
      <w:rPr>
        <w:b w:val="0"/>
        <w:bCs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3F2D66"/>
    <w:multiLevelType w:val="hybridMultilevel"/>
    <w:tmpl w:val="B0D208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04877255">
    <w:abstractNumId w:val="2"/>
  </w:num>
  <w:num w:numId="2" w16cid:durableId="80568460">
    <w:abstractNumId w:val="1"/>
  </w:num>
  <w:num w:numId="3" w16cid:durableId="1682394356">
    <w:abstractNumId w:val="3"/>
  </w:num>
  <w:num w:numId="4" w16cid:durableId="110946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3"/>
    <w:rsid w:val="00014320"/>
    <w:rsid w:val="00022E7C"/>
    <w:rsid w:val="000234EF"/>
    <w:rsid w:val="000316A4"/>
    <w:rsid w:val="000647C4"/>
    <w:rsid w:val="00097868"/>
    <w:rsid w:val="000C6526"/>
    <w:rsid w:val="00131E9C"/>
    <w:rsid w:val="00163874"/>
    <w:rsid w:val="001A17E8"/>
    <w:rsid w:val="001B0A92"/>
    <w:rsid w:val="00203935"/>
    <w:rsid w:val="00207100"/>
    <w:rsid w:val="00220241"/>
    <w:rsid w:val="00222467"/>
    <w:rsid w:val="002531AC"/>
    <w:rsid w:val="00253A4D"/>
    <w:rsid w:val="002776C5"/>
    <w:rsid w:val="00287F85"/>
    <w:rsid w:val="002C60A9"/>
    <w:rsid w:val="002F4D01"/>
    <w:rsid w:val="0033606E"/>
    <w:rsid w:val="00352E92"/>
    <w:rsid w:val="00366DD9"/>
    <w:rsid w:val="003A4D7D"/>
    <w:rsid w:val="003F7699"/>
    <w:rsid w:val="004622F2"/>
    <w:rsid w:val="00470E7F"/>
    <w:rsid w:val="00480EB6"/>
    <w:rsid w:val="004913D0"/>
    <w:rsid w:val="004C6AC5"/>
    <w:rsid w:val="004F29A3"/>
    <w:rsid w:val="00510E14"/>
    <w:rsid w:val="005131E9"/>
    <w:rsid w:val="00535399"/>
    <w:rsid w:val="00555C14"/>
    <w:rsid w:val="005820C5"/>
    <w:rsid w:val="005910E7"/>
    <w:rsid w:val="005B7F88"/>
    <w:rsid w:val="005C5236"/>
    <w:rsid w:val="005D5113"/>
    <w:rsid w:val="005F01A8"/>
    <w:rsid w:val="00665A23"/>
    <w:rsid w:val="006D2380"/>
    <w:rsid w:val="00735155"/>
    <w:rsid w:val="0074642E"/>
    <w:rsid w:val="00775540"/>
    <w:rsid w:val="00781846"/>
    <w:rsid w:val="007A59A1"/>
    <w:rsid w:val="007F41E4"/>
    <w:rsid w:val="0080201E"/>
    <w:rsid w:val="00844C36"/>
    <w:rsid w:val="00867044"/>
    <w:rsid w:val="008A514E"/>
    <w:rsid w:val="008B332C"/>
    <w:rsid w:val="008D59E9"/>
    <w:rsid w:val="008E13D6"/>
    <w:rsid w:val="008F35A8"/>
    <w:rsid w:val="008F44C4"/>
    <w:rsid w:val="008F5E24"/>
    <w:rsid w:val="00924D4D"/>
    <w:rsid w:val="00925C2A"/>
    <w:rsid w:val="00940078"/>
    <w:rsid w:val="0097324A"/>
    <w:rsid w:val="0098598C"/>
    <w:rsid w:val="00997578"/>
    <w:rsid w:val="009A5A03"/>
    <w:rsid w:val="009D1717"/>
    <w:rsid w:val="009E397D"/>
    <w:rsid w:val="009E6B47"/>
    <w:rsid w:val="00AB0B7A"/>
    <w:rsid w:val="00AE4411"/>
    <w:rsid w:val="00AE506F"/>
    <w:rsid w:val="00B03123"/>
    <w:rsid w:val="00B25572"/>
    <w:rsid w:val="00BB11DC"/>
    <w:rsid w:val="00BC6555"/>
    <w:rsid w:val="00C50BBB"/>
    <w:rsid w:val="00C67C89"/>
    <w:rsid w:val="00CE47A1"/>
    <w:rsid w:val="00D13955"/>
    <w:rsid w:val="00D16F2F"/>
    <w:rsid w:val="00D303ED"/>
    <w:rsid w:val="00D31B1D"/>
    <w:rsid w:val="00D75726"/>
    <w:rsid w:val="00E03EDC"/>
    <w:rsid w:val="00E11CF5"/>
    <w:rsid w:val="00E23B84"/>
    <w:rsid w:val="00E42876"/>
    <w:rsid w:val="00E55978"/>
    <w:rsid w:val="00EF34AE"/>
    <w:rsid w:val="00F05972"/>
    <w:rsid w:val="00F107F5"/>
    <w:rsid w:val="00F34E97"/>
    <w:rsid w:val="00F61A6D"/>
    <w:rsid w:val="00F816E9"/>
    <w:rsid w:val="00F90D13"/>
    <w:rsid w:val="00FD016F"/>
    <w:rsid w:val="00FD0BC5"/>
    <w:rsid w:val="00FE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fr-BE"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6D"/>
    <w:rPr>
      <w:lang w:eastAsia="en-US"/>
    </w:rPr>
  </w:style>
  <w:style w:type="paragraph" w:styleId="Heading1">
    <w:name w:val="heading 1"/>
    <w:basedOn w:val="Normal"/>
    <w:next w:val="Normal"/>
    <w:link w:val="Heading1Char"/>
    <w:qFormat/>
    <w:rsid w:val="00F61A6D"/>
    <w:pPr>
      <w:numPr>
        <w:numId w:val="4"/>
      </w:numPr>
      <w:ind w:left="567" w:hanging="567"/>
      <w:outlineLvl w:val="0"/>
    </w:pPr>
    <w:rPr>
      <w:kern w:val="28"/>
    </w:rPr>
  </w:style>
  <w:style w:type="paragraph" w:styleId="Heading2">
    <w:name w:val="heading 2"/>
    <w:basedOn w:val="Normal"/>
    <w:next w:val="Normal"/>
    <w:link w:val="Heading2Char"/>
    <w:qFormat/>
    <w:rsid w:val="00F61A6D"/>
    <w:pPr>
      <w:numPr>
        <w:ilvl w:val="1"/>
        <w:numId w:val="4"/>
      </w:numPr>
      <w:ind w:left="567" w:hanging="567"/>
      <w:outlineLvl w:val="1"/>
    </w:pPr>
  </w:style>
  <w:style w:type="paragraph" w:styleId="Heading3">
    <w:name w:val="heading 3"/>
    <w:basedOn w:val="Normal"/>
    <w:next w:val="Normal"/>
    <w:link w:val="Heading3Char"/>
    <w:qFormat/>
    <w:rsid w:val="00F61A6D"/>
    <w:pPr>
      <w:numPr>
        <w:ilvl w:val="2"/>
        <w:numId w:val="4"/>
      </w:numPr>
      <w:ind w:left="567" w:hanging="567"/>
      <w:outlineLvl w:val="2"/>
    </w:pPr>
  </w:style>
  <w:style w:type="paragraph" w:styleId="Heading4">
    <w:name w:val="heading 4"/>
    <w:basedOn w:val="Normal"/>
    <w:next w:val="Normal"/>
    <w:link w:val="Heading4Char"/>
    <w:qFormat/>
    <w:rsid w:val="00F61A6D"/>
    <w:pPr>
      <w:numPr>
        <w:ilvl w:val="3"/>
        <w:numId w:val="4"/>
      </w:numPr>
      <w:ind w:left="567" w:hanging="567"/>
      <w:outlineLvl w:val="3"/>
    </w:pPr>
  </w:style>
  <w:style w:type="paragraph" w:styleId="Heading5">
    <w:name w:val="heading 5"/>
    <w:basedOn w:val="Normal"/>
    <w:next w:val="Normal"/>
    <w:link w:val="Heading5Char"/>
    <w:qFormat/>
    <w:rsid w:val="00F61A6D"/>
    <w:pPr>
      <w:numPr>
        <w:ilvl w:val="4"/>
        <w:numId w:val="4"/>
      </w:numPr>
      <w:ind w:left="567" w:hanging="567"/>
      <w:outlineLvl w:val="4"/>
    </w:pPr>
  </w:style>
  <w:style w:type="paragraph" w:styleId="Heading6">
    <w:name w:val="heading 6"/>
    <w:basedOn w:val="Normal"/>
    <w:next w:val="Normal"/>
    <w:link w:val="Heading6Char"/>
    <w:qFormat/>
    <w:rsid w:val="00F61A6D"/>
    <w:pPr>
      <w:numPr>
        <w:ilvl w:val="5"/>
        <w:numId w:val="4"/>
      </w:numPr>
      <w:ind w:left="567" w:hanging="567"/>
      <w:outlineLvl w:val="5"/>
    </w:pPr>
  </w:style>
  <w:style w:type="paragraph" w:styleId="Heading7">
    <w:name w:val="heading 7"/>
    <w:basedOn w:val="Normal"/>
    <w:next w:val="Normal"/>
    <w:link w:val="Heading7Char"/>
    <w:qFormat/>
    <w:rsid w:val="00F61A6D"/>
    <w:pPr>
      <w:numPr>
        <w:ilvl w:val="6"/>
        <w:numId w:val="4"/>
      </w:numPr>
      <w:ind w:left="567" w:hanging="567"/>
      <w:outlineLvl w:val="6"/>
    </w:pPr>
  </w:style>
  <w:style w:type="paragraph" w:styleId="Heading8">
    <w:name w:val="heading 8"/>
    <w:basedOn w:val="Normal"/>
    <w:next w:val="Normal"/>
    <w:link w:val="Heading8Char"/>
    <w:qFormat/>
    <w:rsid w:val="00F61A6D"/>
    <w:pPr>
      <w:numPr>
        <w:ilvl w:val="7"/>
        <w:numId w:val="4"/>
      </w:numPr>
      <w:ind w:left="567" w:hanging="567"/>
      <w:outlineLvl w:val="7"/>
    </w:pPr>
  </w:style>
  <w:style w:type="paragraph" w:styleId="Heading9">
    <w:name w:val="heading 9"/>
    <w:basedOn w:val="Normal"/>
    <w:next w:val="Normal"/>
    <w:link w:val="Heading9Char"/>
    <w:qFormat/>
    <w:rsid w:val="00F61A6D"/>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n-US"/>
    </w:rPr>
  </w:style>
  <w:style w:type="character" w:customStyle="1" w:styleId="Heading2Char">
    <w:name w:val="Heading 2 Char"/>
    <w:basedOn w:val="DefaultParagraphFont"/>
    <w:link w:val="Heading2"/>
    <w:locked/>
    <w:rsid w:val="00CB1536"/>
    <w:rPr>
      <w:lang w:val="es-ES" w:eastAsia="en-US"/>
    </w:rPr>
  </w:style>
  <w:style w:type="character" w:customStyle="1" w:styleId="Heading3Char">
    <w:name w:val="Heading 3 Char"/>
    <w:basedOn w:val="DefaultParagraphFont"/>
    <w:link w:val="Heading3"/>
    <w:locked/>
    <w:rsid w:val="00CB1536"/>
    <w:rPr>
      <w:lang w:val="es-ES" w:eastAsia="en-US"/>
    </w:rPr>
  </w:style>
  <w:style w:type="character" w:customStyle="1" w:styleId="Heading4Char">
    <w:name w:val="Heading 4 Char"/>
    <w:basedOn w:val="DefaultParagraphFont"/>
    <w:link w:val="Heading4"/>
    <w:locked/>
    <w:rsid w:val="00CB1536"/>
    <w:rPr>
      <w:lang w:val="es-ES" w:eastAsia="en-US"/>
    </w:rPr>
  </w:style>
  <w:style w:type="character" w:customStyle="1" w:styleId="Heading5Char">
    <w:name w:val="Heading 5 Char"/>
    <w:basedOn w:val="DefaultParagraphFont"/>
    <w:link w:val="Heading5"/>
    <w:locked/>
    <w:rsid w:val="00CB1536"/>
    <w:rPr>
      <w:lang w:val="es-ES" w:eastAsia="en-US"/>
    </w:rPr>
  </w:style>
  <w:style w:type="character" w:customStyle="1" w:styleId="Heading6Char">
    <w:name w:val="Heading 6 Char"/>
    <w:basedOn w:val="DefaultParagraphFont"/>
    <w:link w:val="Heading6"/>
    <w:locked/>
    <w:rsid w:val="00CB1536"/>
    <w:rPr>
      <w:lang w:val="es-ES" w:eastAsia="en-US"/>
    </w:rPr>
  </w:style>
  <w:style w:type="character" w:customStyle="1" w:styleId="Heading7Char">
    <w:name w:val="Heading 7 Char"/>
    <w:basedOn w:val="DefaultParagraphFont"/>
    <w:link w:val="Heading7"/>
    <w:locked/>
    <w:rsid w:val="00CB1536"/>
    <w:rPr>
      <w:lang w:val="es-ES" w:eastAsia="en-US"/>
    </w:rPr>
  </w:style>
  <w:style w:type="character" w:customStyle="1" w:styleId="Heading8Char">
    <w:name w:val="Heading 8 Char"/>
    <w:basedOn w:val="DefaultParagraphFont"/>
    <w:link w:val="Heading8"/>
    <w:locked/>
    <w:rsid w:val="00CB1536"/>
    <w:rPr>
      <w:lang w:val="es-ES" w:eastAsia="en-US"/>
    </w:rPr>
  </w:style>
  <w:style w:type="character" w:customStyle="1" w:styleId="Heading9Char">
    <w:name w:val="Heading 9 Char"/>
    <w:basedOn w:val="DefaultParagraphFont"/>
    <w:link w:val="Heading9"/>
    <w:locked/>
    <w:rsid w:val="00CB1536"/>
    <w:rPr>
      <w:lang w:val="es-ES" w:eastAsia="en-US"/>
    </w:rPr>
  </w:style>
  <w:style w:type="paragraph" w:styleId="Footer">
    <w:name w:val="footer"/>
    <w:basedOn w:val="Normal"/>
    <w:link w:val="FooterChar"/>
    <w:qFormat/>
    <w:rsid w:val="00F61A6D"/>
  </w:style>
  <w:style w:type="character" w:customStyle="1" w:styleId="FooterChar">
    <w:name w:val="Footer Char"/>
    <w:basedOn w:val="DefaultParagraphFont"/>
    <w:link w:val="Footer"/>
    <w:locked/>
    <w:rsid w:val="00CB1536"/>
    <w:rPr>
      <w:lang w:val="es-ES" w:eastAsia="en-US"/>
    </w:rPr>
  </w:style>
  <w:style w:type="paragraph" w:styleId="FootnoteText">
    <w:name w:val="footnote text"/>
    <w:basedOn w:val="Normal"/>
    <w:link w:val="FootnoteTextChar"/>
    <w:qFormat/>
    <w:rsid w:val="00F61A6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n-US"/>
    </w:rPr>
  </w:style>
  <w:style w:type="paragraph" w:styleId="Header">
    <w:name w:val="header"/>
    <w:basedOn w:val="Normal"/>
    <w:link w:val="HeaderChar"/>
    <w:qFormat/>
    <w:rsid w:val="00F61A6D"/>
  </w:style>
  <w:style w:type="character" w:customStyle="1" w:styleId="HeaderChar">
    <w:name w:val="Header Char"/>
    <w:basedOn w:val="DefaultParagraphFont"/>
    <w:link w:val="Header"/>
    <w:locked/>
    <w:rsid w:val="00CB1536"/>
    <w:rPr>
      <w:lang w:val="es-ES"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61A6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61A6D"/>
    <w:pPr>
      <w:ind w:left="720"/>
    </w:pPr>
    <w:rPr>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59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am.Dorywalski@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thedeepdive.ca/us-beats-eu-to-brazilian-rare-earth-deal-with-465-million-commitment/" TargetMode="External"/><Relationship Id="rId1" Type="http://schemas.openxmlformats.org/officeDocument/2006/relationships/hyperlink" Target="https://www.ft.com/content/12399810-a782-465b-8378-5099252306a5?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VP3JK3XSEPRV-2087481956-9326</_dlc_DocId>
    <_dlc_DocIdUrl xmlns="7d640e6d-779c-472f-a269-6b546787f1c9">
      <Url>http://dm/eesc/2026/_layouts/15/DocIdRedir.aspx?ID=VP3JK3XSEPRV-2087481956-9326</Url>
      <Description>VP3JK3XSEPRV-2087481956-9326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2026-05-27T12:00:00+00:00</ProductionDate>
    <DocumentNumber xmlns="a95533f8-59af-4217-bc7a-c1167744adb0">431</DocumentNumber>
    <FicheYear xmlns="7d640e6d-779c-472f-a269-6b546787f1c9" xsi:nil="true"/>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60</Value>
      <Value>59</Value>
      <Value>55</Value>
      <Value>53</Value>
      <Value>51</Value>
      <Value>47</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303588</FicheNumber>
    <OriginalSender xmlns="7d640e6d-779c-472f-a269-6b546787f1c9">
      <UserInfo>
        <DisplayName>Piedra Molina Graciela</DisplayName>
        <AccountId>1621</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FC6AE3F6-A2F7-42F6-AB00-0CD22F4042E8}">
  <ds:schemaRefs>
    <ds:schemaRef ds:uri="http://schemas.microsoft.com/sharepoint/v3/contenttype/forms"/>
  </ds:schemaRefs>
</ds:datastoreItem>
</file>

<file path=customXml/itemProps2.xml><?xml version="1.0" encoding="utf-8"?>
<ds:datastoreItem xmlns:ds="http://schemas.openxmlformats.org/officeDocument/2006/customXml" ds:itemID="{8647AC21-5F14-4D64-8BE7-6E3E946FB4DE}">
  <ds:schemaRefs>
    <ds:schemaRef ds:uri="http://schemas.microsoft.com/sharepoint/events"/>
  </ds:schemaRefs>
</ds:datastoreItem>
</file>

<file path=customXml/itemProps3.xml><?xml version="1.0" encoding="utf-8"?>
<ds:datastoreItem xmlns:ds="http://schemas.openxmlformats.org/officeDocument/2006/customXml" ds:itemID="{92F320BD-AA58-4D84-9C32-E9D32B3044A6}"/>
</file>

<file path=customXml/itemProps4.xml><?xml version="1.0" encoding="utf-8"?>
<ds:datastoreItem xmlns:ds="http://schemas.openxmlformats.org/officeDocument/2006/customXml" ds:itemID="{F3F457AB-1AFD-49D4-AA71-DF0CCACFA9D9}">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Acción RESourceEU</dc:title>
  <dc:subject>Draft opinion</dc:subject>
  <dc:creator/>
  <cp:keywords>EESC-2026-00431-00-00-PA-TRA-EN</cp:keywords>
  <dc:description>Rapporteur: - DIAMANTOUROS &amp; MEYSNER Original language: - EN Date of document: - 04/05/2026 Date of meeting: - 20/05/2026 External documents: - COM(2025)945- final Administrator responsible: -  DORYWALSKI ADAM</dc:description>
  <cp:lastModifiedBy/>
  <cp:revision>7</cp:revision>
  <dcterms:created xsi:type="dcterms:W3CDTF">2026-05-22T13:56:00Z</dcterms:created>
  <dcterms:modified xsi:type="dcterms:W3CDTF">2026-05-27T12:06:00Z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22/05/2026, 04/05/2026, 13/02/2026, 12/04/2024, 17/05/2022, 04/11/2015, 27/10/2015, 19/10/2015, 09/10/2015, 05/10/2015, 05/10/2015, 26/08/2015, 26/08/2015, 25/08/2015</vt:lpwstr>
  </property>
  <property fmtid="{D5CDD505-2E9C-101B-9397-08002B2CF9AE}" pid="4" name="Pref_Time">
    <vt:lpwstr>15:54:44, 15:16:52, 10:10:24, 12:08:09, 12:59:17, 12/10/07, 14:44:02, 16/04/16, 14:09:30, 16:24:55, 16:04:02, 08:56:14, 07:27:56, 17:31:53</vt:lpwstr>
  </property>
  <property fmtid="{D5CDD505-2E9C-101B-9397-08002B2CF9AE}" pid="5" name="Pref_User">
    <vt:lpwstr>amett, amett, nnas, enied, enied, ssex, enied, amett, tvoc, mreg, mreg, amett, enied, ssex</vt:lpwstr>
  </property>
  <property fmtid="{D5CDD505-2E9C-101B-9397-08002B2CF9AE}" pid="6" name="Pref_FileName">
    <vt:lpwstr>EESC-2026-00431-00-00-AS-TRA-EN-CRR.docx, EESC-2026-00431-00-00-PA-ORI.docx, EESC-2026-00431-00-00-DT-ORI.docx, COR-EESC-2024-01326-00-00-ADMIN-ORI.docx, COR-EESC-2022-02586-00-00-ADMIN-ORI.docx, EESC-2015-05408-00-00-PA-CRR-EN.docx, EESC-2015-05408-00-01</vt:lpwstr>
  </property>
  <property fmtid="{D5CDD505-2E9C-101B-9397-08002B2CF9AE}" pid="7" name="ContentTypeId">
    <vt:lpwstr>0x010100EA97B91038054C99906057A708A1480A0042CFDF3EA65A64469BBC042F89C9AB74</vt:lpwstr>
  </property>
  <property fmtid="{D5CDD505-2E9C-101B-9397-08002B2CF9AE}" pid="8" name="_dlc_DocIdItemGuid">
    <vt:lpwstr>f51ef5a8-a8e2-4cb9-9679-2c507865a97f</vt:lpwstr>
  </property>
  <property fmtid="{D5CDD505-2E9C-101B-9397-08002B2CF9AE}" pid="9" name="AvailableTranslations">
    <vt:lpwstr>25;#FI|87606a43-d45f-42d6-b8c9-e1a3457db5b7;#34;#HR|2f555653-ed1a-4fe6-8362-9082d95989e5;#32;#PL|1e03da61-4678-4e07-b136-b5024ca9197b;#4;#EN|f2175f21-25d7-44a3-96da-d6a61b075e1b;#51;#LV|46f7e311-5d9f-4663-b433-18aeccb7ace7;#45;#SV|c2ed69e7-a339-43d7-8f22-d93680a92aa0;#12;#ES|e7a6b05b-ae16-40c8-add9-68b64b03aeba;#66;#GA|762d2456-c427-4ecb-b312-af3dad8e258c;#29;#CS|72f9705b-0217-4fd3-bea2-cbc7ed80e26e;#60;#EL|6d4f4d51-af9b-4650-94b4-4276bee85c91;#37;#HU|6b229040-c589-4408-b4c1-4285663d20a8;#46;#DA|5d49c027-8956-412b-aa16-e85a0f96ad0e;#28;#PT|50ccc04a-eadd-42ae-a0cb-acaf45f812ba;#36;#NL|55c6556c-b4f4-441d-9acf-c498d4f838bd;#23;#FR|d2afafd3-4c81-4f60-8f52-ee33f2f54ff3;#13;#IT|0774613c-01ed-4e5d-a25d-11d2388de825;#53;#MT|7df99101-6854-4a26-b53a-b88c0da02c26;#30;#SK|46d9fce0-ef79-4f71-b89b-cd6aa82426b8;#55;#RO|feb747a2-64cd-4299-af12-4833ddc30497;#44;#LT|a7ff5ce7-6123-4f68-865a-a57c31810414;#31;#SL|98a412ae-eb01-49e9-ae3d-585a81724cfc;#27;#ET|ff6c3f4c-b02c-4c3c-ab07-2c37995a7a0a;#43;#BG|1a1b3951-7821-4e6a-85f5-5673fc08bd2c;#11;#DE|f6b31e5a-26fa-4935-b661-318e46daf27e</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FI|87606a43-d45f-42d6-b8c9-e1a3457db5b7;HR|2f555653-ed1a-4fe6-8362-9082d95989e5;PL|1e03da61-4678-4e07-b136-b5024ca9197b;EN|f2175f21-25d7-44a3-96da-d6a61b075e1b;LV|46f7e311-5d9f-4663-b433-18aeccb7ace7;SV|c2ed69e7-a339-43d7-8f22-d93680a92aa0;GA|762d2456-c427-4ecb-b312-af3dad8e258c;CS|72f9705b-0217-4fd3-bea2-cbc7ed80e26e;EL|6d4f4d51-af9b-4650-94b4-4276bee85c91;HU|6b229040-c589-4408-b4c1-4285663d20a8;DA|5d49c027-8956-412b-aa16-e85a0f96ad0e;PT|50ccc04a-eadd-42ae-a0cb-acaf45f812ba;NL|55c6556c-b4f4-441d-9acf-c498d4f838bd;FR|d2afafd3-4c81-4f60-8f52-ee33f2f54ff3;IT|0774613c-01ed-4e5d-a25d-11d2388de825;MT|7df99101-6854-4a26-b53a-b88c0da02c26;SK|46d9fce0-ef79-4f71-b89b-cd6aa82426b8;LT|a7ff5ce7-6123-4f68-865a-a57c31810414;SL|98a412ae-eb01-49e9-ae3d-585a81724cfc;BG|1a1b3951-7821-4e6a-85f5-5673fc08bd2c;DE|f6b31e5a-26fa-4935-b661-318e46daf27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43;#BG|1a1b3951-7821-4e6a-85f5-5673fc08bd2c;#66;#GA|762d2456-c427-4ecb-b312-af3dad8e258c;#60;#EL|6d4f4d51-af9b-4650-94b4-4276bee85c91;#59;#SPL-CES|32d8cb1f-c9ec-4365-95c7-8385a18618ac;#53;#MT|7df99101-6854-4a26-b53a-b88c0da02c26;#51;#LV|46f7e311-5d9f-4663-b433-18aeccb7ace7;#47;#CCMI|3451ec22-e6ff-42b3-8610-379fec773b3a;#46;#DA|5d49c027-8956-412b-aa16-e85a0f96ad0e;#45;#SV|c2ed69e7-a339-43d7-8f22-d93680a92aa0;#44;#LT|a7ff5ce7-6123-4f68-865a-a57c31810414;#132;#AS|c7a748eb-f6f2-4d9d-8b5a-af0cafebc224;#37;#HU|6b229040-c589-4408-b4c1-4285663d20a8;#36;#NL|55c6556c-b4f4-441d-9acf-c498d4f838bd;#34;#HR|2f555653-ed1a-4fe6-8362-9082d95989e5;#32;#PL|1e03da61-4678-4e07-b136-b5024ca9197b;#31;#SL|98a412ae-eb01-49e9-ae3d-585a81724cfc;#30;#SK|46d9fce0-ef79-4f71-b89b-cd6aa82426b8;#29;#CS|72f9705b-0217-4fd3-bea2-cbc7ed80e26e;#28;#PT|50ccc04a-eadd-42ae-a0cb-acaf45f812ba;#25;#FI|87606a43-d45f-42d6-b8c9-e1a3457db5b7;#23;#FR|d2afafd3-4c81-4f60-8f52-ee33f2f54ff3;#19;#Unrestricted|826e22d7-d029-4ec0-a450-0c28ff673572;#13;#IT|0774613c-01ed-4e5d-a25d-11d2388de825;#11;#DE|f6b31e5a-26fa-4935-b661-318e46daf27e;#9;#TRA|150d2a88-1431-44e6-a8ca-0bb753ab8672;#7;#Final|ea5e6674-7b27-4bac-b091-73adbb394efe;#4;#EN|f2175f21-25d7-44a3-96da-d6a61b075e1b;#1;#EESC|422833ec-8d7e-4e65-8e4e-8bed07ffb729</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12;#ES|e7a6b05b-ae16-40c8-add9-68b64b03aeba</vt:lpwstr>
  </property>
  <property fmtid="{D5CDD505-2E9C-101B-9397-08002B2CF9AE}" pid="40" name="_docset_NoMedatataSyncRequired">
    <vt:lpwstr>False</vt:lpwstr>
  </property>
  <property fmtid="{D5CDD505-2E9C-101B-9397-08002B2CF9AE}" pid="41" name="MeetingNumber">
    <vt:i4>606</vt:i4>
  </property>
  <property fmtid="{D5CDD505-2E9C-101B-9397-08002B2CF9AE}" pid="42" name="DocumentLanguage_0">
    <vt:lpwstr>EN|f2175f21-25d7-44a3-96da-d6a61b075e1b</vt:lpwstr>
  </property>
</Properties>
</file>