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E281451" w:rsidR="005D5113" w:rsidRPr="0098598C" w:rsidRDefault="00571AA4" w:rsidP="0074642E">
      <w:pPr>
        <w:jc w:val="center"/>
      </w:pPr>
      <w:r>
        <w:rPr>
          <w:noProof/>
        </w:rPr>
        <w:drawing>
          <wp:inline distT="0" distB="0" distL="0" distR="0" wp14:anchorId="65818E6E" wp14:editId="54E772B3">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776C5">
        <w:rPr>
          <w:noProof/>
          <w:sz w:val="20"/>
        </w:rPr>
        <mc:AlternateContent>
          <mc:Choice Requires="wps">
            <w:drawing>
              <wp:anchor distT="0" distB="0" distL="0" distR="0" simplePos="0" relativeHeight="251659776" behindDoc="1" locked="0" layoutInCell="1" hidden="0" allowOverlap="1" wp14:anchorId="18BA5486" wp14:editId="72A058B7">
                <wp:simplePos x="0" y="0"/>
                <wp:positionH relativeFrom="page">
                  <wp:posOffset>6759576</wp:posOffset>
                </wp:positionH>
                <wp:positionV relativeFrom="page">
                  <wp:posOffset>10071736</wp:posOffset>
                </wp:positionV>
                <wp:extent cx="666750" cy="415290"/>
                <wp:effectExtent l="0" t="0" r="0" b="0"/>
                <wp:wrapNone/>
                <wp:docPr id="1585139010" name="Rectangle 1585139010"/>
                <wp:cNvGraphicFramePr/>
                <a:graphic xmlns:a="http://schemas.openxmlformats.org/drawingml/2006/main">
                  <a:graphicData uri="http://schemas.microsoft.com/office/word/2010/wordprocessingShape">
                    <wps:wsp>
                      <wps:cNvSpPr/>
                      <wps:spPr>
                        <a:xfrm>
                          <a:off x="5022150" y="3581880"/>
                          <a:ext cx="647700" cy="396240"/>
                        </a:xfrm>
                        <a:prstGeom prst="rect">
                          <a:avLst/>
                        </a:prstGeom>
                        <a:noFill/>
                        <a:ln>
                          <a:noFill/>
                        </a:ln>
                      </wps:spPr>
                      <wps:txbx>
                        <w:txbxContent>
                          <w:p w14:paraId="51801290" w14:textId="77777777" w:rsidR="005D5113" w:rsidRDefault="002776C5">
                            <w:pPr>
                              <w:jc w:val="center"/>
                              <w:textDirection w:val="btLr"/>
                            </w:pPr>
                            <w:r>
                              <w:rPr>
                                <w:rFonts w:ascii="Arial" w:hAnsi="Arial"/>
                                <w:b/>
                                <w:color w:val="000000"/>
                                <w:sz w:val="48"/>
                              </w:rPr>
                              <w:t>ET</w:t>
                            </w:r>
                          </w:p>
                        </w:txbxContent>
                      </wps:txbx>
                      <wps:bodyPr spcFirstLastPara="1" wrap="square" lIns="91425" tIns="45700" rIns="91425" bIns="45700" anchor="t" anchorCtr="0">
                        <a:noAutofit/>
                      </wps:bodyPr>
                    </wps:wsp>
                  </a:graphicData>
                </a:graphic>
              </wp:anchor>
            </w:drawing>
          </mc:Choice>
          <mc:Fallback>
            <w:pict>
              <v:rect w14:anchorId="18BA5486" id="Rectangle 1585139010" o:spid="_x0000_s1026" style="position:absolute;left:0;text-align:left;margin-left:532.25pt;margin-top:793.05pt;width:52.5pt;height:32.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" filled="f" stroked="f">
                <v:textbox inset="2.53958mm,1.2694mm,2.53958mm,1.2694mm">
                  <w:txbxContent>
                    <w:p w14:paraId="51801290" w14:textId="77777777" w:rsidR="005D5113" w:rsidRDefault="002776C5">
                      <w:pPr>
                        <w:jc w:val="center"/>
                        <w:textDirection w:val="btLr"/>
                      </w:pPr>
                      <w:r>
                        <w:rPr>
                          <w:rFonts w:ascii="Arial" w:hAnsi="Arial"/>
                          <w:b/>
                          <w:color w:val="000000"/>
                          <w:sz w:val="48"/>
                        </w:rPr>
                        <w:t>ET</w:t>
                      </w:r>
                    </w:p>
                  </w:txbxContent>
                </v:textbox>
                <w10:wrap anchorx="page" anchory="page"/>
              </v:rect>
            </w:pict>
          </mc:Fallback>
        </mc:AlternateContent>
      </w:r>
    </w:p>
    <w:p w14:paraId="00000002" w14:textId="77777777" w:rsidR="005D5113" w:rsidRPr="0098598C" w:rsidRDefault="005D5113" w:rsidP="0074642E"/>
    <w:p w14:paraId="00000003" w14:textId="77777777" w:rsidR="005D5113" w:rsidRPr="0098598C" w:rsidRDefault="002776C5" w:rsidP="0074642E">
      <w:pPr>
        <w:jc w:val="right"/>
      </w:pPr>
      <w:r>
        <w:rPr>
          <w:b/>
        </w:rPr>
        <w:t>CCMI/259</w:t>
      </w:r>
    </w:p>
    <w:p w14:paraId="00000004" w14:textId="77777777" w:rsidR="005D5113" w:rsidRPr="0098598C" w:rsidRDefault="002776C5" w:rsidP="0074642E">
      <w:pPr>
        <w:ind w:left="4820"/>
        <w:jc w:val="right"/>
        <w:rPr>
          <w:b/>
          <w:bCs/>
        </w:rPr>
      </w:pPr>
      <w:r>
        <w:rPr>
          <w:b/>
        </w:rPr>
        <w:t>Tegevuskava „</w:t>
      </w:r>
      <w:proofErr w:type="spellStart"/>
      <w:r>
        <w:rPr>
          <w:b/>
        </w:rPr>
        <w:t>RESourceEU</w:t>
      </w:r>
      <w:proofErr w:type="spellEnd"/>
      <w:r>
        <w:rPr>
          <w:b/>
        </w:rPr>
        <w:t>“</w:t>
      </w:r>
    </w:p>
    <w:p w14:paraId="00000005" w14:textId="77777777" w:rsidR="005D5113" w:rsidRPr="0098598C" w:rsidRDefault="005D5113" w:rsidP="0074642E"/>
    <w:p w14:paraId="00000006" w14:textId="77777777" w:rsidR="005D5113" w:rsidRPr="0098598C" w:rsidRDefault="005D5113" w:rsidP="0074642E"/>
    <w:p w14:paraId="00000007" w14:textId="6C25DD2A" w:rsidR="005D5113" w:rsidRPr="0098598C" w:rsidRDefault="002776C5" w:rsidP="0074642E">
      <w:pPr>
        <w:jc w:val="center"/>
        <w:rPr>
          <w:b/>
          <w:bCs/>
          <w:sz w:val="28"/>
          <w:szCs w:val="28"/>
        </w:rPr>
      </w:pPr>
      <w:r>
        <w:rPr>
          <w:b/>
          <w:sz w:val="28"/>
        </w:rPr>
        <w:t>ARVAMUS</w:t>
      </w:r>
    </w:p>
    <w:p w14:paraId="00000008" w14:textId="77777777" w:rsidR="005D5113" w:rsidRPr="0098598C" w:rsidRDefault="005D5113" w:rsidP="0074642E">
      <w:pPr>
        <w:jc w:val="center"/>
      </w:pPr>
    </w:p>
    <w:p w14:paraId="00000009" w14:textId="77777777" w:rsidR="005D5113" w:rsidRPr="0098598C" w:rsidRDefault="002776C5" w:rsidP="0074642E">
      <w:pPr>
        <w:jc w:val="center"/>
      </w:pPr>
      <w:r>
        <w:t>Tööstuse muutuste nõuandekomisjon</w:t>
      </w:r>
    </w:p>
    <w:p w14:paraId="51D1ED50" w14:textId="77777777" w:rsidR="00203935" w:rsidRPr="0098598C" w:rsidRDefault="00203935" w:rsidP="0074642E">
      <w:pPr>
        <w:jc w:val="center"/>
      </w:pPr>
    </w:p>
    <w:p w14:paraId="0000000E" w14:textId="0134C93A" w:rsidR="005D5113" w:rsidRPr="002F4D01" w:rsidRDefault="00AE4411" w:rsidP="0074642E">
      <w:pPr>
        <w:jc w:val="center"/>
      </w:pPr>
      <w:r>
        <w:rPr>
          <w:b/>
        </w:rPr>
        <w:t>„Komisjoni teatis Euroopa Parlamendile, nõukogule, Euroopa Majandus- ja Sotsiaalkomiteele ning Regioonide Komiteele „Tegevuskava „</w:t>
      </w:r>
      <w:proofErr w:type="spellStart"/>
      <w:r>
        <w:rPr>
          <w:b/>
        </w:rPr>
        <w:t>RESourceEU</w:t>
      </w:r>
      <w:proofErr w:type="spellEnd"/>
      <w:r>
        <w:rPr>
          <w:b/>
        </w:rPr>
        <w:t>“. Kriitiliste toormete strateegia rakendamise kiirendamine, et kohaneda uue reaalsusega““</w:t>
      </w:r>
      <w:r>
        <w:br/>
        <w:t xml:space="preserve">(COM(2025) 945 </w:t>
      </w:r>
      <w:proofErr w:type="spellStart"/>
      <w:r>
        <w:t>final</w:t>
      </w:r>
      <w:proofErr w:type="spellEnd"/>
      <w:r>
        <w:t>)</w:t>
      </w:r>
    </w:p>
    <w:p w14:paraId="0000000F" w14:textId="77777777" w:rsidR="005D5113" w:rsidRPr="002F4D01" w:rsidRDefault="005D5113" w:rsidP="0074642E">
      <w:pPr>
        <w:jc w:val="center"/>
        <w:rPr>
          <w:lang w:val="pt-PT"/>
        </w:rPr>
      </w:pPr>
    </w:p>
    <w:p w14:paraId="00000010" w14:textId="77777777" w:rsidR="005D5113" w:rsidRPr="008B332C" w:rsidRDefault="002776C5" w:rsidP="0074642E">
      <w:pPr>
        <w:jc w:val="center"/>
      </w:pPr>
      <w:r>
        <w:t xml:space="preserve">Raportöör: </w:t>
      </w:r>
      <w:proofErr w:type="spellStart"/>
      <w:r>
        <w:rPr>
          <w:b/>
        </w:rPr>
        <w:t>Konstantinos</w:t>
      </w:r>
      <w:proofErr w:type="spellEnd"/>
      <w:r>
        <w:rPr>
          <w:b/>
        </w:rPr>
        <w:t xml:space="preserve"> DIAMANTOUROS (EL-I)</w:t>
      </w:r>
    </w:p>
    <w:p w14:paraId="00000011" w14:textId="77777777" w:rsidR="005D5113" w:rsidRPr="0098598C" w:rsidRDefault="002776C5" w:rsidP="0074642E">
      <w:pPr>
        <w:jc w:val="center"/>
        <w:rPr>
          <w:b/>
          <w:bCs/>
        </w:rPr>
      </w:pPr>
      <w:r>
        <w:t xml:space="preserve">Kaasraportöör: </w:t>
      </w:r>
      <w:r>
        <w:rPr>
          <w:b/>
        </w:rPr>
        <w:t>Agata MEYSNER (PL – 3. kat)</w:t>
      </w:r>
    </w:p>
    <w:p w14:paraId="00000012" w14:textId="77777777" w:rsidR="005D5113" w:rsidRPr="0098598C" w:rsidRDefault="005D5113" w:rsidP="0074642E"/>
    <w:p w14:paraId="0000002C" w14:textId="77777777" w:rsidR="005D5113" w:rsidRPr="0098598C" w:rsidRDefault="005D5113" w:rsidP="0074642E"/>
    <w:p w14:paraId="0000002D" w14:textId="77777777" w:rsidR="005D5113" w:rsidRPr="0098598C" w:rsidRDefault="005D5113" w:rsidP="0074642E"/>
    <w:tbl>
      <w:tblPr>
        <w:tblpPr w:leftFromText="181" w:rightFromText="181" w:vertAnchor="page" w:horzAnchor="margin" w:tblpY="13094"/>
        <w:tblW w:w="9289" w:type="dxa"/>
        <w:tblLayout w:type="fixed"/>
        <w:tblLook w:val="0400" w:firstRow="0" w:lastRow="0" w:firstColumn="0" w:lastColumn="0" w:noHBand="0" w:noVBand="1"/>
      </w:tblPr>
      <w:tblGrid>
        <w:gridCol w:w="3085"/>
        <w:gridCol w:w="6204"/>
      </w:tblGrid>
      <w:tr w:rsidR="00203935" w:rsidRPr="0098598C" w14:paraId="512E5FD9" w14:textId="77777777" w:rsidTr="006030E5">
        <w:tc>
          <w:tcPr>
            <w:tcW w:w="3085" w:type="dxa"/>
          </w:tcPr>
          <w:p w14:paraId="58F3BE13" w14:textId="77777777" w:rsidR="00203935" w:rsidRPr="0098598C" w:rsidRDefault="00203935" w:rsidP="0074642E">
            <w:pPr>
              <w:jc w:val="left"/>
            </w:pPr>
            <w:r>
              <w:t>Kontakt</w:t>
            </w:r>
          </w:p>
        </w:tc>
        <w:tc>
          <w:tcPr>
            <w:tcW w:w="6204" w:type="dxa"/>
          </w:tcPr>
          <w:p w14:paraId="19CFBA64" w14:textId="77777777" w:rsidR="00203935" w:rsidRPr="0098598C" w:rsidRDefault="00E900E0" w:rsidP="0074642E">
            <w:pPr>
              <w:jc w:val="left"/>
            </w:pPr>
            <w:hyperlink r:id="rId12" w:history="1">
              <w:r w:rsidR="00571AA4">
                <w:rPr>
                  <w:rStyle w:val="Hyperlink"/>
                </w:rPr>
                <w:t>Adam.Dorywalski@eesc.europa.eu</w:t>
              </w:r>
            </w:hyperlink>
          </w:p>
        </w:tc>
      </w:tr>
      <w:tr w:rsidR="00203935" w:rsidRPr="0098598C" w14:paraId="1ED11616" w14:textId="77777777" w:rsidTr="006030E5">
        <w:tc>
          <w:tcPr>
            <w:tcW w:w="3085" w:type="dxa"/>
          </w:tcPr>
          <w:p w14:paraId="7B1FF9A5" w14:textId="77777777" w:rsidR="00203935" w:rsidRPr="0098598C" w:rsidRDefault="00203935" w:rsidP="0074642E">
            <w:pPr>
              <w:jc w:val="left"/>
            </w:pPr>
            <w:r>
              <w:t>Administraator</w:t>
            </w:r>
          </w:p>
        </w:tc>
        <w:tc>
          <w:tcPr>
            <w:tcW w:w="6204" w:type="dxa"/>
          </w:tcPr>
          <w:p w14:paraId="14B92BC6" w14:textId="77777777" w:rsidR="00203935" w:rsidRPr="0098598C" w:rsidRDefault="00203935" w:rsidP="0074642E">
            <w:pPr>
              <w:jc w:val="left"/>
            </w:pPr>
            <w:proofErr w:type="spellStart"/>
            <w:r>
              <w:t>Adam</w:t>
            </w:r>
            <w:proofErr w:type="spellEnd"/>
            <w:r>
              <w:t xml:space="preserve"> </w:t>
            </w:r>
            <w:proofErr w:type="spellStart"/>
            <w:r>
              <w:t>Dorywalski</w:t>
            </w:r>
            <w:proofErr w:type="spellEnd"/>
          </w:p>
        </w:tc>
      </w:tr>
      <w:tr w:rsidR="00203935" w:rsidRPr="0098598C" w14:paraId="58EE73B4" w14:textId="77777777" w:rsidTr="006030E5">
        <w:tc>
          <w:tcPr>
            <w:tcW w:w="3085" w:type="dxa"/>
          </w:tcPr>
          <w:p w14:paraId="56490496" w14:textId="77777777" w:rsidR="00203935" w:rsidRPr="0098598C" w:rsidRDefault="00203935" w:rsidP="0074642E">
            <w:pPr>
              <w:jc w:val="left"/>
            </w:pPr>
            <w:r>
              <w:t>Dokumendi kuupäev</w:t>
            </w:r>
          </w:p>
        </w:tc>
        <w:tc>
          <w:tcPr>
            <w:tcW w:w="6204" w:type="dxa"/>
          </w:tcPr>
          <w:p w14:paraId="4A41C9FB" w14:textId="771CF670" w:rsidR="00203935" w:rsidRPr="0098598C" w:rsidRDefault="00131E9C" w:rsidP="0074642E">
            <w:pPr>
              <w:jc w:val="left"/>
            </w:pPr>
            <w:r>
              <w:t>27/5/2026</w:t>
            </w:r>
          </w:p>
        </w:tc>
      </w:tr>
    </w:tbl>
    <w:p w14:paraId="0000002E" w14:textId="12BE4666" w:rsidR="005D5113" w:rsidRPr="0098598C" w:rsidRDefault="005D5113" w:rsidP="0074642E">
      <w:pPr>
        <w:sectPr w:rsidR="005D5113" w:rsidRPr="0098598C" w:rsidSect="00131E9C">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20"/>
          <w:docGrid w:linePitch="299"/>
        </w:sectPr>
      </w:pPr>
    </w:p>
    <w:p w14:paraId="0000004A" w14:textId="77777777" w:rsidR="005D5113" w:rsidRPr="0098598C" w:rsidRDefault="005D5113" w:rsidP="0074642E"/>
    <w:tbl>
      <w:tblPr>
        <w:tblStyle w:val="a5"/>
        <w:tblW w:w="9073" w:type="dxa"/>
        <w:tblLayout w:type="fixed"/>
        <w:tblLook w:val="0400" w:firstRow="0" w:lastRow="0" w:firstColumn="0" w:lastColumn="0" w:noHBand="0" w:noVBand="1"/>
      </w:tblPr>
      <w:tblGrid>
        <w:gridCol w:w="3055"/>
        <w:gridCol w:w="6018"/>
      </w:tblGrid>
      <w:tr w:rsidR="005D5113" w:rsidRPr="0098598C" w14:paraId="60B4C88F" w14:textId="77777777">
        <w:trPr>
          <w:trHeight w:val="251"/>
        </w:trPr>
        <w:tc>
          <w:tcPr>
            <w:tcW w:w="3055" w:type="dxa"/>
          </w:tcPr>
          <w:p w14:paraId="0000004B" w14:textId="77777777" w:rsidR="005D5113" w:rsidRPr="0098598C" w:rsidRDefault="002776C5" w:rsidP="0074642E">
            <w:pPr>
              <w:jc w:val="left"/>
            </w:pPr>
            <w:r>
              <w:t>Nõustajad</w:t>
            </w:r>
          </w:p>
        </w:tc>
        <w:tc>
          <w:tcPr>
            <w:tcW w:w="6018" w:type="dxa"/>
          </w:tcPr>
          <w:p w14:paraId="0000004C" w14:textId="77777777" w:rsidR="005D5113" w:rsidRPr="0098598C" w:rsidRDefault="002776C5" w:rsidP="0074642E">
            <w:pPr>
              <w:jc w:val="left"/>
            </w:pPr>
            <w:r>
              <w:t>Laura BLAŽEVIĆ (I rühma raportööri nõustaja)</w:t>
            </w:r>
          </w:p>
          <w:p w14:paraId="0000004D" w14:textId="77777777" w:rsidR="005D5113" w:rsidRPr="0098598C" w:rsidRDefault="002776C5" w:rsidP="0074642E">
            <w:pPr>
              <w:jc w:val="left"/>
            </w:pPr>
            <w:r>
              <w:t>Robin ROELS (3. kategooria kaasraportööri nõustaja)</w:t>
            </w:r>
          </w:p>
        </w:tc>
      </w:tr>
      <w:tr w:rsidR="005D5113" w:rsidRPr="0098598C" w14:paraId="127F0E83" w14:textId="77777777">
        <w:trPr>
          <w:trHeight w:val="251"/>
        </w:trPr>
        <w:tc>
          <w:tcPr>
            <w:tcW w:w="3055" w:type="dxa"/>
          </w:tcPr>
          <w:p w14:paraId="0000004E" w14:textId="77777777" w:rsidR="005D5113" w:rsidRPr="0098598C" w:rsidRDefault="005D5113" w:rsidP="0074642E">
            <w:pPr>
              <w:jc w:val="left"/>
            </w:pPr>
          </w:p>
        </w:tc>
        <w:tc>
          <w:tcPr>
            <w:tcW w:w="6018" w:type="dxa"/>
          </w:tcPr>
          <w:p w14:paraId="0000004F" w14:textId="77777777" w:rsidR="005D5113" w:rsidRPr="0098598C" w:rsidRDefault="005D5113" w:rsidP="0074642E">
            <w:pPr>
              <w:jc w:val="left"/>
            </w:pPr>
          </w:p>
        </w:tc>
      </w:tr>
      <w:tr w:rsidR="005D5113" w:rsidRPr="0098598C" w14:paraId="2F5C7508" w14:textId="77777777">
        <w:tc>
          <w:tcPr>
            <w:tcW w:w="3055" w:type="dxa"/>
          </w:tcPr>
          <w:p w14:paraId="00000050" w14:textId="77777777" w:rsidR="005D5113" w:rsidRPr="0098598C" w:rsidRDefault="002776C5" w:rsidP="0074642E">
            <w:pPr>
              <w:jc w:val="left"/>
            </w:pPr>
            <w:r>
              <w:t>Täiskogu otsus</w:t>
            </w:r>
          </w:p>
        </w:tc>
        <w:tc>
          <w:tcPr>
            <w:tcW w:w="6018" w:type="dxa"/>
          </w:tcPr>
          <w:p w14:paraId="00000051" w14:textId="205268D2" w:rsidR="005D5113" w:rsidRPr="0098598C" w:rsidRDefault="00775540" w:rsidP="0074642E">
            <w:pPr>
              <w:jc w:val="left"/>
            </w:pPr>
            <w:r>
              <w:t>2/12/2025</w:t>
            </w:r>
          </w:p>
        </w:tc>
      </w:tr>
      <w:tr w:rsidR="005D5113" w:rsidRPr="0098598C" w14:paraId="09028BA7" w14:textId="77777777">
        <w:tc>
          <w:tcPr>
            <w:tcW w:w="3055" w:type="dxa"/>
          </w:tcPr>
          <w:p w14:paraId="00000052" w14:textId="77777777" w:rsidR="005D5113" w:rsidRPr="0098598C" w:rsidRDefault="002776C5" w:rsidP="0074642E">
            <w:pPr>
              <w:jc w:val="left"/>
            </w:pPr>
            <w:r>
              <w:t>Konsulteerimistaotlus</w:t>
            </w:r>
          </w:p>
        </w:tc>
        <w:tc>
          <w:tcPr>
            <w:tcW w:w="6018" w:type="dxa"/>
          </w:tcPr>
          <w:p w14:paraId="00000053" w14:textId="14B94D4D" w:rsidR="005D5113" w:rsidRPr="0098598C" w:rsidRDefault="000316A4" w:rsidP="0074642E">
            <w:pPr>
              <w:jc w:val="left"/>
            </w:pPr>
            <w:r>
              <w:t>Euroopa Komisjon, 24/2/2026</w:t>
            </w:r>
          </w:p>
        </w:tc>
      </w:tr>
      <w:tr w:rsidR="005D5113" w:rsidRPr="0098598C" w14:paraId="41B42DAE" w14:textId="77777777">
        <w:tc>
          <w:tcPr>
            <w:tcW w:w="3055" w:type="dxa"/>
          </w:tcPr>
          <w:p w14:paraId="00000054" w14:textId="77777777" w:rsidR="005D5113" w:rsidRPr="0098598C" w:rsidRDefault="002776C5" w:rsidP="0074642E">
            <w:pPr>
              <w:jc w:val="left"/>
            </w:pPr>
            <w:r>
              <w:t>Õiguslik alus</w:t>
            </w:r>
          </w:p>
        </w:tc>
        <w:tc>
          <w:tcPr>
            <w:tcW w:w="6018" w:type="dxa"/>
          </w:tcPr>
          <w:p w14:paraId="00000055" w14:textId="77777777" w:rsidR="005D5113" w:rsidRPr="0098598C" w:rsidRDefault="002776C5" w:rsidP="0074642E">
            <w:pPr>
              <w:jc w:val="left"/>
            </w:pPr>
            <w:r>
              <w:t>Euroopa Liidu toimimise lepingu artikkel 304</w:t>
            </w:r>
          </w:p>
        </w:tc>
      </w:tr>
      <w:tr w:rsidR="005D5113" w:rsidRPr="0098598C" w14:paraId="384945E7" w14:textId="77777777">
        <w:tc>
          <w:tcPr>
            <w:tcW w:w="3055" w:type="dxa"/>
          </w:tcPr>
          <w:p w14:paraId="00000056" w14:textId="77777777" w:rsidR="005D5113" w:rsidRPr="0098598C" w:rsidRDefault="002776C5" w:rsidP="0074642E">
            <w:pPr>
              <w:jc w:val="left"/>
            </w:pPr>
            <w:r>
              <w:t>Vastutav sektsioon</w:t>
            </w:r>
          </w:p>
        </w:tc>
        <w:tc>
          <w:tcPr>
            <w:tcW w:w="6018" w:type="dxa"/>
          </w:tcPr>
          <w:p w14:paraId="00000057" w14:textId="77777777" w:rsidR="005D5113" w:rsidRPr="0098598C" w:rsidRDefault="002776C5" w:rsidP="0074642E">
            <w:pPr>
              <w:jc w:val="left"/>
            </w:pPr>
            <w:r>
              <w:t>tööstuse muutuste nõuandekomisjon</w:t>
            </w:r>
          </w:p>
        </w:tc>
      </w:tr>
      <w:tr w:rsidR="005D5113" w:rsidRPr="0098598C" w14:paraId="6E0B72A7" w14:textId="77777777">
        <w:tc>
          <w:tcPr>
            <w:tcW w:w="3055" w:type="dxa"/>
          </w:tcPr>
          <w:p w14:paraId="00000058" w14:textId="77777777" w:rsidR="005D5113" w:rsidRPr="0098598C" w:rsidRDefault="002776C5" w:rsidP="0074642E">
            <w:pPr>
              <w:jc w:val="left"/>
            </w:pPr>
            <w:r>
              <w:t>Vastuvõtmine sektsioonis</w:t>
            </w:r>
          </w:p>
        </w:tc>
        <w:tc>
          <w:tcPr>
            <w:tcW w:w="6018" w:type="dxa"/>
          </w:tcPr>
          <w:p w14:paraId="00000059" w14:textId="38F06EBD" w:rsidR="005D5113" w:rsidRPr="0098598C" w:rsidRDefault="000316A4" w:rsidP="0074642E">
            <w:pPr>
              <w:jc w:val="left"/>
            </w:pPr>
            <w:r>
              <w:t>20/5/2026</w:t>
            </w:r>
          </w:p>
        </w:tc>
      </w:tr>
      <w:tr w:rsidR="005D5113" w:rsidRPr="0098598C" w14:paraId="483A524D" w14:textId="77777777">
        <w:tc>
          <w:tcPr>
            <w:tcW w:w="3055" w:type="dxa"/>
          </w:tcPr>
          <w:p w14:paraId="0000005A" w14:textId="77777777" w:rsidR="005D5113" w:rsidRPr="0098598C" w:rsidRDefault="002776C5" w:rsidP="0074642E">
            <w:pPr>
              <w:jc w:val="left"/>
            </w:pPr>
            <w:r>
              <w:t>Hääletuse tulemus</w:t>
            </w:r>
            <w:r>
              <w:br/>
              <w:t>(poolt/vastu/erapooletuid)</w:t>
            </w:r>
          </w:p>
        </w:tc>
        <w:tc>
          <w:tcPr>
            <w:tcW w:w="6018" w:type="dxa"/>
            <w:vAlign w:val="bottom"/>
          </w:tcPr>
          <w:p w14:paraId="0000005B" w14:textId="1E50CE87" w:rsidR="005D5113" w:rsidRPr="0098598C" w:rsidRDefault="000316A4" w:rsidP="0074642E">
            <w:pPr>
              <w:jc w:val="left"/>
            </w:pPr>
            <w:r>
              <w:t>22/0/0</w:t>
            </w:r>
          </w:p>
        </w:tc>
      </w:tr>
      <w:tr w:rsidR="005D5113" w:rsidRPr="0098598C" w14:paraId="00742187" w14:textId="77777777">
        <w:tc>
          <w:tcPr>
            <w:tcW w:w="3055" w:type="dxa"/>
          </w:tcPr>
          <w:p w14:paraId="0000005C" w14:textId="77777777" w:rsidR="005D5113" w:rsidRPr="0098598C" w:rsidRDefault="002776C5" w:rsidP="0074642E">
            <w:pPr>
              <w:jc w:val="left"/>
            </w:pPr>
            <w:r>
              <w:t>Vastuvõtmine täiskogus</w:t>
            </w:r>
          </w:p>
        </w:tc>
        <w:tc>
          <w:tcPr>
            <w:tcW w:w="6018" w:type="dxa"/>
          </w:tcPr>
          <w:p w14:paraId="0000005D" w14:textId="77777777" w:rsidR="005D5113" w:rsidRPr="0098598C" w:rsidRDefault="002776C5" w:rsidP="0074642E">
            <w:pPr>
              <w:jc w:val="left"/>
            </w:pPr>
            <w:r>
              <w:t>D/M/YYYY</w:t>
            </w:r>
          </w:p>
        </w:tc>
      </w:tr>
      <w:tr w:rsidR="005D5113" w:rsidRPr="0098598C" w14:paraId="0236EB73" w14:textId="77777777">
        <w:tc>
          <w:tcPr>
            <w:tcW w:w="3055" w:type="dxa"/>
          </w:tcPr>
          <w:p w14:paraId="0000005E" w14:textId="77777777" w:rsidR="005D5113" w:rsidRPr="0098598C" w:rsidRDefault="002776C5" w:rsidP="0074642E">
            <w:pPr>
              <w:jc w:val="left"/>
            </w:pPr>
            <w:r>
              <w:t>Täiskogu istungjärk nr</w:t>
            </w:r>
          </w:p>
        </w:tc>
        <w:tc>
          <w:tcPr>
            <w:tcW w:w="6018" w:type="dxa"/>
          </w:tcPr>
          <w:p w14:paraId="0000005F" w14:textId="1D0FC725" w:rsidR="005D5113" w:rsidRPr="0098598C" w:rsidRDefault="000316A4" w:rsidP="0074642E">
            <w:pPr>
              <w:jc w:val="left"/>
            </w:pPr>
            <w:r>
              <w:t>606</w:t>
            </w:r>
          </w:p>
        </w:tc>
      </w:tr>
      <w:tr w:rsidR="005D5113" w:rsidRPr="0098598C" w14:paraId="0FF33F1F" w14:textId="77777777">
        <w:tc>
          <w:tcPr>
            <w:tcW w:w="3055" w:type="dxa"/>
          </w:tcPr>
          <w:p w14:paraId="00000060" w14:textId="77777777" w:rsidR="005D5113" w:rsidRPr="0098598C" w:rsidRDefault="002776C5" w:rsidP="0074642E">
            <w:pPr>
              <w:jc w:val="left"/>
            </w:pPr>
            <w:r>
              <w:t>Hääletuse tulemus</w:t>
            </w:r>
            <w:r>
              <w:br/>
              <w:t>(poolt/vastu/erapooletuid)</w:t>
            </w:r>
          </w:p>
        </w:tc>
        <w:tc>
          <w:tcPr>
            <w:tcW w:w="6018" w:type="dxa"/>
            <w:vAlign w:val="bottom"/>
          </w:tcPr>
          <w:p w14:paraId="00000061" w14:textId="77777777" w:rsidR="005D5113" w:rsidRPr="0098598C" w:rsidRDefault="002776C5" w:rsidP="0074642E">
            <w:pPr>
              <w:jc w:val="left"/>
            </w:pPr>
            <w:r>
              <w:t>…/…/…</w:t>
            </w:r>
          </w:p>
        </w:tc>
      </w:tr>
    </w:tbl>
    <w:p w14:paraId="00000062" w14:textId="77777777" w:rsidR="005D5113" w:rsidRPr="0098598C" w:rsidRDefault="002776C5" w:rsidP="0074642E">
      <w:r>
        <w:br w:type="page"/>
      </w:r>
    </w:p>
    <w:p w14:paraId="60367ABB" w14:textId="4C0AF94D" w:rsidR="00220241" w:rsidRPr="00F34E97" w:rsidRDefault="00220241" w:rsidP="00F34E97">
      <w:pPr>
        <w:pStyle w:val="Heading1"/>
        <w:numPr>
          <w:ilvl w:val="0"/>
          <w:numId w:val="1"/>
        </w:numPr>
        <w:ind w:left="567" w:hanging="567"/>
        <w:rPr>
          <w:b/>
          <w:bCs/>
        </w:rPr>
      </w:pPr>
      <w:r>
        <w:rPr>
          <w:b/>
        </w:rPr>
        <w:lastRenderedPageBreak/>
        <w:t>Järeldused ja soovitused</w:t>
      </w:r>
    </w:p>
    <w:p w14:paraId="1A622280" w14:textId="77777777" w:rsidR="00220241" w:rsidRPr="0098598C" w:rsidRDefault="00220241" w:rsidP="0074642E"/>
    <w:p w14:paraId="00000063" w14:textId="148C0A19" w:rsidR="005D5113" w:rsidRPr="0098598C" w:rsidRDefault="002776C5" w:rsidP="0074642E">
      <w:pPr>
        <w:ind w:left="567"/>
      </w:pPr>
      <w:r>
        <w:t>Euroopa Majandus- ja Sotsiaalkomitee (edaspidi „komitee) on seisukohal, et tegevuskava „</w:t>
      </w:r>
      <w:proofErr w:type="spellStart"/>
      <w:r>
        <w:t>RESourceEU</w:t>
      </w:r>
      <w:proofErr w:type="spellEnd"/>
      <w:r>
        <w:t>“ on oluline samm ELi kriitiliste toormete väärtusahela vastupanuvõime tugevdamise ja strateegilise sõltuvuse vähendamise suunas. Selle eesmärgi saavutamiseks on siiski vaja tasakaalustatud lähenemisviisi, milles suurem Euroopa tootmisvõimsus, ringlus ja vastutustundlik rahvusvaheline partnerlus on kombineeritud konkurentsivõimeliste energiahindade, mõistlike õigusraamistike ning tugevate keskkonnaalaste ja sotsiaalsete kaitsemeetmetega. Seepärast tõstab komitee esile järgmised prioriteedid:</w:t>
      </w:r>
    </w:p>
    <w:p w14:paraId="00000064" w14:textId="77777777" w:rsidR="005D5113" w:rsidRPr="0098598C" w:rsidRDefault="005D5113" w:rsidP="0074642E"/>
    <w:p w14:paraId="00000065" w14:textId="7E88C469" w:rsidR="005D5113" w:rsidRPr="0098598C" w:rsidRDefault="005B7F88" w:rsidP="00F34E97">
      <w:pPr>
        <w:pStyle w:val="Heading2"/>
        <w:numPr>
          <w:ilvl w:val="1"/>
          <w:numId w:val="1"/>
        </w:numPr>
        <w:ind w:left="567" w:hanging="567"/>
      </w:pPr>
      <w:r>
        <w:rPr>
          <w:b/>
        </w:rPr>
        <w:t>strateegiliste Euroopa projektide edendamine ja kiiremad loamenetlused:</w:t>
      </w:r>
      <w:r>
        <w:t xml:space="preserve"> tuleb vähendada struktuurselt kõrgeid energiahindu tööstuses ja hõlbustada pikaajalisi taastuvelektri ostulepinguid. Samuti tuleb kindlustada puhta tööstuse kokkuleppega seotud riigiabi raamistiku kohane elektrifitseerimise toetus energiamahukatele tööstusharudele, k.a innovatsioonifondist, kindlustades samal ajal ELi heitkogustega kauplemise süsteemi (HKS) tõhususe ja tagades, et sellised algatused nagu ELi taksonoomia hõlbustavad strateegiliste projektide juurdepääsu rahastamisele;</w:t>
      </w:r>
    </w:p>
    <w:p w14:paraId="00000066" w14:textId="1727847A" w:rsidR="005D5113" w:rsidRPr="0098598C" w:rsidRDefault="005D5113" w:rsidP="00F34E97"/>
    <w:p w14:paraId="00000067" w14:textId="3E3973F8" w:rsidR="005D5113" w:rsidRPr="0098598C" w:rsidRDefault="005B7F88" w:rsidP="00F34E97">
      <w:pPr>
        <w:pStyle w:val="Heading2"/>
        <w:numPr>
          <w:ilvl w:val="1"/>
          <w:numId w:val="1"/>
        </w:numPr>
        <w:ind w:left="567" w:hanging="567"/>
      </w:pPr>
      <w:r>
        <w:t>pooldab veepoliitika raamdirektiivi eelseisvat läbivaatamist, aga rõhutab, et see ei tohi viia keskkonnastandardite alandamiseni;</w:t>
      </w:r>
    </w:p>
    <w:p w14:paraId="6A2D5E95" w14:textId="77777777" w:rsidR="00220241" w:rsidRPr="0098598C" w:rsidRDefault="00220241" w:rsidP="0074642E"/>
    <w:p w14:paraId="00000069" w14:textId="6B97DEF3" w:rsidR="005D5113" w:rsidRPr="0098598C" w:rsidRDefault="005B7F88" w:rsidP="00F34E97">
      <w:pPr>
        <w:pStyle w:val="Heading2"/>
        <w:numPr>
          <w:ilvl w:val="1"/>
          <w:numId w:val="1"/>
        </w:numPr>
        <w:ind w:left="567" w:hanging="567"/>
        <w:rPr>
          <w:color w:val="000000"/>
        </w:rPr>
      </w:pPr>
      <w:r>
        <w:rPr>
          <w:b/>
        </w:rPr>
        <w:t>kriitiliste toormete ringlussevõtu ja korduskasutamise parandamine:</w:t>
      </w:r>
      <w:r>
        <w:t xml:space="preserve"> alumiiniumijääkidele tuleb kehtestada ühtne eksporditollimaks, et säilitada väärtus ELis ja parandada kriitilise toorme jäätmete ringlust jäätmesaadetiste määruse kohaste lihtsustatud ja </w:t>
      </w:r>
      <w:proofErr w:type="spellStart"/>
      <w:r>
        <w:t>digiteeritud</w:t>
      </w:r>
      <w:proofErr w:type="spellEnd"/>
      <w:r>
        <w:t xml:space="preserve"> menetluste abil. Seejuures tuleb jäätmetele ja teisestele materjalidele kehtestada selged määratlused, et hõlbustada ringlussevõttu ja taaskasutamist.</w:t>
      </w:r>
      <w:r>
        <w:rPr>
          <w:color w:val="000000"/>
        </w:rPr>
        <w:t xml:space="preserve"> Poliitika sidusus peab hõlmama materjalijalajälje leevendamise eesmärke ja </w:t>
      </w:r>
      <w:proofErr w:type="spellStart"/>
      <w:r>
        <w:rPr>
          <w:color w:val="000000"/>
        </w:rPr>
        <w:t>valdkondlikke</w:t>
      </w:r>
      <w:proofErr w:type="spellEnd"/>
      <w:r>
        <w:rPr>
          <w:color w:val="000000"/>
        </w:rPr>
        <w:t xml:space="preserve"> kavu materjalimahukuse vähendamiseks, et leevendada kriitilisust järgneva etapi sektorites;</w:t>
      </w:r>
    </w:p>
    <w:p w14:paraId="385CEC43" w14:textId="77777777" w:rsidR="00220241" w:rsidRPr="0098598C" w:rsidRDefault="00220241" w:rsidP="0074642E">
      <w:pPr>
        <w:pBdr>
          <w:top w:val="nil"/>
          <w:left w:val="nil"/>
          <w:bottom w:val="nil"/>
          <w:right w:val="nil"/>
          <w:between w:val="nil"/>
        </w:pBdr>
        <w:ind w:left="720"/>
        <w:rPr>
          <w:b/>
          <w:bCs/>
          <w:color w:val="000000"/>
        </w:rPr>
      </w:pPr>
    </w:p>
    <w:p w14:paraId="0000006B" w14:textId="2B93D763" w:rsidR="005D5113" w:rsidRPr="0098598C" w:rsidRDefault="005B7F88" w:rsidP="00F34E97">
      <w:pPr>
        <w:pStyle w:val="Heading2"/>
        <w:numPr>
          <w:ilvl w:val="1"/>
          <w:numId w:val="1"/>
        </w:numPr>
        <w:ind w:left="567" w:hanging="567"/>
      </w:pPr>
      <w:r>
        <w:rPr>
          <w:b/>
        </w:rPr>
        <w:t>investeeringute ja turu arengu toetamine:</w:t>
      </w:r>
      <w:r>
        <w:t xml:space="preserve"> tuleb tugevdada ELi materjalide väärtusahelate vastupanuvõimet, kombineerides omamaise tootmise suurendamise nõudlusepoole meetmetega, nagu materjalitõhusus, </w:t>
      </w:r>
      <w:proofErr w:type="spellStart"/>
      <w:r>
        <w:t>ökodisain</w:t>
      </w:r>
      <w:proofErr w:type="spellEnd"/>
      <w:r>
        <w:t xml:space="preserve"> ja suurem ringlussevõtu määr.</w:t>
      </w:r>
      <w:r>
        <w:rPr>
          <w:color w:val="000000"/>
        </w:rPr>
        <w:t xml:space="preserve"> Varude loomine peaks pigem täiendama kui asendama </w:t>
      </w:r>
      <w:proofErr w:type="spellStart"/>
      <w:r>
        <w:rPr>
          <w:color w:val="000000"/>
        </w:rPr>
        <w:t>ELi-sisest</w:t>
      </w:r>
      <w:proofErr w:type="spellEnd"/>
      <w:r>
        <w:rPr>
          <w:color w:val="000000"/>
        </w:rPr>
        <w:t xml:space="preserve"> tootmist, töötlemist ja ringlussevõttu. Parandada tuleks toormete haldamise läbipaistvust, esitades paremaid andmeid materjalivoogude, laovarude ja jaotamisotsuste kohta;</w:t>
      </w:r>
    </w:p>
    <w:p w14:paraId="6F33E14A" w14:textId="77777777" w:rsidR="00220241" w:rsidRPr="0098598C" w:rsidRDefault="00220241" w:rsidP="0074642E">
      <w:pPr>
        <w:pBdr>
          <w:top w:val="nil"/>
          <w:left w:val="nil"/>
          <w:bottom w:val="nil"/>
          <w:right w:val="nil"/>
          <w:between w:val="nil"/>
        </w:pBdr>
        <w:ind w:left="720"/>
      </w:pPr>
    </w:p>
    <w:p w14:paraId="0000006D" w14:textId="70F29B32" w:rsidR="005D5113" w:rsidRPr="0098598C" w:rsidRDefault="005B7F88" w:rsidP="00F34E97">
      <w:pPr>
        <w:pStyle w:val="Heading2"/>
        <w:numPr>
          <w:ilvl w:val="1"/>
          <w:numId w:val="1"/>
        </w:numPr>
        <w:ind w:left="567" w:hanging="567"/>
      </w:pPr>
      <w:r>
        <w:rPr>
          <w:b/>
          <w:color w:val="000000"/>
        </w:rPr>
        <w:t>tasakaalustatud rahvusvahelise partnerluse loomine:</w:t>
      </w:r>
      <w:r>
        <w:rPr>
          <w:color w:val="000000"/>
        </w:rPr>
        <w:t xml:space="preserve"> tarneid tuleb mitmekesistada strateegiliste partnerluslepingute kaudu, tugevdades samal ajal ELi kaevandamis-, töötlemis-, rafineerimis- ja ringlussevõtusuutlikkust. Praeguses geopoliitilises keskkonnas ei ole tagatud, et varem usaldusväärsed partnerid jäävad strateegiliste materjalide stabiilseteks või usaldusväärseteks tarnijateks. Seepärast peaks liit vähendama liigset tuginemist mis tahes üksikule partnerile ja järgima mitmekesise partnerluse strateegiat, mis põhineb vastastikusel kasul, läbipaistvusel ning rangetel keskkonna- ja tööstandarditel.</w:t>
      </w:r>
    </w:p>
    <w:p w14:paraId="0000006E" w14:textId="77777777" w:rsidR="005D5113" w:rsidRPr="0098598C" w:rsidRDefault="005D5113" w:rsidP="0074642E"/>
    <w:p w14:paraId="0000006F" w14:textId="77777777" w:rsidR="005D5113" w:rsidRPr="0098598C" w:rsidRDefault="002776C5" w:rsidP="0074642E">
      <w:pPr>
        <w:pStyle w:val="Heading1"/>
        <w:keepNext/>
        <w:keepLines/>
        <w:numPr>
          <w:ilvl w:val="0"/>
          <w:numId w:val="1"/>
        </w:numPr>
        <w:ind w:left="567" w:hanging="567"/>
        <w:rPr>
          <w:b/>
          <w:bCs/>
        </w:rPr>
      </w:pPr>
      <w:r>
        <w:rPr>
          <w:b/>
        </w:rPr>
        <w:t>Üldised märkused</w:t>
      </w:r>
    </w:p>
    <w:p w14:paraId="00000070" w14:textId="77777777" w:rsidR="005D5113" w:rsidRPr="0098598C" w:rsidRDefault="005D5113" w:rsidP="0074642E">
      <w:pPr>
        <w:keepNext/>
        <w:keepLines/>
      </w:pPr>
    </w:p>
    <w:p w14:paraId="00000071" w14:textId="6338DB56" w:rsidR="005D5113" w:rsidRPr="0098598C" w:rsidRDefault="002776C5" w:rsidP="00F34E97">
      <w:pPr>
        <w:pStyle w:val="Heading2"/>
        <w:numPr>
          <w:ilvl w:val="1"/>
          <w:numId w:val="1"/>
        </w:numPr>
        <w:ind w:left="567" w:hanging="567"/>
      </w:pPr>
      <w:r>
        <w:t>Euroopa on jõudmas toorainepoliitika uude etappi, kus kiirusest, kindlusest ja tööstuse laiendamisest on saanud peamised korralduspõhimõtted. Komitee tunnistab, et kiiresti on vaja vähendada sõltuvust ebakindlatest allikatest ja luua vastupidavad väärtusahelad. Hiljutised algatused, nagu tööstuse kiirendamise õigusakt, rõhutavad vajadust tugevdada Euroopa tööstussuutlikkust ja vähendada sõltuvust. Et järgida ELis valmistamise lähenemisviisi ja säilitada tehnoloogiline juhtpositsioon puhtale energiale üleminekul, on oluline tagada, et toorained ja nende järgneva etapi rakendused töötatakse välja Euroopas.</w:t>
      </w:r>
    </w:p>
    <w:p w14:paraId="00000072" w14:textId="77777777" w:rsidR="005D5113" w:rsidRPr="0098598C" w:rsidRDefault="005D5113" w:rsidP="0074642E"/>
    <w:p w14:paraId="00000073" w14:textId="0E37775F" w:rsidR="005D5113" w:rsidRPr="0098598C" w:rsidRDefault="002776C5" w:rsidP="00F34E97">
      <w:pPr>
        <w:pStyle w:val="Heading2"/>
        <w:numPr>
          <w:ilvl w:val="1"/>
          <w:numId w:val="1"/>
        </w:numPr>
        <w:ind w:left="567" w:hanging="567"/>
      </w:pPr>
      <w:r>
        <w:t>Samal ajal ei tohi see kiireloomulisus õigustada mööndusi demokraatias. Usaldusväärne strateegia peab järgima siduvat keskkonnaõigust, austama töötajate õigusi ja edendama üldsuse osalemist, et vältida projektide viibimist konfliktide, kohtuvaidluste ja maine kahjustamise tõttu. Seepärast tuleks tegevuskava „</w:t>
      </w:r>
      <w:proofErr w:type="spellStart"/>
      <w:r>
        <w:t>RESourceEU</w:t>
      </w:r>
      <w:proofErr w:type="spellEnd"/>
      <w:r>
        <w:t xml:space="preserve">“ hinnata ka juhtimise muutumise seisukohast. Sellised vahendid nagu </w:t>
      </w:r>
      <w:proofErr w:type="spellStart"/>
      <w:r>
        <w:t>ühisostud</w:t>
      </w:r>
      <w:proofErr w:type="spellEnd"/>
      <w:r>
        <w:t>, varude loomine ja strateegiline prioriseerimine nõuavad selget vastutust, läbipaistvust ja järelevalvet, sealhulgas sotsiaalpartneritelt ja kodanikuühiskonnalt. Konkurentsivõime tegevuskava peab vastama rangetele keskkonna- ja sotsiaalsetele kohustustele ning demokraatlikele standarditele, k.a õiguskaitse kättesaadavus.</w:t>
      </w:r>
    </w:p>
    <w:p w14:paraId="00000074" w14:textId="77777777" w:rsidR="005D5113" w:rsidRPr="0098598C" w:rsidRDefault="005D5113" w:rsidP="0074642E"/>
    <w:p w14:paraId="00000075" w14:textId="77777777" w:rsidR="005D5113" w:rsidRPr="0098598C" w:rsidRDefault="002776C5" w:rsidP="00F34E97">
      <w:pPr>
        <w:pStyle w:val="Heading2"/>
        <w:numPr>
          <w:ilvl w:val="1"/>
          <w:numId w:val="1"/>
        </w:numPr>
        <w:ind w:left="567" w:hanging="567"/>
      </w:pPr>
      <w:r>
        <w:t>Komitee väljendab heameelt tegevuskava „</w:t>
      </w:r>
      <w:proofErr w:type="spellStart"/>
      <w:r>
        <w:t>RESourceEU</w:t>
      </w:r>
      <w:proofErr w:type="spellEnd"/>
      <w:r>
        <w:t xml:space="preserve">“ üle, mis tugineb kriitiliste toormete määrusele, puhta tööstuse kokkuleppele ning terase ja metallide tegevuskavale, et tugevdada ELi vastupanuvõimet tarnehäiretele. Poliitikavaldkondade sidusus peab hõlmama materjalijalajälje leevendamise eesmärke ja </w:t>
      </w:r>
      <w:proofErr w:type="spellStart"/>
      <w:r>
        <w:t>valdkondlikke</w:t>
      </w:r>
      <w:proofErr w:type="spellEnd"/>
      <w:r>
        <w:t xml:space="preserve"> kavu vähendada materjalimahukust kriitilisuse leevendamiseks, eelkõige liikuvuse, energiasüsteemide, ehituse ja digitoodete valdkonnas. Lisaks on oluline pöörata tähelepanu tugevale </w:t>
      </w:r>
      <w:proofErr w:type="spellStart"/>
      <w:r>
        <w:t>ökodisainile</w:t>
      </w:r>
      <w:proofErr w:type="spellEnd"/>
      <w:r>
        <w:t>, korduskasutamisele, parandamisele ja toodete pikemale kasutusajale, toetades samal ajal Euroopa tarneahelaid, et rahuldada kasvavat nõudlust strateegilise ja kriitilise toorme järele.</w:t>
      </w:r>
    </w:p>
    <w:p w14:paraId="00000076" w14:textId="77777777" w:rsidR="005D5113" w:rsidRPr="0098598C" w:rsidRDefault="005D5113" w:rsidP="0074642E">
      <w:pPr>
        <w:rPr>
          <w:b/>
          <w:bCs/>
        </w:rPr>
      </w:pPr>
    </w:p>
    <w:p w14:paraId="00000077" w14:textId="77777777" w:rsidR="005D5113" w:rsidRPr="0098598C" w:rsidRDefault="002776C5" w:rsidP="00F61A6D">
      <w:pPr>
        <w:pStyle w:val="Heading1"/>
        <w:keepNext/>
        <w:keepLines/>
        <w:numPr>
          <w:ilvl w:val="0"/>
          <w:numId w:val="1"/>
        </w:numPr>
        <w:ind w:left="567" w:hanging="567"/>
      </w:pPr>
      <w:r>
        <w:rPr>
          <w:b/>
        </w:rPr>
        <w:t>Prioriteetsete projektide edendamine ja kiirendamine</w:t>
      </w:r>
    </w:p>
    <w:p w14:paraId="00000078" w14:textId="77777777" w:rsidR="005D5113" w:rsidRPr="0098598C" w:rsidRDefault="005D5113" w:rsidP="00F61A6D">
      <w:pPr>
        <w:pStyle w:val="Heading2"/>
        <w:keepNext/>
        <w:keepLines/>
        <w:numPr>
          <w:ilvl w:val="0"/>
          <w:numId w:val="0"/>
        </w:numPr>
        <w:ind w:left="567"/>
      </w:pPr>
    </w:p>
    <w:p w14:paraId="00000079" w14:textId="74174FB3" w:rsidR="005D5113" w:rsidRPr="0098598C" w:rsidRDefault="002776C5" w:rsidP="0074642E">
      <w:pPr>
        <w:pStyle w:val="Heading2"/>
        <w:numPr>
          <w:ilvl w:val="1"/>
          <w:numId w:val="1"/>
        </w:numPr>
        <w:ind w:left="567" w:hanging="567"/>
      </w:pPr>
      <w:r>
        <w:t xml:space="preserve">Komitee rõhutab, et on olemas õigusraamistikud avalike huvide, keskkonnaalase terviklikkuse ja töötajate õiguste kaitsmiseks ning seepärast tuleks neid täiustada. Praeguses raamistikus esineb rakendamisel kitsaskohti, eelkõige haldussuutlikkuse piirangute, energiahindade volatiilsuse ja </w:t>
      </w:r>
      <w:proofErr w:type="spellStart"/>
      <w:r>
        <w:t>liikmesriikidevahelise</w:t>
      </w:r>
      <w:proofErr w:type="spellEnd"/>
      <w:r>
        <w:t xml:space="preserve"> killustatud koordineerimise tõttu. Ühiskondlik heakskiit on projekti elujõulisuse ja legitiimsuse otsustav tingimus ning eeldab kogukonna sisulist kaasamist ja tugevat sotsiaaldialoogi esimestest etappidest alates, k.a loamenetlustes, rahastamisel ja partnerluses. Ettevõtete projektiarenduse kõrval peaksid avaliku sektori vahendid toetama kohalike omavalitsuste suutlikkust, kogukondade sõltumatuid eksperditeadmisi ning järelevalvet ja täitmise tagamist.</w:t>
      </w:r>
    </w:p>
    <w:p w14:paraId="0000007A" w14:textId="77777777" w:rsidR="005D5113" w:rsidRPr="0098598C" w:rsidRDefault="005D5113" w:rsidP="0074642E"/>
    <w:p w14:paraId="48C7F0FD" w14:textId="215464FC" w:rsidR="008F5E24" w:rsidRDefault="000647C4" w:rsidP="0074642E">
      <w:pPr>
        <w:pStyle w:val="Heading2"/>
        <w:numPr>
          <w:ilvl w:val="1"/>
          <w:numId w:val="1"/>
        </w:numPr>
        <w:ind w:left="567" w:hanging="567"/>
      </w:pPr>
      <w:r>
        <w:t>Peamiste konkurentidega võrreldes kannatab EL jätkuvalt struktuurselt kõrgete energiahindade all. Kuna paljud kriitilise toormega seotud tegevused on energiamahukad (mõnel juhul moodustavad energiakulud 50 % tegevuskuludest), on energiakulud projekti elujõulisuse määratlemise üks peamine tegur. Kuigi puhta tööstuse kokkulepe on samm õiges suunas, ei ole see mõjutanud lühiajalisi energiahindu.</w:t>
      </w:r>
    </w:p>
    <w:p w14:paraId="3E6BA6E0" w14:textId="77777777" w:rsidR="008F5E24" w:rsidRPr="008F5E24" w:rsidRDefault="008F5E24" w:rsidP="008F5E24"/>
    <w:p w14:paraId="0000007D" w14:textId="70EF394A" w:rsidR="005D5113" w:rsidRPr="0098598C" w:rsidRDefault="00D16F2F" w:rsidP="00F34E97">
      <w:pPr>
        <w:pStyle w:val="Heading2"/>
        <w:numPr>
          <w:ilvl w:val="1"/>
          <w:numId w:val="1"/>
        </w:numPr>
        <w:ind w:left="567" w:hanging="567"/>
      </w:pPr>
      <w:r>
        <w:t>Puhta tööstuse kokkuleppega seotud riigiabi raamistik võimaldab tööstustarbijatele hinnatoetust, kuid see on endiselt liiga piirav, et avaldada olulist mõju kriitilise toorme käitajatele</w:t>
      </w:r>
      <w:r w:rsidR="002776C5" w:rsidRPr="0098598C">
        <w:rPr>
          <w:sz w:val="24"/>
          <w:szCs w:val="24"/>
          <w:vertAlign w:val="superscript"/>
        </w:rPr>
        <w:footnoteReference w:id="1"/>
      </w:r>
      <w:r>
        <w:t xml:space="preserve">. Elektrifitseerimise toetamisega seotud </w:t>
      </w:r>
      <w:proofErr w:type="spellStart"/>
      <w:r>
        <w:t>täiendavus</w:t>
      </w:r>
      <w:proofErr w:type="spellEnd"/>
      <w:r>
        <w:t>- ja hankenõuded, mis tavaliselt kajastavad taastuvallikatest toodetud vesiniku suhtes kohaldatavaid nõudeid või nõuavad majanduslikult ja tehnoloogiliselt teostamatute võimaluste järgimist, võivad jätta energiamahukad tööstusharud toetusest ilma. See juhtub eelkõige piirkondades, kus elektrisüsteemid on veel üleminekujärgus, kuigi elektrifitseerimine aitab juba praegu heitkoguseid märkimisväärselt vähendada.</w:t>
      </w:r>
    </w:p>
    <w:p w14:paraId="0000007E" w14:textId="77777777" w:rsidR="005D5113" w:rsidRPr="0098598C" w:rsidRDefault="005D5113" w:rsidP="0074642E">
      <w:pPr>
        <w:ind w:left="567"/>
      </w:pPr>
    </w:p>
    <w:p w14:paraId="0000007F" w14:textId="41C3E51F" w:rsidR="005D5113" w:rsidRPr="0098598C" w:rsidRDefault="002776C5" w:rsidP="00F34E97">
      <w:pPr>
        <w:pStyle w:val="Heading2"/>
        <w:numPr>
          <w:ilvl w:val="1"/>
          <w:numId w:val="1"/>
        </w:numPr>
        <w:ind w:left="567" w:hanging="567"/>
      </w:pPr>
      <w:r>
        <w:t xml:space="preserve">Samuti on endiselt takistusi sihipäraste meetmete võtmisel energiakulude vähendamiseks, nagu pikaajaliste energiaostulepingute sõlmimisel. Peamine takistus on profiilide sobitamise/kujundamise ja tugevdamise kulude mittetoetamine, nagu on rõhutatud </w:t>
      </w:r>
      <w:proofErr w:type="spellStart"/>
      <w:r>
        <w:t>Draghi</w:t>
      </w:r>
      <w:proofErr w:type="spellEnd"/>
      <w:r>
        <w:t xml:space="preserve"> aruandes, mis on märkimisväärselt aeglustanud energiaostulepingute turgu. Muid skeeme, nagu Itaalia „Energy </w:t>
      </w:r>
      <w:proofErr w:type="spellStart"/>
      <w:r>
        <w:t>Release</w:t>
      </w:r>
      <w:proofErr w:type="spellEnd"/>
      <w:r>
        <w:t xml:space="preserve"> 2.0“, tuleks uurida ja kohandada teistes liikmesriikides.</w:t>
      </w:r>
    </w:p>
    <w:p w14:paraId="00000080" w14:textId="77777777" w:rsidR="005D5113" w:rsidRPr="0098598C" w:rsidRDefault="005D5113" w:rsidP="0074642E">
      <w:pPr>
        <w:ind w:left="567"/>
      </w:pPr>
    </w:p>
    <w:p w14:paraId="00000081" w14:textId="501E68C7" w:rsidR="005D5113" w:rsidRPr="0098598C" w:rsidRDefault="002776C5" w:rsidP="00F34E97">
      <w:pPr>
        <w:pStyle w:val="Heading2"/>
        <w:numPr>
          <w:ilvl w:val="1"/>
          <w:numId w:val="1"/>
        </w:numPr>
        <w:ind w:left="567" w:hanging="567"/>
      </w:pPr>
      <w:r>
        <w:t>Komitee soovitab komisjonil hõlbustada pikaajaliste energiaostulepingute kasutamist energiamahukate kasutajate puhul ja vaadata läbi puhta tööstuse kokkuleppega seotud riigiabi raamistik, et tööstus saaks elektrifitseerimise toetust tõhusalt kasutada. See aitaks kaasa ELi süsinikuheite vähendamisele ja konkurentsivõimele ilma konkurentsi moonutamata. Sellised kavad peaksid sisaldama rangeid avaliku huviga seotud tingimusi, sealhulgas aruandlust, ning sõnaselgeid nõudeid töötervishoiu ja tööohutuse, koolituse ja kvaliteetsete töökohtade kohta.</w:t>
      </w:r>
    </w:p>
    <w:p w14:paraId="00000082" w14:textId="77777777" w:rsidR="005D5113" w:rsidRPr="0098598C" w:rsidRDefault="005D5113" w:rsidP="0074642E">
      <w:pPr>
        <w:ind w:left="567"/>
      </w:pPr>
    </w:p>
    <w:p w14:paraId="00000083" w14:textId="77777777" w:rsidR="005D5113" w:rsidRPr="0098598C" w:rsidRDefault="002776C5" w:rsidP="00F34E97">
      <w:pPr>
        <w:pStyle w:val="Heading2"/>
        <w:numPr>
          <w:ilvl w:val="1"/>
          <w:numId w:val="1"/>
        </w:numPr>
        <w:ind w:left="567" w:hanging="567"/>
      </w:pPr>
      <w:r>
        <w:t>Lisaks peavad sellise lühiajalise toetusega kaasnema selged tingimused, sealhulgas töötajate kaitse, kogukonna kaasamine, toetusesaajate läbipaistvus ja kaitsemeetmed erakorralise tulu vastu, seades samal ajal esikohale sihipärased meetmed, mis vähendavad võrkude, paindlikkuse ja tõhususe kaudu struktuurselt energiakulusid.</w:t>
      </w:r>
    </w:p>
    <w:p w14:paraId="00000084" w14:textId="77777777" w:rsidR="005D5113" w:rsidRPr="0098598C" w:rsidRDefault="005D5113" w:rsidP="0074642E">
      <w:pPr>
        <w:ind w:left="567"/>
      </w:pPr>
    </w:p>
    <w:p w14:paraId="00000085" w14:textId="04D8421D" w:rsidR="005D5113" w:rsidRPr="0098598C" w:rsidRDefault="002776C5" w:rsidP="00F34E97">
      <w:pPr>
        <w:pStyle w:val="Heading2"/>
        <w:numPr>
          <w:ilvl w:val="1"/>
          <w:numId w:val="1"/>
        </w:numPr>
        <w:ind w:left="567" w:hanging="567"/>
      </w:pPr>
      <w:r>
        <w:t xml:space="preserve">Veel üks tegur, mis suurendab kriitilise toorme käitajate kulusurvet, on heitkogustega kauplemise süsteem. Kuigi HKS on aidanud kaasa elektrienergia allikate jaotuse süsinikuheite vähendamisele põhjustab see suuri kulusid sektoritele, kus tehnoloogilised alternatiivid heitkoguste vähendamiseks on piiratud. Seepärast kutsub komitee komisjoni üles hindama kavandatud heitkogustega kauplemise süsteemi läbivaatamise raames </w:t>
      </w:r>
      <w:proofErr w:type="spellStart"/>
      <w:r>
        <w:t>HKSi</w:t>
      </w:r>
      <w:proofErr w:type="spellEnd"/>
      <w:r>
        <w:t xml:space="preserve"> mõju majandusele, keskkonnale ja kriitilise toorme sektori konkurentsivõimele kooskõlas ELi nõukogu märtsikuu järeldustega. Samal ajal on HKS jätkuvalt ELi süsinikuheite vähendamise peamine </w:t>
      </w:r>
      <w:proofErr w:type="spellStart"/>
      <w:r>
        <w:t>liikumapanev</w:t>
      </w:r>
      <w:proofErr w:type="spellEnd"/>
      <w:r>
        <w:t xml:space="preserve"> jõud ja selle terviklikkus tuleb säilitada. Läbivaatamisel tuleks käsitleda </w:t>
      </w:r>
      <w:proofErr w:type="spellStart"/>
      <w:r>
        <w:t>HKSiga</w:t>
      </w:r>
      <w:proofErr w:type="spellEnd"/>
      <w:r>
        <w:t xml:space="preserve"> seotud kulude koostoimet materjalitõhususe meetmete, asendusstrateegiate ja materjalide ringkasutusega. Vältida tuleks sektoripõhiseid erandeid, mis nõrgendavad CO</w:t>
      </w:r>
      <w:r>
        <w:rPr>
          <w:vertAlign w:val="subscript"/>
        </w:rPr>
        <w:t>2</w:t>
      </w:r>
      <w:r>
        <w:t xml:space="preserve"> hinnasignaali või suunavad kulud teistesse sektoritesse, ning tagada samas, et süsinikuheite ülekandumise ohte ja rahvusvahelist konkurentsivõimet käsitletakse nõuetekohaselt. Kui kriitilise toorme tootmisel esineb struktuurseid süsinikuheite vähendamise tõkkeid, tuleks poliitikameetmetes seada sihipäraste rahastamismehhanismide kõrval esikohale ka innovatsiooni toetamine, elektrifitseerimine, materjalitõhusus ja ringlus.</w:t>
      </w:r>
    </w:p>
    <w:p w14:paraId="00000086" w14:textId="77777777" w:rsidR="005D5113" w:rsidRPr="0098598C" w:rsidRDefault="005D5113" w:rsidP="0074642E">
      <w:pPr>
        <w:ind w:left="567"/>
      </w:pPr>
    </w:p>
    <w:p w14:paraId="00000087" w14:textId="380E5FBD" w:rsidR="005D5113" w:rsidRPr="0098598C" w:rsidRDefault="002776C5" w:rsidP="00F34E97">
      <w:pPr>
        <w:pStyle w:val="Heading2"/>
        <w:numPr>
          <w:ilvl w:val="1"/>
          <w:numId w:val="1"/>
        </w:numPr>
        <w:ind w:left="567" w:hanging="567"/>
      </w:pPr>
      <w:r>
        <w:t>Lisaks mõjutavad kriitilise toorme väljaostulepinguid ELi taksonoomia</w:t>
      </w:r>
      <w:r w:rsidRPr="0098598C">
        <w:rPr>
          <w:vertAlign w:val="superscript"/>
        </w:rPr>
        <w:footnoteReference w:id="2"/>
      </w:r>
      <w:r>
        <w:t xml:space="preserve"> ja olulise kahju ärahoidmise põhimõte. Need kokkulepped kehtestati tagamaks, et avaliku ja erasektori vahenditest ei toetata tegevust, mis kahjustab ELi keskkonnaalast terviklikkust või investorite usaldust keskkonnahoidlike klassifitseerimissüsteemide vastu. Praegused taksonoomia kriteeriumid ja künnised ei ole aga mitme kriitilise toormega seotud tegevuse puhul olemasolevate tehnoloogiatega veel täielikult saavutatavad. Seetõttu on oht, et ELi teatud strateegilised projektid ei pääse rahastamisele ligi isegi siis, kui need vastavad kõrgematele keskkonna-, töö- ja läbipaistvusstandarditele kui kolmandad riigid. Neid künniseid tuleks korrapäraselt läbi vaadata ja kohandada vastavalt tehnoloogia arengule. Olulise kahju ärahoidmise põhimõtte </w:t>
      </w:r>
      <w:proofErr w:type="spellStart"/>
      <w:r>
        <w:t>ülekanduvat</w:t>
      </w:r>
      <w:proofErr w:type="spellEnd"/>
      <w:r>
        <w:t xml:space="preserve"> mõju ELi rahastamisprogrammidele ja raamistikele tuleb kohandada, vältimaks seda, et tahtmatult takistatakse projektide juurdepääsu rahastamisele.</w:t>
      </w:r>
      <w:sdt>
        <w:sdtPr>
          <w:tag w:val="goog_rdk_72"/>
          <w:id w:val="-470122961"/>
          <w:showingPlcHdr/>
        </w:sdtPr>
        <w:sdtEndPr/>
        <w:sdtContent>
          <w:r>
            <w:t xml:space="preserve">     </w:t>
          </w:r>
        </w:sdtContent>
      </w:sdt>
    </w:p>
    <w:p w14:paraId="00000088" w14:textId="77777777" w:rsidR="005D5113" w:rsidRPr="0098598C" w:rsidRDefault="005D5113" w:rsidP="00F61A6D">
      <w:pPr>
        <w:pStyle w:val="Heading2"/>
        <w:numPr>
          <w:ilvl w:val="0"/>
          <w:numId w:val="0"/>
        </w:numPr>
        <w:ind w:left="567"/>
      </w:pPr>
    </w:p>
    <w:p w14:paraId="00000089" w14:textId="77777777" w:rsidR="005D5113" w:rsidRPr="0098598C" w:rsidRDefault="002776C5" w:rsidP="00F34E97">
      <w:pPr>
        <w:pStyle w:val="Heading2"/>
        <w:numPr>
          <w:ilvl w:val="1"/>
          <w:numId w:val="1"/>
        </w:numPr>
        <w:ind w:left="567" w:hanging="567"/>
      </w:pPr>
      <w:r>
        <w:t>Hindamisraamistikes tuleks eristada esmasele kaevandamisele omast vältimatut mõju ja välditavat kahju, mis tuleneb mitteoptimaalsetest tavadest, kus kriitilise toorme projekte peetakse ELi jaoks strateegiliseks. Veevarude, elurikkuse, reostuse vältimise, inimeste tervise ja kogukonnale avalduva mõjuga seotud keskkonnakaitse peab ka edaspidi täielikult toimima. Projekte, mille olelusringi jooksul tekkivad heitkogused on oluliselt väiksemad kui ülemaailmsetel konkurentidel, ei tohiks liigitada olulist kahju tekitavateks projektideks ja seda tuleks hindamismeetodites arvesse võtta. Vaja on terviklikumat hindamisraamistikku, mis integreerib kliimatulemused elurikkuse, vee ja saastega seotud kaalutlustega.</w:t>
      </w:r>
    </w:p>
    <w:p w14:paraId="0000008A" w14:textId="77777777" w:rsidR="005D5113" w:rsidRPr="0098598C" w:rsidRDefault="005D5113" w:rsidP="0074642E">
      <w:pPr>
        <w:ind w:left="567"/>
      </w:pPr>
    </w:p>
    <w:p w14:paraId="0000008C" w14:textId="221437AB" w:rsidR="005D5113" w:rsidRDefault="002776C5" w:rsidP="0074642E">
      <w:pPr>
        <w:pStyle w:val="Heading2"/>
        <w:numPr>
          <w:ilvl w:val="1"/>
          <w:numId w:val="1"/>
        </w:numPr>
        <w:ind w:left="567" w:hanging="567"/>
      </w:pPr>
      <w:r>
        <w:t>Komitee märgib, et ettepanekud teatava kriitilise toorme hinna alampiiride või garanteeritud miinimumhindade kohta kujutavad endast erilist ohtu. Kuigi selliste mehhanismide eesmärk on tagada investeerimiskindlus, võivad need tekitada riigi rahandusele märkimisväärse eelarveriski, kui toormehinnad järsult langevad, kandes turu volatiilsuse üle maksumaksjatele. Samal ajal võivad kriitilise toorme projektidele iseloomulik suur hinnavolatiilsus ja pikad investeerimistsüklid olla ELis suureks investeerimist takistavaks teguriks ja nendega tuleks tegeleda.</w:t>
      </w:r>
    </w:p>
    <w:p w14:paraId="4A9109E3" w14:textId="77777777" w:rsidR="00735155" w:rsidRPr="00735155" w:rsidRDefault="00735155" w:rsidP="00735155"/>
    <w:p w14:paraId="0000008D" w14:textId="0717E820" w:rsidR="005D5113" w:rsidRPr="0098598C" w:rsidRDefault="002776C5" w:rsidP="00F34E97">
      <w:pPr>
        <w:pStyle w:val="Heading2"/>
        <w:numPr>
          <w:ilvl w:val="1"/>
          <w:numId w:val="1"/>
        </w:numPr>
        <w:ind w:left="567" w:hanging="567"/>
      </w:pPr>
      <w:r>
        <w:t>Komitee väljendab heameelt komisjoni kavatsuse üle võtta kriitilise toorme toetamiseks kasutusele 3 miljardit eurot. Rahastamisvajadused on aga palju suuremad ja need peaksid kajastuma järgmises mitmeaastases finantsraamistikus. Kuigi innovatsioonifondi 2025. aasta projektikonkursi raames 1 miljardi euro eraldamine kriitilise toorme väärtusahelatele keskenduvatele puhta tehnoloogia tootmisprojektidele on positiivne samm, võivad innovatsioonifondi praegused hindamiskriteeriumid piirata selle tulemuslikkust strateegilise toorme projektide puhul. Eelkõige seab suur rõhuasetus heitkoguste mõõdetavale vähendamisele ebasoodsasse olukorda projektid, mis edendavad peaasjalikult varustuskindlust, sõltumatust, vastupanuvõimet ja tööstussuutlikkust.</w:t>
      </w:r>
    </w:p>
    <w:p w14:paraId="0000008E" w14:textId="77777777" w:rsidR="005D5113" w:rsidRPr="0098598C" w:rsidRDefault="005D5113" w:rsidP="0074642E">
      <w:pPr>
        <w:ind w:left="567"/>
      </w:pPr>
    </w:p>
    <w:p w14:paraId="0000008F" w14:textId="58E5C708" w:rsidR="005D5113" w:rsidRPr="0098598C" w:rsidRDefault="002776C5" w:rsidP="00F34E97">
      <w:pPr>
        <w:pStyle w:val="Heading2"/>
        <w:numPr>
          <w:ilvl w:val="1"/>
          <w:numId w:val="1"/>
        </w:numPr>
        <w:ind w:left="567" w:hanging="567"/>
      </w:pPr>
      <w:r>
        <w:t>Komitee väljendab heameelt komisjoni kava üle kiirendada keskkonnalubade andmist. Kiiremate menetlustega peavad aga kaasnema piisavad investeeringud avaliku sektori asutustesse ning kvaliteetsete mõjuhinnangute, järelevalve ja täitmise tagamise suutlikkuse toetamine. Protsessi kiirendamine ei tohi nõrgendada mõjuhinnangute kvaliteeti, üldsuse osalemist, õiguskaitse kättesaadavust, looduskaitsekohustusi ega veekaitsenõudeid ning mis tahes lihtsustamine peab olema rangelt halduslik, mitte sisuline.</w:t>
      </w:r>
    </w:p>
    <w:p w14:paraId="00000090" w14:textId="77777777" w:rsidR="005D5113" w:rsidRPr="0098598C" w:rsidRDefault="005D5113" w:rsidP="0074642E">
      <w:pPr>
        <w:ind w:left="567"/>
      </w:pPr>
    </w:p>
    <w:p w14:paraId="00000091" w14:textId="6EC78766" w:rsidR="005D5113" w:rsidRPr="0098598C" w:rsidRDefault="001B0A92" w:rsidP="00F34E97">
      <w:pPr>
        <w:pStyle w:val="Heading2"/>
        <w:numPr>
          <w:ilvl w:val="1"/>
          <w:numId w:val="1"/>
        </w:numPr>
        <w:ind w:left="567" w:hanging="567"/>
      </w:pPr>
      <w:r>
        <w:t xml:space="preserve">Komitee pooldab veepoliitika raamdirektiivi eelseisvat läbivaatamist, aga rõhutab, et see ei tohi viia keskkonnastandardite alandamiseni. Samal ajal tuleks läbivaatamisel tegeleda rakendamisprobleemidega, k.a loamenetlustega, ning toetada ELi strateegilist autonoomiat kriitilisele toormele turvalise juurdepääsu kaudu. </w:t>
      </w:r>
    </w:p>
    <w:p w14:paraId="00000092" w14:textId="77777777" w:rsidR="005D5113" w:rsidRPr="0098598C" w:rsidRDefault="005D5113" w:rsidP="0074642E">
      <w:pPr>
        <w:ind w:left="567"/>
        <w:rPr>
          <w:b/>
          <w:bCs/>
        </w:rPr>
      </w:pPr>
    </w:p>
    <w:p w14:paraId="00000093" w14:textId="77777777" w:rsidR="005D5113" w:rsidRPr="0098598C" w:rsidRDefault="002776C5" w:rsidP="0074642E">
      <w:pPr>
        <w:pStyle w:val="Heading1"/>
        <w:keepNext/>
        <w:keepLines/>
        <w:numPr>
          <w:ilvl w:val="0"/>
          <w:numId w:val="1"/>
        </w:numPr>
        <w:ind w:left="567" w:hanging="567"/>
      </w:pPr>
      <w:r>
        <w:rPr>
          <w:b/>
        </w:rPr>
        <w:t>Ringlus ja innovatsioon</w:t>
      </w:r>
    </w:p>
    <w:p w14:paraId="00000094" w14:textId="77777777" w:rsidR="005D5113" w:rsidRPr="0098598C" w:rsidRDefault="005D5113" w:rsidP="00F34E97">
      <w:pPr>
        <w:keepNext/>
        <w:keepLines/>
        <w:ind w:left="567"/>
      </w:pPr>
    </w:p>
    <w:p w14:paraId="00000095" w14:textId="7C3B8C49" w:rsidR="005D5113" w:rsidRPr="0098598C" w:rsidRDefault="002776C5" w:rsidP="00F34E97">
      <w:pPr>
        <w:pStyle w:val="Heading2"/>
        <w:numPr>
          <w:ilvl w:val="1"/>
          <w:numId w:val="1"/>
        </w:numPr>
        <w:ind w:left="567" w:hanging="567"/>
      </w:pPr>
      <w:r>
        <w:t xml:space="preserve">ELi turule juba lastud materjalide taaskasutamise ja korduskasutamise maksimeerimine peab olema ELi tooraine- ja tööstusstrateegia keskne tugisammas koos esmase hankimise ja tarnete mitmekesistamisega. Komitee toetab rõhuasetust kriitilise toorme ringlussevõtule ja olemasolevate jäätmevoogude paremale kasutamisele. Ringmajanduse tugevdamine on oluline, et vähendada sõltuvust ja heitkoguseid ning tugevdada Euroopa vastupanuvõimet. Ringlus on laiem kui ringlussevõtt ja peab hõlmama toote kasutusea pikendamist ning </w:t>
      </w:r>
      <w:proofErr w:type="spellStart"/>
      <w:r>
        <w:t>parandatavuse</w:t>
      </w:r>
      <w:proofErr w:type="spellEnd"/>
      <w:r>
        <w:t xml:space="preserve">, </w:t>
      </w:r>
      <w:proofErr w:type="spellStart"/>
      <w:r>
        <w:t>modulaarsuse</w:t>
      </w:r>
      <w:proofErr w:type="spellEnd"/>
      <w:r>
        <w:t xml:space="preserve"> ja korduskasutatavuse parandamist. See peab minema jäätmekäitluse lähenemisviisilt üle ressursside haldamisele.</w:t>
      </w:r>
    </w:p>
    <w:p w14:paraId="00000096" w14:textId="77777777" w:rsidR="005D5113" w:rsidRPr="0098598C" w:rsidRDefault="005D5113" w:rsidP="0074642E">
      <w:pPr>
        <w:ind w:left="567"/>
      </w:pPr>
    </w:p>
    <w:p w14:paraId="00000097" w14:textId="0BF46887" w:rsidR="005D5113" w:rsidRPr="0098598C" w:rsidRDefault="002776C5" w:rsidP="00F34E97">
      <w:pPr>
        <w:pStyle w:val="Heading2"/>
        <w:numPr>
          <w:ilvl w:val="1"/>
          <w:numId w:val="1"/>
        </w:numPr>
        <w:ind w:left="567" w:hanging="567"/>
      </w:pPr>
      <w:r>
        <w:t xml:space="preserve">Seepärast on komisjoni teadaanne alumiiniumijääke käsitlevate sihipäraste meetmete kohta teretulnud ja need tuleb viivitamata ellu viia, et ELis tekkivad kriitilise toorme jäägid aitaksid esmajoones suurendada Euroopa ringlussevõtu- ja tootmisvõimsust. See võib hõlmata asjakohaseid ekspordimeetmeid, nagu ühtne eksporditollimaks, et vähendada turu </w:t>
      </w:r>
      <w:proofErr w:type="spellStart"/>
      <w:r>
        <w:t>tasakaalustamatust</w:t>
      </w:r>
      <w:proofErr w:type="spellEnd"/>
      <w:r>
        <w:t xml:space="preserve"> ning vältida </w:t>
      </w:r>
      <w:proofErr w:type="spellStart"/>
      <w:r>
        <w:t>süsinkuheite</w:t>
      </w:r>
      <w:proofErr w:type="spellEnd"/>
      <w:r>
        <w:t xml:space="preserve"> ja väärtuse ülekandumist, järgides samal ajal ELi rahvusvahelisi kohustusi. Sellised meetmed peaksid olema proportsionaalsed, läbipaistvad ja tähtajalised ning sisaldama kaitsemeetmeid, millega välditakse keskkonnakahju (k.a ohtlikest ringlussevõtutavadest, reostusest ja tööalasest ärakasutamisest tulenev kahju) ja inimõigustega seotud riskide ülekandumist ning tagatakse väärtuse vastutustundlik säilitamine ELis. </w:t>
      </w:r>
    </w:p>
    <w:p w14:paraId="00000098" w14:textId="77777777" w:rsidR="005D5113" w:rsidRPr="0098598C" w:rsidRDefault="005D5113" w:rsidP="0074642E">
      <w:pPr>
        <w:ind w:left="567"/>
      </w:pPr>
    </w:p>
    <w:p w14:paraId="00000099" w14:textId="77777777" w:rsidR="005D5113" w:rsidRPr="0098598C" w:rsidRDefault="002776C5" w:rsidP="00F34E97">
      <w:pPr>
        <w:pStyle w:val="Heading2"/>
        <w:numPr>
          <w:ilvl w:val="1"/>
          <w:numId w:val="1"/>
        </w:numPr>
        <w:ind w:left="567" w:hanging="567"/>
      </w:pPr>
      <w:r>
        <w:t xml:space="preserve">Komitee toetab algatusi, mille eesmärk on parandada kriitilise toorme jäätmete ringlust ELis. Jäätmesaadetiste määruse kohaste menetluste lihtsustamine ja digitaliseerimine, sealhulgas digitaalne dokumentatsioon ja ühtlustatud haldusmenetlused, on positiivsed sammud. Ühtse digitaalse jäätmesaadetiste süsteemi väljatöötamine koos elektroonilise esitamise ja automaatse heakskiitmisega kindlaksmääratud tähtaegade jooksul aitab vähendada halduskoormust. Digitaalne tootepass parandab veelgi jälgitavust ja hõlbustab kvaliteetsemat ringlussevõttu, võimaldades paremini jälgida keskkonnatoimet, töötingimusi ja hoolsuskohustuste täitmist. Regulatiivne selgus on endiselt väga oluline. Et vältida viivitusi ringlussevõtul ja taaskasutamisel, on vaja selgeid ja järjepidevaid määratlusi selle kohta, millal materjal loetakse </w:t>
      </w:r>
      <w:proofErr w:type="spellStart"/>
      <w:r>
        <w:t>jäätmeks</w:t>
      </w:r>
      <w:proofErr w:type="spellEnd"/>
      <w:r>
        <w:t>, tooteks või aineks – eelkõige jäätmesaadetiste määruse ja kemikaale käsitlevate õigusaktide kokkupuutepunktis.</w:t>
      </w:r>
    </w:p>
    <w:p w14:paraId="0000009A" w14:textId="77777777" w:rsidR="005D5113" w:rsidRPr="0098598C" w:rsidRDefault="005D5113" w:rsidP="0074642E">
      <w:pPr>
        <w:ind w:left="567"/>
      </w:pPr>
    </w:p>
    <w:p w14:paraId="0000009B" w14:textId="77777777" w:rsidR="005D5113" w:rsidRPr="0098598C" w:rsidRDefault="002776C5" w:rsidP="00F34E97">
      <w:pPr>
        <w:pStyle w:val="Heading2"/>
        <w:numPr>
          <w:ilvl w:val="1"/>
          <w:numId w:val="1"/>
        </w:numPr>
        <w:ind w:left="567" w:hanging="567"/>
      </w:pPr>
      <w:r>
        <w:t xml:space="preserve">Reguleerivaid meetmeid tuleb täiendada ka õigeaegse rahastamise ja innovatsiooni toetamisega. Komitee rõhutab, et oluline </w:t>
      </w:r>
      <w:r>
        <w:rPr>
          <w:b/>
        </w:rPr>
        <w:t>on võtta kiiresti kasutusele tegevuskava „</w:t>
      </w:r>
      <w:proofErr w:type="spellStart"/>
      <w:r>
        <w:rPr>
          <w:b/>
        </w:rPr>
        <w:t>RESourceEU</w:t>
      </w:r>
      <w:proofErr w:type="spellEnd"/>
      <w:r>
        <w:rPr>
          <w:b/>
        </w:rPr>
        <w:t>“ raames välja kuulutatud rahalised vahendid</w:t>
      </w:r>
      <w:r>
        <w:t xml:space="preserve">, sealhulgas kriitilise toorme rakenduste jaoks kaitsevaldkonnas. </w:t>
      </w:r>
      <w:proofErr w:type="spellStart"/>
      <w:r>
        <w:t>Prioriseerimisotsuste</w:t>
      </w:r>
      <w:proofErr w:type="spellEnd"/>
      <w:r>
        <w:t xml:space="preserve"> tegemiseks on siiski vaja demokraatlikku vastutust, läbipaistvust ja selgeid kriteeriume ning need ei tohi kahjustada kliima- ja energiasüsteemi ümberkujundamise vajadusi ega avalikku huvi. Noorte osalemine tuleks tagada neile nõuandva rolli andmise ja struktureeritud konsultatsioonide kaudu kriitilise toorme juhtorganites ja programmides.</w:t>
      </w:r>
    </w:p>
    <w:p w14:paraId="0000009C" w14:textId="77777777" w:rsidR="005D5113" w:rsidRPr="0098598C" w:rsidRDefault="005D5113" w:rsidP="0074642E">
      <w:pPr>
        <w:ind w:left="567"/>
      </w:pPr>
    </w:p>
    <w:p w14:paraId="0000009D" w14:textId="77777777" w:rsidR="005D5113" w:rsidRPr="0098598C" w:rsidRDefault="002776C5" w:rsidP="00F61A6D">
      <w:pPr>
        <w:pStyle w:val="Heading1"/>
        <w:keepNext/>
        <w:keepLines/>
        <w:numPr>
          <w:ilvl w:val="0"/>
          <w:numId w:val="1"/>
        </w:numPr>
        <w:ind w:left="567" w:hanging="567"/>
        <w:rPr>
          <w:b/>
          <w:bCs/>
        </w:rPr>
      </w:pPr>
      <w:r>
        <w:rPr>
          <w:b/>
        </w:rPr>
        <w:t>Euroopa projektide hõlbustamine ja püsiva turu loomine</w:t>
      </w:r>
    </w:p>
    <w:p w14:paraId="0000009E" w14:textId="77777777" w:rsidR="005D5113" w:rsidRPr="0098598C" w:rsidRDefault="005D5113" w:rsidP="00F34E97">
      <w:pPr>
        <w:keepNext/>
        <w:keepLines/>
        <w:ind w:left="567"/>
      </w:pPr>
    </w:p>
    <w:p w14:paraId="0000009F" w14:textId="54305915" w:rsidR="005D5113" w:rsidRPr="0098598C" w:rsidRDefault="002776C5" w:rsidP="00F34E97">
      <w:pPr>
        <w:pStyle w:val="Heading2"/>
        <w:numPr>
          <w:ilvl w:val="1"/>
          <w:numId w:val="1"/>
        </w:numPr>
        <w:ind w:left="567" w:hanging="567"/>
      </w:pPr>
      <w:r>
        <w:t xml:space="preserve">Komitee toetab Euroopa kriitilise toorme väärtusahelate vastupanuvõime tugevdamist turupõhiste vahendite, riikliku sekkumise ja strateegilise koordineerimise kaudu. Lisaks pakkumise suurendamisele tuleks suuremat tähelepanu pöörata nõudluse kvaliteedi, </w:t>
      </w:r>
      <w:proofErr w:type="spellStart"/>
      <w:r>
        <w:t>prognoositavuse</w:t>
      </w:r>
      <w:proofErr w:type="spellEnd"/>
      <w:r>
        <w:t xml:space="preserve"> ja vastupanuvõime tugevdamisele materjalitõhususe, parema tootedisaini, kõrgemate ringlussevõtu määrade, jäätmete vähendamise ja toodete kasutusea pikendamise abil, toetades samal ajal Euroopa kestliku tootmise laiendamist. </w:t>
      </w:r>
    </w:p>
    <w:p w14:paraId="000000A0" w14:textId="77777777" w:rsidR="005D5113" w:rsidRPr="0098598C" w:rsidRDefault="005D5113" w:rsidP="0074642E">
      <w:pPr>
        <w:ind w:left="567"/>
      </w:pPr>
    </w:p>
    <w:p w14:paraId="000000A1" w14:textId="5DD66194" w:rsidR="005D5113" w:rsidRPr="0098598C" w:rsidRDefault="002776C5" w:rsidP="00F34E97">
      <w:pPr>
        <w:pStyle w:val="Heading2"/>
        <w:numPr>
          <w:ilvl w:val="1"/>
          <w:numId w:val="1"/>
        </w:numPr>
        <w:ind w:left="567" w:hanging="567"/>
      </w:pPr>
      <w:r>
        <w:t>Varude loomine võib aidata tulla toime lühiajaliste tarnešokkidega, kuid see ei saa asendada omamaise tootmis- ja töötlemisvõimsuse arendamist. ELi</w:t>
      </w:r>
      <w:r>
        <w:noBreakHyphen/>
        <w:t>põhiste projektide</w:t>
      </w:r>
      <w:r w:rsidRPr="0098598C">
        <w:rPr>
          <w:sz w:val="24"/>
          <w:szCs w:val="24"/>
          <w:vertAlign w:val="superscript"/>
        </w:rPr>
        <w:footnoteReference w:id="3"/>
      </w:r>
      <w:r>
        <w:t xml:space="preserve"> tugevdamine on strateegiliselt tähtis, et sõltuvust vähendada. Tööstuse mureküsimusi seoses omandimudelite, turumoonutuste ja väljatõrjumise mõjuga peavad tasakaalustama vastupanuvõime eesmärgid.</w:t>
      </w:r>
    </w:p>
    <w:p w14:paraId="000000A2" w14:textId="77777777" w:rsidR="005D5113" w:rsidRPr="0098598C" w:rsidRDefault="005D5113" w:rsidP="0074642E">
      <w:pPr>
        <w:ind w:left="567"/>
      </w:pPr>
    </w:p>
    <w:p w14:paraId="000000A3" w14:textId="046A5AA3" w:rsidR="005D5113" w:rsidRPr="0098598C" w:rsidRDefault="002776C5" w:rsidP="00F34E97">
      <w:pPr>
        <w:pStyle w:val="Heading2"/>
        <w:numPr>
          <w:ilvl w:val="1"/>
          <w:numId w:val="1"/>
        </w:numPr>
        <w:ind w:left="567" w:hanging="567"/>
      </w:pPr>
      <w:r>
        <w:t xml:space="preserve">Seoses kriitiliste toormete määruses kavandatud muudatusega tarnete mitmekesistamise kohta toetab komitee tarneahela riskihindamist ja suuremat läbipaistvust, kuid rõhutab, et mitmekesistamiskohustused peavad jääma proportsionaalseks ja teostatavaks. Ettevõtetelt ei tohiks nõuda mitmekesistamist, kui puuduvad elujõulised alternatiivsed allikad. Enne kohustuslike mitmekesistamisnõuete kaalumist peaks komisjoni tegevus keskenduma esmajoones võimaldavatele meetmetele, nagu ELi tootmise toetamine. Komitee rõhutab ka materjalivooge puudutavate andmete, jaotamisotsuste, laovarude ja avaliku sektori finantsriski puudutava läbipaistvuse tähtsust. Tuleks luua Euroopa toorme läbipaistvuse tulemustabel, et võimaldada demokraatlikku järelevalvet ja teadlikku avalikku arutelu. </w:t>
      </w:r>
    </w:p>
    <w:p w14:paraId="000000A4" w14:textId="77777777" w:rsidR="005D5113" w:rsidRPr="0098598C" w:rsidRDefault="005D5113" w:rsidP="0074642E">
      <w:pPr>
        <w:ind w:left="567"/>
      </w:pPr>
    </w:p>
    <w:p w14:paraId="000000A5" w14:textId="77777777" w:rsidR="005D5113" w:rsidRPr="0098598C" w:rsidRDefault="002776C5" w:rsidP="00F34E97">
      <w:pPr>
        <w:pStyle w:val="Heading2"/>
        <w:numPr>
          <w:ilvl w:val="1"/>
          <w:numId w:val="1"/>
        </w:numPr>
        <w:ind w:left="567" w:hanging="567"/>
      </w:pPr>
      <w:r>
        <w:t xml:space="preserve">Komitee rõhutab, et mitmekesistamine ei ole eesmärk omaette. Eesmärk peab olema vähendada haavatavust ja tagada, et kaevandamistegevuse suurenemisel järgitakse rangelt ja parandatakse </w:t>
      </w:r>
      <w:proofErr w:type="spellStart"/>
      <w:r>
        <w:t>kestlikkusstandardeid</w:t>
      </w:r>
      <w:proofErr w:type="spellEnd"/>
      <w:r>
        <w:t>, vähendades samal ajal nõudlust. Partnerlus peaks seetõttu olema osa laiemast strateegiast, mis ühendab varustuskindluse keskkonnaalase terviklikkuse ja ülemaailmse õiglusega.</w:t>
      </w:r>
    </w:p>
    <w:p w14:paraId="000000A6" w14:textId="77777777" w:rsidR="005D5113" w:rsidRPr="0098598C" w:rsidRDefault="005D5113" w:rsidP="0074642E">
      <w:pPr>
        <w:ind w:left="567"/>
      </w:pPr>
    </w:p>
    <w:p w14:paraId="000000A7" w14:textId="77777777" w:rsidR="005D5113" w:rsidRPr="0098598C" w:rsidRDefault="002776C5" w:rsidP="00F61A6D">
      <w:pPr>
        <w:pStyle w:val="Heading1"/>
        <w:keepNext/>
        <w:keepLines/>
        <w:numPr>
          <w:ilvl w:val="0"/>
          <w:numId w:val="1"/>
        </w:numPr>
        <w:ind w:left="567" w:hanging="567"/>
        <w:rPr>
          <w:b/>
          <w:bCs/>
        </w:rPr>
      </w:pPr>
      <w:r>
        <w:rPr>
          <w:b/>
        </w:rPr>
        <w:t>Mitmekesistamise eesmärgil kolmandate riikidega partnerlussuhete edendamine</w:t>
      </w:r>
    </w:p>
    <w:p w14:paraId="000000A8" w14:textId="77777777" w:rsidR="005D5113" w:rsidRPr="0098598C" w:rsidRDefault="005D5113" w:rsidP="00F34E97">
      <w:pPr>
        <w:keepNext/>
        <w:keepLines/>
        <w:ind w:left="567"/>
      </w:pPr>
    </w:p>
    <w:p w14:paraId="000000A9" w14:textId="5CF528E2" w:rsidR="005D5113" w:rsidRPr="0098598C" w:rsidRDefault="007A59A1" w:rsidP="00F34E97">
      <w:pPr>
        <w:pStyle w:val="Heading2"/>
        <w:numPr>
          <w:ilvl w:val="1"/>
          <w:numId w:val="1"/>
        </w:numPr>
        <w:ind w:left="567" w:hanging="567"/>
      </w:pPr>
      <w:r>
        <w:t xml:space="preserve">Kaubanduse mitmekesistamine on hädavajalik. Komitee väljendab heameelt komisjoni kavatsuse üle sõlmida kriitilise toorme partnerluslepinguid ning integreerida ELi väärtusahel strateegiliste partneritega. Partnerlus peaks toetama kolmandaid riike väärtusahelas ülespoole liikumisel ja oma tööstussuutlikkuse arendamisel. </w:t>
      </w:r>
    </w:p>
    <w:p w14:paraId="000000AA" w14:textId="77777777" w:rsidR="005D5113" w:rsidRPr="0098598C" w:rsidRDefault="005D5113" w:rsidP="0074642E">
      <w:pPr>
        <w:ind w:left="567"/>
      </w:pPr>
    </w:p>
    <w:p w14:paraId="000000AB" w14:textId="409F2C76" w:rsidR="005D5113" w:rsidRPr="0098598C" w:rsidRDefault="002776C5" w:rsidP="00F34E97">
      <w:pPr>
        <w:pStyle w:val="Heading2"/>
        <w:numPr>
          <w:ilvl w:val="1"/>
          <w:numId w:val="1"/>
        </w:numPr>
        <w:ind w:left="567" w:hanging="567"/>
      </w:pPr>
      <w:r>
        <w:t xml:space="preserve">Samal ajal ei saa </w:t>
      </w:r>
      <w:proofErr w:type="spellStart"/>
      <w:r>
        <w:t>välispartnerlus</w:t>
      </w:r>
      <w:proofErr w:type="spellEnd"/>
      <w:r>
        <w:t xml:space="preserve"> asendada ELi sisemise suutlikkuse tugevdamist. Mitmel juhul on ülemaailmsed konkurendid tegutsenud strateegiliste ressursside kindlustamiseks kiiremini kui Euroopa partnerlused on suutnud teoks saada,</w:t>
      </w:r>
      <w:r w:rsidRPr="0098598C">
        <w:rPr>
          <w:sz w:val="24"/>
          <w:szCs w:val="24"/>
          <w:vertAlign w:val="superscript"/>
        </w:rPr>
        <w:footnoteReference w:id="4"/>
      </w:r>
      <w:r>
        <w:t xml:space="preserve"> mis näitab, kui oluline on arendada suutlikkust ELis.</w:t>
      </w:r>
    </w:p>
    <w:p w14:paraId="000000AC" w14:textId="77777777" w:rsidR="005D5113" w:rsidRPr="0098598C" w:rsidRDefault="005D5113" w:rsidP="00F34E97">
      <w:pPr>
        <w:ind w:left="567"/>
      </w:pPr>
    </w:p>
    <w:p w14:paraId="000000AD" w14:textId="3579762C" w:rsidR="005D5113" w:rsidRPr="0098598C" w:rsidRDefault="002776C5" w:rsidP="00F05972">
      <w:pPr>
        <w:pStyle w:val="Heading2"/>
        <w:numPr>
          <w:ilvl w:val="1"/>
          <w:numId w:val="1"/>
        </w:numPr>
        <w:ind w:left="567" w:hanging="567"/>
      </w:pPr>
      <w:r>
        <w:t>Partnerlus peab hõlmama tugevaid juhtimisalaseid kaitsemeetmeid. Lepingud peaksid sisaldama mõõdetavaid võrdlusaluseid, läbipaistvusnõudeid ja peatamisklausleid selliste juhtumite korral, nagu tõsine keskkonnakahju, terrorismi rahastamine, rahapesu, korruptsioon või töötajate õiguste rikkumine. Strateegiline määramine ei tohi kaitsta projekte vastutusmehhanismide eest ning vastastikuse mõistmise memorandumid ja tegevuskavad peaksid olema avalikud. Tähelepanu tuleks pöörata ka korruptsiooniriskidele, tulude läbipaistvusele, kasu õiglasele jaotumisele, dokumentidele ja tegevuskavadele, tegelike kasusaajate aruandlusele ja rahvusvaheliste algatustega vastavusse viimisele, et vältida olukorda, kus ressurssidest saadav tulu suurendab ebastabiilsust või eliidipoolset hõivamist. ELi vastus geopoliitilisele konkurentsile ei tohiks korrata kaevandustööstuse jõupoliitikat, sest strateegiline autonoomia peab põhinema prognoositavatel reeglitel ja õiglasel partnerlusel. Seepärast peavad partnerluslepingud eelneva vabatahtliku ja teadva nõusoleku põhimõtte (ILO 169) lisamisega tagama, et mõjutatud põlisrahvastel on asjakohasel juhul sisuline otsustusõigus nende piirkonda mõjutavates projektides.</w:t>
      </w:r>
    </w:p>
    <w:p w14:paraId="000000AE" w14:textId="77777777" w:rsidR="005D5113" w:rsidRPr="0098598C" w:rsidRDefault="005D5113" w:rsidP="0074642E">
      <w:pPr>
        <w:ind w:left="567"/>
      </w:pPr>
    </w:p>
    <w:p w14:paraId="000000AF" w14:textId="77777777" w:rsidR="005D5113" w:rsidRPr="0098598C" w:rsidRDefault="002776C5" w:rsidP="00F34E97">
      <w:pPr>
        <w:pStyle w:val="Heading2"/>
        <w:numPr>
          <w:ilvl w:val="1"/>
          <w:numId w:val="1"/>
        </w:numPr>
        <w:ind w:left="567" w:hanging="567"/>
        <w:rPr>
          <w:b/>
          <w:bCs/>
        </w:rPr>
      </w:pPr>
      <w:r>
        <w:t xml:space="preserve">Vabakaubanduslepingute sõlmimisel tuleb leida õige tasakaal </w:t>
      </w:r>
      <w:proofErr w:type="spellStart"/>
      <w:r>
        <w:t>välistarnete</w:t>
      </w:r>
      <w:proofErr w:type="spellEnd"/>
      <w:r>
        <w:t xml:space="preserve"> mitmekesistamise ja liidusisese suutlikkuse suurendamise vahel. Kolmandates riikides ulatuslikult toodetud kriitilise toorme tariifset sooduskohtlemist (eelkõige nulltariifiga juurdepääsu) tuleks hoolikalt hinnata, kui see võib nõrgendada stiimuleid investeerida ELis asuvasse tootmis- ja ringlussevõtuvõimsusse. Kaubanduspoliitika peaks seepärast toetama mitmekesistamist, ilma et see süvendaks süsinikuheite ülekandumist või edasist sõltuvust </w:t>
      </w:r>
      <w:proofErr w:type="spellStart"/>
      <w:r>
        <w:t>välistarnijatest</w:t>
      </w:r>
      <w:proofErr w:type="spellEnd"/>
      <w:r>
        <w:t>.</w:t>
      </w:r>
    </w:p>
    <w:p w14:paraId="000000B0" w14:textId="77777777" w:rsidR="005D5113" w:rsidRPr="0098598C" w:rsidRDefault="005D5113" w:rsidP="0074642E">
      <w:pPr>
        <w:ind w:left="567"/>
      </w:pPr>
    </w:p>
    <w:p w14:paraId="000000B2" w14:textId="0ACA7637" w:rsidR="005D5113" w:rsidRPr="0098598C" w:rsidRDefault="002776C5" w:rsidP="0074642E">
      <w:pPr>
        <w:pStyle w:val="Heading2"/>
        <w:numPr>
          <w:ilvl w:val="1"/>
          <w:numId w:val="1"/>
        </w:numPr>
        <w:ind w:left="567" w:hanging="567"/>
      </w:pPr>
      <w:r>
        <w:t>Partnerluses tuleks arvesse võtta ka partnerriigi prioriteete ja toetada kohalikku majandusarengut investeeringute, oskuste ülekandmise ja kestliku väärtusloome kaudu, austades samal ajal keskkonnapiiranguid, sotsiaalseid õigusi ja kogukonna nõusolekut. Partnerluse puhul tuleks vältida sõltuvuse teket toorme hankimisel või keskkonna- ja sotsiaalsete kulude delegeerimist. Selleks et partnerluslepingud ja nendega seotud vahendid oleksid usaldusväärsed, peaksid need vabatahtlikele sätetele tuginemise asemel sisaldama sõnaselgeid töötajate põhiõigusi ja jõustatavaid hoolsuskohustuse sätteid koos järelevalve, läbipaistvuse ja õiguskaitsevahenditega kahju tekkimise korral.</w:t>
      </w:r>
    </w:p>
    <w:p w14:paraId="76473B52" w14:textId="77777777" w:rsidR="00022E7C" w:rsidRDefault="00022E7C" w:rsidP="0074642E">
      <w:pPr>
        <w:ind w:left="567"/>
        <w:jc w:val="center"/>
      </w:pPr>
    </w:p>
    <w:p w14:paraId="18A2495D" w14:textId="11350EF8" w:rsidR="00287F85" w:rsidRDefault="00287F85" w:rsidP="00022E7C">
      <w:pPr>
        <w:tabs>
          <w:tab w:val="left" w:pos="142"/>
        </w:tabs>
      </w:pPr>
      <w:r>
        <w:t>Brüssel, 20. mai 2026</w:t>
      </w:r>
    </w:p>
    <w:p w14:paraId="24E543B0" w14:textId="77777777" w:rsidR="00287F85" w:rsidRDefault="00287F85" w:rsidP="00287F85"/>
    <w:p w14:paraId="0A6274AF" w14:textId="77777777" w:rsidR="00287F85" w:rsidRDefault="00287F85" w:rsidP="00287F85"/>
    <w:p w14:paraId="7E230475" w14:textId="0A61256C" w:rsidR="00287F85" w:rsidRDefault="00287F85" w:rsidP="00022E7C">
      <w:pPr>
        <w:tabs>
          <w:tab w:val="left" w:pos="142"/>
        </w:tabs>
        <w:rPr>
          <w:i/>
          <w:iCs/>
        </w:rPr>
      </w:pPr>
      <w:r>
        <w:rPr>
          <w:i/>
        </w:rPr>
        <w:t>Tööstuse muutuste nõuandekomisjoni esimees</w:t>
      </w:r>
    </w:p>
    <w:p w14:paraId="254E9C5C" w14:textId="37678330" w:rsidR="00022E7C" w:rsidRDefault="00287F85" w:rsidP="002F4D01">
      <w:pPr>
        <w:jc w:val="left"/>
      </w:pPr>
      <w:proofErr w:type="spellStart"/>
      <w:r>
        <w:t>Alain</w:t>
      </w:r>
      <w:proofErr w:type="spellEnd"/>
      <w:r>
        <w:t xml:space="preserve"> COHEUR</w:t>
      </w:r>
    </w:p>
    <w:p w14:paraId="7A53CE54" w14:textId="11ED6744" w:rsidR="00022E7C" w:rsidRPr="0098598C" w:rsidRDefault="00022E7C" w:rsidP="002F4D01">
      <w:pPr>
        <w:overflowPunct w:val="0"/>
        <w:autoSpaceDE w:val="0"/>
        <w:autoSpaceDN w:val="0"/>
        <w:adjustRightInd w:val="0"/>
        <w:jc w:val="center"/>
        <w:textAlignment w:val="baseline"/>
      </w:pPr>
      <w:r>
        <w:t>_____________</w:t>
      </w:r>
    </w:p>
    <w:sectPr w:rsidR="00022E7C" w:rsidRPr="0098598C" w:rsidSect="00131E9C">
      <w:headerReference w:type="even" r:id="rId19"/>
      <w:headerReference w:type="default" r:id="rId20"/>
      <w:footerReference w:type="even" r:id="rId21"/>
      <w:footerReference w:type="default" r:id="rId22"/>
      <w:headerReference w:type="first" r:id="rId23"/>
      <w:footerReference w:type="first" r:id="rId24"/>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08FE" w14:textId="77777777" w:rsidR="00253A4D" w:rsidRDefault="00253A4D">
      <w:pPr>
        <w:spacing w:line="240" w:lineRule="auto"/>
      </w:pPr>
      <w:r>
        <w:separator/>
      </w:r>
    </w:p>
  </w:endnote>
  <w:endnote w:type="continuationSeparator" w:id="0">
    <w:p w14:paraId="2C695A8D" w14:textId="77777777" w:rsidR="00253A4D" w:rsidRDefault="00253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92DE" w14:textId="77777777" w:rsidR="00535399" w:rsidRPr="00131E9C" w:rsidRDefault="00535399" w:rsidP="0013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10A477EA"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rsidR="00366DD9">
      <w:t>1</w:t>
    </w:r>
    <w:r>
      <w:fldChar w:fldCharType="end"/>
    </w:r>
    <w:r>
      <w:t>/</w:t>
    </w:r>
    <w:r w:rsidR="00E900E0">
      <w:fldChar w:fldCharType="begin"/>
    </w:r>
    <w:r w:rsidR="00E900E0">
      <w:instrText xml:space="preserve"> NUMPAGES </w:instrText>
    </w:r>
    <w:r w:rsidR="00E900E0">
      <w:fldChar w:fldCharType="separate"/>
    </w:r>
    <w:r w:rsidR="00366DD9">
      <w:t>1</w:t>
    </w:r>
    <w:r w:rsidR="00E900E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6B7F" w14:textId="77777777" w:rsidR="00535399" w:rsidRPr="00131E9C" w:rsidRDefault="00535399" w:rsidP="00131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5D5113" w:rsidRPr="00131E9C" w:rsidRDefault="005D5113" w:rsidP="00131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38147BDB" w:rsidR="005D5113" w:rsidRPr="00131E9C" w:rsidRDefault="00131E9C" w:rsidP="00131E9C">
    <w:pPr>
      <w:pStyle w:val="Footer"/>
    </w:pPr>
    <w:r>
      <w:t xml:space="preserve">CCMI/259 – EESC-2026-00431-00-00-AS-TRA (EN) </w:t>
    </w:r>
    <w:r>
      <w:fldChar w:fldCharType="begin"/>
    </w:r>
    <w:r>
      <w:instrText xml:space="preserve"> PAGE  \* Arabic  \* MERGEFORMAT </w:instrText>
    </w:r>
    <w:r>
      <w:fldChar w:fldCharType="separate"/>
    </w:r>
    <w:r>
      <w:t>2</w:t>
    </w:r>
    <w:r>
      <w:fldChar w:fldCharType="end"/>
    </w:r>
    <w:r>
      <w:t>/</w:t>
    </w:r>
    <w:r w:rsidR="00E900E0">
      <w:fldChar w:fldCharType="begin"/>
    </w:r>
    <w:r w:rsidR="00E900E0">
      <w:instrText xml:space="preserve"> NUMPAGES </w:instrText>
    </w:r>
    <w:r w:rsidR="00E900E0">
      <w:fldChar w:fldCharType="separate"/>
    </w:r>
    <w:r>
      <w:t>9</w:t>
    </w:r>
    <w:r w:rsidR="00E900E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2" w14:textId="77777777" w:rsidR="005D5113" w:rsidRPr="00131E9C" w:rsidRDefault="005D5113" w:rsidP="0013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7B93" w14:textId="77777777" w:rsidR="00253A4D" w:rsidRDefault="00253A4D">
      <w:pPr>
        <w:spacing w:line="240" w:lineRule="auto"/>
      </w:pPr>
      <w:r>
        <w:separator/>
      </w:r>
    </w:p>
  </w:footnote>
  <w:footnote w:type="continuationSeparator" w:id="0">
    <w:p w14:paraId="5C29FA38" w14:textId="77777777" w:rsidR="00253A4D" w:rsidRDefault="00253A4D">
      <w:pPr>
        <w:spacing w:line="240" w:lineRule="auto"/>
      </w:pPr>
      <w:r>
        <w:continuationSeparator/>
      </w:r>
    </w:p>
  </w:footnote>
  <w:footnote w:id="1">
    <w:p w14:paraId="000000B5" w14:textId="77777777" w:rsidR="005D5113" w:rsidRDefault="002776C5">
      <w:pPr>
        <w:keepLines/>
        <w:spacing w:after="60" w:line="240" w:lineRule="auto"/>
        <w:ind w:left="567" w:hanging="567"/>
        <w:rPr>
          <w:color w:val="000000"/>
          <w:sz w:val="16"/>
          <w:szCs w:val="16"/>
        </w:rPr>
      </w:pPr>
      <w:r>
        <w:rPr>
          <w:rStyle w:val="FootnoteReference"/>
        </w:rPr>
        <w:footnoteRef/>
      </w:r>
      <w:r>
        <w:tab/>
      </w:r>
      <w:r>
        <w:rPr>
          <w:color w:val="000000"/>
          <w:sz w:val="16"/>
        </w:rPr>
        <w:t>Praktikas on nende tingimuste kumulatiivne mõju see, et energiamahukad tööstusharud, mis juba saavad kaudsete kulude hüvitist HKSist, jäetakse sellest elektrihinnasoodustusest tegelikult ilma. Rahastamiskõlbliku tarbimise ja hinna ülempiir koos investeeringute sihtotstarbelise eraldamise ja kumuleerimise vältimise rangete eeskirjadega tähendab, et ettevõtetel, kes saavutavad maksimaalse lubatud kaudsete kulude hüvitamise taseme, ei ole õigust täiendavale maksuvabastusele.</w:t>
      </w:r>
    </w:p>
  </w:footnote>
  <w:footnote w:id="2">
    <w:p w14:paraId="000000B8" w14:textId="51A67E91" w:rsidR="005D5113" w:rsidRDefault="002776C5" w:rsidP="00470E7F">
      <w:pPr>
        <w:keepLines/>
        <w:pBdr>
          <w:top w:val="nil"/>
          <w:left w:val="nil"/>
          <w:bottom w:val="nil"/>
          <w:right w:val="nil"/>
          <w:between w:val="nil"/>
        </w:pBdr>
        <w:spacing w:after="60" w:line="240" w:lineRule="auto"/>
        <w:ind w:left="567" w:hanging="567"/>
        <w:rPr>
          <w:color w:val="000000"/>
          <w:sz w:val="16"/>
          <w:szCs w:val="16"/>
        </w:rPr>
      </w:pPr>
      <w:r>
        <w:rPr>
          <w:rStyle w:val="FootnoteReference"/>
        </w:rPr>
        <w:footnoteRef/>
      </w:r>
      <w:r>
        <w:tab/>
      </w:r>
      <w:r>
        <w:rPr>
          <w:color w:val="000000"/>
          <w:sz w:val="16"/>
        </w:rPr>
        <w:t xml:space="preserve">Isegi EIP (tuntud kui Euroopa kliimapank) teatas 2025. aasta alguses, et see vastab ainult 1 % ulatuses ELi taksonoomiale, rõhutades taksonoomia liigset keerukust ja teostamatust (allikas: </w:t>
      </w:r>
      <w:hyperlink r:id="rId1">
        <w:r>
          <w:rPr>
            <w:color w:val="0000FF"/>
            <w:sz w:val="16"/>
            <w:u w:val="single"/>
          </w:rPr>
          <w:t>Financial Times</w:t>
        </w:r>
      </w:hyperlink>
      <w:r>
        <w:rPr>
          <w:color w:val="000000"/>
          <w:sz w:val="16"/>
        </w:rPr>
        <w:t>).</w:t>
      </w:r>
    </w:p>
  </w:footnote>
  <w:footnote w:id="3">
    <w:p w14:paraId="000000BA" w14:textId="77777777" w:rsidR="005D5113" w:rsidRDefault="002776C5">
      <w:pPr>
        <w:keepLines/>
        <w:spacing w:after="60" w:line="240" w:lineRule="auto"/>
        <w:ind w:left="567" w:hanging="567"/>
        <w:jc w:val="left"/>
        <w:rPr>
          <w:color w:val="000000"/>
          <w:sz w:val="16"/>
          <w:szCs w:val="16"/>
        </w:rPr>
      </w:pPr>
      <w:r>
        <w:rPr>
          <w:rStyle w:val="FootnoteReference"/>
        </w:rPr>
        <w:footnoteRef/>
      </w:r>
      <w:r>
        <w:tab/>
      </w:r>
      <w:r>
        <w:rPr>
          <w:color w:val="000000"/>
          <w:sz w:val="16"/>
        </w:rPr>
        <w:t>Komitee märgib, et kui kasvõi üks galliumi investeerimisprojekt ELis täielikult ellu viiakse, võib see katta kuni 100 % ELi nõudlusest, tugevdades märkimisväärselt peamiste tööstus- ja kaitsevaldkonna väärtusahelate varustuskindlust.</w:t>
      </w:r>
    </w:p>
  </w:footnote>
  <w:footnote w:id="4">
    <w:p w14:paraId="000000BB" w14:textId="77777777" w:rsidR="005D5113" w:rsidRDefault="002776C5">
      <w:pPr>
        <w:keepLines/>
        <w:spacing w:after="60" w:line="240" w:lineRule="auto"/>
        <w:ind w:left="567" w:hanging="567"/>
        <w:rPr>
          <w:color w:val="000000"/>
          <w:sz w:val="16"/>
          <w:szCs w:val="16"/>
        </w:rPr>
      </w:pPr>
      <w:r>
        <w:rPr>
          <w:rStyle w:val="FootnoteReference"/>
        </w:rPr>
        <w:footnoteRef/>
      </w:r>
      <w:r>
        <w:tab/>
      </w:r>
      <w:r>
        <w:rPr>
          <w:color w:val="000000"/>
          <w:sz w:val="16"/>
        </w:rPr>
        <w:t xml:space="preserve">2025. aasta lõpus kinnitasid Ameerika Ühendriigid, et nende arengu rahastamise ettevõte (Development Finance Corporation) on sõlminud märkimisväärse, kuni 465 miljoni USA dollarini ulatuva kohustuse toetada Brasiilia haruldaste muldmetallide projekti laiendamist. See leidis aset vaid mõni päev enne seda, kui ELi ametnikud pidid läbi rääkima sama tarnevõimaluse üle (allikas: </w:t>
      </w:r>
      <w:hyperlink r:id="rId2">
        <w:r>
          <w:rPr>
            <w:color w:val="0000FF"/>
            <w:sz w:val="16"/>
            <w:u w:val="single"/>
          </w:rPr>
          <w:t>link</w:t>
        </w:r>
      </w:hyperlink>
      <w:r>
        <w:rPr>
          <w:color w:val="000000"/>
          <w:sz w:val="16"/>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4569" w14:textId="77777777" w:rsidR="00535399" w:rsidRPr="00131E9C" w:rsidRDefault="00535399" w:rsidP="00131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152E" w14:textId="34BF055F" w:rsidR="00535399" w:rsidRPr="00131E9C" w:rsidRDefault="00535399" w:rsidP="00131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13EF" w14:textId="77777777" w:rsidR="00535399" w:rsidRPr="00131E9C" w:rsidRDefault="00535399" w:rsidP="00131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77777777" w:rsidR="005D5113" w:rsidRPr="00131E9C" w:rsidRDefault="005D5113" w:rsidP="00131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2254B6BA" w:rsidR="005D5113" w:rsidRPr="00131E9C" w:rsidRDefault="005D5113" w:rsidP="00131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5D5113" w:rsidRPr="00131E9C" w:rsidRDefault="005D5113" w:rsidP="0013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463893"/>
    <w:multiLevelType w:val="multilevel"/>
    <w:tmpl w:val="1FBE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F1127A"/>
    <w:multiLevelType w:val="multilevel"/>
    <w:tmpl w:val="B1269CF4"/>
    <w:lvl w:ilvl="0">
      <w:start w:val="1"/>
      <w:numFmt w:val="decimal"/>
      <w:lvlText w:val="%1."/>
      <w:lvlJc w:val="left"/>
      <w:pPr>
        <w:ind w:left="0" w:firstLine="0"/>
      </w:pPr>
      <w:rPr>
        <w:b w:val="0"/>
        <w:bCs w:val="0"/>
      </w:rPr>
    </w:lvl>
    <w:lvl w:ilvl="1">
      <w:start w:val="1"/>
      <w:numFmt w:val="decimal"/>
      <w:lvlText w:val="%1.%2"/>
      <w:lvlJc w:val="left"/>
      <w:pPr>
        <w:ind w:left="0" w:firstLine="0"/>
      </w:pPr>
      <w:rPr>
        <w:b w:val="0"/>
        <w:bCs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3F2D66"/>
    <w:multiLevelType w:val="hybridMultilevel"/>
    <w:tmpl w:val="B0D208D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13"/>
    <w:rsid w:val="00022E7C"/>
    <w:rsid w:val="000234EF"/>
    <w:rsid w:val="000316A4"/>
    <w:rsid w:val="000647C4"/>
    <w:rsid w:val="00097868"/>
    <w:rsid w:val="000C6526"/>
    <w:rsid w:val="00131E9C"/>
    <w:rsid w:val="00163874"/>
    <w:rsid w:val="001A17E8"/>
    <w:rsid w:val="001B0A92"/>
    <w:rsid w:val="00203935"/>
    <w:rsid w:val="00207100"/>
    <w:rsid w:val="00220241"/>
    <w:rsid w:val="00222467"/>
    <w:rsid w:val="002531AC"/>
    <w:rsid w:val="00253A4D"/>
    <w:rsid w:val="002776C5"/>
    <w:rsid w:val="00287F85"/>
    <w:rsid w:val="002C60A9"/>
    <w:rsid w:val="002F4D01"/>
    <w:rsid w:val="0033606E"/>
    <w:rsid w:val="00352E92"/>
    <w:rsid w:val="00366DD9"/>
    <w:rsid w:val="00395829"/>
    <w:rsid w:val="003A4D7D"/>
    <w:rsid w:val="003F7699"/>
    <w:rsid w:val="004622F2"/>
    <w:rsid w:val="00470E7F"/>
    <w:rsid w:val="004C6AC5"/>
    <w:rsid w:val="004F29A3"/>
    <w:rsid w:val="005131E9"/>
    <w:rsid w:val="00535399"/>
    <w:rsid w:val="00555C14"/>
    <w:rsid w:val="00571AA4"/>
    <w:rsid w:val="005820C5"/>
    <w:rsid w:val="005910E7"/>
    <w:rsid w:val="005B7F88"/>
    <w:rsid w:val="005C5236"/>
    <w:rsid w:val="005D5113"/>
    <w:rsid w:val="005F01A8"/>
    <w:rsid w:val="00665A23"/>
    <w:rsid w:val="006D2380"/>
    <w:rsid w:val="00735155"/>
    <w:rsid w:val="0074642E"/>
    <w:rsid w:val="00775540"/>
    <w:rsid w:val="00781846"/>
    <w:rsid w:val="007A59A1"/>
    <w:rsid w:val="007F41E4"/>
    <w:rsid w:val="0080201E"/>
    <w:rsid w:val="00844C36"/>
    <w:rsid w:val="00867044"/>
    <w:rsid w:val="008A514E"/>
    <w:rsid w:val="008B332C"/>
    <w:rsid w:val="008D59E9"/>
    <w:rsid w:val="008E13D6"/>
    <w:rsid w:val="008F35A8"/>
    <w:rsid w:val="008F44C4"/>
    <w:rsid w:val="008F5E24"/>
    <w:rsid w:val="00924D4D"/>
    <w:rsid w:val="00925C2A"/>
    <w:rsid w:val="00940078"/>
    <w:rsid w:val="0098598C"/>
    <w:rsid w:val="00997578"/>
    <w:rsid w:val="009A5A03"/>
    <w:rsid w:val="009D1717"/>
    <w:rsid w:val="009E397D"/>
    <w:rsid w:val="009E6B47"/>
    <w:rsid w:val="00AB0B7A"/>
    <w:rsid w:val="00AE4411"/>
    <w:rsid w:val="00AE506F"/>
    <w:rsid w:val="00B03123"/>
    <w:rsid w:val="00B25572"/>
    <w:rsid w:val="00BB11DC"/>
    <w:rsid w:val="00BC6555"/>
    <w:rsid w:val="00C67C89"/>
    <w:rsid w:val="00CE47A1"/>
    <w:rsid w:val="00D13955"/>
    <w:rsid w:val="00D16F2F"/>
    <w:rsid w:val="00D303ED"/>
    <w:rsid w:val="00D31B1D"/>
    <w:rsid w:val="00D75726"/>
    <w:rsid w:val="00E03EDC"/>
    <w:rsid w:val="00E11CF5"/>
    <w:rsid w:val="00E23B84"/>
    <w:rsid w:val="00E42876"/>
    <w:rsid w:val="00E55978"/>
    <w:rsid w:val="00E900E0"/>
    <w:rsid w:val="00F05972"/>
    <w:rsid w:val="00F107F5"/>
    <w:rsid w:val="00F34E97"/>
    <w:rsid w:val="00F61A6D"/>
    <w:rsid w:val="00F816E9"/>
    <w:rsid w:val="00F90D13"/>
    <w:rsid w:val="00FD016F"/>
    <w:rsid w:val="00FD0BC5"/>
    <w:rsid w:val="00FE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fr-BE"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6D"/>
    <w:rPr>
      <w:lang w:eastAsia="en-US"/>
    </w:rPr>
  </w:style>
  <w:style w:type="paragraph" w:styleId="Heading1">
    <w:name w:val="heading 1"/>
    <w:basedOn w:val="Normal"/>
    <w:next w:val="Normal"/>
    <w:link w:val="Heading1Char"/>
    <w:qFormat/>
    <w:rsid w:val="00F61A6D"/>
    <w:pPr>
      <w:numPr>
        <w:numId w:val="4"/>
      </w:numPr>
      <w:ind w:left="567" w:hanging="567"/>
      <w:outlineLvl w:val="0"/>
    </w:pPr>
    <w:rPr>
      <w:kern w:val="28"/>
    </w:rPr>
  </w:style>
  <w:style w:type="paragraph" w:styleId="Heading2">
    <w:name w:val="heading 2"/>
    <w:basedOn w:val="Normal"/>
    <w:next w:val="Normal"/>
    <w:link w:val="Heading2Char"/>
    <w:qFormat/>
    <w:rsid w:val="00F61A6D"/>
    <w:pPr>
      <w:numPr>
        <w:ilvl w:val="1"/>
        <w:numId w:val="4"/>
      </w:numPr>
      <w:ind w:left="567" w:hanging="567"/>
      <w:outlineLvl w:val="1"/>
    </w:pPr>
  </w:style>
  <w:style w:type="paragraph" w:styleId="Heading3">
    <w:name w:val="heading 3"/>
    <w:basedOn w:val="Normal"/>
    <w:next w:val="Normal"/>
    <w:link w:val="Heading3Char"/>
    <w:qFormat/>
    <w:rsid w:val="00F61A6D"/>
    <w:pPr>
      <w:numPr>
        <w:ilvl w:val="2"/>
        <w:numId w:val="4"/>
      </w:numPr>
      <w:ind w:left="567" w:hanging="567"/>
      <w:outlineLvl w:val="2"/>
    </w:pPr>
  </w:style>
  <w:style w:type="paragraph" w:styleId="Heading4">
    <w:name w:val="heading 4"/>
    <w:basedOn w:val="Normal"/>
    <w:next w:val="Normal"/>
    <w:link w:val="Heading4Char"/>
    <w:qFormat/>
    <w:rsid w:val="00F61A6D"/>
    <w:pPr>
      <w:numPr>
        <w:ilvl w:val="3"/>
        <w:numId w:val="4"/>
      </w:numPr>
      <w:ind w:left="567" w:hanging="567"/>
      <w:outlineLvl w:val="3"/>
    </w:pPr>
  </w:style>
  <w:style w:type="paragraph" w:styleId="Heading5">
    <w:name w:val="heading 5"/>
    <w:basedOn w:val="Normal"/>
    <w:next w:val="Normal"/>
    <w:link w:val="Heading5Char"/>
    <w:qFormat/>
    <w:rsid w:val="00F61A6D"/>
    <w:pPr>
      <w:numPr>
        <w:ilvl w:val="4"/>
        <w:numId w:val="4"/>
      </w:numPr>
      <w:ind w:left="567" w:hanging="567"/>
      <w:outlineLvl w:val="4"/>
    </w:pPr>
  </w:style>
  <w:style w:type="paragraph" w:styleId="Heading6">
    <w:name w:val="heading 6"/>
    <w:basedOn w:val="Normal"/>
    <w:next w:val="Normal"/>
    <w:link w:val="Heading6Char"/>
    <w:qFormat/>
    <w:rsid w:val="00F61A6D"/>
    <w:pPr>
      <w:numPr>
        <w:ilvl w:val="5"/>
        <w:numId w:val="4"/>
      </w:numPr>
      <w:ind w:left="567" w:hanging="567"/>
      <w:outlineLvl w:val="5"/>
    </w:pPr>
  </w:style>
  <w:style w:type="paragraph" w:styleId="Heading7">
    <w:name w:val="heading 7"/>
    <w:basedOn w:val="Normal"/>
    <w:next w:val="Normal"/>
    <w:link w:val="Heading7Char"/>
    <w:qFormat/>
    <w:rsid w:val="00F61A6D"/>
    <w:pPr>
      <w:numPr>
        <w:ilvl w:val="6"/>
        <w:numId w:val="4"/>
      </w:numPr>
      <w:ind w:left="567" w:hanging="567"/>
      <w:outlineLvl w:val="6"/>
    </w:pPr>
  </w:style>
  <w:style w:type="paragraph" w:styleId="Heading8">
    <w:name w:val="heading 8"/>
    <w:basedOn w:val="Normal"/>
    <w:next w:val="Normal"/>
    <w:link w:val="Heading8Char"/>
    <w:qFormat/>
    <w:rsid w:val="00F61A6D"/>
    <w:pPr>
      <w:numPr>
        <w:ilvl w:val="7"/>
        <w:numId w:val="4"/>
      </w:numPr>
      <w:ind w:left="567" w:hanging="567"/>
      <w:outlineLvl w:val="7"/>
    </w:pPr>
  </w:style>
  <w:style w:type="paragraph" w:styleId="Heading9">
    <w:name w:val="heading 9"/>
    <w:basedOn w:val="Normal"/>
    <w:next w:val="Normal"/>
    <w:link w:val="Heading9Char"/>
    <w:qFormat/>
    <w:rsid w:val="00F61A6D"/>
    <w:pPr>
      <w:numPr>
        <w:ilvl w:val="8"/>
        <w:numId w:val="4"/>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t-EE" w:eastAsia="en-US"/>
    </w:rPr>
  </w:style>
  <w:style w:type="character" w:customStyle="1" w:styleId="Heading2Char">
    <w:name w:val="Heading 2 Char"/>
    <w:basedOn w:val="DefaultParagraphFont"/>
    <w:link w:val="Heading2"/>
    <w:locked/>
    <w:rsid w:val="00CB1536"/>
    <w:rPr>
      <w:lang w:val="et-EE" w:eastAsia="en-US"/>
    </w:rPr>
  </w:style>
  <w:style w:type="character" w:customStyle="1" w:styleId="Heading3Char">
    <w:name w:val="Heading 3 Char"/>
    <w:basedOn w:val="DefaultParagraphFont"/>
    <w:link w:val="Heading3"/>
    <w:locked/>
    <w:rsid w:val="00CB1536"/>
    <w:rPr>
      <w:lang w:val="et-EE" w:eastAsia="en-US"/>
    </w:rPr>
  </w:style>
  <w:style w:type="character" w:customStyle="1" w:styleId="Heading4Char">
    <w:name w:val="Heading 4 Char"/>
    <w:basedOn w:val="DefaultParagraphFont"/>
    <w:link w:val="Heading4"/>
    <w:locked/>
    <w:rsid w:val="00CB1536"/>
    <w:rPr>
      <w:lang w:val="et-EE" w:eastAsia="en-US"/>
    </w:rPr>
  </w:style>
  <w:style w:type="character" w:customStyle="1" w:styleId="Heading5Char">
    <w:name w:val="Heading 5 Char"/>
    <w:basedOn w:val="DefaultParagraphFont"/>
    <w:link w:val="Heading5"/>
    <w:locked/>
    <w:rsid w:val="00CB1536"/>
    <w:rPr>
      <w:lang w:val="et-EE" w:eastAsia="en-US"/>
    </w:rPr>
  </w:style>
  <w:style w:type="character" w:customStyle="1" w:styleId="Heading6Char">
    <w:name w:val="Heading 6 Char"/>
    <w:basedOn w:val="DefaultParagraphFont"/>
    <w:link w:val="Heading6"/>
    <w:locked/>
    <w:rsid w:val="00CB1536"/>
    <w:rPr>
      <w:lang w:val="et-EE" w:eastAsia="en-US"/>
    </w:rPr>
  </w:style>
  <w:style w:type="character" w:customStyle="1" w:styleId="Heading7Char">
    <w:name w:val="Heading 7 Char"/>
    <w:basedOn w:val="DefaultParagraphFont"/>
    <w:link w:val="Heading7"/>
    <w:locked/>
    <w:rsid w:val="00CB1536"/>
    <w:rPr>
      <w:lang w:val="et-EE" w:eastAsia="en-US"/>
    </w:rPr>
  </w:style>
  <w:style w:type="character" w:customStyle="1" w:styleId="Heading8Char">
    <w:name w:val="Heading 8 Char"/>
    <w:basedOn w:val="DefaultParagraphFont"/>
    <w:link w:val="Heading8"/>
    <w:locked/>
    <w:rsid w:val="00CB1536"/>
    <w:rPr>
      <w:lang w:val="et-EE" w:eastAsia="en-US"/>
    </w:rPr>
  </w:style>
  <w:style w:type="character" w:customStyle="1" w:styleId="Heading9Char">
    <w:name w:val="Heading 9 Char"/>
    <w:basedOn w:val="DefaultParagraphFont"/>
    <w:link w:val="Heading9"/>
    <w:locked/>
    <w:rsid w:val="00CB1536"/>
    <w:rPr>
      <w:lang w:val="et-EE" w:eastAsia="en-US"/>
    </w:rPr>
  </w:style>
  <w:style w:type="paragraph" w:styleId="Footer">
    <w:name w:val="footer"/>
    <w:basedOn w:val="Normal"/>
    <w:link w:val="FooterChar"/>
    <w:qFormat/>
    <w:rsid w:val="00F61A6D"/>
  </w:style>
  <w:style w:type="character" w:customStyle="1" w:styleId="FooterChar">
    <w:name w:val="Footer Char"/>
    <w:basedOn w:val="DefaultParagraphFont"/>
    <w:link w:val="Footer"/>
    <w:locked/>
    <w:rsid w:val="00CB1536"/>
    <w:rPr>
      <w:lang w:val="et-EE" w:eastAsia="en-US"/>
    </w:rPr>
  </w:style>
  <w:style w:type="paragraph" w:styleId="FootnoteText">
    <w:name w:val="footnote text"/>
    <w:basedOn w:val="Normal"/>
    <w:link w:val="FootnoteTextChar"/>
    <w:qFormat/>
    <w:rsid w:val="00F61A6D"/>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t-EE" w:eastAsia="en-US"/>
    </w:rPr>
  </w:style>
  <w:style w:type="paragraph" w:styleId="Header">
    <w:name w:val="header"/>
    <w:basedOn w:val="Normal"/>
    <w:link w:val="HeaderChar"/>
    <w:qFormat/>
    <w:rsid w:val="00F61A6D"/>
  </w:style>
  <w:style w:type="character" w:customStyle="1" w:styleId="HeaderChar">
    <w:name w:val="Header Char"/>
    <w:basedOn w:val="DefaultParagraphFont"/>
    <w:link w:val="Header"/>
    <w:locked/>
    <w:rsid w:val="00CB1536"/>
    <w:rPr>
      <w:lang w:val="et-EE"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61A6D"/>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61A6D"/>
    <w:pPr>
      <w:ind w:left="720"/>
    </w:pPr>
    <w:rPr>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59A6"/>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am.Dorywalski@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thedeepdive.ca/us-beats-eu-to-brazilian-rare-earth-deal-with-465-million-commitment/" TargetMode="External"/><Relationship Id="rId1" Type="http://schemas.openxmlformats.org/officeDocument/2006/relationships/hyperlink" Target="https://www.ft.com/content/12399810-a782-465b-8378-5099252306a5?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VP3JK3XSEPRV-2087481956-9359</_dlc_DocId>
    <_dlc_DocIdUrl xmlns="7d640e6d-779c-472f-a269-6b546787f1c9">
      <Url>http://dm/eesc/2026/_layouts/15/DocIdRedir.aspx?ID=VP3JK3XSEPRV-2087481956-9359</Url>
      <Description>VP3JK3XSEPRV-2087481956-9359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2026-05-27T12:00:00+00:00</ProductionDate>
    <DocumentNumber xmlns="a95533f8-59af-4217-bc7a-c1167744adb0">431</DocumentNumber>
    <FicheYear xmlns="7d640e6d-779c-472f-a269-6b546787f1c9" xsi:nil="true"/>
    <DossierNumber xmlns="7d640e6d-779c-472f-a269-6b546787f1c9">259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66</Value>
      <Value>60</Value>
      <Value>59</Value>
      <Value>55</Value>
      <Value>53</Value>
      <Value>51</Value>
      <Value>47</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Rapporteur xmlns="7d640e6d-779c-472f-a269-6b546787f1c9">DIAMANTOUROS &amp; MEYSNER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303588</FicheNumber>
    <OriginalSender xmlns="7d640e6d-779c-472f-a269-6b546787f1c9">
      <UserInfo>
        <DisplayName>Veermäe Ülle</DisplayName>
        <AccountId>1439</AccountId>
        <AccountType/>
      </UserInfo>
    </OriginalSender>
    <DocumentPart xmlns="7d640e6d-779c-472f-a269-6b546787f1c9">0</DocumentPart>
    <AdoptionDate xmlns="7d640e6d-779c-472f-a269-6b546787f1c9" xsi:nil="true"/>
    <RequestingService xmlns="7d640e6d-779c-472f-a269-6b546787f1c9">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7AC21-5F14-4D64-8BE7-6E3E946FB4DE}">
  <ds:schemaRefs>
    <ds:schemaRef ds:uri="http://schemas.microsoft.com/sharepoint/events"/>
  </ds:schemaRefs>
</ds:datastoreItem>
</file>

<file path=customXml/itemProps2.xml><?xml version="1.0" encoding="utf-8"?>
<ds:datastoreItem xmlns:ds="http://schemas.openxmlformats.org/officeDocument/2006/customXml" ds:itemID="{65067627-7849-49A8-833B-AAB0F78D1AB5}"/>
</file>

<file path=customXml/itemProps3.xml><?xml version="1.0" encoding="utf-8"?>
<ds:datastoreItem xmlns:ds="http://schemas.openxmlformats.org/officeDocument/2006/customXml" ds:itemID="{F3F457AB-1AFD-49D4-AA71-DF0CCACFA9D9}">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4.xml><?xml version="1.0" encoding="utf-8"?>
<ds:datastoreItem xmlns:ds="http://schemas.openxmlformats.org/officeDocument/2006/customXml" ds:itemID="{FC6AE3F6-A2F7-42F6-AB00-0CD22F404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3357</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Tegevuskava 'RESourceEU'</dc:title>
  <dc:subject>Draft opinion</dc:subject>
  <dc:creator/>
  <cp:keywords>EESC-2026-00431-00-00-PA-TRA-EN</cp:keywords>
  <dc:description>Rapporteur: - DIAMANTOUROS &amp; MEYSNER Original language: - EN Date of document: - 04/05/2026 Date of meeting: - 20/05/2026 External documents: - COM(2025)945- final Administrator responsible: -  DORYWALSKI ADAM</dc:description>
  <cp:lastModifiedBy/>
  <cp:revision>9</cp:revision>
  <dcterms:created xsi:type="dcterms:W3CDTF">2026-05-22T13:56:00Z</dcterms:created>
  <dcterms:modified xsi:type="dcterms:W3CDTF">2026-05-27T14:43:00Z</dcterms:modified>
  <cp:category>CCMI/259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22/05/2026, 04/05/2026, 13/02/2026, 12/04/2024, 17/05/2022, 04/11/2015, 27/10/2015, 19/10/2015, 09/10/2015, 05/10/2015, 05/10/2015, 26/08/2015, 26/08/2015, 25/08/2015</vt:lpwstr>
  </property>
  <property fmtid="{D5CDD505-2E9C-101B-9397-08002B2CF9AE}" pid="4" name="Pref_Time">
    <vt:lpwstr>15:54:44, 15:16:52, 10:10:24, 12:08:09, 12:59:17, 12/10/07, 14:44:02, 16/04/16, 14:09:30, 16:24:55, 16:04:02, 08:56:14, 07:27:56, 17:31:53</vt:lpwstr>
  </property>
  <property fmtid="{D5CDD505-2E9C-101B-9397-08002B2CF9AE}" pid="5" name="Pref_User">
    <vt:lpwstr>amett, amett, nnas, enied, enied, ssex, enied, amett, tvoc, mreg, mreg, amett, enied, ssex</vt:lpwstr>
  </property>
  <property fmtid="{D5CDD505-2E9C-101B-9397-08002B2CF9AE}" pid="6" name="Pref_FileName">
    <vt:lpwstr>EESC-2026-00431-00-00-AS-TRA-EN-CRR.docx, EESC-2026-00431-00-00-PA-ORI.docx, EESC-2026-00431-00-00-DT-ORI.docx, COR-EESC-2024-01326-00-00-ADMIN-ORI.docx, COR-EESC-2022-02586-00-00-ADMIN-ORI.docx, EESC-2015-05408-00-00-PA-CRR-EN.docx, EESC-2015-05408-00-01</vt:lpwstr>
  </property>
  <property fmtid="{D5CDD505-2E9C-101B-9397-08002B2CF9AE}" pid="7" name="ContentTypeId">
    <vt:lpwstr>0x010100EA97B91038054C99906057A708A1480A0042CFDF3EA65A64469BBC042F89C9AB74</vt:lpwstr>
  </property>
  <property fmtid="{D5CDD505-2E9C-101B-9397-08002B2CF9AE}" pid="8" name="_dlc_DocIdItemGuid">
    <vt:lpwstr>dacd6096-74c0-469c-89a6-c409ef4645ba</vt:lpwstr>
  </property>
  <property fmtid="{D5CDD505-2E9C-101B-9397-08002B2CF9AE}" pid="9" name="AvailableTranslations">
    <vt:lpwstr>25;#FI|87606a43-d45f-42d6-b8c9-e1a3457db5b7;#34;#HR|2f555653-ed1a-4fe6-8362-9082d95989e5;#32;#PL|1e03da61-4678-4e07-b136-b5024ca9197b;#4;#EN|f2175f21-25d7-44a3-96da-d6a61b075e1b;#51;#LV|46f7e311-5d9f-4663-b433-18aeccb7ace7;#45;#SV|c2ed69e7-a339-43d7-8f22-d93680a92aa0;#12;#ES|e7a6b05b-ae16-40c8-add9-68b64b03aeba;#66;#GA|762d2456-c427-4ecb-b312-af3dad8e258c;#29;#CS|72f9705b-0217-4fd3-bea2-cbc7ed80e26e;#60;#EL|6d4f4d51-af9b-4650-94b4-4276bee85c91;#37;#HU|6b229040-c589-4408-b4c1-4285663d20a8;#46;#DA|5d49c027-8956-412b-aa16-e85a0f96ad0e;#28;#PT|50ccc04a-eadd-42ae-a0cb-acaf45f812ba;#36;#NL|55c6556c-b4f4-441d-9acf-c498d4f838bd;#23;#FR|d2afafd3-4c81-4f60-8f52-ee33f2f54ff3;#13;#IT|0774613c-01ed-4e5d-a25d-11d2388de825;#53;#MT|7df99101-6854-4a26-b53a-b88c0da02c26;#30;#SK|46d9fce0-ef79-4f71-b89b-cd6aa82426b8;#55;#RO|feb747a2-64cd-4299-af12-4833ddc30497;#44;#LT|a7ff5ce7-6123-4f68-865a-a57c31810414;#31;#SL|98a412ae-eb01-49e9-ae3d-585a81724cfc;#27;#ET|ff6c3f4c-b02c-4c3c-ab07-2c37995a7a0a;#43;#BG|1a1b3951-7821-4e6a-85f5-5673fc08bd2c;#11;#DE|f6b31e5a-26fa-4935-b661-318e46daf27e</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431</vt:i4>
  </property>
  <property fmtid="{D5CDD505-2E9C-101B-9397-08002B2CF9AE}" pid="14" name="FicheYear">
    <vt:i4>2026</vt:i4>
  </property>
  <property fmtid="{D5CDD505-2E9C-101B-9397-08002B2CF9AE}" pid="15" name="DocumentVersion">
    <vt:i4>0</vt:i4>
  </property>
  <property fmtid="{D5CDD505-2E9C-101B-9397-08002B2CF9AE}" pid="16" name="DossierNumber">
    <vt:i4>259</vt:i4>
  </property>
  <property fmtid="{D5CDD505-2E9C-101B-9397-08002B2CF9AE}" pid="17" name="DocumentStatus">
    <vt:lpwstr>9;#TRA|150d2a88-1431-44e6-a8ca-0bb753ab8672</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2026-06-17T12:00:00Z</vt:filetime>
  </property>
  <property fmtid="{D5CDD505-2E9C-101B-9397-08002B2CF9AE}" pid="26" name="AvailableTranslations_0">
    <vt:lpwstr>FI|87606a43-d45f-42d6-b8c9-e1a3457db5b7;HR|2f555653-ed1a-4fe6-8362-9082d95989e5;PL|1e03da61-4678-4e07-b136-b5024ca9197b;EN|f2175f21-25d7-44a3-96da-d6a61b075e1b;LV|46f7e311-5d9f-4663-b433-18aeccb7ace7;SV|c2ed69e7-a339-43d7-8f22-d93680a92aa0;ES|e7a6b05b-ae16-40c8-add9-68b64b03aeba;GA|762d2456-c427-4ecb-b312-af3dad8e258c;CS|72f9705b-0217-4fd3-bea2-cbc7ed80e26e;EL|6d4f4d51-af9b-4650-94b4-4276bee85c91;HU|6b229040-c589-4408-b4c1-4285663d20a8;DA|5d49c027-8956-412b-aa16-e85a0f96ad0e;PT|50ccc04a-eadd-42ae-a0cb-acaf45f812ba;NL|55c6556c-b4f4-441d-9acf-c498d4f838bd;FR|d2afafd3-4c81-4f60-8f52-ee33f2f54ff3;IT|0774613c-01ed-4e5d-a25d-11d2388de825;MT|7df99101-6854-4a26-b53a-b88c0da02c26;SK|46d9fce0-ef79-4f71-b89b-cd6aa82426b8;RO|feb747a2-64cd-4299-af12-4833ddc30497;LT|a7ff5ce7-6123-4f68-865a-a57c31810414;SL|98a412ae-eb01-49e9-ae3d-585a81724cfc;BG|1a1b3951-7821-4e6a-85f5-5673fc08bd2c;DE|f6b31e5a-26fa-4935-b661-318e46daf27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43;#BG|1a1b3951-7821-4e6a-85f5-5673fc08bd2c;#66;#GA|762d2456-c427-4ecb-b312-af3dad8e258c;#60;#EL|6d4f4d51-af9b-4650-94b4-4276bee85c91;#59;#SPL-CES|32d8cb1f-c9ec-4365-95c7-8385a18618ac;#55;#RO|feb747a2-64cd-4299-af12-4833ddc30497;#53;#MT|7df99101-6854-4a26-b53a-b88c0da02c26;#51;#LV|46f7e311-5d9f-4663-b433-18aeccb7ace7;#47;#CCMI|3451ec22-e6ff-42b3-8610-379fec773b3a;#46;#DA|5d49c027-8956-412b-aa16-e85a0f96ad0e;#45;#SV|c2ed69e7-a339-43d7-8f22-d93680a92aa0;#44;#LT|a7ff5ce7-6123-4f68-865a-a57c31810414;#132;#AS|c7a748eb-f6f2-4d9d-8b5a-af0cafebc224;#37;#HU|6b229040-c589-4408-b4c1-4285663d20a8;#36;#NL|55c6556c-b4f4-441d-9acf-c498d4f838bd;#34;#HR|2f555653-ed1a-4fe6-8362-9082d95989e5;#32;#PL|1e03da61-4678-4e07-b136-b5024ca9197b;#31;#SL|98a412ae-eb01-49e9-ae3d-585a81724cfc;#30;#SK|46d9fce0-ef79-4f71-b89b-cd6aa82426b8;#29;#CS|72f9705b-0217-4fd3-bea2-cbc7ed80e26e;#28;#PT|50ccc04a-eadd-42ae-a0cb-acaf45f812ba;#25;#FI|87606a43-d45f-42d6-b8c9-e1a3457db5b7;#23;#FR|d2afafd3-4c81-4f60-8f52-ee33f2f54ff3;#19;#Unrestricted|826e22d7-d029-4ec0-a450-0c28ff673572;#13;#IT|0774613c-01ed-4e5d-a25d-11d2388de825;#12;#ES|e7a6b05b-ae16-40c8-add9-68b64b03aeba;#11;#DE|f6b31e5a-26fa-4935-b661-318e46daf27e;#9;#TRA|150d2a88-1431-44e6-a8ca-0bb753ab8672;#7;#Final|ea5e6674-7b27-4bac-b091-73adbb394efe;#4;#EN|f2175f21-25d7-44a3-96da-d6a61b075e1b;#1;#EESC|422833ec-8d7e-4e65-8e4e-8bed07ffb729</vt:lpwstr>
  </property>
  <property fmtid="{D5CDD505-2E9C-101B-9397-08002B2CF9AE}" pid="30" name="Rapporteur">
    <vt:lpwstr>DIAMANTOUROS &amp; MEYSNER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303588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27;#ET|ff6c3f4c-b02c-4c3c-ab07-2c37995a7a0a</vt:lpwstr>
  </property>
  <property fmtid="{D5CDD505-2E9C-101B-9397-08002B2CF9AE}" pid="40" name="_docset_NoMedatataSyncRequired">
    <vt:lpwstr>False</vt:lpwstr>
  </property>
  <property fmtid="{D5CDD505-2E9C-101B-9397-08002B2CF9AE}" pid="41" name="MeetingNumber">
    <vt:i4>606</vt:i4>
  </property>
  <property fmtid="{D5CDD505-2E9C-101B-9397-08002B2CF9AE}" pid="42" name="DocumentLanguage_0">
    <vt:lpwstr>EN|f2175f21-25d7-44a3-96da-d6a61b075e1b</vt:lpwstr>
  </property>
</Properties>
</file>