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674AD80" w:rsidR="005D5113" w:rsidRPr="0098598C" w:rsidRDefault="00B23789" w:rsidP="0074642E">
      <w:pPr>
        <w:jc w:val="center"/>
      </w:pPr>
      <w:r>
        <w:rPr>
          <w:noProof/>
        </w:rPr>
        <w:drawing>
          <wp:inline distT="0" distB="0" distL="0" distR="0" wp14:anchorId="473B5A9F" wp14:editId="1C44FAAE">
            <wp:extent cx="1792605" cy="1239520"/>
            <wp:effectExtent l="0" t="0" r="0" b="0"/>
            <wp:docPr id="290125506" name="Picture 2" title="EESCLogo_NL"/>
            <wp:cNvGraphicFramePr/>
            <a:graphic xmlns:a="http://schemas.openxmlformats.org/drawingml/2006/main">
              <a:graphicData uri="http://schemas.openxmlformats.org/drawingml/2006/picture">
                <pic:pic xmlns:pic="http://schemas.openxmlformats.org/drawingml/2006/picture">
                  <pic:nvPicPr>
                    <pic:cNvPr id="290125506" name="Picture 2" title="EESCLogo_N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2776C5">
        <w:rPr>
          <w:noProof/>
          <w:sz w:val="20"/>
        </w:rPr>
        <mc:AlternateContent>
          <mc:Choice Requires="wps">
            <w:drawing>
              <wp:anchor distT="0" distB="0" distL="0" distR="0" simplePos="0" relativeHeight="251659776" behindDoc="1" locked="0" layoutInCell="1" hidden="0" allowOverlap="1" wp14:anchorId="18BA5486" wp14:editId="6530CD68">
                <wp:simplePos x="0" y="0"/>
                <wp:positionH relativeFrom="page">
                  <wp:posOffset>6759576</wp:posOffset>
                </wp:positionH>
                <wp:positionV relativeFrom="page">
                  <wp:posOffset>10071736</wp:posOffset>
                </wp:positionV>
                <wp:extent cx="666750" cy="415290"/>
                <wp:effectExtent l="0" t="0" r="0" b="0"/>
                <wp:wrapNone/>
                <wp:docPr id="1585139010" name="Rectangle 1585139010"/>
                <wp:cNvGraphicFramePr/>
                <a:graphic xmlns:a="http://schemas.openxmlformats.org/drawingml/2006/main">
                  <a:graphicData uri="http://schemas.microsoft.com/office/word/2010/wordprocessingShape">
                    <wps:wsp>
                      <wps:cNvSpPr/>
                      <wps:spPr>
                        <a:xfrm>
                          <a:off x="5022150" y="3581880"/>
                          <a:ext cx="647700" cy="396240"/>
                        </a:xfrm>
                        <a:prstGeom prst="rect">
                          <a:avLst/>
                        </a:prstGeom>
                        <a:noFill/>
                        <a:ln>
                          <a:noFill/>
                        </a:ln>
                      </wps:spPr>
                      <wps:txbx>
                        <w:txbxContent>
                          <w:p w14:paraId="51801290" w14:textId="77777777" w:rsidR="005D5113" w:rsidRDefault="002776C5">
                            <w:pPr>
                              <w:jc w:val="center"/>
                              <w:textDirection w:val="btLr"/>
                            </w:pPr>
                            <w:r>
                              <w:rPr>
                                <w:rFonts w:ascii="Arial" w:hAnsi="Arial"/>
                                <w:b/>
                                <w:color w:val="000000"/>
                                <w:sz w:val="48"/>
                              </w:rPr>
                              <w:t>NL</w:t>
                            </w:r>
                          </w:p>
                        </w:txbxContent>
                      </wps:txbx>
                      <wps:bodyPr spcFirstLastPara="1" wrap="square" lIns="91425" tIns="45700" rIns="91425" bIns="45700" anchor="t" anchorCtr="0">
                        <a:noAutofit/>
                      </wps:bodyPr>
                    </wps:wsp>
                  </a:graphicData>
                </a:graphic>
              </wp:anchor>
            </w:drawing>
          </mc:Choice>
          <mc:Fallback>
            <w:pict>
              <v:rect w14:anchorId="18BA5486" id="Rectangle 1585139010" o:spid="_x0000_s1026" style="position:absolute;left:0;text-align:left;margin-left:532.25pt;margin-top:793.05pt;width:52.5pt;height:32.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" filled="f" stroked="f">
                <v:textbox inset="2.53958mm,1.2694mm,2.53958mm,1.2694mm">
                  <w:txbxContent>
                    <w:p w14:paraId="51801290" w14:textId="77777777" w:rsidR="005D5113" w:rsidRDefault="002776C5">
                      <w:pPr>
                        <w:jc w:val="center"/>
                        <w:textDirection w:val="btLr"/>
                      </w:pPr>
                      <w:r>
                        <w:rPr>
                          <w:rFonts w:ascii="Arial" w:hAnsi="Arial"/>
                          <w:b/>
                          <w:color w:val="000000"/>
                          <w:sz w:val="48"/>
                        </w:rPr>
                        <w:t>NL</w:t>
                      </w:r>
                    </w:p>
                  </w:txbxContent>
                </v:textbox>
                <w10:wrap anchorx="page" anchory="page"/>
              </v:rect>
            </w:pict>
          </mc:Fallback>
        </mc:AlternateContent>
      </w:r>
    </w:p>
    <w:p w14:paraId="00000002" w14:textId="77777777" w:rsidR="005D5113" w:rsidRPr="0098598C" w:rsidRDefault="005D5113" w:rsidP="0074642E"/>
    <w:p w14:paraId="00000003" w14:textId="77777777" w:rsidR="005D5113" w:rsidRPr="0098598C" w:rsidRDefault="002776C5" w:rsidP="0074642E">
      <w:pPr>
        <w:jc w:val="right"/>
      </w:pPr>
      <w:r>
        <w:rPr>
          <w:b/>
        </w:rPr>
        <w:t>CCMI/259</w:t>
      </w:r>
    </w:p>
    <w:p w14:paraId="00000004" w14:textId="77777777" w:rsidR="005D5113" w:rsidRPr="0098598C" w:rsidRDefault="002776C5" w:rsidP="0074642E">
      <w:pPr>
        <w:ind w:left="4820"/>
        <w:jc w:val="right"/>
        <w:rPr>
          <w:b/>
          <w:bCs/>
        </w:rPr>
      </w:pPr>
      <w:r>
        <w:rPr>
          <w:b/>
        </w:rPr>
        <w:t>RESourceEU-actieplan</w:t>
      </w:r>
    </w:p>
    <w:p w14:paraId="00000005" w14:textId="77777777" w:rsidR="005D5113" w:rsidRPr="0098598C" w:rsidRDefault="005D5113" w:rsidP="0074642E"/>
    <w:p w14:paraId="00000006" w14:textId="77777777" w:rsidR="005D5113" w:rsidRPr="0098598C" w:rsidRDefault="005D5113" w:rsidP="0074642E"/>
    <w:p w14:paraId="00000007" w14:textId="6C25DD2A" w:rsidR="005D5113" w:rsidRPr="0098598C" w:rsidRDefault="002776C5" w:rsidP="0074642E">
      <w:pPr>
        <w:jc w:val="center"/>
        <w:rPr>
          <w:b/>
          <w:bCs/>
          <w:sz w:val="28"/>
          <w:szCs w:val="28"/>
        </w:rPr>
      </w:pPr>
      <w:r>
        <w:rPr>
          <w:b/>
          <w:sz w:val="28"/>
        </w:rPr>
        <w:t>ADVIES</w:t>
      </w:r>
    </w:p>
    <w:p w14:paraId="00000008" w14:textId="77777777" w:rsidR="005D5113" w:rsidRPr="0098598C" w:rsidRDefault="005D5113" w:rsidP="0074642E">
      <w:pPr>
        <w:jc w:val="center"/>
      </w:pPr>
    </w:p>
    <w:p w14:paraId="00000009" w14:textId="77777777" w:rsidR="005D5113" w:rsidRPr="0098598C" w:rsidRDefault="002776C5" w:rsidP="0074642E">
      <w:pPr>
        <w:jc w:val="center"/>
      </w:pPr>
      <w:r>
        <w:t>Adviescommissie Industriële Reconversie</w:t>
      </w:r>
    </w:p>
    <w:p w14:paraId="51D1ED50" w14:textId="77777777" w:rsidR="00203935" w:rsidRPr="0098598C" w:rsidRDefault="00203935" w:rsidP="0074642E">
      <w:pPr>
        <w:jc w:val="center"/>
      </w:pPr>
    </w:p>
    <w:p w14:paraId="0000000E" w14:textId="0134C93A" w:rsidR="005D5113" w:rsidRPr="002F4D01" w:rsidRDefault="00AE4411" w:rsidP="0074642E">
      <w:pPr>
        <w:jc w:val="center"/>
      </w:pPr>
      <w:r>
        <w:rPr>
          <w:b/>
        </w:rPr>
        <w:t>Mededeling van de Commissie aan het Europees Parlement, de Raad, het Europees Economisch en Sociaal Comité en het Comité van de Regio’s – RESourceEU-actieplan – Versnelling van de strategie voor kritieke grondstoffen om te kunnen inspelen op een nieuwe realiteit</w:t>
      </w:r>
      <w:r>
        <w:rPr>
          <w:b/>
        </w:rPr>
        <w:br/>
      </w:r>
      <w:r>
        <w:t>(COM(2025) 945 final)</w:t>
      </w:r>
    </w:p>
    <w:p w14:paraId="0000000F" w14:textId="77777777" w:rsidR="005D5113" w:rsidRPr="002F4D01" w:rsidRDefault="005D5113" w:rsidP="0074642E">
      <w:pPr>
        <w:jc w:val="center"/>
        <w:rPr>
          <w:lang w:val="pt-PT"/>
        </w:rPr>
      </w:pPr>
    </w:p>
    <w:p w14:paraId="00000010" w14:textId="77777777" w:rsidR="005D5113" w:rsidRPr="008B332C" w:rsidRDefault="002776C5" w:rsidP="0074642E">
      <w:pPr>
        <w:jc w:val="center"/>
      </w:pPr>
      <w:r>
        <w:t xml:space="preserve">Rapporteur: </w:t>
      </w:r>
      <w:r>
        <w:rPr>
          <w:b/>
        </w:rPr>
        <w:t>Konstantinos DIAMANTOUROS (EL-I)</w:t>
      </w:r>
    </w:p>
    <w:p w14:paraId="00000011" w14:textId="77777777" w:rsidR="005D5113" w:rsidRPr="0098598C" w:rsidRDefault="002776C5" w:rsidP="0074642E">
      <w:pPr>
        <w:jc w:val="center"/>
        <w:rPr>
          <w:b/>
          <w:bCs/>
        </w:rPr>
      </w:pPr>
      <w:r>
        <w:t xml:space="preserve">Corapporteur: </w:t>
      </w:r>
      <w:r>
        <w:rPr>
          <w:b/>
        </w:rPr>
        <w:t>Agata MEYSNER (PL-Cat. 3)</w:t>
      </w:r>
    </w:p>
    <w:p w14:paraId="00000012" w14:textId="77777777" w:rsidR="005D5113" w:rsidRPr="0098598C" w:rsidRDefault="005D5113" w:rsidP="0074642E"/>
    <w:p w14:paraId="0000002C" w14:textId="77777777" w:rsidR="005D5113" w:rsidRPr="0098598C" w:rsidRDefault="005D5113" w:rsidP="0074642E"/>
    <w:p w14:paraId="0000002D" w14:textId="77777777" w:rsidR="005D5113" w:rsidRPr="0098598C" w:rsidRDefault="005D5113" w:rsidP="0074642E"/>
    <w:tbl>
      <w:tblPr>
        <w:tblpPr w:leftFromText="181" w:rightFromText="181" w:vertAnchor="page" w:horzAnchor="margin" w:tblpY="13094"/>
        <w:tblW w:w="9289" w:type="dxa"/>
        <w:tblLayout w:type="fixed"/>
        <w:tblLook w:val="0400" w:firstRow="0" w:lastRow="0" w:firstColumn="0" w:lastColumn="0" w:noHBand="0" w:noVBand="1"/>
      </w:tblPr>
      <w:tblGrid>
        <w:gridCol w:w="3085"/>
        <w:gridCol w:w="6204"/>
      </w:tblGrid>
      <w:tr w:rsidR="00203935" w:rsidRPr="0098598C" w14:paraId="512E5FD9" w14:textId="77777777" w:rsidTr="006030E5">
        <w:tc>
          <w:tcPr>
            <w:tcW w:w="3085" w:type="dxa"/>
          </w:tcPr>
          <w:p w14:paraId="58F3BE13" w14:textId="77777777" w:rsidR="00203935" w:rsidRPr="0098598C" w:rsidRDefault="00203935" w:rsidP="0074642E">
            <w:pPr>
              <w:jc w:val="left"/>
            </w:pPr>
            <w:r>
              <w:t>Contact</w:t>
            </w:r>
          </w:p>
        </w:tc>
        <w:tc>
          <w:tcPr>
            <w:tcW w:w="6204" w:type="dxa"/>
          </w:tcPr>
          <w:p w14:paraId="19CFBA64" w14:textId="76B27BD9" w:rsidR="00203935" w:rsidRPr="0098598C" w:rsidRDefault="00737F2B" w:rsidP="0074642E">
            <w:pPr>
              <w:jc w:val="left"/>
            </w:pPr>
            <w:hyperlink r:id="rId12" w:history="1">
              <w:r>
                <w:rPr>
                  <w:rStyle w:val="Hyperlink"/>
                </w:rPr>
                <w:t>Adam.Dorywalski@eesc.europa.eu</w:t>
              </w:r>
            </w:hyperlink>
          </w:p>
        </w:tc>
      </w:tr>
      <w:tr w:rsidR="00203935" w:rsidRPr="0098598C" w14:paraId="1ED11616" w14:textId="77777777" w:rsidTr="006030E5">
        <w:tc>
          <w:tcPr>
            <w:tcW w:w="3085" w:type="dxa"/>
          </w:tcPr>
          <w:p w14:paraId="7B1FF9A5" w14:textId="77777777" w:rsidR="00203935" w:rsidRPr="0098598C" w:rsidRDefault="00203935" w:rsidP="0074642E">
            <w:pPr>
              <w:jc w:val="left"/>
            </w:pPr>
            <w:r>
              <w:t>Administrateur</w:t>
            </w:r>
          </w:p>
        </w:tc>
        <w:tc>
          <w:tcPr>
            <w:tcW w:w="6204" w:type="dxa"/>
          </w:tcPr>
          <w:p w14:paraId="14B92BC6" w14:textId="77777777" w:rsidR="00203935" w:rsidRPr="0098598C" w:rsidRDefault="00203935" w:rsidP="0074642E">
            <w:pPr>
              <w:jc w:val="left"/>
            </w:pPr>
            <w:r>
              <w:t>Adam Dorywalski</w:t>
            </w:r>
          </w:p>
        </w:tc>
      </w:tr>
      <w:tr w:rsidR="00203935" w:rsidRPr="0098598C" w14:paraId="58EE73B4" w14:textId="77777777" w:rsidTr="006030E5">
        <w:tc>
          <w:tcPr>
            <w:tcW w:w="3085" w:type="dxa"/>
          </w:tcPr>
          <w:p w14:paraId="56490496" w14:textId="77777777" w:rsidR="00203935" w:rsidRPr="0098598C" w:rsidRDefault="00203935" w:rsidP="0074642E">
            <w:pPr>
              <w:jc w:val="left"/>
            </w:pPr>
            <w:r>
              <w:t>Datum document</w:t>
            </w:r>
          </w:p>
        </w:tc>
        <w:tc>
          <w:tcPr>
            <w:tcW w:w="6204" w:type="dxa"/>
          </w:tcPr>
          <w:p w14:paraId="4A41C9FB" w14:textId="771CF670" w:rsidR="00203935" w:rsidRPr="0098598C" w:rsidRDefault="00131E9C" w:rsidP="0074642E">
            <w:pPr>
              <w:jc w:val="left"/>
            </w:pPr>
            <w:r>
              <w:t>27/5/2026</w:t>
            </w:r>
          </w:p>
        </w:tc>
      </w:tr>
    </w:tbl>
    <w:p w14:paraId="0000002E" w14:textId="12BE4666" w:rsidR="005D5113" w:rsidRPr="0098598C" w:rsidRDefault="005D5113" w:rsidP="0074642E">
      <w:pPr>
        <w:sectPr w:rsidR="005D5113" w:rsidRPr="0098598C" w:rsidSect="00131E9C">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pgNumType w:start="1"/>
          <w:cols w:space="720"/>
          <w:docGrid w:linePitch="299"/>
        </w:sectPr>
      </w:pPr>
    </w:p>
    <w:tbl>
      <w:tblPr>
        <w:tblStyle w:val="a5"/>
        <w:tblW w:w="9073" w:type="dxa"/>
        <w:tblLayout w:type="fixed"/>
        <w:tblLook w:val="0400" w:firstRow="0" w:lastRow="0" w:firstColumn="0" w:lastColumn="0" w:noHBand="0" w:noVBand="1"/>
      </w:tblPr>
      <w:tblGrid>
        <w:gridCol w:w="3055"/>
        <w:gridCol w:w="6018"/>
      </w:tblGrid>
      <w:tr w:rsidR="005D5113" w:rsidRPr="0098598C" w14:paraId="60B4C88F" w14:textId="77777777">
        <w:trPr>
          <w:trHeight w:val="251"/>
        </w:trPr>
        <w:tc>
          <w:tcPr>
            <w:tcW w:w="3055" w:type="dxa"/>
          </w:tcPr>
          <w:p w14:paraId="0000004B" w14:textId="77777777" w:rsidR="005D5113" w:rsidRPr="0098598C" w:rsidRDefault="002776C5" w:rsidP="0074642E">
            <w:pPr>
              <w:jc w:val="left"/>
            </w:pPr>
            <w:r>
              <w:lastRenderedPageBreak/>
              <w:t>Adviseurs</w:t>
            </w:r>
          </w:p>
        </w:tc>
        <w:tc>
          <w:tcPr>
            <w:tcW w:w="6018" w:type="dxa"/>
          </w:tcPr>
          <w:p w14:paraId="0000004C" w14:textId="77777777" w:rsidR="005D5113" w:rsidRPr="0098598C" w:rsidRDefault="002776C5" w:rsidP="0074642E">
            <w:pPr>
              <w:jc w:val="left"/>
            </w:pPr>
            <w:r>
              <w:t>Laura BLAŽEVIĆ (van de rapporteur van groep I)</w:t>
            </w:r>
          </w:p>
          <w:p w14:paraId="0000004D" w14:textId="77777777" w:rsidR="005D5113" w:rsidRPr="0098598C" w:rsidRDefault="002776C5" w:rsidP="0074642E">
            <w:pPr>
              <w:jc w:val="left"/>
            </w:pPr>
            <w:r>
              <w:t>Robin ROELS (van de corapporteur van cat. 3)</w:t>
            </w:r>
          </w:p>
        </w:tc>
      </w:tr>
      <w:tr w:rsidR="005D5113" w:rsidRPr="0098598C" w14:paraId="127F0E83" w14:textId="77777777">
        <w:trPr>
          <w:trHeight w:val="251"/>
        </w:trPr>
        <w:tc>
          <w:tcPr>
            <w:tcW w:w="3055" w:type="dxa"/>
          </w:tcPr>
          <w:p w14:paraId="0000004E" w14:textId="77777777" w:rsidR="005D5113" w:rsidRPr="0098598C" w:rsidRDefault="005D5113" w:rsidP="0074642E">
            <w:pPr>
              <w:jc w:val="left"/>
            </w:pPr>
          </w:p>
        </w:tc>
        <w:tc>
          <w:tcPr>
            <w:tcW w:w="6018" w:type="dxa"/>
          </w:tcPr>
          <w:p w14:paraId="0000004F" w14:textId="77777777" w:rsidR="005D5113" w:rsidRPr="0098598C" w:rsidRDefault="005D5113" w:rsidP="0074642E">
            <w:pPr>
              <w:jc w:val="left"/>
            </w:pPr>
          </w:p>
        </w:tc>
      </w:tr>
      <w:tr w:rsidR="005D5113" w:rsidRPr="0098598C" w14:paraId="2F5C7508" w14:textId="77777777">
        <w:tc>
          <w:tcPr>
            <w:tcW w:w="3055" w:type="dxa"/>
          </w:tcPr>
          <w:p w14:paraId="00000050" w14:textId="77777777" w:rsidR="005D5113" w:rsidRPr="0098598C" w:rsidRDefault="002776C5" w:rsidP="0074642E">
            <w:pPr>
              <w:jc w:val="left"/>
            </w:pPr>
            <w:r>
              <w:t>Besluit van de voltallige vergadering</w:t>
            </w:r>
          </w:p>
        </w:tc>
        <w:tc>
          <w:tcPr>
            <w:tcW w:w="6018" w:type="dxa"/>
          </w:tcPr>
          <w:p w14:paraId="00000051" w14:textId="205268D2" w:rsidR="005D5113" w:rsidRPr="0098598C" w:rsidRDefault="00775540" w:rsidP="0074642E">
            <w:pPr>
              <w:jc w:val="left"/>
            </w:pPr>
            <w:r>
              <w:t>2/12/2025</w:t>
            </w:r>
          </w:p>
        </w:tc>
      </w:tr>
      <w:tr w:rsidR="005D5113" w:rsidRPr="0098598C" w14:paraId="09028BA7" w14:textId="77777777">
        <w:tc>
          <w:tcPr>
            <w:tcW w:w="3055" w:type="dxa"/>
          </w:tcPr>
          <w:p w14:paraId="00000052" w14:textId="77777777" w:rsidR="005D5113" w:rsidRPr="0098598C" w:rsidRDefault="002776C5" w:rsidP="0074642E">
            <w:pPr>
              <w:jc w:val="left"/>
            </w:pPr>
            <w:r>
              <w:t>Raadpleging</w:t>
            </w:r>
          </w:p>
        </w:tc>
        <w:tc>
          <w:tcPr>
            <w:tcW w:w="6018" w:type="dxa"/>
          </w:tcPr>
          <w:p w14:paraId="00000053" w14:textId="14B94D4D" w:rsidR="005D5113" w:rsidRPr="0098598C" w:rsidRDefault="000316A4" w:rsidP="0074642E">
            <w:pPr>
              <w:jc w:val="left"/>
            </w:pPr>
            <w:r>
              <w:t>Europese Commissie, 24/2/2026</w:t>
            </w:r>
          </w:p>
        </w:tc>
      </w:tr>
      <w:tr w:rsidR="005D5113" w:rsidRPr="0098598C" w14:paraId="41B42DAE" w14:textId="77777777">
        <w:tc>
          <w:tcPr>
            <w:tcW w:w="3055" w:type="dxa"/>
          </w:tcPr>
          <w:p w14:paraId="00000054" w14:textId="77777777" w:rsidR="005D5113" w:rsidRPr="0098598C" w:rsidRDefault="002776C5" w:rsidP="0074642E">
            <w:pPr>
              <w:jc w:val="left"/>
            </w:pPr>
            <w:r>
              <w:t>Rechtsgrond</w:t>
            </w:r>
          </w:p>
        </w:tc>
        <w:tc>
          <w:tcPr>
            <w:tcW w:w="6018" w:type="dxa"/>
          </w:tcPr>
          <w:p w14:paraId="00000055" w14:textId="77777777" w:rsidR="005D5113" w:rsidRPr="0098598C" w:rsidRDefault="002776C5" w:rsidP="0074642E">
            <w:pPr>
              <w:jc w:val="left"/>
            </w:pPr>
            <w:r>
              <w:t>Artikel 304 van het Verdrag betreffende de werking van de Europese Unie</w:t>
            </w:r>
          </w:p>
        </w:tc>
      </w:tr>
      <w:tr w:rsidR="005D5113" w:rsidRPr="0098598C" w14:paraId="384945E7" w14:textId="77777777">
        <w:tc>
          <w:tcPr>
            <w:tcW w:w="3055" w:type="dxa"/>
          </w:tcPr>
          <w:p w14:paraId="00000056" w14:textId="77777777" w:rsidR="005D5113" w:rsidRPr="0098598C" w:rsidRDefault="002776C5" w:rsidP="0074642E">
            <w:pPr>
              <w:jc w:val="left"/>
            </w:pPr>
            <w:r>
              <w:t>Bevoegde afdeling</w:t>
            </w:r>
          </w:p>
        </w:tc>
        <w:tc>
          <w:tcPr>
            <w:tcW w:w="6018" w:type="dxa"/>
          </w:tcPr>
          <w:p w14:paraId="00000057" w14:textId="77777777" w:rsidR="005D5113" w:rsidRPr="0098598C" w:rsidRDefault="002776C5" w:rsidP="0074642E">
            <w:pPr>
              <w:jc w:val="left"/>
            </w:pPr>
            <w:r>
              <w:t>Adviescommissie Industriële Reconversie</w:t>
            </w:r>
          </w:p>
        </w:tc>
      </w:tr>
      <w:tr w:rsidR="005D5113" w:rsidRPr="0098598C" w14:paraId="6E0B72A7" w14:textId="77777777">
        <w:tc>
          <w:tcPr>
            <w:tcW w:w="3055" w:type="dxa"/>
          </w:tcPr>
          <w:p w14:paraId="00000058" w14:textId="77777777" w:rsidR="005D5113" w:rsidRPr="0098598C" w:rsidRDefault="002776C5" w:rsidP="0074642E">
            <w:pPr>
              <w:jc w:val="left"/>
            </w:pPr>
            <w:r>
              <w:t>Goedkeuring door de afdeling</w:t>
            </w:r>
          </w:p>
        </w:tc>
        <w:tc>
          <w:tcPr>
            <w:tcW w:w="6018" w:type="dxa"/>
          </w:tcPr>
          <w:p w14:paraId="00000059" w14:textId="38F06EBD" w:rsidR="005D5113" w:rsidRPr="0098598C" w:rsidRDefault="000316A4" w:rsidP="0074642E">
            <w:pPr>
              <w:jc w:val="left"/>
            </w:pPr>
            <w:r>
              <w:t>20/5/2026</w:t>
            </w:r>
          </w:p>
        </w:tc>
      </w:tr>
      <w:tr w:rsidR="005D5113" w:rsidRPr="0098598C" w14:paraId="483A524D" w14:textId="77777777">
        <w:tc>
          <w:tcPr>
            <w:tcW w:w="3055" w:type="dxa"/>
          </w:tcPr>
          <w:p w14:paraId="0000005A" w14:textId="77777777" w:rsidR="005D5113" w:rsidRPr="0098598C" w:rsidRDefault="002776C5" w:rsidP="0074642E">
            <w:pPr>
              <w:jc w:val="left"/>
            </w:pPr>
            <w:r>
              <w:t>Stemuitslag</w:t>
            </w:r>
            <w:r>
              <w:br/>
              <w:t>(voor/tegen/onthoudingen)</w:t>
            </w:r>
          </w:p>
        </w:tc>
        <w:tc>
          <w:tcPr>
            <w:tcW w:w="6018" w:type="dxa"/>
            <w:vAlign w:val="bottom"/>
          </w:tcPr>
          <w:p w14:paraId="0000005B" w14:textId="1E50CE87" w:rsidR="005D5113" w:rsidRPr="0098598C" w:rsidRDefault="000316A4" w:rsidP="0074642E">
            <w:pPr>
              <w:jc w:val="left"/>
            </w:pPr>
            <w:r>
              <w:t>22/0/0</w:t>
            </w:r>
          </w:p>
        </w:tc>
      </w:tr>
      <w:tr w:rsidR="005D5113" w:rsidRPr="0098598C" w14:paraId="00742187" w14:textId="77777777">
        <w:tc>
          <w:tcPr>
            <w:tcW w:w="3055" w:type="dxa"/>
          </w:tcPr>
          <w:p w14:paraId="0000005C" w14:textId="77777777" w:rsidR="005D5113" w:rsidRPr="0098598C" w:rsidRDefault="002776C5" w:rsidP="0074642E">
            <w:pPr>
              <w:jc w:val="left"/>
            </w:pPr>
            <w:r>
              <w:t>Goedkeuring door de voltallige vergadering</w:t>
            </w:r>
          </w:p>
        </w:tc>
        <w:tc>
          <w:tcPr>
            <w:tcW w:w="6018" w:type="dxa"/>
          </w:tcPr>
          <w:p w14:paraId="0000005D" w14:textId="77777777" w:rsidR="005D5113" w:rsidRPr="0098598C" w:rsidRDefault="002776C5" w:rsidP="0074642E">
            <w:pPr>
              <w:jc w:val="left"/>
            </w:pPr>
            <w:r>
              <w:t>D/M/YYYY</w:t>
            </w:r>
          </w:p>
        </w:tc>
      </w:tr>
      <w:tr w:rsidR="005D5113" w:rsidRPr="0098598C" w14:paraId="0236EB73" w14:textId="77777777">
        <w:tc>
          <w:tcPr>
            <w:tcW w:w="3055" w:type="dxa"/>
          </w:tcPr>
          <w:p w14:paraId="0000005E" w14:textId="77777777" w:rsidR="005D5113" w:rsidRPr="0098598C" w:rsidRDefault="002776C5" w:rsidP="0074642E">
            <w:pPr>
              <w:jc w:val="left"/>
            </w:pPr>
            <w:r>
              <w:t>Zitting nr.</w:t>
            </w:r>
          </w:p>
        </w:tc>
        <w:tc>
          <w:tcPr>
            <w:tcW w:w="6018" w:type="dxa"/>
          </w:tcPr>
          <w:p w14:paraId="0000005F" w14:textId="1D0FC725" w:rsidR="005D5113" w:rsidRPr="0098598C" w:rsidRDefault="000316A4" w:rsidP="0074642E">
            <w:pPr>
              <w:jc w:val="left"/>
            </w:pPr>
            <w:r>
              <w:t>606</w:t>
            </w:r>
          </w:p>
        </w:tc>
      </w:tr>
      <w:tr w:rsidR="005D5113" w:rsidRPr="0098598C" w14:paraId="0FF33F1F" w14:textId="77777777">
        <w:tc>
          <w:tcPr>
            <w:tcW w:w="3055" w:type="dxa"/>
          </w:tcPr>
          <w:p w14:paraId="00000060" w14:textId="77777777" w:rsidR="005D5113" w:rsidRPr="0098598C" w:rsidRDefault="002776C5" w:rsidP="0074642E">
            <w:pPr>
              <w:jc w:val="left"/>
            </w:pPr>
            <w:r>
              <w:t>Stemuitslag</w:t>
            </w:r>
            <w:r>
              <w:br/>
              <w:t>(voor/tegen/onthoudingen)</w:t>
            </w:r>
          </w:p>
        </w:tc>
        <w:tc>
          <w:tcPr>
            <w:tcW w:w="6018" w:type="dxa"/>
            <w:vAlign w:val="bottom"/>
          </w:tcPr>
          <w:p w14:paraId="00000061" w14:textId="77777777" w:rsidR="005D5113" w:rsidRPr="0098598C" w:rsidRDefault="002776C5" w:rsidP="0074642E">
            <w:pPr>
              <w:jc w:val="left"/>
            </w:pPr>
            <w:r>
              <w:t>…/…/…</w:t>
            </w:r>
          </w:p>
        </w:tc>
      </w:tr>
    </w:tbl>
    <w:p w14:paraId="00000062" w14:textId="77777777" w:rsidR="005D5113" w:rsidRPr="0098598C" w:rsidRDefault="002776C5" w:rsidP="0074642E">
      <w:r>
        <w:br w:type="page"/>
      </w:r>
    </w:p>
    <w:p w14:paraId="60367ABB" w14:textId="4C0AF94D" w:rsidR="00220241" w:rsidRPr="00F34E97" w:rsidRDefault="00220241" w:rsidP="00F34E97">
      <w:pPr>
        <w:pStyle w:val="Heading1"/>
        <w:numPr>
          <w:ilvl w:val="0"/>
          <w:numId w:val="1"/>
        </w:numPr>
        <w:ind w:left="567" w:hanging="567"/>
        <w:rPr>
          <w:b/>
          <w:bCs/>
        </w:rPr>
      </w:pPr>
      <w:r>
        <w:rPr>
          <w:b/>
        </w:rPr>
        <w:lastRenderedPageBreak/>
        <w:t>Conclusies en aanbevelingen</w:t>
      </w:r>
    </w:p>
    <w:p w14:paraId="1A622280" w14:textId="77777777" w:rsidR="00220241" w:rsidRPr="0098598C" w:rsidRDefault="00220241" w:rsidP="0074642E"/>
    <w:p w14:paraId="00000063" w14:textId="148C0A19" w:rsidR="005D5113" w:rsidRPr="0098598C" w:rsidRDefault="002776C5" w:rsidP="0074642E">
      <w:pPr>
        <w:ind w:left="567"/>
      </w:pPr>
      <w:r>
        <w:t>Het EESC beschouwt het RESourceEU-actieplan als een belangrijke stap om de veerkracht van de kritiekegrondstoffenwaardeketens van de EU te versterken en de strategische afhankelijkheid te verminderen. Om dit doel te bereiken is echter een evenwichtige aanpak nodig die een grotere Europese productiecapaciteit, circulariteit en verantwoordelijke internationale partnerschappen combineert met concurrerende energieprijzen, werkbare regelgevingskaders en solide sociale en milieuwaarborgen. Het EESC vestigt dan ook de aandacht op de volgende prioriteiten:</w:t>
      </w:r>
    </w:p>
    <w:p w14:paraId="00000064" w14:textId="77777777" w:rsidR="005D5113" w:rsidRPr="0098598C" w:rsidRDefault="005D5113" w:rsidP="0074642E"/>
    <w:p w14:paraId="00000065" w14:textId="7E88C469" w:rsidR="005D5113" w:rsidRPr="0098598C" w:rsidRDefault="005B7F88" w:rsidP="00F34E97">
      <w:pPr>
        <w:pStyle w:val="Heading2"/>
        <w:numPr>
          <w:ilvl w:val="1"/>
          <w:numId w:val="1"/>
        </w:numPr>
        <w:ind w:left="567" w:hanging="567"/>
      </w:pPr>
      <w:r>
        <w:rPr>
          <w:b/>
        </w:rPr>
        <w:t xml:space="preserve">vergemakkelijken van strategische Europese projecten en snellere vergunningverlening: </w:t>
      </w:r>
      <w:r>
        <w:t>verlagen van structureel hoge industriële energieprijzen en bevorderen van langlopende hernieuwbarestroomafnameovereenkomsten (PPA’s). Garanderen van steun voor elektrificatie in het staatssteunkader voor de Clean Industrial Deal (Cisaf) ten behoeve van energie-intensieve industrieën, onder meer via het Innovatiefonds (IF), terwijl de doeltreffendheid van het EU-ETS gewaarborgd wordt en ervoor wordt gezorgd dat initiatieven zoals de EU-taxonomie de toegang tot financiering voor strategische projecten vergemakkelijken;</w:t>
      </w:r>
    </w:p>
    <w:p w14:paraId="00000066" w14:textId="1727847A" w:rsidR="005D5113" w:rsidRPr="0098598C" w:rsidRDefault="005D5113" w:rsidP="00F34E97"/>
    <w:p w14:paraId="00000067" w14:textId="3E3973F8" w:rsidR="005D5113" w:rsidRPr="0098598C" w:rsidRDefault="005B7F88" w:rsidP="00F34E97">
      <w:pPr>
        <w:pStyle w:val="Heading2"/>
        <w:numPr>
          <w:ilvl w:val="1"/>
          <w:numId w:val="1"/>
        </w:numPr>
        <w:ind w:left="567" w:hanging="567"/>
      </w:pPr>
      <w:r>
        <w:t>het EESC neemt kennis van de komende herziening van de kaderrichtlijn water, maar benadrukt dat dit proces niet mag leiden tot een afzwakking van de milieunormen;</w:t>
      </w:r>
    </w:p>
    <w:p w14:paraId="6A2D5E95" w14:textId="77777777" w:rsidR="00220241" w:rsidRPr="0098598C" w:rsidRDefault="00220241" w:rsidP="0074642E"/>
    <w:p w14:paraId="00000069" w14:textId="6B97DEF3" w:rsidR="005D5113" w:rsidRPr="0098598C" w:rsidRDefault="005B7F88" w:rsidP="00F34E97">
      <w:pPr>
        <w:pStyle w:val="Heading2"/>
        <w:numPr>
          <w:ilvl w:val="1"/>
          <w:numId w:val="1"/>
        </w:numPr>
        <w:ind w:left="567" w:hanging="567"/>
        <w:rPr>
          <w:color w:val="000000"/>
        </w:rPr>
      </w:pPr>
      <w:r>
        <w:rPr>
          <w:b/>
        </w:rPr>
        <w:t xml:space="preserve">verbetering van recycling en hergebruik van kritieke grondstoffen: </w:t>
      </w:r>
      <w:r>
        <w:t>invoeren van een uniforme uitvoerheffing op aluminiumschroot om waarde binnen de EU te behouden; verbeteren van de circulatie van afval van kritieke grondstoffen door middel van vereenvoudigde en gedigitaliseerde procedures in het kader van de verordening inzake de overbrenging van afvalstoffen, met duidelijke definities van afval en secundaire materialen om recycling en terugwinning te vergemakkelijken.</w:t>
      </w:r>
      <w:r>
        <w:rPr>
          <w:color w:val="000000"/>
        </w:rPr>
        <w:t xml:space="preserve"> Een samenhangend beleid moet doelstellingen omvatten voor het verkleinen van de materiaalvoetafdruk en sectorale plannen om de materiaalintensiteit te verminderen om de kriticiteit in downstreamsectoren te beperken;</w:t>
      </w:r>
    </w:p>
    <w:p w14:paraId="385CEC43" w14:textId="77777777" w:rsidR="00220241" w:rsidRPr="0098598C" w:rsidRDefault="00220241" w:rsidP="0074642E">
      <w:pPr>
        <w:pBdr>
          <w:top w:val="nil"/>
          <w:left w:val="nil"/>
          <w:bottom w:val="nil"/>
          <w:right w:val="nil"/>
          <w:between w:val="nil"/>
        </w:pBdr>
        <w:ind w:left="720"/>
        <w:rPr>
          <w:b/>
          <w:bCs/>
          <w:color w:val="000000"/>
        </w:rPr>
      </w:pPr>
    </w:p>
    <w:p w14:paraId="0000006B" w14:textId="2B93D763" w:rsidR="005D5113" w:rsidRPr="0098598C" w:rsidRDefault="005B7F88" w:rsidP="00F34E97">
      <w:pPr>
        <w:pStyle w:val="Heading2"/>
        <w:numPr>
          <w:ilvl w:val="1"/>
          <w:numId w:val="1"/>
        </w:numPr>
        <w:ind w:left="567" w:hanging="567"/>
      </w:pPr>
      <w:r>
        <w:rPr>
          <w:b/>
        </w:rPr>
        <w:t>investeringen en marktontwikkeling ondersteunen:</w:t>
      </w:r>
      <w:r>
        <w:t xml:space="preserve"> versterken van de veerkracht van de materiaalwaardeketens in de EU door een grotere binnenlandse productie te combineren met maatregelen aan de vraagzijde, zoals materiaalefficiëntie, eco-ontwerp en hogere recyclingpercentages.</w:t>
      </w:r>
      <w:r>
        <w:rPr>
          <w:color w:val="000000"/>
        </w:rPr>
        <w:t xml:space="preserve"> Het aanleggen van voorraden moet de binnenlandse productie, verwerking en recycling in de EU aanvullen en niet vervangen. Transparantie op het gebied van grondstoffenbeheer vergroten door betere gegevens over materiaalstromen, voorraadniveaus en toewijzingsbeslissingen;</w:t>
      </w:r>
    </w:p>
    <w:p w14:paraId="6F33E14A" w14:textId="77777777" w:rsidR="00220241" w:rsidRPr="0098598C" w:rsidRDefault="00220241" w:rsidP="0074642E">
      <w:pPr>
        <w:pBdr>
          <w:top w:val="nil"/>
          <w:left w:val="nil"/>
          <w:bottom w:val="nil"/>
          <w:right w:val="nil"/>
          <w:between w:val="nil"/>
        </w:pBdr>
        <w:ind w:left="720"/>
      </w:pPr>
    </w:p>
    <w:p w14:paraId="0000006D" w14:textId="70F29B32" w:rsidR="005D5113" w:rsidRPr="0098598C" w:rsidRDefault="005B7F88" w:rsidP="00F34E97">
      <w:pPr>
        <w:pStyle w:val="Heading2"/>
        <w:numPr>
          <w:ilvl w:val="1"/>
          <w:numId w:val="1"/>
        </w:numPr>
        <w:ind w:left="567" w:hanging="567"/>
      </w:pPr>
      <w:r>
        <w:rPr>
          <w:b/>
          <w:color w:val="000000"/>
        </w:rPr>
        <w:t>evenwichtige internationale partnerschappen opbouwen:</w:t>
      </w:r>
      <w:r>
        <w:rPr>
          <w:color w:val="000000"/>
        </w:rPr>
        <w:t xml:space="preserve"> de toelevering diversifiëren via strategische partnerschappen en tegelijk de capaciteit van de EU op het gebied van winning, verwerking, raffinage en recycling versterken. In het huidige geopolitieke klimaat is er geen garantie dat voorheen betrouwbare partners stabiele of betrouwbare leveranciers van strategische materialen zullen blijven. De Unie moet daarom minder afhankelijk worden van één enkele partner en een gediversifieerde partnerschapsstrategie volgen op basis van wederzijds voordeel, transparantie en strenge milieu- en arbeidsnormen.</w:t>
      </w:r>
    </w:p>
    <w:p w14:paraId="0000006E" w14:textId="77777777" w:rsidR="005D5113" w:rsidRPr="0098598C" w:rsidRDefault="005D5113" w:rsidP="0074642E"/>
    <w:p w14:paraId="0000006F" w14:textId="77777777" w:rsidR="005D5113" w:rsidRPr="0098598C" w:rsidRDefault="002776C5" w:rsidP="0074642E">
      <w:pPr>
        <w:pStyle w:val="Heading1"/>
        <w:keepNext/>
        <w:keepLines/>
        <w:numPr>
          <w:ilvl w:val="0"/>
          <w:numId w:val="1"/>
        </w:numPr>
        <w:ind w:left="567" w:hanging="567"/>
        <w:rPr>
          <w:b/>
          <w:bCs/>
        </w:rPr>
      </w:pPr>
      <w:r>
        <w:rPr>
          <w:b/>
        </w:rPr>
        <w:lastRenderedPageBreak/>
        <w:t>Algemene opmerkingen</w:t>
      </w:r>
    </w:p>
    <w:p w14:paraId="00000070" w14:textId="77777777" w:rsidR="005D5113" w:rsidRPr="0098598C" w:rsidRDefault="005D5113" w:rsidP="0074642E">
      <w:pPr>
        <w:keepNext/>
        <w:keepLines/>
      </w:pPr>
    </w:p>
    <w:p w14:paraId="00000071" w14:textId="6338DB56" w:rsidR="005D5113" w:rsidRPr="0098598C" w:rsidRDefault="002776C5" w:rsidP="00F34E97">
      <w:pPr>
        <w:pStyle w:val="Heading2"/>
        <w:numPr>
          <w:ilvl w:val="1"/>
          <w:numId w:val="1"/>
        </w:numPr>
        <w:ind w:left="567" w:hanging="567"/>
      </w:pPr>
      <w:r>
        <w:t>Europa gaat een nieuwe grondstoffenbeleidfase in waarin snelheid, veiligheid en industriële schaalvergroting belangrijke richtinggevende beginselen zijn. Het EESC erkent dat de afhankelijkheid van onzekere bronnen dringend moet worden verminderd en dat er veerkrachtige waardeketens moeten worden opgebouwd. Recente initiatieven zoals de wetgeving voor een industrieaccelerator benadrukken de noodzaak om de industriële capaciteit van Europa te versterken en afhankelijkheden te verminderen. Ervoor zorgen dat grondstoffen en hun downstreamtoepassingen binnen Europa worden ontwikkeld is essentieel voor een “Made in the EU”-aanpak en voor het behoud van technologisch leiderschap in de transitie naar schone energie.</w:t>
      </w:r>
    </w:p>
    <w:p w14:paraId="00000072" w14:textId="77777777" w:rsidR="005D5113" w:rsidRPr="0098598C" w:rsidRDefault="005D5113" w:rsidP="0074642E"/>
    <w:p w14:paraId="00000073" w14:textId="0E37775F" w:rsidR="005D5113" w:rsidRPr="0098598C" w:rsidRDefault="002776C5" w:rsidP="00F34E97">
      <w:pPr>
        <w:pStyle w:val="Heading2"/>
        <w:numPr>
          <w:ilvl w:val="1"/>
          <w:numId w:val="1"/>
        </w:numPr>
        <w:ind w:left="567" w:hanging="567"/>
      </w:pPr>
      <w:r>
        <w:t>Tegelijkertijd mag deze urgentie geen vrijbrief worden voor het omzeilen van democratische procedures. Een geloofwaardige strategie moet bindende milieuwetgeving, werknemersrechten en publieke participatie eerbiedigen om vertragingen van projecten door conflicten, rechtszaken en reputatieschade te voorkomen. RESourceEU moet daarom ook worden gezien als een verschuiving in de governance. Instrumenten zoals gezamenlijke aankoop, het aanleggen van voorraden en strategische prioritering vereisen duidelijke verantwoordingsplicht, transparantie en toezicht, ook door de sociale partners en maatschappelijke organisaties. De agenda voor concurrentievermogen moet voldoen aan strenge milieu- en sociale verplichtingen, alsmede aan democratische normen, waaronder toegang tot de rechter.</w:t>
      </w:r>
    </w:p>
    <w:p w14:paraId="00000074" w14:textId="77777777" w:rsidR="005D5113" w:rsidRPr="0098598C" w:rsidRDefault="005D5113" w:rsidP="0074642E"/>
    <w:p w14:paraId="00000075" w14:textId="77777777" w:rsidR="005D5113" w:rsidRPr="0098598C" w:rsidRDefault="002776C5" w:rsidP="00F34E97">
      <w:pPr>
        <w:pStyle w:val="Heading2"/>
        <w:numPr>
          <w:ilvl w:val="1"/>
          <w:numId w:val="1"/>
        </w:numPr>
        <w:ind w:left="567" w:hanging="567"/>
      </w:pPr>
      <w:r>
        <w:t>Het EESC is ingenomen met de RESourceEU-strategie, die voortbouwt op de verordening kritieke grondstoffen, de Clean Industrial Deal en het actieplan voor staal en metaal om de EU beter bestand te maken tegen verstoringen in de bevoorrading. Een samenhangend beleid moet doelstellingen omvatten voor het verkleinen van de materiaalvoetafdruk alsmede sectorale plannen om de materiaalintensiteit te verminderen en zo de kriticiteit te beperken (met name op het gebied van mobiliteit, energiesystemen, bouw en digitale producten), naast sterk ecologisch ontwerp, hergebruik, reparatie en een langere levensduur van producten, terwijl de Europese toeleveringsketens moeten worden ondersteund om aan een groeiende vraag naar strategische en kritieke materialen te voldoen.</w:t>
      </w:r>
    </w:p>
    <w:p w14:paraId="00000076" w14:textId="77777777" w:rsidR="005D5113" w:rsidRPr="0098598C" w:rsidRDefault="005D5113" w:rsidP="0074642E">
      <w:pPr>
        <w:rPr>
          <w:b/>
          <w:bCs/>
        </w:rPr>
      </w:pPr>
    </w:p>
    <w:p w14:paraId="00000077" w14:textId="77777777" w:rsidR="005D5113" w:rsidRPr="0098598C" w:rsidRDefault="002776C5" w:rsidP="00F61A6D">
      <w:pPr>
        <w:pStyle w:val="Heading1"/>
        <w:keepNext/>
        <w:keepLines/>
        <w:numPr>
          <w:ilvl w:val="0"/>
          <w:numId w:val="1"/>
        </w:numPr>
        <w:ind w:left="567" w:hanging="567"/>
      </w:pPr>
      <w:r>
        <w:rPr>
          <w:b/>
        </w:rPr>
        <w:t>Bevorderen en versnellen van prioritaire projecten</w:t>
      </w:r>
    </w:p>
    <w:p w14:paraId="00000078" w14:textId="77777777" w:rsidR="005D5113" w:rsidRPr="0098598C" w:rsidRDefault="005D5113" w:rsidP="00F61A6D">
      <w:pPr>
        <w:pStyle w:val="Heading2"/>
        <w:keepNext/>
        <w:keepLines/>
        <w:numPr>
          <w:ilvl w:val="0"/>
          <w:numId w:val="0"/>
        </w:numPr>
        <w:ind w:left="567"/>
      </w:pPr>
    </w:p>
    <w:p w14:paraId="0000007A" w14:textId="55F026D4" w:rsidR="005D5113" w:rsidRDefault="002776C5" w:rsidP="0074642E">
      <w:pPr>
        <w:pStyle w:val="Heading2"/>
        <w:numPr>
          <w:ilvl w:val="1"/>
          <w:numId w:val="1"/>
        </w:numPr>
        <w:ind w:left="567" w:hanging="567"/>
      </w:pPr>
      <w:r>
        <w:t>Het EESC wijst erop dat er regelgevingskaders bestaan om het algemeen belang, de milieu-integriteit en de rechten van werknemers te beschermen en dat deze daarom verbeterd moeten worden. Het huidige kader heeft te kampen met knelpunten bij de uitvoering, met name door de beperkte administratieve capaciteit, de volatiliteit van de energieprijzen en de versnipperde coördinatie tussen de lidstaten. Maatschappelijke aanvaarding is een doorslaggevende voorwaarde voor de levensvatbaarheid en legitimiteit van projecten en vereist een betekenisvolle betrokkenheid van de gemeenschap en een sterke sociale dialoog vanaf de eerste fasen, inclusief vergunningverlening, financiering en partnerschappen. Overheidsfinanciering moet, naast de ontwikkeling van bedrijfsprojecten, ook de capaciteit van lokale overheden, onafhankelijke expertise voor gemeenschappen en toezicht en handhaving ondersteunen.</w:t>
      </w:r>
    </w:p>
    <w:p w14:paraId="3986FE53" w14:textId="77777777" w:rsidR="006E3D09" w:rsidRPr="006E3D09" w:rsidRDefault="006E3D09" w:rsidP="006E3D09"/>
    <w:p w14:paraId="48C7F0FD" w14:textId="215464FC" w:rsidR="008F5E24" w:rsidRDefault="000647C4" w:rsidP="0074642E">
      <w:pPr>
        <w:pStyle w:val="Heading2"/>
        <w:numPr>
          <w:ilvl w:val="1"/>
          <w:numId w:val="1"/>
        </w:numPr>
        <w:ind w:left="567" w:hanging="567"/>
      </w:pPr>
      <w:r>
        <w:lastRenderedPageBreak/>
        <w:t>De EU kampt nog steeds met structureel hoge energieprijzen in vergelijking met haar belangrijkste concurrenten. Gezien de energie-intensieve aard van veel activiteiten op het gebied van kritieke grondstoffen (in sommige gevallen goed voor 50 % van de bedrijfskosten), zijn energiekosten een belangrijke factor bij het bepalen van de levensvatbaarheid van projecten. De Clean Industrial Deal is weliswaar een stap in de goede richting, maar heeft geen invloed gehad op de energieprijzen op korte termijn.</w:t>
      </w:r>
    </w:p>
    <w:p w14:paraId="3E6BA6E0" w14:textId="77777777" w:rsidR="008F5E24" w:rsidRPr="008F5E24" w:rsidRDefault="008F5E24" w:rsidP="008F5E24"/>
    <w:p w14:paraId="0000007D" w14:textId="70EF394A" w:rsidR="005D5113" w:rsidRPr="0098598C" w:rsidRDefault="00D16F2F" w:rsidP="00F34E97">
      <w:pPr>
        <w:pStyle w:val="Heading2"/>
        <w:numPr>
          <w:ilvl w:val="1"/>
          <w:numId w:val="1"/>
        </w:numPr>
        <w:ind w:left="567" w:hanging="567"/>
      </w:pPr>
      <w:r>
        <w:t>Het Cisaf staat prijsondersteuning voor industriële verbruikers toe, maar blijft te restrictief om een betekenisvolle impact te hebben op exploitanten van kritieke grondstoffen</w:t>
      </w:r>
      <w:r w:rsidR="002776C5" w:rsidRPr="0098598C">
        <w:rPr>
          <w:sz w:val="24"/>
          <w:szCs w:val="24"/>
          <w:vertAlign w:val="superscript"/>
        </w:rPr>
        <w:footnoteReference w:id="1"/>
      </w:r>
      <w:r>
        <w:t>. Additionaliteits- en betrekkingsvereisten — die meestal een afspiegeling zijn van de vereisten die gelden voor hernieuwbare waterstof of de naleving vereisen van economisch en technologisch onhaalbare opties — gekoppeld aan steun voor elektrificatie, houden het risico in dat energie-intensieve industrieën worden uitgesloten van steun. Dit gebeurt vooral in regio’s waar de elektriciteitssystemen zich nog in een overgangsfase bevinden, ook al levert elektrificatie al aanzienlijke emissiereducties op.</w:t>
      </w:r>
    </w:p>
    <w:p w14:paraId="0000007E" w14:textId="77777777" w:rsidR="005D5113" w:rsidRPr="0098598C" w:rsidRDefault="005D5113" w:rsidP="0074642E">
      <w:pPr>
        <w:ind w:left="567"/>
      </w:pPr>
    </w:p>
    <w:p w14:paraId="0000007F" w14:textId="41C3E51F" w:rsidR="005D5113" w:rsidRPr="0098598C" w:rsidRDefault="002776C5" w:rsidP="00F34E97">
      <w:pPr>
        <w:pStyle w:val="Heading2"/>
        <w:numPr>
          <w:ilvl w:val="1"/>
          <w:numId w:val="1"/>
        </w:numPr>
        <w:ind w:left="567" w:hanging="567"/>
      </w:pPr>
      <w:r>
        <w:t>Er zijn ook nog steeds belemmeringen voor het inzetten van gerichte maatregelen om de energiekosten te verlagen, zoals langlopende PPA’s. Een belangrijke belemmering is het gebrek aan steun voor de kosten van profielafstemming/-vorming en -stabilisering, zoals benadrukt in het Draghi-rapport, hetgeen de PPA-markt aanzienlijk heeft vertraagd. Andere regelingen, zoals het Italiaanse “Energy Release 2.0” (</w:t>
      </w:r>
      <w:r>
        <w:rPr>
          <w:i/>
        </w:rPr>
        <w:t>Rilascio di energia 2.0</w:t>
      </w:r>
      <w:r>
        <w:t>), moeten worden onderzocht en aangepast in andere lidstaten.</w:t>
      </w:r>
    </w:p>
    <w:p w14:paraId="00000080" w14:textId="77777777" w:rsidR="005D5113" w:rsidRPr="0098598C" w:rsidRDefault="005D5113" w:rsidP="0074642E">
      <w:pPr>
        <w:ind w:left="567"/>
      </w:pPr>
    </w:p>
    <w:p w14:paraId="00000081" w14:textId="501E68C7" w:rsidR="005D5113" w:rsidRPr="0098598C" w:rsidRDefault="002776C5" w:rsidP="00F34E97">
      <w:pPr>
        <w:pStyle w:val="Heading2"/>
        <w:numPr>
          <w:ilvl w:val="1"/>
          <w:numId w:val="1"/>
        </w:numPr>
        <w:ind w:left="567" w:hanging="567"/>
      </w:pPr>
      <w:r>
        <w:t>Het EESC beveelt de Commissie aan het gebruik van langlopende PPA’s voor energie-intensieve gebruikers te vergemakkelijken en het Cisaf te herzien om ervoor te zorgen dat de industrie effectief kan gebruikmaken van elektrificatiesteun, en zo bij te dragen aan de decarbonisatie en het concurrentievermogen van de EU zonder de concurrentie te verstoren. Dergelijke regelingen moeten strikte voorwaarden inzake het openbaar belang bevatten, waaronder rapportagevereisten, en expliciete vereisten op het gebied van gezondheid en veiligheid op het werk, opleiding en hoogwaardige banen.</w:t>
      </w:r>
    </w:p>
    <w:p w14:paraId="00000082" w14:textId="77777777" w:rsidR="005D5113" w:rsidRPr="0098598C" w:rsidRDefault="005D5113" w:rsidP="0074642E">
      <w:pPr>
        <w:ind w:left="567"/>
      </w:pPr>
    </w:p>
    <w:p w14:paraId="00000083" w14:textId="77777777" w:rsidR="005D5113" w:rsidRPr="0098598C" w:rsidRDefault="002776C5" w:rsidP="00F34E97">
      <w:pPr>
        <w:pStyle w:val="Heading2"/>
        <w:numPr>
          <w:ilvl w:val="1"/>
          <w:numId w:val="1"/>
        </w:numPr>
        <w:ind w:left="567" w:hanging="567"/>
      </w:pPr>
      <w:r>
        <w:t>Bovendien moet eventuele kortetermijnsteun gepaard gaan met duidelijke voorwaarden, onder meer op het gebied van werknemersbescherming, betrokkenheid van gemeenschappen, transparantie van begunstigden en waarborgen tegen inkomstenmeevallers, terwijl prioriteit wordt gegeven aan gerichte maatregelen die de energiekosten structureel verlagen via netwerken, flexibiliteit en efficiëntie.</w:t>
      </w:r>
    </w:p>
    <w:p w14:paraId="00000084" w14:textId="77777777" w:rsidR="005D5113" w:rsidRPr="0098598C" w:rsidRDefault="005D5113" w:rsidP="0074642E">
      <w:pPr>
        <w:ind w:left="567"/>
      </w:pPr>
    </w:p>
    <w:p w14:paraId="00000085" w14:textId="04D8421D" w:rsidR="005D5113" w:rsidRPr="0098598C" w:rsidRDefault="002776C5" w:rsidP="00F34E97">
      <w:pPr>
        <w:pStyle w:val="Heading2"/>
        <w:numPr>
          <w:ilvl w:val="1"/>
          <w:numId w:val="1"/>
        </w:numPr>
        <w:ind w:left="567" w:hanging="567"/>
      </w:pPr>
      <w:r>
        <w:t xml:space="preserve">Een andere factor die de kostendruk op exploitanten van kritieke grondstoffen verhoogt, is het emissiehandelssysteem (ETS). Hoewel het ETS heeft bijgedragen aan de decarbonisatie van de elektriciteitsmix, vormt het een grote kostenpost voor sectoren met beperkte technologische alternatieven voor het verminderen van hun uitstoot. Het EESC dringt er daarom bij de Commissie op aan om, in het kader van de herziening van het ETS en in overeenstemming met </w:t>
      </w:r>
      <w:r>
        <w:lastRenderedPageBreak/>
        <w:t>de conclusies van de Europese Raad van maart, te beoordelen welke gevolgen het ETS heeft voor de economische, ecologische en concurrentievermogensaspecten van kritieke grondstoffen. Tegelijkertijd blijft het ETS een belangrijke motor voor de decarbonisatie van de EU en moet de integriteit ervan behouden blijven. Bij een herziening moet worden gekeken naar de wisselwerking tussen ETS-gerelateerde kosten en maatregelen voor materiaalefficiëntie, vervangingsstrategieën en het gebruik van circulaire materialen, en moeten sectorspecifieke vrijstellingen worden vermeden die het koolstofprijssignaal verzwakken of de kosten doorschuiven naar andere sectoren, terwijl er ook voor moet worden gezorgd dat de risico’s van koolstoflekkage worden aangepakt en het internationale concurrentievermogen in aanmerking wordt genomen. Waar de productie van kritieke grondstoffen te kampen heeft met structurele decarbonisatiebelemmeringen, moet in de beleidsrespons prioriteit worden gegeven aan innovatieondersteuning, elektrificatie, materiaalefficiëntie en circulariteit, naast gerichte financieringsmechanismen.</w:t>
      </w:r>
    </w:p>
    <w:p w14:paraId="00000086" w14:textId="77777777" w:rsidR="005D5113" w:rsidRPr="0098598C" w:rsidRDefault="005D5113" w:rsidP="0074642E">
      <w:pPr>
        <w:ind w:left="567"/>
      </w:pPr>
    </w:p>
    <w:p w14:paraId="00000087" w14:textId="380E5FBD" w:rsidR="005D5113" w:rsidRPr="0098598C" w:rsidRDefault="002776C5" w:rsidP="00F34E97">
      <w:pPr>
        <w:pStyle w:val="Heading2"/>
        <w:numPr>
          <w:ilvl w:val="1"/>
          <w:numId w:val="1"/>
        </w:numPr>
        <w:ind w:left="567" w:hanging="567"/>
      </w:pPr>
      <w:r>
        <w:t>Tot slot worden afnameovereenkomsten voor kritieke grondstoffen beïnvloed door de EU-taxonomie</w:t>
      </w:r>
      <w:r w:rsidRPr="0098598C">
        <w:rPr>
          <w:vertAlign w:val="superscript"/>
        </w:rPr>
        <w:footnoteReference w:id="2"/>
      </w:r>
      <w:r>
        <w:t xml:space="preserve"> en het beginsel “geen ernstige afbreuk doen”. Deze overeenkomsten zijn in het leven geroepen om ervoor te zorgen dat overheids- en particuliere financiering geen activiteiten ondersteunt die de milieu-integriteit van de EU of het vertrouwen van investeerders in groene classificatiesystemen ondermijnen. De huidige criteria en drempelwaarden van de taxonomie zijn echter met de bestaande technologieën nog niet volledig haalbaar voor verschillende activiteiten op het gebied van kritieke grondstoffen, met als gevolg dat sommige strategische EU-projecten het risico lopen te worden uitgesloten van toegang tot financiering, zelfs wanneer zij aan strengere milieu-, arbeids- en transparantienormen voldoen dan derde landen. Deze drempels moeten regelmatig worden herzien en aangepast in het licht van de technologische vooruitgang. Het spillover-effect van het beginsel “geen ernstige afbreuk doen” naar EU-financieringsprogramma’s en -kaders moet nader worden bekeken, om te voorkomen dat projecten onbedoeld de toegang tot financiering wordt ontzegd.</w:t>
      </w:r>
      <w:sdt>
        <w:sdtPr>
          <w:tag w:val="goog_rdk_72"/>
          <w:id w:val="-470122961"/>
          <w:showingPlcHdr/>
        </w:sdtPr>
        <w:sdtEndPr/>
        <w:sdtContent>
          <w:r>
            <w:t xml:space="preserve">     </w:t>
          </w:r>
        </w:sdtContent>
      </w:sdt>
    </w:p>
    <w:p w14:paraId="00000088" w14:textId="77777777" w:rsidR="005D5113" w:rsidRPr="0098598C" w:rsidRDefault="005D5113" w:rsidP="00F61A6D">
      <w:pPr>
        <w:pStyle w:val="Heading2"/>
        <w:numPr>
          <w:ilvl w:val="0"/>
          <w:numId w:val="0"/>
        </w:numPr>
        <w:ind w:left="567"/>
      </w:pPr>
    </w:p>
    <w:p w14:paraId="00000089" w14:textId="77777777" w:rsidR="005D5113" w:rsidRPr="0098598C" w:rsidRDefault="002776C5" w:rsidP="00F34E97">
      <w:pPr>
        <w:pStyle w:val="Heading2"/>
        <w:numPr>
          <w:ilvl w:val="1"/>
          <w:numId w:val="1"/>
        </w:numPr>
        <w:ind w:left="567" w:hanging="567"/>
      </w:pPr>
      <w:r>
        <w:t>Beoordelingskaders moeten een onderscheid maken tussen onvermijdelijke gevolgen die inherent zijn aan primaire winning en vermijdbare schade die het gevolg is van suboptimale praktijken wanneer projecten op het gebied van kritieke grondstoffen als strategisch voor de EU worden beschouwd. Milieubescherming met betrekking tot watervoorraden, biodiversiteit, preventie van verontreiniging, volksgezondheid en de impact op de gemeenschap moet onverlet blijven. Projecten die aanzienlijk lagere levenscyclusemissies laten zien dan mondiale concurrenten mogen niet worden geclassificeerd als projecten die “aanzienlijke schade berokkenen”, en dit moet tot uiting komen in beoordelingsmethodologieën. Er is een meer holistisch evaluatiekader nodig dat klimaatprestaties integreert met overwegingen op het gebied van biodiversiteit, water en verontreiniging.</w:t>
      </w:r>
    </w:p>
    <w:p w14:paraId="0000008A" w14:textId="77777777" w:rsidR="005D5113" w:rsidRPr="0098598C" w:rsidRDefault="005D5113" w:rsidP="0074642E">
      <w:pPr>
        <w:ind w:left="567"/>
      </w:pPr>
    </w:p>
    <w:p w14:paraId="0000008C" w14:textId="221437AB" w:rsidR="005D5113" w:rsidRDefault="002776C5" w:rsidP="0074642E">
      <w:pPr>
        <w:pStyle w:val="Heading2"/>
        <w:numPr>
          <w:ilvl w:val="1"/>
          <w:numId w:val="1"/>
        </w:numPr>
        <w:ind w:left="567" w:hanging="567"/>
      </w:pPr>
      <w:r>
        <w:t xml:space="preserve">Het EESC merkt op dat voorstellen in verband met een prijsondergrens of gegarandeerde minimumprijzen voor bepaalde kritieke grondstoffen een bijzonder risico inhouden. Hoewel dergelijke mechanismen bedoeld zijn om investeringszekerheid te bieden, kunnen ze de overheidsfinanciën blootstellen aan aanzienlijke fiscale risico’s als de grondstoffenprijzen sterk </w:t>
      </w:r>
      <w:r>
        <w:lastRenderedPageBreak/>
        <w:t>dalen, waardoor de volatiliteit van de markt wordt afgewenteld op de belastingbetaler. Tegelijkertijd kunnen de hoge prijsvolatiliteit en de lange investeringscycli die kenmerkend zijn voor projecten op het gebied van kritieke grondstoffen grote belemmeringen vormen voor investeringen in de EU; deze moeten worden aangepakt.</w:t>
      </w:r>
    </w:p>
    <w:p w14:paraId="4A9109E3" w14:textId="77777777" w:rsidR="00735155" w:rsidRPr="00735155" w:rsidRDefault="00735155" w:rsidP="00735155"/>
    <w:p w14:paraId="0000008D" w14:textId="0717E820" w:rsidR="005D5113" w:rsidRPr="0098598C" w:rsidRDefault="002776C5" w:rsidP="00F34E97">
      <w:pPr>
        <w:pStyle w:val="Heading2"/>
        <w:numPr>
          <w:ilvl w:val="1"/>
          <w:numId w:val="1"/>
        </w:numPr>
        <w:ind w:left="567" w:hanging="567"/>
      </w:pPr>
      <w:r>
        <w:t>Het EESC is ingenomen met het voornemen van de Commissie om 3 miljard EUR vrij te maken voor de ondersteuning van kritieke grondstoffen. De financieringsbehoeften zijn echter veel groter en moeten in het volgende MFK tot uiting komen. Hoewel het een positieve stap is dat er in het kader van de Innovatiefonds-oproep 2025 1 miljard euro is gereserveerd voor cleantechprojecten met een nadruk op waardeketens voor kritieke grondstoffen, dreigen de huidige evaluatiecriteria in het kader van het Innovatiefonds de doeltreffendheid ervan voor projecten op het gebied van strategische grondstoffen te beperken. Met name de sterke nadruk op een kwantificeerbare mate van emissiereductie benadeelt projecten die in de eerste plaats zorgen voor voorzieningszekerheid, zelfvoorziening, veerkracht en industriële capaciteit.</w:t>
      </w:r>
    </w:p>
    <w:p w14:paraId="0000008E" w14:textId="77777777" w:rsidR="005D5113" w:rsidRPr="0098598C" w:rsidRDefault="005D5113" w:rsidP="0074642E">
      <w:pPr>
        <w:ind w:left="567"/>
      </w:pPr>
    </w:p>
    <w:p w14:paraId="0000008F" w14:textId="58E5C708" w:rsidR="005D5113" w:rsidRPr="0098598C" w:rsidRDefault="002776C5" w:rsidP="00F34E97">
      <w:pPr>
        <w:pStyle w:val="Heading2"/>
        <w:numPr>
          <w:ilvl w:val="1"/>
          <w:numId w:val="1"/>
        </w:numPr>
        <w:ind w:left="567" w:hanging="567"/>
      </w:pPr>
      <w:r>
        <w:t>Het EESC is ingenomen met het plan van de Commissie om de afgifte van milieuvergunningen te versnellen. Snellere procedures moeten echter gepaard gaan met adequate investeringen in overheidsinstanties en met steun voor hoogwaardige effectbeoordelingen en capaciteit op het gebied van monitoring en handhaving. Het versnellen van de procedure mag niet ten koste gaan van de kwaliteit van de effectbeoordelingen, de publieke participatie, de toegang tot de rechter, de verplichtingen inzake natuurbescherming of de vereisten inzake waterbescherming, en welke vereenvoudiging dan ook moet strikt administratief en niet inhoudelijk zijn.</w:t>
      </w:r>
    </w:p>
    <w:p w14:paraId="00000090" w14:textId="77777777" w:rsidR="005D5113" w:rsidRPr="0098598C" w:rsidRDefault="005D5113" w:rsidP="0074642E">
      <w:pPr>
        <w:ind w:left="567"/>
      </w:pPr>
    </w:p>
    <w:p w14:paraId="00000091" w14:textId="6EC78766" w:rsidR="005D5113" w:rsidRPr="0098598C" w:rsidRDefault="001B0A92" w:rsidP="00F34E97">
      <w:pPr>
        <w:pStyle w:val="Heading2"/>
        <w:numPr>
          <w:ilvl w:val="1"/>
          <w:numId w:val="1"/>
        </w:numPr>
        <w:ind w:left="567" w:hanging="567"/>
      </w:pPr>
      <w:r>
        <w:t xml:space="preserve">Het EESC neemt kennis van de komende herziening van de kaderrichtlijn water, maar benadrukt dat dit proces niet mag leiden tot een afzwakking van de milieunormen. Tegelijkertijd moeten uitdagingen bij de uitvoering worden aangepakt, met inbegrip van de vergunningsprocedures, en moet de strategische autonomie van de EU worden ondersteund door de toegang tot kritieke grondstoffen veilig te stellen. </w:t>
      </w:r>
    </w:p>
    <w:p w14:paraId="00000092" w14:textId="77777777" w:rsidR="005D5113" w:rsidRPr="0098598C" w:rsidRDefault="005D5113" w:rsidP="0074642E">
      <w:pPr>
        <w:ind w:left="567"/>
        <w:rPr>
          <w:b/>
          <w:bCs/>
        </w:rPr>
      </w:pPr>
    </w:p>
    <w:p w14:paraId="00000093" w14:textId="77777777" w:rsidR="005D5113" w:rsidRPr="0098598C" w:rsidRDefault="002776C5" w:rsidP="0074642E">
      <w:pPr>
        <w:pStyle w:val="Heading1"/>
        <w:keepNext/>
        <w:keepLines/>
        <w:numPr>
          <w:ilvl w:val="0"/>
          <w:numId w:val="1"/>
        </w:numPr>
        <w:ind w:left="567" w:hanging="567"/>
      </w:pPr>
      <w:r>
        <w:rPr>
          <w:b/>
        </w:rPr>
        <w:t>Circulariteit en innovatie</w:t>
      </w:r>
    </w:p>
    <w:p w14:paraId="00000094" w14:textId="77777777" w:rsidR="005D5113" w:rsidRPr="0098598C" w:rsidRDefault="005D5113" w:rsidP="00F34E97">
      <w:pPr>
        <w:keepNext/>
        <w:keepLines/>
        <w:ind w:left="567"/>
      </w:pPr>
    </w:p>
    <w:p w14:paraId="00000095" w14:textId="7C3B8C49" w:rsidR="005D5113" w:rsidRPr="0098598C" w:rsidRDefault="002776C5" w:rsidP="00F34E97">
      <w:pPr>
        <w:pStyle w:val="Heading2"/>
        <w:numPr>
          <w:ilvl w:val="1"/>
          <w:numId w:val="1"/>
        </w:numPr>
        <w:ind w:left="567" w:hanging="567"/>
      </w:pPr>
      <w:r>
        <w:t>Het maximaliseren van de terugwinning en het hergebruik van materialen die al op de EU-markt zijn gebracht, moet een centrale pijler zijn van de grondstoffen- en industriestrategie van de EU, naast primaire betrekking en diversificatie van de voorziening. Het EESC steunt de nadruk op het recyclen van kritieke grondstoffen en een beter gebruik van bestaande afvalstromen Meer circulariteit is essentieel om afhankelijkheden te verminderen, emissies te verlagen en de veerkracht van Europa te versterken. Circulariteit is breder dan recycling en moet het verlengen van de levensduur van producten en het verbeteren van repareerbaarheid, modulariteit en herbruikbaarheid omvatten, en moet verschuiven van een benadering van afvalbeheer naar beheer van hulpbronnen.</w:t>
      </w:r>
    </w:p>
    <w:p w14:paraId="00000096" w14:textId="77777777" w:rsidR="005D5113" w:rsidRPr="0098598C" w:rsidRDefault="005D5113" w:rsidP="0074642E">
      <w:pPr>
        <w:ind w:left="567"/>
      </w:pPr>
    </w:p>
    <w:p w14:paraId="00000097" w14:textId="0BF46887" w:rsidR="005D5113" w:rsidRPr="0098598C" w:rsidRDefault="002776C5" w:rsidP="00F34E97">
      <w:pPr>
        <w:pStyle w:val="Heading2"/>
        <w:numPr>
          <w:ilvl w:val="1"/>
          <w:numId w:val="1"/>
        </w:numPr>
        <w:ind w:left="567" w:hanging="567"/>
      </w:pPr>
      <w:r>
        <w:t xml:space="preserve">De aankondiging van de Commissie van gerichte maatregelen voor aluminiumschroot is daarom welkom. Hier moet onverwijld werk van worden gemaakt om er voor te zorgen dat het in de EU geproduceerde schroot van kritieke grondstoffen in de eerste plaats bijdraagt aan de Europese recycling- en productiecapaciteit. Dit kan passende uitvoermaatregelen omvatten, zoals een uniforme uitvoerheffing, om onevenwichtigheden op de markt aan te pakken en koolstof- en </w:t>
      </w:r>
      <w:r>
        <w:lastRenderedPageBreak/>
        <w:t xml:space="preserve">waardelekkage te voorkomen, met waarborging van de verenigbaarheid met de internationale verplichtingen van de EU. Dergelijke maatregelen moeten evenredig, transparant en tijdgebonden zijn, met waarborgen om de externalisering van milieuschade (met inbegrip van schade als gevolg van onveilige recyclingpraktijken, verontreiniging en arbeidsuitbuiting) en risico’s voor de mensenrechten te voorkomen en ervoor te zorgen dat op verantwoorde wijze waarde wordt behouden binnen de EU. </w:t>
      </w:r>
    </w:p>
    <w:p w14:paraId="00000098" w14:textId="77777777" w:rsidR="005D5113" w:rsidRPr="0098598C" w:rsidRDefault="005D5113" w:rsidP="0074642E">
      <w:pPr>
        <w:ind w:left="567"/>
      </w:pPr>
    </w:p>
    <w:p w14:paraId="00000099" w14:textId="77777777" w:rsidR="005D5113" w:rsidRPr="0098598C" w:rsidRDefault="002776C5" w:rsidP="00F34E97">
      <w:pPr>
        <w:pStyle w:val="Heading2"/>
        <w:numPr>
          <w:ilvl w:val="1"/>
          <w:numId w:val="1"/>
        </w:numPr>
        <w:ind w:left="567" w:hanging="567"/>
      </w:pPr>
      <w:r>
        <w:t>Het EESC steunt initiatieven om de circulatie van afval van kritieke grondstoffen binnen de EU te verbeteren. De vereenvoudiging en digitalisering van de procedures in het kader van de verordening inzake de overbrenging van afvalstoffen (Waste Shipment Regulation, WSR), met inbegrip van digitale documentatie en gestroomlijnde administratieve processen, zijn positieve stappen. De ontwikkeling van één digitaal systeem voor overbrengingen van afvalstoffen, met elektronische indiening en automatische goedkeuringen binnen vastgestelde termijnen, zal de administratieve lasten helpen verminderen. Het digitale productpaspoort zal de traceerbaarheid verder verbeteren en recycling van hogere kwaliteit bevorderen, waardoor milieuprestaties, arbeidsomstandigheden en naleving van verplichtingen inzake passende zorgvuldigheid beter kunnen worden gecontroleerd. Duidelijke regelgeving blijft van cruciaal belang. Duidelijke en consistente definities van wanneer een materiaal als afval, product of stof wordt beschouwd — met name op het raakvlak tussen de WSR en de wetgeving inzake chemische stoffen — zijn nodig om vertragingen in recycling en terugwinning te voorkomen.</w:t>
      </w:r>
    </w:p>
    <w:p w14:paraId="0000009A" w14:textId="77777777" w:rsidR="005D5113" w:rsidRPr="0098598C" w:rsidRDefault="005D5113" w:rsidP="0074642E">
      <w:pPr>
        <w:ind w:left="567"/>
      </w:pPr>
    </w:p>
    <w:p w14:paraId="0000009B" w14:textId="77777777" w:rsidR="005D5113" w:rsidRPr="0098598C" w:rsidRDefault="002776C5" w:rsidP="00F34E97">
      <w:pPr>
        <w:pStyle w:val="Heading2"/>
        <w:numPr>
          <w:ilvl w:val="1"/>
          <w:numId w:val="1"/>
        </w:numPr>
        <w:ind w:left="567" w:hanging="567"/>
      </w:pPr>
      <w:r>
        <w:t xml:space="preserve">Regelgevende maatregelen moeten ook worden aangevuld met tijdige financiering en innovatiesteun. Het EESC onderstreept het belang van </w:t>
      </w:r>
      <w:r>
        <w:rPr>
          <w:b/>
        </w:rPr>
        <w:t>een snelle beschikbaarstelling van de financiering die in het kader van het RESourceEU-actieplan is aangekondigd</w:t>
      </w:r>
      <w:r>
        <w:t>, ook voor toepassingen van kritieke grondstoffen op defensiegebied. Besluiten over prioritering vereisen echter democratische verantwoordingsplicht, transparantie en duidelijke criteria. Ze mogen de vereisten van de klimaat- en energietransitie of het algemeen belang niet ondermijnen. Jongerenparticipatie moet worden gewaarborgd door adviesfuncties en gestructureerd overleg in governanceorganen en programma’s op het gebied van kritieke grondstoffen.</w:t>
      </w:r>
    </w:p>
    <w:p w14:paraId="0000009C" w14:textId="77777777" w:rsidR="005D5113" w:rsidRPr="0098598C" w:rsidRDefault="005D5113" w:rsidP="0074642E">
      <w:pPr>
        <w:ind w:left="567"/>
      </w:pPr>
    </w:p>
    <w:p w14:paraId="0000009D" w14:textId="77777777" w:rsidR="005D5113" w:rsidRPr="0098598C" w:rsidRDefault="002776C5" w:rsidP="00F61A6D">
      <w:pPr>
        <w:pStyle w:val="Heading1"/>
        <w:keepNext/>
        <w:keepLines/>
        <w:numPr>
          <w:ilvl w:val="0"/>
          <w:numId w:val="1"/>
        </w:numPr>
        <w:ind w:left="567" w:hanging="567"/>
        <w:rPr>
          <w:b/>
          <w:bCs/>
        </w:rPr>
      </w:pPr>
      <w:r>
        <w:rPr>
          <w:b/>
        </w:rPr>
        <w:t>Europese projecten faciliteren en een duurzame markt creëren</w:t>
      </w:r>
    </w:p>
    <w:p w14:paraId="0000009E" w14:textId="77777777" w:rsidR="005D5113" w:rsidRPr="0098598C" w:rsidRDefault="005D5113" w:rsidP="00F34E97">
      <w:pPr>
        <w:keepNext/>
        <w:keepLines/>
        <w:ind w:left="567"/>
      </w:pPr>
    </w:p>
    <w:p w14:paraId="0000009F" w14:textId="54305915" w:rsidR="005D5113" w:rsidRPr="0098598C" w:rsidRDefault="002776C5" w:rsidP="00F34E97">
      <w:pPr>
        <w:pStyle w:val="Heading2"/>
        <w:numPr>
          <w:ilvl w:val="1"/>
          <w:numId w:val="1"/>
        </w:numPr>
        <w:ind w:left="567" w:hanging="567"/>
      </w:pPr>
      <w:r>
        <w:t xml:space="preserve">Het EESC ondersteunt de versterking van de veerkracht van Europese waardeketens van kritieke grondstoffen door middel van marktgebaseerde instrumenten, overheidsinterventie en strategische coördinatie. Naast het verbeteren van de bevoorrading moet er meer aandacht worden besteed aan het versterken van de kwaliteit, voorspelbaarheid en veerkracht van de vraag door middel van materiaalefficiëntie, beter productontwerp, hogere recyclingpercentages, het verminderen van afval en het verlengen van de levensduur van producten, terwijl de schaalvergroting van duurzame Europese productie moet worden ondersteund. </w:t>
      </w:r>
    </w:p>
    <w:p w14:paraId="000000A0" w14:textId="77777777" w:rsidR="005D5113" w:rsidRPr="0098598C" w:rsidRDefault="005D5113" w:rsidP="0074642E">
      <w:pPr>
        <w:ind w:left="567"/>
      </w:pPr>
    </w:p>
    <w:p w14:paraId="000000A1" w14:textId="5DD66194" w:rsidR="005D5113" w:rsidRPr="0098598C" w:rsidRDefault="002776C5" w:rsidP="00F34E97">
      <w:pPr>
        <w:pStyle w:val="Heading2"/>
        <w:numPr>
          <w:ilvl w:val="1"/>
          <w:numId w:val="1"/>
        </w:numPr>
        <w:ind w:left="567" w:hanging="567"/>
      </w:pPr>
      <w:r>
        <w:t>Het aanleggen van voorraden kan helpen om kortetermijnverstoringen in de bevoorrading op te vangen, maar kan niet in de plaats komen van de ontwikkeling van binnenlandse productie- en verwerkingscapaciteit. Het versterken van EU-gebaseerde projecten</w:t>
      </w:r>
      <w:r w:rsidRPr="0098598C">
        <w:rPr>
          <w:sz w:val="24"/>
          <w:szCs w:val="24"/>
          <w:vertAlign w:val="superscript"/>
        </w:rPr>
        <w:footnoteReference w:id="3"/>
      </w:r>
      <w:r>
        <w:t xml:space="preserve"> is van strategisch belang </w:t>
      </w:r>
      <w:r>
        <w:lastRenderedPageBreak/>
        <w:t>om afhankelijkheden te verminderen. De bezorgdheid van de sector over eigendomsmodellen, marktverstoring en verdringingseffecten moet worden afgewogen tegen de doelstellingen op het gebied van veerkracht.</w:t>
      </w:r>
    </w:p>
    <w:p w14:paraId="000000A2" w14:textId="77777777" w:rsidR="005D5113" w:rsidRPr="0098598C" w:rsidRDefault="005D5113" w:rsidP="0074642E">
      <w:pPr>
        <w:ind w:left="567"/>
      </w:pPr>
    </w:p>
    <w:p w14:paraId="000000A3" w14:textId="046A5AA3" w:rsidR="005D5113" w:rsidRPr="0098598C" w:rsidRDefault="002776C5" w:rsidP="00F34E97">
      <w:pPr>
        <w:pStyle w:val="Heading2"/>
        <w:numPr>
          <w:ilvl w:val="1"/>
          <w:numId w:val="1"/>
        </w:numPr>
        <w:ind w:left="567" w:hanging="567"/>
      </w:pPr>
      <w:r>
        <w:t xml:space="preserve">Wat betreft de voorgestelde wijziging van de Europese verordening kritieke grondstoffen inzake diversificatie van de voorziening, is het EESC voorstander van risicobeoordelingen van de toeleveringsketen en van meer transparantie, maar wijst het erop dat diversificatieverplichtingen evenredig en haalbaar moeten blijven. Van bedrijven mag niet worden geëist dat ze diversifiëren als er geen haalbare alternatieve bronnen bestaan. Het optreden van de Commissie moet in de eerste plaats gericht zijn op ondersteunende maatregelen, zoals steun voor EU-productie, voordat verplichte diversificatievereisten worden overwogen. Het EESC wijst ook op het belang van transparantie over gegevens over materiaalstromen, toewijzingsbeslissingen, voorraden en publieke financiële blootstelling. Er moet een Europees transparantiedashboard voor grondstoffen komen om democratisch toezicht en een geïnformeerd openbaar debat mogelijk te maken. </w:t>
      </w:r>
    </w:p>
    <w:p w14:paraId="000000A4" w14:textId="77777777" w:rsidR="005D5113" w:rsidRPr="0098598C" w:rsidRDefault="005D5113" w:rsidP="0074642E">
      <w:pPr>
        <w:ind w:left="567"/>
      </w:pPr>
    </w:p>
    <w:p w14:paraId="000000A5" w14:textId="77777777" w:rsidR="005D5113" w:rsidRPr="0098598C" w:rsidRDefault="002776C5" w:rsidP="00F34E97">
      <w:pPr>
        <w:pStyle w:val="Heading2"/>
        <w:numPr>
          <w:ilvl w:val="1"/>
          <w:numId w:val="1"/>
        </w:numPr>
        <w:ind w:left="567" w:hanging="567"/>
      </w:pPr>
      <w:r>
        <w:t>Het EESC benadrukt dat diversificatie geen doel op zich is. Het doel moet zijn om de kwetsbaarheid te verminderen en ervoor te zorgen dat bij elke toename van winningsactiviteiten de duurzaamheidsnormen strikt worden nageleefd en verbeterd, terwijl de vraag wordt gematigd. Partnerschappen moeten daarom deel uitmaken van een bredere strategie die voorzieningszekerheid integreert met milieu-integriteit en mondiale rechtvaardigheid.</w:t>
      </w:r>
    </w:p>
    <w:p w14:paraId="000000A6" w14:textId="77777777" w:rsidR="005D5113" w:rsidRPr="0098598C" w:rsidRDefault="005D5113" w:rsidP="0074642E">
      <w:pPr>
        <w:ind w:left="567"/>
      </w:pPr>
    </w:p>
    <w:p w14:paraId="000000A7" w14:textId="77777777" w:rsidR="005D5113" w:rsidRPr="0098598C" w:rsidRDefault="002776C5" w:rsidP="00F61A6D">
      <w:pPr>
        <w:pStyle w:val="Heading1"/>
        <w:keepNext/>
        <w:keepLines/>
        <w:numPr>
          <w:ilvl w:val="0"/>
          <w:numId w:val="1"/>
        </w:numPr>
        <w:ind w:left="567" w:hanging="567"/>
        <w:rPr>
          <w:b/>
          <w:bCs/>
        </w:rPr>
      </w:pPr>
      <w:r>
        <w:rPr>
          <w:b/>
        </w:rPr>
        <w:t>Partnerschappen met derde landen met het oog op diversificatie</w:t>
      </w:r>
    </w:p>
    <w:p w14:paraId="000000A8" w14:textId="77777777" w:rsidR="005D5113" w:rsidRPr="0098598C" w:rsidRDefault="005D5113" w:rsidP="00F34E97">
      <w:pPr>
        <w:keepNext/>
        <w:keepLines/>
        <w:ind w:left="567"/>
      </w:pPr>
    </w:p>
    <w:p w14:paraId="000000A9" w14:textId="5CF528E2" w:rsidR="005D5113" w:rsidRPr="0098598C" w:rsidRDefault="007A59A1" w:rsidP="00F34E97">
      <w:pPr>
        <w:pStyle w:val="Heading2"/>
        <w:numPr>
          <w:ilvl w:val="1"/>
          <w:numId w:val="1"/>
        </w:numPr>
        <w:ind w:left="567" w:hanging="567"/>
      </w:pPr>
      <w:r>
        <w:t xml:space="preserve">Diversificatie van de handel is een noodzaak. Het EESC is ingenomen met het voornemen van de Commissie om partnerschappen op het gebied van kritieke grondstoffen aan te gaan en de waardeketen van de EU te integreren met strategische partners. Partnerschappen moeten derde landen helpen om hogerop te komen in de waardeketen en om hun eigen industriële capaciteit te ontwikkelen. </w:t>
      </w:r>
    </w:p>
    <w:p w14:paraId="000000AA" w14:textId="77777777" w:rsidR="005D5113" w:rsidRPr="0098598C" w:rsidRDefault="005D5113" w:rsidP="0074642E">
      <w:pPr>
        <w:ind w:left="567"/>
      </w:pPr>
    </w:p>
    <w:p w14:paraId="000000AB" w14:textId="409F2C76" w:rsidR="005D5113" w:rsidRPr="0098598C" w:rsidRDefault="002776C5" w:rsidP="00F34E97">
      <w:pPr>
        <w:pStyle w:val="Heading2"/>
        <w:numPr>
          <w:ilvl w:val="1"/>
          <w:numId w:val="1"/>
        </w:numPr>
        <w:ind w:left="567" w:hanging="567"/>
      </w:pPr>
      <w:r>
        <w:t>Tegelijkertijd kunnen externe partnerschappen niet in de plaats komen van een versterking van de interne EU-capaciteit. In verschillende gevallen waren mondiale concurrenten de EU te snel af en slaagden zij erin strategische hulpbronnen veilig te stellen voordat de EU een partnerschap kon sluiten</w:t>
      </w:r>
      <w:r w:rsidRPr="0098598C">
        <w:rPr>
          <w:sz w:val="24"/>
          <w:szCs w:val="24"/>
          <w:vertAlign w:val="superscript"/>
        </w:rPr>
        <w:footnoteReference w:id="4"/>
      </w:r>
      <w:r>
        <w:t>, wat het belang onderstreept van de ontwikkeling van capaciteiten binnen de EU.</w:t>
      </w:r>
    </w:p>
    <w:p w14:paraId="000000AC" w14:textId="77777777" w:rsidR="005D5113" w:rsidRPr="0098598C" w:rsidRDefault="005D5113" w:rsidP="00F34E97">
      <w:pPr>
        <w:ind w:left="567"/>
      </w:pPr>
    </w:p>
    <w:p w14:paraId="000000AD" w14:textId="3579762C" w:rsidR="005D5113" w:rsidRPr="0098598C" w:rsidRDefault="002776C5" w:rsidP="00F05972">
      <w:pPr>
        <w:pStyle w:val="Heading2"/>
        <w:numPr>
          <w:ilvl w:val="1"/>
          <w:numId w:val="1"/>
        </w:numPr>
        <w:ind w:left="567" w:hanging="567"/>
      </w:pPr>
      <w:r>
        <w:t xml:space="preserve">Partnerschappen moeten voorzien in sterke waarborgen op het gebied van governance. Overeenkomsten moeten meetbare benchmarks, transparantievereisten en opschortingsclausules bevatten voor gevallen zoals ernstige milieuschade, terrorismefinanciering, witwassen, corruptie of schending van arbeidsrechten. Strategische aanwijzing mag projecten niet afschermen van verantwoordingsmechanismen en de memoranda van overeenstemming en routekaarten moeten openbaar zijn. Er moet ook aandacht worden besteed aan corruptierisico’s, transparantie met betrekking tot inkomsten, eerlijke verdeling van voordelen, documentatie en routekaarten, rapportage over uiteindelijke begunstigden en afstemming op internationale initiatieven, om te </w:t>
      </w:r>
      <w:r>
        <w:lastRenderedPageBreak/>
        <w:t>voorkomen dat inkomsten uit hulpbronnen instabiliteit aanwakkeren of naar elites vloeien. In de reactie van de EU op de geopolitieke concurrentie moet zij geen machtspolitiek op het gebied van grondstoffenextractie reproduceren; haar strategische autonomie moet gebaseerd zijn op voorspelbare regels en eerlijke partnerschappen. Daarom moeten partnerschappen, door het beginsel van vrije, voorafgaande en geïnformeerde toestemming (IAO 169) op te nemen, ervoor zorgen dat getroffen inheemse volken, waar relevant, een betekenisvolle beslissingsbevoegdheid hebben ten aanzien van projecten die gevolgen hebben voor hun grondgebied.</w:t>
      </w:r>
    </w:p>
    <w:p w14:paraId="000000AE" w14:textId="77777777" w:rsidR="005D5113" w:rsidRPr="0098598C" w:rsidRDefault="005D5113" w:rsidP="0074642E">
      <w:pPr>
        <w:ind w:left="567"/>
      </w:pPr>
    </w:p>
    <w:p w14:paraId="000000AF" w14:textId="77777777" w:rsidR="005D5113" w:rsidRPr="0098598C" w:rsidRDefault="002776C5" w:rsidP="00F34E97">
      <w:pPr>
        <w:pStyle w:val="Heading2"/>
        <w:numPr>
          <w:ilvl w:val="1"/>
          <w:numId w:val="1"/>
        </w:numPr>
        <w:ind w:left="567" w:hanging="567"/>
        <w:rPr>
          <w:b/>
          <w:bCs/>
        </w:rPr>
      </w:pPr>
      <w:r>
        <w:t>Bij het sluiten van vrijhandelsovereenkomsten moet het juiste evenwicht worden gevonden tussen het diversifiëren van de toelevering uit het buitenland en het stimuleren van de binnenlandse capaciteit. Een preferentiële tariefbehandeling (met name toegang tot de EU tegen een nultarief) voor kritieke grondstoffen die op grote schaal in derde landen worden geproduceerd, moet zorgvuldig worden geëvalueerd als dit de stimulansen voor investeringen in de productie- en recyclingcapaciteit in de EU dreigt te verzwakken. Het handelsbeleid moet daarom diversificatie ondersteunen zonder koolstoflekkage of verdere afhankelijkheid van externe leveranciers te verergeren.</w:t>
      </w:r>
    </w:p>
    <w:p w14:paraId="000000B0" w14:textId="77777777" w:rsidR="005D5113" w:rsidRPr="0098598C" w:rsidRDefault="005D5113" w:rsidP="0074642E">
      <w:pPr>
        <w:ind w:left="567"/>
      </w:pPr>
    </w:p>
    <w:p w14:paraId="000000B2" w14:textId="0ACA7637" w:rsidR="005D5113" w:rsidRPr="0098598C" w:rsidRDefault="002776C5" w:rsidP="0074642E">
      <w:pPr>
        <w:pStyle w:val="Heading2"/>
        <w:numPr>
          <w:ilvl w:val="1"/>
          <w:numId w:val="1"/>
        </w:numPr>
        <w:ind w:left="567" w:hanging="567"/>
      </w:pPr>
      <w:r>
        <w:t>Tot slot moeten partnerschappen ook de prioriteiten van het partnerland weerspiegelen en de lokale economische ontwikkeling ondersteunen door middel van investeringen, overdracht van vaardigheden en duurzame waardecreatie, met inachtneming van milieugrenzen, sociale rechten en instemming van de gemeenschap. Ze moeten voorkomen dat extractieve afhankelijkheden worden bestendigd of dat sociale en milieukosten worden geëxternaliseerd. Om geloofwaardig te zijn, moeten partnerschapsovereenkomsten en aanverwante instrumenten expliciete arbeidsrechten en afdwingbare bepalingen inzake passende zorgvuldigheid bevatten, met monitoring, transparantie en rechtsmiddelen indien schade optreedt, in plaats van te vertrouwen op vrijwillige bepalingen.</w:t>
      </w:r>
    </w:p>
    <w:p w14:paraId="76473B52" w14:textId="77777777" w:rsidR="00022E7C" w:rsidRDefault="00022E7C" w:rsidP="0074642E">
      <w:pPr>
        <w:ind w:left="567"/>
        <w:jc w:val="center"/>
      </w:pPr>
    </w:p>
    <w:p w14:paraId="18A2495D" w14:textId="11350EF8" w:rsidR="00287F85" w:rsidRDefault="00287F85" w:rsidP="00022E7C">
      <w:pPr>
        <w:tabs>
          <w:tab w:val="left" w:pos="142"/>
        </w:tabs>
      </w:pPr>
      <w:r>
        <w:t>Brussel, 20 mei 2026.</w:t>
      </w:r>
    </w:p>
    <w:p w14:paraId="24E543B0" w14:textId="77777777" w:rsidR="00287F85" w:rsidRDefault="00287F85" w:rsidP="00287F85"/>
    <w:p w14:paraId="0A6274AF" w14:textId="77777777" w:rsidR="00287F85" w:rsidRDefault="00287F85" w:rsidP="00287F85"/>
    <w:p w14:paraId="7E230475" w14:textId="0A61256C" w:rsidR="00287F85" w:rsidRDefault="00287F85" w:rsidP="00022E7C">
      <w:pPr>
        <w:tabs>
          <w:tab w:val="left" w:pos="142"/>
        </w:tabs>
        <w:rPr>
          <w:i/>
          <w:iCs/>
        </w:rPr>
      </w:pPr>
      <w:r>
        <w:rPr>
          <w:i/>
        </w:rPr>
        <w:t>De voorzitter van de adviescommissie Industriële Reconversie</w:t>
      </w:r>
    </w:p>
    <w:p w14:paraId="254E9C5C" w14:textId="37678330" w:rsidR="00022E7C" w:rsidRDefault="00287F85" w:rsidP="002F4D01">
      <w:pPr>
        <w:jc w:val="left"/>
      </w:pPr>
      <w:r>
        <w:t>Alain COHEUR</w:t>
      </w:r>
    </w:p>
    <w:p w14:paraId="7A53CE54" w14:textId="11ED6744" w:rsidR="00022E7C" w:rsidRPr="0098598C" w:rsidRDefault="00022E7C" w:rsidP="002F4D01">
      <w:pPr>
        <w:overflowPunct w:val="0"/>
        <w:autoSpaceDE w:val="0"/>
        <w:autoSpaceDN w:val="0"/>
        <w:adjustRightInd w:val="0"/>
        <w:jc w:val="center"/>
        <w:textAlignment w:val="baseline"/>
      </w:pPr>
      <w:r>
        <w:t>_____________</w:t>
      </w:r>
    </w:p>
    <w:sectPr w:rsidR="00022E7C" w:rsidRPr="0098598C" w:rsidSect="00131E9C">
      <w:headerReference w:type="even" r:id="rId19"/>
      <w:headerReference w:type="default" r:id="rId20"/>
      <w:footerReference w:type="even" r:id="rId21"/>
      <w:footerReference w:type="default" r:id="rId22"/>
      <w:headerReference w:type="first" r:id="rId23"/>
      <w:footerReference w:type="first" r:id="rId24"/>
      <w:pgSz w:w="11907" w:h="1683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7425" w14:textId="77777777" w:rsidR="008043D4" w:rsidRDefault="008043D4">
      <w:pPr>
        <w:spacing w:line="240" w:lineRule="auto"/>
      </w:pPr>
      <w:r>
        <w:separator/>
      </w:r>
    </w:p>
  </w:endnote>
  <w:endnote w:type="continuationSeparator" w:id="0">
    <w:p w14:paraId="0BD428DA" w14:textId="77777777" w:rsidR="008043D4" w:rsidRDefault="008043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92DE" w14:textId="77777777" w:rsidR="00535399" w:rsidRPr="00131E9C" w:rsidRDefault="00535399" w:rsidP="00131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F" w14:textId="10A477EA" w:rsidR="005D5113" w:rsidRPr="00131E9C" w:rsidRDefault="00131E9C" w:rsidP="00131E9C">
    <w:pPr>
      <w:pStyle w:val="Footer"/>
    </w:pPr>
    <w:r>
      <w:t xml:space="preserve">CCMI/259 – EESC-2026-00431-00-00-AS-TRA (EN) </w:t>
    </w:r>
    <w:r>
      <w:fldChar w:fldCharType="begin"/>
    </w:r>
    <w:r>
      <w:instrText xml:space="preserve"> PAGE  \* Arabic  \* MERGEFORMAT </w:instrText>
    </w:r>
    <w:r>
      <w:fldChar w:fldCharType="separate"/>
    </w:r>
    <w:r w:rsidR="00366DD9">
      <w:t>1</w:t>
    </w:r>
    <w:r>
      <w:fldChar w:fldCharType="end"/>
    </w:r>
    <w:r>
      <w:t>/</w:t>
    </w:r>
    <w:fldSimple w:instr=" NUMPAGES ">
      <w:r w:rsidR="00366DD9">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6B7F" w14:textId="77777777" w:rsidR="00535399" w:rsidRPr="00131E9C" w:rsidRDefault="00535399" w:rsidP="00131E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0" w14:textId="77777777" w:rsidR="005D5113" w:rsidRPr="00131E9C" w:rsidRDefault="005D5113" w:rsidP="00131E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1" w14:textId="38147BDB" w:rsidR="005D5113" w:rsidRPr="00131E9C" w:rsidRDefault="00131E9C" w:rsidP="00131E9C">
    <w:pPr>
      <w:pStyle w:val="Footer"/>
    </w:pPr>
    <w:r>
      <w:t xml:space="preserve">CCMI/259 – EESC-2026-00431-00-00-AS-TRA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2" w14:textId="77777777" w:rsidR="005D5113" w:rsidRPr="00131E9C" w:rsidRDefault="005D5113" w:rsidP="0013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B072A" w14:textId="77777777" w:rsidR="008043D4" w:rsidRDefault="008043D4">
      <w:pPr>
        <w:spacing w:line="240" w:lineRule="auto"/>
      </w:pPr>
      <w:r>
        <w:separator/>
      </w:r>
    </w:p>
  </w:footnote>
  <w:footnote w:type="continuationSeparator" w:id="0">
    <w:p w14:paraId="420FC21B" w14:textId="77777777" w:rsidR="008043D4" w:rsidRDefault="008043D4">
      <w:pPr>
        <w:spacing w:line="240" w:lineRule="auto"/>
      </w:pPr>
      <w:r>
        <w:continuationSeparator/>
      </w:r>
    </w:p>
  </w:footnote>
  <w:footnote w:id="1">
    <w:p w14:paraId="000000B5" w14:textId="77777777" w:rsidR="005D5113" w:rsidRPr="00CE2CEF" w:rsidRDefault="002776C5">
      <w:pPr>
        <w:keepLines/>
        <w:spacing w:after="60" w:line="240" w:lineRule="auto"/>
        <w:ind w:left="567" w:hanging="567"/>
        <w:rPr>
          <w:color w:val="000000"/>
          <w:sz w:val="16"/>
          <w:szCs w:val="16"/>
        </w:rPr>
      </w:pPr>
      <w:r>
        <w:rPr>
          <w:rStyle w:val="FootnoteReference"/>
        </w:rPr>
        <w:footnoteRef/>
      </w:r>
      <w:r>
        <w:t xml:space="preserve"> </w:t>
      </w:r>
      <w:r>
        <w:tab/>
      </w:r>
      <w:r w:rsidRPr="00CE2CEF">
        <w:rPr>
          <w:sz w:val="16"/>
          <w:szCs w:val="16"/>
        </w:rPr>
        <w:t>In de praktijk is het cumulatieve effect van deze voorwaarden dat energie-intensieve industrieën die al compensatie ontvangen voor indirecte ETS-kosten de facto worden uitgesloten van elektriciteitsprijssteun.</w:t>
      </w:r>
      <w:r w:rsidRPr="00CE2CEF">
        <w:rPr>
          <w:color w:val="000000"/>
          <w:sz w:val="16"/>
          <w:szCs w:val="16"/>
        </w:rPr>
        <w:t xml:space="preserve"> Het plafond voor in aanmerking komende verbruikskosten en prijzen, in combinatie met strikte regels voor de toewijzing van investeringen en non-cumulatie, betekent dat bedrijven die de maximaal toegestane compensatie voor indirecte kosten hebben bereikt, geen extra steun kunnen ontvangen.</w:t>
      </w:r>
    </w:p>
  </w:footnote>
  <w:footnote w:id="2">
    <w:p w14:paraId="000000B8" w14:textId="7802121E" w:rsidR="005D5113" w:rsidRDefault="002776C5" w:rsidP="00470E7F">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t xml:space="preserve"> </w:t>
      </w:r>
      <w:r>
        <w:tab/>
      </w:r>
      <w:r w:rsidRPr="00CE2CEF">
        <w:rPr>
          <w:sz w:val="16"/>
          <w:szCs w:val="16"/>
        </w:rPr>
        <w:t>Zelfs de EIB (die bekendstaat als Europa’s klimaatbank) meldde begin 2025 dat zij zelf slechts voor 1 % voldoet aan de EU-taxonomie, en benadrukte daarbij het al te complexe en onwerkbare karakter ervan.</w:t>
      </w:r>
      <w:r w:rsidRPr="00CE2CEF">
        <w:rPr>
          <w:color w:val="000000"/>
          <w:sz w:val="16"/>
          <w:szCs w:val="16"/>
        </w:rPr>
        <w:t xml:space="preserve"> </w:t>
      </w:r>
      <w:r w:rsidRPr="00CE2CEF">
        <w:rPr>
          <w:sz w:val="16"/>
          <w:szCs w:val="16"/>
        </w:rPr>
        <w:t xml:space="preserve">(Bron: </w:t>
      </w:r>
      <w:hyperlink r:id="rId1">
        <w:r w:rsidRPr="00CE2CEF">
          <w:rPr>
            <w:color w:val="0000FF"/>
            <w:sz w:val="16"/>
            <w:szCs w:val="16"/>
            <w:u w:val="single"/>
          </w:rPr>
          <w:t>Financial Times</w:t>
        </w:r>
      </w:hyperlink>
      <w:r w:rsidRPr="00CE2CEF">
        <w:rPr>
          <w:sz w:val="16"/>
          <w:szCs w:val="16"/>
        </w:rPr>
        <w:t>).</w:t>
      </w:r>
    </w:p>
  </w:footnote>
  <w:footnote w:id="3">
    <w:p w14:paraId="000000BA" w14:textId="77777777" w:rsidR="005D5113" w:rsidRPr="006E3D09" w:rsidRDefault="002776C5">
      <w:pPr>
        <w:keepLines/>
        <w:spacing w:after="60" w:line="240" w:lineRule="auto"/>
        <w:ind w:left="567" w:hanging="567"/>
        <w:jc w:val="left"/>
        <w:rPr>
          <w:color w:val="000000"/>
          <w:sz w:val="16"/>
          <w:szCs w:val="16"/>
        </w:rPr>
      </w:pPr>
      <w:r>
        <w:rPr>
          <w:rStyle w:val="FootnoteReference"/>
        </w:rPr>
        <w:footnoteRef/>
      </w:r>
      <w:r>
        <w:t xml:space="preserve"> </w:t>
      </w:r>
      <w:r>
        <w:tab/>
      </w:r>
      <w:r w:rsidRPr="006E3D09">
        <w:rPr>
          <w:sz w:val="16"/>
          <w:szCs w:val="16"/>
        </w:rPr>
        <w:t>Het EESC wijst erop dat één enkel investeringsproject voor gallium in de EU, wanneer dit volledig is gerealiseerd, tot 100 % van de vraag in de EU zou kunnen dekken, waardoor de voorzieningszekerheid voor belangrijke industriële en defensiewaardeketens aanzienlijk zou worden vergroot.</w:t>
      </w:r>
    </w:p>
  </w:footnote>
  <w:footnote w:id="4">
    <w:p w14:paraId="000000BB" w14:textId="36BD2CF3" w:rsidR="005D5113" w:rsidRPr="006E3D09" w:rsidRDefault="002776C5">
      <w:pPr>
        <w:keepLines/>
        <w:spacing w:after="60" w:line="240" w:lineRule="auto"/>
        <w:ind w:left="567" w:hanging="567"/>
        <w:rPr>
          <w:color w:val="000000"/>
          <w:sz w:val="16"/>
          <w:szCs w:val="16"/>
        </w:rPr>
      </w:pPr>
      <w:r w:rsidRPr="006E3D09">
        <w:rPr>
          <w:rStyle w:val="FootnoteReference"/>
          <w:sz w:val="16"/>
          <w:szCs w:val="16"/>
        </w:rPr>
        <w:footnoteRef/>
      </w:r>
      <w:r w:rsidRPr="006E3D09">
        <w:rPr>
          <w:sz w:val="16"/>
          <w:szCs w:val="16"/>
        </w:rPr>
        <w:t xml:space="preserve"> </w:t>
      </w:r>
      <w:r w:rsidRPr="006E3D09">
        <w:rPr>
          <w:sz w:val="16"/>
          <w:szCs w:val="16"/>
        </w:rPr>
        <w:tab/>
        <w:t>Eind 2025 verkregen de Verenigde Staten een omvangrijke toezegging van 465 miljoen dollar van haar Development Finance Corporation ter ondersteuning van de uitbreiding van een Braziliaans project op het gebied van zeldzame aardmetalen, slechts enkele dagen voordat EU-functionarissen in gesprek zouden gaan over dezelfde bevoorradingskans</w:t>
      </w:r>
      <w:r w:rsidRPr="006E3D09">
        <w:rPr>
          <w:color w:val="000000"/>
          <w:sz w:val="16"/>
          <w:szCs w:val="16"/>
        </w:rPr>
        <w:t xml:space="preserve"> </w:t>
      </w:r>
      <w:r w:rsidRPr="006E3D09">
        <w:rPr>
          <w:sz w:val="16"/>
          <w:szCs w:val="16"/>
        </w:rPr>
        <w:t xml:space="preserve">(bron: </w:t>
      </w:r>
      <w:hyperlink r:id="rId2">
        <w:r w:rsidRPr="006E3D09">
          <w:rPr>
            <w:color w:val="0000FF"/>
            <w:sz w:val="16"/>
            <w:szCs w:val="16"/>
            <w:u w:val="single"/>
          </w:rPr>
          <w:t>link</w:t>
        </w:r>
      </w:hyperlink>
      <w:r w:rsidRPr="006E3D0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4569" w14:textId="77777777" w:rsidR="00535399" w:rsidRPr="00131E9C" w:rsidRDefault="00535399" w:rsidP="00131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152E" w14:textId="34BF055F" w:rsidR="00535399" w:rsidRPr="00131E9C" w:rsidRDefault="00535399" w:rsidP="00131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13EF" w14:textId="77777777" w:rsidR="00535399" w:rsidRPr="00131E9C" w:rsidRDefault="00535399" w:rsidP="00131E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C" w14:textId="77777777" w:rsidR="005D5113" w:rsidRPr="00131E9C" w:rsidRDefault="005D5113" w:rsidP="00131E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D" w14:textId="2254B6BA" w:rsidR="005D5113" w:rsidRPr="00131E9C" w:rsidRDefault="005D5113" w:rsidP="00131E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77777777" w:rsidR="005D5113" w:rsidRPr="00131E9C" w:rsidRDefault="005D5113" w:rsidP="00131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B463893"/>
    <w:multiLevelType w:val="multilevel"/>
    <w:tmpl w:val="1FBEF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F1127A"/>
    <w:multiLevelType w:val="multilevel"/>
    <w:tmpl w:val="B1269CF4"/>
    <w:lvl w:ilvl="0">
      <w:start w:val="1"/>
      <w:numFmt w:val="decimal"/>
      <w:lvlText w:val="%1."/>
      <w:lvlJc w:val="left"/>
      <w:pPr>
        <w:ind w:left="0" w:firstLine="0"/>
      </w:pPr>
      <w:rPr>
        <w:b w:val="0"/>
        <w:bCs w:val="0"/>
      </w:rPr>
    </w:lvl>
    <w:lvl w:ilvl="1">
      <w:start w:val="1"/>
      <w:numFmt w:val="decimal"/>
      <w:lvlText w:val="%1.%2"/>
      <w:lvlJc w:val="left"/>
      <w:pPr>
        <w:ind w:left="0" w:firstLine="0"/>
      </w:pPr>
      <w:rPr>
        <w:b w:val="0"/>
        <w:bCs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E3F2D66"/>
    <w:multiLevelType w:val="hybridMultilevel"/>
    <w:tmpl w:val="B0D208D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964924352">
    <w:abstractNumId w:val="2"/>
  </w:num>
  <w:num w:numId="2" w16cid:durableId="1902206269">
    <w:abstractNumId w:val="1"/>
  </w:num>
  <w:num w:numId="3" w16cid:durableId="1243568936">
    <w:abstractNumId w:val="3"/>
  </w:num>
  <w:num w:numId="4" w16cid:durableId="97683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113"/>
    <w:rsid w:val="00022E7C"/>
    <w:rsid w:val="000234EF"/>
    <w:rsid w:val="000316A4"/>
    <w:rsid w:val="000647C4"/>
    <w:rsid w:val="00097868"/>
    <w:rsid w:val="000C6526"/>
    <w:rsid w:val="00131E9C"/>
    <w:rsid w:val="00163874"/>
    <w:rsid w:val="001872EB"/>
    <w:rsid w:val="001A17E8"/>
    <w:rsid w:val="001B0A92"/>
    <w:rsid w:val="00203935"/>
    <w:rsid w:val="00207100"/>
    <w:rsid w:val="00220241"/>
    <w:rsid w:val="00222467"/>
    <w:rsid w:val="002531AC"/>
    <w:rsid w:val="00253A4D"/>
    <w:rsid w:val="002776C5"/>
    <w:rsid w:val="00287F85"/>
    <w:rsid w:val="002C60A9"/>
    <w:rsid w:val="002F4D01"/>
    <w:rsid w:val="0033606E"/>
    <w:rsid w:val="00352E92"/>
    <w:rsid w:val="00366DD9"/>
    <w:rsid w:val="003A4D7D"/>
    <w:rsid w:val="003F7699"/>
    <w:rsid w:val="004622F2"/>
    <w:rsid w:val="00470E7F"/>
    <w:rsid w:val="004C6AC5"/>
    <w:rsid w:val="004F29A3"/>
    <w:rsid w:val="005131E9"/>
    <w:rsid w:val="00535399"/>
    <w:rsid w:val="00555C14"/>
    <w:rsid w:val="005820C5"/>
    <w:rsid w:val="005910E7"/>
    <w:rsid w:val="005B6674"/>
    <w:rsid w:val="005B7F88"/>
    <w:rsid w:val="005C5236"/>
    <w:rsid w:val="005D5113"/>
    <w:rsid w:val="005F01A8"/>
    <w:rsid w:val="00665A23"/>
    <w:rsid w:val="00692DE4"/>
    <w:rsid w:val="006D2380"/>
    <w:rsid w:val="006E3D09"/>
    <w:rsid w:val="0073379A"/>
    <w:rsid w:val="00735155"/>
    <w:rsid w:val="00737F2B"/>
    <w:rsid w:val="0074642E"/>
    <w:rsid w:val="00775540"/>
    <w:rsid w:val="00781846"/>
    <w:rsid w:val="007A59A1"/>
    <w:rsid w:val="007F41E4"/>
    <w:rsid w:val="0080201E"/>
    <w:rsid w:val="008043D4"/>
    <w:rsid w:val="00844C36"/>
    <w:rsid w:val="00867044"/>
    <w:rsid w:val="008A514E"/>
    <w:rsid w:val="008B332C"/>
    <w:rsid w:val="008D59E9"/>
    <w:rsid w:val="008E13D6"/>
    <w:rsid w:val="008F35A8"/>
    <w:rsid w:val="008F44C4"/>
    <w:rsid w:val="008F5E24"/>
    <w:rsid w:val="00924D4D"/>
    <w:rsid w:val="00925C2A"/>
    <w:rsid w:val="00940078"/>
    <w:rsid w:val="0098598C"/>
    <w:rsid w:val="00997578"/>
    <w:rsid w:val="009A5A03"/>
    <w:rsid w:val="009D1717"/>
    <w:rsid w:val="009E397D"/>
    <w:rsid w:val="009E6B47"/>
    <w:rsid w:val="00AB0B7A"/>
    <w:rsid w:val="00AE3965"/>
    <w:rsid w:val="00AE4411"/>
    <w:rsid w:val="00AE506F"/>
    <w:rsid w:val="00B03123"/>
    <w:rsid w:val="00B23789"/>
    <w:rsid w:val="00B25572"/>
    <w:rsid w:val="00BB11DC"/>
    <w:rsid w:val="00BC6555"/>
    <w:rsid w:val="00C67C89"/>
    <w:rsid w:val="00CE2CEF"/>
    <w:rsid w:val="00CE47A1"/>
    <w:rsid w:val="00D13955"/>
    <w:rsid w:val="00D16F2F"/>
    <w:rsid w:val="00D303ED"/>
    <w:rsid w:val="00D31B1D"/>
    <w:rsid w:val="00D75726"/>
    <w:rsid w:val="00E03EDC"/>
    <w:rsid w:val="00E11CF5"/>
    <w:rsid w:val="00E23B84"/>
    <w:rsid w:val="00E42876"/>
    <w:rsid w:val="00E55978"/>
    <w:rsid w:val="00F05972"/>
    <w:rsid w:val="00F107F5"/>
    <w:rsid w:val="00F34E97"/>
    <w:rsid w:val="00F61A6D"/>
    <w:rsid w:val="00F816E9"/>
    <w:rsid w:val="00F90D13"/>
    <w:rsid w:val="00FD016F"/>
    <w:rsid w:val="00FD0BC5"/>
    <w:rsid w:val="00FE64D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fr-BE"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A6D"/>
    <w:rPr>
      <w:lang w:eastAsia="en-US"/>
    </w:rPr>
  </w:style>
  <w:style w:type="paragraph" w:styleId="Heading1">
    <w:name w:val="heading 1"/>
    <w:basedOn w:val="Normal"/>
    <w:next w:val="Normal"/>
    <w:link w:val="Heading1Char"/>
    <w:qFormat/>
    <w:rsid w:val="00F61A6D"/>
    <w:pPr>
      <w:numPr>
        <w:numId w:val="4"/>
      </w:numPr>
      <w:ind w:left="567" w:hanging="567"/>
      <w:outlineLvl w:val="0"/>
    </w:pPr>
    <w:rPr>
      <w:kern w:val="28"/>
    </w:rPr>
  </w:style>
  <w:style w:type="paragraph" w:styleId="Heading2">
    <w:name w:val="heading 2"/>
    <w:basedOn w:val="Normal"/>
    <w:next w:val="Normal"/>
    <w:link w:val="Heading2Char"/>
    <w:qFormat/>
    <w:rsid w:val="00F61A6D"/>
    <w:pPr>
      <w:numPr>
        <w:ilvl w:val="1"/>
        <w:numId w:val="4"/>
      </w:numPr>
      <w:ind w:left="567" w:hanging="567"/>
      <w:outlineLvl w:val="1"/>
    </w:pPr>
  </w:style>
  <w:style w:type="paragraph" w:styleId="Heading3">
    <w:name w:val="heading 3"/>
    <w:basedOn w:val="Normal"/>
    <w:next w:val="Normal"/>
    <w:link w:val="Heading3Char"/>
    <w:qFormat/>
    <w:rsid w:val="00F61A6D"/>
    <w:pPr>
      <w:numPr>
        <w:ilvl w:val="2"/>
        <w:numId w:val="4"/>
      </w:numPr>
      <w:ind w:left="567" w:hanging="567"/>
      <w:outlineLvl w:val="2"/>
    </w:pPr>
  </w:style>
  <w:style w:type="paragraph" w:styleId="Heading4">
    <w:name w:val="heading 4"/>
    <w:basedOn w:val="Normal"/>
    <w:next w:val="Normal"/>
    <w:link w:val="Heading4Char"/>
    <w:qFormat/>
    <w:rsid w:val="00F61A6D"/>
    <w:pPr>
      <w:numPr>
        <w:ilvl w:val="3"/>
        <w:numId w:val="4"/>
      </w:numPr>
      <w:ind w:left="567" w:hanging="567"/>
      <w:outlineLvl w:val="3"/>
    </w:pPr>
  </w:style>
  <w:style w:type="paragraph" w:styleId="Heading5">
    <w:name w:val="heading 5"/>
    <w:basedOn w:val="Normal"/>
    <w:next w:val="Normal"/>
    <w:link w:val="Heading5Char"/>
    <w:qFormat/>
    <w:rsid w:val="00F61A6D"/>
    <w:pPr>
      <w:numPr>
        <w:ilvl w:val="4"/>
        <w:numId w:val="4"/>
      </w:numPr>
      <w:ind w:left="567" w:hanging="567"/>
      <w:outlineLvl w:val="4"/>
    </w:pPr>
  </w:style>
  <w:style w:type="paragraph" w:styleId="Heading6">
    <w:name w:val="heading 6"/>
    <w:basedOn w:val="Normal"/>
    <w:next w:val="Normal"/>
    <w:link w:val="Heading6Char"/>
    <w:qFormat/>
    <w:rsid w:val="00F61A6D"/>
    <w:pPr>
      <w:numPr>
        <w:ilvl w:val="5"/>
        <w:numId w:val="4"/>
      </w:numPr>
      <w:ind w:left="567" w:hanging="567"/>
      <w:outlineLvl w:val="5"/>
    </w:pPr>
  </w:style>
  <w:style w:type="paragraph" w:styleId="Heading7">
    <w:name w:val="heading 7"/>
    <w:basedOn w:val="Normal"/>
    <w:next w:val="Normal"/>
    <w:link w:val="Heading7Char"/>
    <w:qFormat/>
    <w:rsid w:val="00F61A6D"/>
    <w:pPr>
      <w:numPr>
        <w:ilvl w:val="6"/>
        <w:numId w:val="4"/>
      </w:numPr>
      <w:ind w:left="567" w:hanging="567"/>
      <w:outlineLvl w:val="6"/>
    </w:pPr>
  </w:style>
  <w:style w:type="paragraph" w:styleId="Heading8">
    <w:name w:val="heading 8"/>
    <w:basedOn w:val="Normal"/>
    <w:next w:val="Normal"/>
    <w:link w:val="Heading8Char"/>
    <w:qFormat/>
    <w:rsid w:val="00F61A6D"/>
    <w:pPr>
      <w:numPr>
        <w:ilvl w:val="7"/>
        <w:numId w:val="4"/>
      </w:numPr>
      <w:ind w:left="567" w:hanging="567"/>
      <w:outlineLvl w:val="7"/>
    </w:pPr>
  </w:style>
  <w:style w:type="paragraph" w:styleId="Heading9">
    <w:name w:val="heading 9"/>
    <w:basedOn w:val="Normal"/>
    <w:next w:val="Normal"/>
    <w:link w:val="Heading9Char"/>
    <w:qFormat/>
    <w:rsid w:val="00F61A6D"/>
    <w:pPr>
      <w:numPr>
        <w:ilvl w:val="8"/>
        <w:numId w:val="4"/>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nl-NL" w:eastAsia="en-US"/>
    </w:rPr>
  </w:style>
  <w:style w:type="character" w:customStyle="1" w:styleId="Heading2Char">
    <w:name w:val="Heading 2 Char"/>
    <w:basedOn w:val="DefaultParagraphFont"/>
    <w:link w:val="Heading2"/>
    <w:locked/>
    <w:rsid w:val="00CB1536"/>
    <w:rPr>
      <w:lang w:val="nl-NL" w:eastAsia="en-US"/>
    </w:rPr>
  </w:style>
  <w:style w:type="character" w:customStyle="1" w:styleId="Heading3Char">
    <w:name w:val="Heading 3 Char"/>
    <w:basedOn w:val="DefaultParagraphFont"/>
    <w:link w:val="Heading3"/>
    <w:locked/>
    <w:rsid w:val="00CB1536"/>
    <w:rPr>
      <w:lang w:val="nl-NL" w:eastAsia="en-US"/>
    </w:rPr>
  </w:style>
  <w:style w:type="character" w:customStyle="1" w:styleId="Heading4Char">
    <w:name w:val="Heading 4 Char"/>
    <w:basedOn w:val="DefaultParagraphFont"/>
    <w:link w:val="Heading4"/>
    <w:locked/>
    <w:rsid w:val="00CB1536"/>
    <w:rPr>
      <w:lang w:val="nl-NL" w:eastAsia="en-US"/>
    </w:rPr>
  </w:style>
  <w:style w:type="character" w:customStyle="1" w:styleId="Heading5Char">
    <w:name w:val="Heading 5 Char"/>
    <w:basedOn w:val="DefaultParagraphFont"/>
    <w:link w:val="Heading5"/>
    <w:locked/>
    <w:rsid w:val="00CB1536"/>
    <w:rPr>
      <w:lang w:val="nl-NL" w:eastAsia="en-US"/>
    </w:rPr>
  </w:style>
  <w:style w:type="character" w:customStyle="1" w:styleId="Heading6Char">
    <w:name w:val="Heading 6 Char"/>
    <w:basedOn w:val="DefaultParagraphFont"/>
    <w:link w:val="Heading6"/>
    <w:locked/>
    <w:rsid w:val="00CB1536"/>
    <w:rPr>
      <w:lang w:val="nl-NL" w:eastAsia="en-US"/>
    </w:rPr>
  </w:style>
  <w:style w:type="character" w:customStyle="1" w:styleId="Heading7Char">
    <w:name w:val="Heading 7 Char"/>
    <w:basedOn w:val="DefaultParagraphFont"/>
    <w:link w:val="Heading7"/>
    <w:locked/>
    <w:rsid w:val="00CB1536"/>
    <w:rPr>
      <w:lang w:val="nl-NL" w:eastAsia="en-US"/>
    </w:rPr>
  </w:style>
  <w:style w:type="character" w:customStyle="1" w:styleId="Heading8Char">
    <w:name w:val="Heading 8 Char"/>
    <w:basedOn w:val="DefaultParagraphFont"/>
    <w:link w:val="Heading8"/>
    <w:locked/>
    <w:rsid w:val="00CB1536"/>
    <w:rPr>
      <w:lang w:val="nl-NL" w:eastAsia="en-US"/>
    </w:rPr>
  </w:style>
  <w:style w:type="character" w:customStyle="1" w:styleId="Heading9Char">
    <w:name w:val="Heading 9 Char"/>
    <w:basedOn w:val="DefaultParagraphFont"/>
    <w:link w:val="Heading9"/>
    <w:locked/>
    <w:rsid w:val="00CB1536"/>
    <w:rPr>
      <w:lang w:val="nl-NL" w:eastAsia="en-US"/>
    </w:rPr>
  </w:style>
  <w:style w:type="paragraph" w:styleId="Footer">
    <w:name w:val="footer"/>
    <w:basedOn w:val="Normal"/>
    <w:link w:val="FooterChar"/>
    <w:qFormat/>
    <w:rsid w:val="00F61A6D"/>
  </w:style>
  <w:style w:type="character" w:customStyle="1" w:styleId="FooterChar">
    <w:name w:val="Footer Char"/>
    <w:basedOn w:val="DefaultParagraphFont"/>
    <w:link w:val="Footer"/>
    <w:locked/>
    <w:rsid w:val="00CB1536"/>
    <w:rPr>
      <w:lang w:val="nl-NL" w:eastAsia="en-US"/>
    </w:rPr>
  </w:style>
  <w:style w:type="paragraph" w:styleId="FootnoteText">
    <w:name w:val="footnote text"/>
    <w:basedOn w:val="Normal"/>
    <w:link w:val="FootnoteTextChar"/>
    <w:qFormat/>
    <w:rsid w:val="00F61A6D"/>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nl-NL" w:eastAsia="en-US"/>
    </w:rPr>
  </w:style>
  <w:style w:type="paragraph" w:styleId="Header">
    <w:name w:val="header"/>
    <w:basedOn w:val="Normal"/>
    <w:link w:val="HeaderChar"/>
    <w:qFormat/>
    <w:rsid w:val="00F61A6D"/>
  </w:style>
  <w:style w:type="character" w:customStyle="1" w:styleId="HeaderChar">
    <w:name w:val="Header Char"/>
    <w:basedOn w:val="DefaultParagraphFont"/>
    <w:link w:val="Header"/>
    <w:locked/>
    <w:rsid w:val="00CB1536"/>
    <w:rPr>
      <w:lang w:val="nl-NL" w:eastAsia="en-US"/>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F61A6D"/>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F61A6D"/>
    <w:pPr>
      <w:ind w:left="720"/>
    </w:pPr>
    <w:rPr>
      <w: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459A6"/>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dam.Dorywalski@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thedeepdive.ca/us-beats-eu-to-brazilian-rare-earth-deal-with-465-million-commitment/" TargetMode="External"/><Relationship Id="rId1" Type="http://schemas.openxmlformats.org/officeDocument/2006/relationships/hyperlink" Target="https://www.ft.com/content/12399810-a782-465b-8378-5099252306a5?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VP3JK3XSEPRV-2087481956-9260</_dlc_DocId>
    <_dlc_DocIdUrl xmlns="7d640e6d-779c-472f-a269-6b546787f1c9">
      <Url>http://dm/eesc/2026/_layouts/15/DocIdRedir.aspx?ID=VP3JK3XSEPRV-2087481956-9260</Url>
      <Description>VP3JK3XSEPRV-2087481956-9260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2026-05-26T12:00:00+00:00</ProductionDate>
    <DocumentNumber xmlns="a95533f8-59af-4217-bc7a-c1167744adb0">431</DocumentNumber>
    <FicheYear xmlns="7d640e6d-779c-472f-a269-6b546787f1c9" xsi:nil="true"/>
    <DossierNumber xmlns="7d640e6d-779c-472f-a269-6b546787f1c9">259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43</Value>
      <Value>66</Value>
      <Value>60</Value>
      <Value>59</Value>
      <Value>55</Value>
      <Value>53</Value>
      <Value>51</Value>
      <Value>47</Value>
      <Value>46</Value>
      <Value>45</Value>
      <Value>44</Value>
      <Value>132</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Rapporteur xmlns="7d640e6d-779c-472f-a269-6b546787f1c9">DIAMANTOUROS &amp; MEYSNER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303588</FicheNumber>
    <OriginalSender xmlns="7d640e6d-779c-472f-a269-6b546787f1c9">
      <UserInfo>
        <DisplayName>Vandewege Escudero Clara</DisplayName>
        <AccountId>1934</AccountId>
        <AccountType/>
      </UserInfo>
    </OriginalSender>
    <DocumentPart xmlns="7d640e6d-779c-472f-a269-6b546787f1c9">0</DocumentPart>
    <AdoptionDate xmlns="7d640e6d-779c-472f-a269-6b546787f1c9" xsi:nil="true"/>
    <RequestingService xmlns="7d640e6d-779c-472f-a269-6b546787f1c9">Commission consultative des mutations industrielles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Version xmlns="7d640e6d-779c-472f-a269-6b546787f1c9">0</Docum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7AC21-5F14-4D64-8BE7-6E3E946FB4DE}">
  <ds:schemaRefs>
    <ds:schemaRef ds:uri="http://schemas.microsoft.com/sharepoint/events"/>
  </ds:schemaRefs>
</ds:datastoreItem>
</file>

<file path=customXml/itemProps2.xml><?xml version="1.0" encoding="utf-8"?>
<ds:datastoreItem xmlns:ds="http://schemas.openxmlformats.org/officeDocument/2006/customXml" ds:itemID="{89958013-3C47-4832-80BD-25D590244DB6}"/>
</file>

<file path=customXml/itemProps3.xml><?xml version="1.0" encoding="utf-8"?>
<ds:datastoreItem xmlns:ds="http://schemas.openxmlformats.org/officeDocument/2006/customXml" ds:itemID="{F3F457AB-1AFD-49D4-AA71-DF0CCACFA9D9}">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customXml/itemProps4.xml><?xml version="1.0" encoding="utf-8"?>
<ds:datastoreItem xmlns:ds="http://schemas.openxmlformats.org/officeDocument/2006/customXml" ds:itemID="{FC6AE3F6-A2F7-42F6-AB00-0CD22F404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3911</Words>
  <Characters>22296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RESourceEU-actieplan</dc:title>
  <dc:subject>Draft opinion</dc:subject>
  <dc:creator/>
  <cp:keywords>EESC-2026-00431-00-00-PA-TRA-EN</cp:keywords>
  <dc:description>Rapporteur: - DIAMANTOUROS &amp; MEYSNER Original language: - EN Date of document: - 04/05/2026 Date of meeting: - 20/05/2026 External documents: - COM(2025)945- final Administrator responsible: -  DORYWALSKI ADAM</dc:description>
  <cp:lastModifiedBy/>
  <cp:revision>10</cp:revision>
  <dcterms:created xsi:type="dcterms:W3CDTF">2026-05-22T13:56:00Z</dcterms:created>
  <dcterms:modified xsi:type="dcterms:W3CDTF">2026-05-26T15:02:00Z</dcterms:modified>
  <cp:category>CCMI/259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22/05/2026, 04/05/2026, 13/02/2026, 12/04/2024, 17/05/2022, 04/11/2015, 27/10/2015, 19/10/2015, 09/10/2015, 05/10/2015, 05/10/2015, 26/08/2015, 26/08/2015, 25/08/2015</vt:lpwstr>
  </property>
  <property fmtid="{D5CDD505-2E9C-101B-9397-08002B2CF9AE}" pid="4" name="Pref_Time">
    <vt:lpwstr>15:54:44, 15:16:52, 10:10:24, 12:08:09, 12:59:17, 12/10/07, 14:44:02, 16/04/16, 14:09:30, 16:24:55, 16:04:02, 08:56:14, 07:27:56, 17:31:53</vt:lpwstr>
  </property>
  <property fmtid="{D5CDD505-2E9C-101B-9397-08002B2CF9AE}" pid="5" name="Pref_User">
    <vt:lpwstr>amett, amett, nnas, enied, enied, ssex, enied, amett, tvoc, mreg, mreg, amett, enied, ssex</vt:lpwstr>
  </property>
  <property fmtid="{D5CDD505-2E9C-101B-9397-08002B2CF9AE}" pid="6" name="Pref_FileName">
    <vt:lpwstr>EESC-2026-00431-00-00-AS-TRA-EN-CRR.docx, EESC-2026-00431-00-00-PA-ORI.docx, EESC-2026-00431-00-00-DT-ORI.docx, COR-EESC-2024-01326-00-00-ADMIN-ORI.docx, COR-EESC-2022-02586-00-00-ADMIN-ORI.docx, EESC-2015-05408-00-00-PA-CRR-EN.docx, EESC-2015-05408-00-01</vt:lpwstr>
  </property>
  <property fmtid="{D5CDD505-2E9C-101B-9397-08002B2CF9AE}" pid="7" name="ContentTypeId">
    <vt:lpwstr>0x010100EA97B91038054C99906057A708A1480A0042CFDF3EA65A64469BBC042F89C9AB74</vt:lpwstr>
  </property>
  <property fmtid="{D5CDD505-2E9C-101B-9397-08002B2CF9AE}" pid="8" name="_dlc_DocIdItemGuid">
    <vt:lpwstr>23be7585-6cd8-44ab-ae9d-6483614e31d0</vt:lpwstr>
  </property>
  <property fmtid="{D5CDD505-2E9C-101B-9397-08002B2CF9AE}" pid="9" name="AvailableTranslations">
    <vt:lpwstr>25;#FI|87606a43-d45f-42d6-b8c9-e1a3457db5b7;#34;#HR|2f555653-ed1a-4fe6-8362-9082d95989e5;#32;#PL|1e03da61-4678-4e07-b136-b5024ca9197b;#4;#EN|f2175f21-25d7-44a3-96da-d6a61b075e1b;#51;#LV|46f7e311-5d9f-4663-b433-18aeccb7ace7;#45;#SV|c2ed69e7-a339-43d7-8f22-d93680a92aa0;#12;#ES|e7a6b05b-ae16-40c8-add9-68b64b03aeba;#66;#GA|762d2456-c427-4ecb-b312-af3dad8e258c;#29;#CS|72f9705b-0217-4fd3-bea2-cbc7ed80e26e;#60;#EL|6d4f4d51-af9b-4650-94b4-4276bee85c91;#37;#HU|6b229040-c589-4408-b4c1-4285663d20a8;#46;#DA|5d49c027-8956-412b-aa16-e85a0f96ad0e;#28;#PT|50ccc04a-eadd-42ae-a0cb-acaf45f812ba;#36;#NL|55c6556c-b4f4-441d-9acf-c498d4f838bd;#23;#FR|d2afafd3-4c81-4f60-8f52-ee33f2f54ff3;#13;#IT|0774613c-01ed-4e5d-a25d-11d2388de825;#53;#MT|7df99101-6854-4a26-b53a-b88c0da02c26;#30;#SK|46d9fce0-ef79-4f71-b89b-cd6aa82426b8;#55;#RO|feb747a2-64cd-4299-af12-4833ddc30497;#44;#LT|a7ff5ce7-6123-4f68-865a-a57c31810414;#31;#SL|98a412ae-eb01-49e9-ae3d-585a81724cfc;#27;#ET|ff6c3f4c-b02c-4c3c-ab07-2c37995a7a0a;#43;#BG|1a1b3951-7821-4e6a-85f5-5673fc08bd2c;#11;#DE|f6b31e5a-26fa-4935-b661-318e46daf27e</vt:lpwstr>
  </property>
  <property fmtid="{D5CDD505-2E9C-101B-9397-08002B2CF9AE}" pid="10" name="DocumentType_0">
    <vt:lpwstr>AS|c7a748eb-f6f2-4d9d-8b5a-af0cafebc224</vt:lpwstr>
  </property>
  <property fmtid="{D5CDD505-2E9C-101B-9397-08002B2CF9AE}" pid="11" name="DossierName_0">
    <vt:lpwstr>CCMI|3451ec22-e6ff-42b3-8610-379fec773b3a</vt:lpwstr>
  </property>
  <property fmtid="{D5CDD505-2E9C-101B-9397-08002B2CF9AE}" pid="12" name="DocumentSource_0">
    <vt:lpwstr>EESC|422833ec-8d7e-4e65-8e4e-8bed07ffb729</vt:lpwstr>
  </property>
  <property fmtid="{D5CDD505-2E9C-101B-9397-08002B2CF9AE}" pid="13" name="DocumentNumber">
    <vt:i4>431</vt:i4>
  </property>
  <property fmtid="{D5CDD505-2E9C-101B-9397-08002B2CF9AE}" pid="14" name="FicheYear">
    <vt:i4>2026</vt:i4>
  </property>
  <property fmtid="{D5CDD505-2E9C-101B-9397-08002B2CF9AE}" pid="15" name="DocumentVersion">
    <vt:i4>0</vt:i4>
  </property>
  <property fmtid="{D5CDD505-2E9C-101B-9397-08002B2CF9AE}" pid="16" name="DossierNumber">
    <vt:i4>259</vt:i4>
  </property>
  <property fmtid="{D5CDD505-2E9C-101B-9397-08002B2CF9AE}" pid="17" name="DocumentStatus">
    <vt:lpwstr>9;#TRA|150d2a88-1431-44e6-a8ca-0bb753ab8672</vt:lpwstr>
  </property>
  <property fmtid="{D5CDD505-2E9C-101B-9397-08002B2CF9AE}" pid="18" name="DossierName">
    <vt:lpwstr>47;#CCMI|3451ec22-e6ff-42b3-8610-379fec773b3a</vt:lpwstr>
  </property>
  <property fmtid="{D5CDD505-2E9C-101B-9397-08002B2CF9AE}" pid="19" name="RequestingService">
    <vt:lpwstr>Commission consultative des mutations industrielles</vt:lpwstr>
  </property>
  <property fmtid="{D5CDD505-2E9C-101B-9397-08002B2CF9AE}" pid="20" name="Confidentiality">
    <vt:lpwstr>19;#Unrestricted|826e22d7-d029-4ec0-a450-0c28ff673572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59;#SPL-CES|32d8cb1f-c9ec-4365-95c7-8385a18618ac</vt:lpwstr>
  </property>
  <property fmtid="{D5CDD505-2E9C-101B-9397-08002B2CF9AE}" pid="25" name="MeetingDate">
    <vt:filetime>2026-06-17T12:00:00Z</vt:filetime>
  </property>
  <property fmtid="{D5CDD505-2E9C-101B-9397-08002B2CF9AE}" pid="26" name="AvailableTranslations_0">
    <vt:lpwstr>EN|f2175f21-25d7-44a3-96da-d6a61b075e1b;LV|46f7e311-5d9f-4663-b433-18aeccb7ace7;SV|c2ed69e7-a339-43d7-8f22-d93680a92aa0;HU|6b229040-c589-4408-b4c1-4285663d20a8;FR|d2afafd3-4c81-4f60-8f52-ee33f2f54ff3;MT|7df99101-6854-4a26-b53a-b88c0da02c26;SL|98a412ae-eb01-49e9-ae3d-585a81724cfc</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31;#SL|98a412ae-eb01-49e9-ae3d-585a81724cfc;#23;#FR|d2afafd3-4c81-4f60-8f52-ee33f2f54ff3;#59;#SPL-CES|32d8cb1f-c9ec-4365-95c7-8385a18618ac;#132;#AS|c7a748eb-f6f2-4d9d-8b5a-af0cafebc224;#19;#Unrestricted|826e22d7-d029-4ec0-a450-0c28ff673572;#53;#MT|7df99101-6854-4a26-b53a-b88c0da02c26;#51;#LV|46f7e311-5d9f-4663-b433-18aeccb7ace7;#47;#CCMI|3451ec22-e6ff-42b3-8610-379fec773b3a;#9;#TRA|150d2a88-1431-44e6-a8ca-0bb753ab8672;#45;#SV|c2ed69e7-a339-43d7-8f22-d93680a92aa0;#7;#Final|ea5e6674-7b27-4bac-b091-73adbb394efe;#4;#EN|f2175f21-25d7-44a3-96da-d6a61b075e1b;#1;#EESC|422833ec-8d7e-4e65-8e4e-8bed07ffb729;#37;#HU|6b229040-c589-4408-b4c1-4285663d20a8</vt:lpwstr>
  </property>
  <property fmtid="{D5CDD505-2E9C-101B-9397-08002B2CF9AE}" pid="30" name="Rapporteur">
    <vt:lpwstr>DIAMANTOUROS &amp; MEYSNER</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303588</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36;#NL|55c6556c-b4f4-441d-9acf-c498d4f838bd</vt:lpwstr>
  </property>
  <property fmtid="{D5CDD505-2E9C-101B-9397-08002B2CF9AE}" pid="40" name="_docset_NoMedatataSyncRequired">
    <vt:lpwstr>False</vt:lpwstr>
  </property>
  <property fmtid="{D5CDD505-2E9C-101B-9397-08002B2CF9AE}" pid="41" name="MeetingNumber">
    <vt:i4>606</vt:i4>
  </property>
  <property fmtid="{D5CDD505-2E9C-101B-9397-08002B2CF9AE}" pid="42" name="DocumentLanguage_0">
    <vt:lpwstr>EN|f2175f21-25d7-44a3-96da-d6a61b075e1b</vt:lpwstr>
  </property>
</Properties>
</file>