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CC" w:rsidRPr="0002364F" w:rsidRDefault="00DB39C2" w:rsidP="006A051C">
      <w:pPr>
        <w:jc w:val="center"/>
      </w:pPr>
      <w:bookmarkStart w:id="0" w:name="_GoBack"/>
      <w:bookmarkEnd w:id="0"/>
      <w:r w:rsidRPr="0002364F">
        <w:rPr>
          <w:noProof/>
        </w:rPr>
        <mc:AlternateContent>
          <mc:Choice Requires="wps">
            <w:drawing>
              <wp:anchor distT="0" distB="0" distL="114300" distR="114300" simplePos="0" relativeHeight="251659264" behindDoc="1" locked="0" layoutInCell="0" allowOverlap="1" wp14:anchorId="15D410A1" wp14:editId="038EA8D7">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9C2" w:rsidRPr="0002364F" w:rsidRDefault="00DB39C2" w:rsidP="00DB39C2">
                            <w:pPr>
                              <w:jc w:val="center"/>
                              <w:rPr>
                                <w:rFonts w:ascii="Arial" w:hAnsi="Arial" w:cs="Arial"/>
                                <w:b/>
                                <w:sz w:val="48"/>
                              </w:rPr>
                            </w:pPr>
                            <w:r w:rsidRPr="0002364F">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410A1"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DB39C2" w:rsidRPr="0002364F" w:rsidRDefault="00DB39C2" w:rsidP="00DB39C2">
                      <w:pPr>
                        <w:jc w:val="center"/>
                        <w:rPr>
                          <w:rFonts w:ascii="Arial" w:hAnsi="Arial" w:cs="Arial"/>
                          <w:b/>
                          <w:sz w:val="48"/>
                        </w:rPr>
                      </w:pPr>
                      <w:r w:rsidRPr="0002364F">
                        <w:rPr>
                          <w:rFonts w:ascii="Arial" w:hAnsi="Arial"/>
                          <w:b/>
                          <w:sz w:val="48"/>
                        </w:rPr>
                        <w:t>EL</w:t>
                      </w:r>
                    </w:p>
                  </w:txbxContent>
                </v:textbox>
                <w10:wrap anchorx="page" anchory="page"/>
              </v:shape>
            </w:pict>
          </mc:Fallback>
        </mc:AlternateContent>
      </w:r>
      <w:r w:rsidRPr="0002364F">
        <w:rPr>
          <w:noProof/>
        </w:rPr>
        <w:drawing>
          <wp:inline distT="0" distB="0" distL="0" distR="0" wp14:anchorId="12EFE400" wp14:editId="180A87B4">
            <wp:extent cx="874395"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563C84" w:rsidRPr="0002364F" w:rsidRDefault="006F0DCC" w:rsidP="006A051C">
      <w:pPr>
        <w:jc w:val="center"/>
      </w:pPr>
      <w:r w:rsidRPr="0002364F">
        <w:rPr>
          <w:rFonts w:ascii="Arial" w:hAnsi="Arial"/>
          <w:b/>
          <w:i/>
          <w:sz w:val="20"/>
        </w:rPr>
        <w:t>Ευρωπαϊκή Οικονομική και Κοινωνική Επιτροπή</w:t>
      </w:r>
    </w:p>
    <w:p w:rsidR="00646AC2" w:rsidRPr="0002364F" w:rsidRDefault="00646AC2" w:rsidP="006A051C"/>
    <w:p w:rsidR="00646AC2" w:rsidRPr="0002364F" w:rsidRDefault="00B41FAE" w:rsidP="006A051C">
      <w:pPr>
        <w:jc w:val="right"/>
      </w:pPr>
      <w:r w:rsidRPr="0002364F">
        <w:rPr>
          <w:b/>
        </w:rPr>
        <w:t>SC/50</w:t>
      </w:r>
    </w:p>
    <w:p w:rsidR="00563C84" w:rsidRPr="0002364F" w:rsidRDefault="00B41FAE" w:rsidP="006A051C">
      <w:pPr>
        <w:jc w:val="right"/>
      </w:pPr>
      <w:r w:rsidRPr="0002364F">
        <w:rPr>
          <w:b/>
        </w:rPr>
        <w:t>Ετήσια επισκόπηση της ανάπτυξης 2018</w:t>
      </w:r>
    </w:p>
    <w:p w:rsidR="009B30AA" w:rsidRPr="0002364F" w:rsidRDefault="009B30AA" w:rsidP="006A051C"/>
    <w:p w:rsidR="009B30AA" w:rsidRPr="0002364F" w:rsidRDefault="009B30AA" w:rsidP="006A051C"/>
    <w:p w:rsidR="00646AC2" w:rsidRPr="0002364F" w:rsidRDefault="0028077D" w:rsidP="00553C12">
      <w:pPr>
        <w:jc w:val="center"/>
      </w:pPr>
      <w:r w:rsidRPr="0002364F">
        <w:rPr>
          <w:b/>
          <w:sz w:val="28"/>
        </w:rPr>
        <w:t>ΓΝΩΜΟΔΟΤΗΣΗ</w:t>
      </w:r>
      <w:r w:rsidRPr="0002364F">
        <w:t xml:space="preserve"> </w:t>
      </w:r>
      <w:r w:rsidRPr="0002364F">
        <w:br/>
        <w:t xml:space="preserve">  </w:t>
      </w:r>
      <w:r w:rsidRPr="0002364F">
        <w:br/>
        <w:t xml:space="preserve">Ευρωπαϊκή Οικονομική και Κοινωνική Επιτροπή  </w:t>
      </w:r>
      <w:r w:rsidRPr="0002364F">
        <w:br/>
        <w:t xml:space="preserve">  </w:t>
      </w:r>
      <w:r w:rsidRPr="0002364F">
        <w:br/>
      </w:r>
      <w:r w:rsidRPr="0002364F">
        <w:rPr>
          <w:b/>
        </w:rPr>
        <w:t>Ανακοίνωση της Επιτροπής προς το Ευρωπαϊκό Κοινοβούλιο, το Ευρωπαϊκό Συμβούλιο, το Συμβούλιο, την Ευρωπαϊκή Κεντρική Τράπεζα, την Ευρωπαϊκή Οικονομική και Κοινωνική Επιτροπή, την Επιτροπή των Περιφερειών και την Ευρωπαϊκή Τράπεζα Επενδύσεων - Ετήσια Επισκόπηση της Ανάπτυξης για το 2018</w:t>
      </w:r>
      <w:r w:rsidRPr="0002364F">
        <w:t xml:space="preserve">  </w:t>
      </w:r>
      <w:r w:rsidRPr="0002364F">
        <w:br/>
        <w:t>[COM(2017) 690 final]</w:t>
      </w:r>
    </w:p>
    <w:p w:rsidR="009B30AA" w:rsidRPr="0002364F" w:rsidRDefault="009B30AA" w:rsidP="006A051C">
      <w:pPr>
        <w:jc w:val="center"/>
      </w:pPr>
    </w:p>
    <w:p w:rsidR="00704FBB" w:rsidRPr="0002364F" w:rsidRDefault="00B41FAE" w:rsidP="006A051C">
      <w:pPr>
        <w:jc w:val="center"/>
        <w:rPr>
          <w:b/>
        </w:rPr>
      </w:pPr>
      <w:r w:rsidRPr="0002364F">
        <w:t xml:space="preserve">Εισηγητής: </w:t>
      </w:r>
      <w:r w:rsidRPr="0002364F">
        <w:rPr>
          <w:b/>
        </w:rPr>
        <w:t>Δημήτρης ΔΗΜΗΤΡΙAΔΗΣ</w:t>
      </w:r>
    </w:p>
    <w:p w:rsidR="00E32DC6" w:rsidRPr="0002364F" w:rsidRDefault="00E32DC6" w:rsidP="006A051C"/>
    <w:p w:rsidR="00E32DC6" w:rsidRPr="0002364F" w:rsidRDefault="00E32DC6" w:rsidP="006A051C"/>
    <w:p w:rsidR="00E32DC6" w:rsidRPr="0002364F" w:rsidRDefault="00E32DC6" w:rsidP="006A051C">
      <w:pPr>
        <w:sectPr w:rsidR="00E32DC6" w:rsidRPr="0002364F" w:rsidSect="0002364F">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2"/>
      </w:tblGrid>
      <w:tr w:rsidR="00782ECD" w:rsidRPr="0002364F">
        <w:tc>
          <w:tcPr>
            <w:tcW w:w="3085" w:type="dxa"/>
          </w:tcPr>
          <w:p w:rsidR="0011656A" w:rsidRPr="0002364F" w:rsidRDefault="0090053A" w:rsidP="00DB39C2">
            <w:r w:rsidRPr="0002364F">
              <w:lastRenderedPageBreak/>
              <w:t xml:space="preserve">Αίτηση γνωμοδότησης </w:t>
            </w:r>
          </w:p>
        </w:tc>
        <w:tc>
          <w:tcPr>
            <w:tcW w:w="6202" w:type="dxa"/>
            <w:shd w:val="clear" w:color="auto" w:fill="auto"/>
          </w:tcPr>
          <w:p w:rsidR="0011656A" w:rsidRPr="0002364F" w:rsidRDefault="00CF0AB6" w:rsidP="00DB39C2">
            <w:r w:rsidRPr="0002364F">
              <w:t>Ευρωπαϊκή Επιτροπή, 18/01/2018</w:t>
            </w:r>
          </w:p>
        </w:tc>
      </w:tr>
      <w:tr w:rsidR="00782ECD" w:rsidRPr="0002364F">
        <w:trPr>
          <w:trHeight w:val="251"/>
        </w:trPr>
        <w:tc>
          <w:tcPr>
            <w:tcW w:w="3085" w:type="dxa"/>
          </w:tcPr>
          <w:p w:rsidR="0016503F" w:rsidRPr="0002364F" w:rsidRDefault="0016503F" w:rsidP="00DB39C2">
            <w:r w:rsidRPr="0002364F">
              <w:t>Νομική βάση</w:t>
            </w:r>
          </w:p>
        </w:tc>
        <w:tc>
          <w:tcPr>
            <w:tcW w:w="6202" w:type="dxa"/>
          </w:tcPr>
          <w:p w:rsidR="0016503F" w:rsidRPr="0002364F" w:rsidRDefault="0016503F" w:rsidP="00DB39C2">
            <w:r w:rsidRPr="0002364F">
              <w:t>Άρθρο 304 της Συνθήκης για τη λειτουργία της Ευρωπαϊκής Ένωσης</w:t>
            </w:r>
          </w:p>
        </w:tc>
      </w:tr>
      <w:tr w:rsidR="00782ECD" w:rsidRPr="0002364F">
        <w:trPr>
          <w:trHeight w:val="250"/>
        </w:trPr>
        <w:tc>
          <w:tcPr>
            <w:tcW w:w="3085" w:type="dxa"/>
          </w:tcPr>
          <w:p w:rsidR="0016503F" w:rsidRPr="0002364F" w:rsidRDefault="0016503F" w:rsidP="00DB39C2"/>
        </w:tc>
        <w:tc>
          <w:tcPr>
            <w:tcW w:w="6202" w:type="dxa"/>
          </w:tcPr>
          <w:p w:rsidR="0016503F" w:rsidRPr="0002364F" w:rsidRDefault="0016503F" w:rsidP="00DB39C2"/>
        </w:tc>
      </w:tr>
      <w:tr w:rsidR="00782ECD" w:rsidRPr="0002364F">
        <w:tc>
          <w:tcPr>
            <w:tcW w:w="3085" w:type="dxa"/>
          </w:tcPr>
          <w:p w:rsidR="00DF5B64" w:rsidRPr="0002364F" w:rsidRDefault="00AD4B4F" w:rsidP="00DB39C2">
            <w:r w:rsidRPr="0002364F">
              <w:t>Αρμόδια υποεπιτροπή</w:t>
            </w:r>
          </w:p>
        </w:tc>
        <w:tc>
          <w:tcPr>
            <w:tcW w:w="6202" w:type="dxa"/>
          </w:tcPr>
          <w:p w:rsidR="00DF5B64" w:rsidRPr="0002364F" w:rsidRDefault="00980C8B" w:rsidP="00DB39C2">
            <w:r w:rsidRPr="0002364F">
              <w:t>Υποεπιτροπή «Ετήσια Επισκόπηση της Ανάπτυξης 2018»</w:t>
            </w:r>
          </w:p>
        </w:tc>
      </w:tr>
      <w:tr w:rsidR="00782ECD" w:rsidRPr="0002364F">
        <w:tc>
          <w:tcPr>
            <w:tcW w:w="3085" w:type="dxa"/>
          </w:tcPr>
          <w:p w:rsidR="00A156E6" w:rsidRPr="0002364F" w:rsidRDefault="00A156E6" w:rsidP="00DB39C2">
            <w:r w:rsidRPr="0002364F">
              <w:t>Υιοθέτηση από την Ολομέλεια</w:t>
            </w:r>
          </w:p>
        </w:tc>
        <w:tc>
          <w:tcPr>
            <w:tcW w:w="6202" w:type="dxa"/>
          </w:tcPr>
          <w:p w:rsidR="00A156E6" w:rsidRPr="0002364F" w:rsidRDefault="00CF0AB6" w:rsidP="00DB39C2">
            <w:r w:rsidRPr="0002364F">
              <w:t>14/02/2018</w:t>
            </w:r>
          </w:p>
        </w:tc>
      </w:tr>
      <w:tr w:rsidR="00782ECD" w:rsidRPr="0002364F">
        <w:tc>
          <w:tcPr>
            <w:tcW w:w="3085" w:type="dxa"/>
          </w:tcPr>
          <w:p w:rsidR="00BA1290" w:rsidRPr="0002364F" w:rsidRDefault="00BA1290" w:rsidP="00DB39C2">
            <w:r w:rsidRPr="0002364F">
              <w:t>Σύνοδος ολομέλειας αριθ.</w:t>
            </w:r>
          </w:p>
        </w:tc>
        <w:tc>
          <w:tcPr>
            <w:tcW w:w="6202" w:type="dxa"/>
          </w:tcPr>
          <w:p w:rsidR="00BA1290" w:rsidRPr="0002364F" w:rsidRDefault="00CF0AB6" w:rsidP="00DB39C2">
            <w:r w:rsidRPr="0002364F">
              <w:t>532</w:t>
            </w:r>
          </w:p>
        </w:tc>
      </w:tr>
      <w:tr w:rsidR="00782ECD" w:rsidRPr="0002364F">
        <w:tc>
          <w:tcPr>
            <w:tcW w:w="3085" w:type="dxa"/>
          </w:tcPr>
          <w:p w:rsidR="00D423D4" w:rsidRPr="0002364F" w:rsidRDefault="0043024C" w:rsidP="00DB39C2">
            <w:r w:rsidRPr="0002364F">
              <w:t xml:space="preserve">Αποτέλεσμα της ψηφοφορίας </w:t>
            </w:r>
            <w:r w:rsidRPr="0002364F">
              <w:br/>
              <w:t>(υπέρ/κατά/αποχές)</w:t>
            </w:r>
          </w:p>
        </w:tc>
        <w:tc>
          <w:tcPr>
            <w:tcW w:w="6202" w:type="dxa"/>
            <w:vAlign w:val="bottom"/>
          </w:tcPr>
          <w:p w:rsidR="00A156E6" w:rsidRPr="0002364F" w:rsidRDefault="00B26221" w:rsidP="00432EBF">
            <w:r w:rsidRPr="0002364F">
              <w:t>194/2/3</w:t>
            </w:r>
          </w:p>
        </w:tc>
      </w:tr>
    </w:tbl>
    <w:p w:rsidR="0090053A" w:rsidRPr="0002364F" w:rsidRDefault="0090053A" w:rsidP="006A051C"/>
    <w:p w:rsidR="00646AC2" w:rsidRPr="0002364F" w:rsidRDefault="00646AC2" w:rsidP="006A051C">
      <w:r w:rsidRPr="0002364F">
        <w:br w:type="page"/>
      </w:r>
    </w:p>
    <w:p w:rsidR="003D55C7" w:rsidRPr="0002364F" w:rsidRDefault="003D55C7">
      <w:pPr>
        <w:pStyle w:val="Heading1"/>
        <w:keepNext/>
      </w:pPr>
      <w:r w:rsidRPr="0002364F">
        <w:rPr>
          <w:b/>
        </w:rPr>
        <w:t>Συμπεράσματα και συστάσεις</w:t>
      </w:r>
    </w:p>
    <w:p w:rsidR="00EE3D70" w:rsidRPr="0002364F" w:rsidRDefault="00EE3D70">
      <w:pPr>
        <w:keepNext/>
      </w:pPr>
    </w:p>
    <w:p w:rsidR="006F0814" w:rsidRPr="0002364F" w:rsidRDefault="00D61779">
      <w:pPr>
        <w:pStyle w:val="Heading2"/>
      </w:pPr>
      <w:r w:rsidRPr="0002364F">
        <w:t>Η ΕΟΚΕ εκτιμά ότι το πλαίσιο του Ευρωπαϊκού Εξαμήνου είναι στρατηγικής σημασίας και προτίθεται να συνεχίσει να συμβάλλει σε αυτό με τον αποτελεσματικότερο δυνατό τρόπο. Παράλληλα, η ΕΟΚΕ επαναλαμβάνει την ανάγκη να ενισχυθεί ο ρόλος της οργανωμένης κοινωνίας των πολιτών στον κύκλο του Ευρωπαϊκού Εξαμήνου, και ειδικότερα κατά την προετοιμασία της Ετήσιας Επισκόπησης της Ανάπτυξης (ΕΕΑ). Η ΕΟΚΕ μπορεί να αποφέρει προστιθέμενη αξία στη διαδικασία αυτή. Επιπλέον, στο Ευρωπαϊκό Εξάμηνο θα πρέπει να συμμετέχουν με πιο δομημένο τρόπο οι κοινωνικοί εταίροι και οι εθνικές οικονομικές και κοινωνικές επιτροπές.</w:t>
      </w:r>
    </w:p>
    <w:p w:rsidR="00EE3D70" w:rsidRPr="0002364F" w:rsidRDefault="00EE3D70"/>
    <w:p w:rsidR="00D61779" w:rsidRPr="0002364F" w:rsidRDefault="00230C5F">
      <w:pPr>
        <w:pStyle w:val="Heading2"/>
      </w:pPr>
      <w:r w:rsidRPr="0002364F">
        <w:t>Η ΕΟΚΕ αναγνωρίζει ότι η κοινωνική διάσταση του Ευρωπαϊκού Εξαμήνου ενισχύθηκε με την εισαγωγή κοινωνικών δεικτών (κοινωνικός πίνακας αποτελεσμάτων) στην κοινή έκθεση για την απασχόληση</w:t>
      </w:r>
      <w:r w:rsidRPr="0002364F">
        <w:rPr>
          <w:rStyle w:val="FootnoteReference"/>
        </w:rPr>
        <w:footnoteReference w:id="2"/>
      </w:r>
      <w:r w:rsidRPr="0002364F">
        <w:t>. Ωστόσο, η ΕΟΚΕ είναι πεπεισμένη ότι η εστίαση στην αύξηση των επενδύσεων, στις διαρθρωτικές μεταρρυθμίσεις και στην ενίσχυση της μακροοικονομικής ισορροπίας</w:t>
      </w:r>
      <w:r w:rsidRPr="0002364F">
        <w:rPr>
          <w:rStyle w:val="FootnoteReference"/>
        </w:rPr>
        <w:footnoteReference w:id="3"/>
      </w:r>
      <w:r w:rsidRPr="0002364F">
        <w:t xml:space="preserve">, την οποία ανακοίνωσε η Επιτροπή, πρέπει να συνοδεύεται από τη διεύρυνση του κύκλου του Εξαμήνου και σε άλλους τομείς </w:t>
      </w:r>
      <w:r w:rsidRPr="0002364F">
        <w:rPr>
          <w:i/>
        </w:rPr>
        <w:t>«πέραν των δεικτών του ΑΕγχΠ»</w:t>
      </w:r>
      <w:r w:rsidRPr="0002364F">
        <w:t xml:space="preserve"> (κοινωνικοί και περιβαλλοντικοί στόχοι και στόχοι αειφορίας). Η ΕΟΚΕ τάσσεται υπέρ της στήριξης του ευρωπαϊκού κοινωνικού πυλώνα από το Εξάμηνο, ούτως ώστε να καταστεί εργαλείο βελτίωσης των συνθηκών ζωής και εργασίας των πολιτών. Η ΕΟΚΕ θα ήθελε να δει τους στόχους του ΕΠΚΔ να ενσωματώνονται στις πολιτικές και τις αποφάσεις που λαμβάνονται.</w:t>
      </w:r>
    </w:p>
    <w:p w:rsidR="00E13FEE" w:rsidRPr="0002364F" w:rsidRDefault="00E13FEE"/>
    <w:p w:rsidR="00D01A97" w:rsidRPr="0002364F" w:rsidRDefault="00ED58EF">
      <w:pPr>
        <w:pStyle w:val="Heading2"/>
      </w:pPr>
      <w:r w:rsidRPr="0002364F">
        <w:t>Η ΕΟΚΕ υποστηρίζει την άποψη ότι το κλειδί για την αύξηση της μακροπρόθεσμης οικονομικής μεγέθυνσης είναι οι επενδύσεις, η καινοτομία και η γνώση, η εκπαίδευση και η διά βίου μάθηση, ιδιαίτερα στον τομέα των «πράσινων» τεχνολογιών και της κυκλικής οικονομίας, αλλά και σε πιο παραδοσιακούς τομείς. Η ΕΟΚΕ τονίζει ότι η στιβαρή εγχώρια ζήτηση θα εξασφαλιστεί και οι ιδιωτικές επενδύσεις θα είναι υψηλές μόνο αν δημιουργηθούν τα κατάλληλα κίνητρα και διατηρηθεί το ευνοϊκό επενδυτικό κλίμα.</w:t>
      </w:r>
    </w:p>
    <w:p w:rsidR="00EE3D70" w:rsidRPr="0002364F" w:rsidRDefault="00EE3D70"/>
    <w:p w:rsidR="00B97C96" w:rsidRPr="0002364F" w:rsidRDefault="009D2582">
      <w:pPr>
        <w:pStyle w:val="Heading2"/>
      </w:pPr>
      <w:r w:rsidRPr="0002364F">
        <w:t>Η ΕΟΚΕ επισημαίνει ότι οι δημόσιες επενδύσεις είναι σχετικά χαμηλές και παρουσιάζουν υστέρηση. Τονίζει την ανάγκη να αυξηθούν οι δημόσιες επενδύσεις για την προστασία της εύθραυστης ανάπτυξης, πράγμα που απαιτεί ενισχυμένες κοινωνικές επενδύσεις σε μέτρα που στοχεύουν στην ανάπτυξη του ανθρώπινου κεφαλαίου μέσω της εκπαίδευσης και της κατάρτισης και στη βελτίωση των δημόσιων υπηρεσιών, των υποδομών φροντίδας, της καινοτομίας και της κοινωνικής συνοχής στις διάφορες χώρες και περιφέρειες. Προς τούτο, η ΕΟΚΕ ζητεί εκ νέου την έγκριση της υιοθέτησης του λεγόμενου «χρυσού κανόνα για τις δημόσιες επενδύσεις» ώστε να τονωθούν οι δημόσιες επενδύσεις.</w:t>
      </w:r>
    </w:p>
    <w:p w:rsidR="00EE3D70" w:rsidRPr="0002364F" w:rsidRDefault="00EE3D70"/>
    <w:p w:rsidR="00575DFF" w:rsidRPr="0002364F" w:rsidRDefault="00713695">
      <w:pPr>
        <w:pStyle w:val="Heading2"/>
      </w:pPr>
      <w:r w:rsidRPr="0002364F">
        <w:t>Η ΕΟΚΕ λαμβάνει υπό σημείωση τη θέσπιση του προγράμματος στήριξης διαρθρωτικών μεταρρυθμίσεων</w:t>
      </w:r>
      <w:r w:rsidRPr="0002364F">
        <w:rPr>
          <w:rStyle w:val="FootnoteReference"/>
        </w:rPr>
        <w:footnoteReference w:id="4"/>
      </w:r>
      <w:r w:rsidRPr="0002364F">
        <w:t xml:space="preserve">. Παρότι κρίνεται ιδιαίτερα αναγκαίο εργαλείο που θα βοηθήσει τα κράτη μέλη να υλοποιήσουν θεσμικές, διοικητικές και διαρθρωτικές μεταρρυθμίσεις μέσω της διάθεσης κονδυλίων για την οικοδόμηση ικανότητας και την τεχνική υποστήριξη, αυτές οι μεταρρυθμίσεις δεν πρέπει, κατά την άποψη της ΕΟΚΕ, να οδηγήσουν σε απλή απορρύθμιση της αγοράς εργασίας και ελευθέρωση της αγοράς προϊόντων. Ταυτόχρονα, η ΕΟΚΕ προειδοποιεί ότι, λόγω του σχετικά περιορισμένου προϋπολογισμού και της έλλειψης εμπειρίας όσον αφορά τη συνεργασία με τα κράτη μέλη για την εφαρμογή διαρθρωτικών μεταρρυθμίσεων, το πρόγραμμα ενδέχεται να μην αποφέρει τα αναμενόμενα αποτελέσματα. </w:t>
      </w:r>
    </w:p>
    <w:p w:rsidR="00EE3D70" w:rsidRPr="0002364F" w:rsidRDefault="00EE3D70"/>
    <w:p w:rsidR="00575DFF" w:rsidRPr="0002364F" w:rsidRDefault="00713695">
      <w:pPr>
        <w:pStyle w:val="Heading2"/>
      </w:pPr>
      <w:r w:rsidRPr="0002364F">
        <w:t>Η ΕΟΚΕ συμμερίζεται την άποψη της Επιτροπής ότι οι οικονομικά και κοινωνικά λογικές και ισορροπημένες διαρθρωτικές μεταρρυθμίσεις στις λειτουργικές αγορές εργασίας και προϊόντων είναι απαραίτητες για την προσαρμογή της ευρωπαϊκής οικονομίας στις μακροπρόθεσμες διαρθρωτικές αλλαγές και στους πιθανούς οικονομικούς και περιβαλλοντικούς κλυδωνισμούς. Ωστόσο, η ΕΟΚΕ εμμένει σε μια μη συστημική προσέγγιση και επισημαίνει ότι οι μεταρρυθμίσεις πρέπει να δρομολογούνται μόνο όταν αυτό είναι απαραίτητο και με σεβασμό στο εθνικό δίκαιο, τον κοινωνικό διάλογο και τις συλλογικές διαπραγματεύσεις.</w:t>
      </w:r>
    </w:p>
    <w:p w:rsidR="00EE3D70" w:rsidRPr="0002364F" w:rsidRDefault="00EE3D70"/>
    <w:p w:rsidR="003C47F6" w:rsidRPr="0002364F" w:rsidRDefault="00575DFF">
      <w:pPr>
        <w:pStyle w:val="Heading2"/>
      </w:pPr>
      <w:r w:rsidRPr="0002364F">
        <w:t>Η ΕΟΚΕ επικροτεί τη μεγαλύτερη έμφαση που αποδίδει η Επιτροπή στη σύνθεση και στην αποδοτικότητα των δημόσιων δαπανών εντός της ΕΕΑ, καθώς και στην υπεύθυνη δημοσιονομική πολιτική και τις κατάλληλες και αποδοτικές δαπάνες. Η ΕΟΚΕ πιστεύει ότι οι μεταρρυθμίσεις της δημόσιας διοίκησης που στοχεύουν σε πρωτοβουλίες ηλεκτρονικής διακυβέρνησης, η αποτελεσματικότητα των δημόσιων συμβάσεων</w:t>
      </w:r>
      <w:r w:rsidRPr="0002364F">
        <w:rPr>
          <w:rStyle w:val="FootnoteReference"/>
        </w:rPr>
        <w:footnoteReference w:id="5"/>
      </w:r>
      <w:r w:rsidRPr="0002364F">
        <w:t xml:space="preserve"> και η ενίσχυση της διαφάνειας των δημόσιων πόρων μπορούν να εξασφαλίσουν μεγάλη εξοικονόμηση κόστους και αύξηση των δημόσιων επενδύσεων. Τα μέτρα αυτά θα πρέπει να είναι μία από τις πρώτες επιλογές όσον αφορά τη δημοσιονομική εξυγίανση. </w:t>
      </w:r>
    </w:p>
    <w:p w:rsidR="00EE3D70" w:rsidRPr="0002364F" w:rsidRDefault="00EE3D70"/>
    <w:p w:rsidR="003C47F6" w:rsidRPr="0002364F" w:rsidRDefault="003C47F6">
      <w:pPr>
        <w:pStyle w:val="Heading2"/>
      </w:pPr>
      <w:r w:rsidRPr="0002364F">
        <w:t xml:space="preserve">Η ΕΟΚΕ τονίζει ότι οι προσπάθειες μετριασμού των δυσμενών επιπτώσεων της γήρανσης βαρύνουν τον προϋπολογισμό των κρατών μελών. Πρέπει να τονιστεί ακόμη μία φορά η σημασία της κατάρτισης και της επανεκπαίδευσης, ο ρόλος πρόληψης που πρέπει να επιτελεί το σύστημα υγείας, η αποτελεσματικότητα των δαπανών στον τομέα της υγείας και η ανάγκη διασφάλισης της αποδοτικότητας του συστήματος κοινωνικής προστασίας. </w:t>
      </w:r>
    </w:p>
    <w:p w:rsidR="00B61464" w:rsidRPr="0002364F" w:rsidRDefault="00B61464"/>
    <w:p w:rsidR="0031351E" w:rsidRPr="0002364F" w:rsidRDefault="0055121D">
      <w:pPr>
        <w:pStyle w:val="Heading1"/>
        <w:keepNext/>
      </w:pPr>
      <w:r w:rsidRPr="0002364F">
        <w:rPr>
          <w:b/>
        </w:rPr>
        <w:t>Γενικές παρατηρήσεις</w:t>
      </w:r>
    </w:p>
    <w:p w:rsidR="0031351E" w:rsidRPr="0002364F" w:rsidRDefault="0031351E">
      <w:pPr>
        <w:keepNext/>
      </w:pPr>
    </w:p>
    <w:p w:rsidR="0031351E" w:rsidRPr="0002364F" w:rsidRDefault="00892B41">
      <w:pPr>
        <w:pStyle w:val="Heading2"/>
      </w:pPr>
      <w:r w:rsidRPr="0002364F">
        <w:t>Η ΕΟΚΕ επαναλαμβάνει τις απόψεις της όσον αφορά το γεγονός ότι η ΕΕΑ δεν καλύπτει άλλους σχετικούς τομείς πολιτικής, όπως η περιβαλλοντική πολιτική, ή άλλα συναφή ζητήματα, όπως η ποιότητα της απασχόλησης. Η ΕΟΚΕ θεωρεί ότι το Εξάμηνο είναι δυνατόν να επεκταθεί ώστε να διασφαλίζεται ότι οι μακροοικονομικές πολιτικές της ΕΕ είναι βιώσιμες όχι μόνο οικονομικά και κοινωνικά αλλά και περιβαλλοντικά. Το Εξάμηνο πρέπει να αντιμετωπίζει τις οικονομικές, κοινωνικές και περιβαλλοντικές προκλήσεις με τον ίδιο τρόπο.</w:t>
      </w:r>
    </w:p>
    <w:p w:rsidR="0031351E" w:rsidRPr="0002364F" w:rsidRDefault="0031351E"/>
    <w:p w:rsidR="00920F71" w:rsidRPr="0002364F" w:rsidRDefault="0031351E">
      <w:pPr>
        <w:pStyle w:val="Heading2"/>
      </w:pPr>
      <w:r w:rsidRPr="0002364F">
        <w:t xml:space="preserve">Από την άποψη αυτή, το Ευρωπαϊκό Εξάμηνο θα πρέπει να περιλαμβάνει ένα ολοκληρωμένο σύστημα δεικτών που θα συνεκτιμά τις κοινωνικές και τις περιβαλλοντικές επιπτώσεις. Η προσθήκη του κοινωνικού πίνακα αποτελεσμάτων στην ΕΕΑ του 2018 αποτελεί ένα πρώτο βήμα προς αυτόν τον σκοπό, βήμα το οποίο θα πρέπει να συμπληρωθεί, ει δυνατόν, με δείκτες αναφορικά με τη μισθολογική εξέλιξη και τον βαθμό κάλυψης των συλλογικών διαπραγματεύσεων. Η τρέχουσα μακροοικονομική και κοινωνική ανάλυση θα μπορούσε να συμπληρωθεί με την προσθήκη δεικτών αποδοτικότητας των πόρων και της ενέργειας, της πορείας προόδου των εθνικών στόχων για την ενέργεια και το κλίμα και των αλλαγών όσον αφορά τους εθνικούς συντελεστές περιβαλλοντικής φορολογίας. </w:t>
      </w:r>
    </w:p>
    <w:p w:rsidR="00920F71" w:rsidRPr="0002364F" w:rsidRDefault="00920F71"/>
    <w:p w:rsidR="00453D03" w:rsidRPr="0002364F" w:rsidRDefault="00453D03">
      <w:pPr>
        <w:pStyle w:val="Heading2"/>
      </w:pPr>
      <w:r w:rsidRPr="0002364F">
        <w:t>Η ΕΕΑ θα πρέπει να δώσει μεγαλύτερη έμφαση στα μακροπρόθεσμα δημογραφικά ζητήματα, ιδίως στο πλαίσιο της γήρανσης του πληθυσμού και της μετανάστευσης του εργατικού δυναμικού. Στην παρούσα συγκυρία, κατά την οποία φαίνεται να έχουν αποφευχθεί οι άμεσες απειλές για την οικονομική και τη δημοσιονομική σταθερότητα, υπάρχει επείγουσα ανάγκη επικέντρωσης σε αυτά τα πιο μακροπρόθεσμα ζητήματα.</w:t>
      </w:r>
    </w:p>
    <w:p w:rsidR="00453D03" w:rsidRPr="0002364F" w:rsidRDefault="00453D03"/>
    <w:p w:rsidR="00920F71" w:rsidRPr="0002364F" w:rsidRDefault="00CA2FB9">
      <w:pPr>
        <w:pStyle w:val="Heading2"/>
      </w:pPr>
      <w:r w:rsidRPr="0002364F">
        <w:t>Η ΕΟΚΕ έχει υποδείξει ότι το Ευρωπαϊκό Εξάμηνο θα πρέπει να αναπτυχθεί περαιτέρω για να διασφαλίσει τη συντονισμένη εφαρμογή των Στόχων Βιώσιμης Ανάπτυξης</w:t>
      </w:r>
      <w:r w:rsidRPr="0002364F">
        <w:rPr>
          <w:rStyle w:val="FootnoteReference"/>
        </w:rPr>
        <w:footnoteReference w:id="6"/>
      </w:r>
      <w:r w:rsidRPr="0002364F">
        <w:t>.</w:t>
      </w:r>
    </w:p>
    <w:p w:rsidR="0031351E" w:rsidRPr="0002364F" w:rsidRDefault="0031351E"/>
    <w:p w:rsidR="00920F71" w:rsidRPr="0002364F" w:rsidRDefault="006A7E04">
      <w:pPr>
        <w:pStyle w:val="Heading2"/>
      </w:pPr>
      <w:r w:rsidRPr="0002364F">
        <w:t xml:space="preserve">Κατά την ανάπτυξη του Ευρωπαϊκού Εξαμήνου θα πρέπει να ληφθεί υπόψη η περίοδος μετά το Brexit και να υποτεθεί ότι θα καταστεί απαραίτητη η προς τα επάνω αναθεώρηση της χρηματοδοτικής ικανότητας. </w:t>
      </w:r>
    </w:p>
    <w:p w:rsidR="00A640DC" w:rsidRPr="0002364F" w:rsidRDefault="00A640DC"/>
    <w:p w:rsidR="00A640DC" w:rsidRPr="0002364F" w:rsidRDefault="005C1B7D">
      <w:pPr>
        <w:pStyle w:val="Heading2"/>
      </w:pPr>
      <w:r w:rsidRPr="0002364F">
        <w:t xml:space="preserve">Επιπλέον, το Ευρωπαϊκό Εξάμηνο πρέπει να προσαρμοστεί στη μελλοντική στρατηγική μετά το 2020. Η στρατηγική αυτή θα πρέπει να έχει ως βάση τις προτεραιότητες της Επιτροπής Juncker, καθώς και τους στόχους για το 2030, που βασίζονται στους στόχους της στρατηγικής «Ευρώπη 2020» (η οποία θα παραμείνει επίκαιρη τα ερχόμενα χρόνια) και στη Συμφωνία του Παρισιού για το κλίμα. </w:t>
      </w:r>
    </w:p>
    <w:p w:rsidR="00A640DC" w:rsidRPr="0002364F" w:rsidRDefault="00A640DC"/>
    <w:p w:rsidR="00011D33" w:rsidRPr="0002364F" w:rsidRDefault="0055121D">
      <w:pPr>
        <w:pStyle w:val="Heading1"/>
        <w:keepNext/>
      </w:pPr>
      <w:r w:rsidRPr="0002364F">
        <w:rPr>
          <w:b/>
        </w:rPr>
        <w:t>Ειδικές παρατηρήσεις</w:t>
      </w:r>
    </w:p>
    <w:p w:rsidR="00011D33" w:rsidRPr="0002364F" w:rsidRDefault="00011D33">
      <w:pPr>
        <w:keepNext/>
      </w:pPr>
    </w:p>
    <w:p w:rsidR="00011D33" w:rsidRPr="0002364F" w:rsidRDefault="0031351E">
      <w:pPr>
        <w:pStyle w:val="Heading2"/>
        <w:keepNext/>
        <w:rPr>
          <w:b/>
        </w:rPr>
      </w:pPr>
      <w:r w:rsidRPr="0002364F">
        <w:rPr>
          <w:b/>
        </w:rPr>
        <w:t>Επενδύσεις</w:t>
      </w:r>
    </w:p>
    <w:p w:rsidR="009D2BC0" w:rsidRPr="0002364F" w:rsidRDefault="009D2BC0" w:rsidP="00DB39C2">
      <w:pPr>
        <w:keepNext/>
      </w:pPr>
    </w:p>
    <w:p w:rsidR="009D2BC0" w:rsidRPr="0002364F" w:rsidRDefault="009D2BC0">
      <w:pPr>
        <w:pStyle w:val="Heading3"/>
      </w:pPr>
      <w:r w:rsidRPr="0002364F">
        <w:t>Η αύξηση της παραγωγικότητας είναι μία από τις κύριες πηγές βελτίωσης της οικονομικής ευημερίας. Είναι εξαιρετικά σημαντικό η ΕΕ να διατηρήσει υψηλό και βιώσιμο ρυθμό αύξησης της παραγωγικότητας, δεδομένου ότι πλέον υστερεί σε σχέση με τους κυριότερους ανταγωνιστές της, ιδιαίτερα σε ζωτικής σημασίας κλάδους της βιομηχανίας και στην ανάπτυξη τεχνολογιών χαμηλών ανθρακούχων εκπομπών. Μια συνεχώς βελτιούμενη οικονομία αποτελεί καθοριστικής σημασίας βάση για τη χρηματοδότηση παροχών κοινωνικής ασφάλισης και υγειονομικής περίθαλψης στο επίπεδο που επιθυμούν οι Ευρωπαίοι πολίτες. Η προώθηση της ευημερίας, της συνοχής και της κοινωνικής δικαιοσύνης είναι πλήρως συμβατή με την οικονομική μεγέθυνση και την αύξηση της παραγωγικότητας</w:t>
      </w:r>
      <w:r w:rsidRPr="0002364F">
        <w:rPr>
          <w:rStyle w:val="FootnoteReference"/>
        </w:rPr>
        <w:footnoteReference w:id="7"/>
      </w:r>
      <w:r w:rsidRPr="0002364F">
        <w:t>.</w:t>
      </w:r>
    </w:p>
    <w:p w:rsidR="009D2BC0" w:rsidRPr="0002364F" w:rsidRDefault="009D2BC0"/>
    <w:p w:rsidR="009D2BC0" w:rsidRPr="0002364F" w:rsidRDefault="009D2BC0">
      <w:pPr>
        <w:pStyle w:val="Heading3"/>
      </w:pPr>
      <w:r w:rsidRPr="0002364F">
        <w:t>Το κλειδί για την αύξηση της παραγωγικότητας είναι οι επενδύσεις, η ποιότητα της απασχόλησης, η καινοτομία και η γνώση. Όσο λιγότερες είναι οι επενδύσεις κεφαλαίου, τόσο λιγότερος νέος εξοπλισμός τίθεται στη διάθεση των εργαζομένων, και, με αμετάβλητα τα λοιπά δεδομένα, τόσο βραδύτεροι είναι οι μελλοντικοί ρυθμοί και χαμηλότερα τα επίπεδα αύξησης της παραγωγικότητας. Αυτό ισχύει ιδιαίτερα σε περιόδους κατά τις οποίες η ανάπτυξη του εργατικού δυναμικού επιβραδύνεται εξαιτίας των δημογραφικών αλλαγών και της μείωσης των ποσοστών γεννήσεων, όπως συμβαίνει στην Ευρώπη. Για την αύξηση της παραγωγικότητας πρέπει να γίνουν επενδύσεις στην εκπαίδευση, τη διά βίου μάθηση και την κατάρτιση, στη βελτίωση των συνθηκών εργασίας, σε βασικές υπηρεσίες, όπως η παιδική μέριμνα και η εξωσχολική φροντίδα, σε σύγχρονες εγκαταστάσεις, σε εξοπλισμό και παραγωγικές τεχνικές, σε νέες ανακαλύψεις και καινοτομίες, καθώς και στις μεταφορές, τις επικοινωνίες και σε άλλες υποδομές. Επιπλέον, πρέπει να ληφθεί υπόψη ότι οι δημόσιες επενδύσεις μεγάλης κλίμακας, συμπεριλαμβανομένων των κοινωνικών, έχουν πολύ πιο μακροπρόθεσμο χρονικό ορίζοντα. Ως εκ τούτου, η περαιτέρω εξέταση των απαιτήσεων προγραμματισμού θα μπορούσε να συμβάλει στην αύξηση των δημόσιων επενδύσεων. Προς τούτο, η ΕΟΚΕ ζητεί εκ νέου την έγκριση της υιοθέτησης του λεγόμενου «χρυσού κανόνα για τις δημόσιες επενδύσεις», ώστε να τονωθούν οι δημόσιες επενδύσεις.</w:t>
      </w:r>
    </w:p>
    <w:p w:rsidR="009D2BC0" w:rsidRPr="0002364F" w:rsidRDefault="009D2BC0"/>
    <w:p w:rsidR="009D2BC0" w:rsidRPr="0002364F" w:rsidRDefault="009D2BC0">
      <w:pPr>
        <w:pStyle w:val="Heading3"/>
      </w:pPr>
      <w:r w:rsidRPr="0002364F">
        <w:t>Εν προκειμένω, η ΕΟΚΕ θεωρεί ζωτικής σημασίας οι ενωσιακές και οι εθνικές δημοσιονομικές δυνατότητες να χρησιμοποιούνται στο έπακρο και η πολιτική συνοχής να παραμείνει το βασικό επενδυτικό εργαλείο της ΕΕ. Η ΕΟΚΕ υπογραμμίζει ότι η διακυβέρνηση και οι αλληλεπιδράσεις της εν λόγω πολιτικής με το Ευρωπαϊκό Εξάμηνο θα πρέπει να βελτιωθούν με στόχο να αυξηθεί περαιτέρω η συμβολή τους στη βιώσιμη και χωρίς αποκλεισμούς ανάπτυξη. Τα διαρθρωτικά ταμεία μπορούν να χρησιμοποιηθούν περισσότερο από ό,τι σήμερα για τη στήριξη της εκπαίδευσης και κατάρτισης σε απαραίτητες δεξιότητες, σε στενή συνεργασία με τους κοινωνικούς εταίρους. Υπό την έννοια αυτή, η ΕΟΚΕ συμφωνεί με τη γνώμη της Επιτροπής ότι το ΕΤΣΕ «απέχει πολύ από την πλήρη αξιοποίηση του δυναμικού του για την ενίσχυση της ανάπτυξης του ανθρώπινου κεφαλαίου».</w:t>
      </w:r>
    </w:p>
    <w:p w:rsidR="009D2BC0" w:rsidRPr="0002364F" w:rsidRDefault="009D2BC0"/>
    <w:p w:rsidR="009D2BC0" w:rsidRPr="0002364F" w:rsidRDefault="009D2BC0">
      <w:pPr>
        <w:pStyle w:val="Heading3"/>
      </w:pPr>
      <w:r w:rsidRPr="0002364F">
        <w:t>Για τον εκσυγχρονισμό των εγκαταστάσεων και των τεχνολογιών παραγωγής πρέπει να δημιουργηθεί το κατάλληλο επιχειρηματικό κλίμα και κοινωνικό περιβάλλον, προκειμένου οι εταιρείες να αποκτήσουν κίνητρα για την πραγματοποίηση επενδύσεων. Η ΕΟΚΕ θεωρεί ότι είναι εξαιρετικά σημαντικό τα κράτη μέλη να αναπτύξουν ισχυρότερους και αποτελεσματικότερους θεσμούς, ικανούς να καταπολεμήσουν τη διαφθορά και να υλοποιήσουν το κράτος δικαίου. Διαφορετικά, τα ποσοστά των επενδύσεων δεν μπορούν να είναι υψηλά.</w:t>
      </w:r>
    </w:p>
    <w:p w:rsidR="009D2BC0" w:rsidRPr="0002364F" w:rsidRDefault="009D2BC0"/>
    <w:p w:rsidR="003D0D69" w:rsidRPr="0002364F" w:rsidRDefault="003D0D69">
      <w:pPr>
        <w:pStyle w:val="Heading3"/>
      </w:pPr>
      <w:r w:rsidRPr="0002364F">
        <w:t>Η ΕΟΚΕ επαναλαμβάνει την ανάγκη για επενδύσεις σε μέτρα «δίκαιης μετάβασης» που θα συνοδεύσουν τις μετασχηματιστικές επενδύσεις, κυρίως στον ενεργειακό και στον κατασκευαστικό τομέα. Οι επενδύσεις αυτές, για τις οποίες πρέπει να διατίθεται ικανή χρηματοδότηση, θα πρέπει επίσης να στηρίξουν τους εργαζόμενους σε περιφέρειες των οποίων οι βιομηχανίες βρίσκονται σε στάδιο μετάβασης από υψηλές σε χαμηλές εκπομπές άνθρακα και χρειάζονται χρηστή διαχείριση για να συνεισφέρουν στην επίτευξη των στόχων της αξιοπρεπούς εργασίας για όλους, της κοινωνικής ένταξης και της εξάλειψης της φτώχειας.</w:t>
      </w:r>
    </w:p>
    <w:p w:rsidR="003D0D69" w:rsidRPr="0002364F" w:rsidRDefault="003D0D69"/>
    <w:p w:rsidR="009D2BC0" w:rsidRPr="0002364F" w:rsidRDefault="009D2BC0">
      <w:pPr>
        <w:pStyle w:val="Heading3"/>
      </w:pPr>
      <w:r w:rsidRPr="0002364F">
        <w:t xml:space="preserve">Εκτός από το ευνοϊκό κλίμα, είναι επίσης σημαντικό για τις επενδύσεις να υπάρχουν εύρυθμες χρηματοπιστωτικές αγορές στην Ευρώπη. Η ΕΟΚΕ ανησυχεί για το γεγονός ότι η ολοκλήρωση των χρηματοπιστωτικών αγορών εξακολουθεί να καθυστερεί. Η περαιτέρω ανάπτυξη της Τραπεζικής Ένωσης και της Ένωσης Κεφαλαιαγορών πρέπει να προχωρήσει χωρίς καθυστέρηση. </w:t>
      </w:r>
    </w:p>
    <w:p w:rsidR="009D2BC0" w:rsidRPr="0002364F" w:rsidRDefault="009D2BC0"/>
    <w:p w:rsidR="009D2BC0" w:rsidRPr="0002364F" w:rsidRDefault="009D2BC0">
      <w:pPr>
        <w:pStyle w:val="Heading3"/>
      </w:pPr>
      <w:r w:rsidRPr="0002364F">
        <w:t xml:space="preserve">Η ΕΟΚΕ συμφωνεί ότι έχει πρωταρχική σημασία η καθιέρωση της Ένωσης Κεφαλαιαγορών και άλλων συνθηκών πλαισίου με στόχο τη βελτίωση των χρηματοδοτικών όρων, την κατανομή των κινδύνων και την ενίσχυση της πρόσβασης σε πιστώσεις για όλες τις εταιρείες, καθώς και την υλοποίηση, στην πράξη, της αρχής της ισότητας ευκαιριών. </w:t>
      </w:r>
    </w:p>
    <w:p w:rsidR="009D2BC0" w:rsidRPr="0002364F" w:rsidRDefault="009D2BC0"/>
    <w:p w:rsidR="009D2BC0" w:rsidRPr="0002364F" w:rsidRDefault="00F03D4F">
      <w:pPr>
        <w:pStyle w:val="Heading3"/>
      </w:pPr>
      <w:r w:rsidRPr="0002364F">
        <w:t>Οι όροι πρόσβασης στη χρηματοδότηση εξακολουθούν να είναι πολύ άνισοι και η πρόσβαση στη χρηματοδότηση εξακολουθεί να είναι δύσκολη και να αποτελεί μείζον ζητούμενο για τις ΜΜΕ, τις μικρές οικογενειακές και παραδοσιακές επιχειρήσεις, τις νεοφυείς και τις αναπτυσσόμενες νέες επιχειρήσεις. Αυτός είναι ο λόγος για τον οποίο η ΕΟΚΕ επικροτεί μέτρα όπως το Πανευρωπαϊκό Ταμείο Επενδύσεων σε Επενδυτικά Ταμεία Υψηλού Επιχειρηματικού Κινδύνου (</w:t>
      </w:r>
      <w:r w:rsidRPr="0002364F">
        <w:rPr>
          <w:i/>
        </w:rPr>
        <w:t>Pan-European Venture Capital Fund of Funds</w:t>
      </w:r>
      <w:r w:rsidRPr="0002364F">
        <w:t>) και καλεί την Ευρωπαϊκή Επιτροπή να λάβει, σε συνεργασία με τις τοπικές, τις περιφερειακές και τις εθνικές αρχές, περαιτέρω μέτρα για τη μόχλευση ιδιωτικών και δημόσιων επενδύσεων και την προώθηση της διαφοροποίησης των πηγών χρηματοδότησης.</w:t>
      </w:r>
    </w:p>
    <w:p w:rsidR="009D2BC0" w:rsidRPr="0002364F" w:rsidRDefault="009D2BC0"/>
    <w:p w:rsidR="009D2BC0" w:rsidRPr="0002364F" w:rsidRDefault="009D2BC0">
      <w:pPr>
        <w:pStyle w:val="Heading3"/>
      </w:pPr>
      <w:r w:rsidRPr="0002364F">
        <w:t>Η ανάπτυξη της Ένωσης Κεφαλαιαγορών ―επέκταση των κεφαλαίων επιχειρηματικών συμμετοχών, αγορές ιδιωτικών επενδυτικών κεφαλαίων― συμπεριλαμβανομένων των ανεπίσημων αγορών, των επιχειρηματικών αγγέλων (</w:t>
      </w:r>
      <w:r w:rsidRPr="0002364F">
        <w:rPr>
          <w:i/>
        </w:rPr>
        <w:t>business angels</w:t>
      </w:r>
      <w:r w:rsidRPr="0002364F">
        <w:t xml:space="preserve">) και της συμμετοχικής χρηματοδότησης, έχει βελτιώσει την πρόσβαση σε επιχειρηματικά κεφάλαια για συγκεκριμένες κατηγορίες ΜΜΕ. Ωστόσο, ένα πολύ μεγάλο ποσοστό ΜΜΕ θεωρείται απίθανο να μπορέσει να επωφεληθεί σημαντικά από τις εξελίξεις αυτές. Ακόμη και για τις καινοτόμες, τις νεοφυείς και τις μεσαίου μεγέθους επιχειρήσεις, τα νέα μέσα δεν είναι εύχρηστα και εξακολουθούν να υφίστανται σημαντικές διαφορές μεταξύ των χωρών, λόγω του επιπέδου ανάπτυξης των τοπικών κεφαλαιαγορών και της έλλειψης κατάλληλης νομοθεσίας. Ως εκ τούτου, θα πρέπει να δοθεί προσοχή στη δημιουργία των ενδεδειγμένων προϋποθέσεων για την τραπεζική χρηματοδότηση των εν λόγω εταιρειών. </w:t>
      </w:r>
    </w:p>
    <w:p w:rsidR="009D2BC0" w:rsidRPr="0002364F" w:rsidRDefault="009D2BC0"/>
    <w:p w:rsidR="009D2BC0" w:rsidRPr="0002364F" w:rsidRDefault="009D2BC0">
      <w:pPr>
        <w:pStyle w:val="Heading3"/>
      </w:pPr>
      <w:r w:rsidRPr="0002364F">
        <w:t xml:space="preserve">Η ΕΟΚΕ καλεί την Επιτροπή και τα κράτη μέλη να καταβάλουν κάθε δυνατή προσπάθεια για την εξάλειψη των εμποδίων στις επενδύσεις και για τη δημιουργία ευνοϊκού επενδυτικού κλίματος. Εκτός από τα προαναφερθέντα προβλήματα, αναφέρονται ενδεικτικά ο κανονισμός σχετικά με τις εταιρείες επιχειρηματικού κεφαλαίου και η συνέχιση της ανάπτυξης του Ταμείου Κοινωνικής Επιχειρηματικότητας, η παροχή </w:t>
      </w:r>
      <w:r w:rsidRPr="0002364F">
        <w:rPr>
          <w:i/>
        </w:rPr>
        <w:t>«δεύτερης ευκαιρίας»</w:t>
      </w:r>
      <w:r w:rsidRPr="0002364F">
        <w:t xml:space="preserve"> σε επιχειρηματίες που αποτυγχάνουν, η βελτίωση των διαδικασιών αφερεγγυότητας ή ακόμη και η δημιουργία συστημάτων προληπτικής αναδιάρθρωσης. Η τόνωση της συμμετοχής των τραπεζών και η βελτίωση της λειτουργικής τους αποτελεσματικότητας θα πρέπει να αποτελέσει μία από τις βάσεις για την προώθηση των επενδυτικών δραστηριοτήτων. </w:t>
      </w:r>
    </w:p>
    <w:p w:rsidR="009D2BC0" w:rsidRPr="0002364F" w:rsidRDefault="009D2BC0"/>
    <w:p w:rsidR="0031351E" w:rsidRPr="0002364F" w:rsidRDefault="009D2BC0">
      <w:pPr>
        <w:pStyle w:val="Heading3"/>
      </w:pPr>
      <w:r w:rsidRPr="0002364F">
        <w:t>Η ΕΟΚΕ έχει ήδη τονίσει σε προηγούμενες γνωμοδοτήσεις της ότι η ολοκλήρωση της Ενεργειακής Ένωσης, η στρατηγική για την ψηφιακή ενιαία αγορά και το σχέδιο δράσης για την κυκλική οικονομία θα προσφέρουν νέες ενδιαφέρουσες επενδυτικές ευκαιρίες. Επιπλέον, πρέπει να ληφθούν υπόψη οι νέες δυνατότητες για οικολογικές επενδύσεις, με σκοπό την καταπολέμηση της κλιματικής αλλαγής. Η τόνωση των τομέων αυτών εξαρτάται επίσης από τις διεθνείς εμπορικές συμφωνίες, ορισμένες από τις οποίες μπορεί να πληγούν λόγω αλλαγής αντιλήψεων στην παγκόσμια πολιτική σκηνή, καθώς και από την επακόλουθη προσβασιμότητα των αγορών.</w:t>
      </w:r>
    </w:p>
    <w:p w:rsidR="0031351E" w:rsidRPr="0002364F" w:rsidRDefault="0031351E"/>
    <w:p w:rsidR="0031351E" w:rsidRPr="0002364F" w:rsidRDefault="0031351E">
      <w:pPr>
        <w:pStyle w:val="Heading2"/>
        <w:keepNext/>
        <w:rPr>
          <w:b/>
        </w:rPr>
      </w:pPr>
      <w:r w:rsidRPr="0002364F">
        <w:rPr>
          <w:b/>
        </w:rPr>
        <w:t>Εφαρμογή των διαρθρωτικών μεταρρυθμίσεων</w:t>
      </w:r>
    </w:p>
    <w:p w:rsidR="0031351E" w:rsidRPr="0002364F" w:rsidRDefault="0031351E">
      <w:pPr>
        <w:keepNext/>
      </w:pPr>
    </w:p>
    <w:p w:rsidR="009D2BC0" w:rsidRPr="0002364F" w:rsidRDefault="00F34ADB">
      <w:pPr>
        <w:pStyle w:val="Heading3"/>
      </w:pPr>
      <w:r w:rsidRPr="0002364F">
        <w:t xml:space="preserve">Η ΕΟΚΕ φρονεί ότι οι διαρθρωτικές μεταρρυθμίσεις πρέπει να είναι οικονομικά και κοινωνικά ισορροπημένες. Οι διαρθρωτικές μεταρρυθμίσεις που θα υλοποιηθούν πρώτα πρέπει να είναι όσες προωθούν την αύξηση της παραγωγικότητας, αλλά και όσες ενισχύουν την εργασιακή ασφάλεια και το σύστημα κοινωνικής ασφάλισης, με σεβασμό στις συλλογικές διαπραγματεύσεις και την αυτονομία των κοινωνικών εταίρων. Οι διαρθρωτικές μεταρρυθμίσεις έχουν ζωτική σημασία για την οικοδόμηση ακεραιότητας και διαφάνειας στη δημόσια διοίκηση και για την παροχή υψηλής ποιότητας υπηρεσιών στους πολίτες και τις επιχειρήσεις. </w:t>
      </w:r>
    </w:p>
    <w:p w:rsidR="00713695" w:rsidRPr="0002364F" w:rsidRDefault="00713695"/>
    <w:p w:rsidR="00E30E29" w:rsidRPr="0002364F" w:rsidRDefault="009D2BC0">
      <w:pPr>
        <w:pStyle w:val="Heading3"/>
      </w:pPr>
      <w:r w:rsidRPr="0002364F">
        <w:t>Η ΕΟΚΕ σημειώνει τις πρωτοβουλίες που προτείνει η Επιτροπή στον χάρτη πορείας για την εμβάθυνση της Οικονομικής και Νομισματικής Ένωσης της Ευρώπης και καταρτίζει, επί του παρόντος, ξεχωριστή γνωμοδότηση σχετικά με την εν λόγω δέσμη πρωτοβουλιών</w:t>
      </w:r>
      <w:r w:rsidRPr="0002364F">
        <w:rPr>
          <w:rStyle w:val="FootnoteReference"/>
        </w:rPr>
        <w:footnoteReference w:id="8"/>
      </w:r>
      <w:r w:rsidRPr="0002364F">
        <w:t xml:space="preserve">. Η ΕΟΚΕ θα συνεχίσει να συμβάλλει στη συζήτηση των ηγετών της ΕΕ σχετικά με τη μελλοντική ανάπτυξη της ΟΝΕ στο πλαίσιο της συζήτησης για το μέλλον της Ευρώπης. Ωστόσο, η ΕΟΚΕ εκφράζει τη λύπη της για το γεγονός ότι, στην ΕΕΑ, τα περισσότερα από τα προβλήματα για την ενίσχυση της σύγκλισης και της ένταξης των κρατών μελών αφορούν σχεδόν αποκλειστικά τις χώρες της ζώνης του ευρώ. Η σύγκλιση των χωρών που δεν είναι μέλη της ζώνης του ευρώ θα πρέπει να τυγχάνει ανάλογου προβληματισμού και προσπάθειας. Πρέπει να προωθηθεί μια νέα στρατηγική και ένα νέο σχέδιο δράσης με στόχο να εξασφαλιστεί ότι τα κράτη μέλη με χαμηλότερη παραγωγικότητα μπορούν να κερδίσουν το χαμένο έδαφος με την ανάπτυξη των δικών τους ποιοτικών επενδύσεων. Επίσης, θα πρέπει να ληφθούν μέτρα για την υποστήριξη της ανάκαμψης συγκεκριμένων περιοχών μέσω έργων αναζωογόνησης που θα περιλαμβάνουν ποιοτική ανάπτυξη και επενδύσεις. </w:t>
      </w:r>
    </w:p>
    <w:p w:rsidR="009D2BC0" w:rsidRPr="0002364F" w:rsidRDefault="009D2BC0"/>
    <w:p w:rsidR="009D2BC0" w:rsidRPr="0002364F" w:rsidRDefault="009D2BC0">
      <w:pPr>
        <w:pStyle w:val="Heading3"/>
      </w:pPr>
      <w:r w:rsidRPr="0002364F">
        <w:t xml:space="preserve">Ο ρόλος των κοινωνικών εταίρων για τον σχεδιασμό, την κατάρτιση και την υλοποίηση των οικονομικά και κοινωνικά λογικών και ισορροπημένων διαρθρωτικών μεταρρυθμίσεων είναι ιδιαίτερα σημαντικός. Θα πρέπει να εδράζεται σε μια νέα αρχή για τον κοινωνικό διάλογο που θα βασίζεται μεν στον σημερινό διάλογο, αλλά θα διαθέτει ενισχυμένους συμμετοχικούς μηχανισμούς. Η υπεύθυνη κοινωνική δέσμευση εξαρτάται σε μεγάλο βαθμό από μια κατανοητή και άμεση επικοινωνία και η ΕΟΚΕ επικροτεί την πρόθεση της Επιτροπής να συμπεριλάβει τους κοινωνικούς εταίρους με τρόπο διεξοδικό και συστηματικό στον κύκλο του Ευρωπαϊκού Εξαμήνου. </w:t>
      </w:r>
    </w:p>
    <w:p w:rsidR="009D2BC0" w:rsidRPr="0002364F" w:rsidRDefault="009D2BC0"/>
    <w:p w:rsidR="009D2BC0" w:rsidRPr="0002364F" w:rsidRDefault="009D2BC0">
      <w:pPr>
        <w:pStyle w:val="Heading3"/>
      </w:pPr>
      <w:r w:rsidRPr="0002364F">
        <w:t>Η ΕΟΚΕ συμφωνεί με την άποψη του Ευρωπαϊκού Κοινοβουλίου ότι μια αγορά εργασίας που λειτουργεί καλά αποτελεί σημαντική προϋπόθεση για τη θετική εξέλιξη της οικονομικής συγκυρίας</w:t>
      </w:r>
      <w:r w:rsidRPr="0002364F">
        <w:rPr>
          <w:rStyle w:val="FootnoteReference"/>
        </w:rPr>
        <w:footnoteReference w:id="9"/>
      </w:r>
      <w:r w:rsidRPr="0002364F">
        <w:t xml:space="preserve">. Αυτό θα πρέπει να καταστεί μία από τις προτεραιότητες των μεταρρυθμίσεων. Ωστόσο, η ΕΟΚΕ εκτιμά επίσης ότι η κοινωνική διάσταση της ενιαίας ευρωπαϊκής αγοράς, συμπεριλαμβανομένων των συστημάτων ασφάλισης, πρέπει να ενισχυθεί και ότι ο ευρωπαϊκός πυλώνας κοινωνικών δικαιωμάτων θα πρέπει να αποτελέσει τη βάση για τον σκοπό αυτό. </w:t>
      </w:r>
    </w:p>
    <w:p w:rsidR="009D2BC0" w:rsidRPr="0002364F" w:rsidRDefault="009D2BC0"/>
    <w:p w:rsidR="009D2BC0" w:rsidRPr="0002364F" w:rsidRDefault="009D2BC0">
      <w:pPr>
        <w:pStyle w:val="Heading3"/>
      </w:pPr>
      <w:r w:rsidRPr="0002364F">
        <w:t xml:space="preserve">Για την αντιμετώπιση των διαρθρωτικών προκλήσεων της αγοράς εργασίας που αντιμετωπίζουν τα κράτη μέλη, η Επιτροπή θα πρέπει να λάβει υπόψη τα διάφορα στάδια των κρατών μελών ως προς την οικονομική ανάπτυξη και τα προτεινόμενα μέτρα θα πρέπει να είναι παραγωγικά, χωρίς αποκλεισμούς, αποδεκτά και εφαρμόσιμα στις κοινωνίες τους. </w:t>
      </w:r>
    </w:p>
    <w:p w:rsidR="009D2BC0" w:rsidRPr="0002364F" w:rsidRDefault="009D2BC0"/>
    <w:p w:rsidR="009D2BC0" w:rsidRPr="0002364F" w:rsidRDefault="009D2BC0">
      <w:pPr>
        <w:pStyle w:val="Heading3"/>
      </w:pPr>
      <w:r w:rsidRPr="0002364F">
        <w:t>Η ποιοτική εκπαίδευση και κατάρτιση πρέπει να είναι προσβάσιμες σε όλους ως βασικό δικαίωμα. Ωστόσο, σήμερα είναι ζωτικής σημασίας για την ανάπτυξη της ευρωπαϊκής οικονομίας να μπορεί να βασίζεται σε ένα καλά εκπαιδευμένο, ενημερωμένο και ικανό εργατικό δυναμικό. Λαμβάνονται πολλά μηνύματα από οργανώσεις εργοδοτών, σύμφωνα με τα οποία ο σημαντικότερος παράγοντας που παρεμποδίζει την αύξηση της παραγωγής και τη δημιουργία θέσεων εργασίας είναι η έλλειψη των κατάλληλων δεξιοτήτων που απαιτούνται από τις επιχειρήσεις. Οι συνδικαλιστικές οργανώσεις, αντιθέτως, ζητούν μετ' επιτάσεως το κατάλληλο πλαίσιο για όλους να διατηρείται επικαιροποιημένο με τις δεξιότητες που απαιτούνται κατά τη διάρκεια της σταδιοδρομίας τους (π.χ. δικαίωμα σε άδεια κατάρτισης μετ' αποδοχών) - θέτοντας τους πάντες προ των ευθυνών τους: οι ιδιώτες, οι επιχειρήσεις (σε συνάρτηση με το μέγεθος της επιχείρησης) και το ευρύ κοινό. Αυτά τα ζητήματα πρέπει να αντιμετωπιστούν χωρίς καθυστέρηση με τα κατάλληλα μέτρα που προτείνονται στην ΕΕΑ, σύμφωνα με το Νέο Θεματολόγιο Δεξιοτήτων για την Ευρώπη</w:t>
      </w:r>
      <w:r w:rsidRPr="0002364F">
        <w:rPr>
          <w:rStyle w:val="FootnoteReference"/>
        </w:rPr>
        <w:footnoteReference w:id="10"/>
      </w:r>
      <w:r w:rsidRPr="0002364F">
        <w:t xml:space="preserve">. </w:t>
      </w:r>
    </w:p>
    <w:p w:rsidR="009D2BC0" w:rsidRPr="0002364F" w:rsidRDefault="009D2BC0"/>
    <w:p w:rsidR="004B082A" w:rsidRPr="0002364F" w:rsidRDefault="0006692A">
      <w:pPr>
        <w:pStyle w:val="Heading3"/>
      </w:pPr>
      <w:r w:rsidRPr="0002364F">
        <w:t xml:space="preserve">Σύμφωνα με την κοινή έκθεση για την απασχόληση, </w:t>
      </w:r>
      <w:r w:rsidRPr="0002364F">
        <w:rPr>
          <w:i/>
        </w:rPr>
        <w:t>«...η αύξηση των μισθών παραμένει συγκρατημένη στις περισσότερες χώρες ... την περίοδο 2014-2016, η αύξηση των πραγματικών μισθών υστέρησε έναντι της αύξησης της παραγωγικότητας.</w:t>
      </w:r>
      <w:r w:rsidRPr="0002364F">
        <w:t xml:space="preserve"> </w:t>
      </w:r>
      <w:r w:rsidRPr="0002364F">
        <w:rPr>
          <w:i/>
        </w:rPr>
        <w:t>Πρόκειται για μια μακροπρόθεσμη τάση: στην ΕΕ, από το 2000 έως το 2016, η πραγματική παραγωγικότητα ανά εργαζόμενο αυξήθηκε κατά 14,3%, ενώ το πραγματικό εισόδημα εξαρτημένης εργασίας ανά εργαζόμενο αυξήθηκε κατά 10,2%»</w:t>
      </w:r>
      <w:r w:rsidRPr="0002364F">
        <w:rPr>
          <w:rStyle w:val="FootnoteReference"/>
        </w:rPr>
        <w:footnoteReference w:id="11"/>
      </w:r>
      <w:r w:rsidRPr="0002364F">
        <w:t>. Παρότι στις περισσότερες χώρες ο ρυθμός μισθολογικής αύξησης υστερεί έναντι της αύξησης της παραγωγικότητας, σε άλλες χώρες είναι υψηλότερος. Αυτή η ετερογένεια οδηγεί την ΕΟΚΕ να τονίσει ότι η πραγματική αύξηση των μισθών, συμπεριλαμβανομένων των ελάχιστων μισθών όπου υπάρχουν, πρέπει να συμβαδίζει με την αύξηση της παραγωγικότητας. Κατά την άποψη της ΕΟΚΕ, η δίκαιη αναδιανομή του εισοδήματος και του πλούτου από τα κέρδη παραγωγικότητας θα αυξήσει την ισότητα και θα έχει θετικό αντίκτυπο στην εγχώρια αγορά και στη συνολική ζήτηση εντός της ΕΕ. Η εγχώρια ζήτηση πρέπει να τονωθεί, πράγμα που αποτελεί βασική προϋπόθεση για τη διατήρηση της ανάπτυξης, την υπέρβαση της κρίσης και την τόνωση της απασχόλησης. Η αύξηση των μισθών, ιδίως των χαμηλότερων, είναι ένα από τα σημαντικότερα εργαλεία για την επίτευξη αυτών των στόχων στην ευρωπαϊκή οικονομία και κοινωνία</w:t>
      </w:r>
      <w:r w:rsidRPr="0002364F">
        <w:rPr>
          <w:rStyle w:val="FootnoteReference"/>
        </w:rPr>
        <w:footnoteReference w:id="12"/>
      </w:r>
      <w:r w:rsidRPr="0002364F">
        <w:t>.</w:t>
      </w:r>
    </w:p>
    <w:p w:rsidR="004B082A" w:rsidRPr="0002364F" w:rsidRDefault="004B082A"/>
    <w:p w:rsidR="009D2BC0" w:rsidRPr="0002364F" w:rsidRDefault="009D2BC0">
      <w:pPr>
        <w:pStyle w:val="Heading3"/>
      </w:pPr>
      <w:r w:rsidRPr="0002364F">
        <w:t>Η ΕΟΚΕ έχει υπογραμμίσει επανειλημμένα την ανάγκη στήριξης των ΜΜΕ</w:t>
      </w:r>
      <w:r w:rsidRPr="0002364F">
        <w:rPr>
          <w:rStyle w:val="FootnoteReference"/>
        </w:rPr>
        <w:footnoteReference w:id="13"/>
      </w:r>
      <w:r w:rsidRPr="0002364F">
        <w:t>, οι οποίες - από κοινού με τους εν λόγω εργαζομένους και υπαλλήλους - πλήττονται περισσότερο από τις αδυναμίες της αγοράς, ενώ διαθέτουν μεγάλες δυνατότητες συμβολής στην ευρωπαϊκή οικονομία. Για τον λόγο αυτό, η ΕΟΚΕ εκφράζει την ικανοποίησή της για την πρόθεση της Επιτροπής να υποστηρίξει τη διάδοση νέων τεχνολογιών μεταξύ των ΜΜΕ. Ταυτόχρονα, είναι σημαντικό η Επιτροπή να λάβει επίσης υπόψη τα προβλήματα πρόσβασης των ΜΜΕ στη χρηματοδότηση, την ετερογένειά τους ως ομάδα και την ανάγκη στήριξης των μικρών παραδοσιακών και οικογενειακών επιχειρήσεων</w:t>
      </w:r>
      <w:r w:rsidRPr="0002364F">
        <w:rPr>
          <w:rStyle w:val="FootnoteReference"/>
        </w:rPr>
        <w:footnoteReference w:id="14"/>
      </w:r>
      <w:r w:rsidRPr="0002364F">
        <w:t xml:space="preserve">. </w:t>
      </w:r>
    </w:p>
    <w:p w:rsidR="009D2BC0" w:rsidRPr="0002364F" w:rsidRDefault="009D2BC0"/>
    <w:p w:rsidR="009D2BC0" w:rsidRPr="0002364F" w:rsidRDefault="009D2BC0">
      <w:pPr>
        <w:pStyle w:val="Heading3"/>
      </w:pPr>
      <w:r w:rsidRPr="0002364F">
        <w:t xml:space="preserve">Η καθιέρωση ενός συστήματος κινήτρων που θα δημιουργεί συνθήκες ισότιμου ανταγωνισμού, θα υποστηρίζει περισσότερο την οικονομική ανάπτυξη και θα περιορίζει της δυνατότητες κατάχρησης θα πρέπει να αποτελέσει αναπόσπαστο τμήμα της μεταρρυθμιστικής διαδικασίας. Ιδιαίτερη προσοχή θα πρέπει να δοθεί στη βελτίωση του κανονιστικού και του διοικητικού πλαισίου. Η ΕΟΚΕ συμμερίζεται την άποψη που εκφράζεται στην ΕΕΑ ότι μια ενιαία αγορά στον αμυντικό τομέα θα μπορούσε να έχει πολλαπλά οφέλη για τους Ευρωπαίους πολίτες, επαναλαμβάνει, ωστόσο, τη θέση της ότι οι πόροι του προϋπολογισμού της ΕΕ δεν μπορούν να χρησιμοποιηθούν για τη χρηματοδότηση στρατιωτικών μέσων και επιχειρησιακών δράσεων. </w:t>
      </w:r>
    </w:p>
    <w:p w:rsidR="0031351E" w:rsidRPr="0002364F" w:rsidRDefault="0031351E"/>
    <w:p w:rsidR="00BA4FE8" w:rsidRPr="0002364F" w:rsidRDefault="00E30E29">
      <w:pPr>
        <w:pStyle w:val="Heading3"/>
      </w:pPr>
      <w:r w:rsidRPr="0002364F">
        <w:t xml:space="preserve">Η ΕΟΚΕ υπογραμμίζει την ανάγκη να συνεχιστεί η τόνωση της ανταγωνιστικότητας της Ευρώπης με την ευρεία έννοια, πολύ ευρύτερη από την απλή ανταγωνιστικότητα των επιχειρήσεων. Το διεθνές οικονομικό κύρος της Ευρώπης χρειάζεται ενίσχυση και πρέπει να ληφθούν μέτρα ώστε να είναι καλύτερα προετοιμασμένη για να αναμετρηθεί με τους παγκόσμιους ανταγωνιστές της. </w:t>
      </w:r>
    </w:p>
    <w:p w:rsidR="00BA4FE8" w:rsidRPr="0002364F" w:rsidRDefault="00BA4FE8"/>
    <w:p w:rsidR="0031351E" w:rsidRPr="0002364F" w:rsidRDefault="0031351E">
      <w:pPr>
        <w:pStyle w:val="Heading2"/>
        <w:keepNext/>
        <w:rPr>
          <w:b/>
        </w:rPr>
      </w:pPr>
      <w:r w:rsidRPr="0002364F">
        <w:rPr>
          <w:b/>
        </w:rPr>
        <w:t>Υπεύθυνες δημοσιονομικές πολιτικές</w:t>
      </w:r>
    </w:p>
    <w:p w:rsidR="0031351E" w:rsidRPr="0002364F" w:rsidRDefault="0031351E">
      <w:pPr>
        <w:keepNext/>
      </w:pPr>
    </w:p>
    <w:p w:rsidR="009D2BC0" w:rsidRPr="0002364F" w:rsidRDefault="009D2BC0">
      <w:pPr>
        <w:pStyle w:val="Heading3"/>
      </w:pPr>
      <w:r w:rsidRPr="0002364F">
        <w:t xml:space="preserve">Η παρατηρούμενη ανάκαμψη της ευρωπαϊκής οικονομίας συμβάλλει στη βελτίωση της κατάστασης των δημόσιων οικονομικών, τα οποία βρίσκονταν σε κίνδυνο κατά και μετά τη χρηματοπιστωτική και οικονομική κρίση. Ταυτόχρονα, τα χαμηλά επιτόκια και η οικονομική ανάπτυξη παρέχουν καλές ευκαιρίες για τη μείωση των υπερβολικών επιπέδων χρέους, όπου υπάρχουν. Ο λόγος δημόσιου χρέους προς το ΑΕγχΠ είναι εξαιρετικά άνισα κατανεμημένος στην ΕΕ, πράγμα το οποίο εκθέτει τις χώρες με υψηλά επίπεδα χρέους σε πιθανούς κινδύνους επιτοκίου και έχει ως αποτέλεσμα υψηλό κόστος χρηματοδότησης εάν τα επιτόκια αρχίσουν να αυξάνονται σε περίπτωση χαλάρωσης της νομισματικής πολιτικής. </w:t>
      </w:r>
    </w:p>
    <w:p w:rsidR="009D2BC0" w:rsidRPr="0002364F" w:rsidRDefault="009D2BC0"/>
    <w:p w:rsidR="009D2BC0" w:rsidRPr="0002364F" w:rsidRDefault="009D2BC0">
      <w:pPr>
        <w:pStyle w:val="Heading3"/>
      </w:pPr>
      <w:r w:rsidRPr="0002364F">
        <w:t>Στο πλαίσιο αυτό, η ΕΟΚΕ εκτιμά το γεγονός ότι ένας από τους πυλώνες επί των οποίων η Επιτροπή οικοδομεί την οικονομική και κοινωνική της πολιτική είναι ο πυλώνας των υπεύθυνων δημοσιονομικών πολιτικών. Ωστόσο, η ΕΟΚΕ επιθυμεί να τονίσει ότι μια υπεύθυνη κυβερνητική πολιτική ως προς τις δαπάνες δεν μετριέται πάντοτε μόνο από ένα λογιστικό αποτέλεσμα ως έλλειμμα, αλλά και από τον αντίκτυπο που έχει στην πραγματική οικονομία και την κοινωνία εν γένει.</w:t>
      </w:r>
    </w:p>
    <w:p w:rsidR="009D2BC0" w:rsidRPr="0002364F" w:rsidRDefault="009D2BC0"/>
    <w:p w:rsidR="009D2BC0" w:rsidRPr="0002364F" w:rsidRDefault="009D2BC0">
      <w:pPr>
        <w:pStyle w:val="Heading3"/>
      </w:pPr>
      <w:r w:rsidRPr="0002364F">
        <w:t>Η ΕΟΚΕ υποστηρίζει πλήρως την άποψη ότι η δημοσιονομική πολιτική πρέπει να προσαρμόζεται στις ειδικές ανά χώρα συνθήκες. Το αιώνιο δίλημμα μεταξύ της ανάγκης εξασφάλισης μακροπρόθεσμου ελέγχου επί των επιπέδων ελλείμματος και χρέους και των δημόσιων δαπανών που είναι «φιλικές προς την ανάπτυξη» είναι πάντοτε δύσκολο να επιλυθεί και η ισορροπία ενδέχεται να αλλάζει ανάλογα με τη συγκεκριμένη κατάσταση της κάθε χώρας. Η ΕΟΚΕ τάσσεται υπέρ της ευελιξίας, ιδίως όταν αυτή καθιστά δυνατή την πραγματοποίηση δημόσιων επενδύσεων για την τόνωση τομέων με μακροπρόθεσμα οφέλη (παιδεία, κατάρτιση και ιατροφαρμακευτική περίθαλψη) ή επενδύσεων που στοχεύουν στη δημιουργία των κατάλληλων συνθηκών για την οικονομική μετάβαση προς μια βιώσιμη οικονομία που συμβάλλει στην αντιμετώπιση της κλιματικής αλλαγής ή σε υποστηρικτικά μέτρα για εταιρείες που πλήττονται από τις αδυναμίες της αγοράς.</w:t>
      </w:r>
    </w:p>
    <w:p w:rsidR="009D2BC0" w:rsidRPr="0002364F" w:rsidRDefault="009D2BC0"/>
    <w:p w:rsidR="00417052" w:rsidRPr="0002364F" w:rsidRDefault="009D2BC0">
      <w:pPr>
        <w:pStyle w:val="Heading3"/>
        <w:rPr>
          <w:sz w:val="24"/>
        </w:rPr>
      </w:pPr>
      <w:r w:rsidRPr="0002364F">
        <w:t>Η ΕΟΚΕ απευθύνει θερμή έκκληση για τη συνεχή και καλά συντονισμένη καταπολέμηση της φοροδιαφυγής και της φοροαποφυγής με σκοπό τη διασφάλιση δίκαιης φορολόγησης των πολυεθνικών εταιρειών και της ψηφιακής οικονομίας. Η ΕΟΚΕ τονίζει επίσης τη σημασία της καταπολέμησης της φοροδιαφυγής μέσω μεγαλύτερης διαφάνειας</w:t>
      </w:r>
      <w:r w:rsidRPr="0002364F">
        <w:rPr>
          <w:rStyle w:val="FootnoteReference"/>
        </w:rPr>
        <w:footnoteReference w:id="15"/>
      </w:r>
      <w:r w:rsidRPr="0002364F">
        <w:t>, καθώς και όλων των μορφών αθέμιτου φορολογικού ανταγωνισμού μεταξύ των κρατών μελών</w:t>
      </w:r>
      <w:r w:rsidRPr="0002364F">
        <w:rPr>
          <w:rStyle w:val="FootnoteReference"/>
        </w:rPr>
        <w:footnoteReference w:id="16"/>
      </w:r>
      <w:r w:rsidRPr="0002364F">
        <w:t>.</w:t>
      </w:r>
    </w:p>
    <w:p w:rsidR="009D2BC0" w:rsidRPr="0002364F" w:rsidRDefault="009D2BC0"/>
    <w:p w:rsidR="0031351E" w:rsidRPr="0002364F" w:rsidRDefault="0031351E">
      <w:pPr>
        <w:pStyle w:val="Heading2"/>
        <w:keepNext/>
        <w:rPr>
          <w:b/>
        </w:rPr>
      </w:pPr>
      <w:r w:rsidRPr="0002364F">
        <w:rPr>
          <w:b/>
        </w:rPr>
        <w:t>Ευρωπαϊκός πυλώνας κοινωνικών δικαιωμάτων</w:t>
      </w:r>
    </w:p>
    <w:p w:rsidR="0031351E" w:rsidRPr="0002364F" w:rsidRDefault="0031351E">
      <w:pPr>
        <w:keepNext/>
      </w:pPr>
    </w:p>
    <w:p w:rsidR="0031351E" w:rsidRPr="0002364F" w:rsidRDefault="0031351E">
      <w:pPr>
        <w:pStyle w:val="Heading3"/>
      </w:pPr>
      <w:r w:rsidRPr="0002364F">
        <w:t xml:space="preserve">Η ΕΟΚΕ χαιρετίζει τη διοργανική συναίνεση που επιτεύχθηκε με τη διακήρυξη του ευρωπαϊκού πυλώνα κοινωνικών δικαιωμάτων κατά την κοινωνική διάσκεψη κορυφής του Γκέτεμποργκ, τον Νοέμβριο του 2017. </w:t>
      </w:r>
    </w:p>
    <w:p w:rsidR="0031351E" w:rsidRPr="0002364F" w:rsidRDefault="0031351E"/>
    <w:p w:rsidR="000905DA" w:rsidRPr="0002364F" w:rsidRDefault="0031351E">
      <w:pPr>
        <w:pStyle w:val="Heading3"/>
      </w:pPr>
      <w:r w:rsidRPr="0002364F">
        <w:t>Ο ευρωπαϊκός πυλώνας κοινωνικών δικαιωμάτων αποτελεί πρωτίστως μια πολιτική δήλωση, η οποία συμπεριλαμβάνει νομοθετικές και μη νομοθετικές προτάσεις. Η ομόφωνη στήριξη από τα κράτη μέλη αποτελεί σημαντικό ενθαρρυντικό στοιχείο για την υλοποίησή του. Ως πλαίσιο τόσο για νομοθετικές όσο και για μη νομοθετικές πρωτοβουλίες, ο πυλώνας θα συμβάλει στην προώθηση μεταρρυθμίσεων και θα ενισχύσει την εστίαση στην κοινωνική πρόοδο στο πλαίσιο του Ευρωπαϊκού Εξαμήνου.</w:t>
      </w:r>
    </w:p>
    <w:p w:rsidR="006A7E04" w:rsidRPr="0002364F" w:rsidRDefault="006A7E04"/>
    <w:p w:rsidR="0031351E" w:rsidRPr="0002364F" w:rsidRDefault="000905DA">
      <w:pPr>
        <w:pStyle w:val="Heading3"/>
      </w:pPr>
      <w:r w:rsidRPr="0002364F">
        <w:t>Η ΕΟΚΕ φρονεί ότι ο ευρωπαϊκός πυλώνας κοινωνικών δικαιωμάτων θα πρέπει να συνοδεύεται από οδικό χάρτη για την αποσαφήνιση της εφαρμογής του και για την υποστήριξη της επίτευξης των στόχων του σε εθνικό επίπεδο</w:t>
      </w:r>
      <w:r w:rsidRPr="0002364F">
        <w:rPr>
          <w:rStyle w:val="FootnoteReference"/>
        </w:rPr>
        <w:footnoteReference w:id="17"/>
      </w:r>
      <w:r w:rsidRPr="0002364F">
        <w:t xml:space="preserve">. </w:t>
      </w:r>
    </w:p>
    <w:p w:rsidR="0031351E" w:rsidRPr="0002364F" w:rsidRDefault="0031351E"/>
    <w:p w:rsidR="00E864DF" w:rsidRPr="0002364F" w:rsidRDefault="00E864DF">
      <w:pPr>
        <w:pStyle w:val="Heading3"/>
      </w:pPr>
      <w:r w:rsidRPr="0002364F">
        <w:t>Η ΕΟΚΕ τάσσεται υπέρ ενός Εξαμήνου το οποίο θα ενσωματώνει πλήρως την κοινωνική διάσταση. Η ΕΟΚΕ θα ήθελε να δει τους στόχους του ευρωπαϊκού πυλώνα κοινωνικών δικαιωμάτων να ενσωματώνονται στις πολιτικές και τις αποφάσεις που λαμβάνονται.</w:t>
      </w:r>
    </w:p>
    <w:p w:rsidR="00E864DF" w:rsidRPr="0002364F" w:rsidRDefault="00E864DF"/>
    <w:p w:rsidR="0031351E" w:rsidRPr="0002364F" w:rsidRDefault="0031351E">
      <w:pPr>
        <w:pStyle w:val="Heading3"/>
      </w:pPr>
      <w:r w:rsidRPr="0002364F">
        <w:t>Όπως έχει ήδη επισημάνει η ΕΟΚΕ</w:t>
      </w:r>
      <w:r w:rsidRPr="0002364F">
        <w:rPr>
          <w:rStyle w:val="FootnoteReference"/>
        </w:rPr>
        <w:footnoteReference w:id="18"/>
      </w:r>
      <w:r w:rsidRPr="0002364F">
        <w:t>, για να διασφαλίσει το μέλλον της, η ΕΕ πρέπει να συνδυάζει υγιή οικονομική βάση με ισχυρή κοινωνική διάσταση. Η ΕΕ πρέπει να επικεντρωθεί στην εξασφάλιση ισορροπημένης και χωρίς αποκλεισμούς οικονομικής ανάπτυξης, κοινωνικής προόδου και περιβαλλοντικής ακεραιότητας, παράμετροι οι οποίες μπορούν να οδηγήσουν στην ενίσχυση της ευημερίας των πολιτών.</w:t>
      </w:r>
    </w:p>
    <w:p w:rsidR="0031351E" w:rsidRPr="0002364F" w:rsidRDefault="0031351E"/>
    <w:p w:rsidR="0031351E" w:rsidRPr="0002364F" w:rsidRDefault="0031351E">
      <w:pPr>
        <w:pStyle w:val="Heading3"/>
      </w:pPr>
      <w:r w:rsidRPr="0002364F">
        <w:t>Η φθινοπωρινή δέσμη μέτρων της Επιτροπής περιλαμβάνει έναν κοινωνικό πίνακα αποτελεσμάτων, ως νέο εργαλείο στο πλαίσιο του Ευρωπαϊκού Εξαμήνου για την παρακολούθηση της εφαρμογής του ευρωπαϊκού πυλώνα κοινωνικών δικαιωμάτων, ο οποίος θα πρέπει να αποτελέσει μέρος της ανάλυσης που θα εκπονηθεί στις επικείμενες εκθέσεις ανά χώρα και στις ειδικές ανά χώρα συστάσεις.</w:t>
      </w:r>
    </w:p>
    <w:p w:rsidR="0055121D" w:rsidRPr="0002364F" w:rsidRDefault="0055121D"/>
    <w:p w:rsidR="00B26221" w:rsidRPr="0002364F" w:rsidRDefault="00B26221">
      <w:r w:rsidRPr="0002364F">
        <w:t>Βρυξέλλες, 14 Φεβρουαρίου 2018</w:t>
      </w:r>
    </w:p>
    <w:p w:rsidR="00A724D7" w:rsidRPr="0002364F" w:rsidRDefault="00A724D7"/>
    <w:p w:rsidR="00A724D7" w:rsidRPr="0002364F" w:rsidRDefault="00A724D7"/>
    <w:p w:rsidR="00A724D7" w:rsidRPr="0002364F" w:rsidRDefault="00A724D7"/>
    <w:p w:rsidR="002B3852" w:rsidRPr="0002364F" w:rsidRDefault="002B3852"/>
    <w:p w:rsidR="002B3852" w:rsidRPr="0002364F" w:rsidRDefault="00B26221">
      <w:r w:rsidRPr="0002364F">
        <w:t>Γιώργος ΝΤΑΣΗΣ</w:t>
      </w:r>
    </w:p>
    <w:p w:rsidR="002B3852" w:rsidRPr="0002364F" w:rsidRDefault="002B3852">
      <w:r w:rsidRPr="0002364F">
        <w:t>Πρόεδρος της Ευρωπαϊκής Οικονομικής και Κοινωνικής Επιτροπής</w:t>
      </w:r>
    </w:p>
    <w:p w:rsidR="002B3852" w:rsidRPr="0002364F" w:rsidRDefault="002B3852"/>
    <w:p w:rsidR="002B3852" w:rsidRPr="0002364F" w:rsidRDefault="00646AC2">
      <w:pPr>
        <w:jc w:val="center"/>
      </w:pPr>
      <w:r w:rsidRPr="0002364F">
        <w:t>_____________</w:t>
      </w:r>
    </w:p>
    <w:sectPr w:rsidR="002B3852" w:rsidRPr="0002364F" w:rsidSect="0002364F">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DCC" w:rsidRDefault="00DD5DCC">
      <w:r>
        <w:separator/>
      </w:r>
    </w:p>
  </w:endnote>
  <w:endnote w:type="continuationSeparator" w:id="0">
    <w:p w:rsidR="00DD5DCC" w:rsidRDefault="00DD5DCC">
      <w:r>
        <w:continuationSeparator/>
      </w:r>
    </w:p>
  </w:endnote>
  <w:endnote w:type="continuationNotice" w:id="1">
    <w:p w:rsidR="00DD5DCC" w:rsidRDefault="00DD5D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1" w:rsidRPr="0002364F" w:rsidRDefault="00094901" w:rsidP="0002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F6" w:rsidRPr="0002364F" w:rsidRDefault="0002364F" w:rsidP="0002364F">
    <w:pPr>
      <w:pStyle w:val="Footer"/>
    </w:pPr>
    <w:r>
      <w:t xml:space="preserve">SC/50 – EESC-2017-05429-00-01-AC-TRA (EN) </w:t>
    </w:r>
    <w:r>
      <w:fldChar w:fldCharType="begin"/>
    </w:r>
    <w:r>
      <w:instrText xml:space="preserve"> PAGE  \* Arabic  \* MERGEFORMAT </w:instrText>
    </w:r>
    <w:r>
      <w:fldChar w:fldCharType="separate"/>
    </w:r>
    <w:r w:rsidR="006606F5">
      <w:rPr>
        <w:noProof/>
      </w:rPr>
      <w:t>1</w:t>
    </w:r>
    <w:r>
      <w:fldChar w:fldCharType="end"/>
    </w:r>
    <w:r>
      <w:t>/</w:t>
    </w:r>
    <w:r>
      <w:fldChar w:fldCharType="begin"/>
    </w:r>
    <w:r>
      <w:instrText xml:space="preserve"> = </w:instrText>
    </w:r>
    <w:r w:rsidR="00CC3DC0">
      <w:fldChar w:fldCharType="begin"/>
    </w:r>
    <w:r w:rsidR="00CC3DC0">
      <w:instrText xml:space="preserve"> NUMPAGES </w:instrText>
    </w:r>
    <w:r w:rsidR="00CC3DC0">
      <w:fldChar w:fldCharType="separate"/>
    </w:r>
    <w:r w:rsidR="006606F5">
      <w:rPr>
        <w:noProof/>
      </w:rPr>
      <w:instrText>1</w:instrText>
    </w:r>
    <w:r w:rsidR="00CC3DC0">
      <w:rPr>
        <w:noProof/>
      </w:rPr>
      <w:fldChar w:fldCharType="end"/>
    </w:r>
    <w:r>
      <w:instrText xml:space="preserve"> -0 </w:instrText>
    </w:r>
    <w:r>
      <w:fldChar w:fldCharType="separate"/>
    </w:r>
    <w:r w:rsidR="006606F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1" w:rsidRPr="0002364F" w:rsidRDefault="00094901" w:rsidP="000236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F6" w:rsidRPr="0002364F" w:rsidRDefault="003C47F6" w:rsidP="000236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F6" w:rsidRPr="0002364F" w:rsidRDefault="0002364F" w:rsidP="0002364F">
    <w:pPr>
      <w:pStyle w:val="Footer"/>
    </w:pPr>
    <w:r>
      <w:t xml:space="preserve">SC/50 – EESC-2017-05429-00-01-AC-TRA (EN) </w:t>
    </w:r>
    <w:r>
      <w:fldChar w:fldCharType="begin"/>
    </w:r>
    <w:r>
      <w:instrText xml:space="preserve"> PAGE  \* Arabic  \* MERGEFORMAT </w:instrText>
    </w:r>
    <w:r>
      <w:fldChar w:fldCharType="separate"/>
    </w:r>
    <w:r>
      <w:rPr>
        <w:noProof/>
      </w:rPr>
      <w:t>12</w:t>
    </w:r>
    <w:r>
      <w:fldChar w:fldCharType="end"/>
    </w:r>
    <w:r>
      <w:t>/</w:t>
    </w:r>
    <w:r>
      <w:fldChar w:fldCharType="begin"/>
    </w:r>
    <w:r>
      <w:instrText xml:space="preserve"> = </w:instrText>
    </w:r>
    <w:r w:rsidR="00CC3DC0">
      <w:fldChar w:fldCharType="begin"/>
    </w:r>
    <w:r w:rsidR="00CC3DC0">
      <w:instrText xml:space="preserve"> NUMPAGES </w:instrText>
    </w:r>
    <w:r w:rsidR="00CC3DC0">
      <w:fldChar w:fldCharType="separate"/>
    </w:r>
    <w:r>
      <w:rPr>
        <w:noProof/>
      </w:rPr>
      <w:instrText>12</w:instrText>
    </w:r>
    <w:r w:rsidR="00CC3DC0">
      <w:rPr>
        <w:noProof/>
      </w:rPr>
      <w:fldChar w:fldCharType="end"/>
    </w:r>
    <w:r>
      <w:instrText xml:space="preserve"> -0 </w:instrText>
    </w:r>
    <w:r>
      <w:fldChar w:fldCharType="separate"/>
    </w:r>
    <w:r>
      <w:rPr>
        <w:noProof/>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F6" w:rsidRPr="0002364F" w:rsidRDefault="003C47F6" w:rsidP="00023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DCC" w:rsidRDefault="00DD5DCC">
      <w:r>
        <w:separator/>
      </w:r>
    </w:p>
  </w:footnote>
  <w:footnote w:type="continuationSeparator" w:id="0">
    <w:p w:rsidR="00DD5DCC" w:rsidRDefault="00DD5DCC">
      <w:r>
        <w:continuationSeparator/>
      </w:r>
    </w:p>
  </w:footnote>
  <w:footnote w:type="continuationNotice" w:id="1">
    <w:p w:rsidR="00DD5DCC" w:rsidRPr="00D37749" w:rsidRDefault="00DD5DCC">
      <w:pPr>
        <w:spacing w:line="240" w:lineRule="auto"/>
        <w:rPr>
          <w:sz w:val="2"/>
          <w:szCs w:val="2"/>
        </w:rPr>
      </w:pPr>
    </w:p>
  </w:footnote>
  <w:footnote w:id="2">
    <w:p w:rsidR="003C47F6" w:rsidRPr="0002364F" w:rsidRDefault="003C47F6" w:rsidP="006A051C">
      <w:pPr>
        <w:pStyle w:val="FootnoteText"/>
      </w:pPr>
      <w:r w:rsidRPr="0002364F">
        <w:rPr>
          <w:rStyle w:val="FootnoteReference"/>
        </w:rPr>
        <w:footnoteRef/>
      </w:r>
      <w:r w:rsidRPr="0002364F">
        <w:tab/>
      </w:r>
      <w:hyperlink r:id="rId1">
        <w:r w:rsidRPr="0002364F">
          <w:rPr>
            <w:rStyle w:val="Hyperlink"/>
          </w:rPr>
          <w:t>Κοινή έκθεση για την απασχόληση</w:t>
        </w:r>
      </w:hyperlink>
      <w:r w:rsidRPr="0002364F">
        <w:t>.</w:t>
      </w:r>
    </w:p>
  </w:footnote>
  <w:footnote w:id="3">
    <w:p w:rsidR="003C47F6" w:rsidRPr="0002364F" w:rsidRDefault="003C47F6" w:rsidP="006A051C">
      <w:pPr>
        <w:pStyle w:val="FootnoteText"/>
      </w:pPr>
      <w:r w:rsidRPr="0002364F">
        <w:rPr>
          <w:rStyle w:val="FootnoteReference"/>
        </w:rPr>
        <w:footnoteRef/>
      </w:r>
      <w:r w:rsidRPr="0002364F">
        <w:tab/>
        <w:t>ΕΕ C 173 της 31.5. 2017, σ. 73.</w:t>
      </w:r>
    </w:p>
  </w:footnote>
  <w:footnote w:id="4">
    <w:p w:rsidR="003C47F6" w:rsidRPr="0002364F" w:rsidRDefault="003C47F6" w:rsidP="006A051C">
      <w:pPr>
        <w:pStyle w:val="FootnoteText"/>
      </w:pPr>
      <w:r w:rsidRPr="0002364F">
        <w:rPr>
          <w:rStyle w:val="FootnoteReference"/>
        </w:rPr>
        <w:footnoteRef/>
      </w:r>
      <w:r w:rsidRPr="0002364F">
        <w:tab/>
      </w:r>
      <w:hyperlink r:id="rId2">
        <w:r w:rsidRPr="0002364F">
          <w:rPr>
            <w:rStyle w:val="Hyperlink"/>
          </w:rPr>
          <w:t>Κανονισμός (ΕΕ) αριθ. 2017/825</w:t>
        </w:r>
      </w:hyperlink>
      <w:r w:rsidRPr="0002364F">
        <w:t>.</w:t>
      </w:r>
    </w:p>
  </w:footnote>
  <w:footnote w:id="5">
    <w:p w:rsidR="003C47F6" w:rsidRPr="0002364F" w:rsidRDefault="003C47F6" w:rsidP="006A051C">
      <w:pPr>
        <w:pStyle w:val="FootnoteText"/>
      </w:pPr>
      <w:r w:rsidRPr="0002364F">
        <w:rPr>
          <w:rStyle w:val="FootnoteReference"/>
        </w:rPr>
        <w:footnoteRef/>
      </w:r>
      <w:r w:rsidRPr="0002364F">
        <w:rPr>
          <w:rStyle w:val="FootnoteReference"/>
        </w:rPr>
        <w:t xml:space="preserve"> </w:t>
      </w:r>
      <w:r w:rsidRPr="0002364F">
        <w:tab/>
      </w:r>
      <w:hyperlink r:id="rId3">
        <w:r w:rsidRPr="0002364F">
          <w:rPr>
            <w:rStyle w:val="Hyperlink"/>
          </w:rPr>
          <w:t>COM(2017) 572</w:t>
        </w:r>
      </w:hyperlink>
      <w:r w:rsidRPr="0002364F">
        <w:t>.</w:t>
      </w:r>
    </w:p>
  </w:footnote>
  <w:footnote w:id="6">
    <w:p w:rsidR="003C47F6" w:rsidRPr="0002364F" w:rsidRDefault="003C47F6" w:rsidP="006A051C">
      <w:pPr>
        <w:pStyle w:val="FootnoteText"/>
      </w:pPr>
      <w:r w:rsidRPr="0002364F">
        <w:rPr>
          <w:rStyle w:val="FootnoteReference"/>
        </w:rPr>
        <w:footnoteRef/>
      </w:r>
      <w:r w:rsidRPr="0002364F">
        <w:rPr>
          <w:rStyle w:val="FootnoteReference"/>
        </w:rPr>
        <w:t xml:space="preserve"> </w:t>
      </w:r>
      <w:r w:rsidRPr="0002364F">
        <w:tab/>
      </w:r>
      <w:hyperlink r:id="rId4">
        <w:r w:rsidRPr="0002364F">
          <w:rPr>
            <w:rStyle w:val="Hyperlink"/>
          </w:rPr>
          <w:t>ΕΕ C 81 της 2.3.2018, σ. 44</w:t>
        </w:r>
      </w:hyperlink>
      <w:r w:rsidRPr="0002364F">
        <w:t>.</w:t>
      </w:r>
    </w:p>
  </w:footnote>
  <w:footnote w:id="7">
    <w:p w:rsidR="003C47F6" w:rsidRPr="0002364F" w:rsidRDefault="003C47F6" w:rsidP="006A051C">
      <w:pPr>
        <w:pStyle w:val="FootnoteText"/>
      </w:pPr>
      <w:r w:rsidRPr="0002364F">
        <w:rPr>
          <w:rStyle w:val="FootnoteReference"/>
        </w:rPr>
        <w:footnoteRef/>
      </w:r>
      <w:r w:rsidRPr="0002364F">
        <w:tab/>
      </w:r>
      <w:hyperlink r:id="rId5">
        <w:r w:rsidRPr="0002364F">
          <w:rPr>
            <w:rStyle w:val="Hyperlink"/>
          </w:rPr>
          <w:t>ΕΕ C 173 της 31.5. 2017, σ. 33</w:t>
        </w:r>
      </w:hyperlink>
      <w:r w:rsidRPr="0002364F">
        <w:t>.</w:t>
      </w:r>
    </w:p>
  </w:footnote>
  <w:footnote w:id="8">
    <w:p w:rsidR="003C47F6" w:rsidRPr="0002364F" w:rsidRDefault="003C47F6" w:rsidP="006A051C">
      <w:pPr>
        <w:pStyle w:val="FootnoteText"/>
      </w:pPr>
      <w:r w:rsidRPr="0002364F">
        <w:rPr>
          <w:rStyle w:val="FootnoteReference"/>
        </w:rPr>
        <w:footnoteRef/>
      </w:r>
      <w:r w:rsidRPr="0002364F">
        <w:tab/>
      </w:r>
      <w:hyperlink r:id="rId6">
        <w:r w:rsidRPr="0002364F">
          <w:rPr>
            <w:rStyle w:val="Hyperlink"/>
          </w:rPr>
          <w:t>ECO/446</w:t>
        </w:r>
      </w:hyperlink>
      <w:r w:rsidRPr="0002364F">
        <w:t xml:space="preserve"> (δεν έχει ακόμη δημοσιευθεί στην Επίσημη Εφημερίδα).</w:t>
      </w:r>
    </w:p>
  </w:footnote>
  <w:footnote w:id="9">
    <w:p w:rsidR="003C47F6" w:rsidRPr="0002364F" w:rsidRDefault="003C47F6" w:rsidP="006A051C">
      <w:pPr>
        <w:pStyle w:val="FootnoteText"/>
      </w:pPr>
      <w:r w:rsidRPr="0002364F">
        <w:rPr>
          <w:rStyle w:val="FootnoteReference"/>
        </w:rPr>
        <w:footnoteRef/>
      </w:r>
      <w:r w:rsidRPr="0002364F">
        <w:rPr>
          <w:rStyle w:val="FootnoteReference"/>
        </w:rPr>
        <w:t xml:space="preserve"> </w:t>
      </w:r>
      <w:r w:rsidRPr="0002364F">
        <w:tab/>
      </w:r>
      <w:hyperlink r:id="rId7">
        <w:r w:rsidRPr="0002364F">
          <w:rPr>
            <w:rStyle w:val="Hyperlink"/>
          </w:rPr>
          <w:t>ΕΕ C 173 της 31.5.2017, σ. 73</w:t>
        </w:r>
      </w:hyperlink>
      <w:r w:rsidRPr="0002364F">
        <w:t>.</w:t>
      </w:r>
    </w:p>
  </w:footnote>
  <w:footnote w:id="10">
    <w:p w:rsidR="003C47F6" w:rsidRPr="0002364F" w:rsidRDefault="003C47F6" w:rsidP="006A051C">
      <w:pPr>
        <w:pStyle w:val="FootnoteText"/>
      </w:pPr>
      <w:r w:rsidRPr="0002364F">
        <w:rPr>
          <w:rStyle w:val="FootnoteReference"/>
        </w:rPr>
        <w:footnoteRef/>
      </w:r>
      <w:r w:rsidRPr="0002364F">
        <w:rPr>
          <w:rStyle w:val="FootnoteReference"/>
        </w:rPr>
        <w:t xml:space="preserve"> </w:t>
      </w:r>
      <w:r w:rsidRPr="0002364F">
        <w:tab/>
      </w:r>
      <w:hyperlink r:id="rId8">
        <w:r w:rsidRPr="0002364F">
          <w:rPr>
            <w:rStyle w:val="Hyperlink"/>
          </w:rPr>
          <w:t>COM(2016) 381</w:t>
        </w:r>
      </w:hyperlink>
      <w:r w:rsidRPr="0002364F">
        <w:t>.</w:t>
      </w:r>
    </w:p>
  </w:footnote>
  <w:footnote w:id="11">
    <w:p w:rsidR="00032A8B" w:rsidRPr="0002364F" w:rsidRDefault="00032A8B" w:rsidP="00032A8B">
      <w:pPr>
        <w:pStyle w:val="FootnoteText"/>
      </w:pPr>
      <w:r w:rsidRPr="0002364F">
        <w:rPr>
          <w:rStyle w:val="FootnoteReference"/>
        </w:rPr>
        <w:footnoteRef/>
      </w:r>
      <w:r w:rsidRPr="0002364F">
        <w:rPr>
          <w:rStyle w:val="FootnoteReference"/>
        </w:rPr>
        <w:t xml:space="preserve"> </w:t>
      </w:r>
      <w:r w:rsidRPr="0002364F">
        <w:tab/>
      </w:r>
      <w:hyperlink r:id="rId9">
        <w:r w:rsidRPr="0002364F">
          <w:rPr>
            <w:rStyle w:val="Hyperlink"/>
          </w:rPr>
          <w:t>Κοινή έκθεση για την απασχόληση</w:t>
        </w:r>
      </w:hyperlink>
      <w:r w:rsidRPr="0002364F">
        <w:t>, σ. 4.</w:t>
      </w:r>
    </w:p>
  </w:footnote>
  <w:footnote w:id="12">
    <w:p w:rsidR="00373C5F" w:rsidRPr="0002364F" w:rsidRDefault="00373C5F">
      <w:pPr>
        <w:pStyle w:val="FootnoteText"/>
      </w:pPr>
      <w:r w:rsidRPr="0002364F">
        <w:rPr>
          <w:rStyle w:val="FootnoteReference"/>
        </w:rPr>
        <w:footnoteRef/>
      </w:r>
      <w:r w:rsidRPr="0002364F">
        <w:t xml:space="preserve"> </w:t>
      </w:r>
      <w:r w:rsidRPr="0002364F">
        <w:tab/>
      </w:r>
      <w:hyperlink r:id="rId10">
        <w:r w:rsidRPr="0002364F">
          <w:rPr>
            <w:rStyle w:val="Hyperlink"/>
          </w:rPr>
          <w:t>ECO/444</w:t>
        </w:r>
      </w:hyperlink>
      <w:r w:rsidRPr="0002364F">
        <w:t xml:space="preserve"> (δεν έχει ακόμη δημοσιευθεί στην Επίσημη Εφημερίδα).</w:t>
      </w:r>
    </w:p>
  </w:footnote>
  <w:footnote w:id="13">
    <w:p w:rsidR="003C47F6" w:rsidRPr="0002364F" w:rsidRDefault="003C47F6" w:rsidP="006A051C">
      <w:pPr>
        <w:pStyle w:val="FootnoteText"/>
      </w:pPr>
      <w:r w:rsidRPr="0002364F">
        <w:rPr>
          <w:rStyle w:val="FootnoteReference"/>
        </w:rPr>
        <w:footnoteRef/>
      </w:r>
      <w:r w:rsidRPr="0002364F">
        <w:rPr>
          <w:rStyle w:val="FootnoteReference"/>
        </w:rPr>
        <w:t xml:space="preserve"> </w:t>
      </w:r>
      <w:r w:rsidRPr="0002364F">
        <w:tab/>
      </w:r>
      <w:hyperlink r:id="rId11">
        <w:r w:rsidRPr="0002364F">
          <w:rPr>
            <w:rStyle w:val="Hyperlink"/>
          </w:rPr>
          <w:t>ΕΕ C 345 της 13.10.2017, σ. 15.</w:t>
        </w:r>
      </w:hyperlink>
    </w:p>
  </w:footnote>
  <w:footnote w:id="14">
    <w:p w:rsidR="003C47F6" w:rsidRPr="0002364F" w:rsidRDefault="003C47F6" w:rsidP="006A051C">
      <w:pPr>
        <w:pStyle w:val="FootnoteText"/>
      </w:pPr>
      <w:r w:rsidRPr="0002364F">
        <w:rPr>
          <w:rStyle w:val="FootnoteReference"/>
        </w:rPr>
        <w:footnoteRef/>
      </w:r>
      <w:r w:rsidRPr="0002364F">
        <w:rPr>
          <w:rStyle w:val="FootnoteReference"/>
        </w:rPr>
        <w:t xml:space="preserve"> </w:t>
      </w:r>
      <w:r w:rsidRPr="0002364F">
        <w:tab/>
      </w:r>
      <w:hyperlink r:id="rId12">
        <w:r w:rsidRPr="0002364F">
          <w:rPr>
            <w:rStyle w:val="Hyperlink"/>
          </w:rPr>
          <w:t>ΕΕ C 81 της 2.3.2018, σ. 1.</w:t>
        </w:r>
      </w:hyperlink>
    </w:p>
  </w:footnote>
  <w:footnote w:id="15">
    <w:p w:rsidR="003C47F6" w:rsidRPr="0002364F" w:rsidRDefault="003C47F6" w:rsidP="006A051C">
      <w:pPr>
        <w:pStyle w:val="FootnoteText"/>
      </w:pPr>
      <w:r w:rsidRPr="0002364F">
        <w:rPr>
          <w:rStyle w:val="FootnoteReference"/>
        </w:rPr>
        <w:footnoteRef/>
      </w:r>
      <w:r w:rsidRPr="0002364F">
        <w:rPr>
          <w:rStyle w:val="FootnoteReference"/>
        </w:rPr>
        <w:t xml:space="preserve"> </w:t>
      </w:r>
      <w:r w:rsidRPr="0002364F">
        <w:tab/>
      </w:r>
      <w:hyperlink r:id="rId13">
        <w:r w:rsidRPr="0002364F">
          <w:rPr>
            <w:rStyle w:val="Hyperlink"/>
          </w:rPr>
          <w:t>ΕΕ C 487 της 28.12.2016, σ. 62</w:t>
        </w:r>
      </w:hyperlink>
      <w:r w:rsidRPr="0002364F">
        <w:t>.</w:t>
      </w:r>
    </w:p>
  </w:footnote>
  <w:footnote w:id="16">
    <w:p w:rsidR="003C47F6" w:rsidRPr="0002364F" w:rsidRDefault="003C47F6" w:rsidP="006A051C">
      <w:pPr>
        <w:pStyle w:val="FootnoteText"/>
      </w:pPr>
      <w:r w:rsidRPr="0002364F">
        <w:rPr>
          <w:rStyle w:val="FootnoteReference"/>
        </w:rPr>
        <w:footnoteRef/>
      </w:r>
      <w:r w:rsidRPr="0002364F">
        <w:rPr>
          <w:rStyle w:val="FootnoteReference"/>
        </w:rPr>
        <w:t xml:space="preserve"> </w:t>
      </w:r>
      <w:r w:rsidRPr="0002364F">
        <w:tab/>
      </w:r>
      <w:hyperlink r:id="rId14">
        <w:r w:rsidRPr="0002364F">
          <w:rPr>
            <w:rStyle w:val="Hyperlink"/>
          </w:rPr>
          <w:t>ΕΕ C 81 της 2.3.2018, σ. 131</w:t>
        </w:r>
      </w:hyperlink>
      <w:r w:rsidRPr="0002364F">
        <w:t>.</w:t>
      </w:r>
    </w:p>
  </w:footnote>
  <w:footnote w:id="17">
    <w:p w:rsidR="003C47F6" w:rsidRPr="0002364F" w:rsidRDefault="003C47F6" w:rsidP="00997E75">
      <w:pPr>
        <w:pStyle w:val="FootnoteText"/>
        <w:spacing w:line="360" w:lineRule="auto"/>
      </w:pPr>
      <w:r w:rsidRPr="0002364F">
        <w:rPr>
          <w:rStyle w:val="FootnoteReference"/>
        </w:rPr>
        <w:footnoteRef/>
      </w:r>
      <w:r w:rsidRPr="0002364F">
        <w:rPr>
          <w:rStyle w:val="FootnoteReference"/>
        </w:rPr>
        <w:t xml:space="preserve"> </w:t>
      </w:r>
      <w:r w:rsidRPr="0002364F">
        <w:tab/>
      </w:r>
      <w:hyperlink r:id="rId15">
        <w:r w:rsidRPr="0002364F">
          <w:rPr>
            <w:rStyle w:val="Hyperlink"/>
          </w:rPr>
          <w:t>ΕΕ C 81 της 2.3.2018, σ. 145.</w:t>
        </w:r>
      </w:hyperlink>
    </w:p>
  </w:footnote>
  <w:footnote w:id="18">
    <w:p w:rsidR="003C47F6" w:rsidRPr="0002364F" w:rsidRDefault="003C47F6" w:rsidP="006A051C">
      <w:pPr>
        <w:pStyle w:val="FootnoteText"/>
      </w:pPr>
      <w:r w:rsidRPr="0002364F">
        <w:rPr>
          <w:rStyle w:val="FootnoteReference"/>
        </w:rPr>
        <w:footnoteRef/>
      </w:r>
      <w:r w:rsidRPr="0002364F">
        <w:rPr>
          <w:rStyle w:val="FootnoteReference"/>
        </w:rPr>
        <w:t xml:space="preserve"> </w:t>
      </w:r>
      <w:r w:rsidRPr="0002364F">
        <w:tab/>
      </w:r>
      <w:hyperlink r:id="rId16">
        <w:r w:rsidRPr="0002364F">
          <w:rPr>
            <w:rStyle w:val="Hyperlink"/>
          </w:rPr>
          <w:t>ΕΕ C 81 της 2.3.2018, σ. 145.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1" w:rsidRPr="0002364F" w:rsidRDefault="00094901" w:rsidP="00023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1" w:rsidRPr="0002364F" w:rsidRDefault="00094901" w:rsidP="00023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1" w:rsidRPr="0002364F" w:rsidRDefault="00094901" w:rsidP="00023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F6" w:rsidRPr="0002364F" w:rsidRDefault="003C47F6" w:rsidP="000236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F6" w:rsidRPr="0002364F" w:rsidRDefault="003C47F6" w:rsidP="000236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F6" w:rsidRPr="0002364F" w:rsidRDefault="003C47F6" w:rsidP="0002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78CCB00"/>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D46621E"/>
    <w:multiLevelType w:val="hybridMultilevel"/>
    <w:tmpl w:val="2BBC125C"/>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 w15:restartNumberingAfterBreak="0">
    <w:nsid w:val="1B413342"/>
    <w:multiLevelType w:val="hybridMultilevel"/>
    <w:tmpl w:val="3F7E43E0"/>
    <w:lvl w:ilvl="0" w:tplc="7DAEF3D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F0C46FA"/>
    <w:multiLevelType w:val="hybridMultilevel"/>
    <w:tmpl w:val="3D740F8E"/>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267D5143"/>
    <w:multiLevelType w:val="multilevel"/>
    <w:tmpl w:val="788042B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E405139"/>
    <w:multiLevelType w:val="multilevel"/>
    <w:tmpl w:val="8D56A310"/>
    <w:lvl w:ilvl="0">
      <w:start w:val="1"/>
      <w:numFmt w:val="decimal"/>
      <w:lvlText w:val="%1."/>
      <w:legacy w:legacy="1" w:legacySpace="0" w:legacyIndent="0"/>
      <w:lvlJc w:val="left"/>
    </w:lvl>
    <w:lvl w:ilvl="1">
      <w:start w:val="1"/>
      <w:numFmt w:val="bullet"/>
      <w:lvlText w:val=""/>
      <w:lvlJc w:val="left"/>
      <w:rPr>
        <w:rFonts w:ascii="Symbol" w:hAnsi="Symbol" w:hint="default"/>
        <w:b w:val="0"/>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4B134BD6"/>
    <w:multiLevelType w:val="hybridMultilevel"/>
    <w:tmpl w:val="08029F40"/>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start w:val="1"/>
      <w:numFmt w:val="bullet"/>
      <w:lvlText w:val=""/>
      <w:lvlJc w:val="left"/>
      <w:pPr>
        <w:ind w:left="2209" w:hanging="360"/>
      </w:pPr>
      <w:rPr>
        <w:rFonts w:ascii="Wingdings" w:hAnsi="Wingdings" w:hint="default"/>
      </w:rPr>
    </w:lvl>
    <w:lvl w:ilvl="3" w:tplc="04090001">
      <w:start w:val="1"/>
      <w:numFmt w:val="bullet"/>
      <w:lvlText w:val=""/>
      <w:lvlJc w:val="left"/>
      <w:pPr>
        <w:ind w:left="2929" w:hanging="360"/>
      </w:pPr>
      <w:rPr>
        <w:rFonts w:ascii="Symbol" w:hAnsi="Symbol" w:hint="default"/>
      </w:rPr>
    </w:lvl>
    <w:lvl w:ilvl="4" w:tplc="04090003">
      <w:start w:val="1"/>
      <w:numFmt w:val="bullet"/>
      <w:lvlText w:val="o"/>
      <w:lvlJc w:val="left"/>
      <w:pPr>
        <w:ind w:left="3649" w:hanging="360"/>
      </w:pPr>
      <w:rPr>
        <w:rFonts w:ascii="Courier New" w:hAnsi="Courier New" w:cs="Courier New" w:hint="default"/>
      </w:rPr>
    </w:lvl>
    <w:lvl w:ilvl="5" w:tplc="04090005">
      <w:start w:val="1"/>
      <w:numFmt w:val="bullet"/>
      <w:lvlText w:val=""/>
      <w:lvlJc w:val="left"/>
      <w:pPr>
        <w:ind w:left="4369" w:hanging="360"/>
      </w:pPr>
      <w:rPr>
        <w:rFonts w:ascii="Wingdings" w:hAnsi="Wingdings" w:hint="default"/>
      </w:rPr>
    </w:lvl>
    <w:lvl w:ilvl="6" w:tplc="04090001">
      <w:start w:val="1"/>
      <w:numFmt w:val="bullet"/>
      <w:lvlText w:val=""/>
      <w:lvlJc w:val="left"/>
      <w:pPr>
        <w:ind w:left="5089" w:hanging="360"/>
      </w:pPr>
      <w:rPr>
        <w:rFonts w:ascii="Symbol" w:hAnsi="Symbol" w:hint="default"/>
      </w:rPr>
    </w:lvl>
    <w:lvl w:ilvl="7" w:tplc="04090003">
      <w:start w:val="1"/>
      <w:numFmt w:val="bullet"/>
      <w:lvlText w:val="o"/>
      <w:lvlJc w:val="left"/>
      <w:pPr>
        <w:ind w:left="5809" w:hanging="360"/>
      </w:pPr>
      <w:rPr>
        <w:rFonts w:ascii="Courier New" w:hAnsi="Courier New" w:cs="Courier New" w:hint="default"/>
      </w:rPr>
    </w:lvl>
    <w:lvl w:ilvl="8" w:tplc="04090005">
      <w:start w:val="1"/>
      <w:numFmt w:val="bullet"/>
      <w:lvlText w:val=""/>
      <w:lvlJc w:val="left"/>
      <w:pPr>
        <w:ind w:left="6529" w:hanging="360"/>
      </w:pPr>
      <w:rPr>
        <w:rFonts w:ascii="Wingdings" w:hAnsi="Wingdings" w:hint="default"/>
      </w:rPr>
    </w:lvl>
  </w:abstractNum>
  <w:abstractNum w:abstractNumId="7" w15:restartNumberingAfterBreak="0">
    <w:nsid w:val="71B162F4"/>
    <w:multiLevelType w:val="hybridMultilevel"/>
    <w:tmpl w:val="DDE4F6F4"/>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8" w15:restartNumberingAfterBreak="0">
    <w:nsid w:val="7D4F1B75"/>
    <w:multiLevelType w:val="hybridMultilevel"/>
    <w:tmpl w:val="403C967A"/>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6"/>
  </w:num>
  <w:num w:numId="17">
    <w:abstractNumId w:val="0"/>
  </w:num>
  <w:num w:numId="18">
    <w:abstractNumId w:val="0"/>
  </w:num>
  <w:num w:numId="19">
    <w:abstractNumId w:val="0"/>
  </w:num>
  <w:num w:numId="20">
    <w:abstractNumId w:val="6"/>
  </w:num>
  <w:num w:numId="21">
    <w:abstractNumId w:val="5"/>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2"/>
  </w:num>
  <w:num w:numId="47">
    <w:abstractNumId w:val="8"/>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18B8"/>
    <w:rsid w:val="0000307E"/>
    <w:rsid w:val="000037B9"/>
    <w:rsid w:val="00005AB9"/>
    <w:rsid w:val="00005EB9"/>
    <w:rsid w:val="00006E24"/>
    <w:rsid w:val="00007A40"/>
    <w:rsid w:val="00011D33"/>
    <w:rsid w:val="000169B3"/>
    <w:rsid w:val="00020E6E"/>
    <w:rsid w:val="000218E8"/>
    <w:rsid w:val="0002364F"/>
    <w:rsid w:val="00031A4B"/>
    <w:rsid w:val="00032A8B"/>
    <w:rsid w:val="00033913"/>
    <w:rsid w:val="00033E5B"/>
    <w:rsid w:val="000357A8"/>
    <w:rsid w:val="00037F28"/>
    <w:rsid w:val="000405D4"/>
    <w:rsid w:val="000430A6"/>
    <w:rsid w:val="00044923"/>
    <w:rsid w:val="0005249C"/>
    <w:rsid w:val="000534A5"/>
    <w:rsid w:val="0005680D"/>
    <w:rsid w:val="000634DD"/>
    <w:rsid w:val="00063FB4"/>
    <w:rsid w:val="0006692A"/>
    <w:rsid w:val="0006793E"/>
    <w:rsid w:val="00067AB8"/>
    <w:rsid w:val="000724ED"/>
    <w:rsid w:val="00072E0F"/>
    <w:rsid w:val="000735E5"/>
    <w:rsid w:val="0007392F"/>
    <w:rsid w:val="00075697"/>
    <w:rsid w:val="00076ADF"/>
    <w:rsid w:val="00085451"/>
    <w:rsid w:val="00087B39"/>
    <w:rsid w:val="000905DA"/>
    <w:rsid w:val="00094901"/>
    <w:rsid w:val="00096502"/>
    <w:rsid w:val="00096B3B"/>
    <w:rsid w:val="0009781F"/>
    <w:rsid w:val="000A4059"/>
    <w:rsid w:val="000A49BB"/>
    <w:rsid w:val="000A4B8A"/>
    <w:rsid w:val="000A4ED0"/>
    <w:rsid w:val="000A5300"/>
    <w:rsid w:val="000B4F8F"/>
    <w:rsid w:val="000B5477"/>
    <w:rsid w:val="000B6C17"/>
    <w:rsid w:val="000C159F"/>
    <w:rsid w:val="000C30BB"/>
    <w:rsid w:val="000C3441"/>
    <w:rsid w:val="000C7F53"/>
    <w:rsid w:val="000D074F"/>
    <w:rsid w:val="000D19ED"/>
    <w:rsid w:val="000D2DDA"/>
    <w:rsid w:val="000D2F8E"/>
    <w:rsid w:val="000E2C2F"/>
    <w:rsid w:val="000F032E"/>
    <w:rsid w:val="000F196B"/>
    <w:rsid w:val="001013AB"/>
    <w:rsid w:val="00105361"/>
    <w:rsid w:val="0010604C"/>
    <w:rsid w:val="001101F8"/>
    <w:rsid w:val="0011206F"/>
    <w:rsid w:val="0011656A"/>
    <w:rsid w:val="001217E2"/>
    <w:rsid w:val="0012220C"/>
    <w:rsid w:val="00136EA3"/>
    <w:rsid w:val="00137575"/>
    <w:rsid w:val="00143394"/>
    <w:rsid w:val="00143733"/>
    <w:rsid w:val="00144231"/>
    <w:rsid w:val="00147CDB"/>
    <w:rsid w:val="00150434"/>
    <w:rsid w:val="0015470C"/>
    <w:rsid w:val="00155721"/>
    <w:rsid w:val="0015678B"/>
    <w:rsid w:val="00156F23"/>
    <w:rsid w:val="00162F83"/>
    <w:rsid w:val="00163E0F"/>
    <w:rsid w:val="00164F3C"/>
    <w:rsid w:val="0016503F"/>
    <w:rsid w:val="0016674F"/>
    <w:rsid w:val="00167CA0"/>
    <w:rsid w:val="0017120D"/>
    <w:rsid w:val="001714F6"/>
    <w:rsid w:val="00175402"/>
    <w:rsid w:val="00176168"/>
    <w:rsid w:val="00177158"/>
    <w:rsid w:val="001808A5"/>
    <w:rsid w:val="00184FD4"/>
    <w:rsid w:val="00186B04"/>
    <w:rsid w:val="00186F1E"/>
    <w:rsid w:val="001902BD"/>
    <w:rsid w:val="00190836"/>
    <w:rsid w:val="00191EFB"/>
    <w:rsid w:val="00193930"/>
    <w:rsid w:val="001963A5"/>
    <w:rsid w:val="00196F1E"/>
    <w:rsid w:val="00197FCA"/>
    <w:rsid w:val="001A27DB"/>
    <w:rsid w:val="001A6852"/>
    <w:rsid w:val="001B286A"/>
    <w:rsid w:val="001B2D02"/>
    <w:rsid w:val="001B3647"/>
    <w:rsid w:val="001B77FA"/>
    <w:rsid w:val="001C0ABE"/>
    <w:rsid w:val="001C5852"/>
    <w:rsid w:val="001D45F0"/>
    <w:rsid w:val="001E36F1"/>
    <w:rsid w:val="001E4A33"/>
    <w:rsid w:val="001E4AB5"/>
    <w:rsid w:val="001E4F8A"/>
    <w:rsid w:val="001E5C27"/>
    <w:rsid w:val="001F3967"/>
    <w:rsid w:val="001F602B"/>
    <w:rsid w:val="001F6AC8"/>
    <w:rsid w:val="001F78E6"/>
    <w:rsid w:val="002037D5"/>
    <w:rsid w:val="00206F90"/>
    <w:rsid w:val="002104A8"/>
    <w:rsid w:val="00212553"/>
    <w:rsid w:val="00212B03"/>
    <w:rsid w:val="002131AE"/>
    <w:rsid w:val="00213A2C"/>
    <w:rsid w:val="00215C10"/>
    <w:rsid w:val="00215C2D"/>
    <w:rsid w:val="002201BA"/>
    <w:rsid w:val="00225029"/>
    <w:rsid w:val="002252C4"/>
    <w:rsid w:val="00230C5F"/>
    <w:rsid w:val="0023183E"/>
    <w:rsid w:val="00235138"/>
    <w:rsid w:val="002352D0"/>
    <w:rsid w:val="00235434"/>
    <w:rsid w:val="00240923"/>
    <w:rsid w:val="00243E36"/>
    <w:rsid w:val="0024540B"/>
    <w:rsid w:val="00245EF4"/>
    <w:rsid w:val="00250E11"/>
    <w:rsid w:val="00251383"/>
    <w:rsid w:val="002522C9"/>
    <w:rsid w:val="00252A21"/>
    <w:rsid w:val="00253E4F"/>
    <w:rsid w:val="002542E4"/>
    <w:rsid w:val="00260F1A"/>
    <w:rsid w:val="00261053"/>
    <w:rsid w:val="00262FDE"/>
    <w:rsid w:val="00263629"/>
    <w:rsid w:val="00272991"/>
    <w:rsid w:val="002769BD"/>
    <w:rsid w:val="00276A75"/>
    <w:rsid w:val="0028077D"/>
    <w:rsid w:val="002809EA"/>
    <w:rsid w:val="00284962"/>
    <w:rsid w:val="00287B0E"/>
    <w:rsid w:val="002A0B53"/>
    <w:rsid w:val="002A0EEF"/>
    <w:rsid w:val="002A76F9"/>
    <w:rsid w:val="002B2DF7"/>
    <w:rsid w:val="002B3852"/>
    <w:rsid w:val="002B73E8"/>
    <w:rsid w:val="002C0E89"/>
    <w:rsid w:val="002C3BF4"/>
    <w:rsid w:val="002C749F"/>
    <w:rsid w:val="002E7B33"/>
    <w:rsid w:val="002F059B"/>
    <w:rsid w:val="002F32B8"/>
    <w:rsid w:val="002F5323"/>
    <w:rsid w:val="002F5B0B"/>
    <w:rsid w:val="00300924"/>
    <w:rsid w:val="0030596E"/>
    <w:rsid w:val="003073C3"/>
    <w:rsid w:val="00311C76"/>
    <w:rsid w:val="0031351E"/>
    <w:rsid w:val="00321817"/>
    <w:rsid w:val="00323637"/>
    <w:rsid w:val="00324E8A"/>
    <w:rsid w:val="00325575"/>
    <w:rsid w:val="00331D87"/>
    <w:rsid w:val="00332850"/>
    <w:rsid w:val="00334478"/>
    <w:rsid w:val="003346B4"/>
    <w:rsid w:val="00334AE6"/>
    <w:rsid w:val="0033503A"/>
    <w:rsid w:val="003365D0"/>
    <w:rsid w:val="003439AB"/>
    <w:rsid w:val="0035034C"/>
    <w:rsid w:val="003541BB"/>
    <w:rsid w:val="00354695"/>
    <w:rsid w:val="0035549B"/>
    <w:rsid w:val="003557E7"/>
    <w:rsid w:val="00373C5F"/>
    <w:rsid w:val="003743B3"/>
    <w:rsid w:val="003745C2"/>
    <w:rsid w:val="003755C8"/>
    <w:rsid w:val="00375687"/>
    <w:rsid w:val="00380AE0"/>
    <w:rsid w:val="00383324"/>
    <w:rsid w:val="00385824"/>
    <w:rsid w:val="0038687E"/>
    <w:rsid w:val="00387A75"/>
    <w:rsid w:val="003904FD"/>
    <w:rsid w:val="00394254"/>
    <w:rsid w:val="003A400D"/>
    <w:rsid w:val="003C292A"/>
    <w:rsid w:val="003C2BFB"/>
    <w:rsid w:val="003C436B"/>
    <w:rsid w:val="003C47F6"/>
    <w:rsid w:val="003C5337"/>
    <w:rsid w:val="003C5F92"/>
    <w:rsid w:val="003C76A4"/>
    <w:rsid w:val="003D0D69"/>
    <w:rsid w:val="003D0DCA"/>
    <w:rsid w:val="003D3FF4"/>
    <w:rsid w:val="003D4133"/>
    <w:rsid w:val="003D4288"/>
    <w:rsid w:val="003D55C7"/>
    <w:rsid w:val="003D7A8C"/>
    <w:rsid w:val="003D7C00"/>
    <w:rsid w:val="003E4D9C"/>
    <w:rsid w:val="003E4DE0"/>
    <w:rsid w:val="003E56E5"/>
    <w:rsid w:val="003E716C"/>
    <w:rsid w:val="003E7A7C"/>
    <w:rsid w:val="003E7E60"/>
    <w:rsid w:val="003F00D4"/>
    <w:rsid w:val="003F2209"/>
    <w:rsid w:val="003F3D39"/>
    <w:rsid w:val="003F646A"/>
    <w:rsid w:val="003F6761"/>
    <w:rsid w:val="003F6A0A"/>
    <w:rsid w:val="00400CC7"/>
    <w:rsid w:val="004011E8"/>
    <w:rsid w:val="004012A0"/>
    <w:rsid w:val="004024F5"/>
    <w:rsid w:val="00402DE1"/>
    <w:rsid w:val="00403D8B"/>
    <w:rsid w:val="004058F1"/>
    <w:rsid w:val="00407E7D"/>
    <w:rsid w:val="0041283D"/>
    <w:rsid w:val="00413AB4"/>
    <w:rsid w:val="00415BF1"/>
    <w:rsid w:val="00417052"/>
    <w:rsid w:val="00421373"/>
    <w:rsid w:val="00421FB7"/>
    <w:rsid w:val="0042638A"/>
    <w:rsid w:val="00426EE2"/>
    <w:rsid w:val="0042763B"/>
    <w:rsid w:val="00427D02"/>
    <w:rsid w:val="0043024C"/>
    <w:rsid w:val="00432EBF"/>
    <w:rsid w:val="004353A8"/>
    <w:rsid w:val="00436706"/>
    <w:rsid w:val="00441456"/>
    <w:rsid w:val="00443D38"/>
    <w:rsid w:val="004458FA"/>
    <w:rsid w:val="00450E7A"/>
    <w:rsid w:val="00452618"/>
    <w:rsid w:val="00453D03"/>
    <w:rsid w:val="00456AF8"/>
    <w:rsid w:val="00470B15"/>
    <w:rsid w:val="00475869"/>
    <w:rsid w:val="00475A77"/>
    <w:rsid w:val="00476C92"/>
    <w:rsid w:val="00480F7F"/>
    <w:rsid w:val="00486511"/>
    <w:rsid w:val="004866A9"/>
    <w:rsid w:val="00491BF6"/>
    <w:rsid w:val="00492774"/>
    <w:rsid w:val="00496D7A"/>
    <w:rsid w:val="004A31BC"/>
    <w:rsid w:val="004A3F1A"/>
    <w:rsid w:val="004A3F45"/>
    <w:rsid w:val="004A71DA"/>
    <w:rsid w:val="004B082A"/>
    <w:rsid w:val="004B1AFA"/>
    <w:rsid w:val="004B639C"/>
    <w:rsid w:val="004B7088"/>
    <w:rsid w:val="004C4956"/>
    <w:rsid w:val="004C4D12"/>
    <w:rsid w:val="004C5322"/>
    <w:rsid w:val="004C5B76"/>
    <w:rsid w:val="004D02CD"/>
    <w:rsid w:val="004D0B24"/>
    <w:rsid w:val="004D4B90"/>
    <w:rsid w:val="004D6B95"/>
    <w:rsid w:val="004D7BAD"/>
    <w:rsid w:val="004D7F41"/>
    <w:rsid w:val="004E03A2"/>
    <w:rsid w:val="004E317E"/>
    <w:rsid w:val="004E3954"/>
    <w:rsid w:val="004E5856"/>
    <w:rsid w:val="004F2330"/>
    <w:rsid w:val="004F3441"/>
    <w:rsid w:val="004F53C6"/>
    <w:rsid w:val="004F55C6"/>
    <w:rsid w:val="004F69DB"/>
    <w:rsid w:val="004F6B87"/>
    <w:rsid w:val="005008DB"/>
    <w:rsid w:val="00501194"/>
    <w:rsid w:val="00501C2D"/>
    <w:rsid w:val="00502637"/>
    <w:rsid w:val="00505FD9"/>
    <w:rsid w:val="00510E1C"/>
    <w:rsid w:val="00511140"/>
    <w:rsid w:val="00513CFE"/>
    <w:rsid w:val="00513EA6"/>
    <w:rsid w:val="00521794"/>
    <w:rsid w:val="00523B6A"/>
    <w:rsid w:val="00525F6C"/>
    <w:rsid w:val="00526FEE"/>
    <w:rsid w:val="005302A6"/>
    <w:rsid w:val="00541D07"/>
    <w:rsid w:val="00546AB4"/>
    <w:rsid w:val="0055121D"/>
    <w:rsid w:val="005514E5"/>
    <w:rsid w:val="00553C12"/>
    <w:rsid w:val="00562152"/>
    <w:rsid w:val="00563C84"/>
    <w:rsid w:val="00573851"/>
    <w:rsid w:val="00575DFF"/>
    <w:rsid w:val="005762F6"/>
    <w:rsid w:val="00582C2F"/>
    <w:rsid w:val="00584FBE"/>
    <w:rsid w:val="00585483"/>
    <w:rsid w:val="00587378"/>
    <w:rsid w:val="005878CA"/>
    <w:rsid w:val="00587C05"/>
    <w:rsid w:val="00590AAB"/>
    <w:rsid w:val="005938C3"/>
    <w:rsid w:val="0059468C"/>
    <w:rsid w:val="00595125"/>
    <w:rsid w:val="00595E70"/>
    <w:rsid w:val="00596F21"/>
    <w:rsid w:val="005A0D64"/>
    <w:rsid w:val="005B1CDD"/>
    <w:rsid w:val="005B1E19"/>
    <w:rsid w:val="005B2360"/>
    <w:rsid w:val="005B55FC"/>
    <w:rsid w:val="005C1B7D"/>
    <w:rsid w:val="005C2D5E"/>
    <w:rsid w:val="005C3503"/>
    <w:rsid w:val="005C3B81"/>
    <w:rsid w:val="005C650C"/>
    <w:rsid w:val="005D086C"/>
    <w:rsid w:val="005D11D3"/>
    <w:rsid w:val="005D4E1F"/>
    <w:rsid w:val="005D4FB3"/>
    <w:rsid w:val="005D7AC5"/>
    <w:rsid w:val="005E2F07"/>
    <w:rsid w:val="005E2FEA"/>
    <w:rsid w:val="005F314B"/>
    <w:rsid w:val="00605B70"/>
    <w:rsid w:val="00611AF2"/>
    <w:rsid w:val="0061212B"/>
    <w:rsid w:val="006127AF"/>
    <w:rsid w:val="00613A98"/>
    <w:rsid w:val="00614722"/>
    <w:rsid w:val="00615FB2"/>
    <w:rsid w:val="00617BD1"/>
    <w:rsid w:val="00617CE8"/>
    <w:rsid w:val="00624333"/>
    <w:rsid w:val="006278A0"/>
    <w:rsid w:val="0063095F"/>
    <w:rsid w:val="00631CBD"/>
    <w:rsid w:val="00632F83"/>
    <w:rsid w:val="00633BDA"/>
    <w:rsid w:val="006341F0"/>
    <w:rsid w:val="0063704F"/>
    <w:rsid w:val="0064185B"/>
    <w:rsid w:val="006452D7"/>
    <w:rsid w:val="00646AC2"/>
    <w:rsid w:val="00650390"/>
    <w:rsid w:val="00654DAB"/>
    <w:rsid w:val="006606F5"/>
    <w:rsid w:val="0066204A"/>
    <w:rsid w:val="00670B65"/>
    <w:rsid w:val="00670E3C"/>
    <w:rsid w:val="00673B2E"/>
    <w:rsid w:val="00675C9A"/>
    <w:rsid w:val="00675CAA"/>
    <w:rsid w:val="00677AAF"/>
    <w:rsid w:val="00677F57"/>
    <w:rsid w:val="00681088"/>
    <w:rsid w:val="006830E1"/>
    <w:rsid w:val="00693145"/>
    <w:rsid w:val="0069577E"/>
    <w:rsid w:val="0069634B"/>
    <w:rsid w:val="00696623"/>
    <w:rsid w:val="006A04E9"/>
    <w:rsid w:val="006A051C"/>
    <w:rsid w:val="006A4A03"/>
    <w:rsid w:val="006A7543"/>
    <w:rsid w:val="006A7E04"/>
    <w:rsid w:val="006B6BAB"/>
    <w:rsid w:val="006B71D6"/>
    <w:rsid w:val="006B725C"/>
    <w:rsid w:val="006B754F"/>
    <w:rsid w:val="006B7AD6"/>
    <w:rsid w:val="006C002F"/>
    <w:rsid w:val="006C273D"/>
    <w:rsid w:val="006C5C4F"/>
    <w:rsid w:val="006C6282"/>
    <w:rsid w:val="006C762A"/>
    <w:rsid w:val="006D5134"/>
    <w:rsid w:val="006D5FF9"/>
    <w:rsid w:val="006E0772"/>
    <w:rsid w:val="006E0F86"/>
    <w:rsid w:val="006E2FA6"/>
    <w:rsid w:val="006F0814"/>
    <w:rsid w:val="006F0B15"/>
    <w:rsid w:val="006F0DCC"/>
    <w:rsid w:val="006F6C46"/>
    <w:rsid w:val="00703DF9"/>
    <w:rsid w:val="007048EB"/>
    <w:rsid w:val="00704FBB"/>
    <w:rsid w:val="0070726A"/>
    <w:rsid w:val="0071226B"/>
    <w:rsid w:val="00713695"/>
    <w:rsid w:val="00713E10"/>
    <w:rsid w:val="00715BDD"/>
    <w:rsid w:val="00717040"/>
    <w:rsid w:val="00717353"/>
    <w:rsid w:val="00717C4E"/>
    <w:rsid w:val="0072055D"/>
    <w:rsid w:val="0072230C"/>
    <w:rsid w:val="00722F8A"/>
    <w:rsid w:val="0074444A"/>
    <w:rsid w:val="007477C4"/>
    <w:rsid w:val="007622A7"/>
    <w:rsid w:val="00765826"/>
    <w:rsid w:val="00766C03"/>
    <w:rsid w:val="007750A2"/>
    <w:rsid w:val="00780251"/>
    <w:rsid w:val="007817D6"/>
    <w:rsid w:val="00781E1C"/>
    <w:rsid w:val="00782ECD"/>
    <w:rsid w:val="00786C9F"/>
    <w:rsid w:val="00787912"/>
    <w:rsid w:val="0079177A"/>
    <w:rsid w:val="007947AB"/>
    <w:rsid w:val="00794836"/>
    <w:rsid w:val="007948D5"/>
    <w:rsid w:val="007A109B"/>
    <w:rsid w:val="007A147A"/>
    <w:rsid w:val="007A15C9"/>
    <w:rsid w:val="007A6676"/>
    <w:rsid w:val="007A7E37"/>
    <w:rsid w:val="007B60CA"/>
    <w:rsid w:val="007B7FF5"/>
    <w:rsid w:val="007C3FC6"/>
    <w:rsid w:val="007C58B1"/>
    <w:rsid w:val="007C79F6"/>
    <w:rsid w:val="007D2CE9"/>
    <w:rsid w:val="007D38EF"/>
    <w:rsid w:val="007D4FED"/>
    <w:rsid w:val="007D69DA"/>
    <w:rsid w:val="007D70B1"/>
    <w:rsid w:val="007D7140"/>
    <w:rsid w:val="007E1CDB"/>
    <w:rsid w:val="007E408C"/>
    <w:rsid w:val="007E50BF"/>
    <w:rsid w:val="007E7E21"/>
    <w:rsid w:val="007F0460"/>
    <w:rsid w:val="007F0DA2"/>
    <w:rsid w:val="007F39CE"/>
    <w:rsid w:val="007F5E0D"/>
    <w:rsid w:val="007F7B62"/>
    <w:rsid w:val="007F7F27"/>
    <w:rsid w:val="00801085"/>
    <w:rsid w:val="00801A89"/>
    <w:rsid w:val="00803CCD"/>
    <w:rsid w:val="00812138"/>
    <w:rsid w:val="00814808"/>
    <w:rsid w:val="008151F2"/>
    <w:rsid w:val="0081777A"/>
    <w:rsid w:val="008210E0"/>
    <w:rsid w:val="0082132B"/>
    <w:rsid w:val="00824079"/>
    <w:rsid w:val="00825748"/>
    <w:rsid w:val="008275DB"/>
    <w:rsid w:val="00831516"/>
    <w:rsid w:val="00831F0A"/>
    <w:rsid w:val="00833A78"/>
    <w:rsid w:val="00833FBE"/>
    <w:rsid w:val="00835820"/>
    <w:rsid w:val="00837066"/>
    <w:rsid w:val="008439EB"/>
    <w:rsid w:val="0084585F"/>
    <w:rsid w:val="00853E53"/>
    <w:rsid w:val="0085535C"/>
    <w:rsid w:val="00855A10"/>
    <w:rsid w:val="00864D76"/>
    <w:rsid w:val="008656C9"/>
    <w:rsid w:val="0086711C"/>
    <w:rsid w:val="00867535"/>
    <w:rsid w:val="00875C5B"/>
    <w:rsid w:val="008775F7"/>
    <w:rsid w:val="00883C5F"/>
    <w:rsid w:val="00886D39"/>
    <w:rsid w:val="00891C7D"/>
    <w:rsid w:val="00892B41"/>
    <w:rsid w:val="00892FA7"/>
    <w:rsid w:val="008A1E1F"/>
    <w:rsid w:val="008A3301"/>
    <w:rsid w:val="008A4DF1"/>
    <w:rsid w:val="008A5636"/>
    <w:rsid w:val="008B125E"/>
    <w:rsid w:val="008B241C"/>
    <w:rsid w:val="008B408B"/>
    <w:rsid w:val="008B4F11"/>
    <w:rsid w:val="008C2362"/>
    <w:rsid w:val="008C2B61"/>
    <w:rsid w:val="008C3049"/>
    <w:rsid w:val="008C31F3"/>
    <w:rsid w:val="008C3E75"/>
    <w:rsid w:val="008D28E6"/>
    <w:rsid w:val="008D4AE9"/>
    <w:rsid w:val="008D4E24"/>
    <w:rsid w:val="008D5CF3"/>
    <w:rsid w:val="008D7D39"/>
    <w:rsid w:val="008E4574"/>
    <w:rsid w:val="008E5FE1"/>
    <w:rsid w:val="008F4016"/>
    <w:rsid w:val="008F42FE"/>
    <w:rsid w:val="008F4A00"/>
    <w:rsid w:val="008F5402"/>
    <w:rsid w:val="008F7CB0"/>
    <w:rsid w:val="0090053A"/>
    <w:rsid w:val="00901C2A"/>
    <w:rsid w:val="009118C7"/>
    <w:rsid w:val="00917BE5"/>
    <w:rsid w:val="009202D5"/>
    <w:rsid w:val="00920628"/>
    <w:rsid w:val="00920F71"/>
    <w:rsid w:val="009225B6"/>
    <w:rsid w:val="00924FDD"/>
    <w:rsid w:val="00925397"/>
    <w:rsid w:val="00933A21"/>
    <w:rsid w:val="00934C10"/>
    <w:rsid w:val="0093662A"/>
    <w:rsid w:val="0094060C"/>
    <w:rsid w:val="00942C4B"/>
    <w:rsid w:val="00944196"/>
    <w:rsid w:val="00944A40"/>
    <w:rsid w:val="009606A5"/>
    <w:rsid w:val="009609EB"/>
    <w:rsid w:val="00960C4D"/>
    <w:rsid w:val="00962F1F"/>
    <w:rsid w:val="00965304"/>
    <w:rsid w:val="00971293"/>
    <w:rsid w:val="00973A3B"/>
    <w:rsid w:val="0097698B"/>
    <w:rsid w:val="00977A48"/>
    <w:rsid w:val="009808AA"/>
    <w:rsid w:val="00980C8B"/>
    <w:rsid w:val="00983EAE"/>
    <w:rsid w:val="0098760B"/>
    <w:rsid w:val="00991E95"/>
    <w:rsid w:val="00995D0E"/>
    <w:rsid w:val="00997E75"/>
    <w:rsid w:val="009A11DD"/>
    <w:rsid w:val="009B30AA"/>
    <w:rsid w:val="009B4D85"/>
    <w:rsid w:val="009B5217"/>
    <w:rsid w:val="009C08B3"/>
    <w:rsid w:val="009C1EFB"/>
    <w:rsid w:val="009C48DE"/>
    <w:rsid w:val="009D2582"/>
    <w:rsid w:val="009D2BC0"/>
    <w:rsid w:val="009D461E"/>
    <w:rsid w:val="009D60D9"/>
    <w:rsid w:val="009D6255"/>
    <w:rsid w:val="009D626E"/>
    <w:rsid w:val="009E0F52"/>
    <w:rsid w:val="009E1E1E"/>
    <w:rsid w:val="009E33E3"/>
    <w:rsid w:val="009E7F16"/>
    <w:rsid w:val="009F42A6"/>
    <w:rsid w:val="009F5052"/>
    <w:rsid w:val="00A026D3"/>
    <w:rsid w:val="00A03083"/>
    <w:rsid w:val="00A04C85"/>
    <w:rsid w:val="00A100F0"/>
    <w:rsid w:val="00A11942"/>
    <w:rsid w:val="00A12AC9"/>
    <w:rsid w:val="00A14E59"/>
    <w:rsid w:val="00A156E6"/>
    <w:rsid w:val="00A177C5"/>
    <w:rsid w:val="00A22B8B"/>
    <w:rsid w:val="00A24BB5"/>
    <w:rsid w:val="00A250FB"/>
    <w:rsid w:val="00A27D86"/>
    <w:rsid w:val="00A30A3D"/>
    <w:rsid w:val="00A3224A"/>
    <w:rsid w:val="00A33151"/>
    <w:rsid w:val="00A35B81"/>
    <w:rsid w:val="00A365BE"/>
    <w:rsid w:val="00A36970"/>
    <w:rsid w:val="00A41EB4"/>
    <w:rsid w:val="00A44BFF"/>
    <w:rsid w:val="00A47051"/>
    <w:rsid w:val="00A501E3"/>
    <w:rsid w:val="00A50F0C"/>
    <w:rsid w:val="00A56441"/>
    <w:rsid w:val="00A61810"/>
    <w:rsid w:val="00A640DC"/>
    <w:rsid w:val="00A674CC"/>
    <w:rsid w:val="00A724D7"/>
    <w:rsid w:val="00A736DD"/>
    <w:rsid w:val="00A82869"/>
    <w:rsid w:val="00A85F5D"/>
    <w:rsid w:val="00A8758C"/>
    <w:rsid w:val="00A91D8F"/>
    <w:rsid w:val="00AA127E"/>
    <w:rsid w:val="00AA19AE"/>
    <w:rsid w:val="00AA423D"/>
    <w:rsid w:val="00AA6A95"/>
    <w:rsid w:val="00AB065D"/>
    <w:rsid w:val="00AB10DE"/>
    <w:rsid w:val="00AB3668"/>
    <w:rsid w:val="00AB5ED7"/>
    <w:rsid w:val="00AC0B4C"/>
    <w:rsid w:val="00AC1092"/>
    <w:rsid w:val="00AC6286"/>
    <w:rsid w:val="00AD0AEE"/>
    <w:rsid w:val="00AD49E3"/>
    <w:rsid w:val="00AD4B4F"/>
    <w:rsid w:val="00AE3192"/>
    <w:rsid w:val="00AF0616"/>
    <w:rsid w:val="00AF0E28"/>
    <w:rsid w:val="00AF64E1"/>
    <w:rsid w:val="00AF6F9B"/>
    <w:rsid w:val="00AF72E0"/>
    <w:rsid w:val="00B01409"/>
    <w:rsid w:val="00B0240C"/>
    <w:rsid w:val="00B10DBD"/>
    <w:rsid w:val="00B15629"/>
    <w:rsid w:val="00B17B46"/>
    <w:rsid w:val="00B20641"/>
    <w:rsid w:val="00B2372C"/>
    <w:rsid w:val="00B25370"/>
    <w:rsid w:val="00B26221"/>
    <w:rsid w:val="00B27EBE"/>
    <w:rsid w:val="00B32F70"/>
    <w:rsid w:val="00B34B20"/>
    <w:rsid w:val="00B357D4"/>
    <w:rsid w:val="00B36F1B"/>
    <w:rsid w:val="00B373D0"/>
    <w:rsid w:val="00B41FAE"/>
    <w:rsid w:val="00B42DCD"/>
    <w:rsid w:val="00B43AAA"/>
    <w:rsid w:val="00B5137A"/>
    <w:rsid w:val="00B53139"/>
    <w:rsid w:val="00B54D70"/>
    <w:rsid w:val="00B562CE"/>
    <w:rsid w:val="00B56A62"/>
    <w:rsid w:val="00B61464"/>
    <w:rsid w:val="00B62DE2"/>
    <w:rsid w:val="00B641EB"/>
    <w:rsid w:val="00B72C31"/>
    <w:rsid w:val="00B73FB0"/>
    <w:rsid w:val="00B74417"/>
    <w:rsid w:val="00B7625F"/>
    <w:rsid w:val="00B77246"/>
    <w:rsid w:val="00B866CD"/>
    <w:rsid w:val="00B8719A"/>
    <w:rsid w:val="00B87388"/>
    <w:rsid w:val="00B93034"/>
    <w:rsid w:val="00B939AE"/>
    <w:rsid w:val="00B93A81"/>
    <w:rsid w:val="00B94CFD"/>
    <w:rsid w:val="00B94F43"/>
    <w:rsid w:val="00B97C5D"/>
    <w:rsid w:val="00B97C96"/>
    <w:rsid w:val="00BA0ADC"/>
    <w:rsid w:val="00BA1290"/>
    <w:rsid w:val="00BA4FE8"/>
    <w:rsid w:val="00BB2792"/>
    <w:rsid w:val="00BB4AC3"/>
    <w:rsid w:val="00BB73A5"/>
    <w:rsid w:val="00BB74C9"/>
    <w:rsid w:val="00BB76BF"/>
    <w:rsid w:val="00BC0297"/>
    <w:rsid w:val="00BC1AD1"/>
    <w:rsid w:val="00BC3AE9"/>
    <w:rsid w:val="00BC4A58"/>
    <w:rsid w:val="00BC613B"/>
    <w:rsid w:val="00BD51D9"/>
    <w:rsid w:val="00BD64E2"/>
    <w:rsid w:val="00BD7D18"/>
    <w:rsid w:val="00BE4995"/>
    <w:rsid w:val="00BE722B"/>
    <w:rsid w:val="00BF3756"/>
    <w:rsid w:val="00BF429A"/>
    <w:rsid w:val="00BF62BE"/>
    <w:rsid w:val="00C06D32"/>
    <w:rsid w:val="00C07126"/>
    <w:rsid w:val="00C15C28"/>
    <w:rsid w:val="00C16853"/>
    <w:rsid w:val="00C1732E"/>
    <w:rsid w:val="00C23303"/>
    <w:rsid w:val="00C25335"/>
    <w:rsid w:val="00C263F0"/>
    <w:rsid w:val="00C26920"/>
    <w:rsid w:val="00C27F67"/>
    <w:rsid w:val="00C32450"/>
    <w:rsid w:val="00C33D41"/>
    <w:rsid w:val="00C364E2"/>
    <w:rsid w:val="00C40AFD"/>
    <w:rsid w:val="00C41E20"/>
    <w:rsid w:val="00C42280"/>
    <w:rsid w:val="00C42E3E"/>
    <w:rsid w:val="00C502B5"/>
    <w:rsid w:val="00C51C13"/>
    <w:rsid w:val="00C525A5"/>
    <w:rsid w:val="00C5300F"/>
    <w:rsid w:val="00C54594"/>
    <w:rsid w:val="00C66CE0"/>
    <w:rsid w:val="00C70757"/>
    <w:rsid w:val="00C71BED"/>
    <w:rsid w:val="00C737B2"/>
    <w:rsid w:val="00C73CA8"/>
    <w:rsid w:val="00C77DAB"/>
    <w:rsid w:val="00C81030"/>
    <w:rsid w:val="00C81B53"/>
    <w:rsid w:val="00C81E53"/>
    <w:rsid w:val="00C82AD2"/>
    <w:rsid w:val="00C84982"/>
    <w:rsid w:val="00C90FB6"/>
    <w:rsid w:val="00C9220E"/>
    <w:rsid w:val="00C9233E"/>
    <w:rsid w:val="00C932BD"/>
    <w:rsid w:val="00C93429"/>
    <w:rsid w:val="00C94668"/>
    <w:rsid w:val="00CA16C5"/>
    <w:rsid w:val="00CA2FB9"/>
    <w:rsid w:val="00CA415A"/>
    <w:rsid w:val="00CA4621"/>
    <w:rsid w:val="00CA7A35"/>
    <w:rsid w:val="00CB1536"/>
    <w:rsid w:val="00CB37EE"/>
    <w:rsid w:val="00CB79DA"/>
    <w:rsid w:val="00CB7FB8"/>
    <w:rsid w:val="00CC1F71"/>
    <w:rsid w:val="00CC3DC0"/>
    <w:rsid w:val="00CC5588"/>
    <w:rsid w:val="00CC5EB3"/>
    <w:rsid w:val="00CC6F7F"/>
    <w:rsid w:val="00CD0E7B"/>
    <w:rsid w:val="00CD2ABD"/>
    <w:rsid w:val="00CD4024"/>
    <w:rsid w:val="00CD4617"/>
    <w:rsid w:val="00CD4855"/>
    <w:rsid w:val="00CE3B2D"/>
    <w:rsid w:val="00CE6D43"/>
    <w:rsid w:val="00CE7888"/>
    <w:rsid w:val="00CF0AB6"/>
    <w:rsid w:val="00CF2A55"/>
    <w:rsid w:val="00D01A97"/>
    <w:rsid w:val="00D10E1C"/>
    <w:rsid w:val="00D13E8E"/>
    <w:rsid w:val="00D161A3"/>
    <w:rsid w:val="00D22E49"/>
    <w:rsid w:val="00D23716"/>
    <w:rsid w:val="00D25ED8"/>
    <w:rsid w:val="00D27F8F"/>
    <w:rsid w:val="00D316B8"/>
    <w:rsid w:val="00D31CFC"/>
    <w:rsid w:val="00D3255D"/>
    <w:rsid w:val="00D340C3"/>
    <w:rsid w:val="00D37749"/>
    <w:rsid w:val="00D409CD"/>
    <w:rsid w:val="00D423D4"/>
    <w:rsid w:val="00D42CAF"/>
    <w:rsid w:val="00D43440"/>
    <w:rsid w:val="00D5310F"/>
    <w:rsid w:val="00D601EF"/>
    <w:rsid w:val="00D61533"/>
    <w:rsid w:val="00D61779"/>
    <w:rsid w:val="00D63B2F"/>
    <w:rsid w:val="00D70747"/>
    <w:rsid w:val="00D7261D"/>
    <w:rsid w:val="00D755FC"/>
    <w:rsid w:val="00D76B6D"/>
    <w:rsid w:val="00D81FDA"/>
    <w:rsid w:val="00D82858"/>
    <w:rsid w:val="00D84D07"/>
    <w:rsid w:val="00D8526A"/>
    <w:rsid w:val="00D904C2"/>
    <w:rsid w:val="00D90E91"/>
    <w:rsid w:val="00DB39C2"/>
    <w:rsid w:val="00DB5A3C"/>
    <w:rsid w:val="00DB60E1"/>
    <w:rsid w:val="00DC1347"/>
    <w:rsid w:val="00DC39F1"/>
    <w:rsid w:val="00DD5251"/>
    <w:rsid w:val="00DD5DCC"/>
    <w:rsid w:val="00DE4B35"/>
    <w:rsid w:val="00DF19C1"/>
    <w:rsid w:val="00DF305F"/>
    <w:rsid w:val="00DF54CA"/>
    <w:rsid w:val="00DF56C9"/>
    <w:rsid w:val="00DF5B64"/>
    <w:rsid w:val="00E0252D"/>
    <w:rsid w:val="00E02794"/>
    <w:rsid w:val="00E02ED0"/>
    <w:rsid w:val="00E043E3"/>
    <w:rsid w:val="00E0505B"/>
    <w:rsid w:val="00E11280"/>
    <w:rsid w:val="00E12359"/>
    <w:rsid w:val="00E13FEE"/>
    <w:rsid w:val="00E152FF"/>
    <w:rsid w:val="00E211A9"/>
    <w:rsid w:val="00E2461B"/>
    <w:rsid w:val="00E24886"/>
    <w:rsid w:val="00E24E14"/>
    <w:rsid w:val="00E252FF"/>
    <w:rsid w:val="00E276FB"/>
    <w:rsid w:val="00E30E29"/>
    <w:rsid w:val="00E32595"/>
    <w:rsid w:val="00E32DC6"/>
    <w:rsid w:val="00E33A74"/>
    <w:rsid w:val="00E35699"/>
    <w:rsid w:val="00E4030B"/>
    <w:rsid w:val="00E406E0"/>
    <w:rsid w:val="00E41D56"/>
    <w:rsid w:val="00E43FB7"/>
    <w:rsid w:val="00E457DF"/>
    <w:rsid w:val="00E46642"/>
    <w:rsid w:val="00E5139A"/>
    <w:rsid w:val="00E530B7"/>
    <w:rsid w:val="00E5413D"/>
    <w:rsid w:val="00E574D8"/>
    <w:rsid w:val="00E57977"/>
    <w:rsid w:val="00E6274F"/>
    <w:rsid w:val="00E635D7"/>
    <w:rsid w:val="00E67307"/>
    <w:rsid w:val="00E70576"/>
    <w:rsid w:val="00E71DED"/>
    <w:rsid w:val="00E77441"/>
    <w:rsid w:val="00E83954"/>
    <w:rsid w:val="00E864DF"/>
    <w:rsid w:val="00E86506"/>
    <w:rsid w:val="00E87E8C"/>
    <w:rsid w:val="00E90121"/>
    <w:rsid w:val="00E91730"/>
    <w:rsid w:val="00E94ED7"/>
    <w:rsid w:val="00E96C3E"/>
    <w:rsid w:val="00E96F04"/>
    <w:rsid w:val="00E97AEC"/>
    <w:rsid w:val="00EA20FE"/>
    <w:rsid w:val="00EA4524"/>
    <w:rsid w:val="00EA5CE7"/>
    <w:rsid w:val="00EB2142"/>
    <w:rsid w:val="00EB491E"/>
    <w:rsid w:val="00EB681B"/>
    <w:rsid w:val="00EC27FC"/>
    <w:rsid w:val="00EC4FAD"/>
    <w:rsid w:val="00ED58EF"/>
    <w:rsid w:val="00EE3CFA"/>
    <w:rsid w:val="00EE3D70"/>
    <w:rsid w:val="00EE69E4"/>
    <w:rsid w:val="00EF2A7F"/>
    <w:rsid w:val="00EF7E90"/>
    <w:rsid w:val="00F002B6"/>
    <w:rsid w:val="00F02524"/>
    <w:rsid w:val="00F03593"/>
    <w:rsid w:val="00F03D4F"/>
    <w:rsid w:val="00F10AFE"/>
    <w:rsid w:val="00F15C6C"/>
    <w:rsid w:val="00F17173"/>
    <w:rsid w:val="00F20987"/>
    <w:rsid w:val="00F21D72"/>
    <w:rsid w:val="00F224DC"/>
    <w:rsid w:val="00F236EA"/>
    <w:rsid w:val="00F2687F"/>
    <w:rsid w:val="00F26A5E"/>
    <w:rsid w:val="00F27F29"/>
    <w:rsid w:val="00F32D54"/>
    <w:rsid w:val="00F34ADB"/>
    <w:rsid w:val="00F36C54"/>
    <w:rsid w:val="00F411E3"/>
    <w:rsid w:val="00F418EA"/>
    <w:rsid w:val="00F41A29"/>
    <w:rsid w:val="00F44C1C"/>
    <w:rsid w:val="00F505C1"/>
    <w:rsid w:val="00F518DF"/>
    <w:rsid w:val="00F52632"/>
    <w:rsid w:val="00F5327A"/>
    <w:rsid w:val="00F544DB"/>
    <w:rsid w:val="00F5522E"/>
    <w:rsid w:val="00F617A8"/>
    <w:rsid w:val="00F63FBE"/>
    <w:rsid w:val="00F648EA"/>
    <w:rsid w:val="00F6502E"/>
    <w:rsid w:val="00F65663"/>
    <w:rsid w:val="00F7064B"/>
    <w:rsid w:val="00F747ED"/>
    <w:rsid w:val="00F75147"/>
    <w:rsid w:val="00F756C0"/>
    <w:rsid w:val="00F75A40"/>
    <w:rsid w:val="00F76221"/>
    <w:rsid w:val="00F7646C"/>
    <w:rsid w:val="00F77637"/>
    <w:rsid w:val="00F802A0"/>
    <w:rsid w:val="00F8435D"/>
    <w:rsid w:val="00F862E5"/>
    <w:rsid w:val="00F87DD0"/>
    <w:rsid w:val="00F92276"/>
    <w:rsid w:val="00F93360"/>
    <w:rsid w:val="00F93FE4"/>
    <w:rsid w:val="00F97E4E"/>
    <w:rsid w:val="00FA1A40"/>
    <w:rsid w:val="00FA217B"/>
    <w:rsid w:val="00FA2D25"/>
    <w:rsid w:val="00FB0BC5"/>
    <w:rsid w:val="00FB0BCC"/>
    <w:rsid w:val="00FB124D"/>
    <w:rsid w:val="00FB2247"/>
    <w:rsid w:val="00FB2872"/>
    <w:rsid w:val="00FC0148"/>
    <w:rsid w:val="00FC06D2"/>
    <w:rsid w:val="00FC0FE5"/>
    <w:rsid w:val="00FC432D"/>
    <w:rsid w:val="00FC7727"/>
    <w:rsid w:val="00FD1ABC"/>
    <w:rsid w:val="00FD5CB3"/>
    <w:rsid w:val="00FD6D40"/>
    <w:rsid w:val="00FD7DDF"/>
    <w:rsid w:val="00FE09A8"/>
    <w:rsid w:val="00FE2009"/>
    <w:rsid w:val="00FE4C92"/>
    <w:rsid w:val="00FF0E8F"/>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80D4089-0AB3-4D1B-BB9D-036291DE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el-G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DC0"/>
    <w:pPr>
      <w:spacing w:after="160" w:line="259" w:lineRule="auto"/>
    </w:pPr>
    <w:rPr>
      <w:rFonts w:asciiTheme="minorHAnsi" w:eastAsiaTheme="minorHAnsi" w:hAnsiTheme="minorHAnsi" w:cstheme="minorBidi"/>
      <w:sz w:val="22"/>
      <w:szCs w:val="22"/>
      <w:lang w:val="en-US" w:eastAsia="en-US" w:bidi="ar-SA"/>
    </w:rPr>
  </w:style>
  <w:style w:type="paragraph" w:styleId="Heading1">
    <w:name w:val="heading 1"/>
    <w:basedOn w:val="Normal"/>
    <w:next w:val="Normal"/>
    <w:link w:val="Heading1Char"/>
    <w:qFormat/>
    <w:rsid w:val="00DB39C2"/>
    <w:pPr>
      <w:numPr>
        <w:numId w:val="1"/>
      </w:numPr>
      <w:ind w:left="567" w:hanging="567"/>
      <w:outlineLvl w:val="0"/>
    </w:pPr>
    <w:rPr>
      <w:kern w:val="28"/>
    </w:rPr>
  </w:style>
  <w:style w:type="paragraph" w:styleId="Heading2">
    <w:name w:val="heading 2"/>
    <w:basedOn w:val="Normal"/>
    <w:next w:val="Normal"/>
    <w:link w:val="Heading2Char"/>
    <w:qFormat/>
    <w:rsid w:val="00DB39C2"/>
    <w:pPr>
      <w:numPr>
        <w:ilvl w:val="1"/>
        <w:numId w:val="1"/>
      </w:numPr>
      <w:ind w:left="567" w:hanging="567"/>
      <w:outlineLvl w:val="1"/>
    </w:pPr>
  </w:style>
  <w:style w:type="paragraph" w:styleId="Heading3">
    <w:name w:val="heading 3"/>
    <w:basedOn w:val="Normal"/>
    <w:next w:val="Normal"/>
    <w:link w:val="Heading3Char"/>
    <w:qFormat/>
    <w:rsid w:val="00DB39C2"/>
    <w:pPr>
      <w:numPr>
        <w:ilvl w:val="2"/>
        <w:numId w:val="1"/>
      </w:numPr>
      <w:ind w:left="567" w:hanging="567"/>
      <w:outlineLvl w:val="2"/>
    </w:pPr>
  </w:style>
  <w:style w:type="paragraph" w:styleId="Heading4">
    <w:name w:val="heading 4"/>
    <w:basedOn w:val="Normal"/>
    <w:next w:val="Normal"/>
    <w:link w:val="Heading4Char"/>
    <w:qFormat/>
    <w:rsid w:val="00DB39C2"/>
    <w:pPr>
      <w:numPr>
        <w:ilvl w:val="3"/>
        <w:numId w:val="1"/>
      </w:numPr>
      <w:ind w:left="567" w:hanging="567"/>
      <w:outlineLvl w:val="3"/>
    </w:pPr>
  </w:style>
  <w:style w:type="paragraph" w:styleId="Heading5">
    <w:name w:val="heading 5"/>
    <w:basedOn w:val="Normal"/>
    <w:next w:val="Normal"/>
    <w:link w:val="Heading5Char"/>
    <w:qFormat/>
    <w:rsid w:val="00DB39C2"/>
    <w:pPr>
      <w:numPr>
        <w:ilvl w:val="4"/>
        <w:numId w:val="1"/>
      </w:numPr>
      <w:ind w:left="567" w:hanging="567"/>
      <w:outlineLvl w:val="4"/>
    </w:pPr>
  </w:style>
  <w:style w:type="paragraph" w:styleId="Heading6">
    <w:name w:val="heading 6"/>
    <w:basedOn w:val="Normal"/>
    <w:next w:val="Normal"/>
    <w:link w:val="Heading6Char"/>
    <w:qFormat/>
    <w:rsid w:val="00DB39C2"/>
    <w:pPr>
      <w:numPr>
        <w:ilvl w:val="5"/>
        <w:numId w:val="1"/>
      </w:numPr>
      <w:ind w:left="567" w:hanging="567"/>
      <w:outlineLvl w:val="5"/>
    </w:pPr>
  </w:style>
  <w:style w:type="paragraph" w:styleId="Heading7">
    <w:name w:val="heading 7"/>
    <w:basedOn w:val="Normal"/>
    <w:next w:val="Normal"/>
    <w:link w:val="Heading7Char"/>
    <w:qFormat/>
    <w:rsid w:val="00DB39C2"/>
    <w:pPr>
      <w:numPr>
        <w:ilvl w:val="6"/>
        <w:numId w:val="1"/>
      </w:numPr>
      <w:ind w:left="567" w:hanging="567"/>
      <w:outlineLvl w:val="6"/>
    </w:pPr>
  </w:style>
  <w:style w:type="paragraph" w:styleId="Heading8">
    <w:name w:val="heading 8"/>
    <w:basedOn w:val="Normal"/>
    <w:next w:val="Normal"/>
    <w:link w:val="Heading8Char"/>
    <w:qFormat/>
    <w:rsid w:val="00DB39C2"/>
    <w:pPr>
      <w:numPr>
        <w:ilvl w:val="7"/>
        <w:numId w:val="1"/>
      </w:numPr>
      <w:ind w:left="567" w:hanging="567"/>
      <w:outlineLvl w:val="7"/>
    </w:pPr>
  </w:style>
  <w:style w:type="paragraph" w:styleId="Heading9">
    <w:name w:val="heading 9"/>
    <w:basedOn w:val="Normal"/>
    <w:next w:val="Normal"/>
    <w:link w:val="Heading9Char"/>
    <w:qFormat/>
    <w:rsid w:val="00DB39C2"/>
    <w:pPr>
      <w:numPr>
        <w:ilvl w:val="8"/>
        <w:numId w:val="1"/>
      </w:numPr>
      <w:ind w:left="567" w:hanging="567"/>
      <w:outlineLvl w:val="8"/>
    </w:pPr>
  </w:style>
  <w:style w:type="character" w:default="1" w:styleId="DefaultParagraphFont">
    <w:name w:val="Default Paragraph Font"/>
    <w:uiPriority w:val="1"/>
    <w:semiHidden/>
    <w:unhideWhenUsed/>
    <w:rsid w:val="00CC3D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3DC0"/>
  </w:style>
  <w:style w:type="character" w:customStyle="1" w:styleId="Heading1Char">
    <w:name w:val="Heading 1 Char"/>
    <w:link w:val="Heading1"/>
    <w:locked/>
    <w:rsid w:val="00CB1536"/>
    <w:rPr>
      <w:kern w:val="28"/>
      <w:sz w:val="22"/>
      <w:szCs w:val="22"/>
      <w:lang w:val="el-GR" w:eastAsia="el-GR"/>
    </w:rPr>
  </w:style>
  <w:style w:type="character" w:customStyle="1" w:styleId="Heading2Char">
    <w:name w:val="Heading 2 Char"/>
    <w:link w:val="Heading2"/>
    <w:locked/>
    <w:rsid w:val="00CB1536"/>
    <w:rPr>
      <w:sz w:val="22"/>
      <w:szCs w:val="22"/>
      <w:lang w:val="el-GR" w:eastAsia="el-GR"/>
    </w:rPr>
  </w:style>
  <w:style w:type="character" w:customStyle="1" w:styleId="Heading3Char">
    <w:name w:val="Heading 3 Char"/>
    <w:link w:val="Heading3"/>
    <w:locked/>
    <w:rsid w:val="00CB1536"/>
    <w:rPr>
      <w:sz w:val="22"/>
      <w:szCs w:val="22"/>
      <w:lang w:val="el-GR" w:eastAsia="el-GR"/>
    </w:rPr>
  </w:style>
  <w:style w:type="character" w:customStyle="1" w:styleId="Heading4Char">
    <w:name w:val="Heading 4 Char"/>
    <w:link w:val="Heading4"/>
    <w:locked/>
    <w:rsid w:val="00CB1536"/>
    <w:rPr>
      <w:sz w:val="22"/>
      <w:szCs w:val="22"/>
      <w:lang w:val="el-GR" w:eastAsia="el-GR"/>
    </w:rPr>
  </w:style>
  <w:style w:type="character" w:customStyle="1" w:styleId="Heading5Char">
    <w:name w:val="Heading 5 Char"/>
    <w:link w:val="Heading5"/>
    <w:locked/>
    <w:rsid w:val="00CB1536"/>
    <w:rPr>
      <w:sz w:val="22"/>
      <w:szCs w:val="22"/>
      <w:lang w:val="el-GR" w:eastAsia="el-GR"/>
    </w:rPr>
  </w:style>
  <w:style w:type="character" w:customStyle="1" w:styleId="Heading6Char">
    <w:name w:val="Heading 6 Char"/>
    <w:link w:val="Heading6"/>
    <w:locked/>
    <w:rsid w:val="00CB1536"/>
    <w:rPr>
      <w:sz w:val="22"/>
      <w:szCs w:val="22"/>
      <w:lang w:val="el-GR" w:eastAsia="el-GR"/>
    </w:rPr>
  </w:style>
  <w:style w:type="character" w:customStyle="1" w:styleId="Heading7Char">
    <w:name w:val="Heading 7 Char"/>
    <w:link w:val="Heading7"/>
    <w:locked/>
    <w:rsid w:val="00CB1536"/>
    <w:rPr>
      <w:sz w:val="22"/>
      <w:szCs w:val="22"/>
      <w:lang w:val="el-GR" w:eastAsia="el-GR"/>
    </w:rPr>
  </w:style>
  <w:style w:type="character" w:customStyle="1" w:styleId="Heading8Char">
    <w:name w:val="Heading 8 Char"/>
    <w:link w:val="Heading8"/>
    <w:locked/>
    <w:rsid w:val="00CB1536"/>
    <w:rPr>
      <w:sz w:val="22"/>
      <w:szCs w:val="22"/>
      <w:lang w:val="el-GR" w:eastAsia="el-GR"/>
    </w:rPr>
  </w:style>
  <w:style w:type="character" w:customStyle="1" w:styleId="Heading9Char">
    <w:name w:val="Heading 9 Char"/>
    <w:link w:val="Heading9"/>
    <w:locked/>
    <w:rsid w:val="00CB1536"/>
    <w:rPr>
      <w:sz w:val="22"/>
      <w:szCs w:val="22"/>
      <w:lang w:val="el-GR" w:eastAsia="el-GR"/>
    </w:rPr>
  </w:style>
  <w:style w:type="paragraph" w:styleId="Footer">
    <w:name w:val="footer"/>
    <w:basedOn w:val="Normal"/>
    <w:link w:val="FooterChar"/>
    <w:qFormat/>
    <w:rsid w:val="00DB39C2"/>
  </w:style>
  <w:style w:type="character" w:customStyle="1" w:styleId="FooterChar">
    <w:name w:val="Footer Char"/>
    <w:link w:val="Footer"/>
    <w:locked/>
    <w:rsid w:val="00CB1536"/>
    <w:rPr>
      <w:sz w:val="22"/>
      <w:szCs w:val="22"/>
      <w:lang w:val="el-GR" w:eastAsia="el-GR"/>
    </w:rPr>
  </w:style>
  <w:style w:type="paragraph" w:styleId="FootnoteText">
    <w:name w:val="footnote text"/>
    <w:basedOn w:val="Normal"/>
    <w:link w:val="FootnoteTextChar"/>
    <w:qFormat/>
    <w:rsid w:val="00DB39C2"/>
    <w:pPr>
      <w:keepLines/>
      <w:spacing w:after="60" w:line="240" w:lineRule="auto"/>
      <w:ind w:left="567" w:hanging="567"/>
    </w:pPr>
    <w:rPr>
      <w:sz w:val="16"/>
    </w:rPr>
  </w:style>
  <w:style w:type="character" w:customStyle="1" w:styleId="FootnoteTextChar">
    <w:name w:val="Footnote Text Char"/>
    <w:link w:val="FootnoteText"/>
    <w:locked/>
    <w:rsid w:val="00CB1536"/>
    <w:rPr>
      <w:sz w:val="16"/>
      <w:szCs w:val="22"/>
      <w:lang w:val="el-GR" w:eastAsia="el-GR"/>
    </w:rPr>
  </w:style>
  <w:style w:type="paragraph" w:styleId="Header">
    <w:name w:val="header"/>
    <w:basedOn w:val="Normal"/>
    <w:link w:val="HeaderChar"/>
    <w:qFormat/>
    <w:rsid w:val="00DB39C2"/>
  </w:style>
  <w:style w:type="character" w:customStyle="1" w:styleId="HeaderChar">
    <w:name w:val="Header Char"/>
    <w:link w:val="Header"/>
    <w:locked/>
    <w:rsid w:val="00CB1536"/>
    <w:rPr>
      <w:sz w:val="22"/>
      <w:szCs w:val="22"/>
      <w:lang w:val="el-GR" w:eastAsia="el-GR"/>
    </w:rPr>
  </w:style>
  <w:style w:type="character" w:styleId="Hyperlink">
    <w:name w:val="Hyperlink"/>
    <w:uiPriority w:val="99"/>
    <w:rsid w:val="00934C10"/>
    <w:rPr>
      <w:color w:val="0000FF"/>
      <w:u w:val="single"/>
    </w:rPr>
  </w:style>
  <w:style w:type="character" w:styleId="FootnoteReference">
    <w:name w:val="footnote reference"/>
    <w:basedOn w:val="DefaultParagraphFont"/>
    <w:unhideWhenUsed/>
    <w:qFormat/>
    <w:rsid w:val="00DB39C2"/>
    <w:rPr>
      <w:sz w:val="24"/>
      <w:vertAlign w:val="superscript"/>
    </w:rPr>
  </w:style>
  <w:style w:type="character" w:styleId="FollowedHyperlink">
    <w:name w:val="FollowedHyperlink"/>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rPr>
      <w:sz w:val="22"/>
      <w:szCs w:val="22"/>
    </w:rPr>
  </w:style>
  <w:style w:type="paragraph" w:styleId="BalloonText">
    <w:name w:val="Balloon Text"/>
    <w:basedOn w:val="Normal"/>
    <w:link w:val="BalloonTextChar"/>
    <w:uiPriority w:val="99"/>
    <w:semiHidden/>
    <w:unhideWhenUsed/>
    <w:rsid w:val="00DB39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9C2"/>
    <w:rPr>
      <w:rFonts w:ascii="Tahoma" w:hAnsi="Tahoma" w:cs="Tahoma"/>
      <w:sz w:val="16"/>
      <w:szCs w:val="16"/>
      <w:lang w:val="el-GR" w:eastAsia="el-GR"/>
    </w:rPr>
  </w:style>
  <w:style w:type="paragraph" w:customStyle="1" w:styleId="quotes">
    <w:name w:val="quotes"/>
    <w:basedOn w:val="Normal"/>
    <w:next w:val="Normal"/>
    <w:rsid w:val="00DB39C2"/>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3541">
      <w:bodyDiv w:val="1"/>
      <w:marLeft w:val="0"/>
      <w:marRight w:val="0"/>
      <w:marTop w:val="0"/>
      <w:marBottom w:val="0"/>
      <w:divBdr>
        <w:top w:val="none" w:sz="0" w:space="0" w:color="auto"/>
        <w:left w:val="none" w:sz="0" w:space="0" w:color="auto"/>
        <w:bottom w:val="none" w:sz="0" w:space="0" w:color="auto"/>
        <w:right w:val="none" w:sz="0" w:space="0" w:color="auto"/>
      </w:divBdr>
    </w:div>
    <w:div w:id="41054444">
      <w:bodyDiv w:val="1"/>
      <w:marLeft w:val="0"/>
      <w:marRight w:val="0"/>
      <w:marTop w:val="0"/>
      <w:marBottom w:val="0"/>
      <w:divBdr>
        <w:top w:val="none" w:sz="0" w:space="0" w:color="auto"/>
        <w:left w:val="none" w:sz="0" w:space="0" w:color="auto"/>
        <w:bottom w:val="none" w:sz="0" w:space="0" w:color="auto"/>
        <w:right w:val="none" w:sz="0" w:space="0" w:color="auto"/>
      </w:divBdr>
    </w:div>
    <w:div w:id="189609153">
      <w:bodyDiv w:val="1"/>
      <w:marLeft w:val="0"/>
      <w:marRight w:val="0"/>
      <w:marTop w:val="0"/>
      <w:marBottom w:val="0"/>
      <w:divBdr>
        <w:top w:val="none" w:sz="0" w:space="0" w:color="auto"/>
        <w:left w:val="none" w:sz="0" w:space="0" w:color="auto"/>
        <w:bottom w:val="none" w:sz="0" w:space="0" w:color="auto"/>
        <w:right w:val="none" w:sz="0" w:space="0" w:color="auto"/>
      </w:divBdr>
    </w:div>
    <w:div w:id="197739017">
      <w:bodyDiv w:val="1"/>
      <w:marLeft w:val="0"/>
      <w:marRight w:val="0"/>
      <w:marTop w:val="0"/>
      <w:marBottom w:val="0"/>
      <w:divBdr>
        <w:top w:val="none" w:sz="0" w:space="0" w:color="auto"/>
        <w:left w:val="none" w:sz="0" w:space="0" w:color="auto"/>
        <w:bottom w:val="none" w:sz="0" w:space="0" w:color="auto"/>
        <w:right w:val="none" w:sz="0" w:space="0" w:color="auto"/>
      </w:divBdr>
    </w:div>
    <w:div w:id="283266878">
      <w:bodyDiv w:val="1"/>
      <w:marLeft w:val="0"/>
      <w:marRight w:val="0"/>
      <w:marTop w:val="0"/>
      <w:marBottom w:val="0"/>
      <w:divBdr>
        <w:top w:val="none" w:sz="0" w:space="0" w:color="auto"/>
        <w:left w:val="none" w:sz="0" w:space="0" w:color="auto"/>
        <w:bottom w:val="none" w:sz="0" w:space="0" w:color="auto"/>
        <w:right w:val="none" w:sz="0" w:space="0" w:color="auto"/>
      </w:divBdr>
    </w:div>
    <w:div w:id="434792028">
      <w:bodyDiv w:val="1"/>
      <w:marLeft w:val="0"/>
      <w:marRight w:val="0"/>
      <w:marTop w:val="0"/>
      <w:marBottom w:val="0"/>
      <w:divBdr>
        <w:top w:val="none" w:sz="0" w:space="0" w:color="auto"/>
        <w:left w:val="none" w:sz="0" w:space="0" w:color="auto"/>
        <w:bottom w:val="none" w:sz="0" w:space="0" w:color="auto"/>
        <w:right w:val="none" w:sz="0" w:space="0" w:color="auto"/>
      </w:divBdr>
    </w:div>
    <w:div w:id="436213214">
      <w:bodyDiv w:val="1"/>
      <w:marLeft w:val="0"/>
      <w:marRight w:val="0"/>
      <w:marTop w:val="0"/>
      <w:marBottom w:val="0"/>
      <w:divBdr>
        <w:top w:val="none" w:sz="0" w:space="0" w:color="auto"/>
        <w:left w:val="none" w:sz="0" w:space="0" w:color="auto"/>
        <w:bottom w:val="none" w:sz="0" w:space="0" w:color="auto"/>
        <w:right w:val="none" w:sz="0" w:space="0" w:color="auto"/>
      </w:divBdr>
    </w:div>
    <w:div w:id="486824021">
      <w:bodyDiv w:val="1"/>
      <w:marLeft w:val="0"/>
      <w:marRight w:val="0"/>
      <w:marTop w:val="0"/>
      <w:marBottom w:val="0"/>
      <w:divBdr>
        <w:top w:val="none" w:sz="0" w:space="0" w:color="auto"/>
        <w:left w:val="none" w:sz="0" w:space="0" w:color="auto"/>
        <w:bottom w:val="none" w:sz="0" w:space="0" w:color="auto"/>
        <w:right w:val="none" w:sz="0" w:space="0" w:color="auto"/>
      </w:divBdr>
    </w:div>
    <w:div w:id="550389340">
      <w:bodyDiv w:val="1"/>
      <w:marLeft w:val="0"/>
      <w:marRight w:val="0"/>
      <w:marTop w:val="0"/>
      <w:marBottom w:val="0"/>
      <w:divBdr>
        <w:top w:val="none" w:sz="0" w:space="0" w:color="auto"/>
        <w:left w:val="none" w:sz="0" w:space="0" w:color="auto"/>
        <w:bottom w:val="none" w:sz="0" w:space="0" w:color="auto"/>
        <w:right w:val="none" w:sz="0" w:space="0" w:color="auto"/>
      </w:divBdr>
    </w:div>
    <w:div w:id="571306780">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683556614">
      <w:bodyDiv w:val="1"/>
      <w:marLeft w:val="0"/>
      <w:marRight w:val="0"/>
      <w:marTop w:val="0"/>
      <w:marBottom w:val="0"/>
      <w:divBdr>
        <w:top w:val="none" w:sz="0" w:space="0" w:color="auto"/>
        <w:left w:val="none" w:sz="0" w:space="0" w:color="auto"/>
        <w:bottom w:val="none" w:sz="0" w:space="0" w:color="auto"/>
        <w:right w:val="none" w:sz="0" w:space="0" w:color="auto"/>
      </w:divBdr>
    </w:div>
    <w:div w:id="981079379">
      <w:bodyDiv w:val="1"/>
      <w:marLeft w:val="0"/>
      <w:marRight w:val="0"/>
      <w:marTop w:val="0"/>
      <w:marBottom w:val="0"/>
      <w:divBdr>
        <w:top w:val="none" w:sz="0" w:space="0" w:color="auto"/>
        <w:left w:val="none" w:sz="0" w:space="0" w:color="auto"/>
        <w:bottom w:val="none" w:sz="0" w:space="0" w:color="auto"/>
        <w:right w:val="none" w:sz="0" w:space="0" w:color="auto"/>
      </w:divBdr>
    </w:div>
    <w:div w:id="1064328925">
      <w:bodyDiv w:val="1"/>
      <w:marLeft w:val="0"/>
      <w:marRight w:val="0"/>
      <w:marTop w:val="0"/>
      <w:marBottom w:val="0"/>
      <w:divBdr>
        <w:top w:val="none" w:sz="0" w:space="0" w:color="auto"/>
        <w:left w:val="none" w:sz="0" w:space="0" w:color="auto"/>
        <w:bottom w:val="none" w:sz="0" w:space="0" w:color="auto"/>
        <w:right w:val="none" w:sz="0" w:space="0" w:color="auto"/>
      </w:divBdr>
    </w:div>
    <w:div w:id="1180923467">
      <w:bodyDiv w:val="1"/>
      <w:marLeft w:val="0"/>
      <w:marRight w:val="0"/>
      <w:marTop w:val="0"/>
      <w:marBottom w:val="0"/>
      <w:divBdr>
        <w:top w:val="none" w:sz="0" w:space="0" w:color="auto"/>
        <w:left w:val="none" w:sz="0" w:space="0" w:color="auto"/>
        <w:bottom w:val="none" w:sz="0" w:space="0" w:color="auto"/>
        <w:right w:val="none" w:sz="0" w:space="0" w:color="auto"/>
      </w:divBdr>
    </w:div>
    <w:div w:id="1235971480">
      <w:bodyDiv w:val="1"/>
      <w:marLeft w:val="0"/>
      <w:marRight w:val="0"/>
      <w:marTop w:val="0"/>
      <w:marBottom w:val="0"/>
      <w:divBdr>
        <w:top w:val="none" w:sz="0" w:space="0" w:color="auto"/>
        <w:left w:val="none" w:sz="0" w:space="0" w:color="auto"/>
        <w:bottom w:val="none" w:sz="0" w:space="0" w:color="auto"/>
        <w:right w:val="none" w:sz="0" w:space="0" w:color="auto"/>
      </w:divBdr>
    </w:div>
    <w:div w:id="1278834275">
      <w:bodyDiv w:val="1"/>
      <w:marLeft w:val="0"/>
      <w:marRight w:val="0"/>
      <w:marTop w:val="0"/>
      <w:marBottom w:val="0"/>
      <w:divBdr>
        <w:top w:val="none" w:sz="0" w:space="0" w:color="auto"/>
        <w:left w:val="none" w:sz="0" w:space="0" w:color="auto"/>
        <w:bottom w:val="none" w:sz="0" w:space="0" w:color="auto"/>
        <w:right w:val="none" w:sz="0" w:space="0" w:color="auto"/>
      </w:divBdr>
    </w:div>
    <w:div w:id="1343362960">
      <w:bodyDiv w:val="1"/>
      <w:marLeft w:val="0"/>
      <w:marRight w:val="0"/>
      <w:marTop w:val="0"/>
      <w:marBottom w:val="0"/>
      <w:divBdr>
        <w:top w:val="none" w:sz="0" w:space="0" w:color="auto"/>
        <w:left w:val="none" w:sz="0" w:space="0" w:color="auto"/>
        <w:bottom w:val="none" w:sz="0" w:space="0" w:color="auto"/>
        <w:right w:val="none" w:sz="0" w:space="0" w:color="auto"/>
      </w:divBdr>
    </w:div>
    <w:div w:id="1350183321">
      <w:bodyDiv w:val="1"/>
      <w:marLeft w:val="0"/>
      <w:marRight w:val="0"/>
      <w:marTop w:val="0"/>
      <w:marBottom w:val="0"/>
      <w:divBdr>
        <w:top w:val="none" w:sz="0" w:space="0" w:color="auto"/>
        <w:left w:val="none" w:sz="0" w:space="0" w:color="auto"/>
        <w:bottom w:val="none" w:sz="0" w:space="0" w:color="auto"/>
        <w:right w:val="none" w:sz="0" w:space="0" w:color="auto"/>
      </w:divBdr>
    </w:div>
    <w:div w:id="1437213290">
      <w:bodyDiv w:val="1"/>
      <w:marLeft w:val="0"/>
      <w:marRight w:val="0"/>
      <w:marTop w:val="0"/>
      <w:marBottom w:val="0"/>
      <w:divBdr>
        <w:top w:val="none" w:sz="0" w:space="0" w:color="auto"/>
        <w:left w:val="none" w:sz="0" w:space="0" w:color="auto"/>
        <w:bottom w:val="none" w:sz="0" w:space="0" w:color="auto"/>
        <w:right w:val="none" w:sz="0" w:space="0" w:color="auto"/>
      </w:divBdr>
    </w:div>
    <w:div w:id="1585803663">
      <w:bodyDiv w:val="1"/>
      <w:marLeft w:val="0"/>
      <w:marRight w:val="0"/>
      <w:marTop w:val="0"/>
      <w:marBottom w:val="0"/>
      <w:divBdr>
        <w:top w:val="none" w:sz="0" w:space="0" w:color="auto"/>
        <w:left w:val="none" w:sz="0" w:space="0" w:color="auto"/>
        <w:bottom w:val="none" w:sz="0" w:space="0" w:color="auto"/>
        <w:right w:val="none" w:sz="0" w:space="0" w:color="auto"/>
      </w:divBdr>
    </w:div>
    <w:div w:id="1610817054">
      <w:bodyDiv w:val="1"/>
      <w:marLeft w:val="0"/>
      <w:marRight w:val="0"/>
      <w:marTop w:val="0"/>
      <w:marBottom w:val="0"/>
      <w:divBdr>
        <w:top w:val="none" w:sz="0" w:space="0" w:color="auto"/>
        <w:left w:val="none" w:sz="0" w:space="0" w:color="auto"/>
        <w:bottom w:val="none" w:sz="0" w:space="0" w:color="auto"/>
        <w:right w:val="none" w:sz="0" w:space="0" w:color="auto"/>
      </w:divBdr>
    </w:div>
    <w:div w:id="19837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regdoc/rep/1/2016/EL/1-2016-381-EL-F1-1.PDF" TargetMode="External"/><Relationship Id="rId13" Type="http://schemas.openxmlformats.org/officeDocument/2006/relationships/hyperlink" Target="http://eur-lex.europa.eu/LexUriServ/LexUriServ.do?uri=OJ:C:2016:487:SOM:EL:HTML" TargetMode="External"/><Relationship Id="rId3" Type="http://schemas.openxmlformats.org/officeDocument/2006/relationships/hyperlink" Target="http://eur-lex.europa.eu/legal-content/EL/TXT/?uri=COM%3A2017%3A572%3AFIN" TargetMode="External"/><Relationship Id="rId7" Type="http://schemas.openxmlformats.org/officeDocument/2006/relationships/hyperlink" Target="http://eur-lex.europa.eu/legal-content/EL/TXT/?uri=uriserv:OJ.C_.2017.173.01.0055.01.ELL&amp;toc=OJ:C:2017:173:TOC" TargetMode="External"/><Relationship Id="rId12" Type="http://schemas.openxmlformats.org/officeDocument/2006/relationships/hyperlink" Target="http://eur-lex.europa.eu/legal-content/EL/TXT/HTML/?uri=CELEX:52016IE6805&amp;from=EL" TargetMode="External"/><Relationship Id="rId2" Type="http://schemas.openxmlformats.org/officeDocument/2006/relationships/hyperlink" Target="http://eur-lex.europa.eu/legal-content/EL/TXT/HTML/?uri=CELEX:32017R0825&amp;from=EL" TargetMode="External"/><Relationship Id="rId16" Type="http://schemas.openxmlformats.org/officeDocument/2006/relationships/hyperlink" Target="http://eur-lex.europa.eu/legal-content/EL/TXT/HTML/?uri=CELEX:52016IE6805&amp;from=EL" TargetMode="External"/><Relationship Id="rId1" Type="http://schemas.openxmlformats.org/officeDocument/2006/relationships/hyperlink" Target="https://ec.europa.eu/info/publications/2018-european-semester-draft-joint-employment-report_en" TargetMode="External"/><Relationship Id="rId6" Type="http://schemas.openxmlformats.org/officeDocument/2006/relationships/hyperlink" Target="http://www.eesc.europa.eu/el/node/57095" TargetMode="External"/><Relationship Id="rId11" Type="http://schemas.openxmlformats.org/officeDocument/2006/relationships/hyperlink" Target="http://eur-lex.europa.eu/legal-content/EL/TXT/?uri=uriserv:OJ.C_.2017.173.01.0055.01.ELL&amp;toc=OJ:C:2017:345:TOC" TargetMode="External"/><Relationship Id="rId5" Type="http://schemas.openxmlformats.org/officeDocument/2006/relationships/hyperlink" Target="http://eur-lex.europa.eu/legal-content/EL/TXT/?uri=uriserv:OJ.C_.2017.173.01.0055.01.ELL&amp;toc=OJ:C:2017:173:TOC" TargetMode="External"/><Relationship Id="rId15" Type="http://schemas.openxmlformats.org/officeDocument/2006/relationships/hyperlink" Target="http://eur-lex.europa.eu/legal-content/EL/TXT/HTML/?uri=CELEX:52016IE6805&amp;from=EL" TargetMode="External"/><Relationship Id="rId10" Type="http://schemas.openxmlformats.org/officeDocument/2006/relationships/hyperlink" Target="http://www.eesc.europa.eu/el/node/53907" TargetMode="External"/><Relationship Id="rId4" Type="http://schemas.openxmlformats.org/officeDocument/2006/relationships/hyperlink" Target="http://eur-lex.europa.eu/legal-content/EL/TXT/HTML/?uri=CELEX:52016IE6805&amp;from=EL" TargetMode="External"/><Relationship Id="rId9" Type="http://schemas.openxmlformats.org/officeDocument/2006/relationships/hyperlink" Target="https://ec.europa.eu/info/publications/2018-european-semester-draft-joint-employment-report_en" TargetMode="External"/><Relationship Id="rId14" Type="http://schemas.openxmlformats.org/officeDocument/2006/relationships/hyperlink" Target="http://eur-lex.europa.eu/legal-content/EL/TXT/HTML/?uri=CELEX:52016IE6805&amp;fro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LongProp xmlns="" name="AvailableTranslations_0"><![CDATA[HU|6b229040-c589-4408-b4c1-4285663d20a8;PT|50ccc04a-eadd-42ae-a0cb-acaf45f812ba;EN|f2175f21-25d7-44a3-96da-d6a61b075e1b;DE|f6b31e5a-26fa-4935-b661-318e46daf27e;ES|e7a6b05b-ae16-40c8-add9-68b64b03aeba;IT|0774613c-01ed-4e5d-a25d-11d2388de825;FR|d2afafd3-4c81-4f60-8f52-ee33f2f54ff3;EL|6d4f4d51-af9b-4650-94b4-4276bee85c91;DA|5d49c027-8956-412b-aa16-e85a0f96ad0e]]></LongProp>
</Long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8" ma:contentTypeDescription="Defines the documents for Document Manager V2" ma:contentTypeScope="" ma:versionID="63837560bba44dbd940ddd94a059fda1">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518f8d20e8fbf3c3c5ef1975d081338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WTPCSN73YJ26-8-10583</_dlc_DocId>
    <_dlc_DocIdUrl xmlns="8a3471f6-0f36-4ccf-b5ee-1ca67ea797ef">
      <Url>http://dm/EESC/2017/_layouts/DocIdRedir.aspx?ID=WTPCSN73YJ26-8-10583</Url>
      <Description>WTPCSN73YJ26-8-10583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aec2565f-fa8c-45b6-95fc-3f27706042d7" xsi:nil="true"/>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SC</TermName>
          <TermId xmlns="http://schemas.microsoft.com/office/infopath/2007/PartnerControls">93464e17-450e-4474-bc4c-bdfb737ca28f</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2018-03-19T12:00:00+00:00</ProductionDate>
    <DocumentNumber xmlns="aec2565f-fa8c-45b6-95fc-3f27706042d7">5429</DocumentNumber>
    <FicheYear xmlns="8a3471f6-0f36-4ccf-b5ee-1ca67ea797ef">2017</FicheYear>
    <DocumentVersion xmlns="8a3471f6-0f36-4ccf-b5ee-1ca67ea797ef">1</DocumentVersion>
    <DossierNumber xmlns="8a3471f6-0f36-4ccf-b5ee-1ca67ea797ef">50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32</Value>
      <Value>38</Value>
      <Value>37</Value>
      <Value>36</Value>
      <Value>35</Value>
      <Value>34</Value>
      <Value>33</Value>
      <Value>26</Value>
      <Value>31</Value>
      <Value>30</Value>
      <Value>29</Value>
      <Value>28</Value>
      <Value>27</Value>
      <Value>24</Value>
      <Value>25</Value>
      <Value>165</Value>
      <Value>23</Value>
      <Value>22</Value>
      <Value>18</Value>
      <Value>15</Value>
      <Value>14</Value>
      <Value>12</Value>
      <Value>8</Value>
      <Value>96</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8a3471f6-0f36-4ccf-b5ee-1ca67ea797ef">DIMITRIADIS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3546</FicheNumber>
    <DocumentYear xmlns="8a3471f6-0f36-4ccf-b5ee-1ca67ea797ef">2017</DocumentYear>
    <AdoptionDate xmlns="8a3471f6-0f36-4ccf-b5ee-1ca67ea797ef">2018-02-14T12:00:00+00:00</AdoptionDate>
    <DocumentPart xmlns="8a3471f6-0f36-4ccf-b5ee-1ca67ea797ef">0</DocumentPart>
    <MeetingName_0 xmlns="http://schemas.microsoft.com/sharepoint/v3/fields">
      <Terms xmlns="http://schemas.microsoft.com/office/infopath/2007/PartnerControls"/>
    </MeetingName_0>
    <RequestingService xmlns="8a3471f6-0f36-4ccf-b5ee-1ca67ea797ef">Europe 2020 - Comite de pilotage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OriginalSender xmlns="8a3471f6-0f36-4ccf-b5ee-1ca67ea797ef">
      <UserInfo>
        <DisplayName/>
        <AccountId xsi:nil="true"/>
        <AccountType/>
      </UserInfo>
    </OriginalSend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074A2-AF56-40B3-8700-2BFCA3EEA0D2}"/>
</file>

<file path=customXml/itemProps2.xml><?xml version="1.0" encoding="utf-8"?>
<ds:datastoreItem xmlns:ds="http://schemas.openxmlformats.org/officeDocument/2006/customXml" ds:itemID="{C8CB7AD2-8D5B-4E14-97FE-0EBA74004A22}"/>
</file>

<file path=customXml/itemProps3.xml><?xml version="1.0" encoding="utf-8"?>
<ds:datastoreItem xmlns:ds="http://schemas.openxmlformats.org/officeDocument/2006/customXml" ds:itemID="{215F0DEF-3980-4D0F-AC6C-BDF23880ADB8}"/>
</file>

<file path=customXml/itemProps4.xml><?xml version="1.0" encoding="utf-8"?>
<ds:datastoreItem xmlns:ds="http://schemas.openxmlformats.org/officeDocument/2006/customXml" ds:itemID="{CC2E0AE3-3654-463F-A838-4007937A4F96}"/>
</file>

<file path=customXml/itemProps5.xml><?xml version="1.0" encoding="utf-8"?>
<ds:datastoreItem xmlns:ds="http://schemas.openxmlformats.org/officeDocument/2006/customXml" ds:itemID="{B82C83DE-3825-41B4-B9FC-1DD3FA2B85CC}"/>
</file>

<file path=customXml/itemProps6.xml><?xml version="1.0" encoding="utf-8"?>
<ds:datastoreItem xmlns:ds="http://schemas.openxmlformats.org/officeDocument/2006/customXml" ds:itemID="{FC0C06CC-4883-4988-8B49-B549DB47EE28}"/>
</file>

<file path=docProps/app.xml><?xml version="1.0" encoding="utf-8"?>
<Properties xmlns="http://schemas.openxmlformats.org/officeDocument/2006/extended-properties" xmlns:vt="http://schemas.openxmlformats.org/officeDocument/2006/docPropsVTypes">
  <Template>Normal</Template>
  <TotalTime>0</TotalTime>
  <Pages>2</Pages>
  <Words>4139</Words>
  <Characters>23593</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Annual Growth Survey 2018</vt:lpstr>
      <vt:lpstr>European Agenda on Migration: Second implementation package - A permanent crisis relocation mechanism under the Dublin system</vt:lpstr>
    </vt:vector>
  </TitlesOfParts>
  <Company>CESE-CdR</Company>
  <LinksUpToDate>false</LinksUpToDate>
  <CharactersWithSpaces>27677</CharactersWithSpaces>
  <SharedDoc>false</SharedDoc>
  <HLinks>
    <vt:vector size="108" baseType="variant">
      <vt:variant>
        <vt:i4>6160417</vt:i4>
      </vt:variant>
      <vt:variant>
        <vt:i4>0</vt:i4>
      </vt:variant>
      <vt:variant>
        <vt:i4>0</vt:i4>
      </vt:variant>
      <vt:variant>
        <vt:i4>5</vt:i4>
      </vt:variant>
      <vt:variant>
        <vt:lpwstr>mailto:ags2018@eesc.europa.eu</vt:lpwstr>
      </vt:variant>
      <vt:variant>
        <vt:lpwstr/>
      </vt:variant>
      <vt:variant>
        <vt:i4>3211323</vt:i4>
      </vt:variant>
      <vt:variant>
        <vt:i4>60</vt:i4>
      </vt:variant>
      <vt:variant>
        <vt:i4>0</vt:i4>
      </vt:variant>
      <vt:variant>
        <vt:i4>5</vt:i4>
      </vt:variant>
      <vt:variant>
        <vt:lpwstr>http://www.eesc.europa.eu/en/our-work/opinions-information-reports/opinions/impact-social-dimension-european-pillar-social-rights-future-eu</vt:lpwstr>
      </vt:variant>
      <vt:variant>
        <vt:lpwstr/>
      </vt:variant>
      <vt:variant>
        <vt:i4>3211323</vt:i4>
      </vt:variant>
      <vt:variant>
        <vt:i4>57</vt:i4>
      </vt:variant>
      <vt:variant>
        <vt:i4>0</vt:i4>
      </vt:variant>
      <vt:variant>
        <vt:i4>5</vt:i4>
      </vt:variant>
      <vt:variant>
        <vt:lpwstr>http://www.eesc.europa.eu/en/our-work/opinions-information-reports/opinions/impact-social-dimension-european-pillar-social-rights-future-eu</vt:lpwstr>
      </vt:variant>
      <vt:variant>
        <vt:lpwstr/>
      </vt:variant>
      <vt:variant>
        <vt:i4>1114121</vt:i4>
      </vt:variant>
      <vt:variant>
        <vt:i4>54</vt:i4>
      </vt:variant>
      <vt:variant>
        <vt:i4>0</vt:i4>
      </vt:variant>
      <vt:variant>
        <vt:i4>5</vt:i4>
      </vt:variant>
      <vt:variant>
        <vt:lpwstr>http://www.eesc.europa.eu/en/our-work/opinions-information-reports/opinions/eu-finances-2025</vt:lpwstr>
      </vt:variant>
      <vt:variant>
        <vt:lpwstr/>
      </vt:variant>
      <vt:variant>
        <vt:i4>3014692</vt:i4>
      </vt:variant>
      <vt:variant>
        <vt:i4>51</vt:i4>
      </vt:variant>
      <vt:variant>
        <vt:i4>0</vt:i4>
      </vt:variant>
      <vt:variant>
        <vt:i4>5</vt:i4>
      </vt:variant>
      <vt:variant>
        <vt:lpwstr>http://eur-lex.europa.eu/LexUriServ/LexUriServ.do?uri=OJ:C:2016:487:SOM:EN:HTML</vt:lpwstr>
      </vt:variant>
      <vt:variant>
        <vt:lpwstr/>
      </vt:variant>
      <vt:variant>
        <vt:i4>7929906</vt:i4>
      </vt:variant>
      <vt:variant>
        <vt:i4>39</vt:i4>
      </vt:variant>
      <vt:variant>
        <vt:i4>0</vt:i4>
      </vt:variant>
      <vt:variant>
        <vt:i4>5</vt:i4>
      </vt:variant>
      <vt:variant>
        <vt:lpwstr>http://www.eesc.europa.eu/en/our-work/opinions-information-reports/opinions/family-and-traditional-businesses-regional-development</vt:lpwstr>
      </vt:variant>
      <vt:variant>
        <vt:lpwstr/>
      </vt:variant>
      <vt:variant>
        <vt:i4>7602297</vt:i4>
      </vt:variant>
      <vt:variant>
        <vt:i4>36</vt:i4>
      </vt:variant>
      <vt:variant>
        <vt:i4>0</vt:i4>
      </vt:variant>
      <vt:variant>
        <vt:i4>5</vt:i4>
      </vt:variant>
      <vt:variant>
        <vt:lpwstr>http://www.eesc.europa.eu/en/our-work/opinions-information-reports/opinions/effectiveness-policies-smes</vt:lpwstr>
      </vt:variant>
      <vt:variant>
        <vt:lpwstr/>
      </vt:variant>
      <vt:variant>
        <vt:i4>2424877</vt:i4>
      </vt:variant>
      <vt:variant>
        <vt:i4>30</vt:i4>
      </vt:variant>
      <vt:variant>
        <vt:i4>0</vt:i4>
      </vt:variant>
      <vt:variant>
        <vt:i4>5</vt:i4>
      </vt:variant>
      <vt:variant>
        <vt:lpwstr>http://www.eesc.europa.eu/en/our-work/opinions-information-reports/opinions/euro-area-economic-policy-2018</vt:lpwstr>
      </vt:variant>
      <vt:variant>
        <vt:lpwstr/>
      </vt:variant>
      <vt:variant>
        <vt:i4>5963877</vt:i4>
      </vt:variant>
      <vt:variant>
        <vt:i4>27</vt:i4>
      </vt:variant>
      <vt:variant>
        <vt:i4>0</vt:i4>
      </vt:variant>
      <vt:variant>
        <vt:i4>5</vt:i4>
      </vt:variant>
      <vt:variant>
        <vt:lpwstr>https://ec.europa.eu/info/publications/2018-european-semester-draft-joint-employment-report_en</vt:lpwstr>
      </vt:variant>
      <vt:variant>
        <vt:lpwstr/>
      </vt:variant>
      <vt:variant>
        <vt:i4>1441886</vt:i4>
      </vt:variant>
      <vt:variant>
        <vt:i4>24</vt:i4>
      </vt:variant>
      <vt:variant>
        <vt:i4>0</vt:i4>
      </vt:variant>
      <vt:variant>
        <vt:i4>5</vt:i4>
      </vt:variant>
      <vt:variant>
        <vt:lpwstr>https://ec.europa.eu/transparency/regdoc/rep/1/2016/EN/1-2016-381-EN-F1-1.PDF</vt:lpwstr>
      </vt:variant>
      <vt:variant>
        <vt:lpwstr/>
      </vt:variant>
      <vt:variant>
        <vt:i4>1048590</vt:i4>
      </vt:variant>
      <vt:variant>
        <vt:i4>21</vt:i4>
      </vt:variant>
      <vt:variant>
        <vt:i4>0</vt:i4>
      </vt:variant>
      <vt:variant>
        <vt:i4>5</vt:i4>
      </vt:variant>
      <vt:variant>
        <vt:lpwstr>http://www.eesc.europa.eu/en/our-work/opinions-information-reports/opinions/annual-growth-survey-2017</vt:lpwstr>
      </vt:variant>
      <vt:variant>
        <vt:lpwstr/>
      </vt:variant>
      <vt:variant>
        <vt:i4>2097193</vt:i4>
      </vt:variant>
      <vt:variant>
        <vt:i4>18</vt:i4>
      </vt:variant>
      <vt:variant>
        <vt:i4>0</vt:i4>
      </vt:variant>
      <vt:variant>
        <vt:i4>5</vt:i4>
      </vt:variant>
      <vt:variant>
        <vt:lpwstr>http://www.eesc.europa.eu/en/our-work/opinions-information-reports/opinions/economic-and-monetary-union-package</vt:lpwstr>
      </vt:variant>
      <vt:variant>
        <vt:lpwstr/>
      </vt:variant>
      <vt:variant>
        <vt:i4>2752557</vt:i4>
      </vt:variant>
      <vt:variant>
        <vt:i4>15</vt:i4>
      </vt:variant>
      <vt:variant>
        <vt:i4>0</vt:i4>
      </vt:variant>
      <vt:variant>
        <vt:i4>5</vt:i4>
      </vt:variant>
      <vt:variant>
        <vt:lpwstr>http://www.eesc.europa.eu/en/our-work/opinions-information-reports/opinions/euro-area-economic-policy-2017</vt:lpwstr>
      </vt:variant>
      <vt:variant>
        <vt:lpwstr/>
      </vt:variant>
      <vt:variant>
        <vt:i4>3407975</vt:i4>
      </vt:variant>
      <vt:variant>
        <vt:i4>12</vt:i4>
      </vt:variant>
      <vt:variant>
        <vt:i4>0</vt:i4>
      </vt:variant>
      <vt:variant>
        <vt:i4>5</vt:i4>
      </vt:variant>
      <vt:variant>
        <vt:lpwstr>http://www.eesc.europa.eu/en/our-work/opinions-information-reports/opinions/transition-towards-more-sustainable-european-future</vt:lpwstr>
      </vt:variant>
      <vt:variant>
        <vt:lpwstr/>
      </vt:variant>
      <vt:variant>
        <vt:i4>917515</vt:i4>
      </vt:variant>
      <vt:variant>
        <vt:i4>9</vt:i4>
      </vt:variant>
      <vt:variant>
        <vt:i4>0</vt:i4>
      </vt:variant>
      <vt:variant>
        <vt:i4>5</vt:i4>
      </vt:variant>
      <vt:variant>
        <vt:lpwstr>http://eur-lex.europa.eu/legal-content/EN/TXT/?uri=COM%3A2017%3A572%3AFIN</vt:lpwstr>
      </vt:variant>
      <vt:variant>
        <vt:lpwstr/>
      </vt:variant>
      <vt:variant>
        <vt:i4>5308473</vt:i4>
      </vt:variant>
      <vt:variant>
        <vt:i4>6</vt:i4>
      </vt:variant>
      <vt:variant>
        <vt:i4>0</vt:i4>
      </vt:variant>
      <vt:variant>
        <vt:i4>5</vt:i4>
      </vt:variant>
      <vt:variant>
        <vt:lpwstr>http://eur-lex.europa.eu/legal-content/EN/TXT/?uri=uriserv%3AOJ.L_.2017.129.01.0001.01.ENG</vt:lpwstr>
      </vt:variant>
      <vt:variant>
        <vt:lpwstr/>
      </vt:variant>
      <vt:variant>
        <vt:i4>3407975</vt:i4>
      </vt:variant>
      <vt:variant>
        <vt:i4>3</vt:i4>
      </vt:variant>
      <vt:variant>
        <vt:i4>0</vt:i4>
      </vt:variant>
      <vt:variant>
        <vt:i4>5</vt:i4>
      </vt:variant>
      <vt:variant>
        <vt:lpwstr>http://www.eesc.europa.eu/en/our-work/opinions-information-reports/opinions/transition-towards-more-sustainable-european-future</vt:lpwstr>
      </vt:variant>
      <vt:variant>
        <vt:lpwstr/>
      </vt:variant>
      <vt:variant>
        <vt:i4>5963877</vt:i4>
      </vt:variant>
      <vt:variant>
        <vt:i4>0</vt:i4>
      </vt:variant>
      <vt:variant>
        <vt:i4>0</vt:i4>
      </vt:variant>
      <vt:variant>
        <vt:i4>5</vt:i4>
      </vt:variant>
      <vt:variant>
        <vt:lpwstr>https://ec.europa.eu/info/publications/2018-european-semester-draft-joint-employment-report_en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Ετήσια επισκόπηση της ανάπτυξης 2018</dc:title>
  <dc:subject>Γνωμοδότηση της Επιτροπής</dc:subject>
  <dc:creator>Tomas Vocasek</dc:creator>
  <cp:keywords>EESC-2017-05429-00-01-AC-TRA-EN</cp:keywords>
  <dc:description>Rapporteur: DIMITRIADIS - Original language: EN - Date of document: 19/03/2018 - Date of meeting:  - External documents: COM(2017)690-final - Administrator: Mme Johansson Eva Marie Susanne</dc:description>
  <cp:lastModifiedBy>TDriveSVCUserAccpt</cp:lastModifiedBy>
  <cp:revision>8</cp:revision>
  <cp:lastPrinted>2018-01-31T08:35:00Z</cp:lastPrinted>
  <dcterms:created xsi:type="dcterms:W3CDTF">2018-03-19T11:07:00Z</dcterms:created>
  <dcterms:modified xsi:type="dcterms:W3CDTF">2022-04-09T02:28:00Z</dcterms:modified>
  <cp:category>SC/50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19/03/2018, 16/02/2018, 16/02/2018, 07/02/2018, 05/02/2018, 05/02/2018, 22/01/2018, 22/01/2018, 16/01/2018, 16/01/2018, 16/01/2018, 19/12/2017, 19/12/2017, 04/11/2015, 27/10/2015, 19/10/2015, 09/10/2015, 05/10/2015, 05/10/2015, 26/08/2015, 26/08/2015, 25/</vt:lpwstr>
  </property>
  <property fmtid="{D5CDD505-2E9C-101B-9397-08002B2CF9AE}" pid="4" name="Pref_Time">
    <vt:lpwstr>12:04:07, 10:22:23, 10:02:26, 10:24:54, 16:12:36, 16:08:50, 17:26:52, 17:18:12, 11:22:12, 11:08:38, 10:01:32, 14:38:48, 14:09:56, 12:10:07, 14:44:02, 16:04:16, 14:09:30, 16:24:55, 16:04:02, 08:56:14, 07:27:56, 17:31:53</vt:lpwstr>
  </property>
  <property fmtid="{D5CDD505-2E9C-101B-9397-08002B2CF9AE}" pid="5" name="Pref_User">
    <vt:lpwstr>tvoc, mreg, nmcg, mkop, mkop, htoo, mkop, htoo, mreg, mreg, htoo, hnic, htoo, ssex, enied, amett, tvoc, mreg, mreg, amett, enied, ssex</vt:lpwstr>
  </property>
  <property fmtid="{D5CDD505-2E9C-101B-9397-08002B2CF9AE}" pid="6" name="Pref_FileName">
    <vt:lpwstr>EESC-2017-05429-00-01-AC-ORI.docx, EESC-2017-05429-00-00-AC-TRA-EN-CRR.docx, EESC-2017-05429-00-00-AC-CRR-EN.docx, EESC-2017-05429-00-01-PAC-ORI.docx, EESC-2017-05429-00-00-PAC-TRA-EN-CRR.docx, EESC-2017-05429-00-00-PAC-CRR-EN.docx, EESC-2017-05429-00-00-</vt:lpwstr>
  </property>
  <property fmtid="{D5CDD505-2E9C-101B-9397-08002B2CF9AE}" pid="7" name="ContentTypeId">
    <vt:lpwstr>0x010100EA97B91038054C99906057A708A1480A0098B203C585D2E54E8477D21D46703D0B</vt:lpwstr>
  </property>
  <property fmtid="{D5CDD505-2E9C-101B-9397-08002B2CF9AE}" pid="8" name="_dlc_DocIdItemGuid">
    <vt:lpwstr>1025a314-ef10-4307-8514-a77f06b5a3d3</vt:lpwstr>
  </property>
  <property fmtid="{D5CDD505-2E9C-101B-9397-08002B2CF9AE}" pid="9" name="DocumentType_0">
    <vt:lpwstr>AC|a4cc1d15-fb08-4679-ad46-e4e0cba5fe92</vt:lpwstr>
  </property>
  <property fmtid="{D5CDD505-2E9C-101B-9397-08002B2CF9AE}" pid="10" name="AvailableTranslations">
    <vt:lpwstr>37;#RO|feb747a2-64cd-4299-af12-4833ddc30497;#36;#BG|1a1b3951-7821-4e6a-85f5-5673fc08bd2c;#33;#PL|1e03da61-4678-4e07-b136-b5024ca9197b;#15;#PT|50ccc04a-eadd-42ae-a0cb-acaf45f812ba;#8;#FR|d2afafd3-4c81-4f60-8f52-ee33f2f54ff3;#35;#SL|98a412ae-eb01-49e9-ae3d-</vt:lpwstr>
  </property>
  <property fmtid="{D5CDD505-2E9C-101B-9397-08002B2CF9AE}" pid="11" name="DossierName_0">
    <vt:lpwstr>SC|93464e17-450e-4474-bc4c-bdfb737ca28f</vt:lpwstr>
  </property>
  <property fmtid="{D5CDD505-2E9C-101B-9397-08002B2CF9AE}" pid="12" name="DocumentSource_0">
    <vt:lpwstr>EESC|422833ec-8d7e-4e65-8e4e-8bed07ffb729</vt:lpwstr>
  </property>
  <property fmtid="{D5CDD505-2E9C-101B-9397-08002B2CF9AE}" pid="13" name="FicheYear">
    <vt:i4>2017</vt:i4>
  </property>
  <property fmtid="{D5CDD505-2E9C-101B-9397-08002B2CF9AE}" pid="14" name="DocumentNumber">
    <vt:i4>5429</vt:i4>
  </property>
  <property fmtid="{D5CDD505-2E9C-101B-9397-08002B2CF9AE}" pid="15" name="DocumentVersion">
    <vt:i4>1</vt:i4>
  </property>
  <property fmtid="{D5CDD505-2E9C-101B-9397-08002B2CF9AE}" pid="16" name="DossierNumber">
    <vt:i4>50</vt:i4>
  </property>
  <property fmtid="{D5CDD505-2E9C-101B-9397-08002B2CF9AE}" pid="17" name="DocumentSource">
    <vt:lpwstr>1;#EESC|422833ec-8d7e-4e65-8e4e-8bed07ffb729</vt:lpwstr>
  </property>
  <property fmtid="{D5CDD505-2E9C-101B-9397-08002B2CF9AE}" pid="18" name="AdoptionDate">
    <vt:filetime>2018-02-14T12:00:00Z</vt:filetime>
  </property>
  <property fmtid="{D5CDD505-2E9C-101B-9397-08002B2CF9AE}" pid="19" name="DocumentType">
    <vt:lpwstr>96;#AC|a4cc1d15-fb08-4679-ad46-e4e0cba5fe92</vt:lpwstr>
  </property>
  <property fmtid="{D5CDD505-2E9C-101B-9397-08002B2CF9AE}" pid="20" name="DocumentStatus">
    <vt:lpwstr>2;#TRA|150d2a88-1431-44e6-a8ca-0bb753ab8672</vt:lpwstr>
  </property>
  <property fmtid="{D5CDD505-2E9C-101B-9397-08002B2CF9AE}" pid="21" name="DossierName">
    <vt:lpwstr>165;#SC|93464e17-450e-4474-bc4c-bdfb737ca28f</vt:lpwstr>
  </property>
  <property fmtid="{D5CDD505-2E9C-101B-9397-08002B2CF9AE}" pid="22" name="DocumentPart">
    <vt:i4>0</vt:i4>
  </property>
  <property fmtid="{D5CDD505-2E9C-101B-9397-08002B2CF9AE}" pid="23" name="RequestingService">
    <vt:lpwstr>Europe 2020 - Comite de pilotage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15;#PT|50ccc04a-eadd-42ae-a0cb-acaf45f812ba;#14;#ES|e7a6b05b-ae16-40c8-add9-68b64b03aeba;#12;#NL|55c6556c-b4f4-441d-9acf-c498d4f838bd;#31;#LT|a7ff5ce7-6123-4f68-865a-a57c31810414;#96;#AC|a4cc1d15-fb08-4679-ad46-e4e0cba5fe92;#6;#Final|ea5e6674-7b27-4bac-b0</vt:lpwstr>
  </property>
  <property fmtid="{D5CDD505-2E9C-101B-9397-08002B2CF9AE}" pid="32" name="AvailableTranslations_0">
    <vt:lpwstr>PT|50ccc04a-eadd-42ae-a0cb-acaf45f812ba;NL|55c6556c-b4f4-441d-9acf-c498d4f838bd;LT|a7ff5ce7-6123-4f68-865a-a57c31810414;DA|5d49c027-8956-412b-aa16-e85a0f96ad0e;ES|e7a6b05b-ae16-40c8-add9-68b64b03aeba;EN|f2175f21-25d7-44a3-96da-d6a61b075e1b</vt:lpwstr>
  </property>
  <property fmtid="{D5CDD505-2E9C-101B-9397-08002B2CF9AE}" pid="33" name="VersionStatus">
    <vt:lpwstr>6;#Final|ea5e6674-7b27-4bac-b091-73adbb394efe</vt:lpwstr>
  </property>
  <property fmtid="{D5CDD505-2E9C-101B-9397-08002B2CF9AE}" pid="34" name="Rapporteur">
    <vt:lpwstr>DIMITRIADIS</vt:lpwstr>
  </property>
  <property fmtid="{D5CDD505-2E9C-101B-9397-08002B2CF9AE}" pid="35" name="VersionStatus_0">
    <vt:lpwstr>Final|ea5e6674-7b27-4bac-b091-73adbb394efe</vt:lpwstr>
  </property>
  <property fmtid="{D5CDD505-2E9C-101B-9397-08002B2CF9AE}" pid="36" name="FicheNumber">
    <vt:i4>3546</vt:i4>
  </property>
  <property fmtid="{D5CDD505-2E9C-101B-9397-08002B2CF9AE}" pid="37" name="DocumentYear">
    <vt:i4>2017</vt:i4>
  </property>
  <property fmtid="{D5CDD505-2E9C-101B-9397-08002B2CF9AE}" pid="38" name="DocumentLanguage">
    <vt:lpwstr>24;#EL|6d4f4d51-af9b-4650-94b4-4276bee85c91</vt:lpwstr>
  </property>
</Properties>
</file>