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A662F" w14:textId="77777777" w:rsidR="000751F8" w:rsidRPr="00D86F92" w:rsidRDefault="00EC5181">
      <w:pPr>
        <w:jc w:val="center"/>
      </w:pPr>
      <w:r w:rsidRPr="00D86F92">
        <w:rPr>
          <w:noProof/>
          <w:lang w:val="en-GB" w:eastAsia="en-GB" w:bidi="ar-SA"/>
        </w:rPr>
        <w:drawing>
          <wp:inline distT="0" distB="0" distL="0" distR="0" wp14:anchorId="6E3B02F4" wp14:editId="68ED2FDE">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874395" cy="564515"/>
                    </a:xfrm>
                    <a:prstGeom prst="rect">
                      <a:avLst/>
                    </a:prstGeom>
                    <a:noFill/>
                    <a:ln>
                      <a:noFill/>
                    </a:ln>
                  </pic:spPr>
                </pic:pic>
              </a:graphicData>
            </a:graphic>
          </wp:inline>
        </w:drawing>
      </w:r>
      <w:r w:rsidRPr="00D86F92">
        <w:rPr>
          <w:noProof/>
          <w:lang w:val="en-GB" w:eastAsia="en-GB" w:bidi="ar-SA"/>
        </w:rPr>
        <mc:AlternateContent>
          <mc:Choice Requires="wps">
            <w:drawing>
              <wp:anchor distT="0" distB="0" distL="114300" distR="114300" simplePos="0" relativeHeight="251659264" behindDoc="1" locked="0" layoutInCell="0" allowOverlap="1" wp14:anchorId="6E5240C5" wp14:editId="648BBFB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wps:spPr>
                      <wps:txbx>
                        <w:txbxContent>
                          <w:p w14:paraId="792C373F" w14:textId="77777777" w:rsidR="00966522" w:rsidRPr="00C8609C" w:rsidRDefault="00966522">
                            <w:pPr>
                              <w:jc w:val="center"/>
                              <w:rPr>
                                <w:rFonts w:ascii="Arial" w:hAnsi="Arial" w:cs="Arial"/>
                                <w:b/>
                                <w:sz w:val="48"/>
                              </w:rPr>
                            </w:pPr>
                            <w:r>
                              <w:rPr>
                                <w:rFonts w:ascii="Arial" w:hAnsi="Arial"/>
                                <w:b/>
                                <w:sz w:val="48"/>
                              </w:rPr>
                              <w:t>BG</w:t>
                            </w:r>
                          </w:p>
                        </w:txbxContent>
                      </wps:txbx>
                      <wps:bodyPr rot="0" vert="horz" wrap="square" lIns="91440" tIns="45720" rIns="91440" bIns="45720" anchor="t" anchorCtr="0" upright="1">
                        <a:noAutofit/>
                      </wps:bodyPr>
                    </wps:wsp>
                  </a:graphicData>
                </a:graphic>
              </wp:anchor>
            </w:drawing>
          </mc:Choice>
          <mc:Fallback>
            <w:pict>
              <v:shapetype w14:anchorId="6E5240C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792C373F" w14:textId="77777777" w:rsidR="00966522" w:rsidRPr="00C8609C" w:rsidRDefault="00966522">
                      <w:pPr>
                        <w:jc w:val="center"/>
                        <w:rPr>
                          <w:rFonts w:ascii="Arial" w:hAnsi="Arial" w:cs="Arial"/>
                          <w:b/>
                          <w:sz w:val="48"/>
                        </w:rPr>
                      </w:pPr>
                      <w:r>
                        <w:rPr>
                          <w:rFonts w:ascii="Arial" w:hAnsi="Arial"/>
                          <w:b/>
                          <w:sz w:val="48"/>
                        </w:rPr>
                        <w:t>BG</w:t>
                      </w:r>
                    </w:p>
                  </w:txbxContent>
                </v:textbox>
                <w10:wrap anchorx="page" anchory="page"/>
              </v:shape>
            </w:pict>
          </mc:Fallback>
        </mc:AlternateContent>
      </w:r>
    </w:p>
    <w:p w14:paraId="353EC223" w14:textId="77777777" w:rsidR="000751F8" w:rsidRPr="00D86F92" w:rsidRDefault="00EC5181">
      <w:pPr>
        <w:jc w:val="center"/>
      </w:pPr>
      <w:r>
        <w:rPr>
          <w:rFonts w:ascii="Arial" w:hAnsi="Arial"/>
          <w:b/>
          <w:i/>
          <w:sz w:val="20"/>
        </w:rPr>
        <w:t>Европейски икономически и социален комитет</w:t>
      </w:r>
    </w:p>
    <w:p w14:paraId="43AA80DF" w14:textId="77777777" w:rsidR="000751F8" w:rsidRPr="00D86F92" w:rsidRDefault="000751F8"/>
    <w:p w14:paraId="7F1EC1C6" w14:textId="77777777" w:rsidR="000751F8" w:rsidRPr="00D86F92" w:rsidRDefault="00EC5181">
      <w:pPr>
        <w:jc w:val="right"/>
      </w:pPr>
      <w:r w:rsidRPr="00D86F92">
        <w:rPr>
          <w:b/>
        </w:rPr>
        <w:t>Подкомитет SC/049</w:t>
      </w:r>
    </w:p>
    <w:p w14:paraId="59FCD62B" w14:textId="77777777" w:rsidR="000751F8" w:rsidRPr="00D86F92" w:rsidRDefault="00EC5181">
      <w:pPr>
        <w:jc w:val="right"/>
      </w:pPr>
      <w:r w:rsidRPr="00D86F92">
        <w:rPr>
          <w:b/>
        </w:rPr>
        <w:t>Европейска гражданска инициатива</w:t>
      </w:r>
    </w:p>
    <w:p w14:paraId="53B11898" w14:textId="77777777" w:rsidR="000751F8" w:rsidRPr="00D86F92" w:rsidRDefault="000751F8"/>
    <w:p w14:paraId="4C096B6A" w14:textId="77777777" w:rsidR="000751F8" w:rsidRPr="00D86F92" w:rsidRDefault="000751F8" w:rsidP="00C8609C"/>
    <w:p w14:paraId="206AA670" w14:textId="6D315E5F" w:rsidR="000751F8" w:rsidRPr="00D86F92" w:rsidRDefault="00EC5181">
      <w:pPr>
        <w:jc w:val="center"/>
      </w:pPr>
      <w:r w:rsidRPr="00D86F92">
        <w:rPr>
          <w:b/>
          <w:sz w:val="28"/>
        </w:rPr>
        <w:t>СТАНОВИЩЕ</w:t>
      </w:r>
      <w:r w:rsidRPr="00D86F92">
        <w:rPr>
          <w:b/>
          <w:sz w:val="28"/>
        </w:rPr>
        <w:br/>
      </w:r>
      <w:r w:rsidRPr="00D86F92">
        <w:rPr>
          <w:b/>
        </w:rPr>
        <w:br/>
      </w:r>
      <w:r w:rsidRPr="00D86F92">
        <w:t xml:space="preserve">Европейски икономически и социален комитет </w:t>
      </w:r>
      <w:r w:rsidRPr="00D86F92">
        <w:br/>
      </w:r>
      <w:r w:rsidRPr="00D86F92">
        <w:br/>
      </w:r>
      <w:r w:rsidRPr="00D86F92">
        <w:rPr>
          <w:b/>
        </w:rPr>
        <w:t>Предложение за регламент на Европейския парламент и на Съвета относно Европейската гражданска инициатива</w:t>
      </w:r>
      <w:r w:rsidRPr="00D86F92">
        <w:t xml:space="preserve"> </w:t>
      </w:r>
      <w:r w:rsidRPr="00D86F92">
        <w:br/>
        <w:t>[COM(2017) 0482 final – 2017/0220 (COD)]</w:t>
      </w:r>
    </w:p>
    <w:p w14:paraId="367FE3DD" w14:textId="77777777" w:rsidR="000751F8" w:rsidRPr="00D86F92" w:rsidRDefault="000751F8">
      <w:pPr>
        <w:jc w:val="center"/>
      </w:pPr>
    </w:p>
    <w:p w14:paraId="0E18625F" w14:textId="77777777" w:rsidR="000751F8" w:rsidRPr="00D86F92" w:rsidRDefault="00EC5181">
      <w:pPr>
        <w:jc w:val="center"/>
      </w:pPr>
      <w:r w:rsidRPr="00D86F92">
        <w:t xml:space="preserve">Докладчик: </w:t>
      </w:r>
      <w:r w:rsidRPr="00D86F92">
        <w:rPr>
          <w:b/>
        </w:rPr>
        <w:t>Kinga Joó</w:t>
      </w:r>
    </w:p>
    <w:p w14:paraId="58828BDC" w14:textId="77777777" w:rsidR="000751F8" w:rsidRPr="00D86F92" w:rsidRDefault="000751F8" w:rsidP="00C8609C"/>
    <w:p w14:paraId="5774B8A6" w14:textId="77777777" w:rsidR="002E71C7" w:rsidRPr="00D86F92" w:rsidRDefault="002E71C7">
      <w:pPr>
        <w:sectPr w:rsidR="002E71C7" w:rsidRPr="00D86F92" w:rsidSect="00D86F92">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20"/>
          <w:docGrid w:linePitch="299"/>
        </w:sectPr>
      </w:pPr>
    </w:p>
    <w:tbl>
      <w:tblPr>
        <w:tblW w:w="9073" w:type="dxa"/>
        <w:tblLayout w:type="fixed"/>
        <w:tblLook w:val="04A0" w:firstRow="1" w:lastRow="0" w:firstColumn="1" w:lastColumn="0" w:noHBand="0" w:noVBand="1"/>
      </w:tblPr>
      <w:tblGrid>
        <w:gridCol w:w="3057"/>
        <w:gridCol w:w="6016"/>
      </w:tblGrid>
      <w:tr w:rsidR="000751F8" w:rsidRPr="00632C10" w14:paraId="0827E435" w14:textId="77777777">
        <w:tc>
          <w:tcPr>
            <w:tcW w:w="3057" w:type="dxa"/>
          </w:tcPr>
          <w:p w14:paraId="420A449D" w14:textId="4A46EFE4" w:rsidR="000751F8" w:rsidRPr="00632C10" w:rsidRDefault="00EC5181" w:rsidP="00C8609C">
            <w:r w:rsidRPr="00D86F92">
              <w:lastRenderedPageBreak/>
              <w:t xml:space="preserve">Консултация </w:t>
            </w:r>
          </w:p>
        </w:tc>
        <w:tc>
          <w:tcPr>
            <w:tcW w:w="6016" w:type="dxa"/>
          </w:tcPr>
          <w:p w14:paraId="1EF71686" w14:textId="2F6F79BB" w:rsidR="000751F8" w:rsidRPr="00632C10" w:rsidRDefault="00EC5181" w:rsidP="001D20D6">
            <w:r w:rsidRPr="00D86F92">
              <w:t>Европейска комисия, 13.9.2017 г. – Европейски парламент, 2.10.2017 г. – Съвет, 11.10.2017 г.</w:t>
            </w:r>
          </w:p>
        </w:tc>
      </w:tr>
      <w:tr w:rsidR="000751F8" w:rsidRPr="00632C10" w14:paraId="6F44FBD7" w14:textId="77777777">
        <w:trPr>
          <w:trHeight w:val="251"/>
        </w:trPr>
        <w:tc>
          <w:tcPr>
            <w:tcW w:w="3057" w:type="dxa"/>
          </w:tcPr>
          <w:p w14:paraId="7D6A6A57" w14:textId="77777777" w:rsidR="000751F8" w:rsidRPr="00632C10" w:rsidRDefault="00EC5181" w:rsidP="00C8609C">
            <w:r w:rsidRPr="00D86F92">
              <w:t>Правно основание</w:t>
            </w:r>
          </w:p>
        </w:tc>
        <w:tc>
          <w:tcPr>
            <w:tcW w:w="6016" w:type="dxa"/>
          </w:tcPr>
          <w:p w14:paraId="767E886F" w14:textId="2DA5FF04" w:rsidR="000751F8" w:rsidRPr="00632C10" w:rsidRDefault="00EC5181" w:rsidP="001D63C6">
            <w:r w:rsidRPr="00D86F92">
              <w:t>член 24 от Договора за функционирането на Европейския съюз</w:t>
            </w:r>
          </w:p>
        </w:tc>
      </w:tr>
      <w:tr w:rsidR="001D63C6" w:rsidRPr="00632C10" w14:paraId="661E2FF8" w14:textId="77777777">
        <w:trPr>
          <w:trHeight w:val="250"/>
        </w:trPr>
        <w:tc>
          <w:tcPr>
            <w:tcW w:w="3057" w:type="dxa"/>
          </w:tcPr>
          <w:p w14:paraId="1BEB9A67" w14:textId="2F233C53" w:rsidR="001D63C6" w:rsidRPr="00632C10" w:rsidRDefault="001D63C6" w:rsidP="00C8609C">
            <w:r w:rsidRPr="00D86F92">
              <w:t>Компетентен подкомитет</w:t>
            </w:r>
          </w:p>
        </w:tc>
        <w:tc>
          <w:tcPr>
            <w:tcW w:w="6016" w:type="dxa"/>
          </w:tcPr>
          <w:p w14:paraId="388F2228" w14:textId="1A52864E" w:rsidR="001D63C6" w:rsidRPr="00632C10" w:rsidRDefault="001D63C6" w:rsidP="001D63C6">
            <w:r w:rsidRPr="00D86F92">
              <w:t>подкомитет SC/049 „Eвропейска гражданска инициатива“</w:t>
            </w:r>
          </w:p>
        </w:tc>
      </w:tr>
      <w:tr w:rsidR="00D815DD" w:rsidRPr="00632C10" w14:paraId="79E1CF41" w14:textId="77777777">
        <w:tc>
          <w:tcPr>
            <w:tcW w:w="3057" w:type="dxa"/>
          </w:tcPr>
          <w:p w14:paraId="6007388B" w14:textId="66D8E3C7" w:rsidR="00D815DD" w:rsidRPr="00632C10" w:rsidRDefault="00D815DD" w:rsidP="00C8609C">
            <w:r w:rsidRPr="00D86F92">
              <w:t>Приемане от подкомитета</w:t>
            </w:r>
          </w:p>
        </w:tc>
        <w:tc>
          <w:tcPr>
            <w:tcW w:w="6016" w:type="dxa"/>
          </w:tcPr>
          <w:p w14:paraId="101111BA" w14:textId="29A72A2D" w:rsidR="00D815DD" w:rsidRPr="00632C10" w:rsidRDefault="00D815DD" w:rsidP="001D20D6">
            <w:r w:rsidRPr="00D86F92">
              <w:t>7.2.2018 г.</w:t>
            </w:r>
          </w:p>
        </w:tc>
      </w:tr>
      <w:tr w:rsidR="000751F8" w:rsidRPr="00632C10" w14:paraId="44BE4025" w14:textId="77777777">
        <w:tc>
          <w:tcPr>
            <w:tcW w:w="3057" w:type="dxa"/>
          </w:tcPr>
          <w:p w14:paraId="0D2C5479" w14:textId="77777777" w:rsidR="000751F8" w:rsidRPr="00632C10" w:rsidRDefault="00EC5181" w:rsidP="00C8609C">
            <w:r w:rsidRPr="00D86F92">
              <w:t>Приемане на пленарна сесия</w:t>
            </w:r>
          </w:p>
        </w:tc>
        <w:tc>
          <w:tcPr>
            <w:tcW w:w="6016" w:type="dxa"/>
          </w:tcPr>
          <w:p w14:paraId="78B14C04" w14:textId="629DD033" w:rsidR="000751F8" w:rsidRPr="00632C10" w:rsidRDefault="00EC5181" w:rsidP="001D20D6">
            <w:r w:rsidRPr="00D86F92">
              <w:t>14.3.2018 г.</w:t>
            </w:r>
          </w:p>
        </w:tc>
      </w:tr>
      <w:tr w:rsidR="000751F8" w:rsidRPr="00632C10" w14:paraId="1D49CE29" w14:textId="77777777">
        <w:tc>
          <w:tcPr>
            <w:tcW w:w="3057" w:type="dxa"/>
          </w:tcPr>
          <w:p w14:paraId="51AFADAC" w14:textId="77777777" w:rsidR="000751F8" w:rsidRPr="00632C10" w:rsidRDefault="00EC5181" w:rsidP="00C8609C">
            <w:r w:rsidRPr="00D86F92">
              <w:t>Пленарна сесия №</w:t>
            </w:r>
          </w:p>
        </w:tc>
        <w:tc>
          <w:tcPr>
            <w:tcW w:w="6016" w:type="dxa"/>
          </w:tcPr>
          <w:p w14:paraId="5BA67E58" w14:textId="77777777" w:rsidR="000751F8" w:rsidRPr="00632C10" w:rsidRDefault="00EC5181" w:rsidP="00C8609C">
            <w:r w:rsidRPr="00D86F92">
              <w:t>533</w:t>
            </w:r>
          </w:p>
        </w:tc>
      </w:tr>
      <w:tr w:rsidR="000751F8" w:rsidRPr="00D86F92" w14:paraId="46061E2F" w14:textId="77777777">
        <w:tc>
          <w:tcPr>
            <w:tcW w:w="3057" w:type="dxa"/>
          </w:tcPr>
          <w:p w14:paraId="3376CCB8" w14:textId="77777777" w:rsidR="000751F8" w:rsidRPr="00632C10" w:rsidRDefault="00EC5181" w:rsidP="00764EF8">
            <w:pPr>
              <w:jc w:val="left"/>
            </w:pPr>
            <w:r w:rsidRPr="00D86F92">
              <w:t>Резултат от гласуването</w:t>
            </w:r>
            <w:r w:rsidRPr="00D86F92">
              <w:br/>
              <w:t>(„за“/„против“/„въздържал се“)</w:t>
            </w:r>
          </w:p>
        </w:tc>
        <w:tc>
          <w:tcPr>
            <w:tcW w:w="6016" w:type="dxa"/>
            <w:vAlign w:val="bottom"/>
          </w:tcPr>
          <w:p w14:paraId="6F986FCE" w14:textId="2D5A279B" w:rsidR="000751F8" w:rsidRPr="00D86F92" w:rsidRDefault="00D815DD" w:rsidP="00D815DD">
            <w:r w:rsidRPr="00D86F92">
              <w:t>2</w:t>
            </w:r>
            <w:r w:rsidR="00DA4F7C" w:rsidRPr="00D86F92">
              <w:rPr>
                <w:lang w:val="en-US"/>
              </w:rPr>
              <w:t>0</w:t>
            </w:r>
            <w:r w:rsidRPr="00D86F92">
              <w:t>1/0/5</w:t>
            </w:r>
          </w:p>
        </w:tc>
      </w:tr>
    </w:tbl>
    <w:p w14:paraId="73C0BDB9" w14:textId="77777777" w:rsidR="000751F8" w:rsidRPr="00D86F92" w:rsidRDefault="000751F8"/>
    <w:p w14:paraId="443B5B71" w14:textId="77777777" w:rsidR="000751F8" w:rsidRPr="00D86F92" w:rsidRDefault="00EC5181">
      <w:r w:rsidRPr="00D86F92">
        <w:br w:type="page"/>
      </w:r>
    </w:p>
    <w:p w14:paraId="342FD3FF" w14:textId="5B49297D" w:rsidR="000751F8" w:rsidRPr="00D86F92" w:rsidRDefault="00EC5181" w:rsidP="00C8115F">
      <w:pPr>
        <w:pStyle w:val="Heading1"/>
        <w:keepNext/>
        <w:keepLines/>
      </w:pPr>
      <w:r w:rsidRPr="00D86F92">
        <w:rPr>
          <w:b/>
        </w:rPr>
        <w:lastRenderedPageBreak/>
        <w:t>Заключения и препоръки</w:t>
      </w:r>
    </w:p>
    <w:p w14:paraId="29E49E3A" w14:textId="77777777" w:rsidR="000751F8" w:rsidRPr="00D86F92" w:rsidRDefault="000751F8" w:rsidP="00C8115F">
      <w:pPr>
        <w:keepNext/>
        <w:keepLines/>
      </w:pPr>
    </w:p>
    <w:p w14:paraId="4296E093" w14:textId="229E2A2C" w:rsidR="000751F8" w:rsidRPr="00D86F92" w:rsidRDefault="00EC5181" w:rsidP="00273BE1">
      <w:pPr>
        <w:pStyle w:val="Heading2"/>
        <w:ind w:left="567" w:hanging="567"/>
      </w:pPr>
      <w:r w:rsidRPr="00D86F92">
        <w:t>Шест години след влизането в сила на Регламент № 211/2011 относно гражданската инициатива</w:t>
      </w:r>
      <w:r w:rsidRPr="00D86F92">
        <w:rPr>
          <w:rStyle w:val="FootnoteReference"/>
        </w:rPr>
        <w:footnoteReference w:id="1"/>
      </w:r>
      <w:r w:rsidRPr="00D86F92">
        <w:t xml:space="preserve"> Европейският икономически и социален комитет (ЕИСК) би искал да подчертае централната роля на гражданите на ЕС в европейския проект, както и че механизмът на Европейската гражданска инициатива (ЕГИ) може да помогне за преодоляване на демократичния дефицит чрез насърчаване на активното гражданство и демокрацията на участието.</w:t>
      </w:r>
    </w:p>
    <w:p w14:paraId="31324883" w14:textId="77777777" w:rsidR="000751F8" w:rsidRPr="00D86F92" w:rsidRDefault="000751F8" w:rsidP="00C8609C"/>
    <w:p w14:paraId="71148CA6" w14:textId="3E4A8132" w:rsidR="000751F8" w:rsidRPr="00D86F92" w:rsidRDefault="00EC5181" w:rsidP="00273BE1">
      <w:pPr>
        <w:pStyle w:val="Heading2"/>
        <w:ind w:left="567" w:hanging="567"/>
      </w:pPr>
      <w:r w:rsidRPr="00D86F92">
        <w:t>В становището си по собствена инициатива от 2016 г.</w:t>
      </w:r>
      <w:r w:rsidRPr="00D86F92">
        <w:rPr>
          <w:rStyle w:val="FootnoteReference"/>
        </w:rPr>
        <w:footnoteReference w:id="2"/>
      </w:r>
      <w:r w:rsidRPr="00D86F92">
        <w:t xml:space="preserve"> ЕИСК подчертава, че в начина, по който е организирана ЕГИ, съществуват значителни проблеми от техническо, правно и бюрократично естество, както и прекомерна концентрация на правомощия в рамките на Европейската комисия. Тези фактори са ограничили обхвата на обществения дебат, който ЕГИ би могла да породи, както и последващите правни действия в случай на успешни инициативи. </w:t>
      </w:r>
    </w:p>
    <w:p w14:paraId="3C64ABF3" w14:textId="77777777" w:rsidR="000751F8" w:rsidRPr="00D86F92" w:rsidRDefault="000751F8"/>
    <w:p w14:paraId="7D2555A0" w14:textId="6FCAF67F" w:rsidR="000751F8" w:rsidRPr="00D86F92" w:rsidRDefault="00F91751" w:rsidP="00273BE1">
      <w:pPr>
        <w:pStyle w:val="Heading2"/>
        <w:ind w:left="567" w:hanging="567"/>
      </w:pPr>
      <w:r w:rsidRPr="00D86F92">
        <w:t>ЕИСК счита, че текущото преразглеждане на Регламент № 211/2011 относно европейската гражданска инициатива е важна стъпка към реализирането на пълния потенциал на ЕГИ, в съответствие с вече изразените позиции от Европейския парламент, Комитета на регионите и Европейския омбудсман.</w:t>
      </w:r>
    </w:p>
    <w:p w14:paraId="1C52DEDA" w14:textId="77777777" w:rsidR="000751F8" w:rsidRPr="00D86F92" w:rsidRDefault="000751F8"/>
    <w:p w14:paraId="323C1143" w14:textId="77777777" w:rsidR="000751F8" w:rsidRPr="00D86F92" w:rsidRDefault="00EC5181" w:rsidP="00273BE1">
      <w:pPr>
        <w:pStyle w:val="Heading2"/>
        <w:keepNext/>
        <w:ind w:left="567" w:hanging="567"/>
        <w:rPr>
          <w:b/>
        </w:rPr>
      </w:pPr>
      <w:r w:rsidRPr="00D86F92">
        <w:rPr>
          <w:b/>
        </w:rPr>
        <w:t>ЕИСК приветства следните подобрения, съдържащи се в новото предложение на Европейската комисия за регламент относно Европейската гражданска инициатива, а именно:</w:t>
      </w:r>
    </w:p>
    <w:p w14:paraId="456EF66E" w14:textId="77777777" w:rsidR="000751F8" w:rsidRPr="00D86F92" w:rsidRDefault="000751F8">
      <w:pPr>
        <w:keepNext/>
      </w:pPr>
    </w:p>
    <w:p w14:paraId="4CF0B18D" w14:textId="77777777" w:rsidR="000751F8" w:rsidRPr="00D86F92" w:rsidRDefault="00EC5181" w:rsidP="00273BE1">
      <w:pPr>
        <w:pStyle w:val="Heading3"/>
        <w:ind w:left="567" w:hanging="567"/>
      </w:pPr>
      <w:r w:rsidRPr="00D86F92">
        <w:t>да се даде възможност на групата на организаторите да започне да събира изявления за подкрепа на дата по неин избор;</w:t>
      </w:r>
    </w:p>
    <w:p w14:paraId="48D85506" w14:textId="77777777" w:rsidR="000751F8" w:rsidRPr="00D86F92" w:rsidRDefault="000751F8">
      <w:pPr>
        <w:ind w:left="709" w:hanging="709"/>
      </w:pPr>
    </w:p>
    <w:p w14:paraId="2E42A91D" w14:textId="77777777" w:rsidR="000751F8" w:rsidRPr="00D86F92" w:rsidRDefault="00EC5181" w:rsidP="00273BE1">
      <w:pPr>
        <w:pStyle w:val="Heading3"/>
        <w:ind w:left="567" w:hanging="567"/>
      </w:pPr>
      <w:r w:rsidRPr="00D86F92">
        <w:t>да бъдат правно признати гражданските комитети, така че да се ограничи наказателната отговорност на организаторите при измами и груба небрежност;</w:t>
      </w:r>
    </w:p>
    <w:p w14:paraId="4E5E8085" w14:textId="77777777" w:rsidR="000751F8" w:rsidRPr="00D86F92" w:rsidRDefault="000751F8">
      <w:pPr>
        <w:ind w:left="709" w:hanging="709"/>
      </w:pPr>
    </w:p>
    <w:p w14:paraId="1A7556FE" w14:textId="5EDA4EE4" w:rsidR="000751F8" w:rsidRPr="00D86F92" w:rsidRDefault="00EC5181" w:rsidP="00273BE1">
      <w:pPr>
        <w:pStyle w:val="Heading3"/>
        <w:ind w:left="567" w:hanging="567"/>
      </w:pPr>
      <w:r w:rsidRPr="00D86F92">
        <w:t>да се създаде онлайн платформа за сътрудничество, където гражданите на ЕС да могат да получават информация и съвети относно ЕГИ, при условие че това ще бъде от помощ за организаторите на ЕГИ в процеса на регистриране на инициативи и събиране на подкрепа. ЕИСК изразява желание да участва в онлайн платформата за сътрудничество и да бъде информиран за нейното развитие. ЕИСК смята, че е важно ползвателите на платформата да са добре информирани за услугите, свързани с ЕГИ, които ЕИСК предлага на нейните организатори;</w:t>
      </w:r>
    </w:p>
    <w:p w14:paraId="22971E99" w14:textId="77777777" w:rsidR="000751F8" w:rsidRPr="00D86F92" w:rsidRDefault="000751F8">
      <w:pPr>
        <w:ind w:left="709" w:hanging="709"/>
      </w:pPr>
    </w:p>
    <w:p w14:paraId="6382E26A" w14:textId="4D4E9E1A" w:rsidR="000751F8" w:rsidRPr="00D86F92" w:rsidRDefault="00EC5181" w:rsidP="00273BE1">
      <w:pPr>
        <w:pStyle w:val="Heading3"/>
        <w:ind w:left="567" w:hanging="567"/>
      </w:pPr>
      <w:r w:rsidRPr="00D86F92">
        <w:t>Комисията да признае необходимостта от услугата за писмен превод, която ЕИСК предлага от 2015 г. на всички организатори на ЕГИ, както и да осигурява превод на съдържанието на ЕГИ на всички официални езици на ЕС при регистрацията на ЕГИ;</w:t>
      </w:r>
    </w:p>
    <w:p w14:paraId="2F34E183" w14:textId="77777777" w:rsidR="000751F8" w:rsidRPr="00D86F92" w:rsidRDefault="000751F8">
      <w:pPr>
        <w:ind w:left="709" w:hanging="709"/>
      </w:pPr>
    </w:p>
    <w:p w14:paraId="1ABC32BD" w14:textId="5C142F53" w:rsidR="000751F8" w:rsidRPr="00D86F92" w:rsidRDefault="00EC5181" w:rsidP="00273BE1">
      <w:pPr>
        <w:pStyle w:val="Heading3"/>
        <w:ind w:left="567" w:hanging="567"/>
      </w:pPr>
      <w:r w:rsidRPr="00D86F92">
        <w:lastRenderedPageBreak/>
        <w:t>от държавите членки да бъде поискано опростяване, намаляване и хармонизиране на системата от национални правила, предвидени за събирането и проверката на данни, и правото на подкрепа на ЕГИ да се основава на гражданството, което следва да гарантира, че нито един гражданин на ЕС няма да бъде изключен от ЕГИ;</w:t>
      </w:r>
    </w:p>
    <w:p w14:paraId="40F32F76" w14:textId="77777777" w:rsidR="000751F8" w:rsidRPr="00D86F92" w:rsidRDefault="000751F8"/>
    <w:p w14:paraId="4C70A18D" w14:textId="77777777" w:rsidR="000751F8" w:rsidRPr="00D86F92" w:rsidRDefault="00A95084" w:rsidP="00273BE1">
      <w:pPr>
        <w:pStyle w:val="Heading3"/>
        <w:ind w:left="567" w:hanging="567"/>
      </w:pPr>
      <w:r w:rsidRPr="00D86F92">
        <w:t>всяка държава членка активно да насърчава ЕГИ и да създаде звена за контакт, които да предоставят информация и помощ на организаторите на ЕГИ по технически въпроси и провеждане на кампании, свързани с ЕГИ;</w:t>
      </w:r>
    </w:p>
    <w:p w14:paraId="17F27657" w14:textId="77777777" w:rsidR="000751F8" w:rsidRPr="00D86F92" w:rsidRDefault="000751F8">
      <w:pPr>
        <w:ind w:left="709" w:hanging="709"/>
      </w:pPr>
    </w:p>
    <w:p w14:paraId="4BB2B275" w14:textId="6ED863CC" w:rsidR="000751F8" w:rsidRPr="00D86F92" w:rsidRDefault="00EC5181" w:rsidP="00273BE1">
      <w:pPr>
        <w:pStyle w:val="Heading3"/>
        <w:ind w:left="567" w:hanging="567"/>
      </w:pPr>
      <w:r w:rsidRPr="00D86F92">
        <w:t>безплатната система за събиране онлайн на изявления за подкрепа (OCS)</w:t>
      </w:r>
      <w:r w:rsidRPr="00D86F92">
        <w:rPr>
          <w:rStyle w:val="FootnoteReference"/>
        </w:rPr>
        <w:footnoteReference w:id="3"/>
      </w:r>
      <w:r w:rsidRPr="00D86F92">
        <w:t xml:space="preserve"> да се предлага от Европейската комисия на постоянен принцип, за да се опрости събирането и каталогизирането на изявления за подкрепа, както и тяхната проверка от националните власти. Освен това Комитетът приветства факта, че този инструмент ще бъде достъпен за лица с увреждания;</w:t>
      </w:r>
    </w:p>
    <w:p w14:paraId="21751DF4" w14:textId="77777777" w:rsidR="000751F8" w:rsidRPr="00D86F92" w:rsidRDefault="000751F8"/>
    <w:p w14:paraId="250ADF40" w14:textId="2D891B0D" w:rsidR="004E1E50" w:rsidRPr="00D86F92" w:rsidRDefault="00EC5181" w:rsidP="00273BE1">
      <w:pPr>
        <w:pStyle w:val="Heading3"/>
        <w:ind w:left="567" w:hanging="567"/>
      </w:pPr>
      <w:r w:rsidRPr="00D86F92">
        <w:t>Комисията да поеме ангажимент да осведомява обществеността за съществуването на ЕГИ.</w:t>
      </w:r>
    </w:p>
    <w:p w14:paraId="2D236A46" w14:textId="77777777" w:rsidR="000751F8" w:rsidRPr="00D86F92" w:rsidRDefault="000751F8">
      <w:pPr>
        <w:ind w:left="709" w:hanging="709"/>
      </w:pPr>
    </w:p>
    <w:p w14:paraId="42B0D8F8" w14:textId="77777777" w:rsidR="000751F8" w:rsidRPr="00D86F92" w:rsidRDefault="00EC5181" w:rsidP="00273BE1">
      <w:pPr>
        <w:pStyle w:val="Heading2"/>
        <w:keepNext/>
        <w:ind w:left="567" w:hanging="567"/>
        <w:rPr>
          <w:b/>
        </w:rPr>
      </w:pPr>
      <w:r w:rsidRPr="00D86F92">
        <w:rPr>
          <w:b/>
        </w:rPr>
        <w:t>Във връзка с новото предложение ЕИСК предоставя следните коментари и препоръки:</w:t>
      </w:r>
    </w:p>
    <w:p w14:paraId="15807E42" w14:textId="77777777" w:rsidR="000751F8" w:rsidRPr="00D86F92" w:rsidRDefault="000751F8">
      <w:pPr>
        <w:keepNext/>
      </w:pPr>
    </w:p>
    <w:p w14:paraId="7D786D7C" w14:textId="77777777" w:rsidR="000751F8" w:rsidRPr="00D86F92" w:rsidRDefault="00EC5181" w:rsidP="00273BE1">
      <w:pPr>
        <w:pStyle w:val="Heading3"/>
        <w:ind w:left="567" w:hanging="567"/>
      </w:pPr>
      <w:r w:rsidRPr="00D86F92">
        <w:t>Следва да се разграничат ролите на „институционален наставник“ и „вземащ решение при регистрацията“, които понастоящем се изпълняват от Комисията. Като заявява отново готовността си да продължи да подкрепя инициативите, ЕИСК изтъква, че може да бъде естествен кандидат за ролята на посредник и институционален наставник.</w:t>
      </w:r>
    </w:p>
    <w:p w14:paraId="100D2124" w14:textId="77777777" w:rsidR="000751F8" w:rsidRPr="00D86F92" w:rsidRDefault="000751F8">
      <w:pPr>
        <w:ind w:left="709" w:hanging="709"/>
      </w:pPr>
    </w:p>
    <w:p w14:paraId="62BD158D" w14:textId="2990226B" w:rsidR="000751F8" w:rsidRPr="00D86F92" w:rsidRDefault="005A018D" w:rsidP="00273BE1">
      <w:pPr>
        <w:pStyle w:val="Heading3"/>
        <w:ind w:left="567" w:hanging="567"/>
      </w:pPr>
      <w:r w:rsidRPr="00D86F92">
        <w:t>По примера на ЕИСК, който кани организатори на ЕГИ на различни дебати както в групата си за ЕГИ, така и на заседанията на своите секции и на пленарни сесии</w:t>
      </w:r>
      <w:r w:rsidRPr="00D86F92">
        <w:rPr>
          <w:rStyle w:val="FootnoteReference"/>
        </w:rPr>
        <w:footnoteReference w:id="4"/>
      </w:r>
      <w:r w:rsidRPr="00D86F92">
        <w:t>, организаторите на ЕГИ би трябвало да разполагат с повече възможности за диалог по време на кампанията и след нея, а диалогът с организаторите на успешни ЕГИ не трябва непременно да приключи с официалния отговор на Комисията.</w:t>
      </w:r>
    </w:p>
    <w:p w14:paraId="0AF0BA43" w14:textId="77777777" w:rsidR="003E25FD" w:rsidRPr="00D86F92" w:rsidRDefault="003E25FD" w:rsidP="000D06EB"/>
    <w:p w14:paraId="50264F5E" w14:textId="23B6CEFC" w:rsidR="003E25FD" w:rsidRPr="00D86F92" w:rsidRDefault="00EA614E" w:rsidP="00273BE1">
      <w:pPr>
        <w:pStyle w:val="Heading3"/>
        <w:ind w:left="567" w:hanging="567"/>
      </w:pPr>
      <w:r w:rsidRPr="00D86F92">
        <w:t>Освен това ЕИСК счита, че е важно да се използва неговата годишна конференция – Ден на ЕГИ – като място за диалог, за да се акцентира в по-голяма степен върху обмена на най-добри практики между организаторите и да се създадат повече възможности за работа в мрежа за настоящи и успешни организатори.</w:t>
      </w:r>
    </w:p>
    <w:p w14:paraId="68BF975F" w14:textId="77777777" w:rsidR="000751F8" w:rsidRPr="00D86F92" w:rsidRDefault="000751F8"/>
    <w:p w14:paraId="191F09A1" w14:textId="31A6F76F" w:rsidR="000751F8" w:rsidRPr="00D86F92" w:rsidRDefault="00EC5181" w:rsidP="00C6652C">
      <w:pPr>
        <w:pStyle w:val="Heading3"/>
        <w:keepNext/>
        <w:keepLines/>
        <w:ind w:left="567" w:hanging="567"/>
      </w:pPr>
      <w:r w:rsidRPr="00D86F92">
        <w:lastRenderedPageBreak/>
        <w:t>Следва да се гарантират подходящи последващи действия във връзка с успешните инициативи. С оглед на това ЕИСК изразява надежда, че всички институции на ЕС ще бъдат също толкова активни при създаването на възможности за организаторите да представят и обсъждат инициативите си, в съответствие с примера на ЕИСК, който кани организаторите на ЕГИ да участват в различни дебати. ЕИСК счита, че е особено важно успешните инициативи да бъдат обсъждани по време на пленарните сесии на Европейския парламент с цел повишаване на политическото измерение на европейския дебат относно свързани с ЕГИ въпроси.</w:t>
      </w:r>
    </w:p>
    <w:p w14:paraId="56C13177" w14:textId="77777777" w:rsidR="000751F8" w:rsidRPr="00D86F92" w:rsidRDefault="000751F8"/>
    <w:p w14:paraId="4C93831D" w14:textId="68A5226E" w:rsidR="000751F8" w:rsidRPr="00D86F92" w:rsidRDefault="005B0150" w:rsidP="00273BE1">
      <w:pPr>
        <w:pStyle w:val="Heading3"/>
        <w:ind w:left="567" w:hanging="567"/>
      </w:pPr>
      <w:r w:rsidRPr="00D86F92">
        <w:t>С оглед на препоръката си да се гарантира балансирано разделение на правомощията между институциите на ЕС по отношение на ЕГИ</w:t>
      </w:r>
      <w:r w:rsidRPr="00D86F92">
        <w:rPr>
          <w:rStyle w:val="FootnoteReference"/>
        </w:rPr>
        <w:footnoteReference w:id="5"/>
      </w:r>
      <w:r w:rsidRPr="00D86F92">
        <w:t>, ЕИСК подкрепя позицията, изразена от гражданското общество</w:t>
      </w:r>
      <w:r w:rsidRPr="00D86F92">
        <w:rPr>
          <w:rStyle w:val="FootnoteReference"/>
        </w:rPr>
        <w:footnoteReference w:id="6"/>
      </w:r>
      <w:r w:rsidRPr="00D86F92">
        <w:t xml:space="preserve">, а именно Европейският парламент да продължава да бъде единствен организатор на публично изслушване на успешните инициативи, като Комисията бъде представена на подходящо равнище. Публичните изслушвания в Европейския парламент представляват ключово събитие за организаторите на успешни ЕГИ да представят своите цели и да проведат обсъждане с членовете на ЕП, които са представителите на по-голямата част от гражданите на ЕС. </w:t>
      </w:r>
    </w:p>
    <w:p w14:paraId="5219C40E" w14:textId="77777777" w:rsidR="000751F8" w:rsidRPr="00D86F92" w:rsidRDefault="000751F8" w:rsidP="00C8609C"/>
    <w:p w14:paraId="418322BB" w14:textId="28F1ECD7" w:rsidR="000751F8" w:rsidRPr="00D86F92" w:rsidRDefault="00EC5181" w:rsidP="00273BE1">
      <w:pPr>
        <w:pStyle w:val="Heading3"/>
        <w:ind w:left="567" w:hanging="567"/>
      </w:pPr>
      <w:r w:rsidRPr="00D86F92">
        <w:t>Комисията следва да мотивира подробно и ясно всяко свое решение да откаже регистрация на инициатива, независимо дали отказът е частичен или пълен.</w:t>
      </w:r>
    </w:p>
    <w:p w14:paraId="5ED82B03" w14:textId="77777777" w:rsidR="000751F8" w:rsidRPr="00D86F92" w:rsidRDefault="000751F8">
      <w:pPr>
        <w:ind w:left="709" w:hanging="709"/>
      </w:pPr>
    </w:p>
    <w:p w14:paraId="25F6EC15" w14:textId="6981C050" w:rsidR="000751F8" w:rsidRPr="00D86F92" w:rsidRDefault="00EC5181" w:rsidP="00273BE1">
      <w:pPr>
        <w:pStyle w:val="Heading3"/>
        <w:ind w:left="567" w:hanging="567"/>
      </w:pPr>
      <w:r w:rsidRPr="00D86F92">
        <w:t>ЕИСК приветства предложението на Комисията за допускане на възможността за регистрация на част от предложението на ЕГИ. При все това единственото решение за регистрация следва да се запази.</w:t>
      </w:r>
    </w:p>
    <w:p w14:paraId="0CCB9AE1" w14:textId="77777777" w:rsidR="000751F8" w:rsidRPr="00D86F92" w:rsidRDefault="000751F8">
      <w:pPr>
        <w:ind w:left="709" w:hanging="709"/>
      </w:pPr>
    </w:p>
    <w:p w14:paraId="7A015485" w14:textId="255F8693" w:rsidR="000751F8" w:rsidRPr="00D86F92" w:rsidRDefault="00EC5181" w:rsidP="00273BE1">
      <w:pPr>
        <w:pStyle w:val="Heading3"/>
        <w:ind w:left="567" w:hanging="567"/>
      </w:pPr>
      <w:r w:rsidRPr="00D86F92">
        <w:t>Тригодишният период за преглед на ЕГИ следва да се запази предвид значимостта ѝ за демокрацията в ЕС, неотдавнашното ѝ въвеждане, както и имайки предвид, че ще е необходимо значително време за прилагане на промените, произтичащи от настоящия законодателен преглед.</w:t>
      </w:r>
    </w:p>
    <w:p w14:paraId="201467A8" w14:textId="77777777" w:rsidR="000751F8" w:rsidRPr="00D86F92" w:rsidRDefault="000751F8"/>
    <w:p w14:paraId="49D95CE4" w14:textId="5B539841" w:rsidR="000751F8" w:rsidRPr="00D86F92" w:rsidRDefault="00EC5181" w:rsidP="00273BE1">
      <w:pPr>
        <w:pStyle w:val="Heading3"/>
        <w:ind w:left="567" w:hanging="567"/>
      </w:pPr>
      <w:r w:rsidRPr="00D86F92">
        <w:t>ЕИСК приветства факта, че Европейската комисия признава значението и продължаващата необходимост от преводачески услуги, предоставяни от ЕИСК от 2015 г. насам. Предоставянето в бъдеще на преводачески услуги от Комисията следва да включва и превод на приложенията към предложението за ЕГИ. Това е важно, за да се улесни пълното разбиране от обществеността на предложенията на инициативата</w:t>
      </w:r>
      <w:r w:rsidRPr="00D86F92">
        <w:rPr>
          <w:rStyle w:val="FootnoteReference"/>
        </w:rPr>
        <w:footnoteReference w:id="7"/>
      </w:r>
      <w:r w:rsidRPr="00D86F92">
        <w:t>.</w:t>
      </w:r>
    </w:p>
    <w:p w14:paraId="32CD6DE5" w14:textId="77777777" w:rsidR="004E1E50" w:rsidRPr="00D86F92" w:rsidRDefault="004E1E50" w:rsidP="004E1E50"/>
    <w:p w14:paraId="0DFDC695" w14:textId="3F913BF1" w:rsidR="004E1E50" w:rsidRPr="00D86F92" w:rsidRDefault="004E1E50" w:rsidP="00273BE1">
      <w:pPr>
        <w:pStyle w:val="Heading3"/>
        <w:ind w:left="567" w:hanging="567"/>
      </w:pPr>
      <w:r w:rsidRPr="00D86F92">
        <w:t>ЕИСК признава значението на и необходимостта от допълнително обсъждане, за да се реши дали да бъде намалена минималната възраст за подкрепа на ЕГИ.</w:t>
      </w:r>
    </w:p>
    <w:p w14:paraId="5BB7F42E" w14:textId="77777777" w:rsidR="000751F8" w:rsidRPr="00D86F92" w:rsidRDefault="000751F8"/>
    <w:p w14:paraId="3B1F6F70" w14:textId="77777777" w:rsidR="000751F8" w:rsidRPr="00D86F92" w:rsidRDefault="00EC5181">
      <w:pPr>
        <w:pStyle w:val="Heading1"/>
        <w:keepNext/>
        <w:keepLines/>
      </w:pPr>
      <w:r w:rsidRPr="00D86F92">
        <w:rPr>
          <w:b/>
        </w:rPr>
        <w:lastRenderedPageBreak/>
        <w:t>Общи бележки</w:t>
      </w:r>
    </w:p>
    <w:p w14:paraId="4002F6A7" w14:textId="77777777" w:rsidR="000751F8" w:rsidRPr="00D86F92" w:rsidRDefault="000751F8">
      <w:pPr>
        <w:keepNext/>
        <w:keepLines/>
        <w:rPr>
          <w:bCs/>
          <w:iCs/>
        </w:rPr>
      </w:pPr>
    </w:p>
    <w:p w14:paraId="4CBD2BC6" w14:textId="6493999D" w:rsidR="000751F8" w:rsidRPr="00D86F92" w:rsidRDefault="00EC5181" w:rsidP="00273BE1">
      <w:pPr>
        <w:pStyle w:val="Heading2"/>
        <w:ind w:left="567" w:hanging="567"/>
      </w:pPr>
      <w:r w:rsidRPr="00D86F92">
        <w:t>Европейската гражданска инициатива е новаторски инструмент, въведен с Договора от Лисабон, и съществена част от настоящото и бъдещото развитие на транснационалната демокрация на участието в ЕС</w:t>
      </w:r>
      <w:r w:rsidRPr="00D86F92">
        <w:rPr>
          <w:sz w:val="24"/>
          <w:vertAlign w:val="superscript"/>
        </w:rPr>
        <w:footnoteReference w:id="8"/>
      </w:r>
      <w:r w:rsidRPr="00D86F92">
        <w:t xml:space="preserve">. ЕГИ е право, произтичащо от правото на гражданите да участват в демократичния живот на Съюза. ЕГИ следва да улеснява активното участие на всеки гражданин в определянето на дневния ред на ЕС и процеса на вземане на решения, организирайки публичен дебат в целия ЕС и предоставяйки възможност на гражданите да призоват директно Комисията да предложи правен акт на Съюза. </w:t>
      </w:r>
    </w:p>
    <w:p w14:paraId="1045333C" w14:textId="77777777" w:rsidR="000751F8" w:rsidRPr="00D86F92" w:rsidRDefault="000751F8"/>
    <w:p w14:paraId="49CB3247" w14:textId="0D790C6E" w:rsidR="000751F8" w:rsidRPr="00D86F92" w:rsidRDefault="00EC5181" w:rsidP="00273BE1">
      <w:pPr>
        <w:pStyle w:val="Heading2"/>
        <w:ind w:left="567" w:hanging="567"/>
      </w:pPr>
      <w:r w:rsidRPr="00D86F92">
        <w:t>Правилата и процедурите за ЕГИ са изложени в регламент на ЕС, приет на 16 февруари 2011 г., и са в сила от 1 април 2012 г.</w:t>
      </w:r>
      <w:r w:rsidRPr="00D86F92">
        <w:rPr>
          <w:rStyle w:val="FootnoteReference"/>
        </w:rPr>
        <w:footnoteReference w:id="9"/>
      </w:r>
      <w:r w:rsidRPr="00D86F92">
        <w:t xml:space="preserve"> На 13 септември 2017 г. Европейската комисия предложи нов регламент като част от пакета, съпътстващ „Състоянието на Съюза“.</w:t>
      </w:r>
    </w:p>
    <w:p w14:paraId="1354B173" w14:textId="77777777" w:rsidR="000751F8" w:rsidRPr="00D86F92" w:rsidRDefault="000751F8"/>
    <w:p w14:paraId="33285295" w14:textId="77DE9D1E" w:rsidR="000751F8" w:rsidRPr="00D86F92" w:rsidRDefault="00EC5181" w:rsidP="00273BE1">
      <w:pPr>
        <w:pStyle w:val="Heading2"/>
        <w:ind w:left="567" w:hanging="567"/>
      </w:pPr>
      <w:r w:rsidRPr="00D86F92">
        <w:t>Съгласно действащия регламент ЕГИ може да се организира или подпише от всички граждани на ЕС, навършили възрастта, на която имат право да гласуват на изборите за Европейски парламент</w:t>
      </w:r>
      <w:r w:rsidRPr="00D86F92">
        <w:rPr>
          <w:rStyle w:val="FootnoteReference"/>
        </w:rPr>
        <w:footnoteReference w:id="10"/>
      </w:r>
      <w:r w:rsidRPr="00D86F92">
        <w:t>. Инициативите се организират от граждански комитет. Допуска се организации да популяризират или подкрепят тези инициативи, при условие че правят това при пълна прозрачност.</w:t>
      </w:r>
    </w:p>
    <w:p w14:paraId="2CF4F4BF" w14:textId="77777777" w:rsidR="000751F8" w:rsidRPr="00D86F92" w:rsidRDefault="000751F8"/>
    <w:p w14:paraId="4C5E1C54" w14:textId="77777777" w:rsidR="000751F8" w:rsidRPr="00D86F92" w:rsidRDefault="00EC5181" w:rsidP="00273BE1">
      <w:pPr>
        <w:pStyle w:val="Heading2"/>
        <w:keepNext/>
        <w:ind w:left="567" w:hanging="567"/>
      </w:pPr>
      <w:r w:rsidRPr="00D86F92">
        <w:t>Процедурата за Европейска гражданска инициатива включва три стъпки:</w:t>
      </w:r>
    </w:p>
    <w:p w14:paraId="51718D4B" w14:textId="77777777" w:rsidR="000751F8" w:rsidRPr="00D86F92" w:rsidRDefault="000751F8">
      <w:pPr>
        <w:keepNext/>
      </w:pPr>
    </w:p>
    <w:p w14:paraId="0C465ABA" w14:textId="77777777" w:rsidR="000751F8" w:rsidRPr="00D86F92" w:rsidRDefault="00EC5181" w:rsidP="00E2335A">
      <w:pPr>
        <w:pStyle w:val="Heading3"/>
        <w:ind w:left="567" w:hanging="567"/>
        <w:rPr>
          <w:bCs/>
          <w:iCs/>
        </w:rPr>
      </w:pPr>
      <w:r w:rsidRPr="00D86F92">
        <w:t>Началната фаза включва учредяването на „граждански комитет“</w:t>
      </w:r>
      <w:r w:rsidRPr="00D86F92">
        <w:rPr>
          <w:rStyle w:val="FootnoteReference"/>
        </w:rPr>
        <w:footnoteReference w:id="11"/>
      </w:r>
      <w:r w:rsidRPr="00D86F92">
        <w:t>, официалната регистрация на инициативата</w:t>
      </w:r>
      <w:r w:rsidRPr="00D86F92">
        <w:rPr>
          <w:rStyle w:val="FootnoteReference"/>
        </w:rPr>
        <w:footnoteReference w:id="12"/>
      </w:r>
      <w:r w:rsidRPr="00D86F92">
        <w:t>, която се проверява за допустимост от Комисията</w:t>
      </w:r>
      <w:r w:rsidRPr="00D86F92">
        <w:rPr>
          <w:rStyle w:val="FootnoteReference"/>
        </w:rPr>
        <w:footnoteReference w:id="13"/>
      </w:r>
      <w:r w:rsidRPr="00D86F92">
        <w:t>, и сертифицирането на системата за събиране на подписи онлайн</w:t>
      </w:r>
      <w:r w:rsidRPr="00D86F92">
        <w:rPr>
          <w:rStyle w:val="FootnoteReference"/>
        </w:rPr>
        <w:footnoteReference w:id="14"/>
      </w:r>
      <w:r w:rsidRPr="00D86F92">
        <w:t>.</w:t>
      </w:r>
    </w:p>
    <w:p w14:paraId="02135B4E" w14:textId="77777777" w:rsidR="000751F8" w:rsidRPr="00D86F92" w:rsidRDefault="000751F8">
      <w:pPr>
        <w:ind w:left="709" w:hanging="709"/>
      </w:pPr>
    </w:p>
    <w:p w14:paraId="3BA2689F" w14:textId="77777777" w:rsidR="000751F8" w:rsidRPr="00D86F92" w:rsidRDefault="00EC5181" w:rsidP="00E2335A">
      <w:pPr>
        <w:pStyle w:val="Heading3"/>
        <w:keepNext/>
        <w:keepLines/>
        <w:ind w:left="567" w:hanging="567"/>
        <w:rPr>
          <w:bCs/>
          <w:iCs/>
        </w:rPr>
      </w:pPr>
      <w:r w:rsidRPr="00D86F92">
        <w:lastRenderedPageBreak/>
        <w:t>Във фазата на събиране трябва да се получат минимум 1 милион „изявления за подкрепа“ (подписа) за максимален период от 12 месеца и в най-малко седем държави — членки на ЕС</w:t>
      </w:r>
      <w:r w:rsidRPr="00D86F92">
        <w:rPr>
          <w:rStyle w:val="FootnoteReference"/>
        </w:rPr>
        <w:footnoteReference w:id="15"/>
      </w:r>
      <w:r w:rsidRPr="00D86F92">
        <w:t>. Подписите се удостоверяват от компетентните национални органи</w:t>
      </w:r>
      <w:r w:rsidRPr="00D86F92">
        <w:rPr>
          <w:rStyle w:val="FootnoteReference"/>
        </w:rPr>
        <w:footnoteReference w:id="16"/>
      </w:r>
      <w:r w:rsidRPr="00D86F92">
        <w:t>, след което всяка успешна ЕГИ се внася в Комисията.</w:t>
      </w:r>
    </w:p>
    <w:p w14:paraId="609478D3" w14:textId="77777777" w:rsidR="000751F8" w:rsidRPr="00D86F92" w:rsidRDefault="000751F8">
      <w:pPr>
        <w:ind w:left="709" w:hanging="709"/>
      </w:pPr>
    </w:p>
    <w:p w14:paraId="3AEC180F" w14:textId="323E7AD7" w:rsidR="000751F8" w:rsidRPr="00D86F92" w:rsidRDefault="00EC5181" w:rsidP="00E2335A">
      <w:pPr>
        <w:pStyle w:val="Heading3"/>
        <w:ind w:left="567" w:hanging="567"/>
        <w:rPr>
          <w:bCs/>
          <w:iCs/>
        </w:rPr>
      </w:pPr>
      <w:r w:rsidRPr="00D86F92">
        <w:t>След внасянето на успешната инициатива Комисията я разглежда, преди да се срещне с организаторите. Провежда се публично изслушване в Европейския парламент. Комисията разполага с три месеца, за да вземе решение до каква степен да приеме законодателното предложение в инициативата, ако въобще реши да го приеме, и да отговори със съобщение.</w:t>
      </w:r>
    </w:p>
    <w:p w14:paraId="0E63D663" w14:textId="77777777" w:rsidR="000751F8" w:rsidRPr="00D86F92" w:rsidRDefault="000751F8"/>
    <w:p w14:paraId="27244CC3" w14:textId="657FAA1A" w:rsidR="000751F8" w:rsidRPr="00D86F92" w:rsidRDefault="00EC5181" w:rsidP="00273BE1">
      <w:pPr>
        <w:pStyle w:val="Heading2"/>
        <w:ind w:left="567" w:hanging="567"/>
      </w:pPr>
      <w:r w:rsidRPr="00D86F92">
        <w:t>Към настоящия момент повече от 8 милиона европейски граждани са подписали ЕГИ. Въпреки че са внесени 69 инициативи, само 48 са регистрирани от Комисията, от които четири са събрали поне 1 милион подписа</w:t>
      </w:r>
      <w:r w:rsidRPr="00D86F92">
        <w:rPr>
          <w:rStyle w:val="FootnoteReference"/>
        </w:rPr>
        <w:footnoteReference w:id="17"/>
      </w:r>
      <w:r w:rsidRPr="00D86F92">
        <w:t>. Успешните инициативи са получили ограничени отговори, като само една успешна инициатива</w:t>
      </w:r>
      <w:r w:rsidRPr="00D86F92">
        <w:rPr>
          <w:rStyle w:val="FootnoteReference"/>
        </w:rPr>
        <w:footnoteReference w:id="18"/>
      </w:r>
      <w:r w:rsidRPr="00D86F92">
        <w:t xml:space="preserve"> е довела до ангажимент от страна на Комисията да представи ново законодателно предложение.</w:t>
      </w:r>
    </w:p>
    <w:p w14:paraId="36A1A28B" w14:textId="77777777" w:rsidR="000751F8" w:rsidRPr="00D86F92" w:rsidRDefault="000751F8"/>
    <w:p w14:paraId="71E56FD5" w14:textId="4964C038" w:rsidR="000751F8" w:rsidRPr="00D86F92" w:rsidRDefault="00EC5181" w:rsidP="00273BE1">
      <w:pPr>
        <w:pStyle w:val="Heading2"/>
        <w:ind w:left="567" w:hanging="567"/>
      </w:pPr>
      <w:r w:rsidRPr="00D86F92">
        <w:t>Вече е широко признато от институциите на ЕС, организаторите и представителите на организираното гражданско общество, че въпреки някои положителни промени от техническо естество, ЕГИ е все още далеч от разгръщането на своя пълен демократичен потенциал. По време на деня на ЕГИ през 2017 г.</w:t>
      </w:r>
      <w:r w:rsidRPr="00D86F92">
        <w:rPr>
          <w:rStyle w:val="FootnoteReference"/>
        </w:rPr>
        <w:footnoteReference w:id="19"/>
      </w:r>
      <w:r w:rsidRPr="00D86F92">
        <w:t xml:space="preserve"> Комисията обяви, че ще предприеме пълен законодателен преглед. Това е отлична възможност за засилване на публичния дебат в ЕС, както и на способността на обществеността да определя дневния ред и взема решения, като по този начин оказва влияние върху политиката на ЕС посредством ЕГИ. Освен това съществува общо съгласие, че ЕГИ има потенциала да сближава гражданите на ЕС около каузи, които ги обединяват, и да засили усещането за европейска идентичност.</w:t>
      </w:r>
    </w:p>
    <w:p w14:paraId="0A002735" w14:textId="77777777" w:rsidR="002D446E" w:rsidRPr="00D86F92" w:rsidRDefault="002D446E" w:rsidP="002D446E"/>
    <w:p w14:paraId="479EBD1B" w14:textId="392EF99D" w:rsidR="00547FC3" w:rsidRPr="00D86F92" w:rsidRDefault="00547FC3" w:rsidP="00273BE1">
      <w:pPr>
        <w:pStyle w:val="Heading2"/>
        <w:ind w:left="567" w:hanging="567"/>
      </w:pPr>
      <w:r w:rsidRPr="00D86F92">
        <w:t>Организаторите на ЕГИ изтъкнаха, че има стойност и в самия процес на ЕГИ, изразяваща се в развитието на мрежи за общи интереси, което допълва целта за събиране на 1 милион подписа.</w:t>
      </w:r>
    </w:p>
    <w:p w14:paraId="129682D9" w14:textId="77777777" w:rsidR="000751F8" w:rsidRPr="00D86F92" w:rsidRDefault="000751F8"/>
    <w:p w14:paraId="33268724" w14:textId="77777777" w:rsidR="000751F8" w:rsidRPr="00D86F92" w:rsidRDefault="00EC5181">
      <w:pPr>
        <w:pStyle w:val="Heading1"/>
        <w:keepNext/>
      </w:pPr>
      <w:r w:rsidRPr="00D86F92">
        <w:rPr>
          <w:b/>
        </w:rPr>
        <w:lastRenderedPageBreak/>
        <w:t>Институционален отговор на ЕГИ</w:t>
      </w:r>
    </w:p>
    <w:p w14:paraId="681B2E6B" w14:textId="77777777" w:rsidR="000751F8" w:rsidRPr="00D86F92" w:rsidRDefault="000751F8">
      <w:pPr>
        <w:keepNext/>
      </w:pPr>
    </w:p>
    <w:p w14:paraId="75D09D81" w14:textId="5A2ACAA2" w:rsidR="000751F8" w:rsidRPr="00D86F92" w:rsidRDefault="00EC5181">
      <w:pPr>
        <w:pStyle w:val="ListParagraph1"/>
        <w:numPr>
          <w:ilvl w:val="0"/>
          <w:numId w:val="2"/>
        </w:numPr>
        <w:ind w:left="567" w:hanging="567"/>
      </w:pPr>
      <w:r w:rsidRPr="00D86F92">
        <w:t>ЕИСК привлече вниманието към ЕГИ на ор</w:t>
      </w:r>
      <w:bookmarkStart w:id="0" w:name="_GoBack"/>
      <w:bookmarkEnd w:id="0"/>
      <w:r w:rsidRPr="00D86F92">
        <w:t>ганизирания от него ден на ЕГИ</w:t>
      </w:r>
      <w:r w:rsidRPr="00D86F92">
        <w:rPr>
          <w:rStyle w:val="FootnoteReference"/>
        </w:rPr>
        <w:footnoteReference w:id="20"/>
      </w:r>
      <w:r w:rsidRPr="00D86F92">
        <w:t xml:space="preserve"> и създаде служба за съдействие (helpdesk)</w:t>
      </w:r>
      <w:r w:rsidRPr="00D86F92">
        <w:rPr>
          <w:rStyle w:val="FootnoteReference"/>
        </w:rPr>
        <w:footnoteReference w:id="21"/>
      </w:r>
      <w:r w:rsidRPr="00D86F92">
        <w:t xml:space="preserve"> във връзка с ЕГИ, която е предоставила на организаторите на ЕГИ, наред с другото, преводи на описанията на инициативите, готови в рамките на три работни дни от подаване на заявката, печатни и онлайн публикации относно ЕГИ и разнообразни възможности за представяне на ЕГИ на заседания на аd hoc групата на ЕИСК за ЕГИ, както и в секциите и на пленарни сесии</w:t>
      </w:r>
      <w:r w:rsidRPr="00D86F92">
        <w:rPr>
          <w:rStyle w:val="FootnoteReference"/>
        </w:rPr>
        <w:footnoteReference w:id="22"/>
      </w:r>
      <w:r w:rsidRPr="00D86F92">
        <w:t>.</w:t>
      </w:r>
    </w:p>
    <w:p w14:paraId="5F374783" w14:textId="77777777" w:rsidR="000751F8" w:rsidRPr="00D86F92" w:rsidRDefault="000751F8" w:rsidP="00C8609C"/>
    <w:p w14:paraId="66BF4AEC" w14:textId="77777777" w:rsidR="000751F8" w:rsidRPr="00D86F92" w:rsidRDefault="00EC5181">
      <w:pPr>
        <w:pStyle w:val="ListParagraph1"/>
        <w:numPr>
          <w:ilvl w:val="0"/>
          <w:numId w:val="2"/>
        </w:numPr>
        <w:ind w:left="567" w:hanging="567"/>
      </w:pPr>
      <w:r w:rsidRPr="00D86F92">
        <w:t>ЕИСК прие становището си по собствена инициатива на 13 юли 2016 г.</w:t>
      </w:r>
      <w:r w:rsidRPr="00D86F92">
        <w:rPr>
          <w:rStyle w:val="FootnoteReference"/>
        </w:rPr>
        <w:footnoteReference w:id="23"/>
      </w:r>
      <w:r w:rsidRPr="00D86F92">
        <w:t>, в което препоръчва ЕГИ да стане по-ефективна, видима и лесна за използване от гражданите.</w:t>
      </w:r>
    </w:p>
    <w:p w14:paraId="53AA33DF" w14:textId="77777777" w:rsidR="000751F8" w:rsidRPr="00D86F92" w:rsidRDefault="000751F8" w:rsidP="00C8609C"/>
    <w:p w14:paraId="4394E0AE" w14:textId="77777777" w:rsidR="000751F8" w:rsidRPr="00D86F92" w:rsidRDefault="00EC5181">
      <w:pPr>
        <w:pStyle w:val="ListParagraph1"/>
        <w:keepLines/>
        <w:numPr>
          <w:ilvl w:val="0"/>
          <w:numId w:val="2"/>
        </w:numPr>
        <w:ind w:left="567" w:hanging="567"/>
      </w:pPr>
      <w:r w:rsidRPr="00D86F92">
        <w:t>Изводите от проучване на Европейския парламент</w:t>
      </w:r>
      <w:r w:rsidRPr="00D86F92">
        <w:rPr>
          <w:sz w:val="24"/>
          <w:vertAlign w:val="superscript"/>
        </w:rPr>
        <w:footnoteReference w:id="24"/>
      </w:r>
      <w:r w:rsidRPr="00D86F92">
        <w:t xml:space="preserve"> бяха взети под внимание в резолюция от октомври 2015 г.</w:t>
      </w:r>
      <w:r w:rsidRPr="00D86F92">
        <w:rPr>
          <w:rStyle w:val="FootnoteReference"/>
        </w:rPr>
        <w:footnoteReference w:id="25"/>
      </w:r>
      <w:r w:rsidRPr="00D86F92">
        <w:t>, в която Парламентът официално поиска преразглеждане на регламента за ЕГИ и отправи настоятелни препоръки към Комисията за внасяне на промени. Освен това през 2017 г. Европейският парламент изготви проект на доклад по собствена инициатива</w:t>
      </w:r>
      <w:r w:rsidRPr="00D86F92">
        <w:rPr>
          <w:rStyle w:val="FootnoteReference"/>
        </w:rPr>
        <w:footnoteReference w:id="26"/>
      </w:r>
      <w:r w:rsidRPr="00D86F92">
        <w:t>, в който предлага промени в регламента за ЕГИ.</w:t>
      </w:r>
    </w:p>
    <w:p w14:paraId="417C57EA" w14:textId="77777777" w:rsidR="000751F8" w:rsidRPr="00D86F92" w:rsidRDefault="000751F8" w:rsidP="00C8609C"/>
    <w:p w14:paraId="5A458AA4" w14:textId="36AC9772" w:rsidR="000751F8" w:rsidRPr="00D86F92" w:rsidRDefault="00EC5181">
      <w:pPr>
        <w:pStyle w:val="ListParagraph1"/>
        <w:numPr>
          <w:ilvl w:val="0"/>
          <w:numId w:val="2"/>
        </w:numPr>
        <w:ind w:left="567" w:hanging="567"/>
      </w:pPr>
      <w:r w:rsidRPr="00D86F92">
        <w:t>През март 2015 г. след проверка по собствена инициатива Европейският омбудсман изготви 11 насоки за по-нататъшни подобрения в ЕГИ</w:t>
      </w:r>
      <w:r w:rsidRPr="00D86F92">
        <w:rPr>
          <w:rStyle w:val="FootnoteReference"/>
        </w:rPr>
        <w:footnoteReference w:id="27"/>
      </w:r>
      <w:r w:rsidRPr="00D86F92">
        <w:t>, а през юли 2017 г. изпрати отворено писмо до Комисията, в което ги затвърди</w:t>
      </w:r>
      <w:r w:rsidRPr="00D86F92">
        <w:rPr>
          <w:rStyle w:val="FootnoteReference"/>
        </w:rPr>
        <w:footnoteReference w:id="28"/>
      </w:r>
      <w:r w:rsidRPr="00D86F92">
        <w:t>.</w:t>
      </w:r>
    </w:p>
    <w:p w14:paraId="38E49F3A" w14:textId="77777777" w:rsidR="000751F8" w:rsidRPr="00D86F92" w:rsidRDefault="000751F8" w:rsidP="00C8609C"/>
    <w:p w14:paraId="35BD5242" w14:textId="2F8B6E26" w:rsidR="000751F8" w:rsidRPr="00D86F92" w:rsidRDefault="00EC5181">
      <w:pPr>
        <w:pStyle w:val="ListParagraph1"/>
        <w:numPr>
          <w:ilvl w:val="0"/>
          <w:numId w:val="2"/>
        </w:numPr>
        <w:ind w:left="567" w:hanging="567"/>
      </w:pPr>
      <w:r w:rsidRPr="00D86F92">
        <w:t>През октомври 2015 г. Комитетът на регионите прие становище, в което подкрепи бързото и съществено преразглеждане на регламента</w:t>
      </w:r>
      <w:r w:rsidRPr="00D86F92">
        <w:rPr>
          <w:sz w:val="24"/>
          <w:vertAlign w:val="superscript"/>
        </w:rPr>
        <w:footnoteReference w:id="29"/>
      </w:r>
      <w:r w:rsidRPr="00D86F92">
        <w:t>, и ще гласува ново становище на пленарната си сесия през март 2018 г.</w:t>
      </w:r>
    </w:p>
    <w:p w14:paraId="3B096DD1" w14:textId="77777777" w:rsidR="000751F8" w:rsidRPr="00D86F92" w:rsidRDefault="000751F8" w:rsidP="00C8609C"/>
    <w:p w14:paraId="73C6BB79" w14:textId="3526F8D1" w:rsidR="000751F8" w:rsidRPr="00D86F92" w:rsidRDefault="00EC5181">
      <w:pPr>
        <w:pStyle w:val="ListParagraph1"/>
        <w:numPr>
          <w:ilvl w:val="0"/>
          <w:numId w:val="2"/>
        </w:numPr>
        <w:ind w:left="567" w:hanging="567"/>
      </w:pPr>
      <w:r w:rsidRPr="00D86F92">
        <w:t>През април 2015 г. Комисията публикува доклад за напредъка, а през февруари 2016 г. публикува отговор на предложенията на Европейския парламент, в който се признават трудностите, с които се сблъскват гражданите, организиращи и подкрепящи ЕГИ.</w:t>
      </w:r>
    </w:p>
    <w:p w14:paraId="2A12F4EA" w14:textId="77777777" w:rsidR="000751F8" w:rsidRPr="00D86F92" w:rsidRDefault="000751F8" w:rsidP="00C8609C"/>
    <w:p w14:paraId="344A7479" w14:textId="431BD939" w:rsidR="000751F8" w:rsidRPr="00D86F92" w:rsidRDefault="00EC5181">
      <w:pPr>
        <w:pStyle w:val="ListParagraph1"/>
        <w:numPr>
          <w:ilvl w:val="0"/>
          <w:numId w:val="2"/>
        </w:numPr>
        <w:ind w:left="567" w:hanging="567"/>
      </w:pPr>
      <w:r w:rsidRPr="00D86F92">
        <w:t>Организаторите на ЕГИ са оспорили редица решения на Комисията във връзка с регистрацията на инициативи както пред Съда на Европейския съюз</w:t>
      </w:r>
      <w:r w:rsidRPr="00D86F92">
        <w:rPr>
          <w:rStyle w:val="FootnoteReference"/>
        </w:rPr>
        <w:footnoteReference w:id="30"/>
      </w:r>
      <w:r w:rsidRPr="00D86F92">
        <w:t>, така и посредством жалби до Европейския омбудсман</w:t>
      </w:r>
      <w:r w:rsidRPr="00D86F92">
        <w:rPr>
          <w:rStyle w:val="FootnoteReference"/>
        </w:rPr>
        <w:footnoteReference w:id="31"/>
      </w:r>
      <w:r w:rsidRPr="00D86F92">
        <w:t>. Решенията по тези дела са оказали още по-голям натиск за промяна на регламента за ЕГИ, по-специално във връзка с частичната регистрация на ЕГИ и задължението на Комисията да обясни решението си.</w:t>
      </w:r>
    </w:p>
    <w:p w14:paraId="27631A07" w14:textId="77777777" w:rsidR="000751F8" w:rsidRPr="00D86F92" w:rsidRDefault="000751F8"/>
    <w:p w14:paraId="1FEA50BE" w14:textId="77777777" w:rsidR="000751F8" w:rsidRPr="00D86F92" w:rsidRDefault="00EC5181">
      <w:pPr>
        <w:pStyle w:val="Heading1"/>
        <w:keepNext/>
      </w:pPr>
      <w:r w:rsidRPr="00D86F92">
        <w:rPr>
          <w:b/>
        </w:rPr>
        <w:t>Ролята на ЕИСК и Европейската гражданска инициатива</w:t>
      </w:r>
    </w:p>
    <w:p w14:paraId="7B284676" w14:textId="77777777" w:rsidR="000751F8" w:rsidRPr="00D86F92" w:rsidRDefault="000751F8">
      <w:pPr>
        <w:keepNext/>
      </w:pPr>
    </w:p>
    <w:p w14:paraId="53241AF8" w14:textId="1E69416A" w:rsidR="000751F8" w:rsidRPr="00D86F92" w:rsidRDefault="00EC5181" w:rsidP="008D2708">
      <w:pPr>
        <w:pStyle w:val="Heading2"/>
        <w:ind w:left="567" w:hanging="567"/>
      </w:pPr>
      <w:r w:rsidRPr="00D86F92">
        <w:t>Като мост между европейските институции и организираното гражданско общество, ЕИСК участва от самото начало в дебата относно ЕГИ. Това личи от вече приетите становища</w:t>
      </w:r>
      <w:r w:rsidRPr="00D86F92">
        <w:rPr>
          <w:sz w:val="24"/>
          <w:vertAlign w:val="superscript"/>
        </w:rPr>
        <w:footnoteReference w:id="32"/>
      </w:r>
      <w:r w:rsidRPr="00D86F92">
        <w:t>, от подкрепата, предоставена на ЕГИ, и от създаването на ad hoc група, която да следи развитието и прилагането на правото на участие в демократичния живот на Съюза</w:t>
      </w:r>
      <w:r w:rsidRPr="00D86F92">
        <w:rPr>
          <w:sz w:val="24"/>
          <w:vertAlign w:val="superscript"/>
        </w:rPr>
        <w:footnoteReference w:id="33"/>
      </w:r>
      <w:r w:rsidRPr="00D86F92">
        <w:t>.</w:t>
      </w:r>
    </w:p>
    <w:p w14:paraId="2B2B90E9" w14:textId="77777777" w:rsidR="000751F8" w:rsidRPr="00D86F92" w:rsidRDefault="000751F8">
      <w:pPr>
        <w:ind w:left="567" w:hanging="567"/>
      </w:pPr>
    </w:p>
    <w:p w14:paraId="4162F4F0" w14:textId="77777777" w:rsidR="000751F8" w:rsidRPr="00D86F92" w:rsidRDefault="00EC5181" w:rsidP="008D2708">
      <w:pPr>
        <w:pStyle w:val="Heading2"/>
        <w:ind w:left="567" w:hanging="567"/>
      </w:pPr>
      <w:r w:rsidRPr="00D86F92">
        <w:t>ЕИСК ще продължи активното си участие в многоинституционалния ангажимент към процеса на ЕГИ, като ще играе двойната роля на посредник и институционален наставник. Сред инициативите и компетенциите на ЕИСК се открояват:</w:t>
      </w:r>
    </w:p>
    <w:p w14:paraId="0C5B812B" w14:textId="77777777" w:rsidR="000751F8" w:rsidRPr="00D86F92" w:rsidRDefault="000751F8">
      <w:pPr>
        <w:keepNext/>
        <w:ind w:left="425" w:hanging="425"/>
      </w:pPr>
    </w:p>
    <w:p w14:paraId="2D770A44" w14:textId="60C4EED6" w:rsidR="000751F8" w:rsidRPr="00D86F92" w:rsidRDefault="00EC5181" w:rsidP="008D2708">
      <w:pPr>
        <w:pStyle w:val="Heading3"/>
        <w:ind w:left="567" w:hanging="567"/>
      </w:pPr>
      <w:r w:rsidRPr="00D86F92">
        <w:t>„Денят на ЕГИ“, организиран от ЕИСК всяка година с цел повишаване на популярността на ЕГИ, изигра важна роля в поддържането на ЕГИ на челно място в дневния ред на институциите на ЕС. Денят на ЕГИ вече е важна възможност за установяване на диалог между организаторите на ЕГИ, институциите на ЕС и други заинтересовани страни, за оценка на състоянието на прилагане и ефективността на ЕГИ, за обмен на най-добри практики и улесняване на създаването на мрежи между организаторите и другите заинтересовани страни, както и за осигуряване на платформа за диалог с успешни ЕГИ. ЕИСК ще продължи да надгражда върху успеха на Деня на ЕГИ и ще разшири обхвата и ролята на конференцията, например чрез редовен преглед на последващите действия на Комисията в отговор на успешни европейски граждански инициативи. Денят на ЕГИ се организира от ad hoc групата в сътрудничество със съответните стратегически партньори;</w:t>
      </w:r>
    </w:p>
    <w:p w14:paraId="4AD19CA8" w14:textId="77777777" w:rsidR="000751F8" w:rsidRPr="00D86F92" w:rsidRDefault="000751F8">
      <w:pPr>
        <w:ind w:left="709" w:hanging="709"/>
      </w:pPr>
    </w:p>
    <w:p w14:paraId="6673BD95" w14:textId="46FF53F4" w:rsidR="000751F8" w:rsidRPr="00D86F92" w:rsidRDefault="00EC5181" w:rsidP="008D2708">
      <w:pPr>
        <w:pStyle w:val="Heading3"/>
        <w:ind w:left="567" w:hanging="567"/>
      </w:pPr>
      <w:r w:rsidRPr="00D86F92">
        <w:t>изготвянето на практическо ръководство, преиздадено за трети път, за повишаване на осведомеността и за популяризиране на ЕГИ</w:t>
      </w:r>
      <w:r w:rsidRPr="00D86F92">
        <w:rPr>
          <w:sz w:val="24"/>
          <w:vertAlign w:val="superscript"/>
        </w:rPr>
        <w:footnoteReference w:id="34"/>
      </w:r>
      <w:r w:rsidRPr="00D86F92">
        <w:t>. Освен това Комитетът отрежда ключова роля на ЕГИ в друга публикация, озаглавена „Европейски паспорт за активно гражданство“</w:t>
      </w:r>
      <w:r w:rsidRPr="00D86F92">
        <w:rPr>
          <w:sz w:val="24"/>
          <w:vertAlign w:val="superscript"/>
        </w:rPr>
        <w:footnoteReference w:id="35"/>
      </w:r>
      <w:r w:rsidRPr="00D86F92">
        <w:t xml:space="preserve"> (на разположение на хартиен носител и във версия HTML</w:t>
      </w:r>
      <w:r w:rsidRPr="00D86F92">
        <w:rPr>
          <w:rStyle w:val="FootnoteReference"/>
        </w:rPr>
        <w:footnoteReference w:id="36"/>
      </w:r>
      <w:r w:rsidRPr="00D86F92">
        <w:t>), която има за цел да информира гражданите на ЕС за правата им и да стимулира транснационалната демокрация на участието;</w:t>
      </w:r>
    </w:p>
    <w:p w14:paraId="013CF432" w14:textId="77777777" w:rsidR="000751F8" w:rsidRPr="00D86F92" w:rsidRDefault="000751F8"/>
    <w:p w14:paraId="1A70C755" w14:textId="77777777" w:rsidR="000751F8" w:rsidRPr="00D86F92" w:rsidRDefault="00EC5181" w:rsidP="008D2708">
      <w:pPr>
        <w:pStyle w:val="Heading3"/>
        <w:ind w:left="567" w:hanging="567"/>
      </w:pPr>
      <w:r w:rsidRPr="00D86F92">
        <w:t>отправянето на покани към организаторите на европейски граждански инициативи, попадащи в обхвата на областите на политиката, с които се занимава ЕИСК, за да ги представят пред него</w:t>
      </w:r>
      <w:r w:rsidRPr="00D86F92">
        <w:rPr>
          <w:sz w:val="24"/>
          <w:vertAlign w:val="superscript"/>
        </w:rPr>
        <w:footnoteReference w:id="37"/>
      </w:r>
      <w:r w:rsidRPr="00D86F92">
        <w:t>. Тези възможности позволяват на ЕИСК да осигури на организаторите на ЕГИ платформа за общуване с представителите на гражданското общество и социалните партньори и за популяризиране на ЕГИ като демократичен инструмент, като същевременно се запазва неутралната позиция по разглеждания конкретен въпрос на политиката;</w:t>
      </w:r>
    </w:p>
    <w:p w14:paraId="739BBEF3" w14:textId="77777777" w:rsidR="000751F8" w:rsidRPr="00D86F92" w:rsidRDefault="000751F8">
      <w:pPr>
        <w:ind w:left="709" w:hanging="709"/>
      </w:pPr>
    </w:p>
    <w:p w14:paraId="38F96906" w14:textId="77777777" w:rsidR="000751F8" w:rsidRPr="00D86F92" w:rsidRDefault="00EC5181" w:rsidP="008D2708">
      <w:pPr>
        <w:pStyle w:val="Heading3"/>
        <w:ind w:left="567" w:hanging="567"/>
      </w:pPr>
      <w:r w:rsidRPr="00D86F92">
        <w:t>винаги да се изготвя становище по собствена инициатива по успешна ЕГИ, ако това попада в обхвата на дейността на ЕИСК;</w:t>
      </w:r>
    </w:p>
    <w:p w14:paraId="533EED43" w14:textId="77777777" w:rsidR="000751F8" w:rsidRPr="00D86F92" w:rsidRDefault="000751F8">
      <w:pPr>
        <w:ind w:left="709" w:hanging="709"/>
      </w:pPr>
    </w:p>
    <w:p w14:paraId="3020F444" w14:textId="7BE1A09F" w:rsidR="000751F8" w:rsidRPr="00D86F92" w:rsidRDefault="00EC5181" w:rsidP="008D2708">
      <w:pPr>
        <w:pStyle w:val="Heading3"/>
        <w:ind w:left="567" w:hanging="567"/>
      </w:pPr>
      <w:r w:rsidRPr="00D86F92">
        <w:t>представители на ЕИСК следва да участват във всички публични изслушвания в Европейския парламент по успешни инициативи, тъй като това допринася за междуинституционалния процес на анализ на това как да се отговори на дадена успешна ЕГИ. ЕИСК следва по подразбиране да бъде канен на публичното изслушване</w:t>
      </w:r>
      <w:r w:rsidRPr="00D86F92">
        <w:rPr>
          <w:rStyle w:val="FootnoteReference"/>
        </w:rPr>
        <w:footnoteReference w:id="38"/>
      </w:r>
      <w:r w:rsidRPr="00D86F92">
        <w:t>. Становището на ЕИСК ще се основава на обсъжданията по време на пленарната сесия на ЕИСК, на която организаторите са поканени.</w:t>
      </w:r>
    </w:p>
    <w:p w14:paraId="7B478EC5" w14:textId="77777777" w:rsidR="00A57AAB" w:rsidRPr="00D86F92" w:rsidRDefault="00A57AAB" w:rsidP="00B71EF9">
      <w:pPr>
        <w:pStyle w:val="Heading3"/>
        <w:numPr>
          <w:ilvl w:val="0"/>
          <w:numId w:val="0"/>
        </w:numPr>
        <w:ind w:left="567"/>
      </w:pPr>
    </w:p>
    <w:p w14:paraId="033D1302" w14:textId="19DBF3BE" w:rsidR="00A57AAB" w:rsidRPr="00D86F92" w:rsidRDefault="00A57AAB" w:rsidP="008D2708">
      <w:pPr>
        <w:pStyle w:val="Heading3"/>
        <w:ind w:left="567" w:hanging="567"/>
      </w:pPr>
      <w:r w:rsidRPr="00D86F92">
        <w:t>ЕИСК приветства онлайн платформата за сътрудничество и би желал да участва и да бъде информиран за нейното развитие. ЕИСК смята също, че е важно ползвателите на платформата да са добре информирани за услугите, свързани с ЕГИ, които ЕИСК предлага на организаторите на ЕГИ;</w:t>
      </w:r>
    </w:p>
    <w:p w14:paraId="590ED585" w14:textId="77777777" w:rsidR="000751F8" w:rsidRPr="00D86F92" w:rsidRDefault="000751F8" w:rsidP="00764EF8">
      <w:pPr>
        <w:ind w:left="709" w:hanging="709"/>
      </w:pPr>
    </w:p>
    <w:p w14:paraId="29222616" w14:textId="77777777" w:rsidR="000751F8" w:rsidRPr="00D86F92" w:rsidRDefault="00EC5181" w:rsidP="008D2708">
      <w:pPr>
        <w:pStyle w:val="Heading3"/>
        <w:ind w:left="567" w:hanging="567"/>
      </w:pPr>
      <w:r w:rsidRPr="00D86F92">
        <w:t>ЕИСК продължава да провежда кампании за по-силна и по-ефективна ЕГИ и за повишаване на осведомеността на национално и местно равнище, например чрез собствени инициативи на местно равнище (Going Local).</w:t>
      </w:r>
    </w:p>
    <w:p w14:paraId="1E1BF183" w14:textId="77777777" w:rsidR="000751F8" w:rsidRPr="00D86F92" w:rsidRDefault="000751F8"/>
    <w:p w14:paraId="310CE810" w14:textId="77777777" w:rsidR="000751F8" w:rsidRPr="00D86F92" w:rsidRDefault="00EC5181">
      <w:pPr>
        <w:pStyle w:val="Heading1"/>
        <w:keepNext/>
      </w:pPr>
      <w:r w:rsidRPr="00D86F92">
        <w:rPr>
          <w:b/>
        </w:rPr>
        <w:lastRenderedPageBreak/>
        <w:t>Бележки относно промените в регламента</w:t>
      </w:r>
    </w:p>
    <w:p w14:paraId="572F6D80" w14:textId="77777777" w:rsidR="000751F8" w:rsidRPr="00D86F92" w:rsidRDefault="000751F8">
      <w:pPr>
        <w:pStyle w:val="Heading1"/>
        <w:keepNext/>
        <w:numPr>
          <w:ilvl w:val="0"/>
          <w:numId w:val="0"/>
        </w:numPr>
        <w:ind w:left="567" w:hanging="567"/>
      </w:pPr>
    </w:p>
    <w:p w14:paraId="5188B079" w14:textId="77D92230" w:rsidR="000751F8" w:rsidRPr="00D86F92" w:rsidRDefault="00EC5181" w:rsidP="00273BE1">
      <w:pPr>
        <w:pStyle w:val="Heading2"/>
        <w:ind w:left="567" w:hanging="567"/>
      </w:pPr>
      <w:r w:rsidRPr="00D86F92">
        <w:t>По замисъл ЕГИ трябваше да бъде ясна, проста и лесна за прилагане. Въпреки това много организатори на ЕГИ, представители на организации на гражданското общество</w:t>
      </w:r>
      <w:r w:rsidRPr="00D86F92">
        <w:rPr>
          <w:sz w:val="24"/>
          <w:vertAlign w:val="superscript"/>
        </w:rPr>
        <w:footnoteReference w:id="39"/>
      </w:r>
      <w:r w:rsidRPr="00D86F92">
        <w:t>, наблюдатели от академичните среди</w:t>
      </w:r>
      <w:r w:rsidRPr="00D86F92">
        <w:rPr>
          <w:sz w:val="24"/>
          <w:vertAlign w:val="superscript"/>
        </w:rPr>
        <w:footnoteReference w:id="40"/>
      </w:r>
      <w:r w:rsidRPr="00D86F92">
        <w:t xml:space="preserve"> и институционални участници съобщават, че с ЕГИ са свързани значителни проблеми от техническо и правно естество. ЕИСК приветства предложението на Комисията за реформиране на регламента с цел справяне с по-сложните институционални, правни и организационни проблеми и насърчаване на диалога между гражданите и институциите. Това от своя страна ще засили общоевропейските дебати, които се улесняват от ЕГИ, независимо от това дали ЕГИ е достигнала един милион подписа или не.</w:t>
      </w:r>
    </w:p>
    <w:p w14:paraId="03E6FE28" w14:textId="77777777" w:rsidR="000751F8" w:rsidRPr="00D86F92" w:rsidRDefault="000751F8"/>
    <w:p w14:paraId="4FB10319" w14:textId="77777777" w:rsidR="000751F8" w:rsidRPr="00D86F92" w:rsidRDefault="00EC5181" w:rsidP="00273BE1">
      <w:pPr>
        <w:pStyle w:val="Heading2"/>
        <w:ind w:left="567" w:hanging="567"/>
      </w:pPr>
      <w:r w:rsidRPr="00D86F92">
        <w:t>ЕИСК отново изтъква своята силна подкрепа за Европейската гражданска инициатива. ЕИСК смята, че едно точно и пълно прилагане на ЕГИ може да спомогне за преодоляване на отдалечеността на гражданите на ЕС от неговите институции, както и значително да подобри участието на обществеността в демократичния живот на Съюза. Това е също така важна стъпка към по-широкото развитие на демокрацията на участието в ЕС.</w:t>
      </w:r>
    </w:p>
    <w:p w14:paraId="54D0A342" w14:textId="77777777" w:rsidR="000751F8" w:rsidRPr="00D86F92" w:rsidRDefault="000751F8">
      <w:pPr>
        <w:ind w:left="567" w:hanging="567"/>
      </w:pPr>
    </w:p>
    <w:p w14:paraId="6313F843" w14:textId="77777777" w:rsidR="000751F8" w:rsidRPr="00D86F92" w:rsidRDefault="00EC5181" w:rsidP="00273BE1">
      <w:pPr>
        <w:pStyle w:val="Heading2"/>
        <w:ind w:left="567" w:hanging="567"/>
      </w:pPr>
      <w:r w:rsidRPr="00D86F92">
        <w:t>ЕИСК потвърждава силната междуинституционална подкрепа за ЕГИ и приветства предложенията за промени на Европейския парламент, Комитета на регионите и Европейския омбудсман. На всяка институция се пада важна роля по време на кампаниите за ЕГИ и след тях с цел оказване на съдействие и създаване на възможности за диалог между институциите и организаторите.</w:t>
      </w:r>
    </w:p>
    <w:p w14:paraId="102801A7" w14:textId="77777777" w:rsidR="000751F8" w:rsidRPr="00D86F92" w:rsidRDefault="000751F8"/>
    <w:p w14:paraId="69D418F1" w14:textId="77777777" w:rsidR="000751F8" w:rsidRPr="00D86F92" w:rsidRDefault="00EC5181" w:rsidP="00273BE1">
      <w:pPr>
        <w:pStyle w:val="Heading2"/>
        <w:ind w:left="567" w:hanging="567"/>
      </w:pPr>
      <w:r w:rsidRPr="00D86F92">
        <w:t>ЕИСК препоръчва всяка държава членка да създаде звена за контакт, които да предоставят информация и помощ на организаторите на ЕГИ по технически въпроси, както и във връзка с провеждането на кампании по въпроси, свързани с ЕГИ, и активно да насърчава ЕГИ на национално и местно равнище;</w:t>
      </w:r>
    </w:p>
    <w:p w14:paraId="08CDB503" w14:textId="77777777" w:rsidR="000751F8" w:rsidRPr="00D86F92" w:rsidRDefault="000751F8"/>
    <w:p w14:paraId="56A5F74D" w14:textId="77777777" w:rsidR="000751F8" w:rsidRPr="00D86F92" w:rsidRDefault="00EC5181" w:rsidP="00273BE1">
      <w:pPr>
        <w:pStyle w:val="Heading2"/>
        <w:ind w:left="567" w:hanging="567"/>
      </w:pPr>
      <w:r w:rsidRPr="00D86F92">
        <w:t>С цел опростяване и рационализиране на инструмента ЕГИ, ЕИСК отправя следните предложения за реформа на регламента:</w:t>
      </w:r>
    </w:p>
    <w:p w14:paraId="380D1C31" w14:textId="77777777" w:rsidR="000751F8" w:rsidRPr="00D86F92" w:rsidRDefault="000751F8" w:rsidP="00CF0C2C"/>
    <w:p w14:paraId="69FF47C2" w14:textId="55CA9CDF" w:rsidR="000751F8" w:rsidRPr="00D86F92" w:rsidRDefault="00EC5181" w:rsidP="00805A41">
      <w:pPr>
        <w:pStyle w:val="Heading3"/>
        <w:keepNext/>
        <w:keepLines/>
        <w:ind w:left="567" w:hanging="567"/>
      </w:pPr>
      <w:r w:rsidRPr="00D86F92">
        <w:lastRenderedPageBreak/>
        <w:t>Следва да се разграничат ролите на Комисията на „институционален наставник“</w:t>
      </w:r>
      <w:r w:rsidRPr="00D86F92">
        <w:rPr>
          <w:rStyle w:val="FootnoteReference"/>
        </w:rPr>
        <w:footnoteReference w:id="41"/>
      </w:r>
      <w:r w:rsidRPr="00D86F92">
        <w:t xml:space="preserve"> на организаторите на ЕГИ и „вземащ решение при регистрацията“. Това е от ключово значение за разрешаването на потенциалния конфликт на интереси в рамките на Комисията и за способстване за пълното и ефективно прилагане на инструмента ЕГИ. ЕИСК би бил естествен кандидат за роля</w:t>
      </w:r>
      <w:r w:rsidR="00AE0D45" w:rsidRPr="00D86F92">
        <w:t>та на институционален наставник</w:t>
      </w:r>
      <w:r w:rsidR="00AE0D45" w:rsidRPr="00D86F92">
        <w:rPr>
          <w:lang w:val="en-US"/>
        </w:rPr>
        <w:t>.</w:t>
      </w:r>
    </w:p>
    <w:p w14:paraId="0170D404" w14:textId="77777777" w:rsidR="000751F8" w:rsidRPr="00D86F92" w:rsidRDefault="000751F8">
      <w:pPr>
        <w:ind w:left="709" w:hanging="709"/>
      </w:pPr>
    </w:p>
    <w:p w14:paraId="60825E90" w14:textId="0A9B4AE8" w:rsidR="000751F8" w:rsidRPr="00D86F92" w:rsidRDefault="00EC5181" w:rsidP="00273BE1">
      <w:pPr>
        <w:pStyle w:val="Heading3"/>
        <w:ind w:left="567" w:hanging="567"/>
      </w:pPr>
      <w:r w:rsidRPr="00D86F92">
        <w:t>Би трябвало да съществуват повече възможности за диалог с организаторите на ЕГИ по време на кампанията и след нея за повишаване на политическия профил на целите на кампаниите за ЕГИ. С оглед на това ЕИСК изразява надежда, че всички институции на ЕС ще бъдат също толкова активни при създаването на възможности за организаторите да представят и обсъждат инициативите си по примера на ЕИСК, който кани организаторите на ЕГИ на най-разнообразни дебати в своята група за ЕГИ, както и в своите секции и на пленарни сесии. Публичното изслушване на пленарни сесии на Европейския парламент е от основно значение за тези възможности за диалог.</w:t>
      </w:r>
    </w:p>
    <w:p w14:paraId="0472B49A" w14:textId="77777777" w:rsidR="000751F8" w:rsidRPr="00D86F92" w:rsidRDefault="000751F8">
      <w:pPr>
        <w:ind w:left="709" w:hanging="709"/>
      </w:pPr>
    </w:p>
    <w:p w14:paraId="3F87214E" w14:textId="0D84DB94" w:rsidR="000751F8" w:rsidRPr="00D86F92" w:rsidRDefault="00EC5181" w:rsidP="00273BE1">
      <w:pPr>
        <w:pStyle w:val="Heading3"/>
        <w:ind w:left="567" w:hanging="567"/>
      </w:pPr>
      <w:r w:rsidRPr="00D86F92">
        <w:t>Трябва да се гарантират подходящи последващи действия във връзка с успешните инициативи. При зачитане на правото на инициатива на Европейската комисия, същата се призовава да предвижда изготвяне на законодателно предложение в рамките на 12 месеца след края на съответната кампания или да представя пълна обосновка на решението да не внесе предложение.</w:t>
      </w:r>
    </w:p>
    <w:p w14:paraId="3E15915E" w14:textId="77777777" w:rsidR="000751F8" w:rsidRPr="00D86F92" w:rsidRDefault="000751F8"/>
    <w:p w14:paraId="44246818" w14:textId="3187A344" w:rsidR="001C7D9D" w:rsidRPr="00D86F92" w:rsidRDefault="00EC5181" w:rsidP="00273BE1">
      <w:pPr>
        <w:pStyle w:val="Heading3"/>
        <w:ind w:left="567" w:hanging="567"/>
      </w:pPr>
      <w:r w:rsidRPr="00D86F92">
        <w:t>Освен изслушванията в Европейския парламент и срещата на Комисията с организаторите тя следва също така да установи по-тесни връзки с организаторите на ЕГИ. За тази цел, след като Комисията представи първоначалното си становище, следва да се поддържа взаимодействие с организаторите в рамките на дейности, които са свързани с темата на въпросната успешна инициатива.</w:t>
      </w:r>
    </w:p>
    <w:p w14:paraId="5BBE421A" w14:textId="77777777" w:rsidR="001C7D9D" w:rsidRPr="00D86F92" w:rsidRDefault="001C7D9D" w:rsidP="001C7D9D"/>
    <w:p w14:paraId="5C76896E" w14:textId="2FD29E8E" w:rsidR="000751F8" w:rsidRPr="00D86F92" w:rsidRDefault="008A057C" w:rsidP="00273BE1">
      <w:pPr>
        <w:pStyle w:val="Heading3"/>
        <w:ind w:left="567" w:hanging="567"/>
      </w:pPr>
      <w:r w:rsidRPr="00D86F92">
        <w:t>С цел да се осигури подходящ баланс между задачите и компетенциите, ЕИСК подкрепя мнението, изразено от гражданското общество по време на изслушване на ЕИСК, че Парламентът следва да продължи да бъде единствен организатор на публично изслушване по успешна Европейска гражданска инициатива.</w:t>
      </w:r>
    </w:p>
    <w:p w14:paraId="4A832956" w14:textId="77777777" w:rsidR="000751F8" w:rsidRPr="00D86F92" w:rsidRDefault="000751F8">
      <w:pPr>
        <w:ind w:left="709" w:hanging="709"/>
      </w:pPr>
    </w:p>
    <w:p w14:paraId="24D5A30F" w14:textId="462C5418" w:rsidR="000751F8" w:rsidRPr="00D86F92" w:rsidRDefault="00EC5181" w:rsidP="00273BE1">
      <w:pPr>
        <w:pStyle w:val="Heading3"/>
        <w:ind w:left="567" w:hanging="567"/>
      </w:pPr>
      <w:r w:rsidRPr="00D86F92">
        <w:t xml:space="preserve">Комисията следва да мотивира подробно и ясно всяко свое решение да откаже регистрация на инициатива, независимо дали отказът е частичен или пълен. </w:t>
      </w:r>
    </w:p>
    <w:p w14:paraId="32DD2F9F" w14:textId="77777777" w:rsidR="000751F8" w:rsidRPr="00D86F92" w:rsidRDefault="000751F8">
      <w:pPr>
        <w:ind w:left="709" w:hanging="709"/>
      </w:pPr>
    </w:p>
    <w:p w14:paraId="6A78B0F0" w14:textId="77777777" w:rsidR="000751F8" w:rsidRPr="00D86F92" w:rsidRDefault="00EC5181" w:rsidP="00273BE1">
      <w:pPr>
        <w:pStyle w:val="Heading3"/>
        <w:ind w:left="567" w:hanging="567"/>
      </w:pPr>
      <w:r w:rsidRPr="00D86F92">
        <w:t>ЕИСК приветства предложението на Комисията за допускане на възможността за частична регистрация. Въпреки това в интерес на приемането на ясни и прости процедури и критерии за регистрация на ЕГИ следва да се запази положението, при което се взема едно-единствено решение за регистрация. Комисията би могла да консултира организаторите относно правното основание на предложението им, преди то да бъде внесено, и да предлага възможни решения, за да се избегне обявяване на предложението за недопустимо.</w:t>
      </w:r>
    </w:p>
    <w:p w14:paraId="3328E0A6" w14:textId="77777777" w:rsidR="000751F8" w:rsidRPr="00D86F92" w:rsidRDefault="000751F8"/>
    <w:p w14:paraId="423F04A4" w14:textId="6692842D" w:rsidR="000751F8" w:rsidRPr="00D86F92" w:rsidRDefault="00EC5181" w:rsidP="00273BE1">
      <w:pPr>
        <w:pStyle w:val="Heading3"/>
        <w:ind w:left="567" w:hanging="567"/>
      </w:pPr>
      <w:r w:rsidRPr="00D86F92">
        <w:lastRenderedPageBreak/>
        <w:t>ЕИСК ще проследи обсъждането за намаляване на минималната възраст за подкрепа и участие в ЕГИ. ЕИСК е наясно, че този въпрос е доста спорен, но същевременно признава необходимостта от по-нататъшно обсъждане.</w:t>
      </w:r>
    </w:p>
    <w:p w14:paraId="06A1D43C" w14:textId="77777777" w:rsidR="000751F8" w:rsidRPr="00D86F92" w:rsidRDefault="000751F8">
      <w:pPr>
        <w:ind w:left="709" w:hanging="709"/>
      </w:pPr>
    </w:p>
    <w:p w14:paraId="0957AE4F" w14:textId="33242C2A" w:rsidR="000751F8" w:rsidRPr="00D86F92" w:rsidRDefault="00EC4852" w:rsidP="00273BE1">
      <w:pPr>
        <w:pStyle w:val="Heading3"/>
        <w:ind w:left="567" w:hanging="567"/>
      </w:pPr>
      <w:r w:rsidRPr="00D86F92">
        <w:t>Важно е срокът за преглед на Европейската гражданска инициатива да остане три години, като се имат предвид значението на Европейската гражданска инициатива за демокрацията в ЕС, скорошното ѝ въвеждане, както и времето, което ще бъде необходимо за прилагане на промените в резултат от настоящото законодателно преразглеждане.</w:t>
      </w:r>
    </w:p>
    <w:p w14:paraId="03C6BC22" w14:textId="77777777" w:rsidR="000751F8" w:rsidRPr="00D86F92" w:rsidRDefault="000751F8" w:rsidP="00C8609C"/>
    <w:p w14:paraId="7A2C1700" w14:textId="48B8BF78" w:rsidR="000751F8" w:rsidRPr="00D86F92" w:rsidRDefault="00EC5181" w:rsidP="00273BE1">
      <w:pPr>
        <w:pStyle w:val="Heading3"/>
        <w:ind w:left="567" w:hanging="567"/>
      </w:pPr>
      <w:r w:rsidRPr="00D86F92">
        <w:t>Следва да се повиши ефективността на процедурите за информиране на обществото и повишаване на осведомеността относно ЕГИ. Това трябва да бъде направено главно посредством специални кампании, провеждани от Комисията и държавите членки. В този контекст освен това се предлага да се даде възможност на групата на организаторите да информира заинтересованите поддръжници за напредъка и резултатите от кампанията (след като получат предварително разрешение за това от тяхна страна). Това важи и за Комисията, която трябва по-добре да популяризира последващите действия във връзка с успешните инициативи, като първо информира групата на организаторите.</w:t>
      </w:r>
    </w:p>
    <w:p w14:paraId="087B531D" w14:textId="77777777" w:rsidR="000751F8" w:rsidRPr="00D86F92" w:rsidRDefault="000751F8"/>
    <w:p w14:paraId="7E30399A" w14:textId="7296447E" w:rsidR="000751F8" w:rsidRPr="00D86F92" w:rsidRDefault="00EC5181" w:rsidP="00273BE1">
      <w:pPr>
        <w:pStyle w:val="Heading3"/>
        <w:ind w:left="567" w:hanging="567"/>
      </w:pPr>
      <w:r w:rsidRPr="00D86F92">
        <w:t>ЕИСК изразява задоволство от факта, че Европейската комисия признава необходимостта от преводачески услуги, предоставяни от ЕИСК от 2015 г. насам. Предоставянето на преводачески услуги следва също така да включва превод на приложенията към предложението за ЕГИ</w:t>
      </w:r>
      <w:r w:rsidRPr="00D86F92">
        <w:rPr>
          <w:rStyle w:val="FootnoteReference"/>
        </w:rPr>
        <w:footnoteReference w:id="42"/>
      </w:r>
      <w:r w:rsidRPr="00D86F92">
        <w:t>. Това е важно, за да улесни пълното разбиране от обществеността на предложенията на инициативата.</w:t>
      </w:r>
    </w:p>
    <w:p w14:paraId="1B1EC062" w14:textId="77777777" w:rsidR="002D446E" w:rsidRPr="00D86F92" w:rsidRDefault="002D446E" w:rsidP="002D446E"/>
    <w:p w14:paraId="05C737C3" w14:textId="59EE1BE8" w:rsidR="000751F8" w:rsidRPr="00D86F92" w:rsidRDefault="00EC5181" w:rsidP="00273BE1">
      <w:pPr>
        <w:pStyle w:val="Heading3"/>
        <w:ind w:left="567" w:hanging="567"/>
      </w:pPr>
      <w:r w:rsidRPr="00D86F92">
        <w:t>Следва да се проучат нови начини за свързване на събирането на подписи онлайн със социалните и цифровите медии, за да се достига до все по-голяма аудитория.</w:t>
      </w:r>
    </w:p>
    <w:p w14:paraId="46B2E43E" w14:textId="77777777" w:rsidR="000751F8" w:rsidRPr="00D86F92" w:rsidRDefault="000751F8"/>
    <w:p w14:paraId="373E0115" w14:textId="77777777" w:rsidR="00D815DD" w:rsidRPr="00D86F92" w:rsidRDefault="00D815DD" w:rsidP="00D815DD"/>
    <w:p w14:paraId="21FB4FBE" w14:textId="5139524B" w:rsidR="00D815DD" w:rsidRPr="00D86F92" w:rsidRDefault="00D815DD" w:rsidP="00D815DD">
      <w:r w:rsidRPr="00D86F92">
        <w:t>Брюксел, 14 март 2018 г.</w:t>
      </w:r>
    </w:p>
    <w:p w14:paraId="412EE4F8" w14:textId="77777777" w:rsidR="00D815DD" w:rsidRPr="00D86F92" w:rsidRDefault="00D815DD" w:rsidP="00D815DD"/>
    <w:p w14:paraId="3F12D9BB" w14:textId="77777777" w:rsidR="00D815DD" w:rsidRPr="00D86F92" w:rsidRDefault="00D815DD" w:rsidP="00D815DD"/>
    <w:p w14:paraId="5137BA64" w14:textId="77777777" w:rsidR="00D815DD" w:rsidRPr="00D86F92" w:rsidRDefault="00D815DD" w:rsidP="00D815DD"/>
    <w:p w14:paraId="61F677E6" w14:textId="77777777" w:rsidR="00D815DD" w:rsidRPr="00D86F92" w:rsidRDefault="00D815DD" w:rsidP="00D815DD"/>
    <w:p w14:paraId="78A7D7C8" w14:textId="5A0E1103" w:rsidR="00D815DD" w:rsidRPr="00D86F92" w:rsidRDefault="00D815DD" w:rsidP="00D815DD">
      <w:r w:rsidRPr="00D86F92">
        <w:t>Georges Dassis,</w:t>
      </w:r>
    </w:p>
    <w:p w14:paraId="3B2666DE" w14:textId="68AF7595" w:rsidR="00D815DD" w:rsidRPr="00D86F92" w:rsidRDefault="00D815DD">
      <w:r w:rsidRPr="00D86F92">
        <w:t>председател на Европейския икономически и социален комитет</w:t>
      </w:r>
    </w:p>
    <w:p w14:paraId="2E3EB8A3" w14:textId="77777777" w:rsidR="00D815DD" w:rsidRPr="00D86F92" w:rsidRDefault="00D815DD"/>
    <w:p w14:paraId="57EB0566" w14:textId="77777777" w:rsidR="000751F8" w:rsidRPr="00D86F92" w:rsidRDefault="00EC5181" w:rsidP="00764EF8">
      <w:pPr>
        <w:jc w:val="center"/>
      </w:pPr>
      <w:r w:rsidRPr="00D86F92">
        <w:t>_____________</w:t>
      </w:r>
    </w:p>
    <w:sectPr w:rsidR="000751F8" w:rsidRPr="00D86F92" w:rsidSect="00D86F92">
      <w:headerReference w:type="even" r:id="rId20"/>
      <w:headerReference w:type="default" r:id="rId21"/>
      <w:footerReference w:type="even" r:id="rId22"/>
      <w:footerReference w:type="default" r:id="rId23"/>
      <w:headerReference w:type="first" r:id="rId24"/>
      <w:footerReference w:type="first" r:id="rId25"/>
      <w:pgSz w:w="11907" w:h="1683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2B25B" w14:textId="77777777" w:rsidR="00EA543B" w:rsidRDefault="00EA543B">
      <w:pPr>
        <w:spacing w:line="240" w:lineRule="auto"/>
      </w:pPr>
      <w:r>
        <w:separator/>
      </w:r>
    </w:p>
  </w:endnote>
  <w:endnote w:type="continuationSeparator" w:id="0">
    <w:p w14:paraId="4C629198" w14:textId="77777777" w:rsidR="00EA543B" w:rsidRDefault="00EA54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CDF9F" w14:textId="77777777" w:rsidR="00395343" w:rsidRPr="00D86F92" w:rsidRDefault="00395343" w:rsidP="00D86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9011F" w14:textId="176B470F" w:rsidR="00966522" w:rsidRPr="00D86F92" w:rsidRDefault="00D86F92" w:rsidP="00D86F92">
    <w:pPr>
      <w:pStyle w:val="Footer"/>
    </w:pPr>
    <w:r>
      <w:t xml:space="preserve">SC/49 – EESC-2017-05659-00-01-AC-TRA (EN) </w:t>
    </w:r>
    <w:r>
      <w:fldChar w:fldCharType="begin"/>
    </w:r>
    <w:r>
      <w:instrText xml:space="preserve"> PAGE  \* Arabic  \* MERGEFORMAT </w:instrText>
    </w:r>
    <w:r>
      <w:fldChar w:fldCharType="separate"/>
    </w:r>
    <w:r w:rsidR="00E2335A">
      <w:rPr>
        <w:noProof/>
      </w:rPr>
      <w:t>1</w:t>
    </w:r>
    <w:r>
      <w:fldChar w:fldCharType="end"/>
    </w:r>
    <w:r>
      <w:t>/</w:t>
    </w:r>
    <w:r>
      <w:fldChar w:fldCharType="begin"/>
    </w:r>
    <w:r>
      <w:instrText xml:space="preserve"> = </w:instrText>
    </w:r>
    <w:r w:rsidR="00E2335A">
      <w:fldChar w:fldCharType="begin"/>
    </w:r>
    <w:r w:rsidR="00E2335A">
      <w:instrText xml:space="preserve"> NUMPAGES </w:instrText>
    </w:r>
    <w:r w:rsidR="00E2335A">
      <w:fldChar w:fldCharType="separate"/>
    </w:r>
    <w:r w:rsidR="00E2335A">
      <w:rPr>
        <w:noProof/>
      </w:rPr>
      <w:instrText>13</w:instrText>
    </w:r>
    <w:r w:rsidR="00E2335A">
      <w:rPr>
        <w:noProof/>
      </w:rPr>
      <w:fldChar w:fldCharType="end"/>
    </w:r>
    <w:r>
      <w:instrText xml:space="preserve"> -0 </w:instrText>
    </w:r>
    <w:r>
      <w:fldChar w:fldCharType="separate"/>
    </w:r>
    <w:r w:rsidR="00E2335A">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CF1B5" w14:textId="77777777" w:rsidR="00395343" w:rsidRPr="00D86F92" w:rsidRDefault="00395343" w:rsidP="00D86F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5016D" w14:textId="77777777" w:rsidR="00395343" w:rsidRPr="00D86F92" w:rsidRDefault="00395343" w:rsidP="00D86F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29052" w14:textId="6BA4175B" w:rsidR="00395343" w:rsidRPr="00D86F92" w:rsidRDefault="00D86F92" w:rsidP="00D86F92">
    <w:pPr>
      <w:pStyle w:val="Footer"/>
    </w:pPr>
    <w:r>
      <w:t xml:space="preserve">SC/49 – EESC-2017-05659-00-01-AC-TRA (EN) </w:t>
    </w:r>
    <w:r>
      <w:fldChar w:fldCharType="begin"/>
    </w:r>
    <w:r>
      <w:instrText xml:space="preserve"> PAGE  \* Arabic  \* MERGEFORMAT </w:instrText>
    </w:r>
    <w:r>
      <w:fldChar w:fldCharType="separate"/>
    </w:r>
    <w:r w:rsidR="00E2335A">
      <w:rPr>
        <w:noProof/>
      </w:rPr>
      <w:t>7</w:t>
    </w:r>
    <w:r>
      <w:fldChar w:fldCharType="end"/>
    </w:r>
    <w:r>
      <w:t>/</w:t>
    </w:r>
    <w:r>
      <w:fldChar w:fldCharType="begin"/>
    </w:r>
    <w:r>
      <w:instrText xml:space="preserve"> = </w:instrText>
    </w:r>
    <w:r w:rsidR="00E2335A">
      <w:fldChar w:fldCharType="begin"/>
    </w:r>
    <w:r w:rsidR="00E2335A">
      <w:instrText xml:space="preserve"> NUMPAGES </w:instrText>
    </w:r>
    <w:r w:rsidR="00E2335A">
      <w:fldChar w:fldCharType="separate"/>
    </w:r>
    <w:r w:rsidR="00E2335A">
      <w:rPr>
        <w:noProof/>
      </w:rPr>
      <w:instrText>13</w:instrText>
    </w:r>
    <w:r w:rsidR="00E2335A">
      <w:rPr>
        <w:noProof/>
      </w:rPr>
      <w:fldChar w:fldCharType="end"/>
    </w:r>
    <w:r>
      <w:instrText xml:space="preserve"> -0 </w:instrText>
    </w:r>
    <w:r>
      <w:fldChar w:fldCharType="separate"/>
    </w:r>
    <w:r w:rsidR="00E2335A">
      <w:rPr>
        <w:noProof/>
      </w:rPr>
      <w:t>13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EC6F1" w14:textId="77777777" w:rsidR="00395343" w:rsidRPr="00D86F92" w:rsidRDefault="00395343" w:rsidP="00D86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250A4" w14:textId="77777777" w:rsidR="00EA543B" w:rsidRDefault="00EA543B">
      <w:pPr>
        <w:spacing w:line="240" w:lineRule="auto"/>
      </w:pPr>
      <w:r>
        <w:separator/>
      </w:r>
    </w:p>
  </w:footnote>
  <w:footnote w:type="continuationSeparator" w:id="0">
    <w:p w14:paraId="1EAB8F21" w14:textId="77777777" w:rsidR="00EA543B" w:rsidRDefault="00EA543B">
      <w:pPr>
        <w:spacing w:line="240" w:lineRule="auto"/>
      </w:pPr>
      <w:r>
        <w:continuationSeparator/>
      </w:r>
    </w:p>
  </w:footnote>
  <w:footnote w:id="1">
    <w:p w14:paraId="17828747" w14:textId="49A50F4E" w:rsidR="00966522" w:rsidRPr="00B00DD9" w:rsidRDefault="00966522">
      <w:pPr>
        <w:pStyle w:val="FootnoteText"/>
      </w:pPr>
      <w:r>
        <w:rPr>
          <w:rStyle w:val="FootnoteReference"/>
        </w:rPr>
        <w:footnoteRef/>
      </w:r>
      <w:r>
        <w:t xml:space="preserve"> </w:t>
      </w:r>
      <w:r>
        <w:tab/>
        <w:t xml:space="preserve">Официален вестник на Европейския съюз, </w:t>
      </w:r>
      <w:hyperlink r:id="rId1">
        <w:r>
          <w:rPr>
            <w:rStyle w:val="Hyperlink"/>
          </w:rPr>
          <w:t>ОВ L 65, 11.3.2011 г.</w:t>
        </w:r>
      </w:hyperlink>
      <w:r>
        <w:t>.</w:t>
      </w:r>
    </w:p>
  </w:footnote>
  <w:footnote w:id="2">
    <w:p w14:paraId="058C753B" w14:textId="374280F6" w:rsidR="00966522" w:rsidRPr="00B00DD9" w:rsidRDefault="00966522">
      <w:pPr>
        <w:pStyle w:val="FootnoteText"/>
      </w:pPr>
      <w:r>
        <w:rPr>
          <w:rStyle w:val="FootnoteReference"/>
        </w:rPr>
        <w:footnoteRef/>
      </w:r>
      <w:r>
        <w:tab/>
        <w:t xml:space="preserve">Официален вестник на Европейския съюз, </w:t>
      </w:r>
      <w:hyperlink r:id="rId2">
        <w:r>
          <w:rPr>
            <w:rStyle w:val="Hyperlink"/>
          </w:rPr>
          <w:t>ОВ C 389, 21.10.2016 г.</w:t>
        </w:r>
      </w:hyperlink>
    </w:p>
  </w:footnote>
  <w:footnote w:id="3">
    <w:p w14:paraId="787A0204" w14:textId="77777777" w:rsidR="00966522" w:rsidRPr="00B00DD9" w:rsidRDefault="00966522">
      <w:pPr>
        <w:pStyle w:val="FootnoteText"/>
      </w:pPr>
      <w:r>
        <w:rPr>
          <w:rStyle w:val="FootnoteReference"/>
        </w:rPr>
        <w:footnoteRef/>
      </w:r>
      <w:r>
        <w:tab/>
        <w:t xml:space="preserve">OCS е съкращението за софтуер за събиране на изявления онлайн – инструмент, който се предоставя безплатно от Европейската комисия за събиране на подписи онлайн. Този инструмент улеснява действията по събирането и проверката на данните от националните органи. OCS е в съответствие с Регламент (ЕС) № 1303/2013 на Европейския парламент и на Съвета и с Регламент за изпълнение (ЕС) №335/2013 на Комисията: </w:t>
      </w:r>
      <w:hyperlink r:id="rId3">
        <w:r>
          <w:rPr>
            <w:rStyle w:val="Hyperlink"/>
          </w:rPr>
          <w:t>https://joinup.ec.europa.eu/software/ocs/description</w:t>
        </w:r>
      </w:hyperlink>
      <w:r>
        <w:t>.</w:t>
      </w:r>
    </w:p>
  </w:footnote>
  <w:footnote w:id="4">
    <w:p w14:paraId="7BAC4C62" w14:textId="77777777" w:rsidR="00966522" w:rsidRPr="00B00DD9" w:rsidRDefault="00966522">
      <w:pPr>
        <w:pStyle w:val="FootnoteText"/>
      </w:pPr>
      <w:r>
        <w:rPr>
          <w:rStyle w:val="FootnoteReference"/>
        </w:rPr>
        <w:footnoteRef/>
      </w:r>
      <w:r>
        <w:t xml:space="preserve"> </w:t>
      </w:r>
      <w:r>
        <w:tab/>
        <w:t>Решение на Бюрото от 14.10.2014 г. относно вътрешните критерии за покана към организаторите да присъстват на пленарни сесии и заседания на секции.</w:t>
      </w:r>
    </w:p>
  </w:footnote>
  <w:footnote w:id="5">
    <w:p w14:paraId="47518F56" w14:textId="73A43D6C" w:rsidR="009C42E0" w:rsidRPr="00B00DD9" w:rsidRDefault="009C42E0">
      <w:pPr>
        <w:pStyle w:val="FootnoteText"/>
      </w:pPr>
      <w:r>
        <w:rPr>
          <w:rStyle w:val="FootnoteReference"/>
        </w:rPr>
        <w:footnoteRef/>
      </w:r>
      <w:r>
        <w:t xml:space="preserve"> </w:t>
      </w:r>
      <w:r>
        <w:tab/>
        <w:t>Параграф 1.4.5 от становището на Европейския икономически и социален комитет и относно „Европейската гражданска инициатива (преглед)“ (становище по собствена инициатива) от 13 юли 2016 г.</w:t>
      </w:r>
    </w:p>
  </w:footnote>
  <w:footnote w:id="6">
    <w:p w14:paraId="1BFB5266" w14:textId="4B179E60" w:rsidR="00966522" w:rsidRPr="00B00DD9" w:rsidRDefault="00966522">
      <w:pPr>
        <w:pStyle w:val="FootnoteText"/>
      </w:pPr>
      <w:r>
        <w:rPr>
          <w:rStyle w:val="FootnoteReference"/>
        </w:rPr>
        <w:footnoteRef/>
      </w:r>
      <w:r>
        <w:t xml:space="preserve"> </w:t>
      </w:r>
      <w:r>
        <w:tab/>
        <w:t>На 12.12.2017 г. ЕИСК проведе публично изслушване относно новото предложение за ЕГИ с организациите на гражданското общество.</w:t>
      </w:r>
    </w:p>
  </w:footnote>
  <w:footnote w:id="7">
    <w:p w14:paraId="1394E434" w14:textId="0D5A218E" w:rsidR="00966522" w:rsidRPr="00B00DD9" w:rsidRDefault="00966522">
      <w:pPr>
        <w:pStyle w:val="FootnoteText"/>
      </w:pPr>
      <w:r>
        <w:rPr>
          <w:rStyle w:val="FootnoteReference"/>
        </w:rPr>
        <w:footnoteRef/>
      </w:r>
      <w:r>
        <w:t xml:space="preserve"> </w:t>
      </w:r>
      <w:r>
        <w:tab/>
        <w:t>За обсъждане на значението на приложенията, вж. параграфи 47—58 по дело T-529/13 P Izsák и Dabis срещу Комисията.</w:t>
      </w:r>
    </w:p>
  </w:footnote>
  <w:footnote w:id="8">
    <w:p w14:paraId="52036DDD" w14:textId="77777777" w:rsidR="00966522" w:rsidRPr="00B00DD9" w:rsidRDefault="00966522">
      <w:pPr>
        <w:pStyle w:val="FootnoteText"/>
      </w:pPr>
      <w:r>
        <w:rPr>
          <w:rStyle w:val="FootnoteReference"/>
        </w:rPr>
        <w:footnoteRef/>
      </w:r>
      <w:r>
        <w:tab/>
        <w:t>Член 11, параграф 4 от Договора за Европейския съюз (ДЕС) и член 24, параграф 1 от Договора за функционирането на Европейския съюз (ДФЕС).</w:t>
      </w:r>
    </w:p>
  </w:footnote>
  <w:footnote w:id="9">
    <w:p w14:paraId="689AA25B" w14:textId="3497DBEE" w:rsidR="00966522" w:rsidRPr="00805A41" w:rsidRDefault="00966522">
      <w:pPr>
        <w:pStyle w:val="FootnoteText"/>
        <w:rPr>
          <w:lang w:val="en-US"/>
        </w:rPr>
      </w:pPr>
      <w:r>
        <w:rPr>
          <w:rStyle w:val="FootnoteReference"/>
        </w:rPr>
        <w:footnoteRef/>
      </w:r>
      <w:r>
        <w:tab/>
        <w:t xml:space="preserve">Регламент (ЕС) № 211/2011 на Европейския парламент и на Съвета от 16 февруари 2011 г. относно гражданската инициатива, Официален вестник на Европейския съюз </w:t>
      </w:r>
      <w:hyperlink r:id="rId4">
        <w:r>
          <w:rPr>
            <w:rStyle w:val="Hyperlink"/>
          </w:rPr>
          <w:t>ОВ L 65, 11.3.2011 г.</w:t>
        </w:r>
      </w:hyperlink>
    </w:p>
  </w:footnote>
  <w:footnote w:id="10">
    <w:p w14:paraId="0F536C8E" w14:textId="77777777" w:rsidR="00966522" w:rsidRPr="00B00DD9" w:rsidRDefault="00966522">
      <w:pPr>
        <w:pStyle w:val="FootnoteText"/>
      </w:pPr>
      <w:r>
        <w:rPr>
          <w:rStyle w:val="FootnoteReference"/>
        </w:rPr>
        <w:footnoteRef/>
      </w:r>
      <w:r>
        <w:tab/>
        <w:t>По правило възрастта за гласуване във всяка държава членка е 18 години освен в Австрия, където е 16 години.</w:t>
      </w:r>
    </w:p>
  </w:footnote>
  <w:footnote w:id="11">
    <w:p w14:paraId="0E7841DB" w14:textId="77777777" w:rsidR="00966522" w:rsidRPr="00B00DD9" w:rsidRDefault="00966522">
      <w:pPr>
        <w:pStyle w:val="FootnoteText"/>
      </w:pPr>
      <w:r>
        <w:rPr>
          <w:rStyle w:val="FootnoteReference"/>
        </w:rPr>
        <w:footnoteRef/>
      </w:r>
      <w:r>
        <w:tab/>
        <w:t>Гражданският комитет трябва да включва поне седем граждани на ЕС, постоянно пребиваващи в седем различни държави — членки на ЕС.</w:t>
      </w:r>
    </w:p>
  </w:footnote>
  <w:footnote w:id="12">
    <w:p w14:paraId="36831FDD" w14:textId="77777777" w:rsidR="00966522" w:rsidRPr="00B00DD9" w:rsidRDefault="00966522">
      <w:pPr>
        <w:pStyle w:val="FootnoteText"/>
      </w:pPr>
      <w:r>
        <w:rPr>
          <w:rStyle w:val="FootnoteReference"/>
        </w:rPr>
        <w:footnoteRef/>
      </w:r>
      <w:r>
        <w:tab/>
        <w:t>Инициативата трябва да бъде описана с максимум 800 знака (100 за заглавието, 200 за описанието и 500 за подробностите относно целите).</w:t>
      </w:r>
    </w:p>
  </w:footnote>
  <w:footnote w:id="13">
    <w:p w14:paraId="5F6A28B1" w14:textId="77777777" w:rsidR="00966522" w:rsidRPr="00B00DD9" w:rsidRDefault="00966522">
      <w:pPr>
        <w:pStyle w:val="FootnoteText"/>
      </w:pPr>
      <w:r>
        <w:rPr>
          <w:rStyle w:val="FootnoteReference"/>
        </w:rPr>
        <w:footnoteRef/>
      </w:r>
      <w:r>
        <w:tab/>
        <w:t>Член 4, параграф 2 от Регламент (ЕС) № 211/2011. Най-важна е разпоредбата на член 4, параграф 2, буква б), в която се изисква предложената ЕГИ да не попада по очевиден начин извън обхвата на правомощията на Комисията да представи предложение за правен акт на Съюза с цел изпълнение на Договорите. Оценка на решенията на Комисията за регистрация можете да намерите в James Organ, „Decommissioning direct democracy? A critical analysis of Commission decision-making on the legal admissibility of European Citizens Initiative proposals“, („Отказ от пряка демокрация? Критичен анализ на решението на Комисията относно правната допустимост на предложенията за Европейска гражданска инициатива“), 10 EuConst (2014 г.), стр. 422–443.</w:t>
      </w:r>
    </w:p>
  </w:footnote>
  <w:footnote w:id="14">
    <w:p w14:paraId="06A7EC1D" w14:textId="77777777" w:rsidR="00966522" w:rsidRPr="00B00DD9" w:rsidRDefault="00966522">
      <w:pPr>
        <w:pStyle w:val="FootnoteText"/>
      </w:pPr>
      <w:r>
        <w:rPr>
          <w:rStyle w:val="FootnoteReference"/>
        </w:rPr>
        <w:footnoteRef/>
      </w:r>
      <w:r>
        <w:tab/>
        <w:t>Член 6 от Регламент (ЕС) № 211/2011. Регламентът предвижда този процес да бъде задача на компетентните органи на всяка държава членка, в която се събират изявленията за подкрепа.</w:t>
      </w:r>
    </w:p>
  </w:footnote>
  <w:footnote w:id="15">
    <w:p w14:paraId="7319D7E5" w14:textId="63FEF64C" w:rsidR="00966522" w:rsidRPr="00B00DD9" w:rsidRDefault="00966522">
      <w:pPr>
        <w:pStyle w:val="FootnoteText"/>
      </w:pPr>
      <w:r>
        <w:rPr>
          <w:rStyle w:val="FootnoteReference"/>
        </w:rPr>
        <w:footnoteRef/>
      </w:r>
      <w:r>
        <w:tab/>
        <w:t xml:space="preserve">Регламентът предвижда изискването за минимален брой подписи във всяка държава, който да е пропорционален на броя на населението </w:t>
      </w:r>
      <w:hyperlink r:id="rId5">
        <w:r>
          <w:rPr>
            <w:rStyle w:val="Hyperlink"/>
          </w:rPr>
          <w:t>http://ec.europa.eu/citizens-initiative/public/signatories?lg=bg</w:t>
        </w:r>
      </w:hyperlink>
      <w:r>
        <w:t>.</w:t>
      </w:r>
    </w:p>
  </w:footnote>
  <w:footnote w:id="16">
    <w:p w14:paraId="417C5158" w14:textId="77777777" w:rsidR="00966522" w:rsidRPr="00B00DD9" w:rsidRDefault="00966522">
      <w:pPr>
        <w:pStyle w:val="FootnoteText"/>
      </w:pPr>
      <w:r>
        <w:rPr>
          <w:rStyle w:val="FootnoteReference"/>
        </w:rPr>
        <w:footnoteRef/>
      </w:r>
      <w:r>
        <w:tab/>
        <w:t>Член 15 от Регламент (ЕС) № 211/2011.</w:t>
      </w:r>
    </w:p>
  </w:footnote>
  <w:footnote w:id="17">
    <w:p w14:paraId="59497F33" w14:textId="77777777" w:rsidR="00966522" w:rsidRPr="00B00DD9" w:rsidRDefault="00966522">
      <w:pPr>
        <w:pStyle w:val="FootnoteText"/>
      </w:pPr>
      <w:r>
        <w:rPr>
          <w:rStyle w:val="FootnoteReference"/>
        </w:rPr>
        <w:footnoteRef/>
      </w:r>
      <w:r>
        <w:tab/>
        <w:t xml:space="preserve">Успешните инициативи са: </w:t>
      </w:r>
      <w:r>
        <w:rPr>
          <w:i/>
        </w:rPr>
        <w:t>„Водата и санитарно-хигиенните условия са човешко право!</w:t>
      </w:r>
      <w:r>
        <w:t xml:space="preserve"> </w:t>
      </w:r>
      <w:r>
        <w:rPr>
          <w:i/>
        </w:rPr>
        <w:t>Водата е обществено благо, а не стока!“, „Спрете вивисекцията“, „Един от нас“ и „Забрана на използването на глифозат и защита на хората и околната среда от токсични пестициди“</w:t>
      </w:r>
      <w:r>
        <w:t xml:space="preserve">: </w:t>
      </w:r>
      <w:hyperlink r:id="rId6">
        <w:r>
          <w:rPr>
            <w:rStyle w:val="Hyperlink"/>
          </w:rPr>
          <w:t>http://ec.europa.eu/citizens-initiative/public/initiatives/successful</w:t>
        </w:r>
      </w:hyperlink>
      <w:r>
        <w:t>.</w:t>
      </w:r>
    </w:p>
  </w:footnote>
  <w:footnote w:id="18">
    <w:p w14:paraId="73A1A662" w14:textId="7F917428" w:rsidR="00966522" w:rsidRPr="00B00DD9" w:rsidRDefault="00966522" w:rsidP="00C44237">
      <w:pPr>
        <w:pStyle w:val="FootnoteText"/>
      </w:pPr>
      <w:r>
        <w:rPr>
          <w:rStyle w:val="FootnoteReference"/>
        </w:rPr>
        <w:footnoteRef/>
      </w:r>
      <w:r>
        <w:t xml:space="preserve"> </w:t>
      </w:r>
      <w:r>
        <w:tab/>
        <w:t>Съобщение на Комисията относно Европейската гражданска инициатива „</w:t>
      </w:r>
      <w:r>
        <w:rPr>
          <w:i/>
        </w:rPr>
        <w:t>Забрана на използването на глифозат и защита на хората и околната среда от токсични пестициди</w:t>
      </w:r>
      <w:r>
        <w:t xml:space="preserve">“, </w:t>
      </w:r>
      <w:hyperlink r:id="rId7">
        <w:r>
          <w:rPr>
            <w:rStyle w:val="Hyperlink"/>
          </w:rPr>
          <w:t>C(2017) 8414 final</w:t>
        </w:r>
      </w:hyperlink>
      <w:r>
        <w:t xml:space="preserve">. На 1 февруари 2018 г. Комисията прие и </w:t>
      </w:r>
      <w:hyperlink r:id="rId8">
        <w:r>
          <w:rPr>
            <w:rStyle w:val="Hyperlink"/>
          </w:rPr>
          <w:t>предложение за преразглеждане на Директивата за питейната вода</w:t>
        </w:r>
      </w:hyperlink>
      <w:r>
        <w:t xml:space="preserve">, което е отчасти отговор на ЕГИ </w:t>
      </w:r>
      <w:hyperlink r:id="rId9">
        <w:r>
          <w:rPr>
            <w:rStyle w:val="Hyperlink"/>
          </w:rPr>
          <w:t>„Право на вода“ (Right2Water)</w:t>
        </w:r>
      </w:hyperlink>
      <w:r>
        <w:t>.</w:t>
      </w:r>
    </w:p>
  </w:footnote>
  <w:footnote w:id="19">
    <w:p w14:paraId="1B78FC28" w14:textId="214DA3BE" w:rsidR="00966522" w:rsidRPr="00B00DD9" w:rsidRDefault="00966522">
      <w:pPr>
        <w:pStyle w:val="FootnoteText"/>
      </w:pPr>
      <w:r>
        <w:rPr>
          <w:rStyle w:val="FootnoteReference"/>
        </w:rPr>
        <w:footnoteRef/>
      </w:r>
      <w:r>
        <w:tab/>
        <w:t xml:space="preserve">Денят на ЕГИ е годишна конференция, организирана от ЕИСК. </w:t>
      </w:r>
      <w:hyperlink r:id="rId10">
        <w:r>
          <w:rPr>
            <w:rStyle w:val="Hyperlink"/>
          </w:rPr>
          <w:t>Ден на ЕГИ 2017 г.</w:t>
        </w:r>
      </w:hyperlink>
      <w:r>
        <w:t xml:space="preserve">, на който партньори бяха Европейският комитет на регионите, Кампанията за ЕГИ, Европейската служба за граждански действия, Университетът на Ливърпул, Факултетът по право и социална справедливост, Democracy International, Европейският институт за инициативи и референдуми и People2power. Преразглеждането на ЕГИ беше обявено от първия заместник-председател Frans Timmermans по време на откриването. </w:t>
      </w:r>
    </w:p>
  </w:footnote>
  <w:footnote w:id="20">
    <w:p w14:paraId="0B6E5C6E" w14:textId="543C78F3" w:rsidR="00966522" w:rsidRPr="00B00DD9" w:rsidRDefault="00966522">
      <w:pPr>
        <w:pStyle w:val="FootnoteText"/>
        <w:spacing w:after="0"/>
      </w:pPr>
      <w:r>
        <w:rPr>
          <w:rStyle w:val="FootnoteReference"/>
        </w:rPr>
        <w:footnoteRef/>
      </w:r>
      <w:r>
        <w:t xml:space="preserve"> </w:t>
      </w:r>
      <w:r>
        <w:tab/>
        <w:t>Първото издание на Деня на ЕГИ се проведе на 30 март 2012 г., един ден преди влизането в сила на регламента за ЕГИ. Оттогава ЕИСК организира шест издания, които се провеждат всяка година през април. Седмото издание през 2018 г. ще се проведе на 10 април.</w:t>
      </w:r>
    </w:p>
  </w:footnote>
  <w:footnote w:id="21">
    <w:p w14:paraId="28EBC85C" w14:textId="48E04186" w:rsidR="003F00A9" w:rsidRPr="00B00DD9" w:rsidRDefault="003F00A9">
      <w:pPr>
        <w:pStyle w:val="FootnoteText"/>
      </w:pPr>
      <w:r>
        <w:rPr>
          <w:rStyle w:val="FootnoteReference"/>
        </w:rPr>
        <w:footnoteRef/>
      </w:r>
      <w:r>
        <w:t xml:space="preserve"> </w:t>
      </w:r>
      <w:r>
        <w:tab/>
        <w:t xml:space="preserve">За повече подробности вж. публикацията на ЕИСК: </w:t>
      </w:r>
      <w:hyperlink r:id="rId11">
        <w:r>
          <w:rPr>
            <w:rStyle w:val="Hyperlink"/>
          </w:rPr>
          <w:t>„Службата за съдействие във връзка с ЕГИ в Европейския икономически и социален комитет“</w:t>
        </w:r>
      </w:hyperlink>
      <w:r>
        <w:t>.</w:t>
      </w:r>
    </w:p>
  </w:footnote>
  <w:footnote w:id="22">
    <w:p w14:paraId="6454A60D" w14:textId="77777777" w:rsidR="00966522" w:rsidRPr="00B00DD9" w:rsidRDefault="00966522">
      <w:pPr>
        <w:pStyle w:val="FootnoteText"/>
      </w:pPr>
      <w:r>
        <w:rPr>
          <w:rStyle w:val="FootnoteReference"/>
        </w:rPr>
        <w:footnoteRef/>
      </w:r>
      <w:r>
        <w:t xml:space="preserve"> </w:t>
      </w:r>
      <w:r>
        <w:tab/>
        <w:t>Вж. бележка под линия 4.</w:t>
      </w:r>
    </w:p>
  </w:footnote>
  <w:footnote w:id="23">
    <w:p w14:paraId="1E7333F7" w14:textId="7C95F8B5" w:rsidR="00966522" w:rsidRPr="00B00DD9" w:rsidRDefault="00966522">
      <w:pPr>
        <w:pStyle w:val="FootnoteText"/>
      </w:pPr>
      <w:r>
        <w:rPr>
          <w:rStyle w:val="FootnoteReference"/>
        </w:rPr>
        <w:footnoteRef/>
      </w:r>
      <w:r>
        <w:t xml:space="preserve"> </w:t>
      </w:r>
      <w:r>
        <w:tab/>
        <w:t xml:space="preserve">Становище по собствена инициатива на ЕИСК относно </w:t>
      </w:r>
      <w:r>
        <w:rPr>
          <w:i/>
        </w:rPr>
        <w:t>„Европейската гражданска инициатива (преглед)“</w:t>
      </w:r>
      <w:r>
        <w:t xml:space="preserve">, Официален вестник на Европейския съюз </w:t>
      </w:r>
      <w:hyperlink r:id="rId12">
        <w:r>
          <w:rPr>
            <w:rStyle w:val="Hyperlink"/>
          </w:rPr>
          <w:t>ОВ C 389, 21.10.2016 г.</w:t>
        </w:r>
      </w:hyperlink>
      <w:r>
        <w:t>, стр. 35.</w:t>
      </w:r>
    </w:p>
  </w:footnote>
  <w:footnote w:id="24">
    <w:p w14:paraId="449D4C25" w14:textId="77777777" w:rsidR="00966522" w:rsidRPr="00B00DD9" w:rsidRDefault="00966522">
      <w:pPr>
        <w:pStyle w:val="FootnoteText"/>
      </w:pPr>
      <w:r>
        <w:rPr>
          <w:rStyle w:val="FootnoteReference"/>
        </w:rPr>
        <w:footnoteRef/>
      </w:r>
      <w:r>
        <w:tab/>
        <w:t>Служба на ЕП за парламентарни изследвания, „</w:t>
      </w:r>
      <w:hyperlink r:id="rId13">
        <w:r>
          <w:rPr>
            <w:rStyle w:val="Hyperlink"/>
          </w:rPr>
          <w:t>Implementation of the European Citizens' Initiative. The experience of the first three years</w:t>
        </w:r>
      </w:hyperlink>
      <w:r>
        <w:t>“ („Прилагане на Европейската гражданска инициатива. Опитът от първите три години“), 2015 г.</w:t>
      </w:r>
    </w:p>
  </w:footnote>
  <w:footnote w:id="25">
    <w:p w14:paraId="617EF0DF" w14:textId="77777777" w:rsidR="00966522" w:rsidRPr="00B00DD9" w:rsidRDefault="00966522">
      <w:pPr>
        <w:pStyle w:val="FootnoteText"/>
      </w:pPr>
      <w:r>
        <w:rPr>
          <w:rStyle w:val="FootnoteReference"/>
        </w:rPr>
        <w:footnoteRef/>
      </w:r>
      <w:r>
        <w:tab/>
        <w:t>Резолюция на Европейския парламент от 28 октомври 2015 г. относно Европейската гражданска инициатива (2014/2257(INI). Докладчик: György Schöpflin:</w:t>
      </w:r>
      <w:hyperlink r:id="rId14">
        <w:r>
          <w:rPr>
            <w:rStyle w:val="Hyperlink"/>
          </w:rPr>
          <w:t>http://www.europarl.europa.eu/sides/getDoc.do?pubRef=-//EP//TEXT+TA+P8-TA-2015-0382+0+DOC+XML+V0//BG</w:t>
        </w:r>
      </w:hyperlink>
      <w:r>
        <w:t>.</w:t>
      </w:r>
    </w:p>
  </w:footnote>
  <w:footnote w:id="26">
    <w:p w14:paraId="5DEB7526" w14:textId="77777777" w:rsidR="00966522" w:rsidRPr="00B00DD9" w:rsidRDefault="00966522">
      <w:pPr>
        <w:pStyle w:val="FootnoteText"/>
      </w:pPr>
      <w:r>
        <w:rPr>
          <w:rStyle w:val="FootnoteReference"/>
        </w:rPr>
        <w:footnoteRef/>
      </w:r>
      <w:r>
        <w:tab/>
        <w:t xml:space="preserve">Проектодоклад – Преразглеждане на Регламент (ЕС) № 211/2011 относно гражданската инициатива, 11.9.2017 г.: </w:t>
      </w:r>
      <w:hyperlink r:id="rId15">
        <w:r>
          <w:rPr>
            <w:rStyle w:val="Hyperlink"/>
          </w:rPr>
          <w:t>http://www.europarl.europa.eu/committees/bg/afco/draft-reports.html?ufolderComCode=AFCO&amp;ufolderLegId=8&amp;ufolderId=09289&amp;linkedDocument=true&amp;urefProcYear=&amp;urefProcNum=&amp;urefProcCode</w:t>
        </w:r>
      </w:hyperlink>
      <w:r>
        <w:t>=.</w:t>
      </w:r>
    </w:p>
  </w:footnote>
  <w:footnote w:id="27">
    <w:p w14:paraId="2CFA205A" w14:textId="77777777" w:rsidR="00966522" w:rsidRPr="00B00DD9" w:rsidRDefault="00966522">
      <w:pPr>
        <w:pStyle w:val="FootnoteText"/>
        <w:jc w:val="left"/>
        <w:rPr>
          <w:szCs w:val="16"/>
        </w:rPr>
      </w:pPr>
      <w:r>
        <w:rPr>
          <w:rStyle w:val="FootnoteReference"/>
        </w:rPr>
        <w:footnoteRef/>
      </w:r>
      <w:r>
        <w:tab/>
        <w:t xml:space="preserve">Случай: OI/9/2013/TN, открит на 18.12.2013 г., и решение от 4.3.2015 г.: </w:t>
      </w:r>
      <w:r>
        <w:br/>
      </w:r>
      <w:hyperlink r:id="rId16">
        <w:r>
          <w:rPr>
            <w:rStyle w:val="Hyperlink"/>
          </w:rPr>
          <w:t>http://www.ombudsman.europa.eu/bg/cases/decision.faces/it/59205/html.bookmark</w:t>
        </w:r>
      </w:hyperlink>
      <w:r>
        <w:t>.</w:t>
      </w:r>
    </w:p>
  </w:footnote>
  <w:footnote w:id="28">
    <w:p w14:paraId="12B7E59B" w14:textId="77777777" w:rsidR="00966522" w:rsidRPr="00B00DD9" w:rsidRDefault="00966522">
      <w:pPr>
        <w:pStyle w:val="FootnoteText"/>
        <w:spacing w:after="0"/>
      </w:pPr>
      <w:r>
        <w:rPr>
          <w:rStyle w:val="FootnoteReference"/>
        </w:rPr>
        <w:footnoteRef/>
      </w:r>
      <w:r>
        <w:t xml:space="preserve"> </w:t>
      </w:r>
      <w:r>
        <w:tab/>
        <w:t>Случай: SI/6/2017/KR; писмо от 11.7.2017 г.:</w:t>
      </w:r>
    </w:p>
    <w:p w14:paraId="33F014AC" w14:textId="77777777" w:rsidR="00966522" w:rsidRPr="00B00DD9" w:rsidRDefault="00966522">
      <w:pPr>
        <w:pStyle w:val="FootnoteText"/>
      </w:pPr>
      <w:r>
        <w:tab/>
      </w:r>
      <w:hyperlink r:id="rId17">
        <w:r>
          <w:rPr>
            <w:rStyle w:val="Hyperlink"/>
          </w:rPr>
          <w:t>https://www.ombudsman.europa.eu/cases/correspondence.faces/bg/81311/html.bookmark</w:t>
        </w:r>
      </w:hyperlink>
      <w:r>
        <w:t>.</w:t>
      </w:r>
    </w:p>
  </w:footnote>
  <w:footnote w:id="29">
    <w:p w14:paraId="1C55C827" w14:textId="18AF476A" w:rsidR="00966522" w:rsidRPr="00B00DD9" w:rsidRDefault="00966522">
      <w:pPr>
        <w:pStyle w:val="FootnoteText"/>
      </w:pPr>
      <w:r>
        <w:rPr>
          <w:rStyle w:val="FootnoteReference"/>
        </w:rPr>
        <w:footnoteRef/>
      </w:r>
      <w:r>
        <w:tab/>
        <w:t xml:space="preserve">Комитет на регионите, становище относно </w:t>
      </w:r>
      <w:r>
        <w:rPr>
          <w:i/>
        </w:rPr>
        <w:t>„Европейската гражданска инициатива“</w:t>
      </w:r>
      <w:r>
        <w:t xml:space="preserve">, Официален вестник на Европейския съюз </w:t>
      </w:r>
      <w:hyperlink r:id="rId18">
        <w:r>
          <w:rPr>
            <w:rStyle w:val="Hyperlink"/>
          </w:rPr>
          <w:t>ОВ C 423, 17.12.2015 г., стр. 1</w:t>
        </w:r>
      </w:hyperlink>
      <w:r>
        <w:t>.</w:t>
      </w:r>
    </w:p>
  </w:footnote>
  <w:footnote w:id="30">
    <w:p w14:paraId="21EC4674" w14:textId="1C327BCC" w:rsidR="00966522" w:rsidRPr="00B00DD9" w:rsidRDefault="00966522">
      <w:pPr>
        <w:pStyle w:val="FootnoteText"/>
      </w:pPr>
      <w:r>
        <w:rPr>
          <w:rStyle w:val="FootnoteReference"/>
        </w:rPr>
        <w:footnoteRef/>
      </w:r>
      <w:r>
        <w:tab/>
        <w:t>По-специално успешно оспорване по решения на Съда от 3.2.2017 г. по дело T-646/13 (инициатива „Minority SafePack“), от 10.5.2017 г. по дело T-754/14 (инициатива „Stop TTIP“) и от 12.9.2017 г. по дело C-589/15 P (инициатива „Един милион подписи за солидарна Европа“).</w:t>
      </w:r>
    </w:p>
  </w:footnote>
  <w:footnote w:id="31">
    <w:p w14:paraId="00579228" w14:textId="1584D968" w:rsidR="00966522" w:rsidRPr="00B00DD9" w:rsidRDefault="00966522">
      <w:pPr>
        <w:pStyle w:val="FootnoteText"/>
      </w:pPr>
      <w:r>
        <w:rPr>
          <w:rStyle w:val="FootnoteReference"/>
        </w:rPr>
        <w:footnoteRef/>
      </w:r>
      <w:r>
        <w:tab/>
        <w:t>Решения по случай 1086/2017/PMC от 4.10.2017 г. (инициатива „Мама, татко и деца“), по случай 1609/2016/JAS от 18.4.2017 г. (инициатива „Спрете вивисекцията“) и жалби 402/2014/PMC (поверителна) от 3.3.2015 г. и 2071/2013/EIS от 12.12.2014 г. („Спрете вивисекцията“).</w:t>
      </w:r>
    </w:p>
  </w:footnote>
  <w:footnote w:id="32">
    <w:p w14:paraId="3A8EBCFB" w14:textId="129B6B48" w:rsidR="00966522" w:rsidRPr="00B00DD9" w:rsidRDefault="00966522" w:rsidP="00764EF8">
      <w:pPr>
        <w:pStyle w:val="FootnoteText"/>
      </w:pPr>
      <w:r>
        <w:rPr>
          <w:rStyle w:val="FootnoteReference"/>
        </w:rPr>
        <w:footnoteRef/>
      </w:r>
      <w:r>
        <w:tab/>
        <w:t xml:space="preserve">Становище на ЕИСК относно </w:t>
      </w:r>
      <w:r>
        <w:rPr>
          <w:i/>
        </w:rPr>
        <w:t>„Прилагането на Договора от Лисабон: демокрация на участието и европейската гражданска инициатива (член 11 от ДЕС)“</w:t>
      </w:r>
      <w:r>
        <w:t xml:space="preserve">, Официален вестник на Европейския съюз </w:t>
      </w:r>
      <w:hyperlink r:id="rId19">
        <w:r>
          <w:rPr>
            <w:rStyle w:val="Hyperlink"/>
          </w:rPr>
          <w:t>ОВ C 354, 28.12.2010 г., стр. 59</w:t>
        </w:r>
      </w:hyperlink>
      <w:r>
        <w:t>.</w:t>
      </w:r>
    </w:p>
    <w:p w14:paraId="10F4C8B9" w14:textId="660F4AD7" w:rsidR="00966522" w:rsidRPr="00B00DD9" w:rsidRDefault="00966522" w:rsidP="00764EF8">
      <w:pPr>
        <w:pStyle w:val="FootnoteText"/>
        <w:ind w:firstLine="0"/>
      </w:pPr>
      <w:r>
        <w:t xml:space="preserve">Становище на ЕИСК относно </w:t>
      </w:r>
      <w:r>
        <w:rPr>
          <w:i/>
        </w:rPr>
        <w:t>„Европейската гражданска инициатива“</w:t>
      </w:r>
      <w:r>
        <w:t xml:space="preserve">, Официален вестник на Европейския съюз </w:t>
      </w:r>
      <w:hyperlink r:id="rId20">
        <w:r>
          <w:rPr>
            <w:rStyle w:val="Hyperlink"/>
          </w:rPr>
          <w:t>ОВ C 44, 11.2.2011 г., стр. 182</w:t>
        </w:r>
      </w:hyperlink>
      <w:r>
        <w:t xml:space="preserve">. </w:t>
      </w:r>
    </w:p>
    <w:p w14:paraId="19C51369" w14:textId="283BBD96" w:rsidR="00966522" w:rsidRPr="00B00DD9" w:rsidRDefault="00966522" w:rsidP="00764EF8">
      <w:pPr>
        <w:pStyle w:val="FootnoteText"/>
        <w:ind w:firstLine="0"/>
      </w:pPr>
      <w:r>
        <w:t xml:space="preserve">Становище по собствена инициатива на ЕИСК относно </w:t>
      </w:r>
      <w:r>
        <w:rPr>
          <w:i/>
        </w:rPr>
        <w:t>„Европейската гражданска инициатива (преглед)“</w:t>
      </w:r>
      <w:r>
        <w:t xml:space="preserve">, Официален вестник на Европейския съюз </w:t>
      </w:r>
      <w:hyperlink r:id="rId21">
        <w:r>
          <w:rPr>
            <w:rStyle w:val="Hyperlink"/>
          </w:rPr>
          <w:t>ОВ C 389, 21.10.2016 г.</w:t>
        </w:r>
      </w:hyperlink>
    </w:p>
  </w:footnote>
  <w:footnote w:id="33">
    <w:p w14:paraId="38867172" w14:textId="77777777" w:rsidR="00966522" w:rsidRPr="00B00DD9" w:rsidRDefault="00966522">
      <w:pPr>
        <w:pStyle w:val="FootnoteText"/>
      </w:pPr>
      <w:r>
        <w:rPr>
          <w:rStyle w:val="FootnoteReference"/>
        </w:rPr>
        <w:footnoteRef/>
      </w:r>
      <w:r>
        <w:tab/>
        <w:t>Ad hoc групата на ЕИСК за ЕГИ беше създадена през октомври 2013 г., за да предоставя политически насоки относно ЕГИ и да следи развитията в тази област.</w:t>
      </w:r>
    </w:p>
  </w:footnote>
  <w:footnote w:id="34">
    <w:p w14:paraId="18BAF523" w14:textId="77777777" w:rsidR="00966522" w:rsidRPr="00B00DD9" w:rsidRDefault="00966522">
      <w:pPr>
        <w:pStyle w:val="FootnoteText"/>
      </w:pPr>
      <w:r>
        <w:rPr>
          <w:rStyle w:val="FootnoteReference"/>
        </w:rPr>
        <w:footnoteRef/>
      </w:r>
      <w:r>
        <w:t xml:space="preserve"> </w:t>
      </w:r>
      <w:r>
        <w:tab/>
      </w:r>
      <w:hyperlink r:id="rId22">
        <w:r>
          <w:rPr>
            <w:rStyle w:val="Hyperlink"/>
          </w:rPr>
          <w:t>http://www.eesc.europa.eu/resources/docs/qe-04-15-566-bg-n.pdf</w:t>
        </w:r>
      </w:hyperlink>
      <w:r>
        <w:t>.</w:t>
      </w:r>
    </w:p>
  </w:footnote>
  <w:footnote w:id="35">
    <w:p w14:paraId="575B0792" w14:textId="77777777" w:rsidR="00966522" w:rsidRPr="00B00DD9" w:rsidRDefault="00966522">
      <w:pPr>
        <w:pStyle w:val="FootnoteText"/>
      </w:pPr>
      <w:r>
        <w:rPr>
          <w:rStyle w:val="FootnoteReference"/>
        </w:rPr>
        <w:footnoteRef/>
      </w:r>
      <w:r>
        <w:tab/>
      </w:r>
      <w:hyperlink r:id="rId23">
        <w:r>
          <w:rPr>
            <w:rStyle w:val="Hyperlink"/>
          </w:rPr>
          <w:t>http://www.eesc.europa.eu/resources/docs/qe-04-15-149-bg-n.pdf</w:t>
        </w:r>
      </w:hyperlink>
      <w:r>
        <w:t>.</w:t>
      </w:r>
    </w:p>
  </w:footnote>
  <w:footnote w:id="36">
    <w:p w14:paraId="5A3E4D4B" w14:textId="77777777" w:rsidR="00966522" w:rsidRPr="00B00DD9" w:rsidRDefault="00966522">
      <w:pPr>
        <w:pStyle w:val="FootnoteText"/>
      </w:pPr>
      <w:r>
        <w:rPr>
          <w:rStyle w:val="FootnoteReference"/>
        </w:rPr>
        <w:footnoteRef/>
      </w:r>
      <w:r>
        <w:tab/>
      </w:r>
      <w:hyperlink r:id="rId24">
        <w:r>
          <w:rPr>
            <w:rStyle w:val="Hyperlink"/>
          </w:rPr>
          <w:t>http://www.eesc.europa.eu/eptac/en</w:t>
        </w:r>
      </w:hyperlink>
      <w:r>
        <w:t>.</w:t>
      </w:r>
    </w:p>
  </w:footnote>
  <w:footnote w:id="37">
    <w:p w14:paraId="23282D9C" w14:textId="77777777" w:rsidR="00966522" w:rsidRPr="00B00DD9" w:rsidRDefault="00966522">
      <w:pPr>
        <w:pStyle w:val="FootnoteText"/>
      </w:pPr>
      <w:r>
        <w:rPr>
          <w:rStyle w:val="FootnoteReference"/>
        </w:rPr>
        <w:footnoteRef/>
      </w:r>
      <w:r>
        <w:t xml:space="preserve"> </w:t>
      </w:r>
      <w:r>
        <w:tab/>
        <w:t>Вж. бележка под линия 4.</w:t>
      </w:r>
    </w:p>
  </w:footnote>
  <w:footnote w:id="38">
    <w:p w14:paraId="576A7AB5" w14:textId="0DBF109E" w:rsidR="00966522" w:rsidRPr="00B00DD9" w:rsidRDefault="00966522">
      <w:pPr>
        <w:pStyle w:val="FootnoteText"/>
      </w:pPr>
      <w:r>
        <w:rPr>
          <w:rStyle w:val="FootnoteReference"/>
        </w:rPr>
        <w:footnoteRef/>
      </w:r>
      <w:r>
        <w:t xml:space="preserve"> </w:t>
      </w:r>
      <w:r>
        <w:tab/>
        <w:t>На 2.2.2014 г. тогавашният председателят на ЕИСК Henri Malosse изпрати на тогавашния председател на Европейския парламент Martin Schulz официално писмо, в което заяви интереса на ЕИСК да бъде редовно канен на публичните изслушвания относно успешни ЕГИ.</w:t>
      </w:r>
    </w:p>
  </w:footnote>
  <w:footnote w:id="39">
    <w:p w14:paraId="2AF26512" w14:textId="24952168" w:rsidR="00966522" w:rsidRPr="00B00DD9" w:rsidRDefault="00966522">
      <w:pPr>
        <w:pStyle w:val="FootnoteText"/>
      </w:pPr>
      <w:r>
        <w:rPr>
          <w:rStyle w:val="FootnoteReference"/>
        </w:rPr>
        <w:footnoteRef/>
      </w:r>
      <w:r>
        <w:tab/>
        <w:t>C. Berg, J. Tomson, „An ECI that works!</w:t>
      </w:r>
      <w:r>
        <w:rPr>
          <w:i/>
        </w:rPr>
        <w:t xml:space="preserve"> Learning from the first two years of the European Citizens' Initiative“ (</w:t>
      </w:r>
      <w:r>
        <w:t xml:space="preserve">„За успешна ЕГИ! Поуките от първите две години на Европейската гражданска инициатива“), 2014 г. </w:t>
      </w:r>
      <w:hyperlink r:id="rId25">
        <w:r>
          <w:rPr>
            <w:rStyle w:val="Hyperlink"/>
          </w:rPr>
          <w:t>http://ecithatworks.org/</w:t>
        </w:r>
      </w:hyperlink>
    </w:p>
  </w:footnote>
  <w:footnote w:id="40">
    <w:p w14:paraId="301C2BEC" w14:textId="2CE1E614" w:rsidR="00966522" w:rsidRPr="00B00DD9" w:rsidRDefault="00966522">
      <w:pPr>
        <w:pStyle w:val="FootnoteText"/>
      </w:pPr>
      <w:r>
        <w:rPr>
          <w:rStyle w:val="FootnoteReference"/>
        </w:rPr>
        <w:footnoteRef/>
      </w:r>
      <w:r>
        <w:t xml:space="preserve"> </w:t>
      </w:r>
      <w:r>
        <w:tab/>
        <w:t>Сред неотдавнашните статии могат да бъдат цитирани: Organ, „EU Citizen Participation, openness and the European Citizens Initiative: the TTIP legacy“ („Участието на гражданите на ЕС, отвореност и Европейска гражданска инициатива: завещанието на ТПТИ“), 54 CMLRev</w:t>
      </w:r>
      <w:r>
        <w:rPr>
          <w:i/>
        </w:rPr>
        <w:t xml:space="preserve"> </w:t>
      </w:r>
      <w:r>
        <w:t>1713–1748 (2017 г.); Karatzia, „The European Citizens Initiative and the EU institutional balance: On realism and the possibilities of affecting EU lawmaking“ („Европейската гражданска инициатива и институционалният баланс на ЕС: реализъм и възможности за въздействие върху законотворчеството в ЕС“, 54 CML Rev. (2017 г.), стр. 177–208; и Vogiatzis, „Between discretion and control: Reflections on the institutional position of the Commission within the European citizens' initiative process“ („Между дискреционно право и контрол: размисъл относно институционалната позиция на Комисията в рамките на процедурата за Европейската гражданска инициатива“), European Law Journal, 2017 г.; 23; 250-271.</w:t>
      </w:r>
    </w:p>
  </w:footnote>
  <w:footnote w:id="41">
    <w:p w14:paraId="1755A06E" w14:textId="3932808B" w:rsidR="00CD22C6" w:rsidRPr="00B00DD9" w:rsidRDefault="00CD22C6">
      <w:pPr>
        <w:pStyle w:val="FootnoteText"/>
      </w:pPr>
      <w:r>
        <w:rPr>
          <w:rStyle w:val="FootnoteReference"/>
        </w:rPr>
        <w:footnoteRef/>
      </w:r>
      <w:r>
        <w:t xml:space="preserve"> </w:t>
      </w:r>
      <w:r>
        <w:tab/>
        <w:t xml:space="preserve">Вж. параграфи 1.2 и 4.3.2 от становището на ЕИСК относно </w:t>
      </w:r>
      <w:r>
        <w:rPr>
          <w:i/>
        </w:rPr>
        <w:t>„Европейската гражданска инициатива“</w:t>
      </w:r>
      <w:r>
        <w:t xml:space="preserve">, Официален вестник на Европейския съюз </w:t>
      </w:r>
      <w:hyperlink r:id="rId26">
        <w:r>
          <w:rPr>
            <w:rStyle w:val="Hyperlink"/>
          </w:rPr>
          <w:t>ОВ C 44, 11.2.2011 г., стр. 182</w:t>
        </w:r>
      </w:hyperlink>
      <w:r>
        <w:t>.</w:t>
      </w:r>
    </w:p>
  </w:footnote>
  <w:footnote w:id="42">
    <w:p w14:paraId="43CDC20B" w14:textId="71446A2D" w:rsidR="00966522" w:rsidRPr="00B00DD9" w:rsidRDefault="00966522">
      <w:pPr>
        <w:pStyle w:val="FootnoteText"/>
      </w:pPr>
      <w:r>
        <w:rPr>
          <w:rStyle w:val="FootnoteReference"/>
        </w:rPr>
        <w:footnoteRef/>
      </w:r>
      <w:r>
        <w:t xml:space="preserve"> </w:t>
      </w:r>
      <w:r>
        <w:tab/>
        <w:t>За обсъждане на значението на приложенията, вж. параграфи 47—58 по дело T-529/13 P Izsák и Dabis срещу Комисията</w:t>
      </w:r>
      <w:r>
        <w:br/>
        <w:t>дело T-529/13.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23F92" w14:textId="77777777" w:rsidR="00395343" w:rsidRPr="00D86F92" w:rsidRDefault="00395343" w:rsidP="00D86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1741" w14:textId="2956C7F9" w:rsidR="00395343" w:rsidRPr="00D86F92" w:rsidRDefault="00395343" w:rsidP="00D86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73507" w14:textId="77777777" w:rsidR="00395343" w:rsidRPr="00D86F92" w:rsidRDefault="00395343" w:rsidP="00D86F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7B524" w14:textId="77777777" w:rsidR="00395343" w:rsidRPr="00D86F92" w:rsidRDefault="00395343" w:rsidP="00D86F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2DDC6" w14:textId="6956676C" w:rsidR="00395343" w:rsidRPr="00D86F92" w:rsidRDefault="00395343" w:rsidP="00D86F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6BA89" w14:textId="77777777" w:rsidR="00395343" w:rsidRPr="00D86F92" w:rsidRDefault="00395343" w:rsidP="00D86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470DBD2"/>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41FC1109"/>
    <w:multiLevelType w:val="multilevel"/>
    <w:tmpl w:val="41FC1109"/>
    <w:lvl w:ilvl="0">
      <w:start w:val="1"/>
      <w:numFmt w:val="decimal"/>
      <w:lvlText w:val="3.%1"/>
      <w:lvlJc w:val="left"/>
      <w:pPr>
        <w:ind w:left="1283"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5A704E39"/>
    <w:multiLevelType w:val="multilevel"/>
    <w:tmpl w:val="5A704E39"/>
    <w:lvl w:ilvl="0" w:tentative="1">
      <w:start w:val="4"/>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tentative="1">
      <w:start w:val="1"/>
      <w:numFmt w:val="decimal"/>
      <w:isLgl/>
      <w:lvlText w:val="%1.%2.%3.%4"/>
      <w:lvlJc w:val="left"/>
      <w:pPr>
        <w:ind w:left="1080" w:hanging="720"/>
      </w:pPr>
    </w:lvl>
    <w:lvl w:ilvl="4" w:tentative="1">
      <w:start w:val="1"/>
      <w:numFmt w:val="decimal"/>
      <w:isLgl/>
      <w:lvlText w:val="%1.%2.%3.%4.%5"/>
      <w:lvlJc w:val="left"/>
      <w:pPr>
        <w:ind w:left="1440" w:hanging="1080"/>
      </w:pPr>
    </w:lvl>
    <w:lvl w:ilvl="5" w:tentative="1">
      <w:start w:val="1"/>
      <w:numFmt w:val="decimal"/>
      <w:isLgl/>
      <w:lvlText w:val="%1.%2.%3.%4.%5.%6"/>
      <w:lvlJc w:val="left"/>
      <w:pPr>
        <w:ind w:left="1440" w:hanging="1080"/>
      </w:pPr>
    </w:lvl>
    <w:lvl w:ilvl="6" w:tentative="1">
      <w:start w:val="1"/>
      <w:numFmt w:val="decimal"/>
      <w:isLgl/>
      <w:lvlText w:val="%1.%2.%3.%4.%5.%6.%7"/>
      <w:lvlJc w:val="left"/>
      <w:pPr>
        <w:ind w:left="1800" w:hanging="1440"/>
      </w:pPr>
    </w:lvl>
    <w:lvl w:ilvl="7" w:tentative="1">
      <w:start w:val="1"/>
      <w:numFmt w:val="decimal"/>
      <w:isLgl/>
      <w:lvlText w:val="%1.%2.%3.%4.%5.%6.%7.%8"/>
      <w:lvlJc w:val="left"/>
      <w:pPr>
        <w:ind w:left="1800" w:hanging="1440"/>
      </w:pPr>
    </w:lvl>
    <w:lvl w:ilvl="8" w:tentative="1">
      <w:start w:val="1"/>
      <w:numFmt w:val="decimal"/>
      <w:isLgl/>
      <w:lvlText w:val="%1.%2.%3.%4.%5.%6.%7.%8.%9"/>
      <w:lvlJc w:val="left"/>
      <w:pPr>
        <w:ind w:left="1800" w:hanging="1440"/>
      </w:pPr>
    </w:lvl>
  </w:abstractNum>
  <w:num w:numId="1">
    <w:abstractNumId w:val="0"/>
  </w:num>
  <w:num w:numId="2">
    <w:abstractNumId w:val="1"/>
  </w:num>
  <w:num w:numId="3">
    <w:abstractNumId w:val="2"/>
    <w:lvlOverride w:ilvl="1">
      <w:startOverride w:val="1"/>
    </w:lvlOverride>
  </w:num>
  <w:num w:numId="4">
    <w:abstractNumId w:val="2"/>
    <w:lvlOverride w:ilvl="2">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5AB9"/>
    <w:rsid w:val="00005EB9"/>
    <w:rsid w:val="00006E24"/>
    <w:rsid w:val="00007A40"/>
    <w:rsid w:val="00017B45"/>
    <w:rsid w:val="0002027A"/>
    <w:rsid w:val="00020A43"/>
    <w:rsid w:val="00020E6E"/>
    <w:rsid w:val="0002164B"/>
    <w:rsid w:val="00031A4B"/>
    <w:rsid w:val="00033913"/>
    <w:rsid w:val="00033DB4"/>
    <w:rsid w:val="00033E5B"/>
    <w:rsid w:val="000357A8"/>
    <w:rsid w:val="00037702"/>
    <w:rsid w:val="00040AA0"/>
    <w:rsid w:val="000430A6"/>
    <w:rsid w:val="00044923"/>
    <w:rsid w:val="00045138"/>
    <w:rsid w:val="00045998"/>
    <w:rsid w:val="00046333"/>
    <w:rsid w:val="0005249C"/>
    <w:rsid w:val="000534A5"/>
    <w:rsid w:val="000541A4"/>
    <w:rsid w:val="0005680D"/>
    <w:rsid w:val="00060396"/>
    <w:rsid w:val="00062B64"/>
    <w:rsid w:val="0006311E"/>
    <w:rsid w:val="00063430"/>
    <w:rsid w:val="00063EBB"/>
    <w:rsid w:val="00063FB4"/>
    <w:rsid w:val="0006793E"/>
    <w:rsid w:val="0007045B"/>
    <w:rsid w:val="00071E23"/>
    <w:rsid w:val="00072E0F"/>
    <w:rsid w:val="000735E5"/>
    <w:rsid w:val="0007392F"/>
    <w:rsid w:val="00074048"/>
    <w:rsid w:val="000751F8"/>
    <w:rsid w:val="000761E7"/>
    <w:rsid w:val="00085764"/>
    <w:rsid w:val="00087B39"/>
    <w:rsid w:val="00093DE0"/>
    <w:rsid w:val="000947F5"/>
    <w:rsid w:val="000957AA"/>
    <w:rsid w:val="00095EA8"/>
    <w:rsid w:val="00096502"/>
    <w:rsid w:val="000A023D"/>
    <w:rsid w:val="000A1448"/>
    <w:rsid w:val="000A2345"/>
    <w:rsid w:val="000A49BB"/>
    <w:rsid w:val="000A5670"/>
    <w:rsid w:val="000A6C5F"/>
    <w:rsid w:val="000B0C26"/>
    <w:rsid w:val="000C3441"/>
    <w:rsid w:val="000C7F53"/>
    <w:rsid w:val="000D06EB"/>
    <w:rsid w:val="000D2F8E"/>
    <w:rsid w:val="000F0869"/>
    <w:rsid w:val="000F196B"/>
    <w:rsid w:val="000F34A0"/>
    <w:rsid w:val="000F3800"/>
    <w:rsid w:val="00104C08"/>
    <w:rsid w:val="001051BB"/>
    <w:rsid w:val="00105361"/>
    <w:rsid w:val="00107902"/>
    <w:rsid w:val="001101F8"/>
    <w:rsid w:val="0011206F"/>
    <w:rsid w:val="00113950"/>
    <w:rsid w:val="0011656A"/>
    <w:rsid w:val="0012220C"/>
    <w:rsid w:val="001304FF"/>
    <w:rsid w:val="0013596E"/>
    <w:rsid w:val="0013668C"/>
    <w:rsid w:val="00136EA3"/>
    <w:rsid w:val="00137575"/>
    <w:rsid w:val="00142720"/>
    <w:rsid w:val="00144231"/>
    <w:rsid w:val="00147FF3"/>
    <w:rsid w:val="00150434"/>
    <w:rsid w:val="00154B90"/>
    <w:rsid w:val="00155721"/>
    <w:rsid w:val="0016503F"/>
    <w:rsid w:val="0016622E"/>
    <w:rsid w:val="001664F4"/>
    <w:rsid w:val="0016674F"/>
    <w:rsid w:val="00167642"/>
    <w:rsid w:val="00167CA0"/>
    <w:rsid w:val="0017120D"/>
    <w:rsid w:val="001714F6"/>
    <w:rsid w:val="00174682"/>
    <w:rsid w:val="00176168"/>
    <w:rsid w:val="00177158"/>
    <w:rsid w:val="001812B1"/>
    <w:rsid w:val="001820E6"/>
    <w:rsid w:val="00184CAE"/>
    <w:rsid w:val="00184FD4"/>
    <w:rsid w:val="00186B04"/>
    <w:rsid w:val="00186F1E"/>
    <w:rsid w:val="00190836"/>
    <w:rsid w:val="00193930"/>
    <w:rsid w:val="00194B36"/>
    <w:rsid w:val="001963A5"/>
    <w:rsid w:val="00196F1E"/>
    <w:rsid w:val="00197FCA"/>
    <w:rsid w:val="001A051F"/>
    <w:rsid w:val="001A16CA"/>
    <w:rsid w:val="001A27DB"/>
    <w:rsid w:val="001A5020"/>
    <w:rsid w:val="001A65E2"/>
    <w:rsid w:val="001A6852"/>
    <w:rsid w:val="001B286A"/>
    <w:rsid w:val="001B2D02"/>
    <w:rsid w:val="001B3647"/>
    <w:rsid w:val="001B77FA"/>
    <w:rsid w:val="001C0ABE"/>
    <w:rsid w:val="001C5852"/>
    <w:rsid w:val="001C7D9D"/>
    <w:rsid w:val="001D20D6"/>
    <w:rsid w:val="001D45F0"/>
    <w:rsid w:val="001D63C6"/>
    <w:rsid w:val="001D729A"/>
    <w:rsid w:val="001E1335"/>
    <w:rsid w:val="001E25EB"/>
    <w:rsid w:val="001E2EDC"/>
    <w:rsid w:val="001E4A33"/>
    <w:rsid w:val="001E5C27"/>
    <w:rsid w:val="001F0404"/>
    <w:rsid w:val="001F53A6"/>
    <w:rsid w:val="001F5AE1"/>
    <w:rsid w:val="001F602B"/>
    <w:rsid w:val="001F667C"/>
    <w:rsid w:val="001F6AC8"/>
    <w:rsid w:val="00202969"/>
    <w:rsid w:val="002037D5"/>
    <w:rsid w:val="00203A72"/>
    <w:rsid w:val="0020520C"/>
    <w:rsid w:val="00206F90"/>
    <w:rsid w:val="00212B03"/>
    <w:rsid w:val="002143E2"/>
    <w:rsid w:val="00215137"/>
    <w:rsid w:val="00215C10"/>
    <w:rsid w:val="00215C2D"/>
    <w:rsid w:val="00215CC1"/>
    <w:rsid w:val="00220651"/>
    <w:rsid w:val="00221783"/>
    <w:rsid w:val="002252C4"/>
    <w:rsid w:val="002304A0"/>
    <w:rsid w:val="0023140A"/>
    <w:rsid w:val="0023183E"/>
    <w:rsid w:val="00235138"/>
    <w:rsid w:val="002431D1"/>
    <w:rsid w:val="0024385A"/>
    <w:rsid w:val="00243E36"/>
    <w:rsid w:val="0024540B"/>
    <w:rsid w:val="00245EF4"/>
    <w:rsid w:val="00246968"/>
    <w:rsid w:val="00250E11"/>
    <w:rsid w:val="00251383"/>
    <w:rsid w:val="002522C9"/>
    <w:rsid w:val="00252369"/>
    <w:rsid w:val="00252709"/>
    <w:rsid w:val="00252A21"/>
    <w:rsid w:val="00253E4F"/>
    <w:rsid w:val="002542E4"/>
    <w:rsid w:val="00261053"/>
    <w:rsid w:val="00262FDE"/>
    <w:rsid w:val="00263629"/>
    <w:rsid w:val="00265C5A"/>
    <w:rsid w:val="00267A0A"/>
    <w:rsid w:val="00270950"/>
    <w:rsid w:val="00273BE1"/>
    <w:rsid w:val="002769BD"/>
    <w:rsid w:val="002808BE"/>
    <w:rsid w:val="002809EA"/>
    <w:rsid w:val="00284962"/>
    <w:rsid w:val="00286B07"/>
    <w:rsid w:val="00287B0E"/>
    <w:rsid w:val="00291CED"/>
    <w:rsid w:val="0029549C"/>
    <w:rsid w:val="002965BF"/>
    <w:rsid w:val="002A0B53"/>
    <w:rsid w:val="002A0EEF"/>
    <w:rsid w:val="002A1137"/>
    <w:rsid w:val="002A2856"/>
    <w:rsid w:val="002B2DF7"/>
    <w:rsid w:val="002B489A"/>
    <w:rsid w:val="002C1D46"/>
    <w:rsid w:val="002C1FE2"/>
    <w:rsid w:val="002C201B"/>
    <w:rsid w:val="002C3BF4"/>
    <w:rsid w:val="002C5FEC"/>
    <w:rsid w:val="002C749F"/>
    <w:rsid w:val="002D446E"/>
    <w:rsid w:val="002D5FAA"/>
    <w:rsid w:val="002D7724"/>
    <w:rsid w:val="002E71C7"/>
    <w:rsid w:val="002E756C"/>
    <w:rsid w:val="002F059B"/>
    <w:rsid w:val="002F5B0B"/>
    <w:rsid w:val="00300924"/>
    <w:rsid w:val="0030596E"/>
    <w:rsid w:val="003073C3"/>
    <w:rsid w:val="003078EB"/>
    <w:rsid w:val="0032005A"/>
    <w:rsid w:val="00323637"/>
    <w:rsid w:val="00324E8A"/>
    <w:rsid w:val="003266EE"/>
    <w:rsid w:val="00331D87"/>
    <w:rsid w:val="00332850"/>
    <w:rsid w:val="00332F3D"/>
    <w:rsid w:val="00334478"/>
    <w:rsid w:val="003346B4"/>
    <w:rsid w:val="00334AE6"/>
    <w:rsid w:val="003365D0"/>
    <w:rsid w:val="003439AB"/>
    <w:rsid w:val="00345686"/>
    <w:rsid w:val="00347317"/>
    <w:rsid w:val="00354695"/>
    <w:rsid w:val="0035549B"/>
    <w:rsid w:val="0035584C"/>
    <w:rsid w:val="00357D64"/>
    <w:rsid w:val="00361042"/>
    <w:rsid w:val="00362318"/>
    <w:rsid w:val="00362C79"/>
    <w:rsid w:val="003659BD"/>
    <w:rsid w:val="00373ADC"/>
    <w:rsid w:val="003755C8"/>
    <w:rsid w:val="00375687"/>
    <w:rsid w:val="00375C20"/>
    <w:rsid w:val="0037649F"/>
    <w:rsid w:val="00380AE0"/>
    <w:rsid w:val="00383324"/>
    <w:rsid w:val="00384D32"/>
    <w:rsid w:val="00384EF4"/>
    <w:rsid w:val="00387A75"/>
    <w:rsid w:val="003904FD"/>
    <w:rsid w:val="00394254"/>
    <w:rsid w:val="00395343"/>
    <w:rsid w:val="003A0C66"/>
    <w:rsid w:val="003A62FF"/>
    <w:rsid w:val="003A7221"/>
    <w:rsid w:val="003B0ED1"/>
    <w:rsid w:val="003C124C"/>
    <w:rsid w:val="003C2BFB"/>
    <w:rsid w:val="003C436B"/>
    <w:rsid w:val="003C45FA"/>
    <w:rsid w:val="003C5337"/>
    <w:rsid w:val="003C5F92"/>
    <w:rsid w:val="003D2ADF"/>
    <w:rsid w:val="003D7A8C"/>
    <w:rsid w:val="003D7C00"/>
    <w:rsid w:val="003E25FD"/>
    <w:rsid w:val="003E423D"/>
    <w:rsid w:val="003E4936"/>
    <w:rsid w:val="003E56E5"/>
    <w:rsid w:val="003E7E60"/>
    <w:rsid w:val="003F00A9"/>
    <w:rsid w:val="003F00D4"/>
    <w:rsid w:val="003F2209"/>
    <w:rsid w:val="003F3D39"/>
    <w:rsid w:val="003F646A"/>
    <w:rsid w:val="003F6761"/>
    <w:rsid w:val="003F6A0A"/>
    <w:rsid w:val="003F7079"/>
    <w:rsid w:val="003F74C0"/>
    <w:rsid w:val="004018FE"/>
    <w:rsid w:val="004024F5"/>
    <w:rsid w:val="00402DE1"/>
    <w:rsid w:val="00403D8B"/>
    <w:rsid w:val="004058F1"/>
    <w:rsid w:val="00406678"/>
    <w:rsid w:val="00407D84"/>
    <w:rsid w:val="00407E7D"/>
    <w:rsid w:val="0041283D"/>
    <w:rsid w:val="00413AB4"/>
    <w:rsid w:val="004201F2"/>
    <w:rsid w:val="00421373"/>
    <w:rsid w:val="00421C1D"/>
    <w:rsid w:val="00421FB7"/>
    <w:rsid w:val="00423F39"/>
    <w:rsid w:val="0042763B"/>
    <w:rsid w:val="0043024C"/>
    <w:rsid w:val="00436706"/>
    <w:rsid w:val="00441640"/>
    <w:rsid w:val="00442C4E"/>
    <w:rsid w:val="004437C8"/>
    <w:rsid w:val="00443D38"/>
    <w:rsid w:val="00446A04"/>
    <w:rsid w:val="00446C11"/>
    <w:rsid w:val="00447955"/>
    <w:rsid w:val="00450E7A"/>
    <w:rsid w:val="004543EC"/>
    <w:rsid w:val="00455614"/>
    <w:rsid w:val="00456AF8"/>
    <w:rsid w:val="00470B15"/>
    <w:rsid w:val="00475869"/>
    <w:rsid w:val="00475A77"/>
    <w:rsid w:val="00476A39"/>
    <w:rsid w:val="00476D5A"/>
    <w:rsid w:val="004801EB"/>
    <w:rsid w:val="00482DDC"/>
    <w:rsid w:val="00483E6C"/>
    <w:rsid w:val="004866A9"/>
    <w:rsid w:val="0049154D"/>
    <w:rsid w:val="00492774"/>
    <w:rsid w:val="00494D7F"/>
    <w:rsid w:val="004967DA"/>
    <w:rsid w:val="00496D7A"/>
    <w:rsid w:val="004A0383"/>
    <w:rsid w:val="004A1001"/>
    <w:rsid w:val="004A2A08"/>
    <w:rsid w:val="004A31BC"/>
    <w:rsid w:val="004A3F1A"/>
    <w:rsid w:val="004A3F45"/>
    <w:rsid w:val="004A47B2"/>
    <w:rsid w:val="004B1AFA"/>
    <w:rsid w:val="004B6047"/>
    <w:rsid w:val="004B7088"/>
    <w:rsid w:val="004C0696"/>
    <w:rsid w:val="004C1B6E"/>
    <w:rsid w:val="004C5B76"/>
    <w:rsid w:val="004D02CD"/>
    <w:rsid w:val="004D0B24"/>
    <w:rsid w:val="004D4B90"/>
    <w:rsid w:val="004D6B95"/>
    <w:rsid w:val="004D7F41"/>
    <w:rsid w:val="004E03A2"/>
    <w:rsid w:val="004E1E50"/>
    <w:rsid w:val="004E317E"/>
    <w:rsid w:val="004E3954"/>
    <w:rsid w:val="004E5856"/>
    <w:rsid w:val="004F2330"/>
    <w:rsid w:val="004F53C6"/>
    <w:rsid w:val="004F69DB"/>
    <w:rsid w:val="004F6B87"/>
    <w:rsid w:val="00501C2D"/>
    <w:rsid w:val="00502637"/>
    <w:rsid w:val="00505584"/>
    <w:rsid w:val="00511140"/>
    <w:rsid w:val="00513CFE"/>
    <w:rsid w:val="00522BED"/>
    <w:rsid w:val="00523001"/>
    <w:rsid w:val="00523B6A"/>
    <w:rsid w:val="00525F6C"/>
    <w:rsid w:val="0052616F"/>
    <w:rsid w:val="0052634B"/>
    <w:rsid w:val="00544342"/>
    <w:rsid w:val="00546AB4"/>
    <w:rsid w:val="00547FC3"/>
    <w:rsid w:val="005513C9"/>
    <w:rsid w:val="005514E5"/>
    <w:rsid w:val="00563C48"/>
    <w:rsid w:val="00563C84"/>
    <w:rsid w:val="00573938"/>
    <w:rsid w:val="00573AA3"/>
    <w:rsid w:val="005762F6"/>
    <w:rsid w:val="00582518"/>
    <w:rsid w:val="00584FBE"/>
    <w:rsid w:val="00585483"/>
    <w:rsid w:val="00587378"/>
    <w:rsid w:val="00587C05"/>
    <w:rsid w:val="00590AAB"/>
    <w:rsid w:val="005938C3"/>
    <w:rsid w:val="0059468C"/>
    <w:rsid w:val="00595125"/>
    <w:rsid w:val="005957EA"/>
    <w:rsid w:val="00596F21"/>
    <w:rsid w:val="005A018D"/>
    <w:rsid w:val="005A059A"/>
    <w:rsid w:val="005A2E3F"/>
    <w:rsid w:val="005A3CE4"/>
    <w:rsid w:val="005B0150"/>
    <w:rsid w:val="005B1CDD"/>
    <w:rsid w:val="005B1E19"/>
    <w:rsid w:val="005B55FC"/>
    <w:rsid w:val="005B5703"/>
    <w:rsid w:val="005C0130"/>
    <w:rsid w:val="005C0AB5"/>
    <w:rsid w:val="005C0B13"/>
    <w:rsid w:val="005C2D5E"/>
    <w:rsid w:val="005C33C0"/>
    <w:rsid w:val="005C3B81"/>
    <w:rsid w:val="005C650C"/>
    <w:rsid w:val="005D086C"/>
    <w:rsid w:val="005D11D3"/>
    <w:rsid w:val="005D4E1F"/>
    <w:rsid w:val="005D4FB3"/>
    <w:rsid w:val="005D5CE0"/>
    <w:rsid w:val="005E2F07"/>
    <w:rsid w:val="005E2FEA"/>
    <w:rsid w:val="005E536E"/>
    <w:rsid w:val="005E6BE5"/>
    <w:rsid w:val="005F314B"/>
    <w:rsid w:val="0060285E"/>
    <w:rsid w:val="0060452F"/>
    <w:rsid w:val="00605FEA"/>
    <w:rsid w:val="006106F3"/>
    <w:rsid w:val="00610D80"/>
    <w:rsid w:val="006116F3"/>
    <w:rsid w:val="00611AF2"/>
    <w:rsid w:val="0061212B"/>
    <w:rsid w:val="006127AF"/>
    <w:rsid w:val="00615FB2"/>
    <w:rsid w:val="006167A1"/>
    <w:rsid w:val="00617BD1"/>
    <w:rsid w:val="00617CE8"/>
    <w:rsid w:val="006251DF"/>
    <w:rsid w:val="006278A0"/>
    <w:rsid w:val="0063095F"/>
    <w:rsid w:val="00632C10"/>
    <w:rsid w:val="00643A17"/>
    <w:rsid w:val="00643CDE"/>
    <w:rsid w:val="00646AC2"/>
    <w:rsid w:val="00650390"/>
    <w:rsid w:val="00652B77"/>
    <w:rsid w:val="00654DAB"/>
    <w:rsid w:val="0066204A"/>
    <w:rsid w:val="00665C1E"/>
    <w:rsid w:val="006677B4"/>
    <w:rsid w:val="006701E9"/>
    <w:rsid w:val="00670E3C"/>
    <w:rsid w:val="00671D50"/>
    <w:rsid w:val="00672021"/>
    <w:rsid w:val="006720B0"/>
    <w:rsid w:val="00675ED3"/>
    <w:rsid w:val="00677F57"/>
    <w:rsid w:val="00681088"/>
    <w:rsid w:val="0068416D"/>
    <w:rsid w:val="006842E5"/>
    <w:rsid w:val="00687B43"/>
    <w:rsid w:val="0069086E"/>
    <w:rsid w:val="00690F53"/>
    <w:rsid w:val="00695777"/>
    <w:rsid w:val="0069577E"/>
    <w:rsid w:val="0069634B"/>
    <w:rsid w:val="00696623"/>
    <w:rsid w:val="006A04E9"/>
    <w:rsid w:val="006A4A03"/>
    <w:rsid w:val="006A7543"/>
    <w:rsid w:val="006B4C24"/>
    <w:rsid w:val="006B725C"/>
    <w:rsid w:val="006C273D"/>
    <w:rsid w:val="006C5C4F"/>
    <w:rsid w:val="006C6282"/>
    <w:rsid w:val="006C762A"/>
    <w:rsid w:val="006D0476"/>
    <w:rsid w:val="006D10CD"/>
    <w:rsid w:val="006D5FF9"/>
    <w:rsid w:val="006D621D"/>
    <w:rsid w:val="006E0772"/>
    <w:rsid w:val="006E0F86"/>
    <w:rsid w:val="006E7910"/>
    <w:rsid w:val="006F0B15"/>
    <w:rsid w:val="006F0DCC"/>
    <w:rsid w:val="00703180"/>
    <w:rsid w:val="00703DF9"/>
    <w:rsid w:val="007048EB"/>
    <w:rsid w:val="00704FBB"/>
    <w:rsid w:val="0070726A"/>
    <w:rsid w:val="0071226B"/>
    <w:rsid w:val="0071494C"/>
    <w:rsid w:val="00717040"/>
    <w:rsid w:val="00717184"/>
    <w:rsid w:val="00722C6B"/>
    <w:rsid w:val="00725EB5"/>
    <w:rsid w:val="007318A4"/>
    <w:rsid w:val="00744063"/>
    <w:rsid w:val="00754EEA"/>
    <w:rsid w:val="00762358"/>
    <w:rsid w:val="00764EF8"/>
    <w:rsid w:val="00766CC0"/>
    <w:rsid w:val="00770C06"/>
    <w:rsid w:val="00774A43"/>
    <w:rsid w:val="007750A2"/>
    <w:rsid w:val="00776183"/>
    <w:rsid w:val="007817D6"/>
    <w:rsid w:val="00787912"/>
    <w:rsid w:val="0079177A"/>
    <w:rsid w:val="007926E9"/>
    <w:rsid w:val="00794836"/>
    <w:rsid w:val="007948D5"/>
    <w:rsid w:val="007958EC"/>
    <w:rsid w:val="007A15C9"/>
    <w:rsid w:val="007A29A1"/>
    <w:rsid w:val="007A386C"/>
    <w:rsid w:val="007A6676"/>
    <w:rsid w:val="007B1857"/>
    <w:rsid w:val="007B5879"/>
    <w:rsid w:val="007B7FF5"/>
    <w:rsid w:val="007C3FC6"/>
    <w:rsid w:val="007D2CE9"/>
    <w:rsid w:val="007D4FED"/>
    <w:rsid w:val="007D69DA"/>
    <w:rsid w:val="007D70B1"/>
    <w:rsid w:val="007D7140"/>
    <w:rsid w:val="007E1C73"/>
    <w:rsid w:val="007E1CDB"/>
    <w:rsid w:val="007E3BA4"/>
    <w:rsid w:val="007E408C"/>
    <w:rsid w:val="007E48DD"/>
    <w:rsid w:val="007E7E21"/>
    <w:rsid w:val="007F028E"/>
    <w:rsid w:val="007F0460"/>
    <w:rsid w:val="007F0DA2"/>
    <w:rsid w:val="007F39CE"/>
    <w:rsid w:val="007F5E0D"/>
    <w:rsid w:val="007F6685"/>
    <w:rsid w:val="007F6701"/>
    <w:rsid w:val="00801085"/>
    <w:rsid w:val="00801A89"/>
    <w:rsid w:val="00805A41"/>
    <w:rsid w:val="008116CD"/>
    <w:rsid w:val="00812138"/>
    <w:rsid w:val="008151F2"/>
    <w:rsid w:val="008174A2"/>
    <w:rsid w:val="0081777A"/>
    <w:rsid w:val="008210E0"/>
    <w:rsid w:val="00824079"/>
    <w:rsid w:val="00831F0A"/>
    <w:rsid w:val="00832E9B"/>
    <w:rsid w:val="00833A78"/>
    <w:rsid w:val="00836209"/>
    <w:rsid w:val="008430CD"/>
    <w:rsid w:val="00844407"/>
    <w:rsid w:val="0084585F"/>
    <w:rsid w:val="00853E53"/>
    <w:rsid w:val="00864D76"/>
    <w:rsid w:val="008656C9"/>
    <w:rsid w:val="0086711C"/>
    <w:rsid w:val="00867535"/>
    <w:rsid w:val="00870147"/>
    <w:rsid w:val="00872C02"/>
    <w:rsid w:val="00875C5B"/>
    <w:rsid w:val="00883C5F"/>
    <w:rsid w:val="008905A8"/>
    <w:rsid w:val="00891C7D"/>
    <w:rsid w:val="00892FA7"/>
    <w:rsid w:val="008977E8"/>
    <w:rsid w:val="008A057C"/>
    <w:rsid w:val="008A3301"/>
    <w:rsid w:val="008A4DF1"/>
    <w:rsid w:val="008A5636"/>
    <w:rsid w:val="008A6133"/>
    <w:rsid w:val="008A7E82"/>
    <w:rsid w:val="008B125E"/>
    <w:rsid w:val="008B241C"/>
    <w:rsid w:val="008B408B"/>
    <w:rsid w:val="008B4F11"/>
    <w:rsid w:val="008C2362"/>
    <w:rsid w:val="008C3049"/>
    <w:rsid w:val="008C5121"/>
    <w:rsid w:val="008D2708"/>
    <w:rsid w:val="008D4AE9"/>
    <w:rsid w:val="008D5CF3"/>
    <w:rsid w:val="008D62AF"/>
    <w:rsid w:val="008D7D39"/>
    <w:rsid w:val="008E4574"/>
    <w:rsid w:val="008E7CC6"/>
    <w:rsid w:val="008F0CC4"/>
    <w:rsid w:val="008F1271"/>
    <w:rsid w:val="008F307A"/>
    <w:rsid w:val="008F371C"/>
    <w:rsid w:val="008F4016"/>
    <w:rsid w:val="008F42FE"/>
    <w:rsid w:val="008F4A00"/>
    <w:rsid w:val="008F5402"/>
    <w:rsid w:val="0090053A"/>
    <w:rsid w:val="00901C2A"/>
    <w:rsid w:val="00902789"/>
    <w:rsid w:val="009076F9"/>
    <w:rsid w:val="009118C7"/>
    <w:rsid w:val="009225B6"/>
    <w:rsid w:val="00925397"/>
    <w:rsid w:val="00933A21"/>
    <w:rsid w:val="00934B0C"/>
    <w:rsid w:val="00934C10"/>
    <w:rsid w:val="009360AC"/>
    <w:rsid w:val="0093662A"/>
    <w:rsid w:val="0094060C"/>
    <w:rsid w:val="0095168A"/>
    <w:rsid w:val="00951BBF"/>
    <w:rsid w:val="009606A5"/>
    <w:rsid w:val="00962F1F"/>
    <w:rsid w:val="00964AB6"/>
    <w:rsid w:val="00965304"/>
    <w:rsid w:val="00966522"/>
    <w:rsid w:val="009672CA"/>
    <w:rsid w:val="00971293"/>
    <w:rsid w:val="00972BD9"/>
    <w:rsid w:val="00973A3B"/>
    <w:rsid w:val="00982A9B"/>
    <w:rsid w:val="00983EAE"/>
    <w:rsid w:val="009874AE"/>
    <w:rsid w:val="0098760B"/>
    <w:rsid w:val="009A11DD"/>
    <w:rsid w:val="009A164B"/>
    <w:rsid w:val="009A4DC9"/>
    <w:rsid w:val="009B00EB"/>
    <w:rsid w:val="009B1404"/>
    <w:rsid w:val="009B30AA"/>
    <w:rsid w:val="009B5217"/>
    <w:rsid w:val="009C17E6"/>
    <w:rsid w:val="009C1EFF"/>
    <w:rsid w:val="009C42E0"/>
    <w:rsid w:val="009C4798"/>
    <w:rsid w:val="009C48DE"/>
    <w:rsid w:val="009C5314"/>
    <w:rsid w:val="009C5C8E"/>
    <w:rsid w:val="009C64E0"/>
    <w:rsid w:val="009D43F8"/>
    <w:rsid w:val="009E04D7"/>
    <w:rsid w:val="009E1E1E"/>
    <w:rsid w:val="009E33E3"/>
    <w:rsid w:val="009E631A"/>
    <w:rsid w:val="009E6A7F"/>
    <w:rsid w:val="009E7F16"/>
    <w:rsid w:val="009F1414"/>
    <w:rsid w:val="009F5052"/>
    <w:rsid w:val="00A02A9C"/>
    <w:rsid w:val="00A04C85"/>
    <w:rsid w:val="00A0779C"/>
    <w:rsid w:val="00A100F0"/>
    <w:rsid w:val="00A156E6"/>
    <w:rsid w:val="00A27D86"/>
    <w:rsid w:val="00A304E1"/>
    <w:rsid w:val="00A316C0"/>
    <w:rsid w:val="00A33151"/>
    <w:rsid w:val="00A36970"/>
    <w:rsid w:val="00A37F48"/>
    <w:rsid w:val="00A41EB4"/>
    <w:rsid w:val="00A44BFF"/>
    <w:rsid w:val="00A501E3"/>
    <w:rsid w:val="00A50F0C"/>
    <w:rsid w:val="00A56441"/>
    <w:rsid w:val="00A57AAB"/>
    <w:rsid w:val="00A64ABD"/>
    <w:rsid w:val="00A671FA"/>
    <w:rsid w:val="00A736DD"/>
    <w:rsid w:val="00A82869"/>
    <w:rsid w:val="00A8758C"/>
    <w:rsid w:val="00A87CF0"/>
    <w:rsid w:val="00A905BF"/>
    <w:rsid w:val="00A94445"/>
    <w:rsid w:val="00A94DC2"/>
    <w:rsid w:val="00A95084"/>
    <w:rsid w:val="00AA127E"/>
    <w:rsid w:val="00AA19AE"/>
    <w:rsid w:val="00AA423D"/>
    <w:rsid w:val="00AA55F3"/>
    <w:rsid w:val="00AA6A95"/>
    <w:rsid w:val="00AB10DE"/>
    <w:rsid w:val="00AB3668"/>
    <w:rsid w:val="00AB5ED7"/>
    <w:rsid w:val="00AB6E59"/>
    <w:rsid w:val="00AC061A"/>
    <w:rsid w:val="00AC0B4C"/>
    <w:rsid w:val="00AC102C"/>
    <w:rsid w:val="00AD0AEE"/>
    <w:rsid w:val="00AD49E3"/>
    <w:rsid w:val="00AD4B4F"/>
    <w:rsid w:val="00AE0D45"/>
    <w:rsid w:val="00AE1FD3"/>
    <w:rsid w:val="00AE3717"/>
    <w:rsid w:val="00AE6B85"/>
    <w:rsid w:val="00AF0616"/>
    <w:rsid w:val="00AF0E28"/>
    <w:rsid w:val="00AF2496"/>
    <w:rsid w:val="00AF4C5A"/>
    <w:rsid w:val="00AF6044"/>
    <w:rsid w:val="00AF6F9B"/>
    <w:rsid w:val="00AF7840"/>
    <w:rsid w:val="00B00DD9"/>
    <w:rsid w:val="00B01409"/>
    <w:rsid w:val="00B10DBD"/>
    <w:rsid w:val="00B10DC4"/>
    <w:rsid w:val="00B15629"/>
    <w:rsid w:val="00B17145"/>
    <w:rsid w:val="00B209B0"/>
    <w:rsid w:val="00B2372C"/>
    <w:rsid w:val="00B32F70"/>
    <w:rsid w:val="00B34A1A"/>
    <w:rsid w:val="00B34F18"/>
    <w:rsid w:val="00B373D0"/>
    <w:rsid w:val="00B43AAA"/>
    <w:rsid w:val="00B46AEF"/>
    <w:rsid w:val="00B53139"/>
    <w:rsid w:val="00B562CE"/>
    <w:rsid w:val="00B602B5"/>
    <w:rsid w:val="00B60B84"/>
    <w:rsid w:val="00B60E06"/>
    <w:rsid w:val="00B628C3"/>
    <w:rsid w:val="00B62DE2"/>
    <w:rsid w:val="00B67CF8"/>
    <w:rsid w:val="00B71EF9"/>
    <w:rsid w:val="00B74417"/>
    <w:rsid w:val="00B7656E"/>
    <w:rsid w:val="00B77246"/>
    <w:rsid w:val="00B86007"/>
    <w:rsid w:val="00B866CD"/>
    <w:rsid w:val="00B86E05"/>
    <w:rsid w:val="00B93034"/>
    <w:rsid w:val="00B97C5D"/>
    <w:rsid w:val="00BA1290"/>
    <w:rsid w:val="00BA3101"/>
    <w:rsid w:val="00BB2792"/>
    <w:rsid w:val="00BB5A9E"/>
    <w:rsid w:val="00BB76BF"/>
    <w:rsid w:val="00BC1AD1"/>
    <w:rsid w:val="00BC1D2F"/>
    <w:rsid w:val="00BC2570"/>
    <w:rsid w:val="00BC2AF0"/>
    <w:rsid w:val="00BC4A58"/>
    <w:rsid w:val="00BC4BAC"/>
    <w:rsid w:val="00BC5E5C"/>
    <w:rsid w:val="00BC613B"/>
    <w:rsid w:val="00BD2B2D"/>
    <w:rsid w:val="00BD51D9"/>
    <w:rsid w:val="00BD5C76"/>
    <w:rsid w:val="00BD64E2"/>
    <w:rsid w:val="00BD7719"/>
    <w:rsid w:val="00BE0C9E"/>
    <w:rsid w:val="00BE4995"/>
    <w:rsid w:val="00BF429A"/>
    <w:rsid w:val="00BF62BE"/>
    <w:rsid w:val="00C0387F"/>
    <w:rsid w:val="00C047E7"/>
    <w:rsid w:val="00C07126"/>
    <w:rsid w:val="00C1029A"/>
    <w:rsid w:val="00C1174C"/>
    <w:rsid w:val="00C16853"/>
    <w:rsid w:val="00C263F0"/>
    <w:rsid w:val="00C33D41"/>
    <w:rsid w:val="00C343A6"/>
    <w:rsid w:val="00C3797C"/>
    <w:rsid w:val="00C40106"/>
    <w:rsid w:val="00C40AFD"/>
    <w:rsid w:val="00C41E20"/>
    <w:rsid w:val="00C42E3E"/>
    <w:rsid w:val="00C43136"/>
    <w:rsid w:val="00C44237"/>
    <w:rsid w:val="00C51C13"/>
    <w:rsid w:val="00C525A5"/>
    <w:rsid w:val="00C5300F"/>
    <w:rsid w:val="00C56864"/>
    <w:rsid w:val="00C57271"/>
    <w:rsid w:val="00C6053C"/>
    <w:rsid w:val="00C635B7"/>
    <w:rsid w:val="00C6652C"/>
    <w:rsid w:val="00C66CE0"/>
    <w:rsid w:val="00C671F5"/>
    <w:rsid w:val="00C71BED"/>
    <w:rsid w:val="00C747C0"/>
    <w:rsid w:val="00C758D8"/>
    <w:rsid w:val="00C8115F"/>
    <w:rsid w:val="00C81B53"/>
    <w:rsid w:val="00C828E0"/>
    <w:rsid w:val="00C82AD2"/>
    <w:rsid w:val="00C8609C"/>
    <w:rsid w:val="00C8739B"/>
    <w:rsid w:val="00C90FB6"/>
    <w:rsid w:val="00C9181E"/>
    <w:rsid w:val="00C9220E"/>
    <w:rsid w:val="00C932BD"/>
    <w:rsid w:val="00C93429"/>
    <w:rsid w:val="00CA16C5"/>
    <w:rsid w:val="00CA415A"/>
    <w:rsid w:val="00CA55CA"/>
    <w:rsid w:val="00CA7A35"/>
    <w:rsid w:val="00CB02E5"/>
    <w:rsid w:val="00CB1536"/>
    <w:rsid w:val="00CB187C"/>
    <w:rsid w:val="00CB279B"/>
    <w:rsid w:val="00CB33C4"/>
    <w:rsid w:val="00CB367D"/>
    <w:rsid w:val="00CB5F3C"/>
    <w:rsid w:val="00CB7FB8"/>
    <w:rsid w:val="00CC1F71"/>
    <w:rsid w:val="00CC5EB3"/>
    <w:rsid w:val="00CC7401"/>
    <w:rsid w:val="00CD0E7B"/>
    <w:rsid w:val="00CD22C6"/>
    <w:rsid w:val="00CD2ABD"/>
    <w:rsid w:val="00CD4024"/>
    <w:rsid w:val="00CD4617"/>
    <w:rsid w:val="00CD4855"/>
    <w:rsid w:val="00CD7998"/>
    <w:rsid w:val="00CE6D43"/>
    <w:rsid w:val="00CE7888"/>
    <w:rsid w:val="00CF0C2C"/>
    <w:rsid w:val="00CF5767"/>
    <w:rsid w:val="00D001E5"/>
    <w:rsid w:val="00D10E1C"/>
    <w:rsid w:val="00D14462"/>
    <w:rsid w:val="00D14774"/>
    <w:rsid w:val="00D14898"/>
    <w:rsid w:val="00D161A3"/>
    <w:rsid w:val="00D16FF4"/>
    <w:rsid w:val="00D1715B"/>
    <w:rsid w:val="00D22E49"/>
    <w:rsid w:val="00D23716"/>
    <w:rsid w:val="00D25ED8"/>
    <w:rsid w:val="00D27F8F"/>
    <w:rsid w:val="00D316B8"/>
    <w:rsid w:val="00D31CFC"/>
    <w:rsid w:val="00D3255D"/>
    <w:rsid w:val="00D3289E"/>
    <w:rsid w:val="00D340C3"/>
    <w:rsid w:val="00D409CD"/>
    <w:rsid w:val="00D423D4"/>
    <w:rsid w:val="00D42CAF"/>
    <w:rsid w:val="00D45723"/>
    <w:rsid w:val="00D4581F"/>
    <w:rsid w:val="00D4763B"/>
    <w:rsid w:val="00D53136"/>
    <w:rsid w:val="00D601EF"/>
    <w:rsid w:val="00D61533"/>
    <w:rsid w:val="00D63B2F"/>
    <w:rsid w:val="00D672FB"/>
    <w:rsid w:val="00D70747"/>
    <w:rsid w:val="00D7261D"/>
    <w:rsid w:val="00D754AA"/>
    <w:rsid w:val="00D755FC"/>
    <w:rsid w:val="00D76B6D"/>
    <w:rsid w:val="00D77AF0"/>
    <w:rsid w:val="00D815DD"/>
    <w:rsid w:val="00D84D07"/>
    <w:rsid w:val="00D85070"/>
    <w:rsid w:val="00D8526A"/>
    <w:rsid w:val="00D86F92"/>
    <w:rsid w:val="00D9071D"/>
    <w:rsid w:val="00D90E91"/>
    <w:rsid w:val="00D9237D"/>
    <w:rsid w:val="00D94F33"/>
    <w:rsid w:val="00DA427E"/>
    <w:rsid w:val="00DA4F7C"/>
    <w:rsid w:val="00DC1347"/>
    <w:rsid w:val="00DC39F1"/>
    <w:rsid w:val="00DC5314"/>
    <w:rsid w:val="00DE2493"/>
    <w:rsid w:val="00DE32C9"/>
    <w:rsid w:val="00DE4B35"/>
    <w:rsid w:val="00DE6DAE"/>
    <w:rsid w:val="00DF19C1"/>
    <w:rsid w:val="00DF54CA"/>
    <w:rsid w:val="00DF5B64"/>
    <w:rsid w:val="00E02794"/>
    <w:rsid w:val="00E043E3"/>
    <w:rsid w:val="00E04D0C"/>
    <w:rsid w:val="00E0505B"/>
    <w:rsid w:val="00E0775B"/>
    <w:rsid w:val="00E10C36"/>
    <w:rsid w:val="00E11280"/>
    <w:rsid w:val="00E12359"/>
    <w:rsid w:val="00E152FF"/>
    <w:rsid w:val="00E2335A"/>
    <w:rsid w:val="00E2461B"/>
    <w:rsid w:val="00E24886"/>
    <w:rsid w:val="00E26300"/>
    <w:rsid w:val="00E276FB"/>
    <w:rsid w:val="00E277CA"/>
    <w:rsid w:val="00E3217A"/>
    <w:rsid w:val="00E32595"/>
    <w:rsid w:val="00E33A74"/>
    <w:rsid w:val="00E4030B"/>
    <w:rsid w:val="00E41D56"/>
    <w:rsid w:val="00E4266C"/>
    <w:rsid w:val="00E428B1"/>
    <w:rsid w:val="00E44AAE"/>
    <w:rsid w:val="00E457DF"/>
    <w:rsid w:val="00E45DE3"/>
    <w:rsid w:val="00E46642"/>
    <w:rsid w:val="00E5139A"/>
    <w:rsid w:val="00E5413D"/>
    <w:rsid w:val="00E547EB"/>
    <w:rsid w:val="00E57977"/>
    <w:rsid w:val="00E60CC3"/>
    <w:rsid w:val="00E635D7"/>
    <w:rsid w:val="00E63B61"/>
    <w:rsid w:val="00E65F0A"/>
    <w:rsid w:val="00E67953"/>
    <w:rsid w:val="00E679FF"/>
    <w:rsid w:val="00E70576"/>
    <w:rsid w:val="00E77AF6"/>
    <w:rsid w:val="00E83954"/>
    <w:rsid w:val="00E8498B"/>
    <w:rsid w:val="00E8692F"/>
    <w:rsid w:val="00E874BF"/>
    <w:rsid w:val="00E91730"/>
    <w:rsid w:val="00E91A2B"/>
    <w:rsid w:val="00E93A53"/>
    <w:rsid w:val="00E96F04"/>
    <w:rsid w:val="00E97AEC"/>
    <w:rsid w:val="00EA12F3"/>
    <w:rsid w:val="00EA20FE"/>
    <w:rsid w:val="00EA3417"/>
    <w:rsid w:val="00EA35FD"/>
    <w:rsid w:val="00EA543B"/>
    <w:rsid w:val="00EA614E"/>
    <w:rsid w:val="00EB36EF"/>
    <w:rsid w:val="00EB491E"/>
    <w:rsid w:val="00EB681B"/>
    <w:rsid w:val="00EC0D92"/>
    <w:rsid w:val="00EC4852"/>
    <w:rsid w:val="00EC4FAD"/>
    <w:rsid w:val="00EC5181"/>
    <w:rsid w:val="00ED1E10"/>
    <w:rsid w:val="00EE3CFA"/>
    <w:rsid w:val="00EE69E4"/>
    <w:rsid w:val="00EE6FA0"/>
    <w:rsid w:val="00EF2A7F"/>
    <w:rsid w:val="00EF67DD"/>
    <w:rsid w:val="00EF7E90"/>
    <w:rsid w:val="00F002B6"/>
    <w:rsid w:val="00F05866"/>
    <w:rsid w:val="00F10AFE"/>
    <w:rsid w:val="00F13F8B"/>
    <w:rsid w:val="00F158A4"/>
    <w:rsid w:val="00F15C6C"/>
    <w:rsid w:val="00F17173"/>
    <w:rsid w:val="00F220AF"/>
    <w:rsid w:val="00F2211F"/>
    <w:rsid w:val="00F224DC"/>
    <w:rsid w:val="00F2687F"/>
    <w:rsid w:val="00F27F29"/>
    <w:rsid w:val="00F32D54"/>
    <w:rsid w:val="00F3473D"/>
    <w:rsid w:val="00F36C54"/>
    <w:rsid w:val="00F40587"/>
    <w:rsid w:val="00F413AB"/>
    <w:rsid w:val="00F418EA"/>
    <w:rsid w:val="00F41A29"/>
    <w:rsid w:val="00F44C1C"/>
    <w:rsid w:val="00F45E52"/>
    <w:rsid w:val="00F5092B"/>
    <w:rsid w:val="00F518DF"/>
    <w:rsid w:val="00F526DB"/>
    <w:rsid w:val="00F544DB"/>
    <w:rsid w:val="00F6502E"/>
    <w:rsid w:val="00F65663"/>
    <w:rsid w:val="00F713E8"/>
    <w:rsid w:val="00F756C0"/>
    <w:rsid w:val="00F75A40"/>
    <w:rsid w:val="00F77637"/>
    <w:rsid w:val="00F8258C"/>
    <w:rsid w:val="00F8435D"/>
    <w:rsid w:val="00F85E5C"/>
    <w:rsid w:val="00F87DD0"/>
    <w:rsid w:val="00F91751"/>
    <w:rsid w:val="00F93360"/>
    <w:rsid w:val="00F93FE4"/>
    <w:rsid w:val="00F969AD"/>
    <w:rsid w:val="00F97E4E"/>
    <w:rsid w:val="00FA217B"/>
    <w:rsid w:val="00FB0BC5"/>
    <w:rsid w:val="00FB0BCC"/>
    <w:rsid w:val="00FB4E54"/>
    <w:rsid w:val="00FC0FE5"/>
    <w:rsid w:val="00FD0440"/>
    <w:rsid w:val="00FD1ABC"/>
    <w:rsid w:val="00FD50F1"/>
    <w:rsid w:val="00FD5AAD"/>
    <w:rsid w:val="00FD798D"/>
    <w:rsid w:val="00FD7DDF"/>
    <w:rsid w:val="00FE1C4C"/>
    <w:rsid w:val="00FE4C92"/>
    <w:rsid w:val="00FE703D"/>
    <w:rsid w:val="00FF0FAA"/>
    <w:rsid w:val="00FF16E6"/>
    <w:rsid w:val="00FF4396"/>
    <w:rsid w:val="00FF4CDD"/>
    <w:rsid w:val="20E01B86"/>
    <w:rsid w:val="3D95271F"/>
    <w:rsid w:val="4EB20AB3"/>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7FA9610"/>
  <w15:docId w15:val="{8CA2BFFE-4D3C-41F4-95C9-341C6118B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bg-BG"/>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09C"/>
    <w:pPr>
      <w:spacing w:after="0" w:line="288" w:lineRule="auto"/>
      <w:jc w:val="both"/>
    </w:pPr>
    <w:rPr>
      <w:sz w:val="22"/>
      <w:szCs w:val="22"/>
    </w:rPr>
  </w:style>
  <w:style w:type="paragraph" w:styleId="Heading1">
    <w:name w:val="heading 1"/>
    <w:basedOn w:val="Normal"/>
    <w:next w:val="Normal"/>
    <w:link w:val="Heading1Char"/>
    <w:qFormat/>
    <w:rsid w:val="00C8609C"/>
    <w:pPr>
      <w:numPr>
        <w:numId w:val="1"/>
      </w:numPr>
      <w:ind w:left="567" w:hanging="567"/>
      <w:outlineLvl w:val="0"/>
    </w:pPr>
    <w:rPr>
      <w:kern w:val="28"/>
    </w:rPr>
  </w:style>
  <w:style w:type="paragraph" w:styleId="Heading2">
    <w:name w:val="heading 2"/>
    <w:basedOn w:val="Normal"/>
    <w:next w:val="Normal"/>
    <w:link w:val="Heading2Char"/>
    <w:qFormat/>
    <w:rsid w:val="00C8609C"/>
    <w:pPr>
      <w:numPr>
        <w:ilvl w:val="1"/>
        <w:numId w:val="1"/>
      </w:numPr>
      <w:outlineLvl w:val="1"/>
    </w:pPr>
  </w:style>
  <w:style w:type="paragraph" w:styleId="Heading3">
    <w:name w:val="heading 3"/>
    <w:basedOn w:val="Normal"/>
    <w:next w:val="Normal"/>
    <w:link w:val="Heading3Char"/>
    <w:qFormat/>
    <w:rsid w:val="00C8609C"/>
    <w:pPr>
      <w:numPr>
        <w:ilvl w:val="2"/>
        <w:numId w:val="1"/>
      </w:numPr>
      <w:outlineLvl w:val="2"/>
    </w:pPr>
  </w:style>
  <w:style w:type="paragraph" w:styleId="Heading4">
    <w:name w:val="heading 4"/>
    <w:basedOn w:val="Normal"/>
    <w:next w:val="Normal"/>
    <w:link w:val="Heading4Char"/>
    <w:qFormat/>
    <w:rsid w:val="00C8609C"/>
    <w:pPr>
      <w:numPr>
        <w:ilvl w:val="3"/>
        <w:numId w:val="1"/>
      </w:numPr>
      <w:ind w:left="567" w:hanging="567"/>
      <w:outlineLvl w:val="3"/>
    </w:pPr>
  </w:style>
  <w:style w:type="paragraph" w:styleId="Heading5">
    <w:name w:val="heading 5"/>
    <w:basedOn w:val="Normal"/>
    <w:next w:val="Normal"/>
    <w:link w:val="Heading5Char"/>
    <w:qFormat/>
    <w:rsid w:val="00C8609C"/>
    <w:pPr>
      <w:numPr>
        <w:ilvl w:val="4"/>
        <w:numId w:val="1"/>
      </w:numPr>
      <w:ind w:left="567" w:hanging="567"/>
      <w:outlineLvl w:val="4"/>
    </w:pPr>
  </w:style>
  <w:style w:type="paragraph" w:styleId="Heading6">
    <w:name w:val="heading 6"/>
    <w:basedOn w:val="Normal"/>
    <w:next w:val="Normal"/>
    <w:link w:val="Heading6Char"/>
    <w:qFormat/>
    <w:rsid w:val="00C8609C"/>
    <w:pPr>
      <w:numPr>
        <w:ilvl w:val="5"/>
        <w:numId w:val="1"/>
      </w:numPr>
      <w:ind w:left="567" w:hanging="567"/>
      <w:outlineLvl w:val="5"/>
    </w:pPr>
  </w:style>
  <w:style w:type="paragraph" w:styleId="Heading7">
    <w:name w:val="heading 7"/>
    <w:basedOn w:val="Normal"/>
    <w:next w:val="Normal"/>
    <w:link w:val="Heading7Char"/>
    <w:qFormat/>
    <w:rsid w:val="00C8609C"/>
    <w:pPr>
      <w:numPr>
        <w:ilvl w:val="6"/>
        <w:numId w:val="1"/>
      </w:numPr>
      <w:ind w:left="567" w:hanging="567"/>
      <w:outlineLvl w:val="6"/>
    </w:pPr>
  </w:style>
  <w:style w:type="paragraph" w:styleId="Heading8">
    <w:name w:val="heading 8"/>
    <w:basedOn w:val="Normal"/>
    <w:next w:val="Normal"/>
    <w:link w:val="Heading8Char"/>
    <w:qFormat/>
    <w:rsid w:val="00C8609C"/>
    <w:pPr>
      <w:numPr>
        <w:ilvl w:val="7"/>
        <w:numId w:val="1"/>
      </w:numPr>
      <w:ind w:left="567" w:hanging="567"/>
      <w:outlineLvl w:val="7"/>
    </w:pPr>
  </w:style>
  <w:style w:type="paragraph" w:styleId="Heading9">
    <w:name w:val="heading 9"/>
    <w:basedOn w:val="Normal"/>
    <w:next w:val="Normal"/>
    <w:link w:val="Heading9Char"/>
    <w:qFormat/>
    <w:rsid w:val="00C8609C"/>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C8609C"/>
  </w:style>
  <w:style w:type="paragraph" w:styleId="FootnoteText">
    <w:name w:val="footnote text"/>
    <w:basedOn w:val="Normal"/>
    <w:link w:val="FootnoteTextChar"/>
    <w:qFormat/>
    <w:rsid w:val="00C8609C"/>
    <w:pPr>
      <w:keepLines/>
      <w:spacing w:after="60" w:line="240" w:lineRule="auto"/>
      <w:ind w:left="567" w:hanging="567"/>
    </w:pPr>
    <w:rPr>
      <w:sz w:val="16"/>
    </w:rPr>
  </w:style>
  <w:style w:type="paragraph" w:styleId="Header">
    <w:name w:val="header"/>
    <w:basedOn w:val="Normal"/>
    <w:link w:val="HeaderChar"/>
    <w:qFormat/>
    <w:rsid w:val="00C8609C"/>
  </w:style>
  <w:style w:type="character" w:styleId="FollowedHyperlink">
    <w:name w:val="FollowedHyperlink"/>
    <w:basedOn w:val="DefaultParagraphFont"/>
    <w:uiPriority w:val="99"/>
    <w:qFormat/>
    <w:rPr>
      <w:color w:val="800080"/>
      <w:u w:val="single"/>
    </w:rPr>
  </w:style>
  <w:style w:type="character" w:styleId="FootnoteReference">
    <w:name w:val="footnote reference"/>
    <w:basedOn w:val="DefaultParagraphFont"/>
    <w:unhideWhenUsed/>
    <w:qFormat/>
    <w:rsid w:val="00C8609C"/>
    <w:rPr>
      <w:sz w:val="24"/>
      <w:vertAlign w:val="superscript"/>
    </w:rPr>
  </w:style>
  <w:style w:type="character" w:styleId="Hyperlink">
    <w:name w:val="Hyperlink"/>
    <w:basedOn w:val="DefaultParagraphFont"/>
    <w:uiPriority w:val="99"/>
    <w:qFormat/>
    <w:rPr>
      <w:color w:val="0000FF"/>
      <w:u w:val="single"/>
    </w:rPr>
  </w:style>
  <w:style w:type="character" w:customStyle="1" w:styleId="Heading1Char">
    <w:name w:val="Heading 1 Char"/>
    <w:basedOn w:val="DefaultParagraphFont"/>
    <w:link w:val="Heading1"/>
    <w:qFormat/>
    <w:locked/>
    <w:rPr>
      <w:kern w:val="28"/>
      <w:sz w:val="22"/>
      <w:szCs w:val="22"/>
      <w:lang w:val="bg-BG" w:eastAsia="bg-BG"/>
    </w:rPr>
  </w:style>
  <w:style w:type="character" w:customStyle="1" w:styleId="Heading2Char">
    <w:name w:val="Heading 2 Char"/>
    <w:basedOn w:val="DefaultParagraphFont"/>
    <w:link w:val="Heading2"/>
    <w:qFormat/>
    <w:locked/>
    <w:rPr>
      <w:sz w:val="22"/>
      <w:szCs w:val="22"/>
      <w:lang w:val="bg-BG" w:eastAsia="bg-BG"/>
    </w:rPr>
  </w:style>
  <w:style w:type="character" w:customStyle="1" w:styleId="Heading3Char">
    <w:name w:val="Heading 3 Char"/>
    <w:basedOn w:val="DefaultParagraphFont"/>
    <w:link w:val="Heading3"/>
    <w:qFormat/>
    <w:locked/>
    <w:rPr>
      <w:sz w:val="22"/>
      <w:szCs w:val="22"/>
      <w:lang w:val="bg-BG" w:eastAsia="bg-BG"/>
    </w:rPr>
  </w:style>
  <w:style w:type="character" w:customStyle="1" w:styleId="Heading4Char">
    <w:name w:val="Heading 4 Char"/>
    <w:basedOn w:val="DefaultParagraphFont"/>
    <w:link w:val="Heading4"/>
    <w:qFormat/>
    <w:locked/>
    <w:rPr>
      <w:sz w:val="22"/>
      <w:szCs w:val="22"/>
      <w:lang w:val="bg-BG" w:eastAsia="bg-BG"/>
    </w:rPr>
  </w:style>
  <w:style w:type="character" w:customStyle="1" w:styleId="Heading5Char">
    <w:name w:val="Heading 5 Char"/>
    <w:basedOn w:val="DefaultParagraphFont"/>
    <w:link w:val="Heading5"/>
    <w:qFormat/>
    <w:locked/>
    <w:rPr>
      <w:sz w:val="22"/>
      <w:szCs w:val="22"/>
      <w:lang w:val="bg-BG" w:eastAsia="bg-BG"/>
    </w:rPr>
  </w:style>
  <w:style w:type="character" w:customStyle="1" w:styleId="Heading6Char">
    <w:name w:val="Heading 6 Char"/>
    <w:basedOn w:val="DefaultParagraphFont"/>
    <w:link w:val="Heading6"/>
    <w:qFormat/>
    <w:locked/>
    <w:rPr>
      <w:sz w:val="22"/>
      <w:szCs w:val="22"/>
      <w:lang w:val="bg-BG" w:eastAsia="bg-BG"/>
    </w:rPr>
  </w:style>
  <w:style w:type="character" w:customStyle="1" w:styleId="Heading7Char">
    <w:name w:val="Heading 7 Char"/>
    <w:basedOn w:val="DefaultParagraphFont"/>
    <w:link w:val="Heading7"/>
    <w:qFormat/>
    <w:locked/>
    <w:rPr>
      <w:sz w:val="22"/>
      <w:szCs w:val="22"/>
      <w:lang w:val="bg-BG" w:eastAsia="bg-BG"/>
    </w:rPr>
  </w:style>
  <w:style w:type="character" w:customStyle="1" w:styleId="Heading8Char">
    <w:name w:val="Heading 8 Char"/>
    <w:basedOn w:val="DefaultParagraphFont"/>
    <w:link w:val="Heading8"/>
    <w:qFormat/>
    <w:locked/>
    <w:rPr>
      <w:sz w:val="22"/>
      <w:szCs w:val="22"/>
      <w:lang w:val="bg-BG" w:eastAsia="bg-BG"/>
    </w:rPr>
  </w:style>
  <w:style w:type="character" w:customStyle="1" w:styleId="Heading9Char">
    <w:name w:val="Heading 9 Char"/>
    <w:basedOn w:val="DefaultParagraphFont"/>
    <w:link w:val="Heading9"/>
    <w:qFormat/>
    <w:locked/>
    <w:rPr>
      <w:sz w:val="22"/>
      <w:szCs w:val="22"/>
      <w:lang w:val="bg-BG" w:eastAsia="bg-BG"/>
    </w:rPr>
  </w:style>
  <w:style w:type="character" w:customStyle="1" w:styleId="FooterChar">
    <w:name w:val="Footer Char"/>
    <w:basedOn w:val="DefaultParagraphFont"/>
    <w:link w:val="Footer"/>
    <w:qFormat/>
    <w:locked/>
    <w:rPr>
      <w:sz w:val="22"/>
      <w:szCs w:val="22"/>
      <w:lang w:val="bg-BG" w:eastAsia="bg-BG"/>
    </w:rPr>
  </w:style>
  <w:style w:type="character" w:customStyle="1" w:styleId="FootnoteTextChar">
    <w:name w:val="Footnote Text Char"/>
    <w:basedOn w:val="DefaultParagraphFont"/>
    <w:link w:val="FootnoteText"/>
    <w:locked/>
    <w:rPr>
      <w:sz w:val="16"/>
      <w:szCs w:val="22"/>
      <w:lang w:val="bg-BG" w:eastAsia="bg-BG"/>
    </w:rPr>
  </w:style>
  <w:style w:type="character" w:customStyle="1" w:styleId="HeaderChar">
    <w:name w:val="Header Char"/>
    <w:basedOn w:val="DefaultParagraphFont"/>
    <w:link w:val="Header"/>
    <w:qFormat/>
    <w:locked/>
    <w:rPr>
      <w:sz w:val="22"/>
      <w:szCs w:val="22"/>
      <w:lang w:val="bg-BG" w:eastAsia="bg-BG"/>
    </w:rPr>
  </w:style>
  <w:style w:type="paragraph" w:customStyle="1" w:styleId="LOGO">
    <w:name w:val="LOGO"/>
    <w:basedOn w:val="Normal"/>
    <w:uiPriority w:val="99"/>
    <w:pPr>
      <w:jc w:val="center"/>
    </w:pPr>
    <w:rPr>
      <w:rFonts w:ascii="Arial" w:hAnsi="Arial" w:cs="Arial"/>
      <w:b/>
      <w:bCs/>
      <w:i/>
      <w:iCs/>
      <w:sz w:val="20"/>
    </w:rPr>
  </w:style>
  <w:style w:type="paragraph" w:customStyle="1" w:styleId="Revision1">
    <w:name w:val="Revision1"/>
    <w:hidden/>
    <w:uiPriority w:val="99"/>
    <w:semiHidden/>
    <w:qFormat/>
    <w:rPr>
      <w:sz w:val="22"/>
      <w:szCs w:val="22"/>
    </w:rPr>
  </w:style>
  <w:style w:type="paragraph" w:customStyle="1" w:styleId="ListParagraph1">
    <w:name w:val="List Paragraph1"/>
    <w:basedOn w:val="Normal"/>
    <w:uiPriority w:val="34"/>
    <w:qFormat/>
    <w:pPr>
      <w:ind w:left="720"/>
      <w:contextualSpacing/>
    </w:pPr>
  </w:style>
  <w:style w:type="paragraph" w:customStyle="1" w:styleId="quotes">
    <w:name w:val="quotes"/>
    <w:basedOn w:val="Normal"/>
    <w:next w:val="Normal"/>
    <w:rsid w:val="00C8609C"/>
    <w:pPr>
      <w:ind w:left="720"/>
    </w:pPr>
    <w:rPr>
      <w:i/>
    </w:rPr>
  </w:style>
  <w:style w:type="paragraph" w:styleId="BalloonText">
    <w:name w:val="Balloon Text"/>
    <w:basedOn w:val="Normal"/>
    <w:link w:val="BalloonTextChar"/>
    <w:uiPriority w:val="99"/>
    <w:unhideWhenUsed/>
    <w:qFormat/>
    <w:rsid w:val="00770C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70C06"/>
    <w:rPr>
      <w:rFonts w:ascii="Tahoma" w:hAnsi="Tahoma" w:cs="Tahoma"/>
      <w:sz w:val="16"/>
      <w:szCs w:val="16"/>
      <w:lang w:val="bg-BG" w:eastAsia="bg-BG"/>
    </w:rPr>
  </w:style>
  <w:style w:type="character" w:styleId="CommentReference">
    <w:name w:val="annotation reference"/>
    <w:basedOn w:val="DefaultParagraphFont"/>
    <w:qFormat/>
    <w:rsid w:val="00770C06"/>
    <w:rPr>
      <w:sz w:val="16"/>
      <w:szCs w:val="16"/>
    </w:rPr>
  </w:style>
  <w:style w:type="paragraph" w:styleId="CommentText">
    <w:name w:val="annotation text"/>
    <w:basedOn w:val="Normal"/>
    <w:link w:val="CommentTextChar"/>
    <w:qFormat/>
    <w:rsid w:val="00770C06"/>
    <w:pPr>
      <w:spacing w:line="240" w:lineRule="auto"/>
    </w:pPr>
    <w:rPr>
      <w:sz w:val="20"/>
      <w:szCs w:val="20"/>
    </w:rPr>
  </w:style>
  <w:style w:type="character" w:customStyle="1" w:styleId="CommentTextChar">
    <w:name w:val="Comment Text Char"/>
    <w:basedOn w:val="DefaultParagraphFont"/>
    <w:link w:val="CommentText"/>
    <w:rsid w:val="00770C06"/>
    <w:rPr>
      <w:lang w:val="bg-BG" w:eastAsia="bg-BG"/>
    </w:rPr>
  </w:style>
  <w:style w:type="paragraph" w:styleId="CommentSubject">
    <w:name w:val="annotation subject"/>
    <w:basedOn w:val="CommentText"/>
    <w:next w:val="CommentText"/>
    <w:link w:val="CommentSubjectChar"/>
    <w:uiPriority w:val="99"/>
    <w:unhideWhenUsed/>
    <w:rsid w:val="00770C06"/>
    <w:rPr>
      <w:b/>
      <w:bCs/>
    </w:rPr>
  </w:style>
  <w:style w:type="character" w:customStyle="1" w:styleId="CommentSubjectChar">
    <w:name w:val="Comment Subject Char"/>
    <w:basedOn w:val="CommentTextChar"/>
    <w:link w:val="CommentSubject"/>
    <w:uiPriority w:val="99"/>
    <w:rsid w:val="00770C06"/>
    <w:rPr>
      <w:b/>
      <w:bCs/>
      <w:lang w:val="bg-BG" w:eastAsia="bg-BG"/>
    </w:rPr>
  </w:style>
  <w:style w:type="paragraph" w:styleId="EndnoteText">
    <w:name w:val="endnote text"/>
    <w:basedOn w:val="Normal"/>
    <w:link w:val="EndnoteTextChar"/>
    <w:uiPriority w:val="99"/>
    <w:semiHidden/>
    <w:unhideWhenUsed/>
    <w:rsid w:val="003F00A9"/>
    <w:pPr>
      <w:spacing w:line="240" w:lineRule="auto"/>
    </w:pPr>
    <w:rPr>
      <w:sz w:val="20"/>
      <w:szCs w:val="20"/>
    </w:rPr>
  </w:style>
  <w:style w:type="character" w:customStyle="1" w:styleId="EndnoteTextChar">
    <w:name w:val="Endnote Text Char"/>
    <w:basedOn w:val="DefaultParagraphFont"/>
    <w:link w:val="EndnoteText"/>
    <w:uiPriority w:val="99"/>
    <w:semiHidden/>
    <w:rsid w:val="003F00A9"/>
    <w:rPr>
      <w:lang w:val="bg-BG" w:eastAsia="bg-BG"/>
    </w:rPr>
  </w:style>
  <w:style w:type="character" w:styleId="EndnoteReference">
    <w:name w:val="endnote reference"/>
    <w:basedOn w:val="DefaultParagraphFont"/>
    <w:uiPriority w:val="99"/>
    <w:semiHidden/>
    <w:unhideWhenUsed/>
    <w:rsid w:val="003F00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74610">
      <w:bodyDiv w:val="1"/>
      <w:marLeft w:val="0"/>
      <w:marRight w:val="0"/>
      <w:marTop w:val="0"/>
      <w:marBottom w:val="0"/>
      <w:divBdr>
        <w:top w:val="none" w:sz="0" w:space="0" w:color="auto"/>
        <w:left w:val="none" w:sz="0" w:space="0" w:color="auto"/>
        <w:bottom w:val="none" w:sz="0" w:space="0" w:color="auto"/>
        <w:right w:val="none" w:sz="0" w:space="0" w:color="auto"/>
      </w:divBdr>
    </w:div>
    <w:div w:id="1169098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nvironment/water/water-drink/pdf/revised_drinking_water_directive.pdf" TargetMode="External"/><Relationship Id="rId13" Type="http://schemas.openxmlformats.org/officeDocument/2006/relationships/hyperlink" Target="http://www.europarl.europa.eu/RegData/etudes/IDAN/2015/536343/EPRS_IDA(2015)536343_EN.pdf" TargetMode="External"/><Relationship Id="rId18" Type="http://schemas.openxmlformats.org/officeDocument/2006/relationships/hyperlink" Target="http://eur-lex.europa.eu/legal-content/BG/TXT/HTML/?uri=OJ:C:2015:423:FULL&amp;from=BG" TargetMode="External"/><Relationship Id="rId26" Type="http://schemas.openxmlformats.org/officeDocument/2006/relationships/hyperlink" Target="http://eur-lex.europa.eu/LexUriServ/LexUriServ.do?uri=OJ:C:2011:044:SOM:BG:HTML" TargetMode="External"/><Relationship Id="rId3" Type="http://schemas.openxmlformats.org/officeDocument/2006/relationships/hyperlink" Target="https://joinup.ec.europa.eu/software/ocs/description" TargetMode="External"/><Relationship Id="rId21" Type="http://schemas.openxmlformats.org/officeDocument/2006/relationships/hyperlink" Target="http://eur-lex.europa.eu/LexUriServ/LexUriServ.do?uri=OJ:C:2016:389:SOM:BG:HTML" TargetMode="External"/><Relationship Id="rId7" Type="http://schemas.openxmlformats.org/officeDocument/2006/relationships/hyperlink" Target="https://ec.europa.eu/food/sites/food/files/plant/docs/pesticides_glyphosate_eci_final.pdf" TargetMode="External"/><Relationship Id="rId12" Type="http://schemas.openxmlformats.org/officeDocument/2006/relationships/hyperlink" Target="http://eur-lex.europa.eu/LexUriServ/LexUriServ.do?uri=OJ:C:2016:389:SOM:BG:HTML" TargetMode="External"/><Relationship Id="rId17" Type="http://schemas.openxmlformats.org/officeDocument/2006/relationships/hyperlink" Target="https://www.ombudsman.europa.eu/cases/correspondence.faces/bg/81311/html.bookmark" TargetMode="External"/><Relationship Id="rId25" Type="http://schemas.openxmlformats.org/officeDocument/2006/relationships/hyperlink" Target="http://ecithatworks.org/" TargetMode="External"/><Relationship Id="rId2" Type="http://schemas.openxmlformats.org/officeDocument/2006/relationships/hyperlink" Target="http://eur-lex.europa.eu/LexUriServ/LexUriServ.do?uri=OJ:C:2016:389:SOM:BG:HTML" TargetMode="External"/><Relationship Id="rId16" Type="http://schemas.openxmlformats.org/officeDocument/2006/relationships/hyperlink" Target="http://www.ombudsman.europa.eu/bg/cases/decision.faces/it/59205/html.bookmark" TargetMode="External"/><Relationship Id="rId20" Type="http://schemas.openxmlformats.org/officeDocument/2006/relationships/hyperlink" Target="http://eur-lex.europa.eu/LexUriServ/LexUriServ.do?uri=OJ:C:2011:044:SOM:BG:HTML" TargetMode="External"/><Relationship Id="rId1" Type="http://schemas.openxmlformats.org/officeDocument/2006/relationships/hyperlink" Target="http://eur-lex.europa.eu/legal-content/BG/TXT/?uri=celex:32011R0211" TargetMode="External"/><Relationship Id="rId6" Type="http://schemas.openxmlformats.org/officeDocument/2006/relationships/hyperlink" Target="http://ec.europa.eu/citizens-initiative/public/initiatives/successful" TargetMode="External"/><Relationship Id="rId11" Type="http://schemas.openxmlformats.org/officeDocument/2006/relationships/hyperlink" Target="http://www.eesc.europa.eu/sites/default/files/resources/docs/en_16_419.pdf" TargetMode="External"/><Relationship Id="rId24" Type="http://schemas.openxmlformats.org/officeDocument/2006/relationships/hyperlink" Target="http://www.eesc.europa.eu/eptac/en" TargetMode="External"/><Relationship Id="rId5" Type="http://schemas.openxmlformats.org/officeDocument/2006/relationships/hyperlink" Target="http://ec.europa.eu/citizens-initiative/public/signatories?lg=bg" TargetMode="External"/><Relationship Id="rId15" Type="http://schemas.openxmlformats.org/officeDocument/2006/relationships/hyperlink" Target="http://www.europarl.europa.eu/committees/bg/afco/draft-reports.html?ufolderComCode=AFCO&amp;ufolderLegId=8&amp;ufolderId=09289&amp;linkedDocument=true&amp;urefProcYear=&amp;urefProcNum=&amp;urefProcCode" TargetMode="External"/><Relationship Id="rId23" Type="http://schemas.openxmlformats.org/officeDocument/2006/relationships/hyperlink" Target="http://www.eesc.europa.eu/resources/docs/qe-04-15-149-bg-n.pdf" TargetMode="External"/><Relationship Id="rId10" Type="http://schemas.openxmlformats.org/officeDocument/2006/relationships/hyperlink" Target="http://www.eesc.europa.eu/eciday2017" TargetMode="External"/><Relationship Id="rId19" Type="http://schemas.openxmlformats.org/officeDocument/2006/relationships/hyperlink" Target="http://eur-lex.europa.eu/legal-content/BG/TXT/HTML/?uri=OJ:C:2010:354:FULL&amp;from=BG" TargetMode="External"/><Relationship Id="rId4" Type="http://schemas.openxmlformats.org/officeDocument/2006/relationships/hyperlink" Target="http://eur-lex.europa.eu/legal-content/BG/TXT/?uri=celex:32011R0211" TargetMode="External"/><Relationship Id="rId9" Type="http://schemas.openxmlformats.org/officeDocument/2006/relationships/hyperlink" Target="http://ec.europa.eu/citizens-initiative/public/initiatives/successful/details/2012/000003?lg=en" TargetMode="External"/><Relationship Id="rId14" Type="http://schemas.openxmlformats.org/officeDocument/2006/relationships/hyperlink" Target="http://www.europarl.europa.eu/sides/getDoc.do?pubRef=-//EP//TEXT+TA+P8-TA-2015-0382+0+DOC+XML+V0//BG" TargetMode="External"/><Relationship Id="rId22" Type="http://schemas.openxmlformats.org/officeDocument/2006/relationships/hyperlink" Target="http://www.eesc.europa.eu/resources/docs/qe-04-15-566-bg-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WTPCSN73YJ26-8-10612</_dlc_DocId>
    <_dlc_DocIdUrl xmlns="8a3471f6-0f36-4ccf-b5ee-1ca67ea797ef">
      <Url>http://dm/eesc/2017/_layouts/DocIdRedir.aspx?ID=WTPCSN73YJ26-8-10612</Url>
      <Description>WTPCSN73YJ26-8-10612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8a3471f6-0f36-4ccf-b5ee-1ca67ea797ef">2017/0220(COD)</Procedure>
    <MeetingNumber xmlns="aec2565f-fa8c-45b6-95fc-3f27706042d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SC</TermName>
          <TermId xmlns="http://schemas.microsoft.com/office/infopath/2007/PartnerControls">93464e17-450e-4474-bc4c-bdfb737ca28f</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2018-03-20T12:00:00+00:00</ProductionDate>
    <DocumentNumber xmlns="aec2565f-fa8c-45b6-95fc-3f27706042d7">5659</DocumentNumber>
    <FicheYear xmlns="8a3471f6-0f36-4ccf-b5ee-1ca67ea797ef">2017</FicheYear>
    <DocumentVersion xmlns="8a3471f6-0f36-4ccf-b5ee-1ca67ea797ef">1</DocumentVersion>
    <DossierNumber xmlns="8a3471f6-0f36-4ccf-b5ee-1ca67ea797ef">49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 xsi:nil="true"/>
    <TaxCatchAll xmlns="8a3471f6-0f36-4ccf-b5ee-1ca67ea797ef">
      <Value>24</Value>
      <Value>38</Value>
      <Value>37</Value>
      <Value>36</Value>
      <Value>35</Value>
      <Value>34</Value>
      <Value>33</Value>
      <Value>32</Value>
      <Value>31</Value>
      <Value>30</Value>
      <Value>29</Value>
      <Value>28</Value>
      <Value>27</Value>
      <Value>26</Value>
      <Value>25</Value>
      <Value>165</Value>
      <Value>23</Value>
      <Value>22</Value>
      <Value>18</Value>
      <Value>15</Value>
      <Value>14</Value>
      <Value>12</Value>
      <Value>8</Value>
      <Value>96</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Rapporteur xmlns="8a3471f6-0f36-4ccf-b5ee-1ca67ea797ef">JOÓ</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a3471f6-0f36-4ccf-b5ee-1ca67ea797ef">3588</FicheNumber>
    <DocumentYear xmlns="8a3471f6-0f36-4ccf-b5ee-1ca67ea797ef">2017</DocumentYear>
    <AdoptionDate xmlns="8a3471f6-0f36-4ccf-b5ee-1ca67ea797ef">2018-03-14T12:00:00+00:00</AdoptionDate>
    <DocumentPart xmlns="8a3471f6-0f36-4ccf-b5ee-1ca67ea797ef">0</DocumentPart>
    <MeetingName_0 xmlns="http://schemas.microsoft.com/sharepoint/v3/fields">
      <Terms xmlns="http://schemas.microsoft.com/office/infopath/2007/PartnerControls"/>
    </MeetingName_0>
    <RequestingService xmlns="8a3471f6-0f36-4ccf-b5ee-1ca67ea797ef">Relations avec la société civile organisée et prospective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s>
    </AvailableTranslations_0>
    <OriginalSender xmlns="8a3471f6-0f36-4ccf-b5ee-1ca67ea797ef">
      <UserInfo>
        <DisplayName/>
        <AccountId xsi:nil="true"/>
        <AccountType/>
      </UserInfo>
    </OriginalSender>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98B203C585D2E54E8477D21D46703D0B" ma:contentTypeVersion="8" ma:contentTypeDescription="Defines the documents for Document Manager V2" ma:contentTypeScope="" ma:versionID="63837560bba44dbd940ddd94a059fda1">
  <xsd:schema xmlns:xsd="http://www.w3.org/2001/XMLSchema" xmlns:xs="http://www.w3.org/2001/XMLSchema" xmlns:p="http://schemas.microsoft.com/office/2006/metadata/properties" xmlns:ns2="8a3471f6-0f36-4ccf-b5ee-1ca67ea797ef" xmlns:ns3="http://schemas.microsoft.com/sharepoint/v3/fields" xmlns:ns4="aec2565f-fa8c-45b6-95fc-3f27706042d7" targetNamespace="http://schemas.microsoft.com/office/2006/metadata/properties" ma:root="true" ma:fieldsID="518f8d20e8fbf3c3c5ef1975d0813387" ns2:_="" ns3:_="" ns4:_="">
    <xsd:import namespace="8a3471f6-0f36-4ccf-b5ee-1ca67ea797ef"/>
    <xsd:import namespace="http://schemas.microsoft.com/sharepoint/v3/fields"/>
    <xsd:import namespace="aec2565f-fa8c-45b6-95fc-3f27706042d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c2565f-fa8c-45b6-95fc-3f27706042d7"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2BA7D90-AADE-4890-919A-DDF6EC6BA4EE}"/>
</file>

<file path=customXml/itemProps2.xml><?xml version="1.0" encoding="utf-8"?>
<ds:datastoreItem xmlns:ds="http://schemas.openxmlformats.org/officeDocument/2006/customXml" ds:itemID="{35CBF32B-6A77-4F2A-BE8C-1CAFEC2136A4}"/>
</file>

<file path=customXml/itemProps3.xml><?xml version="1.0" encoding="utf-8"?>
<ds:datastoreItem xmlns:ds="http://schemas.openxmlformats.org/officeDocument/2006/customXml" ds:itemID="{90CBD04E-6A5E-48AF-A4C2-39AF8D6C755C}"/>
</file>

<file path=customXml/itemProps4.xml><?xml version="1.0" encoding="utf-8"?>
<ds:datastoreItem xmlns:ds="http://schemas.openxmlformats.org/officeDocument/2006/customXml" ds:itemID="{95261DDE-F5C5-49A7-8C84-E3E2540212B6}"/>
</file>

<file path=customXml/itemProps5.xml><?xml version="1.0" encoding="utf-8"?>
<ds:datastoreItem xmlns:ds="http://schemas.openxmlformats.org/officeDocument/2006/customXml" ds:itemID="{BA470676-BA11-4F02-B286-5FDA13F4F3A5}"/>
</file>

<file path=customXml/itemProps6.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Normal.dotm</Template>
  <TotalTime>2</TotalTime>
  <Pages>13</Pages>
  <Words>3412</Words>
  <Characters>19455</Characters>
  <Application>Microsoft Office Word</Application>
  <DocSecurity>0</DocSecurity>
  <Lines>162</Lines>
  <Paragraphs>45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The European citizens' initiative</vt:lpstr>
      <vt:lpstr>Regulation on the European citizens' initiative - 4th meeting</vt:lpstr>
    </vt:vector>
  </TitlesOfParts>
  <Company>CESE-CdR</Company>
  <LinksUpToDate>false</LinksUpToDate>
  <CharactersWithSpaces>22822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Европейска гражданска инициатива</dc:title>
  <dc:creator>Tomas Vocasek</dc:creator>
  <cp:keywords>EESC-2017-05659-00-01-AC-TRA-EN</cp:keywords>
  <dc:description>Rapporteur: JOÓ - Original language: EN - Date of document: 20/03/2018 - Date of meeting:  - External documents: COM(2017)482-final - Administrator: MME Kozdój Anna Aleksandra</dc:description>
  <cp:lastModifiedBy>hnic</cp:lastModifiedBy>
  <cp:revision>4</cp:revision>
  <cp:lastPrinted>2018-01-11T14:45:00Z</cp:lastPrinted>
  <dcterms:created xsi:type="dcterms:W3CDTF">2018-03-20T11:04:00Z</dcterms:created>
  <dcterms:modified xsi:type="dcterms:W3CDTF">2018-06-07T13:25:00Z</dcterms:modified>
  <cp:category>SC/49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16/03/2018, 16/03/2018, 16/02/2018, 14/02/2018, 14/02/2018, 30/01/2018, 30/01/2018, 12/01/2018, 11/01/2018, 06/12/2017, 06/12/2017, 04/11/2015, 27/10/2015, 19/10/2015, 09/10/2015, 05/10/2015, 05/10/2015, 26/08/2015, 26/08/2015, 25/08/2015</vt:lpwstr>
  </property>
  <property fmtid="{D5CDD505-2E9C-101B-9397-08002B2CF9AE}" pid="4" name="Pref_Time">
    <vt:lpwstr>12:33:42, 12:02:17, 10:32:48, 12:28:14, 12:12:56, 16:47:23, 16:44:01, 09:01:17, 17:31:51, 17:27:37, 17:19:59, 12:10:07, 14:44:02, 16:04:16, 14:09:30, 16:24:55, 16:04:02, 08:56:14, 07:27:56, 17:31:53</vt:lpwstr>
  </property>
  <property fmtid="{D5CDD505-2E9C-101B-9397-08002B2CF9AE}" pid="5" name="Pref_User">
    <vt:lpwstr>enied, htoo, mkop, amett, ssex, enied, ssex, hnic, htoo, jhvi, htoo, ssex, enied, amett, tvoc, mreg, mreg, amett, enied, ssex</vt:lpwstr>
  </property>
  <property fmtid="{D5CDD505-2E9C-101B-9397-08002B2CF9AE}" pid="6" name="Pref_FileName">
    <vt:lpwstr>EESC-2017-05659-00-00-AC-TRA-EN-CRR.docx, EESC-2017-05659-00-00-AC-CRR-EN.docx, EESC-2017-05659-00-01-PAC-TRA-EN-CRR.docx, EESC-2017-05659-00-00-PAC-TRA-EN-CRR.docx, EESC-2017-05659-00-00-PAC-CRR-EN.docx, EESC-2017-05659-00-02-APA-TRA-EN-CRR.docx, EESC-20</vt:lpwstr>
  </property>
  <property fmtid="{D5CDD505-2E9C-101B-9397-08002B2CF9AE}" pid="7" name="ContentTypeId">
    <vt:lpwstr>0x010100EA97B91038054C99906057A708A1480A0098B203C585D2E54E8477D21D46703D0B</vt:lpwstr>
  </property>
  <property fmtid="{D5CDD505-2E9C-101B-9397-08002B2CF9AE}" pid="8" name="_dlc_DocIdItemGuid">
    <vt:lpwstr>b29f4f6c-4ffe-4582-9946-91fbdebd8667</vt:lpwstr>
  </property>
  <property fmtid="{D5CDD505-2E9C-101B-9397-08002B2CF9AE}" pid="9" name="DocumentType_0">
    <vt:lpwstr>AC|a4cc1d15-fb08-4679-ad46-e4e0cba5fe92</vt:lpwstr>
  </property>
  <property fmtid="{D5CDD505-2E9C-101B-9397-08002B2CF9AE}" pid="10" name="Procedure">
    <vt:lpwstr>2017/0220(COD)</vt:lpwstr>
  </property>
  <property fmtid="{D5CDD505-2E9C-101B-9397-08002B2CF9AE}" pid="11" name="AvailableTranslations">
    <vt:lpwstr>32;#MT|7df99101-6854-4a26-b53a-b88c0da02c26;#37;#RO|feb747a2-64cd-4299-af12-4833ddc30497;#4;#EN|f2175f21-25d7-44a3-96da-d6a61b075e1b;#25;#FI|87606a43-d45f-42d6-b8c9-e1a3457db5b7;#8;#FR|d2afafd3-4c81-4f60-8f52-ee33f2f54ff3;#27;#CS|72f9705b-0217-4fd3-bea2-cbc7ed80e26e;#38;#HR|2f555653-ed1a-4fe6-8362-9082d95989e5;#15;#PT|50ccc04a-eadd-42ae-a0cb-acaf45f812ba;#18;#DE|f6b31e5a-26fa-4935-b661-318e46daf27e;#14;#ES|e7a6b05b-ae16-40c8-add9-68b64b03aeba;#23;#DA|5d49c027-8956-412b-aa16-e85a0f96ad0e;#30;#LV|46f7e311-5d9f-4663-b433-18aeccb7ace7;#12;#NL|55c6556c-b4f4-441d-9acf-c498d4f838bd;#34;#SK|46d9fce0-ef79-4f71-b89b-cd6aa82426b8;#29;#HU|6b229040-c589-4408-b4c1-4285663d20a8;#28;#ET|ff6c3f4c-b02c-4c3c-ab07-2c37995a7a0a;#36;#BG|1a1b3951-7821-4e6a-85f5-5673fc08bd2c;#31;#LT|a7ff5ce7-6123-4f68-865a-a57c31810414;#22;#IT|0774613c-01ed-4e5d-a25d-11d2388de825;#33;#PL|1e03da61-4678-4e07-b136-b5024ca9197b;#35;#SL|98a412ae-eb01-49e9-ae3d-585a81724cfc;#26;#SV|c2ed69e7-a339-43d7-8f22-d93680a92aa0;#24;#EL|6d4f4d51-af9b-4650-94b4-4276bee85c91</vt:lpwstr>
  </property>
  <property fmtid="{D5CDD505-2E9C-101B-9397-08002B2CF9AE}" pid="12" name="DossierName_0">
    <vt:lpwstr>SC|93464e17-450e-4474-bc4c-bdfb737ca28f</vt:lpwstr>
  </property>
  <property fmtid="{D5CDD505-2E9C-101B-9397-08002B2CF9AE}" pid="13" name="DocumentSource_0">
    <vt:lpwstr>EESC|422833ec-8d7e-4e65-8e4e-8bed07ffb729</vt:lpwstr>
  </property>
  <property fmtid="{D5CDD505-2E9C-101B-9397-08002B2CF9AE}" pid="14" name="FicheYear">
    <vt:i4>2017</vt:i4>
  </property>
  <property fmtid="{D5CDD505-2E9C-101B-9397-08002B2CF9AE}" pid="15" name="DocumentNumber">
    <vt:i4>5659</vt:i4>
  </property>
  <property fmtid="{D5CDD505-2E9C-101B-9397-08002B2CF9AE}" pid="16" name="DocumentVersion">
    <vt:i4>1</vt:i4>
  </property>
  <property fmtid="{D5CDD505-2E9C-101B-9397-08002B2CF9AE}" pid="17" name="DossierNumber">
    <vt:i4>49</vt:i4>
  </property>
  <property fmtid="{D5CDD505-2E9C-101B-9397-08002B2CF9AE}" pid="18" name="DocumentSource">
    <vt:lpwstr>1;#EESC|422833ec-8d7e-4e65-8e4e-8bed07ffb729</vt:lpwstr>
  </property>
  <property fmtid="{D5CDD505-2E9C-101B-9397-08002B2CF9AE}" pid="19" name="AdoptionDate">
    <vt:filetime>2018-03-14T12:00:00Z</vt:filetime>
  </property>
  <property fmtid="{D5CDD505-2E9C-101B-9397-08002B2CF9AE}" pid="20" name="DocumentType">
    <vt:lpwstr>96;#AC|a4cc1d15-fb08-4679-ad46-e4e0cba5fe92</vt:lpwstr>
  </property>
  <property fmtid="{D5CDD505-2E9C-101B-9397-08002B2CF9AE}" pid="21" name="DocumentStatus">
    <vt:lpwstr>2;#TRA|150d2a88-1431-44e6-a8ca-0bb753ab8672</vt:lpwstr>
  </property>
  <property fmtid="{D5CDD505-2E9C-101B-9397-08002B2CF9AE}" pid="22" name="DossierName">
    <vt:lpwstr>165;#SC|93464e17-450e-4474-bc4c-bdfb737ca28f</vt:lpwstr>
  </property>
  <property fmtid="{D5CDD505-2E9C-101B-9397-08002B2CF9AE}" pid="23" name="DocumentPart">
    <vt:i4>0</vt:i4>
  </property>
  <property fmtid="{D5CDD505-2E9C-101B-9397-08002B2CF9AE}" pid="24" name="RequestingService">
    <vt:lpwstr>Relations avec la société civile organisée et prospective</vt:lpwstr>
  </property>
  <property fmtid="{D5CDD505-2E9C-101B-9397-08002B2CF9AE}" pid="25" name="Confidentiality">
    <vt:lpwstr>5;#Unrestricted|826e22d7-d029-4ec0-a450-0c28ff673572</vt:lpwstr>
  </property>
  <property fmtid="{D5CDD505-2E9C-101B-9397-08002B2CF9AE}" pid="26" name="Confidentiality_0">
    <vt:lpwstr>Unrestricted|826e22d7-d029-4ec0-a450-0c28ff673572</vt:lpwstr>
  </property>
  <property fmtid="{D5CDD505-2E9C-101B-9397-08002B2CF9AE}" pid="27" name="MeetingName_0">
    <vt:lpwstr/>
  </property>
  <property fmtid="{D5CDD505-2E9C-101B-9397-08002B2CF9AE}" pid="28" name="OriginalLanguage">
    <vt:lpwstr>4;#EN|f2175f21-25d7-44a3-96da-d6a61b075e1b</vt:lpwstr>
  </property>
  <property fmtid="{D5CDD505-2E9C-101B-9397-08002B2CF9AE}" pid="29" name="MeetingName">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96;#AC|a4cc1d15-fb08-4679-ad46-e4e0cba5fe92;#6;#Final|ea5e6674-7b27-4bac-b091-73adbb394efe;#4;#EN|f2175f21-25d7-44a3-96da-d6a61b075e1b;#5;#Unrestricted|826e22d7-d029-4ec0-a450-0c28ff673572;#165;#SC|93464e17-450e-4474-bc4c-bdfb737ca28f;#2;#TRA|150d2a88-143</vt:lpwstr>
  </property>
  <property fmtid="{D5CDD505-2E9C-101B-9397-08002B2CF9AE}" pid="33" name="AvailableTranslations_0">
    <vt:lpwstr>EN|f2175f21-25d7-44a3-96da-d6a61b075e1b</vt:lpwstr>
  </property>
  <property fmtid="{D5CDD505-2E9C-101B-9397-08002B2CF9AE}" pid="34" name="VersionStatus">
    <vt:lpwstr>6;#Final|ea5e6674-7b27-4bac-b091-73adbb394efe</vt:lpwstr>
  </property>
  <property fmtid="{D5CDD505-2E9C-101B-9397-08002B2CF9AE}" pid="35" name="Rapporteur">
    <vt:lpwstr>JOÓ</vt:lpwstr>
  </property>
  <property fmtid="{D5CDD505-2E9C-101B-9397-08002B2CF9AE}" pid="36" name="VersionStatus_0">
    <vt:lpwstr>Final|ea5e6674-7b27-4bac-b091-73adbb394efe</vt:lpwstr>
  </property>
  <property fmtid="{D5CDD505-2E9C-101B-9397-08002B2CF9AE}" pid="37" name="FicheNumber">
    <vt:i4>3588</vt:i4>
  </property>
  <property fmtid="{D5CDD505-2E9C-101B-9397-08002B2CF9AE}" pid="38" name="DocumentYear">
    <vt:i4>2017</vt:i4>
  </property>
  <property fmtid="{D5CDD505-2E9C-101B-9397-08002B2CF9AE}" pid="39" name="DocumentLanguage">
    <vt:lpwstr>36;#BG|1a1b3951-7821-4e6a-85f5-5673fc08bd2c</vt:lpwstr>
  </property>
</Properties>
</file>