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5.xml" ContentType="application/vnd.openxmlformats-officedocument.wordprocessingml.header+xml"/>
  <Override PartName="/word/header6.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289"/>
      </w:tblGrid>
      <w:tr w:rsidRPr="00655522" w:rsidR="00574C9B" w:rsidTr="00A43D2C" w14:paraId="4F5FA412" w14:textId="77777777">
        <w:trPr>
          <w:jc w:val="center"/>
        </w:trPr>
        <w:tc>
          <w:tcPr>
            <w:tcW w:w="5000" w:type="pct"/>
            <w:vAlign w:val="center"/>
          </w:tcPr>
          <w:p w:rsidRPr="00655522" w:rsidR="00574C9B" w:rsidP="006125A1" w:rsidRDefault="00A154FC" w14:paraId="56C7F06F" w14:textId="77777777">
            <w:pPr>
              <w:jc w:val="center"/>
              <w:rPr>
                <w:b/>
                <w:sz w:val="72"/>
                <w:szCs w:val="72"/>
              </w:rPr>
            </w:pPr>
            <w:r>
              <w:rPr>
                <w:b/>
                <w:sz w:val="72"/>
              </w:rPr>
              <w:t>DICTAMEN</w:t>
            </w:r>
          </w:p>
        </w:tc>
      </w:tr>
      <w:tr w:rsidRPr="00DD35AB" w:rsidR="00574C9B" w:rsidTr="00A43D2C" w14:paraId="09AF0FAA" w14:textId="77777777">
        <w:trPr>
          <w:trHeight w:val="567"/>
          <w:jc w:val="center"/>
        </w:trPr>
        <w:tc>
          <w:tcPr>
            <w:tcW w:w="5000" w:type="pct"/>
            <w:vAlign w:val="center"/>
          </w:tcPr>
          <w:p w:rsidRPr="00655522" w:rsidR="00574C9B" w:rsidP="006125A1" w:rsidRDefault="00A154FC" w14:paraId="232626E6" w14:textId="77777777">
            <w:pPr>
              <w:jc w:val="center"/>
              <w:rPr>
                <w:sz w:val="24"/>
                <w:szCs w:val="24"/>
              </w:rPr>
            </w:pPr>
            <w:r>
              <w:rPr>
                <w:sz w:val="24"/>
              </w:rPr>
              <w:t>Comité Económico y Social Europeo</w:t>
            </w:r>
          </w:p>
        </w:tc>
      </w:tr>
      <w:tr w:rsidRPr="00DD35AB" w:rsidR="00574C9B" w:rsidTr="00A43D2C" w14:paraId="2A19E723" w14:textId="77777777">
        <w:trPr>
          <w:jc w:val="center"/>
        </w:trPr>
        <w:tc>
          <w:tcPr>
            <w:tcW w:w="5000" w:type="pct"/>
            <w:vAlign w:val="center"/>
          </w:tcPr>
          <w:p w:rsidRPr="00655522" w:rsidR="00574C9B" w:rsidP="006125A1" w:rsidRDefault="0059368A" w14:paraId="1BF89286" w14:textId="77777777">
            <w:pPr>
              <w:jc w:val="center"/>
              <w:rPr>
                <w:b/>
                <w:sz w:val="44"/>
                <w:szCs w:val="44"/>
              </w:rPr>
            </w:pPr>
            <w:bookmarkStart w:name="_GoBack" w:colFirst="0" w:colLast="0" w:id="0"/>
            <w:r>
              <w:rPr>
                <w:b/>
                <w:sz w:val="44"/>
              </w:rPr>
              <w:t>Ayudas estatales / Servicios sociales y sanitarios</w:t>
            </w:r>
          </w:p>
        </w:tc>
      </w:tr>
      <w:bookmarkEnd w:id="0"/>
      <w:tr w:rsidRPr="00655522" w:rsidR="00574C9B" w:rsidTr="00A43D2C" w14:paraId="251DE7AB" w14:textId="77777777">
        <w:trPr>
          <w:jc w:val="center"/>
        </w:trPr>
        <w:tc>
          <w:tcPr>
            <w:tcW w:w="5000" w:type="pct"/>
            <w:vAlign w:val="center"/>
          </w:tcPr>
          <w:p w:rsidRPr="00655522" w:rsidR="00574C9B" w:rsidP="006125A1" w:rsidRDefault="00574C9B" w14:paraId="3EC4F5FE" w14:textId="77777777">
            <w:pPr>
              <w:overflowPunct w:val="0"/>
              <w:autoSpaceDE w:val="0"/>
              <w:autoSpaceDN w:val="0"/>
              <w:adjustRightInd w:val="0"/>
              <w:jc w:val="center"/>
              <w:textAlignment w:val="baseline"/>
              <w:rPr>
                <w:b/>
                <w:position w:val="24"/>
                <w:sz w:val="24"/>
                <w:szCs w:val="24"/>
              </w:rPr>
            </w:pPr>
            <w:r>
              <w:rPr>
                <w:sz w:val="24"/>
              </w:rPr>
              <w:t>_____________</w:t>
            </w:r>
          </w:p>
        </w:tc>
      </w:tr>
      <w:tr w:rsidRPr="00655522" w:rsidR="00574C9B" w:rsidTr="00A43D2C" w14:paraId="3BE288AC" w14:textId="77777777">
        <w:trPr>
          <w:jc w:val="center"/>
        </w:trPr>
        <w:tc>
          <w:tcPr>
            <w:tcW w:w="5000" w:type="pct"/>
            <w:vAlign w:val="center"/>
          </w:tcPr>
          <w:p w:rsidRPr="00655522" w:rsidR="00574C9B" w:rsidP="006125A1" w:rsidRDefault="00C2263D" w14:paraId="074D4F29" w14:textId="1AEBBD1C">
            <w:pPr>
              <w:jc w:val="center"/>
              <w:rPr>
                <w:sz w:val="24"/>
                <w:szCs w:val="24"/>
              </w:rPr>
            </w:pPr>
            <w:r>
              <w:rPr>
                <w:sz w:val="24"/>
              </w:rPr>
              <w:t xml:space="preserve">Normas sobre ayudas estatales aplicables a los servicios sociales </w:t>
            </w:r>
            <w:r w:rsidR="00D25117">
              <w:rPr>
                <w:sz w:val="24"/>
              </w:rPr>
              <w:br/>
            </w:r>
            <w:r>
              <w:rPr>
                <w:sz w:val="24"/>
              </w:rPr>
              <w:t xml:space="preserve">y sanitarios en un contexto pospandémico. </w:t>
            </w:r>
            <w:r w:rsidR="00D25117">
              <w:rPr>
                <w:sz w:val="24"/>
              </w:rPr>
              <w:br/>
            </w:r>
            <w:r>
              <w:rPr>
                <w:sz w:val="24"/>
              </w:rPr>
              <w:t xml:space="preserve">Reflexiones y propuestas sobre la evaluación de la Comisión </w:t>
            </w:r>
            <w:r w:rsidR="00D25117">
              <w:rPr>
                <w:sz w:val="24"/>
              </w:rPr>
              <w:br/>
            </w:r>
            <w:r>
              <w:rPr>
                <w:sz w:val="24"/>
              </w:rPr>
              <w:t xml:space="preserve">para modificar el paquete legislativo de 2012 </w:t>
            </w:r>
            <w:r>
              <w:rPr>
                <w:sz w:val="24"/>
              </w:rPr>
              <w:br/>
              <w:t>(Dictamen de iniciativa)</w:t>
            </w:r>
          </w:p>
        </w:tc>
      </w:tr>
      <w:tr w:rsidRPr="00655522" w:rsidR="00574C9B" w:rsidTr="00A43D2C" w14:paraId="70933966" w14:textId="77777777">
        <w:trPr>
          <w:jc w:val="center"/>
        </w:trPr>
        <w:tc>
          <w:tcPr>
            <w:tcW w:w="5000" w:type="pct"/>
            <w:vAlign w:val="center"/>
          </w:tcPr>
          <w:p w:rsidRPr="00655522" w:rsidR="00574C9B" w:rsidP="006125A1" w:rsidRDefault="00574C9B" w14:paraId="7CA211D6" w14:textId="77777777">
            <w:pPr>
              <w:jc w:val="center"/>
              <w:rPr>
                <w:sz w:val="24"/>
                <w:szCs w:val="24"/>
                <w:lang w:val="it-IT"/>
              </w:rPr>
            </w:pPr>
          </w:p>
        </w:tc>
      </w:tr>
      <w:tr w:rsidRPr="00655522" w:rsidR="00574C9B" w:rsidTr="00A43D2C" w14:paraId="3F1FE6EB" w14:textId="77777777">
        <w:trPr>
          <w:jc w:val="center"/>
        </w:trPr>
        <w:tc>
          <w:tcPr>
            <w:tcW w:w="5000" w:type="pct"/>
            <w:vAlign w:val="center"/>
          </w:tcPr>
          <w:p w:rsidRPr="00655522" w:rsidR="00574C9B" w:rsidP="006125A1" w:rsidRDefault="007D390E" w14:paraId="5B0DE53B" w14:textId="77777777">
            <w:pPr>
              <w:jc w:val="center"/>
              <w:rPr>
                <w:b/>
                <w:sz w:val="24"/>
                <w:szCs w:val="24"/>
              </w:rPr>
            </w:pPr>
            <w:r>
              <w:rPr>
                <w:b/>
                <w:sz w:val="24"/>
              </w:rPr>
              <w:t>INT/981</w:t>
            </w:r>
          </w:p>
        </w:tc>
      </w:tr>
      <w:tr w:rsidRPr="00655522" w:rsidR="00574C9B" w:rsidTr="00A43D2C" w14:paraId="5532890E" w14:textId="77777777">
        <w:trPr>
          <w:jc w:val="center"/>
        </w:trPr>
        <w:tc>
          <w:tcPr>
            <w:tcW w:w="5000" w:type="pct"/>
            <w:vAlign w:val="center"/>
          </w:tcPr>
          <w:p w:rsidRPr="00655522" w:rsidR="00574C9B" w:rsidP="006125A1" w:rsidRDefault="00574C9B" w14:paraId="45EAA115" w14:textId="77777777">
            <w:pPr>
              <w:jc w:val="center"/>
              <w:rPr>
                <w:sz w:val="24"/>
                <w:szCs w:val="24"/>
                <w:lang w:val="it-IT"/>
              </w:rPr>
            </w:pPr>
          </w:p>
        </w:tc>
      </w:tr>
      <w:tr w:rsidRPr="00655522" w:rsidR="00574C9B" w:rsidTr="00A43D2C" w14:paraId="52640C02" w14:textId="77777777">
        <w:trPr>
          <w:jc w:val="center"/>
        </w:trPr>
        <w:tc>
          <w:tcPr>
            <w:tcW w:w="5000" w:type="pct"/>
            <w:vAlign w:val="center"/>
          </w:tcPr>
          <w:p w:rsidRPr="00655522" w:rsidR="00574C9B" w:rsidP="003849BE" w:rsidRDefault="00A154FC" w14:paraId="141A5CBA" w14:textId="5D352FC1">
            <w:pPr>
              <w:jc w:val="center"/>
              <w:rPr>
                <w:sz w:val="24"/>
                <w:szCs w:val="24"/>
              </w:rPr>
            </w:pPr>
            <w:r>
              <w:rPr>
                <w:sz w:val="24"/>
              </w:rPr>
              <w:t xml:space="preserve">Ponente: </w:t>
            </w:r>
            <w:r>
              <w:rPr>
                <w:b/>
                <w:sz w:val="24"/>
              </w:rPr>
              <w:t>Giuseppe GUERINI</w:t>
            </w:r>
          </w:p>
        </w:tc>
      </w:tr>
    </w:tbl>
    <w:p w:rsidRPr="00655522" w:rsidR="00574C9B" w:rsidP="00574C9B" w:rsidRDefault="00574C9B" w14:paraId="632D8AA8" w14:textId="77777777">
      <w:r>
        <w:rPr>
          <w:noProof/>
          <w:sz w:val="20"/>
          <w:lang w:val="en-US"/>
        </w:rPr>
        <mc:AlternateContent>
          <mc:Choice Requires="wps">
            <w:drawing>
              <wp:anchor distT="0" distB="0" distL="114300" distR="114300" simplePos="0" relativeHeight="251656704" behindDoc="1" locked="0" layoutInCell="0" allowOverlap="1" wp14:editId="1AEFBF76" wp14:anchorId="29A0DA9F">
                <wp:simplePos x="0" y="0"/>
                <wp:positionH relativeFrom="rightMargin">
                  <wp:posOffset>-201930</wp:posOffset>
                </wp:positionH>
                <wp:positionV relativeFrom="page">
                  <wp:posOffset>9486900</wp:posOffset>
                </wp:positionV>
                <wp:extent cx="741600" cy="432000"/>
                <wp:effectExtent l="0" t="0" r="0" b="635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43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C9B" w:rsidP="00574C9B" w:rsidRDefault="007F7AC4" w14:paraId="628302C5" w14:textId="77777777">
                            <w:pPr>
                              <w:jc w:val="center"/>
                            </w:pPr>
                            <w:r>
                              <w:rPr>
                                <w:rFonts w:ascii="Arial" w:hAnsi="Arial"/>
                                <w:b/>
                                <w:sz w:val="48"/>
                              </w:rPr>
                              <w: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9A0DA9F">
                <v:stroke joinstyle="miter"/>
                <v:path gradientshapeok="t" o:connecttype="rect"/>
              </v:shapetype>
              <v:shape id="Text Box 17" style="position:absolute;left:0;text-align:left;margin-left:-15.9pt;margin-top:747pt;width:58.4pt;height:34pt;z-index:-2516597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">
                <v:textbox>
                  <w:txbxContent>
                    <w:p w:rsidR="00574C9B" w:rsidP="00574C9B" w:rsidRDefault="007F7AC4" w14:paraId="628302C5" w14:textId="77777777">
                      <w:pPr>
                        <w:jc w:val="center"/>
                      </w:pPr>
                      <w:r>
                        <w:rPr>
                          <w:rFonts w:ascii="Arial" w:hAnsi="Arial"/>
                          <w:b/>
                          <w:sz w:val="48"/>
                        </w:rPr>
                        <w:t>ES</w:t>
                      </w:r>
                    </w:p>
                  </w:txbxContent>
                </v:textbox>
                <w10:wrap anchorx="margin" anchory="page"/>
              </v:shape>
            </w:pict>
          </mc:Fallback>
        </mc:AlternateContent>
      </w:r>
    </w:p>
    <w:p w:rsidRPr="00655522" w:rsidR="00574C9B" w:rsidP="00574C9B" w:rsidRDefault="00574C9B" w14:paraId="652D3861" w14:textId="77777777">
      <w:pPr>
        <w:rPr>
          <w:lang w:val="it-IT"/>
        </w:rPr>
      </w:pPr>
    </w:p>
    <w:p w:rsidRPr="00655522" w:rsidR="00574C9B" w:rsidP="00574C9B" w:rsidRDefault="00574C9B" w14:paraId="12D8C9EB" w14:textId="77777777">
      <w:pPr>
        <w:rPr>
          <w:lang w:val="it-IT"/>
        </w:rPr>
        <w:sectPr w:rsidRPr="00655522" w:rsidR="00574C9B" w:rsidSect="003849BE">
          <w:headerReference w:type="even" r:id="rId15"/>
          <w:headerReference w:type="default" r:id="rId16"/>
          <w:footerReference w:type="even" r:id="rId17"/>
          <w:footerReference w:type="default" r:id="rId18"/>
          <w:headerReference w:type="first" r:id="rId19"/>
          <w:footerReference w:type="first" r:id="rId20"/>
          <w:pgSz w:w="11907" w:h="16839" w:code="9"/>
          <w:pgMar w:top="5669" w:right="1417" w:bottom="1417" w:left="1417" w:header="709" w:footer="709" w:gutter="0"/>
          <w:cols w:space="720"/>
          <w:docGrid w:linePitch="360"/>
        </w:sectPr>
      </w:pPr>
    </w:p>
    <w:tbl>
      <w:tblPr>
        <w:tblpPr w:leftFromText="181" w:rightFromText="181" w:tblpYSpec="bottom"/>
        <w:tblOverlap w:val="never"/>
        <w:tblW w:w="9289" w:type="dxa"/>
        <w:tblLayout w:type="fixed"/>
        <w:tblLook w:val="04A0" w:firstRow="1" w:lastRow="0" w:firstColumn="1" w:lastColumn="0" w:noHBand="0" w:noVBand="1"/>
      </w:tblPr>
      <w:tblGrid>
        <w:gridCol w:w="3261"/>
        <w:gridCol w:w="6028"/>
      </w:tblGrid>
      <w:tr w:rsidRPr="00655522" w:rsidR="00AC5114" w:rsidTr="00A43D2C" w14:paraId="35128B24" w14:textId="77777777">
        <w:tc>
          <w:tcPr>
            <w:tcW w:w="3261" w:type="dxa"/>
          </w:tcPr>
          <w:p w:rsidRPr="00655522" w:rsidR="00AC5114" w:rsidP="0058411F" w:rsidRDefault="00E66646" w14:paraId="21C6E655" w14:textId="77777777">
            <w:pPr>
              <w:autoSpaceDE w:val="0"/>
              <w:autoSpaceDN w:val="0"/>
              <w:jc w:val="left"/>
              <w:rPr>
                <w:szCs w:val="20"/>
              </w:rPr>
            </w:pPr>
            <w:r>
              <w:lastRenderedPageBreak/>
              <w:t>Decisión del Pleno</w:t>
            </w:r>
          </w:p>
        </w:tc>
        <w:tc>
          <w:tcPr>
            <w:tcW w:w="6028" w:type="dxa"/>
            <w:vAlign w:val="bottom"/>
          </w:tcPr>
          <w:p w:rsidRPr="00655522" w:rsidR="00AC5114" w:rsidP="0058411F" w:rsidRDefault="00642BD2" w14:paraId="667F19ED" w14:textId="77777777">
            <w:pPr>
              <w:autoSpaceDE w:val="0"/>
              <w:autoSpaceDN w:val="0"/>
              <w:jc w:val="left"/>
              <w:rPr>
                <w:szCs w:val="20"/>
              </w:rPr>
            </w:pPr>
            <w:r>
              <w:t>20/01/2022</w:t>
            </w:r>
          </w:p>
        </w:tc>
      </w:tr>
      <w:tr w:rsidRPr="00DD35AB" w:rsidR="00AC5114" w:rsidTr="00A43D2C" w14:paraId="6E6E2BC7" w14:textId="77777777">
        <w:tc>
          <w:tcPr>
            <w:tcW w:w="3261" w:type="dxa"/>
          </w:tcPr>
          <w:p w:rsidRPr="00655522" w:rsidR="00AC5114" w:rsidP="0058411F" w:rsidRDefault="00E66646" w14:paraId="2370A917" w14:textId="77777777">
            <w:pPr>
              <w:autoSpaceDE w:val="0"/>
              <w:autoSpaceDN w:val="0"/>
              <w:jc w:val="left"/>
              <w:rPr>
                <w:szCs w:val="20"/>
              </w:rPr>
            </w:pPr>
            <w:r>
              <w:t>Base jurídica</w:t>
            </w:r>
          </w:p>
        </w:tc>
        <w:tc>
          <w:tcPr>
            <w:tcW w:w="6028" w:type="dxa"/>
            <w:vAlign w:val="bottom"/>
          </w:tcPr>
          <w:p w:rsidRPr="00655522" w:rsidR="00AC5114" w:rsidP="0058411F" w:rsidRDefault="00E66646" w14:paraId="341395FF" w14:textId="77777777">
            <w:pPr>
              <w:autoSpaceDE w:val="0"/>
              <w:autoSpaceDN w:val="0"/>
              <w:jc w:val="left"/>
              <w:rPr>
                <w:szCs w:val="20"/>
              </w:rPr>
            </w:pPr>
            <w:r>
              <w:t>Artículo 32, apartado 2, del Reglamento interno</w:t>
            </w:r>
          </w:p>
        </w:tc>
      </w:tr>
      <w:tr w:rsidRPr="00655522" w:rsidR="00AC5114" w:rsidTr="00A43D2C" w14:paraId="19E77351" w14:textId="77777777">
        <w:tc>
          <w:tcPr>
            <w:tcW w:w="3261" w:type="dxa"/>
          </w:tcPr>
          <w:p w:rsidRPr="00655522" w:rsidR="00AC5114" w:rsidP="0058411F" w:rsidRDefault="00AC5114" w14:paraId="139270D3" w14:textId="77777777">
            <w:pPr>
              <w:autoSpaceDE w:val="0"/>
              <w:autoSpaceDN w:val="0"/>
              <w:jc w:val="left"/>
              <w:rPr>
                <w:szCs w:val="20"/>
                <w:lang w:val="it-IT"/>
              </w:rPr>
            </w:pPr>
          </w:p>
        </w:tc>
        <w:tc>
          <w:tcPr>
            <w:tcW w:w="6028" w:type="dxa"/>
            <w:vAlign w:val="bottom"/>
          </w:tcPr>
          <w:p w:rsidRPr="00655522" w:rsidR="00AC5114" w:rsidP="0058411F" w:rsidRDefault="00E66646" w14:paraId="73FF081F" w14:textId="77777777">
            <w:pPr>
              <w:autoSpaceDE w:val="0"/>
              <w:autoSpaceDN w:val="0"/>
              <w:jc w:val="left"/>
              <w:rPr>
                <w:szCs w:val="20"/>
              </w:rPr>
            </w:pPr>
            <w:r>
              <w:t>Dictamen de iniciativa</w:t>
            </w:r>
          </w:p>
        </w:tc>
      </w:tr>
      <w:tr w:rsidRPr="00DD35AB" w:rsidR="00AC5114" w:rsidTr="00A43D2C" w14:paraId="48D073F1" w14:textId="77777777">
        <w:tc>
          <w:tcPr>
            <w:tcW w:w="3261" w:type="dxa"/>
          </w:tcPr>
          <w:p w:rsidRPr="00655522" w:rsidR="00AC5114" w:rsidP="0058411F" w:rsidRDefault="00E66646" w14:paraId="5F3FAD2F" w14:textId="77777777">
            <w:pPr>
              <w:autoSpaceDE w:val="0"/>
              <w:autoSpaceDN w:val="0"/>
              <w:jc w:val="left"/>
            </w:pPr>
            <w:r>
              <w:t>Sección competente</w:t>
            </w:r>
          </w:p>
        </w:tc>
        <w:tc>
          <w:tcPr>
            <w:tcW w:w="6028" w:type="dxa"/>
            <w:vAlign w:val="bottom"/>
          </w:tcPr>
          <w:p w:rsidRPr="00655522" w:rsidR="00AC5114" w:rsidP="0058411F" w:rsidRDefault="005D7FA5" w14:paraId="28E3DE36" w14:textId="77777777">
            <w:pPr>
              <w:autoSpaceDE w:val="0"/>
              <w:autoSpaceDN w:val="0"/>
              <w:jc w:val="left"/>
            </w:pPr>
            <w:r>
              <w:t>Mercado Único, Producción y Consumo</w:t>
            </w:r>
          </w:p>
        </w:tc>
      </w:tr>
      <w:tr w:rsidRPr="00655522" w:rsidR="00AC5114" w:rsidTr="00A43D2C" w14:paraId="6EB618D9" w14:textId="77777777">
        <w:tc>
          <w:tcPr>
            <w:tcW w:w="3261" w:type="dxa"/>
          </w:tcPr>
          <w:p w:rsidRPr="00655522" w:rsidR="00AC5114" w:rsidP="0058411F" w:rsidRDefault="00E66646" w14:paraId="7FFCB279" w14:textId="77777777">
            <w:pPr>
              <w:autoSpaceDE w:val="0"/>
              <w:autoSpaceDN w:val="0"/>
              <w:jc w:val="left"/>
            </w:pPr>
            <w:r>
              <w:t>Aprobado en sección</w:t>
            </w:r>
          </w:p>
        </w:tc>
        <w:tc>
          <w:tcPr>
            <w:tcW w:w="6028" w:type="dxa"/>
            <w:vAlign w:val="bottom"/>
          </w:tcPr>
          <w:p w:rsidRPr="00655522" w:rsidR="00AC5114" w:rsidP="0058411F" w:rsidRDefault="00BA4AED" w14:paraId="1C57C891" w14:textId="77777777">
            <w:pPr>
              <w:autoSpaceDE w:val="0"/>
              <w:autoSpaceDN w:val="0"/>
              <w:jc w:val="left"/>
            </w:pPr>
            <w:r>
              <w:t>05/05/2022</w:t>
            </w:r>
          </w:p>
        </w:tc>
      </w:tr>
      <w:tr w:rsidRPr="00655522" w:rsidR="0058411F" w:rsidTr="00A43D2C" w14:paraId="4DF02967" w14:textId="77777777">
        <w:tc>
          <w:tcPr>
            <w:tcW w:w="3261" w:type="dxa"/>
          </w:tcPr>
          <w:p w:rsidRPr="00655522" w:rsidR="0058411F" w:rsidP="0058411F" w:rsidRDefault="00E66646" w14:paraId="5AE4232F" w14:textId="77777777">
            <w:pPr>
              <w:autoSpaceDE w:val="0"/>
              <w:autoSpaceDN w:val="0"/>
              <w:jc w:val="left"/>
            </w:pPr>
            <w:r>
              <w:t>Aprobado en el pleno</w:t>
            </w:r>
          </w:p>
        </w:tc>
        <w:tc>
          <w:tcPr>
            <w:tcW w:w="6028" w:type="dxa"/>
            <w:vAlign w:val="bottom"/>
          </w:tcPr>
          <w:p w:rsidRPr="00655522" w:rsidR="0058411F" w:rsidP="003B73FD" w:rsidRDefault="003B73FD" w14:paraId="7D26A0B5" w14:textId="653E1054">
            <w:pPr>
              <w:autoSpaceDE w:val="0"/>
              <w:autoSpaceDN w:val="0"/>
              <w:jc w:val="left"/>
            </w:pPr>
            <w:r>
              <w:t>19/05/2022</w:t>
            </w:r>
          </w:p>
        </w:tc>
      </w:tr>
      <w:tr w:rsidRPr="00655522" w:rsidR="0058411F" w:rsidTr="00A43D2C" w14:paraId="3C976A22" w14:textId="77777777">
        <w:tc>
          <w:tcPr>
            <w:tcW w:w="3261" w:type="dxa"/>
          </w:tcPr>
          <w:p w:rsidRPr="00655522" w:rsidR="0058411F" w:rsidP="0058411F" w:rsidRDefault="00E66646" w14:paraId="117132C1" w14:textId="77777777">
            <w:pPr>
              <w:autoSpaceDE w:val="0"/>
              <w:autoSpaceDN w:val="0"/>
              <w:jc w:val="left"/>
            </w:pPr>
            <w:r>
              <w:t>Pleno n.º</w:t>
            </w:r>
          </w:p>
        </w:tc>
        <w:tc>
          <w:tcPr>
            <w:tcW w:w="6028" w:type="dxa"/>
            <w:vAlign w:val="bottom"/>
          </w:tcPr>
          <w:p w:rsidRPr="00655522" w:rsidR="0058411F" w:rsidP="0058411F" w:rsidRDefault="00D65112" w14:paraId="3EB4E3E4" w14:textId="1905612D">
            <w:pPr>
              <w:autoSpaceDE w:val="0"/>
              <w:autoSpaceDN w:val="0"/>
              <w:jc w:val="left"/>
            </w:pPr>
            <w:r>
              <w:t>569</w:t>
            </w:r>
          </w:p>
        </w:tc>
      </w:tr>
      <w:tr w:rsidRPr="00655522" w:rsidR="0058411F" w:rsidTr="00A43D2C" w14:paraId="4BEFEE7E" w14:textId="77777777">
        <w:tc>
          <w:tcPr>
            <w:tcW w:w="3261" w:type="dxa"/>
          </w:tcPr>
          <w:p w:rsidRPr="00655522" w:rsidR="0058411F" w:rsidP="003849BE" w:rsidRDefault="003849BE" w14:paraId="17CF7F0F" w14:textId="3EC14593">
            <w:pPr>
              <w:autoSpaceDE w:val="0"/>
              <w:autoSpaceDN w:val="0"/>
              <w:jc w:val="left"/>
            </w:pPr>
            <w:r>
              <w:t xml:space="preserve">Resultado de la votación </w:t>
            </w:r>
            <w:r>
              <w:br/>
              <w:t>(a favor/en contra/abstenciones)</w:t>
            </w:r>
          </w:p>
        </w:tc>
        <w:tc>
          <w:tcPr>
            <w:tcW w:w="6028" w:type="dxa"/>
            <w:vAlign w:val="bottom"/>
          </w:tcPr>
          <w:p w:rsidRPr="00655522" w:rsidR="0058411F" w:rsidP="00340D01" w:rsidRDefault="00725BDE" w14:paraId="0E4A1AB9" w14:textId="528E9382">
            <w:pPr>
              <w:autoSpaceDE w:val="0"/>
              <w:autoSpaceDN w:val="0"/>
              <w:jc w:val="left"/>
            </w:pPr>
            <w:r>
              <w:t>221/0/5</w:t>
            </w:r>
          </w:p>
        </w:tc>
      </w:tr>
    </w:tbl>
    <w:p w:rsidRPr="00655522" w:rsidR="00AC5114" w:rsidP="00574C9B" w:rsidRDefault="00AC5114" w14:paraId="4E9D35F5" w14:textId="77777777">
      <w:pPr>
        <w:rPr>
          <w:lang w:val="it-IT"/>
        </w:rPr>
      </w:pPr>
    </w:p>
    <w:p w:rsidRPr="00655522" w:rsidR="00AC5114" w:rsidP="00574C9B" w:rsidRDefault="00AC5114" w14:paraId="002BDE36" w14:textId="77777777">
      <w:pPr>
        <w:rPr>
          <w:lang w:val="it-IT"/>
        </w:rPr>
        <w:sectPr w:rsidRPr="00655522" w:rsidR="00AC5114" w:rsidSect="003849BE">
          <w:headerReference w:type="even" r:id="rId21"/>
          <w:headerReference w:type="default" r:id="rId22"/>
          <w:footerReference w:type="default" r:id="rId23"/>
          <w:headerReference w:type="first" r:id="rId24"/>
          <w:pgSz w:w="11907" w:h="16839" w:code="9"/>
          <w:pgMar w:top="5669" w:right="1418" w:bottom="1418" w:left="1418" w:header="709" w:footer="709" w:gutter="0"/>
          <w:cols w:space="720"/>
          <w:docGrid w:linePitch="360"/>
        </w:sectPr>
      </w:pPr>
    </w:p>
    <w:p w:rsidRPr="00655522" w:rsidR="00E2376B" w:rsidP="00DB7F50" w:rsidRDefault="00D65D90" w14:paraId="2DF867CE" w14:textId="77777777">
      <w:pPr>
        <w:pStyle w:val="Heading1"/>
        <w:overflowPunct w:val="0"/>
        <w:autoSpaceDE w:val="0"/>
        <w:autoSpaceDN w:val="0"/>
        <w:adjustRightInd w:val="0"/>
        <w:textAlignment w:val="baseline"/>
        <w:rPr>
          <w:b/>
        </w:rPr>
      </w:pPr>
      <w:r>
        <w:rPr>
          <w:b/>
        </w:rPr>
        <w:t>Conclusiones y recomendaciones</w:t>
      </w:r>
    </w:p>
    <w:p w:rsidRPr="00655522" w:rsidR="00E2376B" w:rsidP="00DB7F50" w:rsidRDefault="00E2376B" w14:paraId="2DB3076E" w14:textId="77777777">
      <w:pPr>
        <w:ind w:left="142" w:hanging="142"/>
        <w:jc w:val="left"/>
        <w:rPr>
          <w:lang w:val="it-IT"/>
        </w:rPr>
      </w:pPr>
    </w:p>
    <w:p w:rsidRPr="00DD35AB" w:rsidR="00CA0838" w:rsidP="00CA0838" w:rsidRDefault="00CA0838" w14:paraId="4830D4A9" w14:textId="77777777">
      <w:pPr>
        <w:pStyle w:val="Heading2"/>
        <w:overflowPunct w:val="0"/>
        <w:autoSpaceDE w:val="0"/>
        <w:autoSpaceDN w:val="0"/>
        <w:adjustRightInd w:val="0"/>
        <w:textAlignment w:val="baseline"/>
      </w:pPr>
      <w:r>
        <w:t>El Comité Económico y Social Europeo (CESE) considera que una serie de servicios sanitarios y sociales —como los empleos asistenciales (incluida la asistencia a domicilio), la reintegración laboral de las personas desfavorecidas o con discapacidad, la atención a la infancia y la vivienda social— son esenciales a la hora de garantizar la cohesión social en esta fase pospandémica, de emergencia humanitaria y tensiones internacionales. Por lo tanto, las normas europeas sobre ayudas estatales aplicables a estos servicios desempeñan un papel con una importancia fundamental.</w:t>
      </w:r>
    </w:p>
    <w:p w:rsidRPr="00DD35AB" w:rsidR="00CA0838" w:rsidP="00CA0838" w:rsidRDefault="00CA0838" w14:paraId="145B3F19" w14:textId="77777777">
      <w:pPr>
        <w:rPr>
          <w:lang w:val="it-IT"/>
        </w:rPr>
      </w:pPr>
    </w:p>
    <w:p w:rsidRPr="00DD35AB" w:rsidR="00CA0838" w:rsidP="00CA0838" w:rsidRDefault="00CA0838" w14:paraId="0B90648C" w14:textId="77777777">
      <w:pPr>
        <w:pStyle w:val="Heading2"/>
        <w:overflowPunct w:val="0"/>
        <w:autoSpaceDE w:val="0"/>
        <w:autoSpaceDN w:val="0"/>
        <w:adjustRightInd w:val="0"/>
        <w:textAlignment w:val="baseline"/>
      </w:pPr>
      <w:r>
        <w:t>El CESE apoya firmemente la decisión de la Comisión de considerar, en su evaluación de la regulación del sector</w:t>
      </w:r>
      <w:r w:rsidRPr="00A43D2C">
        <w:rPr>
          <w:rStyle w:val="FootnoteReference"/>
        </w:rPr>
        <w:footnoteReference w:id="2"/>
      </w:r>
      <w:r>
        <w:t>, los servicios sanitarios y sociales como una «subcategoría» con características autónomas dentro del contexto más amplio de los servicios de interés económico general (SIEG).</w:t>
      </w:r>
    </w:p>
    <w:p w:rsidRPr="00DD35AB" w:rsidR="00CA0838" w:rsidP="00CA0838" w:rsidRDefault="00CA0838" w14:paraId="3D6E06C2" w14:textId="77777777">
      <w:pPr>
        <w:rPr>
          <w:lang w:val="it-IT"/>
        </w:rPr>
      </w:pPr>
    </w:p>
    <w:p w:rsidRPr="00DD35AB" w:rsidR="00CA0838" w:rsidP="00CA0838" w:rsidRDefault="00CA0838" w14:paraId="41060749" w14:textId="77777777">
      <w:pPr>
        <w:pStyle w:val="Heading2"/>
        <w:overflowPunct w:val="0"/>
        <w:autoSpaceDE w:val="0"/>
        <w:autoSpaceDN w:val="0"/>
        <w:adjustRightInd w:val="0"/>
        <w:textAlignment w:val="baseline"/>
      </w:pPr>
      <w:r>
        <w:t xml:space="preserve">El CESE señala que el paquete Almunia (2012) sobre ayudas estatales aplicable al sector de los SIEG ha aportado elementos positivos de modernización y simplificación en comparación con el marco anterior de 2005. Por lo tanto, el enfoque regulador de este paquete también debería confirmarse en el futuro, con elementos de mayor modernización, en caso de que la Comisión decidiera modificar el marco actual tras la evaluación en curso. </w:t>
      </w:r>
    </w:p>
    <w:p w:rsidRPr="00DD35AB" w:rsidR="00CA0838" w:rsidP="00CA0838" w:rsidRDefault="00CA0838" w14:paraId="1F5247F3" w14:textId="77777777">
      <w:pPr>
        <w:rPr>
          <w:lang w:val="it-IT"/>
        </w:rPr>
      </w:pPr>
    </w:p>
    <w:p w:rsidRPr="00DD35AB" w:rsidR="00CA0838" w:rsidP="00CA0838" w:rsidRDefault="00CA0838" w14:paraId="329EF33F" w14:textId="77777777">
      <w:pPr>
        <w:pStyle w:val="Heading2"/>
        <w:overflowPunct w:val="0"/>
        <w:autoSpaceDE w:val="0"/>
        <w:autoSpaceDN w:val="0"/>
        <w:adjustRightInd w:val="0"/>
        <w:textAlignment w:val="baseline"/>
      </w:pPr>
      <w:r>
        <w:t xml:space="preserve">El CESE señala que, en los distintos Estados miembros, los servicios sanitarios y la práctica totalidad de los servicios de asistencia social tienen una dimensión regional, provincial, municipal o incluso intramunicipal en las ciudades más grandes. Esto significa que es insignificante la movilidad interna de los usuarios entre las diferentes regiones y provincias nacionales, lo que hace aún más difícil una eventual movilidad transfronteriza de los usuarios. La ausencia de relevancia transfronteriza excluiría la aplicabilidad del artículo 107 del TFUE sobre ayudas estatales a los servicios sociales y sanitarios. </w:t>
      </w:r>
    </w:p>
    <w:p w:rsidRPr="00DD35AB" w:rsidR="00CA0838" w:rsidP="00CA0838" w:rsidRDefault="00CA0838" w14:paraId="16E673AF" w14:textId="77777777">
      <w:pPr>
        <w:pStyle w:val="Heading2"/>
        <w:numPr>
          <w:ilvl w:val="0"/>
          <w:numId w:val="0"/>
        </w:numPr>
        <w:rPr>
          <w:lang w:val="it-IT"/>
        </w:rPr>
      </w:pPr>
    </w:p>
    <w:p w:rsidRPr="00DD35AB" w:rsidR="00CA0838" w:rsidP="00CA0838" w:rsidRDefault="00CA0838" w14:paraId="21F0B21B" w14:textId="77777777">
      <w:pPr>
        <w:pStyle w:val="Heading2"/>
        <w:overflowPunct w:val="0"/>
        <w:autoSpaceDE w:val="0"/>
        <w:autoSpaceDN w:val="0"/>
        <w:adjustRightInd w:val="0"/>
        <w:textAlignment w:val="baseline"/>
      </w:pPr>
      <w:r>
        <w:t xml:space="preserve">El CESE señala que las administraciones nacionales tienen dificultades para adquirir una experiencia específica en el desarrollo de actos de atribución, que son un requisito necesario para aplicar la Decisión de exención n.º 21/2012 relativa a la compensación por servicio público y el Reglamento n.º 360/2012 sobre las ayudas </w:t>
      </w:r>
      <w:r>
        <w:rPr>
          <w:i/>
        </w:rPr>
        <w:t>de minimis</w:t>
      </w:r>
      <w:r>
        <w:t xml:space="preserve"> a los SIEG. Sería muy útil que la Comisión creara un portal en el que se pudieran consultar ejemplos concretos de actos de atribución legítimos relativos a los diferentes tipos de servicios sanitarios y sociales. </w:t>
      </w:r>
    </w:p>
    <w:p w:rsidRPr="00DD35AB" w:rsidR="00CA0838" w:rsidP="00CA0838" w:rsidRDefault="00CA0838" w14:paraId="29ED6BC2" w14:textId="77777777">
      <w:pPr>
        <w:pStyle w:val="Heading2"/>
        <w:numPr>
          <w:ilvl w:val="0"/>
          <w:numId w:val="0"/>
        </w:numPr>
        <w:ind w:left="720"/>
        <w:rPr>
          <w:lang w:val="it-IT"/>
        </w:rPr>
      </w:pPr>
    </w:p>
    <w:p w:rsidRPr="00DD35AB" w:rsidR="00CA0838" w:rsidP="00CA0838" w:rsidRDefault="00CA0838" w14:paraId="144BC2ED" w14:textId="77777777">
      <w:pPr>
        <w:pStyle w:val="Heading2"/>
        <w:overflowPunct w:val="0"/>
        <w:autoSpaceDE w:val="0"/>
        <w:autoSpaceDN w:val="0"/>
        <w:adjustRightInd w:val="0"/>
        <w:textAlignment w:val="baseline"/>
      </w:pPr>
      <w:r>
        <w:t>El CESE alienta el intercambio de buenas prácticas entre los Estados miembros con tradiciones jurídicas comunes respecto de la aplicación de las normas sobre ayudas estatales al sector de los servicios sociales y sanitarios, con el fin de fomentar un uso más eficaz de los márgenes discrecionales que el Protocolo n.º 26 del TFUE reconoce a las administraciones nacionales a la hora de establecer y aplicar los SIEG a nivel local.</w:t>
      </w:r>
    </w:p>
    <w:p w:rsidRPr="00DD35AB" w:rsidR="00CA0838" w:rsidP="00E05640" w:rsidRDefault="00CA0838" w14:paraId="3981C295" w14:textId="77777777">
      <w:pPr>
        <w:pStyle w:val="Heading2"/>
        <w:keepNext/>
        <w:keepLines/>
        <w:numPr>
          <w:ilvl w:val="0"/>
          <w:numId w:val="0"/>
        </w:numPr>
        <w:rPr>
          <w:lang w:val="it-IT"/>
        </w:rPr>
      </w:pPr>
    </w:p>
    <w:p w:rsidRPr="00DD35AB" w:rsidR="00CA0838" w:rsidP="00E05640" w:rsidRDefault="00CA0838" w14:paraId="4212A8B8" w14:textId="77777777">
      <w:pPr>
        <w:pStyle w:val="Heading2"/>
        <w:keepNext/>
        <w:keepLines/>
        <w:overflowPunct w:val="0"/>
        <w:autoSpaceDE w:val="0"/>
        <w:autoSpaceDN w:val="0"/>
        <w:adjustRightInd w:val="0"/>
        <w:textAlignment w:val="baseline"/>
      </w:pPr>
      <w:r>
        <w:t xml:space="preserve">El CESE señala que la norma establecida en la Decisión n.º 21/2012 según la cual las compensaciones por servicio público no pueden superar la cobertura de los costes, salvo un «beneficio razonable», requiere una mayor aclaración: </w:t>
      </w:r>
      <w:r>
        <w:rPr>
          <w:b/>
        </w:rPr>
        <w:t>i)</w:t>
      </w:r>
      <w:r>
        <w:t xml:space="preserve"> respecto de la determinación en la práctica del beneficio razonable en relación con el capital utilizado para prestar el servicio, teniendo en cuenta en el riesgo operativo; </w:t>
      </w:r>
      <w:r>
        <w:rPr>
          <w:b/>
        </w:rPr>
        <w:t>ii)</w:t>
      </w:r>
      <w:r>
        <w:t xml:space="preserve"> respecto de la determinación cuantitativa de los costes fijos y estructurales que pueden incluirse en los costes de gestión de los SIEG; y </w:t>
      </w:r>
      <w:r>
        <w:rPr>
          <w:b/>
        </w:rPr>
        <w:t>iii)</w:t>
      </w:r>
      <w:r>
        <w:t xml:space="preserve"> respecto del grado en que podría valorizarse el carácter distintivo de los servicios y los modelos organizativos típicos de las entidades de la economía social cuando estas gestionan y ejecutan servicios de interés económico general.</w:t>
      </w:r>
    </w:p>
    <w:p w:rsidRPr="00DD35AB" w:rsidR="00CA0838" w:rsidP="00CA0838" w:rsidRDefault="00CA0838" w14:paraId="60DF6578" w14:textId="77777777">
      <w:pPr>
        <w:rPr>
          <w:lang w:val="it-IT"/>
        </w:rPr>
      </w:pPr>
    </w:p>
    <w:p w:rsidRPr="00DD35AB" w:rsidR="00CA0838" w:rsidP="00CA0838" w:rsidRDefault="00CA0838" w14:paraId="7544A97F" w14:textId="77777777">
      <w:pPr>
        <w:pStyle w:val="Heading2"/>
        <w:overflowPunct w:val="0"/>
        <w:autoSpaceDE w:val="0"/>
        <w:autoSpaceDN w:val="0"/>
        <w:adjustRightInd w:val="0"/>
        <w:textAlignment w:val="baseline"/>
      </w:pPr>
      <w:r>
        <w:t xml:space="preserve">El CESE considera que los servicios sociales y sanitarios deberían beneficiarse de un límite máximo </w:t>
      </w:r>
      <w:r>
        <w:rPr>
          <w:i/>
        </w:rPr>
        <w:t>de minimis</w:t>
      </w:r>
      <w:r>
        <w:t xml:space="preserve"> a lo largo de tres ejercicios fiscales, incrementado respecto del garantizado a los SIEG previstos en principio con arreglo al Reglamento n.º 360/2012 (500 000 EUR), como se demuestra claramente en la consulta pública llevada a cabo por la Comisión. El papel que desempeñan los servicios sociales y sanitarios en términos de cohesión social justifica un aumento del límite máximo respecto del aplicado en la actualidad. </w:t>
      </w:r>
    </w:p>
    <w:p w:rsidRPr="00DD35AB" w:rsidR="00CA0838" w:rsidP="00CA0838" w:rsidRDefault="00CA0838" w14:paraId="66276578" w14:textId="77777777">
      <w:pPr>
        <w:ind w:left="709"/>
        <w:rPr>
          <w:lang w:val="it-IT"/>
        </w:rPr>
      </w:pPr>
    </w:p>
    <w:p w:rsidRPr="00A43D2C" w:rsidR="00CA0838" w:rsidP="00CA0838" w:rsidRDefault="00CA0838" w14:paraId="106CA202" w14:textId="77777777">
      <w:pPr>
        <w:pStyle w:val="Heading1"/>
        <w:keepNext/>
        <w:keepLines/>
        <w:overflowPunct w:val="0"/>
        <w:autoSpaceDE w:val="0"/>
        <w:autoSpaceDN w:val="0"/>
        <w:adjustRightInd w:val="0"/>
        <w:textAlignment w:val="baseline"/>
        <w:rPr>
          <w:b/>
        </w:rPr>
      </w:pPr>
      <w:r>
        <w:rPr>
          <w:b/>
        </w:rPr>
        <w:t>Introducción y contexto</w:t>
      </w:r>
    </w:p>
    <w:p w:rsidRPr="00A43D2C" w:rsidR="00CA0838" w:rsidP="00CA0838" w:rsidRDefault="00CA0838" w14:paraId="328FF268" w14:textId="77777777">
      <w:pPr>
        <w:keepNext/>
        <w:keepLines/>
        <w:spacing w:line="276" w:lineRule="auto"/>
        <w:rPr>
          <w:rFonts w:ascii="TimesNewRoman" w:hAnsi="TimesNewRoman"/>
        </w:rPr>
      </w:pPr>
    </w:p>
    <w:p w:rsidRPr="00DD35AB" w:rsidR="00CA0838" w:rsidP="00CA0838" w:rsidRDefault="00CA0838" w14:paraId="575344CA" w14:textId="77777777">
      <w:pPr>
        <w:pStyle w:val="Heading2"/>
        <w:overflowPunct w:val="0"/>
        <w:autoSpaceDE w:val="0"/>
        <w:autoSpaceDN w:val="0"/>
        <w:adjustRightInd w:val="0"/>
        <w:textAlignment w:val="baseline"/>
      </w:pPr>
      <w:r>
        <w:t>La cuestión de las ayudas estatales a las empresas que explotan servicios de interés económico general y, en la medida en que sea pertinente a efectos del presente Dictamen, a las organizaciones que operan en el ámbito más restringido de los servicios sanitarios y sociales, se reguló en 2012 mediante el «paquete legislativo Almunia». Este paquete sustituía y modernizaba el marco jurídico anterior de 2005 («paquete Monti-Kroes»).</w:t>
      </w:r>
    </w:p>
    <w:p w:rsidRPr="00A43D2C" w:rsidR="00CA0838" w:rsidP="00CA0838" w:rsidRDefault="00CA0838" w14:paraId="3082DE63" w14:textId="77777777">
      <w:pPr>
        <w:pStyle w:val="Heading2"/>
        <w:numPr>
          <w:ilvl w:val="0"/>
          <w:numId w:val="0"/>
        </w:numPr>
        <w:ind w:left="720"/>
        <w:rPr>
          <w:sz w:val="24"/>
          <w:lang w:val="it-IT"/>
        </w:rPr>
      </w:pPr>
    </w:p>
    <w:p w:rsidRPr="00DD35AB" w:rsidR="00CA0838" w:rsidP="00CA0838" w:rsidRDefault="00CA0838" w14:paraId="279A501C" w14:textId="77777777">
      <w:pPr>
        <w:pStyle w:val="Heading2"/>
        <w:overflowPunct w:val="0"/>
        <w:autoSpaceDE w:val="0"/>
        <w:autoSpaceDN w:val="0"/>
        <w:adjustRightInd w:val="0"/>
        <w:textAlignment w:val="baseline"/>
      </w:pPr>
      <w:r>
        <w:rPr>
          <w:rFonts w:ascii="TimesNewRoman" w:hAnsi="TimesNewRoman"/>
        </w:rPr>
        <w:t>El paquete Almunia contiene los siguientes actos:</w:t>
      </w:r>
    </w:p>
    <w:p w:rsidRPr="00DD35AB" w:rsidR="00CA0838" w:rsidP="00CA0838" w:rsidRDefault="00CA0838" w14:paraId="66001B56" w14:textId="77777777">
      <w:pPr>
        <w:pStyle w:val="Heading2"/>
        <w:numPr>
          <w:ilvl w:val="0"/>
          <w:numId w:val="3"/>
        </w:numPr>
        <w:overflowPunct w:val="0"/>
        <w:autoSpaceDE w:val="0"/>
        <w:autoSpaceDN w:val="0"/>
        <w:adjustRightInd w:val="0"/>
        <w:ind w:left="1134" w:hanging="567"/>
        <w:textAlignment w:val="baseline"/>
      </w:pPr>
      <w:r>
        <w:t xml:space="preserve">Reglamento (UE) n.º 360 de la Comisión, de 25 de abril de 2012, relativo a la aplicación de los artículos 107 y 108 del TFUE a las ayudas </w:t>
      </w:r>
      <w:r>
        <w:rPr>
          <w:i/>
        </w:rPr>
        <w:t>de minimis</w:t>
      </w:r>
      <w:r>
        <w:t xml:space="preserve"> concedidas a empresas que prestan servicios de interés económico general; </w:t>
      </w:r>
    </w:p>
    <w:p w:rsidRPr="00DD35AB" w:rsidR="00CA0838" w:rsidP="00CA0838" w:rsidRDefault="00CA0838" w14:paraId="2D2591ED" w14:textId="77777777">
      <w:pPr>
        <w:pStyle w:val="Heading2"/>
        <w:numPr>
          <w:ilvl w:val="0"/>
          <w:numId w:val="3"/>
        </w:numPr>
        <w:overflowPunct w:val="0"/>
        <w:autoSpaceDE w:val="0"/>
        <w:autoSpaceDN w:val="0"/>
        <w:adjustRightInd w:val="0"/>
        <w:ind w:left="1134" w:hanging="567"/>
        <w:textAlignment w:val="baseline"/>
      </w:pPr>
      <w:r>
        <w:t xml:space="preserve">Decisión de la Comisión, de 20 de diciembre de 2011, relativa a la aplicación de las disposiciones del artículo 106, apartado 2, del TFUE a las ayudas estatales en forma de compensación por servicio público concedidas a algunas empresas encargadas de la gestión de servicios de interés económico general (2012/21/UE); </w:t>
      </w:r>
    </w:p>
    <w:p w:rsidRPr="00DD35AB" w:rsidR="00CA0838" w:rsidP="00CA0838" w:rsidRDefault="00CA0838" w14:paraId="155C0937" w14:textId="77777777">
      <w:pPr>
        <w:pStyle w:val="Heading2"/>
        <w:numPr>
          <w:ilvl w:val="0"/>
          <w:numId w:val="3"/>
        </w:numPr>
        <w:overflowPunct w:val="0"/>
        <w:autoSpaceDE w:val="0"/>
        <w:autoSpaceDN w:val="0"/>
        <w:adjustRightInd w:val="0"/>
        <w:ind w:left="1134" w:hanging="567"/>
        <w:textAlignment w:val="baseline"/>
      </w:pPr>
      <w:r>
        <w:t>Comunicación de la Comisión relativa a la aplicación de las normas de la Unión Europea en materia de ayudas estatales a las compensaciones concedidas por la prestación de servicios de interés económico general</w:t>
      </w:r>
      <w:r w:rsidRPr="00A43D2C">
        <w:rPr>
          <w:sz w:val="24"/>
          <w:vertAlign w:val="superscript"/>
        </w:rPr>
        <w:footnoteReference w:id="3"/>
      </w:r>
      <w:r>
        <w:t xml:space="preserve">; </w:t>
      </w:r>
    </w:p>
    <w:p w:rsidRPr="00DD35AB" w:rsidR="00CA0838" w:rsidP="00CA0838" w:rsidRDefault="00CA0838" w14:paraId="06DA4DD6" w14:textId="77777777">
      <w:pPr>
        <w:pStyle w:val="Heading2"/>
        <w:numPr>
          <w:ilvl w:val="0"/>
          <w:numId w:val="3"/>
        </w:numPr>
        <w:overflowPunct w:val="0"/>
        <w:autoSpaceDE w:val="0"/>
        <w:autoSpaceDN w:val="0"/>
        <w:adjustRightInd w:val="0"/>
        <w:ind w:left="1134" w:hanging="567"/>
        <w:textAlignment w:val="baseline"/>
      </w:pPr>
      <w:r>
        <w:t>Comunicación de la Comisión «Marco de la Unión Europea sobre ayudas estatales en forma de compensación por servicio público» (2011)</w:t>
      </w:r>
      <w:r w:rsidRPr="00A43D2C">
        <w:rPr>
          <w:rStyle w:val="FootnoteReference"/>
        </w:rPr>
        <w:footnoteReference w:id="4"/>
      </w:r>
      <w:r>
        <w:t>.</w:t>
      </w:r>
    </w:p>
    <w:p w:rsidRPr="00DD35AB" w:rsidR="00CA0838" w:rsidP="00E05640" w:rsidRDefault="00CA0838" w14:paraId="7FE8CFD3" w14:textId="77777777">
      <w:pPr>
        <w:keepNext/>
        <w:keepLines/>
        <w:rPr>
          <w:lang w:val="it-IT"/>
        </w:rPr>
      </w:pPr>
    </w:p>
    <w:p w:rsidRPr="00DD35AB" w:rsidR="00CA0838" w:rsidP="00E05640" w:rsidRDefault="00CA0838" w14:paraId="2179BDA0" w14:textId="77777777">
      <w:pPr>
        <w:pStyle w:val="Heading2"/>
        <w:keepNext/>
        <w:keepLines/>
        <w:overflowPunct w:val="0"/>
        <w:autoSpaceDE w:val="0"/>
        <w:autoSpaceDN w:val="0"/>
        <w:adjustRightInd w:val="0"/>
        <w:textAlignment w:val="baseline"/>
      </w:pPr>
      <w:r>
        <w:t>Por lo tanto, el marco normativo sectorial lleva en vigor casi diez años y, según indica la Comisión, desde su entrada en vigor ha sido muy utilizado por los Estados miembros, aunque existen problemas de aplicación que podrían justificar una nueva intervención del legislador de la Unión, teniendo en cuenta también el considerable tiempo transcurrido desde su primera aprobación.</w:t>
      </w:r>
    </w:p>
    <w:p w:rsidRPr="00DD35AB" w:rsidR="00CA0838" w:rsidP="00CA0838" w:rsidRDefault="00CA0838" w14:paraId="566C7339" w14:textId="77777777">
      <w:pPr>
        <w:pStyle w:val="Heading2"/>
        <w:numPr>
          <w:ilvl w:val="0"/>
          <w:numId w:val="0"/>
        </w:numPr>
        <w:rPr>
          <w:lang w:val="it-IT"/>
        </w:rPr>
      </w:pPr>
    </w:p>
    <w:p w:rsidRPr="00DD35AB" w:rsidR="00CA0838" w:rsidP="00CA0838" w:rsidRDefault="00CA0838" w14:paraId="198D3238" w14:textId="77777777">
      <w:pPr>
        <w:pStyle w:val="Heading2"/>
        <w:overflowPunct w:val="0"/>
        <w:autoSpaceDE w:val="0"/>
        <w:autoSpaceDN w:val="0"/>
        <w:adjustRightInd w:val="0"/>
        <w:textAlignment w:val="baseline"/>
      </w:pPr>
      <w:r>
        <w:t xml:space="preserve">A este respecto, la Comisión ha puesto en marcha una amplia consulta entre las partes interesadas con el fin de verificar la eficacia, la eficiencia, el valor añadido y el cumplimiento actual de los objetivos iniciales del marco legislativo actual, en particular en el ámbito de los servicios sanitarios y sociales. </w:t>
      </w:r>
    </w:p>
    <w:p w:rsidRPr="00DD35AB" w:rsidR="00CA0838" w:rsidP="00CA0838" w:rsidRDefault="00CA0838" w14:paraId="58CC4005" w14:textId="77777777">
      <w:pPr>
        <w:pStyle w:val="Heading2"/>
        <w:numPr>
          <w:ilvl w:val="0"/>
          <w:numId w:val="0"/>
        </w:numPr>
        <w:rPr>
          <w:lang w:val="it-IT"/>
        </w:rPr>
      </w:pPr>
    </w:p>
    <w:p w:rsidRPr="00DD35AB" w:rsidR="00CA0838" w:rsidP="00CA0838" w:rsidRDefault="00CA0838" w14:paraId="2EC0EA11" w14:textId="77777777">
      <w:pPr>
        <w:pStyle w:val="Heading2"/>
        <w:overflowPunct w:val="0"/>
        <w:autoSpaceDE w:val="0"/>
        <w:autoSpaceDN w:val="0"/>
        <w:adjustRightInd w:val="0"/>
        <w:textAlignment w:val="baseline"/>
      </w:pPr>
      <w:r>
        <w:t>Esta consulta se llevó a cabo entre el 31 de julio y el 14 de diciembre de 2019, a través de un cuestionario elaborado por la Comisión, que obtuvo cincuenta y una respuestas de empresas, organizaciones empresariales, sindicatos, ONG, particulares y administraciones públicas.</w:t>
      </w:r>
    </w:p>
    <w:p w:rsidRPr="00DD35AB" w:rsidR="00CA0838" w:rsidP="00CA0838" w:rsidRDefault="00CA0838" w14:paraId="39E05762" w14:textId="77777777">
      <w:pPr>
        <w:pStyle w:val="Heading2"/>
        <w:numPr>
          <w:ilvl w:val="0"/>
          <w:numId w:val="0"/>
        </w:numPr>
        <w:rPr>
          <w:lang w:val="it-IT"/>
        </w:rPr>
      </w:pPr>
    </w:p>
    <w:p w:rsidRPr="00DD35AB" w:rsidR="00CA0838" w:rsidP="00CA0838" w:rsidRDefault="00CA0838" w14:paraId="6E850FD5" w14:textId="77777777">
      <w:pPr>
        <w:pStyle w:val="Heading2"/>
        <w:overflowPunct w:val="0"/>
        <w:autoSpaceDE w:val="0"/>
        <w:autoSpaceDN w:val="0"/>
        <w:adjustRightInd w:val="0"/>
        <w:textAlignment w:val="baseline"/>
      </w:pPr>
      <w:r>
        <w:t xml:space="preserve">Con el presente Dictamen de iniciativa, el CESE, en su calidad de órgano representativo de la economía y la sociedad civil europeas, desea llamar la atención de la Comisión sobre determinadas cuestiones relativas a la aplicabilidad de las normas sobre ayudas estatales a los servicios sanitarios y sociales, con vistas a la posible futura revisión de las normas sobre ayudas estatales en estos sectores. </w:t>
      </w:r>
    </w:p>
    <w:p w:rsidRPr="00DD35AB" w:rsidR="00CA0838" w:rsidP="00CA0838" w:rsidRDefault="00CA0838" w14:paraId="01BD584B" w14:textId="77777777">
      <w:pPr>
        <w:rPr>
          <w:lang w:val="it-IT"/>
        </w:rPr>
      </w:pPr>
    </w:p>
    <w:p w:rsidRPr="00A43D2C" w:rsidR="00CA0838" w:rsidP="00CA0838" w:rsidRDefault="00CA0838" w14:paraId="57F0D6BD" w14:textId="77777777">
      <w:pPr>
        <w:pStyle w:val="Heading1"/>
        <w:keepNext/>
        <w:keepLines/>
        <w:overflowPunct w:val="0"/>
        <w:autoSpaceDE w:val="0"/>
        <w:autoSpaceDN w:val="0"/>
        <w:adjustRightInd w:val="0"/>
        <w:textAlignment w:val="baseline"/>
        <w:rPr>
          <w:b/>
        </w:rPr>
      </w:pPr>
      <w:r>
        <w:rPr>
          <w:b/>
        </w:rPr>
        <w:t>Observaciones generales</w:t>
      </w:r>
    </w:p>
    <w:p w:rsidRPr="00A43D2C" w:rsidR="00CA0838" w:rsidP="00CA0838" w:rsidRDefault="00CA0838" w14:paraId="4D6AF1EB" w14:textId="77777777">
      <w:pPr>
        <w:keepNext/>
        <w:keepLines/>
        <w:spacing w:line="276" w:lineRule="auto"/>
        <w:rPr>
          <w:rFonts w:ascii="TimesNewRoman" w:hAnsi="TimesNewRoman"/>
        </w:rPr>
      </w:pPr>
    </w:p>
    <w:p w:rsidRPr="00DD35AB" w:rsidR="00CA0838" w:rsidP="00CA0838" w:rsidRDefault="00CA0838" w14:paraId="1ACFAC60" w14:textId="77777777">
      <w:pPr>
        <w:pStyle w:val="Heading2"/>
        <w:overflowPunct w:val="0"/>
        <w:autoSpaceDE w:val="0"/>
        <w:autoSpaceDN w:val="0"/>
        <w:adjustRightInd w:val="0"/>
        <w:textAlignment w:val="baseline"/>
      </w:pPr>
      <w:r>
        <w:t>El CESE reconoce que la regulación de las ayudas estatales en el ámbito de los servicios sociales y sanitarios es una labor enormemente compleja para el legislador de la UE, dada la necesidad de encontrar un equilibrio —lo que no resulta sencillo— entre el apoyo público a actividades que contribuyen a objetivos de interés general y la protección de una competencia libre y no falseada en el mercado interior. El marco europeo de ayudas estatales también debe permitir la inversión pública necesaria para desarrollar las infraestructuras sociales y sanitarias que permitan alcanzar los objetivos establecidos en el pilar europeo de derechos sociales.</w:t>
      </w:r>
    </w:p>
    <w:p w:rsidRPr="00DD35AB" w:rsidR="00CA0838" w:rsidP="00CA0838" w:rsidRDefault="00CA0838" w14:paraId="2C1496D9" w14:textId="77777777">
      <w:pPr>
        <w:pStyle w:val="Heading2"/>
        <w:numPr>
          <w:ilvl w:val="0"/>
          <w:numId w:val="0"/>
        </w:numPr>
        <w:rPr>
          <w:lang w:val="it-IT"/>
        </w:rPr>
      </w:pPr>
    </w:p>
    <w:p w:rsidRPr="00DD35AB" w:rsidR="00CA0838" w:rsidP="00CA0838" w:rsidRDefault="00CA0838" w14:paraId="2CEBD09C" w14:textId="77777777">
      <w:pPr>
        <w:pStyle w:val="Heading2"/>
        <w:overflowPunct w:val="0"/>
        <w:autoSpaceDE w:val="0"/>
        <w:autoSpaceDN w:val="0"/>
        <w:adjustRightInd w:val="0"/>
        <w:textAlignment w:val="baseline"/>
      </w:pPr>
      <w:r>
        <w:t xml:space="preserve">El CESE apoya firmemente la decisión de la Comisión de considerar los servicios sanitarios y sociales como una subcategoría con características autónomas dentro del contexto más amplio de los SIEG, dadas las características específicas de estos servicios y sus objetivos específicos. En su documento sobre la evaluación de las normas actualmente en vigor, la Comisión señala que, </w:t>
      </w:r>
      <w:r>
        <w:rPr>
          <w:i/>
        </w:rPr>
        <w:t>«desde la perspectiva de las ayudas estatales, los servicios sanitarios y sociales constituyen un subgrupo de los servicios de interés (económico) general</w:t>
      </w:r>
      <w:r w:rsidRPr="00A43D2C">
        <w:rPr>
          <w:rStyle w:val="FootnoteReference"/>
        </w:rPr>
        <w:footnoteReference w:id="5"/>
      </w:r>
      <w:r>
        <w:rPr>
          <w:i/>
        </w:rPr>
        <w:t>»</w:t>
      </w:r>
      <w:r>
        <w:t>.</w:t>
      </w:r>
    </w:p>
    <w:p w:rsidRPr="00DD35AB" w:rsidR="00CA0838" w:rsidP="00CA0838" w:rsidRDefault="00CA0838" w14:paraId="6DAEB8FA" w14:textId="77777777">
      <w:pPr>
        <w:pStyle w:val="Heading2"/>
        <w:numPr>
          <w:ilvl w:val="0"/>
          <w:numId w:val="0"/>
        </w:numPr>
        <w:rPr>
          <w:lang w:val="it-IT"/>
        </w:rPr>
      </w:pPr>
    </w:p>
    <w:p w:rsidRPr="00DD35AB" w:rsidR="00CA0838" w:rsidP="00E05640" w:rsidRDefault="00CA0838" w14:paraId="62FB3386" w14:textId="77777777">
      <w:pPr>
        <w:pStyle w:val="Heading2"/>
        <w:keepNext/>
        <w:keepLines/>
        <w:overflowPunct w:val="0"/>
        <w:autoSpaceDE w:val="0"/>
        <w:autoSpaceDN w:val="0"/>
        <w:adjustRightInd w:val="0"/>
        <w:textAlignment w:val="baseline"/>
      </w:pPr>
      <w:r>
        <w:t>El CESE señala que el paquete Almunia (2012) relativo a las normas sobre ayudas estatales aplicables al sector de los SIEG ha aportado elementos positivos de modernización en comparación con el anterior marco de 2005, reduciendo la carga administrativa y reglamentaria que pesa sobre las autoridades nacionales que desean financiar los SIEG. Por lo tanto, el enfoque regulador de este paquete también debe confirmarse de cara al futuro, con elementos para una mayor modernización y clarificación de determinados perfiles específicos.</w:t>
      </w:r>
    </w:p>
    <w:p w:rsidRPr="00DD35AB" w:rsidR="00CA0838" w:rsidP="00CA0838" w:rsidRDefault="00CA0838" w14:paraId="59F47A50" w14:textId="77777777">
      <w:pPr>
        <w:pStyle w:val="Heading2"/>
        <w:numPr>
          <w:ilvl w:val="0"/>
          <w:numId w:val="0"/>
        </w:numPr>
        <w:rPr>
          <w:lang w:val="it-IT"/>
        </w:rPr>
      </w:pPr>
    </w:p>
    <w:p w:rsidRPr="00DD35AB" w:rsidR="00CA0838" w:rsidP="00CA0838" w:rsidRDefault="00CA0838" w14:paraId="130538B7" w14:textId="77777777">
      <w:pPr>
        <w:pStyle w:val="Heading2"/>
        <w:overflowPunct w:val="0"/>
        <w:autoSpaceDE w:val="0"/>
        <w:autoSpaceDN w:val="0"/>
        <w:adjustRightInd w:val="0"/>
        <w:textAlignment w:val="baseline"/>
      </w:pPr>
      <w:r>
        <w:t xml:space="preserve">El CESE considera que una serie de servicios sanitarios y sociales —como los empleos asistenciales (incluida la asistencia a domicilio), la reintegración laboral de las personas desfavorecidas o con discapacidad, la atención a la infancia y la vivienda social— revisten una importancia fundamental a la hora de garantizar la cohesión social en el mercado interior y constituyen «valores comunes» de los Estados miembros, tal como se establece en el Protocolo n.º 26 del TFUE. Estos servicios resultan aún más estratégicos y cruciales en la actual fase posterior a la pandemia, de tensiones internacionales y de aumento del populismo en los Estados miembros. </w:t>
      </w:r>
    </w:p>
    <w:p w:rsidRPr="00DD35AB" w:rsidR="00CA0838" w:rsidP="00CA0838" w:rsidRDefault="00CA0838" w14:paraId="4A5D7C4D" w14:textId="77777777">
      <w:pPr>
        <w:pStyle w:val="Heading2"/>
        <w:numPr>
          <w:ilvl w:val="0"/>
          <w:numId w:val="0"/>
        </w:numPr>
        <w:rPr>
          <w:lang w:val="it-IT"/>
        </w:rPr>
      </w:pPr>
    </w:p>
    <w:p w:rsidRPr="00DD35AB" w:rsidR="00CA0838" w:rsidP="00CA0838" w:rsidRDefault="00CA0838" w14:paraId="7F767C2C" w14:textId="77777777">
      <w:pPr>
        <w:pStyle w:val="Heading2"/>
        <w:overflowPunct w:val="0"/>
        <w:autoSpaceDE w:val="0"/>
        <w:autoSpaceDN w:val="0"/>
        <w:adjustRightInd w:val="0"/>
        <w:textAlignment w:val="baseline"/>
      </w:pPr>
      <w:r>
        <w:t>El CESE señala que, en algunos casos, los servicios sociales y sanitarios están garantizados a nivel estatal a través de actividades no económicas, que no están cubiertas por las normas de la UE sobre ayudas estatales. Al mismo tiempo, cuando estos servicios se prestan a través de actividades económicas, tienen poca relevancia transfronteriza, desempeñan un papel puramente local y contribuyen a la cohesión social en los territorios nacionales.</w:t>
      </w:r>
    </w:p>
    <w:p w:rsidRPr="00DD35AB" w:rsidR="00CA0838" w:rsidP="00CA0838" w:rsidRDefault="00CA0838" w14:paraId="7F869AE4" w14:textId="77777777">
      <w:pPr>
        <w:rPr>
          <w:lang w:val="it-IT"/>
        </w:rPr>
      </w:pPr>
    </w:p>
    <w:p w:rsidRPr="00DD35AB" w:rsidR="00CA0838" w:rsidP="00CA0838" w:rsidRDefault="00CA0838" w14:paraId="69F12738" w14:textId="77777777">
      <w:pPr>
        <w:pStyle w:val="Heading2"/>
        <w:overflowPunct w:val="0"/>
        <w:autoSpaceDE w:val="0"/>
        <w:autoSpaceDN w:val="0"/>
        <w:adjustRightInd w:val="0"/>
        <w:textAlignment w:val="baseline"/>
      </w:pPr>
      <w:r>
        <w:t>El CESE señala que los servicios sanitarios y sociales suelen estar garantizados a través de actividades no económicas, y ello excluiría la aplicación de las normas sobre ayudas estatales (artículo 107 del TFUE). Además, incluso cuando se llevan a cabo en un entorno de mercado, los servicios sanitarios y sociales tienen una dimensión puramente local, sin una verdadera relevancia transfronteriza desde el punto de vista de la demanda. La dimensión local es aún más evidente cuando, en aras de la cohesión social y el interés público, los servicios sociales y sanitarios son gestionados por entidades de la economía social con participación de las comunidades locales.</w:t>
      </w:r>
    </w:p>
    <w:p w:rsidRPr="00DD35AB" w:rsidR="00CA0838" w:rsidP="00CA0838" w:rsidRDefault="00CA0838" w14:paraId="637A7C10" w14:textId="77777777">
      <w:pPr>
        <w:rPr>
          <w:lang w:val="it-IT"/>
        </w:rPr>
      </w:pPr>
    </w:p>
    <w:p w:rsidRPr="00DD35AB" w:rsidR="00CA0838" w:rsidP="00CA0838" w:rsidRDefault="00CA0838" w14:paraId="6CF66127" w14:textId="77777777">
      <w:pPr>
        <w:pStyle w:val="Heading2"/>
        <w:overflowPunct w:val="0"/>
        <w:autoSpaceDE w:val="0"/>
        <w:autoSpaceDN w:val="0"/>
        <w:adjustRightInd w:val="0"/>
        <w:textAlignment w:val="baseline"/>
      </w:pPr>
      <w:r>
        <w:t xml:space="preserve">Sin embargo, la aplicación en la práctica de la Comisión y la jurisprudencia europea consideran que no puede descartarse </w:t>
      </w:r>
      <w:r>
        <w:rPr>
          <w:i/>
        </w:rPr>
        <w:t>a priori</w:t>
      </w:r>
      <w:r>
        <w:t xml:space="preserve"> la relevancia transfronteriza de los servicios sociales y sanitarios en relación con una posible distorsión de la inversión transfronteriza. El CESE, si bien entiende las razones de este planteamiento —cuyo objetivo es proteger las libertades de circulación previstas en los Tratados—, pide a la Comisión que proporcione directrices adecuadas sobre la relevancia transfronteriza de los servicios sociales y sanitarios. Estos servicios deberían, en efecto, tratarse de manera específica y flexible en el marco del debate más amplio sobre el concepto de relevancia transfronteriza como elemento constitutivo del concepto de ayuda estatal en el sentido del artículo 107 del TFUE.</w:t>
      </w:r>
    </w:p>
    <w:p w:rsidRPr="00DD35AB" w:rsidR="00CA0838" w:rsidP="00CA0838" w:rsidRDefault="00CA0838" w14:paraId="42FA1239" w14:textId="77777777">
      <w:pPr>
        <w:rPr>
          <w:lang w:val="it-IT"/>
        </w:rPr>
      </w:pPr>
    </w:p>
    <w:p w:rsidRPr="00DD35AB" w:rsidR="00CA0838" w:rsidP="00E05640" w:rsidRDefault="00CA0838" w14:paraId="0E99F4B2" w14:textId="77777777">
      <w:pPr>
        <w:pStyle w:val="Heading2"/>
        <w:keepNext/>
        <w:keepLines/>
        <w:overflowPunct w:val="0"/>
        <w:autoSpaceDE w:val="0"/>
        <w:autoSpaceDN w:val="0"/>
        <w:adjustRightInd w:val="0"/>
        <w:textAlignment w:val="baseline"/>
      </w:pPr>
      <w:r>
        <w:t>El CESE señala que, incluso cuando los servicios sociales y sanitarios tienen una dimensión transfronteriza, como en el caso de las treinta y siete zonas urbanas transfronterizas de la UE cubiertas por la Directiva sobre asistencia sanitaria transfronteriza, ello se hace atendiendo a una perspectiva de proximidad física entre los territorios fronterizos y respetando los principios de subsidiariedad territorial, por lo que un aumento de las ayudas estatales no socavaría de manera sustancial la competencia transfronteriza entre empresas.</w:t>
      </w:r>
    </w:p>
    <w:p w:rsidRPr="00DD35AB" w:rsidR="00CA0838" w:rsidP="00E05640" w:rsidRDefault="00CA0838" w14:paraId="434CF7ED" w14:textId="77777777">
      <w:pPr>
        <w:pStyle w:val="Heading2"/>
        <w:keepNext/>
        <w:keepLines/>
        <w:numPr>
          <w:ilvl w:val="0"/>
          <w:numId w:val="0"/>
        </w:numPr>
        <w:rPr>
          <w:lang w:val="it-IT"/>
        </w:rPr>
      </w:pPr>
    </w:p>
    <w:p w:rsidRPr="00A43D2C" w:rsidR="00CA0838" w:rsidP="00E05640" w:rsidRDefault="00CA0838" w14:paraId="7AD01FD4" w14:textId="77777777">
      <w:pPr>
        <w:pStyle w:val="Heading1"/>
        <w:keepNext/>
        <w:keepLines/>
        <w:overflowPunct w:val="0"/>
        <w:autoSpaceDE w:val="0"/>
        <w:autoSpaceDN w:val="0"/>
        <w:adjustRightInd w:val="0"/>
        <w:textAlignment w:val="baseline"/>
        <w:rPr>
          <w:b/>
        </w:rPr>
      </w:pPr>
      <w:r>
        <w:rPr>
          <w:b/>
        </w:rPr>
        <w:t>Observaciones específicas</w:t>
      </w:r>
    </w:p>
    <w:p w:rsidRPr="00A43D2C" w:rsidR="00CA0838" w:rsidP="00E05640" w:rsidRDefault="00CA0838" w14:paraId="1D61F4F7" w14:textId="77777777">
      <w:pPr>
        <w:pStyle w:val="Heading2"/>
        <w:keepNext/>
        <w:keepLines/>
        <w:numPr>
          <w:ilvl w:val="0"/>
          <w:numId w:val="0"/>
        </w:numPr>
      </w:pPr>
    </w:p>
    <w:p w:rsidRPr="00DD35AB" w:rsidR="00CA0838" w:rsidP="00CA0838" w:rsidRDefault="00CA0838" w14:paraId="51FF5F67" w14:textId="77777777">
      <w:pPr>
        <w:pStyle w:val="Heading2"/>
        <w:overflowPunct w:val="0"/>
        <w:autoSpaceDE w:val="0"/>
        <w:autoSpaceDN w:val="0"/>
        <w:adjustRightInd w:val="0"/>
        <w:textAlignment w:val="baseline"/>
      </w:pPr>
      <w:r>
        <w:t>El CESE señala que, a pesar de los elementos positivos de claridad y simplificación introducidos por el paquete Almunia en 2012, los conceptos jurídicos que deben aplicarse en el ámbito de los SIEG siguen siendo objetivamente complejos, dada en particular la estrecha interrelación entre las evaluaciones jurídicas y económicas habituales del sector de los SIEG.</w:t>
      </w:r>
    </w:p>
    <w:p w:rsidRPr="00DD35AB" w:rsidR="00CA0838" w:rsidP="00CA0838" w:rsidRDefault="00CA0838" w14:paraId="4CFBCAAF" w14:textId="77777777">
      <w:pPr>
        <w:pStyle w:val="Heading2"/>
        <w:numPr>
          <w:ilvl w:val="0"/>
          <w:numId w:val="0"/>
        </w:numPr>
        <w:rPr>
          <w:lang w:val="it-IT"/>
        </w:rPr>
      </w:pPr>
    </w:p>
    <w:p w:rsidRPr="00DD35AB" w:rsidR="00CA0838" w:rsidP="00CA0838" w:rsidRDefault="00CA0838" w14:paraId="729B745D" w14:textId="77777777">
      <w:pPr>
        <w:pStyle w:val="Heading2"/>
        <w:overflowPunct w:val="0"/>
        <w:autoSpaceDE w:val="0"/>
        <w:autoSpaceDN w:val="0"/>
        <w:adjustRightInd w:val="0"/>
        <w:textAlignment w:val="baseline"/>
      </w:pPr>
      <w:r>
        <w:t>Por este motivo, el CESE pide a la Comisión que publique una guía de aplicación que actualice el documento «Guía relativa a la aplicación a los servicios de interés económico general y, en particular, a los servicios sociales de interés general, de las normas de la Unión en materia de ayudas estatales, de contratos públicos y de mercado interior» – SWD (2013) 53 final/2, que se ha revelado de enorme utilidad para los operadores del sector en los últimos años.</w:t>
      </w:r>
    </w:p>
    <w:p w:rsidRPr="00DD35AB" w:rsidR="00CA0838" w:rsidP="00CA0838" w:rsidRDefault="00CA0838" w14:paraId="50CBF6FD" w14:textId="77777777">
      <w:pPr>
        <w:rPr>
          <w:lang w:val="it-IT"/>
        </w:rPr>
      </w:pPr>
    </w:p>
    <w:p w:rsidRPr="00DD35AB" w:rsidR="00CA0838" w:rsidP="00CA0838" w:rsidRDefault="00CA0838" w14:paraId="3BCF34A2" w14:textId="77777777">
      <w:pPr>
        <w:pStyle w:val="Heading2"/>
        <w:overflowPunct w:val="0"/>
        <w:autoSpaceDE w:val="0"/>
        <w:autoSpaceDN w:val="0"/>
        <w:adjustRightInd w:val="0"/>
        <w:textAlignment w:val="baseline"/>
      </w:pPr>
      <w:r>
        <w:t>El CESE considera que, tanto en el ámbito de la contratación pública como en el de las ayudas estatales, las autoridades nacionales tienen un menor conocimiento del marco específico de los SIEG que de los correspondientes marcos normativos ordinarios. Por lo tanto, una inversión adecuada —recurriendo también a fondos europeos— en la formación del personal de las administraciones públicas podría ser útil para aumentar tanto la calidad de estos servicios como el grado de cumplimiento de la legislación de la UE.</w:t>
      </w:r>
    </w:p>
    <w:p w:rsidRPr="00DD35AB" w:rsidR="00CA0838" w:rsidP="00CA0838" w:rsidRDefault="00CA0838" w14:paraId="1722F3D6" w14:textId="77777777">
      <w:pPr>
        <w:pStyle w:val="Heading2"/>
        <w:numPr>
          <w:ilvl w:val="0"/>
          <w:numId w:val="0"/>
        </w:numPr>
        <w:rPr>
          <w:lang w:val="it-IT"/>
        </w:rPr>
      </w:pPr>
    </w:p>
    <w:p w:rsidRPr="00DD35AB" w:rsidR="00CA0838" w:rsidP="00CA0838" w:rsidRDefault="00CA0838" w14:paraId="32F10912" w14:textId="77777777">
      <w:pPr>
        <w:pStyle w:val="Heading2"/>
        <w:overflowPunct w:val="0"/>
        <w:autoSpaceDE w:val="0"/>
        <w:autoSpaceDN w:val="0"/>
        <w:adjustRightInd w:val="0"/>
        <w:textAlignment w:val="baseline"/>
      </w:pPr>
      <w:r>
        <w:t>El CESE señala que, desde un punto de vista técnico y operativo, las administraciones nacionales tienen dificultades para adquirir una experiencia específica y de grado avanzado en el desarrollo de actos de atribución, que son un requisito previo para la aplicación de la Decisión de exención n.º 21/2012 relativa a la compensación por servicio público y, aunque de manera simplificada, del Reglamento n.º 360/2012 sobre las ayudas estatales (el llamado «</w:t>
      </w:r>
      <w:r>
        <w:rPr>
          <w:i/>
        </w:rPr>
        <w:t>Super de minimis</w:t>
      </w:r>
      <w:r>
        <w:t xml:space="preserve">», que prevé un umbral más elevado —de 500 000 EUR— durante cualquier período de tres ejercicios fiscales). </w:t>
      </w:r>
    </w:p>
    <w:p w:rsidRPr="00DD35AB" w:rsidR="00CA0838" w:rsidP="00CA0838" w:rsidRDefault="00CA0838" w14:paraId="63F5D772" w14:textId="77777777">
      <w:pPr>
        <w:pStyle w:val="Heading2"/>
        <w:numPr>
          <w:ilvl w:val="0"/>
          <w:numId w:val="0"/>
        </w:numPr>
        <w:rPr>
          <w:lang w:val="it-IT"/>
        </w:rPr>
      </w:pPr>
    </w:p>
    <w:p w:rsidRPr="00DD35AB" w:rsidR="00CA0838" w:rsidP="00CA0838" w:rsidRDefault="00CA0838" w14:paraId="69571D6F" w14:textId="77777777">
      <w:pPr>
        <w:pStyle w:val="Heading2"/>
        <w:overflowPunct w:val="0"/>
        <w:autoSpaceDE w:val="0"/>
        <w:autoSpaceDN w:val="0"/>
        <w:adjustRightInd w:val="0"/>
        <w:textAlignment w:val="baseline"/>
      </w:pPr>
      <w:r>
        <w:t>A este respecto, sería muy útil que la Comisión creara un portal en el que se pudieran consultar ejemplos concretos de actos de atribución —que se consideren como legítimos y adecuadamente desarrollados por la Dirección General de Competencia de la Comisión— relativos a los diferentes tipos de servicios sanitarios y sociales. El intercambio de buenas prácticas entre los Estados miembros con tradiciones jurídicas comunes también podría ser muy útil a este respecto, fomentando un uso más eficaz de los márgenes discrecionales que el Protocolo n.º 26 del TFUE reconoce a las administraciones nacionales a la hora de establecer y aplicar los SIEG a nivel local.</w:t>
      </w:r>
    </w:p>
    <w:p w:rsidRPr="00DD35AB" w:rsidR="00CA0838" w:rsidP="00CA0838" w:rsidRDefault="00CA0838" w14:paraId="4E11102D" w14:textId="77777777">
      <w:pPr>
        <w:pStyle w:val="Heading2"/>
        <w:numPr>
          <w:ilvl w:val="0"/>
          <w:numId w:val="0"/>
        </w:numPr>
        <w:rPr>
          <w:lang w:val="it-IT"/>
        </w:rPr>
      </w:pPr>
    </w:p>
    <w:p w:rsidRPr="00DD35AB" w:rsidR="00CA0838" w:rsidP="00E05640" w:rsidRDefault="00CA0838" w14:paraId="7FA67AEA" w14:textId="77777777">
      <w:pPr>
        <w:pStyle w:val="Heading2"/>
        <w:keepNext/>
        <w:keepLines/>
        <w:overflowPunct w:val="0"/>
        <w:autoSpaceDE w:val="0"/>
        <w:autoSpaceDN w:val="0"/>
        <w:adjustRightInd w:val="0"/>
        <w:textAlignment w:val="baseline"/>
      </w:pPr>
      <w:r>
        <w:t xml:space="preserve">Como es sabido, la norma recogida en la Decisión n.º 21/2012 establece que las compensaciones que reciben los operadores a los que se hayan encomendado obligaciones de servicio público no pueden superar la cobertura de los costes, salvo un «beneficio razonable». Debería precisarse este concepto, con el fin de lograr un mayor grado de claridad respecto de tres aspectos diferentes: </w:t>
      </w:r>
      <w:r>
        <w:rPr>
          <w:b/>
        </w:rPr>
        <w:t>(i)</w:t>
      </w:r>
      <w:r>
        <w:t xml:space="preserve"> la determinación en la práctica del beneficio razonable en relación con el capital utilizado para prestar el servicio, teniendo en cuenta en el riesgo operativo; </w:t>
      </w:r>
      <w:r>
        <w:rPr>
          <w:b/>
        </w:rPr>
        <w:t>(ii)</w:t>
      </w:r>
      <w:r>
        <w:t xml:space="preserve"> la determinación cuantitativa de los costes fijos y estructurales que pueden incluirse en los costes de gestión de los SIEG; y </w:t>
      </w:r>
      <w:r>
        <w:rPr>
          <w:b/>
        </w:rPr>
        <w:t>(iii)</w:t>
      </w:r>
      <w:r>
        <w:t xml:space="preserve"> el grado de valorización del carácter distintivo de los servicios y los modelos organizativos típicos de las entidades de la economía social cuando gestionan y ejecutan servicios de interés económico general.</w:t>
      </w:r>
    </w:p>
    <w:p w:rsidRPr="00DD35AB" w:rsidR="00CA0838" w:rsidP="00CA0838" w:rsidRDefault="00CA0838" w14:paraId="30C66AC7" w14:textId="77777777">
      <w:pPr>
        <w:rPr>
          <w:lang w:val="it-IT"/>
        </w:rPr>
      </w:pPr>
    </w:p>
    <w:p w:rsidRPr="00DD35AB" w:rsidR="00CA0838" w:rsidP="00CA0838" w:rsidRDefault="00CA0838" w14:paraId="46FB333A" w14:textId="77777777">
      <w:pPr>
        <w:pStyle w:val="Heading2"/>
        <w:overflowPunct w:val="0"/>
        <w:autoSpaceDE w:val="0"/>
        <w:autoSpaceDN w:val="0"/>
        <w:adjustRightInd w:val="0"/>
        <w:textAlignment w:val="baseline"/>
      </w:pPr>
      <w:r>
        <w:t>El CESE señala que, a la hora de determinar el concepto de «beneficio razonable», deben tenerse en cuenta las características de la empresa beneficiaria, especialmente cuando dicha empresa reinvierta constantemente los beneficios en su propia actividad, acogiéndose a la categoría de entidad o empresa de la economía social.</w:t>
      </w:r>
    </w:p>
    <w:p w:rsidRPr="00DD35AB" w:rsidR="00CA0838" w:rsidP="00CA0838" w:rsidRDefault="00CA0838" w14:paraId="2DE9173B" w14:textId="77777777">
      <w:pPr>
        <w:pStyle w:val="Heading2"/>
        <w:numPr>
          <w:ilvl w:val="0"/>
          <w:numId w:val="0"/>
        </w:numPr>
        <w:rPr>
          <w:lang w:val="it-IT"/>
        </w:rPr>
      </w:pPr>
    </w:p>
    <w:p w:rsidRPr="00DD35AB" w:rsidR="00CA0838" w:rsidP="00CA0838" w:rsidRDefault="00CA0838" w14:paraId="622D0022" w14:textId="77777777">
      <w:pPr>
        <w:pStyle w:val="Heading2"/>
        <w:overflowPunct w:val="0"/>
        <w:autoSpaceDE w:val="0"/>
        <w:autoSpaceDN w:val="0"/>
        <w:adjustRightInd w:val="0"/>
        <w:textAlignment w:val="baseline"/>
      </w:pPr>
      <w:r>
        <w:t xml:space="preserve">El CESE considera que los servicios sociales y sanitarios deberían beneficiarse de un límite máximo </w:t>
      </w:r>
      <w:r>
        <w:rPr>
          <w:i/>
        </w:rPr>
        <w:t>de minimis</w:t>
      </w:r>
      <w:r>
        <w:t xml:space="preserve"> a lo largo de tres ejercicios fiscales, incrementado y diferente del garantizado a los SIEG en virtud del Reglamento n.º 360/2012 (500 000 EUR), como se demuestra claramente en la consulta pública llevada a cabo por la Comisión. Este aumento se justifica por el papel de interés público y general de los servicios sociales y sanitarios, así como por el limitado impacto de estas actividades en la competencia y el comercio entre los Estados miembros. El aumento del umbral </w:t>
      </w:r>
      <w:r>
        <w:rPr>
          <w:i/>
        </w:rPr>
        <w:t>de minimis</w:t>
      </w:r>
      <w:r>
        <w:t xml:space="preserve"> para los servicios sociales y sanitarios ofrecería más flexibilidad para la aplicación del Reglamento (CE) n.º 360/2012, haciendo más accesible el uso de dicho Reglamento y de sus formas simplificadas. </w:t>
      </w:r>
    </w:p>
    <w:p w:rsidRPr="00DD35AB" w:rsidR="00CA0838" w:rsidP="00CA0838" w:rsidRDefault="00CA0838" w14:paraId="736B000D" w14:textId="77777777">
      <w:pPr>
        <w:pStyle w:val="Heading2"/>
        <w:numPr>
          <w:ilvl w:val="0"/>
          <w:numId w:val="0"/>
        </w:numPr>
        <w:rPr>
          <w:lang w:val="it-IT"/>
        </w:rPr>
      </w:pPr>
    </w:p>
    <w:p w:rsidRPr="00DD35AB" w:rsidR="00CA0838" w:rsidP="00CA0838" w:rsidRDefault="00CA0838" w14:paraId="6AEDDB8C" w14:textId="77777777">
      <w:pPr>
        <w:pStyle w:val="Heading2"/>
        <w:overflowPunct w:val="0"/>
        <w:autoSpaceDE w:val="0"/>
        <w:autoSpaceDN w:val="0"/>
        <w:adjustRightInd w:val="0"/>
        <w:textAlignment w:val="baseline"/>
      </w:pPr>
      <w:r>
        <w:t xml:space="preserve">El papel de los servicios sociales y sanitarios en términos de la cohesión social justificaría un aumento del límite máximo con la triple ventaja de: </w:t>
      </w:r>
      <w:r>
        <w:rPr>
          <w:b/>
        </w:rPr>
        <w:t>i)</w:t>
      </w:r>
      <w:r>
        <w:t xml:space="preserve"> permitir aumentar la ayuda en el marco simplificado y más rápido de la ayuda </w:t>
      </w:r>
      <w:r>
        <w:rPr>
          <w:i/>
        </w:rPr>
        <w:t>de minimis</w:t>
      </w:r>
      <w:r>
        <w:t xml:space="preserve">; </w:t>
      </w:r>
      <w:r>
        <w:rPr>
          <w:b/>
        </w:rPr>
        <w:t>ii)</w:t>
      </w:r>
      <w:r>
        <w:t xml:space="preserve"> tener en cuenta el retorno de la inflación a nivel macroeconómico, que sugeriría revisiones periódicas más cercanas del límite máximo durante tres ejercicios fiscales; y </w:t>
      </w:r>
      <w:r>
        <w:rPr>
          <w:b/>
        </w:rPr>
        <w:t>iii)</w:t>
      </w:r>
      <w:r>
        <w:t xml:space="preserve"> reconocer el papel subsidiario que desempeñan muchas entidades de la economía social. </w:t>
      </w:r>
    </w:p>
    <w:p w:rsidRPr="00DD35AB" w:rsidR="00CA0838" w:rsidP="00CA0838" w:rsidRDefault="00CA0838" w14:paraId="420C6832" w14:textId="77777777">
      <w:pPr>
        <w:rPr>
          <w:lang w:val="it-IT"/>
        </w:rPr>
      </w:pPr>
    </w:p>
    <w:p w:rsidRPr="00DD35AB" w:rsidR="00CA0838" w:rsidP="00CA0838" w:rsidRDefault="00CA0838" w14:paraId="71061403" w14:textId="77777777">
      <w:pPr>
        <w:pStyle w:val="Heading2"/>
        <w:overflowPunct w:val="0"/>
        <w:autoSpaceDE w:val="0"/>
        <w:autoSpaceDN w:val="0"/>
        <w:adjustRightInd w:val="0"/>
        <w:textAlignment w:val="baseline"/>
      </w:pPr>
      <w:r>
        <w:t>El CESE reconoce la importancia y el papel de las pymes y las empresas privadas que participan en la gestión de los SIEG sociales y sanitarios sobre la base de licitaciones que organizan los entes locales. Por lo tanto, la recogida y la difusión de datos e información por parte de las administraciones nacionales sobre los procedimientos de selección de los proveedores de servicios, la compensación concedida y el rendimiento obtenido también podrían proporcionar orientaciones útiles.</w:t>
      </w:r>
    </w:p>
    <w:p w:rsidRPr="00DD35AB" w:rsidR="00CA0838" w:rsidP="00CA0838" w:rsidRDefault="00CA0838" w14:paraId="113AACBB" w14:textId="77777777">
      <w:pPr>
        <w:pStyle w:val="Heading2"/>
        <w:numPr>
          <w:ilvl w:val="0"/>
          <w:numId w:val="0"/>
        </w:numPr>
        <w:rPr>
          <w:lang w:val="it-IT"/>
        </w:rPr>
      </w:pPr>
    </w:p>
    <w:p w:rsidRPr="00DD35AB" w:rsidR="00CA0838" w:rsidP="00E05640" w:rsidRDefault="00CA0838" w14:paraId="13013C4E" w14:textId="77777777">
      <w:pPr>
        <w:pStyle w:val="Heading2"/>
        <w:keepNext/>
        <w:keepLines/>
        <w:overflowPunct w:val="0"/>
        <w:autoSpaceDE w:val="0"/>
        <w:autoSpaceDN w:val="0"/>
        <w:adjustRightInd w:val="0"/>
        <w:textAlignment w:val="baseline"/>
      </w:pPr>
      <w:r>
        <w:t>Por último, el CESE señala que, como reconoce la Comisión en su plan de acción para la economía social</w:t>
      </w:r>
      <w:r w:rsidRPr="00A43D2C">
        <w:rPr>
          <w:rStyle w:val="FootnoteReference"/>
        </w:rPr>
        <w:footnoteReference w:id="6"/>
      </w:r>
      <w:r>
        <w:t>, el ámbito de los servicios sociales y sanitarios también podría recibir un apoyo indirecto si se facilitara el acceso de las organizaciones de la economía social, muy activas en estos sectores, a las medidas de apoyo a la financiación y al crédito, además de ofrecerse incentivos específicos para el empleo de trabajadores desfavorecidos o con discapacidad con arreglo al Reglamento general de exención en materia de ayudas estatales. A este respecto, sería muy útil una normativa europea clara y flexible que permita una acumulación y una combinación razonables de diferentes medidas de incentivos en relación con las mismas actividades.</w:t>
      </w:r>
    </w:p>
    <w:p w:rsidRPr="00DD35AB" w:rsidR="00CA0838" w:rsidP="00E05640" w:rsidRDefault="00CA0838" w14:paraId="317342EB" w14:textId="77777777">
      <w:pPr>
        <w:keepNext/>
        <w:keepLines/>
        <w:rPr>
          <w:lang w:val="it-IT"/>
        </w:rPr>
      </w:pPr>
    </w:p>
    <w:p w:rsidRPr="00DD35AB" w:rsidR="00CA0838" w:rsidP="00E05640" w:rsidRDefault="00CA0838" w14:paraId="2DDB0F42" w14:textId="2A92ECEE">
      <w:pPr>
        <w:keepNext/>
        <w:keepLines/>
      </w:pPr>
      <w:r>
        <w:t>Bruselas, 19 de mayo de 2022</w:t>
      </w:r>
    </w:p>
    <w:p w:rsidRPr="00DD35AB" w:rsidR="00CA0838" w:rsidP="00E05640" w:rsidRDefault="00CA0838" w14:paraId="47E5214E" w14:textId="77777777">
      <w:pPr>
        <w:keepNext/>
        <w:keepLines/>
        <w:rPr>
          <w:lang w:val="it-IT"/>
        </w:rPr>
      </w:pPr>
    </w:p>
    <w:p w:rsidRPr="00DD35AB" w:rsidR="00CA0838" w:rsidP="00E05640" w:rsidRDefault="00CA0838" w14:paraId="3C3B8E5E" w14:textId="77777777">
      <w:pPr>
        <w:keepNext/>
        <w:keepLines/>
        <w:rPr>
          <w:lang w:val="it-IT"/>
        </w:rPr>
      </w:pPr>
    </w:p>
    <w:p w:rsidR="00CA0838" w:rsidP="00E05640" w:rsidRDefault="00CA0838" w14:paraId="29589DB6" w14:textId="143086C2">
      <w:pPr>
        <w:keepNext/>
        <w:keepLines/>
        <w:rPr>
          <w:lang w:val="it-IT"/>
        </w:rPr>
      </w:pPr>
    </w:p>
    <w:p w:rsidRPr="00DD35AB" w:rsidR="00E05640" w:rsidP="00E05640" w:rsidRDefault="00E05640" w14:paraId="24AE8D6E" w14:textId="77777777">
      <w:pPr>
        <w:keepNext/>
        <w:keepLines/>
        <w:rPr>
          <w:lang w:val="it-IT"/>
        </w:rPr>
      </w:pPr>
    </w:p>
    <w:p w:rsidRPr="00340D01" w:rsidR="00E2376B" w:rsidP="00E05640" w:rsidRDefault="00340D01" w14:paraId="47A71AF2" w14:textId="5331C7AC">
      <w:pPr>
        <w:keepNext/>
        <w:keepLines/>
        <w:jc w:val="left"/>
      </w:pPr>
      <w:r>
        <w:t xml:space="preserve">Christa Schweng </w:t>
      </w:r>
      <w:r>
        <w:br/>
        <w:t>Presidenta del Comité Económico y Social Europeo</w:t>
      </w:r>
    </w:p>
    <w:p w:rsidRPr="00655522" w:rsidR="00F53370" w:rsidP="00E05640" w:rsidRDefault="00E2376B" w14:paraId="4BAC3CAF" w14:textId="77777777">
      <w:pPr>
        <w:keepNext/>
        <w:keepLines/>
        <w:jc w:val="center"/>
      </w:pPr>
      <w:r>
        <w:t>_____________</w:t>
      </w:r>
    </w:p>
    <w:sectPr w:rsidRPr="00655522" w:rsidR="00F53370" w:rsidSect="001E74A1">
      <w:headerReference w:type="default" r:id="rId25"/>
      <w:footerReference w:type="default" r:id="rId26"/>
      <w:pgSz w:w="11907" w:h="16839" w:code="9"/>
      <w:pgMar w:top="1418" w:right="1418" w:bottom="1418"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632FA2" w14:textId="77777777" w:rsidR="00AB508B" w:rsidRDefault="00AB508B" w:rsidP="00F53370">
      <w:pPr>
        <w:spacing w:line="240" w:lineRule="auto"/>
      </w:pPr>
      <w:r>
        <w:separator/>
      </w:r>
    </w:p>
  </w:endnote>
  <w:endnote w:type="continuationSeparator" w:id="0">
    <w:p w14:paraId="77005822" w14:textId="77777777" w:rsidR="00AB508B" w:rsidRDefault="00AB508B" w:rsidP="00F53370">
      <w:pPr>
        <w:spacing w:line="240" w:lineRule="auto"/>
      </w:pPr>
      <w:r>
        <w:continuationSeparator/>
      </w:r>
    </w:p>
  </w:endnote>
  <w:endnote w:type="continuationNotice" w:id="1">
    <w:p w14:paraId="75740C82" w14:textId="77777777" w:rsidR="00AB508B" w:rsidRDefault="00AB508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F24DE" w14:textId="77777777" w:rsidR="003849BE" w:rsidRDefault="003849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39E41" w14:textId="77777777" w:rsidR="003849BE" w:rsidRDefault="003849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106F9" w14:textId="77777777" w:rsidR="003849BE" w:rsidRDefault="003849B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D01EE" w14:textId="77777777" w:rsidR="00574C9B" w:rsidRDefault="00574C9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AC9FA" w14:textId="15C3EE9D" w:rsidR="0084105C" w:rsidRPr="003065C9" w:rsidRDefault="003849BE" w:rsidP="003849BE">
    <w:pPr>
      <w:pStyle w:val="Footer"/>
      <w:jc w:val="left"/>
    </w:pPr>
    <w:r>
      <w:t xml:space="preserve">INT/981 – EESC-2022-00394-00-01-AC-TRA (IT) </w:t>
    </w:r>
    <w:r>
      <w:fldChar w:fldCharType="begin"/>
    </w:r>
    <w:r>
      <w:instrText xml:space="preserve"> PAGE  \* Arabic  \* MERGEFORMAT </w:instrText>
    </w:r>
    <w:r>
      <w:fldChar w:fldCharType="separate"/>
    </w:r>
    <w:r w:rsidR="00FC7344">
      <w:rPr>
        <w:noProof/>
      </w:rPr>
      <w:t>1</w:t>
    </w:r>
    <w:r>
      <w:fldChar w:fldCharType="end"/>
    </w:r>
    <w:r>
      <w:t>/</w:t>
    </w:r>
    <w:r>
      <w:fldChar w:fldCharType="begin"/>
    </w:r>
    <w:r>
      <w:instrText xml:space="preserve"> = </w:instrText>
    </w:r>
    <w:fldSimple w:instr=" NUMPAGES ">
      <w:r w:rsidR="00FC7344">
        <w:rPr>
          <w:noProof/>
        </w:rPr>
        <w:instrText>9</w:instrText>
      </w:r>
    </w:fldSimple>
    <w:r>
      <w:instrText xml:space="preserve"> - 2 </w:instrText>
    </w:r>
    <w:r>
      <w:fldChar w:fldCharType="separate"/>
    </w:r>
    <w:r w:rsidR="00FC7344">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733A85" w14:textId="77777777" w:rsidR="00AB508B" w:rsidRDefault="00AB508B" w:rsidP="00F53370">
      <w:pPr>
        <w:spacing w:line="240" w:lineRule="auto"/>
      </w:pPr>
      <w:r>
        <w:separator/>
      </w:r>
    </w:p>
  </w:footnote>
  <w:footnote w:type="continuationSeparator" w:id="0">
    <w:p w14:paraId="2360DFF3" w14:textId="77777777" w:rsidR="00AB508B" w:rsidRDefault="00AB508B" w:rsidP="00F53370">
      <w:pPr>
        <w:spacing w:line="240" w:lineRule="auto"/>
      </w:pPr>
      <w:r>
        <w:continuationSeparator/>
      </w:r>
    </w:p>
  </w:footnote>
  <w:footnote w:type="continuationNotice" w:id="1">
    <w:p w14:paraId="7700AFBE" w14:textId="77777777" w:rsidR="00AB508B" w:rsidRDefault="00AB508B">
      <w:pPr>
        <w:spacing w:line="240" w:lineRule="auto"/>
      </w:pPr>
    </w:p>
  </w:footnote>
  <w:footnote w:id="2">
    <w:p w14:paraId="0C3176C9" w14:textId="77777777" w:rsidR="00CA0838" w:rsidRPr="00DD35AB" w:rsidRDefault="00CA0838" w:rsidP="00CA0838">
      <w:pPr>
        <w:pStyle w:val="FootnoteText"/>
      </w:pPr>
      <w:r>
        <w:rPr>
          <w:rStyle w:val="FootnoteReference"/>
        </w:rPr>
        <w:footnoteRef/>
      </w:r>
      <w:r>
        <w:tab/>
        <w:t>ARES-2019-3858696.</w:t>
      </w:r>
    </w:p>
  </w:footnote>
  <w:footnote w:id="3">
    <w:p w14:paraId="60A6AD0C" w14:textId="77777777" w:rsidR="00CA0838" w:rsidRPr="00DD35AB" w:rsidRDefault="00CA0838" w:rsidP="00CA0838">
      <w:pPr>
        <w:pStyle w:val="FootnoteText"/>
      </w:pPr>
      <w:r>
        <w:rPr>
          <w:rStyle w:val="FootnoteReference"/>
        </w:rPr>
        <w:footnoteRef/>
      </w:r>
      <w:r>
        <w:tab/>
      </w:r>
      <w:hyperlink r:id="rId1" w:history="1">
        <w:r>
          <w:rPr>
            <w:rStyle w:val="Hyperlink"/>
          </w:rPr>
          <w:t>DO C 8 de 11.1.2012,</w:t>
        </w:r>
        <w:r>
          <w:rPr>
            <w:rStyle w:val="Hyperlink"/>
          </w:rPr>
          <w:t xml:space="preserve"> </w:t>
        </w:r>
        <w:r>
          <w:rPr>
            <w:rStyle w:val="Hyperlink"/>
          </w:rPr>
          <w:t>p. 4</w:t>
        </w:r>
      </w:hyperlink>
      <w:r>
        <w:t>.</w:t>
      </w:r>
    </w:p>
  </w:footnote>
  <w:footnote w:id="4">
    <w:p w14:paraId="75498FC1" w14:textId="77777777" w:rsidR="00CA0838" w:rsidRPr="00DD35AB" w:rsidRDefault="00CA0838" w:rsidP="00CA0838">
      <w:pPr>
        <w:pStyle w:val="FootnoteText"/>
      </w:pPr>
      <w:r>
        <w:rPr>
          <w:rStyle w:val="FootnoteReference"/>
        </w:rPr>
        <w:footnoteRef/>
      </w:r>
      <w:r>
        <w:tab/>
      </w:r>
      <w:hyperlink r:id="rId2" w:history="1">
        <w:r>
          <w:rPr>
            <w:rStyle w:val="Hyperlink"/>
          </w:rPr>
          <w:t xml:space="preserve">DO C 8 de 11.1.2012, </w:t>
        </w:r>
        <w:r>
          <w:rPr>
            <w:rStyle w:val="Hyperlink"/>
          </w:rPr>
          <w:t>p</w:t>
        </w:r>
        <w:r>
          <w:rPr>
            <w:rStyle w:val="Hyperlink"/>
          </w:rPr>
          <w:t>. 15</w:t>
        </w:r>
      </w:hyperlink>
      <w:r>
        <w:t>.</w:t>
      </w:r>
    </w:p>
  </w:footnote>
  <w:footnote w:id="5">
    <w:p w14:paraId="221CDC9F" w14:textId="77777777" w:rsidR="00CA0838" w:rsidRPr="00DD35AB" w:rsidRDefault="00CA0838" w:rsidP="00CA0838">
      <w:pPr>
        <w:pStyle w:val="FootnoteText"/>
      </w:pPr>
      <w:r>
        <w:rPr>
          <w:rStyle w:val="FootnoteReference"/>
        </w:rPr>
        <w:footnoteRef/>
      </w:r>
      <w:r>
        <w:tab/>
        <w:t>ARES-2019-3858696.</w:t>
      </w:r>
    </w:p>
  </w:footnote>
  <w:footnote w:id="6">
    <w:p w14:paraId="48487CD4" w14:textId="77777777" w:rsidR="00CA0838" w:rsidRPr="00ED0497" w:rsidRDefault="00CA0838" w:rsidP="00CA0838">
      <w:pPr>
        <w:pStyle w:val="FootnoteText"/>
      </w:pPr>
      <w:r>
        <w:rPr>
          <w:rStyle w:val="FootnoteReference"/>
        </w:rPr>
        <w:footnoteRef/>
      </w:r>
      <w:r>
        <w:t xml:space="preserve"> </w:t>
      </w:r>
      <w:r>
        <w:tab/>
        <w:t>COM(2021) 778 final.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A4AEC" w14:textId="77777777" w:rsidR="00574C9B" w:rsidRDefault="001E282D">
    <w:pPr>
      <w:pStyle w:val="Header"/>
    </w:pPr>
    <w:r>
      <w:pict w14:anchorId="53F291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4" o:spid="_x0000_s2055" type="#_x0000_t75" style="position:absolute;left:0;text-align:left;margin-left:0;margin-top:0;width:598.15pt;height:843.9pt;z-index:-251655168;mso-position-horizontal:center;mso-position-horizontal-relative:margin;mso-position-vertical:center;mso-position-vertical-relative:margin" o:allowincell="f">
          <v:imagedata r:id="rId1" o:title="background watermark with foo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D80" w14:textId="068DC3BD" w:rsidR="00574C9B" w:rsidRDefault="00A734CE">
    <w:pPr>
      <w:pStyle w:val="Header"/>
    </w:pPr>
    <w:r>
      <w:rPr>
        <w:noProof/>
        <w:lang w:val="en-US"/>
      </w:rPr>
      <w:drawing>
        <wp:anchor distT="0" distB="0" distL="114300" distR="114300" simplePos="0" relativeHeight="251665408" behindDoc="0" locked="0" layoutInCell="1" allowOverlap="1" wp14:anchorId="38A70DEC" wp14:editId="7F193EDE">
          <wp:simplePos x="0" y="0"/>
          <wp:positionH relativeFrom="page">
            <wp:align>center</wp:align>
          </wp:positionH>
          <wp:positionV relativeFrom="page">
            <wp:posOffset>288290</wp:posOffset>
          </wp:positionV>
          <wp:extent cx="6944360" cy="3343275"/>
          <wp:effectExtent l="0" t="0" r="8890" b="9525"/>
          <wp:wrapNone/>
          <wp:docPr id="1" name="Picture 1" title="EESCLogo2021_ES"/>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944360" cy="3343275"/>
                  </a:xfrm>
                  <a:prstGeom prst="rect">
                    <a:avLst/>
                  </a:prstGeom>
                </pic:spPr>
              </pic:pic>
            </a:graphicData>
          </a:graphic>
          <wp14:sizeRelH relativeFrom="margin">
            <wp14:pctWidth>0</wp14:pctWidth>
          </wp14:sizeRelH>
          <wp14:sizeRelV relativeFrom="margin">
            <wp14:pctHeight>0</wp14:pctHeight>
          </wp14:sizeRelV>
        </wp:anchor>
      </w:drawing>
    </w:r>
    <w:r w:rsidR="001E282D">
      <w:pict w14:anchorId="587F08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5" o:spid="_x0000_s2056" type="#_x0000_t75" style="position:absolute;left:0;text-align:left;margin-left:0;margin-top:0;width:598.15pt;height:843.9pt;z-index:-251654144;mso-position-horizontal:center;mso-position-horizontal-relative:page;mso-position-vertical:center;mso-position-vertical-relative:page" o:allowincell="f">
          <v:imagedata r:id="rId2" o:title="background watermark with footer"/>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E7234" w14:textId="77777777" w:rsidR="00574C9B" w:rsidRDefault="001E282D">
    <w:pPr>
      <w:pStyle w:val="Header"/>
    </w:pPr>
    <w:r>
      <w:pict w14:anchorId="1C80D8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3" o:spid="_x0000_s2054" type="#_x0000_t75" style="position:absolute;left:0;text-align:left;margin-left:0;margin-top:0;width:598.15pt;height:843.9pt;z-index:-251656192;mso-position-horizontal:center;mso-position-horizontal-relative:margin;mso-position-vertical:center;mso-position-vertical-relative:margin" o:allowincell="f">
          <v:imagedata r:id="rId1" o:title="background watermark with foote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913D4" w14:textId="77777777" w:rsidR="00574C9B" w:rsidRDefault="001E282D">
    <w:pPr>
      <w:pStyle w:val="Header"/>
    </w:pPr>
    <w:r>
      <w:pict w14:anchorId="1608B7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7" o:spid="_x0000_s2058" type="#_x0000_t75" style="position:absolute;left:0;text-align:left;margin-left:0;margin-top:0;width:598.15pt;height:843.9pt;z-index:-251652096;mso-position-horizontal:center;mso-position-horizontal-relative:margin;mso-position-vertical:center;mso-position-vertical-relative:margin" o:allowincell="f">
          <v:imagedata r:id="rId1" o:title="background watermark with foote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27F27" w14:textId="77777777" w:rsidR="00574C9B" w:rsidRDefault="00574C9B">
    <w:pPr>
      <w:pStyle w:val="Header"/>
    </w:pPr>
    <w:r>
      <w:rPr>
        <w:noProof/>
        <w:lang w:val="en-US"/>
      </w:rPr>
      <w:drawing>
        <wp:anchor distT="0" distB="0" distL="114300" distR="114300" simplePos="0" relativeHeight="251658752" behindDoc="1" locked="0" layoutInCell="1" allowOverlap="1" wp14:anchorId="6776D96A" wp14:editId="557FA9FF">
          <wp:simplePos x="0" y="0"/>
          <wp:positionH relativeFrom="page">
            <wp:posOffset>-10571</wp:posOffset>
          </wp:positionH>
          <wp:positionV relativeFrom="page">
            <wp:posOffset>-221993</wp:posOffset>
          </wp:positionV>
          <wp:extent cx="7581265" cy="10898802"/>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ground (footer) recto.png"/>
                  <pic:cNvPicPr/>
                </pic:nvPicPr>
                <pic:blipFill>
                  <a:blip r:embed="rId1">
                    <a:extLst>
                      <a:ext uri="{28A0092B-C50C-407E-A947-70E740481C1C}">
                        <a14:useLocalDpi xmlns:a14="http://schemas.microsoft.com/office/drawing/2010/main" val="0"/>
                      </a:ext>
                    </a:extLst>
                  </a:blip>
                  <a:stretch>
                    <a:fillRect/>
                  </a:stretch>
                </pic:blipFill>
                <pic:spPr>
                  <a:xfrm>
                    <a:off x="0" y="0"/>
                    <a:ext cx="7585107" cy="10904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D4E80" w14:textId="77777777" w:rsidR="00574C9B" w:rsidRDefault="001E282D">
    <w:pPr>
      <w:pStyle w:val="Header"/>
    </w:pPr>
    <w:r>
      <w:pict w14:anchorId="1DA98A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6" o:spid="_x0000_s2057" type="#_x0000_t75" style="position:absolute;left:0;text-align:left;margin-left:0;margin-top:0;width:598.15pt;height:843.9pt;z-index:-251653120;mso-position-horizontal:center;mso-position-horizontal-relative:margin;mso-position-vertical:center;mso-position-vertical-relative:margin" o:allowincell="f">
          <v:imagedata r:id="rId1" o:title="background watermark with footer"/>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6D7D6" w14:textId="77777777" w:rsidR="00FA08F8" w:rsidRDefault="001E28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2DDCE010"/>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111B6975"/>
    <w:multiLevelType w:val="hybridMultilevel"/>
    <w:tmpl w:val="DD1AC474"/>
    <w:lvl w:ilvl="0" w:tplc="62E0AE9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9"/>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370"/>
    <w:rsid w:val="00010F60"/>
    <w:rsid w:val="00020389"/>
    <w:rsid w:val="00041D86"/>
    <w:rsid w:val="00053D00"/>
    <w:rsid w:val="000938BE"/>
    <w:rsid w:val="000A0F3B"/>
    <w:rsid w:val="001171DC"/>
    <w:rsid w:val="0019231D"/>
    <w:rsid w:val="001A53AA"/>
    <w:rsid w:val="001C15BE"/>
    <w:rsid w:val="001D31C4"/>
    <w:rsid w:val="001D61AC"/>
    <w:rsid w:val="001E15AA"/>
    <w:rsid w:val="001E282D"/>
    <w:rsid w:val="001E5A1E"/>
    <w:rsid w:val="00214BDC"/>
    <w:rsid w:val="00215E81"/>
    <w:rsid w:val="0024727F"/>
    <w:rsid w:val="0027531C"/>
    <w:rsid w:val="002B0D40"/>
    <w:rsid w:val="002B6A7B"/>
    <w:rsid w:val="003353D7"/>
    <w:rsid w:val="0033696A"/>
    <w:rsid w:val="00340D01"/>
    <w:rsid w:val="003659F9"/>
    <w:rsid w:val="003849BE"/>
    <w:rsid w:val="003B73FD"/>
    <w:rsid w:val="004B2829"/>
    <w:rsid w:val="004E3EEE"/>
    <w:rsid w:val="0050019B"/>
    <w:rsid w:val="00550048"/>
    <w:rsid w:val="00574C9B"/>
    <w:rsid w:val="0058411F"/>
    <w:rsid w:val="0059368A"/>
    <w:rsid w:val="005A464B"/>
    <w:rsid w:val="005D7FA5"/>
    <w:rsid w:val="005E1A2F"/>
    <w:rsid w:val="005F66F0"/>
    <w:rsid w:val="006125A1"/>
    <w:rsid w:val="006351E9"/>
    <w:rsid w:val="00642BD2"/>
    <w:rsid w:val="00653E7D"/>
    <w:rsid w:val="00655522"/>
    <w:rsid w:val="00662207"/>
    <w:rsid w:val="00667F09"/>
    <w:rsid w:val="006B57A6"/>
    <w:rsid w:val="006F4B9E"/>
    <w:rsid w:val="00725BDE"/>
    <w:rsid w:val="00764A52"/>
    <w:rsid w:val="00785FAA"/>
    <w:rsid w:val="00787837"/>
    <w:rsid w:val="00787ABB"/>
    <w:rsid w:val="007A35FE"/>
    <w:rsid w:val="007B1705"/>
    <w:rsid w:val="007D390E"/>
    <w:rsid w:val="007F7AC4"/>
    <w:rsid w:val="00822952"/>
    <w:rsid w:val="00836505"/>
    <w:rsid w:val="00844B87"/>
    <w:rsid w:val="00874F30"/>
    <w:rsid w:val="0089053D"/>
    <w:rsid w:val="008A6DD4"/>
    <w:rsid w:val="008F74D7"/>
    <w:rsid w:val="00904C42"/>
    <w:rsid w:val="00924C05"/>
    <w:rsid w:val="00937CF2"/>
    <w:rsid w:val="00970C8E"/>
    <w:rsid w:val="00974789"/>
    <w:rsid w:val="00976645"/>
    <w:rsid w:val="0098228C"/>
    <w:rsid w:val="009E734E"/>
    <w:rsid w:val="00A154FC"/>
    <w:rsid w:val="00A21B0D"/>
    <w:rsid w:val="00A36AB0"/>
    <w:rsid w:val="00A43D2C"/>
    <w:rsid w:val="00A6288B"/>
    <w:rsid w:val="00A72DC3"/>
    <w:rsid w:val="00A734CE"/>
    <w:rsid w:val="00AB37A3"/>
    <w:rsid w:val="00AB508B"/>
    <w:rsid w:val="00AC5114"/>
    <w:rsid w:val="00B51901"/>
    <w:rsid w:val="00BA4AED"/>
    <w:rsid w:val="00C00A0F"/>
    <w:rsid w:val="00C073E1"/>
    <w:rsid w:val="00C16EE2"/>
    <w:rsid w:val="00C2263D"/>
    <w:rsid w:val="00C66AEA"/>
    <w:rsid w:val="00C67345"/>
    <w:rsid w:val="00C81073"/>
    <w:rsid w:val="00C9040A"/>
    <w:rsid w:val="00C91E4D"/>
    <w:rsid w:val="00CA0838"/>
    <w:rsid w:val="00CB110A"/>
    <w:rsid w:val="00CF191E"/>
    <w:rsid w:val="00D25117"/>
    <w:rsid w:val="00D37CE6"/>
    <w:rsid w:val="00D472B6"/>
    <w:rsid w:val="00D53283"/>
    <w:rsid w:val="00D65112"/>
    <w:rsid w:val="00D65D90"/>
    <w:rsid w:val="00D95232"/>
    <w:rsid w:val="00DB7F50"/>
    <w:rsid w:val="00DD35AB"/>
    <w:rsid w:val="00DE30C7"/>
    <w:rsid w:val="00DF400F"/>
    <w:rsid w:val="00E05640"/>
    <w:rsid w:val="00E05C8D"/>
    <w:rsid w:val="00E15BF4"/>
    <w:rsid w:val="00E2376B"/>
    <w:rsid w:val="00E27707"/>
    <w:rsid w:val="00E30379"/>
    <w:rsid w:val="00E661B7"/>
    <w:rsid w:val="00E66646"/>
    <w:rsid w:val="00F14F6C"/>
    <w:rsid w:val="00F2069F"/>
    <w:rsid w:val="00F53370"/>
    <w:rsid w:val="00F630B5"/>
    <w:rsid w:val="00F90BE2"/>
    <w:rsid w:val="00FC73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1D98ECFA"/>
  <w15:chartTrackingRefBased/>
  <w15:docId w15:val="{D381F634-0C15-4454-8DBD-75C4E885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C9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F53370"/>
    <w:pPr>
      <w:numPr>
        <w:numId w:val="1"/>
      </w:numPr>
      <w:ind w:left="567" w:hanging="567"/>
      <w:outlineLvl w:val="0"/>
    </w:pPr>
    <w:rPr>
      <w:kern w:val="28"/>
    </w:rPr>
  </w:style>
  <w:style w:type="paragraph" w:styleId="Heading2">
    <w:name w:val="heading 2"/>
    <w:basedOn w:val="Normal"/>
    <w:next w:val="Normal"/>
    <w:link w:val="Heading2Char"/>
    <w:qFormat/>
    <w:rsid w:val="00F53370"/>
    <w:pPr>
      <w:numPr>
        <w:ilvl w:val="1"/>
        <w:numId w:val="1"/>
      </w:numPr>
      <w:ind w:left="567" w:hanging="567"/>
      <w:outlineLvl w:val="1"/>
    </w:pPr>
  </w:style>
  <w:style w:type="paragraph" w:styleId="Heading3">
    <w:name w:val="heading 3"/>
    <w:basedOn w:val="Normal"/>
    <w:next w:val="Normal"/>
    <w:link w:val="Heading3Char"/>
    <w:qFormat/>
    <w:rsid w:val="00F53370"/>
    <w:pPr>
      <w:numPr>
        <w:ilvl w:val="2"/>
        <w:numId w:val="1"/>
      </w:numPr>
      <w:ind w:left="567" w:hanging="567"/>
      <w:outlineLvl w:val="2"/>
    </w:pPr>
  </w:style>
  <w:style w:type="paragraph" w:styleId="Heading4">
    <w:name w:val="heading 4"/>
    <w:basedOn w:val="Normal"/>
    <w:next w:val="Normal"/>
    <w:link w:val="Heading4Char"/>
    <w:qFormat/>
    <w:rsid w:val="00F53370"/>
    <w:pPr>
      <w:numPr>
        <w:ilvl w:val="3"/>
        <w:numId w:val="1"/>
      </w:numPr>
      <w:ind w:left="567" w:hanging="567"/>
      <w:outlineLvl w:val="3"/>
    </w:pPr>
  </w:style>
  <w:style w:type="paragraph" w:styleId="Heading5">
    <w:name w:val="heading 5"/>
    <w:basedOn w:val="Normal"/>
    <w:next w:val="Normal"/>
    <w:link w:val="Heading5Char"/>
    <w:qFormat/>
    <w:rsid w:val="00F53370"/>
    <w:pPr>
      <w:numPr>
        <w:ilvl w:val="4"/>
        <w:numId w:val="1"/>
      </w:numPr>
      <w:ind w:left="567" w:hanging="567"/>
      <w:outlineLvl w:val="4"/>
    </w:pPr>
  </w:style>
  <w:style w:type="paragraph" w:styleId="Heading6">
    <w:name w:val="heading 6"/>
    <w:basedOn w:val="Normal"/>
    <w:next w:val="Normal"/>
    <w:link w:val="Heading6Char"/>
    <w:qFormat/>
    <w:rsid w:val="00F53370"/>
    <w:pPr>
      <w:numPr>
        <w:ilvl w:val="5"/>
        <w:numId w:val="1"/>
      </w:numPr>
      <w:ind w:left="567" w:hanging="567"/>
      <w:outlineLvl w:val="5"/>
    </w:pPr>
  </w:style>
  <w:style w:type="paragraph" w:styleId="Heading7">
    <w:name w:val="heading 7"/>
    <w:basedOn w:val="Normal"/>
    <w:next w:val="Normal"/>
    <w:link w:val="Heading7Char"/>
    <w:qFormat/>
    <w:rsid w:val="00F53370"/>
    <w:pPr>
      <w:numPr>
        <w:ilvl w:val="6"/>
        <w:numId w:val="1"/>
      </w:numPr>
      <w:ind w:left="567" w:hanging="567"/>
      <w:outlineLvl w:val="6"/>
    </w:pPr>
  </w:style>
  <w:style w:type="paragraph" w:styleId="Heading8">
    <w:name w:val="heading 8"/>
    <w:basedOn w:val="Normal"/>
    <w:next w:val="Normal"/>
    <w:link w:val="Heading8Char"/>
    <w:qFormat/>
    <w:rsid w:val="00F53370"/>
    <w:pPr>
      <w:numPr>
        <w:ilvl w:val="7"/>
        <w:numId w:val="1"/>
      </w:numPr>
      <w:ind w:left="567" w:hanging="567"/>
      <w:outlineLvl w:val="7"/>
    </w:pPr>
  </w:style>
  <w:style w:type="paragraph" w:styleId="Heading9">
    <w:name w:val="heading 9"/>
    <w:basedOn w:val="Normal"/>
    <w:next w:val="Normal"/>
    <w:link w:val="Heading9Char"/>
    <w:qFormat/>
    <w:rsid w:val="00F5337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3370"/>
    <w:rPr>
      <w:rFonts w:ascii="Times New Roman" w:eastAsia="Times New Roman" w:hAnsi="Times New Roman" w:cs="Times New Roman"/>
      <w:kern w:val="28"/>
    </w:rPr>
  </w:style>
  <w:style w:type="character" w:customStyle="1" w:styleId="Heading2Char">
    <w:name w:val="Heading 2 Char"/>
    <w:basedOn w:val="DefaultParagraphFont"/>
    <w:link w:val="Heading2"/>
    <w:rsid w:val="00F53370"/>
    <w:rPr>
      <w:rFonts w:ascii="Times New Roman" w:eastAsia="Times New Roman" w:hAnsi="Times New Roman" w:cs="Times New Roman"/>
    </w:rPr>
  </w:style>
  <w:style w:type="character" w:customStyle="1" w:styleId="Heading3Char">
    <w:name w:val="Heading 3 Char"/>
    <w:basedOn w:val="DefaultParagraphFont"/>
    <w:link w:val="Heading3"/>
    <w:rsid w:val="00F53370"/>
    <w:rPr>
      <w:rFonts w:ascii="Times New Roman" w:eastAsia="Times New Roman" w:hAnsi="Times New Roman" w:cs="Times New Roman"/>
    </w:rPr>
  </w:style>
  <w:style w:type="character" w:customStyle="1" w:styleId="Heading4Char">
    <w:name w:val="Heading 4 Char"/>
    <w:basedOn w:val="DefaultParagraphFont"/>
    <w:link w:val="Heading4"/>
    <w:rsid w:val="00F53370"/>
    <w:rPr>
      <w:rFonts w:ascii="Times New Roman" w:eastAsia="Times New Roman" w:hAnsi="Times New Roman" w:cs="Times New Roman"/>
    </w:rPr>
  </w:style>
  <w:style w:type="character" w:customStyle="1" w:styleId="Heading5Char">
    <w:name w:val="Heading 5 Char"/>
    <w:basedOn w:val="DefaultParagraphFont"/>
    <w:link w:val="Heading5"/>
    <w:rsid w:val="00F53370"/>
    <w:rPr>
      <w:rFonts w:ascii="Times New Roman" w:eastAsia="Times New Roman" w:hAnsi="Times New Roman" w:cs="Times New Roman"/>
    </w:rPr>
  </w:style>
  <w:style w:type="character" w:customStyle="1" w:styleId="Heading6Char">
    <w:name w:val="Heading 6 Char"/>
    <w:basedOn w:val="DefaultParagraphFont"/>
    <w:link w:val="Heading6"/>
    <w:rsid w:val="00F53370"/>
    <w:rPr>
      <w:rFonts w:ascii="Times New Roman" w:eastAsia="Times New Roman" w:hAnsi="Times New Roman" w:cs="Times New Roman"/>
    </w:rPr>
  </w:style>
  <w:style w:type="character" w:customStyle="1" w:styleId="Heading7Char">
    <w:name w:val="Heading 7 Char"/>
    <w:basedOn w:val="DefaultParagraphFont"/>
    <w:link w:val="Heading7"/>
    <w:rsid w:val="00F53370"/>
    <w:rPr>
      <w:rFonts w:ascii="Times New Roman" w:eastAsia="Times New Roman" w:hAnsi="Times New Roman" w:cs="Times New Roman"/>
    </w:rPr>
  </w:style>
  <w:style w:type="character" w:customStyle="1" w:styleId="Heading8Char">
    <w:name w:val="Heading 8 Char"/>
    <w:basedOn w:val="DefaultParagraphFont"/>
    <w:link w:val="Heading8"/>
    <w:rsid w:val="00F53370"/>
    <w:rPr>
      <w:rFonts w:ascii="Times New Roman" w:eastAsia="Times New Roman" w:hAnsi="Times New Roman" w:cs="Times New Roman"/>
    </w:rPr>
  </w:style>
  <w:style w:type="character" w:customStyle="1" w:styleId="Heading9Char">
    <w:name w:val="Heading 9 Char"/>
    <w:basedOn w:val="DefaultParagraphFont"/>
    <w:link w:val="Heading9"/>
    <w:rsid w:val="00F53370"/>
    <w:rPr>
      <w:rFonts w:ascii="Times New Roman" w:eastAsia="Times New Roman" w:hAnsi="Times New Roman" w:cs="Times New Roman"/>
    </w:rPr>
  </w:style>
  <w:style w:type="paragraph" w:styleId="Footer">
    <w:name w:val="footer"/>
    <w:basedOn w:val="Normal"/>
    <w:link w:val="FooterChar"/>
    <w:qFormat/>
    <w:rsid w:val="00F53370"/>
  </w:style>
  <w:style w:type="character" w:customStyle="1" w:styleId="FooterChar">
    <w:name w:val="Footer Char"/>
    <w:basedOn w:val="DefaultParagraphFont"/>
    <w:link w:val="Footer"/>
    <w:rsid w:val="00F53370"/>
    <w:rPr>
      <w:rFonts w:ascii="Times New Roman" w:eastAsia="Times New Roman" w:hAnsi="Times New Roman" w:cs="Times New Roman"/>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n"/>
    <w:basedOn w:val="Normal"/>
    <w:link w:val="FootnoteTextChar"/>
    <w:uiPriority w:val="99"/>
    <w:qFormat/>
    <w:rsid w:val="00F53370"/>
    <w:pPr>
      <w:keepLines/>
      <w:spacing w:after="60" w:line="240" w:lineRule="auto"/>
      <w:ind w:left="567" w:hanging="567"/>
    </w:pPr>
    <w:rPr>
      <w:sz w:val="16"/>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basedOn w:val="DefaultParagraphFont"/>
    <w:link w:val="FootnoteText"/>
    <w:uiPriority w:val="99"/>
    <w:rsid w:val="00F53370"/>
    <w:rPr>
      <w:rFonts w:ascii="Times New Roman" w:eastAsia="Times New Roman" w:hAnsi="Times New Roman" w:cs="Times New Roman"/>
      <w:sz w:val="16"/>
    </w:rPr>
  </w:style>
  <w:style w:type="paragraph" w:styleId="Header">
    <w:name w:val="header"/>
    <w:basedOn w:val="Normal"/>
    <w:link w:val="HeaderChar"/>
    <w:qFormat/>
    <w:rsid w:val="00F53370"/>
  </w:style>
  <w:style w:type="character" w:customStyle="1" w:styleId="HeaderChar">
    <w:name w:val="Header Char"/>
    <w:basedOn w:val="DefaultParagraphFont"/>
    <w:link w:val="Header"/>
    <w:rsid w:val="00F53370"/>
    <w:rPr>
      <w:rFonts w:ascii="Times New Roman" w:eastAsia="Times New Roman" w:hAnsi="Times New Roman" w:cs="Times New Roman"/>
    </w:rPr>
  </w:style>
  <w:style w:type="paragraph" w:customStyle="1" w:styleId="quotes">
    <w:name w:val="quotes"/>
    <w:basedOn w:val="Normal"/>
    <w:next w:val="Normal"/>
    <w:rsid w:val="00F53370"/>
    <w:pPr>
      <w:ind w:left="720"/>
    </w:pPr>
    <w:rPr>
      <w:i/>
    </w:rPr>
  </w:style>
  <w:style w:type="character" w:styleId="FootnoteReference">
    <w:name w:val="footnote reference"/>
    <w:aliases w:val="Footnote symbol"/>
    <w:basedOn w:val="DefaultParagraphFont"/>
    <w:unhideWhenUsed/>
    <w:qFormat/>
    <w:rsid w:val="00F53370"/>
    <w:rPr>
      <w:sz w:val="24"/>
      <w:vertAlign w:val="superscript"/>
    </w:rPr>
  </w:style>
  <w:style w:type="table" w:styleId="TableGrid">
    <w:name w:val="Table Grid"/>
    <w:basedOn w:val="TableNormal"/>
    <w:uiPriority w:val="39"/>
    <w:rsid w:val="00F53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A6DD4"/>
    <w:rPr>
      <w:color w:val="0000FF"/>
      <w:u w:val="single"/>
    </w:rPr>
  </w:style>
  <w:style w:type="paragraph" w:styleId="Revision">
    <w:name w:val="Revision"/>
    <w:hidden/>
    <w:uiPriority w:val="99"/>
    <w:semiHidden/>
    <w:rsid w:val="00E30379"/>
    <w:pPr>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3037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379"/>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E056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oter" Target="footer5.xml"/><Relationship Id="rId21" Type="http://schemas.openxmlformats.org/officeDocument/2006/relationships/header" Target="header4.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header" Target="header7.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customXml" Target="../customXml/item1.xml"/><Relationship Id="rId11" Type="http://schemas.openxmlformats.org/officeDocument/2006/relationships/settings" Target="settings.xml"/><Relationship Id="rId24" Type="http://schemas.openxmlformats.org/officeDocument/2006/relationships/header" Target="header6.xml"/><Relationship Id="rId32"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3.xml"/><Relationship Id="rId31"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5.xml"/><Relationship Id="rId27" Type="http://schemas.openxmlformats.org/officeDocument/2006/relationships/fontTable" Target="fontTable.xml"/><Relationship Id="rId30"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xUriServ/LexUriServ.do?uri=OJ:C:2012:008:SOM:ES:HTML" TargetMode="External"/><Relationship Id="rId1" Type="http://schemas.openxmlformats.org/officeDocument/2006/relationships/hyperlink" Target="https://eur-lex.europa.eu/LexUriServ/LexUriServ.do?uri=OJ:C:2012:008:SOM:E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299d781-265f-4ceb-999e-e1eca3df2c90">P6FJPSUHKDC2-615694043-7665</_dlc_DocId>
    <_dlc_DocIdUrl xmlns="1299d781-265f-4ceb-999e-e1eca3df2c90">
      <Url>http://dm/eesc/2022/_layouts/15/DocIdRedir.aspx?ID=P6FJPSUHKDC2-615694043-7665</Url>
      <Description>P6FJPSUHKDC2-615694043-7665</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Procedure xmlns="1299d781-265f-4ceb-999e-e1eca3df2c90"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299d781-265f-4ceb-999e-e1eca3df2c90">2022-05-25T12:00:00+00:00</ProductionDate>
    <DocumentNumber xmlns="c4e897d8-46e1-4b1e-9089-1eeb3fbf7b3c">394</DocumentNumber>
    <FicheYear xmlns="1299d781-265f-4ceb-999e-e1eca3df2c90" xsi:nil="true"/>
    <DocumentVersion xmlns="1299d781-265f-4ceb-999e-e1eca3df2c90">1</DocumentVersion>
    <DossierNumber xmlns="1299d781-265f-4ceb-999e-e1eca3df2c90">981</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299d781-265f-4ceb-999e-e1eca3df2c90" xsi:nil="true"/>
    <TaxCatchAll xmlns="1299d781-265f-4ceb-999e-e1eca3df2c90">
      <Value>63</Value>
      <Value>55</Value>
      <Value>54</Value>
      <Value>41</Value>
      <Value>46</Value>
      <Value>45</Value>
      <Value>44</Value>
      <Value>43</Value>
      <Value>42</Value>
      <Value>28</Value>
      <Value>40</Value>
      <Value>38</Value>
      <Value>37</Value>
      <Value>36</Value>
      <Value>35</Value>
      <Value>34</Value>
      <Value>33</Value>
      <Value>32</Value>
      <Value>31</Value>
      <Value>30</Value>
      <Value>29</Value>
      <Value>90</Value>
      <Value>26</Value>
      <Value>22</Value>
      <Value>11</Value>
      <Value>9</Value>
      <Value>7</Value>
      <Value>6</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s>
    </DocumentLanguage_0>
    <Rapporteur xmlns="1299d781-265f-4ceb-999e-e1eca3df2c90">GUERINI</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299d781-265f-4ceb-999e-e1eca3df2c90">2022</DocumentYear>
    <FicheNumber xmlns="1299d781-265f-4ceb-999e-e1eca3df2c90">6549</FicheNumber>
    <OriginalSender xmlns="1299d781-265f-4ceb-999e-e1eca3df2c90">
      <UserInfo>
        <DisplayName>Fernandez Riego Maria Gabriela</DisplayName>
        <AccountId>1746</AccountId>
        <AccountType/>
      </UserInfo>
    </OriginalSender>
    <DocumentPart xmlns="1299d781-265f-4ceb-999e-e1eca3df2c90">0</DocumentPart>
    <AdoptionDate xmlns="1299d781-265f-4ceb-999e-e1eca3df2c90">2022-05-18T12:00:00+00:00</AdoptionDate>
    <RequestingService xmlns="1299d781-265f-4ceb-999e-e1eca3df2c90">Marché unique, production, consommation</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IT</TermName>
          <TermId xmlns="http://schemas.microsoft.com/office/infopath/2007/PartnerControls">0774613c-01ed-4e5d-a25d-11d2388de825</TermId>
        </TermInfo>
      </Terms>
    </OriginalLanguage_0>
    <MeetingNumber xmlns="c4e897d8-46e1-4b1e-9089-1eeb3fbf7b3c"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INT</TermName>
          <TermId xmlns="http://schemas.microsoft.com/office/infopath/2007/PartnerControls">e1edfecb-ed43-427b-bb02-d45fe6645386</TermId>
        </TermInfo>
      </Terms>
    </DossierName_0>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5DCE0934FDE49F4A8834FE1079EABB52" ma:contentTypeVersion="6" ma:contentTypeDescription="Defines the documents for Document Manager V2" ma:contentTypeScope="" ma:versionID="0f942049a0066c703fb8c97d26065f76">
  <xsd:schema xmlns:xsd="http://www.w3.org/2001/XMLSchema" xmlns:xs="http://www.w3.org/2001/XMLSchema" xmlns:p="http://schemas.microsoft.com/office/2006/metadata/properties" xmlns:ns2="1299d781-265f-4ceb-999e-e1eca3df2c90" xmlns:ns3="http://schemas.microsoft.com/sharepoint/v3/fields" xmlns:ns4="c4e897d8-46e1-4b1e-9089-1eeb3fbf7b3c" targetNamespace="http://schemas.microsoft.com/office/2006/metadata/properties" ma:root="true" ma:fieldsID="99218e5b4a52bbda46a65edd83e3127f" ns2:_="" ns3:_="" ns4:_="">
    <xsd:import namespace="1299d781-265f-4ceb-999e-e1eca3df2c90"/>
    <xsd:import namespace="http://schemas.microsoft.com/sharepoint/v3/fields"/>
    <xsd:import namespace="c4e897d8-46e1-4b1e-9089-1eeb3fbf7b3c"/>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9d781-265f-4ceb-999e-e1eca3df2c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7ea9cc77-7db7-4067-9972-efc9a75de26f}" ma:internalName="TaxCatchAll" ma:showField="CatchAllData"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7ea9cc77-7db7-4067-9972-efc9a75de26f}" ma:internalName="TaxCatchAllLabel" ma:readOnly="true" ma:showField="CatchAllDataLabel"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e897d8-46e1-4b1e-9089-1eeb3fbf7b3c"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C882BC-D255-49DC-B394-027CE59586B8}"/>
</file>

<file path=customXml/itemProps2.xml><?xml version="1.0" encoding="utf-8"?>
<ds:datastoreItem xmlns:ds="http://schemas.openxmlformats.org/officeDocument/2006/customXml" ds:itemID="{0C6D08F2-A70F-4629-BB0F-CB75E26D1066}"/>
</file>

<file path=customXml/itemProps3.xml><?xml version="1.0" encoding="utf-8"?>
<ds:datastoreItem xmlns:ds="http://schemas.openxmlformats.org/officeDocument/2006/customXml" ds:itemID="{A9D9B97A-520C-4819-826F-638F699367F8}"/>
</file>

<file path=customXml/itemProps4.xml><?xml version="1.0" encoding="utf-8"?>
<ds:datastoreItem xmlns:ds="http://schemas.openxmlformats.org/officeDocument/2006/customXml" ds:itemID="{29423C90-1EEA-4903-91AF-7A6055B24ECA}"/>
</file>

<file path=docProps/app.xml><?xml version="1.0" encoding="utf-8"?>
<Properties xmlns="http://schemas.openxmlformats.org/officeDocument/2006/extended-properties" xmlns:vt="http://schemas.openxmlformats.org/officeDocument/2006/docPropsVTypes">
  <Template>Normal</Template>
  <TotalTime>5</TotalTime>
  <Pages>9</Pages>
  <Words>2858</Words>
  <Characters>16293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Aiuti di Stato / Servizi sociali e sanitari</vt:lpstr>
    </vt:vector>
  </TitlesOfParts>
  <Company>CESE-CdR</Company>
  <LinksUpToDate>false</LinksUpToDate>
  <CharactersWithSpaces>19113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Ayudas estatales / Servicios sociales y sanitarios</dc:title>
  <dc:subject>AC</dc:subject>
  <dc:creator>Francois Aude</dc:creator>
  <cp:keywords>EESC-2022-00394-00-01-AC-TRA-IT</cp:keywords>
  <dc:description>Rapporteur: GUERINI - Original language: IT - Date of document: 25/05/2022 - Date of meeting:  - External documents:  - Administrator: Mme STAFFA Silvia</dc:description>
  <cp:lastModifiedBy>Fernandez Riego Maria Gabriela</cp:lastModifiedBy>
  <cp:revision>13</cp:revision>
  <dcterms:created xsi:type="dcterms:W3CDTF">2022-05-24T10:37:00Z</dcterms:created>
  <dcterms:modified xsi:type="dcterms:W3CDTF">2022-05-25T07:42:00Z</dcterms:modified>
  <cp:category>INT/981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24/05/2022, 20/05/2022</vt:lpwstr>
  </property>
  <property fmtid="{D5CDD505-2E9C-101B-9397-08002B2CF9AE}" pid="4" name="Pref_Time">
    <vt:lpwstr>12:26:19, 16:11:47</vt:lpwstr>
  </property>
  <property fmtid="{D5CDD505-2E9C-101B-9397-08002B2CF9AE}" pid="5" name="Pref_User">
    <vt:lpwstr>amett, amett</vt:lpwstr>
  </property>
  <property fmtid="{D5CDD505-2E9C-101B-9397-08002B2CF9AE}" pid="6" name="Pref_FileName">
    <vt:lpwstr>EESC-2022-00394-00-01-AC-ORI.docx, EESC-2022-00394-00-00-AC-TRA-IT-CRR.docx</vt:lpwstr>
  </property>
  <property fmtid="{D5CDD505-2E9C-101B-9397-08002B2CF9AE}" pid="7" name="ContentTypeId">
    <vt:lpwstr>0x010100EA97B91038054C99906057A708A1480A005DCE0934FDE49F4A8834FE1079EABB52</vt:lpwstr>
  </property>
  <property fmtid="{D5CDD505-2E9C-101B-9397-08002B2CF9AE}" pid="8" name="_dlc_DocIdItemGuid">
    <vt:lpwstr>aaf1c670-585c-4c67-b6ed-6898c3292140</vt:lpwstr>
  </property>
  <property fmtid="{D5CDD505-2E9C-101B-9397-08002B2CF9AE}" pid="9" name="AvailableTranslations">
    <vt:lpwstr>46;#EL|6d4f4d51-af9b-4650-94b4-4276bee85c91;#42;#SL|98a412ae-eb01-49e9-ae3d-585a81724cfc;#54;#ET|ff6c3f4c-b02c-4c3c-ab07-2c37995a7a0a;#36;#HU|6b229040-c589-4408-b4c1-4285663d20a8;#34;#SK|46d9fce0-ef79-4f71-b89b-cd6aa82426b8;#40;#BG|1a1b3951-7821-4e6a-85f5-5673fc08bd2c;#35;#MT|7df99101-6854-4a26-b53a-b88c0da02c26;#32;#DA|5d49c027-8956-412b-aa16-e85a0f96ad0e;#31;#ES|e7a6b05b-ae16-40c8-add9-68b64b03aeba;#4;#EN|f2175f21-25d7-44a3-96da-d6a61b075e1b;#63;#GA|762d2456-c427-4ecb-b312-af3dad8e258c;#33;#IT|0774613c-01ed-4e5d-a25d-11d2388de825;#37;#PT|50ccc04a-eadd-42ae-a0cb-acaf45f812ba;#11;#FR|d2afafd3-4c81-4f60-8f52-ee33f2f54ff3;#26;#LV|46f7e311-5d9f-4663-b433-18aeccb7ace7;#38;#FI|87606a43-d45f-42d6-b8c9-e1a3457db5b7;#30;#PL|1e03da61-4678-4e07-b136-b5024ca9197b;#22;#DE|f6b31e5a-26fa-4935-b661-318e46daf27e;#55;#HR|2f555653-ed1a-4fe6-8362-9082d95989e5;#44;#LT|a7ff5ce7-6123-4f68-865a-a57c31810414;#41;#CS|72f9705b-0217-4fd3-bea2-cbc7ed80e26e;#29;#SV|c2ed69e7-a339-43d7-8f22-d93680a92aa0;#45;#RO|feb747a2-64cd-4299-af12-4833ddc30497;#43;#NL|55c6556c-b4f4-441d-9acf-c498d4f838bd</vt:lpwstr>
  </property>
  <property fmtid="{D5CDD505-2E9C-101B-9397-08002B2CF9AE}" pid="10" name="DocumentType_0">
    <vt:lpwstr>AC|a4cc1d15-fb08-4679-ad46-e4e0cba5fe92</vt:lpwstr>
  </property>
  <property fmtid="{D5CDD505-2E9C-101B-9397-08002B2CF9AE}" pid="11" name="DossierName_0">
    <vt:lpwstr>INT|e1edfecb-ed43-427b-bb02-d45fe6645386</vt:lpwstr>
  </property>
  <property fmtid="{D5CDD505-2E9C-101B-9397-08002B2CF9AE}" pid="12" name="DocumentSource_0">
    <vt:lpwstr>EESC|422833ec-8d7e-4e65-8e4e-8bed07ffb729</vt:lpwstr>
  </property>
  <property fmtid="{D5CDD505-2E9C-101B-9397-08002B2CF9AE}" pid="13" name="DocumentNumber">
    <vt:i4>394</vt:i4>
  </property>
  <property fmtid="{D5CDD505-2E9C-101B-9397-08002B2CF9AE}" pid="14" name="DocumentVersion">
    <vt:i4>1</vt:i4>
  </property>
  <property fmtid="{D5CDD505-2E9C-101B-9397-08002B2CF9AE}" pid="15" name="DossierNumber">
    <vt:i4>981</vt:i4>
  </property>
  <property fmtid="{D5CDD505-2E9C-101B-9397-08002B2CF9AE}" pid="16" name="DocumentStatus">
    <vt:lpwstr>7;#TRA|150d2a88-1431-44e6-a8ca-0bb753ab8672</vt:lpwstr>
  </property>
  <property fmtid="{D5CDD505-2E9C-101B-9397-08002B2CF9AE}" pid="17" name="DocumentPart">
    <vt:i4>0</vt:i4>
  </property>
  <property fmtid="{D5CDD505-2E9C-101B-9397-08002B2CF9AE}" pid="18" name="DossierName">
    <vt:lpwstr>28;#INT|e1edfecb-ed43-427b-bb02-d45fe6645386</vt:lpwstr>
  </property>
  <property fmtid="{D5CDD505-2E9C-101B-9397-08002B2CF9AE}" pid="19" name="DocumentSource">
    <vt:lpwstr>1;#EESC|422833ec-8d7e-4e65-8e4e-8bed07ffb729</vt:lpwstr>
  </property>
  <property fmtid="{D5CDD505-2E9C-101B-9397-08002B2CF9AE}" pid="20" name="AdoptionDate">
    <vt:filetime>2022-05-18T12:00:00Z</vt:filetime>
  </property>
  <property fmtid="{D5CDD505-2E9C-101B-9397-08002B2CF9AE}" pid="21" name="DocumentType">
    <vt:lpwstr>90;#AC|a4cc1d15-fb08-4679-ad46-e4e0cba5fe92</vt:lpwstr>
  </property>
  <property fmtid="{D5CDD505-2E9C-101B-9397-08002B2CF9AE}" pid="22" name="RequestingService">
    <vt:lpwstr>Marché unique, production, consommation</vt:lpwstr>
  </property>
  <property fmtid="{D5CDD505-2E9C-101B-9397-08002B2CF9AE}" pid="23" name="Confidentiality">
    <vt:lpwstr>9;#Unrestricted|826e22d7-d029-4ec0-a450-0c28ff673572</vt:lpwstr>
  </property>
  <property fmtid="{D5CDD505-2E9C-101B-9397-08002B2CF9AE}" pid="24" name="MeetingName_0">
    <vt:lpwstr/>
  </property>
  <property fmtid="{D5CDD505-2E9C-101B-9397-08002B2CF9AE}" pid="25" name="Confidentiality_0">
    <vt:lpwstr>Unrestricted|826e22d7-d029-4ec0-a450-0c28ff673572</vt:lpwstr>
  </property>
  <property fmtid="{D5CDD505-2E9C-101B-9397-08002B2CF9AE}" pid="26" name="OriginalLanguage">
    <vt:lpwstr>33;#IT|0774613c-01ed-4e5d-a25d-11d2388de825</vt:lpwstr>
  </property>
  <property fmtid="{D5CDD505-2E9C-101B-9397-08002B2CF9AE}" pid="27" name="MeetingName">
    <vt:lpwstr/>
  </property>
  <property fmtid="{D5CDD505-2E9C-101B-9397-08002B2CF9AE}" pid="29" name="AvailableTranslations_0">
    <vt:lpwstr>EL|6d4f4d51-af9b-4650-94b4-4276bee85c91;SL|98a412ae-eb01-49e9-ae3d-585a81724cfc;MT|7df99101-6854-4a26-b53a-b88c0da02c26;DA|5d49c027-8956-412b-aa16-e85a0f96ad0e;IT|0774613c-01ed-4e5d-a25d-11d2388de825;PT|50ccc04a-eadd-42ae-a0cb-acaf45f812ba;FR|d2afafd3-4c81-4f60-8f52-ee33f2f54ff3;FI|87606a43-d45f-42d6-b8c9-e1a3457db5b7;PL|1e03da61-4678-4e07-b136-b5024ca9197b;HR|2f555653-ed1a-4fe6-8362-9082d95989e5;LT|a7ff5ce7-6123-4f68-865a-a57c31810414;CS|72f9705b-0217-4fd3-bea2-cbc7ed80e26e;SV|c2ed69e7-a339-43d7-8f22-d93680a92aa0;NL|55c6556c-b4f4-441d-9acf-c498d4f838bd</vt:lpwstr>
  </property>
  <property fmtid="{D5CDD505-2E9C-101B-9397-08002B2CF9AE}" pid="30" name="DocumentStatus_0">
    <vt:lpwstr>TRA|150d2a88-1431-44e6-a8ca-0bb753ab8672</vt:lpwstr>
  </property>
  <property fmtid="{D5CDD505-2E9C-101B-9397-08002B2CF9AE}" pid="31" name="OriginalLanguage_0">
    <vt:lpwstr>IT|0774613c-01ed-4e5d-a25d-11d2388de825</vt:lpwstr>
  </property>
  <property fmtid="{D5CDD505-2E9C-101B-9397-08002B2CF9AE}" pid="32" name="TaxCatchAll">
    <vt:lpwstr>35;#MT|7df99101-6854-4a26-b53a-b88c0da02c26;#33;#IT|0774613c-01ed-4e5d-a25d-11d2388de825;#32;#DA|5d49c027-8956-412b-aa16-e85a0f96ad0e;#30;#PL|1e03da61-4678-4e07-b136-b5024ca9197b;#29;#SV|c2ed69e7-a339-43d7-8f22-d93680a92aa0;#28;#INT|e1edfecb-ed43-427b-bb02-d45fe6645386;#38;#FI|87606a43-d45f-42d6-b8c9-e1a3457db5b7;#55;#HR|2f555653-ed1a-4fe6-8362-9082d95989e5;#43;#NL|55c6556c-b4f4-441d-9acf-c498d4f838bd;#90;#AC|a4cc1d15-fb08-4679-ad46-e4e0cba5fe92;#46;#EL|6d4f4d51-af9b-4650-94b4-4276bee85c91;#11;#FR|d2afafd3-4c81-4f60-8f52-ee33f2f54ff3;#9;#Unrestricted|826e22d7-d029-4ec0-a450-0c28ff673572;#41;#CS|72f9705b-0217-4fd3-bea2-cbc7ed80e26e;#7;#TRA|150d2a88-1431-44e6-a8ca-0bb753ab8672;#6;#Final|ea5e6674-7b27-4bac-b091-73adbb394efe;#42;#SL|98a412ae-eb01-49e9-ae3d-585a81724cfc;#44;#LT|a7ff5ce7-6123-4f68-865a-a57c31810414;#1;#EESC|422833ec-8d7e-4e65-8e4e-8bed07ffb729;#37;#PT|50ccc04a-eadd-42ae-a0cb-acaf45f812ba</vt:lpwstr>
  </property>
  <property fmtid="{D5CDD505-2E9C-101B-9397-08002B2CF9AE}" pid="33" name="Rapporteur">
    <vt:lpwstr>GUERINI</vt:lpwstr>
  </property>
  <property fmtid="{D5CDD505-2E9C-101B-9397-08002B2CF9AE}" pid="34" name="VersionStatus_0">
    <vt:lpwstr>Final|ea5e6674-7b27-4bac-b091-73adbb394efe</vt:lpwstr>
  </property>
  <property fmtid="{D5CDD505-2E9C-101B-9397-08002B2CF9AE}" pid="35" name="VersionStatus">
    <vt:lpwstr>6;#Final|ea5e6674-7b27-4bac-b091-73adbb394efe</vt:lpwstr>
  </property>
  <property fmtid="{D5CDD505-2E9C-101B-9397-08002B2CF9AE}" pid="36" name="DocumentYear">
    <vt:i4>2022</vt:i4>
  </property>
  <property fmtid="{D5CDD505-2E9C-101B-9397-08002B2CF9AE}" pid="37" name="FicheNumber">
    <vt:i4>6549</vt:i4>
  </property>
  <property fmtid="{D5CDD505-2E9C-101B-9397-08002B2CF9AE}" pid="38" name="DocumentLanguage">
    <vt:lpwstr>31;#ES|e7a6b05b-ae16-40c8-add9-68b64b03aeba</vt:lpwstr>
  </property>
</Properties>
</file>