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B07045" w14:paraId="2E5C0AF9" w14:textId="77777777">
        <w:trPr>
          <w:jc w:val="center"/>
        </w:trPr>
        <w:tc>
          <w:tcPr>
            <w:tcW w:w="5000" w:type="pct"/>
            <w:vAlign w:val="center"/>
          </w:tcPr>
          <w:p w14:paraId="0D2DBA98" w14:textId="77777777" w:rsidR="00574C9B" w:rsidRPr="004A3C7C" w:rsidRDefault="7ABFEF8A" w:rsidP="7ABFEF8A">
            <w:pPr>
              <w:jc w:val="center"/>
              <w:rPr>
                <w:b/>
                <w:bCs/>
                <w:sz w:val="72"/>
                <w:szCs w:val="72"/>
              </w:rPr>
            </w:pPr>
            <w:r>
              <w:rPr>
                <w:b/>
                <w:sz w:val="72"/>
              </w:rPr>
              <w:t>HINDAMISARUANNE</w:t>
            </w:r>
          </w:p>
        </w:tc>
      </w:tr>
      <w:tr w:rsidR="00B07045" w14:paraId="3BF46B26" w14:textId="77777777">
        <w:trPr>
          <w:trHeight w:val="567"/>
          <w:jc w:val="center"/>
        </w:trPr>
        <w:tc>
          <w:tcPr>
            <w:tcW w:w="5000" w:type="pct"/>
            <w:vAlign w:val="center"/>
          </w:tcPr>
          <w:p w14:paraId="1C1DBD50" w14:textId="77777777" w:rsidR="00574C9B" w:rsidRPr="004A3C7C" w:rsidRDefault="7ABFEF8A" w:rsidP="7ABFEF8A">
            <w:pPr>
              <w:jc w:val="center"/>
              <w:rPr>
                <w:sz w:val="24"/>
                <w:szCs w:val="24"/>
              </w:rPr>
            </w:pPr>
            <w:r>
              <w:rPr>
                <w:sz w:val="24"/>
              </w:rPr>
              <w:t>Euroopa Majandus- ja Sotsiaalkomitee</w:t>
            </w:r>
          </w:p>
        </w:tc>
      </w:tr>
      <w:tr w:rsidR="00B07045" w14:paraId="0962F089" w14:textId="77777777">
        <w:trPr>
          <w:jc w:val="center"/>
        </w:trPr>
        <w:tc>
          <w:tcPr>
            <w:tcW w:w="5000" w:type="pct"/>
            <w:vAlign w:val="center"/>
          </w:tcPr>
          <w:p w14:paraId="2ABF566A" w14:textId="77777777" w:rsidR="00574C9B" w:rsidRPr="004A3C7C" w:rsidRDefault="00F850E6" w:rsidP="7ABFEF8A">
            <w:pPr>
              <w:jc w:val="center"/>
              <w:rPr>
                <w:b/>
                <w:bCs/>
                <w:sz w:val="44"/>
                <w:szCs w:val="44"/>
              </w:rPr>
            </w:pPr>
            <w:r>
              <w:rPr>
                <w:b/>
                <w:sz w:val="44"/>
              </w:rPr>
              <w:t>Euroopa Strateegiliste Investeeringute Fondi 2.0 hindamine</w:t>
            </w:r>
          </w:p>
        </w:tc>
      </w:tr>
      <w:tr w:rsidR="00B07045" w14:paraId="5EBDA213" w14:textId="77777777">
        <w:trPr>
          <w:jc w:val="center"/>
        </w:trPr>
        <w:tc>
          <w:tcPr>
            <w:tcW w:w="5000" w:type="pct"/>
            <w:vAlign w:val="center"/>
          </w:tcPr>
          <w:p w14:paraId="33B26AF2" w14:textId="77777777" w:rsidR="00574C9B" w:rsidRPr="004A3C7C" w:rsidRDefault="00574C9B" w:rsidP="7ABFEF8A">
            <w:pPr>
              <w:overflowPunct w:val="0"/>
              <w:autoSpaceDE w:val="0"/>
              <w:autoSpaceDN w:val="0"/>
              <w:adjustRightInd w:val="0"/>
              <w:jc w:val="center"/>
              <w:textAlignment w:val="baseline"/>
              <w:rPr>
                <w:b/>
                <w:bCs/>
                <w:sz w:val="24"/>
                <w:szCs w:val="24"/>
              </w:rPr>
            </w:pPr>
            <w:r>
              <w:rPr>
                <w:sz w:val="24"/>
              </w:rPr>
              <w:t>_____________</w:t>
            </w:r>
          </w:p>
        </w:tc>
      </w:tr>
      <w:tr w:rsidR="00B07045" w14:paraId="082E4B06" w14:textId="77777777">
        <w:trPr>
          <w:jc w:val="center"/>
        </w:trPr>
        <w:tc>
          <w:tcPr>
            <w:tcW w:w="5000" w:type="pct"/>
            <w:vAlign w:val="center"/>
          </w:tcPr>
          <w:p w14:paraId="2BFF9CC7" w14:textId="77777777" w:rsidR="00574C9B" w:rsidRPr="004A3C7C" w:rsidRDefault="00F850E6" w:rsidP="00E56DA9">
            <w:pPr>
              <w:spacing w:before="120"/>
              <w:jc w:val="center"/>
              <w:rPr>
                <w:sz w:val="24"/>
                <w:szCs w:val="24"/>
              </w:rPr>
            </w:pPr>
            <w:r>
              <w:rPr>
                <w:sz w:val="24"/>
              </w:rPr>
              <w:t>Euroopa Strateegiliste Investeeringute Fondi 2.0 hindamine</w:t>
            </w:r>
          </w:p>
        </w:tc>
      </w:tr>
      <w:tr w:rsidR="00B07045" w14:paraId="028476B5" w14:textId="77777777">
        <w:trPr>
          <w:jc w:val="center"/>
        </w:trPr>
        <w:tc>
          <w:tcPr>
            <w:tcW w:w="5000" w:type="pct"/>
            <w:vAlign w:val="center"/>
          </w:tcPr>
          <w:p w14:paraId="7300D8A7" w14:textId="77777777" w:rsidR="00574C9B" w:rsidRPr="004A3C7C" w:rsidRDefault="00574C9B" w:rsidP="006125A1">
            <w:pPr>
              <w:jc w:val="center"/>
              <w:rPr>
                <w:sz w:val="24"/>
                <w:szCs w:val="24"/>
                <w:lang w:val="en-GB"/>
              </w:rPr>
            </w:pPr>
          </w:p>
        </w:tc>
      </w:tr>
      <w:tr w:rsidR="00B07045" w14:paraId="30F276A0" w14:textId="77777777">
        <w:trPr>
          <w:jc w:val="center"/>
        </w:trPr>
        <w:tc>
          <w:tcPr>
            <w:tcW w:w="5000" w:type="pct"/>
            <w:vAlign w:val="center"/>
          </w:tcPr>
          <w:p w14:paraId="2ECAB0EE" w14:textId="77777777" w:rsidR="00574C9B" w:rsidRPr="004A3C7C" w:rsidRDefault="00F850E6" w:rsidP="7ABFEF8A">
            <w:pPr>
              <w:jc w:val="center"/>
              <w:rPr>
                <w:b/>
                <w:bCs/>
                <w:sz w:val="24"/>
                <w:szCs w:val="24"/>
              </w:rPr>
            </w:pPr>
            <w:r>
              <w:rPr>
                <w:b/>
                <w:sz w:val="24"/>
              </w:rPr>
              <w:t>ECO/577</w:t>
            </w:r>
          </w:p>
        </w:tc>
      </w:tr>
      <w:tr w:rsidR="00B07045" w14:paraId="687B013C" w14:textId="77777777">
        <w:trPr>
          <w:jc w:val="center"/>
        </w:trPr>
        <w:tc>
          <w:tcPr>
            <w:tcW w:w="5000" w:type="pct"/>
            <w:vAlign w:val="center"/>
          </w:tcPr>
          <w:p w14:paraId="60BDB2A3" w14:textId="77777777" w:rsidR="00574C9B" w:rsidRPr="004A3C7C" w:rsidRDefault="00574C9B" w:rsidP="006125A1">
            <w:pPr>
              <w:jc w:val="center"/>
              <w:rPr>
                <w:sz w:val="24"/>
                <w:szCs w:val="24"/>
                <w:lang w:val="en-GB"/>
              </w:rPr>
            </w:pPr>
          </w:p>
        </w:tc>
      </w:tr>
      <w:tr w:rsidR="00B07045" w14:paraId="4D2E7F40" w14:textId="77777777">
        <w:trPr>
          <w:jc w:val="center"/>
        </w:trPr>
        <w:tc>
          <w:tcPr>
            <w:tcW w:w="5000" w:type="pct"/>
            <w:vAlign w:val="center"/>
          </w:tcPr>
          <w:p w14:paraId="51EB5BD3" w14:textId="77777777" w:rsidR="007D23F0" w:rsidRPr="004A3C7C" w:rsidRDefault="7ABFEF8A" w:rsidP="00BE0B70">
            <w:pPr>
              <w:jc w:val="center"/>
              <w:rPr>
                <w:sz w:val="24"/>
                <w:szCs w:val="24"/>
              </w:rPr>
            </w:pPr>
            <w:r>
              <w:rPr>
                <w:sz w:val="24"/>
              </w:rPr>
              <w:t xml:space="preserve">Raportöör: </w:t>
            </w:r>
            <w:r>
              <w:rPr>
                <w:b/>
                <w:sz w:val="24"/>
              </w:rPr>
              <w:t>Javier Doz Orrit</w:t>
            </w:r>
          </w:p>
        </w:tc>
      </w:tr>
      <w:tr w:rsidR="00B07045" w14:paraId="742574D4" w14:textId="77777777">
        <w:trPr>
          <w:jc w:val="center"/>
        </w:trPr>
        <w:tc>
          <w:tcPr>
            <w:tcW w:w="5000" w:type="pct"/>
            <w:vAlign w:val="center"/>
          </w:tcPr>
          <w:p w14:paraId="0BD48CAD" w14:textId="77777777" w:rsidR="007329A9" w:rsidRPr="004A3C7C" w:rsidRDefault="007329A9" w:rsidP="00BE0B70">
            <w:pPr>
              <w:jc w:val="center"/>
              <w:rPr>
                <w:sz w:val="24"/>
                <w:szCs w:val="24"/>
              </w:rPr>
            </w:pPr>
            <w:r>
              <w:rPr>
                <w:sz w:val="24"/>
              </w:rPr>
              <w:t xml:space="preserve">Kaasraportöör: </w:t>
            </w:r>
            <w:r>
              <w:rPr>
                <w:b/>
                <w:sz w:val="24"/>
              </w:rPr>
              <w:t>Elena-Alexandra Calistru</w:t>
            </w:r>
          </w:p>
        </w:tc>
      </w:tr>
    </w:tbl>
    <w:p w14:paraId="5BFFDAC1" w14:textId="77777777" w:rsidR="00574C9B" w:rsidRPr="004A3C7C" w:rsidRDefault="00574C9B" w:rsidP="00574C9B">
      <w:r>
        <w:rPr>
          <w:noProof/>
          <w:sz w:val="20"/>
          <w:lang w:val="en-US"/>
        </w:rPr>
        <mc:AlternateContent>
          <mc:Choice Requires="wps">
            <w:drawing>
              <wp:anchor distT="0" distB="0" distL="114300" distR="114300" simplePos="0" relativeHeight="251659264" behindDoc="1" locked="0" layoutInCell="0" allowOverlap="1" wp14:anchorId="375173F7" wp14:editId="4ADAAA57">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D8B38" w14:textId="77777777" w:rsidR="00574C9B" w:rsidRDefault="00574C9B" w:rsidP="00574C9B">
                            <w:pPr>
                              <w:jc w:val="center"/>
                              <w:rPr>
                                <w:rFonts w:ascii="Arial" w:hAnsi="Arial"/>
                                <w:b/>
                                <w:sz w:val="48"/>
                              </w:rP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173F7"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o:allowincell="f" filled="f" stroked="f">
                <v:textbox>
                  <w:txbxContent>
                    <w:p w14:paraId="3D6D8B38" w14:textId="77777777" w:rsidR="00574C9B" w:rsidRDefault="00574C9B" w:rsidP="00574C9B">
                      <w:pPr>
                        <w:jc w:val="center"/>
                        <w:rPr>
                          <w:rFonts w:ascii="Arial" w:hAnsi="Arial"/>
                          <w:b/>
                          <w:sz w:val="48"/>
                        </w:rPr>
                      </w:pPr>
                      <w:r>
                        <w:rPr>
                          <w:rFonts w:ascii="Arial" w:hAnsi="Arial"/>
                          <w:b/>
                          <w:sz w:val="48"/>
                        </w:rPr>
                        <w:t>ET</w:t>
                      </w:r>
                    </w:p>
                  </w:txbxContent>
                </v:textbox>
                <w10:wrap anchorx="margin" anchory="page"/>
              </v:shape>
            </w:pict>
          </mc:Fallback>
        </mc:AlternateContent>
      </w:r>
    </w:p>
    <w:p w14:paraId="2E82C799" w14:textId="77777777" w:rsidR="00574C9B" w:rsidRPr="004A3C7C" w:rsidRDefault="00574C9B" w:rsidP="00574C9B">
      <w:pPr>
        <w:rPr>
          <w:lang w:val="en-GB"/>
        </w:rPr>
      </w:pPr>
    </w:p>
    <w:p w14:paraId="7B3209E9" w14:textId="77777777" w:rsidR="00574C9B" w:rsidRPr="004A3C7C" w:rsidRDefault="00574C9B" w:rsidP="00574C9B">
      <w:pPr>
        <w:rPr>
          <w:lang w:val="en-GB"/>
        </w:rPr>
        <w:sectPr w:rsidR="00574C9B" w:rsidRPr="004A3C7C" w:rsidSect="0028396A">
          <w:headerReference w:type="even" r:id="rId11"/>
          <w:headerReference w:type="default" r:id="rId12"/>
          <w:headerReference w:type="first" r:id="rId13"/>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B07045" w14:paraId="36E9E713" w14:textId="77777777">
        <w:tc>
          <w:tcPr>
            <w:tcW w:w="3085" w:type="dxa"/>
          </w:tcPr>
          <w:p w14:paraId="49B323A2" w14:textId="77777777" w:rsidR="00AC5114" w:rsidRPr="004A3C7C" w:rsidRDefault="7ABFEF8A" w:rsidP="7ABFEF8A">
            <w:pPr>
              <w:autoSpaceDE w:val="0"/>
              <w:autoSpaceDN w:val="0"/>
              <w:jc w:val="left"/>
            </w:pPr>
            <w:r>
              <w:lastRenderedPageBreak/>
              <w:t>Konsulteerimistaotlus</w:t>
            </w:r>
          </w:p>
        </w:tc>
        <w:tc>
          <w:tcPr>
            <w:tcW w:w="6204" w:type="dxa"/>
            <w:vAlign w:val="bottom"/>
          </w:tcPr>
          <w:p w14:paraId="786ADE95" w14:textId="77777777" w:rsidR="00AC5114" w:rsidRPr="004A3C7C" w:rsidRDefault="00F850E6" w:rsidP="7ABFEF8A">
            <w:pPr>
              <w:autoSpaceDE w:val="0"/>
              <w:autoSpaceDN w:val="0"/>
              <w:jc w:val="left"/>
            </w:pPr>
            <w:r>
              <w:t>Euroopa Komisjon, 01/10/2021</w:t>
            </w:r>
          </w:p>
        </w:tc>
      </w:tr>
      <w:tr w:rsidR="00B07045" w14:paraId="1150D6EF" w14:textId="77777777">
        <w:tc>
          <w:tcPr>
            <w:tcW w:w="3085" w:type="dxa"/>
          </w:tcPr>
          <w:p w14:paraId="4652A1F0" w14:textId="77777777" w:rsidR="00AC5114" w:rsidRPr="004A3C7C" w:rsidRDefault="7ABFEF8A" w:rsidP="7ABFEF8A">
            <w:pPr>
              <w:autoSpaceDE w:val="0"/>
              <w:autoSpaceDN w:val="0"/>
              <w:jc w:val="left"/>
            </w:pPr>
            <w:r>
              <w:t>Õiguslik alus</w:t>
            </w:r>
          </w:p>
        </w:tc>
        <w:tc>
          <w:tcPr>
            <w:tcW w:w="6204" w:type="dxa"/>
            <w:vAlign w:val="bottom"/>
          </w:tcPr>
          <w:p w14:paraId="6B1B4C73" w14:textId="77777777" w:rsidR="00AC5114" w:rsidRPr="004A3C7C" w:rsidRDefault="7ABFEF8A" w:rsidP="7ABFEF8A">
            <w:pPr>
              <w:autoSpaceDE w:val="0"/>
              <w:autoSpaceDN w:val="0"/>
              <w:jc w:val="left"/>
            </w:pPr>
            <w:r>
              <w:t>Euroopa Liidu toimimise lepingu artikkel 304</w:t>
            </w:r>
          </w:p>
        </w:tc>
      </w:tr>
      <w:tr w:rsidR="00B07045" w14:paraId="5D78928E" w14:textId="77777777">
        <w:tc>
          <w:tcPr>
            <w:tcW w:w="3085" w:type="dxa"/>
          </w:tcPr>
          <w:p w14:paraId="65524BBD" w14:textId="77777777" w:rsidR="00AC5114" w:rsidRPr="004A3C7C" w:rsidRDefault="7ABFEF8A" w:rsidP="7ABFEF8A">
            <w:pPr>
              <w:autoSpaceDE w:val="0"/>
              <w:autoSpaceDN w:val="0"/>
              <w:jc w:val="left"/>
            </w:pPr>
            <w:r>
              <w:t>Vastutav sektsioon</w:t>
            </w:r>
          </w:p>
        </w:tc>
        <w:tc>
          <w:tcPr>
            <w:tcW w:w="6204" w:type="dxa"/>
            <w:vAlign w:val="bottom"/>
          </w:tcPr>
          <w:p w14:paraId="2130855A" w14:textId="77777777" w:rsidR="00AC5114" w:rsidRPr="004A3C7C" w:rsidRDefault="00F850E6" w:rsidP="7ABFEF8A">
            <w:pPr>
              <w:autoSpaceDE w:val="0"/>
              <w:autoSpaceDN w:val="0"/>
              <w:jc w:val="left"/>
            </w:pPr>
            <w:r>
              <w:t>majandus- ja rahaliidu ning majandusliku ja sotsiaalse ühtekuuluvuse sektsioon</w:t>
            </w:r>
          </w:p>
        </w:tc>
      </w:tr>
      <w:tr w:rsidR="00B07045" w14:paraId="52DED093" w14:textId="77777777">
        <w:tc>
          <w:tcPr>
            <w:tcW w:w="3085" w:type="dxa"/>
          </w:tcPr>
          <w:p w14:paraId="759B28A6" w14:textId="77777777" w:rsidR="00AC5114" w:rsidRPr="004A3C7C" w:rsidRDefault="7ABFEF8A" w:rsidP="7ABFEF8A">
            <w:pPr>
              <w:autoSpaceDE w:val="0"/>
              <w:autoSpaceDN w:val="0"/>
              <w:jc w:val="left"/>
            </w:pPr>
            <w:r>
              <w:t>Vastuvõtmine sektsioonis</w:t>
            </w:r>
          </w:p>
        </w:tc>
        <w:tc>
          <w:tcPr>
            <w:tcW w:w="6204" w:type="dxa"/>
            <w:vAlign w:val="bottom"/>
          </w:tcPr>
          <w:p w14:paraId="5C736B0E" w14:textId="77777777" w:rsidR="00AC5114" w:rsidRPr="004A3C7C" w:rsidRDefault="00F850E6" w:rsidP="7ABFEF8A">
            <w:pPr>
              <w:autoSpaceDE w:val="0"/>
              <w:autoSpaceDN w:val="0"/>
              <w:jc w:val="left"/>
            </w:pPr>
            <w:r>
              <w:t>09/09/2022</w:t>
            </w:r>
          </w:p>
        </w:tc>
      </w:tr>
      <w:tr w:rsidR="00B07045" w14:paraId="6F81D994" w14:textId="77777777">
        <w:tc>
          <w:tcPr>
            <w:tcW w:w="3085" w:type="dxa"/>
          </w:tcPr>
          <w:p w14:paraId="48F48519" w14:textId="77777777" w:rsidR="0058411F" w:rsidRPr="004A3C7C" w:rsidRDefault="7ABFEF8A" w:rsidP="7ABFEF8A">
            <w:pPr>
              <w:autoSpaceDE w:val="0"/>
              <w:autoSpaceDN w:val="0"/>
              <w:jc w:val="left"/>
            </w:pPr>
            <w:r>
              <w:t>Vastuvõtmine täiskogus</w:t>
            </w:r>
          </w:p>
        </w:tc>
        <w:tc>
          <w:tcPr>
            <w:tcW w:w="6204" w:type="dxa"/>
            <w:vAlign w:val="bottom"/>
          </w:tcPr>
          <w:p w14:paraId="67A2E6EC" w14:textId="77777777" w:rsidR="0058411F" w:rsidRPr="004A3C7C" w:rsidRDefault="00F850E6" w:rsidP="7ABFEF8A">
            <w:pPr>
              <w:autoSpaceDE w:val="0"/>
              <w:autoSpaceDN w:val="0"/>
              <w:jc w:val="left"/>
            </w:pPr>
            <w:r>
              <w:t>21/09/2022</w:t>
            </w:r>
          </w:p>
        </w:tc>
      </w:tr>
      <w:tr w:rsidR="00B07045" w14:paraId="12D4757C" w14:textId="77777777">
        <w:tc>
          <w:tcPr>
            <w:tcW w:w="3085" w:type="dxa"/>
          </w:tcPr>
          <w:p w14:paraId="6384E78B" w14:textId="77777777" w:rsidR="0058411F" w:rsidRPr="004A3C7C" w:rsidRDefault="7ABFEF8A" w:rsidP="7ABFEF8A">
            <w:pPr>
              <w:autoSpaceDE w:val="0"/>
              <w:autoSpaceDN w:val="0"/>
              <w:jc w:val="left"/>
            </w:pPr>
            <w:r>
              <w:t>Täiskogu istungjärk nr</w:t>
            </w:r>
          </w:p>
        </w:tc>
        <w:tc>
          <w:tcPr>
            <w:tcW w:w="6204" w:type="dxa"/>
            <w:vAlign w:val="bottom"/>
          </w:tcPr>
          <w:p w14:paraId="7CB3A52C" w14:textId="77777777" w:rsidR="0058411F" w:rsidRPr="004A3C7C" w:rsidRDefault="009B0D9E" w:rsidP="7ABFEF8A">
            <w:pPr>
              <w:autoSpaceDE w:val="0"/>
              <w:autoSpaceDN w:val="0"/>
              <w:jc w:val="left"/>
            </w:pPr>
            <w:r>
              <w:t>572</w:t>
            </w:r>
          </w:p>
        </w:tc>
      </w:tr>
      <w:tr w:rsidR="00B07045" w14:paraId="2EAB045C" w14:textId="77777777">
        <w:tc>
          <w:tcPr>
            <w:tcW w:w="3085" w:type="dxa"/>
          </w:tcPr>
          <w:p w14:paraId="7BABCA1E" w14:textId="77777777" w:rsidR="0058411F" w:rsidRPr="004A3C7C" w:rsidRDefault="7ABFEF8A" w:rsidP="7ABFEF8A">
            <w:pPr>
              <w:autoSpaceDE w:val="0"/>
              <w:autoSpaceDN w:val="0"/>
              <w:jc w:val="left"/>
            </w:pPr>
            <w:r>
              <w:t>Hääletuse tulemus</w:t>
            </w:r>
            <w:r>
              <w:br/>
              <w:t>(poolt/vastu/erapooletuid)</w:t>
            </w:r>
          </w:p>
        </w:tc>
        <w:tc>
          <w:tcPr>
            <w:tcW w:w="6204" w:type="dxa"/>
            <w:vAlign w:val="bottom"/>
          </w:tcPr>
          <w:p w14:paraId="0875EA52" w14:textId="08C1C543" w:rsidR="0058411F" w:rsidRPr="004A3C7C" w:rsidRDefault="00E27EA9" w:rsidP="7ABFEF8A">
            <w:pPr>
              <w:autoSpaceDE w:val="0"/>
              <w:autoSpaceDN w:val="0"/>
              <w:jc w:val="left"/>
            </w:pPr>
            <w:r>
              <w:t>226</w:t>
            </w:r>
            <w:bookmarkStart w:id="0" w:name="_GoBack"/>
            <w:bookmarkEnd w:id="0"/>
            <w:r w:rsidR="00350010">
              <w:t>/0/2</w:t>
            </w:r>
          </w:p>
        </w:tc>
      </w:tr>
    </w:tbl>
    <w:p w14:paraId="71D31C94" w14:textId="77777777" w:rsidR="00AC5114" w:rsidRPr="004A3C7C" w:rsidRDefault="00AC5114" w:rsidP="00574C9B">
      <w:pPr>
        <w:rPr>
          <w:lang w:val="en-GB"/>
        </w:rPr>
      </w:pPr>
    </w:p>
    <w:p w14:paraId="30281309" w14:textId="77777777" w:rsidR="00AC5114" w:rsidRPr="004A3C7C" w:rsidRDefault="00AC5114" w:rsidP="00574C9B">
      <w:pPr>
        <w:rPr>
          <w:lang w:val="en-GB"/>
        </w:rPr>
        <w:sectPr w:rsidR="00AC5114" w:rsidRPr="004A3C7C" w:rsidSect="0028396A">
          <w:headerReference w:type="even" r:id="rId14"/>
          <w:headerReference w:type="default" r:id="rId15"/>
          <w:footerReference w:type="default" r:id="rId16"/>
          <w:headerReference w:type="first" r:id="rId17"/>
          <w:pgSz w:w="11907" w:h="16839" w:code="9"/>
          <w:pgMar w:top="5669" w:right="1418" w:bottom="1418" w:left="1418" w:header="709" w:footer="709" w:gutter="0"/>
          <w:cols w:space="720"/>
          <w:docGrid w:linePitch="360"/>
        </w:sectPr>
      </w:pPr>
    </w:p>
    <w:p w14:paraId="0C6F1FCE" w14:textId="77777777" w:rsidR="007B6D25" w:rsidRPr="000805BB" w:rsidRDefault="007B6D25" w:rsidP="007B6D25">
      <w:pPr>
        <w:pStyle w:val="Heading1"/>
        <w:keepNext/>
        <w:rPr>
          <w:bCs/>
        </w:rPr>
      </w:pPr>
      <w:r>
        <w:rPr>
          <w:b/>
        </w:rPr>
        <w:lastRenderedPageBreak/>
        <w:t>Sissejuhatus</w:t>
      </w:r>
    </w:p>
    <w:p w14:paraId="1E23EC04" w14:textId="77777777" w:rsidR="007B6D25" w:rsidRPr="000805BB" w:rsidRDefault="007B6D25" w:rsidP="007B6D25">
      <w:pPr>
        <w:pStyle w:val="Heading2"/>
        <w:keepNext/>
        <w:numPr>
          <w:ilvl w:val="0"/>
          <w:numId w:val="0"/>
        </w:numPr>
        <w:ind w:left="720" w:hanging="720"/>
        <w:rPr>
          <w:lang w:val="en-GB"/>
        </w:rPr>
      </w:pPr>
    </w:p>
    <w:p w14:paraId="6322288C" w14:textId="77777777" w:rsidR="007B6D25" w:rsidRPr="000805BB" w:rsidRDefault="007B6D25" w:rsidP="00E56DA9">
      <w:pPr>
        <w:pStyle w:val="Heading2"/>
        <w:ind w:left="567" w:hanging="567"/>
      </w:pPr>
      <w:r>
        <w:t>See hindamisaruanne Euroopa Strateegiliste Investeeringute Fondi 2.0 (EFSI 2.0) kohta on Euroopa Majandus- ja Sotsiaalkomitee panus Euroopa Komisjoni käimasolevasse investeerimisprogrammi hindamisse, mis viiakse lõpule 2022. aasta lõpuks. Komitee hindamisaruandes keskendutakse organiseeritud kodanikuühiskonna seisukohtade kogumisele EFSI 2.0 ja selle kahe tugivahendi – Euroopa investeerimisnõustamise keskuse (EIAH) ja Euroopa investeerimisprojektide portaali (EIPP) – kohta.</w:t>
      </w:r>
    </w:p>
    <w:p w14:paraId="307A6D8F" w14:textId="77777777" w:rsidR="007B6D25" w:rsidRPr="000805BB" w:rsidRDefault="007B6D25" w:rsidP="007B6D25">
      <w:pPr>
        <w:pStyle w:val="Heading2"/>
        <w:numPr>
          <w:ilvl w:val="0"/>
          <w:numId w:val="0"/>
        </w:numPr>
        <w:rPr>
          <w:lang w:val="en-GB"/>
        </w:rPr>
      </w:pPr>
    </w:p>
    <w:p w14:paraId="63C9D399" w14:textId="77777777" w:rsidR="007B6D25" w:rsidRPr="000805BB" w:rsidRDefault="007B6D25" w:rsidP="00E56DA9">
      <w:pPr>
        <w:pStyle w:val="Heading2"/>
        <w:ind w:left="567" w:hanging="567"/>
      </w:pPr>
      <w:r>
        <w:t>EFSI 2.0 pikendas aastateni 2018–2020 Euroopa Strateegiliste Investeeringute Fondi (EFSI) ehk Euroopa investeerimiskava, mille rakendusperiood oli aastad 2015–2018. Uuritud statistika, peamised kvalitatiivsed analüüsid ja kogutud arvamused hõlmavad peaaegu täielikult fondi 2015.–2020. aasta perioodi. Seetõttu viitavad käesoleva aruande järeldused ja soovitused EFSI 2015.–2020. aasta tegevusele, kui ei ole eraldi mainitud teisiti.</w:t>
      </w:r>
    </w:p>
    <w:p w14:paraId="50C78DD1" w14:textId="77777777" w:rsidR="007B6D25" w:rsidRPr="000805BB" w:rsidRDefault="007B6D25" w:rsidP="007B6D25">
      <w:pPr>
        <w:pStyle w:val="Heading2"/>
        <w:numPr>
          <w:ilvl w:val="0"/>
          <w:numId w:val="0"/>
        </w:numPr>
        <w:rPr>
          <w:lang w:val="en-GB"/>
        </w:rPr>
      </w:pPr>
    </w:p>
    <w:p w14:paraId="129860B9" w14:textId="77777777" w:rsidR="007B6D25" w:rsidRPr="000805BB" w:rsidRDefault="007B6D25" w:rsidP="00E56DA9">
      <w:pPr>
        <w:pStyle w:val="Heading2"/>
        <w:ind w:left="567" w:hanging="567"/>
      </w:pPr>
      <w:r>
        <w:t>Käesolev aruanne on koostatud kooskõlas komitee hindamismetoodikaga lähetuste (hübriidvormis) ja veebiküsitluste põhjal viies riigis: Itaalias, Hispaanias, Poolas, Rumeenias ja Iirimaal. Lisaks soovitustes kajastatud sotsiaalpartnerite ja kodanikuühiskonna organisatsioonide arvamustele konsulteeriti ka riigi- ja finantsasutuste ning abi saavate ettevõtetega. 63 konsulteeritud viie riigi ettevõttest olid 33 kodanikuühiskonna organisatsioonid. Konsultatsioonis osalesid aktiivselt veel Itaalia ja Hispaania majandus- ja sotsiaalnõukogud. Peaaegu kõik saadud hinnangud ja seisukohad koguti viielt lähetuselt, kuna lisaks korraldatud veebiküsitlustest võtsid osa väga vähesed. Osales vaid neli abi saavat ettevõtet kahest riigist ning nende osalemist ei hõlbustanud ühegi riigi institutsioon. Täpsemat teavet protsessi tulemuste kohta leiate tehnilisest lisast.</w:t>
      </w:r>
    </w:p>
    <w:p w14:paraId="7AC34BDB" w14:textId="77777777" w:rsidR="007B6D25" w:rsidRPr="000805BB" w:rsidRDefault="007B6D25" w:rsidP="007B6D25">
      <w:pPr>
        <w:rPr>
          <w:lang w:val="en-GB"/>
        </w:rPr>
      </w:pPr>
    </w:p>
    <w:p w14:paraId="314208AB" w14:textId="77777777" w:rsidR="007B6D25" w:rsidRPr="000805BB" w:rsidRDefault="007B6D25" w:rsidP="00E56DA9">
      <w:pPr>
        <w:pStyle w:val="Heading2"/>
        <w:ind w:left="567" w:hanging="567"/>
      </w:pPr>
      <w:r>
        <w:t>Siinses aruandes kajastatakse vaid viie liikmesriigi kodanikuühiskonna organisatsiooni esindusliku valimi hinnanguid ja seisukohti. Aruandes esitatud soovitused on kokkuvõte enamiku sotsiaalpartnerite ja kodanikuühiskonna organisatsioonide esindajate seisukohtadest. Heakskiidu korral võiks enamikku soovitusi rakendada programmis „InvestEU“, mis järgneb finantstagatiste vahendina EFSI-le praeguses mitmeaastases finantsraamistikus 2021–2027.</w:t>
      </w:r>
    </w:p>
    <w:p w14:paraId="4D53688E" w14:textId="77777777" w:rsidR="007B6D25" w:rsidRPr="000805BB" w:rsidRDefault="007B6D25" w:rsidP="007B6D25">
      <w:pPr>
        <w:rPr>
          <w:lang w:val="en-GB"/>
        </w:rPr>
      </w:pPr>
    </w:p>
    <w:p w14:paraId="13DEE0A9" w14:textId="77777777" w:rsidR="007B6D25" w:rsidRPr="000805BB" w:rsidRDefault="007B6D25" w:rsidP="00E56DA9">
      <w:pPr>
        <w:pStyle w:val="Heading2"/>
        <w:ind w:left="567" w:hanging="567"/>
      </w:pPr>
      <w:r>
        <w:t>Sügavad kriisid, mida Euroopa ja maailm on alates 2020. aastast kogenud ja mis tulenevad COVID-19 pandeemiast ja Venemaa sissetungist Ukrainasse, on pannud ELi institutsioone edendama uusi vahendeid avaliku ja erasektori investeeringute soodustamiseks, näiteks taasterahastu „NextGenerationEU“ ja selle riiklikud taaste- ja vastupidavuskavad ning kava „RePowerEU“. Soovitused sisaldavad viidet vajadusele tervikliku lähenemisviisi järele ELi investeerimispoliitikas ning vajadusele tugevdada uute vahendite täiendavust struktuuri- ja ühtekuuluvusfondidega ning tagada nende sidusus ühise põllumajanduspoliitikaga.</w:t>
      </w:r>
    </w:p>
    <w:p w14:paraId="685D7B66" w14:textId="77777777" w:rsidR="007B6D25" w:rsidRPr="000805BB" w:rsidRDefault="007B6D25" w:rsidP="007B6D25">
      <w:pPr>
        <w:spacing w:line="240" w:lineRule="auto"/>
        <w:jc w:val="left"/>
        <w:rPr>
          <w:lang w:val="en-GB"/>
        </w:rPr>
      </w:pPr>
    </w:p>
    <w:p w14:paraId="6553E73F" w14:textId="77777777" w:rsidR="007B6D25" w:rsidRPr="000805BB" w:rsidRDefault="007B6D25" w:rsidP="007B6D25">
      <w:pPr>
        <w:pStyle w:val="Heading1"/>
        <w:keepNext/>
      </w:pPr>
      <w:r>
        <w:rPr>
          <w:b/>
        </w:rPr>
        <w:lastRenderedPageBreak/>
        <w:t>Järeldused</w:t>
      </w:r>
    </w:p>
    <w:p w14:paraId="5EDB4B01" w14:textId="77777777" w:rsidR="007B6D25" w:rsidRPr="000805BB" w:rsidRDefault="007B6D25" w:rsidP="007B6D25">
      <w:pPr>
        <w:keepNext/>
        <w:rPr>
          <w:lang w:val="en-GB"/>
        </w:rPr>
      </w:pPr>
    </w:p>
    <w:p w14:paraId="1DD94D84" w14:textId="77777777" w:rsidR="007B6D25" w:rsidRPr="000805BB" w:rsidRDefault="007B6D25" w:rsidP="007B6D25">
      <w:pPr>
        <w:pStyle w:val="Heading2"/>
        <w:keepNext/>
        <w:rPr>
          <w:bCs/>
        </w:rPr>
      </w:pPr>
      <w:r>
        <w:rPr>
          <w:b/>
        </w:rPr>
        <w:t>Eelmärkused</w:t>
      </w:r>
    </w:p>
    <w:p w14:paraId="347F86DD" w14:textId="77777777" w:rsidR="007B6D25" w:rsidRPr="000805BB" w:rsidRDefault="007B6D25" w:rsidP="007B6D25">
      <w:pPr>
        <w:keepNext/>
        <w:rPr>
          <w:lang w:val="en-GB"/>
        </w:rPr>
      </w:pPr>
    </w:p>
    <w:p w14:paraId="1B6591D2" w14:textId="77777777" w:rsidR="007B6D25" w:rsidRPr="000805BB" w:rsidRDefault="007B6D25" w:rsidP="007B6D25">
      <w:pPr>
        <w:pStyle w:val="Heading3"/>
      </w:pPr>
      <w:r>
        <w:t>ELi määrust 2017/2396</w:t>
      </w:r>
      <w:r w:rsidRPr="000805BB">
        <w:rPr>
          <w:rStyle w:val="FootnoteReference"/>
          <w:lang w:val="en-GB"/>
        </w:rPr>
        <w:footnoteReference w:id="1"/>
      </w:r>
      <w:r>
        <w:t xml:space="preserve"> EFSI (EFSI 2.0) pikendamise kohta hakati rakendama 2018. aastal. Selle pikendamine suurendas ELi tagatist 16 miljardilt eurolt 26 miljardi euroni ja EIP grupi nominaalpanust 5 miljardilt eurolt 7,5 miljardi euroni ning pikendas selle kehtivusaega 2020. aasta lõpuni</w:t>
      </w:r>
      <w:r w:rsidRPr="000805BB">
        <w:rPr>
          <w:rStyle w:val="FootnoteReference"/>
          <w:lang w:val="en-GB"/>
        </w:rPr>
        <w:footnoteReference w:id="2"/>
      </w:r>
      <w:r>
        <w:t>. Samuti suurendati selle rakenduseesmärki saavutada 2020. aasta lõpuks vähemalt 500 miljardi euro väärtuses investeeringuid (kusjuures 2018. aasta juuliks seatud eesmärk oli 315 miljardi euro väärtuses investeeringuid). EFSI 2.0 üldine sihtkordaja jäi samaks, kui oli EFSI puhulgi, nimelt 15-kordseks.</w:t>
      </w:r>
    </w:p>
    <w:p w14:paraId="33E3D1D3" w14:textId="77777777" w:rsidR="007B6D25" w:rsidRPr="000805BB" w:rsidRDefault="007B6D25" w:rsidP="007B6D25">
      <w:pPr>
        <w:rPr>
          <w:lang w:val="en-GB"/>
        </w:rPr>
      </w:pPr>
    </w:p>
    <w:p w14:paraId="45F56CFC" w14:textId="77777777" w:rsidR="007B6D25" w:rsidRPr="000805BB" w:rsidRDefault="007B6D25" w:rsidP="007B6D25">
      <w:pPr>
        <w:pStyle w:val="Heading3"/>
      </w:pPr>
      <w:r>
        <w:t>Peaaegu 99,3 miljardi euro suurusest heakskiidetud üldsummast eraldati 33,5 miljardit eurot EFSI vahenditele (26 miljardit eurot ELi tagatisest koos 7,5 miljardi euro suuruse eraldisega EIP omavahenditest finantsvahendajate jaoks) erinevate omakapitali ja tagatisega seotud toodete jaoks kõigis liikmesriikides, koondades 2021. aasta lõpuks 524,3 miljardit eurot investeeringuid.Märgime, et investeerimiseesmärgid on saavutatud kahe kavandatud komponendi kaudu: innovatsiooni ja taristu komponent (56 % kogusummast) ja VKEde komponent (44 % kogusummast), ulatudes kokku 524,3 miljardi euroni, mis on kavandatud summast suurem. EFSI rahastamisest on kasu saanud tuhanded ettevõtted kõikides liikmesriikides EFSI rahastamisest on kasu saanud tuhanded ettevõtted kõikides liikmesriikides</w:t>
      </w:r>
      <w:r w:rsidRPr="000805BB">
        <w:rPr>
          <w:rStyle w:val="FootnoteReference"/>
          <w:lang w:val="en-GB"/>
        </w:rPr>
        <w:footnoteReference w:id="3"/>
      </w:r>
      <w:r>
        <w:t>.</w:t>
      </w:r>
    </w:p>
    <w:p w14:paraId="31F29FDF" w14:textId="77777777" w:rsidR="007B6D25" w:rsidRPr="000805BB" w:rsidRDefault="007B6D25" w:rsidP="007B6D25">
      <w:pPr>
        <w:rPr>
          <w:lang w:val="en-GB"/>
        </w:rPr>
      </w:pPr>
    </w:p>
    <w:p w14:paraId="43EBFB6A" w14:textId="77777777" w:rsidR="007B6D25" w:rsidRPr="000805BB" w:rsidRDefault="007B6D25" w:rsidP="007B6D25">
      <w:pPr>
        <w:pStyle w:val="Heading3"/>
      </w:pPr>
      <w:r>
        <w:t>EFSI määrusest tulenevalt on püütud saavutada EFSI toetuse piisav geograafiline jaotus kogu ELis, et aidata tõhusalt kaasa majanduslikule lähenemisele kogu liidus. Neli riiki, kes kasutasid selle programmi raames aga kõige suurema summa tagatiskapitalist, olid Prantsusmaa (14,6 miljardit eurot), Itaalia (12 miljardit eurot), Hispaania (11,4 miljardit eurot) ja Saksamaa (8 miljardit eurot)</w:t>
      </w:r>
      <w:r w:rsidR="00547F34">
        <w:rPr>
          <w:rStyle w:val="FootnoteReference"/>
        </w:rPr>
        <w:footnoteReference w:id="4"/>
      </w:r>
      <w:r>
        <w:t>.</w:t>
      </w:r>
    </w:p>
    <w:p w14:paraId="07EFFF31" w14:textId="77777777" w:rsidR="007B6D25" w:rsidRPr="000805BB" w:rsidRDefault="007B6D25" w:rsidP="007B6D25">
      <w:pPr>
        <w:rPr>
          <w:lang w:val="en-GB"/>
        </w:rPr>
      </w:pPr>
    </w:p>
    <w:p w14:paraId="1D1DB134" w14:textId="77777777" w:rsidR="007B6D25" w:rsidRPr="000805BB" w:rsidRDefault="007B6D25" w:rsidP="007B6D25">
      <w:pPr>
        <w:pStyle w:val="Heading3"/>
      </w:pPr>
      <w:r>
        <w:t>Sellesse hindamisse valitud viie riigi peamised arvnäitajad võib kokku võtta järgmiselt: Itaalia koondas 206 projekti jaoks EFSI 12 006 miljoni euro suuruse tagatise abil 73 362 miljonit eurot, mis on mõlemal juhul suuruselt teine summa ELis. Hispaania koondas 11 439 miljoni euro (3. summa ELis) abil 51 966 miljonit eurot (3. summa ELis) 158 projekti jaoks. Poola koondas 3 259 miljoni euro (5. summa ELis) abil 19 517 miljonit eurot (6. summa ELis) 73 projekti jaoks. Iirimaa kasutas 1 080 miljoni euro suurust tagatist (14. summa ELis), et koondada 6 686 miljonit eurot (14. summa ELis) 35 projekti jaoks. Rumeenia koondas 972 miljoni euro (15. summa ELis) abil 4 471 miljonit eurot (17. summa ELis) 52 projekti jaoks</w:t>
      </w:r>
      <w:r w:rsidRPr="000805BB">
        <w:rPr>
          <w:rStyle w:val="FootnoteReference"/>
          <w:lang w:val="en-GB"/>
        </w:rPr>
        <w:footnoteReference w:id="5"/>
      </w:r>
      <w:r>
        <w:t>.</w:t>
      </w:r>
    </w:p>
    <w:p w14:paraId="527FEF5B" w14:textId="77777777" w:rsidR="007B6D25" w:rsidRPr="000805BB" w:rsidRDefault="007B6D25" w:rsidP="007B6D25">
      <w:pPr>
        <w:rPr>
          <w:lang w:val="en-GB"/>
        </w:rPr>
      </w:pPr>
    </w:p>
    <w:p w14:paraId="110E52E6" w14:textId="77777777" w:rsidR="007B6D25" w:rsidRPr="000805BB" w:rsidRDefault="007B6D25" w:rsidP="007B6D25">
      <w:pPr>
        <w:pStyle w:val="Heading3"/>
      </w:pPr>
      <w:r>
        <w:t xml:space="preserve">EIAHi ja EIPPi kasutuses on olnud suuri erinevusi. Andmed on saadaval üksnes EIAHile esitatud taotluste kohta – kokku 4 005. Hoolimata EAIHi laialdaselt tunnustatud kasulikkusest leidis enamik konsulteeritud kodanikuühiskonna organisatsioone, et seda vahendit on vähe kasutatud. Ei ole lihtne tuvastada mustrit või korrelatsiooni, mis seletaks selle kasutusega seotud erisusi. Asjaolu, et kõige rohkem taotlusi esitasid Rumeenia ja Bulgaaria (kokku 492), võib olla seotud sellega, et nende ettevõtted said vähem toetusi riiklikelt haldus- ja finantsasutustelt ning sellega, et neis riikides toetas VKEsid Euroopa Rekonstruktsiooni- ja Arengupank EIAHi raames. </w:t>
      </w:r>
    </w:p>
    <w:p w14:paraId="6D8EF70D" w14:textId="77777777" w:rsidR="007B6D25" w:rsidRPr="000805BB" w:rsidRDefault="007B6D25" w:rsidP="007B6D25">
      <w:pPr>
        <w:rPr>
          <w:lang w:val="en-GB"/>
        </w:rPr>
      </w:pPr>
    </w:p>
    <w:p w14:paraId="20A8A217" w14:textId="77777777" w:rsidR="007B6D25" w:rsidRPr="000805BB" w:rsidRDefault="007B6D25" w:rsidP="007B6D25">
      <w:pPr>
        <w:pStyle w:val="Heading2"/>
        <w:keepNext/>
        <w:keepLines/>
      </w:pPr>
      <w:r>
        <w:rPr>
          <w:b/>
        </w:rPr>
        <w:t>Üldised märkused</w:t>
      </w:r>
    </w:p>
    <w:p w14:paraId="005F0348" w14:textId="77777777" w:rsidR="007B6D25" w:rsidRPr="000805BB" w:rsidRDefault="007B6D25" w:rsidP="007B6D25">
      <w:pPr>
        <w:keepNext/>
        <w:keepLines/>
        <w:rPr>
          <w:lang w:val="en-GB"/>
        </w:rPr>
      </w:pPr>
    </w:p>
    <w:p w14:paraId="580D9A1A" w14:textId="77777777" w:rsidR="007B6D25" w:rsidRPr="000805BB" w:rsidRDefault="007B6D25" w:rsidP="007B6D25">
      <w:pPr>
        <w:pStyle w:val="Heading3"/>
      </w:pPr>
      <w:r>
        <w:t>Kõik küsitletud osalejad nõustusid, et EFSI ja EFSI 2.0 tulemused olid väga positiivsed, mis puudutab nende suutlikkust rakendada märkimisväärses summas vahendeid investeeringuteks, aidates seeläbi vähendada suurt investeeringute puudujääki ELis, mida oli võimendanud 2008. aastal alanud suur majanduslangus. EFSId on laialdaselt peetud kõige olulisemaks ja edukamaks kogu ELi hõlmavaks avaliku ja erasektori partnerlusvahendiks.</w:t>
      </w:r>
    </w:p>
    <w:p w14:paraId="1CDDB316" w14:textId="77777777" w:rsidR="007B6D25" w:rsidRPr="000805BB" w:rsidRDefault="007B6D25" w:rsidP="007B6D25">
      <w:pPr>
        <w:rPr>
          <w:lang w:val="en-GB"/>
        </w:rPr>
      </w:pPr>
    </w:p>
    <w:p w14:paraId="002C1A7A" w14:textId="77777777" w:rsidR="007B6D25" w:rsidRPr="000805BB" w:rsidRDefault="007B6D25" w:rsidP="007B6D25">
      <w:pPr>
        <w:pStyle w:val="Heading3"/>
      </w:pPr>
      <w:r>
        <w:t>Võrreldes teiste konsulteeritud sidusrühmadega tõid kodanikuühiskonna organisatsioonid rohkem esile puudujääke ja nõrkusi EFSI käivitamis- ja rakendamisprotsessis järgmistes valdkondades: teabevahetus, nähtavus, organiseeritud kodanikuühiskonna kaasamine riiklikul tasandil, hindamisnäitajad ja vastastikune täiendavus teiste ELi investeerimisprogrammidega.</w:t>
      </w:r>
    </w:p>
    <w:p w14:paraId="370078BD" w14:textId="77777777" w:rsidR="007B6D25" w:rsidRPr="004A3C7C" w:rsidRDefault="007B6D25" w:rsidP="007B6D25">
      <w:pPr>
        <w:pStyle w:val="ListParagraph"/>
        <w:ind w:left="0"/>
      </w:pPr>
    </w:p>
    <w:p w14:paraId="2824A9E7" w14:textId="77777777" w:rsidR="007B6D25" w:rsidRPr="000805BB" w:rsidRDefault="007B6D25" w:rsidP="007B6D25">
      <w:pPr>
        <w:pStyle w:val="Heading3"/>
      </w:pPr>
      <w:r>
        <w:t>Selle aruande soovitused keskenduvad sellele, kuidas neid puudujääke saaks kõrvaldada EFSI järelprogrammi „InvestEU“ ja teiste ELi investeerimisprogrammide puhul, pidades silmas keerulisi majanduslikke ja geopoliitilisi olusid, mis tulenevad pandeemiast ja sissetungist Ukrainasse.</w:t>
      </w:r>
    </w:p>
    <w:p w14:paraId="2196D079" w14:textId="77777777" w:rsidR="007B6D25" w:rsidRPr="004A3C7C" w:rsidRDefault="007B6D25" w:rsidP="007B6D25">
      <w:pPr>
        <w:pStyle w:val="ListParagraph"/>
        <w:ind w:left="0"/>
      </w:pPr>
    </w:p>
    <w:p w14:paraId="31C8655C" w14:textId="77777777" w:rsidR="007B6D25" w:rsidRPr="000805BB" w:rsidRDefault="007B6D25" w:rsidP="007B6D25">
      <w:pPr>
        <w:pStyle w:val="Heading2"/>
        <w:keepNext/>
        <w:keepLines/>
      </w:pPr>
      <w:r>
        <w:rPr>
          <w:b/>
        </w:rPr>
        <w:t>Tulemuslikkus</w:t>
      </w:r>
    </w:p>
    <w:p w14:paraId="6FE5451F" w14:textId="77777777" w:rsidR="007B6D25" w:rsidRPr="000805BB" w:rsidRDefault="007B6D25" w:rsidP="007B6D25">
      <w:pPr>
        <w:keepNext/>
        <w:keepLines/>
        <w:rPr>
          <w:lang w:val="en-GB"/>
        </w:rPr>
      </w:pPr>
    </w:p>
    <w:p w14:paraId="4999BA23" w14:textId="77777777" w:rsidR="007B6D25" w:rsidRPr="000805BB" w:rsidRDefault="007B6D25" w:rsidP="007B6D25">
      <w:pPr>
        <w:pStyle w:val="Heading3"/>
      </w:pPr>
      <w:r>
        <w:t>Enamus vastajatest ja riikides lähetustel osalejatest leidis, et EFSI on saavutanud oma peamise eesmärgi edendada investeeringuid nende riikidesse ajal, mil see oli eriti vajalik.</w:t>
      </w:r>
    </w:p>
    <w:p w14:paraId="29869E91" w14:textId="77777777" w:rsidR="007B6D25" w:rsidRPr="000805BB" w:rsidRDefault="007B6D25" w:rsidP="007B6D25">
      <w:pPr>
        <w:rPr>
          <w:lang w:val="en-GB"/>
        </w:rPr>
      </w:pPr>
    </w:p>
    <w:p w14:paraId="2C7DEFF4" w14:textId="77777777" w:rsidR="007B6D25" w:rsidRPr="000805BB" w:rsidRDefault="007B6D25" w:rsidP="007B6D25">
      <w:pPr>
        <w:pStyle w:val="Heading3"/>
      </w:pPr>
      <w:r>
        <w:t>Laialdaselt tunnistati EFSI tõhusat rolli finantstagatiste eelarvelise toetusvahendina majandusarengu ning kasulike avaliku ja erasektori partnerluste loomiseks mõeldud investeeringute koondamisel. Lisaks võiks fond koos keskuse ja portaaliga pakkuda programmi „InvestEU“ ja muude ELi investeerimisprogrammide jaoks kasulikku õppimiskogemust.</w:t>
      </w:r>
    </w:p>
    <w:p w14:paraId="766B1DDB" w14:textId="77777777" w:rsidR="007B6D25" w:rsidRPr="000805BB" w:rsidRDefault="007B6D25" w:rsidP="007B6D25">
      <w:pPr>
        <w:rPr>
          <w:lang w:val="en-GB"/>
        </w:rPr>
      </w:pPr>
    </w:p>
    <w:p w14:paraId="06655FEF" w14:textId="77777777" w:rsidR="007B6D25" w:rsidRPr="000805BB" w:rsidRDefault="007B6D25" w:rsidP="007B6D25">
      <w:pPr>
        <w:pStyle w:val="Heading3"/>
      </w:pPr>
      <w:r>
        <w:t>Vaatamata ebapiisavale teabele vastastikuse täiendavuse ja koostoime kohta teiste ELi investeerimisprogrammidega – EFSI struktuuri- ja ühtekuuluvusfondid, taasterahastu „NextGenerationEU“, kava „REPowerEU“ programmi „InvestEU“ jaoks jne – leidsid arvamuse avaldajad, et see on saavutatud piiratud ulatuses.</w:t>
      </w:r>
    </w:p>
    <w:p w14:paraId="7A1E1396" w14:textId="77777777" w:rsidR="007B6D25" w:rsidRPr="000805BB" w:rsidRDefault="007B6D25" w:rsidP="007B6D25">
      <w:pPr>
        <w:rPr>
          <w:lang w:val="en-GB"/>
        </w:rPr>
      </w:pPr>
    </w:p>
    <w:p w14:paraId="6EE2516F" w14:textId="77777777" w:rsidR="007B6D25" w:rsidRPr="000805BB" w:rsidRDefault="007B6D25" w:rsidP="007B6D25">
      <w:pPr>
        <w:pStyle w:val="Heading3"/>
      </w:pPr>
      <w:r>
        <w:t xml:space="preserve">Iirimaal tehtud intervjuude käigus leiti, et EFSI-l on märkimisväärne roll rahaliste vahendite kättesaadavaks tegemisel madalate intressimäärade ja madalate kuludega. Iirimaa osalejad märkisid positiivse aspektina, et EFSI rahastas riskantsemaid projekte ja nad pidasid </w:t>
      </w:r>
      <w:r>
        <w:lastRenderedPageBreak/>
        <w:t xml:space="preserve">kiiduväärseks selle paindlikku ülesehitust. </w:t>
      </w:r>
      <w:r>
        <w:rPr>
          <w:color w:val="222222"/>
          <w:shd w:val="clear" w:color="auto" w:fill="FFFFFF"/>
        </w:rPr>
        <w:t>Küll aga avaldasid ametiühingute esindajad muret tingimuslikkuse puudumise pärast seoses võimalike toetusesaajate töösuhte tõendite, poliitika ja tavadega. Nad viitasid 2005. aastast pärit juhtumile, kus paljude ametiühingutesse kuuluvate töötajaga töösuhe lõpetati ning nad asendati töövahendusagentuuri vahendusel palgatud töötajatega märkimisväärselt kehvematel tingimustel.</w:t>
      </w:r>
    </w:p>
    <w:p w14:paraId="7B5AF78C" w14:textId="77777777" w:rsidR="007B6D25" w:rsidRPr="000805BB" w:rsidRDefault="007B6D25" w:rsidP="007B6D25">
      <w:pPr>
        <w:rPr>
          <w:lang w:val="en-GB"/>
        </w:rPr>
      </w:pPr>
    </w:p>
    <w:p w14:paraId="6BD7A92C" w14:textId="77777777" w:rsidR="007B6D25" w:rsidRPr="000805BB" w:rsidRDefault="007B6D25" w:rsidP="007B6D25">
      <w:pPr>
        <w:pStyle w:val="Heading3"/>
      </w:pPr>
      <w:r>
        <w:t>Hispaania osalejad rõhutasid ka EFSI olulisust investeeringute puudujäägi ja pärast finantskriisi kättesaadavate riiklike rahaliste vahendite nappuse leevendamisel. Mitme riigi osalejad leidsid, et EFSI on suurendanud ettevõtete juurdepääsu pangafinantseeringule ning mõnel juhul, näiteks Iirimaal, tasakaalustas see ka väga nõrka ja ebastabiilset pangandussektorit. Ilma ELi tagatiseta võinuksid pangad otsustada rahastada üksnes vähem riskantseid projekte. Samuti rõhutati EFSIga seoses madalaid intressimäärasid ja madalaid kulusid.</w:t>
      </w:r>
    </w:p>
    <w:p w14:paraId="4B81EBCE" w14:textId="77777777" w:rsidR="007B6D25" w:rsidRPr="000805BB" w:rsidRDefault="007B6D25" w:rsidP="007B6D25">
      <w:pPr>
        <w:rPr>
          <w:lang w:val="en-GB"/>
        </w:rPr>
      </w:pPr>
    </w:p>
    <w:p w14:paraId="52400A30" w14:textId="77777777" w:rsidR="007B6D25" w:rsidRPr="000805BB" w:rsidRDefault="007B6D25" w:rsidP="007B6D25">
      <w:pPr>
        <w:pStyle w:val="Heading3"/>
      </w:pPr>
      <w:r>
        <w:t>Itaalia sidusrühmad tunnistasid samuti, et fond aitas edukalt edendada riigi mõne tööstussektori ja tarisute ning VKEde vastupidavust ja majanduskasvu. Enamik osalejaid kiitis erineval määral rahaliste vahendite üleandmist, järelevalveprotsessi ning projektide hindamist ja arutelu.</w:t>
      </w:r>
    </w:p>
    <w:p w14:paraId="7DD3B0CB" w14:textId="77777777" w:rsidR="007B6D25" w:rsidRPr="000805BB" w:rsidRDefault="007B6D25" w:rsidP="007B6D25">
      <w:pPr>
        <w:rPr>
          <w:lang w:val="en-GB"/>
        </w:rPr>
      </w:pPr>
    </w:p>
    <w:p w14:paraId="3D326863" w14:textId="77777777" w:rsidR="007B6D25" w:rsidRPr="000805BB" w:rsidRDefault="007B6D25" w:rsidP="007B6D25">
      <w:pPr>
        <w:pStyle w:val="Heading3"/>
      </w:pPr>
      <w:r>
        <w:t>Rumeenia sidusrühmad rõhutasid, et on oluline mõista seda, kuidas muuta EFSI-laadsed vahendid paindlikumaks ja kohandatavamaks muutuvate oludega, nt seoses COVID-19 kriisi ja Ukrainas toimuv sõjaga, mis mitte üksnes ei takistanud ametiasutuste ja ettevõtete normaalset toimimist, vaid nõudis ka prioriteetide ümberhindamist.</w:t>
      </w:r>
    </w:p>
    <w:p w14:paraId="51DB758E" w14:textId="77777777" w:rsidR="007B6D25" w:rsidRPr="000805BB" w:rsidRDefault="007B6D25" w:rsidP="007B6D25">
      <w:pPr>
        <w:rPr>
          <w:lang w:val="en-GB"/>
        </w:rPr>
      </w:pPr>
    </w:p>
    <w:p w14:paraId="6B39AF63" w14:textId="77777777" w:rsidR="007B6D25" w:rsidRPr="000805BB" w:rsidRDefault="007B6D25" w:rsidP="007B6D25">
      <w:pPr>
        <w:pStyle w:val="Heading3"/>
      </w:pPr>
      <w:r>
        <w:t>Märgiti, et Euroopa rahastamisvahendid tõid toetusesaajatele kaasa halduskoormuse, mis võib takistada taotluste esitamist. Tehti ettepanek, et tingimuslikkuse korda, protsessi ja aruandlust võiks lihtsustada, et need ei oleks niivõrd kulukad ja aeganõudvad.</w:t>
      </w:r>
    </w:p>
    <w:p w14:paraId="1F0A4AE6" w14:textId="77777777" w:rsidR="007B6D25" w:rsidRPr="000805BB" w:rsidRDefault="007B6D25" w:rsidP="007B6D25">
      <w:pPr>
        <w:pStyle w:val="Heading3"/>
        <w:numPr>
          <w:ilvl w:val="0"/>
          <w:numId w:val="0"/>
        </w:numPr>
        <w:rPr>
          <w:lang w:val="en-GB"/>
        </w:rPr>
      </w:pPr>
    </w:p>
    <w:p w14:paraId="68E81C9D" w14:textId="77777777" w:rsidR="007B6D25" w:rsidRPr="000805BB" w:rsidRDefault="007B6D25" w:rsidP="007B6D25">
      <w:pPr>
        <w:pStyle w:val="Heading3"/>
      </w:pPr>
      <w:r>
        <w:t>Rumeenias mainiti samuti, et kõige tõsisem probleem ei ole tingimata rahaliste vahendite nappus, vaid pigem potentsiaalsete toetusesaajate suutlikkus välja töötada küllaldasel kvaliteeditasemel projekte rahastamisvahendite jaoks, mille puhul ei ole tegemist toetustega.</w:t>
      </w:r>
    </w:p>
    <w:p w14:paraId="2B9EA2AE" w14:textId="77777777" w:rsidR="007B6D25" w:rsidRPr="000805BB" w:rsidRDefault="007B6D25" w:rsidP="007B6D25">
      <w:pPr>
        <w:rPr>
          <w:lang w:val="en-GB"/>
        </w:rPr>
      </w:pPr>
    </w:p>
    <w:p w14:paraId="7FD3B969" w14:textId="77777777" w:rsidR="007B6D25" w:rsidRPr="000805BB" w:rsidRDefault="007B6D25" w:rsidP="007B6D25">
      <w:pPr>
        <w:pStyle w:val="Heading3"/>
      </w:pPr>
      <w:r>
        <w:t>Poolas juhiti tähelepanu sellele, et toetusesaajatel oli olnud raskusi EFSI rahalistele vahenditele juurdepääsul taristu- ja innovatsioonikomponendi kaudu, kuid VKEde komponendi puhul oli rahaliste vahendite jaotus aga teistsugune ja et EFSIst said kasu ligikaudu 70 000 Poola VKEd.</w:t>
      </w:r>
    </w:p>
    <w:p w14:paraId="787CE6EE" w14:textId="77777777" w:rsidR="007B6D25" w:rsidRPr="000805BB" w:rsidRDefault="007B6D25" w:rsidP="007B6D25">
      <w:pPr>
        <w:rPr>
          <w:lang w:val="en-GB"/>
        </w:rPr>
      </w:pPr>
    </w:p>
    <w:p w14:paraId="6AB426FA" w14:textId="77777777" w:rsidR="007B6D25" w:rsidRPr="000805BB" w:rsidRDefault="007B6D25" w:rsidP="007B6D25">
      <w:pPr>
        <w:pStyle w:val="Heading3"/>
      </w:pPr>
      <w:r>
        <w:t>Pooled vastanutest ei osanud hinnata EIAHi ja EIPPi tõhusust ja kasulikkust ning paljud riigipõhisel intervjueerimisel osalejad ei kasutanud programmi, mis võib anda täiendavat kinnitust ebapiisava teabevahetuse kohta.</w:t>
      </w:r>
    </w:p>
    <w:p w14:paraId="1C484207" w14:textId="77777777" w:rsidR="007B6D25" w:rsidRPr="000805BB" w:rsidRDefault="007B6D25" w:rsidP="007B6D25">
      <w:pPr>
        <w:rPr>
          <w:lang w:val="en-GB"/>
        </w:rPr>
      </w:pPr>
    </w:p>
    <w:p w14:paraId="1B19CE07" w14:textId="77777777" w:rsidR="007B6D25" w:rsidRPr="000805BB" w:rsidRDefault="007B6D25" w:rsidP="007B6D25">
      <w:pPr>
        <w:pStyle w:val="Heading3"/>
      </w:pPr>
      <w:r>
        <w:t>Hispaanias tehtud intervjuudel tunnistasid sidusrühmad EIAHi ja EIPPi potentsiaali kaasa aidata projektide koostamisele, projektide nähtavuse suurendamisele ning ettevõtete konsortsiumide ja projektidevahelise koostoime loomisele. Osalejad kahtlesid paljude projektide puhul neile kaasaaitamise suutlikkuses. Hispaania sidusrühmad märkisid, et EIPP on aidanud suurendada projektide nähtavust ja seeläbi meelitada ligi potentsiaalseid investoreid, kuigi andmete puudumise tõttu ei olnud võimalik hinnata selle tegelikku mõju võrreldes muude võimalustega.</w:t>
      </w:r>
    </w:p>
    <w:p w14:paraId="4801A0F5" w14:textId="77777777" w:rsidR="007B6D25" w:rsidRPr="000805BB" w:rsidRDefault="007B6D25" w:rsidP="007B6D25">
      <w:pPr>
        <w:rPr>
          <w:lang w:val="en-GB"/>
        </w:rPr>
      </w:pPr>
    </w:p>
    <w:p w14:paraId="0188BC9C" w14:textId="77777777" w:rsidR="007B6D25" w:rsidRPr="000805BB" w:rsidRDefault="007B6D25" w:rsidP="007B6D25">
      <w:pPr>
        <w:pStyle w:val="Heading3"/>
      </w:pPr>
      <w:r>
        <w:t>Itaalia lähetusel väljendasid osalejad muret, et EFSI menetlused ei soodusta territoriaalse ebavõrdsuse vähendamist ega sotsiaalsete investeeringute tähtsustamist. Sama muret väljendasid ka teiste riikide kodanikuühiskonna organisatsioonide esindajad. Sotsiaalsete investeeringute kordaja koefitsiendid olid mitmes neist siiski kõige kõrgemad.</w:t>
      </w:r>
    </w:p>
    <w:p w14:paraId="75B86BD5" w14:textId="77777777" w:rsidR="007B6D25" w:rsidRPr="000805BB" w:rsidRDefault="007B6D25" w:rsidP="007B6D25">
      <w:pPr>
        <w:rPr>
          <w:lang w:val="en-GB"/>
        </w:rPr>
      </w:pPr>
    </w:p>
    <w:p w14:paraId="3F0DCF4E" w14:textId="77777777" w:rsidR="007B6D25" w:rsidRPr="000805BB" w:rsidRDefault="007B6D25" w:rsidP="007B6D25">
      <w:pPr>
        <w:pStyle w:val="Heading2"/>
        <w:keepNext/>
        <w:keepLines/>
      </w:pPr>
      <w:r>
        <w:rPr>
          <w:b/>
        </w:rPr>
        <w:t>Asjakohasus</w:t>
      </w:r>
    </w:p>
    <w:p w14:paraId="0FD6AB32" w14:textId="77777777" w:rsidR="007B6D25" w:rsidRPr="000805BB" w:rsidRDefault="007B6D25" w:rsidP="007B6D25">
      <w:pPr>
        <w:pStyle w:val="Heading3"/>
        <w:keepNext/>
        <w:keepLines/>
        <w:numPr>
          <w:ilvl w:val="0"/>
          <w:numId w:val="0"/>
        </w:numPr>
        <w:rPr>
          <w:lang w:val="en-GB"/>
        </w:rPr>
      </w:pPr>
    </w:p>
    <w:p w14:paraId="3972580F" w14:textId="77777777" w:rsidR="007B6D25" w:rsidRPr="000805BB" w:rsidRDefault="007B6D25" w:rsidP="007B6D25">
      <w:pPr>
        <w:pStyle w:val="Heading3"/>
      </w:pPr>
      <w:r>
        <w:t>Üldiselt pidasid konsulteeritud riikide vastajad EFSId strateegiliste investeerimisprojektide toetamisel oluliseks (vastusevariandid varieerusid suhteliselt olulisest kuni väga oluliseni).</w:t>
      </w:r>
    </w:p>
    <w:p w14:paraId="72A90872" w14:textId="77777777" w:rsidR="007B6D25" w:rsidRPr="000805BB" w:rsidRDefault="007B6D25" w:rsidP="007B6D25">
      <w:pPr>
        <w:rPr>
          <w:lang w:val="en-GB"/>
        </w:rPr>
      </w:pPr>
    </w:p>
    <w:p w14:paraId="59B5E4D0" w14:textId="77777777" w:rsidR="007B6D25" w:rsidRPr="000805BB" w:rsidRDefault="007B6D25" w:rsidP="007B6D25">
      <w:pPr>
        <w:pStyle w:val="Heading3"/>
      </w:pPr>
      <w:r>
        <w:t>Poolas tehtud intervjuude käigus märkisid sidusrühmad, et EFSId on riigi eri sektorites edukalt kasutatud, mis näitab, et seda peeti väga atraktiivseks viisiks rahastamisele juurdepääsu saamiseks tootmise, energeetika, toidu, panganduse, uue tehnoloogia ja hariduse valdkonnas. Lisaks mainiti, et EFSI raames investeerisid Poola riskikapitalifondid esimest korda kõrge riskiga idufirmadesse väljaspool oma riigi piire.</w:t>
      </w:r>
    </w:p>
    <w:p w14:paraId="3217F2E1" w14:textId="77777777" w:rsidR="007B6D25" w:rsidRPr="000805BB" w:rsidRDefault="007B6D25" w:rsidP="007B6D25">
      <w:pPr>
        <w:rPr>
          <w:lang w:val="en-GB"/>
        </w:rPr>
      </w:pPr>
    </w:p>
    <w:p w14:paraId="5BCD6A1E" w14:textId="77777777" w:rsidR="007B6D25" w:rsidRPr="000805BB" w:rsidRDefault="007B6D25" w:rsidP="007B6D25">
      <w:pPr>
        <w:pStyle w:val="Heading3"/>
      </w:pPr>
      <w:r>
        <w:t>Hispaania sidusrühmad märkisid, et fondist on olnud kasu paljudes majandussektorites, sealhulgas transpordi, energeetika, keskkonna ja vaktsiinide väljatöötamise alal. Mõju on olnud eriti märkimisväärne õiglase ülemineku ning teadusuuringute ja innovatsiooni jaoks. Positiivsena märgiti EFSI 2.0 kohaldamisala laiendamist.</w:t>
      </w:r>
    </w:p>
    <w:p w14:paraId="726CEC91" w14:textId="77777777" w:rsidR="007B6D25" w:rsidRPr="000805BB" w:rsidRDefault="007B6D25" w:rsidP="007B6D25">
      <w:pPr>
        <w:tabs>
          <w:tab w:val="left" w:pos="567"/>
        </w:tabs>
        <w:ind w:left="567" w:hanging="567"/>
        <w:rPr>
          <w:lang w:val="en-GB"/>
        </w:rPr>
      </w:pPr>
    </w:p>
    <w:p w14:paraId="57BC778D" w14:textId="77777777" w:rsidR="007B6D25" w:rsidRPr="000805BB" w:rsidRDefault="007B6D25" w:rsidP="007B6D25">
      <w:pPr>
        <w:pStyle w:val="Heading3"/>
      </w:pPr>
      <w:r>
        <w:t>Itaalias on tänu EFSI-le tehtud märkimisväärseid investeeringuid gaasi- ja elektrisektorisse, mis on olnud riigi energiasõltumatuse tagamisel suure tähtsusega. Fondi pikaajaline suund oli oluline ja praeguses globaalses kontekstis oli projekti vajadus selge – see võimaldas alandada energiakulusid, mis omas nüüd strateegilist väärtust.</w:t>
      </w:r>
    </w:p>
    <w:p w14:paraId="7443463E" w14:textId="77777777" w:rsidR="007B6D25" w:rsidRPr="000805BB" w:rsidRDefault="007B6D25" w:rsidP="007B6D25">
      <w:pPr>
        <w:rPr>
          <w:lang w:val="en-GB"/>
        </w:rPr>
      </w:pPr>
    </w:p>
    <w:p w14:paraId="53EAB98D" w14:textId="77777777" w:rsidR="007B6D25" w:rsidRPr="000805BB" w:rsidRDefault="007B6D25" w:rsidP="007B6D25">
      <w:pPr>
        <w:pStyle w:val="Heading3"/>
      </w:pPr>
      <w:r>
        <w:t>Itaalias ja teistes riikides, kus on ajalooliselt väljakujunenud geograafilised erinevused, rõhutati probleemina seda, et vähem investeeringuid saavatel piirkondadel oli ka tootmis- ja tööstussüsteemide üleminekuga raskem toime tulla ning need vajaksid selleks rohkem rahalisi vahendeid.</w:t>
      </w:r>
    </w:p>
    <w:p w14:paraId="6EDD27F8" w14:textId="77777777" w:rsidR="007B6D25" w:rsidRPr="000805BB" w:rsidRDefault="007B6D25" w:rsidP="007B6D25">
      <w:pPr>
        <w:rPr>
          <w:lang w:val="en-GB"/>
        </w:rPr>
      </w:pPr>
    </w:p>
    <w:p w14:paraId="35533574" w14:textId="77777777" w:rsidR="007B6D25" w:rsidRPr="000805BB" w:rsidRDefault="007B6D25" w:rsidP="007B6D25">
      <w:pPr>
        <w:pStyle w:val="Heading3"/>
      </w:pPr>
      <w:r>
        <w:t>Rumeenias näitasid tarkvaraettevõtetesse tehtud investeeringud, kui oluline oli EFSI roll mitte ainult abisaajariigi majandusliku ja sotsiaalse toimivuse, vaid ka Euroopa positsiooni seisukohast teadus- ja arendustegevuses. Investeeringute toetamine ja ülikoolidele pakutav tehniline abi olid EFSI teadusuuringute ja innovatsiooniga seotud prioriteetide põhiaspektideks.</w:t>
      </w:r>
    </w:p>
    <w:p w14:paraId="54366D65" w14:textId="77777777" w:rsidR="007B6D25" w:rsidRPr="000805BB" w:rsidRDefault="007B6D25" w:rsidP="007B6D25">
      <w:pPr>
        <w:rPr>
          <w:lang w:val="en-GB"/>
        </w:rPr>
      </w:pPr>
    </w:p>
    <w:p w14:paraId="470F95C1" w14:textId="77777777" w:rsidR="007B6D25" w:rsidRPr="000805BB" w:rsidRDefault="007B6D25" w:rsidP="007B6D25">
      <w:pPr>
        <w:pStyle w:val="Heading3"/>
      </w:pPr>
      <w:r>
        <w:t>Hispaanias nõustusid osalejad ESFI täiendavusega, eelkõige VKEde ja sotsiaalmajanduse ning just väiksemate ettevõtete jaoks, kellele oli raha kogumine eriti keerukas. Tõdeti, et paljud toetusesaajad ei oleks saanud oma projekte ellu viia ilma EFSI toetuseta. Siiski märgiti, nagu ka teistes riikides, et täiendavuse hindamiseks puudusid menetlused ja tööhõive mõju näitajad. Enamik leidis, et EFSI aitas kaasa majanduse vastupidavamaks muutmisele ja finantskriisi mõju leevendamisele. Ilma selleta oleksid paljud VKEd kogetud majandusšokkide tõttu oma tegevuse lõpetanud.</w:t>
      </w:r>
    </w:p>
    <w:p w14:paraId="3BF0F3B1" w14:textId="77777777" w:rsidR="007B6D25" w:rsidRPr="000805BB" w:rsidRDefault="007B6D25" w:rsidP="007B6D25">
      <w:pPr>
        <w:ind w:left="567" w:hanging="567"/>
        <w:rPr>
          <w:lang w:val="en-GB"/>
        </w:rPr>
      </w:pPr>
    </w:p>
    <w:p w14:paraId="25C19A54" w14:textId="77777777" w:rsidR="007B6D25" w:rsidRPr="000805BB" w:rsidRDefault="007B6D25" w:rsidP="007B6D25">
      <w:pPr>
        <w:pStyle w:val="Heading3"/>
      </w:pPr>
      <w:r>
        <w:lastRenderedPageBreak/>
        <w:t>Kõigis riikides oli enamus arvamusel, et EFSI mõju riikidevahelisele ja sama riigi piirkondadevahelisele lähenemisele pole märkimisväärne või puuduvad selle kohta üldse tõendid.</w:t>
      </w:r>
    </w:p>
    <w:p w14:paraId="0F4A57DE" w14:textId="77777777" w:rsidR="007B6D25" w:rsidRPr="000805BB" w:rsidRDefault="007B6D25" w:rsidP="007B6D25">
      <w:pPr>
        <w:rPr>
          <w:lang w:val="en-GB"/>
        </w:rPr>
      </w:pPr>
    </w:p>
    <w:p w14:paraId="3219A0D6" w14:textId="77777777" w:rsidR="007B6D25" w:rsidRPr="000805BB" w:rsidRDefault="007B6D25" w:rsidP="007B6D25">
      <w:pPr>
        <w:pStyle w:val="Heading2"/>
        <w:keepNext/>
        <w:keepLines/>
      </w:pPr>
      <w:r>
        <w:rPr>
          <w:b/>
        </w:rPr>
        <w:t>Kodanikuühiskonna kaasamine</w:t>
      </w:r>
    </w:p>
    <w:p w14:paraId="1C3C0CA2" w14:textId="77777777" w:rsidR="007B6D25" w:rsidRPr="000805BB" w:rsidRDefault="007B6D25" w:rsidP="007B6D25">
      <w:pPr>
        <w:pStyle w:val="Heading3"/>
        <w:keepNext/>
        <w:keepLines/>
        <w:numPr>
          <w:ilvl w:val="0"/>
          <w:numId w:val="0"/>
        </w:numPr>
        <w:rPr>
          <w:lang w:val="en-GB"/>
        </w:rPr>
      </w:pPr>
    </w:p>
    <w:p w14:paraId="46BD62FD" w14:textId="77777777" w:rsidR="007B6D25" w:rsidRPr="000805BB" w:rsidRDefault="007B6D25" w:rsidP="007B6D25">
      <w:pPr>
        <w:pStyle w:val="Heading3"/>
      </w:pPr>
      <w:r>
        <w:t>Üldiselt hindasid küsitletud kodanikuühiskonna esindajad oma organisatsioonide liikmete teadlikkust EFSIst erinevalt. Äriorganisatsioonid ja finantsasutused mainisid ootuspäraselt, et neid teavitati suuremal või vähemal määral, samas kui ametiühingud ja enamus teisi kodanikuühiskonna organisatsioone ütlesid, et nad on saanud vähe teavet või üldsegi mitte. Enamiku arvamuse kohaselt oli nähtavus ebapiisav, mistõttu finantsvahendajate kaudu kasu saanud ettevõtted ei teadnud mõnel juhul isegi seda, et laenu saadi EFSI raames. Siiski tunnistati, et EIPi tugipankadel oli potentsiaalsete toetusesaajate leidmisel aktiivne roll koostöös tööandjate ühenduste, kaubanduskodade ja riigiasutustega, mis tähendas EIP tegevusparadigma põhjalikku muutust.</w:t>
      </w:r>
    </w:p>
    <w:p w14:paraId="6A8B7054" w14:textId="77777777" w:rsidR="007B6D25" w:rsidRPr="000805BB" w:rsidRDefault="007B6D25" w:rsidP="007B6D25">
      <w:pPr>
        <w:rPr>
          <w:lang w:val="en-GB"/>
        </w:rPr>
      </w:pPr>
    </w:p>
    <w:p w14:paraId="0261405A" w14:textId="77777777" w:rsidR="007B6D25" w:rsidRPr="000805BB" w:rsidRDefault="007B6D25" w:rsidP="007B6D25">
      <w:pPr>
        <w:pStyle w:val="Heading3"/>
      </w:pPr>
      <w:r>
        <w:t xml:space="preserve">Välja arvatud Poola puhul, kus sotsiaalpartnerid olid EFSIst üldiselt teavitatud, ei olnud toimunud sotsiaalpartnerite ega kodanikuühiskonna organisatsioonidega EFSI ja EFSI 2.0 käivitamise või rakendamisega seonduvalt ametlikke konsulteerimisprotsesse. Konsulteerimisorganite ja -protsesside puudumine piiras seepärast nende fondide nähtavust ja potentsiaalsete toetusesaajate ringi. </w:t>
      </w:r>
    </w:p>
    <w:p w14:paraId="67EE7D82" w14:textId="77777777" w:rsidR="007B6D25" w:rsidRPr="000805BB" w:rsidRDefault="007B6D25" w:rsidP="007B6D25">
      <w:pPr>
        <w:rPr>
          <w:lang w:val="en-GB"/>
        </w:rPr>
      </w:pPr>
    </w:p>
    <w:p w14:paraId="4351C2A4" w14:textId="77777777" w:rsidR="007B6D25" w:rsidRPr="000805BB" w:rsidRDefault="007B6D25" w:rsidP="007B6D25">
      <w:pPr>
        <w:pStyle w:val="Heading3"/>
      </w:pPr>
      <w:r>
        <w:t xml:space="preserve">Hispaania ja Itaalia lähetuste puhul märgiti, et teabelüngad piirasid potentsiaalsete toetusesaajate juurdepääsu teabele. Need puudused piirasid ka juurdepääsu EIAHile ja EIPPile, mille kasulikkust üldiselt tunnustati. Rumeenias märgiti, et kodanikuühiskonna kaasamine ei olnud kohandatud erinevatele huvirühmadele. Poolas olid nimetatud takistused peamiselt institutsioonilised, mis tulenesid olemasolevast sotsiaaldialoogi mudelist. </w:t>
      </w:r>
    </w:p>
    <w:p w14:paraId="32A4D2F6" w14:textId="77777777" w:rsidR="007B6D25" w:rsidRPr="000805BB" w:rsidRDefault="007B6D25" w:rsidP="007B6D25">
      <w:pPr>
        <w:rPr>
          <w:lang w:val="en-GB"/>
        </w:rPr>
      </w:pPr>
    </w:p>
    <w:p w14:paraId="783E08D9" w14:textId="77777777" w:rsidR="007B6D25" w:rsidRPr="000805BB" w:rsidRDefault="007B6D25" w:rsidP="007B6D25">
      <w:pPr>
        <w:pStyle w:val="Heading3"/>
      </w:pPr>
      <w:r>
        <w:t>Üldiselt mainiti EFSI tehnilist keerukust. Itaalia, Iirimaa ja Rumeenia vastajad olid arvamusel, et enamikul kodanikuühiskonna organisatsioonidel puudusid piisavad teadmised rahastamismehhanismide ja nende rakendamise kohta usaldusväärse arvamuse andmiseks. Rõhutati vajadust edendada kodanikuühiskonna organisatsioonide</w:t>
      </w:r>
      <w:r w:rsidR="00E56DA9">
        <w:t xml:space="preserve"> </w:t>
      </w:r>
      <w:r>
        <w:t>teadmisi ja suutlikkust rahastamisvahendite alal. Siiski leidsid sotsiaalpartnerite ja kodanikuühiskonna organisatsioonide esindajad Iirimaal, Itaalias, Hispaanias ja Rumeenias toimunud lähetustel, et nad oleksid täiesti suutelised kommenteerima EIPi ja EFSI investeerimispoliitika eesmärke ja üldsuunda ning hindama nende tulemuslikkust, kui neid piisaval määral teavitataks.</w:t>
      </w:r>
    </w:p>
    <w:p w14:paraId="7EE652BB" w14:textId="77777777" w:rsidR="007B6D25" w:rsidRPr="000805BB" w:rsidRDefault="007B6D25" w:rsidP="007B6D25">
      <w:pPr>
        <w:rPr>
          <w:lang w:val="en-GB"/>
        </w:rPr>
      </w:pPr>
    </w:p>
    <w:p w14:paraId="6500D155" w14:textId="77777777" w:rsidR="007B6D25" w:rsidRPr="000805BB" w:rsidRDefault="007B6D25" w:rsidP="007B6D25">
      <w:pPr>
        <w:pStyle w:val="Heading1"/>
        <w:keepNext/>
        <w:keepLines/>
      </w:pPr>
      <w:r>
        <w:rPr>
          <w:b/>
        </w:rPr>
        <w:t>Soovitused</w:t>
      </w:r>
    </w:p>
    <w:p w14:paraId="6B6B9E64" w14:textId="77777777" w:rsidR="007B6D25" w:rsidRPr="000805BB" w:rsidRDefault="007B6D25" w:rsidP="007B6D25">
      <w:pPr>
        <w:keepNext/>
        <w:keepLines/>
        <w:rPr>
          <w:lang w:val="en-GB"/>
        </w:rPr>
      </w:pPr>
    </w:p>
    <w:p w14:paraId="1AA84D7A" w14:textId="77777777" w:rsidR="007B6D25" w:rsidRPr="000805BB" w:rsidRDefault="007B6D25" w:rsidP="00547F34">
      <w:pPr>
        <w:pStyle w:val="Heading2"/>
        <w:ind w:left="567" w:hanging="567"/>
      </w:pPr>
      <w:r>
        <w:t xml:space="preserve">Euroopa Komisjon peaks edendama seadusandlikku algatust, et tagada sotsiaalpartnerite ja kodanikuühiskonna organisatsioonide kaasamine ELi investeerimisprogrammide, eelkõige EFSI järelprogrammi „InvestEU“ loomisse ja rakendamisse. See ettepanek on eriti vajalik, sest kuigi Euroopa Majandus- ja Sotsiaalkomitee ja Euroopa Regioonide Komitee on esindatud </w:t>
      </w:r>
      <w:r>
        <w:lastRenderedPageBreak/>
        <w:t>programmi „InvestEU“ nõuandekomitees, on programmi „InvestEU“ käsitleva määruse</w:t>
      </w:r>
      <w:r w:rsidRPr="000805BB">
        <w:rPr>
          <w:rStyle w:val="FootnoteReference"/>
          <w:lang w:val="en-GB"/>
        </w:rPr>
        <w:footnoteReference w:id="6"/>
      </w:r>
      <w:r>
        <w:t xml:space="preserve"> V peatükist, mis hõlmab juhtimist, välja jäetud EFSI määruses esitatud viited Euroopa tasandil toimuvale korrapärasele konsulteerimisele kodanikuühiskonna organisatsioonide ja muude sidusrühmadega fondi investeerimispoliitika suuna ja rakendamise üle</w:t>
      </w:r>
      <w:r w:rsidRPr="000805BB">
        <w:rPr>
          <w:rStyle w:val="FootnoteReference"/>
          <w:lang w:val="en-GB"/>
        </w:rPr>
        <w:footnoteReference w:id="7"/>
      </w:r>
      <w:r>
        <w:t>.</w:t>
      </w:r>
    </w:p>
    <w:p w14:paraId="3C523310" w14:textId="77777777" w:rsidR="007B6D25" w:rsidRPr="000805BB" w:rsidRDefault="007B6D25" w:rsidP="007B6D25">
      <w:pPr>
        <w:pStyle w:val="Heading2"/>
        <w:numPr>
          <w:ilvl w:val="0"/>
          <w:numId w:val="0"/>
        </w:numPr>
        <w:rPr>
          <w:lang w:val="en-GB"/>
        </w:rPr>
      </w:pPr>
    </w:p>
    <w:p w14:paraId="387DB173" w14:textId="77777777" w:rsidR="007B6D25" w:rsidRPr="000805BB" w:rsidRDefault="007B6D25" w:rsidP="00547F34">
      <w:pPr>
        <w:pStyle w:val="Heading2"/>
        <w:ind w:left="567" w:hanging="567"/>
      </w:pPr>
      <w:r>
        <w:t>Organiseeritud kodanikuühiskonna kaasamine programmi „InvestEU“ tuleks tagada ka riiklikul tasandil, luues nõuandekogud, mis hõlmavad sotsiaalpartnereid ja kodanikuühiskonda esindavaid organisatsioone ning asjakohaseid ametiasutusi, sh kohalikke ja piirkondlikke, EIPi ja finantsasutusi. Samuti tuleks luua riiklikud nõuandvad organid, ühendades kõik Euroopa investeerimisprogrammid ning aidates tagada nende sidususe ja täiendavuse. Need organid oleksid seotud struktuuri- ja ühtekuuluvusfondide juba loodud või loodavate nõuandekogudega, eelkõige programmi „InvestEU“ ning riiklike taaste- ja vastupidavuskavade jaoks. Arvesse tuleks võtta häid tavasid, näiteks neid, mida mainiti komitee hiljutises resolutsioonis riiklike taaste- ja vastupidavuskavade kohta</w:t>
      </w:r>
      <w:r w:rsidRPr="000805BB">
        <w:rPr>
          <w:rStyle w:val="FootnoteReference"/>
          <w:lang w:val="en-GB"/>
        </w:rPr>
        <w:footnoteReference w:id="8"/>
      </w:r>
      <w:r>
        <w:t xml:space="preserve">. Riikide majandus- ja sotsiaalnõukogudel peaks neis konsulteerimisprotsessides olema oluline roll. </w:t>
      </w:r>
    </w:p>
    <w:p w14:paraId="1E00C1F1" w14:textId="77777777" w:rsidR="007B6D25" w:rsidRPr="000805BB" w:rsidRDefault="007B6D25" w:rsidP="007B6D25">
      <w:pPr>
        <w:rPr>
          <w:lang w:val="en-GB"/>
        </w:rPr>
      </w:pPr>
    </w:p>
    <w:p w14:paraId="1E1CEB7B" w14:textId="77777777" w:rsidR="007B6D25" w:rsidRPr="000805BB" w:rsidRDefault="007B6D25" w:rsidP="00547F34">
      <w:pPr>
        <w:pStyle w:val="Heading2"/>
        <w:ind w:left="567" w:hanging="567"/>
      </w:pPr>
      <w:r>
        <w:t>Oma hiljutises resolutsioonis riiklike taaste- ja vastupidavuskavade kohta kutsus komitee täiskogu üles edendama organiseeritud kodanikuühiskonna tõhusat ja kvaliteetset kaasamist ELi majanduse juhtimisse Euroopa poolaasta reformimisprotsessi raames, võttes selle kohta vastu direktiivi või määruse. See pakuks raamistikku käesolevas aruandes esitatud ettepanekule. EFSI ja programmi „InvestEU“ väga tehniline olemus on olnud üks argumentidest, millega on põhjendatud organiseeritud kodanikuühiskonna vähest kaasamist nende käivitamisse ja rakendamisse. Kuigi komitee kaasamist investeerimispoliitika suunistesse ja rakendamisse tuleb eristada tema kaasamisest tehnilistesse ja ärilistesse otsustesse, mida komitee ei nõua, on siiski oluline on tugevdada kodanikuühiskonna organisatsioonide suutlikkust seoses investeerimispoliitika ja rahastamisvahenditega. Euroopa Komisjon ja EIP peaksid seda edendama nii programmi „InvestEU“ raames kui ka väljaspool seda.</w:t>
      </w:r>
    </w:p>
    <w:p w14:paraId="5682989C" w14:textId="77777777" w:rsidR="007B6D25" w:rsidRPr="000805BB" w:rsidRDefault="007B6D25" w:rsidP="007B6D25">
      <w:pPr>
        <w:rPr>
          <w:lang w:val="en-GB"/>
        </w:rPr>
      </w:pPr>
    </w:p>
    <w:p w14:paraId="6B258B16" w14:textId="77777777" w:rsidR="007B6D25" w:rsidRPr="000805BB" w:rsidRDefault="007B6D25" w:rsidP="00547F34">
      <w:pPr>
        <w:pStyle w:val="Heading2"/>
        <w:ind w:left="567" w:hanging="567"/>
      </w:pPr>
      <w:r>
        <w:t>Kodanikuühiskonna organisatsioonid tõid esile, et mõnes riigis ei olnud avaliku sekotri asutused saavutanud piisavaid tehnilisi oskusi ELi investeerimisprogrammide rakendamiseks ja toetamiseks ning teistes riikides on need kokku puutunud inimkapitali kaotusega, tulenevalt 2008.–2012. aasta kriisist ja oma kokkuhoiupoliitikast, millest need riigid ei olnud veel toibunud. Kuigi ametiasutuste sekkumine on selliste programmide nagu EFSI ja „Invest EU“ korral piiratud, on tähtis tugevdada vajadusel nende tehnilisi oskusi, ennekõike kui tugevdada tuleb täiendavust teiste investeerimisprogrammidega või kooskõla Euroopa ja riiklike investeerimisstrateegiate ulatuslike eesmärkidega.</w:t>
      </w:r>
    </w:p>
    <w:p w14:paraId="1A55B2D8" w14:textId="77777777" w:rsidR="007B6D25" w:rsidRPr="000805BB" w:rsidRDefault="007B6D25" w:rsidP="007B6D25">
      <w:pPr>
        <w:rPr>
          <w:lang w:val="en-GB"/>
        </w:rPr>
      </w:pPr>
    </w:p>
    <w:p w14:paraId="64BAD904" w14:textId="77777777" w:rsidR="007B6D25" w:rsidRPr="000805BB" w:rsidRDefault="007B6D25" w:rsidP="00547F34">
      <w:pPr>
        <w:pStyle w:val="Heading2"/>
        <w:ind w:left="567" w:hanging="567"/>
      </w:pPr>
      <w:r>
        <w:lastRenderedPageBreak/>
        <w:t>Seoses ELi ees seisvate suurte probleemidega – COVID-19 pandeemia, Ukrainas toimuv sõda ja selle geopoliitilised tagajärjed jne – väljendasid osalejad vajadust, et EL pühenduks senisest veelgi enam sellele, et edendada investeeringuid ja tagada investeeringute suunatus rohelise kokkuleppe eesmärkide</w:t>
      </w:r>
      <w:r w:rsidR="00E56DA9">
        <w:t xml:space="preserve"> </w:t>
      </w:r>
      <w:r>
        <w:t>– energiasüsteemi ümberkujundamise kiirendamise – ja digipöörde saavutamisele õiglase ülemineku kaudu ning sotsiaalse ühtekuuluvuse tugevdamisele. See soovitus oli seotud ka selliste investeerimisprogrammidega nagu „InvestEU“, taasterahastu „NextGenerationEU“ ja „REPowerEU“. Sotsiaaldialoog on tähtsal kohal nende protsesside sidumisel investeerimispoliitikaga.</w:t>
      </w:r>
    </w:p>
    <w:p w14:paraId="6F245268" w14:textId="77777777" w:rsidR="007B6D25" w:rsidRPr="000805BB" w:rsidRDefault="007B6D25" w:rsidP="007B6D25">
      <w:pPr>
        <w:rPr>
          <w:lang w:val="en-GB"/>
        </w:rPr>
      </w:pPr>
    </w:p>
    <w:p w14:paraId="5F7A4575" w14:textId="77777777" w:rsidR="007B6D25" w:rsidRPr="000805BB" w:rsidRDefault="007B6D25" w:rsidP="00547F34">
      <w:pPr>
        <w:pStyle w:val="Heading2"/>
        <w:ind w:left="567" w:hanging="567"/>
      </w:pPr>
      <w:r>
        <w:t>Kõik küsitletud kodanikuühiskonna organisatsioonid nõustusid juba toimuvat arvesse võttes</w:t>
      </w:r>
      <w:r w:rsidR="00547F34">
        <w:rPr>
          <w:rStyle w:val="FootnoteReference"/>
        </w:rPr>
        <w:footnoteReference w:id="9"/>
      </w:r>
      <w:r>
        <w:t xml:space="preserve"> vajadusega kutsuda Euroopa Komisjoni ja EIPd üles tugevdama vastastikust täiendavust ja koostoimet programmi „InvestEU“ ja teiste ELi investeerimisprogrammide vahel, milleks on taasterahastu „NextGenerationEU“ ning selle riiklikud taaste- ja vastupidavuskavad, kava „REPowerEU“, struktuuri- ja ühtekuuluvusfondid jne. Komitee nõustub seisukohaga, et programmi „InvestEU“ eesmärgid peaksid olema kooskõlas ELi investeerimispoliitika üldeesmärkide ja riiklike investeerimisprioriteetidega. See ei tohiks aga kahjustada selle üht suurimat tugevust, mis on üle võetud EFSI-lt – nimelt suutlikkust tagada avaliku ja erasektori partnerlus finants- ja kapitaliturgudel. Nende investeerimisprogrammide rakendamise paindlikkus ja kohandatavus on vastastikuse täiendavuse tagamisel olulise tähtsusega.</w:t>
      </w:r>
    </w:p>
    <w:p w14:paraId="316F684F" w14:textId="77777777" w:rsidR="007B6D25" w:rsidRPr="004A3C7C" w:rsidRDefault="007B6D25" w:rsidP="007B6D25">
      <w:pPr>
        <w:pStyle w:val="ListParagraph"/>
        <w:ind w:left="0"/>
      </w:pPr>
    </w:p>
    <w:p w14:paraId="1A017DA3" w14:textId="77777777" w:rsidR="007B6D25" w:rsidRPr="000805BB" w:rsidRDefault="007B6D25" w:rsidP="00547F34">
      <w:pPr>
        <w:pStyle w:val="Heading2"/>
        <w:ind w:left="567" w:hanging="567"/>
      </w:pPr>
      <w:r>
        <w:t xml:space="preserve">Enamiku konsulteeritud kodanikuühiskonna organisatsioonide arvates tuleks luua vahendid selleks, et hinnata nende programmide mõju üksikisikute ja kogukondade töö- ja elutingimustele ning piirkondadevahelisele lähenemisele. Projektitoetuse saamise kriteeriumide hulka peaks kuuluma hinnang tööõiguse, ELi tööhõivepoliitika ja põhiõiguste harta järgimise ulatuse kohta. Edendada tuleks sotsiaalsete investeerimisprojektide ning koolituse ja suutlikkuse suurendamise suuremat rahastamist. Peale selle tuleks luua mehhanism investeeringute territoriaalse mõju hindamiseks, et tagada programmi „InvestEU“ panus ka regionaalarengusse. See peaks olema kooskõlas avaliku ja erasektori partnerluse mudeli positiivsete turuteguritega. </w:t>
      </w:r>
    </w:p>
    <w:p w14:paraId="463D8F03" w14:textId="77777777" w:rsidR="007B6D25" w:rsidRPr="000805BB" w:rsidRDefault="007B6D25" w:rsidP="007B6D25">
      <w:pPr>
        <w:rPr>
          <w:lang w:val="en-GB"/>
        </w:rPr>
      </w:pPr>
    </w:p>
    <w:p w14:paraId="42A433CA" w14:textId="77777777" w:rsidR="007B6D25" w:rsidRPr="000805BB" w:rsidRDefault="007B6D25" w:rsidP="00547F34">
      <w:pPr>
        <w:pStyle w:val="Heading2"/>
        <w:ind w:left="567" w:hanging="567"/>
      </w:pPr>
      <w:r>
        <w:t>Üksikasjalikum teave EFSI ja programmi „InvestEU“ finants-, majandus- ja sotsiaalsete tulemuste kohta võib aidata edendada nende programmide tõhusust. Üks analüüsimist vajav aspekt on viivislaenude osakaal ja nende seos eri liiki sektorite, ettevõtete ja investeerimiskokkulepetega.</w:t>
      </w:r>
    </w:p>
    <w:p w14:paraId="3063B416" w14:textId="77777777" w:rsidR="007B6D25" w:rsidRPr="004A3C7C" w:rsidRDefault="007B6D25" w:rsidP="007B6D25">
      <w:pPr>
        <w:pStyle w:val="ListParagraph"/>
        <w:ind w:left="0"/>
      </w:pPr>
    </w:p>
    <w:p w14:paraId="7C007273" w14:textId="77777777" w:rsidR="007B6D25" w:rsidRPr="000805BB" w:rsidRDefault="007B6D25" w:rsidP="00547F34">
      <w:pPr>
        <w:pStyle w:val="Heading2"/>
        <w:ind w:left="567" w:hanging="567"/>
      </w:pPr>
      <w:r>
        <w:t>Seoses eriarvamustega EFSI rahastatavate investeeringute täiendavuse ulatuse suhtes on vaja luua selle täpsemaks hindamiseks täiendavuse hindamisvahendid.</w:t>
      </w:r>
    </w:p>
    <w:p w14:paraId="3833AA67" w14:textId="77777777" w:rsidR="007B6D25" w:rsidRPr="004A3C7C" w:rsidRDefault="007B6D25" w:rsidP="007B6D25">
      <w:pPr>
        <w:pStyle w:val="ListParagraph"/>
        <w:ind w:left="0"/>
      </w:pPr>
    </w:p>
    <w:p w14:paraId="311CF860" w14:textId="77777777" w:rsidR="007B6D25" w:rsidRPr="000805BB" w:rsidRDefault="007B6D25" w:rsidP="00547F34">
      <w:pPr>
        <w:pStyle w:val="Heading2"/>
        <w:ind w:left="567" w:hanging="567"/>
      </w:pPr>
      <w:r>
        <w:t>Kodanikuühiskonna organisatsioonide sõnul on äärmiselt tähtis, et erinevad programmi „InvestEU“ ametnikud tegelikult rakendaksid investeeringute mõjunäitajaid kohalikele ja piirkondlikele kogukondadele ning nende lähenemis- või lahknevusprotsessidele. Komitee kutsub Euroopa Komisjoni ja EIPd üles analüüsima seda, kuidas saaks tugevalt edendada programmi „InvestEU“ koostoimet struktuuri- ja ühtekuuluvusfondidega, et ületada EFSI rakendamisel tuvastatud kallutatus arenenumate piirkondade kasuks.</w:t>
      </w:r>
    </w:p>
    <w:p w14:paraId="3F71553D" w14:textId="77777777" w:rsidR="007B6D25" w:rsidRPr="004A3C7C" w:rsidRDefault="007B6D25" w:rsidP="007B6D25">
      <w:pPr>
        <w:pStyle w:val="ListParagraph"/>
        <w:ind w:left="0"/>
      </w:pPr>
    </w:p>
    <w:p w14:paraId="79DFE13E" w14:textId="77777777" w:rsidR="007B6D25" w:rsidRPr="000805BB" w:rsidRDefault="007B6D25" w:rsidP="00547F34">
      <w:pPr>
        <w:pStyle w:val="Heading2"/>
        <w:ind w:left="567" w:hanging="567"/>
      </w:pPr>
      <w:r>
        <w:t>Kodanikuühiskonna organisatsioonid nõustusid, et programmi „InvestEU“ kaudu rahastamisel tuleks eelistada VKEsid ja sotsiaalseid ettevõtteid. Tuleks edendada nende ettevõtete suutlikkust osaleda täiel määral peamistes ELi soodustatavates investeeringutes. Üks viis selle saavutamiseks oleks EIAHi ja EIPPi kaudu. Kogutud arvamuste kohaselt oleks samuti soovitav kehtestada Euroopa tasandil ühtne määratlus VKE, keskmise turukapitalisatsiooniga ettevõtja ja sotsiaalse ettevõtte mõistetele. Programmi „InvestEU“ taotlus- ja põhjendusprotsesside haldusformaalsuste lihtsustamine või nende täitmiseks tõhusa toe pakkumine leevendaks halduskoormust väiksemate ettevõtete jaoks, kellel on selleks vähe vahendeid.</w:t>
      </w:r>
    </w:p>
    <w:p w14:paraId="1CD110CB" w14:textId="77777777" w:rsidR="007B6D25" w:rsidRPr="004A3C7C" w:rsidRDefault="007B6D25" w:rsidP="007B6D25">
      <w:pPr>
        <w:pStyle w:val="ListParagraph"/>
        <w:ind w:left="0"/>
      </w:pPr>
    </w:p>
    <w:p w14:paraId="1B7E0C99" w14:textId="77777777" w:rsidR="007B6D25" w:rsidRPr="000805BB" w:rsidRDefault="007B6D25" w:rsidP="00547F34">
      <w:pPr>
        <w:pStyle w:val="Heading2"/>
        <w:ind w:left="567" w:hanging="567"/>
      </w:pPr>
      <w:r>
        <w:t>Olenemata hindamisel väljendatud seisukohtadest EIAHi ja EIPPi eri kasutusulatuse kohta seoses EFSI rakendamisega igas riigis, ollakse üldiselt arvamusel, et mõlemad vahendid on väga kasulikud ja neid tuleks tugevdada. EIAHil peaks olema aktiivsem roll projektide elluviimisetapis, nõustades VKEsid. Samuti võiks ta koostöös teiste riiklike üksustega kaasa aidata VKEde juhtide ja kodanikuühiskonna organisatsioonide endi finantskoolitustele. See nõuaks keskuse vahendite suurendamist. Kodanikuühiskonna organisatsioonide ja sektorite esindajate kaasamine annaks positiivse panuse tema ülesannete täitmisse.</w:t>
      </w:r>
    </w:p>
    <w:p w14:paraId="4DB5FCAF" w14:textId="77777777" w:rsidR="007B6D25" w:rsidRPr="004A3C7C" w:rsidRDefault="007B6D25" w:rsidP="007B6D25">
      <w:pPr>
        <w:pStyle w:val="ListParagraph"/>
        <w:ind w:left="0"/>
      </w:pPr>
    </w:p>
    <w:p w14:paraId="59AB9AC4" w14:textId="77777777" w:rsidR="00E2376B" w:rsidRPr="000805BB" w:rsidRDefault="007B6D25" w:rsidP="00547F34">
      <w:pPr>
        <w:pStyle w:val="Heading2"/>
        <w:ind w:left="567" w:hanging="567"/>
      </w:pPr>
      <w:r>
        <w:t>Tuginedes kodanikuühiskonna organisatsioonide kriitikale EFSI läbipaistvuse ja nähtavuse kohta, leiab komitee, et neid kahte aspekti tuleks programmi „InvestEU“ rakendamisel hoolikalt arvesse võtta. Selleks tuleks investeerida rohkem vahendeid</w:t>
      </w:r>
      <w:r w:rsidR="00E56DA9">
        <w:t xml:space="preserve"> </w:t>
      </w:r>
      <w:r>
        <w:t>konkreetsest strateegiast teavitamisse ning ära kasutada kodanikuühiskonnaga konsulteerimise protsesside potentsiaali. Programmi võimalustest teadlike VKEde ringi tuleb laiendada, kõiki abi saavaid ettevõtteid tuleb teavitada sellest, et nende saadav laenutagatis – või mõnikord osa sellest – pärineb EIPilt ja ELilt, lisaks tuleb üldsusele seda edukat ELi programmi laiemalt tutvustada.</w:t>
      </w:r>
    </w:p>
    <w:p w14:paraId="275D3F33" w14:textId="77777777" w:rsidR="00874997" w:rsidRPr="000805BB" w:rsidRDefault="00874997" w:rsidP="00874997">
      <w:pPr>
        <w:rPr>
          <w:lang w:val="en-GB"/>
        </w:rPr>
      </w:pPr>
    </w:p>
    <w:p w14:paraId="3F4E53E1" w14:textId="77777777" w:rsidR="00E2376B" w:rsidRPr="000805BB" w:rsidRDefault="7ABFEF8A" w:rsidP="00E2376B">
      <w:r>
        <w:t>Brüssel, 21. september 2022</w:t>
      </w:r>
    </w:p>
    <w:p w14:paraId="3AF4BC19" w14:textId="77777777" w:rsidR="00E2376B" w:rsidRPr="000805BB" w:rsidRDefault="00E2376B" w:rsidP="00E2376B">
      <w:pPr>
        <w:rPr>
          <w:lang w:val="en-GB"/>
        </w:rPr>
      </w:pPr>
    </w:p>
    <w:p w14:paraId="59E0F15C" w14:textId="77777777" w:rsidR="00E2376B" w:rsidRPr="000805BB" w:rsidRDefault="00E2376B" w:rsidP="00E2376B">
      <w:pPr>
        <w:rPr>
          <w:lang w:val="en-GB"/>
        </w:rPr>
      </w:pPr>
    </w:p>
    <w:p w14:paraId="25982DF1" w14:textId="77777777" w:rsidR="00E2376B" w:rsidRDefault="00E2376B" w:rsidP="00E2376B">
      <w:pPr>
        <w:rPr>
          <w:lang w:val="en-GB"/>
        </w:rPr>
      </w:pPr>
    </w:p>
    <w:p w14:paraId="5A273005" w14:textId="77777777" w:rsidR="004A3C7C" w:rsidRPr="000805BB" w:rsidRDefault="004A3C7C" w:rsidP="00E2376B">
      <w:pPr>
        <w:rPr>
          <w:lang w:val="en-GB"/>
        </w:rPr>
      </w:pPr>
    </w:p>
    <w:p w14:paraId="2C6A15DF" w14:textId="77777777" w:rsidR="00E2376B" w:rsidRPr="000805BB" w:rsidRDefault="00CE153C" w:rsidP="000805BB">
      <w:pPr>
        <w:jc w:val="left"/>
      </w:pPr>
      <w:r>
        <w:t>Christa Schweng</w:t>
      </w:r>
      <w:r>
        <w:br/>
        <w:t>Euroopa Majandus- ja Sotsiaalkomitee president</w:t>
      </w:r>
    </w:p>
    <w:p w14:paraId="7CD5CE9F" w14:textId="77777777" w:rsidR="00E2376B" w:rsidRPr="000805BB" w:rsidRDefault="00E2376B" w:rsidP="00E2376B">
      <w:pPr>
        <w:rPr>
          <w:lang w:val="en-GB"/>
        </w:rPr>
      </w:pPr>
    </w:p>
    <w:p w14:paraId="316495F6" w14:textId="77777777" w:rsidR="00F53370" w:rsidRPr="004A3C7C" w:rsidRDefault="7ABFEF8A" w:rsidP="00DB7F50">
      <w:pPr>
        <w:jc w:val="center"/>
      </w:pPr>
      <w:r>
        <w:t>_____________</w:t>
      </w:r>
    </w:p>
    <w:sectPr w:rsidR="00F53370" w:rsidRPr="004A3C7C" w:rsidSect="001E74A1">
      <w:headerReference w:type="default" r:id="rId18"/>
      <w:footerReference w:type="default" r:id="rId19"/>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24660" w14:textId="77777777" w:rsidR="00F2069F" w:rsidRDefault="00F2069F" w:rsidP="00F53370">
      <w:pPr>
        <w:spacing w:line="240" w:lineRule="auto"/>
      </w:pPr>
      <w:r>
        <w:separator/>
      </w:r>
    </w:p>
  </w:endnote>
  <w:endnote w:type="continuationSeparator" w:id="0">
    <w:p w14:paraId="2752931D" w14:textId="77777777" w:rsidR="00F2069F" w:rsidRDefault="00F2069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DFB59"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A9291" w14:textId="69639250" w:rsidR="0084105C" w:rsidRPr="003065C9" w:rsidRDefault="0028396A" w:rsidP="0028396A">
    <w:pPr>
      <w:pStyle w:val="Footer"/>
      <w:jc w:val="left"/>
    </w:pPr>
    <w:r>
      <w:t xml:space="preserve">ECO/577 – EESC-2022-01290-00-00-RE-TRA (EN) </w:t>
    </w:r>
    <w:r>
      <w:fldChar w:fldCharType="begin"/>
    </w:r>
    <w:r>
      <w:instrText xml:space="preserve"> PAGE  \* Arabic  \* MERGEFORMAT </w:instrText>
    </w:r>
    <w:r>
      <w:fldChar w:fldCharType="separate"/>
    </w:r>
    <w:r w:rsidR="00E27EA9">
      <w:rPr>
        <w:noProof/>
      </w:rPr>
      <w:t>1</w:t>
    </w:r>
    <w:r>
      <w:fldChar w:fldCharType="end"/>
    </w:r>
    <w:r>
      <w:t>/</w:t>
    </w:r>
    <w:r>
      <w:fldChar w:fldCharType="begin"/>
    </w:r>
    <w:r>
      <w:instrText xml:space="preserve"> = </w:instrText>
    </w:r>
    <w:r w:rsidR="00E27EA9">
      <w:fldChar w:fldCharType="begin"/>
    </w:r>
    <w:r w:rsidR="00E27EA9">
      <w:instrText xml:space="preserve"> NUMPAGES </w:instrText>
    </w:r>
    <w:r w:rsidR="00E27EA9">
      <w:fldChar w:fldCharType="separate"/>
    </w:r>
    <w:r w:rsidR="00E27EA9">
      <w:rPr>
        <w:noProof/>
      </w:rPr>
      <w:instrText>11</w:instrText>
    </w:r>
    <w:r w:rsidR="00E27EA9">
      <w:rPr>
        <w:noProof/>
      </w:rPr>
      <w:fldChar w:fldCharType="end"/>
    </w:r>
    <w:r>
      <w:instrText xml:space="preserve"> - 2 </w:instrText>
    </w:r>
    <w:r>
      <w:fldChar w:fldCharType="separate"/>
    </w:r>
    <w:r w:rsidR="00E27EA9">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5BE70" w14:textId="77777777" w:rsidR="00F2069F" w:rsidRDefault="00F2069F" w:rsidP="00F53370">
      <w:pPr>
        <w:spacing w:line="240" w:lineRule="auto"/>
      </w:pPr>
      <w:r>
        <w:separator/>
      </w:r>
    </w:p>
  </w:footnote>
  <w:footnote w:type="continuationSeparator" w:id="0">
    <w:p w14:paraId="1207889C" w14:textId="77777777" w:rsidR="00F2069F" w:rsidRDefault="00F2069F" w:rsidP="00F53370">
      <w:pPr>
        <w:spacing w:line="240" w:lineRule="auto"/>
      </w:pPr>
      <w:r>
        <w:continuationSeparator/>
      </w:r>
    </w:p>
  </w:footnote>
  <w:footnote w:id="1">
    <w:p w14:paraId="46108BCF" w14:textId="77777777" w:rsidR="007B6D25" w:rsidRPr="00B25F25" w:rsidRDefault="007B6D25" w:rsidP="007B6D25">
      <w:pPr>
        <w:pStyle w:val="FootnoteText"/>
      </w:pPr>
      <w:r>
        <w:rPr>
          <w:rStyle w:val="FootnoteReference"/>
        </w:rPr>
        <w:footnoteRef/>
      </w:r>
      <w:r>
        <w:t xml:space="preserve"> </w:t>
      </w:r>
      <w:r>
        <w:tab/>
      </w:r>
      <w:r>
        <w:rPr>
          <w:color w:val="333333"/>
          <w:shd w:val="clear" w:color="auto" w:fill="FFFFFF"/>
        </w:rPr>
        <w:t>13. detsembri 2017. aasta määrus (EL) 2017/2396, millega muudetakse määrusi (EL) nr 1316/2013 ja (EL) nr 2015/1017 Euroopa Strateegiliste Investeeringute Fondi kestuse pikendamise ning kõnealuse fondi ja Euroopa investeerimisnõustamise keskuse tehnilise täiustamise osas.</w:t>
      </w:r>
    </w:p>
  </w:footnote>
  <w:footnote w:id="2">
    <w:p w14:paraId="03D05474" w14:textId="77777777" w:rsidR="007B6D25" w:rsidRPr="00B25F25" w:rsidRDefault="007B6D25" w:rsidP="007B6D25">
      <w:pPr>
        <w:pStyle w:val="FootnoteText"/>
      </w:pPr>
      <w:r>
        <w:rPr>
          <w:rStyle w:val="FootnoteReference"/>
        </w:rPr>
        <w:footnoteRef/>
      </w:r>
      <w:r>
        <w:t xml:space="preserve"> </w:t>
      </w:r>
      <w:r>
        <w:tab/>
        <w:t>Investeerimisperiood algas 22. juulil 2015 ja lõpeb 31. detsembril 2022 EFSI tagatisega tehingute puhul, mille on investeeringute komitee heaks kiitnud 31. detsembril 2020 või enne seda.</w:t>
      </w:r>
    </w:p>
  </w:footnote>
  <w:footnote w:id="3">
    <w:p w14:paraId="6A4487DB" w14:textId="77777777" w:rsidR="007B6D25" w:rsidRPr="00B25F25" w:rsidRDefault="007B6D25" w:rsidP="007B6D25">
      <w:pPr>
        <w:pStyle w:val="FootnoteText"/>
      </w:pPr>
      <w:r>
        <w:rPr>
          <w:rStyle w:val="FootnoteReference"/>
        </w:rPr>
        <w:footnoteRef/>
      </w:r>
      <w:r>
        <w:t xml:space="preserve"> </w:t>
      </w:r>
      <w:r>
        <w:tab/>
        <w:t>Euroopa Komisjoni ajakohastatud andmed, mis põhinevad EIP grupi 2021. aasta lõpu aruannetel.</w:t>
      </w:r>
    </w:p>
  </w:footnote>
  <w:footnote w:id="4">
    <w:p w14:paraId="621CD2B8" w14:textId="77777777" w:rsidR="00547F34" w:rsidRPr="00547F34" w:rsidRDefault="00547F34">
      <w:pPr>
        <w:pStyle w:val="FootnoteText"/>
      </w:pPr>
      <w:r>
        <w:rPr>
          <w:rStyle w:val="FootnoteReference"/>
        </w:rPr>
        <w:footnoteRef/>
      </w:r>
      <w:r>
        <w:t xml:space="preserve"> </w:t>
      </w:r>
      <w:r>
        <w:tab/>
        <w:t>Need arvud on esitatud eraldatud või märgitud summade kohta, erinevalt eelmises lõigus esitatud heakskiidetud summadest.</w:t>
      </w:r>
    </w:p>
  </w:footnote>
  <w:footnote w:id="5">
    <w:p w14:paraId="06CCC7D8" w14:textId="77777777" w:rsidR="007B6D25" w:rsidRPr="00B25F25" w:rsidRDefault="007B6D25" w:rsidP="007B6D25">
      <w:pPr>
        <w:pStyle w:val="FootnoteText"/>
      </w:pPr>
      <w:r>
        <w:rPr>
          <w:rStyle w:val="FootnoteReference"/>
        </w:rPr>
        <w:footnoteRef/>
      </w:r>
      <w:r>
        <w:t xml:space="preserve"> </w:t>
      </w:r>
      <w:r>
        <w:tab/>
        <w:t>Euroopa Komisjoni ajakohastatud andmed, mis põhinevad EIP grupi 2021. aasta lõpu aruannetel.</w:t>
      </w:r>
    </w:p>
  </w:footnote>
  <w:footnote w:id="6">
    <w:p w14:paraId="791B6BA1" w14:textId="77777777" w:rsidR="007B6D25" w:rsidRPr="00B25F25" w:rsidRDefault="007B6D25" w:rsidP="007B6D25">
      <w:pPr>
        <w:pStyle w:val="FootnoteText"/>
      </w:pPr>
      <w:r>
        <w:rPr>
          <w:rStyle w:val="FootnoteReference"/>
        </w:rPr>
        <w:footnoteRef/>
      </w:r>
      <w:r>
        <w:t xml:space="preserve"> </w:t>
      </w:r>
      <w:r>
        <w:tab/>
        <w:t>24. märtsi 2021. aasta määrus (EL) 2021/523, millega luuakse programm „InvestEU“ ja millega muudetakse määrust (EL) 2015/1017, V peatükk, juhtimine. Artikliga 20 luuakse üksnes tehnilise nõuandefunktsiooniga nõuandekogu, kuhu lisaks liikmesriikide ja nendega seotud juhtorganite esindajatele võib kuuluda üks Euroopa Majandus- ja Sotsiaalkomitee ja üks Euroopa Regioonide Komitee määratud ekspert.</w:t>
      </w:r>
    </w:p>
  </w:footnote>
  <w:footnote w:id="7">
    <w:p w14:paraId="2BFCE83D" w14:textId="77777777" w:rsidR="007B6D25" w:rsidRPr="00B25F25" w:rsidRDefault="007B6D25" w:rsidP="007B6D25">
      <w:pPr>
        <w:pStyle w:val="FootnoteText"/>
      </w:pPr>
      <w:r>
        <w:rPr>
          <w:rStyle w:val="FootnoteReference"/>
        </w:rPr>
        <w:footnoteRef/>
      </w:r>
      <w:r>
        <w:tab/>
        <w:t>Määruse (EL) 2015/1017 artikli 7 lõike 3 kohaselt korraldab juhatus korrapäraselt asjakohaste sidusrühmadega, eelkõige kaasinvesteerijate, avaliku sektori asutuste, ekspertide, haridus-, koolitus- ja teadusasutuste, asjaomaste sotsiaalpartnerite ja kodanikuühiskonna esindajatega konsultatsioone käesoleva määruse alusel EIP poolt ellu viidava investeerimispoliitika suuna ja rakendamise teemal.</w:t>
      </w:r>
    </w:p>
  </w:footnote>
  <w:footnote w:id="8">
    <w:p w14:paraId="2066439B" w14:textId="77777777" w:rsidR="007B6D25" w:rsidRPr="00B25F25" w:rsidRDefault="007B6D25" w:rsidP="007B6D25">
      <w:pPr>
        <w:pStyle w:val="FootnoteText"/>
      </w:pPr>
      <w:r>
        <w:rPr>
          <w:rStyle w:val="FootnoteReference"/>
        </w:rPr>
        <w:footnoteRef/>
      </w:r>
      <w:r>
        <w:t xml:space="preserve"> </w:t>
      </w:r>
      <w:r>
        <w:tab/>
        <w:t xml:space="preserve">Komitee 18. mai 2022. aasta resolutsioon, </w:t>
      </w:r>
      <w:hyperlink r:id="rId1" w:history="1">
        <w:r>
          <w:rPr>
            <w:rStyle w:val="Hyperlink"/>
          </w:rPr>
          <w:t>„Kuidas parandada organiseeritud kodanikuühiskonna kaasamist riiklikesse taaste- ja vastupidavuskavadesse?“</w:t>
        </w:r>
      </w:hyperlink>
      <w:r>
        <w:t>.</w:t>
      </w:r>
    </w:p>
  </w:footnote>
  <w:footnote w:id="9">
    <w:p w14:paraId="0E3C43D0" w14:textId="77777777" w:rsidR="00547F34" w:rsidRPr="00547F34" w:rsidRDefault="00547F34">
      <w:pPr>
        <w:pStyle w:val="FootnoteText"/>
      </w:pPr>
      <w:r>
        <w:rPr>
          <w:rStyle w:val="FootnoteReference"/>
        </w:rPr>
        <w:footnoteRef/>
      </w:r>
      <w:r>
        <w:t xml:space="preserve"> </w:t>
      </w:r>
      <w:r>
        <w:tab/>
        <w:t>See puudutab programmi „InvestEU“ segarahastamistoiminguid ja liikmesriikide eelarveosi, kus Euroopa vahendeid saab täiendada või kombineerida programmi „InvestEU“ tagatistega.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34894" w14:textId="77777777" w:rsidR="00574C9B" w:rsidRDefault="00E27EA9">
    <w:pPr>
      <w:pStyle w:val="Header"/>
    </w:pPr>
    <w:r>
      <w:pict w14:anchorId="4DA76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39B5B" w14:textId="77777777" w:rsidR="00574C9B" w:rsidRDefault="0051311B">
    <w:pPr>
      <w:pStyle w:val="Header"/>
    </w:pPr>
    <w:r>
      <w:rPr>
        <w:noProof/>
        <w:lang w:val="en-US"/>
      </w:rPr>
      <w:drawing>
        <wp:anchor distT="0" distB="0" distL="114300" distR="114300" simplePos="0" relativeHeight="251667456" behindDoc="0" locked="0" layoutInCell="1" allowOverlap="1" wp14:anchorId="1C844142" wp14:editId="18C83DE5">
          <wp:simplePos x="0" y="0"/>
          <wp:positionH relativeFrom="page">
            <wp:align>center</wp:align>
          </wp:positionH>
          <wp:positionV relativeFrom="page">
            <wp:posOffset>288290</wp:posOffset>
          </wp:positionV>
          <wp:extent cx="6944400" cy="334440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400" cy="3344400"/>
                  </a:xfrm>
                  <a:prstGeom prst="rect">
                    <a:avLst/>
                  </a:prstGeom>
                </pic:spPr>
              </pic:pic>
            </a:graphicData>
          </a:graphic>
          <wp14:sizeRelH relativeFrom="margin">
            <wp14:pctWidth>0</wp14:pctWidth>
          </wp14:sizeRelH>
          <wp14:sizeRelV relativeFrom="margin">
            <wp14:pctHeight>0</wp14:pctHeight>
          </wp14:sizeRelV>
        </wp:anchor>
      </w:drawing>
    </w:r>
    <w:r w:rsidR="00E27EA9">
      <w:pict w14:anchorId="24D50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0F771" w14:textId="77777777" w:rsidR="00574C9B" w:rsidRDefault="00E27EA9">
    <w:pPr>
      <w:pStyle w:val="Header"/>
    </w:pPr>
    <w:r>
      <w:pict w14:anchorId="1B4BD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2A5CA" w14:textId="77777777" w:rsidR="00574C9B" w:rsidRDefault="00E27EA9">
    <w:pPr>
      <w:pStyle w:val="Header"/>
    </w:pPr>
    <w:r>
      <w:pict w14:anchorId="48D04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09098" w14:textId="77777777" w:rsidR="00574C9B" w:rsidRDefault="00574C9B">
    <w:pPr>
      <w:pStyle w:val="Header"/>
    </w:pPr>
    <w:r>
      <w:rPr>
        <w:noProof/>
        <w:lang w:val="en-US"/>
      </w:rPr>
      <w:drawing>
        <wp:anchor distT="0" distB="0" distL="114300" distR="114300" simplePos="0" relativeHeight="251665408" behindDoc="1" locked="0" layoutInCell="1" allowOverlap="1" wp14:anchorId="798BD4CA" wp14:editId="046F37E8">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DB12" w14:textId="77777777" w:rsidR="00574C9B" w:rsidRDefault="00E27EA9">
    <w:pPr>
      <w:pStyle w:val="Header"/>
    </w:pPr>
    <w:r>
      <w:pict w14:anchorId="39C06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1EA01" w14:textId="77777777" w:rsidR="00FA08F8" w:rsidRDefault="00E27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5"/>
    </w:lvlOverride>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20389"/>
    <w:rsid w:val="00053D00"/>
    <w:rsid w:val="000805BB"/>
    <w:rsid w:val="000A0F3B"/>
    <w:rsid w:val="000B19BD"/>
    <w:rsid w:val="00142EBB"/>
    <w:rsid w:val="0019231D"/>
    <w:rsid w:val="001972AD"/>
    <w:rsid w:val="001B61BB"/>
    <w:rsid w:val="001C5BD3"/>
    <w:rsid w:val="001D61AC"/>
    <w:rsid w:val="001E15AA"/>
    <w:rsid w:val="001E3FA1"/>
    <w:rsid w:val="00214BDC"/>
    <w:rsid w:val="00215E81"/>
    <w:rsid w:val="0024727F"/>
    <w:rsid w:val="0028396A"/>
    <w:rsid w:val="002B6A7B"/>
    <w:rsid w:val="003353D7"/>
    <w:rsid w:val="00350010"/>
    <w:rsid w:val="003659F9"/>
    <w:rsid w:val="00423E47"/>
    <w:rsid w:val="004A3C7C"/>
    <w:rsid w:val="0051311B"/>
    <w:rsid w:val="00547F34"/>
    <w:rsid w:val="00574C9B"/>
    <w:rsid w:val="0058411F"/>
    <w:rsid w:val="006125A1"/>
    <w:rsid w:val="00653E7D"/>
    <w:rsid w:val="00662207"/>
    <w:rsid w:val="00667F09"/>
    <w:rsid w:val="006B57A6"/>
    <w:rsid w:val="007329A9"/>
    <w:rsid w:val="00787837"/>
    <w:rsid w:val="00787ABB"/>
    <w:rsid w:val="007B6D25"/>
    <w:rsid w:val="007D23F0"/>
    <w:rsid w:val="00822952"/>
    <w:rsid w:val="00836505"/>
    <w:rsid w:val="00844B87"/>
    <w:rsid w:val="00874997"/>
    <w:rsid w:val="00885862"/>
    <w:rsid w:val="008A6DD4"/>
    <w:rsid w:val="008D3E89"/>
    <w:rsid w:val="008F74D7"/>
    <w:rsid w:val="00904C42"/>
    <w:rsid w:val="00907A19"/>
    <w:rsid w:val="00924C05"/>
    <w:rsid w:val="00937CF2"/>
    <w:rsid w:val="00976645"/>
    <w:rsid w:val="0098228C"/>
    <w:rsid w:val="00994352"/>
    <w:rsid w:val="009A1B60"/>
    <w:rsid w:val="009B0D9E"/>
    <w:rsid w:val="009F60B8"/>
    <w:rsid w:val="00A06F55"/>
    <w:rsid w:val="00A20DC1"/>
    <w:rsid w:val="00A23CCB"/>
    <w:rsid w:val="00A36AB0"/>
    <w:rsid w:val="00AB37A3"/>
    <w:rsid w:val="00AC5114"/>
    <w:rsid w:val="00AF52BC"/>
    <w:rsid w:val="00B07045"/>
    <w:rsid w:val="00B51901"/>
    <w:rsid w:val="00BE0B70"/>
    <w:rsid w:val="00C073E1"/>
    <w:rsid w:val="00C65EF5"/>
    <w:rsid w:val="00C66AEA"/>
    <w:rsid w:val="00C9040A"/>
    <w:rsid w:val="00C91E4D"/>
    <w:rsid w:val="00CA1E69"/>
    <w:rsid w:val="00CB110A"/>
    <w:rsid w:val="00CE153C"/>
    <w:rsid w:val="00D33926"/>
    <w:rsid w:val="00D95232"/>
    <w:rsid w:val="00DB7F50"/>
    <w:rsid w:val="00DE30C7"/>
    <w:rsid w:val="00DF400F"/>
    <w:rsid w:val="00E15BF4"/>
    <w:rsid w:val="00E2376B"/>
    <w:rsid w:val="00E27707"/>
    <w:rsid w:val="00E27EA9"/>
    <w:rsid w:val="00E34F64"/>
    <w:rsid w:val="00E56DA9"/>
    <w:rsid w:val="00E661B7"/>
    <w:rsid w:val="00EA54DA"/>
    <w:rsid w:val="00ED729D"/>
    <w:rsid w:val="00F12959"/>
    <w:rsid w:val="00F130F0"/>
    <w:rsid w:val="00F2069F"/>
    <w:rsid w:val="00F53370"/>
    <w:rsid w:val="00F80191"/>
    <w:rsid w:val="00F850E6"/>
    <w:rsid w:val="00F90BE2"/>
    <w:rsid w:val="00FA704F"/>
    <w:rsid w:val="00FC0F42"/>
    <w:rsid w:val="1F169D66"/>
    <w:rsid w:val="7ABFE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55EACD3"/>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F80191"/>
    <w:rPr>
      <w:sz w:val="16"/>
      <w:szCs w:val="16"/>
    </w:rPr>
  </w:style>
  <w:style w:type="paragraph" w:styleId="CommentText">
    <w:name w:val="annotation text"/>
    <w:basedOn w:val="Normal"/>
    <w:link w:val="CommentTextChar"/>
    <w:uiPriority w:val="99"/>
    <w:semiHidden/>
    <w:unhideWhenUsed/>
    <w:rsid w:val="00F80191"/>
    <w:pPr>
      <w:spacing w:line="240" w:lineRule="auto"/>
    </w:pPr>
    <w:rPr>
      <w:sz w:val="20"/>
      <w:szCs w:val="20"/>
    </w:rPr>
  </w:style>
  <w:style w:type="character" w:customStyle="1" w:styleId="CommentTextChar">
    <w:name w:val="Comment Text Char"/>
    <w:basedOn w:val="DefaultParagraphFont"/>
    <w:link w:val="CommentText"/>
    <w:uiPriority w:val="99"/>
    <w:semiHidden/>
    <w:rsid w:val="00F801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0191"/>
    <w:rPr>
      <w:b/>
      <w:bCs/>
    </w:rPr>
  </w:style>
  <w:style w:type="character" w:customStyle="1" w:styleId="CommentSubjectChar">
    <w:name w:val="Comment Subject Char"/>
    <w:basedOn w:val="CommentTextChar"/>
    <w:link w:val="CommentSubject"/>
    <w:uiPriority w:val="99"/>
    <w:semiHidden/>
    <w:rsid w:val="00F80191"/>
    <w:rPr>
      <w:rFonts w:ascii="Times New Roman" w:eastAsia="Times New Roman" w:hAnsi="Times New Roman" w:cs="Times New Roman"/>
      <w:b/>
      <w:bCs/>
      <w:sz w:val="20"/>
      <w:szCs w:val="20"/>
    </w:rPr>
  </w:style>
  <w:style w:type="paragraph" w:styleId="Revision">
    <w:name w:val="Revision"/>
    <w:hidden/>
    <w:uiPriority w:val="99"/>
    <w:semiHidden/>
    <w:rsid w:val="007B6D25"/>
    <w:pPr>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7B6D25"/>
    <w:pPr>
      <w:ind w:left="720"/>
      <w:contextualSpacing/>
    </w:pPr>
  </w:style>
  <w:style w:type="character" w:styleId="FollowedHyperlink">
    <w:name w:val="FollowedHyperlink"/>
    <w:basedOn w:val="DefaultParagraphFont"/>
    <w:uiPriority w:val="99"/>
    <w:semiHidden/>
    <w:unhideWhenUsed/>
    <w:rsid w:val="00547F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23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eesc.europa.eu/en/documents/resolution/resolution-involvement-organised-civil-society-national-recovery-and-resilience-plans-how-can-we-improv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P6FJPSUHKDC2-1211003791-11458</_dlc_DocId>
    <_dlc_DocIdUrl xmlns="1299d781-265f-4ceb-999e-e1eca3df2c90">
      <Url>http://dm/eesc/2022/_layouts/15/DocIdRedir.aspx?ID=P6FJPSUHKDC2-1211003791-11458</Url>
      <Description>P6FJPSUHKDC2-1211003791-11458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TermName>
          <TermId xmlns="http://schemas.microsoft.com/office/infopath/2007/PartnerControls">2e31ab9a-38d8-4b15-bf54-b076b749ef85</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2022-09-23T12:00:00+00:00</ProductionDate>
    <DocumentNumber xmlns="d51dc14e-0c05-44bd-9dff-3ae522c33107">1290</DocumentNumber>
    <FicheYear xmlns="1299d781-265f-4ceb-999e-e1eca3df2c90" xsi:nil="true"/>
    <DocumentVersion xmlns="1299d781-265f-4ceb-999e-e1eca3df2c90">0</DocumentVersion>
    <DossierNumber xmlns="1299d781-265f-4ceb-999e-e1eca3df2c90">577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81</Value>
      <Value>246</Value>
      <Value>63</Value>
      <Value>55</Value>
      <Value>54</Value>
      <Value>46</Value>
      <Value>45</Value>
      <Value>44</Value>
      <Value>43</Value>
      <Value>42</Value>
      <Value>41</Value>
      <Value>40</Value>
      <Value>38</Value>
      <Value>37</Value>
      <Value>36</Value>
      <Value>35</Value>
      <Value>34</Value>
      <Value>33</Value>
      <Value>32</Value>
      <Value>31</Value>
      <Value>30</Value>
      <Value>29</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Rapporteur xmlns="1299d781-265f-4ceb-999e-e1eca3df2c90">DOZ ORRIT &amp; CALISTRU</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10769</FicheNumber>
    <OriginalSender xmlns="1299d781-265f-4ceb-999e-e1eca3df2c90">
      <UserInfo>
        <DisplayName>Hrabovská Darina</DisplayName>
        <AccountId>1918</AccountId>
        <AccountType/>
      </UserInfo>
    </OriginalSender>
    <DocumentPart xmlns="1299d781-265f-4ceb-999e-e1eca3df2c90">0</DocumentPart>
    <AdoptionDate xmlns="1299d781-265f-4ceb-999e-e1eca3df2c90">2022-09-21T12:00:00+00:00</AdoptionDate>
    <RequestingService xmlns="1299d781-265f-4ceb-999e-e1eca3df2c90">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51dc14e-0c05-44bd-9dff-3ae522c3310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0A67E7817F567C48B0FF98918A0B8F68" ma:contentTypeVersion="6" ma:contentTypeDescription="Defines the documents for Document Manager V2" ma:contentTypeScope="" ma:versionID="a444b72282a47fd42898ff1110ab7ba9">
  <xsd:schema xmlns:xsd="http://www.w3.org/2001/XMLSchema" xmlns:xs="http://www.w3.org/2001/XMLSchema" xmlns:p="http://schemas.microsoft.com/office/2006/metadata/properties" xmlns:ns2="1299d781-265f-4ceb-999e-e1eca3df2c90" xmlns:ns3="http://schemas.microsoft.com/sharepoint/v3/fields" xmlns:ns4="d51dc14e-0c05-44bd-9dff-3ae522c33107" targetNamespace="http://schemas.microsoft.com/office/2006/metadata/properties" ma:root="true" ma:fieldsID="18f5364f66b1800776293abddc9be6a2" ns2:_="" ns3:_="" ns4:_="">
    <xsd:import namespace="1299d781-265f-4ceb-999e-e1eca3df2c90"/>
    <xsd:import namespace="http://schemas.microsoft.com/sharepoint/v3/fields"/>
    <xsd:import namespace="d51dc14e-0c05-44bd-9dff-3ae522c331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1dc14e-0c05-44bd-9dff-3ae522c331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BAB86-EEBD-4AD5-A27A-1E26A9087B3B}"/>
</file>

<file path=customXml/itemProps2.xml><?xml version="1.0" encoding="utf-8"?>
<ds:datastoreItem xmlns:ds="http://schemas.openxmlformats.org/officeDocument/2006/customXml" ds:itemID="{86D43A2C-5986-4BBA-8310-81C4FFE2C5E9}"/>
</file>

<file path=customXml/itemProps3.xml><?xml version="1.0" encoding="utf-8"?>
<ds:datastoreItem xmlns:ds="http://schemas.openxmlformats.org/officeDocument/2006/customXml" ds:itemID="{9BFEA246-E842-4EDC-A4A0-4D9F8DB664E0}"/>
</file>

<file path=customXml/itemProps4.xml><?xml version="1.0" encoding="utf-8"?>
<ds:datastoreItem xmlns:ds="http://schemas.openxmlformats.org/officeDocument/2006/customXml" ds:itemID="{FFCB1343-359D-4FEE-9B04-5792BA889EDB}"/>
</file>

<file path=docProps/app.xml><?xml version="1.0" encoding="utf-8"?>
<Properties xmlns="http://schemas.openxmlformats.org/officeDocument/2006/extended-properties" xmlns:vt="http://schemas.openxmlformats.org/officeDocument/2006/docPropsVTypes">
  <Template>Normal.dotm</Template>
  <TotalTime>15</TotalTime>
  <Pages>11</Pages>
  <Words>3863</Words>
  <Characters>22024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RE - Evaluation report (Committee) - EESC new template</vt:lpstr>
    </vt:vector>
  </TitlesOfParts>
  <Company>CESE-CdR</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Euroopa Strateegiliste Investeeringute Fondi 2.0 hindamine</dc:title>
  <dc:subject>RE</dc:subject>
  <dc:creator>Francois Aude</dc:creator>
  <cp:keywords>EESC-2022-01290-00-00-RE-TRA-EN</cp:keywords>
  <dc:description>Rapporteur: DOZ ORRIT &amp; CALISTRU - Original language: EN - Date of document: 23/09/2022 - Date of meeting:  - External documents:  - Administrator:  PERLAKY-TÓTH Krisztina</dc:description>
  <cp:lastModifiedBy>Hvizdosova Jana</cp:lastModifiedBy>
  <cp:revision>13</cp:revision>
  <dcterms:created xsi:type="dcterms:W3CDTF">2022-09-22T07:15:00Z</dcterms:created>
  <dcterms:modified xsi:type="dcterms:W3CDTF">2022-09-29T07:36:00Z</dcterms:modified>
  <cp:category>ECO/577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22/09/2022, 17/05/2022</vt:lpwstr>
  </property>
  <property fmtid="{D5CDD505-2E9C-101B-9397-08002B2CF9AE}" pid="4" name="Pref_Time">
    <vt:lpwstr>08:36:34, 14:56:43</vt:lpwstr>
  </property>
  <property fmtid="{D5CDD505-2E9C-101B-9397-08002B2CF9AE}" pid="5" name="Pref_User">
    <vt:lpwstr>jhvi, enied</vt:lpwstr>
  </property>
  <property fmtid="{D5CDD505-2E9C-101B-9397-08002B2CF9AE}" pid="6" name="Pref_FileName">
    <vt:lpwstr>EESC-2022-01290-00-00-RE-TRA-EN-CRR.docx, COR-EESC-2022-02558-00-00-ADMIN-ORI.docx</vt:lpwstr>
  </property>
  <property fmtid="{D5CDD505-2E9C-101B-9397-08002B2CF9AE}" pid="7" name="ContentTypeId">
    <vt:lpwstr>0x010100EA97B91038054C99906057A708A1480A000A67E7817F567C48B0FF98918A0B8F68</vt:lpwstr>
  </property>
  <property fmtid="{D5CDD505-2E9C-101B-9397-08002B2CF9AE}" pid="8" name="_dlc_DocIdItemGuid">
    <vt:lpwstr>322d89be-aa4b-4eeb-9b53-66946365f1a4</vt:lpwstr>
  </property>
  <property fmtid="{D5CDD505-2E9C-101B-9397-08002B2CF9AE}" pid="9" name="AvailableTranslations">
    <vt:lpwstr>31;#ES|e7a6b05b-ae16-40c8-add9-68b64b03aeba;#35;#MT|7df99101-6854-4a26-b53a-b88c0da02c26;#42;#SL|98a412ae-eb01-49e9-ae3d-585a81724cfc;#11;#FR|d2afafd3-4c81-4f60-8f52-ee33f2f54ff3;#29;#SV|c2ed69e7-a339-43d7-8f22-d93680a92aa0;#38;#FI|87606a43-d45f-42d6-b8c9-e1a3457db5b7;#36;#HU|6b229040-c589-4408-b4c1-4285663d20a8;#32;#DA|5d49c027-8956-412b-aa16-e85a0f96ad0e;#55;#HR|2f555653-ed1a-4fe6-8362-9082d95989e5;#63;#GA|762d2456-c427-4ecb-b312-af3dad8e258c;#54;#ET|ff6c3f4c-b02c-4c3c-ab07-2c37995a7a0a;#40;#BG|1a1b3951-7821-4e6a-85f5-5673fc08bd2c;#43;#NL|55c6556c-b4f4-441d-9acf-c498d4f838bd;#45;#RO|feb747a2-64cd-4299-af12-4833ddc30497;#41;#CS|72f9705b-0217-4fd3-bea2-cbc7ed80e26e;#26;#LV|46f7e311-5d9f-4663-b433-18aeccb7ace7;#46;#EL|6d4f4d51-af9b-4650-94b4-4276bee85c91;#44;#LT|a7ff5ce7-6123-4f68-865a-a57c31810414;#37;#PT|50ccc04a-eadd-42ae-a0cb-acaf45f812ba;#22;#DE|f6b31e5a-26fa-4935-b661-318e46daf27e;#30;#PL|1e03da61-4678-4e07-b136-b5024ca9197b;#4;#EN|f2175f21-25d7-44a3-96da-d6a61b075e1b;#34;#SK|46d9fce0-ef79-4f71-b89b-cd6aa82426b8;#33;#IT|0774613c-01ed-4e5d-a25d-11d2388de825</vt:lpwstr>
  </property>
  <property fmtid="{D5CDD505-2E9C-101B-9397-08002B2CF9AE}" pid="10" name="DocumentType_0">
    <vt:lpwstr>RE|2e31ab9a-38d8-4b15-bf54-b076b749ef85</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1290</vt:i4>
  </property>
  <property fmtid="{D5CDD505-2E9C-101B-9397-08002B2CF9AE}" pid="14" name="DocumentVersion">
    <vt:i4>0</vt:i4>
  </property>
  <property fmtid="{D5CDD505-2E9C-101B-9397-08002B2CF9AE}" pid="15" name="DossierNumber">
    <vt:i4>577</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81;#ECO|8df351f5-c957-404c-8cf3-8ffb22c9cba2</vt:lpwstr>
  </property>
  <property fmtid="{D5CDD505-2E9C-101B-9397-08002B2CF9AE}" pid="19" name="DocumentSource">
    <vt:lpwstr>1;#EESC|422833ec-8d7e-4e65-8e4e-8bed07ffb729</vt:lpwstr>
  </property>
  <property fmtid="{D5CDD505-2E9C-101B-9397-08002B2CF9AE}" pid="20" name="AdoptionDate">
    <vt:filetime>2022-09-21T12:00:00Z</vt:filetime>
  </property>
  <property fmtid="{D5CDD505-2E9C-101B-9397-08002B2CF9AE}" pid="21" name="DocumentType">
    <vt:lpwstr>246;#RE|2e31ab9a-38d8-4b15-bf54-b076b749ef85</vt:lpwstr>
  </property>
  <property fmtid="{D5CDD505-2E9C-101B-9397-08002B2CF9AE}" pid="22" name="RequestingService">
    <vt:lpwstr>Union économique et monétaire et cohésion économique et sociale</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8" name="AvailableTranslations_0">
    <vt:lpwstr>MT|7df99101-6854-4a26-b53a-b88c0da02c26;SL|98a412ae-eb01-49e9-ae3d-585a81724cfc;SV|c2ed69e7-a339-43d7-8f22-d93680a92aa0;FI|87606a43-d45f-42d6-b8c9-e1a3457db5b7;HU|6b229040-c589-4408-b4c1-4285663d20a8;HR|2f555653-ed1a-4fe6-8362-9082d95989e5;BG|1a1b3951-782</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36;#HU|6b229040-c589-4408-b4c1-4285663d20a8;#35;#MT|7df99101-6854-4a26-b53a-b88c0da02c26;#34;#SK|46d9fce0-ef79-4f71-b89b-cd6aa82426b8;#33;#IT|0774613c-01ed-4e5d-a25d-11d2388de825;#246;#RE|2e31ab9a-38d8-4b15-bf54-b076b749ef85;#43;#NL|55c6556c-b4f4-441d-9ac</vt:lpwstr>
  </property>
  <property fmtid="{D5CDD505-2E9C-101B-9397-08002B2CF9AE}" pid="32" name="Rapporteur">
    <vt:lpwstr>DOZ ORRIT &amp; CALISTRU</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2022</vt:i4>
  </property>
  <property fmtid="{D5CDD505-2E9C-101B-9397-08002B2CF9AE}" pid="36" name="FicheNumber">
    <vt:i4>10769</vt:i4>
  </property>
  <property fmtid="{D5CDD505-2E9C-101B-9397-08002B2CF9AE}" pid="37" name="DocumentLanguage">
    <vt:lpwstr>54;#ET|ff6c3f4c-b02c-4c3c-ab07-2c37995a7a0a</vt:lpwstr>
  </property>
</Properties>
</file>