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127652" w14:paraId="2D94EC2B" w14:textId="77777777">
        <w:trPr>
          <w:jc w:val="center"/>
        </w:trPr>
        <w:tc>
          <w:tcPr>
            <w:tcW w:w="5000" w:type="pct"/>
            <w:vAlign w:val="center"/>
          </w:tcPr>
          <w:p w14:paraId="2D94EC2A" w14:textId="77777777" w:rsidR="00574C9B" w:rsidRPr="004A3C7C" w:rsidRDefault="7ABFEF8A" w:rsidP="7ABFEF8A">
            <w:pPr>
              <w:jc w:val="center"/>
              <w:rPr>
                <w:b/>
                <w:bCs/>
                <w:sz w:val="72"/>
                <w:szCs w:val="72"/>
              </w:rPr>
            </w:pPr>
            <w:r>
              <w:rPr>
                <w:b/>
                <w:sz w:val="72"/>
              </w:rPr>
              <w:t>ÉRTÉKELŐ JELENTÉS</w:t>
            </w:r>
          </w:p>
        </w:tc>
      </w:tr>
      <w:tr w:rsidR="00127652" w14:paraId="2D94EC2D" w14:textId="77777777">
        <w:trPr>
          <w:trHeight w:val="567"/>
          <w:jc w:val="center"/>
        </w:trPr>
        <w:tc>
          <w:tcPr>
            <w:tcW w:w="5000" w:type="pct"/>
            <w:vAlign w:val="center"/>
          </w:tcPr>
          <w:p w14:paraId="2D94EC2C" w14:textId="77777777" w:rsidR="00574C9B" w:rsidRPr="004A3C7C" w:rsidRDefault="7ABFEF8A" w:rsidP="7ABFEF8A">
            <w:pPr>
              <w:jc w:val="center"/>
              <w:rPr>
                <w:sz w:val="24"/>
                <w:szCs w:val="24"/>
              </w:rPr>
            </w:pPr>
            <w:r>
              <w:rPr>
                <w:sz w:val="24"/>
              </w:rPr>
              <w:t>Európai Gazdasági és Szociális Bizottság</w:t>
            </w:r>
          </w:p>
        </w:tc>
      </w:tr>
      <w:tr w:rsidR="00127652" w14:paraId="2D94EC2F" w14:textId="77777777">
        <w:trPr>
          <w:jc w:val="center"/>
        </w:trPr>
        <w:tc>
          <w:tcPr>
            <w:tcW w:w="5000" w:type="pct"/>
            <w:vAlign w:val="center"/>
          </w:tcPr>
          <w:p w14:paraId="2D94EC2E" w14:textId="77777777" w:rsidR="00574C9B" w:rsidRPr="004A3C7C" w:rsidRDefault="00F850E6" w:rsidP="7ABFEF8A">
            <w:pPr>
              <w:jc w:val="center"/>
              <w:rPr>
                <w:b/>
                <w:bCs/>
                <w:sz w:val="44"/>
                <w:szCs w:val="44"/>
              </w:rPr>
            </w:pPr>
            <w:r>
              <w:rPr>
                <w:b/>
                <w:sz w:val="44"/>
              </w:rPr>
              <w:t>Az Európai Stratégiai Beruházási Alap 2.0 értékelése</w:t>
            </w:r>
          </w:p>
        </w:tc>
      </w:tr>
      <w:tr w:rsidR="00127652" w14:paraId="2D94EC31" w14:textId="77777777">
        <w:trPr>
          <w:jc w:val="center"/>
        </w:trPr>
        <w:tc>
          <w:tcPr>
            <w:tcW w:w="5000" w:type="pct"/>
            <w:vAlign w:val="center"/>
          </w:tcPr>
          <w:p w14:paraId="2D94EC30" w14:textId="77777777" w:rsidR="00574C9B" w:rsidRPr="004A3C7C" w:rsidRDefault="00574C9B" w:rsidP="7ABFEF8A">
            <w:pPr>
              <w:overflowPunct w:val="0"/>
              <w:autoSpaceDE w:val="0"/>
              <w:autoSpaceDN w:val="0"/>
              <w:adjustRightInd w:val="0"/>
              <w:jc w:val="center"/>
              <w:textAlignment w:val="baseline"/>
              <w:rPr>
                <w:b/>
                <w:bCs/>
                <w:sz w:val="24"/>
                <w:szCs w:val="24"/>
              </w:rPr>
            </w:pPr>
            <w:r>
              <w:rPr>
                <w:sz w:val="24"/>
              </w:rPr>
              <w:t>_____________</w:t>
            </w:r>
          </w:p>
        </w:tc>
      </w:tr>
      <w:tr w:rsidR="00127652" w14:paraId="2D94EC33" w14:textId="77777777">
        <w:trPr>
          <w:jc w:val="center"/>
        </w:trPr>
        <w:tc>
          <w:tcPr>
            <w:tcW w:w="5000" w:type="pct"/>
            <w:vAlign w:val="center"/>
          </w:tcPr>
          <w:p w14:paraId="2D94EC32" w14:textId="77777777" w:rsidR="00574C9B" w:rsidRPr="004A3C7C" w:rsidRDefault="00F850E6" w:rsidP="0028396A">
            <w:pPr>
              <w:jc w:val="center"/>
              <w:rPr>
                <w:sz w:val="24"/>
                <w:szCs w:val="24"/>
              </w:rPr>
            </w:pPr>
            <w:r>
              <w:rPr>
                <w:sz w:val="24"/>
              </w:rPr>
              <w:t>Az Európai Stratégiai Beruházási Alap 2.0 értékelése</w:t>
            </w:r>
          </w:p>
        </w:tc>
      </w:tr>
      <w:tr w:rsidR="00127652" w14:paraId="2D94EC35" w14:textId="77777777">
        <w:trPr>
          <w:jc w:val="center"/>
        </w:trPr>
        <w:tc>
          <w:tcPr>
            <w:tcW w:w="5000" w:type="pct"/>
            <w:vAlign w:val="center"/>
          </w:tcPr>
          <w:p w14:paraId="2D94EC34" w14:textId="77777777" w:rsidR="00574C9B" w:rsidRPr="004A3C7C" w:rsidRDefault="00574C9B" w:rsidP="006125A1">
            <w:pPr>
              <w:jc w:val="center"/>
              <w:rPr>
                <w:sz w:val="24"/>
                <w:szCs w:val="24"/>
                <w:lang w:val="en-GB"/>
              </w:rPr>
            </w:pPr>
          </w:p>
        </w:tc>
      </w:tr>
      <w:tr w:rsidR="00127652" w14:paraId="2D94EC37" w14:textId="77777777">
        <w:trPr>
          <w:jc w:val="center"/>
        </w:trPr>
        <w:tc>
          <w:tcPr>
            <w:tcW w:w="5000" w:type="pct"/>
            <w:vAlign w:val="center"/>
          </w:tcPr>
          <w:p w14:paraId="2D94EC36" w14:textId="77777777" w:rsidR="00574C9B" w:rsidRPr="004A3C7C" w:rsidRDefault="00F850E6" w:rsidP="7ABFEF8A">
            <w:pPr>
              <w:jc w:val="center"/>
              <w:rPr>
                <w:b/>
                <w:bCs/>
                <w:sz w:val="24"/>
                <w:szCs w:val="24"/>
              </w:rPr>
            </w:pPr>
            <w:r>
              <w:rPr>
                <w:b/>
                <w:sz w:val="24"/>
              </w:rPr>
              <w:t>ECO/577</w:t>
            </w:r>
          </w:p>
        </w:tc>
      </w:tr>
      <w:tr w:rsidR="00127652" w14:paraId="2D94EC39" w14:textId="77777777">
        <w:trPr>
          <w:jc w:val="center"/>
        </w:trPr>
        <w:tc>
          <w:tcPr>
            <w:tcW w:w="5000" w:type="pct"/>
            <w:vAlign w:val="center"/>
          </w:tcPr>
          <w:p w14:paraId="2D94EC38" w14:textId="77777777" w:rsidR="00574C9B" w:rsidRPr="004A3C7C" w:rsidRDefault="00574C9B" w:rsidP="006125A1">
            <w:pPr>
              <w:jc w:val="center"/>
              <w:rPr>
                <w:sz w:val="24"/>
                <w:szCs w:val="24"/>
                <w:lang w:val="en-GB"/>
              </w:rPr>
            </w:pPr>
          </w:p>
        </w:tc>
      </w:tr>
      <w:tr w:rsidR="00127652" w14:paraId="2D94EC3B" w14:textId="77777777">
        <w:trPr>
          <w:jc w:val="center"/>
        </w:trPr>
        <w:tc>
          <w:tcPr>
            <w:tcW w:w="5000" w:type="pct"/>
            <w:vAlign w:val="center"/>
          </w:tcPr>
          <w:p w14:paraId="2D94EC3A" w14:textId="77777777" w:rsidR="007D23F0" w:rsidRPr="004A3C7C" w:rsidRDefault="7ABFEF8A" w:rsidP="00BE0B70">
            <w:pPr>
              <w:jc w:val="center"/>
              <w:rPr>
                <w:sz w:val="24"/>
                <w:szCs w:val="24"/>
              </w:rPr>
            </w:pPr>
            <w:r>
              <w:rPr>
                <w:sz w:val="24"/>
              </w:rPr>
              <w:t>Előadó:</w:t>
            </w:r>
            <w:r>
              <w:rPr>
                <w:b/>
                <w:sz w:val="24"/>
              </w:rPr>
              <w:t xml:space="preserve"> Javier DOZ ORRIT</w:t>
            </w:r>
          </w:p>
        </w:tc>
      </w:tr>
      <w:tr w:rsidR="00127652" w14:paraId="2D94EC3D" w14:textId="77777777">
        <w:trPr>
          <w:jc w:val="center"/>
        </w:trPr>
        <w:tc>
          <w:tcPr>
            <w:tcW w:w="5000" w:type="pct"/>
            <w:vAlign w:val="center"/>
          </w:tcPr>
          <w:p w14:paraId="2D94EC3C" w14:textId="77777777" w:rsidR="007329A9" w:rsidRPr="004A3C7C" w:rsidRDefault="007329A9" w:rsidP="00BE0B70">
            <w:pPr>
              <w:jc w:val="center"/>
              <w:rPr>
                <w:sz w:val="24"/>
                <w:szCs w:val="24"/>
              </w:rPr>
            </w:pPr>
            <w:r>
              <w:rPr>
                <w:sz w:val="24"/>
              </w:rPr>
              <w:t xml:space="preserve">Társelőadó: </w:t>
            </w:r>
            <w:r>
              <w:rPr>
                <w:b/>
                <w:sz w:val="24"/>
              </w:rPr>
              <w:t>Elena-Alexandra CALISTRU</w:t>
            </w:r>
          </w:p>
        </w:tc>
      </w:tr>
    </w:tbl>
    <w:p w14:paraId="2D94EC3E" w14:textId="77777777" w:rsidR="00574C9B" w:rsidRPr="004A3C7C" w:rsidRDefault="00574C9B" w:rsidP="00574C9B">
      <w:r>
        <w:rPr>
          <w:noProof/>
          <w:sz w:val="20"/>
          <w:lang w:val="en-US"/>
        </w:rPr>
        <mc:AlternateContent>
          <mc:Choice Requires="wps">
            <w:drawing>
              <wp:anchor distT="0" distB="0" distL="114300" distR="114300" simplePos="0" relativeHeight="251659264" behindDoc="1" locked="0" layoutInCell="0" allowOverlap="1" wp14:anchorId="2D94ECD5" wp14:editId="2D94ECD6">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4ECF6" w14:textId="77777777" w:rsidR="00574C9B" w:rsidRDefault="00574C9B" w:rsidP="00574C9B">
                            <w:pPr>
                              <w:jc w:val="cente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4ECD5"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o:allowincell="f" filled="f" stroked="f">
                <v:textbox>
                  <w:txbxContent>
                    <w:p w14:paraId="2D94ECF6" w14:textId="77777777" w:rsidR="00574C9B" w:rsidRDefault="00574C9B" w:rsidP="00574C9B">
                      <w:pPr>
                        <w:jc w:val="center"/>
                      </w:pPr>
                      <w:r>
                        <w:rPr>
                          <w:rFonts w:ascii="Arial" w:hAnsi="Arial"/>
                          <w:b/>
                          <w:sz w:val="48"/>
                        </w:rPr>
                        <w:t>HU</w:t>
                      </w:r>
                    </w:p>
                  </w:txbxContent>
                </v:textbox>
                <w10:wrap anchorx="margin" anchory="page"/>
              </v:shape>
            </w:pict>
          </mc:Fallback>
        </mc:AlternateContent>
      </w:r>
    </w:p>
    <w:p w14:paraId="2D94EC3F" w14:textId="77777777" w:rsidR="00574C9B" w:rsidRPr="004A3C7C" w:rsidRDefault="00574C9B" w:rsidP="00574C9B">
      <w:pPr>
        <w:rPr>
          <w:lang w:val="en-GB"/>
        </w:rPr>
      </w:pPr>
    </w:p>
    <w:p w14:paraId="2D94EC40" w14:textId="77777777" w:rsidR="00574C9B" w:rsidRPr="004A3C7C" w:rsidRDefault="00574C9B" w:rsidP="00574C9B">
      <w:pPr>
        <w:rPr>
          <w:lang w:val="en-GB"/>
        </w:rPr>
        <w:sectPr w:rsidR="00574C9B" w:rsidRPr="004A3C7C" w:rsidSect="0028396A">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127652" w14:paraId="2D94EC43" w14:textId="77777777">
        <w:tc>
          <w:tcPr>
            <w:tcW w:w="3085" w:type="dxa"/>
          </w:tcPr>
          <w:p w14:paraId="2D94EC41" w14:textId="77777777" w:rsidR="00AC5114" w:rsidRPr="004A3C7C" w:rsidRDefault="7ABFEF8A" w:rsidP="7ABFEF8A">
            <w:pPr>
              <w:autoSpaceDE w:val="0"/>
              <w:autoSpaceDN w:val="0"/>
              <w:jc w:val="left"/>
            </w:pPr>
            <w:r>
              <w:lastRenderedPageBreak/>
              <w:t>Felkérés:</w:t>
            </w:r>
          </w:p>
        </w:tc>
        <w:tc>
          <w:tcPr>
            <w:tcW w:w="6204" w:type="dxa"/>
            <w:vAlign w:val="bottom"/>
          </w:tcPr>
          <w:p w14:paraId="2D94EC42" w14:textId="77777777" w:rsidR="00AC5114" w:rsidRPr="004A3C7C" w:rsidRDefault="00F850E6" w:rsidP="7ABFEF8A">
            <w:pPr>
              <w:autoSpaceDE w:val="0"/>
              <w:autoSpaceDN w:val="0"/>
              <w:jc w:val="left"/>
            </w:pPr>
            <w:r>
              <w:t>Európai Bizottság, 2021. 10. 01.</w:t>
            </w:r>
          </w:p>
        </w:tc>
      </w:tr>
      <w:tr w:rsidR="00127652" w14:paraId="2D94EC46" w14:textId="77777777">
        <w:tc>
          <w:tcPr>
            <w:tcW w:w="3085" w:type="dxa"/>
          </w:tcPr>
          <w:p w14:paraId="2D94EC44" w14:textId="77777777" w:rsidR="00AC5114" w:rsidRPr="004A3C7C" w:rsidRDefault="7ABFEF8A" w:rsidP="7ABFEF8A">
            <w:pPr>
              <w:autoSpaceDE w:val="0"/>
              <w:autoSpaceDN w:val="0"/>
              <w:jc w:val="left"/>
            </w:pPr>
            <w:r>
              <w:t>Jogalap:</w:t>
            </w:r>
          </w:p>
        </w:tc>
        <w:tc>
          <w:tcPr>
            <w:tcW w:w="6204" w:type="dxa"/>
            <w:vAlign w:val="bottom"/>
          </w:tcPr>
          <w:p w14:paraId="2D94EC45" w14:textId="77777777" w:rsidR="00AC5114" w:rsidRPr="004A3C7C" w:rsidRDefault="7ABFEF8A" w:rsidP="7ABFEF8A">
            <w:pPr>
              <w:autoSpaceDE w:val="0"/>
              <w:autoSpaceDN w:val="0"/>
              <w:jc w:val="left"/>
            </w:pPr>
            <w:r>
              <w:t>az Európai Unió működéséről szóló szerződés 304. cikke</w:t>
            </w:r>
          </w:p>
        </w:tc>
      </w:tr>
      <w:tr w:rsidR="00127652" w14:paraId="2D94EC49" w14:textId="77777777">
        <w:tc>
          <w:tcPr>
            <w:tcW w:w="3085" w:type="dxa"/>
          </w:tcPr>
          <w:p w14:paraId="2D94EC47" w14:textId="77777777" w:rsidR="00AC5114" w:rsidRPr="004A3C7C" w:rsidRDefault="7ABFEF8A" w:rsidP="7ABFEF8A">
            <w:pPr>
              <w:autoSpaceDE w:val="0"/>
              <w:autoSpaceDN w:val="0"/>
              <w:jc w:val="left"/>
            </w:pPr>
            <w:r>
              <w:t>Illetékes szekció:</w:t>
            </w:r>
          </w:p>
        </w:tc>
        <w:tc>
          <w:tcPr>
            <w:tcW w:w="6204" w:type="dxa"/>
            <w:vAlign w:val="bottom"/>
          </w:tcPr>
          <w:p w14:paraId="2D94EC48" w14:textId="77777777" w:rsidR="00AC5114" w:rsidRPr="004A3C7C" w:rsidRDefault="00F850E6" w:rsidP="7ABFEF8A">
            <w:pPr>
              <w:autoSpaceDE w:val="0"/>
              <w:autoSpaceDN w:val="0"/>
              <w:jc w:val="left"/>
            </w:pPr>
            <w:r>
              <w:t>„Gazdasági és monetáris unió, gazdasági és társadalmi kohézió” szekció</w:t>
            </w:r>
          </w:p>
        </w:tc>
      </w:tr>
      <w:tr w:rsidR="00127652" w14:paraId="2D94EC4C" w14:textId="77777777">
        <w:tc>
          <w:tcPr>
            <w:tcW w:w="3085" w:type="dxa"/>
          </w:tcPr>
          <w:p w14:paraId="2D94EC4A" w14:textId="77777777" w:rsidR="00AC5114" w:rsidRPr="004A3C7C" w:rsidRDefault="7ABFEF8A" w:rsidP="7ABFEF8A">
            <w:pPr>
              <w:autoSpaceDE w:val="0"/>
              <w:autoSpaceDN w:val="0"/>
              <w:jc w:val="left"/>
            </w:pPr>
            <w:r>
              <w:t>Elfogadás a szekcióülésen:</w:t>
            </w:r>
          </w:p>
        </w:tc>
        <w:tc>
          <w:tcPr>
            <w:tcW w:w="6204" w:type="dxa"/>
            <w:vAlign w:val="bottom"/>
          </w:tcPr>
          <w:p w14:paraId="2D94EC4B" w14:textId="77777777" w:rsidR="00AC5114" w:rsidRPr="004A3C7C" w:rsidRDefault="00F850E6" w:rsidP="7ABFEF8A">
            <w:pPr>
              <w:autoSpaceDE w:val="0"/>
              <w:autoSpaceDN w:val="0"/>
              <w:jc w:val="left"/>
            </w:pPr>
            <w:r>
              <w:t>2022. 09. 09.</w:t>
            </w:r>
          </w:p>
        </w:tc>
      </w:tr>
      <w:tr w:rsidR="00127652" w14:paraId="2D94EC4F" w14:textId="77777777">
        <w:tc>
          <w:tcPr>
            <w:tcW w:w="3085" w:type="dxa"/>
          </w:tcPr>
          <w:p w14:paraId="2D94EC4D" w14:textId="77777777" w:rsidR="0058411F" w:rsidRPr="004A3C7C" w:rsidRDefault="7ABFEF8A" w:rsidP="7ABFEF8A">
            <w:pPr>
              <w:autoSpaceDE w:val="0"/>
              <w:autoSpaceDN w:val="0"/>
              <w:jc w:val="left"/>
            </w:pPr>
            <w:r>
              <w:t>Elfogadás a plenáris ülésen:</w:t>
            </w:r>
          </w:p>
        </w:tc>
        <w:tc>
          <w:tcPr>
            <w:tcW w:w="6204" w:type="dxa"/>
            <w:vAlign w:val="bottom"/>
          </w:tcPr>
          <w:p w14:paraId="2D94EC4E" w14:textId="77777777" w:rsidR="0058411F" w:rsidRPr="004A3C7C" w:rsidRDefault="00F850E6" w:rsidP="7ABFEF8A">
            <w:pPr>
              <w:autoSpaceDE w:val="0"/>
              <w:autoSpaceDN w:val="0"/>
              <w:jc w:val="left"/>
            </w:pPr>
            <w:r>
              <w:t>2022. 09. 21.</w:t>
            </w:r>
          </w:p>
        </w:tc>
      </w:tr>
      <w:tr w:rsidR="00127652" w14:paraId="2D94EC52" w14:textId="77777777">
        <w:tc>
          <w:tcPr>
            <w:tcW w:w="3085" w:type="dxa"/>
          </w:tcPr>
          <w:p w14:paraId="2D94EC50" w14:textId="77777777" w:rsidR="0058411F" w:rsidRPr="004A3C7C" w:rsidRDefault="7ABFEF8A" w:rsidP="7ABFEF8A">
            <w:pPr>
              <w:autoSpaceDE w:val="0"/>
              <w:autoSpaceDN w:val="0"/>
              <w:jc w:val="left"/>
            </w:pPr>
            <w:r>
              <w:t>Plenáris ülésszak száma:</w:t>
            </w:r>
          </w:p>
        </w:tc>
        <w:tc>
          <w:tcPr>
            <w:tcW w:w="6204" w:type="dxa"/>
            <w:vAlign w:val="bottom"/>
          </w:tcPr>
          <w:p w14:paraId="2D94EC51" w14:textId="77777777" w:rsidR="0058411F" w:rsidRPr="004A3C7C" w:rsidRDefault="009B0D9E" w:rsidP="7ABFEF8A">
            <w:pPr>
              <w:autoSpaceDE w:val="0"/>
              <w:autoSpaceDN w:val="0"/>
              <w:jc w:val="left"/>
            </w:pPr>
            <w:r>
              <w:t>572.</w:t>
            </w:r>
          </w:p>
        </w:tc>
      </w:tr>
      <w:tr w:rsidR="00127652" w14:paraId="2D94EC55" w14:textId="77777777">
        <w:tc>
          <w:tcPr>
            <w:tcW w:w="3085" w:type="dxa"/>
          </w:tcPr>
          <w:p w14:paraId="2D94EC53" w14:textId="77777777" w:rsidR="0058411F" w:rsidRPr="004A3C7C" w:rsidRDefault="7ABFEF8A" w:rsidP="7ABFEF8A">
            <w:pPr>
              <w:autoSpaceDE w:val="0"/>
              <w:autoSpaceDN w:val="0"/>
              <w:jc w:val="left"/>
            </w:pPr>
            <w:r>
              <w:t>A szavazás eredménye:</w:t>
            </w:r>
            <w:r>
              <w:br/>
              <w:t>(mellette/ellene/tartózkodott)</w:t>
            </w:r>
          </w:p>
        </w:tc>
        <w:tc>
          <w:tcPr>
            <w:tcW w:w="6204" w:type="dxa"/>
            <w:vAlign w:val="bottom"/>
          </w:tcPr>
          <w:p w14:paraId="2D94EC54" w14:textId="02C47555" w:rsidR="0058411F" w:rsidRPr="004A3C7C" w:rsidRDefault="00312CCF" w:rsidP="7ABFEF8A">
            <w:pPr>
              <w:autoSpaceDE w:val="0"/>
              <w:autoSpaceDN w:val="0"/>
              <w:jc w:val="left"/>
            </w:pPr>
            <w:r>
              <w:t>226</w:t>
            </w:r>
            <w:bookmarkStart w:id="0" w:name="_GoBack"/>
            <w:bookmarkEnd w:id="0"/>
            <w:r w:rsidR="00350010">
              <w:t>/0/2</w:t>
            </w:r>
          </w:p>
        </w:tc>
      </w:tr>
    </w:tbl>
    <w:p w14:paraId="2D94EC56" w14:textId="77777777" w:rsidR="00AC5114" w:rsidRPr="004A3C7C" w:rsidRDefault="00AC5114" w:rsidP="00574C9B">
      <w:pPr>
        <w:rPr>
          <w:lang w:val="en-GB"/>
        </w:rPr>
      </w:pPr>
    </w:p>
    <w:p w14:paraId="2D94EC57" w14:textId="77777777" w:rsidR="00AC5114" w:rsidRPr="004A3C7C" w:rsidRDefault="00AC5114" w:rsidP="00574C9B">
      <w:pPr>
        <w:rPr>
          <w:lang w:val="en-GB"/>
        </w:rPr>
        <w:sectPr w:rsidR="00AC5114" w:rsidRPr="004A3C7C" w:rsidSect="0028396A">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14:paraId="2D94EC58" w14:textId="77777777" w:rsidR="007B6D25" w:rsidRPr="000805BB" w:rsidRDefault="007B6D25" w:rsidP="007B6D25">
      <w:pPr>
        <w:pStyle w:val="Heading1"/>
        <w:keepNext/>
        <w:rPr>
          <w:bCs/>
        </w:rPr>
      </w:pPr>
      <w:r>
        <w:rPr>
          <w:b/>
        </w:rPr>
        <w:lastRenderedPageBreak/>
        <w:t>Bevezetés</w:t>
      </w:r>
    </w:p>
    <w:p w14:paraId="2D94EC59" w14:textId="77777777" w:rsidR="007B6D25" w:rsidRPr="000805BB" w:rsidRDefault="007B6D25" w:rsidP="007B6D25">
      <w:pPr>
        <w:pStyle w:val="Heading2"/>
        <w:keepNext/>
        <w:numPr>
          <w:ilvl w:val="0"/>
          <w:numId w:val="0"/>
        </w:numPr>
        <w:ind w:left="720" w:hanging="720"/>
        <w:rPr>
          <w:lang w:val="en-GB"/>
        </w:rPr>
      </w:pPr>
    </w:p>
    <w:p w14:paraId="2D94EC5A" w14:textId="77777777" w:rsidR="007B6D25" w:rsidRPr="000805BB" w:rsidRDefault="007B6D25" w:rsidP="007B6D25">
      <w:pPr>
        <w:pStyle w:val="Heading2"/>
      </w:pPr>
      <w:r>
        <w:t>Az Európai Stratégiai Beruházási Alap 2.0-ról (ESBA 2.0) szóló értékelő jelentés az EGSZB hozzájárulása ahhoz a folyamatban lévő értékelési folyamathoz, amelyet az Európai Bizottság e beruházási programmal kapcsolatban végez; az értékelés 2022 végére fejeződik be. Az EGSZB értékelő jelentése arra összpontosít, hogy összegyűjtse a szervezett civil társadalom véleményét az ESBA 2.0-ról és annak két támogató eszközéről, az Európai Beruházási Tanácsadó Platformról (EBTP) és a Beruházási Projektek Európai Portáljáról (BPEP).</w:t>
      </w:r>
    </w:p>
    <w:p w14:paraId="2D94EC5B" w14:textId="77777777" w:rsidR="007B6D25" w:rsidRPr="000805BB" w:rsidRDefault="007B6D25" w:rsidP="007B6D25">
      <w:pPr>
        <w:pStyle w:val="Heading2"/>
        <w:numPr>
          <w:ilvl w:val="0"/>
          <w:numId w:val="0"/>
        </w:numPr>
        <w:rPr>
          <w:lang w:val="en-GB"/>
        </w:rPr>
      </w:pPr>
    </w:p>
    <w:p w14:paraId="2D94EC5C" w14:textId="77777777" w:rsidR="007B6D25" w:rsidRPr="000805BB" w:rsidRDefault="007B6D25" w:rsidP="007B6D25">
      <w:pPr>
        <w:pStyle w:val="Heading2"/>
      </w:pPr>
      <w:r>
        <w:t>Az ESBA 2.0 a 2018–2020 közötti időszakra meghosszabbította az Európai Stratégiai Beruházási Alapot (ESBA), más néven a Juncker-tervet, amelynek végrehajtására 2015 és 2018 között került sor. A megvizsgált statisztikák, a fő minőségi elemzések és az összegyűjtött vélemények szinte teljes egészében az alap 2015–2020-as időszakához kapcsolódnak. Ezért eltérő rendelkezés hiányában e jelentés következtetései és ajánlásai a 2015–2020-as időszakra vonatkozó ESBA-ra vonatkoznak.</w:t>
      </w:r>
    </w:p>
    <w:p w14:paraId="2D94EC5D" w14:textId="77777777" w:rsidR="007B6D25" w:rsidRPr="000805BB" w:rsidRDefault="007B6D25" w:rsidP="007B6D25">
      <w:pPr>
        <w:pStyle w:val="Heading2"/>
        <w:numPr>
          <w:ilvl w:val="0"/>
          <w:numId w:val="0"/>
        </w:numPr>
        <w:rPr>
          <w:lang w:val="en-GB"/>
        </w:rPr>
      </w:pPr>
    </w:p>
    <w:p w14:paraId="2D94EC5E" w14:textId="77777777" w:rsidR="007B6D25" w:rsidRPr="000805BB" w:rsidRDefault="007B6D25" w:rsidP="007B6D25">
      <w:pPr>
        <w:pStyle w:val="Heading2"/>
      </w:pPr>
      <w:r>
        <w:t>Az EGSZB értékelési módszertanával összhangban ez a jelentés öt országban – Olaszországban, Spanyolországban, Lengyelországban, Romániában és Írországban – végzett kiküldetések (hibrid formátum) és online felmérések alapján készült. A szociális partnerek és a civil társadalmi szervezetek véleményén túl, amelyekre az ajánlások építenek, konzultációk zajlottak a hatóságokkal, a pénzügyi intézményekkel és a kedvezményezett vállalkozásokkal is. Az összesen 63 megkérdezett szervezet közül 33 reprezentatív civil társadalmi szervezet volt az öt országból. Emellett Olaszország és Spanyolország gazdasági és szociális tanácsa is aktívan részt vett a konzultációban. A figyelembe vett értékelések és vélemények szinte mindegyike az öt országban végzett kiküldetések eredménye, a beérkezett további online felmérések száma ugyanis nagyon alacsony volt. Mindössze négy kedvezményezett vállalat vett részt két országból; részvételüket egyik országban sem segítették elő intézmények. A folyamat eredményeire vonatkozó részletesebb információk a technikai mellékletben találhatók.</w:t>
      </w:r>
    </w:p>
    <w:p w14:paraId="2D94EC5F" w14:textId="77777777" w:rsidR="007B6D25" w:rsidRPr="000805BB" w:rsidRDefault="007B6D25" w:rsidP="007B6D25">
      <w:pPr>
        <w:rPr>
          <w:lang w:val="en-GB"/>
        </w:rPr>
      </w:pPr>
    </w:p>
    <w:p w14:paraId="2D94EC60" w14:textId="77777777" w:rsidR="007B6D25" w:rsidRPr="000805BB" w:rsidRDefault="007B6D25" w:rsidP="007B6D25">
      <w:pPr>
        <w:pStyle w:val="Heading2"/>
      </w:pPr>
      <w:r>
        <w:t>A jelentésben szereplő értékelések és vélemények kizárólag az öt tagállam reprezentatív civil társadalmi szervezeteinek hozzájárulásán alapulnak. Az itt ismertetett ajánlások a megkérdezett szociális partnerek és civil társadalmi szervezetek képviselőinek többsége által osztott nézeteket foglalják össze. Elfogadásuk esetén az ajánlások nagy részét az InvestEU keretében lehetne végrehajtani, amely pénzügyigarancia-eszköz átveszi a jelenlegi, 2021–2027-es többéves pénzügyi keretben az ESBA által játszott szerepet.</w:t>
      </w:r>
    </w:p>
    <w:p w14:paraId="2D94EC61" w14:textId="77777777" w:rsidR="007B6D25" w:rsidRPr="000805BB" w:rsidRDefault="007B6D25" w:rsidP="007B6D25">
      <w:pPr>
        <w:rPr>
          <w:lang w:val="en-GB"/>
        </w:rPr>
      </w:pPr>
    </w:p>
    <w:p w14:paraId="2D94EC62" w14:textId="77777777" w:rsidR="007B6D25" w:rsidRPr="000805BB" w:rsidRDefault="007B6D25" w:rsidP="007B6D25">
      <w:pPr>
        <w:pStyle w:val="Heading2"/>
        <w:numPr>
          <w:ilvl w:val="1"/>
          <w:numId w:val="3"/>
        </w:numPr>
      </w:pPr>
      <w:r>
        <w:t>Az Európát és a világot 2020 óta sújtó, a Covid19-világjárványból és az Ukrajna elleni orosz invázióból fakadó súlyos válságok arra késztették az uniós intézményeket, hogy előmozdítsák az állami és magánberuházások elősegítésére szolgáló új eszközöket, például a Next Generation EU-t és annak nemzeti helyreállítási és rezilienciaépítési terveit, valamint a REPowerEU-t. Az ajánlások megemlítik, hogy az uniós beruházási politikák esetében átfogó megközelítésre van szükség, és erősíteni kell az új eszközök és a strukturális és kohéziós alapok addicionalitását és egymást kiegészítő jellegét, továbbá biztosítani kell a közös agrárpolitikával (KAP) való összhangot.</w:t>
      </w:r>
    </w:p>
    <w:p w14:paraId="2D94EC63" w14:textId="77777777" w:rsidR="007B6D25" w:rsidRPr="000805BB" w:rsidRDefault="007B6D25" w:rsidP="007B6D25">
      <w:pPr>
        <w:spacing w:line="240" w:lineRule="auto"/>
        <w:jc w:val="left"/>
        <w:rPr>
          <w:lang w:val="en-GB"/>
        </w:rPr>
      </w:pPr>
    </w:p>
    <w:p w14:paraId="2D94EC64" w14:textId="77777777" w:rsidR="007B6D25" w:rsidRPr="000805BB" w:rsidRDefault="007B6D25" w:rsidP="007B6D25">
      <w:pPr>
        <w:pStyle w:val="Heading1"/>
        <w:keepNext/>
      </w:pPr>
      <w:r>
        <w:rPr>
          <w:b/>
        </w:rPr>
        <w:lastRenderedPageBreak/>
        <w:t>Következtetések</w:t>
      </w:r>
    </w:p>
    <w:p w14:paraId="2D94EC65" w14:textId="77777777" w:rsidR="007B6D25" w:rsidRPr="000805BB" w:rsidRDefault="007B6D25" w:rsidP="007B6D25">
      <w:pPr>
        <w:keepNext/>
        <w:rPr>
          <w:lang w:val="en-GB"/>
        </w:rPr>
      </w:pPr>
    </w:p>
    <w:p w14:paraId="2D94EC66" w14:textId="77777777" w:rsidR="007B6D25" w:rsidRPr="000805BB" w:rsidRDefault="007B6D25" w:rsidP="007B6D25">
      <w:pPr>
        <w:pStyle w:val="Heading2"/>
        <w:keepNext/>
        <w:rPr>
          <w:bCs/>
        </w:rPr>
      </w:pPr>
      <w:r>
        <w:rPr>
          <w:b/>
        </w:rPr>
        <w:t>Bevezető megjegyzések</w:t>
      </w:r>
    </w:p>
    <w:p w14:paraId="2D94EC67" w14:textId="77777777" w:rsidR="007B6D25" w:rsidRPr="000805BB" w:rsidRDefault="007B6D25" w:rsidP="007B6D25">
      <w:pPr>
        <w:keepNext/>
        <w:rPr>
          <w:lang w:val="en-GB"/>
        </w:rPr>
      </w:pPr>
    </w:p>
    <w:p w14:paraId="2D94EC68" w14:textId="77777777" w:rsidR="007B6D25" w:rsidRPr="000805BB" w:rsidRDefault="007B6D25" w:rsidP="007B6D25">
      <w:pPr>
        <w:pStyle w:val="Heading3"/>
      </w:pPr>
      <w:r>
        <w:t>Az ESBA meghosszabbításáról szóló (EU) 2017/2396 rendelet</w:t>
      </w:r>
      <w:r w:rsidRPr="000805BB">
        <w:rPr>
          <w:rStyle w:val="FootnoteReference"/>
          <w:lang w:val="en-GB"/>
        </w:rPr>
        <w:footnoteReference w:id="1"/>
      </w:r>
      <w:r>
        <w:t xml:space="preserve"> (ESBA 2.0) végrehajtása 2018-ban kezdődött meg. Ez a meghosszabbítás 16 milliárd EUR-ról 26 milliárd EUR-ra növelte az uniós garanciát, az EBB csoport nominális hozzájárulását pedig 5 milliárd EUR-ról 7,5 milliárd EUR-ra, élettartamát pedig 2020 végéig meghosszabbította</w:t>
      </w:r>
      <w:r w:rsidRPr="000805BB">
        <w:rPr>
          <w:rStyle w:val="FootnoteReference"/>
          <w:lang w:val="en-GB"/>
        </w:rPr>
        <w:footnoteReference w:id="2"/>
      </w:r>
      <w:r>
        <w:t>. A mobilizálás célösszege 2020 végéig legalább 500 milliárd EUR értékű beruházásra nőtt, szemben a 2018. júliusi 315 milliárd EUR-val. Az ESBA 2.0 célzott globális multiplikátora ugyanaz maradt, mint az ESBA esetében, azaz 15x.</w:t>
      </w:r>
    </w:p>
    <w:p w14:paraId="2D94EC69" w14:textId="77777777" w:rsidR="007B6D25" w:rsidRPr="000805BB" w:rsidRDefault="007B6D25" w:rsidP="007B6D25">
      <w:pPr>
        <w:rPr>
          <w:lang w:val="en-GB"/>
        </w:rPr>
      </w:pPr>
    </w:p>
    <w:p w14:paraId="2D94EC6A" w14:textId="77777777" w:rsidR="007B6D25" w:rsidRPr="000805BB" w:rsidRDefault="007B6D25" w:rsidP="007B6D25">
      <w:pPr>
        <w:pStyle w:val="Heading3"/>
      </w:pPr>
      <w:r>
        <w:t>A jóváhagyott közel 99,3 milliárd eurós teljes finanszírozási volumenből 33,5 milliárd EUR az ESBA forrásainak felel meg (26 milliárd EUR uniós garancia, amelyet kiegészít egy 7,5 milliárd eurós, a pénzügyi közvetítők számára elkülönített összeg az EBB saját forrásaiból), amelyek valamennyi tagállamban különböző tőkefinanszírozási és garanciatermékekben kerülnek felhasználásra, így 2021 végéig összesen 524,3 milliárd EUR összegű beruházást mozgósítanak. Megjegyezzük, hogy a beruházás-mobilizációs célokat a két tervezett területen sikerült elérni: az innovációs és infrastrukturális kereten (IIW, a teljes összeg 56%-a) és a kkv-kereten (SMEW, 44%) keresztül, összesen 524,3 milliárd eurót elérve, ami meghaladja a tervezett összeget. Valamennyi tagállamban több ezer vállalkozás részesül ESBA-finanszírozásban</w:t>
      </w:r>
      <w:r w:rsidRPr="000805BB">
        <w:rPr>
          <w:rStyle w:val="FootnoteReference"/>
          <w:lang w:val="en-GB"/>
        </w:rPr>
        <w:footnoteReference w:id="3"/>
      </w:r>
      <w:r>
        <w:t>.</w:t>
      </w:r>
    </w:p>
    <w:p w14:paraId="2D94EC6B" w14:textId="77777777" w:rsidR="007B6D25" w:rsidRPr="000805BB" w:rsidRDefault="007B6D25" w:rsidP="007B6D25">
      <w:pPr>
        <w:rPr>
          <w:lang w:val="en-GB"/>
        </w:rPr>
      </w:pPr>
    </w:p>
    <w:p w14:paraId="2D94EC6C" w14:textId="77777777" w:rsidR="007B6D25" w:rsidRPr="000805BB" w:rsidRDefault="007B6D25" w:rsidP="007B6D25">
      <w:pPr>
        <w:pStyle w:val="Heading3"/>
      </w:pPr>
      <w:r>
        <w:t>Az ESBA-rendeletben foglaltaknak megfelelően az ESBA-támogatás Unió-szerte történő megfelelő földrajzi eloszlására törekedtek annak érdekében, hogy ténylegesen hozzájáruljanak az Unión belüli gazdasági konvergenciához. A négy ország, amely a program keretében a legnagyobb összegű garantált tőkét használta fel az EBA garanciájából, Franciaország (14,6 milliárd EUR), Olaszország (12 milliárd EUR), Spanyolország (11,4 milliárd EUR) és Németország (8 milliárd EUR) volt</w:t>
      </w:r>
      <w:r w:rsidRPr="000805BB">
        <w:rPr>
          <w:rStyle w:val="FootnoteReference"/>
          <w:lang w:val="en-GB"/>
        </w:rPr>
        <w:footnoteReference w:id="4"/>
      </w:r>
      <w:r>
        <w:t>.</w:t>
      </w:r>
    </w:p>
    <w:p w14:paraId="2D94EC6D" w14:textId="77777777" w:rsidR="007B6D25" w:rsidRPr="000805BB" w:rsidRDefault="007B6D25" w:rsidP="007B6D25">
      <w:pPr>
        <w:rPr>
          <w:lang w:val="en-GB"/>
        </w:rPr>
      </w:pPr>
    </w:p>
    <w:p w14:paraId="2D94EC6E" w14:textId="77777777" w:rsidR="007B6D25" w:rsidRPr="000805BB" w:rsidRDefault="007B6D25" w:rsidP="007B6D25">
      <w:pPr>
        <w:pStyle w:val="Heading3"/>
      </w:pPr>
      <w:r>
        <w:t xml:space="preserve">Az ehhez az értékeléshez kiválasztott öt országra vonatkozó főbb adatok a következőképpen foglalhatók össze: Olaszország az ESBA-garancia keretében nyújtott 12 006 millió eurós finanszírozásból 73 362 millió EUR-t mozgósított 206 projektre – ez mindkét esetben a második legmagasabb összeg az EU-ban. Spanyolország 11 439 millió eurós finanszírozással (a 3. helyen) 51 966 millió EUR-t mozgósított (a 3. helyen) 158 projektre. Lengyelország 3259 millió EUR-ból (az 5. helyen) 19 517 millió EUR-t mozgósított (a 6. helyen) 73 projektre. Írország 1080 millió EUR garantált finanszírozást (14. hely) használt fel, hogy 6686 millió EUR-t (14. </w:t>
      </w:r>
      <w:r>
        <w:lastRenderedPageBreak/>
        <w:t>hely) mobilizáljon 35 projekt számára. Végül Románia 972 millió EUR-ból (15. hely) 4471 millió EUR-t (17. hely) mozgósított 52 projektre</w:t>
      </w:r>
      <w:r w:rsidRPr="000805BB">
        <w:rPr>
          <w:rStyle w:val="FootnoteReference"/>
          <w:lang w:val="en-GB"/>
        </w:rPr>
        <w:footnoteReference w:id="5"/>
      </w:r>
      <w:r>
        <w:t>.</w:t>
      </w:r>
    </w:p>
    <w:p w14:paraId="2D94EC6F" w14:textId="77777777" w:rsidR="007B6D25" w:rsidRPr="000805BB" w:rsidRDefault="007B6D25" w:rsidP="007B6D25">
      <w:pPr>
        <w:rPr>
          <w:lang w:val="en-GB"/>
        </w:rPr>
      </w:pPr>
    </w:p>
    <w:p w14:paraId="2D94EC70" w14:textId="77777777" w:rsidR="007B6D25" w:rsidRPr="000805BB" w:rsidRDefault="007B6D25" w:rsidP="007B6D25">
      <w:pPr>
        <w:pStyle w:val="Heading3"/>
      </w:pPr>
      <w:r>
        <w:t xml:space="preserve">Jelentős eltérések mutatkoztak az EBTP és a BPEP használatában. Adatok csak az EBTP-hez intézett – összesen 4005 kérelem – esetében állnak rendelkezésre. Az EBTP széles körben elismert hasznossága ellenére a konzultációban részt vevő civil társadalmi szervezetek többsége úgy vélte, hogy ezt az eszközt nem használják ki olyan mértékben, amennyire lehetne. Nem könnyű sémát vagy korrelációt találni a használatbeli különbségek magyarázatára. Az, hogy a legtöbb kérelem Romániából és Bulgáriából érkezett (összesen 492), valószínűleg annak tudható be, hogy vállalataik kevesebb támogatást kaptak a nemzeti közigazgatástól és a pénzügyi intézményektől, valamint annak, hogy ezekben az országokban a kkv-k az EBRD-támogatást az EBTP égisze alatt kapják. </w:t>
      </w:r>
    </w:p>
    <w:p w14:paraId="2D94EC71" w14:textId="77777777" w:rsidR="007B6D25" w:rsidRPr="000805BB" w:rsidRDefault="007B6D25" w:rsidP="007B6D25">
      <w:pPr>
        <w:rPr>
          <w:lang w:val="en-GB"/>
        </w:rPr>
      </w:pPr>
    </w:p>
    <w:p w14:paraId="2D94EC72" w14:textId="77777777" w:rsidR="007B6D25" w:rsidRPr="000805BB" w:rsidRDefault="007B6D25" w:rsidP="007B6D25">
      <w:pPr>
        <w:pStyle w:val="Heading2"/>
        <w:keepNext/>
        <w:keepLines/>
      </w:pPr>
      <w:r>
        <w:rPr>
          <w:b/>
        </w:rPr>
        <w:t>Általános megjegyzések</w:t>
      </w:r>
    </w:p>
    <w:p w14:paraId="2D94EC73" w14:textId="77777777" w:rsidR="007B6D25" w:rsidRPr="000805BB" w:rsidRDefault="007B6D25" w:rsidP="007B6D25">
      <w:pPr>
        <w:keepNext/>
        <w:keepLines/>
        <w:rPr>
          <w:lang w:val="en-GB"/>
        </w:rPr>
      </w:pPr>
    </w:p>
    <w:p w14:paraId="2D94EC74" w14:textId="77777777" w:rsidR="007B6D25" w:rsidRPr="000805BB" w:rsidRDefault="007B6D25" w:rsidP="007B6D25">
      <w:pPr>
        <w:pStyle w:val="Heading3"/>
      </w:pPr>
      <w:r>
        <w:t>Valamennyi megkérdezett szereplő egyetértett abban, hogy az ESBA és az ESBA 2.0 eredményei nagyon pozitívak abban a tekintetben, hogy képesek voltak jelentős volumenű beruházásfinanszírozást mozgósítani, hozzájárulva ezzel az EU-ban a 2008-ban kezdődött nagy recesszió által súlyosbított komoly beruházási hiány csökkentéséhez. Az ESBA széles körben a legfontosabb és legsikeresebb egész EU-ra kiterjedő köz-magán partnerségi eszköznek számít.</w:t>
      </w:r>
    </w:p>
    <w:p w14:paraId="2D94EC75" w14:textId="77777777" w:rsidR="007B6D25" w:rsidRPr="000805BB" w:rsidRDefault="007B6D25" w:rsidP="007B6D25">
      <w:pPr>
        <w:rPr>
          <w:lang w:val="en-GB"/>
        </w:rPr>
      </w:pPr>
    </w:p>
    <w:p w14:paraId="2D94EC76" w14:textId="77777777" w:rsidR="007B6D25" w:rsidRPr="000805BB" w:rsidRDefault="007B6D25" w:rsidP="007B6D25">
      <w:pPr>
        <w:pStyle w:val="Heading3"/>
      </w:pPr>
      <w:r>
        <w:t>A civil társadalmi szervezetek – a többi megkérdezett érdekelt félhez képest nagyobb mértékben – felhívták a figyelmet az ESBA elindításának és végrehajtásának néhány hiányosságára és gyengeségére a következő területeken: kommunikáció, láthatóság, a szervezett civil társadalom nemzeti szintű bevonása, értékelési mutatók és az egyéb uniós beruházási programokkal való kiegészítő jelleg.</w:t>
      </w:r>
    </w:p>
    <w:p w14:paraId="2D94EC77" w14:textId="77777777" w:rsidR="007B6D25" w:rsidRPr="004A3C7C" w:rsidRDefault="007B6D25" w:rsidP="007B6D25">
      <w:pPr>
        <w:pStyle w:val="ListParagraph"/>
        <w:ind w:left="0"/>
      </w:pPr>
    </w:p>
    <w:p w14:paraId="2D94EC78" w14:textId="77777777" w:rsidR="007B6D25" w:rsidRPr="000805BB" w:rsidRDefault="007B6D25" w:rsidP="007B6D25">
      <w:pPr>
        <w:pStyle w:val="Heading3"/>
      </w:pPr>
      <w:r>
        <w:t>Az ebben a jelentésben foglalt ajánlások arra fognak összpontosítani, hogy miként lehet orvosolni ezeket a hiányosságokat az ESBA utódprogramjában, az InvestEU-ban és más uniós beruházási programokban, szem előtt tartva a világjárványt és az ukrajnai inváziót követő nehéz gazdasági és geopolitikai körülményeket.</w:t>
      </w:r>
    </w:p>
    <w:p w14:paraId="2D94EC79" w14:textId="77777777" w:rsidR="007B6D25" w:rsidRPr="004A3C7C" w:rsidRDefault="007B6D25" w:rsidP="007B6D25">
      <w:pPr>
        <w:pStyle w:val="ListParagraph"/>
        <w:ind w:left="0"/>
      </w:pPr>
    </w:p>
    <w:p w14:paraId="2D94EC7A" w14:textId="77777777" w:rsidR="007B6D25" w:rsidRPr="000805BB" w:rsidRDefault="007B6D25" w:rsidP="007B6D25">
      <w:pPr>
        <w:pStyle w:val="Heading2"/>
        <w:keepNext/>
        <w:keepLines/>
      </w:pPr>
      <w:r>
        <w:rPr>
          <w:b/>
        </w:rPr>
        <w:t>Eredményesség</w:t>
      </w:r>
    </w:p>
    <w:p w14:paraId="2D94EC7B" w14:textId="77777777" w:rsidR="007B6D25" w:rsidRPr="000805BB" w:rsidRDefault="007B6D25" w:rsidP="007B6D25">
      <w:pPr>
        <w:keepNext/>
        <w:keepLines/>
        <w:rPr>
          <w:lang w:val="en-GB"/>
        </w:rPr>
      </w:pPr>
    </w:p>
    <w:p w14:paraId="2D94EC7C" w14:textId="77777777" w:rsidR="007B6D25" w:rsidRPr="000805BB" w:rsidRDefault="007B6D25" w:rsidP="007B6D25">
      <w:pPr>
        <w:pStyle w:val="Heading3"/>
      </w:pPr>
      <w:r>
        <w:t>A válaszadóknak és az országlátogatások résztvevőinek a túlnyomó többsége úgy érezte, hogy az ESBA elérte elsődleges célját, azaz az országukban történő beruházások előmozdítását egy olyan időszakban, amikor arra különösen szükség volt.</w:t>
      </w:r>
    </w:p>
    <w:p w14:paraId="2D94EC7D" w14:textId="77777777" w:rsidR="007B6D25" w:rsidRPr="000805BB" w:rsidRDefault="007B6D25" w:rsidP="007B6D25">
      <w:pPr>
        <w:rPr>
          <w:lang w:val="en-GB"/>
        </w:rPr>
      </w:pPr>
    </w:p>
    <w:p w14:paraId="2D94EC7E" w14:textId="77777777" w:rsidR="007B6D25" w:rsidRPr="000805BB" w:rsidRDefault="007B6D25" w:rsidP="007B6D25">
      <w:pPr>
        <w:pStyle w:val="Heading3"/>
      </w:pPr>
      <w:r>
        <w:t>Széles körben elismerték, hogy az ESBA költségvetési eszközként valódi szerepet tölt be, mivel pénzügyi garanciát nyújt a gazdasági fejlesztést célzó beruházások mozgósításához – beleértve a pozitív PPP-modelleket is. Emellett az alap – a Platformmal és a portállal együtt – hasznos tanulási tapasztalatot biztosíthat az InvestEU és más uniós beruházási programok számára.</w:t>
      </w:r>
    </w:p>
    <w:p w14:paraId="2D94EC7F" w14:textId="77777777" w:rsidR="007B6D25" w:rsidRPr="000805BB" w:rsidRDefault="007B6D25" w:rsidP="007B6D25">
      <w:pPr>
        <w:rPr>
          <w:lang w:val="en-GB"/>
        </w:rPr>
      </w:pPr>
    </w:p>
    <w:p w14:paraId="2D94EC80" w14:textId="77777777" w:rsidR="007B6D25" w:rsidRPr="000805BB" w:rsidRDefault="007B6D25" w:rsidP="007B6D25">
      <w:pPr>
        <w:pStyle w:val="Heading3"/>
      </w:pPr>
      <w:r>
        <w:lastRenderedPageBreak/>
        <w:t>Annak ellenére, hogy nem áll rendelkezésre elegendő információ a többi uniós beruházási programmal – az ESBA tekintetében a strukturális és kohéziós alapokkal, az InvestEU tekintetében pedig a Next Generation EU-val és a REPowerEU-val – való kiegészítő jellegről és szinergiákról, azok, akik véleményt fogalmaztak meg, úgy vélték, hogy ez utóbbiak csak korlátozott mértékben valósultak meg.</w:t>
      </w:r>
    </w:p>
    <w:p w14:paraId="2D94EC81" w14:textId="77777777" w:rsidR="007B6D25" w:rsidRPr="000805BB" w:rsidRDefault="007B6D25" w:rsidP="007B6D25">
      <w:pPr>
        <w:rPr>
          <w:lang w:val="en-GB"/>
        </w:rPr>
      </w:pPr>
    </w:p>
    <w:p w14:paraId="2D94EC82" w14:textId="77777777" w:rsidR="007B6D25" w:rsidRPr="000805BB" w:rsidRDefault="007B6D25" w:rsidP="007B6D25">
      <w:pPr>
        <w:pStyle w:val="Heading3"/>
      </w:pPr>
      <w:r>
        <w:t xml:space="preserve">Az írországi interjúk során arról számoltak be, hogy az ESBA jelentős szerepet játszott abban, hogy a pénzügyi forrásokat alacsony kamatlábak és alacsony költségek mellett bocsátották rendelkezésre. Az ír résztvevők pozitív szempontként jegyezték meg, hogy az ESBA finanszírozást nyújt kockázatosabb projektekhez, és üdvözölték rugalmas felépítését. </w:t>
      </w:r>
      <w:r>
        <w:rPr>
          <w:color w:val="222222"/>
          <w:shd w:val="clear" w:color="auto" w:fill="FFFFFF"/>
        </w:rPr>
        <w:t>A szakszervezetek azonban aggodalmukat fejezték ki amiatt, hogy a potenciális kedvezményezettekkel szemben nem támasztanak a foglalkoztatási nyilvántartásukat, politikáikat és gyakorlataikat illető feltételeket. Egy 2005-ös esetet idéztek, amikor számos szakszervezeti tagot elbocsátottak, majd helyükre sokkal rosszabb szerződéses feltételekkel kölcsönzött munkaerőt állítottak be.</w:t>
      </w:r>
    </w:p>
    <w:p w14:paraId="2D94EC83" w14:textId="77777777" w:rsidR="007B6D25" w:rsidRPr="000805BB" w:rsidRDefault="007B6D25" w:rsidP="007B6D25">
      <w:pPr>
        <w:rPr>
          <w:lang w:val="en-GB"/>
        </w:rPr>
      </w:pPr>
    </w:p>
    <w:p w14:paraId="2D94EC84" w14:textId="77777777" w:rsidR="007B6D25" w:rsidRPr="000805BB" w:rsidRDefault="007B6D25" w:rsidP="007B6D25">
      <w:pPr>
        <w:pStyle w:val="Heading3"/>
      </w:pPr>
      <w:r>
        <w:t>A spanyolországi résztvevők szintén hangsúlyozták az ESBA jelentőségét a beruházási hiány és a pénzügyi válságot követően rendelkezésre álló állami pénzügyi források hiányának enyhítésében. A résztvevők több országban elmondták, hogy az ESBA növelte a vállalkozások banki finanszírozáshoz való hozzáférését, és egyes esetekben, például Írországban kompenzálta a valóban gyenge és instabil bankszektort. Az uniós garancia nélkül a bankok úgy is dönthettek volna, hogy csak kevésbé kockázatos projekteket finanszíroznak. Hangsúlyozták az ESBA-hoz kapcsolódó alacsony kamatlábakat és alacsony költségeket is.</w:t>
      </w:r>
    </w:p>
    <w:p w14:paraId="2D94EC85" w14:textId="77777777" w:rsidR="007B6D25" w:rsidRPr="000805BB" w:rsidRDefault="007B6D25" w:rsidP="007B6D25">
      <w:pPr>
        <w:rPr>
          <w:lang w:val="en-GB"/>
        </w:rPr>
      </w:pPr>
    </w:p>
    <w:p w14:paraId="2D94EC86" w14:textId="77777777" w:rsidR="007B6D25" w:rsidRPr="000805BB" w:rsidRDefault="007B6D25" w:rsidP="007B6D25">
      <w:pPr>
        <w:pStyle w:val="Heading3"/>
      </w:pPr>
      <w:r>
        <w:t>Az olasz érdekelt felek azt is elismerték, hogy az alapnak sikerült megerősítenie az ország egyes ipari ágazatait és infrastruktúráját, valamint a kkv-k rezilienciáját és növekedését. A legtöbb résztvevő különböző mértékben dicsérte a támogatások folyósítását, a nyomonkövetési folyamatot, valamint a projektek értékelését és megvitatását.</w:t>
      </w:r>
    </w:p>
    <w:p w14:paraId="2D94EC87" w14:textId="77777777" w:rsidR="007B6D25" w:rsidRPr="000805BB" w:rsidRDefault="007B6D25" w:rsidP="007B6D25">
      <w:pPr>
        <w:rPr>
          <w:lang w:val="en-GB"/>
        </w:rPr>
      </w:pPr>
    </w:p>
    <w:p w14:paraId="2D94EC88" w14:textId="77777777" w:rsidR="007B6D25" w:rsidRPr="000805BB" w:rsidRDefault="007B6D25" w:rsidP="007B6D25">
      <w:pPr>
        <w:pStyle w:val="Heading3"/>
      </w:pPr>
      <w:r>
        <w:t>Romániában az érdekelt felek hangsúlyozták, hogy meg kell érteni, miként lehet az ESBA-hoz hasonló eszközöket rugalmasabbá és a változó realitásokhoz – például a Covid19-válsághoz vagy az ukrajnai háborúhoz – igazítani, ezek ugyanis nemcsak a hatóságok és a vállalatok rendes működését akadályozták, hanem ezek miatt a prioritásokat is újra kellett értékelni.</w:t>
      </w:r>
    </w:p>
    <w:p w14:paraId="2D94EC89" w14:textId="77777777" w:rsidR="007B6D25" w:rsidRPr="000805BB" w:rsidRDefault="007B6D25" w:rsidP="007B6D25">
      <w:pPr>
        <w:rPr>
          <w:lang w:val="en-GB"/>
        </w:rPr>
      </w:pPr>
    </w:p>
    <w:p w14:paraId="2D94EC8A" w14:textId="77777777" w:rsidR="007B6D25" w:rsidRPr="000805BB" w:rsidRDefault="007B6D25" w:rsidP="007B6D25">
      <w:pPr>
        <w:pStyle w:val="Heading3"/>
      </w:pPr>
      <w:r>
        <w:t>Megjegyezték, hogy az európai pénzügyi eszközök adminisztratív terheket rónak a kedvezményezettekre, ami akadályozhatja a belépést. Javasolták, hogy a feltételrendszer követelményeit, a folyamatokat és a jelentéstételt egyszerűsítsék annak érdekében, hogy ezek kevésbé költségesek és időigényesek legyenek.</w:t>
      </w:r>
    </w:p>
    <w:p w14:paraId="2D94EC8B" w14:textId="77777777" w:rsidR="007B6D25" w:rsidRPr="000805BB" w:rsidRDefault="007B6D25" w:rsidP="007B6D25">
      <w:pPr>
        <w:pStyle w:val="Heading3"/>
        <w:numPr>
          <w:ilvl w:val="0"/>
          <w:numId w:val="0"/>
        </w:numPr>
        <w:rPr>
          <w:lang w:val="en-GB"/>
        </w:rPr>
      </w:pPr>
    </w:p>
    <w:p w14:paraId="2D94EC8C" w14:textId="77777777" w:rsidR="007B6D25" w:rsidRPr="000805BB" w:rsidRDefault="007B6D25" w:rsidP="007B6D25">
      <w:pPr>
        <w:pStyle w:val="Heading3"/>
      </w:pPr>
      <w:r>
        <w:t>Romániában azt is megemlítették, hogy a legjelentősebb probléma nem feltétlenül a pénzügyi források hiánya, hanem a potenciális kedvezményezettek arra irányuló képessége, hogy a nem vissza nem térítendő támogatásnak minősülő finanszírozási eszközökhöz megfelelő minőségi követelményekkel rendelkező projekteket dolgozzanak ki.</w:t>
      </w:r>
    </w:p>
    <w:p w14:paraId="2D94EC8D" w14:textId="77777777" w:rsidR="007B6D25" w:rsidRPr="000805BB" w:rsidRDefault="007B6D25" w:rsidP="007B6D25">
      <w:pPr>
        <w:rPr>
          <w:lang w:val="en-GB"/>
        </w:rPr>
      </w:pPr>
    </w:p>
    <w:p w14:paraId="2D94EC8E" w14:textId="77777777" w:rsidR="007B6D25" w:rsidRPr="000805BB" w:rsidRDefault="007B6D25" w:rsidP="007B6D25">
      <w:pPr>
        <w:pStyle w:val="Heading3"/>
      </w:pPr>
      <w:r>
        <w:t xml:space="preserve">Lengyelországban rámutattak arra, hogy a kedvezményezetteknek nehézséget okozott az ESBA forrásaihoz való hozzáférés az infrastrukturális és innovációs kereten belül (IIW), de az </w:t>
      </w:r>
      <w:r>
        <w:lastRenderedPageBreak/>
        <w:t>alapok elosztása más volt a kkv-keret esetében (SMEW), és mintegy 70 000 lengyel kkv részesült az ESBA-ból.</w:t>
      </w:r>
    </w:p>
    <w:p w14:paraId="2D94EC8F" w14:textId="77777777" w:rsidR="007B6D25" w:rsidRPr="000805BB" w:rsidRDefault="007B6D25" w:rsidP="007B6D25">
      <w:pPr>
        <w:rPr>
          <w:lang w:val="en-GB"/>
        </w:rPr>
      </w:pPr>
    </w:p>
    <w:p w14:paraId="2D94EC90" w14:textId="77777777" w:rsidR="007B6D25" w:rsidRPr="000805BB" w:rsidRDefault="007B6D25" w:rsidP="007B6D25">
      <w:pPr>
        <w:pStyle w:val="Heading3"/>
      </w:pPr>
      <w:r>
        <w:t>A válaszadók fele nem tudta értékelni az EBTP és a BPEP hatékonyságát és hasznosságát, és az országinterjúk számos résztvevője pedig nem használta a programot, ami további bizonyíték lehet az elégtelen kommunikációra.</w:t>
      </w:r>
    </w:p>
    <w:p w14:paraId="2D94EC91" w14:textId="77777777" w:rsidR="007B6D25" w:rsidRPr="000805BB" w:rsidRDefault="007B6D25" w:rsidP="007B6D25">
      <w:pPr>
        <w:rPr>
          <w:lang w:val="en-GB"/>
        </w:rPr>
      </w:pPr>
    </w:p>
    <w:p w14:paraId="2D94EC92" w14:textId="77777777" w:rsidR="007B6D25" w:rsidRPr="000805BB" w:rsidRDefault="007B6D25" w:rsidP="007B6D25">
      <w:pPr>
        <w:pStyle w:val="Heading3"/>
      </w:pPr>
      <w:r>
        <w:t>A spanyolországi interjúk során az érdekelt felek elismerték, hogy az EBTP és a BPEP hozzájárulhat a projektek megfogalmazásához, a projektek láthatóságának növeléséhez, valamint a vállalatok közötti konzorciumok létrehozásához és a projektek közötti szinergiák kialakításához. A résztvevőknek kétségeik voltak azt illetően, hogy képesek-e nagyszámú projektet támogatni. A spanyol érdekelt felek megjegyezték, hogy a BPEP hozzájárult a projektek láthatóságának növeléséhez és ezáltal a potenciális befektetők vonzásához, bár az adatok hiánya miatt nem lehetett mérni a más lehetőségekhez viszonyított, tényleges befolyását.</w:t>
      </w:r>
    </w:p>
    <w:p w14:paraId="2D94EC93" w14:textId="77777777" w:rsidR="007B6D25" w:rsidRPr="000805BB" w:rsidRDefault="007B6D25" w:rsidP="007B6D25">
      <w:pPr>
        <w:rPr>
          <w:lang w:val="en-GB"/>
        </w:rPr>
      </w:pPr>
    </w:p>
    <w:p w14:paraId="2D94EC94" w14:textId="77777777" w:rsidR="007B6D25" w:rsidRPr="000805BB" w:rsidRDefault="007B6D25" w:rsidP="007B6D25">
      <w:pPr>
        <w:pStyle w:val="Heading3"/>
      </w:pPr>
      <w:r>
        <w:t>Az olaszországi kiküldetés során a résztvevők aggodalmuknak adtak hangot amiatt, hogy az ESBA-eljárások nem segítették elő a területi egyenlőtlenségek csökkentését, sem pedig a szociális beruházások előnyben részesítését. Más országokból a civil társadalmi szervezetek képviselői ugyanezt az aggályt fejezték ki. Azonban számos tagállamban a szociális beruházások esetében volt a legmagasabb a szorzótényező.</w:t>
      </w:r>
    </w:p>
    <w:p w14:paraId="2D94EC95" w14:textId="77777777" w:rsidR="007B6D25" w:rsidRPr="000805BB" w:rsidRDefault="007B6D25" w:rsidP="007B6D25">
      <w:pPr>
        <w:rPr>
          <w:lang w:val="en-GB"/>
        </w:rPr>
      </w:pPr>
    </w:p>
    <w:p w14:paraId="2D94EC96" w14:textId="77777777" w:rsidR="007B6D25" w:rsidRPr="000805BB" w:rsidRDefault="007B6D25" w:rsidP="007B6D25">
      <w:pPr>
        <w:pStyle w:val="Heading2"/>
        <w:keepNext/>
        <w:keepLines/>
      </w:pPr>
      <w:r>
        <w:rPr>
          <w:b/>
        </w:rPr>
        <w:t>Jelentőség</w:t>
      </w:r>
    </w:p>
    <w:p w14:paraId="2D94EC97" w14:textId="77777777" w:rsidR="007B6D25" w:rsidRPr="000805BB" w:rsidRDefault="007B6D25" w:rsidP="007B6D25">
      <w:pPr>
        <w:pStyle w:val="Heading3"/>
        <w:keepNext/>
        <w:keepLines/>
        <w:numPr>
          <w:ilvl w:val="0"/>
          <w:numId w:val="0"/>
        </w:numPr>
        <w:rPr>
          <w:lang w:val="en-GB"/>
        </w:rPr>
      </w:pPr>
    </w:p>
    <w:p w14:paraId="2D94EC98" w14:textId="77777777" w:rsidR="007B6D25" w:rsidRPr="000805BB" w:rsidRDefault="007B6D25" w:rsidP="007B6D25">
      <w:pPr>
        <w:pStyle w:val="Heading3"/>
      </w:pPr>
      <w:r>
        <w:t>A megkérdezett országok válaszadói összességében úgy vélték, hogy az ESBA fontos szerepet játszik a stratégiai beruházási projektek támogatásában (a lehetőségek skálája a viszonylag fontos és a nagyon fontos között mozgott).</w:t>
      </w:r>
    </w:p>
    <w:p w14:paraId="2D94EC99" w14:textId="77777777" w:rsidR="007B6D25" w:rsidRPr="000805BB" w:rsidRDefault="007B6D25" w:rsidP="007B6D25">
      <w:pPr>
        <w:rPr>
          <w:lang w:val="en-GB"/>
        </w:rPr>
      </w:pPr>
    </w:p>
    <w:p w14:paraId="2D94EC9A" w14:textId="77777777" w:rsidR="007B6D25" w:rsidRPr="000805BB" w:rsidRDefault="007B6D25" w:rsidP="007B6D25">
      <w:pPr>
        <w:pStyle w:val="Heading3"/>
      </w:pPr>
      <w:r>
        <w:t>A lengyelországi interjúk során az érdekelt felek megjegyezték, hogy az ESBA-t sikeresen használták fel az ország különböző ágazataiban, ami azt mutatja, hogy az ESBA-t a gyártás, az energia, az élelmiszeripar, a bankszektor, az új technológiák és az oktatás területén a finanszírozáshoz való hozzáférés vonzó módjának tekintik. Elhangzott továbbá, hogy a lengyel kockázatitőke-alapok az ESBA keretében első alkalommal fektettek be az országuk határain kívüli, magas kockázatú induló vállalkozásokba.</w:t>
      </w:r>
    </w:p>
    <w:p w14:paraId="2D94EC9B" w14:textId="77777777" w:rsidR="007B6D25" w:rsidRPr="000805BB" w:rsidRDefault="007B6D25" w:rsidP="007B6D25">
      <w:pPr>
        <w:rPr>
          <w:lang w:val="en-GB"/>
        </w:rPr>
      </w:pPr>
    </w:p>
    <w:p w14:paraId="2D94EC9C" w14:textId="77777777" w:rsidR="007B6D25" w:rsidRPr="000805BB" w:rsidRDefault="007B6D25" w:rsidP="007B6D25">
      <w:pPr>
        <w:pStyle w:val="Heading3"/>
      </w:pPr>
      <w:r>
        <w:t>A spanyol érdekelt felek megjegyezték, hogy az alap számos gazdasági ágazat számára hasznosnak bizonyult, beleértve a közlekedést, az energiaügyet, a környezetvédelmet és az oltóanyag-fejlesztést. A hatás különösen jelentős volt az igazságos átmenet, valamint a kutatás és az innováció szempontjából. Az ESBA 2.0 hatókörének a kiterjesztése pozitívnak bizonyult.</w:t>
      </w:r>
    </w:p>
    <w:p w14:paraId="2D94EC9D" w14:textId="77777777" w:rsidR="007B6D25" w:rsidRPr="000805BB" w:rsidRDefault="007B6D25" w:rsidP="007B6D25">
      <w:pPr>
        <w:tabs>
          <w:tab w:val="left" w:pos="567"/>
        </w:tabs>
        <w:ind w:left="567" w:hanging="567"/>
        <w:rPr>
          <w:lang w:val="en-GB"/>
        </w:rPr>
      </w:pPr>
    </w:p>
    <w:p w14:paraId="2D94EC9E" w14:textId="77777777" w:rsidR="007B6D25" w:rsidRPr="000805BB" w:rsidRDefault="007B6D25" w:rsidP="007B6D25">
      <w:pPr>
        <w:pStyle w:val="Heading3"/>
      </w:pPr>
      <w:r>
        <w:t>Olaszországban a gáz- és a villamosenergia-ágazatban az ESBA-nak köszönhetően megvalósult jelentős beruházások kulcsfontosságúak voltak az ország energiafüggetlenségének biztosítása szempontjából. Az alap hosszú távú irányítása fontos volt, és a jelenlegi globális kontextusban egyértelmű volt a projekt szükségessége: lehetővé tette az energiaköltségek csökkentését, ami most stratégiai értéket képvisel.</w:t>
      </w:r>
    </w:p>
    <w:p w14:paraId="2D94EC9F" w14:textId="77777777" w:rsidR="007B6D25" w:rsidRPr="000805BB" w:rsidRDefault="007B6D25" w:rsidP="007B6D25">
      <w:pPr>
        <w:rPr>
          <w:lang w:val="en-GB"/>
        </w:rPr>
      </w:pPr>
    </w:p>
    <w:p w14:paraId="2D94ECA0" w14:textId="77777777" w:rsidR="007B6D25" w:rsidRPr="000805BB" w:rsidRDefault="007B6D25" w:rsidP="007B6D25">
      <w:pPr>
        <w:pStyle w:val="Heading3"/>
      </w:pPr>
      <w:r>
        <w:lastRenderedPageBreak/>
        <w:t>Olaszországban és más olyan országokban, ahol történelmi okokból földrajzi különbségek tapasztalhatók, az egyik kiemelt probléma az volt, hogy a kevesebb beruházásban részesülő régiók azok, amelyek nehezebben tudják kezelni termelési és ipari rendszereik átalakítását is, és több forrásra lenne szükségük ezek kezeléséhez.</w:t>
      </w:r>
    </w:p>
    <w:p w14:paraId="2D94ECA1" w14:textId="77777777" w:rsidR="007B6D25" w:rsidRPr="000805BB" w:rsidRDefault="007B6D25" w:rsidP="007B6D25">
      <w:pPr>
        <w:rPr>
          <w:lang w:val="en-GB"/>
        </w:rPr>
      </w:pPr>
    </w:p>
    <w:p w14:paraId="2D94ECA2" w14:textId="77777777" w:rsidR="007B6D25" w:rsidRPr="000805BB" w:rsidRDefault="007B6D25" w:rsidP="007B6D25">
      <w:pPr>
        <w:pStyle w:val="Heading3"/>
      </w:pPr>
      <w:r>
        <w:t>Romániában a szoftvervállalatokba történő beruházások megmutatták, hogy mennyire releváns az ESBA nemcsak a kedvezményezett ország gazdasági és társadalmi teljesítménye, hanem Európa kutatási és fejlesztési pozíciója szempontjából is. Az egyetemeknek nyújtott beruházási támogatás és technikai segítségnyújtás kulcsfontosságú részét képezte az ESBA kutatási és innovációs prioritásainak.</w:t>
      </w:r>
    </w:p>
    <w:p w14:paraId="2D94ECA3" w14:textId="77777777" w:rsidR="007B6D25" w:rsidRPr="000805BB" w:rsidRDefault="007B6D25" w:rsidP="007B6D25">
      <w:pPr>
        <w:rPr>
          <w:lang w:val="en-GB"/>
        </w:rPr>
      </w:pPr>
    </w:p>
    <w:p w14:paraId="2D94ECA4" w14:textId="77777777" w:rsidR="007B6D25" w:rsidRPr="000805BB" w:rsidRDefault="007B6D25" w:rsidP="007B6D25">
      <w:pPr>
        <w:pStyle w:val="Heading3"/>
      </w:pPr>
      <w:r>
        <w:t>Spanyolországban a résztvevők egyetértettek az ESBA addicionalitását illetően, éspedig a kkv-k és a szociális gazdaság tekintetében, különösen az olyan kisebb vállalkozások esetében, amelyek számára különösen nehéz a forrásbevonás. Megállapították, hogy számos kedvezményezett nem tudta volna végrehajtani projektjeit az ESBA-támogatás nélkül. Más országokhoz hasonlóan azonban megjegyezték, hogy hiányoztak az addicionalitás mérésére szolgáló eljárások, valamint a foglalkoztatási hatás mutatói. A legtöbben úgy vélték, hogy az ESBA hozzájárult a gazdaság ellenállóbbá tételéhez és a pénzügyi válság hatásainak enyhítéséhez. Enélkül sok kkv eltűnt volna azok miatt a gazdasági sokkhatások miatt, amelyekkel szembenéztek.</w:t>
      </w:r>
    </w:p>
    <w:p w14:paraId="2D94ECA5" w14:textId="77777777" w:rsidR="007B6D25" w:rsidRPr="000805BB" w:rsidRDefault="007B6D25" w:rsidP="007B6D25">
      <w:pPr>
        <w:ind w:left="567" w:hanging="567"/>
        <w:rPr>
          <w:lang w:val="en-GB"/>
        </w:rPr>
      </w:pPr>
    </w:p>
    <w:p w14:paraId="2D94ECA6" w14:textId="77777777" w:rsidR="007B6D25" w:rsidRPr="000805BB" w:rsidRDefault="007B6D25" w:rsidP="007B6D25">
      <w:pPr>
        <w:pStyle w:val="Heading3"/>
      </w:pPr>
      <w:r>
        <w:t>Az ESBA országok közötti és ugyanazon országon belüli régiók közötti konvergenciára gyakorolt hatásáról szóló többségi vélemény valamennyi országban az volt, hogy az nem volt jelentős, vagy nincs bizonyíték semmilyen hatásra.</w:t>
      </w:r>
    </w:p>
    <w:p w14:paraId="2D94ECA7" w14:textId="77777777" w:rsidR="007B6D25" w:rsidRPr="000805BB" w:rsidRDefault="007B6D25" w:rsidP="007B6D25">
      <w:pPr>
        <w:rPr>
          <w:lang w:val="en-GB"/>
        </w:rPr>
      </w:pPr>
    </w:p>
    <w:p w14:paraId="2D94ECA8" w14:textId="77777777" w:rsidR="007B6D25" w:rsidRPr="000805BB" w:rsidRDefault="007B6D25" w:rsidP="007B6D25">
      <w:pPr>
        <w:pStyle w:val="Heading2"/>
        <w:keepNext/>
        <w:keepLines/>
      </w:pPr>
      <w:r>
        <w:rPr>
          <w:b/>
        </w:rPr>
        <w:t>A civil társadalom részvétele</w:t>
      </w:r>
    </w:p>
    <w:p w14:paraId="2D94ECA9" w14:textId="77777777" w:rsidR="007B6D25" w:rsidRPr="000805BB" w:rsidRDefault="007B6D25" w:rsidP="007B6D25">
      <w:pPr>
        <w:pStyle w:val="Heading3"/>
        <w:keepNext/>
        <w:keepLines/>
        <w:numPr>
          <w:ilvl w:val="0"/>
          <w:numId w:val="0"/>
        </w:numPr>
        <w:rPr>
          <w:lang w:val="en-GB"/>
        </w:rPr>
      </w:pPr>
    </w:p>
    <w:p w14:paraId="2D94ECAA" w14:textId="77777777" w:rsidR="007B6D25" w:rsidRPr="000805BB" w:rsidRDefault="007B6D25" w:rsidP="007B6D25">
      <w:pPr>
        <w:pStyle w:val="Heading3"/>
      </w:pPr>
      <w:r>
        <w:t>A civil társadalom megkérdezett képviselői általában megosztottak voltak abban a tekintetben, hogy szervezeteik mennyire ismerik az ESBA-t. Logikus módon az üzleti szervezetek és a pénzügyi intézmények úgy nyilatkoztak, hogy többé-kevésbé tájékozottak, míg a szakszervezetek és a legtöbb civil társadalmi szervezet azt mondta, hogy kevés információt kaptak vagy nem is kaptak információt. A többség véleménye az volt, hogy a láthatóság nem volt megfelelő, ami azt eredményezte, hogy a pénzügyi közvetítőkön keresztül kedvezményezett vállalatok egyes esetekben nem is tudtak arról, hogy az ESBA keretében kapták a hiteleiket. Elismerték azonban, hogy az EBB nemzeti részlegei a munkáltatói szervezetek, a kereskedelmi kamarák és a hatóságok együttműködésével aktív szerepet játszottak a potenciális kedvezményezettek felkutatásában, ami az EBB működési paradigmájának mélyreható változását jelentette.</w:t>
      </w:r>
    </w:p>
    <w:p w14:paraId="2D94ECAB" w14:textId="77777777" w:rsidR="007B6D25" w:rsidRPr="000805BB" w:rsidRDefault="007B6D25" w:rsidP="007B6D25">
      <w:pPr>
        <w:rPr>
          <w:lang w:val="en-GB"/>
        </w:rPr>
      </w:pPr>
    </w:p>
    <w:p w14:paraId="2D94ECAC" w14:textId="77777777" w:rsidR="007B6D25" w:rsidRPr="000805BB" w:rsidRDefault="007B6D25" w:rsidP="007B6D25">
      <w:pPr>
        <w:pStyle w:val="Heading3"/>
      </w:pPr>
      <w:r>
        <w:t xml:space="preserve">Lengyelország kivételével – ahol a szociális partnereket általában tájékoztatták az ESBA-ról – nem zajlott hivatalos konzultációs folyamat a szociális partnerekkel és a civil társadalmi szervezetekkel az ESBA vagy az ESBA 2.0 elindításáról vagy végrehajtásáról. A konzultációs szervek vagy folyamatok hiánya logikus módon korlátozta láthatóságukat és a potenciális kedvezményezettek körét. </w:t>
      </w:r>
    </w:p>
    <w:p w14:paraId="2D94ECAD" w14:textId="77777777" w:rsidR="007B6D25" w:rsidRPr="000805BB" w:rsidRDefault="007B6D25" w:rsidP="007B6D25">
      <w:pPr>
        <w:rPr>
          <w:lang w:val="en-GB"/>
        </w:rPr>
      </w:pPr>
    </w:p>
    <w:p w14:paraId="2D94ECAE" w14:textId="77777777" w:rsidR="007B6D25" w:rsidRPr="000805BB" w:rsidRDefault="007B6D25" w:rsidP="007B6D25">
      <w:pPr>
        <w:pStyle w:val="Heading3"/>
      </w:pPr>
      <w:r>
        <w:lastRenderedPageBreak/>
        <w:t xml:space="preserve">A Spanyolországban és Olaszországban tett látogatások megállapították, hogy az információhiány korlátozza a potenciális kedvezményezettek információhoz való hozzáférését. Ezek a hiányosságok az EBTP-hez és a BPEP-hez való hozzáférést is korlátozták, amelyek hasznosságát általánosan elismerték. Romániában megjegyezték, hogy a civil társadalom bevonása nem igazodott a különböző érdekcsoportokhoz. Lengyelországban az említett akadályok főként intézményi jellegűek voltak, amelyek a szociális párbeszéd meglévő modelljéből fakadnak. </w:t>
      </w:r>
    </w:p>
    <w:p w14:paraId="2D94ECAF" w14:textId="77777777" w:rsidR="007B6D25" w:rsidRPr="000805BB" w:rsidRDefault="007B6D25" w:rsidP="007B6D25">
      <w:pPr>
        <w:rPr>
          <w:lang w:val="en-GB"/>
        </w:rPr>
      </w:pPr>
    </w:p>
    <w:p w14:paraId="2D94ECB0" w14:textId="77777777" w:rsidR="007B6D25" w:rsidRPr="000805BB" w:rsidRDefault="007B6D25" w:rsidP="007B6D25">
      <w:pPr>
        <w:pStyle w:val="Heading3"/>
      </w:pPr>
      <w:r>
        <w:t>Általánosan elismerték az ESBA technikai bonyolultságát. Olaszországban, Írországban és Romániában a válaszadók azon a véleményen voltak, hogy a civil társadalmi szervezetek többsége nem rendelkezik elegendő szakértelemmel ahhoz, hogy megalapozott véleményt adjon a finanszírozási mechanizmusokról és azok végrehajtásáról. Hangsúlyozták, hogy a civil társadalmi szervezetek körében elő kell mozdítani a pénzügyi eszközökkel kapcsolatos kapacitást és szakértelmet. Az írországi, olaszországi, spanyolországi és romániai kiküldetések során azonban a szociális partnerek és a civil társadalmi szervezetek képviselői úgy vélték, hogy ha megfelelő tájékoztatásban részesülnek, akkor teljes mértékben képesek észrevételeket tenni az EBB és az ESBA beruházási politikájának célkitűzéseiről és általános irányáról, valamint értékelni teljesítményüket.</w:t>
      </w:r>
    </w:p>
    <w:p w14:paraId="2D94ECB1" w14:textId="77777777" w:rsidR="007B6D25" w:rsidRPr="000805BB" w:rsidRDefault="007B6D25" w:rsidP="007B6D25">
      <w:pPr>
        <w:rPr>
          <w:lang w:val="en-GB"/>
        </w:rPr>
      </w:pPr>
    </w:p>
    <w:p w14:paraId="2D94ECB2" w14:textId="77777777" w:rsidR="007B6D25" w:rsidRPr="000805BB" w:rsidRDefault="007B6D25" w:rsidP="007B6D25">
      <w:pPr>
        <w:pStyle w:val="Heading1"/>
        <w:keepNext/>
        <w:keepLines/>
      </w:pPr>
      <w:r>
        <w:rPr>
          <w:b/>
        </w:rPr>
        <w:t>Ajánlások</w:t>
      </w:r>
    </w:p>
    <w:p w14:paraId="2D94ECB3" w14:textId="77777777" w:rsidR="007B6D25" w:rsidRPr="000805BB" w:rsidRDefault="007B6D25" w:rsidP="007B6D25">
      <w:pPr>
        <w:keepNext/>
        <w:keepLines/>
        <w:rPr>
          <w:lang w:val="en-GB"/>
        </w:rPr>
      </w:pPr>
    </w:p>
    <w:p w14:paraId="2D94ECB4" w14:textId="77777777" w:rsidR="007B6D25" w:rsidRPr="000805BB" w:rsidRDefault="007B6D25" w:rsidP="007B6D25">
      <w:pPr>
        <w:pStyle w:val="Heading2"/>
      </w:pPr>
      <w:r>
        <w:t>Az Európai Bizottságnak elő kellene mozdítania egy olyan jogalkotási kezdeményezést, amely biztosítja a szociális partnerek és a civil társadalmi szervezetek bevonását az uniós beruházási programok – különösen az InvestEU, az ESBA utódja – elindításába és végrehajtásába. Erre a javaslatra különösen azért van szükség, mert bár az EGSZB és az RB képviselteti magát az InvestEU programmal foglalkozó tanácsadó testületben, a rendelet</w:t>
      </w:r>
      <w:r w:rsidRPr="000805BB">
        <w:rPr>
          <w:rStyle w:val="FootnoteReference"/>
          <w:lang w:val="en-GB"/>
        </w:rPr>
        <w:footnoteReference w:id="6"/>
      </w:r>
      <w:r>
        <w:t xml:space="preserve"> irányítással foglalkozó V. fejezetéből törölték az ESBA-rendeletben a civil társadalmi szervezetekkel és más érdekelt felekkel az alap beruházási politikáinak irányáról és végrehajtásáról folytatott rendszeres európai szintű konzultációra való hivatkozásokat</w:t>
      </w:r>
      <w:r w:rsidRPr="000805BB">
        <w:rPr>
          <w:rStyle w:val="FootnoteReference"/>
          <w:lang w:val="en-GB"/>
        </w:rPr>
        <w:footnoteReference w:id="7"/>
      </w:r>
      <w:r>
        <w:t>.</w:t>
      </w:r>
    </w:p>
    <w:p w14:paraId="2D94ECB5" w14:textId="77777777" w:rsidR="007B6D25" w:rsidRPr="000805BB" w:rsidRDefault="007B6D25" w:rsidP="007B6D25">
      <w:pPr>
        <w:pStyle w:val="Heading2"/>
        <w:numPr>
          <w:ilvl w:val="0"/>
          <w:numId w:val="0"/>
        </w:numPr>
        <w:rPr>
          <w:lang w:val="en-GB"/>
        </w:rPr>
      </w:pPr>
    </w:p>
    <w:p w14:paraId="2D94ECB6" w14:textId="77777777" w:rsidR="007B6D25" w:rsidRPr="000805BB" w:rsidRDefault="007B6D25" w:rsidP="007B6D25">
      <w:pPr>
        <w:pStyle w:val="Heading2"/>
      </w:pPr>
      <w:r>
        <w:t xml:space="preserve">A szervezett civil társadalom részvételét az InvestEU-ban nemzeti szinten is biztosítani kell a szociális partnereket és a civil társadalmat képviselő szervezetekből, valamint az érintett hatóságokból – beleértve a regionális és helyi önkormányzatokat is –, az EBB-ből és a pénzügyi intézményekből álló tanácsadó bizottságok létrehozásával. Nemzeti tanácsadó szerveket is létre kell hozni, amelyek integrálják az összes európai beruházási programot, és segítenek biztosítani azok koherenciáját és addicionalitását. Ezek a szervek kapcsolódnának a strukturális alapok és a Kohéziós Alap, valamint a létrehozandó tanácsadó bizottságok számára rendelkezésre álló tanácsadó bizottságokhoz, különösen az InvestEU és a nemzeti helyreállítási és rezilienciaépítési tervek esetében. Figyelembe kell venni a nemzeti helyreállítási és </w:t>
      </w:r>
      <w:r>
        <w:lastRenderedPageBreak/>
        <w:t>rezilienciaépítési tervekről</w:t>
      </w:r>
      <w:r w:rsidRPr="000805BB">
        <w:rPr>
          <w:rStyle w:val="FootnoteReference"/>
          <w:lang w:val="en-GB"/>
        </w:rPr>
        <w:footnoteReference w:id="8"/>
      </w:r>
      <w:r>
        <w:t xml:space="preserve"> szóló közelmúltbeli EGSZB-állásfoglalásban említettekhez hasonló bevált gyakorlatokat. A nemzeti gazdasági és szociális tanácsoknak kiemelt szerepet kell játszaniuk ezekben a konzultációs folyamatokban. </w:t>
      </w:r>
    </w:p>
    <w:p w14:paraId="2D94ECB7" w14:textId="77777777" w:rsidR="007B6D25" w:rsidRPr="000805BB" w:rsidRDefault="007B6D25" w:rsidP="007B6D25">
      <w:pPr>
        <w:rPr>
          <w:lang w:val="en-GB"/>
        </w:rPr>
      </w:pPr>
    </w:p>
    <w:p w14:paraId="2D94ECB8" w14:textId="77777777" w:rsidR="007B6D25" w:rsidRPr="000805BB" w:rsidRDefault="007B6D25" w:rsidP="007B6D25">
      <w:pPr>
        <w:pStyle w:val="Heading2"/>
      </w:pPr>
      <w:r>
        <w:t>A nemzeti helyreállítási és rezilienciaépítési tervekről szóló közelmúltbeli állásfoglalásában az EGSZB plenáris ülése azt szorgalmazta, hogy az európai szemeszter reformfolyamatában egy irányelv vagy rendelet elfogadása révén mozdítsák elő a szervezett civil társadalom hatékony és minőségi részvételét az uniós gazdasági kormányzásban. Ez szolgálna az ebben a jelentésben tett javaslat keretéül. Az ESBA és az InvestEU rendkívüli mértékben technikai jellege volt az egyik érv amellett, hogy a szervezett civil társadalmat csak korlátozott mértékben vonják be azok kialakításába és végrehajtásába. Bár különbséget kell tenni a „beruházáspolitikai iránymutatásban és végrehajtásban” való részvétel és a technikai és kereskedelmi döntésekben való részvétel között, amit az EGSZB nem állít, fontos megerősíteni a civil társadalmi szervezetek beruházási politikákkal és finanszírozási eszközökkel kapcsolatos kapacitásait. Az Európai Bizottságnak és az EBB-nek ezt az InvestEU programon belül vagy azon kívül is elő kell mozdítania.</w:t>
      </w:r>
    </w:p>
    <w:p w14:paraId="2D94ECB9" w14:textId="77777777" w:rsidR="007B6D25" w:rsidRPr="000805BB" w:rsidRDefault="007B6D25" w:rsidP="007B6D25">
      <w:pPr>
        <w:rPr>
          <w:lang w:val="en-GB"/>
        </w:rPr>
      </w:pPr>
    </w:p>
    <w:p w14:paraId="2D94ECBA" w14:textId="77777777" w:rsidR="007B6D25" w:rsidRPr="000805BB" w:rsidRDefault="007B6D25" w:rsidP="007B6D25">
      <w:pPr>
        <w:pStyle w:val="Heading2"/>
      </w:pPr>
      <w:r>
        <w:t>A civil szervezetek rámutattak arra, hogy egyes országokban a hatóságok nem szereztek elegendő technikai szakértelmet a különböző európai beruházási programok végrehajtásához vagy végrehajtásának támogatásához; más országokban a közigazgatás humántőkét veszített a 2008–2012-es válság és a megszorító politikák következtében, melyeket nem sikerült kiheverniük. Bár a hatóságok beavatkozása korlátozott az olyan programok esetében, mint az ESBA és az InvestEU, szükség esetén fontos lenne a hatóságok technikai kapacitásainak megerősítése, különösen a más beruházási programokkal való kiegészítő jelleg és az európai és nemzeti beruházási stratégiák átfogó célkitűzéseivel való összhang megerősítése érdekében.</w:t>
      </w:r>
    </w:p>
    <w:p w14:paraId="2D94ECBB" w14:textId="77777777" w:rsidR="007B6D25" w:rsidRPr="000805BB" w:rsidRDefault="007B6D25" w:rsidP="007B6D25">
      <w:pPr>
        <w:rPr>
          <w:lang w:val="en-GB"/>
        </w:rPr>
      </w:pPr>
    </w:p>
    <w:p w14:paraId="2D94ECBC" w14:textId="77777777" w:rsidR="007B6D25" w:rsidRPr="000805BB" w:rsidRDefault="007B6D25" w:rsidP="007B6D25">
      <w:pPr>
        <w:pStyle w:val="Heading2"/>
      </w:pPr>
      <w:r>
        <w:t>Az EU előtt álló főbb kihívások – a Covid19-világjárvány, az ukrajnai háború és annak geopolitikai következményei stb. – összefüggésében a résztvevők kiemelték, hogy az EU-nak fenn kell tartania, sőt meg kell erősítenie elkötelezettségét a beruházások előmozdítása és annak biztosítása iránt, hogy a beruházások a zöld megállapodás célkitűzéseinek – az energetikai átállás felgyorsításának – elérésére, valamint a digitális transzformációra és az igazságos átmenetre, valamint a társadalmi kohézió megerősítésére irányuljanak. Ez az ajánlás az olyan beruházási programok folytatásához és megerősítéséhez is kapcsolódott, mint az InvestEU, az NGEU vagy a REPowerEU. A szociális párbeszédnek kulcsszerepe van abban, hogy összekapcsolja ezeket a folyamatokat a beruházási politikákkal.</w:t>
      </w:r>
    </w:p>
    <w:p w14:paraId="2D94ECBD" w14:textId="77777777" w:rsidR="007B6D25" w:rsidRPr="000805BB" w:rsidRDefault="007B6D25" w:rsidP="007B6D25">
      <w:pPr>
        <w:rPr>
          <w:lang w:val="en-GB"/>
        </w:rPr>
      </w:pPr>
    </w:p>
    <w:p w14:paraId="2D94ECBE" w14:textId="77777777" w:rsidR="007B6D25" w:rsidRPr="000805BB" w:rsidRDefault="007B6D25" w:rsidP="007B6D25">
      <w:pPr>
        <w:pStyle w:val="Heading2"/>
      </w:pPr>
      <w:r>
        <w:t>Valamennyi megkérdezett civil társadalmi szervezet egyetértett abban, hogy fel kell kérni az Európai Bizottságot és az EBB-t, hogy – a már megkezdett intézkedésekkel összhangban</w:t>
      </w:r>
      <w:r w:rsidRPr="000805BB">
        <w:rPr>
          <w:rStyle w:val="FootnoteReference"/>
          <w:lang w:val="en-GB"/>
        </w:rPr>
        <w:footnoteReference w:id="9"/>
      </w:r>
      <w:r>
        <w:t xml:space="preserve"> – a lehető legnagyobb mértékben erősítsék meg az InvestEU és a többi uniós beruházási program – a Next Generation EU és nemzeti helyreállítási és rezilienciaépítési tervei, a REPowerEU, a strukturális alapok és a Kohéziós Alap stb. – közötti kiegészítő jelleget és szinergiákat. Az </w:t>
      </w:r>
      <w:r>
        <w:lastRenderedPageBreak/>
        <w:t>EGSZB egyetért azzal a nézettel, hogy az InvestEU célkitűzéseit össze kell hangolni az EU átfogó beruházáspolitikai célkitűzéseivel és a nemzeti beruházási prioritásokkal. Ez nem gyengítheti egyik legnagyobb erősségét – amelyet az ESBA-től örökölt –, nevezetesen a pénzügyi és tőkepiacokon a köz- és magánszféra közötti partnerségek kialakítására irányuló képességét. Ezeknek a beruházási programoknak a végrehajtása során a rugalmasság és az alkalmazkodóképesség kulcsfontosságú a kiegészítő jelleg biztosításához.</w:t>
      </w:r>
    </w:p>
    <w:p w14:paraId="2D94ECBF" w14:textId="77777777" w:rsidR="007B6D25" w:rsidRPr="004A3C7C" w:rsidRDefault="007B6D25" w:rsidP="007B6D25">
      <w:pPr>
        <w:pStyle w:val="ListParagraph"/>
        <w:ind w:left="0"/>
      </w:pPr>
    </w:p>
    <w:p w14:paraId="2D94ECC0" w14:textId="77777777" w:rsidR="007B6D25" w:rsidRPr="000805BB" w:rsidRDefault="007B6D25" w:rsidP="007B6D25">
      <w:pPr>
        <w:pStyle w:val="Heading2"/>
      </w:pPr>
      <w:r>
        <w:t xml:space="preserve">A megkérdezett civil szervezetek többsége úgy véli, hogy eszközöket kell bevezetni annak értékelésére, hogy ezek a programok milyen hatást gyakorolnak az egyének és közösségek munka- és életkörülményeire, valamint a régiók közötti konvergenciára. A projektek támogathatósági kritériumainak tartalmazniuk kell a munkajognak, az EU foglalkoztatáspolitikájának és az Alapjogi Chartának való megfelelés mértékének értékelését. Elő kell mozdítani a szociális beruházási projektek, valamint a képzés és a kapacitásépítés fokozott finanszírozását. Hasonlóképpen létre kell hozni egy mechanizmust a beruházások területi hatásának mérésére annak biztosítása érdekében, hogy az InvestEU is hozzájáruljon a regionális fejlődéshez. Ennek összhangban kell lennie a köz- és magánszféra közötti partnerségi modell pozitív piaci elemeinek tiszteletben tartásával. </w:t>
      </w:r>
    </w:p>
    <w:p w14:paraId="2D94ECC1" w14:textId="77777777" w:rsidR="007B6D25" w:rsidRPr="000805BB" w:rsidRDefault="007B6D25" w:rsidP="007B6D25">
      <w:pPr>
        <w:rPr>
          <w:lang w:val="en-GB"/>
        </w:rPr>
      </w:pPr>
    </w:p>
    <w:p w14:paraId="2D94ECC2" w14:textId="77777777" w:rsidR="007B6D25" w:rsidRPr="000805BB" w:rsidRDefault="007B6D25" w:rsidP="007B6D25">
      <w:pPr>
        <w:pStyle w:val="Heading2"/>
      </w:pPr>
      <w:r>
        <w:t>Az ESBA és az InvestEU beruházásainak pénzügyi, gazdasági és társadalmi eredményeire vonatkozó részletesebb információk segíthetnek e programok hatékonyságának javításában. Többek között elemezni kell a nemteljesítő hitelek százalékos arányát, valamint a különböző típusú ágazatokkal, vállalkozásokkal és beruházási kötelezettségvállalásokkal való összefüggésüket.</w:t>
      </w:r>
    </w:p>
    <w:p w14:paraId="2D94ECC3" w14:textId="77777777" w:rsidR="007B6D25" w:rsidRPr="004A3C7C" w:rsidRDefault="007B6D25" w:rsidP="007B6D25">
      <w:pPr>
        <w:pStyle w:val="ListParagraph"/>
        <w:ind w:left="0"/>
      </w:pPr>
    </w:p>
    <w:p w14:paraId="2D94ECC4" w14:textId="77777777" w:rsidR="007B6D25" w:rsidRPr="000805BB" w:rsidRDefault="007B6D25" w:rsidP="007B6D25">
      <w:pPr>
        <w:pStyle w:val="Heading2"/>
      </w:pPr>
      <w:r>
        <w:t>Az ESBA által finanszírozott beruházások addicionalitásának szintjével kapcsolatos véleménykülönbségek szükségessé tennék az addicionalitás mérésére szolgáló eszközök létrehozását annak pontosabb értékelése érdekében.</w:t>
      </w:r>
    </w:p>
    <w:p w14:paraId="2D94ECC5" w14:textId="77777777" w:rsidR="007B6D25" w:rsidRPr="004A3C7C" w:rsidRDefault="007B6D25" w:rsidP="007B6D25">
      <w:pPr>
        <w:pStyle w:val="ListParagraph"/>
        <w:ind w:left="0"/>
      </w:pPr>
    </w:p>
    <w:p w14:paraId="2D94ECC6" w14:textId="77777777" w:rsidR="007B6D25" w:rsidRPr="000805BB" w:rsidRDefault="007B6D25" w:rsidP="007B6D25">
      <w:pPr>
        <w:pStyle w:val="Heading2"/>
      </w:pPr>
      <w:r>
        <w:t>A civil társadalmi szervezetek nagyon fontosnak tartották, hogy az InvestEU különböző tisztviselői valóban figyelembe vegyék az arra irányuló mutatókat, hogy a beruházások milyen hatást gyakorolnak a helyi és regionális közösségekre, valamint azok konvergencia- vagy divergenciafolyamataira. Az EGSZB arra kéri az Európai Bizottságot és az EBB-t, hogy vizsgálják meg, hogyan lehetne határozottan előmozdítani az InvestEU, valamint a strukturális alapok és a Kohéziós Alap közötti szinergiákat annak érdekében, hogy megszűnjön az ESBA végrehajtása során a fejlettebb régiókat előnyben részesítő elfogultság.</w:t>
      </w:r>
    </w:p>
    <w:p w14:paraId="2D94ECC7" w14:textId="77777777" w:rsidR="007B6D25" w:rsidRPr="004A3C7C" w:rsidRDefault="007B6D25" w:rsidP="007B6D25">
      <w:pPr>
        <w:pStyle w:val="ListParagraph"/>
        <w:ind w:left="0"/>
      </w:pPr>
    </w:p>
    <w:p w14:paraId="2D94ECC8" w14:textId="77777777" w:rsidR="007B6D25" w:rsidRPr="000805BB" w:rsidRDefault="007B6D25" w:rsidP="007B6D25">
      <w:pPr>
        <w:pStyle w:val="Heading2"/>
      </w:pPr>
      <w:r>
        <w:t>A civil társadalmi szervezetek egyetértettek abban, hogy az InvestEU-n keresztül történő finanszírozás tekintetébenelőnyben kell részesíteni a kkv-kat és a szociális gazdasági vállalkozásokat. Elő kell mozdítani ezeknek a vállalkozásoknak azt a képességét, hogy teljes mértékben részt vegyenek az EU által ösztönzött főbb beruházási területeken. Ennek elérésének az egyik módja lenne az EBTP és a BPEP igénybevétele. Az összegyűjtött vélemények szerint kívánatos lenne a kkv-k, a közepes piaci tőkeértékű vállalatok és a szociális gazdasági vállalkozások fogalmának a homogén, európai szintű meghatározása is. Az InvestEU pályázati és indokolási folyamataival kapcsolatos adminisztratív formalitások egyszerűsítése, illetve az azok teljesítéséhez nyújtott hatékony támogatás csökkentené azoknak a kisebb vállalkozásoknak az adminisztratív terheit, amelyek kevés erőforrással rendelkeznek azok végrehajtásához.</w:t>
      </w:r>
    </w:p>
    <w:p w14:paraId="2D94ECC9" w14:textId="77777777" w:rsidR="007B6D25" w:rsidRPr="000805BB" w:rsidRDefault="007B6D25" w:rsidP="007B6D25">
      <w:pPr>
        <w:pStyle w:val="Heading2"/>
      </w:pPr>
      <w:r>
        <w:lastRenderedPageBreak/>
        <w:t>Az ESBA végrehajtása során az egyes országokban az EBTP és a BPEP különböző felhasználási szintjeivel kapcsolatban az értékelésben kifejtett nézetektől függetlenül az az általános vélemény, hogy mindkét eszköz nagyon hasznos, és azokat meg kell erősíteni. Az EBTP-nek a kkv-knak nyújtott tanácsadás révén aktívabb szerepet kell játszania a projektek végrehajtási szakaszában. Emellett más nemzeti szervezetekkel együttműködve hozzájárulhat a kkv-k vezetőinek és maguknak a civil társadalmi szervezeteknek a pénzügyi képzéséhez is. Ehhez a platform forrásainak növelésére lenne szükség. A civil társadalmi szervezetek és az ágazati képviselők bevonása pozitívan járulna hozzá a platform feladatainak a teljesítéséhez.</w:t>
      </w:r>
    </w:p>
    <w:p w14:paraId="2D94ECCA" w14:textId="77777777" w:rsidR="007B6D25" w:rsidRPr="004A3C7C" w:rsidRDefault="007B6D25" w:rsidP="007B6D25">
      <w:pPr>
        <w:pStyle w:val="ListParagraph"/>
        <w:ind w:left="0"/>
      </w:pPr>
    </w:p>
    <w:p w14:paraId="2D94ECCB" w14:textId="77777777" w:rsidR="00E2376B" w:rsidRPr="000805BB" w:rsidRDefault="007B6D25" w:rsidP="00874997">
      <w:pPr>
        <w:pStyle w:val="Heading2"/>
      </w:pPr>
      <w:r>
        <w:t>A civil társadalmi szervezetek által az ESBA átláthatóságának és közismertségének szintjével kapcsolatban megfogalmazott kritikák alapján az EGSZB úgy véli, hogy ezt a két szempontot gondosan figyelembe kell venni az InvestEU végrehajtása során. E célból több forrást kell befektetni a kommunikációba egy konkrét stratégia érdekében, és ki kell aknázni a civil társadalommal folytatott konzultációs folyamatokban rejlő lehetőségeket. Bővíteni kell a program potenciális lehetőségeiről tájékozott kkv-k körét, valamennyi kedvezményezett vállalatot tájékoztatni kell arról, hogy a nekik nyújtott hitelgarancia – olykor részben – az EBB-től és az EU-tól származik, és ezt a sikeres uniós programot szélesebb körben kell megismertetni a nyilvánossággal.</w:t>
      </w:r>
    </w:p>
    <w:p w14:paraId="2D94ECCC" w14:textId="77777777" w:rsidR="00874997" w:rsidRPr="000805BB" w:rsidRDefault="00874997" w:rsidP="00874997">
      <w:pPr>
        <w:rPr>
          <w:lang w:val="en-GB"/>
        </w:rPr>
      </w:pPr>
    </w:p>
    <w:p w14:paraId="2D94ECCD" w14:textId="77777777" w:rsidR="00E2376B" w:rsidRPr="000805BB" w:rsidRDefault="7ABFEF8A" w:rsidP="00E2376B">
      <w:r>
        <w:t>Kelt Brüsszelben, 2022. szeptember 21-én.</w:t>
      </w:r>
    </w:p>
    <w:p w14:paraId="2D94ECCE" w14:textId="77777777" w:rsidR="00E2376B" w:rsidRPr="000805BB" w:rsidRDefault="00E2376B" w:rsidP="00E2376B">
      <w:pPr>
        <w:rPr>
          <w:lang w:val="en-GB"/>
        </w:rPr>
      </w:pPr>
    </w:p>
    <w:p w14:paraId="2D94ECCF" w14:textId="77777777" w:rsidR="00E2376B" w:rsidRPr="000805BB" w:rsidRDefault="00E2376B" w:rsidP="00E2376B">
      <w:pPr>
        <w:rPr>
          <w:lang w:val="en-GB"/>
        </w:rPr>
      </w:pPr>
    </w:p>
    <w:p w14:paraId="2D94ECD0" w14:textId="77777777" w:rsidR="00E2376B" w:rsidRDefault="00E2376B" w:rsidP="00E2376B">
      <w:pPr>
        <w:rPr>
          <w:lang w:val="en-GB"/>
        </w:rPr>
      </w:pPr>
    </w:p>
    <w:p w14:paraId="2D94ECD1" w14:textId="77777777" w:rsidR="004A3C7C" w:rsidRPr="000805BB" w:rsidRDefault="004A3C7C" w:rsidP="00E2376B">
      <w:pPr>
        <w:rPr>
          <w:lang w:val="en-GB"/>
        </w:rPr>
      </w:pPr>
    </w:p>
    <w:p w14:paraId="2D94ECD2" w14:textId="77777777" w:rsidR="00E2376B" w:rsidRPr="000805BB" w:rsidRDefault="00CE153C" w:rsidP="000805BB">
      <w:pPr>
        <w:jc w:val="left"/>
      </w:pPr>
      <w:r>
        <w:t>Christa SCHWENG</w:t>
      </w:r>
      <w:r>
        <w:br/>
        <w:t>az Európai Gazdasági és Szociális Bizottság elnöke</w:t>
      </w:r>
    </w:p>
    <w:p w14:paraId="2D94ECD3" w14:textId="77777777" w:rsidR="00E2376B" w:rsidRPr="000805BB" w:rsidRDefault="00E2376B" w:rsidP="00E2376B">
      <w:pPr>
        <w:rPr>
          <w:lang w:val="en-GB"/>
        </w:rPr>
      </w:pPr>
    </w:p>
    <w:p w14:paraId="2D94ECD4" w14:textId="77777777" w:rsidR="00F53370" w:rsidRPr="004A3C7C" w:rsidRDefault="7ABFEF8A" w:rsidP="00DB7F50">
      <w:pPr>
        <w:jc w:val="center"/>
      </w:pPr>
      <w:r>
        <w:t>_____________</w:t>
      </w:r>
    </w:p>
    <w:sectPr w:rsidR="00F53370" w:rsidRPr="004A3C7C" w:rsidSect="001E74A1">
      <w:headerReference w:type="default" r:id="rId18"/>
      <w:footerReference w:type="default" r:id="rId19"/>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4ECD9" w14:textId="77777777" w:rsidR="00F2069F" w:rsidRDefault="00F2069F" w:rsidP="00F53370">
      <w:pPr>
        <w:spacing w:line="240" w:lineRule="auto"/>
      </w:pPr>
      <w:r>
        <w:separator/>
      </w:r>
    </w:p>
  </w:endnote>
  <w:endnote w:type="continuationSeparator" w:id="0">
    <w:p w14:paraId="2D94ECDA" w14:textId="77777777" w:rsidR="00F2069F" w:rsidRDefault="00F2069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E0"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E3" w14:textId="6397242E" w:rsidR="0084105C" w:rsidRPr="003065C9" w:rsidRDefault="0028396A" w:rsidP="0028396A">
    <w:pPr>
      <w:pStyle w:val="Footer"/>
      <w:jc w:val="left"/>
    </w:pPr>
    <w:r>
      <w:t xml:space="preserve">ECO/577 – EESC-2022-01290-00-00-RE-TRA (EN) </w:t>
    </w:r>
    <w:r>
      <w:fldChar w:fldCharType="begin"/>
    </w:r>
    <w:r>
      <w:instrText xml:space="preserve"> PAGE  \* Arabic  \* MERGEFORMAT </w:instrText>
    </w:r>
    <w:r>
      <w:fldChar w:fldCharType="separate"/>
    </w:r>
    <w:r w:rsidR="00312CCF">
      <w:rPr>
        <w:noProof/>
      </w:rPr>
      <w:t>1</w:t>
    </w:r>
    <w:r>
      <w:fldChar w:fldCharType="end"/>
    </w:r>
    <w:r>
      <w:t>/</w:t>
    </w:r>
    <w:r>
      <w:fldChar w:fldCharType="begin"/>
    </w:r>
    <w:r>
      <w:instrText xml:space="preserve"> = </w:instrText>
    </w:r>
    <w:r w:rsidR="00312CCF">
      <w:fldChar w:fldCharType="begin"/>
    </w:r>
    <w:r w:rsidR="00312CCF">
      <w:instrText xml:space="preserve"> NUMPAGES </w:instrText>
    </w:r>
    <w:r w:rsidR="00312CCF">
      <w:fldChar w:fldCharType="separate"/>
    </w:r>
    <w:r w:rsidR="00312CCF">
      <w:rPr>
        <w:noProof/>
      </w:rPr>
      <w:instrText>12</w:instrText>
    </w:r>
    <w:r w:rsidR="00312CCF">
      <w:fldChar w:fldCharType="end"/>
    </w:r>
    <w:r>
      <w:instrText xml:space="preserve"> - 2 </w:instrText>
    </w:r>
    <w:r>
      <w:fldChar w:fldCharType="separate"/>
    </w:r>
    <w:r w:rsidR="00312CCF">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4ECD7" w14:textId="77777777" w:rsidR="00F2069F" w:rsidRDefault="00F2069F" w:rsidP="00F53370">
      <w:pPr>
        <w:spacing w:line="240" w:lineRule="auto"/>
      </w:pPr>
      <w:r>
        <w:separator/>
      </w:r>
    </w:p>
  </w:footnote>
  <w:footnote w:type="continuationSeparator" w:id="0">
    <w:p w14:paraId="2D94ECD8" w14:textId="77777777" w:rsidR="00F2069F" w:rsidRDefault="00F2069F" w:rsidP="00F53370">
      <w:pPr>
        <w:spacing w:line="240" w:lineRule="auto"/>
      </w:pPr>
      <w:r>
        <w:continuationSeparator/>
      </w:r>
    </w:p>
  </w:footnote>
  <w:footnote w:id="1">
    <w:p w14:paraId="2D94ECED" w14:textId="77777777" w:rsidR="007B6D25" w:rsidRPr="00B25F25" w:rsidRDefault="007B6D25" w:rsidP="007B6D25">
      <w:pPr>
        <w:pStyle w:val="FootnoteText"/>
      </w:pPr>
      <w:r>
        <w:rPr>
          <w:rStyle w:val="FootnoteReference"/>
        </w:rPr>
        <w:footnoteRef/>
      </w:r>
      <w:r>
        <w:t xml:space="preserve"> </w:t>
      </w:r>
      <w:r>
        <w:tab/>
      </w:r>
      <w:r>
        <w:rPr>
          <w:color w:val="333333"/>
          <w:shd w:val="clear" w:color="auto" w:fill="FFFFFF"/>
        </w:rPr>
        <w:t>A 2017/2396 rendelet (2017. december 13.) az 1316/2013/EU és az (EU) 2015/1017 rendeletnek az Európai Stratégiai Beruházási Alap időbeli hatályának meghosszabbítása, továbbá az említett alapot és az Európai Beruházási Tanácsadó Platformot érintő technikai javítások bevezetése tekintetében történő módosításáról.</w:t>
      </w:r>
    </w:p>
  </w:footnote>
  <w:footnote w:id="2">
    <w:p w14:paraId="2D94ECEE" w14:textId="77777777" w:rsidR="007B6D25" w:rsidRPr="00B25F25" w:rsidRDefault="007B6D25" w:rsidP="007B6D25">
      <w:pPr>
        <w:pStyle w:val="FootnoteText"/>
      </w:pPr>
      <w:r>
        <w:rPr>
          <w:rStyle w:val="FootnoteReference"/>
        </w:rPr>
        <w:footnoteRef/>
      </w:r>
      <w:r>
        <w:t xml:space="preserve"> </w:t>
      </w:r>
      <w:r>
        <w:tab/>
        <w:t>A beruházási időszak 2015. július 22-én kezdődött, és 2022. december 31-én ér véget a beruházási bizottság által 2020. december 31-én vagy azt megelőzően jóváhagyott ESBA-garanciával fedezett ügyletek esetében.</w:t>
      </w:r>
    </w:p>
  </w:footnote>
  <w:footnote w:id="3">
    <w:p w14:paraId="2D94ECEF" w14:textId="77777777" w:rsidR="007B6D25" w:rsidRPr="00B25F25" w:rsidRDefault="007B6D25" w:rsidP="007B6D25">
      <w:pPr>
        <w:pStyle w:val="FootnoteText"/>
      </w:pPr>
      <w:r>
        <w:rPr>
          <w:rStyle w:val="FootnoteReference"/>
        </w:rPr>
        <w:footnoteRef/>
      </w:r>
      <w:r>
        <w:t xml:space="preserve"> </w:t>
      </w:r>
      <w:r>
        <w:tab/>
        <w:t>Az Európai Bizottság által az EBB csoport 2021. év végi jelentései alapján frissített adatok.</w:t>
      </w:r>
    </w:p>
  </w:footnote>
  <w:footnote w:id="4">
    <w:p w14:paraId="2D94ECF0" w14:textId="77777777" w:rsidR="007B6D25" w:rsidRPr="00AF7D7A" w:rsidRDefault="007B6D25" w:rsidP="007B6D25">
      <w:pPr>
        <w:ind w:left="567" w:hanging="567"/>
        <w:rPr>
          <w:sz w:val="16"/>
          <w:szCs w:val="16"/>
        </w:rPr>
      </w:pPr>
      <w:r>
        <w:rPr>
          <w:rStyle w:val="FootnoteReference"/>
        </w:rPr>
        <w:footnoteRef/>
      </w:r>
      <w:r>
        <w:tab/>
      </w:r>
      <w:r w:rsidRPr="00AF7D7A">
        <w:rPr>
          <w:sz w:val="16"/>
          <w:szCs w:val="16"/>
        </w:rPr>
        <w:t>Ezek a számadatok az aláírt vagy jegyzett összegekre vonatkoznak, szemben az előző bekezdésben említett jóváhagyott összegekkel.</w:t>
      </w:r>
    </w:p>
  </w:footnote>
  <w:footnote w:id="5">
    <w:p w14:paraId="2D94ECF1" w14:textId="77777777" w:rsidR="007B6D25" w:rsidRPr="00B25F25" w:rsidRDefault="007B6D25" w:rsidP="007B6D25">
      <w:pPr>
        <w:pStyle w:val="FootnoteText"/>
      </w:pPr>
      <w:r>
        <w:rPr>
          <w:rStyle w:val="FootnoteReference"/>
        </w:rPr>
        <w:footnoteRef/>
      </w:r>
      <w:r>
        <w:t xml:space="preserve"> </w:t>
      </w:r>
      <w:r>
        <w:tab/>
        <w:t>Az Európai Bizottság által az EBB csoport 2021. év végi jelentései alapján frissített adatok.</w:t>
      </w:r>
    </w:p>
  </w:footnote>
  <w:footnote w:id="6">
    <w:p w14:paraId="2D94ECF2" w14:textId="77777777" w:rsidR="007B6D25" w:rsidRPr="00B25F25" w:rsidRDefault="007B6D25" w:rsidP="007B6D25">
      <w:pPr>
        <w:pStyle w:val="FootnoteText"/>
      </w:pPr>
      <w:r>
        <w:rPr>
          <w:rStyle w:val="FootnoteReference"/>
        </w:rPr>
        <w:footnoteRef/>
      </w:r>
      <w:r>
        <w:tab/>
        <w:t>Az (EU) 2021/523 rendelet (2021. március 24.) az InvestEU program létrehozásáról és az (EU) 2015/1017 rendelet módosításáról; V. fejezet: Irányítás. A 20. cikk létrehoz egy kizárólag technikai tanácsadói feladatokat ellátó tanácsadó testületet, amelynek a tagállamok és a társult irányító testületek képviselői mellett az EGSZB, illetve a Régiók Bizottsága által kinevezett egy-egy szakértő is a tagja lehet.</w:t>
      </w:r>
    </w:p>
  </w:footnote>
  <w:footnote w:id="7">
    <w:p w14:paraId="2D94ECF3" w14:textId="77777777" w:rsidR="007B6D25" w:rsidRPr="00B25F25" w:rsidRDefault="007B6D25" w:rsidP="007B6D25">
      <w:pPr>
        <w:pStyle w:val="FootnoteText"/>
      </w:pPr>
      <w:r>
        <w:rPr>
          <w:rStyle w:val="FootnoteReference"/>
        </w:rPr>
        <w:footnoteRef/>
      </w:r>
      <w:r>
        <w:tab/>
        <w:t>Az (EU) 2015/1017 rendelet 7. cikkének (3) bekezdése megállapítja: „Az irányítóbizottság rendszeresen konzultációt szervez a megfelelő érdekelt felekkel – különösen a társberuházókkal, a hatóságokkal, a szakértőkkel, az oktatási, képzési és kutatási intézményekkel, a szociális partnerekkel és a civil társadalom képviselőivel – az EBB által e rendelet értelmében folytatott beruházási politika irányáról és végrehajtásáról.”</w:t>
      </w:r>
    </w:p>
  </w:footnote>
  <w:footnote w:id="8">
    <w:p w14:paraId="2D94ECF4" w14:textId="77777777" w:rsidR="007B6D25" w:rsidRPr="00B25F25" w:rsidRDefault="007B6D25" w:rsidP="007B6D25">
      <w:pPr>
        <w:pStyle w:val="FootnoteText"/>
      </w:pPr>
      <w:r>
        <w:rPr>
          <w:rStyle w:val="FootnoteReference"/>
        </w:rPr>
        <w:footnoteRef/>
      </w:r>
      <w:r>
        <w:t xml:space="preserve"> </w:t>
      </w:r>
      <w:r>
        <w:tab/>
        <w:t xml:space="preserve">Az EGSZB 2022. május 18-i állásfoglalása: </w:t>
      </w:r>
      <w:hyperlink r:id="rId1" w:history="1">
        <w:r>
          <w:rPr>
            <w:rStyle w:val="Hyperlink"/>
            <w:i/>
          </w:rPr>
          <w:t>Hogyan javíthatjuk a szervezett civil társadalom bevonását</w:t>
        </w:r>
        <w:r w:rsidR="00AF7D7A">
          <w:rPr>
            <w:rStyle w:val="Hyperlink"/>
            <w:i/>
          </w:rPr>
          <w:t xml:space="preserve"> a nemzeti helyreállítási </w:t>
        </w:r>
        <w:r>
          <w:rPr>
            <w:rStyle w:val="Hyperlink"/>
            <w:i/>
          </w:rPr>
          <w:t>és rezilienciaépítési tervekbe?</w:t>
        </w:r>
      </w:hyperlink>
    </w:p>
  </w:footnote>
  <w:footnote w:id="9">
    <w:p w14:paraId="2D94ECF5" w14:textId="77777777" w:rsidR="007B6D25" w:rsidRPr="00B25F25" w:rsidRDefault="007B6D25" w:rsidP="007B6D25">
      <w:pPr>
        <w:spacing w:after="60" w:line="240" w:lineRule="auto"/>
        <w:ind w:left="567" w:hanging="567"/>
      </w:pPr>
      <w:r>
        <w:rPr>
          <w:rStyle w:val="FootnoteReference"/>
        </w:rPr>
        <w:footnoteRef/>
      </w:r>
      <w:r>
        <w:tab/>
      </w:r>
      <w:r>
        <w:rPr>
          <w:sz w:val="16"/>
        </w:rPr>
        <w:t>Ez a helyzet az InvestEU vegyesfinanszírozási műveletei és a tagállami költségvetési komponensek esetében, ahol az európai alapok kiegészíthetők vagy kombinálhatók az InvestEU garanciáival.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DB" w14:textId="77777777" w:rsidR="00574C9B" w:rsidRDefault="00312CCF">
    <w:pPr>
      <w:pStyle w:val="Header"/>
    </w:pPr>
    <w:r>
      <w:pict w14:anchorId="2D94E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DC" w14:textId="77777777" w:rsidR="00574C9B" w:rsidRDefault="00E27707">
    <w:pPr>
      <w:pStyle w:val="Header"/>
    </w:pPr>
    <w:r>
      <w:rPr>
        <w:noProof/>
        <w:lang w:val="en-US"/>
      </w:rPr>
      <w:drawing>
        <wp:anchor distT="0" distB="0" distL="114300" distR="114300" simplePos="0" relativeHeight="251659264" behindDoc="0" locked="0" layoutInCell="1" allowOverlap="1" wp14:anchorId="2D94ECE5" wp14:editId="2D94ECE6">
          <wp:simplePos x="898497" y="453224"/>
          <wp:positionH relativeFrom="page">
            <wp:align>center</wp:align>
          </wp:positionH>
          <wp:positionV relativeFrom="page">
            <wp:posOffset>288290</wp:posOffset>
          </wp:positionV>
          <wp:extent cx="6944398" cy="3344275"/>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312CCF">
      <w:pict w14:anchorId="2D94E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DD" w14:textId="77777777" w:rsidR="00574C9B" w:rsidRDefault="00312CCF">
    <w:pPr>
      <w:pStyle w:val="Header"/>
    </w:pPr>
    <w:r>
      <w:pict w14:anchorId="2D94E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DE" w14:textId="77777777" w:rsidR="00574C9B" w:rsidRDefault="00312CCF">
    <w:pPr>
      <w:pStyle w:val="Header"/>
    </w:pPr>
    <w:r>
      <w:pict w14:anchorId="2D94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DF" w14:textId="77777777" w:rsidR="00574C9B" w:rsidRDefault="00574C9B">
    <w:pPr>
      <w:pStyle w:val="Header"/>
    </w:pPr>
    <w:r>
      <w:rPr>
        <w:noProof/>
        <w:lang w:val="en-US"/>
      </w:rPr>
      <w:drawing>
        <wp:anchor distT="0" distB="0" distL="114300" distR="114300" simplePos="0" relativeHeight="251665408" behindDoc="1" locked="0" layoutInCell="1" allowOverlap="1" wp14:anchorId="2D94ECEA" wp14:editId="2D94ECEB">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E1" w14:textId="77777777" w:rsidR="00574C9B" w:rsidRDefault="00312CCF">
    <w:pPr>
      <w:pStyle w:val="Header"/>
    </w:pPr>
    <w:r>
      <w:pict w14:anchorId="2D94E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ECE2" w14:textId="77777777" w:rsidR="00FA08F8" w:rsidRDefault="0031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D00"/>
    <w:rsid w:val="000805BB"/>
    <w:rsid w:val="00085557"/>
    <w:rsid w:val="000A0F3B"/>
    <w:rsid w:val="000B19BD"/>
    <w:rsid w:val="00127652"/>
    <w:rsid w:val="00142EBB"/>
    <w:rsid w:val="0019231D"/>
    <w:rsid w:val="001972AD"/>
    <w:rsid w:val="001B61BB"/>
    <w:rsid w:val="001D61AC"/>
    <w:rsid w:val="001E15AA"/>
    <w:rsid w:val="001E3FA1"/>
    <w:rsid w:val="00214BDC"/>
    <w:rsid w:val="00215E81"/>
    <w:rsid w:val="0024727F"/>
    <w:rsid w:val="0028396A"/>
    <w:rsid w:val="002A19A4"/>
    <w:rsid w:val="002B6A7B"/>
    <w:rsid w:val="00312CCF"/>
    <w:rsid w:val="003353D7"/>
    <w:rsid w:val="00350010"/>
    <w:rsid w:val="003659F9"/>
    <w:rsid w:val="00423E47"/>
    <w:rsid w:val="004A3C7C"/>
    <w:rsid w:val="00574C9B"/>
    <w:rsid w:val="0058411F"/>
    <w:rsid w:val="006125A1"/>
    <w:rsid w:val="00653E7D"/>
    <w:rsid w:val="00662207"/>
    <w:rsid w:val="00667F09"/>
    <w:rsid w:val="006B57A6"/>
    <w:rsid w:val="007329A9"/>
    <w:rsid w:val="00787837"/>
    <w:rsid w:val="00787ABB"/>
    <w:rsid w:val="007B6D25"/>
    <w:rsid w:val="007D23F0"/>
    <w:rsid w:val="00822952"/>
    <w:rsid w:val="00836505"/>
    <w:rsid w:val="00844B87"/>
    <w:rsid w:val="00874997"/>
    <w:rsid w:val="00885862"/>
    <w:rsid w:val="008A6DD4"/>
    <w:rsid w:val="008D3E89"/>
    <w:rsid w:val="008F6503"/>
    <w:rsid w:val="008F74D7"/>
    <w:rsid w:val="00904061"/>
    <w:rsid w:val="00904C42"/>
    <w:rsid w:val="00907A19"/>
    <w:rsid w:val="00916E7F"/>
    <w:rsid w:val="00924C05"/>
    <w:rsid w:val="00937CF2"/>
    <w:rsid w:val="00976645"/>
    <w:rsid w:val="0098228C"/>
    <w:rsid w:val="009A1B60"/>
    <w:rsid w:val="009B0D9E"/>
    <w:rsid w:val="009F60B8"/>
    <w:rsid w:val="00A06F55"/>
    <w:rsid w:val="00A20DC1"/>
    <w:rsid w:val="00A23CCB"/>
    <w:rsid w:val="00A36AB0"/>
    <w:rsid w:val="00AB37A3"/>
    <w:rsid w:val="00AC5114"/>
    <w:rsid w:val="00AF7D7A"/>
    <w:rsid w:val="00B51901"/>
    <w:rsid w:val="00BE0B70"/>
    <w:rsid w:val="00C073E1"/>
    <w:rsid w:val="00C2466E"/>
    <w:rsid w:val="00C65EF5"/>
    <w:rsid w:val="00C66AEA"/>
    <w:rsid w:val="00C9040A"/>
    <w:rsid w:val="00C91E4D"/>
    <w:rsid w:val="00CA1E69"/>
    <w:rsid w:val="00CB110A"/>
    <w:rsid w:val="00CE153C"/>
    <w:rsid w:val="00CF109B"/>
    <w:rsid w:val="00D33926"/>
    <w:rsid w:val="00D95232"/>
    <w:rsid w:val="00DB7F50"/>
    <w:rsid w:val="00DE30C7"/>
    <w:rsid w:val="00DF400F"/>
    <w:rsid w:val="00E15BF4"/>
    <w:rsid w:val="00E2376B"/>
    <w:rsid w:val="00E27707"/>
    <w:rsid w:val="00E34F64"/>
    <w:rsid w:val="00E661B7"/>
    <w:rsid w:val="00EA54DA"/>
    <w:rsid w:val="00ED729D"/>
    <w:rsid w:val="00F12959"/>
    <w:rsid w:val="00F13695"/>
    <w:rsid w:val="00F2069F"/>
    <w:rsid w:val="00F53370"/>
    <w:rsid w:val="00F80191"/>
    <w:rsid w:val="00F850E6"/>
    <w:rsid w:val="00F90BE2"/>
    <w:rsid w:val="00FA704F"/>
    <w:rsid w:val="00FC0F42"/>
    <w:rsid w:val="1F169D66"/>
    <w:rsid w:val="7ABFEF8A"/>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D94EC2A"/>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F80191"/>
    <w:rPr>
      <w:sz w:val="16"/>
      <w:szCs w:val="16"/>
    </w:rPr>
  </w:style>
  <w:style w:type="paragraph" w:styleId="CommentText">
    <w:name w:val="annotation text"/>
    <w:basedOn w:val="Normal"/>
    <w:link w:val="CommentTextChar"/>
    <w:uiPriority w:val="99"/>
    <w:semiHidden/>
    <w:unhideWhenUsed/>
    <w:rsid w:val="00F80191"/>
    <w:pPr>
      <w:spacing w:line="240" w:lineRule="auto"/>
    </w:pPr>
    <w:rPr>
      <w:sz w:val="20"/>
      <w:szCs w:val="20"/>
    </w:rPr>
  </w:style>
  <w:style w:type="character" w:customStyle="1" w:styleId="CommentTextChar">
    <w:name w:val="Comment Text Char"/>
    <w:basedOn w:val="DefaultParagraphFont"/>
    <w:link w:val="CommentText"/>
    <w:uiPriority w:val="99"/>
    <w:semiHidden/>
    <w:rsid w:val="00F801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191"/>
    <w:rPr>
      <w:b/>
      <w:bCs/>
    </w:rPr>
  </w:style>
  <w:style w:type="character" w:customStyle="1" w:styleId="CommentSubjectChar">
    <w:name w:val="Comment Subject Char"/>
    <w:basedOn w:val="CommentTextChar"/>
    <w:link w:val="CommentSubject"/>
    <w:uiPriority w:val="99"/>
    <w:semiHidden/>
    <w:rsid w:val="00F80191"/>
    <w:rPr>
      <w:rFonts w:ascii="Times New Roman" w:eastAsia="Times New Roman" w:hAnsi="Times New Roman" w:cs="Times New Roman"/>
      <w:b/>
      <w:bCs/>
      <w:sz w:val="20"/>
      <w:szCs w:val="20"/>
    </w:rPr>
  </w:style>
  <w:style w:type="paragraph" w:styleId="Revision">
    <w:name w:val="Revision"/>
    <w:hidden/>
    <w:uiPriority w:val="99"/>
    <w:semiHidden/>
    <w:rsid w:val="007B6D25"/>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B6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hu/documents/resolution/resolution-involvement-organised-civil-society-national-recovery-and-resilience-plans-how-can-we-impro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P6FJPSUHKDC2-1211003791-11418</_dlc_DocId>
    <_dlc_DocIdUrl xmlns="1299d781-265f-4ceb-999e-e1eca3df2c90">
      <Url>http://dm/eesc/2022/_layouts/15/DocIdRedir.aspx?ID=P6FJPSUHKDC2-1211003791-11418</Url>
      <Description>P6FJPSUHKDC2-1211003791-11418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2022-09-22T12:00:00+00:00</ProductionDate>
    <DocumentNumber xmlns="d51dc14e-0c05-44bd-9dff-3ae522c33107">1290</DocumentNumber>
    <FicheYear xmlns="1299d781-265f-4ceb-999e-e1eca3df2c90" xsi:nil="true"/>
    <DocumentVersion xmlns="1299d781-265f-4ceb-999e-e1eca3df2c90">0</DocumentVersion>
    <DossierNumber xmlns="1299d781-265f-4ceb-999e-e1eca3df2c90">577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81</Value>
      <Value>246</Value>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Rapporteur xmlns="1299d781-265f-4ceb-999e-e1eca3df2c90">DOZ ORRIT &amp; CALISTRU</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10769</FicheNumber>
    <OriginalSender xmlns="1299d781-265f-4ceb-999e-e1eca3df2c90">
      <UserInfo>
        <DisplayName>Repas Szilvia</DisplayName>
        <AccountId>1750</AccountId>
        <AccountType/>
      </UserInfo>
    </OriginalSender>
    <DocumentPart xmlns="1299d781-265f-4ceb-999e-e1eca3df2c90">0</DocumentPart>
    <AdoptionDate xmlns="1299d781-265f-4ceb-999e-e1eca3df2c90">2022-09-21T12:00:00+00:00</AdoptionDate>
    <RequestingService xmlns="1299d781-265f-4ceb-999e-e1eca3df2c90">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6" ma:contentTypeDescription="Defines the documents for Document Manager V2" ma:contentTypeScope="" ma:versionID="a444b72282a47fd42898ff1110ab7ba9">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18f5364f66b1800776293abddc9be6a2"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A3AE6-6535-406F-BB38-34AE9DB17B6D}"/>
</file>

<file path=customXml/itemProps2.xml><?xml version="1.0" encoding="utf-8"?>
<ds:datastoreItem xmlns:ds="http://schemas.openxmlformats.org/officeDocument/2006/customXml" ds:itemID="{14B52150-52AF-4659-A7F4-2BF86D24E3DC}"/>
</file>

<file path=customXml/itemProps3.xml><?xml version="1.0" encoding="utf-8"?>
<ds:datastoreItem xmlns:ds="http://schemas.openxmlformats.org/officeDocument/2006/customXml" ds:itemID="{25B33CBA-C2EF-4A6D-A365-E5FA5A27D608}"/>
</file>

<file path=customXml/itemProps4.xml><?xml version="1.0" encoding="utf-8"?>
<ds:datastoreItem xmlns:ds="http://schemas.openxmlformats.org/officeDocument/2006/customXml" ds:itemID="{B145A57D-B607-4A71-9B86-1454841AA158}"/>
</file>

<file path=docProps/app.xml><?xml version="1.0" encoding="utf-8"?>
<Properties xmlns="http://schemas.openxmlformats.org/officeDocument/2006/extended-properties" xmlns:vt="http://schemas.openxmlformats.org/officeDocument/2006/docPropsVTypes">
  <Template>Normal.dotm</Template>
  <TotalTime>9</TotalTime>
  <Pages>12</Pages>
  <Words>4397</Words>
  <Characters>25065</Characters>
  <Application>Microsoft Office Word</Application>
  <DocSecurity>0</DocSecurity>
  <Lines>208</Lines>
  <Paragraphs>58</Paragraphs>
  <ScaleCrop>false</ScaleCrop>
  <Company>CESE-CdR</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Európai Stratégiai Beruházási Alap 2.0 értékelése</dc:title>
  <dc:subject>RE</dc:subject>
  <dc:creator>Francois Aude</dc:creator>
  <cp:keywords>EESC-2022-01290-00-00-RE-TRA-EN</cp:keywords>
  <dc:description>Rapporteur: DOZ ORRIT &amp; CALISTRU - Original language: EN - Date of document: 22/09/2022 - Date of meeting:  - External documents:  - Administrator:  PERLAKY-TÓTH Krisztina</dc:description>
  <cp:lastModifiedBy>Hvizdosova Jana</cp:lastModifiedBy>
  <cp:revision>14</cp:revision>
  <dcterms:created xsi:type="dcterms:W3CDTF">2022-09-22T07:15:00Z</dcterms:created>
  <dcterms:modified xsi:type="dcterms:W3CDTF">2022-09-29T07:37:00Z</dcterms:modified>
  <cp:category>ECO/577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22/09/2022, 17/05/2022</vt:lpwstr>
  </property>
  <property fmtid="{D5CDD505-2E9C-101B-9397-08002B2CF9AE}" pid="4" name="Pref_Time">
    <vt:lpwstr>08:36:34, 14:56:43</vt:lpwstr>
  </property>
  <property fmtid="{D5CDD505-2E9C-101B-9397-08002B2CF9AE}" pid="5" name="Pref_User">
    <vt:lpwstr>jhvi, enied</vt:lpwstr>
  </property>
  <property fmtid="{D5CDD505-2E9C-101B-9397-08002B2CF9AE}" pid="6" name="Pref_FileName">
    <vt:lpwstr>EESC-2022-01290-00-00-RE-TRA-EN-CRR.docx, COR-EESC-2022-02558-00-00-ADMIN-ORI.docx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876692b5-02b0-4ecf-82ff-2267e2ec88ce</vt:lpwstr>
  </property>
  <property fmtid="{D5CDD505-2E9C-101B-9397-08002B2CF9AE}" pid="9" name="AvailableTranslations">
    <vt:lpwstr>31;#ES|e7a6b05b-ae16-40c8-add9-68b64b03aeba;#35;#MT|7df99101-6854-4a26-b53a-b88c0da02c26;#42;#SL|98a412ae-eb01-49e9-ae3d-585a81724cfc;#11;#FR|d2afafd3-4c81-4f60-8f52-ee33f2f54ff3;#29;#SV|c2ed69e7-a339-43d7-8f22-d93680a92aa0;#38;#FI|87606a43-d45f-42d6-b8c9-e1a3457db5b7;#36;#HU|6b229040-c589-4408-b4c1-4285663d20a8;#32;#DA|5d49c027-8956-412b-aa16-e85a0f96ad0e;#55;#HR|2f555653-ed1a-4fe6-8362-9082d95989e5;#63;#GA|762d2456-c427-4ecb-b312-af3dad8e258c;#54;#ET|ff6c3f4c-b02c-4c3c-ab07-2c37995a7a0a;#40;#BG|1a1b3951-7821-4e6a-85f5-5673fc08bd2c;#43;#NL|55c6556c-b4f4-441d-9acf-c498d4f838bd;#45;#RO|feb747a2-64cd-4299-af12-4833ddc30497;#41;#CS|72f9705b-0217-4fd3-bea2-cbc7ed80e26e;#26;#LV|46f7e311-5d9f-4663-b433-18aeccb7ace7;#46;#EL|6d4f4d51-af9b-4650-94b4-4276bee85c91;#44;#LT|a7ff5ce7-6123-4f68-865a-a57c31810414;#37;#PT|50ccc04a-eadd-42ae-a0cb-acaf45f812ba;#22;#DE|f6b31e5a-26fa-4935-b661-318e46daf27e;#30;#PL|1e03da61-4678-4e07-b136-b5024ca9197b;#4;#EN|f2175f21-25d7-44a3-96da-d6a61b075e1b;#34;#SK|46d9fce0-ef79-4f71-b89b-cd6aa82426b8;#33;#IT|0774613c-01ed-4e5d-a25d-11d2388de825</vt:lpwstr>
  </property>
  <property fmtid="{D5CDD505-2E9C-101B-9397-08002B2CF9AE}" pid="10" name="DocumentType_0">
    <vt:lpwstr>RE|2e31ab9a-38d8-4b15-bf54-b076b749ef85</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1290</vt:i4>
  </property>
  <property fmtid="{D5CDD505-2E9C-101B-9397-08002B2CF9AE}" pid="14" name="DocumentVersion">
    <vt:i4>0</vt:i4>
  </property>
  <property fmtid="{D5CDD505-2E9C-101B-9397-08002B2CF9AE}" pid="15" name="DossierNumber">
    <vt:i4>577</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81;#ECO|8df351f5-c957-404c-8cf3-8ffb22c9cba2</vt:lpwstr>
  </property>
  <property fmtid="{D5CDD505-2E9C-101B-9397-08002B2CF9AE}" pid="19" name="DocumentSource">
    <vt:lpwstr>1;#EESC|422833ec-8d7e-4e65-8e4e-8bed07ffb729</vt:lpwstr>
  </property>
  <property fmtid="{D5CDD505-2E9C-101B-9397-08002B2CF9AE}" pid="20" name="AdoptionDate">
    <vt:filetime>2022-09-21T12:00:00Z</vt:filetime>
  </property>
  <property fmtid="{D5CDD505-2E9C-101B-9397-08002B2CF9AE}" pid="21" name="DocumentType">
    <vt:lpwstr>246;#RE|2e31ab9a-38d8-4b15-bf54-b076b749ef85</vt:lpwstr>
  </property>
  <property fmtid="{D5CDD505-2E9C-101B-9397-08002B2CF9AE}" pid="22" name="RequestingService">
    <vt:lpwstr>Union économique et monétaire et cohésion économique et sociale</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AvailableTranslations_0">
    <vt:lpwstr>MT|7df99101-6854-4a26-b53a-b88c0da02c26;SL|98a412ae-eb01-49e9-ae3d-585a81724cfc;SV|c2ed69e7-a339-43d7-8f22-d93680a92aa0;FI|87606a43-d45f-42d6-b8c9-e1a3457db5b7;HR|2f555653-ed1a-4fe6-8362-9082d95989e5;NL|55c6556c-b4f4-441d-9acf-c498d4f838bd;RO|feb747a2-64c</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35;#MT|7df99101-6854-4a26-b53a-b88c0da02c26;#33;#IT|0774613c-01ed-4e5d-a25d-11d2388de825;#246;#RE|2e31ab9a-38d8-4b15-bf54-b076b749ef85;#43;#NL|55c6556c-b4f4-441d-9acf-c498d4f838bd;#29;#SV|c2ed69e7-a339-43d7-8f22-d93680a92aa0;#38;#FI|87606a43-d45f-42d6-b8c</vt:lpwstr>
  </property>
  <property fmtid="{D5CDD505-2E9C-101B-9397-08002B2CF9AE}" pid="32" name="Rapporteur">
    <vt:lpwstr>DOZ ORRIT &amp; CALISTRU</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2022</vt:i4>
  </property>
  <property fmtid="{D5CDD505-2E9C-101B-9397-08002B2CF9AE}" pid="36" name="FicheNumber">
    <vt:i4>10769</vt:i4>
  </property>
  <property fmtid="{D5CDD505-2E9C-101B-9397-08002B2CF9AE}" pid="37" name="DocumentLanguage">
    <vt:lpwstr>36;#HU|6b229040-c589-4408-b4c1-4285663d20a8</vt:lpwstr>
  </property>
</Properties>
</file>