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324889" w14:paraId="0FEF8848" w14:textId="77777777">
        <w:trPr>
          <w:jc w:val="center"/>
        </w:trPr>
        <w:tc>
          <w:tcPr>
            <w:tcW w:w="5000" w:type="pct"/>
            <w:vAlign w:val="center"/>
          </w:tcPr>
          <w:p w14:paraId="4E2581C0" w14:textId="77777777" w:rsidR="00574C9B" w:rsidRPr="00491B3E" w:rsidRDefault="7ABFEF8A" w:rsidP="7ABFEF8A">
            <w:pPr>
              <w:jc w:val="center"/>
              <w:rPr>
                <w:b/>
                <w:bCs/>
                <w:sz w:val="68"/>
                <w:szCs w:val="68"/>
              </w:rPr>
            </w:pPr>
            <w:r w:rsidRPr="00491B3E">
              <w:rPr>
                <w:b/>
                <w:sz w:val="68"/>
                <w:szCs w:val="68"/>
              </w:rPr>
              <w:t>UTVÄRDERINGSRAPPORT</w:t>
            </w:r>
          </w:p>
        </w:tc>
      </w:tr>
      <w:tr w:rsidR="00324889" w14:paraId="426A6160" w14:textId="77777777">
        <w:trPr>
          <w:trHeight w:val="567"/>
          <w:jc w:val="center"/>
        </w:trPr>
        <w:tc>
          <w:tcPr>
            <w:tcW w:w="5000" w:type="pct"/>
            <w:vAlign w:val="center"/>
          </w:tcPr>
          <w:p w14:paraId="734BEA5A" w14:textId="77777777" w:rsidR="00574C9B" w:rsidRPr="004A3C7C" w:rsidRDefault="7ABFEF8A" w:rsidP="7ABFEF8A">
            <w:pPr>
              <w:jc w:val="center"/>
              <w:rPr>
                <w:sz w:val="24"/>
                <w:szCs w:val="24"/>
              </w:rPr>
            </w:pPr>
            <w:r>
              <w:rPr>
                <w:sz w:val="24"/>
              </w:rPr>
              <w:t>Europeiska ekonomiska och sociala kommittén</w:t>
            </w:r>
          </w:p>
        </w:tc>
      </w:tr>
      <w:tr w:rsidR="00324889" w14:paraId="0E5FE46A" w14:textId="77777777">
        <w:trPr>
          <w:jc w:val="center"/>
        </w:trPr>
        <w:tc>
          <w:tcPr>
            <w:tcW w:w="5000" w:type="pct"/>
            <w:vAlign w:val="center"/>
          </w:tcPr>
          <w:p w14:paraId="06268242" w14:textId="77777777" w:rsidR="00574C9B" w:rsidRPr="004A3C7C" w:rsidRDefault="00F850E6" w:rsidP="7ABFEF8A">
            <w:pPr>
              <w:jc w:val="center"/>
              <w:rPr>
                <w:b/>
                <w:bCs/>
                <w:sz w:val="44"/>
                <w:szCs w:val="44"/>
              </w:rPr>
            </w:pPr>
            <w:r>
              <w:rPr>
                <w:b/>
                <w:sz w:val="44"/>
              </w:rPr>
              <w:t>Utvärdering av Europeiska fonden för strategiska investeringar 2.0</w:t>
            </w:r>
          </w:p>
        </w:tc>
      </w:tr>
      <w:tr w:rsidR="00324889" w14:paraId="61D54B4A" w14:textId="77777777">
        <w:trPr>
          <w:jc w:val="center"/>
        </w:trPr>
        <w:tc>
          <w:tcPr>
            <w:tcW w:w="5000" w:type="pct"/>
            <w:vAlign w:val="center"/>
          </w:tcPr>
          <w:p w14:paraId="0FCA6019" w14:textId="77777777" w:rsidR="00574C9B" w:rsidRPr="004A3C7C" w:rsidRDefault="00574C9B" w:rsidP="7ABFEF8A">
            <w:pPr>
              <w:overflowPunct w:val="0"/>
              <w:autoSpaceDE w:val="0"/>
              <w:autoSpaceDN w:val="0"/>
              <w:adjustRightInd w:val="0"/>
              <w:jc w:val="center"/>
              <w:textAlignment w:val="baseline"/>
              <w:rPr>
                <w:b/>
                <w:bCs/>
                <w:sz w:val="24"/>
                <w:szCs w:val="24"/>
              </w:rPr>
            </w:pPr>
            <w:r>
              <w:rPr>
                <w:sz w:val="24"/>
              </w:rPr>
              <w:t>_____________</w:t>
            </w:r>
          </w:p>
        </w:tc>
      </w:tr>
      <w:tr w:rsidR="00324889" w14:paraId="3F48D2C2" w14:textId="77777777">
        <w:trPr>
          <w:jc w:val="center"/>
        </w:trPr>
        <w:tc>
          <w:tcPr>
            <w:tcW w:w="5000" w:type="pct"/>
            <w:vAlign w:val="center"/>
          </w:tcPr>
          <w:p w14:paraId="4EB6362A" w14:textId="77777777" w:rsidR="00574C9B" w:rsidRPr="004A3C7C" w:rsidRDefault="00F850E6" w:rsidP="0028396A">
            <w:pPr>
              <w:jc w:val="center"/>
              <w:rPr>
                <w:sz w:val="24"/>
                <w:szCs w:val="24"/>
              </w:rPr>
            </w:pPr>
            <w:r>
              <w:rPr>
                <w:sz w:val="24"/>
              </w:rPr>
              <w:t>Utvärdering av Europeiska fonden för strategiska investeringar 2.0</w:t>
            </w:r>
          </w:p>
        </w:tc>
      </w:tr>
      <w:tr w:rsidR="00324889" w14:paraId="5222A3A7" w14:textId="77777777">
        <w:trPr>
          <w:jc w:val="center"/>
        </w:trPr>
        <w:tc>
          <w:tcPr>
            <w:tcW w:w="5000" w:type="pct"/>
            <w:vAlign w:val="center"/>
          </w:tcPr>
          <w:p w14:paraId="67CA2CB9" w14:textId="77777777" w:rsidR="00574C9B" w:rsidRPr="004A3C7C" w:rsidRDefault="00574C9B" w:rsidP="006125A1">
            <w:pPr>
              <w:jc w:val="center"/>
              <w:rPr>
                <w:sz w:val="24"/>
                <w:szCs w:val="24"/>
                <w:lang w:val="en-GB"/>
              </w:rPr>
            </w:pPr>
          </w:p>
        </w:tc>
      </w:tr>
      <w:tr w:rsidR="00324889" w14:paraId="422A793A" w14:textId="77777777">
        <w:trPr>
          <w:jc w:val="center"/>
        </w:trPr>
        <w:tc>
          <w:tcPr>
            <w:tcW w:w="5000" w:type="pct"/>
            <w:vAlign w:val="center"/>
          </w:tcPr>
          <w:p w14:paraId="15ED0D78" w14:textId="77777777" w:rsidR="00574C9B" w:rsidRPr="004A3C7C" w:rsidRDefault="00F850E6" w:rsidP="7ABFEF8A">
            <w:pPr>
              <w:jc w:val="center"/>
              <w:rPr>
                <w:b/>
                <w:bCs/>
                <w:sz w:val="24"/>
                <w:szCs w:val="24"/>
              </w:rPr>
            </w:pPr>
            <w:r>
              <w:rPr>
                <w:b/>
                <w:sz w:val="24"/>
              </w:rPr>
              <w:t>ECO/577</w:t>
            </w:r>
          </w:p>
        </w:tc>
      </w:tr>
      <w:tr w:rsidR="00324889" w14:paraId="3C6045F8" w14:textId="77777777">
        <w:trPr>
          <w:jc w:val="center"/>
        </w:trPr>
        <w:tc>
          <w:tcPr>
            <w:tcW w:w="5000" w:type="pct"/>
            <w:vAlign w:val="center"/>
          </w:tcPr>
          <w:p w14:paraId="72798E98" w14:textId="77777777" w:rsidR="00574C9B" w:rsidRPr="004A3C7C" w:rsidRDefault="00574C9B" w:rsidP="006125A1">
            <w:pPr>
              <w:jc w:val="center"/>
              <w:rPr>
                <w:sz w:val="24"/>
                <w:szCs w:val="24"/>
                <w:lang w:val="en-GB"/>
              </w:rPr>
            </w:pPr>
          </w:p>
        </w:tc>
      </w:tr>
      <w:tr w:rsidR="00324889" w14:paraId="5DF8EAA2" w14:textId="77777777">
        <w:trPr>
          <w:jc w:val="center"/>
        </w:trPr>
        <w:tc>
          <w:tcPr>
            <w:tcW w:w="5000" w:type="pct"/>
            <w:vAlign w:val="center"/>
          </w:tcPr>
          <w:p w14:paraId="54691289" w14:textId="77777777" w:rsidR="007D23F0" w:rsidRPr="004A3C7C" w:rsidRDefault="7ABFEF8A" w:rsidP="00BE0B70">
            <w:pPr>
              <w:jc w:val="center"/>
              <w:rPr>
                <w:sz w:val="24"/>
                <w:szCs w:val="24"/>
              </w:rPr>
            </w:pPr>
            <w:r>
              <w:rPr>
                <w:sz w:val="24"/>
              </w:rPr>
              <w:t xml:space="preserve">Föredragande: </w:t>
            </w:r>
            <w:r>
              <w:rPr>
                <w:b/>
                <w:sz w:val="24"/>
              </w:rPr>
              <w:t>Javier Doz Orrit</w:t>
            </w:r>
          </w:p>
        </w:tc>
      </w:tr>
      <w:tr w:rsidR="00324889" w14:paraId="200855C8" w14:textId="77777777">
        <w:trPr>
          <w:jc w:val="center"/>
        </w:trPr>
        <w:tc>
          <w:tcPr>
            <w:tcW w:w="5000" w:type="pct"/>
            <w:vAlign w:val="center"/>
          </w:tcPr>
          <w:p w14:paraId="314E3307" w14:textId="77777777" w:rsidR="007329A9" w:rsidRPr="004A3C7C" w:rsidRDefault="007329A9" w:rsidP="00BE0B70">
            <w:pPr>
              <w:jc w:val="center"/>
              <w:rPr>
                <w:sz w:val="24"/>
                <w:szCs w:val="24"/>
              </w:rPr>
            </w:pPr>
            <w:r>
              <w:rPr>
                <w:sz w:val="24"/>
              </w:rPr>
              <w:t xml:space="preserve">Medföredragande: </w:t>
            </w:r>
            <w:r>
              <w:rPr>
                <w:b/>
                <w:sz w:val="24"/>
              </w:rPr>
              <w:t>Elena-Alexandra Calistru</w:t>
            </w:r>
          </w:p>
        </w:tc>
      </w:tr>
    </w:tbl>
    <w:p w14:paraId="7ACFA302" w14:textId="77777777" w:rsidR="00574C9B" w:rsidRPr="004A3C7C" w:rsidRDefault="00574C9B" w:rsidP="00574C9B">
      <w:r>
        <w:rPr>
          <w:noProof/>
          <w:sz w:val="20"/>
          <w:lang w:val="en-US"/>
        </w:rPr>
        <mc:AlternateContent>
          <mc:Choice Requires="wps">
            <w:drawing>
              <wp:anchor distT="0" distB="0" distL="114300" distR="114300" simplePos="0" relativeHeight="251659264" behindDoc="1" locked="0" layoutInCell="0" allowOverlap="1" wp14:anchorId="375173F7" wp14:editId="4ADAAA57">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1B0FC" w14:textId="77777777" w:rsidR="00574C9B" w:rsidRDefault="00574C9B" w:rsidP="00574C9B">
                            <w:pPr>
                              <w:jc w:val="cente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173F7"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o:allowincell="f" filled="f" stroked="f">
                <v:textbox>
                  <w:txbxContent>
                    <w:p w14:paraId="36D1B0FC" w14:textId="77777777" w:rsidR="00574C9B" w:rsidRDefault="00574C9B" w:rsidP="00574C9B">
                      <w:pPr>
                        <w:jc w:val="center"/>
                      </w:pPr>
                      <w:r>
                        <w:rPr>
                          <w:rFonts w:ascii="Arial" w:hAnsi="Arial"/>
                          <w:b/>
                          <w:sz w:val="48"/>
                        </w:rPr>
                        <w:t>SV</w:t>
                      </w:r>
                    </w:p>
                  </w:txbxContent>
                </v:textbox>
                <w10:wrap anchorx="margin" anchory="page"/>
              </v:shape>
            </w:pict>
          </mc:Fallback>
        </mc:AlternateContent>
      </w:r>
    </w:p>
    <w:p w14:paraId="257F8692" w14:textId="77777777" w:rsidR="00574C9B" w:rsidRPr="004A3C7C" w:rsidRDefault="00574C9B" w:rsidP="00574C9B">
      <w:pPr>
        <w:rPr>
          <w:lang w:val="en-GB"/>
        </w:rPr>
      </w:pPr>
    </w:p>
    <w:p w14:paraId="22B876C1" w14:textId="77777777" w:rsidR="00574C9B" w:rsidRPr="004A3C7C" w:rsidRDefault="00574C9B" w:rsidP="00574C9B">
      <w:pPr>
        <w:rPr>
          <w:lang w:val="en-GB"/>
        </w:rPr>
        <w:sectPr w:rsidR="00574C9B" w:rsidRPr="004A3C7C" w:rsidSect="0028396A">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324889" w14:paraId="1D54EA50" w14:textId="77777777">
        <w:tc>
          <w:tcPr>
            <w:tcW w:w="3085" w:type="dxa"/>
          </w:tcPr>
          <w:p w14:paraId="19B09DE3" w14:textId="77777777" w:rsidR="00AC5114" w:rsidRPr="004A3C7C" w:rsidRDefault="7ABFEF8A" w:rsidP="7ABFEF8A">
            <w:pPr>
              <w:autoSpaceDE w:val="0"/>
              <w:autoSpaceDN w:val="0"/>
              <w:jc w:val="left"/>
            </w:pPr>
            <w:r>
              <w:lastRenderedPageBreak/>
              <w:t>Remiss</w:t>
            </w:r>
          </w:p>
        </w:tc>
        <w:tc>
          <w:tcPr>
            <w:tcW w:w="6204" w:type="dxa"/>
            <w:vAlign w:val="bottom"/>
          </w:tcPr>
          <w:p w14:paraId="27A5C3CA" w14:textId="77777777" w:rsidR="00AC5114" w:rsidRPr="004A3C7C" w:rsidRDefault="00F850E6" w:rsidP="7ABFEF8A">
            <w:pPr>
              <w:autoSpaceDE w:val="0"/>
              <w:autoSpaceDN w:val="0"/>
              <w:jc w:val="left"/>
            </w:pPr>
            <w:r>
              <w:t>Europeiska kommissionen, 01/10/2021</w:t>
            </w:r>
          </w:p>
        </w:tc>
      </w:tr>
      <w:tr w:rsidR="00324889" w14:paraId="59C7C279" w14:textId="77777777">
        <w:tc>
          <w:tcPr>
            <w:tcW w:w="3085" w:type="dxa"/>
          </w:tcPr>
          <w:p w14:paraId="5DADAEF1" w14:textId="77777777" w:rsidR="00AC5114" w:rsidRPr="004A3C7C" w:rsidRDefault="7ABFEF8A" w:rsidP="7ABFEF8A">
            <w:pPr>
              <w:autoSpaceDE w:val="0"/>
              <w:autoSpaceDN w:val="0"/>
              <w:jc w:val="left"/>
            </w:pPr>
            <w:r>
              <w:t>Rättslig grund</w:t>
            </w:r>
          </w:p>
        </w:tc>
        <w:tc>
          <w:tcPr>
            <w:tcW w:w="6204" w:type="dxa"/>
            <w:vAlign w:val="bottom"/>
          </w:tcPr>
          <w:p w14:paraId="6B1D3003" w14:textId="77777777" w:rsidR="00AC5114" w:rsidRPr="004A3C7C" w:rsidRDefault="7ABFEF8A" w:rsidP="7ABFEF8A">
            <w:pPr>
              <w:autoSpaceDE w:val="0"/>
              <w:autoSpaceDN w:val="0"/>
              <w:jc w:val="left"/>
            </w:pPr>
            <w:r>
              <w:t>Artikel 304 i fördraget om Europeiska unionens funktionssätt</w:t>
            </w:r>
          </w:p>
        </w:tc>
      </w:tr>
      <w:tr w:rsidR="00324889" w14:paraId="652D7524" w14:textId="77777777">
        <w:tc>
          <w:tcPr>
            <w:tcW w:w="3085" w:type="dxa"/>
          </w:tcPr>
          <w:p w14:paraId="5F7C7EA3" w14:textId="77777777" w:rsidR="00AC5114" w:rsidRPr="004A3C7C" w:rsidRDefault="7ABFEF8A" w:rsidP="7ABFEF8A">
            <w:pPr>
              <w:autoSpaceDE w:val="0"/>
              <w:autoSpaceDN w:val="0"/>
              <w:jc w:val="left"/>
            </w:pPr>
            <w:r>
              <w:t>Ansvarig sektion</w:t>
            </w:r>
          </w:p>
        </w:tc>
        <w:tc>
          <w:tcPr>
            <w:tcW w:w="6204" w:type="dxa"/>
            <w:vAlign w:val="bottom"/>
          </w:tcPr>
          <w:p w14:paraId="46131585" w14:textId="77777777" w:rsidR="00AC5114" w:rsidRPr="004A3C7C" w:rsidRDefault="00F850E6" w:rsidP="7ABFEF8A">
            <w:pPr>
              <w:autoSpaceDE w:val="0"/>
              <w:autoSpaceDN w:val="0"/>
              <w:jc w:val="left"/>
            </w:pPr>
            <w:r>
              <w:t>Ekonomiska och monetära unionen, ekonomisk och social sammanhållning</w:t>
            </w:r>
          </w:p>
        </w:tc>
      </w:tr>
      <w:tr w:rsidR="00324889" w14:paraId="65E1A9D2" w14:textId="77777777">
        <w:tc>
          <w:tcPr>
            <w:tcW w:w="3085" w:type="dxa"/>
          </w:tcPr>
          <w:p w14:paraId="1BF3E083" w14:textId="77777777" w:rsidR="00AC5114" w:rsidRPr="004A3C7C" w:rsidRDefault="7ABFEF8A" w:rsidP="7ABFEF8A">
            <w:pPr>
              <w:autoSpaceDE w:val="0"/>
              <w:autoSpaceDN w:val="0"/>
              <w:jc w:val="left"/>
            </w:pPr>
            <w:r>
              <w:t>Antagande av sektionen</w:t>
            </w:r>
          </w:p>
        </w:tc>
        <w:tc>
          <w:tcPr>
            <w:tcW w:w="6204" w:type="dxa"/>
            <w:vAlign w:val="bottom"/>
          </w:tcPr>
          <w:p w14:paraId="75F8D3C9" w14:textId="77777777" w:rsidR="00AC5114" w:rsidRPr="004A3C7C" w:rsidRDefault="00F850E6" w:rsidP="7ABFEF8A">
            <w:pPr>
              <w:autoSpaceDE w:val="0"/>
              <w:autoSpaceDN w:val="0"/>
              <w:jc w:val="left"/>
            </w:pPr>
            <w:r>
              <w:t>09/09/2022</w:t>
            </w:r>
          </w:p>
        </w:tc>
      </w:tr>
      <w:tr w:rsidR="00324889" w14:paraId="6172E5DD" w14:textId="77777777">
        <w:tc>
          <w:tcPr>
            <w:tcW w:w="3085" w:type="dxa"/>
          </w:tcPr>
          <w:p w14:paraId="1D3CDB65" w14:textId="77777777" w:rsidR="0058411F" w:rsidRPr="004A3C7C" w:rsidRDefault="7ABFEF8A" w:rsidP="7ABFEF8A">
            <w:pPr>
              <w:autoSpaceDE w:val="0"/>
              <w:autoSpaceDN w:val="0"/>
              <w:jc w:val="left"/>
            </w:pPr>
            <w:r>
              <w:t>Antagande vid plenarsessionen</w:t>
            </w:r>
          </w:p>
        </w:tc>
        <w:tc>
          <w:tcPr>
            <w:tcW w:w="6204" w:type="dxa"/>
            <w:vAlign w:val="bottom"/>
          </w:tcPr>
          <w:p w14:paraId="42B98011" w14:textId="77777777" w:rsidR="0058411F" w:rsidRPr="004A3C7C" w:rsidRDefault="00F850E6" w:rsidP="7ABFEF8A">
            <w:pPr>
              <w:autoSpaceDE w:val="0"/>
              <w:autoSpaceDN w:val="0"/>
              <w:jc w:val="left"/>
            </w:pPr>
            <w:r>
              <w:t>21/09/2022</w:t>
            </w:r>
          </w:p>
        </w:tc>
      </w:tr>
      <w:tr w:rsidR="00324889" w14:paraId="3FD23946" w14:textId="77777777">
        <w:tc>
          <w:tcPr>
            <w:tcW w:w="3085" w:type="dxa"/>
          </w:tcPr>
          <w:p w14:paraId="0FE93963" w14:textId="77777777" w:rsidR="0058411F" w:rsidRPr="004A3C7C" w:rsidRDefault="7ABFEF8A" w:rsidP="7ABFEF8A">
            <w:pPr>
              <w:autoSpaceDE w:val="0"/>
              <w:autoSpaceDN w:val="0"/>
              <w:jc w:val="left"/>
            </w:pPr>
            <w:r>
              <w:t>Plenarsession nr</w:t>
            </w:r>
          </w:p>
        </w:tc>
        <w:tc>
          <w:tcPr>
            <w:tcW w:w="6204" w:type="dxa"/>
            <w:vAlign w:val="bottom"/>
          </w:tcPr>
          <w:p w14:paraId="014B463D" w14:textId="77777777" w:rsidR="0058411F" w:rsidRPr="004A3C7C" w:rsidRDefault="009B0D9E" w:rsidP="7ABFEF8A">
            <w:pPr>
              <w:autoSpaceDE w:val="0"/>
              <w:autoSpaceDN w:val="0"/>
              <w:jc w:val="left"/>
            </w:pPr>
            <w:r>
              <w:t>572</w:t>
            </w:r>
          </w:p>
        </w:tc>
      </w:tr>
      <w:tr w:rsidR="00324889" w14:paraId="46910A9E" w14:textId="77777777">
        <w:tc>
          <w:tcPr>
            <w:tcW w:w="3085" w:type="dxa"/>
          </w:tcPr>
          <w:p w14:paraId="7EEC0539" w14:textId="77777777" w:rsidR="0058411F" w:rsidRPr="004A3C7C" w:rsidRDefault="7ABFEF8A" w:rsidP="7ABFEF8A">
            <w:pPr>
              <w:autoSpaceDE w:val="0"/>
              <w:autoSpaceDN w:val="0"/>
              <w:jc w:val="left"/>
            </w:pPr>
            <w:r>
              <w:t>Resultat av omröstningen</w:t>
            </w:r>
            <w:r>
              <w:br/>
              <w:t>(för/emot/nedlagda röster)</w:t>
            </w:r>
          </w:p>
        </w:tc>
        <w:tc>
          <w:tcPr>
            <w:tcW w:w="6204" w:type="dxa"/>
            <w:vAlign w:val="bottom"/>
          </w:tcPr>
          <w:p w14:paraId="3F915C5C" w14:textId="0B79E35B" w:rsidR="0058411F" w:rsidRPr="004A3C7C" w:rsidRDefault="00350010" w:rsidP="00B47498">
            <w:pPr>
              <w:autoSpaceDE w:val="0"/>
              <w:autoSpaceDN w:val="0"/>
              <w:jc w:val="left"/>
            </w:pPr>
            <w:r>
              <w:t>22</w:t>
            </w:r>
            <w:r w:rsidR="00B47498">
              <w:t>6</w:t>
            </w:r>
            <w:bookmarkStart w:id="0" w:name="_GoBack"/>
            <w:bookmarkEnd w:id="0"/>
            <w:r>
              <w:t>/0/2</w:t>
            </w:r>
          </w:p>
        </w:tc>
      </w:tr>
    </w:tbl>
    <w:p w14:paraId="45511708" w14:textId="77777777" w:rsidR="00AC5114" w:rsidRPr="004A3C7C" w:rsidRDefault="00AC5114" w:rsidP="00574C9B">
      <w:pPr>
        <w:rPr>
          <w:lang w:val="en-GB"/>
        </w:rPr>
      </w:pPr>
    </w:p>
    <w:p w14:paraId="1D7B145E" w14:textId="77777777" w:rsidR="00AC5114" w:rsidRPr="004A3C7C" w:rsidRDefault="00AC5114" w:rsidP="00574C9B">
      <w:pPr>
        <w:rPr>
          <w:lang w:val="en-GB"/>
        </w:rPr>
        <w:sectPr w:rsidR="00AC5114" w:rsidRPr="004A3C7C" w:rsidSect="0028396A">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14:paraId="15C90A8E" w14:textId="77777777" w:rsidR="007B6D25" w:rsidRPr="000805BB" w:rsidRDefault="007B6D25" w:rsidP="007B6D25">
      <w:pPr>
        <w:pStyle w:val="Heading1"/>
        <w:keepNext/>
        <w:rPr>
          <w:bCs/>
        </w:rPr>
      </w:pPr>
      <w:r>
        <w:rPr>
          <w:b/>
        </w:rPr>
        <w:lastRenderedPageBreak/>
        <w:t>Inledning</w:t>
      </w:r>
    </w:p>
    <w:p w14:paraId="5CA6AA19" w14:textId="77777777" w:rsidR="007B6D25" w:rsidRPr="000805BB" w:rsidRDefault="007B6D25" w:rsidP="007B6D25">
      <w:pPr>
        <w:pStyle w:val="Heading2"/>
        <w:keepNext/>
        <w:numPr>
          <w:ilvl w:val="0"/>
          <w:numId w:val="0"/>
        </w:numPr>
        <w:ind w:left="720" w:hanging="720"/>
        <w:rPr>
          <w:lang w:val="en-GB"/>
        </w:rPr>
      </w:pPr>
    </w:p>
    <w:p w14:paraId="00D869FC" w14:textId="77777777" w:rsidR="007B6D25" w:rsidRPr="000805BB" w:rsidRDefault="007B6D25" w:rsidP="007B6D25">
      <w:pPr>
        <w:pStyle w:val="Heading2"/>
      </w:pPr>
      <w:r>
        <w:t>Denna utvärderingsrapport om Europeiska fonden för strategiska investeringar 2.0 (Efsi 2.0) utgör bidraget från Europeiska ekonomiska och sociala kommittén (EESK) till kommissionens pågående utvärdering av detta investeringsprogram. Utvärder</w:t>
      </w:r>
      <w:r w:rsidR="00491B3E">
        <w:t>ingen ska slutföras i slutet av </w:t>
      </w:r>
      <w:r>
        <w:t>2022. Fokus för EESK:s utvärderingsrapport är att samla in det organiserade civila samhällets synpunkter på Efsi 2.0 och dess två stödinstrument: Europeiska centrumet för investeringsrådgivning (EIAH) och portalen för investeringsprojekt på europeisk nivå (EIPP).</w:t>
      </w:r>
    </w:p>
    <w:p w14:paraId="0966A76A" w14:textId="77777777" w:rsidR="007B6D25" w:rsidRPr="000805BB" w:rsidRDefault="007B6D25" w:rsidP="007B6D25">
      <w:pPr>
        <w:pStyle w:val="Heading2"/>
        <w:numPr>
          <w:ilvl w:val="0"/>
          <w:numId w:val="0"/>
        </w:numPr>
        <w:rPr>
          <w:lang w:val="en-GB"/>
        </w:rPr>
      </w:pPr>
    </w:p>
    <w:p w14:paraId="42315032" w14:textId="77777777" w:rsidR="007B6D25" w:rsidRPr="000805BB" w:rsidRDefault="007B6D25" w:rsidP="007B6D25">
      <w:pPr>
        <w:pStyle w:val="Heading2"/>
      </w:pPr>
      <w:r>
        <w:t>Efsi 2.0 var en förlängning för perioden 2018–2020 av Europeiska fonden för strategiska investeringar (Efsi), eller Junckerplanen, som genomfördes 2015–2018. Den statistik som konsulterats, de viktigaste kvalitativa analyserna och de synpunkter som samlats in avser nästan uteslutande fonden för perioden 2015–2020. Om inget annat anges avser därför slutsatserna och rekommendationerna i denna rapport Efsi 2015–2020.</w:t>
      </w:r>
    </w:p>
    <w:p w14:paraId="78DE6677" w14:textId="77777777" w:rsidR="007B6D25" w:rsidRPr="000805BB" w:rsidRDefault="007B6D25" w:rsidP="007B6D25">
      <w:pPr>
        <w:pStyle w:val="Heading2"/>
        <w:numPr>
          <w:ilvl w:val="0"/>
          <w:numId w:val="0"/>
        </w:numPr>
        <w:rPr>
          <w:lang w:val="en-GB"/>
        </w:rPr>
      </w:pPr>
    </w:p>
    <w:p w14:paraId="070DD2BA" w14:textId="77777777" w:rsidR="007B6D25" w:rsidRPr="000805BB" w:rsidRDefault="007B6D25" w:rsidP="007B6D25">
      <w:pPr>
        <w:pStyle w:val="Heading2"/>
      </w:pPr>
      <w:r>
        <w:t>I enlighet med EESK:s utvärderingsmetod har denna rapport uta</w:t>
      </w:r>
      <w:r w:rsidR="00491B3E">
        <w:t>rbetats på grundval av besök (i </w:t>
      </w:r>
      <w:r>
        <w:t>hybridform) och onlineenkäter i fem länder: Italien, Spanien, Polen, Rumänien och Irland. Utöver arbetsmarknadsparternas och civilsamhällesorganisationernas</w:t>
      </w:r>
      <w:r w:rsidR="00491B3E">
        <w:t xml:space="preserve"> åsikter, som återspeglas i </w:t>
      </w:r>
      <w:r>
        <w:t>rekommendationerna, rådfrågades även offentliga myndigheter, finansinstitut och stöd</w:t>
      </w:r>
      <w:r w:rsidR="00491B3E">
        <w:softHyphen/>
      </w:r>
      <w:r>
        <w:t>mottagande företag. Av de sammanlagt 63 aktörer som rådfrågades var 33 representativa civilsamhällesorganisationer från de fem länderna. Dessutom deltog Italiens och Spaniens ekonomiska och sociala råd aktivt i samrådet. Nästan alla bedömningar och synpunkter som återspeglas kommer från de fem landsbesöken, då ytterst få onlineenkäter mottagits utöver dessa. Endast fyra stödmottagande företag, från två länder, deltog. Företagens deltagande underlättades inte av institutioner i något land. Mer detaljerad information om resultaten av processen finns i den tekniska bilagan.</w:t>
      </w:r>
    </w:p>
    <w:p w14:paraId="3859E7D6" w14:textId="77777777" w:rsidR="007B6D25" w:rsidRPr="000805BB" w:rsidRDefault="007B6D25" w:rsidP="007B6D25">
      <w:pPr>
        <w:rPr>
          <w:lang w:val="en-GB"/>
        </w:rPr>
      </w:pPr>
    </w:p>
    <w:p w14:paraId="6C1FD468" w14:textId="77777777" w:rsidR="007B6D25" w:rsidRPr="000805BB" w:rsidRDefault="007B6D25" w:rsidP="007B6D25">
      <w:pPr>
        <w:pStyle w:val="Heading2"/>
      </w:pPr>
      <w:r>
        <w:t>Det är endast bedömningar och synpunkter från ett representativt urval av civilsamhälles</w:t>
      </w:r>
      <w:r w:rsidR="00491B3E">
        <w:softHyphen/>
      </w:r>
      <w:r>
        <w:t>organisationer från fem medlemsstater som framförs i denna rapport. Rekommendationerna är en syntes av de synpunkter som är gemensamma för majoriteten av de företrädare för arbetsmarknadsparter och civilsamhällesorganisationer som rådfrågats. Om de godtas skulle de flesta av rekommendationerna kunna införlivas i InvestEU, det instrument för finansiella garantier som tagit vid efter Efsi inom den nuvarande fleråriga budgetramen, 2021–2027.</w:t>
      </w:r>
    </w:p>
    <w:p w14:paraId="1C24878E" w14:textId="77777777" w:rsidR="007B6D25" w:rsidRPr="000805BB" w:rsidRDefault="007B6D25" w:rsidP="007B6D25">
      <w:pPr>
        <w:rPr>
          <w:lang w:val="en-GB"/>
        </w:rPr>
      </w:pPr>
    </w:p>
    <w:p w14:paraId="40710A1C" w14:textId="77777777" w:rsidR="007B6D25" w:rsidRPr="000805BB" w:rsidRDefault="007B6D25" w:rsidP="007B6D25">
      <w:pPr>
        <w:pStyle w:val="Heading2"/>
        <w:numPr>
          <w:ilvl w:val="1"/>
          <w:numId w:val="3"/>
        </w:numPr>
      </w:pPr>
      <w:r>
        <w:t>De djupgående kriser som Europa och världen har upplevt sedan 2020, till följd av covid-19-pandemin och Rysslands invasion av Ukraina, har föranlett EU-institutionerna att ta fram nya instrument för att stödja offentliga och privata investeringar, såsom NextGenerationEU och dess nationella planer för återhämtning och resiliens samt REPowerEU. I rekommendationerna framhålls behovet av en övergripande strategi för EU:s investeringsstrategier och behovet av att stärka additionaliteten och komplementariteten hos de nya instrumenten i förhållandet till struktur- och sammanhållningsfonderna och av att säkerställa deras samstämmighet med den gemensamma jordbrukspolitiken.</w:t>
      </w:r>
    </w:p>
    <w:p w14:paraId="4B9D9E80" w14:textId="77777777" w:rsidR="007B6D25" w:rsidRPr="000805BB" w:rsidRDefault="007B6D25" w:rsidP="007B6D25">
      <w:pPr>
        <w:spacing w:line="240" w:lineRule="auto"/>
        <w:jc w:val="left"/>
        <w:rPr>
          <w:lang w:val="en-GB"/>
        </w:rPr>
      </w:pPr>
    </w:p>
    <w:p w14:paraId="78D67587" w14:textId="77777777" w:rsidR="007B6D25" w:rsidRPr="000805BB" w:rsidRDefault="007B6D25" w:rsidP="007B6D25">
      <w:pPr>
        <w:pStyle w:val="Heading1"/>
        <w:keepNext/>
      </w:pPr>
      <w:r>
        <w:rPr>
          <w:b/>
        </w:rPr>
        <w:lastRenderedPageBreak/>
        <w:t>Slutsatser</w:t>
      </w:r>
    </w:p>
    <w:p w14:paraId="5667C4DC" w14:textId="77777777" w:rsidR="007B6D25" w:rsidRPr="000805BB" w:rsidRDefault="007B6D25" w:rsidP="007B6D25">
      <w:pPr>
        <w:keepNext/>
        <w:rPr>
          <w:lang w:val="en-GB"/>
        </w:rPr>
      </w:pPr>
    </w:p>
    <w:p w14:paraId="65F81FD5" w14:textId="77777777" w:rsidR="007B6D25" w:rsidRPr="000805BB" w:rsidRDefault="007B6D25" w:rsidP="007B6D25">
      <w:pPr>
        <w:pStyle w:val="Heading2"/>
        <w:keepNext/>
        <w:rPr>
          <w:bCs/>
        </w:rPr>
      </w:pPr>
      <w:r>
        <w:rPr>
          <w:b/>
        </w:rPr>
        <w:t>Inledande kommentarer</w:t>
      </w:r>
    </w:p>
    <w:p w14:paraId="7AEA2E81" w14:textId="77777777" w:rsidR="007B6D25" w:rsidRPr="000805BB" w:rsidRDefault="007B6D25" w:rsidP="007B6D25">
      <w:pPr>
        <w:keepNext/>
        <w:rPr>
          <w:lang w:val="en-GB"/>
        </w:rPr>
      </w:pPr>
    </w:p>
    <w:p w14:paraId="0506FBEF" w14:textId="77777777" w:rsidR="007B6D25" w:rsidRPr="000805BB" w:rsidRDefault="007B6D25" w:rsidP="007B6D25">
      <w:pPr>
        <w:pStyle w:val="Heading3"/>
      </w:pPr>
      <w:r>
        <w:t>Förordning (EU) 2017/2396</w:t>
      </w:r>
      <w:r w:rsidRPr="000805BB">
        <w:rPr>
          <w:rStyle w:val="FootnoteReference"/>
          <w:lang w:val="en-GB"/>
        </w:rPr>
        <w:footnoteReference w:id="1"/>
      </w:r>
      <w:r>
        <w:t xml:space="preserve"> om en förlängning av Efsi (Efsi 2.0) trädde i kraft 2018. Genom förlängningen höjdes EU-garantin från 16 miljarder euro till 26 miljarder euro och EIB-gruppens nominella bidrag från 5 miljarder euro till 7,5 miljarder euro, och löptiden förlängdes till slutet av 2020</w:t>
      </w:r>
      <w:r w:rsidRPr="000805BB">
        <w:rPr>
          <w:rStyle w:val="FootnoteReference"/>
          <w:lang w:val="en-GB"/>
        </w:rPr>
        <w:footnoteReference w:id="2"/>
      </w:r>
      <w:r>
        <w:t>. Mobiliseringsmålet höjdes också till minst 500 miljarder euro i investeringar i slutet av 2020, jämfört med 315 miljarder euro i juli 2018. Den riktade övergripande multiplikatorn för Efsi 2.0 förblev densamma som för Efsi, nämligen 15x.</w:t>
      </w:r>
    </w:p>
    <w:p w14:paraId="5B8A8E3E" w14:textId="77777777" w:rsidR="007B6D25" w:rsidRPr="000805BB" w:rsidRDefault="007B6D25" w:rsidP="007B6D25">
      <w:pPr>
        <w:rPr>
          <w:lang w:val="en-GB"/>
        </w:rPr>
      </w:pPr>
    </w:p>
    <w:p w14:paraId="6D7FBC02" w14:textId="77777777" w:rsidR="007B6D25" w:rsidRPr="000805BB" w:rsidRDefault="007B6D25" w:rsidP="007B6D25">
      <w:pPr>
        <w:pStyle w:val="Heading3"/>
      </w:pPr>
      <w:r>
        <w:t>Av den sammantagna godkända finansieringsvolymen på nästan 99,3 miljarder euro var 33,5 miljarder euro Efsi-medel (EU-garantin på 26 miljarder euro som kompletterades med 7,5 miljarder euro i form av EIB:s egna medel, som anslogs till finansiella intermediärer) i olika kapital- och garantiprodukter i alla medlemsstater, genom vilka investeringar på 524,3 miljarder euro hade mobiliserats i slutet av 2021. Vi noterar att målen för mobilisering av investeringar uppnåddes genom de två planerade delarna: infrastruktur- och innovationstjänsten (56 % av det totala beloppet) och delen för små och medelstora företag (44 % av det totala beloppet). Sammanlagt handlar det om 524,3 miljarder euro, vilket överstiger det planerade beloppet. Tusentals företag runt om i alla medlemsstater har dragit nytta av Efsi-finansiering.</w:t>
      </w:r>
      <w:r w:rsidRPr="000805BB">
        <w:rPr>
          <w:rStyle w:val="FootnoteReference"/>
          <w:lang w:val="en-GB"/>
        </w:rPr>
        <w:footnoteReference w:id="3"/>
      </w:r>
    </w:p>
    <w:p w14:paraId="7224A27C" w14:textId="77777777" w:rsidR="007B6D25" w:rsidRPr="000805BB" w:rsidRDefault="007B6D25" w:rsidP="007B6D25">
      <w:pPr>
        <w:rPr>
          <w:lang w:val="en-GB"/>
        </w:rPr>
      </w:pPr>
    </w:p>
    <w:p w14:paraId="027A6BE2" w14:textId="77777777" w:rsidR="007B6D25" w:rsidRPr="000805BB" w:rsidRDefault="007B6D25" w:rsidP="007B6D25">
      <w:pPr>
        <w:pStyle w:val="Heading3"/>
      </w:pPr>
      <w:r>
        <w:t>I enlighet med Efsi-förordningen har en lämplig geografisk fördelning av Efsi-stödet i EU eftersträvats för att effektivt bidra till ekonomisk konvergens i hela unionen. De fyra länder som utnyttjade det största beloppet av garanterat kapital från EIF-garantin inom ramen för detta program var emellertid Frankrike (14,6 miljarder euro), Italien (12 miljarder euro), Spanien (11,4 miljarder euro) och Tyskland (8 miljarder euro)</w:t>
      </w:r>
      <w:r w:rsidRPr="000805BB">
        <w:rPr>
          <w:rStyle w:val="FootnoteReference"/>
          <w:lang w:val="en-GB"/>
        </w:rPr>
        <w:footnoteReference w:id="4"/>
      </w:r>
      <w:r>
        <w:t>.</w:t>
      </w:r>
    </w:p>
    <w:p w14:paraId="0A7D48CB" w14:textId="77777777" w:rsidR="007B6D25" w:rsidRPr="000805BB" w:rsidRDefault="007B6D25" w:rsidP="007B6D25">
      <w:pPr>
        <w:rPr>
          <w:lang w:val="en-GB"/>
        </w:rPr>
      </w:pPr>
    </w:p>
    <w:p w14:paraId="035E3984" w14:textId="77777777" w:rsidR="007B6D25" w:rsidRPr="000805BB" w:rsidRDefault="007B6D25" w:rsidP="007B6D25">
      <w:pPr>
        <w:pStyle w:val="Heading3"/>
      </w:pPr>
      <w:r>
        <w:t>De viktigaste siffrorna för de fem länder som valts ut för denna utvärdering kan sammanfattas enligt följande: Med finansiering från Efsi-garantin på 12 006 miljoner euro mobiliserade Italien 73 362 miljoner euro – det näst högsta beloppet i EU i båda fallen – för 206 projekt. Med 11 439 miljoner euro (3:e) mobiliserade Spanien 51 966 miljoner euro (3:e) för 158 projekt. Med 3 259 miljoner euro (5:e) mobiliserade Polen 19 517 miljoner euro (6:e) för 73 projekt. Irland använde garanterad finansiering på 1 080 miljoner euro (14:e) för</w:t>
      </w:r>
      <w:r w:rsidR="00491B3E">
        <w:t xml:space="preserve"> att mobilisera 6 686 </w:t>
      </w:r>
      <w:r>
        <w:t>miljoner euro (14:e) för 35 projekt. Slutligen mobiliserade Rumänien, med 972 miljoner euro (15:e), 4 471 miljoner euro (17:e) för 52 projekt.</w:t>
      </w:r>
      <w:r w:rsidRPr="000805BB">
        <w:rPr>
          <w:rStyle w:val="FootnoteReference"/>
          <w:lang w:val="en-GB"/>
        </w:rPr>
        <w:footnoteReference w:id="5"/>
      </w:r>
    </w:p>
    <w:p w14:paraId="01A0DBA4" w14:textId="77777777" w:rsidR="007B6D25" w:rsidRPr="000805BB" w:rsidRDefault="007B6D25" w:rsidP="007B6D25">
      <w:pPr>
        <w:rPr>
          <w:lang w:val="en-GB"/>
        </w:rPr>
      </w:pPr>
    </w:p>
    <w:p w14:paraId="1316D29C" w14:textId="77777777" w:rsidR="007B6D25" w:rsidRPr="000805BB" w:rsidRDefault="007B6D25" w:rsidP="007B6D25">
      <w:pPr>
        <w:pStyle w:val="Heading3"/>
      </w:pPr>
      <w:r>
        <w:lastRenderedPageBreak/>
        <w:t>Det finns stora skillnader i användningen av EIAH och EIPP. Uppgifter finns bara tillgängliga för begäranden som lämnats till EIAH: totalt 4 005. Trots EIAH:s allmänt erkända nytta ansåg de flesta civilsamhällesorganisationer som rådfrågades att instrumentets potential var underutnyttjad. Det är svårt att hitta ett mönster eller ett samband so</w:t>
      </w:r>
      <w:r w:rsidR="00491B3E">
        <w:t>m förklarar skillnaderna i </w:t>
      </w:r>
      <w:r>
        <w:t xml:space="preserve">användningen. Att flest förfrågningar gjordes av Rumänien och Bulgarien (totalt 492) kan bero på att deras företag fick mindre stöd från de nationella myndigheterna och finansinstituten, och på det stöd för små och medelstora företag som Europeiska banken för återuppbyggnad och utveckling (EBRD) tillhandahöll inom ramen för EIAH i dessa länder. </w:t>
      </w:r>
    </w:p>
    <w:p w14:paraId="6D9A6EB5" w14:textId="77777777" w:rsidR="007B6D25" w:rsidRPr="000805BB" w:rsidRDefault="007B6D25" w:rsidP="007B6D25">
      <w:pPr>
        <w:rPr>
          <w:lang w:val="en-GB"/>
        </w:rPr>
      </w:pPr>
    </w:p>
    <w:p w14:paraId="5895F865" w14:textId="77777777" w:rsidR="007B6D25" w:rsidRPr="000805BB" w:rsidRDefault="007B6D25" w:rsidP="007B6D25">
      <w:pPr>
        <w:pStyle w:val="Heading2"/>
        <w:keepNext/>
        <w:keepLines/>
      </w:pPr>
      <w:r>
        <w:rPr>
          <w:b/>
        </w:rPr>
        <w:t>Allmänna kommentarer</w:t>
      </w:r>
    </w:p>
    <w:p w14:paraId="0C672CD0" w14:textId="77777777" w:rsidR="007B6D25" w:rsidRPr="000805BB" w:rsidRDefault="007B6D25" w:rsidP="007B6D25">
      <w:pPr>
        <w:keepNext/>
        <w:keepLines/>
        <w:rPr>
          <w:lang w:val="en-GB"/>
        </w:rPr>
      </w:pPr>
    </w:p>
    <w:p w14:paraId="6D2ECD2D" w14:textId="77777777" w:rsidR="007B6D25" w:rsidRPr="000805BB" w:rsidRDefault="007B6D25" w:rsidP="007B6D25">
      <w:pPr>
        <w:pStyle w:val="Heading3"/>
      </w:pPr>
      <w:r>
        <w:t>Alla tillfrågade aktörer var eniga om att resultaten av Efsi och Efsi 2.0 var mycket positiva när det gäller deras förmåga att mobilisera en betydande volym av investeringsfinansiering och därmed bidra till att minska det svåra investeringsunderskottet i EU, som förvärrats av den stora recessionen, som tog fart 2008. Efsi har allmänt betraktats som det viktigaste och mest framgångsrika EU-omfattande offentlig-privata partnerskapsinstrumentet.</w:t>
      </w:r>
    </w:p>
    <w:p w14:paraId="3782183B" w14:textId="77777777" w:rsidR="007B6D25" w:rsidRPr="000805BB" w:rsidRDefault="007B6D25" w:rsidP="007B6D25">
      <w:pPr>
        <w:rPr>
          <w:lang w:val="en-GB"/>
        </w:rPr>
      </w:pPr>
    </w:p>
    <w:p w14:paraId="14E86408" w14:textId="77777777" w:rsidR="007B6D25" w:rsidRPr="000805BB" w:rsidRDefault="007B6D25" w:rsidP="007B6D25">
      <w:pPr>
        <w:pStyle w:val="Heading3"/>
      </w:pPr>
      <w:r>
        <w:t>Det civila samhällets organisationer lyfte, i större utsträckning än övriga berörda parter som tillfrågades, fram vissa brister och svagheter i processen med att inrätta och genomföra Efsi, närmare bestämt på följande områden: kommunikation, synlighet, det organiserade civila samhällets deltagande på nationell nivå, utvärderingsind</w:t>
      </w:r>
      <w:r w:rsidR="00491B3E">
        <w:t>ikatorer och komplementaritet i </w:t>
      </w:r>
      <w:r>
        <w:t>förhållandet till EU:s övriga investeringsprogram.</w:t>
      </w:r>
    </w:p>
    <w:p w14:paraId="32523D28" w14:textId="77777777" w:rsidR="007B6D25" w:rsidRPr="004A3C7C" w:rsidRDefault="007B6D25" w:rsidP="007B6D25">
      <w:pPr>
        <w:pStyle w:val="ListParagraph"/>
        <w:ind w:left="0"/>
      </w:pPr>
    </w:p>
    <w:p w14:paraId="1800EE7E" w14:textId="77777777" w:rsidR="007B6D25" w:rsidRPr="000805BB" w:rsidRDefault="007B6D25" w:rsidP="007B6D25">
      <w:pPr>
        <w:pStyle w:val="Heading3"/>
      </w:pPr>
      <w:r>
        <w:t>Rekommendationerna i denna rapport inriktas på hur man kan komma till rätta med dessa brister i Efsis efterföljare, InvestEU, och i EU:s övriga inves</w:t>
      </w:r>
      <w:r w:rsidR="00491B3E">
        <w:t>teringsprogram, med tanke på de </w:t>
      </w:r>
      <w:r>
        <w:t>svåra ekonomiska och geopolitiska omständigheterna i efterdyningarna av pandemin och invasionen av Ukraina.</w:t>
      </w:r>
    </w:p>
    <w:p w14:paraId="76CA0BC5" w14:textId="77777777" w:rsidR="007B6D25" w:rsidRPr="004A3C7C" w:rsidRDefault="007B6D25" w:rsidP="007B6D25">
      <w:pPr>
        <w:pStyle w:val="ListParagraph"/>
        <w:ind w:left="0"/>
      </w:pPr>
    </w:p>
    <w:p w14:paraId="40328704" w14:textId="77777777" w:rsidR="007B6D25" w:rsidRPr="000805BB" w:rsidRDefault="007B6D25" w:rsidP="007B6D25">
      <w:pPr>
        <w:pStyle w:val="Heading2"/>
        <w:keepNext/>
        <w:keepLines/>
      </w:pPr>
      <w:r>
        <w:rPr>
          <w:b/>
        </w:rPr>
        <w:t>Ändamålsenlighet</w:t>
      </w:r>
    </w:p>
    <w:p w14:paraId="6D72876E" w14:textId="77777777" w:rsidR="007B6D25" w:rsidRPr="000805BB" w:rsidRDefault="007B6D25" w:rsidP="007B6D25">
      <w:pPr>
        <w:keepNext/>
        <w:keepLines/>
        <w:rPr>
          <w:lang w:val="en-GB"/>
        </w:rPr>
      </w:pPr>
    </w:p>
    <w:p w14:paraId="5DC28524" w14:textId="77777777" w:rsidR="007B6D25" w:rsidRPr="000805BB" w:rsidRDefault="007B6D25" w:rsidP="007B6D25">
      <w:pPr>
        <w:pStyle w:val="Heading3"/>
      </w:pPr>
      <w:r>
        <w:t>Det stora flertalet uppgiftslämnare och deltagare i landsbesöken ansåg att Efsi hade uppnått sitt främsta mål – att främja investeringar – i deras länder, vid en tidpunkt då detta var särskilt nödvändigt.</w:t>
      </w:r>
    </w:p>
    <w:p w14:paraId="0A7A8B6D" w14:textId="77777777" w:rsidR="007B6D25" w:rsidRPr="000805BB" w:rsidRDefault="007B6D25" w:rsidP="007B6D25">
      <w:pPr>
        <w:rPr>
          <w:lang w:val="en-GB"/>
        </w:rPr>
      </w:pPr>
    </w:p>
    <w:p w14:paraId="1A4383CE" w14:textId="77777777" w:rsidR="007B6D25" w:rsidRPr="000805BB" w:rsidRDefault="007B6D25" w:rsidP="007B6D25">
      <w:pPr>
        <w:pStyle w:val="Heading3"/>
      </w:pPr>
      <w:r>
        <w:t>Efsis ändamålsenliga roll som budgetinstrument för finansiella garantier när det gäller att mobilisera investeringar för ekonomisk utveckling, inbegripet positiva modeller för offentlig-privata partnerskap, erkändes allmänt. Dessutom skulle fonden – tillsammans med centrumet och portalen – kunna ge insikter som är värdefulla för InvestEU och EU:s övriga investeringsprogram.</w:t>
      </w:r>
    </w:p>
    <w:p w14:paraId="2B2439F3" w14:textId="77777777" w:rsidR="007B6D25" w:rsidRPr="000805BB" w:rsidRDefault="007B6D25" w:rsidP="007B6D25">
      <w:pPr>
        <w:rPr>
          <w:lang w:val="en-GB"/>
        </w:rPr>
      </w:pPr>
    </w:p>
    <w:p w14:paraId="27CFD707" w14:textId="77777777" w:rsidR="007B6D25" w:rsidRPr="000805BB" w:rsidRDefault="007B6D25" w:rsidP="007B6D25">
      <w:pPr>
        <w:pStyle w:val="Heading3"/>
      </w:pPr>
      <w:r>
        <w:t>Trots otillräcklig information om komplementaritet och synergier i förhållandet till EU:s övriga investeringsprogram – struktur- och sammanhållningsfonderna för Efsi och NextGenerationEU och REPowerEU för InvestEU – ansåg de som yttrade sig att detta hade uppnåtts i begränsad utsträckning.</w:t>
      </w:r>
    </w:p>
    <w:p w14:paraId="6B78E069" w14:textId="77777777" w:rsidR="007B6D25" w:rsidRPr="000805BB" w:rsidRDefault="007B6D25" w:rsidP="007B6D25">
      <w:pPr>
        <w:rPr>
          <w:lang w:val="en-GB"/>
        </w:rPr>
      </w:pPr>
    </w:p>
    <w:p w14:paraId="1746172E" w14:textId="77777777" w:rsidR="007B6D25" w:rsidRPr="000805BB" w:rsidRDefault="007B6D25" w:rsidP="007B6D25">
      <w:pPr>
        <w:pStyle w:val="Heading3"/>
      </w:pPr>
      <w:r>
        <w:lastRenderedPageBreak/>
        <w:t xml:space="preserve">Under intervjuerna i Irland sades Efsi spela en viktig roll när det handlar om att göra finansiella medel tillgängliga till låg ränta och till låg kostnad. En positiv aspekt som irländska deltagare noterade var att Efsi tillhandahöll finansiering för mer riskfyllda projekt, och de välkomnade fondens flexibla struktur. </w:t>
      </w:r>
      <w:r>
        <w:rPr>
          <w:color w:val="222222"/>
          <w:shd w:val="clear" w:color="auto" w:fill="FFFFFF"/>
        </w:rPr>
        <w:t>På fackföreningssidan uttrycktes dock oro över avsaknaden av villkorlighet i fråga om de eventuella stödmottagarnas historik, strategier och praxis på anställningsområdet. Företrädarna tog upp ett fall från 2005, där ett stort antal fackförenings</w:t>
      </w:r>
      <w:r w:rsidR="00491B3E">
        <w:rPr>
          <w:color w:val="222222"/>
          <w:shd w:val="clear" w:color="auto" w:fill="FFFFFF"/>
        </w:rPr>
        <w:softHyphen/>
      </w:r>
      <w:r>
        <w:rPr>
          <w:color w:val="222222"/>
          <w:shd w:val="clear" w:color="auto" w:fill="FFFFFF"/>
        </w:rPr>
        <w:t>anslutna arbetstagare hade sagts upp och sedan ersatts av personal från ett bemanningsföretag, med betydligt sämre villkor.</w:t>
      </w:r>
    </w:p>
    <w:p w14:paraId="76F3FD13" w14:textId="77777777" w:rsidR="007B6D25" w:rsidRPr="000805BB" w:rsidRDefault="007B6D25" w:rsidP="007B6D25">
      <w:pPr>
        <w:rPr>
          <w:lang w:val="en-GB"/>
        </w:rPr>
      </w:pPr>
    </w:p>
    <w:p w14:paraId="0940B90B" w14:textId="77777777" w:rsidR="007B6D25" w:rsidRPr="000805BB" w:rsidRDefault="007B6D25" w:rsidP="007B6D25">
      <w:pPr>
        <w:pStyle w:val="Heading3"/>
      </w:pPr>
      <w:r>
        <w:t>Efsis viktiga roll i att minska investeringsgapet och bristen på tillgängliga offentliga finansiella medel efter finanskrisen lyftes också fram av deltagarna i Spanien. I flera länder sade deltagarna att Efsi hade ökat företagens tillgång till bankfinansiering, och i vissa fall, t.ex. i Irland, hade Efsi också kompenserat för en mycket svag och instabil banksektor. Utan EU-garantin skulle bankerna ha kunnat välja att bara finansiera mindre riskfyllda projekt. De låga räntorna och de låga kostnaderna i samband med Efsi betonades också.</w:t>
      </w:r>
    </w:p>
    <w:p w14:paraId="13078748" w14:textId="77777777" w:rsidR="007B6D25" w:rsidRPr="000805BB" w:rsidRDefault="007B6D25" w:rsidP="007B6D25">
      <w:pPr>
        <w:rPr>
          <w:lang w:val="en-GB"/>
        </w:rPr>
      </w:pPr>
    </w:p>
    <w:p w14:paraId="22DD960C" w14:textId="77777777" w:rsidR="007B6D25" w:rsidRPr="000805BB" w:rsidRDefault="007B6D25" w:rsidP="007B6D25">
      <w:pPr>
        <w:pStyle w:val="Heading3"/>
      </w:pPr>
      <w:r>
        <w:t>Italienska berörda parter konstaterade även att fonden var framgångsrik när det gäller att stärka en del av landets industrisektorer och industriella infrastruktur samt de små och medelstora företagens resiliens och tillväxt. De flesta deltagarna lovordade, i varierande grad, tillhanda</w:t>
      </w:r>
      <w:r w:rsidR="00491B3E">
        <w:softHyphen/>
      </w:r>
      <w:r>
        <w:t>hållandet av medel, övervakningsprocessen samt bedömni</w:t>
      </w:r>
      <w:r w:rsidR="00491B3E">
        <w:t>ngen av och överläggningarna om </w:t>
      </w:r>
      <w:r>
        <w:t>projekt.</w:t>
      </w:r>
    </w:p>
    <w:p w14:paraId="29D20960" w14:textId="77777777" w:rsidR="007B6D25" w:rsidRPr="000805BB" w:rsidRDefault="007B6D25" w:rsidP="007B6D25">
      <w:pPr>
        <w:rPr>
          <w:lang w:val="en-GB"/>
        </w:rPr>
      </w:pPr>
    </w:p>
    <w:p w14:paraId="79BE787F" w14:textId="77777777" w:rsidR="007B6D25" w:rsidRPr="000805BB" w:rsidRDefault="007B6D25" w:rsidP="007B6D25">
      <w:pPr>
        <w:pStyle w:val="Heading3"/>
      </w:pPr>
      <w:r>
        <w:t>Berörda parter i Rumänien underströk vikten av att förstå hur Efsi-liknande instrument kan göras mer flexibla och anpassningsbara till förändrade förhållanden, t.ex. covid-19-krisen eller kriget i Ukraina, som inte bara har utgjort hinder för myndigheternas och företagens normala verksamhet, utan också har medfört att prioriteringar måste omprövas.</w:t>
      </w:r>
    </w:p>
    <w:p w14:paraId="1B218B10" w14:textId="77777777" w:rsidR="007B6D25" w:rsidRPr="000805BB" w:rsidRDefault="007B6D25" w:rsidP="007B6D25">
      <w:pPr>
        <w:rPr>
          <w:lang w:val="en-GB"/>
        </w:rPr>
      </w:pPr>
    </w:p>
    <w:p w14:paraId="70E0A014" w14:textId="77777777" w:rsidR="007B6D25" w:rsidRPr="000805BB" w:rsidRDefault="007B6D25" w:rsidP="007B6D25">
      <w:pPr>
        <w:pStyle w:val="Heading3"/>
      </w:pPr>
      <w:r>
        <w:t>Det noterades att EU:s finansieringsinstrument skapade administrativa bördor för stöd</w:t>
      </w:r>
      <w:r w:rsidR="00491B3E">
        <w:softHyphen/>
      </w:r>
      <w:r>
        <w:t>mottagarna, vilket skulle kunna utgöra ett hinder för åtkomst. Det föreslogs att villkorlighets</w:t>
      </w:r>
      <w:r w:rsidR="00491B3E">
        <w:softHyphen/>
      </w:r>
      <w:r>
        <w:t>krav, förfaranden och rapportering skulle kunna förenklas, så a</w:t>
      </w:r>
      <w:r w:rsidR="00491B3E">
        <w:t>tt de blir mindre kostsamma och </w:t>
      </w:r>
      <w:r>
        <w:t>tidskrävande.</w:t>
      </w:r>
    </w:p>
    <w:p w14:paraId="746A131A" w14:textId="77777777" w:rsidR="007B6D25" w:rsidRPr="000805BB" w:rsidRDefault="007B6D25" w:rsidP="007B6D25">
      <w:pPr>
        <w:pStyle w:val="Heading3"/>
        <w:numPr>
          <w:ilvl w:val="0"/>
          <w:numId w:val="0"/>
        </w:numPr>
        <w:rPr>
          <w:lang w:val="en-GB"/>
        </w:rPr>
      </w:pPr>
    </w:p>
    <w:p w14:paraId="246BC5C2" w14:textId="77777777" w:rsidR="007B6D25" w:rsidRPr="000805BB" w:rsidRDefault="007B6D25" w:rsidP="007B6D25">
      <w:pPr>
        <w:pStyle w:val="Heading3"/>
      </w:pPr>
      <w:r>
        <w:t>I Rumänien nämndes också att det största problemet inte nödvändigtvis var bristen på finansiella medel, utan snarare potentiella stödmottagares förmåga att utveckla projekt som håller tillräckligt hög kvalitet för finansieringsinstrument som inte är bidrag.</w:t>
      </w:r>
    </w:p>
    <w:p w14:paraId="558E59F3" w14:textId="77777777" w:rsidR="007B6D25" w:rsidRPr="000805BB" w:rsidRDefault="007B6D25" w:rsidP="007B6D25">
      <w:pPr>
        <w:rPr>
          <w:lang w:val="en-GB"/>
        </w:rPr>
      </w:pPr>
    </w:p>
    <w:p w14:paraId="511D9B24" w14:textId="77777777" w:rsidR="007B6D25" w:rsidRPr="000805BB" w:rsidRDefault="007B6D25" w:rsidP="007B6D25">
      <w:pPr>
        <w:pStyle w:val="Heading3"/>
      </w:pPr>
      <w:r>
        <w:t>I Polen påpekades att stödmottagarna hade haft svårt att få tillgång till Efsi-medel inom ramen för infrastruktur- och innovationstjänsten, men att fördelningen av medlen såg annorlunda ut när det gällde delen för små och medelstora företag, samt att omkring 70 000 polska små och medelstora företag hade dragit nytta av Efsi.</w:t>
      </w:r>
    </w:p>
    <w:p w14:paraId="77D58213" w14:textId="77777777" w:rsidR="007B6D25" w:rsidRPr="000805BB" w:rsidRDefault="007B6D25" w:rsidP="007B6D25">
      <w:pPr>
        <w:rPr>
          <w:lang w:val="en-GB"/>
        </w:rPr>
      </w:pPr>
    </w:p>
    <w:p w14:paraId="54EC167A" w14:textId="77777777" w:rsidR="007B6D25" w:rsidRPr="000805BB" w:rsidRDefault="007B6D25" w:rsidP="007B6D25">
      <w:pPr>
        <w:pStyle w:val="Heading3"/>
      </w:pPr>
      <w:r>
        <w:t>Hälften av uppgiftslämnarna kunde inte bedöma EIAH:s och EIPP:s ändamålsenlighet och användbarhet, och många deltagare i landsintervjuerna utnyttjade inte programmet, vilket skulle kunna utgöra ytterligare ett belägg för att kommunikationen varit otillräcklig.</w:t>
      </w:r>
    </w:p>
    <w:p w14:paraId="00271EAA" w14:textId="77777777" w:rsidR="007B6D25" w:rsidRPr="000805BB" w:rsidRDefault="007B6D25" w:rsidP="007B6D25">
      <w:pPr>
        <w:rPr>
          <w:lang w:val="en-GB"/>
        </w:rPr>
      </w:pPr>
    </w:p>
    <w:p w14:paraId="77D01926" w14:textId="77777777" w:rsidR="007B6D25" w:rsidRPr="000805BB" w:rsidRDefault="007B6D25" w:rsidP="007B6D25">
      <w:pPr>
        <w:pStyle w:val="Heading3"/>
      </w:pPr>
      <w:r>
        <w:lastRenderedPageBreak/>
        <w:t>I intervjuer i Spanien erkände berörda parter EIAH:s och EIPP:s potential att bidra till utformningen av projekt, öka projektens synlighet och skapa konsortier mellan företag och synergier mellan projekt. Deltagarna hyste tvivel om deras förmåga att bistå ett stort antal projekt. Spanska berörda parter angav att EIPP hade bidragit till att öka projektens synlighet och därigenom locka potentiella investerare, även om det på grund av bristen på uppgifter inte var möjligt att mäta dess faktiska inflytande jämfört med andra alternativ.</w:t>
      </w:r>
    </w:p>
    <w:p w14:paraId="0561CC42" w14:textId="77777777" w:rsidR="007B6D25" w:rsidRPr="000805BB" w:rsidRDefault="007B6D25" w:rsidP="007B6D25">
      <w:pPr>
        <w:rPr>
          <w:lang w:val="en-GB"/>
        </w:rPr>
      </w:pPr>
    </w:p>
    <w:p w14:paraId="13E5AECF" w14:textId="77777777" w:rsidR="007B6D25" w:rsidRPr="000805BB" w:rsidRDefault="007B6D25" w:rsidP="007B6D25">
      <w:pPr>
        <w:pStyle w:val="Heading3"/>
      </w:pPr>
      <w:r>
        <w:t>Under besöket i Italien uttryckte deltagarna oro över att Efsi-förfarandena inte bidrog till att minska territoriella ojämlikheter eller till att sätta sociala investeringar i främsta rummet. Företrädare för civilsamhällesorganisationer från andra länder uttryckte samma oro. Sociala investeringar hade dock de högsta multiplikationskoefficienterna i flera av dem.</w:t>
      </w:r>
    </w:p>
    <w:p w14:paraId="6D7002D4" w14:textId="77777777" w:rsidR="007B6D25" w:rsidRPr="000805BB" w:rsidRDefault="007B6D25" w:rsidP="007B6D25">
      <w:pPr>
        <w:rPr>
          <w:lang w:val="en-GB"/>
        </w:rPr>
      </w:pPr>
    </w:p>
    <w:p w14:paraId="7D2971BA" w14:textId="77777777" w:rsidR="007B6D25" w:rsidRPr="000805BB" w:rsidRDefault="007B6D25" w:rsidP="007B6D25">
      <w:pPr>
        <w:pStyle w:val="Heading2"/>
        <w:keepNext/>
        <w:keepLines/>
      </w:pPr>
      <w:r>
        <w:rPr>
          <w:b/>
        </w:rPr>
        <w:t>Relevans</w:t>
      </w:r>
    </w:p>
    <w:p w14:paraId="39FCF05F" w14:textId="77777777" w:rsidR="007B6D25" w:rsidRPr="000805BB" w:rsidRDefault="007B6D25" w:rsidP="007B6D25">
      <w:pPr>
        <w:pStyle w:val="Heading3"/>
        <w:keepNext/>
        <w:keepLines/>
        <w:numPr>
          <w:ilvl w:val="0"/>
          <w:numId w:val="0"/>
        </w:numPr>
        <w:rPr>
          <w:lang w:val="en-GB"/>
        </w:rPr>
      </w:pPr>
    </w:p>
    <w:p w14:paraId="379E3378" w14:textId="77777777" w:rsidR="007B6D25" w:rsidRPr="000805BB" w:rsidRDefault="007B6D25" w:rsidP="007B6D25">
      <w:pPr>
        <w:pStyle w:val="Heading3"/>
      </w:pPr>
      <w:r>
        <w:t>På det hela taget ansåg uppgiftslämnarna i de länder som omfattades av undersökningen att Efsi var viktigt när det gäller att stödja strategiska investeringsprojekt (de valda svarsalternativen sträckte sig från relativt viktigt till mycket viktigt).</w:t>
      </w:r>
    </w:p>
    <w:p w14:paraId="4B295CF5" w14:textId="77777777" w:rsidR="007B6D25" w:rsidRPr="000805BB" w:rsidRDefault="007B6D25" w:rsidP="007B6D25">
      <w:pPr>
        <w:rPr>
          <w:lang w:val="en-GB"/>
        </w:rPr>
      </w:pPr>
    </w:p>
    <w:p w14:paraId="0CDFFF18" w14:textId="77777777" w:rsidR="007B6D25" w:rsidRPr="000805BB" w:rsidRDefault="007B6D25" w:rsidP="007B6D25">
      <w:pPr>
        <w:pStyle w:val="Heading3"/>
      </w:pPr>
      <w:r>
        <w:t xml:space="preserve">Under intervjuerna i Polen angav berörda parter att Efsi hade använts framgångsrikt inom olika sektorer i landet, vilket visade att fonden åtnjöt ett gott anseende som ett lockande sätt att få tillgång till finansiering på områdena tillverkning, energi, livsmedel, bankverksamhet, ny teknik och utbildning. Vidare påpekades att polska riskkapitalfonder för </w:t>
      </w:r>
      <w:r w:rsidR="00491B3E">
        <w:t>första gången hade investerat i </w:t>
      </w:r>
      <w:r>
        <w:t>uppstartsföretag med hög risk utanför sitt lands gränser inom ramen för Efsi.</w:t>
      </w:r>
    </w:p>
    <w:p w14:paraId="0849F844" w14:textId="77777777" w:rsidR="007B6D25" w:rsidRPr="000805BB" w:rsidRDefault="007B6D25" w:rsidP="007B6D25">
      <w:pPr>
        <w:rPr>
          <w:lang w:val="en-GB"/>
        </w:rPr>
      </w:pPr>
    </w:p>
    <w:p w14:paraId="18C5F331" w14:textId="77777777" w:rsidR="007B6D25" w:rsidRPr="000805BB" w:rsidRDefault="007B6D25" w:rsidP="007B6D25">
      <w:pPr>
        <w:pStyle w:val="Heading3"/>
      </w:pPr>
      <w:r>
        <w:t>Spanska berörda parter noterade att fonden hade varit till nytta för en rad olika ekonomiska sektorer, bl.a. transport, energi, miljö och vaccinutveckling. Effekterna var särskilt stora i fråga om den rättvisa omställningen samt forskning och innovation. Utvidgningen av tillämpnings</w:t>
      </w:r>
      <w:r w:rsidR="00491B3E">
        <w:softHyphen/>
      </w:r>
      <w:r>
        <w:t>området för Efsi 2.0 sågs som något positivt.</w:t>
      </w:r>
    </w:p>
    <w:p w14:paraId="7D0F51E6" w14:textId="77777777" w:rsidR="007B6D25" w:rsidRPr="000805BB" w:rsidRDefault="007B6D25" w:rsidP="007B6D25">
      <w:pPr>
        <w:tabs>
          <w:tab w:val="left" w:pos="567"/>
        </w:tabs>
        <w:ind w:left="567" w:hanging="567"/>
        <w:rPr>
          <w:lang w:val="en-GB"/>
        </w:rPr>
      </w:pPr>
    </w:p>
    <w:p w14:paraId="4FC5E01C" w14:textId="77777777" w:rsidR="007B6D25" w:rsidRPr="000805BB" w:rsidRDefault="007B6D25" w:rsidP="007B6D25">
      <w:pPr>
        <w:pStyle w:val="Heading3"/>
      </w:pPr>
      <w:r>
        <w:t>I Italien hade betydande investeringar i gas- och elsektorerna, som kunnat göras tack vare Efsi, varit centrala i att säkerställa landets oberoende på energiområdet. Fondens långsiktiga inriktning var viktig, och i den rådande globala situationen var behovet av projektet tydligt: det gjorde det möjligt att sänka energikostnaderna, vilket kommit att bli strategiskt betydelsefullt.</w:t>
      </w:r>
    </w:p>
    <w:p w14:paraId="7533803D" w14:textId="77777777" w:rsidR="007B6D25" w:rsidRPr="000805BB" w:rsidRDefault="007B6D25" w:rsidP="007B6D25">
      <w:pPr>
        <w:rPr>
          <w:lang w:val="en-GB"/>
        </w:rPr>
      </w:pPr>
    </w:p>
    <w:p w14:paraId="53CB9DD8" w14:textId="77777777" w:rsidR="007B6D25" w:rsidRPr="000805BB" w:rsidRDefault="007B6D25" w:rsidP="007B6D25">
      <w:pPr>
        <w:pStyle w:val="Heading3"/>
      </w:pPr>
      <w:r>
        <w:t>Ett problem som lyftes fram i Italien och andra länder med historiska geografiska klyftor var att de regioner som fick mindre investeringar också var de som hade det svårare att hantera omställningen av sina produktions- och industrisystem och som skulle behöva mer medel för att kunna hantera dem.</w:t>
      </w:r>
    </w:p>
    <w:p w14:paraId="457340B5" w14:textId="77777777" w:rsidR="007B6D25" w:rsidRPr="000805BB" w:rsidRDefault="007B6D25" w:rsidP="007B6D25">
      <w:pPr>
        <w:rPr>
          <w:lang w:val="en-GB"/>
        </w:rPr>
      </w:pPr>
    </w:p>
    <w:p w14:paraId="71864667" w14:textId="77777777" w:rsidR="007B6D25" w:rsidRPr="000805BB" w:rsidRDefault="007B6D25" w:rsidP="007B6D25">
      <w:pPr>
        <w:pStyle w:val="Heading3"/>
      </w:pPr>
      <w:r>
        <w:t>I Rumänien visade investeringar i programvaruföretag vilken betydelse Efsi hade, inte bara för det stödmottagande landets ekonomiska och sociala resultat, uta</w:t>
      </w:r>
      <w:r w:rsidR="00491B3E">
        <w:t>n också för Europas ställning i </w:t>
      </w:r>
      <w:r>
        <w:t>fråga om forskning och utveckling. Investeringsstöd och tekniskt stöd till universitet var en viktig del av Efsis forsknings- och innovationsprioriteringar.</w:t>
      </w:r>
    </w:p>
    <w:p w14:paraId="4747D7C7" w14:textId="77777777" w:rsidR="00491B3E" w:rsidRDefault="00491B3E">
      <w:pPr>
        <w:spacing w:after="160" w:line="259" w:lineRule="auto"/>
        <w:jc w:val="left"/>
        <w:rPr>
          <w:lang w:val="en-GB"/>
        </w:rPr>
      </w:pPr>
      <w:r>
        <w:rPr>
          <w:lang w:val="en-GB"/>
        </w:rPr>
        <w:br w:type="page"/>
      </w:r>
    </w:p>
    <w:p w14:paraId="2A2DB899" w14:textId="77777777" w:rsidR="007B6D25" w:rsidRPr="000805BB" w:rsidRDefault="007B6D25" w:rsidP="007B6D25">
      <w:pPr>
        <w:pStyle w:val="Heading3"/>
      </w:pPr>
      <w:r>
        <w:lastRenderedPageBreak/>
        <w:t>I Spanien var deltagarna eniga om Efsis additionalitet, särskilt för små och medelstora företag och den sociala ekonomin, i synnerhet för mindre företag för vilka det var särskilt svårt att anskaffa medel. Det uppgavs att många av stödmottagarna inte skulle ha kunnat genomföra sina projekt utan Efsi-stöd. Liksom i andra länder konstaterade man dock att det saknades förfaranden för att mäta additionaliteten samt indikatorer för inverkan på sysselsättningen. De flesta ansåg att Efsi bidrog till att göra ekonomin mer resilient och till att mildra finanskrisens effekter. Utan fonden skulle många små och medelstora företag ha gått under på grund av de ekonomiska chocker de utsattes för.</w:t>
      </w:r>
    </w:p>
    <w:p w14:paraId="370F8E1D" w14:textId="77777777" w:rsidR="007B6D25" w:rsidRPr="00491B3E" w:rsidRDefault="007B6D25" w:rsidP="007B6D25">
      <w:pPr>
        <w:ind w:left="567" w:hanging="567"/>
        <w:rPr>
          <w:sz w:val="16"/>
          <w:szCs w:val="16"/>
          <w:lang w:val="en-GB"/>
        </w:rPr>
      </w:pPr>
    </w:p>
    <w:p w14:paraId="6ACBC1C7" w14:textId="77777777" w:rsidR="007B6D25" w:rsidRPr="000805BB" w:rsidRDefault="007B6D25" w:rsidP="007B6D25">
      <w:pPr>
        <w:pStyle w:val="Heading3"/>
      </w:pPr>
      <w:r>
        <w:t>I alla länder var majoritetens bedömning av Efsis inverkan på konvergensen mellan länder och mellan regioner i samma land antingen att den hade varit begränsad eller att det inte fanns belägg för någon inverkan.</w:t>
      </w:r>
    </w:p>
    <w:p w14:paraId="25D5E7EE" w14:textId="77777777" w:rsidR="007B6D25" w:rsidRPr="00491B3E" w:rsidRDefault="007B6D25" w:rsidP="00491B3E">
      <w:pPr>
        <w:ind w:left="567" w:hanging="567"/>
        <w:rPr>
          <w:sz w:val="16"/>
          <w:szCs w:val="16"/>
          <w:lang w:val="en-GB"/>
        </w:rPr>
      </w:pPr>
    </w:p>
    <w:p w14:paraId="1A2F5A06" w14:textId="77777777" w:rsidR="007B6D25" w:rsidRPr="000805BB" w:rsidRDefault="007B6D25" w:rsidP="007B6D25">
      <w:pPr>
        <w:pStyle w:val="Heading2"/>
        <w:keepNext/>
        <w:keepLines/>
      </w:pPr>
      <w:r>
        <w:rPr>
          <w:b/>
        </w:rPr>
        <w:t>Det civila samhällets deltagande</w:t>
      </w:r>
    </w:p>
    <w:p w14:paraId="259D5360" w14:textId="77777777" w:rsidR="007B6D25" w:rsidRPr="00491B3E" w:rsidRDefault="007B6D25" w:rsidP="007B6D25">
      <w:pPr>
        <w:pStyle w:val="Heading3"/>
        <w:keepNext/>
        <w:keepLines/>
        <w:numPr>
          <w:ilvl w:val="0"/>
          <w:numId w:val="0"/>
        </w:numPr>
        <w:rPr>
          <w:sz w:val="16"/>
          <w:szCs w:val="16"/>
          <w:lang w:val="en-GB"/>
        </w:rPr>
      </w:pPr>
    </w:p>
    <w:p w14:paraId="1F945063" w14:textId="77777777" w:rsidR="007B6D25" w:rsidRPr="000805BB" w:rsidRDefault="007B6D25" w:rsidP="007B6D25">
      <w:pPr>
        <w:pStyle w:val="Heading3"/>
      </w:pPr>
      <w:r>
        <w:t>Generellt sett var de företrädare för det civila samhället som tillfrågades kluvna i fråga om kännedomen om Efsi i deras organisationer. Logiskt nog sade näringslivsorganisationer och finansinstitut att de var informerade, i större eller mindre utsträckning, medan fackföreningar och de flesta andra civilsamhällesorganisationer uppgav att de hade fått föga eller ingen information. Majoriteten ansåg att synligheten var otillräcklig, vilket till och med hade lett till att företag som fick stöd genom finansiella intermediärer i vissa fall inte kände till att de fick sina krediter inom ramen för Efsi. Det konstaterades dock att EIB:s nationella avdelningar spelade en aktiv roll i sökandet efter potentiella stödmottagare, i samarbete med arbetsgivar</w:t>
      </w:r>
      <w:r w:rsidR="00491B3E">
        <w:softHyphen/>
      </w:r>
      <w:r>
        <w:t>organisationer, handelskamrar och offentliga myndigheter, vilket utgjorde en genomgripande förändring i EIB:s verksamhetsparadigm.</w:t>
      </w:r>
    </w:p>
    <w:p w14:paraId="17DC9685" w14:textId="77777777" w:rsidR="007B6D25" w:rsidRPr="00491B3E" w:rsidRDefault="007B6D25" w:rsidP="00491B3E">
      <w:pPr>
        <w:ind w:left="567" w:hanging="567"/>
        <w:rPr>
          <w:sz w:val="16"/>
          <w:szCs w:val="16"/>
          <w:lang w:val="en-GB"/>
        </w:rPr>
      </w:pPr>
    </w:p>
    <w:p w14:paraId="04873AC5" w14:textId="77777777" w:rsidR="007B6D25" w:rsidRPr="000805BB" w:rsidRDefault="007B6D25" w:rsidP="007B6D25">
      <w:pPr>
        <w:pStyle w:val="Heading3"/>
      </w:pPr>
      <w:r>
        <w:t xml:space="preserve">Med undantag för Polen, där arbetsmarknadens parter i allmänhet var informerade om Efsi, hade det inte förekommit några formella samrådsprocesser med arbetsmarknadens parter och det civila samhällets organisationer kring inrättandet eller genomförandet av Efsi eller Efsi 2.0. Avsaknaden av samrådsorgan eller samrådsprocesser begränsade följdriktigt deras synlighet och antalet potentiella stödmottagare. </w:t>
      </w:r>
    </w:p>
    <w:p w14:paraId="52E651DC" w14:textId="77777777" w:rsidR="007B6D25" w:rsidRPr="00491B3E" w:rsidRDefault="007B6D25" w:rsidP="00491B3E">
      <w:pPr>
        <w:ind w:left="567" w:hanging="567"/>
        <w:rPr>
          <w:sz w:val="16"/>
          <w:szCs w:val="16"/>
          <w:lang w:val="en-GB"/>
        </w:rPr>
      </w:pPr>
    </w:p>
    <w:p w14:paraId="68DF4AE6" w14:textId="77777777" w:rsidR="007B6D25" w:rsidRPr="000805BB" w:rsidRDefault="007B6D25" w:rsidP="007B6D25">
      <w:pPr>
        <w:pStyle w:val="Heading3"/>
      </w:pPr>
      <w:r>
        <w:t xml:space="preserve">Vid besöken i Spanien och Italien konstaterades att informationsluckor begränsade potentiella stödmottagares tillgång till information. Dessa brister begränsade också tillgången till EIAH och EIPP, vars användbarhet var allmänt erkänd. I Rumänien noterades att det civila samhällets deltagande inte hade anpassats till de olika intressegrupperna. I Polen var de hinder som nämndes främst institutionella, och härrörde från den befintliga modellen för social dialog. </w:t>
      </w:r>
    </w:p>
    <w:p w14:paraId="59493B8F" w14:textId="77777777" w:rsidR="007B6D25" w:rsidRPr="00491B3E" w:rsidRDefault="007B6D25" w:rsidP="00491B3E">
      <w:pPr>
        <w:ind w:left="567" w:hanging="567"/>
        <w:rPr>
          <w:sz w:val="16"/>
          <w:szCs w:val="16"/>
          <w:lang w:val="en-GB"/>
        </w:rPr>
      </w:pPr>
    </w:p>
    <w:p w14:paraId="697ECD44" w14:textId="77777777" w:rsidR="007B6D25" w:rsidRPr="000805BB" w:rsidRDefault="007B6D25" w:rsidP="007B6D25">
      <w:pPr>
        <w:pStyle w:val="Heading3"/>
      </w:pPr>
      <w:r>
        <w:t>Efsi ansågs allmänt vara en tekniskt komplex fond. Uppgiftslämnare i Italien, Irland och Rumänien menade att majoriteten av det civila samhällets organisationer inte hade tillräcklig sakkunskap för att kunna framföra välgrundade åsikter om finansieringsmekanismerna och genomförandet av dessa. Behovet av att främja kapacitet och sakkunskap i fråga om finansieringsinstrument bland det civila samhällets organisati</w:t>
      </w:r>
      <w:r w:rsidR="00491B3E">
        <w:t>oner underströks. Vid besöken i </w:t>
      </w:r>
      <w:r>
        <w:t>Irland, Italien, Spanien och Rumänien framhöll dock företrädarna för arbetsmarknadens parter och det civila samhällets organisationer att de fullt ut skulle kunna kommentera målen för och den allmänna inriktningen hos EIB:s och Efsis investeringsstrategier samt bedöma resultaten om de fick tillräckligt med information.</w:t>
      </w:r>
    </w:p>
    <w:p w14:paraId="40958E42" w14:textId="77777777" w:rsidR="007B6D25" w:rsidRPr="000805BB" w:rsidRDefault="007B6D25" w:rsidP="007B6D25">
      <w:pPr>
        <w:pStyle w:val="Heading1"/>
        <w:keepNext/>
        <w:keepLines/>
      </w:pPr>
      <w:r>
        <w:rPr>
          <w:b/>
        </w:rPr>
        <w:lastRenderedPageBreak/>
        <w:t>Rekommendationer</w:t>
      </w:r>
    </w:p>
    <w:p w14:paraId="447F4AAD" w14:textId="77777777" w:rsidR="007B6D25" w:rsidRPr="000805BB" w:rsidRDefault="007B6D25" w:rsidP="007B6D25">
      <w:pPr>
        <w:keepNext/>
        <w:keepLines/>
        <w:rPr>
          <w:lang w:val="en-GB"/>
        </w:rPr>
      </w:pPr>
    </w:p>
    <w:p w14:paraId="62609A60" w14:textId="77777777" w:rsidR="007B6D25" w:rsidRPr="000805BB" w:rsidRDefault="007B6D25" w:rsidP="007B6D25">
      <w:pPr>
        <w:pStyle w:val="Heading2"/>
      </w:pPr>
      <w:r>
        <w:t>Kommissionen bör verka för ett lagstiftningsinitiativ med syftet att se till att arbetsmarknadens parter och det civila samhällets organisationer är delaktiga i inrättandet och genomförandet av EU:s investeringsprogram, särskilt InvestEU, Efsis efterföljare. Även om EESK och Europeiska regionkommittén är företrädda i InvestEU:s rådgivande nämnd är detta förslag särskilt nödvändigt, med tanke på att man i kapitel V om styrformer i InvestEU-förordningen</w:t>
      </w:r>
      <w:r w:rsidRPr="000805BB">
        <w:rPr>
          <w:rStyle w:val="FootnoteReference"/>
          <w:lang w:val="en-GB"/>
        </w:rPr>
        <w:footnoteReference w:id="6"/>
      </w:r>
      <w:r>
        <w:t xml:space="preserve"> har strukit Efsi-förordningens omnämnanden av regelbundna samråd på EU-nivå med det civila samhällets organisationer och andra relevanta aktörer om inriktningen på och genomförandet av fondens investeringsstrategi</w:t>
      </w:r>
      <w:r w:rsidRPr="000805BB">
        <w:rPr>
          <w:rStyle w:val="FootnoteReference"/>
          <w:lang w:val="en-GB"/>
        </w:rPr>
        <w:footnoteReference w:id="7"/>
      </w:r>
      <w:r>
        <w:t>.</w:t>
      </w:r>
    </w:p>
    <w:p w14:paraId="18FA3050" w14:textId="77777777" w:rsidR="007B6D25" w:rsidRPr="000805BB" w:rsidRDefault="007B6D25" w:rsidP="007B6D25">
      <w:pPr>
        <w:pStyle w:val="Heading2"/>
        <w:numPr>
          <w:ilvl w:val="0"/>
          <w:numId w:val="0"/>
        </w:numPr>
        <w:rPr>
          <w:lang w:val="en-GB"/>
        </w:rPr>
      </w:pPr>
    </w:p>
    <w:p w14:paraId="511C26FB" w14:textId="77777777" w:rsidR="007B6D25" w:rsidRPr="000805BB" w:rsidRDefault="007B6D25" w:rsidP="007B6D25">
      <w:pPr>
        <w:pStyle w:val="Heading2"/>
      </w:pPr>
      <w:r>
        <w:t>Det organiserade civila samhällets deltagande i InvestEU bör också säkerställas på nationell nivå genom att det inrättas rådgivande nämnder bestående av organisationer som företräder arbetsmarknadens parter och det civila samhället samt berörda myndigheter, även lokala och regionala, EIB och finansinstitut. Man bör också inrätta nationella rådgivande organ som integrerar EU:s alla investeringsprogram och bidrar till att säkerställa deras samstämmighet och additionalitet. Dessa organ skulle vara kopplade till de rådgivande nämnder som redan finns för struktur- och sammanhållningsfonderna och de som ska inrättas, särskilt för InvestEU och de nationella planerna för återhämtning och resiliens. God praxis, såsom den som tas upp i EESK:s nyligen antagna resolution om de nationella planerna för återhämtning och resiliens</w:t>
      </w:r>
      <w:r w:rsidRPr="000805BB">
        <w:rPr>
          <w:rStyle w:val="FootnoteReference"/>
          <w:lang w:val="en-GB"/>
        </w:rPr>
        <w:footnoteReference w:id="8"/>
      </w:r>
      <w:r>
        <w:t xml:space="preserve">, bör beaktas. De nationella ekonomiska och sociala råden bör ha en framträdande roll i dessa samrådsprocesser. </w:t>
      </w:r>
    </w:p>
    <w:p w14:paraId="4D8D8DD2" w14:textId="77777777" w:rsidR="007B6D25" w:rsidRPr="000805BB" w:rsidRDefault="007B6D25" w:rsidP="007B6D25">
      <w:pPr>
        <w:rPr>
          <w:lang w:val="en-GB"/>
        </w:rPr>
      </w:pPr>
    </w:p>
    <w:p w14:paraId="4A869FBC" w14:textId="77777777" w:rsidR="007B6D25" w:rsidRPr="000805BB" w:rsidRDefault="007B6D25" w:rsidP="007B6D25">
      <w:pPr>
        <w:pStyle w:val="Heading2"/>
      </w:pPr>
      <w:r>
        <w:t xml:space="preserve">I sin nyligen antagna resolution om de nationella planerna för återhämtning och resiliens uppmanar EESK:s plenarförsamling till att man i reformprocessen för den europeiska planeringsterminen främjar ett faktiskt och gott deltagande av det </w:t>
      </w:r>
      <w:r w:rsidR="00491B3E">
        <w:t>organiserade civila samhället i </w:t>
      </w:r>
      <w:r>
        <w:t>EU:s ekonomiska styrning, genom att man antar ett direktiv eller en förordning. Detta skulle utgöra ramen för det förslag som läggs fram i denna rapport. Efsis och InvestEU:s ytterst tekniska karaktär har varit ett av de argument som använts för att motivera det organiserade civila samhällets begränsade deltagande i deras inrättande och genomförande. Även om man bör skilja mellan deltagande i vägledning kring och genomförande av investeringsstrategier och deltagande i tekniska och kommersiella beslut, vilket EESK inte efterlyser, är det viktigt att stärka civilsamhällesorganisationernas kapacitet när det gäller investeringsstrategier och finansieringsinstrument. Kommissionen och EIB bör främja detta, inom eller utanför InvestEU-programmet.</w:t>
      </w:r>
    </w:p>
    <w:p w14:paraId="29AABF19" w14:textId="77777777" w:rsidR="007B6D25" w:rsidRPr="000805BB" w:rsidRDefault="007B6D25" w:rsidP="007B6D25">
      <w:pPr>
        <w:rPr>
          <w:lang w:val="en-GB"/>
        </w:rPr>
      </w:pPr>
    </w:p>
    <w:p w14:paraId="1671E6B8" w14:textId="77777777" w:rsidR="007B6D25" w:rsidRPr="000805BB" w:rsidRDefault="007B6D25" w:rsidP="007B6D25">
      <w:pPr>
        <w:pStyle w:val="Heading2"/>
      </w:pPr>
      <w:r>
        <w:lastRenderedPageBreak/>
        <w:t>Det civila samhällets organisationer påpekade att myndigheterna i vissa länder inte hade uppnått tillräcklig teknisk kompetens för att kunna genomföra eller stödja genomförandet av EU:s olika investeringsprogram, och att de i andra länder hade drabbats av en förlust av humankapital till följd av krisen 2008–2012 och åtstramningspolitiken, som de ännu inte hade återhämtat sig från. Även om myndigheternas inblandning är begränsad i program såsom Efsi och InvestEU är det viktigt att deras tekniska kapacitet stärks där det behövs, i sy</w:t>
      </w:r>
      <w:r w:rsidR="00491B3E">
        <w:t>nnerhet om komplementariteten i </w:t>
      </w:r>
      <w:r>
        <w:t>förhållandet till andra investeringsprogram och samstämmigheten med de övergripande målen i de europeiska och nationella investeringsstrategierna ska kunna stärkas.</w:t>
      </w:r>
    </w:p>
    <w:p w14:paraId="2AACE302" w14:textId="77777777" w:rsidR="007B6D25" w:rsidRPr="00491B3E" w:rsidRDefault="007B6D25" w:rsidP="007B6D25">
      <w:pPr>
        <w:rPr>
          <w:sz w:val="16"/>
          <w:szCs w:val="16"/>
          <w:lang w:val="en-GB"/>
        </w:rPr>
      </w:pPr>
    </w:p>
    <w:p w14:paraId="458D861D" w14:textId="77777777" w:rsidR="007B6D25" w:rsidRPr="000805BB" w:rsidRDefault="007B6D25" w:rsidP="007B6D25">
      <w:pPr>
        <w:pStyle w:val="Heading2"/>
      </w:pPr>
      <w:r>
        <w:t>Mot bakgrund av de stora utmaningar som EU står inför – bl</w:t>
      </w:r>
      <w:r w:rsidR="00491B3E">
        <w:t>.a. covid-19-pandemin, kriget i </w:t>
      </w:r>
      <w:r>
        <w:t>Ukraina och dess geopolitiska konsekvenser – framhöll deltagarna behovet av att EU upprätt</w:t>
      </w:r>
      <w:r w:rsidR="00491B3E">
        <w:softHyphen/>
      </w:r>
      <w:r>
        <w:t>håller, och till och med stärker, sitt åtagande att främja investeringar och se till att investeringar inriktas på att uppnå målen för den gröna given – att påskynda energiomställningen – och den digitala omställningen, med hjälp av rättvisa omställningar, och på att stärka den sociala sammanhållningen. Denna rekommendation hänger också samman med fortsättningen och förstärkningen av investeringsprogram såsom InvestEU, NextGenerationEU och REPowerEU. Den sociala dialogen spelar en central roll när det handlar om att koppla ihop dessa processer med investeringspolitiken.</w:t>
      </w:r>
    </w:p>
    <w:p w14:paraId="615EDDD3" w14:textId="77777777" w:rsidR="007B6D25" w:rsidRPr="00491B3E" w:rsidRDefault="007B6D25" w:rsidP="007B6D25">
      <w:pPr>
        <w:rPr>
          <w:sz w:val="16"/>
          <w:szCs w:val="16"/>
          <w:lang w:val="en-GB"/>
        </w:rPr>
      </w:pPr>
    </w:p>
    <w:p w14:paraId="0F70D8F2" w14:textId="77777777" w:rsidR="007B6D25" w:rsidRPr="000805BB" w:rsidRDefault="007B6D25" w:rsidP="007B6D25">
      <w:pPr>
        <w:pStyle w:val="Heading2"/>
      </w:pPr>
      <w:r>
        <w:t>Alla civilsamhällesorganisationer som tillfrågades var eniga om att kommissionen och EIB måste uppmanas att i så stor utsträckning som möjligt, i linje med vad som redan börjat ske</w:t>
      </w:r>
      <w:r w:rsidRPr="000805BB">
        <w:rPr>
          <w:rStyle w:val="FootnoteReference"/>
          <w:lang w:val="en-GB"/>
        </w:rPr>
        <w:footnoteReference w:id="9"/>
      </w:r>
      <w:r>
        <w:t>, stärka komplementariteten och synergierna mellan InvestEU och EU:s övriga investerings</w:t>
      </w:r>
      <w:r w:rsidR="00491B3E">
        <w:softHyphen/>
      </w:r>
      <w:r>
        <w:t>program: NextGenerationEU och dess nationella planer för återhämtning och resiliens, REPowerEU, struktur- och sammanhållningsfonderna osv. EESK håller med om att InvestEU:s mål bör vara anpassade till EU:s övergripande investeringspolitiska mål och de nationella investeringsprioriteringarna. Detta får inte urholka en av de främsta styrkorna – som härrör från Efsi – nämligen kapaciteten för offentlig-privata partnerskap på finans- och kapitalmarknaderna. Flexibilitet och anpassningsförmåga vid genomförandet av dessa investeringsprogram är avgörande för att säkerställa komplementaritet.</w:t>
      </w:r>
    </w:p>
    <w:p w14:paraId="5B4FF694" w14:textId="77777777" w:rsidR="007B6D25" w:rsidRPr="00491B3E" w:rsidRDefault="007B6D25" w:rsidP="00491B3E">
      <w:pPr>
        <w:rPr>
          <w:sz w:val="16"/>
          <w:szCs w:val="16"/>
          <w:lang w:val="en-GB"/>
        </w:rPr>
      </w:pPr>
    </w:p>
    <w:p w14:paraId="25B382AE" w14:textId="77777777" w:rsidR="007B6D25" w:rsidRPr="000805BB" w:rsidRDefault="007B6D25" w:rsidP="007B6D25">
      <w:pPr>
        <w:pStyle w:val="Heading2"/>
      </w:pPr>
      <w:r>
        <w:t>De flesta civilsamhällesorganisationer som tillfrågades ansåg att man bör inrätta instrument för att bedöma effekterna av dessa program på enskilda personers och lokalsamhällens arbets- och levnadsvillkor samt på konvergensen mellan regionerna. Kvalifikationskraven för projekt bör inbegripa skalor för efterlevnaden av arbetsrätten, EU:s sysselsättningspolitik och Europeiska unionens stadga om de grundläggande rättigheterna. Ökade medel för sociala investerings</w:t>
      </w:r>
      <w:r w:rsidR="00491B3E">
        <w:softHyphen/>
      </w:r>
      <w:r>
        <w:t xml:space="preserve">projekt och för utbildning och kapacitetsuppbyggnad bör främjas. Likaså bör en mekanism inrättas för att mäta investeringarnas territoriella effekter i syfte att se till att InvestEU också bidrar till regional utveckling. Detta bör ske i överensstämmelse med beaktandet av de positiva marknadskomponenterna i denna modell för offentlig-privata partnerskap. </w:t>
      </w:r>
    </w:p>
    <w:p w14:paraId="72A90ACD" w14:textId="77777777" w:rsidR="007B6D25" w:rsidRPr="00491B3E" w:rsidRDefault="007B6D25" w:rsidP="007B6D25">
      <w:pPr>
        <w:rPr>
          <w:sz w:val="16"/>
          <w:szCs w:val="16"/>
          <w:lang w:val="en-GB"/>
        </w:rPr>
      </w:pPr>
    </w:p>
    <w:p w14:paraId="5A104026" w14:textId="77777777" w:rsidR="007B6D25" w:rsidRPr="000805BB" w:rsidRDefault="007B6D25" w:rsidP="007B6D25">
      <w:pPr>
        <w:pStyle w:val="Heading2"/>
      </w:pPr>
      <w:r>
        <w:t>Närmare information om de finansiella, ekonomiska och sociala resultaten av investeringarna inom ramen för Efsi och InvestEU kan bidra till att effektivisera dessa program. En aspekt som bör analyseras är andelen nödlidande lån och deras samband med olika typer av sektorer, företag och investeringsarrangemang.</w:t>
      </w:r>
    </w:p>
    <w:p w14:paraId="3C79DE60" w14:textId="77777777" w:rsidR="007B6D25" w:rsidRPr="000805BB" w:rsidRDefault="007B6D25" w:rsidP="007B6D25">
      <w:pPr>
        <w:pStyle w:val="Heading2"/>
      </w:pPr>
      <w:r>
        <w:lastRenderedPageBreak/>
        <w:t>Meningsskiljaktigheterna kring additionaliteten hos de investeringar som finansierats genom Efsi innebär att det skulle behöva inrättas instrument för att mäta additionaliteten, så att den kan bedömas mer exakt.</w:t>
      </w:r>
    </w:p>
    <w:p w14:paraId="2A54EA49" w14:textId="77777777" w:rsidR="007B6D25" w:rsidRPr="00491B3E" w:rsidRDefault="007B6D25" w:rsidP="007B6D25">
      <w:pPr>
        <w:pStyle w:val="ListParagraph"/>
        <w:ind w:left="0"/>
        <w:rPr>
          <w:sz w:val="16"/>
          <w:szCs w:val="16"/>
        </w:rPr>
      </w:pPr>
    </w:p>
    <w:p w14:paraId="16ACAB18" w14:textId="77777777" w:rsidR="007B6D25" w:rsidRPr="000805BB" w:rsidRDefault="007B6D25" w:rsidP="007B6D25">
      <w:pPr>
        <w:pStyle w:val="Heading2"/>
      </w:pPr>
      <w:r>
        <w:t>Det civila samhällets organisationer framhöll att det är mycket viktigt att de som fattar beslut om InvestEU på ett effektivt sätt tillämpar indikatorerna för investeringarnas effekter på lokala och regionala samhällen och deras konvergens eller divergens. EESK uppmanar kommissionen och EIB att fundera på hur man på ett väsentligt sätt kan främja synergier mellan InvestEU och struktur- och sammanhållningsfonderna för att komma till rätta med den snedvridning till förmån för mer utvecklade regioner som konstaterats i samband med genomförandet av Efsi.</w:t>
      </w:r>
    </w:p>
    <w:p w14:paraId="792C7083" w14:textId="77777777" w:rsidR="007B6D25" w:rsidRPr="00491B3E" w:rsidRDefault="007B6D25" w:rsidP="007B6D25">
      <w:pPr>
        <w:pStyle w:val="ListParagraph"/>
        <w:ind w:left="0"/>
        <w:rPr>
          <w:sz w:val="16"/>
          <w:szCs w:val="16"/>
        </w:rPr>
      </w:pPr>
    </w:p>
    <w:p w14:paraId="38E545A8" w14:textId="77777777" w:rsidR="007B6D25" w:rsidRPr="000805BB" w:rsidRDefault="007B6D25" w:rsidP="007B6D25">
      <w:pPr>
        <w:pStyle w:val="Heading2"/>
      </w:pPr>
      <w:r>
        <w:t>Det civila samhällets organisationer var överens om att små och medelstora företag och företag inom den sociala ekonomin bör vara prioriterade målgrupper för finansiering inom ramen för InvestEU. Dessa företags kapacitet att delta fullt ut på de viktigaste investeringsområdena som EU främjar bör understödjas. Ett sätt att åstadkomma detta skulle vara genom EIAH och EIPP. Baserat på de åsikter som inhämtats vore det också önskvärt att fastställa en enhetlig definition på EU-nivå av begreppen små och medelstora företag, midcap-bolag och företag inom den sociala ekonomin. En förenkling av de administrativa formaliteterna i InvestEU:s ansöknings- och motiveringsprocesser, eller tillhandahållande av ändamålsenligt stöd för att slutföra dem, skulle minska den administrativa bördan för mindre företag som när det gäller att genomföra dem har få resurser.</w:t>
      </w:r>
    </w:p>
    <w:p w14:paraId="4EADFF71" w14:textId="77777777" w:rsidR="007B6D25" w:rsidRPr="00491B3E" w:rsidRDefault="007B6D25" w:rsidP="007B6D25">
      <w:pPr>
        <w:pStyle w:val="ListParagraph"/>
        <w:ind w:left="0"/>
        <w:rPr>
          <w:sz w:val="16"/>
          <w:szCs w:val="16"/>
        </w:rPr>
      </w:pPr>
    </w:p>
    <w:p w14:paraId="042D81D9" w14:textId="77777777" w:rsidR="007B6D25" w:rsidRPr="000805BB" w:rsidRDefault="007B6D25" w:rsidP="007B6D25">
      <w:pPr>
        <w:pStyle w:val="Heading2"/>
      </w:pPr>
      <w:r>
        <w:t>Oberoende av de åsikter som uttrycktes under utvärderingen i fråga om de varierande nivåerna av användning av EIAH och EIPP vid genomförandet av Efsi i de olika länderna är den allmänna uppfattningen att båda instrumenten är mycket användbara och bör stärkas. EIAH bör spela en aktivare roll i projektens genomförandefas och ge råd till små och medelstora företag. Centrumet skulle också kunna bidra till finansiell utbildning för chefer för små och medelstora företag och för civilsamhällesorganisationerna själva, i samarbete med andra nationella organ. För detta skulle EIAH behöva mer resurser. Deltagandet av det civila samhällets organisationer och företrädare för olika sektorer skulle bidra positivt till fullgörandet av dess uppgifter.</w:t>
      </w:r>
    </w:p>
    <w:p w14:paraId="60DB159B" w14:textId="77777777" w:rsidR="007B6D25" w:rsidRPr="00491B3E" w:rsidRDefault="007B6D25" w:rsidP="007B6D25">
      <w:pPr>
        <w:pStyle w:val="ListParagraph"/>
        <w:ind w:left="0"/>
        <w:rPr>
          <w:sz w:val="16"/>
          <w:szCs w:val="16"/>
        </w:rPr>
      </w:pPr>
    </w:p>
    <w:p w14:paraId="4FD8C8DA" w14:textId="77777777" w:rsidR="00E2376B" w:rsidRPr="000805BB" w:rsidRDefault="007B6D25" w:rsidP="00874997">
      <w:pPr>
        <w:pStyle w:val="Heading2"/>
      </w:pPr>
      <w:r>
        <w:t>Mot bakgrund av den kritik som framförts av det civila samhällets organisationer angående graden av Efsis transparens och synlighet anser EESK att dessa två aspekter bör beaktas noggrant vid genomförandet av InvestEU. I detta syft</w:t>
      </w:r>
      <w:r w:rsidR="00491B3E">
        <w:t>e bör mer resurser investeras i </w:t>
      </w:r>
      <w:r>
        <w:t>kommunikation, för en specifik strategi, och potentialen i samrådsprocesserna med det civila samhället bör utnyttjas. Spektrumet av små och medelstora företag som informeras om programmets möjligheter måste breddas, alla stödmottagande företag bör göras medvetna om att den lånegaranti som de erhåller – ibland en del av den – kommer från EIB och EU, och detta framgångsrika EU-program bör göras mer känt för allmänheten.</w:t>
      </w:r>
    </w:p>
    <w:p w14:paraId="4A9E4277" w14:textId="77777777" w:rsidR="00874997" w:rsidRPr="00491B3E" w:rsidRDefault="00874997" w:rsidP="00491B3E">
      <w:pPr>
        <w:pStyle w:val="ListParagraph"/>
        <w:ind w:left="0"/>
        <w:rPr>
          <w:sz w:val="16"/>
          <w:szCs w:val="16"/>
        </w:rPr>
      </w:pPr>
    </w:p>
    <w:p w14:paraId="34689EF5" w14:textId="77777777" w:rsidR="00E2376B" w:rsidRPr="000805BB" w:rsidRDefault="7ABFEF8A" w:rsidP="00E2376B">
      <w:r>
        <w:t>Bryssel den 21 september 2022</w:t>
      </w:r>
    </w:p>
    <w:p w14:paraId="2CA6DAAC" w14:textId="77777777" w:rsidR="00E2376B" w:rsidRPr="00491B3E" w:rsidRDefault="00E2376B" w:rsidP="00491B3E">
      <w:pPr>
        <w:pStyle w:val="ListParagraph"/>
        <w:ind w:left="0"/>
        <w:rPr>
          <w:sz w:val="16"/>
          <w:szCs w:val="16"/>
        </w:rPr>
      </w:pPr>
    </w:p>
    <w:p w14:paraId="181FBEC5" w14:textId="77777777" w:rsidR="00E2376B" w:rsidRPr="00491B3E" w:rsidRDefault="00E2376B" w:rsidP="00491B3E">
      <w:pPr>
        <w:pStyle w:val="ListParagraph"/>
        <w:ind w:left="0"/>
        <w:rPr>
          <w:sz w:val="16"/>
          <w:szCs w:val="16"/>
        </w:rPr>
      </w:pPr>
    </w:p>
    <w:p w14:paraId="14E64D95" w14:textId="77777777" w:rsidR="00E2376B" w:rsidRPr="00491B3E" w:rsidRDefault="00E2376B" w:rsidP="00491B3E">
      <w:pPr>
        <w:pStyle w:val="ListParagraph"/>
        <w:ind w:left="0"/>
        <w:rPr>
          <w:sz w:val="16"/>
          <w:szCs w:val="16"/>
        </w:rPr>
      </w:pPr>
    </w:p>
    <w:p w14:paraId="623B0194" w14:textId="77777777" w:rsidR="004A3C7C" w:rsidRPr="00491B3E" w:rsidRDefault="004A3C7C" w:rsidP="00491B3E">
      <w:pPr>
        <w:pStyle w:val="ListParagraph"/>
        <w:ind w:left="0"/>
        <w:rPr>
          <w:sz w:val="16"/>
          <w:szCs w:val="16"/>
        </w:rPr>
      </w:pPr>
    </w:p>
    <w:p w14:paraId="0CB86A4D" w14:textId="77777777" w:rsidR="00E2376B" w:rsidRPr="000805BB" w:rsidRDefault="00CE153C" w:rsidP="000805BB">
      <w:pPr>
        <w:jc w:val="left"/>
      </w:pPr>
      <w:r>
        <w:t>Christa Schweng</w:t>
      </w:r>
      <w:r>
        <w:br/>
        <w:t>Europeiska ekonomiska och sociala kommitténs ordförande</w:t>
      </w:r>
    </w:p>
    <w:p w14:paraId="19D2D628" w14:textId="77777777" w:rsidR="00E2376B" w:rsidRPr="00491B3E" w:rsidRDefault="00E2376B" w:rsidP="00491B3E">
      <w:pPr>
        <w:pStyle w:val="ListParagraph"/>
        <w:ind w:left="0"/>
        <w:rPr>
          <w:sz w:val="16"/>
          <w:szCs w:val="16"/>
        </w:rPr>
      </w:pPr>
    </w:p>
    <w:p w14:paraId="486E6943" w14:textId="77777777" w:rsidR="00F53370" w:rsidRPr="004A3C7C" w:rsidRDefault="7ABFEF8A" w:rsidP="00DB7F50">
      <w:pPr>
        <w:jc w:val="center"/>
      </w:pPr>
      <w:r>
        <w:t>_____________</w:t>
      </w:r>
    </w:p>
    <w:sectPr w:rsidR="00F53370" w:rsidRPr="004A3C7C" w:rsidSect="001E74A1">
      <w:headerReference w:type="default" r:id="rId18"/>
      <w:footerReference w:type="default" r:id="rId19"/>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6F437" w14:textId="77777777" w:rsidR="00F2069F" w:rsidRDefault="00F2069F" w:rsidP="00F53370">
      <w:pPr>
        <w:spacing w:line="240" w:lineRule="auto"/>
      </w:pPr>
      <w:r>
        <w:separator/>
      </w:r>
    </w:p>
  </w:endnote>
  <w:endnote w:type="continuationSeparator" w:id="0">
    <w:p w14:paraId="4CE3B573" w14:textId="77777777" w:rsidR="00F2069F" w:rsidRDefault="00F2069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8E60"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2D720" w14:textId="27688BB9" w:rsidR="0084105C" w:rsidRPr="003065C9" w:rsidRDefault="0028396A" w:rsidP="0028396A">
    <w:pPr>
      <w:pStyle w:val="Footer"/>
      <w:jc w:val="left"/>
    </w:pPr>
    <w:r>
      <w:t xml:space="preserve">ECO/577 – EESC-2022-01290-00-00-RE-TRA (EN) </w:t>
    </w:r>
    <w:r>
      <w:fldChar w:fldCharType="begin"/>
    </w:r>
    <w:r>
      <w:instrText xml:space="preserve"> PAGE  \* Arabic  \* MERGEFORMAT </w:instrText>
    </w:r>
    <w:r>
      <w:fldChar w:fldCharType="separate"/>
    </w:r>
    <w:r w:rsidR="00B47498">
      <w:rPr>
        <w:noProof/>
      </w:rPr>
      <w:t>1</w:t>
    </w:r>
    <w:r>
      <w:fldChar w:fldCharType="end"/>
    </w:r>
    <w:r>
      <w:t>/</w:t>
    </w:r>
    <w:r>
      <w:fldChar w:fldCharType="begin"/>
    </w:r>
    <w:r>
      <w:instrText xml:space="preserve"> = </w:instrText>
    </w:r>
    <w:r w:rsidR="00B47498">
      <w:fldChar w:fldCharType="begin"/>
    </w:r>
    <w:r w:rsidR="00B47498">
      <w:instrText xml:space="preserve"> NUMPAGES </w:instrText>
    </w:r>
    <w:r w:rsidR="00B47498">
      <w:fldChar w:fldCharType="separate"/>
    </w:r>
    <w:r w:rsidR="00B47498">
      <w:rPr>
        <w:noProof/>
      </w:rPr>
      <w:instrText>11</w:instrText>
    </w:r>
    <w:r w:rsidR="00B47498">
      <w:rPr>
        <w:noProof/>
      </w:rPr>
      <w:fldChar w:fldCharType="end"/>
    </w:r>
    <w:r>
      <w:instrText xml:space="preserve"> - 2 </w:instrText>
    </w:r>
    <w:r>
      <w:fldChar w:fldCharType="separate"/>
    </w:r>
    <w:r w:rsidR="00B47498">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39947" w14:textId="77777777" w:rsidR="00F2069F" w:rsidRDefault="00F2069F" w:rsidP="00F53370">
      <w:pPr>
        <w:spacing w:line="240" w:lineRule="auto"/>
      </w:pPr>
      <w:r>
        <w:separator/>
      </w:r>
    </w:p>
  </w:footnote>
  <w:footnote w:type="continuationSeparator" w:id="0">
    <w:p w14:paraId="7D5C0A89" w14:textId="77777777" w:rsidR="00F2069F" w:rsidRDefault="00F2069F" w:rsidP="00F53370">
      <w:pPr>
        <w:spacing w:line="240" w:lineRule="auto"/>
      </w:pPr>
      <w:r>
        <w:continuationSeparator/>
      </w:r>
    </w:p>
  </w:footnote>
  <w:footnote w:id="1">
    <w:p w14:paraId="4F0D307D" w14:textId="77777777" w:rsidR="007B6D25" w:rsidRPr="00B25F25" w:rsidRDefault="007B6D25" w:rsidP="007B6D25">
      <w:pPr>
        <w:pStyle w:val="FootnoteText"/>
      </w:pPr>
      <w:r>
        <w:rPr>
          <w:rStyle w:val="FootnoteReference"/>
        </w:rPr>
        <w:footnoteRef/>
      </w:r>
      <w:r>
        <w:t xml:space="preserve"> </w:t>
      </w:r>
      <w:r>
        <w:tab/>
      </w:r>
      <w:r>
        <w:rPr>
          <w:color w:val="333333"/>
          <w:shd w:val="clear" w:color="auto" w:fill="FFFFFF"/>
        </w:rPr>
        <w:t>Förordning (EU) 2017/2396 av den 13 december 2017 om ändring av förordningarna (EU) nr 1316/2013 och (EU) 2015/1017 vad gäller förlängningen av löptiden för Europeiska fonden för strategiska investeringar liksom införandet av tekniska förstärkningar av den fonden och Europeiska centrumet för investeringsrådgivning.</w:t>
      </w:r>
    </w:p>
  </w:footnote>
  <w:footnote w:id="2">
    <w:p w14:paraId="480A1C07" w14:textId="77777777" w:rsidR="007B6D25" w:rsidRPr="00B25F25" w:rsidRDefault="007B6D25" w:rsidP="007B6D25">
      <w:pPr>
        <w:pStyle w:val="FootnoteText"/>
      </w:pPr>
      <w:r>
        <w:rPr>
          <w:rStyle w:val="FootnoteReference"/>
        </w:rPr>
        <w:footnoteRef/>
      </w:r>
      <w:r>
        <w:tab/>
        <w:t>Investeringsperioden inleddes den 22 juli 2015 och slutar den 31 december 2022 för Efsi-garanterade transaktioner godkända av investeringskommittén senast den 31 december 2020.</w:t>
      </w:r>
    </w:p>
  </w:footnote>
  <w:footnote w:id="3">
    <w:p w14:paraId="46E2129B" w14:textId="77777777" w:rsidR="007B6D25" w:rsidRPr="00B25F25" w:rsidRDefault="007B6D25" w:rsidP="007B6D25">
      <w:pPr>
        <w:pStyle w:val="FootnoteText"/>
      </w:pPr>
      <w:r>
        <w:rPr>
          <w:rStyle w:val="FootnoteReference"/>
        </w:rPr>
        <w:footnoteRef/>
      </w:r>
      <w:r>
        <w:tab/>
        <w:t>Uppdaterade uppgifter från kommissionen, baserade på EIB-gruppens årsrapporter för 2021.</w:t>
      </w:r>
    </w:p>
  </w:footnote>
  <w:footnote w:id="4">
    <w:p w14:paraId="69F0AAE2" w14:textId="77777777" w:rsidR="007B6D25" w:rsidRPr="00B25F25" w:rsidRDefault="007B6D25" w:rsidP="007B6D25">
      <w:pPr>
        <w:ind w:left="567" w:hanging="567"/>
      </w:pPr>
      <w:r>
        <w:rPr>
          <w:rStyle w:val="FootnoteReference"/>
        </w:rPr>
        <w:footnoteRef/>
      </w:r>
      <w:r>
        <w:rPr>
          <w:sz w:val="16"/>
        </w:rPr>
        <w:tab/>
        <w:t>Dessa uppgifter avser belopp som undertecknats eller tecknats, till skillnad från de belopp som anges i föregående punkt, vilka är godkända.</w:t>
      </w:r>
    </w:p>
  </w:footnote>
  <w:footnote w:id="5">
    <w:p w14:paraId="50D8937E" w14:textId="77777777" w:rsidR="007B6D25" w:rsidRPr="00B25F25" w:rsidRDefault="007B6D25" w:rsidP="007B6D25">
      <w:pPr>
        <w:pStyle w:val="FootnoteText"/>
      </w:pPr>
      <w:r>
        <w:rPr>
          <w:rStyle w:val="FootnoteReference"/>
        </w:rPr>
        <w:footnoteRef/>
      </w:r>
      <w:r>
        <w:tab/>
        <w:t>Uppdaterade uppgifter från kommissionen, baserade på EIB-gruppens årsrapporter för 2021.</w:t>
      </w:r>
    </w:p>
  </w:footnote>
  <w:footnote w:id="6">
    <w:p w14:paraId="1F9F1820" w14:textId="77777777" w:rsidR="007B6D25" w:rsidRPr="00B25F25" w:rsidRDefault="007B6D25" w:rsidP="007B6D25">
      <w:pPr>
        <w:pStyle w:val="FootnoteText"/>
      </w:pPr>
      <w:r>
        <w:rPr>
          <w:rStyle w:val="FootnoteReference"/>
        </w:rPr>
        <w:footnoteRef/>
      </w:r>
      <w:r>
        <w:tab/>
        <w:t>Kapitel V – Styrformer i förordning (EU) 2021/523 av den 24 mars 2021 om inrättande av InvestEU-programmet och om ändring av förordning (EU) 2015/1017. Genom artikel 20 inrättas en rådgivande nämnd med uteslutande tekniska rådgivande funktioner, som utöver företrädare för medlemsstaterna och associerade förvaltningsorgan kan omfatta en expert som utses av EESK och en expert som utses av Europeiska regionkommittén.</w:t>
      </w:r>
    </w:p>
  </w:footnote>
  <w:footnote w:id="7">
    <w:p w14:paraId="356D44D0" w14:textId="77777777" w:rsidR="007B6D25" w:rsidRPr="00B25F25" w:rsidRDefault="007B6D25" w:rsidP="007B6D25">
      <w:pPr>
        <w:pStyle w:val="FootnoteText"/>
      </w:pPr>
      <w:r>
        <w:rPr>
          <w:rStyle w:val="FootnoteReference"/>
        </w:rPr>
        <w:footnoteRef/>
      </w:r>
      <w:r>
        <w:tab/>
        <w:t>Artikel 7.3 i förordning (EU) 2015/1017 har följande lydelse: ”Styrelsen ska regelbundet ordna ett samråd med relevanta aktörer – särskilt saminvesterare, offentliga myndigheter, experter, utbildnings-, yrkesutbildnings- och forskningsinstitutioner, berörda arbetsmarknadsparter och företrädare för civilsamhället – om inräkningen för och genomförandet av den investeringsstrategi som EIB tillämpar enligt denna förordning.”</w:t>
      </w:r>
    </w:p>
  </w:footnote>
  <w:footnote w:id="8">
    <w:p w14:paraId="3BF5BA73" w14:textId="77777777" w:rsidR="007B6D25" w:rsidRPr="00B25F25" w:rsidRDefault="007B6D25" w:rsidP="007B6D25">
      <w:pPr>
        <w:pStyle w:val="FootnoteText"/>
      </w:pPr>
      <w:r>
        <w:rPr>
          <w:rStyle w:val="FootnoteReference"/>
        </w:rPr>
        <w:footnoteRef/>
      </w:r>
      <w:r>
        <w:tab/>
        <w:t>EESK:s resolution av den 18 maj 2022, ”</w:t>
      </w:r>
      <w:hyperlink r:id="rId1" w:history="1">
        <w:r>
          <w:rPr>
            <w:rStyle w:val="Hyperlink"/>
          </w:rPr>
          <w:t>Det organiserade civila samhällets medverkan i de nationella planerna för återhämtning och resiliens – hur kan den förbättras?</w:t>
        </w:r>
      </w:hyperlink>
      <w:r>
        <w:t>”.</w:t>
      </w:r>
    </w:p>
  </w:footnote>
  <w:footnote w:id="9">
    <w:p w14:paraId="5CFEB447" w14:textId="77777777" w:rsidR="007B6D25" w:rsidRPr="00B25F25" w:rsidRDefault="007B6D25" w:rsidP="007B6D25">
      <w:pPr>
        <w:spacing w:after="60" w:line="240" w:lineRule="auto"/>
        <w:ind w:left="567" w:hanging="567"/>
      </w:pPr>
      <w:r>
        <w:rPr>
          <w:rStyle w:val="FootnoteReference"/>
        </w:rPr>
        <w:footnoteRef/>
      </w:r>
      <w:r>
        <w:tab/>
      </w:r>
      <w:r>
        <w:rPr>
          <w:sz w:val="16"/>
        </w:rPr>
        <w:t>Detta är fallet för InvestEU:s blandfinansieringsinsatser och medlemsstaternas budgetkomponenter, där EU-medel kan kompletteras eller kombineras med InvestEU-garantier.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2028E" w14:textId="77777777" w:rsidR="00574C9B" w:rsidRDefault="00B47498">
    <w:pPr>
      <w:pStyle w:val="Header"/>
    </w:pPr>
    <w:r>
      <w:pict w14:anchorId="4DA76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D02F1" w14:textId="77777777" w:rsidR="00574C9B" w:rsidRDefault="00E27707">
    <w:pPr>
      <w:pStyle w:val="Header"/>
    </w:pPr>
    <w:r>
      <w:rPr>
        <w:noProof/>
        <w:lang w:val="en-US"/>
      </w:rPr>
      <w:drawing>
        <wp:anchor distT="0" distB="0" distL="114300" distR="114300" simplePos="0" relativeHeight="251659264" behindDoc="0" locked="0" layoutInCell="1" allowOverlap="1" wp14:anchorId="2ACA661F" wp14:editId="31BC6E02">
          <wp:simplePos x="0" y="0"/>
          <wp:positionH relativeFrom="page">
            <wp:posOffset>309489</wp:posOffset>
          </wp:positionH>
          <wp:positionV relativeFrom="page">
            <wp:posOffset>281354</wp:posOffset>
          </wp:positionV>
          <wp:extent cx="6944398" cy="3344275"/>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B47498">
      <w:pict w14:anchorId="24D50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5DB87" w14:textId="77777777" w:rsidR="00574C9B" w:rsidRDefault="00B47498">
    <w:pPr>
      <w:pStyle w:val="Header"/>
    </w:pPr>
    <w:r>
      <w:pict w14:anchorId="1B4BD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C7356" w14:textId="77777777" w:rsidR="00574C9B" w:rsidRDefault="00B47498">
    <w:pPr>
      <w:pStyle w:val="Header"/>
    </w:pPr>
    <w:r>
      <w:pict w14:anchorId="48D04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F4C15" w14:textId="77777777" w:rsidR="00574C9B" w:rsidRDefault="00574C9B">
    <w:pPr>
      <w:pStyle w:val="Header"/>
    </w:pPr>
    <w:r>
      <w:rPr>
        <w:noProof/>
        <w:lang w:val="en-US"/>
      </w:rPr>
      <w:drawing>
        <wp:anchor distT="0" distB="0" distL="114300" distR="114300" simplePos="0" relativeHeight="251665408" behindDoc="1" locked="0" layoutInCell="1" allowOverlap="1" wp14:anchorId="798BD4CA" wp14:editId="046F37E8">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444BC" w14:textId="77777777" w:rsidR="00574C9B" w:rsidRDefault="00B47498">
    <w:pPr>
      <w:pStyle w:val="Header"/>
    </w:pPr>
    <w:r>
      <w:pict w14:anchorId="39C06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BE4A" w14:textId="77777777" w:rsidR="00FA08F8" w:rsidRDefault="00B47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53D00"/>
    <w:rsid w:val="000805BB"/>
    <w:rsid w:val="000A0F3B"/>
    <w:rsid w:val="000B19BD"/>
    <w:rsid w:val="000C2B7A"/>
    <w:rsid w:val="00142EBB"/>
    <w:rsid w:val="0019231D"/>
    <w:rsid w:val="001972AD"/>
    <w:rsid w:val="001B61BB"/>
    <w:rsid w:val="001D61AC"/>
    <w:rsid w:val="001E15AA"/>
    <w:rsid w:val="001E3FA1"/>
    <w:rsid w:val="00214BDC"/>
    <w:rsid w:val="00215E81"/>
    <w:rsid w:val="0024727F"/>
    <w:rsid w:val="0028396A"/>
    <w:rsid w:val="002B6A7B"/>
    <w:rsid w:val="00324889"/>
    <w:rsid w:val="003353D7"/>
    <w:rsid w:val="00350010"/>
    <w:rsid w:val="003659F9"/>
    <w:rsid w:val="003A60F2"/>
    <w:rsid w:val="003C6F0B"/>
    <w:rsid w:val="00423E47"/>
    <w:rsid w:val="00491B3E"/>
    <w:rsid w:val="004A3C7C"/>
    <w:rsid w:val="00574C9B"/>
    <w:rsid w:val="0058411F"/>
    <w:rsid w:val="006125A1"/>
    <w:rsid w:val="00653E7D"/>
    <w:rsid w:val="00662207"/>
    <w:rsid w:val="00667F09"/>
    <w:rsid w:val="006B57A6"/>
    <w:rsid w:val="007329A9"/>
    <w:rsid w:val="00787837"/>
    <w:rsid w:val="00787ABB"/>
    <w:rsid w:val="007B6D25"/>
    <w:rsid w:val="007D23F0"/>
    <w:rsid w:val="00822952"/>
    <w:rsid w:val="00836505"/>
    <w:rsid w:val="00844B87"/>
    <w:rsid w:val="00874997"/>
    <w:rsid w:val="00885862"/>
    <w:rsid w:val="008A6DD4"/>
    <w:rsid w:val="008D3E89"/>
    <w:rsid w:val="008F74D7"/>
    <w:rsid w:val="00904C42"/>
    <w:rsid w:val="00907A19"/>
    <w:rsid w:val="00924C05"/>
    <w:rsid w:val="00937CF2"/>
    <w:rsid w:val="00976645"/>
    <w:rsid w:val="0098228C"/>
    <w:rsid w:val="009A1B60"/>
    <w:rsid w:val="009B0D9E"/>
    <w:rsid w:val="009F60B8"/>
    <w:rsid w:val="00A06F55"/>
    <w:rsid w:val="00A20DC1"/>
    <w:rsid w:val="00A23CCB"/>
    <w:rsid w:val="00A36AB0"/>
    <w:rsid w:val="00A47E28"/>
    <w:rsid w:val="00AB37A3"/>
    <w:rsid w:val="00AC5114"/>
    <w:rsid w:val="00B47498"/>
    <w:rsid w:val="00B51901"/>
    <w:rsid w:val="00BE0B70"/>
    <w:rsid w:val="00C073E1"/>
    <w:rsid w:val="00C65EF5"/>
    <w:rsid w:val="00C66AEA"/>
    <w:rsid w:val="00C9040A"/>
    <w:rsid w:val="00C91E4D"/>
    <w:rsid w:val="00CA1E69"/>
    <w:rsid w:val="00CB110A"/>
    <w:rsid w:val="00CE153C"/>
    <w:rsid w:val="00D33926"/>
    <w:rsid w:val="00D95232"/>
    <w:rsid w:val="00DB7F50"/>
    <w:rsid w:val="00DE30C7"/>
    <w:rsid w:val="00DF400F"/>
    <w:rsid w:val="00E15BF4"/>
    <w:rsid w:val="00E2376B"/>
    <w:rsid w:val="00E27707"/>
    <w:rsid w:val="00E34F64"/>
    <w:rsid w:val="00E661B7"/>
    <w:rsid w:val="00EA54DA"/>
    <w:rsid w:val="00EC42D8"/>
    <w:rsid w:val="00ED729D"/>
    <w:rsid w:val="00F12959"/>
    <w:rsid w:val="00F2069F"/>
    <w:rsid w:val="00F53370"/>
    <w:rsid w:val="00F80191"/>
    <w:rsid w:val="00F850E6"/>
    <w:rsid w:val="00F90BE2"/>
    <w:rsid w:val="00FA704F"/>
    <w:rsid w:val="00FC0F42"/>
    <w:rsid w:val="1F169D66"/>
    <w:rsid w:val="7ABFE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4364353"/>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F80191"/>
    <w:rPr>
      <w:sz w:val="16"/>
      <w:szCs w:val="16"/>
    </w:rPr>
  </w:style>
  <w:style w:type="paragraph" w:styleId="CommentText">
    <w:name w:val="annotation text"/>
    <w:basedOn w:val="Normal"/>
    <w:link w:val="CommentTextChar"/>
    <w:uiPriority w:val="99"/>
    <w:semiHidden/>
    <w:unhideWhenUsed/>
    <w:rsid w:val="00F80191"/>
    <w:pPr>
      <w:spacing w:line="240" w:lineRule="auto"/>
    </w:pPr>
    <w:rPr>
      <w:sz w:val="20"/>
      <w:szCs w:val="20"/>
    </w:rPr>
  </w:style>
  <w:style w:type="character" w:customStyle="1" w:styleId="CommentTextChar">
    <w:name w:val="Comment Text Char"/>
    <w:basedOn w:val="DefaultParagraphFont"/>
    <w:link w:val="CommentText"/>
    <w:uiPriority w:val="99"/>
    <w:semiHidden/>
    <w:rsid w:val="00F801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191"/>
    <w:rPr>
      <w:b/>
      <w:bCs/>
    </w:rPr>
  </w:style>
  <w:style w:type="character" w:customStyle="1" w:styleId="CommentSubjectChar">
    <w:name w:val="Comment Subject Char"/>
    <w:basedOn w:val="CommentTextChar"/>
    <w:link w:val="CommentSubject"/>
    <w:uiPriority w:val="99"/>
    <w:semiHidden/>
    <w:rsid w:val="00F80191"/>
    <w:rPr>
      <w:rFonts w:ascii="Times New Roman" w:eastAsia="Times New Roman" w:hAnsi="Times New Roman" w:cs="Times New Roman"/>
      <w:b/>
      <w:bCs/>
      <w:sz w:val="20"/>
      <w:szCs w:val="20"/>
    </w:rPr>
  </w:style>
  <w:style w:type="paragraph" w:styleId="Revision">
    <w:name w:val="Revision"/>
    <w:hidden/>
    <w:uiPriority w:val="99"/>
    <w:semiHidden/>
    <w:rsid w:val="007B6D25"/>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7B6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2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sv/documents/resolution/resolution-involvement-organised-civil-society-national-recovery-and-resilience-plans-how-can-we-impro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P6FJPSUHKDC2-1211003791-11395</_dlc_DocId>
    <_dlc_DocIdUrl xmlns="1299d781-265f-4ceb-999e-e1eca3df2c90">
      <Url>http://dm/eesc/2022/_layouts/15/DocIdRedir.aspx?ID=P6FJPSUHKDC2-1211003791-11395</Url>
      <Description>P6FJPSUHKDC2-1211003791-11395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2022-09-22T12:00:00+00:00</ProductionDate>
    <DocumentNumber xmlns="d51dc14e-0c05-44bd-9dff-3ae522c33107">1290</DocumentNumber>
    <FicheYear xmlns="1299d781-265f-4ceb-999e-e1eca3df2c90" xsi:nil="true"/>
    <DocumentVersion xmlns="1299d781-265f-4ceb-999e-e1eca3df2c90">0</DocumentVersion>
    <DossierNumber xmlns="1299d781-265f-4ceb-999e-e1eca3df2c90">577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81</Value>
      <Value>246</Value>
      <Value>63</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Rapporteur xmlns="1299d781-265f-4ceb-999e-e1eca3df2c90">DOZ ORRIT &amp; CALISTRU</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10769</FicheNumber>
    <OriginalSender xmlns="1299d781-265f-4ceb-999e-e1eca3df2c90">
      <UserInfo>
        <DisplayName>Sermage Esther</DisplayName>
        <AccountId>1697</AccountId>
        <AccountType/>
      </UserInfo>
    </OriginalSender>
    <DocumentPart xmlns="1299d781-265f-4ceb-999e-e1eca3df2c90">0</DocumentPart>
    <AdoptionDate xmlns="1299d781-265f-4ceb-999e-e1eca3df2c90">2022-09-21T12:00:00+00:00</AdoptionDate>
    <RequestingService xmlns="1299d781-265f-4ceb-999e-e1eca3df2c90">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51dc14e-0c05-44bd-9dff-3ae522c331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A67E7817F567C48B0FF98918A0B8F68" ma:contentTypeVersion="6" ma:contentTypeDescription="Defines the documents for Document Manager V2" ma:contentTypeScope="" ma:versionID="a444b72282a47fd42898ff1110ab7ba9">
  <xsd:schema xmlns:xsd="http://www.w3.org/2001/XMLSchema" xmlns:xs="http://www.w3.org/2001/XMLSchema" xmlns:p="http://schemas.microsoft.com/office/2006/metadata/properties" xmlns:ns2="1299d781-265f-4ceb-999e-e1eca3df2c90" xmlns:ns3="http://schemas.microsoft.com/sharepoint/v3/fields" xmlns:ns4="d51dc14e-0c05-44bd-9dff-3ae522c33107" targetNamespace="http://schemas.microsoft.com/office/2006/metadata/properties" ma:root="true" ma:fieldsID="18f5364f66b1800776293abddc9be6a2" ns2:_="" ns3:_="" ns4:_="">
    <xsd:import namespace="1299d781-265f-4ceb-999e-e1eca3df2c90"/>
    <xsd:import namespace="http://schemas.microsoft.com/sharepoint/v3/fields"/>
    <xsd:import namespace="d51dc14e-0c05-44bd-9dff-3ae522c331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dc14e-0c05-44bd-9dff-3ae522c331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FF2F0-2957-45B6-9D20-15BDE0250DEE}"/>
</file>

<file path=customXml/itemProps2.xml><?xml version="1.0" encoding="utf-8"?>
<ds:datastoreItem xmlns:ds="http://schemas.openxmlformats.org/officeDocument/2006/customXml" ds:itemID="{15AC4765-1A31-4026-9519-79602759F1F4}"/>
</file>

<file path=customXml/itemProps3.xml><?xml version="1.0" encoding="utf-8"?>
<ds:datastoreItem xmlns:ds="http://schemas.openxmlformats.org/officeDocument/2006/customXml" ds:itemID="{ECF77E29-AD11-4A6D-AE92-49D6846B9EE6}"/>
</file>

<file path=customXml/itemProps4.xml><?xml version="1.0" encoding="utf-8"?>
<ds:datastoreItem xmlns:ds="http://schemas.openxmlformats.org/officeDocument/2006/customXml" ds:itemID="{1609CA00-EE2A-4E38-8BC8-6C3C9BA86B0A}"/>
</file>

<file path=docProps/app.xml><?xml version="1.0" encoding="utf-8"?>
<Properties xmlns="http://schemas.openxmlformats.org/officeDocument/2006/extended-properties" xmlns:vt="http://schemas.openxmlformats.org/officeDocument/2006/docPropsVTypes">
  <Template>Normal.dotm</Template>
  <TotalTime>7</TotalTime>
  <Pages>11</Pages>
  <Words>4183</Words>
  <Characters>23847</Characters>
  <Application>Microsoft Office Word</Application>
  <DocSecurity>0</DocSecurity>
  <Lines>198</Lines>
  <Paragraphs>55</Paragraphs>
  <ScaleCrop>false</ScaleCrop>
  <Company>CESE-CdR</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Utvärdering av Europeiska fonden för strategiska investeringar 2.0</dc:title>
  <dc:subject>RE</dc:subject>
  <dc:creator>Francois Aude</dc:creator>
  <cp:keywords>EESC-2022-01290-00-00-RE-TRA-EN</cp:keywords>
  <dc:description>Rapporteur: DOZ ORRIT &amp; CALISTRU - Original language: EN - Date of document: 22/09/2022 - Date of meeting:  - External documents:  - Administrator:  PERLAKY-TÓTH Krisztina</dc:description>
  <cp:lastModifiedBy>Hvizdosova Jana</cp:lastModifiedBy>
  <cp:revision>11</cp:revision>
  <dcterms:created xsi:type="dcterms:W3CDTF">2022-09-22T07:15:00Z</dcterms:created>
  <dcterms:modified xsi:type="dcterms:W3CDTF">2022-09-29T07:40:00Z</dcterms:modified>
  <cp:category>ECO/577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22/09/2022, 17/05/2022</vt:lpwstr>
  </property>
  <property fmtid="{D5CDD505-2E9C-101B-9397-08002B2CF9AE}" pid="4" name="Pref_Time">
    <vt:lpwstr>08:36:34, 14:56:43</vt:lpwstr>
  </property>
  <property fmtid="{D5CDD505-2E9C-101B-9397-08002B2CF9AE}" pid="5" name="Pref_User">
    <vt:lpwstr>jhvi, enied</vt:lpwstr>
  </property>
  <property fmtid="{D5CDD505-2E9C-101B-9397-08002B2CF9AE}" pid="6" name="Pref_FileName">
    <vt:lpwstr>EESC-2022-01290-00-00-RE-TRA-EN-CRR.docx, COR-EESC-2022-02558-00-00-ADMIN-ORI.docx</vt:lpwstr>
  </property>
  <property fmtid="{D5CDD505-2E9C-101B-9397-08002B2CF9AE}" pid="7" name="ContentTypeId">
    <vt:lpwstr>0x010100EA97B91038054C99906057A708A1480A000A67E7817F567C48B0FF98918A0B8F68</vt:lpwstr>
  </property>
  <property fmtid="{D5CDD505-2E9C-101B-9397-08002B2CF9AE}" pid="8" name="_dlc_DocIdItemGuid">
    <vt:lpwstr>ee050cad-ee50-4097-b1cf-198b422ee7ba</vt:lpwstr>
  </property>
  <property fmtid="{D5CDD505-2E9C-101B-9397-08002B2CF9AE}" pid="9" name="AvailableTranslations">
    <vt:lpwstr>31;#ES|e7a6b05b-ae16-40c8-add9-68b64b03aeba;#35;#MT|7df99101-6854-4a26-b53a-b88c0da02c26;#42;#SL|98a412ae-eb01-49e9-ae3d-585a81724cfc;#11;#FR|d2afafd3-4c81-4f60-8f52-ee33f2f54ff3;#29;#SV|c2ed69e7-a339-43d7-8f22-d93680a92aa0;#38;#FI|87606a43-d45f-42d6-b8c9-e1a3457db5b7;#36;#HU|6b229040-c589-4408-b4c1-4285663d20a8;#32;#DA|5d49c027-8956-412b-aa16-e85a0f96ad0e;#55;#HR|2f555653-ed1a-4fe6-8362-9082d95989e5;#63;#GA|762d2456-c427-4ecb-b312-af3dad8e258c;#54;#ET|ff6c3f4c-b02c-4c3c-ab07-2c37995a7a0a;#40;#BG|1a1b3951-7821-4e6a-85f5-5673fc08bd2c;#43;#NL|55c6556c-b4f4-441d-9acf-c498d4f838bd;#45;#RO|feb747a2-64cd-4299-af12-4833ddc30497;#41;#CS|72f9705b-0217-4fd3-bea2-cbc7ed80e26e;#26;#LV|46f7e311-5d9f-4663-b433-18aeccb7ace7;#46;#EL|6d4f4d51-af9b-4650-94b4-4276bee85c91;#44;#LT|a7ff5ce7-6123-4f68-865a-a57c31810414;#37;#PT|50ccc04a-eadd-42ae-a0cb-acaf45f812ba;#22;#DE|f6b31e5a-26fa-4935-b661-318e46daf27e;#30;#PL|1e03da61-4678-4e07-b136-b5024ca9197b;#4;#EN|f2175f21-25d7-44a3-96da-d6a61b075e1b;#34;#SK|46d9fce0-ef79-4f71-b89b-cd6aa82426b8;#33;#IT|0774613c-01ed-4e5d-a25d-11d2388de825</vt:lpwstr>
  </property>
  <property fmtid="{D5CDD505-2E9C-101B-9397-08002B2CF9AE}" pid="10" name="DocumentType_0">
    <vt:lpwstr>RE|2e31ab9a-38d8-4b15-bf54-b076b749ef85</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1290</vt:i4>
  </property>
  <property fmtid="{D5CDD505-2E9C-101B-9397-08002B2CF9AE}" pid="14" name="DocumentVersion">
    <vt:i4>0</vt:i4>
  </property>
  <property fmtid="{D5CDD505-2E9C-101B-9397-08002B2CF9AE}" pid="15" name="DossierNumber">
    <vt:i4>577</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81;#ECO|8df351f5-c957-404c-8cf3-8ffb22c9cba2</vt:lpwstr>
  </property>
  <property fmtid="{D5CDD505-2E9C-101B-9397-08002B2CF9AE}" pid="19" name="DocumentSource">
    <vt:lpwstr>1;#EESC|422833ec-8d7e-4e65-8e4e-8bed07ffb729</vt:lpwstr>
  </property>
  <property fmtid="{D5CDD505-2E9C-101B-9397-08002B2CF9AE}" pid="20" name="AdoptionDate">
    <vt:filetime>2022-09-21T12:00:00Z</vt:filetime>
  </property>
  <property fmtid="{D5CDD505-2E9C-101B-9397-08002B2CF9AE}" pid="21" name="DocumentType">
    <vt:lpwstr>246;#RE|2e31ab9a-38d8-4b15-bf54-b076b749ef85</vt:lpwstr>
  </property>
  <property fmtid="{D5CDD505-2E9C-101B-9397-08002B2CF9AE}" pid="22" name="RequestingService">
    <vt:lpwstr>Union économique et monétaire et cohésion économique et sociale</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8" name="AvailableTranslations_0">
    <vt:lpwstr>MT|7df99101-6854-4a26-b53a-b88c0da02c26;SL|98a412ae-eb01-49e9-ae3d-585a81724cfc;NL|55c6556c-b4f4-441d-9acf-c498d4f838bd;EL|6d4f4d51-af9b-4650-94b4-4276bee85c91;IT|0774613c-01ed-4e5d-a25d-11d2388de825</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43;#NL|55c6556c-b4f4-441d-9acf-c498d4f838bd;#81;#ECO|8df351f5-c957-404c-8cf3-8ffb22c9cba2;#46;#EL|6d4f4d51-af9b-4650-94b4-4276bee85c91;#42;#SL|98a412ae-eb01-49e9-ae3d-585a81724cfc;#9;#Unrestricted|826e22d7-d029-4ec0-a450-0c28ff673572;#246;#RE|2e31ab9a-38d</vt:lpwstr>
  </property>
  <property fmtid="{D5CDD505-2E9C-101B-9397-08002B2CF9AE}" pid="32" name="Rapporteur">
    <vt:lpwstr>DOZ ORRIT &amp; CALISTRU</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2022</vt:i4>
  </property>
  <property fmtid="{D5CDD505-2E9C-101B-9397-08002B2CF9AE}" pid="36" name="FicheNumber">
    <vt:i4>10769</vt:i4>
  </property>
  <property fmtid="{D5CDD505-2E9C-101B-9397-08002B2CF9AE}" pid="37" name="DocumentLanguage">
    <vt:lpwstr>29;#SV|c2ed69e7-a339-43d7-8f22-d93680a92aa0</vt:lpwstr>
  </property>
  <property fmtid="{D5CDD505-2E9C-101B-9397-08002B2CF9AE}" pid="38" name="_docset_NoMedatataSyncRequired">
    <vt:lpwstr>False</vt:lpwstr>
  </property>
</Properties>
</file>