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9"/>
      </w:tblGrid>
      <w:tr w:rsidR="00A71643" w14:paraId="7BC6C3F8" w14:textId="77777777">
        <w:trPr>
          <w:jc w:val="center"/>
        </w:trPr>
        <w:tc>
          <w:tcPr>
            <w:tcW w:w="5000" w:type="pct"/>
            <w:vAlign w:val="center"/>
          </w:tcPr>
          <w:p w:rsidRPr="00AE4D0B" w:rsidR="00CD26C9" w:rsidP="00695F57" w:rsidRDefault="00CD26C9" w14:paraId="3FBE1F62" w14:textId="77777777">
            <w:pPr>
              <w:jc w:val="center"/>
              <w:rPr>
                <w:b/>
                <w:bCs/>
                <w:sz w:val="72"/>
                <w:szCs w:val="72"/>
              </w:rPr>
            </w:pPr>
            <w:r>
              <w:rPr>
                <w:b/>
                <w:sz w:val="72"/>
              </w:rPr>
              <w:t>EVALUERINGSRAPPORT</w:t>
            </w:r>
          </w:p>
        </w:tc>
      </w:tr>
      <w:tr w:rsidR="00A71643" w14:paraId="5A14C106" w14:textId="77777777">
        <w:trPr>
          <w:trHeight w:val="567"/>
          <w:jc w:val="center"/>
        </w:trPr>
        <w:tc>
          <w:tcPr>
            <w:tcW w:w="5000" w:type="pct"/>
            <w:vAlign w:val="center"/>
          </w:tcPr>
          <w:p w:rsidRPr="00AE4D0B" w:rsidR="00CD26C9" w:rsidP="00695F57" w:rsidRDefault="00CD26C9" w14:paraId="13590B57" w14:textId="77777777">
            <w:pPr>
              <w:jc w:val="center"/>
              <w:rPr>
                <w:sz w:val="24"/>
                <w:szCs w:val="24"/>
              </w:rPr>
            </w:pPr>
            <w:r>
              <w:rPr>
                <w:sz w:val="24"/>
              </w:rPr>
              <w:t>Det Europæiske Økonomiske og Sociale Udvalg</w:t>
            </w:r>
          </w:p>
        </w:tc>
      </w:tr>
      <w:tr w:rsidR="00A71643" w14:paraId="09CA0726" w14:textId="77777777">
        <w:trPr>
          <w:jc w:val="center"/>
        </w:trPr>
        <w:tc>
          <w:tcPr>
            <w:tcW w:w="5000" w:type="pct"/>
            <w:vAlign w:val="center"/>
          </w:tcPr>
          <w:p w:rsidRPr="00AE4D0B" w:rsidR="00CD26C9" w:rsidP="00371F74" w:rsidRDefault="002A63E0" w14:paraId="693DFAC3" w14:textId="77777777">
            <w:pPr>
              <w:ind w:left="567" w:right="567"/>
              <w:jc w:val="center"/>
              <w:rPr>
                <w:b/>
                <w:bCs/>
                <w:sz w:val="44"/>
                <w:szCs w:val="44"/>
              </w:rPr>
            </w:pPr>
            <w:r>
              <w:rPr>
                <w:b/>
                <w:sz w:val="44"/>
              </w:rPr>
              <w:t>Evaluering af Den Europæiske Socialfond 2014-2020</w:t>
            </w:r>
          </w:p>
        </w:tc>
      </w:tr>
      <w:tr w:rsidR="00A71643" w14:paraId="3D85D532" w14:textId="77777777">
        <w:trPr>
          <w:jc w:val="center"/>
        </w:trPr>
        <w:tc>
          <w:tcPr>
            <w:tcW w:w="5000" w:type="pct"/>
            <w:vAlign w:val="center"/>
          </w:tcPr>
          <w:p w:rsidRPr="00AE4D0B" w:rsidR="00CD26C9" w:rsidP="00695F57" w:rsidRDefault="00CD26C9" w14:paraId="2680FD65" w14:textId="77777777">
            <w:pPr>
              <w:overflowPunct w:val="0"/>
              <w:autoSpaceDE w:val="0"/>
              <w:autoSpaceDN w:val="0"/>
              <w:adjustRightInd w:val="0"/>
              <w:jc w:val="center"/>
              <w:textAlignment w:val="baseline"/>
              <w:rPr>
                <w:b/>
                <w:bCs/>
                <w:sz w:val="24"/>
                <w:szCs w:val="24"/>
              </w:rPr>
            </w:pPr>
            <w:r>
              <w:rPr>
                <w:sz w:val="24"/>
              </w:rPr>
              <w:t>_____________</w:t>
            </w:r>
          </w:p>
        </w:tc>
      </w:tr>
      <w:tr w:rsidR="00A71643" w14:paraId="7EED007D" w14:textId="77777777">
        <w:trPr>
          <w:jc w:val="center"/>
        </w:trPr>
        <w:tc>
          <w:tcPr>
            <w:tcW w:w="5000" w:type="pct"/>
            <w:vAlign w:val="center"/>
          </w:tcPr>
          <w:p w:rsidR="00DA6FC1" w:rsidP="00DA6FC1" w:rsidRDefault="00DA6FC1" w14:paraId="5476DE6F" w14:textId="77777777">
            <w:pPr>
              <w:spacing w:line="240" w:lineRule="auto"/>
              <w:jc w:val="center"/>
              <w:rPr>
                <w:sz w:val="24"/>
              </w:rPr>
            </w:pPr>
          </w:p>
          <w:p w:rsidRPr="00AE4D0B" w:rsidR="00CD26C9" w:rsidP="00695F57" w:rsidRDefault="002A63E0" w14:paraId="5250C045" w14:textId="0D5D6EF8">
            <w:pPr>
              <w:jc w:val="center"/>
              <w:rPr>
                <w:sz w:val="24"/>
                <w:szCs w:val="24"/>
              </w:rPr>
            </w:pPr>
            <w:r>
              <w:rPr>
                <w:sz w:val="24"/>
              </w:rPr>
              <w:t>Evaluering af Den Europæiske Socialfond 2014-2020</w:t>
            </w:r>
          </w:p>
        </w:tc>
      </w:tr>
      <w:tr w:rsidR="00A71643" w14:paraId="4A070470" w14:textId="77777777">
        <w:trPr>
          <w:jc w:val="center"/>
        </w:trPr>
        <w:tc>
          <w:tcPr>
            <w:tcW w:w="5000" w:type="pct"/>
            <w:vAlign w:val="center"/>
          </w:tcPr>
          <w:p w:rsidRPr="00AE4D0B" w:rsidR="00CD26C9" w:rsidP="00695F57" w:rsidRDefault="00CD26C9" w14:paraId="6538AB0D" w14:textId="77777777">
            <w:pPr>
              <w:jc w:val="center"/>
              <w:rPr>
                <w:sz w:val="24"/>
                <w:szCs w:val="24"/>
                <w:lang w:val="en-GB"/>
              </w:rPr>
            </w:pPr>
          </w:p>
        </w:tc>
      </w:tr>
      <w:tr w:rsidR="00A71643" w14:paraId="24EE24A3" w14:textId="77777777">
        <w:trPr>
          <w:jc w:val="center"/>
        </w:trPr>
        <w:tc>
          <w:tcPr>
            <w:tcW w:w="5000" w:type="pct"/>
            <w:vAlign w:val="center"/>
          </w:tcPr>
          <w:p w:rsidRPr="00AE4D0B" w:rsidR="00CD26C9" w:rsidP="00695F57" w:rsidRDefault="002A63E0" w14:paraId="0A421A0D" w14:textId="77777777">
            <w:pPr>
              <w:jc w:val="center"/>
              <w:rPr>
                <w:b/>
                <w:bCs/>
                <w:sz w:val="24"/>
                <w:szCs w:val="24"/>
              </w:rPr>
            </w:pPr>
            <w:r>
              <w:rPr>
                <w:b/>
                <w:sz w:val="24"/>
              </w:rPr>
              <w:t>SOC/754</w:t>
            </w:r>
          </w:p>
        </w:tc>
      </w:tr>
      <w:tr w:rsidR="00A71643" w14:paraId="2B58DDC5" w14:textId="77777777">
        <w:trPr>
          <w:jc w:val="center"/>
        </w:trPr>
        <w:tc>
          <w:tcPr>
            <w:tcW w:w="5000" w:type="pct"/>
            <w:vAlign w:val="center"/>
          </w:tcPr>
          <w:p w:rsidRPr="00AE4D0B" w:rsidR="00CD26C9" w:rsidP="00695F57" w:rsidRDefault="00CD26C9" w14:paraId="5F0058BB" w14:textId="77777777">
            <w:pPr>
              <w:jc w:val="center"/>
              <w:rPr>
                <w:sz w:val="24"/>
                <w:szCs w:val="24"/>
                <w:lang w:val="en-GB"/>
              </w:rPr>
            </w:pPr>
          </w:p>
        </w:tc>
      </w:tr>
      <w:tr w:rsidR="00A71643" w14:paraId="40B06EDE" w14:textId="77777777">
        <w:trPr>
          <w:jc w:val="center"/>
        </w:trPr>
        <w:tc>
          <w:tcPr>
            <w:tcW w:w="5000" w:type="pct"/>
            <w:vAlign w:val="center"/>
          </w:tcPr>
          <w:p w:rsidRPr="00AE4D0B" w:rsidR="002A63E0" w:rsidP="002A63E0" w:rsidRDefault="002A63E0" w14:paraId="0B408E42" w14:textId="77777777">
            <w:pPr>
              <w:jc w:val="center"/>
              <w:rPr>
                <w:sz w:val="24"/>
                <w:szCs w:val="24"/>
              </w:rPr>
            </w:pPr>
            <w:r>
              <w:rPr>
                <w:sz w:val="24"/>
              </w:rPr>
              <w:t xml:space="preserve">Ordfører: </w:t>
            </w:r>
            <w:r>
              <w:rPr>
                <w:b/>
                <w:sz w:val="24"/>
              </w:rPr>
              <w:t xml:space="preserve">Krzysztof </w:t>
            </w:r>
            <w:proofErr w:type="spellStart"/>
            <w:r>
              <w:rPr>
                <w:b/>
                <w:sz w:val="24"/>
              </w:rPr>
              <w:t>Balon</w:t>
            </w:r>
            <w:proofErr w:type="spellEnd"/>
          </w:p>
          <w:p w:rsidRPr="00AE4D0B" w:rsidR="002A63E0" w:rsidP="002A63E0" w:rsidRDefault="002A63E0" w14:paraId="469E3C96" w14:textId="77777777">
            <w:pPr>
              <w:jc w:val="center"/>
              <w:rPr>
                <w:sz w:val="24"/>
                <w:szCs w:val="24"/>
              </w:rPr>
            </w:pPr>
            <w:r>
              <w:rPr>
                <w:sz w:val="24"/>
              </w:rPr>
              <w:t xml:space="preserve">Ordfører: </w:t>
            </w:r>
            <w:proofErr w:type="spellStart"/>
            <w:r>
              <w:rPr>
                <w:b/>
                <w:sz w:val="24"/>
              </w:rPr>
              <w:t>Cinzia</w:t>
            </w:r>
            <w:proofErr w:type="spellEnd"/>
            <w:r>
              <w:rPr>
                <w:b/>
                <w:sz w:val="24"/>
              </w:rPr>
              <w:t xml:space="preserve"> Del Rio</w:t>
            </w:r>
          </w:p>
          <w:p w:rsidRPr="00AE4D0B" w:rsidR="00CD26C9" w:rsidP="002A63E0" w:rsidRDefault="002A63E0" w14:paraId="3F8732B0" w14:textId="77777777">
            <w:pPr>
              <w:jc w:val="center"/>
              <w:rPr>
                <w:sz w:val="24"/>
                <w:szCs w:val="24"/>
              </w:rPr>
            </w:pPr>
            <w:r>
              <w:rPr>
                <w:sz w:val="24"/>
              </w:rPr>
              <w:t xml:space="preserve">Ordfører: </w:t>
            </w:r>
            <w:r>
              <w:rPr>
                <w:b/>
                <w:sz w:val="24"/>
              </w:rPr>
              <w:t xml:space="preserve">David </w:t>
            </w:r>
            <w:proofErr w:type="spellStart"/>
            <w:r>
              <w:rPr>
                <w:b/>
                <w:sz w:val="24"/>
              </w:rPr>
              <w:t>Sventek</w:t>
            </w:r>
            <w:proofErr w:type="spellEnd"/>
          </w:p>
        </w:tc>
      </w:tr>
    </w:tbl>
    <w:p w:rsidRPr="00AE4D0B" w:rsidR="00574C9B" w:rsidP="00574C9B" w:rsidRDefault="00574C9B" w14:paraId="4B9A07D3" w14:textId="77777777">
      <w:r>
        <w:rPr>
          <w:noProof/>
          <w:sz w:val="20"/>
        </w:rPr>
        <mc:AlternateContent>
          <mc:Choice Requires="wps">
            <w:drawing>
              <wp:anchor distT="0" distB="0" distL="114300" distR="114300" simplePos="0" relativeHeight="251659264" behindDoc="1" locked="0" layoutInCell="0" allowOverlap="1" wp14:editId="763FF807" wp14:anchorId="1A34CA42">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C9B" w:rsidP="00574C9B" w:rsidRDefault="00574C9B" w14:paraId="6599CD8E" w14:textId="77777777">
                            <w:pPr>
                              <w:jc w:val="center"/>
                            </w:pPr>
                            <w:r>
                              <w:rPr>
                                <w:rFonts w:ascii="Arial" w:hAnsi="Arial"/>
                                <w:b/>
                                <w:sz w:val="48"/>
                              </w:rPr>
                              <w:t>DA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A34CA42">
                <v:stroke joinstyle="miter"/>
                <v:path gradientshapeok="t" o:connecttype="rect"/>
              </v:shapetype>
              <v:shape id="Text Box 17" style="position:absolute;left:0;text-align:left;margin-left:-15.9pt;margin-top:747pt;width:58.4pt;height:34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v:textbox>
                  <w:txbxContent>
                    <w:p w:rsidR="00574C9B" w:rsidP="00574C9B" w:rsidRDefault="00574C9B" w14:paraId="6599CD8E" w14:textId="77777777">
                      <w:pPr>
                        <w:jc w:val="center"/>
                      </w:pPr>
                      <w:r>
                        <w:rPr>
                          <w:rFonts w:ascii="Arial" w:hAnsi="Arial"/>
                          <w:b/>
                          <w:sz w:val="48"/>
                        </w:rPr>
                        <w:t>DA</w:t>
                      </w:r>
                    </w:p>
                  </w:txbxContent>
                </v:textbox>
                <w10:wrap anchorx="margin" anchory="page"/>
              </v:shape>
            </w:pict>
          </mc:Fallback>
        </mc:AlternateContent>
      </w:r>
    </w:p>
    <w:p w:rsidRPr="00AE4D0B" w:rsidR="00574C9B" w:rsidP="00574C9B" w:rsidRDefault="00574C9B" w14:paraId="6F2B06EF" w14:textId="77777777">
      <w:pPr>
        <w:rPr>
          <w:lang w:val="en-GB"/>
        </w:rPr>
      </w:pPr>
    </w:p>
    <w:p w:rsidRPr="00AE4D0B" w:rsidR="00574C9B" w:rsidP="00574C9B" w:rsidRDefault="00574C9B" w14:paraId="60B6047F" w14:textId="77777777">
      <w:pPr>
        <w:rPr>
          <w:lang w:val="en-GB"/>
        </w:rPr>
        <w:sectPr w:rsidRPr="00AE4D0B" w:rsidR="00574C9B" w:rsidSect="00914286">
          <w:headerReference w:type="even" r:id="rId11"/>
          <w:headerReference w:type="default" r:id="rId12"/>
          <w:footerReference w:type="even" r:id="rId13"/>
          <w:footerReference w:type="default" r:id="rId14"/>
          <w:headerReference w:type="first" r:id="rId15"/>
          <w:footerReference w:type="first" r:id="rId16"/>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A71643" w14:paraId="60808D8A" w14:textId="77777777">
        <w:tc>
          <w:tcPr>
            <w:tcW w:w="3085" w:type="dxa"/>
          </w:tcPr>
          <w:p w:rsidRPr="00AE4D0B" w:rsidR="009F3486" w:rsidP="0058411F" w:rsidRDefault="009F3486" w14:paraId="41D757C6" w14:textId="77777777">
            <w:pPr>
              <w:autoSpaceDE w:val="0"/>
              <w:autoSpaceDN w:val="0"/>
              <w:jc w:val="left"/>
              <w:rPr>
                <w:szCs w:val="20"/>
              </w:rPr>
            </w:pPr>
            <w:r>
              <w:lastRenderedPageBreak/>
              <w:t>Anmodning om udtalelse</w:t>
            </w:r>
          </w:p>
        </w:tc>
        <w:tc>
          <w:tcPr>
            <w:tcW w:w="6204" w:type="dxa"/>
            <w:vAlign w:val="bottom"/>
          </w:tcPr>
          <w:p w:rsidRPr="00AE4D0B" w:rsidR="009F3486" w:rsidP="0058411F" w:rsidRDefault="00AE0B53" w14:paraId="7D4F2663" w14:textId="1071C463">
            <w:pPr>
              <w:autoSpaceDE w:val="0"/>
              <w:autoSpaceDN w:val="0"/>
              <w:jc w:val="left"/>
            </w:pPr>
            <w:r>
              <w:t>Kommissionen, 1/10/2022</w:t>
            </w:r>
          </w:p>
        </w:tc>
      </w:tr>
      <w:tr w:rsidR="00A71643" w14:paraId="16A2D519" w14:textId="77777777">
        <w:tc>
          <w:tcPr>
            <w:tcW w:w="3085" w:type="dxa"/>
          </w:tcPr>
          <w:p w:rsidRPr="00AE4D0B" w:rsidR="00AC5114" w:rsidP="0058411F" w:rsidRDefault="00AC5114" w14:paraId="3EC2BE6D" w14:textId="77777777">
            <w:pPr>
              <w:autoSpaceDE w:val="0"/>
              <w:autoSpaceDN w:val="0"/>
              <w:jc w:val="left"/>
              <w:rPr>
                <w:szCs w:val="20"/>
              </w:rPr>
            </w:pPr>
            <w:r>
              <w:t>Retsgrundlag</w:t>
            </w:r>
          </w:p>
        </w:tc>
        <w:tc>
          <w:tcPr>
            <w:tcW w:w="6204" w:type="dxa"/>
            <w:vAlign w:val="bottom"/>
          </w:tcPr>
          <w:p w:rsidRPr="00AE4D0B" w:rsidR="00AC5114" w:rsidP="0058411F" w:rsidRDefault="00AC5114" w14:paraId="50102686" w14:textId="77777777">
            <w:pPr>
              <w:autoSpaceDE w:val="0"/>
              <w:autoSpaceDN w:val="0"/>
              <w:jc w:val="left"/>
              <w:rPr>
                <w:szCs w:val="20"/>
              </w:rPr>
            </w:pPr>
            <w:r>
              <w:t>Artikel 304 i traktaten om Den Europæiske Unions funktionsmåde</w:t>
            </w:r>
          </w:p>
        </w:tc>
      </w:tr>
      <w:tr w:rsidR="00A71643" w14:paraId="420894C8" w14:textId="77777777">
        <w:tc>
          <w:tcPr>
            <w:tcW w:w="3085" w:type="dxa"/>
          </w:tcPr>
          <w:p w:rsidRPr="00AE4D0B" w:rsidR="00AE0B53" w:rsidP="00AE0B53" w:rsidRDefault="00AE0B53" w14:paraId="7FD5E191" w14:textId="77777777">
            <w:pPr>
              <w:autoSpaceDE w:val="0"/>
              <w:autoSpaceDN w:val="0"/>
              <w:jc w:val="left"/>
            </w:pPr>
            <w:r>
              <w:t>Kompetence</w:t>
            </w:r>
          </w:p>
        </w:tc>
        <w:tc>
          <w:tcPr>
            <w:tcW w:w="6204" w:type="dxa"/>
          </w:tcPr>
          <w:p w:rsidRPr="00AE4D0B" w:rsidR="00AE0B53" w:rsidP="00AE0B53" w:rsidRDefault="00AE0B53" w14:paraId="4B3B6E70" w14:textId="77777777">
            <w:pPr>
              <w:autoSpaceDE w:val="0"/>
              <w:autoSpaceDN w:val="0"/>
              <w:jc w:val="left"/>
            </w:pPr>
            <w:r>
              <w:t>Sektionen for Beskæftigelse, Sociale Spørgsmål og Unionsborgerskab</w:t>
            </w:r>
          </w:p>
        </w:tc>
      </w:tr>
      <w:tr w:rsidR="00A71643" w14:paraId="3DDF0419" w14:textId="77777777">
        <w:tc>
          <w:tcPr>
            <w:tcW w:w="3085" w:type="dxa"/>
          </w:tcPr>
          <w:p w:rsidRPr="00AE4D0B" w:rsidR="00AE0B53" w:rsidP="00AE0B53" w:rsidRDefault="00AE0B53" w14:paraId="5E408B2E" w14:textId="77777777">
            <w:pPr>
              <w:autoSpaceDE w:val="0"/>
              <w:autoSpaceDN w:val="0"/>
              <w:jc w:val="left"/>
            </w:pPr>
            <w:r>
              <w:t>Vedtaget i sektionen</w:t>
            </w:r>
          </w:p>
        </w:tc>
        <w:tc>
          <w:tcPr>
            <w:tcW w:w="6204" w:type="dxa"/>
          </w:tcPr>
          <w:p w:rsidRPr="00AE4D0B" w:rsidR="00AE0B53" w:rsidP="00AE0B53" w:rsidRDefault="00AE0B53" w14:paraId="6D284B56" w14:textId="77777777">
            <w:pPr>
              <w:autoSpaceDE w:val="0"/>
              <w:autoSpaceDN w:val="0"/>
              <w:jc w:val="left"/>
            </w:pPr>
            <w:r>
              <w:t>12/4/2024</w:t>
            </w:r>
          </w:p>
        </w:tc>
      </w:tr>
      <w:tr w:rsidR="00A71643" w14:paraId="3F39E97D" w14:textId="77777777">
        <w:tc>
          <w:tcPr>
            <w:tcW w:w="3085" w:type="dxa"/>
          </w:tcPr>
          <w:p w:rsidRPr="00AE4D0B" w:rsidR="000D5C61" w:rsidP="000D5C61" w:rsidRDefault="000D5C61" w14:paraId="2FAD159D" w14:textId="77777777">
            <w:pPr>
              <w:autoSpaceDE w:val="0"/>
              <w:autoSpaceDN w:val="0"/>
              <w:jc w:val="left"/>
            </w:pPr>
            <w:r>
              <w:t>Vedtaget på plenarforsamlingen</w:t>
            </w:r>
          </w:p>
        </w:tc>
        <w:tc>
          <w:tcPr>
            <w:tcW w:w="6204" w:type="dxa"/>
            <w:vAlign w:val="bottom"/>
          </w:tcPr>
          <w:p w:rsidRPr="00AE4D0B" w:rsidR="000D5C61" w:rsidP="000D5C61" w:rsidRDefault="000D5C61" w14:paraId="1E22FC68" w14:textId="77777777">
            <w:pPr>
              <w:autoSpaceDE w:val="0"/>
              <w:autoSpaceDN w:val="0"/>
              <w:jc w:val="left"/>
            </w:pPr>
            <w:r>
              <w:t>24/4/2024</w:t>
            </w:r>
          </w:p>
        </w:tc>
      </w:tr>
      <w:tr w:rsidR="00A71643" w14:paraId="18CC8CA4" w14:textId="77777777">
        <w:tc>
          <w:tcPr>
            <w:tcW w:w="3085" w:type="dxa"/>
          </w:tcPr>
          <w:p w:rsidRPr="00AE4D0B" w:rsidR="000D5C61" w:rsidP="000D5C61" w:rsidRDefault="000D5C61" w14:paraId="2BBF33BB" w14:textId="77777777">
            <w:pPr>
              <w:autoSpaceDE w:val="0"/>
              <w:autoSpaceDN w:val="0"/>
              <w:jc w:val="left"/>
            </w:pPr>
            <w:r>
              <w:t>Plenarforsamling nr.</w:t>
            </w:r>
          </w:p>
        </w:tc>
        <w:tc>
          <w:tcPr>
            <w:tcW w:w="6204" w:type="dxa"/>
            <w:vAlign w:val="bottom"/>
          </w:tcPr>
          <w:p w:rsidRPr="00AE4D0B" w:rsidR="000D5C61" w:rsidP="000D5C61" w:rsidRDefault="000D5C61" w14:paraId="6130662C" w14:textId="77777777">
            <w:pPr>
              <w:autoSpaceDE w:val="0"/>
              <w:autoSpaceDN w:val="0"/>
              <w:jc w:val="left"/>
            </w:pPr>
            <w:r>
              <w:t>587</w:t>
            </w:r>
          </w:p>
        </w:tc>
      </w:tr>
      <w:tr w:rsidR="00A71643" w14:paraId="08EB2566" w14:textId="77777777">
        <w:tc>
          <w:tcPr>
            <w:tcW w:w="3085" w:type="dxa"/>
          </w:tcPr>
          <w:p w:rsidRPr="00AE4D0B" w:rsidR="0058411F" w:rsidP="0058411F" w:rsidRDefault="0058411F" w14:paraId="7A3C1D35" w14:textId="77777777">
            <w:pPr>
              <w:autoSpaceDE w:val="0"/>
              <w:autoSpaceDN w:val="0"/>
              <w:jc w:val="left"/>
            </w:pPr>
            <w:r>
              <w:t>Resultat af afstemningen</w:t>
            </w:r>
            <w:r>
              <w:br/>
              <w:t>(for/imod/hverken for eller imod)</w:t>
            </w:r>
          </w:p>
        </w:tc>
        <w:tc>
          <w:tcPr>
            <w:tcW w:w="6204" w:type="dxa"/>
            <w:vAlign w:val="bottom"/>
          </w:tcPr>
          <w:p w:rsidRPr="00AE4D0B" w:rsidR="0058411F" w:rsidP="0058411F" w:rsidRDefault="000B2215" w14:paraId="6F396BD8" w14:textId="77777777">
            <w:pPr>
              <w:autoSpaceDE w:val="0"/>
              <w:autoSpaceDN w:val="0"/>
              <w:jc w:val="left"/>
            </w:pPr>
            <w:r>
              <w:t>132/0/0</w:t>
            </w:r>
          </w:p>
        </w:tc>
      </w:tr>
    </w:tbl>
    <w:p w:rsidRPr="00AE4D0B" w:rsidR="00AC5114" w:rsidP="00574C9B" w:rsidRDefault="00AC5114" w14:paraId="40066B22" w14:textId="77777777">
      <w:pPr>
        <w:rPr>
          <w:lang w:val="en-GB"/>
        </w:rPr>
      </w:pPr>
    </w:p>
    <w:p w:rsidRPr="00AE4D0B" w:rsidR="00AC5114" w:rsidP="00574C9B" w:rsidRDefault="00AC5114" w14:paraId="5148D037" w14:textId="77777777">
      <w:pPr>
        <w:rPr>
          <w:lang w:val="en-GB"/>
        </w:rPr>
        <w:sectPr w:rsidRPr="00AE4D0B" w:rsidR="00AC5114" w:rsidSect="00914286">
          <w:headerReference w:type="even" r:id="rId17"/>
          <w:headerReference w:type="default" r:id="rId18"/>
          <w:footerReference w:type="default" r:id="rId19"/>
          <w:headerReference w:type="first" r:id="rId20"/>
          <w:pgSz w:w="11907" w:h="16839" w:code="9"/>
          <w:pgMar w:top="5669" w:right="1418" w:bottom="1418" w:left="1418" w:header="709" w:footer="709" w:gutter="0"/>
          <w:cols w:space="720"/>
          <w:docGrid w:linePitch="360"/>
        </w:sectPr>
      </w:pPr>
    </w:p>
    <w:p w:rsidRPr="00371F74" w:rsidR="002A42BD" w:rsidP="002A42BD" w:rsidRDefault="002A42BD" w14:paraId="7168B827" w14:textId="77777777">
      <w:pPr>
        <w:pStyle w:val="Heading1"/>
        <w:keepNext/>
        <w:rPr>
          <w:b/>
          <w:bCs/>
        </w:rPr>
      </w:pPr>
      <w:r>
        <w:rPr>
          <w:b/>
        </w:rPr>
        <w:lastRenderedPageBreak/>
        <w:t>Baggrund</w:t>
      </w:r>
    </w:p>
    <w:p w:rsidRPr="00371F74" w:rsidR="002A42BD" w:rsidP="002A42BD" w:rsidRDefault="002A42BD" w14:paraId="596D98C4" w14:textId="77777777">
      <w:pPr>
        <w:rPr>
          <w:lang w:val="en-GB"/>
        </w:rPr>
      </w:pPr>
    </w:p>
    <w:p w:rsidRPr="00371F74" w:rsidR="002A42BD" w:rsidP="002A42BD" w:rsidRDefault="002A42BD" w14:paraId="5C8A86EB" w14:textId="77777777">
      <w:pPr>
        <w:pStyle w:val="Heading2"/>
      </w:pPr>
      <w:r>
        <w:t xml:space="preserve">Denne evalueringsrapport om gennemførelsen af Den Europæiske Socialfond (ESF) i perioden 2014-2020 indeholder </w:t>
      </w:r>
      <w:proofErr w:type="spellStart"/>
      <w:r>
        <w:t>EØSU's</w:t>
      </w:r>
      <w:proofErr w:type="spellEnd"/>
      <w:r>
        <w:t xml:space="preserve"> bidrag til Kommissionens igangværende efterfølgende evaluering af gennemførelsen af dette instrument. I </w:t>
      </w:r>
      <w:proofErr w:type="spellStart"/>
      <w:r>
        <w:t>EØSU's</w:t>
      </w:r>
      <w:proofErr w:type="spellEnd"/>
      <w:r>
        <w:t xml:space="preserve"> evalueringsrapport fokuseres der på indsamling og analyse af det organiserede civilsamfunds synspunkter om gennemførelsen af ESF i udvalgte EU-medlemsstater.</w:t>
      </w:r>
    </w:p>
    <w:p w:rsidRPr="00371F74" w:rsidR="002A42BD" w:rsidP="002A42BD" w:rsidRDefault="002A42BD" w14:paraId="4966DEE8" w14:textId="77777777">
      <w:pPr>
        <w:rPr>
          <w:lang w:val="en-GB"/>
        </w:rPr>
      </w:pPr>
    </w:p>
    <w:p w:rsidRPr="00371F74" w:rsidR="002A42BD" w:rsidP="002A42BD" w:rsidRDefault="002A42BD" w14:paraId="0A823596" w14:textId="77777777">
      <w:pPr>
        <w:pStyle w:val="Heading2"/>
      </w:pPr>
      <w:r>
        <w:t xml:space="preserve">ESF var det første EU-finansieringsinstrument, der blev oprettet ved </w:t>
      </w:r>
      <w:proofErr w:type="spellStart"/>
      <w:r>
        <w:t>EUF-traktaten</w:t>
      </w:r>
      <w:proofErr w:type="spellEnd"/>
      <w:r>
        <w:t xml:space="preserve"> (1957) for at "lette arbejdskraftens adgang til beskæftigelse og fremme dens geografiske og faglige bevægelighed inden for Unionen samt lette tilpasningen til industrielle ændringer og til ændringer i produktionssystemerne, navnlig ved erhvervsuddannelse og omskoling". Ved forordning (EU) nr. 1304/2013 af 17. december 2013 fastsættes </w:t>
      </w:r>
      <w:proofErr w:type="spellStart"/>
      <w:r>
        <w:t>ESF's</w:t>
      </w:r>
      <w:proofErr w:type="spellEnd"/>
      <w:r>
        <w:t xml:space="preserve"> opgaver, herunder ungdomsbeskæftigelsesinitiativet, anvendelsesområdet for støtten, de særlige bestemmelser samt, hvilke typer udgifter der er støtteberettigede.</w:t>
      </w:r>
    </w:p>
    <w:p w:rsidRPr="00371F74" w:rsidR="002A42BD" w:rsidP="002A42BD" w:rsidRDefault="002A42BD" w14:paraId="404E8406" w14:textId="77777777">
      <w:pPr>
        <w:rPr>
          <w:lang w:val="en-GB"/>
        </w:rPr>
      </w:pPr>
    </w:p>
    <w:p w:rsidRPr="00371F74" w:rsidR="002A42BD" w:rsidP="002A42BD" w:rsidRDefault="002A42BD" w14:paraId="1F2BAD6D" w14:textId="2E2B8842">
      <w:pPr>
        <w:pStyle w:val="Heading2"/>
      </w:pPr>
      <w:r>
        <w:t xml:space="preserve">I tråd med </w:t>
      </w:r>
      <w:proofErr w:type="spellStart"/>
      <w:r>
        <w:t>EØSU's</w:t>
      </w:r>
      <w:proofErr w:type="spellEnd"/>
      <w:r>
        <w:t xml:space="preserve"> evalueringsmetode er denne rapport udarbejdet på grundlag af resultaterne af landebesøg med fysisk fremmøde og et onlinespørgeskema, der er blevet gennemført i fem EU</w:t>
      </w:r>
      <w:r w:rsidR="00DA6FC1">
        <w:noBreakHyphen/>
      </w:r>
      <w:r>
        <w:t>medlemsstater: Tjekkiet, Italien, Nederlandene, Polen og Spanien. Et teknisk bilag til denne rapport indeholder detaljerede oplysninger om resultaterne af onlinespørgeskemaet og de møder, der er afholdt med interessenter fra ovennævnte lande.</w:t>
      </w:r>
    </w:p>
    <w:p w:rsidRPr="00371F74" w:rsidR="002A42BD" w:rsidP="002A42BD" w:rsidRDefault="002A42BD" w14:paraId="69A900DE" w14:textId="77777777">
      <w:pPr>
        <w:rPr>
          <w:lang w:val="en-GB"/>
        </w:rPr>
      </w:pPr>
    </w:p>
    <w:p w:rsidRPr="00371F74" w:rsidR="002A42BD" w:rsidP="002A42BD" w:rsidRDefault="002A42BD" w14:paraId="13932F6D" w14:textId="77777777">
      <w:pPr>
        <w:pStyle w:val="Heading2"/>
      </w:pPr>
      <w:r>
        <w:t>De vurderinger og holdninger, der kommer til udtryk i denne rapport, kommer fra en repræsentativ gruppe civilsamfundsorganisationer (og offentlige myndigheder) fra de nævnte medlemsstater. Anbefalingerne formidler de synspunkter, der deles af et flertal af repræsentanterne for de civilsamfundsorganisationer, der er blevet hørt.</w:t>
      </w:r>
    </w:p>
    <w:p w:rsidRPr="00371F74" w:rsidR="002A42BD" w:rsidP="002A42BD" w:rsidRDefault="002A42BD" w14:paraId="108F15DC" w14:textId="77777777">
      <w:pPr>
        <w:rPr>
          <w:lang w:val="en-GB"/>
        </w:rPr>
      </w:pPr>
    </w:p>
    <w:p w:rsidRPr="00371F74" w:rsidR="002A42BD" w:rsidP="002A42BD" w:rsidRDefault="002A42BD" w14:paraId="5C46414F" w14:textId="77777777">
      <w:pPr>
        <w:pStyle w:val="Heading1"/>
        <w:keepNext/>
        <w:keepLines/>
        <w:rPr>
          <w:b/>
          <w:bCs/>
        </w:rPr>
      </w:pPr>
      <w:r>
        <w:rPr>
          <w:b/>
        </w:rPr>
        <w:t>Indledende bemærkninger</w:t>
      </w:r>
    </w:p>
    <w:p w:rsidRPr="00371F74" w:rsidR="002A42BD" w:rsidP="002A42BD" w:rsidRDefault="002A42BD" w14:paraId="0E4449DF" w14:textId="77777777">
      <w:pPr>
        <w:keepNext/>
        <w:keepLines/>
        <w:rPr>
          <w:lang w:val="en-GB"/>
        </w:rPr>
      </w:pPr>
    </w:p>
    <w:p w:rsidRPr="00371F74" w:rsidR="002A42BD" w:rsidP="002A42BD" w:rsidRDefault="002A42BD" w14:paraId="6CD29F24" w14:textId="77777777">
      <w:pPr>
        <w:pStyle w:val="Heading2"/>
      </w:pPr>
      <w:r>
        <w:t>67 organisationer, der repræsenterer arbejdsgivere, fagforeninger, civilsamfundsorganisationer og flere offentlige myndigheder på nationalt, regionalt og lokalt plan, blev hørt under de fem landebesøg, og der blev indsamlet 51 bidrag via onlinespørgeskemaet.</w:t>
      </w:r>
    </w:p>
    <w:p w:rsidRPr="00371F74" w:rsidR="002A42BD" w:rsidP="002A42BD" w:rsidRDefault="002A42BD" w14:paraId="67300B95" w14:textId="77777777">
      <w:pPr>
        <w:pStyle w:val="Heading2"/>
        <w:numPr>
          <w:ilvl w:val="0"/>
          <w:numId w:val="0"/>
        </w:numPr>
        <w:rPr>
          <w:lang w:val="en-GB"/>
        </w:rPr>
      </w:pPr>
    </w:p>
    <w:p w:rsidRPr="00371F74" w:rsidR="002A42BD" w:rsidP="002A42BD" w:rsidRDefault="002A42BD" w14:paraId="3939355C" w14:textId="77777777">
      <w:pPr>
        <w:pStyle w:val="Heading2"/>
      </w:pPr>
      <w:r>
        <w:t xml:space="preserve">Onlinespørgeskemaet blev besvaret af 12 repræsentanter for arbejdstagerorganisationer (24 %), 12 repræsentanter for civilsamfundsorganisationer (24 %), ni repræsentanter for arbejdsgiverorganisationer (18 %) og 18 respondenter (35 %), som betragtede sig selv som "andre organisationer". 35 % af respondenterne kom fra Tjekkiet, 25 % fra Spanien, 22 % fra Italien, 10 % fra Polen og 8 % fra Nederlandene. </w:t>
      </w:r>
    </w:p>
    <w:p w:rsidRPr="00371F74" w:rsidR="002A42BD" w:rsidP="002A42BD" w:rsidRDefault="002A42BD" w14:paraId="62C0E947" w14:textId="77777777">
      <w:pPr>
        <w:pStyle w:val="Heading2"/>
        <w:numPr>
          <w:ilvl w:val="0"/>
          <w:numId w:val="0"/>
        </w:numPr>
        <w:rPr>
          <w:lang w:val="en-GB"/>
        </w:rPr>
      </w:pPr>
    </w:p>
    <w:p w:rsidRPr="00371F74" w:rsidR="002A42BD" w:rsidP="002A42BD" w:rsidRDefault="002A42BD" w14:paraId="1DC24759" w14:textId="77777777">
      <w:pPr>
        <w:pStyle w:val="Heading2"/>
      </w:pPr>
      <w:r>
        <w:t xml:space="preserve">68 % af de organisationer, der udfyldte onlinespørgeskemaet, anfører, at de er modtagere af støtte fra ESF eller ungdomsbeskæftigelsesinitiativet, mens 19 % siger, at de drager fordel af foranstaltninger, der medfinansieres af ESF, og 13 % siger, at de drager fordel af foranstaltninger, der medfinansieres af ungdomsbeskæftigelsesinitiativet. </w:t>
      </w:r>
    </w:p>
    <w:p w:rsidRPr="00AE4D0B" w:rsidR="002A42BD" w:rsidP="002A42BD" w:rsidRDefault="002A42BD" w14:paraId="4137F327" w14:textId="77777777">
      <w:pPr>
        <w:pStyle w:val="ListParagraph"/>
        <w:ind w:left="360"/>
        <w:rPr>
          <w:lang w:val="en-GB"/>
        </w:rPr>
      </w:pPr>
    </w:p>
    <w:p w:rsidRPr="00371F74" w:rsidR="002A42BD" w:rsidP="002A42BD" w:rsidRDefault="002A42BD" w14:paraId="1A78067F" w14:textId="77777777">
      <w:pPr>
        <w:pStyle w:val="Heading2"/>
      </w:pPr>
      <w:r>
        <w:lastRenderedPageBreak/>
        <w:t xml:space="preserve">Nogle sociale organisationer og civilsamfundsorganisationer understregede, at kompleksiteten i forvaltningen af ESF gav udfordringer. De administrative og nationale procedurer skulle forenkles for at lette adgangen til fondsprogrammer for mindre organisationer. </w:t>
      </w:r>
    </w:p>
    <w:p w:rsidRPr="00371F74" w:rsidR="002A42BD" w:rsidP="002A42BD" w:rsidRDefault="002A42BD" w14:paraId="099DFC20" w14:textId="77777777">
      <w:pPr>
        <w:pStyle w:val="Heading2"/>
        <w:numPr>
          <w:ilvl w:val="0"/>
          <w:numId w:val="0"/>
        </w:numPr>
        <w:rPr>
          <w:lang w:val="en-GB"/>
        </w:rPr>
      </w:pPr>
    </w:p>
    <w:p w:rsidRPr="00371F74" w:rsidR="002A42BD" w:rsidP="002A42BD" w:rsidRDefault="002A42BD" w14:paraId="0CDDFDC4" w14:textId="77777777">
      <w:pPr>
        <w:pStyle w:val="Heading2"/>
      </w:pPr>
      <w:r>
        <w:t>Arbejdsmarkedsparternes centrale rolle blev fremhævet, og det blev understreget, at arbejdsmarkedsparterne i højere grad bør inddrages i programmeringen, gennemførelsen og evalueringen af ESF, bl.a. med henblik på at fremme den sociale dialog.</w:t>
      </w:r>
    </w:p>
    <w:p w:rsidRPr="00371F74" w:rsidR="002A42BD" w:rsidP="002A42BD" w:rsidRDefault="002A42BD" w14:paraId="3B5D0D23" w14:textId="77777777">
      <w:pPr>
        <w:rPr>
          <w:lang w:val="en-GB"/>
        </w:rPr>
      </w:pPr>
    </w:p>
    <w:p w:rsidRPr="00371F74" w:rsidR="002A42BD" w:rsidP="002A42BD" w:rsidRDefault="002A42BD" w14:paraId="7BCDD5BF" w14:textId="77777777">
      <w:pPr>
        <w:pStyle w:val="Heading1"/>
        <w:keepNext/>
        <w:rPr>
          <w:b/>
          <w:bCs/>
        </w:rPr>
      </w:pPr>
      <w:r>
        <w:rPr>
          <w:b/>
        </w:rPr>
        <w:t>Konklusioner om effektiviteten</w:t>
      </w:r>
    </w:p>
    <w:p w:rsidRPr="00371F74" w:rsidR="002A42BD" w:rsidP="002A42BD" w:rsidRDefault="002A42BD" w14:paraId="228DFF05" w14:textId="77777777">
      <w:pPr>
        <w:keepNext/>
        <w:ind w:left="142" w:hanging="142"/>
        <w:jc w:val="left"/>
        <w:rPr>
          <w:lang w:val="en-GB"/>
        </w:rPr>
      </w:pPr>
    </w:p>
    <w:p w:rsidRPr="00371F74" w:rsidR="002A42BD" w:rsidP="002A42BD" w:rsidRDefault="002A42BD" w14:paraId="3C7D1565" w14:textId="77777777">
      <w:pPr>
        <w:pStyle w:val="Heading2"/>
      </w:pPr>
      <w:r>
        <w:t>De fleste respondenter mente, at ESF fokuserede på ungdomsbeskæftigelsesinitiativet for at nå de tematiske mål for den europæiske samhørighedspolitik. Helt konkret mente de, at ESF fokuserede på fremme af beskæftigelse og støtte til arbejdskraftmobilitet, fremme af social inklusion og bekæmpelse af fattigdom, investering i uddannelse, færdigheder og livslang læring samt styrkelse af kapaciteten hos offentlige forvaltninger og teknisk bistand.</w:t>
      </w:r>
    </w:p>
    <w:p w:rsidRPr="00371F74" w:rsidR="002A42BD" w:rsidP="002A42BD" w:rsidRDefault="002A42BD" w14:paraId="25AA8E79" w14:textId="77777777">
      <w:pPr>
        <w:pStyle w:val="Heading2"/>
        <w:numPr>
          <w:ilvl w:val="0"/>
          <w:numId w:val="0"/>
        </w:numPr>
        <w:rPr>
          <w:lang w:val="en-GB"/>
        </w:rPr>
      </w:pPr>
    </w:p>
    <w:p w:rsidRPr="00371F74" w:rsidR="002A42BD" w:rsidP="002A42BD" w:rsidRDefault="002A42BD" w14:paraId="1B287613" w14:textId="77777777">
      <w:pPr>
        <w:pStyle w:val="Heading2"/>
      </w:pPr>
      <w:r>
        <w:t>Mere end halvdelen af respondenterne (55 %) mente, at ESF kun i beskedent omfang har bidraget til gennemførelsen af den europæiske søjle for sociale rettigheder, mens 6 % ikke svarede eller mente, at den slet ikke har bidraget hertil. De fleste spanske respondenter mente, at ESF i vid udstrækning har bidraget hertil, mens nogle respondenter, som var blevet interviewet i Nederlandene og Polen, mente, at ESF ikke har ydet noget bidrag.</w:t>
      </w:r>
    </w:p>
    <w:p w:rsidRPr="00371F74" w:rsidR="002A42BD" w:rsidP="002A42BD" w:rsidRDefault="002A42BD" w14:paraId="7A4680A1" w14:textId="77777777">
      <w:pPr>
        <w:pStyle w:val="Heading2"/>
        <w:numPr>
          <w:ilvl w:val="0"/>
          <w:numId w:val="0"/>
        </w:numPr>
        <w:rPr>
          <w:lang w:val="en-GB"/>
        </w:rPr>
      </w:pPr>
    </w:p>
    <w:p w:rsidRPr="00371F74" w:rsidR="002A42BD" w:rsidP="002A42BD" w:rsidRDefault="002A42BD" w14:paraId="7DC1967F" w14:textId="77777777">
      <w:pPr>
        <w:pStyle w:val="Heading2"/>
      </w:pPr>
      <w:r>
        <w:t>55 % af respondenterne sagde, at ESF i stort eller moderat omfang har støttet foranstaltninger vedrørende iværksætteri og arbejde samt fremme af og innovation i SMV'er.</w:t>
      </w:r>
    </w:p>
    <w:p w:rsidRPr="00371F74" w:rsidR="002A42BD" w:rsidP="002A42BD" w:rsidRDefault="002A42BD" w14:paraId="06B789A4" w14:textId="77777777">
      <w:pPr>
        <w:pStyle w:val="Heading2"/>
        <w:numPr>
          <w:ilvl w:val="0"/>
          <w:numId w:val="0"/>
        </w:numPr>
        <w:rPr>
          <w:lang w:val="en-GB"/>
        </w:rPr>
      </w:pPr>
    </w:p>
    <w:p w:rsidRPr="00371F74" w:rsidR="002A42BD" w:rsidP="002A42BD" w:rsidRDefault="002A42BD" w14:paraId="4A2803A9" w14:textId="77777777">
      <w:pPr>
        <w:pStyle w:val="Heading2"/>
      </w:pPr>
      <w:r>
        <w:t>Et flertal af respondenterne sagde, at ESF har finansieret foranstaltninger til fremme af beskæftigelsen af unge og kvinder. Kun 47 % af respondenterne mente, at ESF i deres land i stort eller moderat omfang har bidraget til investeringer i fremme af en bedre balance mellem arbejdsliv og privatliv.</w:t>
      </w:r>
    </w:p>
    <w:p w:rsidRPr="00371F74" w:rsidR="002A42BD" w:rsidP="002A42BD" w:rsidRDefault="002A42BD" w14:paraId="7C21553D" w14:textId="77777777">
      <w:pPr>
        <w:pStyle w:val="Heading2"/>
        <w:numPr>
          <w:ilvl w:val="0"/>
          <w:numId w:val="0"/>
        </w:numPr>
        <w:rPr>
          <w:lang w:val="en-GB"/>
        </w:rPr>
      </w:pPr>
    </w:p>
    <w:p w:rsidRPr="00371F74" w:rsidR="002A42BD" w:rsidP="002A42BD" w:rsidRDefault="002A42BD" w14:paraId="25D0061D" w14:textId="77777777">
      <w:pPr>
        <w:pStyle w:val="Heading2"/>
      </w:pPr>
      <w:r>
        <w:t xml:space="preserve">73 % af respondenterne mente, at der var et misforhold mellem udbudte og efterspurgte kvalifikationer i deres respektive lande. Alle polske og italienske respondenter mente, at der var en ubalance mellem efterspørgslen efter og udbuddet af færdigheder i deres lande sammenlignet med 75 % af de nederlandske respondenter, 61 % af de tjekkiske respondenter og 54 % af de spanske respondenter. Hovedparten af respondenterne fremførte, at ESF i moderat omfang har bidraget til investeringerne i højere teknisk uddannelse. </w:t>
      </w:r>
    </w:p>
    <w:p w:rsidRPr="00371F74" w:rsidR="002A42BD" w:rsidP="002A42BD" w:rsidRDefault="002A42BD" w14:paraId="3887513D" w14:textId="77777777">
      <w:pPr>
        <w:pStyle w:val="Heading2"/>
        <w:numPr>
          <w:ilvl w:val="0"/>
          <w:numId w:val="0"/>
        </w:numPr>
        <w:rPr>
          <w:lang w:val="en-GB"/>
        </w:rPr>
      </w:pPr>
    </w:p>
    <w:p w:rsidRPr="00371F74" w:rsidR="002A42BD" w:rsidP="002A42BD" w:rsidRDefault="002A42BD" w14:paraId="3A446EAC" w14:textId="77777777">
      <w:pPr>
        <w:pStyle w:val="Heading2"/>
      </w:pPr>
      <w:r>
        <w:t>64 % af respondenterne anførte, at ESF i deres land har bidraget til at nå målet på 20 % for investeringer i social inklusion og bekæmpelse af fattigdom. Der var ingen væsentlige forskelle mellem landene med undtagelse af Spanien, hvor de fleste respondenter (77 %) sagde, at disse prioriterede foranstaltninger var blevet gennemført.</w:t>
      </w:r>
    </w:p>
    <w:p w:rsidRPr="00371F74" w:rsidR="002A42BD" w:rsidP="002A42BD" w:rsidRDefault="002A42BD" w14:paraId="6E568A55" w14:textId="77777777">
      <w:pPr>
        <w:pStyle w:val="Heading2"/>
        <w:numPr>
          <w:ilvl w:val="0"/>
          <w:numId w:val="0"/>
        </w:numPr>
        <w:rPr>
          <w:lang w:val="en-GB"/>
        </w:rPr>
      </w:pPr>
    </w:p>
    <w:p w:rsidRPr="00371F74" w:rsidR="002A42BD" w:rsidP="002A42BD" w:rsidRDefault="002A42BD" w14:paraId="0905D485" w14:textId="77777777">
      <w:pPr>
        <w:pStyle w:val="Heading2"/>
      </w:pPr>
      <w:r>
        <w:t>65 % af respondenterne sagde, at ESF støttede foranstaltninger til fordel for romaer, 57 % at fonden støttede foranstaltninger til fordel for borgere fra lande uden for EU, og 45 % at den støttede foranstaltninger til fordel for EU-borgere fra andre medlemsstater.</w:t>
      </w:r>
    </w:p>
    <w:p w:rsidRPr="00371F74" w:rsidR="002A42BD" w:rsidP="002A42BD" w:rsidRDefault="002A42BD" w14:paraId="3FB6ACB0" w14:textId="77777777">
      <w:pPr>
        <w:pStyle w:val="Heading2"/>
        <w:numPr>
          <w:ilvl w:val="0"/>
          <w:numId w:val="0"/>
        </w:numPr>
        <w:rPr>
          <w:lang w:val="en-GB"/>
        </w:rPr>
      </w:pPr>
    </w:p>
    <w:p w:rsidRPr="00371F74" w:rsidR="002A42BD" w:rsidP="002A42BD" w:rsidRDefault="002A42BD" w14:paraId="5E0BA285" w14:textId="77777777">
      <w:pPr>
        <w:pStyle w:val="Heading2"/>
      </w:pPr>
      <w:r>
        <w:lastRenderedPageBreak/>
        <w:t xml:space="preserve">36 % af respondenterne mente, at ESF bidrog til at finansiere administrative konsolideringsplaner med henblik på at gøre den offentlige forvaltning mere effektiv i forbindelse med programmeringen og anvendelsen af EU-midler. </w:t>
      </w:r>
    </w:p>
    <w:p w:rsidRPr="00371F74" w:rsidR="002A42BD" w:rsidP="002A42BD" w:rsidRDefault="002A42BD" w14:paraId="7F66A633" w14:textId="77777777">
      <w:pPr>
        <w:rPr>
          <w:lang w:val="en-GB"/>
        </w:rPr>
      </w:pPr>
    </w:p>
    <w:p w:rsidRPr="00371F74" w:rsidR="002A42BD" w:rsidP="002A42BD" w:rsidRDefault="002A42BD" w14:paraId="2002E339" w14:textId="77777777">
      <w:pPr>
        <w:pStyle w:val="Heading2"/>
      </w:pPr>
      <w:r>
        <w:t xml:space="preserve">Under besøget i Italien gentog flertallet af de hørte organisationer, der repræsenterer både arbejdsgivere og fagforeninger, at livslang uddannelse af arbejdstagere er altafgørende. De rejste også spørgsmålet om udelukkelse af de midler, som virksomhederne afsætter til livslang uddannelse af deres arbejdstagere, fra de gældende statsstøtteregler. </w:t>
      </w:r>
    </w:p>
    <w:p w:rsidRPr="00371F74" w:rsidR="002A42BD" w:rsidP="002A42BD" w:rsidRDefault="002A42BD" w14:paraId="29D3BC61" w14:textId="77777777">
      <w:pPr>
        <w:rPr>
          <w:highlight w:val="yellow"/>
          <w:lang w:val="en-GB"/>
        </w:rPr>
      </w:pPr>
    </w:p>
    <w:p w:rsidRPr="00371F74" w:rsidR="002A42BD" w:rsidP="002A42BD" w:rsidRDefault="002A42BD" w14:paraId="3AEE9155" w14:textId="77777777">
      <w:pPr>
        <w:pStyle w:val="Heading1"/>
        <w:keepNext/>
        <w:keepLines/>
        <w:rPr>
          <w:b/>
        </w:rPr>
      </w:pPr>
      <w:r>
        <w:rPr>
          <w:b/>
        </w:rPr>
        <w:t>Konklusioner om relevans</w:t>
      </w:r>
    </w:p>
    <w:p w:rsidRPr="00371F74" w:rsidR="002A42BD" w:rsidP="002A42BD" w:rsidRDefault="002A42BD" w14:paraId="6D4A3747" w14:textId="77777777">
      <w:pPr>
        <w:keepNext/>
        <w:keepLines/>
        <w:rPr>
          <w:lang w:val="en-GB"/>
        </w:rPr>
      </w:pPr>
    </w:p>
    <w:p w:rsidRPr="00371F74" w:rsidR="002A42BD" w:rsidP="002A42BD" w:rsidRDefault="002A42BD" w14:paraId="533790FC" w14:textId="77777777">
      <w:pPr>
        <w:pStyle w:val="Heading2"/>
      </w:pPr>
      <w:r>
        <w:t>78 % af respondenterne sagde, at ESF var fuldt ud eller i det mindste moderat integreret i EFRU, mens 40 % ikke kunne vurdere integrationen med Den Europæiske Landbrugsfond for Udvikling af Landdistrikterne (ELFUL) eller Den Europæiske Fond for Bistand til de Socialt Dårligst Stillede. Med hensyn til EFRU mente næsten 80 %, at den var fuldt ud eller i det mindste moderat integreret med ESF. En flerfondstilgang på programmeringsniveau hilses velkommen.</w:t>
      </w:r>
    </w:p>
    <w:p w:rsidRPr="00371F74" w:rsidR="002A42BD" w:rsidP="002A42BD" w:rsidRDefault="002A42BD" w14:paraId="15C1E67F" w14:textId="77777777">
      <w:pPr>
        <w:rPr>
          <w:lang w:val="en-GB"/>
        </w:rPr>
      </w:pPr>
    </w:p>
    <w:p w:rsidRPr="00371F74" w:rsidR="002A42BD" w:rsidP="002A42BD" w:rsidRDefault="002A42BD" w14:paraId="4AB44C89" w14:textId="77777777">
      <w:pPr>
        <w:pStyle w:val="Heading2"/>
      </w:pPr>
      <w:r>
        <w:t>80 % af respondenterne mente, at der bør være en passende blanding af nationale og regionale programmer for ESF-programmeringen. Kun 14 % mente, at nationale programmer alene var i stand til i tilstrækkelig grad at opfylde borgernes behov, mens 29 % mente, at kun regionale programmer imødekommer folks behov på en meningsfuld måde.</w:t>
      </w:r>
    </w:p>
    <w:p w:rsidRPr="00371F74" w:rsidR="002A42BD" w:rsidP="002A42BD" w:rsidRDefault="002A42BD" w14:paraId="01E8F8AB" w14:textId="77777777">
      <w:pPr>
        <w:pStyle w:val="Heading2"/>
        <w:numPr>
          <w:ilvl w:val="0"/>
          <w:numId w:val="0"/>
        </w:numPr>
        <w:rPr>
          <w:lang w:val="en-GB"/>
        </w:rPr>
      </w:pPr>
    </w:p>
    <w:p w:rsidRPr="00371F74" w:rsidR="002A42BD" w:rsidP="002A42BD" w:rsidRDefault="002A42BD" w14:paraId="619863E1" w14:textId="77777777">
      <w:pPr>
        <w:pStyle w:val="Heading2"/>
      </w:pPr>
      <w:r>
        <w:t>Et flertal af respondenterne mente, at ESF i vid udstrækning eller moderat var blevet integreret i programmet for ungdomsbeskæftigelsesinitiativet. Denne generelt gode vurdering blev observeret hos alle respondenter med undtagelse af arbejdsgivere, som var ligeligt fordelt mellem et negativt og et positivt svar.</w:t>
      </w:r>
    </w:p>
    <w:p w:rsidRPr="00371F74" w:rsidR="002A42BD" w:rsidP="002A42BD" w:rsidRDefault="002A42BD" w14:paraId="2E3C8B94" w14:textId="77777777">
      <w:pPr>
        <w:rPr>
          <w:lang w:val="en-GB"/>
        </w:rPr>
      </w:pPr>
    </w:p>
    <w:p w:rsidRPr="00371F74" w:rsidR="002A42BD" w:rsidP="002A42BD" w:rsidRDefault="002A42BD" w14:paraId="63C37944" w14:textId="77777777">
      <w:pPr>
        <w:pStyle w:val="Heading2"/>
      </w:pPr>
      <w:r>
        <w:t xml:space="preserve">Adspurgt om, hvorvidt der var tilstrækkelig synergi mellem REACT-EU og ESF, svarede mere end en tredjedel af respondenterne nej, og kun 22 % af respondenterne svarede ja. </w:t>
      </w:r>
    </w:p>
    <w:p w:rsidRPr="00371F74" w:rsidR="002A42BD" w:rsidP="002A42BD" w:rsidRDefault="002A42BD" w14:paraId="5D101100" w14:textId="77777777">
      <w:pPr>
        <w:pStyle w:val="Heading2"/>
        <w:numPr>
          <w:ilvl w:val="0"/>
          <w:numId w:val="0"/>
        </w:numPr>
        <w:rPr>
          <w:lang w:val="en-GB"/>
        </w:rPr>
      </w:pPr>
    </w:p>
    <w:p w:rsidRPr="00371F74" w:rsidR="002A42BD" w:rsidP="002A42BD" w:rsidRDefault="002A42BD" w14:paraId="4C690B09" w14:textId="77777777">
      <w:pPr>
        <w:pStyle w:val="Heading2"/>
      </w:pPr>
      <w:r>
        <w:t xml:space="preserve">Adspurgt om, hvorvidt de interesserede parter var klar over, at ESF støtter projekter om grænseoverskridende eller tværnationalt samarbejde, svarede en tredjedel af respondenterne, at de ikke kunne give noget svar, mens 45 % sagde, at ESF yder støtte. </w:t>
      </w:r>
    </w:p>
    <w:p w:rsidRPr="00371F74" w:rsidR="002A42BD" w:rsidP="002A42BD" w:rsidRDefault="002A42BD" w14:paraId="74D93088" w14:textId="77777777">
      <w:pPr>
        <w:pStyle w:val="Heading2"/>
        <w:numPr>
          <w:ilvl w:val="0"/>
          <w:numId w:val="0"/>
        </w:numPr>
        <w:rPr>
          <w:lang w:val="en-GB"/>
        </w:rPr>
      </w:pPr>
    </w:p>
    <w:p w:rsidRPr="00371F74" w:rsidR="002A42BD" w:rsidP="002A42BD" w:rsidRDefault="002A42BD" w14:paraId="4B27D08F" w14:textId="77777777">
      <w:pPr>
        <w:pStyle w:val="Heading2"/>
      </w:pPr>
      <w:r>
        <w:t xml:space="preserve">Omkring halvdelen af de mindre støttemodtagere, SMV'erne og mikrovirksomhederne fremhævede behovet for at forenkle procedurerne for adgang til de muligheder, som ESF tilbyder, da der var lige så mange negative som positive vurderinger. </w:t>
      </w:r>
    </w:p>
    <w:p w:rsidRPr="00371F74" w:rsidR="002A42BD" w:rsidP="002A42BD" w:rsidRDefault="002A42BD" w14:paraId="5178E13A" w14:textId="77777777">
      <w:pPr>
        <w:pStyle w:val="Heading2"/>
        <w:numPr>
          <w:ilvl w:val="0"/>
          <w:numId w:val="0"/>
        </w:numPr>
        <w:rPr>
          <w:lang w:val="en-GB"/>
        </w:rPr>
      </w:pPr>
    </w:p>
    <w:p w:rsidRPr="00371F74" w:rsidR="002A42BD" w:rsidP="002A42BD" w:rsidRDefault="002A42BD" w14:paraId="256561C3" w14:textId="77777777">
      <w:pPr>
        <w:pStyle w:val="Heading2"/>
      </w:pPr>
      <w:r>
        <w:t>Et af spørgsmålene vedrører proceduren for det europæiske semester, og i hvilket omfang ESF har bidraget til at gennemføre de landespecifikke henstillinger. Der blev tegnet et broget billede: 37 % af respondenterne besvarede ikke dette spørgsmål, mens 49 % af dem, der besvarede det, sagde, at ESF i stort eller moderat omfang bidrager til gennemførelsen af de landespecifikke henstillinger.</w:t>
      </w:r>
    </w:p>
    <w:p w:rsidRPr="00371F74" w:rsidR="002A42BD" w:rsidP="002A42BD" w:rsidRDefault="002A42BD" w14:paraId="3D643AB3" w14:textId="77777777">
      <w:pPr>
        <w:rPr>
          <w:lang w:val="en-GB"/>
        </w:rPr>
      </w:pPr>
    </w:p>
    <w:p w:rsidRPr="00371F74" w:rsidR="002A42BD" w:rsidP="002A42BD" w:rsidRDefault="002A42BD" w14:paraId="492CBC18" w14:textId="77777777">
      <w:pPr>
        <w:pStyle w:val="Heading1"/>
        <w:keepNext/>
        <w:keepLines/>
        <w:rPr>
          <w:b/>
        </w:rPr>
      </w:pPr>
      <w:r>
        <w:rPr>
          <w:b/>
        </w:rPr>
        <w:lastRenderedPageBreak/>
        <w:t>Konklusioner om civilsamfundets inddragelse</w:t>
      </w:r>
    </w:p>
    <w:p w:rsidRPr="00371F74" w:rsidR="002A42BD" w:rsidP="002A42BD" w:rsidRDefault="002A42BD" w14:paraId="5438C11B" w14:textId="77777777">
      <w:pPr>
        <w:keepNext/>
        <w:keepLines/>
        <w:rPr>
          <w:lang w:val="en-GB"/>
        </w:rPr>
      </w:pPr>
    </w:p>
    <w:p w:rsidRPr="00371F74" w:rsidR="002A42BD" w:rsidP="002A42BD" w:rsidRDefault="002A42BD" w14:paraId="2055013A" w14:textId="77777777">
      <w:pPr>
        <w:pStyle w:val="Heading2"/>
      </w:pPr>
      <w:r>
        <w:t>80 % af respondenterne sagde, at de var blevet hørt, mens 57 % sagde, at arbejdsmarkedets parter og civilsamfundsorganisationerne inden for rammerne af ESF-programmerne var blevet inddraget i udformningen af foranstaltninger i deres land.</w:t>
      </w:r>
    </w:p>
    <w:p w:rsidRPr="00371F74" w:rsidR="002A42BD" w:rsidP="002A42BD" w:rsidRDefault="002A42BD" w14:paraId="781CCE6E" w14:textId="77777777">
      <w:pPr>
        <w:pStyle w:val="Heading2"/>
        <w:numPr>
          <w:ilvl w:val="0"/>
          <w:numId w:val="0"/>
        </w:numPr>
        <w:rPr>
          <w:lang w:val="en-GB"/>
        </w:rPr>
      </w:pPr>
    </w:p>
    <w:p w:rsidRPr="00371F74" w:rsidR="002A42BD" w:rsidP="002A42BD" w:rsidRDefault="002A42BD" w14:paraId="0428534B" w14:textId="77777777">
      <w:pPr>
        <w:pStyle w:val="Heading2"/>
      </w:pPr>
      <w:r>
        <w:t xml:space="preserve">Adspurgt om, hvorvidt ESF-programmerne er i tråd med den europæiske adfærdskodeks for partnerskab, for så vidt angår høring af arbejdsmarkedets parter og civilsamfundsorganisationer, svarede flertallet af respondenterne bekræftende, selv om mange udtrykte, at de ikke kunne svare herpå, eller undlod at svare. 43 % af respondenterne svarede ja, 24 % moderat, 10 % for det meste ikke, og 24 % kunne enten ikke svare herpå eller undlod at svare. </w:t>
      </w:r>
    </w:p>
    <w:p w:rsidRPr="00371F74" w:rsidR="002A42BD" w:rsidP="002A42BD" w:rsidRDefault="002A42BD" w14:paraId="1A100524" w14:textId="77777777">
      <w:pPr>
        <w:pStyle w:val="Heading2"/>
        <w:numPr>
          <w:ilvl w:val="0"/>
          <w:numId w:val="0"/>
        </w:numPr>
        <w:rPr>
          <w:lang w:val="en-GB"/>
        </w:rPr>
      </w:pPr>
    </w:p>
    <w:p w:rsidRPr="00371F74" w:rsidR="002A42BD" w:rsidP="002A42BD" w:rsidRDefault="002A42BD" w14:paraId="73A205F3" w14:textId="77777777">
      <w:pPr>
        <w:pStyle w:val="Heading2"/>
      </w:pPr>
      <w:r>
        <w:t xml:space="preserve">Adspurgt om, hvorvidt overvågningsudvalgene tog hensyn til udtalelserne fra arbejdsmarkedets parter og andre civilsamfundsorganisationer, svarede 24 % af respondenterne ja, 41 % moderat, 10 % for det meste ikke, og 25 % nej eller "ved ikke". </w:t>
      </w:r>
    </w:p>
    <w:p w:rsidRPr="00371F74" w:rsidR="002A42BD" w:rsidP="002A42BD" w:rsidRDefault="002A42BD" w14:paraId="29CB2D3F" w14:textId="77777777">
      <w:pPr>
        <w:pStyle w:val="Heading2"/>
        <w:numPr>
          <w:ilvl w:val="0"/>
          <w:numId w:val="0"/>
        </w:numPr>
        <w:rPr>
          <w:lang w:val="en-GB"/>
        </w:rPr>
      </w:pPr>
    </w:p>
    <w:p w:rsidRPr="00371F74" w:rsidR="002A42BD" w:rsidP="00371F74" w:rsidRDefault="002A42BD" w14:paraId="72938800" w14:textId="77777777">
      <w:pPr>
        <w:pStyle w:val="Heading2"/>
      </w:pPr>
      <w:r>
        <w:t xml:space="preserve">Kun 16 % af respondenterne svarede, at ESF-programmerne havde finansieret projekter om institutionel kapacitetsopbygning hos arbejdsmarkedets parter og civilsamfundsorganisationer, 24 % moderat, 29 % for det meste ikke, og 26 % "ved ikke". </w:t>
      </w:r>
    </w:p>
    <w:p w:rsidRPr="00371F74" w:rsidR="002A42BD" w:rsidP="002A42BD" w:rsidRDefault="002A42BD" w14:paraId="20D55818" w14:textId="77777777">
      <w:pPr>
        <w:pStyle w:val="Heading2"/>
        <w:numPr>
          <w:ilvl w:val="0"/>
          <w:numId w:val="0"/>
        </w:numPr>
        <w:rPr>
          <w:lang w:val="en-GB"/>
        </w:rPr>
      </w:pPr>
    </w:p>
    <w:p w:rsidRPr="00371F74" w:rsidR="002A42BD" w:rsidP="002A42BD" w:rsidRDefault="002A42BD" w14:paraId="33A1605E" w14:textId="77777777">
      <w:pPr>
        <w:pStyle w:val="Heading2"/>
      </w:pPr>
      <w:r>
        <w:t>18 % af respondenterne svarede, at ESF finansierede teknisk bistand til arbejdsmarkedets parter og civilsamfundsorganisationer med henblik på indsendelse af projekter, 30 % at ESF ydede moderat teknisk bistand, 20 % at støtten var begrænset, og yderligere 12 % at ESF overhovedet ikke finansierede teknisk bistand.</w:t>
      </w:r>
    </w:p>
    <w:p w:rsidRPr="00371F74" w:rsidR="002A42BD" w:rsidP="002A42BD" w:rsidRDefault="002A42BD" w14:paraId="50FAD335" w14:textId="77777777">
      <w:pPr>
        <w:pStyle w:val="Heading2"/>
        <w:numPr>
          <w:ilvl w:val="0"/>
          <w:numId w:val="0"/>
        </w:numPr>
        <w:rPr>
          <w:lang w:val="en-GB"/>
        </w:rPr>
      </w:pPr>
    </w:p>
    <w:p w:rsidRPr="00371F74" w:rsidR="002A42BD" w:rsidP="002A42BD" w:rsidRDefault="002A42BD" w14:paraId="41858905" w14:textId="77777777">
      <w:pPr>
        <w:pStyle w:val="Heading2"/>
      </w:pPr>
      <w:r>
        <w:t>78 % af respondenterne svarede, at kommunikationen og informationen fra ESF-programmerne var tilstrækkelig, mens 16 % svarede, at den for det meste var utilstrækkelig, og kun 4 %, at den slet ikke var tilstrækkelig.</w:t>
      </w:r>
    </w:p>
    <w:p w:rsidRPr="00371F74" w:rsidR="002A42BD" w:rsidP="002A42BD" w:rsidRDefault="002A42BD" w14:paraId="3AE66CD1" w14:textId="77777777">
      <w:pPr>
        <w:rPr>
          <w:lang w:val="en-GB"/>
        </w:rPr>
      </w:pPr>
    </w:p>
    <w:p w:rsidRPr="00371F74" w:rsidR="002A42BD" w:rsidP="002A42BD" w:rsidRDefault="002A42BD" w14:paraId="34E96C43" w14:textId="77777777">
      <w:pPr>
        <w:pStyle w:val="Heading1"/>
        <w:keepNext/>
        <w:keepLines/>
        <w:rPr>
          <w:b/>
        </w:rPr>
      </w:pPr>
      <w:r>
        <w:rPr>
          <w:b/>
        </w:rPr>
        <w:t>Anbefalinger</w:t>
      </w:r>
    </w:p>
    <w:p w:rsidRPr="00371F74" w:rsidR="002A42BD" w:rsidP="002A42BD" w:rsidRDefault="002A42BD" w14:paraId="79EB141D" w14:textId="77777777">
      <w:pPr>
        <w:keepNext/>
        <w:keepLines/>
        <w:rPr>
          <w:lang w:val="en-GB"/>
        </w:rPr>
      </w:pPr>
    </w:p>
    <w:p w:rsidRPr="00371F74" w:rsidR="002A42BD" w:rsidP="002A42BD" w:rsidRDefault="002A42BD" w14:paraId="4A6F8B34" w14:textId="77777777">
      <w:pPr>
        <w:pStyle w:val="Heading2"/>
      </w:pPr>
      <w:r>
        <w:t>ESF har bidraget til at fremme beskæftigelsesegnetheden, almen uddannelse og erhvervsuddannelse og til at bekæmpe social udstødelse. Der er imidlertid behov for mere fokus på uddannelse.</w:t>
      </w:r>
    </w:p>
    <w:p w:rsidRPr="00371F74" w:rsidR="002A42BD" w:rsidP="002A42BD" w:rsidRDefault="002A42BD" w14:paraId="71B84548" w14:textId="77777777">
      <w:pPr>
        <w:rPr>
          <w:lang w:val="en-GB"/>
        </w:rPr>
      </w:pPr>
    </w:p>
    <w:p w:rsidRPr="00371F74" w:rsidR="002A42BD" w:rsidP="002A42BD" w:rsidRDefault="002A42BD" w14:paraId="4546BFB6" w14:textId="77777777">
      <w:pPr>
        <w:pStyle w:val="Heading2"/>
      </w:pPr>
      <w:r>
        <w:t>Der er behov for investeringer for at løse problemer i forbindelse med misforhold på arbejdsmarkedet, navnlig for kvinder, unge, langtidsledige, migranter og de mest sårbare, herunder personer med handicap. Der er behov for flere finansielle og menneskelige ressourcer for at styrke de offentlige arbejdsformidlinger. Desuden vil en vedvarende inddragelse af arbejdsmarkedets parter og civilsamfundsorganisationer hjælpe de offentlige myndigheder med at opfylde de forskellige samfundsgruppers specifikke behov.</w:t>
      </w:r>
    </w:p>
    <w:p w:rsidRPr="00371F74" w:rsidR="002A42BD" w:rsidP="002A42BD" w:rsidRDefault="002A42BD" w14:paraId="463579F7" w14:textId="77777777">
      <w:pPr>
        <w:rPr>
          <w:lang w:val="en-GB"/>
        </w:rPr>
      </w:pPr>
    </w:p>
    <w:p w:rsidRPr="00371F74" w:rsidR="002A42BD" w:rsidP="002A42BD" w:rsidRDefault="002A42BD" w14:paraId="0C94D233" w14:textId="77777777">
      <w:pPr>
        <w:pStyle w:val="Heading2"/>
      </w:pPr>
      <w:r>
        <w:t>Der bør investeres mere i et inklusivt uddannelsessystem af høj kvalitet for at afhjælpe kvalifikationskløften og underbeskæftigelsen og udvide uddannelsesmulighederne og rimelige arbejdsvilkår til at omfatte arbejdstagere i nye former for beskæftigelse.</w:t>
      </w:r>
    </w:p>
    <w:p w:rsidRPr="00371F74" w:rsidR="002A42BD" w:rsidP="002A42BD" w:rsidRDefault="002A42BD" w14:paraId="44509D5C" w14:textId="77777777">
      <w:pPr>
        <w:rPr>
          <w:lang w:val="en-GB"/>
        </w:rPr>
      </w:pPr>
    </w:p>
    <w:p w:rsidRPr="00371F74" w:rsidR="002A42BD" w:rsidP="002A42BD" w:rsidRDefault="002A42BD" w14:paraId="63B19A0D" w14:textId="77777777">
      <w:pPr>
        <w:pStyle w:val="Heading2"/>
      </w:pPr>
      <w:r>
        <w:lastRenderedPageBreak/>
        <w:t xml:space="preserve">Livslang læring er en grundlæggende løftestang for at fremme innovation og sætte arbejdstagere og arbejdsgivere i stand til at håndtere de forandringer, der ligger til grund for den digitale og den grønne omstilling, og dermed overvinde den naturlige modstand mod forandringer. Netop derfor er det nødvendigt at revidere chartret om statsstøtte for at udelukke de midler, som virksomhederne afsætter til livslang uddannelse af deres ansatte. </w:t>
      </w:r>
    </w:p>
    <w:p w:rsidRPr="00371F74" w:rsidR="002A42BD" w:rsidP="002A42BD" w:rsidRDefault="002A42BD" w14:paraId="2F6FD770" w14:textId="77777777">
      <w:pPr>
        <w:rPr>
          <w:lang w:val="en-GB"/>
        </w:rPr>
      </w:pPr>
    </w:p>
    <w:p w:rsidRPr="00371F74" w:rsidR="002A42BD" w:rsidP="002A42BD" w:rsidRDefault="002A42BD" w14:paraId="70A8C10C" w14:textId="77777777">
      <w:pPr>
        <w:pStyle w:val="Heading2"/>
      </w:pPr>
      <w:r>
        <w:t xml:space="preserve">Støtte til reel iværksætteri og selvstændig erhvervsvirksomhed anbefales og bør omfatte adgang til kredit og finansiel uddannelse. En passende andel af ESF-midlerne bør derfor øremærkes til projekter, der ledes af mindre organisationer. </w:t>
      </w:r>
    </w:p>
    <w:p w:rsidRPr="00371F74" w:rsidR="002A42BD" w:rsidP="002A42BD" w:rsidRDefault="002A42BD" w14:paraId="1502CFA4" w14:textId="77777777">
      <w:pPr>
        <w:rPr>
          <w:lang w:val="en-GB"/>
        </w:rPr>
      </w:pPr>
    </w:p>
    <w:p w:rsidRPr="00371F74" w:rsidR="002A42BD" w:rsidP="002A42BD" w:rsidRDefault="002A42BD" w14:paraId="27E477CF" w14:textId="77777777">
      <w:pPr>
        <w:pStyle w:val="Heading2"/>
      </w:pPr>
      <w:r>
        <w:t xml:space="preserve">Der skal i højere grad tages hånd om demografiske ændringer i fremtiden for at sikre en tilstrækkelig og bæredygtig social beskyttelse for alle gennem hele livet. </w:t>
      </w:r>
    </w:p>
    <w:p w:rsidRPr="00371F74" w:rsidR="002A42BD" w:rsidP="002A42BD" w:rsidRDefault="002A42BD" w14:paraId="02D500A4" w14:textId="77777777">
      <w:pPr>
        <w:rPr>
          <w:lang w:val="en-GB"/>
        </w:rPr>
      </w:pPr>
    </w:p>
    <w:p w:rsidRPr="00371F74" w:rsidR="002A42BD" w:rsidP="002A42BD" w:rsidRDefault="002A42BD" w14:paraId="40864F25" w14:textId="77777777">
      <w:pPr>
        <w:pStyle w:val="Heading2"/>
      </w:pPr>
      <w:r>
        <w:t xml:space="preserve">Det anbefales at anvende ressourcer i tjenester for børn i alderen 0-6 år til at øge fuldtidsudbuddet på alle skoler på alle niveauer og indføre supplerende tjenester inden for langtidsplejetjenester. Disse tjenester bør gøres tilgængelige og økonomisk overkommelige for lavindkomsthusstande for at forbedre beskæftigelsesegnetheden og den socioøkonomiske integration af marginaliserede grupper, herunder hjemløse, og støtte integrationen af migranter. </w:t>
      </w:r>
    </w:p>
    <w:p w:rsidRPr="00371F74" w:rsidR="002A42BD" w:rsidP="002A42BD" w:rsidRDefault="002A42BD" w14:paraId="7B9727CA" w14:textId="77777777">
      <w:pPr>
        <w:rPr>
          <w:lang w:val="en-GB"/>
        </w:rPr>
      </w:pPr>
    </w:p>
    <w:p w:rsidRPr="00371F74" w:rsidR="002A42BD" w:rsidP="002A42BD" w:rsidRDefault="002A42BD" w14:paraId="70DE700F" w14:textId="77777777">
      <w:pPr>
        <w:pStyle w:val="Heading2"/>
      </w:pPr>
      <w:r>
        <w:t>Adgangen til sociale og sundhedsmæssige tjenester samt boligtjenester skal forbedres, og der skal tages skridt til at gøre disse tjenester økonomisk overkommelige og bæredygtige og sikre, at de er af en tilstrækkelig kvalitet. ESF bør støtte fælles planlægning af tiltag og initiativer, der fremmes af socialøkonomiske enheder.</w:t>
      </w:r>
    </w:p>
    <w:p w:rsidRPr="00371F74" w:rsidR="002A42BD" w:rsidP="002A42BD" w:rsidRDefault="002A42BD" w14:paraId="207DDD12" w14:textId="77777777">
      <w:pPr>
        <w:rPr>
          <w:lang w:val="en-GB"/>
        </w:rPr>
      </w:pPr>
    </w:p>
    <w:p w:rsidRPr="00371F74" w:rsidR="002A42BD" w:rsidP="002A42BD" w:rsidRDefault="002A42BD" w14:paraId="1796CB7E" w14:textId="77777777">
      <w:pPr>
        <w:pStyle w:val="Heading2"/>
      </w:pPr>
      <w:r>
        <w:t>Foranstaltninger vedrørende forvaltning og administrativ kapacitet inden for den offentlige sektor bør videreføres for at sætte de offentlige forvaltninger i stand til at forvalte de europæiske samhørighedsfonde mere effektivt.</w:t>
      </w:r>
    </w:p>
    <w:p w:rsidRPr="00371F74" w:rsidR="002A42BD" w:rsidP="002A42BD" w:rsidRDefault="002A42BD" w14:paraId="0F094CFC" w14:textId="77777777">
      <w:pPr>
        <w:rPr>
          <w:lang w:val="en-GB"/>
        </w:rPr>
      </w:pPr>
    </w:p>
    <w:p w:rsidRPr="00371F74" w:rsidR="002A42BD" w:rsidP="002A42BD" w:rsidRDefault="002A42BD" w14:paraId="72DB1977" w14:textId="77777777">
      <w:pPr>
        <w:pStyle w:val="Heading2"/>
      </w:pPr>
      <w:r>
        <w:t xml:space="preserve">Inden for rammerne af ESF-programmerne skal man sikre en rimelig balance med hensyn til forvaltningen af nationale og regionale programmer og samtidig sørge for, at man undgår dobbeltarbejde. </w:t>
      </w:r>
    </w:p>
    <w:p w:rsidRPr="00371F74" w:rsidR="002A42BD" w:rsidP="002A42BD" w:rsidRDefault="002A42BD" w14:paraId="5A6CD3BA" w14:textId="77777777">
      <w:pPr>
        <w:rPr>
          <w:lang w:val="en-GB"/>
        </w:rPr>
      </w:pPr>
    </w:p>
    <w:p w:rsidRPr="00371F74" w:rsidR="002A42BD" w:rsidP="002A42BD" w:rsidRDefault="002A42BD" w14:paraId="1C037D2F" w14:textId="77777777">
      <w:pPr>
        <w:pStyle w:val="Heading2"/>
      </w:pPr>
      <w:r>
        <w:t xml:space="preserve">For at undgå dobbeltarbejde og overlapninger mellem de forskellige europæiske fonde og programmer skal de nationale myndigheder tilskyndes til at sikre en passende koordinering med henblik på at kortlægge mulige synergier mellem ESF-programmer og andre EU-programmer. </w:t>
      </w:r>
    </w:p>
    <w:p w:rsidRPr="00371F74" w:rsidR="002A42BD" w:rsidP="002A42BD" w:rsidRDefault="002A42BD" w14:paraId="4CE63C28" w14:textId="77777777">
      <w:pPr>
        <w:rPr>
          <w:lang w:val="en-GB"/>
        </w:rPr>
      </w:pPr>
    </w:p>
    <w:p w:rsidRPr="00371F74" w:rsidR="002A42BD" w:rsidP="002A42BD" w:rsidRDefault="002A42BD" w14:paraId="379E9A55" w14:textId="77777777">
      <w:pPr>
        <w:pStyle w:val="Heading2"/>
      </w:pPr>
      <w:r>
        <w:t xml:space="preserve">Det anbefales at forbedre synergien og komplementariteten mellem de programmer, der finansieres af ESF, EFRU, ELFUL og </w:t>
      </w:r>
      <w:proofErr w:type="spellStart"/>
      <w:r>
        <w:t>NextGenerationEU</w:t>
      </w:r>
      <w:proofErr w:type="spellEnd"/>
      <w:r>
        <w:t>. Dette vil ligeledes bidrage til at slå bro over kløften mellem programmeringsperioderne.</w:t>
      </w:r>
    </w:p>
    <w:p w:rsidRPr="00371F74" w:rsidR="002A42BD" w:rsidP="002A42BD" w:rsidRDefault="002A42BD" w14:paraId="5A937383" w14:textId="77777777">
      <w:pPr>
        <w:rPr>
          <w:lang w:val="en-GB"/>
        </w:rPr>
      </w:pPr>
    </w:p>
    <w:p w:rsidRPr="00371F74" w:rsidR="002A42BD" w:rsidP="002A42BD" w:rsidRDefault="002A42BD" w14:paraId="65C3511D" w14:textId="77777777">
      <w:pPr>
        <w:pStyle w:val="Heading2"/>
      </w:pPr>
      <w:r>
        <w:t>De programmer, der medfinansieres af ESF, skal medtages i det europæiske semester for på en retfærdig og gensidigt understøttende måde at løfte de vigtigste økonomiske og sociale udfordringer, som medlemsstaterne står over for.</w:t>
      </w:r>
    </w:p>
    <w:p w:rsidRPr="00371F74" w:rsidR="002A42BD" w:rsidP="002A42BD" w:rsidRDefault="002A42BD" w14:paraId="28E70343" w14:textId="77777777">
      <w:pPr>
        <w:rPr>
          <w:lang w:val="en-GB"/>
        </w:rPr>
      </w:pPr>
    </w:p>
    <w:p w:rsidRPr="00371F74" w:rsidR="002A42BD" w:rsidP="002A42BD" w:rsidRDefault="002A42BD" w14:paraId="4174F76F" w14:textId="77777777">
      <w:pPr>
        <w:pStyle w:val="Heading2"/>
      </w:pPr>
      <w:r>
        <w:t xml:space="preserve">En omfattende og reel inddragelse af de berørte parter er en forudsætning for, at gennemførelsen af samhørighedspolitikken bliver effektiv. Det er derfor afgørende at sikre en struktureret høring </w:t>
      </w:r>
      <w:r>
        <w:lastRenderedPageBreak/>
        <w:t xml:space="preserve">og konsekvent inddragelse af arbejdsmarkedets parter og civilsamfundsorganisationerne i alle faser af gennemførelsen af ESF-programmerne, lige fra programmering til gennemførelse, overvågning og evaluering, herunder udveksling af bedste praksis og erfaringer på tværs af grænserne. </w:t>
      </w:r>
    </w:p>
    <w:p w:rsidRPr="00371F74" w:rsidR="002A42BD" w:rsidP="002A42BD" w:rsidRDefault="002A42BD" w14:paraId="3F452BD9" w14:textId="77777777">
      <w:pPr>
        <w:rPr>
          <w:lang w:val="en-GB"/>
        </w:rPr>
      </w:pPr>
    </w:p>
    <w:p w:rsidRPr="00371F74" w:rsidR="002A42BD" w:rsidP="002A42BD" w:rsidRDefault="002A42BD" w14:paraId="5BB00B75" w14:textId="77777777">
      <w:pPr>
        <w:pStyle w:val="Heading2"/>
      </w:pPr>
      <w:r>
        <w:t xml:space="preserve">EØSU understreger behovet for at inddrage bidrag i beslutningsprocesserne på en meningsfuld måde. Arbejdsmarkedets parter og civilsamfundsorganisationer bør tildeles en reel rolle i overvågningsudvalgene, som går videre end de formelle krav. </w:t>
      </w:r>
    </w:p>
    <w:p w:rsidRPr="00371F74" w:rsidR="002A42BD" w:rsidP="002A42BD" w:rsidRDefault="002A42BD" w14:paraId="0BB4695D" w14:textId="77777777">
      <w:pPr>
        <w:rPr>
          <w:lang w:val="en-GB"/>
        </w:rPr>
      </w:pPr>
    </w:p>
    <w:p w:rsidRPr="00371F74" w:rsidR="002A42BD" w:rsidP="002A42BD" w:rsidRDefault="002A42BD" w14:paraId="233AD0CE" w14:textId="77777777">
      <w:pPr>
        <w:pStyle w:val="Heading2"/>
      </w:pPr>
      <w:r>
        <w:t>Der er behov for passende ESF-finansiering for at forbedre arbejdsmarkedets parters og civilsamfundsorganisationernes kapacitet til at styrke den sociale og civile dialog.</w:t>
      </w:r>
    </w:p>
    <w:p w:rsidRPr="00371F74" w:rsidR="002A42BD" w:rsidP="002A42BD" w:rsidRDefault="002A42BD" w14:paraId="22693545" w14:textId="77777777">
      <w:pPr>
        <w:rPr>
          <w:lang w:val="en-GB"/>
        </w:rPr>
      </w:pPr>
    </w:p>
    <w:p w:rsidRPr="00371F74" w:rsidR="002A42BD" w:rsidP="002A42BD" w:rsidRDefault="002A42BD" w14:paraId="392D6804" w14:textId="77777777">
      <w:pPr>
        <w:pStyle w:val="Heading2"/>
      </w:pPr>
      <w:r>
        <w:t>Arbejdsmarkedets parter og civilsamfundet har nogle gange kun få dage til at bidrage til beslutningstagningen, hvilket meget vel kan underminere deres deltagelse. Det er derfor vigtigt at forlænge fristerne, så arbejdsmarkedets parter og civilsamfundsorganisationerne kan tilkendegive deres holdning.</w:t>
      </w:r>
    </w:p>
    <w:p w:rsidRPr="00371F74" w:rsidR="002A42BD" w:rsidP="002A42BD" w:rsidRDefault="002A42BD" w14:paraId="1DFC3407" w14:textId="77777777">
      <w:pPr>
        <w:rPr>
          <w:lang w:val="en-GB"/>
        </w:rPr>
      </w:pPr>
    </w:p>
    <w:p w:rsidRPr="00371F74" w:rsidR="002A42BD" w:rsidP="002A42BD" w:rsidRDefault="002A42BD" w14:paraId="6F64AA76" w14:textId="77777777">
      <w:pPr>
        <w:pStyle w:val="Heading2"/>
      </w:pPr>
      <w:r>
        <w:t>En gennemsigtig kommunikation er en integreret del af ESF-programmeringen. Interessenterne og de operationelle programmers forvaltningssystem bør derfor forbedre deres informations- og kommunikationsmekanismer, undgå jargon og akronymer og anlægge en mindre bureaukratisk tilgang.</w:t>
      </w:r>
    </w:p>
    <w:p w:rsidRPr="00371F74" w:rsidR="002A42BD" w:rsidP="002A42BD" w:rsidRDefault="002A42BD" w14:paraId="03EC5A5F" w14:textId="77777777">
      <w:pPr>
        <w:rPr>
          <w:lang w:val="en-GB"/>
        </w:rPr>
      </w:pPr>
    </w:p>
    <w:p w:rsidRPr="00371F74" w:rsidR="002A42BD" w:rsidP="002A42BD" w:rsidRDefault="002A42BD" w14:paraId="1D539866" w14:textId="77777777">
      <w:pPr>
        <w:pStyle w:val="Heading2"/>
      </w:pPr>
      <w:r>
        <w:t>Forenkling af procedurerne er fortsat en forudsætning for at forbedre adgangen til de finansieringsmuligheder, som ESF tilbyder for initiativer til fremme af beskæftigelse, uddannelse og bekæmpelse af fattigdom.</w:t>
      </w:r>
    </w:p>
    <w:p w:rsidRPr="00371F74" w:rsidR="002A42BD" w:rsidP="002A42BD" w:rsidRDefault="002A42BD" w14:paraId="2B0A4923" w14:textId="77777777">
      <w:pPr>
        <w:rPr>
          <w:lang w:val="en-GB"/>
        </w:rPr>
      </w:pPr>
    </w:p>
    <w:p w:rsidRPr="00371F74" w:rsidR="002A42BD" w:rsidP="002A42BD" w:rsidRDefault="002A42BD" w14:paraId="44A49383" w14:textId="77777777">
      <w:r>
        <w:t>Bruxelles, den 24. april 2024.</w:t>
      </w:r>
    </w:p>
    <w:p w:rsidRPr="00371F74" w:rsidR="002A42BD" w:rsidP="002A42BD" w:rsidRDefault="002A42BD" w14:paraId="78BBF396" w14:textId="77777777">
      <w:pPr>
        <w:rPr>
          <w:lang w:val="en-GB"/>
        </w:rPr>
      </w:pPr>
    </w:p>
    <w:p w:rsidRPr="00371F74" w:rsidR="002A42BD" w:rsidP="002A42BD" w:rsidRDefault="002A42BD" w14:paraId="5D7CAA04" w14:textId="77777777">
      <w:pPr>
        <w:jc w:val="left"/>
        <w:rPr>
          <w:lang w:val="en-GB"/>
        </w:rPr>
      </w:pPr>
    </w:p>
    <w:p w:rsidR="002A42BD" w:rsidP="002A42BD" w:rsidRDefault="002A42BD" w14:paraId="36AF360E" w14:textId="264CF7B3">
      <w:pPr>
        <w:jc w:val="left"/>
        <w:rPr>
          <w:lang w:val="en-GB"/>
        </w:rPr>
      </w:pPr>
    </w:p>
    <w:p w:rsidRPr="00371F74" w:rsidR="00DA6FC1" w:rsidP="002A42BD" w:rsidRDefault="00DA6FC1" w14:paraId="71C7573B" w14:textId="1CDEAD03">
      <w:pPr>
        <w:jc w:val="left"/>
        <w:rPr>
          <w:lang w:val="en-GB"/>
        </w:rPr>
      </w:pPr>
      <w:r>
        <w:t xml:space="preserve">Oliver </w:t>
      </w:r>
      <w:proofErr w:type="spellStart"/>
      <w:r>
        <w:t>Röpke</w:t>
      </w:r>
      <w:proofErr w:type="spellEnd"/>
    </w:p>
    <w:p w:rsidRPr="00371F74" w:rsidR="00373830" w:rsidP="002A42BD" w:rsidRDefault="00914286" w14:paraId="7AB97DE4" w14:textId="77777777">
      <w:pPr>
        <w:jc w:val="left"/>
      </w:pPr>
      <w:r>
        <w:rPr>
          <w:i/>
        </w:rPr>
        <w:t>Formand for Det Europæiske Økonomiske og Sociale Udvalg</w:t>
      </w:r>
      <w:r>
        <w:t xml:space="preserve"> </w:t>
      </w:r>
    </w:p>
    <w:p w:rsidR="00914286" w:rsidP="002A42BD" w:rsidRDefault="00914286" w14:paraId="391F869E" w14:textId="24E5DEEC">
      <w:pPr>
        <w:jc w:val="left"/>
        <w:rPr>
          <w:kern w:val="28"/>
        </w:rPr>
      </w:pPr>
    </w:p>
    <w:p w:rsidRPr="00371F74" w:rsidR="00F53370" w:rsidP="00DB7F50" w:rsidRDefault="00E2376B" w14:paraId="7EA5A4B9" w14:textId="77777777">
      <w:pPr>
        <w:jc w:val="center"/>
      </w:pPr>
      <w:r>
        <w:t>_____________</w:t>
      </w:r>
    </w:p>
    <w:p w:rsidRPr="00AE4D0B" w:rsidR="003B556B" w:rsidP="00DB7F50" w:rsidRDefault="003B556B" w14:paraId="33AD4B76" w14:textId="77777777">
      <w:pPr>
        <w:jc w:val="center"/>
        <w:rPr>
          <w:lang w:val="en-GB"/>
        </w:rPr>
      </w:pPr>
    </w:p>
    <w:sectPr w:rsidRPr="00AE4D0B" w:rsidR="003B556B" w:rsidSect="001E74A1">
      <w:headerReference w:type="even" r:id="rId21"/>
      <w:headerReference w:type="default" r:id="rId22"/>
      <w:footerReference w:type="default" r:id="rId23"/>
      <w:headerReference w:type="first" r:id="rId24"/>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46E73" w14:textId="77777777" w:rsidR="00337567" w:rsidRDefault="00337567" w:rsidP="00F53370">
      <w:pPr>
        <w:spacing w:line="240" w:lineRule="auto"/>
      </w:pPr>
      <w:r>
        <w:separator/>
      </w:r>
    </w:p>
  </w:endnote>
  <w:endnote w:type="continuationSeparator" w:id="0">
    <w:p w14:paraId="3DAD472E" w14:textId="77777777" w:rsidR="00337567" w:rsidRDefault="00337567" w:rsidP="00F53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372C2" w14:textId="77777777" w:rsidR="00BA3214" w:rsidRDefault="00BA32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230F8" w14:textId="77777777" w:rsidR="00BA3214" w:rsidRDefault="00BA32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15931" w14:textId="77777777" w:rsidR="00BA3214" w:rsidRDefault="00BA32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8E146" w14:textId="77777777" w:rsidR="00574C9B" w:rsidRDefault="00574C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AF29E" w14:textId="493AC009" w:rsidR="0084105C" w:rsidRPr="003065C9" w:rsidRDefault="00914286" w:rsidP="00914286">
    <w:pPr>
      <w:pStyle w:val="Footer"/>
      <w:jc w:val="left"/>
    </w:pPr>
    <w:r>
      <w:t xml:space="preserve">SOC/754 – EESC-2023-02717-00-00-RE-TRA (EN) </w:t>
    </w:r>
    <w:r>
      <w:fldChar w:fldCharType="begin"/>
    </w:r>
    <w:r>
      <w:instrText xml:space="preserve"> PAGE  \* Arabic  \* MERGEFORMAT </w:instrText>
    </w:r>
    <w:r>
      <w:fldChar w:fldCharType="separate"/>
    </w:r>
    <w:r>
      <w:t>6</w:t>
    </w:r>
    <w:r>
      <w:fldChar w:fldCharType="end"/>
    </w:r>
    <w:r>
      <w:t>/</w:t>
    </w:r>
    <w:r>
      <w:fldChar w:fldCharType="begin"/>
    </w:r>
    <w:r>
      <w:instrText xml:space="preserve"> = </w:instrText>
    </w:r>
    <w:fldSimple w:instr=" NUMPAGES ">
      <w:r w:rsidR="000E4CAE">
        <w:rPr>
          <w:noProof/>
        </w:rPr>
        <w:instrText>8</w:instrText>
      </w:r>
    </w:fldSimple>
    <w:r>
      <w:instrText xml:space="preserve"> - 2 </w:instrText>
    </w:r>
    <w:r>
      <w:fldChar w:fldCharType="separate"/>
    </w:r>
    <w:r w:rsidR="000E4CAE">
      <w:rPr>
        <w:noProof/>
      </w:rPr>
      <w:t>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B0B46" w14:textId="77777777" w:rsidR="00337567" w:rsidRDefault="00337567" w:rsidP="00F53370">
      <w:pPr>
        <w:spacing w:line="240" w:lineRule="auto"/>
      </w:pPr>
      <w:r>
        <w:separator/>
      </w:r>
    </w:p>
  </w:footnote>
  <w:footnote w:type="continuationSeparator" w:id="0">
    <w:p w14:paraId="6C44A6E2" w14:textId="77777777" w:rsidR="00337567" w:rsidRDefault="00337567" w:rsidP="00F53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45994" w14:textId="77777777" w:rsidR="00574C9B" w:rsidRDefault="00D621B3">
    <w:pPr>
      <w:pStyle w:val="Header"/>
    </w:pPr>
    <w:r>
      <w:pict w14:anchorId="16C34D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6" o:spid="_x0000_s2060" type="#_x0000_t75" style="position:absolute;left:0;text-align:left;margin-left:0;margin-top:0;width:595.2pt;height:841.9pt;z-index:-251649024;mso-position-horizontal:center;mso-position-horizontal-relative:margin;mso-position-vertical:center;mso-position-vertical-relative:margin" o:allowincell="f">
          <v:imagedata r:id="rId1" o:title="footer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690A6" w14:textId="77777777" w:rsidR="00DA6FC1" w:rsidRDefault="00DA6FC1" w:rsidP="00DA6FC1">
    <w:pPr>
      <w:pStyle w:val="Header"/>
    </w:pPr>
    <w:r>
      <w:rPr>
        <w:noProof/>
        <w:lang w:eastAsia="da-DK"/>
      </w:rPr>
      <w:drawing>
        <wp:anchor distT="0" distB="0" distL="114300" distR="114300" simplePos="0" relativeHeight="251677696" behindDoc="0" locked="0" layoutInCell="1" allowOverlap="1" wp14:anchorId="4467D458" wp14:editId="5E4A1BF8">
          <wp:simplePos x="0" y="0"/>
          <wp:positionH relativeFrom="page">
            <wp:posOffset>300355</wp:posOffset>
          </wp:positionH>
          <wp:positionV relativeFrom="page">
            <wp:posOffset>392430</wp:posOffset>
          </wp:positionV>
          <wp:extent cx="6944398" cy="3344275"/>
          <wp:effectExtent l="0" t="0" r="0" b="8890"/>
          <wp:wrapNone/>
          <wp:docPr id="6" name="Picture 6" title="EESCLogo2021_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is-20213.jpg"/>
                  <pic:cNvPicPr/>
                </pic:nvPicPr>
                <pic:blipFill>
                  <a:blip r:embed="rId1">
                    <a:extLst>
                      <a:ext uri="{28A0092B-C50C-407E-A947-70E740481C1C}">
                        <a14:useLocalDpi xmlns:a14="http://schemas.microsoft.com/office/drawing/2010/main" val="0"/>
                      </a:ext>
                    </a:extLst>
                  </a:blip>
                  <a:stretch>
                    <a:fillRect/>
                  </a:stretch>
                </pic:blipFill>
                <pic:spPr>
                  <a:xfrm>
                    <a:off x="0" y="0"/>
                    <a:ext cx="6944398" cy="3344275"/>
                  </a:xfrm>
                  <a:prstGeom prst="rect">
                    <a:avLst/>
                  </a:prstGeom>
                </pic:spPr>
              </pic:pic>
            </a:graphicData>
          </a:graphic>
          <wp14:sizeRelH relativeFrom="margin">
            <wp14:pctWidth>0</wp14:pctWidth>
          </wp14:sizeRelH>
          <wp14:sizeRelV relativeFrom="margin">
            <wp14:pctHeight>0</wp14:pctHeight>
          </wp14:sizeRelV>
        </wp:anchor>
      </w:drawing>
    </w:r>
    <w:r>
      <w:pict w14:anchorId="59757E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7" o:spid="_x0000_s2068" type="#_x0000_t75" style="position:absolute;left:0;text-align:left;margin-left:0;margin-top:0;width:595.2pt;height:841.9pt;z-index:-251639808;mso-position-horizontal:center;mso-position-horizontal-relative:page;mso-position-vertical:top;mso-position-vertical-relative:page" o:allowincell="f">
          <v:imagedata r:id="rId2" o:title="footer only"/>
          <w10:wrap anchorx="page" anchory="page"/>
        </v:shape>
      </w:pict>
    </w:r>
  </w:p>
  <w:p w14:paraId="3BCD00B8" w14:textId="07A76B2F" w:rsidR="00574C9B" w:rsidRPr="00DA6FC1" w:rsidRDefault="00574C9B" w:rsidP="00DA6F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5B437" w14:textId="77777777" w:rsidR="00574C9B" w:rsidRDefault="00D621B3">
    <w:pPr>
      <w:pStyle w:val="Header"/>
    </w:pPr>
    <w:r>
      <w:pict w14:anchorId="44FB36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5" o:spid="_x0000_s2059" type="#_x0000_t75" style="position:absolute;left:0;text-align:left;margin-left:0;margin-top:0;width:595.2pt;height:841.9pt;z-index:-251650048;mso-position-horizontal:center;mso-position-horizontal-relative:margin;mso-position-vertical:center;mso-position-vertical-relative:margin" o:allowincell="f">
          <v:imagedata r:id="rId1" o:title="footer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8E5CE" w14:textId="77777777" w:rsidR="00574C9B" w:rsidRDefault="00D621B3">
    <w:pPr>
      <w:pStyle w:val="Header"/>
    </w:pPr>
    <w:r>
      <w:pict w14:anchorId="745771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9" o:spid="_x0000_s2063" type="#_x0000_t75" style="position:absolute;left:0;text-align:left;margin-left:0;margin-top:0;width:595.2pt;height:841.9pt;z-index:-251645952;mso-position-horizontal:center;mso-position-horizontal-relative:margin;mso-position-vertical:center;mso-position-vertical-relative:margin" o:allowincell="f">
          <v:imagedata r:id="rId1" o:title="footer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3AE12" w14:textId="77777777" w:rsidR="00574C9B" w:rsidRDefault="00D621B3">
    <w:pPr>
      <w:pStyle w:val="Header"/>
    </w:pPr>
    <w:r>
      <w:pict w14:anchorId="599F28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0" o:spid="_x0000_s2064" type="#_x0000_t75" style="position:absolute;left:0;text-align:left;margin-left:0;margin-top:0;width:595.2pt;height:841.9pt;z-index:-251644928;visibility:hidden;mso-position-horizontal:center;mso-position-horizontal-relative:margin;mso-position-vertical:center;mso-position-vertical-relative:margin" o:allowincell="f">
          <v:imagedata r:id="rId1" o:title="footer only"/>
          <w10:wrap anchorx="margin" anchory="margin"/>
        </v:shape>
      </w:pict>
    </w:r>
    <w:r w:rsidR="008E174A">
      <w:rPr>
        <w:noProof/>
      </w:rPr>
      <w:drawing>
        <wp:anchor distT="0" distB="0" distL="114300" distR="114300" simplePos="0" relativeHeight="251659264" behindDoc="1" locked="0" layoutInCell="1" allowOverlap="1" wp14:anchorId="49ECB71B" wp14:editId="19396BF7">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2">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D59F2" w14:textId="77777777" w:rsidR="00574C9B" w:rsidRDefault="00D621B3">
    <w:pPr>
      <w:pStyle w:val="Header"/>
    </w:pPr>
    <w:r>
      <w:pict w14:anchorId="4AEF9E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8" o:spid="_x0000_s2062" type="#_x0000_t75" style="position:absolute;left:0;text-align:left;margin-left:0;margin-top:0;width:595.2pt;height:841.9pt;z-index:-251646976;mso-position-horizontal:center;mso-position-horizontal-relative:margin;mso-position-vertical:center;mso-position-vertical-relative:margin" o:allowincell="f">
          <v:imagedata r:id="rId1" o:title="footer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0F844" w14:textId="77777777" w:rsidR="004871B8" w:rsidRDefault="00D621B3">
    <w:pPr>
      <w:pStyle w:val="Header"/>
    </w:pPr>
    <w:r>
      <w:pict w14:anchorId="659E72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2" o:spid="_x0000_s2066" type="#_x0000_t75" style="position:absolute;left:0;text-align:left;margin-left:0;margin-top:0;width:595.2pt;height:841.9pt;z-index:-251642880;mso-position-horizontal:center;mso-position-horizontal-relative:margin;mso-position-vertical:center;mso-position-vertical-relative:margin" o:allowincell="f">
          <v:imagedata r:id="rId1" o:title="footer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2F5E1" w14:textId="77777777" w:rsidR="00FA08F8" w:rsidRDefault="00D621B3">
    <w:pPr>
      <w:pStyle w:val="Header"/>
    </w:pPr>
    <w:r>
      <w:pict w14:anchorId="0AA31D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3" o:spid="_x0000_s2067" type="#_x0000_t75" style="position:absolute;left:0;text-align:left;margin-left:0;margin-top:0;width:595.2pt;height:841.9pt;z-index:-251641856;visibility:hidden;mso-position-horizontal:center;mso-position-horizontal-relative:margin;mso-position-vertical:center;mso-position-vertical-relative:margin" o:allowincell="f">
          <v:imagedata r:id="rId1" o:title="footer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07A18" w14:textId="77777777" w:rsidR="004871B8" w:rsidRDefault="00D621B3">
    <w:pPr>
      <w:pStyle w:val="Header"/>
    </w:pPr>
    <w:r>
      <w:pict w14:anchorId="2EAE0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1" o:spid="_x0000_s2065" type="#_x0000_t75" style="position:absolute;left:0;text-align:left;margin-left:0;margin-top:0;width:595.2pt;height:841.9pt;z-index:-251643904;mso-position-horizontal:center;mso-position-horizontal-relative:margin;mso-position-vertical:center;mso-position-vertical-relative:margin" o:allowincell="f">
          <v:imagedata r:id="rId1" o:title="footer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1D73DDC"/>
    <w:multiLevelType w:val="hybridMultilevel"/>
    <w:tmpl w:val="41C44C58"/>
    <w:lvl w:ilvl="0" w:tplc="055864F4">
      <w:start w:val="2"/>
      <w:numFmt w:val="bullet"/>
      <w:lvlText w:val="-"/>
      <w:lvlJc w:val="left"/>
      <w:pPr>
        <w:ind w:left="720" w:hanging="360"/>
      </w:pPr>
      <w:rPr>
        <w:rFonts w:ascii="Times New Roman" w:eastAsia="Times New Roman" w:hAnsi="Times New Roman" w:cs="Times New Roman" w:hint="default"/>
        <w:color w:val="00000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A56E6"/>
    <w:multiLevelType w:val="hybridMultilevel"/>
    <w:tmpl w:val="EDD0C48C"/>
    <w:lvl w:ilvl="0" w:tplc="E4C614EE">
      <w:start w:val="1"/>
      <w:numFmt w:val="bullet"/>
      <w:lvlText w:val=""/>
      <w:lvlJc w:val="left"/>
      <w:pPr>
        <w:ind w:left="720" w:hanging="360"/>
      </w:pPr>
      <w:rPr>
        <w:rFonts w:ascii="Symbol" w:hAnsi="Symbol" w:hint="default"/>
        <w:color w:val="00000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274C44"/>
    <w:multiLevelType w:val="hybridMultilevel"/>
    <w:tmpl w:val="29120AA2"/>
    <w:lvl w:ilvl="0" w:tplc="E4C614E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8D4F90"/>
    <w:multiLevelType w:val="hybridMultilevel"/>
    <w:tmpl w:val="08DC5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D801C5"/>
    <w:multiLevelType w:val="hybridMultilevel"/>
    <w:tmpl w:val="146021AA"/>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6B63C6A"/>
    <w:multiLevelType w:val="hybridMultilevel"/>
    <w:tmpl w:val="D7B6F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ED0CA8"/>
    <w:multiLevelType w:val="hybridMultilevel"/>
    <w:tmpl w:val="E0E44CCA"/>
    <w:lvl w:ilvl="0" w:tplc="080C0001">
      <w:start w:val="1"/>
      <w:numFmt w:val="bullet"/>
      <w:lvlText w:val=""/>
      <w:lvlJc w:val="left"/>
      <w:pPr>
        <w:ind w:left="360" w:hanging="360"/>
      </w:pPr>
      <w:rPr>
        <w:rFonts w:ascii="Symbol" w:hAnsi="Symbol" w:hint="default"/>
      </w:rPr>
    </w:lvl>
    <w:lvl w:ilvl="1" w:tplc="080C0003">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2C0A495B"/>
    <w:multiLevelType w:val="hybridMultilevel"/>
    <w:tmpl w:val="C8D08698"/>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345160B"/>
    <w:multiLevelType w:val="hybridMultilevel"/>
    <w:tmpl w:val="973E8F8A"/>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4957EAC"/>
    <w:multiLevelType w:val="hybridMultilevel"/>
    <w:tmpl w:val="CF7071B4"/>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49C7F31"/>
    <w:multiLevelType w:val="hybridMultilevel"/>
    <w:tmpl w:val="A992DE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BE9219D"/>
    <w:multiLevelType w:val="hybridMultilevel"/>
    <w:tmpl w:val="66C05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702815"/>
    <w:multiLevelType w:val="hybridMultilevel"/>
    <w:tmpl w:val="BD46BE84"/>
    <w:lvl w:ilvl="0" w:tplc="0809000B">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4" w15:restartNumberingAfterBreak="0">
    <w:nsid w:val="4C965DE4"/>
    <w:multiLevelType w:val="hybridMultilevel"/>
    <w:tmpl w:val="C60EAF62"/>
    <w:lvl w:ilvl="0" w:tplc="30164A3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C993E93"/>
    <w:multiLevelType w:val="hybridMultilevel"/>
    <w:tmpl w:val="B46C1910"/>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4EA66FF8"/>
    <w:multiLevelType w:val="hybridMultilevel"/>
    <w:tmpl w:val="DF545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A84A9C"/>
    <w:multiLevelType w:val="hybridMultilevel"/>
    <w:tmpl w:val="EDECF78E"/>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73C7356"/>
    <w:multiLevelType w:val="hybridMultilevel"/>
    <w:tmpl w:val="F1B42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2C2ED1"/>
    <w:multiLevelType w:val="hybridMultilevel"/>
    <w:tmpl w:val="8D8CBC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0DA47F1"/>
    <w:multiLevelType w:val="hybridMultilevel"/>
    <w:tmpl w:val="4D74E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C63BBA"/>
    <w:multiLevelType w:val="hybridMultilevel"/>
    <w:tmpl w:val="FF62FE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61B67E6"/>
    <w:multiLevelType w:val="hybridMultilevel"/>
    <w:tmpl w:val="4554F7C0"/>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6B8F0B23"/>
    <w:multiLevelType w:val="hybridMultilevel"/>
    <w:tmpl w:val="C2A6D576"/>
    <w:lvl w:ilvl="0" w:tplc="08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B955F8D"/>
    <w:multiLevelType w:val="hybridMultilevel"/>
    <w:tmpl w:val="C7D6DA6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14"/>
  </w:num>
  <w:num w:numId="5">
    <w:abstractNumId w:val="1"/>
  </w:num>
  <w:num w:numId="6">
    <w:abstractNumId w:val="19"/>
  </w:num>
  <w:num w:numId="7">
    <w:abstractNumId w:val="6"/>
  </w:num>
  <w:num w:numId="8">
    <w:abstractNumId w:val="24"/>
  </w:num>
  <w:num w:numId="9">
    <w:abstractNumId w:val="11"/>
  </w:num>
  <w:num w:numId="10">
    <w:abstractNumId w:val="21"/>
  </w:num>
  <w:num w:numId="11">
    <w:abstractNumId w:val="7"/>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num>
  <w:num w:numId="15">
    <w:abstractNumId w:val="23"/>
  </w:num>
  <w:num w:numId="16">
    <w:abstractNumId w:val="17"/>
  </w:num>
  <w:num w:numId="17">
    <w:abstractNumId w:val="10"/>
  </w:num>
  <w:num w:numId="18">
    <w:abstractNumId w:val="5"/>
  </w:num>
  <w:num w:numId="19">
    <w:abstractNumId w:val="9"/>
  </w:num>
  <w:num w:numId="20">
    <w:abstractNumId w:val="18"/>
  </w:num>
  <w:num w:numId="21">
    <w:abstractNumId w:val="20"/>
  </w:num>
  <w:num w:numId="22">
    <w:abstractNumId w:val="12"/>
  </w:num>
  <w:num w:numId="23">
    <w:abstractNumId w:val="22"/>
  </w:num>
  <w:num w:numId="24">
    <w:abstractNumId w:val="15"/>
  </w:num>
  <w:num w:numId="25">
    <w:abstractNumId w:val="8"/>
  </w:num>
  <w:num w:numId="26">
    <w:abstractNumId w:val="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6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370"/>
    <w:rsid w:val="00020389"/>
    <w:rsid w:val="00030E2A"/>
    <w:rsid w:val="00053D00"/>
    <w:rsid w:val="000A0F3B"/>
    <w:rsid w:val="000B2215"/>
    <w:rsid w:val="000D5C61"/>
    <w:rsid w:val="000E4CAE"/>
    <w:rsid w:val="001534B1"/>
    <w:rsid w:val="0019231D"/>
    <w:rsid w:val="001955B6"/>
    <w:rsid w:val="001D61AC"/>
    <w:rsid w:val="001E15AA"/>
    <w:rsid w:val="001E3FA1"/>
    <w:rsid w:val="00200E87"/>
    <w:rsid w:val="00206D14"/>
    <w:rsid w:val="00214BDC"/>
    <w:rsid w:val="00215E81"/>
    <w:rsid w:val="0024727F"/>
    <w:rsid w:val="002A42BD"/>
    <w:rsid w:val="002A63E0"/>
    <w:rsid w:val="002B6A7B"/>
    <w:rsid w:val="002F03F9"/>
    <w:rsid w:val="003353D7"/>
    <w:rsid w:val="00337567"/>
    <w:rsid w:val="003567D4"/>
    <w:rsid w:val="003659F9"/>
    <w:rsid w:val="00371F74"/>
    <w:rsid w:val="00373830"/>
    <w:rsid w:val="003B556B"/>
    <w:rsid w:val="003D3052"/>
    <w:rsid w:val="00401DE5"/>
    <w:rsid w:val="004104B1"/>
    <w:rsid w:val="00452CAF"/>
    <w:rsid w:val="004871B8"/>
    <w:rsid w:val="00574C9B"/>
    <w:rsid w:val="0058411F"/>
    <w:rsid w:val="005E2695"/>
    <w:rsid w:val="006125A1"/>
    <w:rsid w:val="00627409"/>
    <w:rsid w:val="0063214A"/>
    <w:rsid w:val="00653E7D"/>
    <w:rsid w:val="00662207"/>
    <w:rsid w:val="00667F09"/>
    <w:rsid w:val="006B57A6"/>
    <w:rsid w:val="006D53A6"/>
    <w:rsid w:val="00770815"/>
    <w:rsid w:val="00787837"/>
    <w:rsid w:val="00787ABB"/>
    <w:rsid w:val="007B6C64"/>
    <w:rsid w:val="00822952"/>
    <w:rsid w:val="00836505"/>
    <w:rsid w:val="00844B87"/>
    <w:rsid w:val="00870584"/>
    <w:rsid w:val="0089251B"/>
    <w:rsid w:val="008A6DD4"/>
    <w:rsid w:val="008A7731"/>
    <w:rsid w:val="008E174A"/>
    <w:rsid w:val="008E565D"/>
    <w:rsid w:val="008F74D7"/>
    <w:rsid w:val="00904C42"/>
    <w:rsid w:val="00913FA7"/>
    <w:rsid w:val="00914286"/>
    <w:rsid w:val="00914683"/>
    <w:rsid w:val="00924C05"/>
    <w:rsid w:val="00926361"/>
    <w:rsid w:val="00931C1C"/>
    <w:rsid w:val="00937CF2"/>
    <w:rsid w:val="00976645"/>
    <w:rsid w:val="00976F77"/>
    <w:rsid w:val="0098228C"/>
    <w:rsid w:val="009B01EB"/>
    <w:rsid w:val="009E2100"/>
    <w:rsid w:val="009E51ED"/>
    <w:rsid w:val="009F3486"/>
    <w:rsid w:val="00A310E1"/>
    <w:rsid w:val="00A36AB0"/>
    <w:rsid w:val="00A52104"/>
    <w:rsid w:val="00A71643"/>
    <w:rsid w:val="00AB37A3"/>
    <w:rsid w:val="00AC5114"/>
    <w:rsid w:val="00AE0B53"/>
    <w:rsid w:val="00AE4D0B"/>
    <w:rsid w:val="00AF6603"/>
    <w:rsid w:val="00B24518"/>
    <w:rsid w:val="00B25683"/>
    <w:rsid w:val="00B51901"/>
    <w:rsid w:val="00B970E8"/>
    <w:rsid w:val="00BA3214"/>
    <w:rsid w:val="00BD50F6"/>
    <w:rsid w:val="00C04053"/>
    <w:rsid w:val="00C073E1"/>
    <w:rsid w:val="00C24F0A"/>
    <w:rsid w:val="00C25647"/>
    <w:rsid w:val="00C65696"/>
    <w:rsid w:val="00C66AEA"/>
    <w:rsid w:val="00C9040A"/>
    <w:rsid w:val="00C91E4D"/>
    <w:rsid w:val="00CB110A"/>
    <w:rsid w:val="00CB7CD0"/>
    <w:rsid w:val="00CD0E3A"/>
    <w:rsid w:val="00CD26C9"/>
    <w:rsid w:val="00CF34D6"/>
    <w:rsid w:val="00D039AF"/>
    <w:rsid w:val="00D621B3"/>
    <w:rsid w:val="00D72198"/>
    <w:rsid w:val="00D95232"/>
    <w:rsid w:val="00DA6FC1"/>
    <w:rsid w:val="00DB7F50"/>
    <w:rsid w:val="00DE30C7"/>
    <w:rsid w:val="00DF400F"/>
    <w:rsid w:val="00E15BF4"/>
    <w:rsid w:val="00E2376B"/>
    <w:rsid w:val="00E26935"/>
    <w:rsid w:val="00E27707"/>
    <w:rsid w:val="00E52872"/>
    <w:rsid w:val="00E52B04"/>
    <w:rsid w:val="00E60496"/>
    <w:rsid w:val="00E661B7"/>
    <w:rsid w:val="00E938AF"/>
    <w:rsid w:val="00E939B7"/>
    <w:rsid w:val="00EF1C31"/>
    <w:rsid w:val="00F2069F"/>
    <w:rsid w:val="00F53370"/>
    <w:rsid w:val="00F90BE2"/>
    <w:rsid w:val="00FC0C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9"/>
    <o:shapelayout v:ext="edit">
      <o:idmap v:ext="edit" data="1"/>
    </o:shapelayout>
  </w:shapeDefaults>
  <w:decimalSymbol w:val=","/>
  <w:listSeparator w:val=";"/>
  <w14:docId w14:val="50CCB184"/>
  <w15:chartTrackingRefBased/>
  <w15:docId w15:val="{D381F634-0C15-4454-8DBD-75C4E88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basedOn w:val="Normal"/>
    <w:link w:val="FootnoteTextChar"/>
    <w:uiPriority w:val="99"/>
    <w:qFormat/>
    <w:rsid w:val="00F53370"/>
    <w:pPr>
      <w:keepLines/>
      <w:spacing w:after="60" w:line="240" w:lineRule="auto"/>
      <w:ind w:left="567" w:hanging="567"/>
    </w:pPr>
    <w:rPr>
      <w:sz w:val="16"/>
    </w:rPr>
  </w:style>
  <w:style w:type="character" w:customStyle="1" w:styleId="FootnoteTextChar">
    <w:name w:val="Footnote Text Char"/>
    <w:basedOn w:val="DefaultParagraphFont"/>
    <w:link w:val="FootnoteText"/>
    <w:uiPriority w:val="99"/>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basedOn w:val="DefaultParagraphFont"/>
    <w:uiPriority w:val="99"/>
    <w:unhideWhenUsed/>
    <w:qFormat/>
    <w:rsid w:val="00F53370"/>
    <w:rPr>
      <w:sz w:val="24"/>
      <w:vertAlign w:val="superscript"/>
    </w:rPr>
  </w:style>
  <w:style w:type="table" w:styleId="TableGrid">
    <w:name w:val="Table Grid"/>
    <w:basedOn w:val="TableNormal"/>
    <w:uiPriority w:val="5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semiHidden/>
    <w:unhideWhenUsed/>
    <w:rsid w:val="00976F77"/>
    <w:rPr>
      <w:sz w:val="16"/>
      <w:szCs w:val="16"/>
    </w:rPr>
  </w:style>
  <w:style w:type="paragraph" w:styleId="CommentText">
    <w:name w:val="annotation text"/>
    <w:basedOn w:val="Normal"/>
    <w:link w:val="CommentTextChar"/>
    <w:unhideWhenUsed/>
    <w:rsid w:val="00976F77"/>
    <w:pPr>
      <w:spacing w:line="240" w:lineRule="auto"/>
    </w:pPr>
    <w:rPr>
      <w:sz w:val="20"/>
      <w:szCs w:val="20"/>
    </w:rPr>
  </w:style>
  <w:style w:type="character" w:customStyle="1" w:styleId="CommentTextChar">
    <w:name w:val="Comment Text Char"/>
    <w:basedOn w:val="DefaultParagraphFont"/>
    <w:link w:val="CommentText"/>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976F77"/>
    <w:rPr>
      <w:b/>
      <w:bCs/>
    </w:rPr>
  </w:style>
  <w:style w:type="character" w:customStyle="1" w:styleId="CommentSubjectChar">
    <w:name w:val="Comment Subject Char"/>
    <w:basedOn w:val="CommentTextChar"/>
    <w:link w:val="CommentSubject"/>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paragraph" w:styleId="ListParagraph">
    <w:name w:val="List Paragraph"/>
    <w:basedOn w:val="Normal"/>
    <w:link w:val="ListParagraphChar"/>
    <w:uiPriority w:val="34"/>
    <w:qFormat/>
    <w:rsid w:val="002A42BD"/>
    <w:pPr>
      <w:overflowPunct w:val="0"/>
      <w:autoSpaceDE w:val="0"/>
      <w:autoSpaceDN w:val="0"/>
      <w:adjustRightInd w:val="0"/>
      <w:ind w:left="720"/>
      <w:contextualSpacing/>
      <w:textAlignment w:val="baseline"/>
    </w:pPr>
    <w:rPr>
      <w:szCs w:val="20"/>
      <w:lang w:eastAsia="fr-BE"/>
    </w:rPr>
  </w:style>
  <w:style w:type="paragraph" w:styleId="TOCHeading">
    <w:name w:val="TOC Heading"/>
    <w:basedOn w:val="Heading1"/>
    <w:next w:val="Normal"/>
    <w:uiPriority w:val="39"/>
    <w:unhideWhenUsed/>
    <w:qFormat/>
    <w:rsid w:val="003B556B"/>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3B556B"/>
    <w:pPr>
      <w:tabs>
        <w:tab w:val="left" w:pos="440"/>
        <w:tab w:val="right" w:leader="dot" w:pos="9063"/>
      </w:tabs>
      <w:spacing w:after="100"/>
    </w:pPr>
    <w:rPr>
      <w:b/>
      <w:noProof/>
    </w:rPr>
  </w:style>
  <w:style w:type="paragraph" w:styleId="TOC2">
    <w:name w:val="toc 2"/>
    <w:basedOn w:val="Normal"/>
    <w:next w:val="Normal"/>
    <w:autoRedefine/>
    <w:uiPriority w:val="39"/>
    <w:unhideWhenUsed/>
    <w:rsid w:val="003B556B"/>
    <w:pPr>
      <w:spacing w:after="100"/>
      <w:ind w:left="220"/>
    </w:pPr>
  </w:style>
  <w:style w:type="paragraph" w:customStyle="1" w:styleId="paragraph">
    <w:name w:val="paragraph"/>
    <w:basedOn w:val="Normal"/>
    <w:rsid w:val="003B556B"/>
    <w:pPr>
      <w:spacing w:before="100" w:beforeAutospacing="1" w:after="100" w:afterAutospacing="1" w:line="240" w:lineRule="auto"/>
      <w:jc w:val="left"/>
    </w:pPr>
    <w:rPr>
      <w:sz w:val="24"/>
      <w:szCs w:val="24"/>
      <w:lang w:eastAsia="es-ES"/>
    </w:rPr>
  </w:style>
  <w:style w:type="paragraph" w:styleId="NormalWeb">
    <w:name w:val="Normal (Web)"/>
    <w:basedOn w:val="Normal"/>
    <w:uiPriority w:val="99"/>
    <w:unhideWhenUsed/>
    <w:rsid w:val="003B556B"/>
    <w:pPr>
      <w:spacing w:before="100" w:beforeAutospacing="1" w:after="100" w:afterAutospacing="1" w:line="240" w:lineRule="auto"/>
      <w:jc w:val="left"/>
    </w:pPr>
    <w:rPr>
      <w:sz w:val="24"/>
      <w:szCs w:val="24"/>
      <w:lang w:eastAsia="es-ES"/>
    </w:rPr>
  </w:style>
  <w:style w:type="paragraph" w:styleId="Caption">
    <w:name w:val="caption"/>
    <w:basedOn w:val="Normal"/>
    <w:next w:val="Normal"/>
    <w:uiPriority w:val="35"/>
    <w:semiHidden/>
    <w:unhideWhenUsed/>
    <w:qFormat/>
    <w:rsid w:val="003B556B"/>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3B556B"/>
    <w:rPr>
      <w:color w:val="954F72" w:themeColor="followedHyperlink"/>
      <w:u w:val="single"/>
    </w:rPr>
  </w:style>
  <w:style w:type="character" w:customStyle="1" w:styleId="UnresolvedMention1">
    <w:name w:val="Unresolved Mention1"/>
    <w:basedOn w:val="DefaultParagraphFont"/>
    <w:uiPriority w:val="99"/>
    <w:semiHidden/>
    <w:unhideWhenUsed/>
    <w:rsid w:val="003B556B"/>
    <w:rPr>
      <w:color w:val="605E5C"/>
      <w:shd w:val="clear" w:color="auto" w:fill="E1DFDD"/>
    </w:rPr>
  </w:style>
  <w:style w:type="character" w:customStyle="1" w:styleId="ListParagraphChar">
    <w:name w:val="List Paragraph Char"/>
    <w:link w:val="ListParagraph"/>
    <w:uiPriority w:val="34"/>
    <w:rsid w:val="003B556B"/>
    <w:rPr>
      <w:rFonts w:ascii="Times New Roman" w:eastAsia="Times New Roman" w:hAnsi="Times New Roman" w:cs="Times New Roman"/>
      <w:szCs w:val="20"/>
      <w:lang w:val="da-DK" w:eastAsia="fr-BE"/>
    </w:rPr>
  </w:style>
  <w:style w:type="paragraph" w:styleId="HTMLPreformatted">
    <w:name w:val="HTML Preformatted"/>
    <w:basedOn w:val="Normal"/>
    <w:link w:val="HTMLPreformattedChar"/>
    <w:uiPriority w:val="99"/>
    <w:unhideWhenUsed/>
    <w:rsid w:val="003B5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3B556B"/>
    <w:rPr>
      <w:rFonts w:ascii="Courier New" w:eastAsia="Times New Roman" w:hAnsi="Courier New" w:cs="Courier New"/>
      <w:sz w:val="20"/>
      <w:szCs w:val="20"/>
      <w:lang w:val="da-DK" w:eastAsia="fr-FR"/>
    </w:rPr>
  </w:style>
  <w:style w:type="table" w:styleId="GridTable5Dark-Accent1">
    <w:name w:val="Grid Table 5 Dark Accent 1"/>
    <w:basedOn w:val="TableNormal"/>
    <w:uiPriority w:val="50"/>
    <w:rsid w:val="003B556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3">
    <w:name w:val="toc 3"/>
    <w:basedOn w:val="Normal"/>
    <w:next w:val="Normal"/>
    <w:autoRedefine/>
    <w:uiPriority w:val="39"/>
    <w:unhideWhenUsed/>
    <w:rsid w:val="003B556B"/>
    <w:pPr>
      <w:spacing w:after="100"/>
      <w:ind w:left="440"/>
    </w:pPr>
  </w:style>
  <w:style w:type="table" w:styleId="GridTable4">
    <w:name w:val="Grid Table 4"/>
    <w:basedOn w:val="TableNormal"/>
    <w:uiPriority w:val="49"/>
    <w:rsid w:val="003B556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rsid w:val="003B556B"/>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customXml" Target="../customXml/item3.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footer" Target="footer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customXml" Target="../customXml/item1.xml"/><Relationship Id="rId30"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XMKEDVFMMJCW-1593724795-10588</_dlc_DocId>
    <_dlc_DocIdUrl xmlns="56a5413d-c261-4a00-870c-a20d3379ae6d">
      <Url>http://dm/eesc/2023/_layouts/15/DocIdRedir.aspx?ID=XMKEDVFMMJCW-1593724795-10588</Url>
      <Description>XMKEDVFMMJCW-1593724795-10588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RE</TermName>
          <TermId xmlns="http://schemas.microsoft.com/office/infopath/2007/PartnerControls">2e31ab9a-38d8-4b15-bf54-b076b749ef85</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2024-04-30T12:00:00+00:00</ProductionDate>
    <DocumentNumber xmlns="0257f74b-9830-4f7d-85e6-515b2ff0b009">2717</DocumentNumber>
    <FicheYear xmlns="56a5413d-c261-4a00-870c-a20d3379ae6d" xsi:nil="true"/>
    <DossierNumber xmlns="56a5413d-c261-4a00-870c-a20d3379ae6d">754</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6a5413d-c261-4a00-870c-a20d3379ae6d" xsi:nil="true"/>
    <TaxCatchAll xmlns="56a5413d-c261-4a00-870c-a20d3379ae6d">
      <Value>332</Value>
      <Value>49</Value>
      <Value>47</Value>
      <Value>46</Value>
      <Value>45</Value>
      <Value>44</Value>
      <Value>43</Value>
      <Value>42</Value>
      <Value>41</Value>
      <Value>40</Value>
      <Value>39</Value>
      <Value>38</Value>
      <Value>37</Value>
      <Value>36</Value>
      <Value>35</Value>
      <Value>34</Value>
      <Value>33</Value>
      <Value>32</Value>
      <Value>31</Value>
      <Value>30</Value>
      <Value>25</Value>
      <Value>24</Value>
      <Value>21</Value>
      <Value>16</Value>
      <Value>10</Value>
      <Value>9</Value>
      <Value>7</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DA</TermName>
          <TermId xmlns="http://schemas.microsoft.com/office/infopath/2007/PartnerControls">5d49c027-8956-412b-aa16-e85a0f96ad0e</TermId>
        </TermInfo>
      </Terms>
    </DocumentLanguage_0>
    <Rapporteur xmlns="56a5413d-c261-4a00-870c-a20d3379ae6d">SVENTEK &amp; BALON &amp; DEL RIO</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6a5413d-c261-4a00-870c-a20d3379ae6d">2023</DocumentYear>
    <FicheNumber xmlns="56a5413d-c261-4a00-870c-a20d3379ae6d">2888</FicheNumber>
    <OriginalSender xmlns="56a5413d-c261-4a00-870c-a20d3379ae6d">
      <UserInfo>
        <DisplayName>Thystrup Elin</DisplayName>
        <AccountId>1682</AccountId>
        <AccountType/>
      </UserInfo>
    </OriginalSender>
    <DocumentPart xmlns="56a5413d-c261-4a00-870c-a20d3379ae6d">0</DocumentPart>
    <AdoptionDate xmlns="56a5413d-c261-4a00-870c-a20d3379ae6d">2024-04-24T12:00:00+00:00</AdoptionDate>
    <RequestingService xmlns="56a5413d-c261-4a00-870c-a20d3379ae6d">Emploi, affaires sociales, citoyenneté</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257f74b-9830-4f7d-85e6-515b2ff0b009"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SOC</TermName>
          <TermId xmlns="http://schemas.microsoft.com/office/infopath/2007/PartnerControls">13795804-ecbd-4ce5-9693-9b8be1981b20</TermId>
        </TermInfo>
      </Terms>
    </DossierName_0>
    <DocumentVersion xmlns="56a5413d-c261-4a00-870c-a20d3379ae6d">0</DocumentVers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6202344E2A73294A96CB0CA75BC1E892" ma:contentTypeVersion="7" ma:contentTypeDescription="Defines the documents for Document Manager V2" ma:contentTypeScope="" ma:versionID="1cade58246a910000bf51559b692ae30">
  <xsd:schema xmlns:xsd="http://www.w3.org/2001/XMLSchema" xmlns:xs="http://www.w3.org/2001/XMLSchema" xmlns:p="http://schemas.microsoft.com/office/2006/metadata/properties" xmlns:ns2="56a5413d-c261-4a00-870c-a20d3379ae6d" xmlns:ns3="http://schemas.microsoft.com/sharepoint/v3/fields" xmlns:ns4="0257f74b-9830-4f7d-85e6-515b2ff0b009" targetNamespace="http://schemas.microsoft.com/office/2006/metadata/properties" ma:root="true" ma:fieldsID="3dde802d4ff8b2c128f2a66642a792aa" ns2:_="" ns3:_="" ns4:_="">
    <xsd:import namespace="56a5413d-c261-4a00-870c-a20d3379ae6d"/>
    <xsd:import namespace="http://schemas.microsoft.com/sharepoint/v3/fields"/>
    <xsd:import namespace="0257f74b-9830-4f7d-85e6-515b2ff0b009"/>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57f74b-9830-4f7d-85e6-515b2ff0b009"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F07D8E-E492-499A-A8F1-C909F2A33CB2}"/>
</file>

<file path=customXml/itemProps2.xml><?xml version="1.0" encoding="utf-8"?>
<ds:datastoreItem xmlns:ds="http://schemas.openxmlformats.org/officeDocument/2006/customXml" ds:itemID="{7ED36AE2-7485-48F7-ADA3-EEA718EB9626}"/>
</file>

<file path=customXml/itemProps3.xml><?xml version="1.0" encoding="utf-8"?>
<ds:datastoreItem xmlns:ds="http://schemas.openxmlformats.org/officeDocument/2006/customXml" ds:itemID="{A6A15E4F-0B6C-423A-A653-5FD2472DE641}"/>
</file>

<file path=customXml/itemProps4.xml><?xml version="1.0" encoding="utf-8"?>
<ds:datastoreItem xmlns:ds="http://schemas.openxmlformats.org/officeDocument/2006/customXml" ds:itemID="{87799F3C-E9BE-432C-8D6C-08EF004D972E}"/>
</file>

<file path=docProps/app.xml><?xml version="1.0" encoding="utf-8"?>
<Properties xmlns="http://schemas.openxmlformats.org/officeDocument/2006/extended-properties" xmlns:vt="http://schemas.openxmlformats.org/officeDocument/2006/docPropsVTypes">
  <Template>Normal.dotm</Template>
  <TotalTime>0</TotalTime>
  <Pages>8</Pages>
  <Words>2468</Words>
  <Characters>14069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AC-Cover page - Opinion Committee - EESC revised model</vt:lpstr>
    </vt:vector>
  </TitlesOfParts>
  <Company>CESE-CdR</Company>
  <LinksUpToDate>false</LinksUpToDate>
  <CharactersWithSpaces>16504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Evaluering af Den Europæiske Socialfond 2014-2020</dc:title>
  <dc:subject>RE</dc:subject>
  <dc:creator>Francois Aude</dc:creator>
  <cp:keywords>EESC-2023-02717-00-00-RE-TRA-EN</cp:keywords>
  <dc:description>Rapporteur: SVENTEK &amp; BALON &amp; DEL RIO - Original language: EN - Date of document: 30/04/2024 - Date of meeting:  - External documents:  - Administrator:  BEDNAROWICZ BARTŁOMIEJ</dc:description>
  <cp:lastModifiedBy>Thystrup Elin</cp:lastModifiedBy>
  <cp:revision>12</cp:revision>
  <dcterms:created xsi:type="dcterms:W3CDTF">2024-04-25T11:25:00Z</dcterms:created>
  <dcterms:modified xsi:type="dcterms:W3CDTF">2024-04-30T10:05:00Z</dcterms:modified>
  <cp:category>SOC/754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25/04/2024, 12/04/2024, 17/05/2022</vt:lpwstr>
  </property>
  <property fmtid="{D5CDD505-2E9C-101B-9397-08002B2CF9AE}" pid="4" name="Pref_Time">
    <vt:lpwstr>13:21:20, 12:03:55, 14:58:36</vt:lpwstr>
  </property>
  <property fmtid="{D5CDD505-2E9C-101B-9397-08002B2CF9AE}" pid="5" name="Pref_User">
    <vt:lpwstr>pacup, enied, enied</vt:lpwstr>
  </property>
  <property fmtid="{D5CDD505-2E9C-101B-9397-08002B2CF9AE}" pid="6" name="Pref_FileName">
    <vt:lpwstr>EESC-2023-02717-00-00-RE-TRA-EN-CRR.docx, COR-EESC-2024-01326-22-00-ADMIN-ORI.docx, COR-EESC-2022-02592-00-00-ADMIN-ORI.docx</vt:lpwstr>
  </property>
  <property fmtid="{D5CDD505-2E9C-101B-9397-08002B2CF9AE}" pid="7" name="ContentTypeId">
    <vt:lpwstr>0x010100EA97B91038054C99906057A708A1480A006202344E2A73294A96CB0CA75BC1E892</vt:lpwstr>
  </property>
  <property fmtid="{D5CDD505-2E9C-101B-9397-08002B2CF9AE}" pid="8" name="_dlc_DocIdItemGuid">
    <vt:lpwstr>faec2076-ab0c-48e8-8127-3de44235e190</vt:lpwstr>
  </property>
  <property fmtid="{D5CDD505-2E9C-101B-9397-08002B2CF9AE}" pid="9" name="AvailableTranslations">
    <vt:lpwstr>39;#LT|a7ff5ce7-6123-4f68-865a-a57c31810414;#30;#IT|0774613c-01ed-4e5d-a25d-11d2388de825;#33;#LV|46f7e311-5d9f-4663-b433-18aeccb7ace7;#43;#DA|5d49c027-8956-412b-aa16-e85a0f96ad0e;#41;#HU|6b229040-c589-4408-b4c1-4285663d20a8;#45;#ET|ff6c3f4c-b02c-4c3c-ab07-2c37995a7a0a;#35;#SL|98a412ae-eb01-49e9-ae3d-585a81724cfc;#5;#EN|f2175f21-25d7-44a3-96da-d6a61b075e1b;#21;#SV|c2ed69e7-a339-43d7-8f22-d93680a92aa0;#44;#BG|1a1b3951-7821-4e6a-85f5-5673fc08bd2c;#10;#FR|d2afafd3-4c81-4f60-8f52-ee33f2f54ff3;#34;#SK|46d9fce0-ef79-4f71-b89b-cd6aa82426b8;#37;#CS|72f9705b-0217-4fd3-bea2-cbc7ed80e26e;#32;#PT|50ccc04a-eadd-42ae-a0cb-acaf45f812ba;#42;#FI|87606a43-d45f-42d6-b8c9-e1a3457db5b7;#36;#MT|7df99101-6854-4a26-b53a-b88c0da02c26;#25;#ES|e7a6b05b-ae16-40c8-add9-68b64b03aeba;#46;#HR|2f555653-ed1a-4fe6-8362-9082d95989e5;#31;#NL|55c6556c-b4f4-441d-9acf-c498d4f838bd;#40;#RO|feb747a2-64cd-4299-af12-4833ddc30497;#49;#GA|762d2456-c427-4ecb-b312-af3dad8e258c;#24;#PL|1e03da61-4678-4e07-b136-b5024ca9197b;#16;#DE|f6b31e5a-26fa-4935-b661-318e46daf27e;#38;#EL|6d4f4d51-af9b-4650-94b4-4276bee85c91</vt:lpwstr>
  </property>
  <property fmtid="{D5CDD505-2E9C-101B-9397-08002B2CF9AE}" pid="10" name="DocumentType_0">
    <vt:lpwstr>RE|2e31ab9a-38d8-4b15-bf54-b076b749ef85</vt:lpwstr>
  </property>
  <property fmtid="{D5CDD505-2E9C-101B-9397-08002B2CF9AE}" pid="11" name="DossierName_0">
    <vt:lpwstr>SOC|13795804-ecbd-4ce5-9693-9b8be1981b20</vt:lpwstr>
  </property>
  <property fmtid="{D5CDD505-2E9C-101B-9397-08002B2CF9AE}" pid="12" name="DocumentSource_0">
    <vt:lpwstr>EESC|422833ec-8d7e-4e65-8e4e-8bed07ffb729</vt:lpwstr>
  </property>
  <property fmtid="{D5CDD505-2E9C-101B-9397-08002B2CF9AE}" pid="13" name="DocumentNumber">
    <vt:i4>2717</vt:i4>
  </property>
  <property fmtid="{D5CDD505-2E9C-101B-9397-08002B2CF9AE}" pid="14" name="DocumentVersion">
    <vt:i4>0</vt:i4>
  </property>
  <property fmtid="{D5CDD505-2E9C-101B-9397-08002B2CF9AE}" pid="15" name="DossierNumber">
    <vt:i4>754</vt:i4>
  </property>
  <property fmtid="{D5CDD505-2E9C-101B-9397-08002B2CF9AE}" pid="16" name="DocumentStatus">
    <vt:lpwstr>3;#TRA|150d2a88-1431-44e6-a8ca-0bb753ab8672</vt:lpwstr>
  </property>
  <property fmtid="{D5CDD505-2E9C-101B-9397-08002B2CF9AE}" pid="17" name="DossierName">
    <vt:lpwstr>47;#SOC|13795804-ecbd-4ce5-9693-9b8be1981b20</vt:lpwstr>
  </property>
  <property fmtid="{D5CDD505-2E9C-101B-9397-08002B2CF9AE}" pid="18" name="RequestingService">
    <vt:lpwstr>Emploi, affaires sociales, citoyenneté</vt:lpwstr>
  </property>
  <property fmtid="{D5CDD505-2E9C-101B-9397-08002B2CF9AE}" pid="19" name="Confidentiality">
    <vt:lpwstr>9;#Unrestricted|826e22d7-d029-4ec0-a450-0c28ff673572</vt:lpwstr>
  </property>
  <property fmtid="{D5CDD505-2E9C-101B-9397-08002B2CF9AE}" pid="20" name="MeetingName_0">
    <vt:lpwstr/>
  </property>
  <property fmtid="{D5CDD505-2E9C-101B-9397-08002B2CF9AE}" pid="21" name="Confidentiality_0">
    <vt:lpwstr>Unrestricted|826e22d7-d029-4ec0-a450-0c28ff673572</vt:lpwstr>
  </property>
  <property fmtid="{D5CDD505-2E9C-101B-9397-08002B2CF9AE}" pid="22" name="OriginalLanguage">
    <vt:lpwstr>5;#EN|f2175f21-25d7-44a3-96da-d6a61b075e1b</vt:lpwstr>
  </property>
  <property fmtid="{D5CDD505-2E9C-101B-9397-08002B2CF9AE}" pid="23" name="MeetingName">
    <vt:lpwstr/>
  </property>
  <property fmtid="{D5CDD505-2E9C-101B-9397-08002B2CF9AE}" pid="25" name="AvailableTranslations_0">
    <vt:lpwstr>LT|a7ff5ce7-6123-4f68-865a-a57c31810414;IT|0774613c-01ed-4e5d-a25d-11d2388de825;LV|46f7e311-5d9f-4663-b433-18aeccb7ace7;HU|6b229040-c589-4408-b4c1-4285663d20a8;SL|98a412ae-eb01-49e9-ae3d-585a81724cfc;EN|f2175f21-25d7-44a3-96da-d6a61b075e1b;SV|c2ed69e7-a339-43d7-8f22-d93680a92aa0;BG|1a1b3951-7821-4e6a-85f5-5673fc08bd2c;FR|d2afafd3-4c81-4f60-8f52-ee33f2f54ff3;SK|46d9fce0-ef79-4f71-b89b-cd6aa82426b8;CS|72f9705b-0217-4fd3-bea2-cbc7ed80e26e;PT|50ccc04a-eadd-42ae-a0cb-acaf45f812ba;FI|87606a43-d45f-42d6-b8c9-e1a3457db5b7;MT|7df99101-6854-4a26-b53a-b88c0da02c26;ES|e7a6b05b-ae16-40c8-add9-68b64b03aeba;HR|2f555653-ed1a-4fe6-8362-9082d95989e5;NL|55c6556c-b4f4-441d-9acf-c498d4f838bd;RO|feb747a2-64cd-4299-af12-4833ddc30497;GA|762d2456-c427-4ecb-b312-af3dad8e258c;PL|1e03da61-4678-4e07-b136-b5024ca9197b;DE|f6b31e5a-26fa-4935-b661-318e46daf27e;EL|6d4f4d51-af9b-4650-94b4-4276bee85c91</vt:lpwstr>
  </property>
  <property fmtid="{D5CDD505-2E9C-101B-9397-08002B2CF9AE}" pid="26" name="DocumentStatus_0">
    <vt:lpwstr>TRA|150d2a88-1431-44e6-a8ca-0bb753ab8672</vt:lpwstr>
  </property>
  <property fmtid="{D5CDD505-2E9C-101B-9397-08002B2CF9AE}" pid="27" name="OriginalLanguage_0">
    <vt:lpwstr>EN|f2175f21-25d7-44a3-96da-d6a61b075e1b</vt:lpwstr>
  </property>
  <property fmtid="{D5CDD505-2E9C-101B-9397-08002B2CF9AE}" pid="28" name="TaxCatchAll">
    <vt:lpwstr>332;#RE|2e31ab9a-38d8-4b15-bf54-b076b749ef85;#49;#GA|762d2456-c427-4ecb-b312-af3dad8e258c;#47;#SOC|13795804-ecbd-4ce5-9693-9b8be1981b20;#46;#HR|2f555653-ed1a-4fe6-8362-9082d95989e5;#44;#BG|1a1b3951-7821-4e6a-85f5-5673fc08bd2c;#42;#FI|87606a43-d45f-42d6-b8c9-e1a3457db5b7;#41;#HU|6b229040-c589-4408-b4c1-4285663d20a8;#40;#RO|feb747a2-64cd-4299-af12-4833ddc30497;#39;#LT|a7ff5ce7-6123-4f68-865a-a57c31810414;#38;#EL|6d4f4d51-af9b-4650-94b4-4276bee85c91;#37;#CS|72f9705b-0217-4fd3-bea2-cbc7ed80e26e;#36;#MT|7df99101-6854-4a26-b53a-b88c0da02c26;#35;#SL|98a412ae-eb01-49e9-ae3d-585a81724cfc;#34;#SK|46d9fce0-ef79-4f71-b89b-cd6aa82426b8;#33;#LV|46f7e311-5d9f-4663-b433-18aeccb7ace7;#32;#PT|50ccc04a-eadd-42ae-a0cb-acaf45f812ba;#31;#NL|55c6556c-b4f4-441d-9acf-c498d4f838bd;#30;#IT|0774613c-01ed-4e5d-a25d-11d2388de825;#25;#ES|e7a6b05b-ae16-40c8-add9-68b64b03aeba;#24;#PL|1e03da61-4678-4e07-b136-b5024ca9197b;#21;#SV|c2ed69e7-a339-43d7-8f22-d93680a92aa0;#16;#DE|f6b31e5a-26fa-4935-b661-318e46daf27e;#10;#FR|d2afafd3-4c81-4f60-8f52-ee33f2f54ff3;#9;#Unrestricted|826e22d7-d029-4ec0-a450-0c28ff673572;#7;#Final|ea5e6674-7b27-4bac-b091-73adbb394efe;#5;#EN|f2175f21-25d7-44a3-96da-d6a61b075e1b;#3;#TRA|150d2a88-1431-44e6-a8ca-0bb753ab8672;#1;#EESC|422833ec-8d7e-4e65-8e4e-8bed07ffb729</vt:lpwstr>
  </property>
  <property fmtid="{D5CDD505-2E9C-101B-9397-08002B2CF9AE}" pid="29" name="Rapporteur">
    <vt:lpwstr>SVENTEK &amp; BALON &amp; DEL RIO</vt:lpwstr>
  </property>
  <property fmtid="{D5CDD505-2E9C-101B-9397-08002B2CF9AE}" pid="30" name="VersionStatus_0">
    <vt:lpwstr>Final|ea5e6674-7b27-4bac-b091-73adbb394efe</vt:lpwstr>
  </property>
  <property fmtid="{D5CDD505-2E9C-101B-9397-08002B2CF9AE}" pid="31" name="VersionStatus">
    <vt:lpwstr>7;#Final|ea5e6674-7b27-4bac-b091-73adbb394efe</vt:lpwstr>
  </property>
  <property fmtid="{D5CDD505-2E9C-101B-9397-08002B2CF9AE}" pid="32" name="DocumentYear">
    <vt:i4>2023</vt:i4>
  </property>
  <property fmtid="{D5CDD505-2E9C-101B-9397-08002B2CF9AE}" pid="33" name="FicheNumber">
    <vt:i4>2888</vt:i4>
  </property>
  <property fmtid="{D5CDD505-2E9C-101B-9397-08002B2CF9AE}" pid="34" name="DocumentPart">
    <vt:i4>0</vt:i4>
  </property>
  <property fmtid="{D5CDD505-2E9C-101B-9397-08002B2CF9AE}" pid="35" name="DocumentSource">
    <vt:lpwstr>1;#EESC|422833ec-8d7e-4e65-8e4e-8bed07ffb729</vt:lpwstr>
  </property>
  <property fmtid="{D5CDD505-2E9C-101B-9397-08002B2CF9AE}" pid="36" name="AdoptionDate">
    <vt:filetime>2024-04-24T12:00:00Z</vt:filetime>
  </property>
  <property fmtid="{D5CDD505-2E9C-101B-9397-08002B2CF9AE}" pid="37" name="DocumentType">
    <vt:lpwstr>332;#RE|2e31ab9a-38d8-4b15-bf54-b076b749ef85</vt:lpwstr>
  </property>
  <property fmtid="{D5CDD505-2E9C-101B-9397-08002B2CF9AE}" pid="38" name="DocumentLanguage">
    <vt:lpwstr>43;#DA|5d49c027-8956-412b-aa16-e85a0f96ad0e</vt:lpwstr>
  </property>
</Properties>
</file>