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001261A8" w14:paraId="27E9488B" w14:textId="77777777">
        <w:trPr>
          <w:jc w:val="center"/>
        </w:trPr>
        <w:tc>
          <w:tcPr>
            <w:tcW w:w="5000" w:type="pct"/>
            <w:vAlign w:val="center"/>
          </w:tcPr>
          <w:p w:rsidRPr="00AE4D0B" w:rsidR="00CD26C9" w:rsidP="00695F57" w:rsidRDefault="00CD26C9" w14:paraId="7CC4E099" w14:textId="77777777">
            <w:pPr>
              <w:jc w:val="center"/>
              <w:rPr>
                <w:b/>
                <w:bCs/>
                <w:sz w:val="72"/>
                <w:szCs w:val="72"/>
              </w:rPr>
            </w:pPr>
            <w:r>
              <w:rPr>
                <w:b/>
                <w:sz w:val="72"/>
              </w:rPr>
              <w:t>BEWERTUNGSBERICHT</w:t>
            </w:r>
          </w:p>
        </w:tc>
      </w:tr>
      <w:tr w:rsidR="001261A8" w14:paraId="3928F037" w14:textId="77777777">
        <w:trPr>
          <w:trHeight w:val="567"/>
          <w:jc w:val="center"/>
        </w:trPr>
        <w:tc>
          <w:tcPr>
            <w:tcW w:w="5000" w:type="pct"/>
            <w:vAlign w:val="center"/>
          </w:tcPr>
          <w:p w:rsidRPr="00AE4D0B" w:rsidR="00CD26C9" w:rsidP="00695F57" w:rsidRDefault="00CD26C9" w14:paraId="3B90B2D2" w14:textId="77777777">
            <w:pPr>
              <w:jc w:val="center"/>
              <w:rPr>
                <w:sz w:val="24"/>
                <w:szCs w:val="24"/>
              </w:rPr>
            </w:pPr>
            <w:r>
              <w:rPr>
                <w:sz w:val="24"/>
              </w:rPr>
              <w:t>Europäischer Wirtschafts- und Sozialausschuss</w:t>
            </w:r>
          </w:p>
        </w:tc>
      </w:tr>
      <w:tr w:rsidR="001261A8" w14:paraId="3D0A1B2B" w14:textId="77777777">
        <w:trPr>
          <w:jc w:val="center"/>
        </w:trPr>
        <w:tc>
          <w:tcPr>
            <w:tcW w:w="5000" w:type="pct"/>
            <w:vAlign w:val="center"/>
          </w:tcPr>
          <w:p w:rsidRPr="00AE4D0B" w:rsidR="00CD26C9" w:rsidP="00371F74" w:rsidRDefault="002A63E0" w14:paraId="72944438" w14:textId="77777777">
            <w:pPr>
              <w:ind w:left="567" w:right="567"/>
              <w:jc w:val="center"/>
              <w:rPr>
                <w:b/>
                <w:bCs/>
                <w:sz w:val="44"/>
                <w:szCs w:val="44"/>
              </w:rPr>
            </w:pPr>
            <w:r>
              <w:rPr>
                <w:b/>
                <w:sz w:val="44"/>
              </w:rPr>
              <w:t>Bewertung des Europäischen Sozialfonds 2014–2020</w:t>
            </w:r>
          </w:p>
        </w:tc>
      </w:tr>
      <w:tr w:rsidR="001261A8" w14:paraId="56FB68B6" w14:textId="77777777">
        <w:trPr>
          <w:jc w:val="center"/>
        </w:trPr>
        <w:tc>
          <w:tcPr>
            <w:tcW w:w="5000" w:type="pct"/>
            <w:vAlign w:val="center"/>
          </w:tcPr>
          <w:p w:rsidRPr="00AE4D0B" w:rsidR="00CD26C9" w:rsidP="00695F57" w:rsidRDefault="00CD26C9" w14:paraId="47C12028" w14:textId="77777777">
            <w:pPr>
              <w:overflowPunct w:val="0"/>
              <w:autoSpaceDE w:val="0"/>
              <w:autoSpaceDN w:val="0"/>
              <w:adjustRightInd w:val="0"/>
              <w:jc w:val="center"/>
              <w:textAlignment w:val="baseline"/>
              <w:rPr>
                <w:b/>
                <w:bCs/>
                <w:sz w:val="24"/>
                <w:szCs w:val="24"/>
              </w:rPr>
            </w:pPr>
            <w:r>
              <w:rPr>
                <w:sz w:val="24"/>
              </w:rPr>
              <w:t>_____________</w:t>
            </w:r>
          </w:p>
        </w:tc>
      </w:tr>
      <w:tr w:rsidR="001261A8" w14:paraId="6B88BF50" w14:textId="77777777">
        <w:trPr>
          <w:jc w:val="center"/>
        </w:trPr>
        <w:tc>
          <w:tcPr>
            <w:tcW w:w="5000" w:type="pct"/>
            <w:vAlign w:val="center"/>
          </w:tcPr>
          <w:p w:rsidRPr="00AE4D0B" w:rsidR="00CD26C9" w:rsidP="00695F57" w:rsidRDefault="002A63E0" w14:paraId="05ECE137" w14:textId="77777777">
            <w:pPr>
              <w:jc w:val="center"/>
              <w:rPr>
                <w:sz w:val="24"/>
                <w:szCs w:val="24"/>
              </w:rPr>
            </w:pPr>
            <w:r>
              <w:rPr>
                <w:sz w:val="24"/>
              </w:rPr>
              <w:t>Bewertung des Europäischen Sozialfonds 2014–2020</w:t>
            </w:r>
          </w:p>
        </w:tc>
      </w:tr>
      <w:tr w:rsidR="001261A8" w14:paraId="0B1FF937" w14:textId="77777777">
        <w:trPr>
          <w:jc w:val="center"/>
        </w:trPr>
        <w:tc>
          <w:tcPr>
            <w:tcW w:w="5000" w:type="pct"/>
            <w:vAlign w:val="center"/>
          </w:tcPr>
          <w:p w:rsidRPr="00AE4D0B" w:rsidR="00CD26C9" w:rsidP="00695F57" w:rsidRDefault="00CD26C9" w14:paraId="78205313" w14:textId="77777777">
            <w:pPr>
              <w:jc w:val="center"/>
              <w:rPr>
                <w:sz w:val="24"/>
                <w:szCs w:val="24"/>
                <w:lang w:val="en-GB"/>
              </w:rPr>
            </w:pPr>
          </w:p>
        </w:tc>
      </w:tr>
      <w:tr w:rsidR="001261A8" w14:paraId="2BE26301" w14:textId="77777777">
        <w:trPr>
          <w:jc w:val="center"/>
        </w:trPr>
        <w:tc>
          <w:tcPr>
            <w:tcW w:w="5000" w:type="pct"/>
            <w:vAlign w:val="center"/>
          </w:tcPr>
          <w:p w:rsidRPr="00AE4D0B" w:rsidR="00CD26C9" w:rsidP="00695F57" w:rsidRDefault="002A63E0" w14:paraId="64A86974" w14:textId="77777777">
            <w:pPr>
              <w:jc w:val="center"/>
              <w:rPr>
                <w:b/>
                <w:bCs/>
                <w:sz w:val="24"/>
                <w:szCs w:val="24"/>
              </w:rPr>
            </w:pPr>
            <w:r>
              <w:rPr>
                <w:b/>
                <w:sz w:val="24"/>
              </w:rPr>
              <w:t>SOC/754</w:t>
            </w:r>
          </w:p>
        </w:tc>
      </w:tr>
      <w:tr w:rsidR="001261A8" w14:paraId="4FDE2BFF" w14:textId="77777777">
        <w:trPr>
          <w:jc w:val="center"/>
        </w:trPr>
        <w:tc>
          <w:tcPr>
            <w:tcW w:w="5000" w:type="pct"/>
            <w:vAlign w:val="center"/>
          </w:tcPr>
          <w:p w:rsidRPr="00AE4D0B" w:rsidR="00CD26C9" w:rsidP="00695F57" w:rsidRDefault="00CD26C9" w14:paraId="26FCEB5E" w14:textId="77777777">
            <w:pPr>
              <w:jc w:val="center"/>
              <w:rPr>
                <w:sz w:val="24"/>
                <w:szCs w:val="24"/>
                <w:lang w:val="en-GB"/>
              </w:rPr>
            </w:pPr>
          </w:p>
        </w:tc>
      </w:tr>
      <w:tr w:rsidR="001261A8" w14:paraId="4551B4ED" w14:textId="77777777">
        <w:trPr>
          <w:jc w:val="center"/>
        </w:trPr>
        <w:tc>
          <w:tcPr>
            <w:tcW w:w="5000" w:type="pct"/>
            <w:vAlign w:val="center"/>
          </w:tcPr>
          <w:p w:rsidRPr="00AE4D0B" w:rsidR="002A63E0" w:rsidP="002A63E0" w:rsidRDefault="002A63E0" w14:paraId="194AADFB" w14:textId="77777777">
            <w:pPr>
              <w:jc w:val="center"/>
              <w:rPr>
                <w:sz w:val="24"/>
                <w:szCs w:val="24"/>
              </w:rPr>
            </w:pPr>
            <w:r>
              <w:rPr>
                <w:sz w:val="24"/>
              </w:rPr>
              <w:t xml:space="preserve">Berichterstatter: </w:t>
            </w:r>
            <w:r>
              <w:rPr>
                <w:b/>
                <w:sz w:val="24"/>
              </w:rPr>
              <w:t>Krzysztof BALON</w:t>
            </w:r>
          </w:p>
          <w:p w:rsidRPr="00AE4D0B" w:rsidR="002A63E0" w:rsidP="002A63E0" w:rsidRDefault="002A63E0" w14:paraId="61012F94" w14:textId="77777777">
            <w:pPr>
              <w:jc w:val="center"/>
              <w:rPr>
                <w:sz w:val="24"/>
                <w:szCs w:val="24"/>
              </w:rPr>
            </w:pPr>
            <w:r>
              <w:rPr>
                <w:sz w:val="24"/>
              </w:rPr>
              <w:t xml:space="preserve">Berichterstatterin: </w:t>
            </w:r>
            <w:r>
              <w:rPr>
                <w:b/>
                <w:sz w:val="24"/>
              </w:rPr>
              <w:t>Cinzia DEL RIO</w:t>
            </w:r>
          </w:p>
          <w:p w:rsidRPr="00AE4D0B" w:rsidR="00CD26C9" w:rsidP="002A63E0" w:rsidRDefault="002A63E0" w14:paraId="058B1FDB" w14:textId="77777777">
            <w:pPr>
              <w:jc w:val="center"/>
              <w:rPr>
                <w:sz w:val="24"/>
                <w:szCs w:val="24"/>
              </w:rPr>
            </w:pPr>
            <w:r>
              <w:rPr>
                <w:sz w:val="24"/>
              </w:rPr>
              <w:t xml:space="preserve">Berichterstatter: </w:t>
            </w:r>
            <w:r>
              <w:rPr>
                <w:b/>
                <w:sz w:val="24"/>
              </w:rPr>
              <w:t>David SVENTEK</w:t>
            </w:r>
          </w:p>
        </w:tc>
      </w:tr>
    </w:tbl>
    <w:p w:rsidRPr="00AE4D0B" w:rsidR="00574C9B" w:rsidP="00574C9B" w:rsidRDefault="00574C9B" w14:paraId="6A96D3EB" w14:textId="77777777">
      <w:r>
        <w:rPr>
          <w:noProof/>
          <w:sz w:val="20"/>
        </w:rPr>
        <mc:AlternateContent>
          <mc:Choice Requires="wps">
            <w:drawing>
              <wp:anchor distT="0" distB="0" distL="114300" distR="114300" simplePos="0" relativeHeight="251659264" behindDoc="1" locked="0" layoutInCell="0" allowOverlap="1" wp14:editId="39C6054A" wp14:anchorId="668C91E6">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14:paraId="1E88D0E5" w14:textId="77777777">
                            <w:pPr>
                              <w:jc w:val="center"/>
                            </w:pPr>
                            <w:r>
                              <w:rPr>
                                <w:rFonts w:ascii="Arial" w:hAnsi="Arial"/>
                                <w:b/>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68C91E6">
                <v:stroke joinstyle="miter"/>
                <v:path gradientshapeok="t" o:connecttype="rect"/>
              </v:shapetype>
              <v:shape id="Text Box 17"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v:textbox>
                  <w:txbxContent>
                    <w:p w:rsidR="00574C9B" w:rsidP="00574C9B" w:rsidRDefault="00574C9B" w14:paraId="1E88D0E5" w14:textId="77777777">
                      <w:pPr>
                        <w:jc w:val="center"/>
                      </w:pPr>
                      <w:r>
                        <w:rPr>
                          <w:rFonts w:ascii="Arial" w:hAnsi="Arial"/>
                          <w:b/>
                          <w:sz w:val="48"/>
                        </w:rPr>
                        <w:t>DE</w:t>
                      </w:r>
                    </w:p>
                  </w:txbxContent>
                </v:textbox>
                <w10:wrap anchorx="margin" anchory="page"/>
              </v:shape>
            </w:pict>
          </mc:Fallback>
        </mc:AlternateContent>
      </w:r>
    </w:p>
    <w:p w:rsidRPr="00AE4D0B" w:rsidR="00574C9B" w:rsidP="00574C9B" w:rsidRDefault="00574C9B" w14:paraId="374CC6D2" w14:textId="77777777">
      <w:pPr>
        <w:rPr>
          <w:lang w:val="en-GB"/>
        </w:rPr>
      </w:pPr>
    </w:p>
    <w:p w:rsidRPr="00AE4D0B" w:rsidR="00574C9B" w:rsidP="00574C9B" w:rsidRDefault="00574C9B" w14:paraId="17744813" w14:textId="77777777">
      <w:pPr>
        <w:rPr>
          <w:lang w:val="en-GB"/>
        </w:rPr>
        <w:sectPr w:rsidRPr="00AE4D0B" w:rsidR="00574C9B" w:rsidSect="00914286">
          <w:headerReference w:type="even" r:id="rId11"/>
          <w:headerReference w:type="default" r:id="rId12"/>
          <w:headerReference w:type="first" r:id="rId13"/>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4077"/>
        <w:gridCol w:w="5212"/>
      </w:tblGrid>
      <w:tr w:rsidR="001261A8" w:rsidTr="007954E1" w14:paraId="625879BC" w14:textId="77777777">
        <w:tc>
          <w:tcPr>
            <w:tcW w:w="4077" w:type="dxa"/>
          </w:tcPr>
          <w:p w:rsidRPr="00AE4D0B" w:rsidR="009F3486" w:rsidP="0058411F" w:rsidRDefault="009F3486" w14:paraId="62FDB5F3" w14:textId="77777777">
            <w:pPr>
              <w:autoSpaceDE w:val="0"/>
              <w:autoSpaceDN w:val="0"/>
              <w:jc w:val="left"/>
              <w:rPr>
                <w:szCs w:val="20"/>
              </w:rPr>
            </w:pPr>
            <w:r>
              <w:lastRenderedPageBreak/>
              <w:t>Befassung</w:t>
            </w:r>
          </w:p>
        </w:tc>
        <w:tc>
          <w:tcPr>
            <w:tcW w:w="5212" w:type="dxa"/>
            <w:vAlign w:val="bottom"/>
          </w:tcPr>
          <w:p w:rsidRPr="00AE4D0B" w:rsidR="009F3486" w:rsidP="0058411F" w:rsidRDefault="00AE0B53" w14:paraId="3A3A1C32" w14:textId="77777777">
            <w:pPr>
              <w:autoSpaceDE w:val="0"/>
              <w:autoSpaceDN w:val="0"/>
              <w:jc w:val="left"/>
            </w:pPr>
            <w:r>
              <w:t>Europäische Kommission, 1/10/2022</w:t>
            </w:r>
          </w:p>
        </w:tc>
      </w:tr>
      <w:tr w:rsidR="001261A8" w:rsidTr="007954E1" w14:paraId="7E04ABD6" w14:textId="77777777">
        <w:tc>
          <w:tcPr>
            <w:tcW w:w="4077" w:type="dxa"/>
          </w:tcPr>
          <w:p w:rsidRPr="00AE4D0B" w:rsidR="00AC5114" w:rsidP="0058411F" w:rsidRDefault="00AC5114" w14:paraId="77431DC0" w14:textId="77777777">
            <w:pPr>
              <w:autoSpaceDE w:val="0"/>
              <w:autoSpaceDN w:val="0"/>
              <w:jc w:val="left"/>
              <w:rPr>
                <w:szCs w:val="20"/>
              </w:rPr>
            </w:pPr>
            <w:r>
              <w:t>Rechtsgrundlage</w:t>
            </w:r>
          </w:p>
        </w:tc>
        <w:tc>
          <w:tcPr>
            <w:tcW w:w="5212" w:type="dxa"/>
            <w:vAlign w:val="bottom"/>
          </w:tcPr>
          <w:p w:rsidRPr="00AE4D0B" w:rsidR="00AC5114" w:rsidP="0058411F" w:rsidRDefault="00AC5114" w14:paraId="64D943A3" w14:textId="77777777">
            <w:pPr>
              <w:autoSpaceDE w:val="0"/>
              <w:autoSpaceDN w:val="0"/>
              <w:jc w:val="left"/>
              <w:rPr>
                <w:szCs w:val="20"/>
              </w:rPr>
            </w:pPr>
            <w:r>
              <w:t>Artikel 304 des Vertrags über die Arbeitsweise der Europäischen Union</w:t>
            </w:r>
          </w:p>
        </w:tc>
      </w:tr>
      <w:tr w:rsidR="001261A8" w:rsidTr="007954E1" w14:paraId="3428A6ED" w14:textId="77777777">
        <w:tc>
          <w:tcPr>
            <w:tcW w:w="4077" w:type="dxa"/>
          </w:tcPr>
          <w:p w:rsidRPr="00AE4D0B" w:rsidR="00AE0B53" w:rsidP="00AE0B53" w:rsidRDefault="00AE0B53" w14:paraId="144138F7" w14:textId="77777777">
            <w:pPr>
              <w:autoSpaceDE w:val="0"/>
              <w:autoSpaceDN w:val="0"/>
              <w:jc w:val="left"/>
            </w:pPr>
            <w:r>
              <w:t>Zuständiges Arbeitsorgan</w:t>
            </w:r>
          </w:p>
        </w:tc>
        <w:tc>
          <w:tcPr>
            <w:tcW w:w="5212" w:type="dxa"/>
          </w:tcPr>
          <w:p w:rsidRPr="00AE4D0B" w:rsidR="00AE0B53" w:rsidP="00AE0B53" w:rsidRDefault="00AE0B53" w14:paraId="253317E6" w14:textId="77777777">
            <w:pPr>
              <w:autoSpaceDE w:val="0"/>
              <w:autoSpaceDN w:val="0"/>
              <w:jc w:val="left"/>
            </w:pPr>
            <w:r>
              <w:t>Fachgruppe Beschäftigung, Sozialfragen, Unionsbürgerschaft</w:t>
            </w:r>
          </w:p>
        </w:tc>
      </w:tr>
      <w:tr w:rsidR="001261A8" w:rsidTr="007954E1" w14:paraId="0423A2C6" w14:textId="77777777">
        <w:tc>
          <w:tcPr>
            <w:tcW w:w="4077" w:type="dxa"/>
          </w:tcPr>
          <w:p w:rsidRPr="00AE4D0B" w:rsidR="00AE0B53" w:rsidP="00AE0B53" w:rsidRDefault="00AE0B53" w14:paraId="169899CF" w14:textId="77777777">
            <w:pPr>
              <w:autoSpaceDE w:val="0"/>
              <w:autoSpaceDN w:val="0"/>
              <w:jc w:val="left"/>
            </w:pPr>
            <w:r>
              <w:t>Annahme im Arbeitsorgan</w:t>
            </w:r>
          </w:p>
        </w:tc>
        <w:tc>
          <w:tcPr>
            <w:tcW w:w="5212" w:type="dxa"/>
          </w:tcPr>
          <w:p w:rsidRPr="00AE4D0B" w:rsidR="00AE0B53" w:rsidP="00AE0B53" w:rsidRDefault="00AE0B53" w14:paraId="77514727" w14:textId="77777777">
            <w:pPr>
              <w:autoSpaceDE w:val="0"/>
              <w:autoSpaceDN w:val="0"/>
              <w:jc w:val="left"/>
            </w:pPr>
            <w:r>
              <w:t>12/4/2024</w:t>
            </w:r>
          </w:p>
        </w:tc>
      </w:tr>
      <w:tr w:rsidR="001261A8" w:rsidTr="007954E1" w14:paraId="31B28CBA" w14:textId="77777777">
        <w:tc>
          <w:tcPr>
            <w:tcW w:w="4077" w:type="dxa"/>
          </w:tcPr>
          <w:p w:rsidRPr="00AE4D0B" w:rsidR="000D5C61" w:rsidP="000D5C61" w:rsidRDefault="000D5C61" w14:paraId="6628464B" w14:textId="77777777">
            <w:pPr>
              <w:autoSpaceDE w:val="0"/>
              <w:autoSpaceDN w:val="0"/>
              <w:jc w:val="left"/>
            </w:pPr>
            <w:r>
              <w:t>Verabschiedung im Plenum</w:t>
            </w:r>
          </w:p>
        </w:tc>
        <w:tc>
          <w:tcPr>
            <w:tcW w:w="5212" w:type="dxa"/>
            <w:vAlign w:val="bottom"/>
          </w:tcPr>
          <w:p w:rsidRPr="00AE4D0B" w:rsidR="000D5C61" w:rsidP="000D5C61" w:rsidRDefault="000D5C61" w14:paraId="321D8636" w14:textId="77777777">
            <w:pPr>
              <w:autoSpaceDE w:val="0"/>
              <w:autoSpaceDN w:val="0"/>
              <w:jc w:val="left"/>
            </w:pPr>
            <w:r>
              <w:t>24/4/2024</w:t>
            </w:r>
          </w:p>
        </w:tc>
      </w:tr>
      <w:tr w:rsidR="001261A8" w:rsidTr="007954E1" w14:paraId="0C266E32" w14:textId="77777777">
        <w:tc>
          <w:tcPr>
            <w:tcW w:w="4077" w:type="dxa"/>
          </w:tcPr>
          <w:p w:rsidRPr="00AE4D0B" w:rsidR="000D5C61" w:rsidP="000D5C61" w:rsidRDefault="000D5C61" w14:paraId="29CD7D82" w14:textId="77777777">
            <w:pPr>
              <w:autoSpaceDE w:val="0"/>
              <w:autoSpaceDN w:val="0"/>
              <w:jc w:val="left"/>
            </w:pPr>
            <w:r>
              <w:t>Plenartagung Nr.</w:t>
            </w:r>
          </w:p>
        </w:tc>
        <w:tc>
          <w:tcPr>
            <w:tcW w:w="5212" w:type="dxa"/>
            <w:vAlign w:val="bottom"/>
          </w:tcPr>
          <w:p w:rsidRPr="00AE4D0B" w:rsidR="000D5C61" w:rsidP="000D5C61" w:rsidRDefault="000D5C61" w14:paraId="4B54B812" w14:textId="77777777">
            <w:pPr>
              <w:autoSpaceDE w:val="0"/>
              <w:autoSpaceDN w:val="0"/>
              <w:jc w:val="left"/>
            </w:pPr>
            <w:r>
              <w:t>587</w:t>
            </w:r>
          </w:p>
        </w:tc>
      </w:tr>
      <w:tr w:rsidR="001261A8" w:rsidTr="007954E1" w14:paraId="09590410" w14:textId="77777777">
        <w:tc>
          <w:tcPr>
            <w:tcW w:w="4077" w:type="dxa"/>
          </w:tcPr>
          <w:p w:rsidRPr="00AE4D0B" w:rsidR="0058411F" w:rsidP="0058411F" w:rsidRDefault="0058411F" w14:paraId="395E3DF8" w14:textId="77777777">
            <w:pPr>
              <w:autoSpaceDE w:val="0"/>
              <w:autoSpaceDN w:val="0"/>
              <w:jc w:val="left"/>
            </w:pPr>
            <w:r>
              <w:t>Ergebnis der Abstimmung</w:t>
            </w:r>
            <w:r>
              <w:br/>
              <w:t>(Ja-Stimmen/Nein-Stimmen/Enthaltungen)</w:t>
            </w:r>
          </w:p>
        </w:tc>
        <w:tc>
          <w:tcPr>
            <w:tcW w:w="5212" w:type="dxa"/>
            <w:vAlign w:val="bottom"/>
          </w:tcPr>
          <w:p w:rsidRPr="00AE4D0B" w:rsidR="0058411F" w:rsidP="0058411F" w:rsidRDefault="000B2215" w14:paraId="6F7C29B5" w14:textId="77777777">
            <w:pPr>
              <w:autoSpaceDE w:val="0"/>
              <w:autoSpaceDN w:val="0"/>
              <w:jc w:val="left"/>
            </w:pPr>
            <w:r>
              <w:t>132/0/0</w:t>
            </w:r>
          </w:p>
        </w:tc>
      </w:tr>
    </w:tbl>
    <w:p w:rsidRPr="00AE4D0B" w:rsidR="00AC5114" w:rsidP="00574C9B" w:rsidRDefault="00AC5114" w14:paraId="36FD7E4E" w14:textId="77777777">
      <w:pPr>
        <w:rPr>
          <w:lang w:val="en-GB"/>
        </w:rPr>
      </w:pPr>
    </w:p>
    <w:p w:rsidRPr="00AE4D0B" w:rsidR="00AC5114" w:rsidP="00574C9B" w:rsidRDefault="00AC5114" w14:paraId="35E33B6C" w14:textId="77777777">
      <w:pPr>
        <w:rPr>
          <w:lang w:val="en-GB"/>
        </w:rPr>
        <w:sectPr w:rsidRPr="00AE4D0B" w:rsidR="00AC5114" w:rsidSect="00914286">
          <w:headerReference w:type="even" r:id="rId14"/>
          <w:headerReference w:type="default" r:id="rId15"/>
          <w:footerReference w:type="default" r:id="rId16"/>
          <w:headerReference w:type="first" r:id="rId17"/>
          <w:pgSz w:w="11907" w:h="16839" w:code="9"/>
          <w:pgMar w:top="5669" w:right="1418" w:bottom="1418" w:left="1418" w:header="709" w:footer="709" w:gutter="0"/>
          <w:cols w:space="720"/>
          <w:docGrid w:linePitch="360"/>
        </w:sectPr>
      </w:pPr>
    </w:p>
    <w:p w:rsidRPr="00371F74" w:rsidR="002A42BD" w:rsidP="002A42BD" w:rsidRDefault="002A42BD" w14:paraId="696B63D7" w14:textId="77777777">
      <w:pPr>
        <w:pStyle w:val="Heading1"/>
        <w:keepNext/>
        <w:rPr>
          <w:b/>
          <w:bCs/>
        </w:rPr>
      </w:pPr>
      <w:r>
        <w:rPr>
          <w:b/>
        </w:rPr>
        <w:lastRenderedPageBreak/>
        <w:t>Einleitung</w:t>
      </w:r>
    </w:p>
    <w:p w:rsidRPr="00371F74" w:rsidR="002A42BD" w:rsidP="002A42BD" w:rsidRDefault="002A42BD" w14:paraId="57E2257E" w14:textId="77777777">
      <w:pPr>
        <w:rPr>
          <w:lang w:val="en-GB"/>
        </w:rPr>
      </w:pPr>
    </w:p>
    <w:p w:rsidRPr="00371F74" w:rsidR="002A42BD" w:rsidP="002A42BD" w:rsidRDefault="002A42BD" w14:paraId="19C52C51" w14:textId="77777777">
      <w:pPr>
        <w:pStyle w:val="Heading2"/>
      </w:pPr>
      <w:r>
        <w:t>Bei diesem Bewertungsbericht über die Umsetzung des Europäischen Sozialfonds (ESF) im Zeitraum 2014–2020 handelt es sich um den Beitrag des EWSA zur laufenden Ex-post-Bewertung der Umsetzung dieses Instruments durch die Europäische Kommission. Schwerpunkt des Bewertungsberichts des Europäischen Wirtschafts- und Sozialausschusses (EWSA) ist die Sammlung und Auswertung der Standpunkte der organisierten Zivilgesellschaft im Hinblick auf die Umsetzung des ESF in ausgewählten EU-Mitgliedstaaten.</w:t>
      </w:r>
    </w:p>
    <w:p w:rsidRPr="00371F74" w:rsidR="002A42BD" w:rsidP="002A42BD" w:rsidRDefault="002A42BD" w14:paraId="3C41D53A" w14:textId="77777777">
      <w:pPr>
        <w:rPr>
          <w:lang w:val="en-GB"/>
        </w:rPr>
      </w:pPr>
    </w:p>
    <w:p w:rsidRPr="00371F74" w:rsidR="002A42BD" w:rsidP="002A42BD" w:rsidRDefault="002A42BD" w14:paraId="449DD595" w14:textId="77777777">
      <w:pPr>
        <w:pStyle w:val="Heading2"/>
      </w:pPr>
      <w:r>
        <w:t>Der ESF war das erste EU-Finanzierungsinstrument, das durch die Römischen Verträge (1957) eingerichtet wurde, um „die berufliche Verwendbarkeit und die örtliche und berufliche Mobilität der Arbeitskräfte [innerhalb der Union] zu fördern sowie die Anpassung an die industriellen Wandlungsprozesse und an Veränderungen der Produktionssysteme insbesondere durch berufliche Bildung und Umschulung zu erleichtern“. Mit der Verordnung (EU) Nr. 1304/2013 vom 17. Dezember 2013 werden die Aufträge des Europäischen Sozialfonds (ESF), einschließlich der Beschäftigungsinitiative für junge Menschen, sein Interventionsbereich, besondere Bestimmungen und die Arten von Ausgaben, die für eine Unterstützung in Frage kommen, festgelegt.</w:t>
      </w:r>
    </w:p>
    <w:p w:rsidRPr="00371F74" w:rsidR="002A42BD" w:rsidP="002A42BD" w:rsidRDefault="002A42BD" w14:paraId="761781DA" w14:textId="77777777">
      <w:pPr>
        <w:rPr>
          <w:lang w:val="en-GB"/>
        </w:rPr>
      </w:pPr>
    </w:p>
    <w:p w:rsidRPr="00371F74" w:rsidR="002A42BD" w:rsidP="002A42BD" w:rsidRDefault="002A42BD" w14:paraId="7EDD8865" w14:textId="77777777">
      <w:pPr>
        <w:pStyle w:val="Heading2"/>
      </w:pPr>
      <w:r>
        <w:t>Wie bei Bewertungen des EWSA üblich, wurde dieser Bericht auf der Grundlage von Informationsreisen und Online-Befragungen in fünf EU-Mitgliedstaaten (Italien, Niederlande, Polen, Spanien und Tschechien) erstellt. Der technische Anhang zu diesem Bericht enthält ausführliche Informationen zu den Ergebnissen der Online-Befragung und der Treffen mit Interessenträgern aus den oben genannten Ländern.</w:t>
      </w:r>
    </w:p>
    <w:p w:rsidRPr="00371F74" w:rsidR="002A42BD" w:rsidP="002A42BD" w:rsidRDefault="002A42BD" w14:paraId="13C682CE" w14:textId="77777777">
      <w:pPr>
        <w:rPr>
          <w:lang w:val="en-GB"/>
        </w:rPr>
      </w:pPr>
    </w:p>
    <w:p w:rsidRPr="00371F74" w:rsidR="002A42BD" w:rsidP="002A42BD" w:rsidRDefault="002A42BD" w14:paraId="4194D2E8" w14:textId="77777777">
      <w:pPr>
        <w:pStyle w:val="Heading2"/>
      </w:pPr>
      <w:r>
        <w:t>Die in dem Bericht zum Ausdruck gebrachten Bewertungen und Meinungen geben ausschließlich die Ansichten einer repräsentativen Auswahl zivilgesellschaftlicher Organisationen (und Behörden) aus den genannten Mitgliedstaaten wider. In den Empfehlungen werden die von der Mehrheit der konsultierten Vertreter zivilgesellschaftlicher Organisationen geteilten Standpunkte wiedergegeben.</w:t>
      </w:r>
    </w:p>
    <w:p w:rsidRPr="00371F74" w:rsidR="002A42BD" w:rsidP="002A42BD" w:rsidRDefault="002A42BD" w14:paraId="056BDF5C" w14:textId="77777777">
      <w:pPr>
        <w:rPr>
          <w:lang w:val="en-GB"/>
        </w:rPr>
      </w:pPr>
    </w:p>
    <w:p w:rsidRPr="00371F74" w:rsidR="002A42BD" w:rsidP="002A42BD" w:rsidRDefault="002A42BD" w14:paraId="16646E11" w14:textId="77777777">
      <w:pPr>
        <w:pStyle w:val="Heading1"/>
        <w:keepNext/>
        <w:keepLines/>
        <w:rPr>
          <w:b/>
          <w:bCs/>
        </w:rPr>
      </w:pPr>
      <w:r>
        <w:rPr>
          <w:b/>
        </w:rPr>
        <w:t>Vorbemerkungen</w:t>
      </w:r>
    </w:p>
    <w:p w:rsidRPr="00371F74" w:rsidR="002A42BD" w:rsidP="002A42BD" w:rsidRDefault="002A42BD" w14:paraId="25DF4B02" w14:textId="77777777">
      <w:pPr>
        <w:keepNext/>
        <w:keepLines/>
        <w:rPr>
          <w:lang w:val="en-GB"/>
        </w:rPr>
      </w:pPr>
    </w:p>
    <w:p w:rsidRPr="00371F74" w:rsidR="002A42BD" w:rsidP="002A42BD" w:rsidRDefault="002A42BD" w14:paraId="024D547C" w14:textId="77777777">
      <w:pPr>
        <w:pStyle w:val="Heading2"/>
      </w:pPr>
      <w:r>
        <w:t>Während der fünf Informationsreisen wurden 67 Arbeitgeberverbände, Gewerkschaften, zivilgesellschaftliche Organisationen sowie zahlreiche Behörden auf nationaler, regionaler und lokaler Ebene konsultiert, und über den Online-Fragebogen wurden 51 Einzelbeiträge eingeholt.</w:t>
      </w:r>
    </w:p>
    <w:p w:rsidRPr="00371F74" w:rsidR="002A42BD" w:rsidP="002A42BD" w:rsidRDefault="002A42BD" w14:paraId="6BAEDAD5" w14:textId="77777777">
      <w:pPr>
        <w:pStyle w:val="Heading2"/>
        <w:numPr>
          <w:ilvl w:val="0"/>
          <w:numId w:val="0"/>
        </w:numPr>
        <w:rPr>
          <w:lang w:val="en-GB"/>
        </w:rPr>
      </w:pPr>
    </w:p>
    <w:p w:rsidRPr="00371F74" w:rsidR="002A42BD" w:rsidP="002A42BD" w:rsidRDefault="002A42BD" w14:paraId="2E0E09A7" w14:textId="77777777">
      <w:pPr>
        <w:pStyle w:val="Heading2"/>
      </w:pPr>
      <w:r>
        <w:t xml:space="preserve">Der Online-Fragebogen wurde von 12 Vertretern von Arbeitnehmerorganisationen (24 %), 12 Vertretern zivilgesellschaftlicher Organisationen (24 %), neun Vertretern von Arbeitgeberverbänden (18 %) und von 18 Befragten (35 %) beantwortet, die angaben, einer „anderen Organisation“ anzugehören. 35 % der Befragten stammten aus Tschechien, 25 % aus Spanien, 22 % aus Italien, 10 % aus Polen und 8 % aus den Niederlanden. </w:t>
      </w:r>
    </w:p>
    <w:p w:rsidRPr="00371F74" w:rsidR="002A42BD" w:rsidP="002A42BD" w:rsidRDefault="002A42BD" w14:paraId="6B952834" w14:textId="77777777">
      <w:pPr>
        <w:pStyle w:val="Heading2"/>
        <w:numPr>
          <w:ilvl w:val="0"/>
          <w:numId w:val="0"/>
        </w:numPr>
        <w:rPr>
          <w:lang w:val="en-GB"/>
        </w:rPr>
      </w:pPr>
    </w:p>
    <w:p w:rsidRPr="00371F74" w:rsidR="002A42BD" w:rsidP="002A42BD" w:rsidRDefault="002A42BD" w14:paraId="5434393E" w14:textId="77777777">
      <w:pPr>
        <w:pStyle w:val="Heading2"/>
      </w:pPr>
      <w:r>
        <w:t xml:space="preserve">Gemäß den Angaben der Organisationen, die den Online-Fragebogen ausgefüllt haben, gehören 68 % zum Kreis der Begünstigten des ESF oder des Programms der Beschäftigungsinitiative für junge Menschen. 19 % sind Begünstigte von aus dem ESF kofinanzierten Maßnahmen und </w:t>
      </w:r>
      <w:r>
        <w:lastRenderedPageBreak/>
        <w:t xml:space="preserve">13 % Begünstigte von aus der Beschäftigungsinitiative für junge Menschen kofinanzierten Maßnahmen. </w:t>
      </w:r>
    </w:p>
    <w:p w:rsidRPr="00AE4D0B" w:rsidR="002A42BD" w:rsidP="002A42BD" w:rsidRDefault="002A42BD" w14:paraId="7284DE28" w14:textId="77777777">
      <w:pPr>
        <w:pStyle w:val="ListParagraph"/>
        <w:ind w:left="360"/>
        <w:rPr>
          <w:lang w:val="en-GB"/>
        </w:rPr>
      </w:pPr>
    </w:p>
    <w:p w:rsidRPr="00371F74" w:rsidR="002A42BD" w:rsidP="002A42BD" w:rsidRDefault="002A42BD" w14:paraId="6E4B8E2D" w14:textId="77777777">
      <w:pPr>
        <w:pStyle w:val="Heading2"/>
      </w:pPr>
      <w:r>
        <w:t xml:space="preserve">Einige soziale und zivilgesellschaftliche Organisationen haben darauf hingewiesen, dass die komplizierte ESF-Mittelverwaltung eine Herausforderung darstellt und sowohl Verwaltungsverfahren als auch nationale Verfahren vereinfacht werden müssen, um kleineren Organisationen den Zugang zu den Programmen des Fonds zu erleichtern. </w:t>
      </w:r>
    </w:p>
    <w:p w:rsidRPr="00371F74" w:rsidR="002A42BD" w:rsidP="002A42BD" w:rsidRDefault="002A42BD" w14:paraId="639A590B" w14:textId="77777777">
      <w:pPr>
        <w:pStyle w:val="Heading2"/>
        <w:numPr>
          <w:ilvl w:val="0"/>
          <w:numId w:val="0"/>
        </w:numPr>
        <w:rPr>
          <w:lang w:val="en-GB"/>
        </w:rPr>
      </w:pPr>
    </w:p>
    <w:p w:rsidRPr="00371F74" w:rsidR="002A42BD" w:rsidP="002A42BD" w:rsidRDefault="002A42BD" w14:paraId="3356EF36" w14:textId="77777777">
      <w:pPr>
        <w:pStyle w:val="Heading2"/>
      </w:pPr>
      <w:r>
        <w:t>Bezüglich der Sozialpartner wurde hervorgehoben, dass sie eine zentrale Rolle spielen und bei der Programmplanung, Umsetzung und Bewertung des ESF auch im Interesse des sozialen Dialogs stärker einbezogen werden sollten.</w:t>
      </w:r>
    </w:p>
    <w:p w:rsidRPr="00371F74" w:rsidR="002A42BD" w:rsidP="002A42BD" w:rsidRDefault="002A42BD" w14:paraId="2923B9E5" w14:textId="77777777">
      <w:pPr>
        <w:rPr>
          <w:lang w:val="en-GB"/>
        </w:rPr>
      </w:pPr>
    </w:p>
    <w:p w:rsidRPr="00371F74" w:rsidR="002A42BD" w:rsidP="002A42BD" w:rsidRDefault="002A42BD" w14:paraId="5A9F4069" w14:textId="77777777">
      <w:pPr>
        <w:pStyle w:val="Heading1"/>
        <w:keepNext/>
        <w:rPr>
          <w:b/>
          <w:bCs/>
        </w:rPr>
      </w:pPr>
      <w:r>
        <w:rPr>
          <w:b/>
        </w:rPr>
        <w:t>Schlussfolgerungen zur Wirksamkeit</w:t>
      </w:r>
    </w:p>
    <w:p w:rsidRPr="00371F74" w:rsidR="002A42BD" w:rsidP="002A42BD" w:rsidRDefault="002A42BD" w14:paraId="2A76DB28" w14:textId="77777777">
      <w:pPr>
        <w:keepNext/>
        <w:ind w:left="142" w:hanging="142"/>
        <w:jc w:val="left"/>
        <w:rPr>
          <w:lang w:val="en-GB"/>
        </w:rPr>
      </w:pPr>
    </w:p>
    <w:p w:rsidRPr="00371F74" w:rsidR="002A42BD" w:rsidP="002A42BD" w:rsidRDefault="002A42BD" w14:paraId="2CC24D4C" w14:textId="77777777">
      <w:pPr>
        <w:pStyle w:val="Heading2"/>
      </w:pPr>
      <w:r>
        <w:t>Aus Sicht der meisten Befragten ist der ESF schwerpunktmäßig auf das Programm der Beschäftigungsinitiative für junge Menschen ausgerichtet, damit die thematischen Ziele der europäischen Kohäsionspolitik erreicht werden. Insbesondere wurden folgende Schwerpunktbereiche des ESF genannt: Förderung von Beschäftigung und Unterstützung der Mobilität der Arbeitskräfte; Förderung der sozialen Inklusion und Armutsbekämpfung; Investitionen in Bildung, Kompetenzen und lebenslanges Lernen sowie Stärkung der Kapazitäten der öffentlichen Verwaltungen sowie technische Unterstützung.</w:t>
      </w:r>
    </w:p>
    <w:p w:rsidRPr="00371F74" w:rsidR="002A42BD" w:rsidP="002A42BD" w:rsidRDefault="002A42BD" w14:paraId="351C2631" w14:textId="77777777">
      <w:pPr>
        <w:pStyle w:val="Heading2"/>
        <w:numPr>
          <w:ilvl w:val="0"/>
          <w:numId w:val="0"/>
        </w:numPr>
        <w:rPr>
          <w:lang w:val="en-GB"/>
        </w:rPr>
      </w:pPr>
    </w:p>
    <w:p w:rsidRPr="00371F74" w:rsidR="002A42BD" w:rsidP="002A42BD" w:rsidRDefault="002A42BD" w14:paraId="13F1E784" w14:textId="77777777">
      <w:pPr>
        <w:pStyle w:val="Heading2"/>
      </w:pPr>
      <w:r>
        <w:t>Mehr als die Hälfte der Befragten (55 %) war der Ansicht, dass der ESF nur mäßig zur Umsetzung der europäischen Säule sozialer Rechte beigetragen hat, 6 % äußerten sich dazu entweder nicht oder waren der Meinung, dass der Fonds nichts beigetragen hat. Während die Unterstützung aus dem ESF von den meisten spanischen Befragten als stark bezeichnet wurde, war sie für einige der Befragten aus den Niederlanden und Polen gleich null.</w:t>
      </w:r>
    </w:p>
    <w:p w:rsidRPr="00371F74" w:rsidR="002A42BD" w:rsidP="002A42BD" w:rsidRDefault="002A42BD" w14:paraId="424B71E5" w14:textId="77777777">
      <w:pPr>
        <w:pStyle w:val="Heading2"/>
        <w:numPr>
          <w:ilvl w:val="0"/>
          <w:numId w:val="0"/>
        </w:numPr>
        <w:rPr>
          <w:lang w:val="en-GB"/>
        </w:rPr>
      </w:pPr>
    </w:p>
    <w:p w:rsidRPr="00371F74" w:rsidR="002A42BD" w:rsidP="002A42BD" w:rsidRDefault="002A42BD" w14:paraId="635D27D8" w14:textId="77777777">
      <w:pPr>
        <w:pStyle w:val="Heading2"/>
      </w:pPr>
      <w:r>
        <w:t>Die Unterstützung, die der ESF bei Maßnahmen in den Bereichen Unternehmertum und Arbeit sowie KMU-Förderung und -Innovationen leistet, bewerteten 55 % der Befragten als stark oder mäßig.</w:t>
      </w:r>
    </w:p>
    <w:p w:rsidRPr="00371F74" w:rsidR="002A42BD" w:rsidP="002A42BD" w:rsidRDefault="002A42BD" w14:paraId="07CE7884" w14:textId="77777777">
      <w:pPr>
        <w:pStyle w:val="Heading2"/>
        <w:numPr>
          <w:ilvl w:val="0"/>
          <w:numId w:val="0"/>
        </w:numPr>
        <w:rPr>
          <w:lang w:val="en-GB"/>
        </w:rPr>
      </w:pPr>
    </w:p>
    <w:p w:rsidRPr="00371F74" w:rsidR="002A42BD" w:rsidP="002A42BD" w:rsidRDefault="002A42BD" w14:paraId="16F21AC6" w14:textId="77777777">
      <w:pPr>
        <w:pStyle w:val="Heading2"/>
      </w:pPr>
      <w:r>
        <w:t>Die Befragten gaben mehrheitlich an, dass aus dem ESF Maßnahmen zur Förderung der Beschäftigung von jungen Menschen und Frauen finanziert werden. Dass der ESF in ihrem Land stark oder mäßig zu Investitionen in die Förderung der Vereinbarkeit von Berufs- und Privatleben beigetragen hat, glaubten nur 47 % der Befragten.</w:t>
      </w:r>
    </w:p>
    <w:p w:rsidRPr="00371F74" w:rsidR="002A42BD" w:rsidP="002A42BD" w:rsidRDefault="002A42BD" w14:paraId="60F9E7F5" w14:textId="77777777">
      <w:pPr>
        <w:pStyle w:val="Heading2"/>
        <w:numPr>
          <w:ilvl w:val="0"/>
          <w:numId w:val="0"/>
        </w:numPr>
        <w:rPr>
          <w:lang w:val="en-GB"/>
        </w:rPr>
      </w:pPr>
    </w:p>
    <w:p w:rsidRPr="00371F74" w:rsidR="002A42BD" w:rsidP="002A42BD" w:rsidRDefault="002A42BD" w14:paraId="6E448D86" w14:textId="77777777">
      <w:pPr>
        <w:pStyle w:val="Heading2"/>
      </w:pPr>
      <w:r>
        <w:t xml:space="preserve">73 % vertraten die Ansicht, dass in ihrem Land ein Missverhältnis zwischen Qualifikationsangebot und -nachfrage besteht. Die polnischen und italienischen Befragten waren alle der Meinung, dass in ihren Ländern ein Ungleichgewicht zwischen Qualifikationsangebot und -nachfrage besteht, in den Niederlanden waren es dagegen 75 %, in Tschechien 61 % und in Spanien 54 %. Zu Investitionen in eine weiterführende fachliche Ausbildung leistet der ESF aus Sicht der Mehrheit der Befragten einen mäßigen Beitrag. </w:t>
      </w:r>
    </w:p>
    <w:p w:rsidRPr="00371F74" w:rsidR="002A42BD" w:rsidP="002A42BD" w:rsidRDefault="002A42BD" w14:paraId="56F6409E" w14:textId="77777777">
      <w:pPr>
        <w:pStyle w:val="Heading2"/>
        <w:numPr>
          <w:ilvl w:val="0"/>
          <w:numId w:val="0"/>
        </w:numPr>
        <w:rPr>
          <w:lang w:val="en-GB"/>
        </w:rPr>
      </w:pPr>
    </w:p>
    <w:p w:rsidRPr="00371F74" w:rsidR="002A42BD" w:rsidP="007954E1" w:rsidRDefault="002A42BD" w14:paraId="4019DFD0" w14:textId="77777777">
      <w:pPr>
        <w:pStyle w:val="Heading2"/>
        <w:keepNext/>
        <w:keepLines/>
      </w:pPr>
      <w:r>
        <w:lastRenderedPageBreak/>
        <w:t>64 % gaben an, dass der ESF in ihrem Land zu dem für Investitionen in soziale Inklusion und Armutsbekämpfung vorgesehenen 20 %-Ziel beigetragen hat. Mit Ausnahme von Spanien, wo die meisten Befragten (77 %) der Meinung waren, dass die betreffenden vorrangigen Maßnahmen getroffen wurden, gab es hier keine wesentlichen länderspezifischen Unterschiede.</w:t>
      </w:r>
    </w:p>
    <w:p w:rsidRPr="00371F74" w:rsidR="002A42BD" w:rsidP="002A42BD" w:rsidRDefault="002A42BD" w14:paraId="3BAC166A" w14:textId="77777777">
      <w:pPr>
        <w:pStyle w:val="Heading2"/>
        <w:numPr>
          <w:ilvl w:val="0"/>
          <w:numId w:val="0"/>
        </w:numPr>
        <w:rPr>
          <w:lang w:val="en-GB"/>
        </w:rPr>
      </w:pPr>
    </w:p>
    <w:p w:rsidRPr="00371F74" w:rsidR="002A42BD" w:rsidP="002A42BD" w:rsidRDefault="002A42BD" w14:paraId="53E4B0E8" w14:textId="77777777">
      <w:pPr>
        <w:pStyle w:val="Heading2"/>
      </w:pPr>
      <w:r>
        <w:t>Für aus dem ESF finanzierte Maßnahmen nannten 65 % der Befragten Maßnahmen zur Unterstützung der Roma, 57 % Maßnahmen zugunsten von Bürgern aus Nicht-EU-Ländern und 45 % Maßnahmen zugunsten von EU-Bürgern aus anderen Mitgliedstaaten.</w:t>
      </w:r>
    </w:p>
    <w:p w:rsidRPr="00371F74" w:rsidR="002A42BD" w:rsidP="002A42BD" w:rsidRDefault="002A42BD" w14:paraId="07638A4D" w14:textId="77777777">
      <w:pPr>
        <w:pStyle w:val="Heading2"/>
        <w:numPr>
          <w:ilvl w:val="0"/>
          <w:numId w:val="0"/>
        </w:numPr>
        <w:rPr>
          <w:lang w:val="en-GB"/>
        </w:rPr>
      </w:pPr>
    </w:p>
    <w:p w:rsidRPr="00371F74" w:rsidR="002A42BD" w:rsidP="002A42BD" w:rsidRDefault="002A42BD" w14:paraId="10BD7388" w14:textId="77777777">
      <w:pPr>
        <w:pStyle w:val="Heading2"/>
      </w:pPr>
      <w:r>
        <w:t xml:space="preserve">36 % der Befragten glaubten, dass aus dem ESF Mittel zur Finanzierung von Plänen zur Konsolidierung der Verwaltung bereitgestellt werden, um im Zusammenhang mit der Planung und Verwendung von EU-Mitteln auf eine effizientere und leistungsfähigere öffentliche Verwaltung hinzuwirken. </w:t>
      </w:r>
    </w:p>
    <w:p w:rsidRPr="00371F74" w:rsidR="002A42BD" w:rsidP="002A42BD" w:rsidRDefault="002A42BD" w14:paraId="4F05EDCA" w14:textId="77777777">
      <w:pPr>
        <w:rPr>
          <w:lang w:val="en-GB"/>
        </w:rPr>
      </w:pPr>
    </w:p>
    <w:p w:rsidRPr="00371F74" w:rsidR="002A42BD" w:rsidP="002A42BD" w:rsidRDefault="002A42BD" w14:paraId="31803FDE" w14:textId="77777777">
      <w:pPr>
        <w:pStyle w:val="Heading2"/>
      </w:pPr>
      <w:r>
        <w:t xml:space="preserve">Die Mehrheit der konsultierten Arbeitgeberverbände und Gewerkschaften bestätigte während des Informationsbesuchs in Italien noch einmal, dass die lebenslange Aus- und Weiterbildung von Arbeitnehmern grundlegende Bedeutung hat. Außerdem regten sie an, dass die Mittel, die Unternehmen für die lebenslange Aus- und Weiterbildung ihrer Arbeitnehmer aufwenden, von den geltenden Vorschriften über staatliche Beihilfen ausgenommen werden könnten. </w:t>
      </w:r>
    </w:p>
    <w:p w:rsidRPr="00371F74" w:rsidR="002A42BD" w:rsidP="002A42BD" w:rsidRDefault="002A42BD" w14:paraId="201EE731" w14:textId="77777777">
      <w:pPr>
        <w:rPr>
          <w:highlight w:val="yellow"/>
          <w:lang w:val="en-GB"/>
        </w:rPr>
      </w:pPr>
    </w:p>
    <w:p w:rsidRPr="00371F74" w:rsidR="002A42BD" w:rsidP="002A42BD" w:rsidRDefault="002A42BD" w14:paraId="5C97F779" w14:textId="77777777">
      <w:pPr>
        <w:pStyle w:val="Heading1"/>
        <w:keepNext/>
        <w:keepLines/>
        <w:rPr>
          <w:b/>
        </w:rPr>
      </w:pPr>
      <w:r>
        <w:rPr>
          <w:b/>
        </w:rPr>
        <w:t>Schlussfolgerungen zur Relevanz</w:t>
      </w:r>
    </w:p>
    <w:p w:rsidRPr="00371F74" w:rsidR="002A42BD" w:rsidP="002A42BD" w:rsidRDefault="002A42BD" w14:paraId="4CFDD165" w14:textId="77777777">
      <w:pPr>
        <w:keepNext/>
        <w:keepLines/>
        <w:rPr>
          <w:lang w:val="en-GB"/>
        </w:rPr>
      </w:pPr>
    </w:p>
    <w:p w:rsidRPr="00371F74" w:rsidR="002A42BD" w:rsidP="002A42BD" w:rsidRDefault="002A42BD" w14:paraId="4056F3DF" w14:textId="77777777">
      <w:pPr>
        <w:pStyle w:val="Heading2"/>
      </w:pPr>
      <w:r>
        <w:t>78 % der Befragten waren der Meinung, dass der ESF ganz oder zumindest begrenzt mit dem EFRE verknüpft ist, während 40 % die Verknüpfung mit dem Europäischen Landwirtschaftsfonds für die Entwicklung des ländlichen Raums (ELER) oder dem Europäischen Hilfsfonds für die am stärksten benachteiligten Personen (FEAD) nicht beurteilen konnten. Fast 80 % waren der Ansicht, dass der EFRE ganz oder zumindest begrenzt mit dem ESF verknüpft ist. Ein fondsübergreifender Ansatz auf Programmebene wird begrüßt.</w:t>
      </w:r>
    </w:p>
    <w:p w:rsidRPr="00371F74" w:rsidR="002A42BD" w:rsidP="002A42BD" w:rsidRDefault="002A42BD" w14:paraId="62D6863B" w14:textId="77777777">
      <w:pPr>
        <w:rPr>
          <w:lang w:val="en-GB"/>
        </w:rPr>
      </w:pPr>
    </w:p>
    <w:p w:rsidRPr="00371F74" w:rsidR="002A42BD" w:rsidP="002A42BD" w:rsidRDefault="002A42BD" w14:paraId="5AE86591" w14:textId="77777777">
      <w:pPr>
        <w:pStyle w:val="Heading2"/>
      </w:pPr>
      <w:r>
        <w:t>Aus Sicht von 80 % der Befragten sollte bei der Programmplanung für den ESF auf ein ausgewogenes Verhältnis zwischen nationalen und regionalen Programmen geachtet werden. Nur 14 % glaubten, dass nur mit nationalen Programmen angemessen auf die Bedürfnisse der Menschen reagiert werden kann. Dass das nur mit regionalen Programmen möglich ist, glaubten 29 %.</w:t>
      </w:r>
    </w:p>
    <w:p w:rsidRPr="00371F74" w:rsidR="002A42BD" w:rsidP="002A42BD" w:rsidRDefault="002A42BD" w14:paraId="208D473E" w14:textId="77777777">
      <w:pPr>
        <w:pStyle w:val="Heading2"/>
        <w:numPr>
          <w:ilvl w:val="0"/>
          <w:numId w:val="0"/>
        </w:numPr>
        <w:rPr>
          <w:lang w:val="en-GB"/>
        </w:rPr>
      </w:pPr>
    </w:p>
    <w:p w:rsidRPr="00371F74" w:rsidR="002A42BD" w:rsidP="002A42BD" w:rsidRDefault="002A42BD" w14:paraId="66F2C7A6" w14:textId="77777777">
      <w:pPr>
        <w:pStyle w:val="Heading2"/>
      </w:pPr>
      <w:r>
        <w:t>Die Mehrheit der Befragten war der Ansicht, dass der ESF stark oder mäßig mit dem Programm der Beschäftigungsinitiative für junge Menschen verknüpft ist. Mit Ausnahme der Arbeitgeber, in deren Fall sich negative und positive Einschätzungen die Waage hielten, fiel die Bewertung durch alle Befragtengruppen insgesamt positiv aus.</w:t>
      </w:r>
    </w:p>
    <w:p w:rsidRPr="00371F74" w:rsidR="002A42BD" w:rsidP="002A42BD" w:rsidRDefault="002A42BD" w14:paraId="0AE21901" w14:textId="77777777">
      <w:pPr>
        <w:rPr>
          <w:lang w:val="en-GB"/>
        </w:rPr>
      </w:pPr>
    </w:p>
    <w:p w:rsidRPr="00371F74" w:rsidR="002A42BD" w:rsidP="002A42BD" w:rsidRDefault="002A42BD" w14:paraId="1EE5EBD8" w14:textId="77777777">
      <w:pPr>
        <w:pStyle w:val="Heading2"/>
      </w:pPr>
      <w:r>
        <w:t xml:space="preserve">Die Frage nach entsprechenden Synergien zwischen REACT-EU und dem ESF wurde von mehr als einem Drittel der Befragten abschlägig und nur von 22 % positiv beantwortet. </w:t>
      </w:r>
    </w:p>
    <w:p w:rsidRPr="00371F74" w:rsidR="002A42BD" w:rsidP="002A42BD" w:rsidRDefault="002A42BD" w14:paraId="759584F3" w14:textId="77777777">
      <w:pPr>
        <w:pStyle w:val="Heading2"/>
        <w:numPr>
          <w:ilvl w:val="0"/>
          <w:numId w:val="0"/>
        </w:numPr>
        <w:rPr>
          <w:lang w:val="en-GB"/>
        </w:rPr>
      </w:pPr>
    </w:p>
    <w:p w:rsidRPr="00371F74" w:rsidR="002A42BD" w:rsidP="002A42BD" w:rsidRDefault="002A42BD" w14:paraId="041A430F" w14:textId="77777777">
      <w:pPr>
        <w:pStyle w:val="Heading2"/>
      </w:pPr>
      <w:r>
        <w:t xml:space="preserve">Die Frage, ob aus dem ESF Projekte im Bereich der grenzüberschreitenden oder transnationalen Zusammenarbeit finanziert werden, konnte von einem Drittel der Befragten nicht beantwortet werden, während 45 % bejahten. </w:t>
      </w:r>
    </w:p>
    <w:p w:rsidRPr="00371F74" w:rsidR="002A42BD" w:rsidP="002A42BD" w:rsidRDefault="002A42BD" w14:paraId="7E8B55C3" w14:textId="77777777">
      <w:pPr>
        <w:pStyle w:val="Heading2"/>
        <w:numPr>
          <w:ilvl w:val="0"/>
          <w:numId w:val="0"/>
        </w:numPr>
        <w:rPr>
          <w:lang w:val="en-GB"/>
        </w:rPr>
      </w:pPr>
    </w:p>
    <w:p w:rsidRPr="00371F74" w:rsidR="002A42BD" w:rsidP="002A42BD" w:rsidRDefault="002A42BD" w14:paraId="42660656" w14:textId="77777777">
      <w:pPr>
        <w:pStyle w:val="Heading2"/>
      </w:pPr>
      <w:r>
        <w:t xml:space="preserve">Etwa die Hälfte der kleineren Begünstigten, KMU und Kleinstunternehmen wiesen darauf hin, dass die Verfahren für den Zugang zu ESF-Finanzierungsmöglichkeiten vereinfacht werden müssen, wobei positive und negative Bewertungen gleichauf lagen. </w:t>
      </w:r>
    </w:p>
    <w:p w:rsidRPr="00371F74" w:rsidR="002A42BD" w:rsidP="002A42BD" w:rsidRDefault="002A42BD" w14:paraId="5F0DEBAE" w14:textId="77777777">
      <w:pPr>
        <w:pStyle w:val="Heading2"/>
        <w:numPr>
          <w:ilvl w:val="0"/>
          <w:numId w:val="0"/>
        </w:numPr>
        <w:rPr>
          <w:lang w:val="en-GB"/>
        </w:rPr>
      </w:pPr>
    </w:p>
    <w:p w:rsidRPr="00371F74" w:rsidR="002A42BD" w:rsidP="002A42BD" w:rsidRDefault="002A42BD" w14:paraId="34175544" w14:textId="77777777">
      <w:pPr>
        <w:pStyle w:val="Heading2"/>
      </w:pPr>
      <w:r>
        <w:t>Eine der Fragen bezog sich auf das Verfahren des Europäischen Semesters und darauf, inwiefern der ESF zur Umsetzung der länderspezifischen Empfehlungen beigetragen hat. Dabei ergab sich ein gemischtes Bild: 37 % äußerten sich nicht, und von jenen, die die Frage beantworteten, waren 49 % der Ansicht, dass der ESF stark oder mäßig zur Umsetzung der länderspezifischen Empfehlungen beigetragen hat.</w:t>
      </w:r>
    </w:p>
    <w:p w:rsidRPr="00371F74" w:rsidR="002A42BD" w:rsidP="002A42BD" w:rsidRDefault="002A42BD" w14:paraId="7E2EF07C" w14:textId="77777777">
      <w:pPr>
        <w:rPr>
          <w:lang w:val="en-GB"/>
        </w:rPr>
      </w:pPr>
    </w:p>
    <w:p w:rsidRPr="00371F74" w:rsidR="002A42BD" w:rsidP="002A42BD" w:rsidRDefault="002A42BD" w14:paraId="69CCBCA1" w14:textId="77777777">
      <w:pPr>
        <w:pStyle w:val="Heading1"/>
        <w:keepNext/>
        <w:keepLines/>
        <w:rPr>
          <w:b/>
        </w:rPr>
      </w:pPr>
      <w:r>
        <w:rPr>
          <w:b/>
        </w:rPr>
        <w:t>Schlussfolgerungen zur Einbeziehung der Zivilgesellschaft</w:t>
      </w:r>
    </w:p>
    <w:p w:rsidRPr="00371F74" w:rsidR="002A42BD" w:rsidP="002A42BD" w:rsidRDefault="002A42BD" w14:paraId="6E6D68CB" w14:textId="77777777">
      <w:pPr>
        <w:keepNext/>
        <w:keepLines/>
        <w:rPr>
          <w:lang w:val="en-GB"/>
        </w:rPr>
      </w:pPr>
    </w:p>
    <w:p w:rsidRPr="00371F74" w:rsidR="002A42BD" w:rsidP="002A42BD" w:rsidRDefault="002A42BD" w14:paraId="765A1AB2" w14:textId="77777777">
      <w:pPr>
        <w:pStyle w:val="Heading2"/>
      </w:pPr>
      <w:r>
        <w:t>80 % der Befragten gaben an, dass sie konsultiert wurden, und 57 % erklärten, dass Sozialpartner und zivilgesellschaftliche Organisationen im Rahmen der ESF-Programme bei der Gestaltung von Maßnahmen in ihrem Land einbezogen wurden.</w:t>
      </w:r>
    </w:p>
    <w:p w:rsidRPr="00371F74" w:rsidR="002A42BD" w:rsidP="002A42BD" w:rsidRDefault="002A42BD" w14:paraId="79BF0EAE" w14:textId="77777777">
      <w:pPr>
        <w:pStyle w:val="Heading2"/>
        <w:numPr>
          <w:ilvl w:val="0"/>
          <w:numId w:val="0"/>
        </w:numPr>
        <w:rPr>
          <w:lang w:val="en-GB"/>
        </w:rPr>
      </w:pPr>
    </w:p>
    <w:p w:rsidRPr="00371F74" w:rsidR="002A42BD" w:rsidP="002A42BD" w:rsidRDefault="002A42BD" w14:paraId="31A31855" w14:textId="77777777">
      <w:pPr>
        <w:pStyle w:val="Heading2"/>
      </w:pPr>
      <w:r>
        <w:t xml:space="preserve">Die Frage, ob die ESF-Programme, was die Konsultation von Sozialpartnern und zivilgesellschaftlichen Organisationen betrifft, dem Europäischen Verhaltenskodex für Partnerschaften entsprechen, wurde mehrheitlich positiv beantwortet, wobei viele Befragte die Frage nicht beantworteten bzw. nicht beantworten konnten. 43 % der Befragten bejahten, für 24 % traf die Aussage in gewissem Maße, für 10 % größtenteils nicht zu, und 24 % konnten die Frage nicht beantworten oder äußerten sich nicht. </w:t>
      </w:r>
    </w:p>
    <w:p w:rsidRPr="00371F74" w:rsidR="002A42BD" w:rsidP="002A42BD" w:rsidRDefault="002A42BD" w14:paraId="58E936BD" w14:textId="77777777">
      <w:pPr>
        <w:pStyle w:val="Heading2"/>
        <w:numPr>
          <w:ilvl w:val="0"/>
          <w:numId w:val="0"/>
        </w:numPr>
        <w:rPr>
          <w:lang w:val="en-GB"/>
        </w:rPr>
      </w:pPr>
    </w:p>
    <w:p w:rsidRPr="00371F74" w:rsidR="002A42BD" w:rsidP="002A42BD" w:rsidRDefault="002A42BD" w14:paraId="05E5E3E7" w14:textId="77777777">
      <w:pPr>
        <w:pStyle w:val="Heading2"/>
      </w:pPr>
      <w:r>
        <w:t xml:space="preserve">Auf die Frage, ob die Standpunkte der Sozialpartner und anderer zivilgesellschaftlicher Organisationen von den Begleitausschüssen berücksichtigt wurden, antworteten 24 % mit Ja, für 41 % traf die Aussage in gewissem Maße und für 10 % größtenteils nicht zu, und 25 % verneinten oder gaben an, es nicht zu wissen. </w:t>
      </w:r>
    </w:p>
    <w:p w:rsidRPr="00371F74" w:rsidR="002A42BD" w:rsidP="002A42BD" w:rsidRDefault="002A42BD" w14:paraId="5F64D654" w14:textId="77777777">
      <w:pPr>
        <w:pStyle w:val="Heading2"/>
        <w:numPr>
          <w:ilvl w:val="0"/>
          <w:numId w:val="0"/>
        </w:numPr>
        <w:rPr>
          <w:lang w:val="en-GB"/>
        </w:rPr>
      </w:pPr>
    </w:p>
    <w:p w:rsidRPr="00371F74" w:rsidR="002A42BD" w:rsidP="00371F74" w:rsidRDefault="002A42BD" w14:paraId="3A7F444F" w14:textId="77777777">
      <w:pPr>
        <w:pStyle w:val="Heading2"/>
      </w:pPr>
      <w:r>
        <w:t xml:space="preserve">Nur 16 % der Befragten gaben an, dass über ESF-Programme Projekte zum Aufbau institutioneller Kapazitäten bei Sozialpartnern und zivilgesellschaftlichen Organisationen finanziert wurden, für 24 % traf die Aussage in gewissem Maße und für 29 % größtenteils nicht zu, und 26 % gaben an, es nicht zu wissen. </w:t>
      </w:r>
    </w:p>
    <w:p w:rsidRPr="00371F74" w:rsidR="002A42BD" w:rsidP="002A42BD" w:rsidRDefault="002A42BD" w14:paraId="3F6C64D7" w14:textId="77777777">
      <w:pPr>
        <w:pStyle w:val="Heading2"/>
        <w:numPr>
          <w:ilvl w:val="0"/>
          <w:numId w:val="0"/>
        </w:numPr>
        <w:rPr>
          <w:lang w:val="en-GB"/>
        </w:rPr>
      </w:pPr>
    </w:p>
    <w:p w:rsidRPr="00371F74" w:rsidR="002A42BD" w:rsidP="002A42BD" w:rsidRDefault="002A42BD" w14:paraId="3C65534A" w14:textId="77777777">
      <w:pPr>
        <w:pStyle w:val="Heading2"/>
      </w:pPr>
      <w:r>
        <w:t>18 % der Befragten gaben an, dass aus dem ESF Mittel für die technische Unterstützung von Sozialpartnern und zivilgesellschaftlichen Organisationen im Zusammenhang mit der Einreichung von Projekten bereitgestellt werden; diese Unterstützung bewerten 30 % als mäßig und 20 % als nur begrenzt, und 12 % waren der Ansicht, dass aus dem ESF keine fachliche Unterstützung finanziert wurde.</w:t>
      </w:r>
    </w:p>
    <w:p w:rsidRPr="00371F74" w:rsidR="002A42BD" w:rsidP="002A42BD" w:rsidRDefault="002A42BD" w14:paraId="163906CA" w14:textId="77777777">
      <w:pPr>
        <w:pStyle w:val="Heading2"/>
        <w:numPr>
          <w:ilvl w:val="0"/>
          <w:numId w:val="0"/>
        </w:numPr>
        <w:rPr>
          <w:lang w:val="en-GB"/>
        </w:rPr>
      </w:pPr>
    </w:p>
    <w:p w:rsidRPr="00371F74" w:rsidR="002A42BD" w:rsidP="002A42BD" w:rsidRDefault="002A42BD" w14:paraId="24C6431C" w14:textId="77777777">
      <w:pPr>
        <w:pStyle w:val="Heading2"/>
      </w:pPr>
      <w:r>
        <w:t>78 % der Befragten erachteten die Kommunikation und die Informationen im Rahmen von ESF-Programmen als angemessen, für 16 % traf dies größtenteils nicht und für 4 % überhaupt nicht zu.</w:t>
      </w:r>
    </w:p>
    <w:p w:rsidRPr="00371F74" w:rsidR="002A42BD" w:rsidP="002A42BD" w:rsidRDefault="002A42BD" w14:paraId="650946D6" w14:textId="77777777">
      <w:pPr>
        <w:rPr>
          <w:lang w:val="en-GB"/>
        </w:rPr>
      </w:pPr>
    </w:p>
    <w:p w:rsidRPr="00371F74" w:rsidR="002A42BD" w:rsidP="002A42BD" w:rsidRDefault="002A42BD" w14:paraId="2FEF6C64" w14:textId="77777777">
      <w:pPr>
        <w:pStyle w:val="Heading1"/>
        <w:keepNext/>
        <w:keepLines/>
        <w:rPr>
          <w:b/>
        </w:rPr>
      </w:pPr>
      <w:r>
        <w:rPr>
          <w:b/>
        </w:rPr>
        <w:lastRenderedPageBreak/>
        <w:t>Empfehlungen</w:t>
      </w:r>
    </w:p>
    <w:p w:rsidRPr="00371F74" w:rsidR="002A42BD" w:rsidP="002A42BD" w:rsidRDefault="002A42BD" w14:paraId="0F1DFA58" w14:textId="77777777">
      <w:pPr>
        <w:keepNext/>
        <w:keepLines/>
        <w:rPr>
          <w:lang w:val="en-GB"/>
        </w:rPr>
      </w:pPr>
    </w:p>
    <w:p w:rsidRPr="00371F74" w:rsidR="002A42BD" w:rsidP="002A42BD" w:rsidRDefault="002A42BD" w14:paraId="0C19B66C" w14:textId="77777777">
      <w:pPr>
        <w:pStyle w:val="Heading2"/>
      </w:pPr>
      <w:r>
        <w:t>Der ESF hat zur Förderung der Beschäftigungsfähigkeit, der allgemeinen und beruflichen Bildung und zur Bekämpfung der sozialen Ausgrenzung beigetragen. Dem Bereich Bildung muss jedoch mehr Aufmerksamkeit gewidmet werden.</w:t>
      </w:r>
    </w:p>
    <w:p w:rsidRPr="00371F74" w:rsidR="002A42BD" w:rsidP="002A42BD" w:rsidRDefault="002A42BD" w14:paraId="1A0A2264" w14:textId="77777777">
      <w:pPr>
        <w:rPr>
          <w:lang w:val="en-GB"/>
        </w:rPr>
      </w:pPr>
    </w:p>
    <w:p w:rsidRPr="00371F74" w:rsidR="002A42BD" w:rsidP="002A42BD" w:rsidRDefault="002A42BD" w14:paraId="11D605C3" w14:textId="77777777">
      <w:pPr>
        <w:pStyle w:val="Heading2"/>
      </w:pPr>
      <w:r>
        <w:t>Um die Probleme zu bewältigen, die mit den Ungleichgewichten am Arbeitsmarkt verbunden sind und insbesondere zu Lasten von Frauen, jungen Menschen, Langzeitarbeitslosen, Migranten und besonders gefährdeten Gruppen, darunter Menschen mit Behinderungen, gehen, sind Investitionen erforderlich. Zur Stärkung der öffentlichen Arbeitsverwaltungen werden mehr Finanzmittel und Personal benötigt. Darüber hinaus würde die nachhaltige Einbeziehung der Sozialpartner und der Organisationen der Zivilgesellschaft den Behörden dabei helfen, den spezifischen Bedürfnissen verschiedener gesellschaftlicher Gruppen gerecht zu werden.</w:t>
      </w:r>
    </w:p>
    <w:p w:rsidRPr="00371F74" w:rsidR="002A42BD" w:rsidP="002A42BD" w:rsidRDefault="002A42BD" w14:paraId="5AA7BC7D" w14:textId="77777777">
      <w:pPr>
        <w:rPr>
          <w:lang w:val="en-GB"/>
        </w:rPr>
      </w:pPr>
    </w:p>
    <w:p w:rsidRPr="00371F74" w:rsidR="002A42BD" w:rsidP="002A42BD" w:rsidRDefault="002A42BD" w14:paraId="6FF6FF85" w14:textId="77777777">
      <w:pPr>
        <w:pStyle w:val="Heading2"/>
      </w:pPr>
      <w:r>
        <w:t>Damit Kompetenzdefizite und Unterbeschäftigung abgebaut werden und für die Arbeitnehmer in Bezug auf neue Beschäftigungsformen mehr Ausbildungsmöglichkeiten und faire Arbeitsbedingungen entstehen, sollten die Investitionen in ein inklusives, hochwertiges System der allgemeinen und beruflichen Bildung aufgestockt werden.</w:t>
      </w:r>
    </w:p>
    <w:p w:rsidRPr="00371F74" w:rsidR="002A42BD" w:rsidP="002A42BD" w:rsidRDefault="002A42BD" w14:paraId="71B571AC" w14:textId="77777777">
      <w:pPr>
        <w:rPr>
          <w:lang w:val="en-GB"/>
        </w:rPr>
      </w:pPr>
    </w:p>
    <w:p w:rsidRPr="00371F74" w:rsidR="002A42BD" w:rsidP="002A42BD" w:rsidRDefault="002A42BD" w14:paraId="58D6C41A" w14:textId="77777777">
      <w:pPr>
        <w:pStyle w:val="Heading2"/>
      </w:pPr>
      <w:r>
        <w:t xml:space="preserve">Lebenslanges Lernen bietet einen wichtigen Ansatzpunkt, um Innovationen zu fördern und Arbeitnehmerinnen und Arbeitnehmer sowie Arbeitgeber dazu zu befähigen, die durch den digitalen und den ökologischen Wandel bedingten Veränderungen zu bewältigen und den natürlichen Widerstand gegen Veränderungen zu überwinden. Deshalb müssen die Vorschriften über staatliche Beihilfen dahingehend überarbeitet werden, dass die von Unternehmen für das lebenslange Lernen ihrer Beschäftigten bereitgestellten Mittel ausgenommen werden. </w:t>
      </w:r>
    </w:p>
    <w:p w:rsidRPr="00371F74" w:rsidR="002A42BD" w:rsidP="002A42BD" w:rsidRDefault="002A42BD" w14:paraId="422DF396" w14:textId="77777777">
      <w:pPr>
        <w:rPr>
          <w:lang w:val="en-GB"/>
        </w:rPr>
      </w:pPr>
    </w:p>
    <w:p w:rsidRPr="00371F74" w:rsidR="002A42BD" w:rsidP="002A42BD" w:rsidRDefault="002A42BD" w14:paraId="77E688AC" w14:textId="77777777">
      <w:pPr>
        <w:pStyle w:val="Heading2"/>
      </w:pPr>
      <w:r>
        <w:t xml:space="preserve">Für echte unternehmerische und selbstständige Tätigkeiten sollte eine Unterstützung gewährt werden, die sich auch auf den Zugang zu Krediten und Schulungen im Finanzbereich erstreckt. Ein entsprechender Anteil der ESF-Mittel sollte also für von kleineren Organisationen geleitete Projekte vorgesehen werden. </w:t>
      </w:r>
    </w:p>
    <w:p w:rsidRPr="00371F74" w:rsidR="002A42BD" w:rsidP="002A42BD" w:rsidRDefault="002A42BD" w14:paraId="62161DC0" w14:textId="77777777">
      <w:pPr>
        <w:rPr>
          <w:lang w:val="en-GB"/>
        </w:rPr>
      </w:pPr>
    </w:p>
    <w:p w:rsidRPr="00371F74" w:rsidR="002A42BD" w:rsidP="002A42BD" w:rsidRDefault="002A42BD" w14:paraId="058044EA" w14:textId="77777777">
      <w:pPr>
        <w:pStyle w:val="Heading2"/>
      </w:pPr>
      <w:r>
        <w:t xml:space="preserve">Dem demografischen Wandel muss in Zukunft stärker entgegengesteuert werden, um für einen angemessenen und tragfähigen Sozialschutz für alle Menschen während ihres gesamten Lebens zu sorgen. </w:t>
      </w:r>
    </w:p>
    <w:p w:rsidRPr="00371F74" w:rsidR="002A42BD" w:rsidP="002A42BD" w:rsidRDefault="002A42BD" w14:paraId="24E089A5" w14:textId="77777777">
      <w:pPr>
        <w:rPr>
          <w:lang w:val="en-GB"/>
        </w:rPr>
      </w:pPr>
    </w:p>
    <w:p w:rsidRPr="00371F74" w:rsidR="002A42BD" w:rsidP="002A42BD" w:rsidRDefault="002A42BD" w14:paraId="550D411A" w14:textId="77777777">
      <w:pPr>
        <w:pStyle w:val="Heading2"/>
      </w:pPr>
      <w:r>
        <w:t xml:space="preserve">Die Ressourcen für Dienstleistungen für Kinder im Alter von 0 bis 6 Jahren sollten dafür verwendet werden, die Ganztagsbetreuung in allen Schulen auf allen Ebenen auszubauen und für zusätzliche Dienstleistungen im Bereich der Langzeitpflege zu sorgen. Auch einkommensschwache Haushalte sollten diese Dienstleistungen in Anspruch nehmen und bezahlen können, damit die Beschäftigungsfähigkeit steigt und die sozioökonomische Integration marginalisierter Gruppen, auch Obdachloser, verbessert und die Integration von Migranten gefördert wird. </w:t>
      </w:r>
    </w:p>
    <w:p w:rsidRPr="00371F74" w:rsidR="002A42BD" w:rsidP="002A42BD" w:rsidRDefault="002A42BD" w14:paraId="78876B31" w14:textId="77777777">
      <w:pPr>
        <w:rPr>
          <w:lang w:val="en-GB"/>
        </w:rPr>
      </w:pPr>
    </w:p>
    <w:p w:rsidRPr="00371F74" w:rsidR="002A42BD" w:rsidP="007954E1" w:rsidRDefault="002A42BD" w14:paraId="7E283474" w14:textId="77777777">
      <w:pPr>
        <w:pStyle w:val="Heading2"/>
        <w:keepNext/>
        <w:keepLines/>
      </w:pPr>
      <w:r>
        <w:lastRenderedPageBreak/>
        <w:t>Der Zugang zu Sozial-, Gesundheits- und Wohnleistungen muss verbessert werden, und es muss darauf hingearbeitet werden, dass diese erschwinglich und tragfähig sowie von entsprechender Qualität sind. Aus dem ESF sollten auch von sozialwirtschaftlichen Einrichtungen geförderte gemeinsame Planungsmaßnahmen und Initiativen unterstützt werden.</w:t>
      </w:r>
    </w:p>
    <w:p w:rsidRPr="00371F74" w:rsidR="002A42BD" w:rsidP="002A42BD" w:rsidRDefault="002A42BD" w14:paraId="67713781" w14:textId="77777777">
      <w:pPr>
        <w:rPr>
          <w:lang w:val="en-GB"/>
        </w:rPr>
      </w:pPr>
    </w:p>
    <w:p w:rsidRPr="00371F74" w:rsidR="002A42BD" w:rsidP="002A42BD" w:rsidRDefault="002A42BD" w14:paraId="7D6B4952" w14:textId="77777777">
      <w:pPr>
        <w:pStyle w:val="Heading2"/>
      </w:pPr>
      <w:r>
        <w:t>Die auf die Steuerung und die Verwaltungskapazitäten des öffentlichen Sektors ausgerichteten Maßnahmen sollten fortgesetzt werden, um die öffentlichen Verwaltungen zu einer effizienteren und zielgerichteteren Verwaltung der europäischen Kohäsionsfonds zu befähigen.</w:t>
      </w:r>
    </w:p>
    <w:p w:rsidRPr="00371F74" w:rsidR="002A42BD" w:rsidP="002A42BD" w:rsidRDefault="002A42BD" w14:paraId="17E8B97D" w14:textId="77777777">
      <w:pPr>
        <w:rPr>
          <w:lang w:val="en-GB"/>
        </w:rPr>
      </w:pPr>
    </w:p>
    <w:p w:rsidRPr="00371F74" w:rsidR="002A42BD" w:rsidP="002A42BD" w:rsidRDefault="002A42BD" w14:paraId="5620BD10" w14:textId="77777777">
      <w:pPr>
        <w:pStyle w:val="Heading2"/>
      </w:pPr>
      <w:r>
        <w:t xml:space="preserve">In Bezug auf die Verwaltung nationaler und regionaler Programme muss im Rahmen der ESF-Programme für ausgewogene Verhältnisse gesorgt und Doppelarbeit vermieden werden. </w:t>
      </w:r>
    </w:p>
    <w:p w:rsidRPr="00371F74" w:rsidR="002A42BD" w:rsidP="002A42BD" w:rsidRDefault="002A42BD" w14:paraId="4101E1AF" w14:textId="77777777">
      <w:pPr>
        <w:rPr>
          <w:lang w:val="en-GB"/>
        </w:rPr>
      </w:pPr>
    </w:p>
    <w:p w:rsidRPr="00371F74" w:rsidR="002A42BD" w:rsidP="002A42BD" w:rsidRDefault="002A42BD" w14:paraId="003BCC5F" w14:textId="77777777">
      <w:pPr>
        <w:pStyle w:val="Heading2"/>
      </w:pPr>
      <w:r>
        <w:t xml:space="preserve">Um solche Doppelarbeit und Überschneidungen zwischen den verschiedenen europäischen Fonds und Programmen zu vermeiden, müssen die nationalen Behörden dazu angehalten werden, sich entsprechend abzustimmen, sodass mögliche Synergien zwischen ESF-Programmen und anderen europäischen Programmen erkannt werden. </w:t>
      </w:r>
    </w:p>
    <w:p w:rsidRPr="00371F74" w:rsidR="002A42BD" w:rsidP="002A42BD" w:rsidRDefault="002A42BD" w14:paraId="111C0B2B" w14:textId="77777777">
      <w:pPr>
        <w:rPr>
          <w:lang w:val="en-GB"/>
        </w:rPr>
      </w:pPr>
    </w:p>
    <w:p w:rsidRPr="00371F74" w:rsidR="002A42BD" w:rsidP="002A42BD" w:rsidRDefault="002A42BD" w14:paraId="7BE51C01" w14:textId="77777777">
      <w:pPr>
        <w:pStyle w:val="Heading2"/>
      </w:pPr>
      <w:r>
        <w:t xml:space="preserve">Es sollten mehr Synergieeffekte zwischen den aus dem ESF und dem EFRE, dem ELER und </w:t>
      </w:r>
      <w:proofErr w:type="spellStart"/>
      <w:r>
        <w:t>NextGenerationEU</w:t>
      </w:r>
      <w:proofErr w:type="spellEnd"/>
      <w:r>
        <w:t xml:space="preserve"> finanzierten Programmen angestrebt werden, und die Programme sollten einander besser ergänzen. Das würde auch zur Überbrückung der Lücken zwischen den Programmplanungszeiträumen beitragen.</w:t>
      </w:r>
    </w:p>
    <w:p w:rsidRPr="00371F74" w:rsidR="002A42BD" w:rsidP="002A42BD" w:rsidRDefault="002A42BD" w14:paraId="1F704117" w14:textId="77777777">
      <w:pPr>
        <w:rPr>
          <w:lang w:val="en-GB"/>
        </w:rPr>
      </w:pPr>
    </w:p>
    <w:p w:rsidRPr="00371F74" w:rsidR="002A42BD" w:rsidP="002A42BD" w:rsidRDefault="002A42BD" w14:paraId="307DDC9C" w14:textId="77777777">
      <w:pPr>
        <w:pStyle w:val="Heading2"/>
      </w:pPr>
      <w:r>
        <w:t>Die aus dem ESF kofinanzierten Programme müssen in das Europäische Semester aufgenommen werden, damit die wichtigsten wirtschaftlichen und sozialen Herausforderungen, vor denen die Mitgliedstaaten stehen, fair und im Geiste der gegenseitigen Unterstützung bewältigt werden können.</w:t>
      </w:r>
    </w:p>
    <w:p w:rsidRPr="00371F74" w:rsidR="002A42BD" w:rsidP="002A42BD" w:rsidRDefault="002A42BD" w14:paraId="6EF35454" w14:textId="77777777">
      <w:pPr>
        <w:rPr>
          <w:lang w:val="en-GB"/>
        </w:rPr>
      </w:pPr>
    </w:p>
    <w:p w:rsidRPr="00371F74" w:rsidR="002A42BD" w:rsidP="002A42BD" w:rsidRDefault="002A42BD" w14:paraId="07F7012C" w14:textId="77777777">
      <w:pPr>
        <w:pStyle w:val="Heading2"/>
      </w:pPr>
      <w:r>
        <w:t xml:space="preserve">Eine starke und echte Einbeziehung der Interessenträger ist Voraussetzung für die wirksame Umsetzung der Kohäsionspolitik. Deshalb ist es unerlässlich, dass in allen Phasen der Durchführung der ESF-Programme – von der Programmplanung über die Durchführung bis hin zur Überwachung und Bewertung, einschließlich des Austauschs bewährter Verfahren und grenzüberschreitender Erfahrungen, – eine strukturierte Konsultation sowie eine konsequente Einbeziehung der Sozialpartner und zivilgesellschaftlichen Organisationen stattfindet. </w:t>
      </w:r>
    </w:p>
    <w:p w:rsidRPr="00371F74" w:rsidR="002A42BD" w:rsidP="002A42BD" w:rsidRDefault="002A42BD" w14:paraId="29F4A2C4" w14:textId="77777777">
      <w:pPr>
        <w:rPr>
          <w:lang w:val="en-GB"/>
        </w:rPr>
      </w:pPr>
    </w:p>
    <w:p w:rsidRPr="00371F74" w:rsidR="002A42BD" w:rsidP="002A42BD" w:rsidRDefault="002A42BD" w14:paraId="2915125F" w14:textId="77777777">
      <w:pPr>
        <w:pStyle w:val="Heading2"/>
      </w:pPr>
      <w:r>
        <w:t xml:space="preserve">Der EWSA betont, dass entsprechende Beiträge angemessen in Entscheidungen einfließen müssen. Die Sozialpartner und die zivilgesellschaftlichen Organisationen sollten in den Begleitausschüssen über die formalen Anforderungen hinaus echte Mitspracherechte erhalten. </w:t>
      </w:r>
    </w:p>
    <w:p w:rsidRPr="00371F74" w:rsidR="002A42BD" w:rsidP="002A42BD" w:rsidRDefault="002A42BD" w14:paraId="286E7FD5" w14:textId="77777777">
      <w:pPr>
        <w:rPr>
          <w:lang w:val="en-GB"/>
        </w:rPr>
      </w:pPr>
    </w:p>
    <w:p w:rsidRPr="00371F74" w:rsidR="002A42BD" w:rsidP="002A42BD" w:rsidRDefault="002A42BD" w14:paraId="322AE67F" w14:textId="77777777">
      <w:pPr>
        <w:pStyle w:val="Heading2"/>
      </w:pPr>
      <w:r>
        <w:t>Die Kapazitäten der Sozialpartner und der zivilgesellschaftlichen Organisationen für einen verstärkten sozialen und zivilgesellschaftlichen Dialog können nur mit entsprechender ESF-Finanzierung ausgebaut werden.</w:t>
      </w:r>
    </w:p>
    <w:p w:rsidRPr="00371F74" w:rsidR="002A42BD" w:rsidP="002A42BD" w:rsidRDefault="002A42BD" w14:paraId="32D960FE" w14:textId="77777777">
      <w:pPr>
        <w:rPr>
          <w:lang w:val="en-GB"/>
        </w:rPr>
      </w:pPr>
    </w:p>
    <w:p w:rsidRPr="00371F74" w:rsidR="002A42BD" w:rsidP="002A42BD" w:rsidRDefault="002A42BD" w14:paraId="586AB55B" w14:textId="77777777">
      <w:pPr>
        <w:pStyle w:val="Heading2"/>
      </w:pPr>
      <w:r>
        <w:t>Die Mitwirkung der Sozialpartner und der Zivilgesellschaft kann darunter leiden, dass sie in einigen Fällen nur wenige Tage Zeit haben, um zu Entscheidungen beizutragen. Daher ist es wichtig, für Stellungnahmen der Sozialpartner und der zivilgesellschaftlichen Organisationen längere Fristen vorzusehen.</w:t>
      </w:r>
    </w:p>
    <w:p w:rsidRPr="00371F74" w:rsidR="002A42BD" w:rsidP="002A42BD" w:rsidRDefault="002A42BD" w14:paraId="10BC5009" w14:textId="77777777">
      <w:pPr>
        <w:rPr>
          <w:lang w:val="en-GB"/>
        </w:rPr>
      </w:pPr>
    </w:p>
    <w:p w:rsidRPr="00371F74" w:rsidR="002A42BD" w:rsidP="002A42BD" w:rsidRDefault="002A42BD" w14:paraId="235712EF" w14:textId="77777777">
      <w:pPr>
        <w:pStyle w:val="Heading2"/>
      </w:pPr>
      <w:r>
        <w:t>Transparente Kommunikation ist fester Bestandteil der ESF-Programmplanung. Die Interessenträger und die Verwaltungsinstanzen der operationellen Programme sollten also ihre Informations- und Kommunikationssysteme verbessern, Fachjargon und Akronyme vermeiden und nach einem weniger bürokratischen Ansatz verfahren.</w:t>
      </w:r>
    </w:p>
    <w:p w:rsidRPr="00371F74" w:rsidR="002A42BD" w:rsidP="002A42BD" w:rsidRDefault="002A42BD" w14:paraId="5E7E0E00" w14:textId="77777777">
      <w:pPr>
        <w:rPr>
          <w:lang w:val="en-GB"/>
        </w:rPr>
      </w:pPr>
    </w:p>
    <w:p w:rsidRPr="00371F74" w:rsidR="002A42BD" w:rsidP="002A42BD" w:rsidRDefault="002A42BD" w14:paraId="24EBF22A" w14:textId="77777777">
      <w:pPr>
        <w:pStyle w:val="Heading2"/>
      </w:pPr>
      <w:r>
        <w:t>Dass die Verfahren vereinfacht werden müssen, ist nach wie vor aktuell, denn nur so kann Initiativen für Beschäftigungsförderung, Aus- und Weiterbildung und Armutsbekämpfung der Zugang zu den vom ESF angebotenen Finanzierungsmöglichkeiten erleichtert werden.</w:t>
      </w:r>
    </w:p>
    <w:p w:rsidRPr="00371F74" w:rsidR="002A42BD" w:rsidP="002A42BD" w:rsidRDefault="002A42BD" w14:paraId="0AB5F8C6" w14:textId="77777777">
      <w:pPr>
        <w:rPr>
          <w:lang w:val="en-GB"/>
        </w:rPr>
      </w:pPr>
    </w:p>
    <w:p w:rsidRPr="00371F74" w:rsidR="002A42BD" w:rsidP="002A42BD" w:rsidRDefault="002A42BD" w14:paraId="02156A4C" w14:textId="77777777">
      <w:r>
        <w:t>Brüssel, den 24. April 2024</w:t>
      </w:r>
    </w:p>
    <w:p w:rsidRPr="00371F74" w:rsidR="002A42BD" w:rsidP="002A42BD" w:rsidRDefault="002A42BD" w14:paraId="0A9B9917" w14:textId="77777777">
      <w:pPr>
        <w:rPr>
          <w:lang w:val="en-GB"/>
        </w:rPr>
      </w:pPr>
    </w:p>
    <w:p w:rsidRPr="00371F74" w:rsidR="002A42BD" w:rsidP="002A42BD" w:rsidRDefault="002A42BD" w14:paraId="0E4CB2AB" w14:textId="77777777">
      <w:pPr>
        <w:jc w:val="left"/>
        <w:rPr>
          <w:lang w:val="en-GB"/>
        </w:rPr>
      </w:pPr>
    </w:p>
    <w:p w:rsidRPr="00371F74" w:rsidR="002A42BD" w:rsidP="002A42BD" w:rsidRDefault="002A42BD" w14:paraId="2F6F1424" w14:textId="77777777">
      <w:pPr>
        <w:jc w:val="left"/>
        <w:rPr>
          <w:lang w:val="en-GB"/>
        </w:rPr>
      </w:pPr>
    </w:p>
    <w:p w:rsidRPr="00371F74" w:rsidR="002A42BD" w:rsidP="002A42BD" w:rsidRDefault="002A42BD" w14:paraId="5364855A" w14:textId="77777777">
      <w:pPr>
        <w:jc w:val="left"/>
        <w:rPr>
          <w:lang w:val="en-GB"/>
        </w:rPr>
      </w:pPr>
    </w:p>
    <w:p w:rsidRPr="00371F74" w:rsidR="00373830" w:rsidP="002A42BD" w:rsidRDefault="00914286" w14:paraId="525CAED7" w14:textId="77777777">
      <w:pPr>
        <w:jc w:val="left"/>
      </w:pPr>
      <w:r>
        <w:rPr>
          <w:i/>
        </w:rPr>
        <w:t>Der Präsident des Europäischen Wirtschafts- und Sozialausschusses</w:t>
      </w:r>
      <w:r>
        <w:t xml:space="preserve"> </w:t>
      </w:r>
    </w:p>
    <w:p w:rsidR="00914286" w:rsidP="002A42BD" w:rsidRDefault="00373830" w14:paraId="48AC47DF" w14:textId="77777777">
      <w:pPr>
        <w:jc w:val="left"/>
        <w:rPr>
          <w:kern w:val="28"/>
        </w:rPr>
      </w:pPr>
      <w:r>
        <w:t>Oliver RÖPKE</w:t>
      </w:r>
    </w:p>
    <w:p w:rsidRPr="00371F74" w:rsidR="003B556B" w:rsidP="002A42BD" w:rsidRDefault="003B556B" w14:paraId="144E00B8" w14:textId="77777777">
      <w:pPr>
        <w:rPr>
          <w:lang w:val="en-GB"/>
        </w:rPr>
      </w:pPr>
    </w:p>
    <w:p w:rsidRPr="00371F74" w:rsidR="00F53370" w:rsidP="00DB7F50" w:rsidRDefault="00E2376B" w14:paraId="0F7E49FF" w14:textId="77777777">
      <w:pPr>
        <w:jc w:val="center"/>
      </w:pPr>
      <w:r>
        <w:t>_____________</w:t>
      </w:r>
    </w:p>
    <w:p w:rsidRPr="00AE4D0B" w:rsidR="003B556B" w:rsidP="00DB7F50" w:rsidRDefault="003B556B" w14:paraId="7AE9631F" w14:textId="77777777">
      <w:pPr>
        <w:jc w:val="center"/>
        <w:rPr>
          <w:lang w:val="en-GB"/>
        </w:rPr>
      </w:pPr>
    </w:p>
    <w:sectPr w:rsidRPr="00AE4D0B" w:rsidR="003B556B" w:rsidSect="001E74A1">
      <w:headerReference w:type="even" r:id="rId18"/>
      <w:headerReference w:type="default" r:id="rId19"/>
      <w:footerReference w:type="default" r:id="rId20"/>
      <w:headerReference w:type="first" r:id="rId21"/>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719CB" w14:textId="77777777" w:rsidR="00337567" w:rsidRDefault="00337567" w:rsidP="00F53370">
      <w:pPr>
        <w:spacing w:line="240" w:lineRule="auto"/>
      </w:pPr>
      <w:r>
        <w:separator/>
      </w:r>
    </w:p>
  </w:endnote>
  <w:endnote w:type="continuationSeparator" w:id="0">
    <w:p w14:paraId="107232FD" w14:textId="77777777" w:rsidR="00337567" w:rsidRDefault="00337567"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269F" w14:textId="77777777" w:rsidR="00574C9B" w:rsidRDefault="00574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280E0" w14:textId="30FF4B1F" w:rsidR="0084105C" w:rsidRPr="003065C9" w:rsidRDefault="00914286" w:rsidP="00914286">
    <w:pPr>
      <w:pStyle w:val="Footer"/>
      <w:jc w:val="left"/>
    </w:pPr>
    <w:r>
      <w:t xml:space="preserve">SOC/754 – EESC-2023-02717-00-00-RE-TRA (EN) </w:t>
    </w:r>
    <w:r>
      <w:fldChar w:fldCharType="begin"/>
    </w:r>
    <w:r>
      <w:instrText xml:space="preserve"> PAGE  \* Arabic  \* MERGEFORMAT </w:instrText>
    </w:r>
    <w:r>
      <w:fldChar w:fldCharType="separate"/>
    </w:r>
    <w:r>
      <w:t>6</w:t>
    </w:r>
    <w:r>
      <w:fldChar w:fldCharType="end"/>
    </w:r>
    <w:r>
      <w:t>/</w:t>
    </w:r>
    <w:r>
      <w:fldChar w:fldCharType="begin"/>
    </w:r>
    <w:r>
      <w:instrText xml:space="preserve"> = </w:instrText>
    </w:r>
    <w:r w:rsidR="007E7E95">
      <w:fldChar w:fldCharType="begin"/>
    </w:r>
    <w:r w:rsidR="007E7E95">
      <w:instrText xml:space="preserve"> NUMPAGES </w:instrText>
    </w:r>
    <w:r w:rsidR="007E7E95">
      <w:fldChar w:fldCharType="separate"/>
    </w:r>
    <w:r w:rsidR="001A0079">
      <w:rPr>
        <w:noProof/>
      </w:rPr>
      <w:instrText>9</w:instrText>
    </w:r>
    <w:r w:rsidR="007E7E95">
      <w:rPr>
        <w:noProof/>
      </w:rPr>
      <w:fldChar w:fldCharType="end"/>
    </w:r>
    <w:r>
      <w:instrText xml:space="preserve"> - 2 </w:instrText>
    </w:r>
    <w:r>
      <w:fldChar w:fldCharType="separate"/>
    </w:r>
    <w:r w:rsidR="001A0079">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5AE76" w14:textId="77777777" w:rsidR="00337567" w:rsidRDefault="00337567" w:rsidP="00F53370">
      <w:pPr>
        <w:spacing w:line="240" w:lineRule="auto"/>
      </w:pPr>
      <w:r>
        <w:separator/>
      </w:r>
    </w:p>
  </w:footnote>
  <w:footnote w:type="continuationSeparator" w:id="0">
    <w:p w14:paraId="3E75EE4D" w14:textId="77777777" w:rsidR="00337567" w:rsidRDefault="00337567" w:rsidP="00F53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BFE3" w14:textId="77777777" w:rsidR="00574C9B" w:rsidRDefault="007E7E95">
    <w:pPr>
      <w:pStyle w:val="Header"/>
    </w:pPr>
    <w:r>
      <w:pict w14:anchorId="4B9A3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E5EF" w14:textId="79D04FF0" w:rsidR="00574C9B" w:rsidRDefault="007954E1">
    <w:pPr>
      <w:pStyle w:val="Header"/>
    </w:pPr>
    <w:r>
      <w:rPr>
        <w:noProof/>
        <w:lang w:val="en-US"/>
      </w:rPr>
      <w:drawing>
        <wp:anchor distT="0" distB="0" distL="114300" distR="114300" simplePos="0" relativeHeight="251676672" behindDoc="0" locked="0" layoutInCell="1" allowOverlap="1" wp14:anchorId="742B329C" wp14:editId="46E185CC">
          <wp:simplePos x="0" y="0"/>
          <wp:positionH relativeFrom="page">
            <wp:posOffset>311399</wp:posOffset>
          </wp:positionH>
          <wp:positionV relativeFrom="page">
            <wp:posOffset>163334</wp:posOffset>
          </wp:positionV>
          <wp:extent cx="6944398" cy="3344275"/>
          <wp:effectExtent l="0" t="0" r="0" b="8890"/>
          <wp:wrapNone/>
          <wp:docPr id="6" name="Picture 6" title="EESCLogo2021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s-20213.jpg"/>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5"/>
                  </a:xfrm>
                  <a:prstGeom prst="rect">
                    <a:avLst/>
                  </a:prstGeom>
                </pic:spPr>
              </pic:pic>
            </a:graphicData>
          </a:graphic>
          <wp14:sizeRelH relativeFrom="margin">
            <wp14:pctWidth>0</wp14:pctWidth>
          </wp14:sizeRelH>
          <wp14:sizeRelV relativeFrom="margin">
            <wp14:pctHeight>0</wp14:pctHeight>
          </wp14:sizeRelV>
        </wp:anchor>
      </w:drawing>
    </w:r>
    <w:r w:rsidR="007E7E95">
      <w:pict w14:anchorId="76E759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1" type="#_x0000_t75" style="position:absolute;left:0;text-align:left;margin-left:0;margin-top:0;width:595.2pt;height:841.9pt;z-index:-251648000;mso-position-horizontal:center;mso-position-horizontal-relative:page;mso-position-vertical:top;mso-position-vertical-relative:page" o:allowincell="f">
          <v:imagedata r:id="rId2" o:title="footer only"/>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448F2" w14:textId="77777777" w:rsidR="00574C9B" w:rsidRDefault="007E7E95">
    <w:pPr>
      <w:pStyle w:val="Header"/>
    </w:pPr>
    <w:r>
      <w:pict w14:anchorId="600ACE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04C8" w14:textId="77777777" w:rsidR="00574C9B" w:rsidRDefault="007E7E95">
    <w:pPr>
      <w:pStyle w:val="Header"/>
    </w:pPr>
    <w:r>
      <w:pict w14:anchorId="199EC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3936" w14:textId="77777777" w:rsidR="00574C9B" w:rsidRDefault="007E7E95">
    <w:pPr>
      <w:pStyle w:val="Header"/>
    </w:pPr>
    <w:r>
      <w:pict w14:anchorId="7A94E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sidR="009F01DB">
      <w:rPr>
        <w:noProof/>
      </w:rPr>
      <w:drawing>
        <wp:anchor distT="0" distB="0" distL="114300" distR="114300" simplePos="0" relativeHeight="251659264" behindDoc="1" locked="0" layoutInCell="1" allowOverlap="1" wp14:anchorId="3D29B210" wp14:editId="03A0F63E">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6A651" w14:textId="77777777" w:rsidR="00574C9B" w:rsidRDefault="007E7E95">
    <w:pPr>
      <w:pStyle w:val="Header"/>
    </w:pPr>
    <w:r>
      <w:pict w14:anchorId="51136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1E47" w14:textId="77777777" w:rsidR="004871B8" w:rsidRDefault="007E7E95">
    <w:pPr>
      <w:pStyle w:val="Header"/>
    </w:pPr>
    <w:r>
      <w:pict w14:anchorId="707AC9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2066" type="#_x0000_t75" style="position:absolute;left:0;text-align:left;margin-left:0;margin-top:0;width:595.2pt;height:841.9pt;z-index:-251642880;mso-position-horizontal:center;mso-position-horizontal-relative:margin;mso-position-vertical:center;mso-position-vertical-relative:margin" o:allowincell="f">
          <v:imagedata r:id="rId1" o:title="footer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674F9" w14:textId="77777777" w:rsidR="00FA08F8" w:rsidRDefault="007E7E95">
    <w:pPr>
      <w:pStyle w:val="Header"/>
    </w:pPr>
    <w:r>
      <w:pict w14:anchorId="3195E5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2067" type="#_x0000_t75" style="position:absolute;left:0;text-align:left;margin-left:0;margin-top:0;width:595.2pt;height:841.9pt;z-index:-251641856;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B12C" w14:textId="77777777" w:rsidR="004871B8" w:rsidRDefault="007E7E95">
    <w:pPr>
      <w:pStyle w:val="Header"/>
    </w:pPr>
    <w:r>
      <w:pict w14:anchorId="5EA29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2065" type="#_x0000_t75" style="position:absolute;left:0;text-align:left;margin-left:0;margin-top:0;width:595.2pt;height:841.9pt;z-index:-251643904;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D73DDC"/>
    <w:multiLevelType w:val="hybridMultilevel"/>
    <w:tmpl w:val="41C44C58"/>
    <w:lvl w:ilvl="0" w:tplc="055864F4">
      <w:start w:val="2"/>
      <w:numFmt w:val="bullet"/>
      <w:lvlText w:val="-"/>
      <w:lvlJc w:val="left"/>
      <w:pPr>
        <w:ind w:left="720" w:hanging="360"/>
      </w:pPr>
      <w:rPr>
        <w:rFonts w:ascii="Times New Roman" w:eastAsia="Times New Roman" w:hAnsi="Times New Roman" w:cs="Times New Roman" w:hint="default"/>
        <w:color w:val="00000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A56E6"/>
    <w:multiLevelType w:val="hybridMultilevel"/>
    <w:tmpl w:val="EDD0C48C"/>
    <w:lvl w:ilvl="0" w:tplc="E4C614EE">
      <w:start w:val="1"/>
      <w:numFmt w:val="bullet"/>
      <w:lvlText w:val=""/>
      <w:lvlJc w:val="left"/>
      <w:pPr>
        <w:ind w:left="720" w:hanging="360"/>
      </w:pPr>
      <w:rPr>
        <w:rFonts w:ascii="Symbol" w:hAnsi="Symbol" w:hint="default"/>
        <w:color w:val="00000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74C44"/>
    <w:multiLevelType w:val="hybridMultilevel"/>
    <w:tmpl w:val="29120AA2"/>
    <w:lvl w:ilvl="0" w:tplc="E4C614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D4F90"/>
    <w:multiLevelType w:val="hybridMultilevel"/>
    <w:tmpl w:val="08DC5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1C5"/>
    <w:multiLevelType w:val="hybridMultilevel"/>
    <w:tmpl w:val="146021AA"/>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6B63C6A"/>
    <w:multiLevelType w:val="hybridMultilevel"/>
    <w:tmpl w:val="D7B6F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ED0CA8"/>
    <w:multiLevelType w:val="hybridMultilevel"/>
    <w:tmpl w:val="E0E44CCA"/>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2C0A495B"/>
    <w:multiLevelType w:val="hybridMultilevel"/>
    <w:tmpl w:val="C8D08698"/>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345160B"/>
    <w:multiLevelType w:val="hybridMultilevel"/>
    <w:tmpl w:val="973E8F8A"/>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4957EAC"/>
    <w:multiLevelType w:val="hybridMultilevel"/>
    <w:tmpl w:val="CF7071B4"/>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49C7F31"/>
    <w:multiLevelType w:val="hybridMultilevel"/>
    <w:tmpl w:val="A992DE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BE9219D"/>
    <w:multiLevelType w:val="hybridMultilevel"/>
    <w:tmpl w:val="66C05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02815"/>
    <w:multiLevelType w:val="hybridMultilevel"/>
    <w:tmpl w:val="BD46BE84"/>
    <w:lvl w:ilvl="0" w:tplc="0809000B">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4C965DE4"/>
    <w:multiLevelType w:val="hybridMultilevel"/>
    <w:tmpl w:val="C60EAF62"/>
    <w:lvl w:ilvl="0" w:tplc="30164A3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C993E93"/>
    <w:multiLevelType w:val="hybridMultilevel"/>
    <w:tmpl w:val="B46C1910"/>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EA66FF8"/>
    <w:multiLevelType w:val="hybridMultilevel"/>
    <w:tmpl w:val="DF54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A84A9C"/>
    <w:multiLevelType w:val="hybridMultilevel"/>
    <w:tmpl w:val="EDECF78E"/>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73C7356"/>
    <w:multiLevelType w:val="hybridMultilevel"/>
    <w:tmpl w:val="F1B42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2C2ED1"/>
    <w:multiLevelType w:val="hybridMultilevel"/>
    <w:tmpl w:val="8D8CBC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0DA47F1"/>
    <w:multiLevelType w:val="hybridMultilevel"/>
    <w:tmpl w:val="4D74E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C63BBA"/>
    <w:multiLevelType w:val="hybridMultilevel"/>
    <w:tmpl w:val="FF62FE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61B67E6"/>
    <w:multiLevelType w:val="hybridMultilevel"/>
    <w:tmpl w:val="4554F7C0"/>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B8F0B23"/>
    <w:multiLevelType w:val="hybridMultilevel"/>
    <w:tmpl w:val="C2A6D576"/>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B955F8D"/>
    <w:multiLevelType w:val="hybridMultilevel"/>
    <w:tmpl w:val="C7D6DA6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4"/>
  </w:num>
  <w:num w:numId="5">
    <w:abstractNumId w:val="1"/>
  </w:num>
  <w:num w:numId="6">
    <w:abstractNumId w:val="19"/>
  </w:num>
  <w:num w:numId="7">
    <w:abstractNumId w:val="6"/>
  </w:num>
  <w:num w:numId="8">
    <w:abstractNumId w:val="24"/>
  </w:num>
  <w:num w:numId="9">
    <w:abstractNumId w:val="11"/>
  </w:num>
  <w:num w:numId="10">
    <w:abstractNumId w:val="21"/>
  </w:num>
  <w:num w:numId="11">
    <w:abstractNumId w:val="7"/>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3"/>
  </w:num>
  <w:num w:numId="16">
    <w:abstractNumId w:val="17"/>
  </w:num>
  <w:num w:numId="17">
    <w:abstractNumId w:val="10"/>
  </w:num>
  <w:num w:numId="18">
    <w:abstractNumId w:val="5"/>
  </w:num>
  <w:num w:numId="19">
    <w:abstractNumId w:val="9"/>
  </w:num>
  <w:num w:numId="20">
    <w:abstractNumId w:val="18"/>
  </w:num>
  <w:num w:numId="21">
    <w:abstractNumId w:val="20"/>
  </w:num>
  <w:num w:numId="22">
    <w:abstractNumId w:val="12"/>
  </w:num>
  <w:num w:numId="23">
    <w:abstractNumId w:val="22"/>
  </w:num>
  <w:num w:numId="24">
    <w:abstractNumId w:val="15"/>
  </w:num>
  <w:num w:numId="25">
    <w:abstractNumId w:val="8"/>
  </w:num>
  <w:num w:numId="26">
    <w:abstractNumId w:val="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20389"/>
    <w:rsid w:val="00030E2A"/>
    <w:rsid w:val="00053D00"/>
    <w:rsid w:val="000A0F3B"/>
    <w:rsid w:val="000B2215"/>
    <w:rsid w:val="000D5C61"/>
    <w:rsid w:val="001261A8"/>
    <w:rsid w:val="001534B1"/>
    <w:rsid w:val="0019231D"/>
    <w:rsid w:val="001955B6"/>
    <w:rsid w:val="001A0079"/>
    <w:rsid w:val="001D61AC"/>
    <w:rsid w:val="001E15AA"/>
    <w:rsid w:val="001E3FA1"/>
    <w:rsid w:val="00200E87"/>
    <w:rsid w:val="00206D14"/>
    <w:rsid w:val="00214BDC"/>
    <w:rsid w:val="00215E81"/>
    <w:rsid w:val="0024727F"/>
    <w:rsid w:val="002A42BD"/>
    <w:rsid w:val="002A63E0"/>
    <w:rsid w:val="002B6A7B"/>
    <w:rsid w:val="002F03F9"/>
    <w:rsid w:val="003353D7"/>
    <w:rsid w:val="00337567"/>
    <w:rsid w:val="003567D4"/>
    <w:rsid w:val="003659F9"/>
    <w:rsid w:val="00371F74"/>
    <w:rsid w:val="00373830"/>
    <w:rsid w:val="003B556B"/>
    <w:rsid w:val="003D3052"/>
    <w:rsid w:val="00401DE5"/>
    <w:rsid w:val="004104B1"/>
    <w:rsid w:val="00452CAF"/>
    <w:rsid w:val="004871B8"/>
    <w:rsid w:val="00564788"/>
    <w:rsid w:val="00574C9B"/>
    <w:rsid w:val="0058411F"/>
    <w:rsid w:val="005E2695"/>
    <w:rsid w:val="006125A1"/>
    <w:rsid w:val="00627409"/>
    <w:rsid w:val="0063214A"/>
    <w:rsid w:val="00653E7D"/>
    <w:rsid w:val="00662207"/>
    <w:rsid w:val="00667F09"/>
    <w:rsid w:val="006B57A6"/>
    <w:rsid w:val="006D53A6"/>
    <w:rsid w:val="00770815"/>
    <w:rsid w:val="00787837"/>
    <w:rsid w:val="00787ABB"/>
    <w:rsid w:val="007954E1"/>
    <w:rsid w:val="007B6C64"/>
    <w:rsid w:val="007E7E95"/>
    <w:rsid w:val="00822952"/>
    <w:rsid w:val="00836505"/>
    <w:rsid w:val="00844B87"/>
    <w:rsid w:val="00870584"/>
    <w:rsid w:val="0089251B"/>
    <w:rsid w:val="008A6DD4"/>
    <w:rsid w:val="008A7731"/>
    <w:rsid w:val="008F74D7"/>
    <w:rsid w:val="00904C42"/>
    <w:rsid w:val="00913FA7"/>
    <w:rsid w:val="00914286"/>
    <w:rsid w:val="00914683"/>
    <w:rsid w:val="00924C05"/>
    <w:rsid w:val="00931C1C"/>
    <w:rsid w:val="00937CF2"/>
    <w:rsid w:val="00976645"/>
    <w:rsid w:val="00976F77"/>
    <w:rsid w:val="0098228C"/>
    <w:rsid w:val="009B01EB"/>
    <w:rsid w:val="009E2100"/>
    <w:rsid w:val="009E51ED"/>
    <w:rsid w:val="009F01DB"/>
    <w:rsid w:val="009F3486"/>
    <w:rsid w:val="00A310E1"/>
    <w:rsid w:val="00A36AB0"/>
    <w:rsid w:val="00A52104"/>
    <w:rsid w:val="00AB37A3"/>
    <w:rsid w:val="00AC5114"/>
    <w:rsid w:val="00AE0B53"/>
    <w:rsid w:val="00AE4D0B"/>
    <w:rsid w:val="00AF6603"/>
    <w:rsid w:val="00B24518"/>
    <w:rsid w:val="00B25683"/>
    <w:rsid w:val="00B51901"/>
    <w:rsid w:val="00B970E8"/>
    <w:rsid w:val="00BA3214"/>
    <w:rsid w:val="00BD50F6"/>
    <w:rsid w:val="00C073E1"/>
    <w:rsid w:val="00C24F0A"/>
    <w:rsid w:val="00C25647"/>
    <w:rsid w:val="00C65696"/>
    <w:rsid w:val="00C66AEA"/>
    <w:rsid w:val="00C9040A"/>
    <w:rsid w:val="00C91E4D"/>
    <w:rsid w:val="00CB110A"/>
    <w:rsid w:val="00CB7CD0"/>
    <w:rsid w:val="00CD0E3A"/>
    <w:rsid w:val="00CD26C9"/>
    <w:rsid w:val="00CF34D6"/>
    <w:rsid w:val="00D039AF"/>
    <w:rsid w:val="00D72198"/>
    <w:rsid w:val="00D95232"/>
    <w:rsid w:val="00DB7F50"/>
    <w:rsid w:val="00DE30C7"/>
    <w:rsid w:val="00DF400F"/>
    <w:rsid w:val="00E15BF4"/>
    <w:rsid w:val="00E2376B"/>
    <w:rsid w:val="00E26935"/>
    <w:rsid w:val="00E27707"/>
    <w:rsid w:val="00E52B04"/>
    <w:rsid w:val="00E60496"/>
    <w:rsid w:val="00E661B7"/>
    <w:rsid w:val="00E938AF"/>
    <w:rsid w:val="00E939B7"/>
    <w:rsid w:val="00EF1C31"/>
    <w:rsid w:val="00F2069F"/>
    <w:rsid w:val="00F53370"/>
    <w:rsid w:val="00F90BE2"/>
    <w:rsid w:val="00FC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7D16DA16"/>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basedOn w:val="Normal"/>
    <w:link w:val="FootnoteTextChar"/>
    <w:uiPriority w:val="99"/>
    <w:qFormat/>
    <w:rsid w:val="00F53370"/>
    <w:pPr>
      <w:keepLines/>
      <w:spacing w:after="60" w:line="240" w:lineRule="auto"/>
      <w:ind w:left="567" w:hanging="567"/>
    </w:pPr>
    <w:rPr>
      <w:sz w:val="16"/>
    </w:rPr>
  </w:style>
  <w:style w:type="character" w:customStyle="1" w:styleId="FootnoteTextChar">
    <w:name w:val="Footnote Text Char"/>
    <w:basedOn w:val="DefaultParagraphFont"/>
    <w:link w:val="FootnoteText"/>
    <w:uiPriority w:val="99"/>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basedOn w:val="DefaultParagraphFont"/>
    <w:uiPriority w:val="99"/>
    <w:unhideWhenUsed/>
    <w:qFormat/>
    <w:rsid w:val="00F53370"/>
    <w:rPr>
      <w:sz w:val="24"/>
      <w:vertAlign w:val="superscript"/>
    </w:rPr>
  </w:style>
  <w:style w:type="table" w:styleId="TableGrid">
    <w:name w:val="Table Grid"/>
    <w:basedOn w:val="TableNormal"/>
    <w:uiPriority w:val="5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semiHidden/>
    <w:unhideWhenUsed/>
    <w:rsid w:val="00976F77"/>
    <w:rPr>
      <w:sz w:val="16"/>
      <w:szCs w:val="16"/>
    </w:rPr>
  </w:style>
  <w:style w:type="paragraph" w:styleId="CommentText">
    <w:name w:val="annotation text"/>
    <w:basedOn w:val="Normal"/>
    <w:link w:val="CommentTextChar"/>
    <w:unhideWhenUsed/>
    <w:rsid w:val="00976F77"/>
    <w:pPr>
      <w:spacing w:line="240" w:lineRule="auto"/>
    </w:pPr>
    <w:rPr>
      <w:sz w:val="20"/>
      <w:szCs w:val="20"/>
    </w:rPr>
  </w:style>
  <w:style w:type="character" w:customStyle="1" w:styleId="CommentTextChar">
    <w:name w:val="Comment Text Char"/>
    <w:basedOn w:val="DefaultParagraphFont"/>
    <w:link w:val="CommentText"/>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976F77"/>
    <w:rPr>
      <w:b/>
      <w:bCs/>
    </w:rPr>
  </w:style>
  <w:style w:type="character" w:customStyle="1" w:styleId="CommentSubjectChar">
    <w:name w:val="Comment Subject Char"/>
    <w:basedOn w:val="CommentTextChar"/>
    <w:link w:val="CommentSubject"/>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paragraph" w:styleId="ListParagraph">
    <w:name w:val="List Paragraph"/>
    <w:basedOn w:val="Normal"/>
    <w:link w:val="ListParagraphChar"/>
    <w:uiPriority w:val="34"/>
    <w:qFormat/>
    <w:rsid w:val="002A42BD"/>
    <w:pPr>
      <w:overflowPunct w:val="0"/>
      <w:autoSpaceDE w:val="0"/>
      <w:autoSpaceDN w:val="0"/>
      <w:adjustRightInd w:val="0"/>
      <w:ind w:left="720"/>
      <w:contextualSpacing/>
      <w:textAlignment w:val="baseline"/>
    </w:pPr>
    <w:rPr>
      <w:szCs w:val="20"/>
      <w:lang w:eastAsia="fr-BE"/>
    </w:rPr>
  </w:style>
  <w:style w:type="paragraph" w:styleId="TOCHeading">
    <w:name w:val="TOC Heading"/>
    <w:basedOn w:val="Heading1"/>
    <w:next w:val="Normal"/>
    <w:uiPriority w:val="39"/>
    <w:unhideWhenUsed/>
    <w:qFormat/>
    <w:rsid w:val="003B556B"/>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3B556B"/>
    <w:pPr>
      <w:tabs>
        <w:tab w:val="left" w:pos="440"/>
        <w:tab w:val="right" w:leader="dot" w:pos="9063"/>
      </w:tabs>
      <w:spacing w:after="100"/>
    </w:pPr>
    <w:rPr>
      <w:b/>
      <w:noProof/>
    </w:rPr>
  </w:style>
  <w:style w:type="paragraph" w:styleId="TOC2">
    <w:name w:val="toc 2"/>
    <w:basedOn w:val="Normal"/>
    <w:next w:val="Normal"/>
    <w:autoRedefine/>
    <w:uiPriority w:val="39"/>
    <w:unhideWhenUsed/>
    <w:rsid w:val="003B556B"/>
    <w:pPr>
      <w:spacing w:after="100"/>
      <w:ind w:left="220"/>
    </w:pPr>
  </w:style>
  <w:style w:type="paragraph" w:customStyle="1" w:styleId="paragraph">
    <w:name w:val="paragraph"/>
    <w:basedOn w:val="Normal"/>
    <w:rsid w:val="003B556B"/>
    <w:pPr>
      <w:spacing w:before="100" w:beforeAutospacing="1" w:after="100" w:afterAutospacing="1" w:line="240" w:lineRule="auto"/>
      <w:jc w:val="left"/>
    </w:pPr>
    <w:rPr>
      <w:sz w:val="24"/>
      <w:szCs w:val="24"/>
      <w:lang w:eastAsia="es-ES"/>
    </w:rPr>
  </w:style>
  <w:style w:type="paragraph" w:styleId="NormalWeb">
    <w:name w:val="Normal (Web)"/>
    <w:basedOn w:val="Normal"/>
    <w:uiPriority w:val="99"/>
    <w:unhideWhenUsed/>
    <w:rsid w:val="003B556B"/>
    <w:pPr>
      <w:spacing w:before="100" w:beforeAutospacing="1" w:after="100" w:afterAutospacing="1" w:line="240" w:lineRule="auto"/>
      <w:jc w:val="left"/>
    </w:pPr>
    <w:rPr>
      <w:sz w:val="24"/>
      <w:szCs w:val="24"/>
      <w:lang w:eastAsia="es-ES"/>
    </w:rPr>
  </w:style>
  <w:style w:type="paragraph" w:styleId="Caption">
    <w:name w:val="caption"/>
    <w:basedOn w:val="Normal"/>
    <w:next w:val="Normal"/>
    <w:uiPriority w:val="35"/>
    <w:semiHidden/>
    <w:unhideWhenUsed/>
    <w:qFormat/>
    <w:rsid w:val="003B556B"/>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3B556B"/>
    <w:rPr>
      <w:color w:val="954F72" w:themeColor="followedHyperlink"/>
      <w:u w:val="single"/>
    </w:rPr>
  </w:style>
  <w:style w:type="character" w:customStyle="1" w:styleId="UnresolvedMention1">
    <w:name w:val="Unresolved Mention1"/>
    <w:basedOn w:val="DefaultParagraphFont"/>
    <w:uiPriority w:val="99"/>
    <w:semiHidden/>
    <w:unhideWhenUsed/>
    <w:rsid w:val="003B556B"/>
    <w:rPr>
      <w:color w:val="605E5C"/>
      <w:shd w:val="clear" w:color="auto" w:fill="E1DFDD"/>
    </w:rPr>
  </w:style>
  <w:style w:type="character" w:customStyle="1" w:styleId="ListParagraphChar">
    <w:name w:val="List Paragraph Char"/>
    <w:link w:val="ListParagraph"/>
    <w:uiPriority w:val="34"/>
    <w:rsid w:val="003B556B"/>
    <w:rPr>
      <w:rFonts w:ascii="Times New Roman" w:eastAsia="Times New Roman" w:hAnsi="Times New Roman" w:cs="Times New Roman"/>
      <w:szCs w:val="20"/>
      <w:lang w:val="de-DE" w:eastAsia="fr-BE"/>
    </w:rPr>
  </w:style>
  <w:style w:type="paragraph" w:styleId="HTMLPreformatted">
    <w:name w:val="HTML Preformatted"/>
    <w:basedOn w:val="Normal"/>
    <w:link w:val="HTMLPreformattedChar"/>
    <w:uiPriority w:val="99"/>
    <w:unhideWhenUsed/>
    <w:rsid w:val="003B5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3B556B"/>
    <w:rPr>
      <w:rFonts w:ascii="Courier New" w:eastAsia="Times New Roman" w:hAnsi="Courier New" w:cs="Courier New"/>
      <w:sz w:val="20"/>
      <w:szCs w:val="20"/>
      <w:lang w:val="de-DE" w:eastAsia="fr-FR"/>
    </w:rPr>
  </w:style>
  <w:style w:type="table" w:styleId="GridTable5Dark-Accent1">
    <w:name w:val="Grid Table 5 Dark Accent 1"/>
    <w:basedOn w:val="TableNormal"/>
    <w:uiPriority w:val="50"/>
    <w:rsid w:val="003B55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3">
    <w:name w:val="toc 3"/>
    <w:basedOn w:val="Normal"/>
    <w:next w:val="Normal"/>
    <w:autoRedefine/>
    <w:uiPriority w:val="39"/>
    <w:unhideWhenUsed/>
    <w:rsid w:val="003B556B"/>
    <w:pPr>
      <w:spacing w:after="100"/>
      <w:ind w:left="440"/>
    </w:pPr>
  </w:style>
  <w:style w:type="table" w:styleId="GridTable4">
    <w:name w:val="Grid Table 4"/>
    <w:basedOn w:val="TableNormal"/>
    <w:uiPriority w:val="49"/>
    <w:rsid w:val="003B55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3B556B"/>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ustomXml" Target="../customXml/item1.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8.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fontTable" Target="fontTable.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XMKEDVFMMJCW-1593724795-10558</_dlc_DocId>
    <_dlc_DocIdUrl xmlns="56a5413d-c261-4a00-870c-a20d3379ae6d">
      <Url>http://dm/eesc/2023/_layouts/15/DocIdRedir.aspx?ID=XMKEDVFMMJCW-1593724795-10558</Url>
      <Description>XMKEDVFMMJCW-1593724795-10558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TermName>
          <TermId xmlns="http://schemas.microsoft.com/office/infopath/2007/PartnerControls">2e31ab9a-38d8-4b15-bf54-b076b749ef85</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2024-04-26T12:00:00+00:00</ProductionDate>
    <DocumentNumber xmlns="0257f74b-9830-4f7d-85e6-515b2ff0b009">2717</DocumentNumber>
    <FicheYear xmlns="56a5413d-c261-4a00-870c-a20d3379ae6d" xsi:nil="true"/>
    <DossierNumber xmlns="56a5413d-c261-4a00-870c-a20d3379ae6d">754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 xsi:nil="true"/>
    <TaxCatchAll xmlns="56a5413d-c261-4a00-870c-a20d3379ae6d">
      <Value>332</Value>
      <Value>49</Value>
      <Value>47</Value>
      <Value>46</Value>
      <Value>45</Value>
      <Value>44</Value>
      <Value>43</Value>
      <Value>42</Value>
      <Value>41</Value>
      <Value>40</Value>
      <Value>39</Value>
      <Value>38</Value>
      <Value>37</Value>
      <Value>36</Value>
      <Value>35</Value>
      <Value>34</Value>
      <Value>33</Value>
      <Value>32</Value>
      <Value>31</Value>
      <Value>30</Value>
      <Value>25</Value>
      <Value>24</Value>
      <Value>21</Value>
      <Value>16</Value>
      <Value>10</Value>
      <Value>9</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Rapporteur xmlns="56a5413d-c261-4a00-870c-a20d3379ae6d">SVENTEK &amp; BALON &amp; DEL RIO</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6a5413d-c261-4a00-870c-a20d3379ae6d">2023</DocumentYear>
    <FicheNumber xmlns="56a5413d-c261-4a00-870c-a20d3379ae6d">2888</FicheNumber>
    <OriginalSender xmlns="56a5413d-c261-4a00-870c-a20d3379ae6d">
      <UserInfo>
        <DisplayName>Jonnek Holger</DisplayName>
        <AccountId>1582</AccountId>
        <AccountType/>
      </UserInfo>
    </OriginalSender>
    <DocumentPart xmlns="56a5413d-c261-4a00-870c-a20d3379ae6d">0</DocumentPart>
    <AdoptionDate xmlns="56a5413d-c261-4a00-870c-a20d3379ae6d">2024-04-24T12:00:00+00:00</AdoptionDate>
    <RequestingService xmlns="56a5413d-c261-4a00-870c-a20d3379ae6d">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257f74b-9830-4f7d-85e6-515b2ff0b009"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6a5413d-c261-4a00-870c-a20d3379ae6d">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6202344E2A73294A96CB0CA75BC1E892" ma:contentTypeVersion="7" ma:contentTypeDescription="Defines the documents for Document Manager V2" ma:contentTypeScope="" ma:versionID="1cade58246a910000bf51559b692ae30">
  <xsd:schema xmlns:xsd="http://www.w3.org/2001/XMLSchema" xmlns:xs="http://www.w3.org/2001/XMLSchema" xmlns:p="http://schemas.microsoft.com/office/2006/metadata/properties" xmlns:ns2="56a5413d-c261-4a00-870c-a20d3379ae6d" xmlns:ns3="http://schemas.microsoft.com/sharepoint/v3/fields" xmlns:ns4="0257f74b-9830-4f7d-85e6-515b2ff0b009" targetNamespace="http://schemas.microsoft.com/office/2006/metadata/properties" ma:root="true" ma:fieldsID="3dde802d4ff8b2c128f2a66642a792aa" ns2:_="" ns3:_="" ns4:_="">
    <xsd:import namespace="56a5413d-c261-4a00-870c-a20d3379ae6d"/>
    <xsd:import namespace="http://schemas.microsoft.com/sharepoint/v3/fields"/>
    <xsd:import namespace="0257f74b-9830-4f7d-85e6-515b2ff0b00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57f74b-9830-4f7d-85e6-515b2ff0b009"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8BD05-08DF-4BDA-A3E9-5672BAA82DE2}"/>
</file>

<file path=customXml/itemProps2.xml><?xml version="1.0" encoding="utf-8"?>
<ds:datastoreItem xmlns:ds="http://schemas.openxmlformats.org/officeDocument/2006/customXml" ds:itemID="{51060EC2-633C-4E6B-9716-AFFD2B55C0E0}"/>
</file>

<file path=customXml/itemProps3.xml><?xml version="1.0" encoding="utf-8"?>
<ds:datastoreItem xmlns:ds="http://schemas.openxmlformats.org/officeDocument/2006/customXml" ds:itemID="{99FA8C54-0FF0-4F33-B4D5-6F032559A53B}"/>
</file>

<file path=customXml/itemProps4.xml><?xml version="1.0" encoding="utf-8"?>
<ds:datastoreItem xmlns:ds="http://schemas.openxmlformats.org/officeDocument/2006/customXml" ds:itemID="{0F4E0DC8-0A5C-491B-BF1E-C791E2EB9F57}"/>
</file>

<file path=docProps/app.xml><?xml version="1.0" encoding="utf-8"?>
<Properties xmlns="http://schemas.openxmlformats.org/officeDocument/2006/extended-properties" xmlns:vt="http://schemas.openxmlformats.org/officeDocument/2006/docPropsVTypes">
  <Template>Normal.dotm</Template>
  <TotalTime>0</TotalTime>
  <Pages>9</Pages>
  <Words>2740</Words>
  <Characters>15619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AC-Cover page - Opinion Committee - EESC revised model</vt:lpstr>
    </vt:vector>
  </TitlesOfParts>
  <Company>CESE-CdR</Company>
  <LinksUpToDate>false</LinksUpToDate>
  <CharactersWithSpaces>18323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Bewertung des Europäischen Sozialfonds 20142020</dc:title>
  <dc:subject>RE</dc:subject>
  <dc:creator>Francois Aude</dc:creator>
  <cp:keywords>EESC-2023-02717-00-00-RE-TRA-EN</cp:keywords>
  <dc:description>Rapporteur: SVENTEK &amp; BALON &amp; DEL RIO - Original language: EN - Date of document: 26/04/2024 - Date of meeting:  - External documents:  - Administrator:  BEDNAROWICZ BARTŁOMIEJ</dc:description>
  <cp:lastModifiedBy>Holger</cp:lastModifiedBy>
  <cp:revision>9</cp:revision>
  <dcterms:created xsi:type="dcterms:W3CDTF">2024-04-25T11:25:00Z</dcterms:created>
  <dcterms:modified xsi:type="dcterms:W3CDTF">2024-04-26T11:23:00Z</dcterms:modified>
  <cp:category>SOC/754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25/04/2024, 12/04/2024, 17/05/2022</vt:lpwstr>
  </property>
  <property fmtid="{D5CDD505-2E9C-101B-9397-08002B2CF9AE}" pid="4" name="Pref_Time">
    <vt:lpwstr>13:21:20, 12:03:55, 14:58:36</vt:lpwstr>
  </property>
  <property fmtid="{D5CDD505-2E9C-101B-9397-08002B2CF9AE}" pid="5" name="Pref_User">
    <vt:lpwstr>pacup, enied, enied</vt:lpwstr>
  </property>
  <property fmtid="{D5CDD505-2E9C-101B-9397-08002B2CF9AE}" pid="6" name="Pref_FileName">
    <vt:lpwstr>EESC-2023-02717-00-00-RE-TRA-EN-CRR.docx, COR-EESC-2024-01326-22-00-ADMIN-ORI.docx, COR-EESC-2022-02592-00-00-ADMIN-ORI.docx</vt:lpwstr>
  </property>
  <property fmtid="{D5CDD505-2E9C-101B-9397-08002B2CF9AE}" pid="7" name="ContentTypeId">
    <vt:lpwstr>0x010100EA97B91038054C99906057A708A1480A006202344E2A73294A96CB0CA75BC1E892</vt:lpwstr>
  </property>
  <property fmtid="{D5CDD505-2E9C-101B-9397-08002B2CF9AE}" pid="8" name="_dlc_DocIdItemGuid">
    <vt:lpwstr>7f8bdccc-2c39-44ef-b7ca-e84d98ac3b35</vt:lpwstr>
  </property>
  <property fmtid="{D5CDD505-2E9C-101B-9397-08002B2CF9AE}" pid="9" name="AvailableTranslations">
    <vt:lpwstr>39;#LT|a7ff5ce7-6123-4f68-865a-a57c31810414;#30;#IT|0774613c-01ed-4e5d-a25d-11d2388de825;#33;#LV|46f7e311-5d9f-4663-b433-18aeccb7ace7;#43;#DA|5d49c027-8956-412b-aa16-e85a0f96ad0e;#41;#HU|6b229040-c589-4408-b4c1-4285663d20a8;#45;#ET|ff6c3f4c-b02c-4c3c-ab07-2c37995a7a0a;#35;#SL|98a412ae-eb01-49e9-ae3d-585a81724cfc;#5;#EN|f2175f21-25d7-44a3-96da-d6a61b075e1b;#21;#SV|c2ed69e7-a339-43d7-8f22-d93680a92aa0;#44;#BG|1a1b3951-7821-4e6a-85f5-5673fc08bd2c;#10;#FR|d2afafd3-4c81-4f60-8f52-ee33f2f54ff3;#34;#SK|46d9fce0-ef79-4f71-b89b-cd6aa82426b8;#37;#CS|72f9705b-0217-4fd3-bea2-cbc7ed80e26e;#32;#PT|50ccc04a-eadd-42ae-a0cb-acaf45f812ba;#42;#FI|87606a43-d45f-42d6-b8c9-e1a3457db5b7;#36;#MT|7df99101-6854-4a26-b53a-b88c0da02c26;#25;#ES|e7a6b05b-ae16-40c8-add9-68b64b03aeba;#46;#HR|2f555653-ed1a-4fe6-8362-9082d95989e5;#31;#NL|55c6556c-b4f4-441d-9acf-c498d4f838bd;#40;#RO|feb747a2-64cd-4299-af12-4833ddc30497;#49;#GA|762d2456-c427-4ecb-b312-af3dad8e258c;#24;#PL|1e03da61-4678-4e07-b136-b5024ca9197b;#16;#DE|f6b31e5a-26fa-4935-b661-318e46daf27e;#38;#EL|6d4f4d51-af9b-4650-94b4-4276bee85c91</vt:lpwstr>
  </property>
  <property fmtid="{D5CDD505-2E9C-101B-9397-08002B2CF9AE}" pid="10" name="DocumentType_0">
    <vt:lpwstr>RE|2e31ab9a-38d8-4b15-bf54-b076b749ef85</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2717</vt:i4>
  </property>
  <property fmtid="{D5CDD505-2E9C-101B-9397-08002B2CF9AE}" pid="14" name="DocumentVersion">
    <vt:i4>0</vt:i4>
  </property>
  <property fmtid="{D5CDD505-2E9C-101B-9397-08002B2CF9AE}" pid="15" name="DossierNumber">
    <vt:i4>754</vt:i4>
  </property>
  <property fmtid="{D5CDD505-2E9C-101B-9397-08002B2CF9AE}" pid="16" name="DocumentStatus">
    <vt:lpwstr>3;#TRA|150d2a88-1431-44e6-a8ca-0bb753ab8672</vt:lpwstr>
  </property>
  <property fmtid="{D5CDD505-2E9C-101B-9397-08002B2CF9AE}" pid="17" name="DossierName">
    <vt:lpwstr>47;#SOC|13795804-ecbd-4ce5-9693-9b8be1981b20</vt:lpwstr>
  </property>
  <property fmtid="{D5CDD505-2E9C-101B-9397-08002B2CF9AE}" pid="18" name="RequestingService">
    <vt:lpwstr>Emploi, affaires sociales, citoyenneté</vt:lpwstr>
  </property>
  <property fmtid="{D5CDD505-2E9C-101B-9397-08002B2CF9AE}" pid="19" name="Confidentiality">
    <vt:lpwstr>9;#Unrestricted|826e22d7-d029-4ec0-a450-0c28ff673572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
  </property>
  <property fmtid="{D5CDD505-2E9C-101B-9397-08002B2CF9AE}" pid="25" name="AvailableTranslations_0">
    <vt:lpwstr>IT|0774613c-01ed-4e5d-a25d-11d2388de825;HU|6b229040-c589-4408-b4c1-4285663d20a8;EN|f2175f21-25d7-44a3-96da-d6a61b075e1b;CS|72f9705b-0217-4fd3-bea2-cbc7ed80e26e;EL|6d4f4d51-af9b-4650-94b4-4276bee85c91</vt:lpwstr>
  </property>
  <property fmtid="{D5CDD505-2E9C-101B-9397-08002B2CF9AE}" pid="26" name="DocumentStatus_0">
    <vt:lpwstr>TRA|150d2a88-1431-44e6-a8ca-0bb753ab8672</vt:lpwstr>
  </property>
  <property fmtid="{D5CDD505-2E9C-101B-9397-08002B2CF9AE}" pid="27" name="OriginalLanguage_0">
    <vt:lpwstr>EN|f2175f21-25d7-44a3-96da-d6a61b075e1b</vt:lpwstr>
  </property>
  <property fmtid="{D5CDD505-2E9C-101B-9397-08002B2CF9AE}" pid="28" name="TaxCatchAll">
    <vt:lpwstr>37;#CS|72f9705b-0217-4fd3-bea2-cbc7ed80e26e;#47;#SOC|13795804-ecbd-4ce5-9693-9b8be1981b20;#30;#IT|0774613c-01ed-4e5d-a25d-11d2388de825;#332;#RE|2e31ab9a-38d8-4b15-bf54-b076b749ef85;#7;#Final|ea5e6674-7b27-4bac-b091-73adbb394efe;#9;#Unrestricted|826e22d7-d029-4ec0-a450-0c28ff673572;#5;#EN|f2175f21-25d7-44a3-96da-d6a61b075e1b;#41;#HU|6b229040-c589-4408-b4c1-4285663d20a8;#3;#TRA|150d2a88-1431-44e6-a8ca-0bb753ab8672;#38;#EL|6d4f4d51-af9b-4650-94b4-4276bee85c91;#1;#EESC|422833ec-8d7e-4e65-8e4e-8bed07ffb729</vt:lpwstr>
  </property>
  <property fmtid="{D5CDD505-2E9C-101B-9397-08002B2CF9AE}" pid="29" name="Rapporteur">
    <vt:lpwstr>SVENTEK &amp; BALON &amp; DEL RIO</vt:lpwstr>
  </property>
  <property fmtid="{D5CDD505-2E9C-101B-9397-08002B2CF9AE}" pid="30" name="VersionStatus_0">
    <vt:lpwstr>Final|ea5e6674-7b27-4bac-b091-73adbb394efe</vt:lpwstr>
  </property>
  <property fmtid="{D5CDD505-2E9C-101B-9397-08002B2CF9AE}" pid="31" name="VersionStatus">
    <vt:lpwstr>7;#Final|ea5e6674-7b27-4bac-b091-73adbb394efe</vt:lpwstr>
  </property>
  <property fmtid="{D5CDD505-2E9C-101B-9397-08002B2CF9AE}" pid="32" name="DocumentYear">
    <vt:i4>2023</vt:i4>
  </property>
  <property fmtid="{D5CDD505-2E9C-101B-9397-08002B2CF9AE}" pid="33" name="FicheNumber">
    <vt:i4>2888</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6" name="AdoptionDate">
    <vt:filetime>2024-04-24T12:00:00Z</vt:filetime>
  </property>
  <property fmtid="{D5CDD505-2E9C-101B-9397-08002B2CF9AE}" pid="37" name="DocumentType">
    <vt:lpwstr>332;#RE|2e31ab9a-38d8-4b15-bf54-b076b749ef85</vt:lpwstr>
  </property>
  <property fmtid="{D5CDD505-2E9C-101B-9397-08002B2CF9AE}" pid="38" name="DocumentLanguage">
    <vt:lpwstr>16;#DE|f6b31e5a-26fa-4935-b661-318e46daf27e</vt:lpwstr>
  </property>
  <property fmtid="{D5CDD505-2E9C-101B-9397-08002B2CF9AE}" pid="39" name="_docset_NoMedatataSyncRequired">
    <vt:lpwstr>False</vt:lpwstr>
  </property>
</Properties>
</file>