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289"/>
      </w:tblGrid>
      <w:tr w:rsidRPr="00A12A49" w:rsidR="001C71F6" w14:paraId="0F8CD4A2" w14:textId="77777777">
        <w:trPr>
          <w:jc w:val="center"/>
        </w:trPr>
        <w:tc>
          <w:tcPr>
            <w:tcW w:w="5000" w:type="pct"/>
            <w:vAlign w:val="center"/>
          </w:tcPr>
          <w:p w:rsidRPr="00A12A49" w:rsidR="00CD26C9" w:rsidP="00695F57" w:rsidRDefault="00CD26C9" w14:paraId="243E92A7" w14:textId="77777777">
            <w:pPr>
              <w:jc w:val="center"/>
              <w:rPr>
                <w:b/>
                <w:bCs/>
                <w:sz w:val="72"/>
                <w:szCs w:val="72"/>
              </w:rPr>
            </w:pPr>
            <w:r w:rsidRPr="00A12A49">
              <w:rPr>
                <w:b/>
                <w:sz w:val="72"/>
              </w:rPr>
              <w:t>RAPPORT D’ÉVALUATION</w:t>
            </w:r>
          </w:p>
        </w:tc>
      </w:tr>
      <w:tr w:rsidRPr="00A12A49" w:rsidR="001C71F6" w14:paraId="4D47DEDF" w14:textId="77777777">
        <w:trPr>
          <w:trHeight w:val="567"/>
          <w:jc w:val="center"/>
        </w:trPr>
        <w:tc>
          <w:tcPr>
            <w:tcW w:w="5000" w:type="pct"/>
            <w:vAlign w:val="center"/>
          </w:tcPr>
          <w:p w:rsidRPr="00A12A49" w:rsidR="00CD26C9" w:rsidP="00695F57" w:rsidRDefault="00CD26C9" w14:paraId="28C5F4AA" w14:textId="77777777">
            <w:pPr>
              <w:jc w:val="center"/>
              <w:rPr>
                <w:sz w:val="24"/>
                <w:szCs w:val="24"/>
              </w:rPr>
            </w:pPr>
            <w:r w:rsidRPr="00A12A49">
              <w:rPr>
                <w:sz w:val="24"/>
              </w:rPr>
              <w:t>Comité économique et social européen</w:t>
            </w:r>
          </w:p>
        </w:tc>
      </w:tr>
      <w:tr w:rsidRPr="00A12A49" w:rsidR="001C71F6" w14:paraId="36846916" w14:textId="77777777">
        <w:trPr>
          <w:jc w:val="center"/>
        </w:trPr>
        <w:tc>
          <w:tcPr>
            <w:tcW w:w="5000" w:type="pct"/>
            <w:vAlign w:val="center"/>
          </w:tcPr>
          <w:p w:rsidRPr="00A12A49" w:rsidR="00CD26C9" w:rsidP="00371F74" w:rsidRDefault="002A63E0" w14:paraId="593DE4EE" w14:textId="77777777">
            <w:pPr>
              <w:ind w:left="567" w:right="567"/>
              <w:jc w:val="center"/>
              <w:rPr>
                <w:b/>
                <w:bCs/>
                <w:sz w:val="44"/>
                <w:szCs w:val="44"/>
              </w:rPr>
            </w:pPr>
            <w:r w:rsidRPr="00A12A49">
              <w:rPr>
                <w:b/>
                <w:sz w:val="44"/>
              </w:rPr>
              <w:t>Évaluation du Fonds social européen pour la période 2014-2020</w:t>
            </w:r>
          </w:p>
        </w:tc>
      </w:tr>
      <w:tr w:rsidRPr="00A12A49" w:rsidR="001C71F6" w14:paraId="38FE61D7" w14:textId="77777777">
        <w:trPr>
          <w:jc w:val="center"/>
        </w:trPr>
        <w:tc>
          <w:tcPr>
            <w:tcW w:w="5000" w:type="pct"/>
            <w:vAlign w:val="center"/>
          </w:tcPr>
          <w:p w:rsidRPr="00A12A49" w:rsidR="00CD26C9" w:rsidP="00695F57" w:rsidRDefault="00CD26C9" w14:paraId="10C036AE" w14:textId="77777777">
            <w:pPr>
              <w:overflowPunct w:val="0"/>
              <w:autoSpaceDE w:val="0"/>
              <w:autoSpaceDN w:val="0"/>
              <w:adjustRightInd w:val="0"/>
              <w:jc w:val="center"/>
              <w:textAlignment w:val="baseline"/>
              <w:rPr>
                <w:b/>
                <w:bCs/>
                <w:sz w:val="24"/>
                <w:szCs w:val="24"/>
              </w:rPr>
            </w:pPr>
            <w:r w:rsidRPr="00A12A49">
              <w:rPr>
                <w:sz w:val="24"/>
              </w:rPr>
              <w:t>_____________</w:t>
            </w:r>
          </w:p>
        </w:tc>
      </w:tr>
      <w:tr w:rsidRPr="00A12A49" w:rsidR="001C71F6" w14:paraId="16C3D338" w14:textId="77777777">
        <w:trPr>
          <w:jc w:val="center"/>
        </w:trPr>
        <w:tc>
          <w:tcPr>
            <w:tcW w:w="5000" w:type="pct"/>
            <w:vAlign w:val="center"/>
          </w:tcPr>
          <w:p w:rsidRPr="00A12A49" w:rsidR="00CD26C9" w:rsidP="00695F57" w:rsidRDefault="002A63E0" w14:paraId="11FC4A87" w14:textId="77777777">
            <w:pPr>
              <w:jc w:val="center"/>
              <w:rPr>
                <w:sz w:val="24"/>
                <w:szCs w:val="24"/>
              </w:rPr>
            </w:pPr>
            <w:r w:rsidRPr="00A12A49">
              <w:rPr>
                <w:sz w:val="24"/>
              </w:rPr>
              <w:t>Évaluation du Fonds social européen pour la période 2014-2020</w:t>
            </w:r>
          </w:p>
        </w:tc>
      </w:tr>
      <w:tr w:rsidRPr="00A12A49" w:rsidR="001C71F6" w14:paraId="74A75A5C" w14:textId="77777777">
        <w:trPr>
          <w:jc w:val="center"/>
        </w:trPr>
        <w:tc>
          <w:tcPr>
            <w:tcW w:w="5000" w:type="pct"/>
            <w:vAlign w:val="center"/>
          </w:tcPr>
          <w:p w:rsidRPr="00A12A49" w:rsidR="00CD26C9" w:rsidP="00695F57" w:rsidRDefault="00CD26C9" w14:paraId="718ACB54" w14:textId="77777777">
            <w:pPr>
              <w:jc w:val="center"/>
              <w:rPr>
                <w:sz w:val="24"/>
                <w:szCs w:val="24"/>
              </w:rPr>
            </w:pPr>
          </w:p>
        </w:tc>
      </w:tr>
      <w:tr w:rsidRPr="00A12A49" w:rsidR="001C71F6" w14:paraId="38D83783" w14:textId="77777777">
        <w:trPr>
          <w:jc w:val="center"/>
        </w:trPr>
        <w:tc>
          <w:tcPr>
            <w:tcW w:w="5000" w:type="pct"/>
            <w:vAlign w:val="center"/>
          </w:tcPr>
          <w:p w:rsidRPr="00A12A49" w:rsidR="00CD26C9" w:rsidP="00695F57" w:rsidRDefault="002A63E0" w14:paraId="53427D92" w14:textId="77777777">
            <w:pPr>
              <w:jc w:val="center"/>
              <w:rPr>
                <w:b/>
                <w:bCs/>
                <w:sz w:val="24"/>
                <w:szCs w:val="24"/>
              </w:rPr>
            </w:pPr>
            <w:r w:rsidRPr="00A12A49">
              <w:rPr>
                <w:b/>
                <w:sz w:val="24"/>
              </w:rPr>
              <w:t>SOC/754</w:t>
            </w:r>
          </w:p>
        </w:tc>
      </w:tr>
      <w:tr w:rsidRPr="00A12A49" w:rsidR="001C71F6" w14:paraId="0FF534E4" w14:textId="77777777">
        <w:trPr>
          <w:jc w:val="center"/>
        </w:trPr>
        <w:tc>
          <w:tcPr>
            <w:tcW w:w="5000" w:type="pct"/>
            <w:vAlign w:val="center"/>
          </w:tcPr>
          <w:p w:rsidRPr="00A12A49" w:rsidR="00CD26C9" w:rsidP="00695F57" w:rsidRDefault="00CD26C9" w14:paraId="59D65E87" w14:textId="77777777">
            <w:pPr>
              <w:jc w:val="center"/>
              <w:rPr>
                <w:sz w:val="24"/>
                <w:szCs w:val="24"/>
              </w:rPr>
            </w:pPr>
          </w:p>
        </w:tc>
      </w:tr>
      <w:tr w:rsidRPr="00A12A49" w:rsidR="001C71F6" w14:paraId="3D3701B0" w14:textId="77777777">
        <w:trPr>
          <w:jc w:val="center"/>
        </w:trPr>
        <w:tc>
          <w:tcPr>
            <w:tcW w:w="5000" w:type="pct"/>
            <w:vAlign w:val="center"/>
          </w:tcPr>
          <w:p w:rsidRPr="00A12A49" w:rsidR="002A63E0" w:rsidP="002A63E0" w:rsidRDefault="002A63E0" w14:paraId="4CFACC1E" w14:textId="77777777">
            <w:pPr>
              <w:jc w:val="center"/>
              <w:rPr>
                <w:sz w:val="24"/>
                <w:szCs w:val="24"/>
              </w:rPr>
            </w:pPr>
            <w:r w:rsidRPr="00A12A49">
              <w:rPr>
                <w:sz w:val="24"/>
              </w:rPr>
              <w:t xml:space="preserve">Rapporteur: </w:t>
            </w:r>
            <w:r w:rsidRPr="00A12A49">
              <w:rPr>
                <w:b/>
                <w:sz w:val="24"/>
              </w:rPr>
              <w:t>Krzysztof BALON</w:t>
            </w:r>
          </w:p>
          <w:p w:rsidRPr="00A12A49" w:rsidR="002A63E0" w:rsidP="002A63E0" w:rsidRDefault="002A63E0" w14:paraId="4C758B11" w14:textId="77777777">
            <w:pPr>
              <w:jc w:val="center"/>
              <w:rPr>
                <w:sz w:val="24"/>
                <w:szCs w:val="24"/>
              </w:rPr>
            </w:pPr>
            <w:proofErr w:type="spellStart"/>
            <w:r w:rsidRPr="00A12A49">
              <w:rPr>
                <w:sz w:val="24"/>
              </w:rPr>
              <w:t>Rapporteure</w:t>
            </w:r>
            <w:proofErr w:type="spellEnd"/>
            <w:r w:rsidRPr="00A12A49">
              <w:rPr>
                <w:sz w:val="24"/>
              </w:rPr>
              <w:t xml:space="preserve">: </w:t>
            </w:r>
            <w:r w:rsidRPr="00A12A49">
              <w:rPr>
                <w:b/>
                <w:sz w:val="24"/>
              </w:rPr>
              <w:t>Cinzia DEL RIO</w:t>
            </w:r>
          </w:p>
          <w:p w:rsidRPr="00A12A49" w:rsidR="00CD26C9" w:rsidP="002A63E0" w:rsidRDefault="002A63E0" w14:paraId="5464E1CB" w14:textId="77777777">
            <w:pPr>
              <w:jc w:val="center"/>
              <w:rPr>
                <w:sz w:val="24"/>
                <w:szCs w:val="24"/>
              </w:rPr>
            </w:pPr>
            <w:r w:rsidRPr="00A12A49">
              <w:rPr>
                <w:sz w:val="24"/>
              </w:rPr>
              <w:t xml:space="preserve">Corapporteur: </w:t>
            </w:r>
            <w:r w:rsidRPr="00A12A49">
              <w:rPr>
                <w:b/>
                <w:sz w:val="24"/>
              </w:rPr>
              <w:t>David SVENTEK</w:t>
            </w:r>
          </w:p>
        </w:tc>
      </w:tr>
    </w:tbl>
    <w:p w:rsidRPr="00A12A49" w:rsidR="00574C9B" w:rsidP="00574C9B" w:rsidRDefault="00574C9B" w14:paraId="024887B8" w14:textId="77777777">
      <w:r w:rsidRPr="00A12A49">
        <w:rPr>
          <w:sz w:val="20"/>
        </w:rPr>
        <mc:AlternateContent>
          <mc:Choice Requires="wps">
            <w:drawing>
              <wp:anchor distT="0" distB="0" distL="114300" distR="114300" simplePos="0" relativeHeight="251659264" behindDoc="1" locked="0" layoutInCell="0" allowOverlap="1" wp14:editId="7A17FD55" wp14:anchorId="786FF507">
                <wp:simplePos x="0" y="0"/>
                <wp:positionH relativeFrom="rightMargin">
                  <wp:posOffset>-201930</wp:posOffset>
                </wp:positionH>
                <wp:positionV relativeFrom="page">
                  <wp:posOffset>9486900</wp:posOffset>
                </wp:positionV>
                <wp:extent cx="741600" cy="432000"/>
                <wp:effectExtent l="0" t="0" r="0" b="635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43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12A49" w:rsidR="00574C9B" w:rsidP="00574C9B" w:rsidRDefault="00574C9B" w14:paraId="650FEB70" w14:textId="77777777">
                            <w:pPr>
                              <w:jc w:val="center"/>
                            </w:pPr>
                            <w:r w:rsidRPr="00A12A49">
                              <w:rPr>
                                <w:rFonts w:ascii="Arial" w:hAnsi="Arial"/>
                                <w:b/>
                                <w:sz w:val="48"/>
                              </w:rPr>
                              <w:t>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86FF507">
                <v:stroke joinstyle="miter"/>
                <v:path gradientshapeok="t" o:connecttype="rect"/>
              </v:shapetype>
              <v:shape id="Text Box 17" style="position:absolute;left:0;text-align:left;margin-left:-15.9pt;margin-top:747pt;width:58.4pt;height:34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">
                <v:textbox>
                  <w:txbxContent>
                    <w:p w:rsidRPr="00A12A49" w:rsidR="00574C9B" w:rsidP="00574C9B" w:rsidRDefault="00574C9B" w14:paraId="650FEB70" w14:textId="77777777">
                      <w:pPr>
                        <w:jc w:val="center"/>
                      </w:pPr>
                      <w:r w:rsidRPr="00A12A49">
                        <w:rPr>
                          <w:rFonts w:ascii="Arial" w:hAnsi="Arial"/>
                          <w:b/>
                          <w:sz w:val="48"/>
                        </w:rPr>
                        <w:t>FR</w:t>
                      </w:r>
                    </w:p>
                  </w:txbxContent>
                </v:textbox>
                <w10:wrap anchorx="margin" anchory="page"/>
              </v:shape>
            </w:pict>
          </mc:Fallback>
        </mc:AlternateContent>
      </w:r>
    </w:p>
    <w:p w:rsidRPr="00A12A49" w:rsidR="00574C9B" w:rsidP="00574C9B" w:rsidRDefault="00574C9B" w14:paraId="338B5BF6" w14:textId="77777777"/>
    <w:p w:rsidRPr="00A12A49" w:rsidR="00574C9B" w:rsidP="00574C9B" w:rsidRDefault="00574C9B" w14:paraId="0453B61A" w14:textId="77777777">
      <w:pPr>
        <w:sectPr w:rsidRPr="00A12A49" w:rsidR="00574C9B" w:rsidSect="00A12A49">
          <w:headerReference w:type="even" r:id="rId11"/>
          <w:headerReference w:type="default" r:id="rId12"/>
          <w:footerReference w:type="even" r:id="rId13"/>
          <w:footerReference w:type="default" r:id="rId14"/>
          <w:headerReference w:type="first" r:id="rId15"/>
          <w:footerReference w:type="first" r:id="rId16"/>
          <w:pgSz w:w="11907" w:h="16839" w:code="9"/>
          <w:pgMar w:top="5669" w:right="1417" w:bottom="1417" w:left="1417" w:header="709" w:footer="709" w:gutter="0"/>
          <w:pgNumType w:start="1"/>
          <w:cols w:space="720"/>
          <w:docGrid w:linePitch="360"/>
        </w:sectP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Pr="00A12A49" w:rsidR="001C71F6" w14:paraId="31B2237A" w14:textId="77777777">
        <w:tc>
          <w:tcPr>
            <w:tcW w:w="3085" w:type="dxa"/>
          </w:tcPr>
          <w:p w:rsidRPr="00A12A49" w:rsidR="009F3486" w:rsidP="0058411F" w:rsidRDefault="009F3486" w14:paraId="1A7DC3BD" w14:textId="77777777">
            <w:pPr>
              <w:autoSpaceDE w:val="0"/>
              <w:autoSpaceDN w:val="0"/>
              <w:jc w:val="left"/>
              <w:rPr>
                <w:szCs w:val="20"/>
              </w:rPr>
            </w:pPr>
            <w:r w:rsidRPr="00A12A49">
              <w:lastRenderedPageBreak/>
              <w:t>Consultation</w:t>
            </w:r>
          </w:p>
        </w:tc>
        <w:tc>
          <w:tcPr>
            <w:tcW w:w="6204" w:type="dxa"/>
            <w:vAlign w:val="bottom"/>
          </w:tcPr>
          <w:p w:rsidRPr="00A12A49" w:rsidR="009F3486" w:rsidP="0058411F" w:rsidRDefault="00AE0B53" w14:paraId="65CAD74A" w14:textId="77777777">
            <w:pPr>
              <w:autoSpaceDE w:val="0"/>
              <w:autoSpaceDN w:val="0"/>
              <w:jc w:val="left"/>
            </w:pPr>
            <w:r w:rsidRPr="00A12A49">
              <w:t>Commission européenne, 1/10/2022</w:t>
            </w:r>
          </w:p>
        </w:tc>
      </w:tr>
      <w:tr w:rsidRPr="00A12A49" w:rsidR="001C71F6" w14:paraId="52CA4E7D" w14:textId="77777777">
        <w:tc>
          <w:tcPr>
            <w:tcW w:w="3085" w:type="dxa"/>
          </w:tcPr>
          <w:p w:rsidRPr="00A12A49" w:rsidR="00AC5114" w:rsidP="0058411F" w:rsidRDefault="00AC5114" w14:paraId="1A07C0E3" w14:textId="77777777">
            <w:pPr>
              <w:autoSpaceDE w:val="0"/>
              <w:autoSpaceDN w:val="0"/>
              <w:jc w:val="left"/>
              <w:rPr>
                <w:szCs w:val="20"/>
              </w:rPr>
            </w:pPr>
            <w:r w:rsidRPr="00A12A49">
              <w:t>Base juridique</w:t>
            </w:r>
          </w:p>
        </w:tc>
        <w:tc>
          <w:tcPr>
            <w:tcW w:w="6204" w:type="dxa"/>
            <w:vAlign w:val="bottom"/>
          </w:tcPr>
          <w:p w:rsidRPr="00A12A49" w:rsidR="00AC5114" w:rsidP="0058411F" w:rsidRDefault="00FB00F2" w14:paraId="367F7578" w14:textId="20246B05">
            <w:pPr>
              <w:autoSpaceDE w:val="0"/>
              <w:autoSpaceDN w:val="0"/>
              <w:jc w:val="left"/>
              <w:rPr>
                <w:szCs w:val="20"/>
              </w:rPr>
            </w:pPr>
            <w:r w:rsidRPr="00A12A49">
              <w:t>Article</w:t>
            </w:r>
            <w:r w:rsidRPr="00A12A49" w:rsidR="00AC5114">
              <w:t> 304 du traité sur le fonctionnement de l’Union européenne</w:t>
            </w:r>
          </w:p>
        </w:tc>
      </w:tr>
      <w:tr w:rsidRPr="00A12A49" w:rsidR="001C71F6" w14:paraId="1B8B6E47" w14:textId="77777777">
        <w:tc>
          <w:tcPr>
            <w:tcW w:w="3085" w:type="dxa"/>
          </w:tcPr>
          <w:p w:rsidRPr="00A12A49" w:rsidR="00AE0B53" w:rsidP="00AE0B53" w:rsidRDefault="00AE0B53" w14:paraId="3631FFB5" w14:textId="77777777">
            <w:pPr>
              <w:autoSpaceDE w:val="0"/>
              <w:autoSpaceDN w:val="0"/>
              <w:jc w:val="left"/>
            </w:pPr>
            <w:r w:rsidRPr="00A12A49">
              <w:t>Compétence</w:t>
            </w:r>
          </w:p>
        </w:tc>
        <w:tc>
          <w:tcPr>
            <w:tcW w:w="6204" w:type="dxa"/>
          </w:tcPr>
          <w:p w:rsidRPr="00A12A49" w:rsidR="00AE0B53" w:rsidP="00AE0B53" w:rsidRDefault="00FB00F2" w14:paraId="372B849E" w14:textId="6C6BBAA4">
            <w:pPr>
              <w:autoSpaceDE w:val="0"/>
              <w:autoSpaceDN w:val="0"/>
              <w:jc w:val="left"/>
            </w:pPr>
            <w:r w:rsidRPr="00A12A49">
              <w:t>Section</w:t>
            </w:r>
            <w:r w:rsidRPr="00A12A49" w:rsidR="00AE0B53">
              <w:t xml:space="preserve"> </w:t>
            </w:r>
            <w:r w:rsidRPr="00A12A49">
              <w:t>«</w:t>
            </w:r>
            <w:r w:rsidRPr="00A12A49" w:rsidR="00AE0B53">
              <w:t>Emploi, affaires sociales et citoyenneté</w:t>
            </w:r>
            <w:r w:rsidRPr="00A12A49">
              <w:t>»</w:t>
            </w:r>
          </w:p>
        </w:tc>
      </w:tr>
      <w:tr w:rsidRPr="00A12A49" w:rsidR="001C71F6" w14:paraId="0CE318B7" w14:textId="77777777">
        <w:tc>
          <w:tcPr>
            <w:tcW w:w="3085" w:type="dxa"/>
          </w:tcPr>
          <w:p w:rsidRPr="00A12A49" w:rsidR="00AE0B53" w:rsidP="00AE0B53" w:rsidRDefault="00AE0B53" w14:paraId="4F125B34" w14:textId="77777777">
            <w:pPr>
              <w:autoSpaceDE w:val="0"/>
              <w:autoSpaceDN w:val="0"/>
              <w:jc w:val="left"/>
            </w:pPr>
            <w:r w:rsidRPr="00A12A49">
              <w:t>Adoption en section</w:t>
            </w:r>
          </w:p>
        </w:tc>
        <w:tc>
          <w:tcPr>
            <w:tcW w:w="6204" w:type="dxa"/>
          </w:tcPr>
          <w:p w:rsidRPr="00A12A49" w:rsidR="00AE0B53" w:rsidP="00AE0B53" w:rsidRDefault="00AE0B53" w14:paraId="0E41C9B0" w14:textId="77777777">
            <w:pPr>
              <w:autoSpaceDE w:val="0"/>
              <w:autoSpaceDN w:val="0"/>
              <w:jc w:val="left"/>
            </w:pPr>
            <w:r w:rsidRPr="00A12A49">
              <w:t>12/4/2024</w:t>
            </w:r>
          </w:p>
        </w:tc>
      </w:tr>
      <w:tr w:rsidRPr="00A12A49" w:rsidR="001C71F6" w14:paraId="263EC68F" w14:textId="77777777">
        <w:tc>
          <w:tcPr>
            <w:tcW w:w="3085" w:type="dxa"/>
          </w:tcPr>
          <w:p w:rsidRPr="00A12A49" w:rsidR="000D5C61" w:rsidP="000D5C61" w:rsidRDefault="000D5C61" w14:paraId="7F37EBA9" w14:textId="77777777">
            <w:pPr>
              <w:autoSpaceDE w:val="0"/>
              <w:autoSpaceDN w:val="0"/>
              <w:jc w:val="left"/>
            </w:pPr>
            <w:r w:rsidRPr="00A12A49">
              <w:t>Adoption en session plénière</w:t>
            </w:r>
          </w:p>
        </w:tc>
        <w:tc>
          <w:tcPr>
            <w:tcW w:w="6204" w:type="dxa"/>
            <w:vAlign w:val="bottom"/>
          </w:tcPr>
          <w:p w:rsidRPr="00A12A49" w:rsidR="000D5C61" w:rsidP="000D5C61" w:rsidRDefault="000D5C61" w14:paraId="1F58A1AA" w14:textId="77777777">
            <w:pPr>
              <w:autoSpaceDE w:val="0"/>
              <w:autoSpaceDN w:val="0"/>
              <w:jc w:val="left"/>
            </w:pPr>
            <w:r w:rsidRPr="00A12A49">
              <w:t>24/4/2024</w:t>
            </w:r>
          </w:p>
        </w:tc>
      </w:tr>
      <w:tr w:rsidRPr="00A12A49" w:rsidR="001C71F6" w14:paraId="0887DB6C" w14:textId="77777777">
        <w:tc>
          <w:tcPr>
            <w:tcW w:w="3085" w:type="dxa"/>
          </w:tcPr>
          <w:p w:rsidRPr="00A12A49" w:rsidR="000D5C61" w:rsidP="000D5C61" w:rsidRDefault="000D5C61" w14:paraId="51542095" w14:textId="77777777">
            <w:pPr>
              <w:autoSpaceDE w:val="0"/>
              <w:autoSpaceDN w:val="0"/>
              <w:jc w:val="left"/>
            </w:pPr>
            <w:r w:rsidRPr="00A12A49">
              <w:t>Session plénière nº</w:t>
            </w:r>
          </w:p>
        </w:tc>
        <w:tc>
          <w:tcPr>
            <w:tcW w:w="6204" w:type="dxa"/>
            <w:vAlign w:val="bottom"/>
          </w:tcPr>
          <w:p w:rsidRPr="00A12A49" w:rsidR="000D5C61" w:rsidP="000D5C61" w:rsidRDefault="000D5C61" w14:paraId="2372DCA8" w14:textId="77777777">
            <w:pPr>
              <w:autoSpaceDE w:val="0"/>
              <w:autoSpaceDN w:val="0"/>
              <w:jc w:val="left"/>
            </w:pPr>
            <w:r w:rsidRPr="00A12A49">
              <w:t>587</w:t>
            </w:r>
          </w:p>
        </w:tc>
      </w:tr>
      <w:tr w:rsidRPr="00A12A49" w:rsidR="001C71F6" w14:paraId="5012227D" w14:textId="77777777">
        <w:tc>
          <w:tcPr>
            <w:tcW w:w="3085" w:type="dxa"/>
          </w:tcPr>
          <w:p w:rsidRPr="00A12A49" w:rsidR="0058411F" w:rsidP="0058411F" w:rsidRDefault="0058411F" w14:paraId="5EF96F29" w14:textId="77777777">
            <w:pPr>
              <w:autoSpaceDE w:val="0"/>
              <w:autoSpaceDN w:val="0"/>
              <w:jc w:val="left"/>
            </w:pPr>
            <w:r w:rsidRPr="00A12A49">
              <w:t>Résultat du vote</w:t>
            </w:r>
            <w:r w:rsidRPr="00A12A49">
              <w:br/>
              <w:t>(pour/contre/abstentions)</w:t>
            </w:r>
          </w:p>
        </w:tc>
        <w:tc>
          <w:tcPr>
            <w:tcW w:w="6204" w:type="dxa"/>
            <w:vAlign w:val="bottom"/>
          </w:tcPr>
          <w:p w:rsidRPr="00A12A49" w:rsidR="0058411F" w:rsidP="0058411F" w:rsidRDefault="000B2215" w14:paraId="222A6930" w14:textId="77777777">
            <w:pPr>
              <w:autoSpaceDE w:val="0"/>
              <w:autoSpaceDN w:val="0"/>
              <w:jc w:val="left"/>
            </w:pPr>
            <w:r w:rsidRPr="00A12A49">
              <w:t>132/0/0</w:t>
            </w:r>
          </w:p>
        </w:tc>
      </w:tr>
    </w:tbl>
    <w:p w:rsidRPr="00A12A49" w:rsidR="00AC5114" w:rsidP="00574C9B" w:rsidRDefault="00AC5114" w14:paraId="62C1FD42" w14:textId="77777777"/>
    <w:p w:rsidRPr="00A12A49" w:rsidR="00AC5114" w:rsidP="00574C9B" w:rsidRDefault="00AC5114" w14:paraId="471DC3BD" w14:textId="77777777">
      <w:pPr>
        <w:sectPr w:rsidRPr="00A12A49" w:rsidR="00AC5114" w:rsidSect="00A12A49">
          <w:headerReference w:type="even" r:id="rId17"/>
          <w:headerReference w:type="default" r:id="rId18"/>
          <w:footerReference w:type="even" r:id="rId19"/>
          <w:footerReference w:type="default" r:id="rId20"/>
          <w:headerReference w:type="first" r:id="rId21"/>
          <w:footerReference w:type="first" r:id="rId22"/>
          <w:pgSz w:w="11907" w:h="16839" w:code="9"/>
          <w:pgMar w:top="5669" w:right="1418" w:bottom="1418" w:left="1418" w:header="709" w:footer="709" w:gutter="0"/>
          <w:cols w:space="720"/>
          <w:docGrid w:linePitch="360"/>
        </w:sectPr>
      </w:pPr>
    </w:p>
    <w:p w:rsidRPr="00A12A49" w:rsidR="002A42BD" w:rsidP="002A42BD" w:rsidRDefault="002A42BD" w14:paraId="5BEAFFAD" w14:textId="77777777">
      <w:pPr>
        <w:pStyle w:val="Heading1"/>
        <w:keepNext/>
        <w:rPr>
          <w:b/>
          <w:bCs/>
        </w:rPr>
      </w:pPr>
      <w:r w:rsidRPr="00A12A49">
        <w:rPr>
          <w:b/>
        </w:rPr>
        <w:lastRenderedPageBreak/>
        <w:t>Introduction</w:t>
      </w:r>
    </w:p>
    <w:p w:rsidRPr="00A12A49" w:rsidR="002A42BD" w:rsidP="002A42BD" w:rsidRDefault="002A42BD" w14:paraId="615F7DC4" w14:textId="77777777"/>
    <w:p w:rsidRPr="00A12A49" w:rsidR="002A42BD" w:rsidP="002A42BD" w:rsidRDefault="002A42BD" w14:paraId="2768B3F4" w14:textId="77777777">
      <w:pPr>
        <w:pStyle w:val="Heading2"/>
      </w:pPr>
      <w:r w:rsidRPr="00A12A49">
        <w:t>Le présent rapport d’évaluation sur la mise en œuvre du Fonds social européen (FSE) au cours de la période 2014-2020 comprend la contribution du CESE au processus d’évaluation ex post mené actuellement par la Commission européenne sur la mise en œuvre de cet instrument. Le rapport d’évaluation du CESE s’attache avant tout à recueillir et à analyser les points de vue de la société civile organisée sur la mise en œuvre du FSE dans un échantillon d’États membres de l’UE.</w:t>
      </w:r>
    </w:p>
    <w:p w:rsidRPr="00A12A49" w:rsidR="002A42BD" w:rsidP="002A42BD" w:rsidRDefault="002A42BD" w14:paraId="76CC52C2" w14:textId="77777777"/>
    <w:p w:rsidRPr="00A12A49" w:rsidR="002A42BD" w:rsidP="002A42BD" w:rsidRDefault="002A42BD" w14:paraId="178FC262" w14:textId="2C3D52B9">
      <w:pPr>
        <w:pStyle w:val="Heading2"/>
      </w:pPr>
      <w:r w:rsidRPr="00A12A49">
        <w:t xml:space="preserve">Le FSE fut le premier instrument de financement de l’Union mis en place par le traité de Rome (1957) visant à </w:t>
      </w:r>
      <w:r w:rsidRPr="00A12A49" w:rsidR="00FB00F2">
        <w:t>«</w:t>
      </w:r>
      <w:r w:rsidRPr="00A12A49">
        <w:t>promouvoir […] les facilités d’emploi et la mobilité géographique et professionnelle des travailleurs, ainsi qu’à faciliter l’adaptation aux mutations industrielles et à l’évolution des systèmes de production, notamment par la formation et la reconversion professionnelles</w:t>
      </w:r>
      <w:r w:rsidRPr="00A12A49" w:rsidR="00FB00F2">
        <w:t>»</w:t>
      </w:r>
      <w:r w:rsidRPr="00A12A49">
        <w:t>. Le règlement (UE) nº 1304/2013 du 17 décembre 2013 établit les missions du Fonds social européen (FSE), comprenant l’initiative pour l’emploi des jeunes (IEJ), ainsi que le champ d’application de son soutien, des dispositions spécifiques et les types de dépenses pouvant faire l’objet d’une assistance.</w:t>
      </w:r>
    </w:p>
    <w:p w:rsidRPr="00A12A49" w:rsidR="002A42BD" w:rsidP="002A42BD" w:rsidRDefault="002A42BD" w14:paraId="0120DE48" w14:textId="77777777"/>
    <w:p w:rsidRPr="00A12A49" w:rsidR="002A42BD" w:rsidP="002A42BD" w:rsidRDefault="002A42BD" w14:paraId="64FC17DE" w14:textId="77777777">
      <w:pPr>
        <w:pStyle w:val="Heading2"/>
      </w:pPr>
      <w:r w:rsidRPr="00A12A49">
        <w:t>En vertu de la méthode d’évaluation du CESE, l’élaboration du présent rapport s’est appuyée sur les résultats de visites effectuées par des membres dans plusieurs pays et sur les réponses à un questionnaire en ligne publié dans les cinq États membres suivants: l’Espagne, l’Italie, les Pays-Bas, la Pologne et la République tchèque. Une annexe technique du présent rapport contient des informations détaillées sur les conclusions du questionnaire en ligne et les réunions tenues avec les parties prenantes des pays susmentionnés.</w:t>
      </w:r>
    </w:p>
    <w:p w:rsidRPr="00A12A49" w:rsidR="002A42BD" w:rsidP="002A42BD" w:rsidRDefault="002A42BD" w14:paraId="362C83D4" w14:textId="77777777"/>
    <w:p w:rsidRPr="00A12A49" w:rsidR="002A42BD" w:rsidP="002A42BD" w:rsidRDefault="002A42BD" w14:paraId="64CA3BB2" w14:textId="77777777">
      <w:pPr>
        <w:pStyle w:val="Heading2"/>
      </w:pPr>
      <w:r w:rsidRPr="00A12A49">
        <w:t>Les évaluations et avis exprimés dans le présent rapport sont ceux d’un ensemble représentatif d’organisations de la société civile (et d’autorités publiques) des États membres mentionnés. Ses recommandations expriment des avis partagés par une majorité des représentants des organisations de la société civile consultés.</w:t>
      </w:r>
    </w:p>
    <w:p w:rsidRPr="00A12A49" w:rsidR="002A42BD" w:rsidP="002A42BD" w:rsidRDefault="002A42BD" w14:paraId="3D611A25" w14:textId="77777777"/>
    <w:p w:rsidRPr="00A12A49" w:rsidR="002A42BD" w:rsidP="002A42BD" w:rsidRDefault="002A42BD" w14:paraId="5134C84B" w14:textId="77777777">
      <w:pPr>
        <w:pStyle w:val="Heading1"/>
        <w:keepNext/>
        <w:keepLines/>
        <w:rPr>
          <w:b/>
          <w:bCs/>
        </w:rPr>
      </w:pPr>
      <w:r w:rsidRPr="00A12A49">
        <w:rPr>
          <w:b/>
        </w:rPr>
        <w:t>Remarques liminaires</w:t>
      </w:r>
    </w:p>
    <w:p w:rsidRPr="00A12A49" w:rsidR="002A42BD" w:rsidP="002A42BD" w:rsidRDefault="002A42BD" w14:paraId="70F4D0B1" w14:textId="77777777">
      <w:pPr>
        <w:keepNext/>
        <w:keepLines/>
      </w:pPr>
    </w:p>
    <w:p w:rsidRPr="00A12A49" w:rsidR="002A42BD" w:rsidP="002A42BD" w:rsidRDefault="002A42BD" w14:paraId="7AF70245" w14:textId="77777777">
      <w:pPr>
        <w:pStyle w:val="Heading2"/>
      </w:pPr>
      <w:r w:rsidRPr="00A12A49">
        <w:t>67 organisations représentant des employeurs, des syndicats, des organisations de la société civile et de multiples autorités publiques aux niveaux national, régional et local ont été consultées lors des cinq visites dans les États membres et 51 contributions ont été recueillies grâce au questionnaire en ligne.</w:t>
      </w:r>
    </w:p>
    <w:p w:rsidRPr="00A12A49" w:rsidR="002A42BD" w:rsidP="002A42BD" w:rsidRDefault="002A42BD" w14:paraId="711F0786" w14:textId="77777777">
      <w:pPr>
        <w:pStyle w:val="Heading2"/>
        <w:numPr>
          <w:ilvl w:val="0"/>
          <w:numId w:val="0"/>
        </w:numPr>
      </w:pPr>
    </w:p>
    <w:p w:rsidRPr="00A12A49" w:rsidR="002A42BD" w:rsidP="002A42BD" w:rsidRDefault="002A42BD" w14:paraId="4E70A6A0" w14:textId="3384DD3D">
      <w:pPr>
        <w:pStyle w:val="Heading2"/>
      </w:pPr>
      <w:r w:rsidRPr="00A12A49">
        <w:t xml:space="preserve">12 représentants d’organisations de travailleurs (24 %), 12 représentants d’organisations de la société civile (24 %), 9 représentants d’organisations d’employeurs (18 %) et 18 répondants qui se classent comme </w:t>
      </w:r>
      <w:r w:rsidRPr="00A12A49" w:rsidR="00FB00F2">
        <w:t>«</w:t>
      </w:r>
      <w:r w:rsidRPr="00A12A49">
        <w:t>autres organisations</w:t>
      </w:r>
      <w:r w:rsidRPr="00A12A49" w:rsidR="00FB00F2">
        <w:t>»</w:t>
      </w:r>
      <w:r w:rsidRPr="00A12A49">
        <w:t xml:space="preserve"> (35 %) ont répondu au questionnaire en ligne. 35 % des répondants étaient originaires de République tchèque, 25 % d’Espagne, 22 % d’Italie, 10 % de Pologne et 8 % des Pays-Bas. </w:t>
      </w:r>
    </w:p>
    <w:p w:rsidRPr="00A12A49" w:rsidR="002A42BD" w:rsidP="002A42BD" w:rsidRDefault="002A42BD" w14:paraId="52B52735" w14:textId="77777777">
      <w:pPr>
        <w:pStyle w:val="Heading2"/>
        <w:numPr>
          <w:ilvl w:val="0"/>
          <w:numId w:val="0"/>
        </w:numPr>
      </w:pPr>
    </w:p>
    <w:p w:rsidRPr="00A12A49" w:rsidR="002A42BD" w:rsidP="00FF5A67" w:rsidRDefault="002A42BD" w14:paraId="0AAE095A" w14:textId="77777777">
      <w:pPr>
        <w:pStyle w:val="Heading2"/>
        <w:keepNext/>
        <w:keepLines/>
      </w:pPr>
      <w:r w:rsidRPr="00A12A49">
        <w:lastRenderedPageBreak/>
        <w:t xml:space="preserve">68 % des organisations qui ont répondu au questionnaire en ligne ont indiqué qu’elles bénéficient du programme du FSE ou de l’IEJ; 19 % ont déclaré être destinataires de mesures cofinancées par le FSE et 13 % qu’ils profitaient de mesures cofinancées par l’IEJ. </w:t>
      </w:r>
    </w:p>
    <w:p w:rsidRPr="00A12A49" w:rsidR="002A42BD" w:rsidP="00FF5A67" w:rsidRDefault="002A42BD" w14:paraId="51A98727" w14:textId="77777777">
      <w:pPr>
        <w:pStyle w:val="ListParagraph"/>
        <w:keepNext/>
        <w:keepLines/>
        <w:ind w:left="360"/>
      </w:pPr>
    </w:p>
    <w:p w:rsidRPr="00A12A49" w:rsidR="002A42BD" w:rsidP="00FF5A67" w:rsidRDefault="002A42BD" w14:paraId="6FB2CB9E" w14:textId="77777777">
      <w:pPr>
        <w:pStyle w:val="Heading2"/>
        <w:keepNext/>
        <w:keepLines/>
      </w:pPr>
      <w:r w:rsidRPr="00A12A49">
        <w:t xml:space="preserve">Plusieurs organisations sociales et organisations de la société civile ont souligné les difficultés que représente la complexité de la gestion du FSE; il y a lieu de simplifier les procédures administratives et nationales afin que les organisations plus modestes accèdent plus facilement aux programmes du Fonds. </w:t>
      </w:r>
    </w:p>
    <w:p w:rsidRPr="00A12A49" w:rsidR="002A42BD" w:rsidP="002A42BD" w:rsidRDefault="002A42BD" w14:paraId="393A4E2E" w14:textId="77777777">
      <w:pPr>
        <w:pStyle w:val="Heading2"/>
        <w:numPr>
          <w:ilvl w:val="0"/>
          <w:numId w:val="0"/>
        </w:numPr>
      </w:pPr>
    </w:p>
    <w:p w:rsidRPr="00A12A49" w:rsidR="002A42BD" w:rsidP="002A42BD" w:rsidRDefault="002A42BD" w14:paraId="0CD61634" w14:textId="690A4ECE">
      <w:pPr>
        <w:pStyle w:val="Heading2"/>
      </w:pPr>
      <w:r w:rsidRPr="00A12A49">
        <w:t>Le r</w:t>
      </w:r>
      <w:r w:rsidRPr="00A12A49" w:rsidR="00FB00F2">
        <w:t>ô</w:t>
      </w:r>
      <w:r w:rsidRPr="00A12A49">
        <w:t>le clé des partenaires sociaux a été mis en exergue, de même que la nécessité qu’ils soient davantage associés à la programmation, à la mise en œuvre et à l’évaluation du FSE, notamment en vue de promouvoir le dialogue social.</w:t>
      </w:r>
    </w:p>
    <w:p w:rsidRPr="00A12A49" w:rsidR="002A42BD" w:rsidP="002A42BD" w:rsidRDefault="002A42BD" w14:paraId="0C1E740E" w14:textId="77777777"/>
    <w:p w:rsidRPr="00A12A49" w:rsidR="002A42BD" w:rsidP="002A42BD" w:rsidRDefault="002A42BD" w14:paraId="0756E22E" w14:textId="77777777">
      <w:pPr>
        <w:pStyle w:val="Heading1"/>
        <w:keepNext/>
        <w:rPr>
          <w:b/>
          <w:bCs/>
        </w:rPr>
      </w:pPr>
      <w:r w:rsidRPr="00A12A49">
        <w:rPr>
          <w:b/>
        </w:rPr>
        <w:t>Conclusions concernant l’efficacité</w:t>
      </w:r>
    </w:p>
    <w:p w:rsidRPr="00A12A49" w:rsidR="002A42BD" w:rsidP="002A42BD" w:rsidRDefault="002A42BD" w14:paraId="2B2FAED1" w14:textId="77777777">
      <w:pPr>
        <w:keepNext/>
        <w:ind w:left="142" w:hanging="142"/>
        <w:jc w:val="left"/>
      </w:pPr>
    </w:p>
    <w:p w:rsidRPr="00A12A49" w:rsidR="002A42BD" w:rsidP="002A42BD" w:rsidRDefault="002A42BD" w14:paraId="5F5252ED" w14:textId="77777777">
      <w:pPr>
        <w:pStyle w:val="Heading2"/>
      </w:pPr>
      <w:r w:rsidRPr="00A12A49">
        <w:t>La plupart des répondants ont estimé que le FSE se concentrait sur le programme au titre de l’IEJ afin d’atteindre les objectifs thématiques de la politique européenne de cohésion. Ils ont notamment indiqué que le FSE s’attache à promouvoir l’emploi et à soutenir la mobilité de la main-d’œuvre, à favoriser l’inclusion sociale et à lutter contre la pauvreté, à investir dans l’éducation, les compétences et l’apprentissage tout au long de la vie ainsi qu’à renforcer les capacités des administrations publiques et l’assistance technique.</w:t>
      </w:r>
    </w:p>
    <w:p w:rsidRPr="00A12A49" w:rsidR="002A42BD" w:rsidP="002A42BD" w:rsidRDefault="002A42BD" w14:paraId="7444477B" w14:textId="77777777">
      <w:pPr>
        <w:pStyle w:val="Heading2"/>
        <w:numPr>
          <w:ilvl w:val="0"/>
          <w:numId w:val="0"/>
        </w:numPr>
      </w:pPr>
    </w:p>
    <w:p w:rsidRPr="00A12A49" w:rsidR="002A42BD" w:rsidP="002A42BD" w:rsidRDefault="002A42BD" w14:paraId="7A771D69" w14:textId="77777777">
      <w:pPr>
        <w:pStyle w:val="Heading2"/>
      </w:pPr>
      <w:r w:rsidRPr="00A12A49">
        <w:t>Plus de la moitié des personnes interrogées (55 %) pensaient que le FSE n’a que modérément contribué à la mise en œuvre du socle européen des droits sociaux, tandis que 6 % n’ont pas répondu ou jugeaient qu’il n’y avait pas contribué du tout. La plupart des répondants espagnols ont estimé que le FSE y avait largement contribué, tandis que certaines personnes interrogées aux Pays-Bas et en Pologne étaient d’avis que sa contribution était nulle.</w:t>
      </w:r>
    </w:p>
    <w:p w:rsidRPr="00A12A49" w:rsidR="002A42BD" w:rsidP="002A42BD" w:rsidRDefault="002A42BD" w14:paraId="46B03C5B" w14:textId="77777777">
      <w:pPr>
        <w:pStyle w:val="Heading2"/>
        <w:numPr>
          <w:ilvl w:val="0"/>
          <w:numId w:val="0"/>
        </w:numPr>
      </w:pPr>
    </w:p>
    <w:p w:rsidRPr="00A12A49" w:rsidR="002A42BD" w:rsidP="002A42BD" w:rsidRDefault="002A42BD" w14:paraId="72084898" w14:textId="77777777">
      <w:pPr>
        <w:pStyle w:val="Heading2"/>
      </w:pPr>
      <w:r w:rsidRPr="00A12A49">
        <w:t>55 % des répondants ont déclaré que le FSE soutenait dans une mesure importante ou modérée des mesures liées à l’esprit d’entreprise et au travail, ainsi qu’à la promotion et à l’innovation dans les PME.</w:t>
      </w:r>
    </w:p>
    <w:p w:rsidRPr="00A12A49" w:rsidR="002A42BD" w:rsidP="002A42BD" w:rsidRDefault="002A42BD" w14:paraId="42D5F1BE" w14:textId="77777777">
      <w:pPr>
        <w:pStyle w:val="Heading2"/>
        <w:numPr>
          <w:ilvl w:val="0"/>
          <w:numId w:val="0"/>
        </w:numPr>
      </w:pPr>
    </w:p>
    <w:p w:rsidRPr="00A12A49" w:rsidR="002A42BD" w:rsidP="002A42BD" w:rsidRDefault="002A42BD" w14:paraId="24A7F00D" w14:textId="77777777">
      <w:pPr>
        <w:pStyle w:val="Heading2"/>
      </w:pPr>
      <w:r w:rsidRPr="00A12A49">
        <w:t>La majorité des répondants ont déclaré que le FSE finançait des mesures visant à favoriser l’emploi des jeunes et des femmes. Seules 47 % des personnes interrogées estimaient que dans leur pays, le FSE avait contribué, dans une large mesure ou modérément, à l’investissement dans la promotion de l’équilibre entre vie professionnelle et vie privée.</w:t>
      </w:r>
    </w:p>
    <w:p w:rsidRPr="00A12A49" w:rsidR="002A42BD" w:rsidP="002A42BD" w:rsidRDefault="002A42BD" w14:paraId="59B0D705" w14:textId="77777777">
      <w:pPr>
        <w:pStyle w:val="Heading2"/>
        <w:numPr>
          <w:ilvl w:val="0"/>
          <w:numId w:val="0"/>
        </w:numPr>
      </w:pPr>
    </w:p>
    <w:p w:rsidRPr="00A12A49" w:rsidR="002A42BD" w:rsidP="002A42BD" w:rsidRDefault="002A42BD" w14:paraId="7035D2C6" w14:textId="77777777">
      <w:pPr>
        <w:pStyle w:val="Heading2"/>
      </w:pPr>
      <w:r w:rsidRPr="00A12A49">
        <w:t xml:space="preserve">73 % des répondants ont estimé qu’il existait des inadéquations entre l’offre et la demande de compétences dans leurs pays respectifs. Tous les répondants polonais et italiens ont affirmé qu’il existait un déséquilibre entre l’offre et la demande de compétences dans leur pays, contre 75 % pour les Pays-Bas, 61 % pour la République tchèque et 54 % pour l’Espagne. La majorité des répondants ont fait valoir que le FSE avait apporté une contribution modérée à l’investissement dans la formation technique supérieure. </w:t>
      </w:r>
    </w:p>
    <w:p w:rsidRPr="00A12A49" w:rsidR="002A42BD" w:rsidP="002A42BD" w:rsidRDefault="002A42BD" w14:paraId="5BE3EEB6" w14:textId="77777777">
      <w:pPr>
        <w:pStyle w:val="Heading2"/>
        <w:numPr>
          <w:ilvl w:val="0"/>
          <w:numId w:val="0"/>
        </w:numPr>
      </w:pPr>
    </w:p>
    <w:p w:rsidRPr="00A12A49" w:rsidR="002A42BD" w:rsidP="00FF5A67" w:rsidRDefault="002A42BD" w14:paraId="5249B4D3" w14:textId="77777777">
      <w:pPr>
        <w:pStyle w:val="Heading2"/>
        <w:keepNext/>
        <w:keepLines/>
      </w:pPr>
      <w:r w:rsidRPr="00A12A49">
        <w:lastRenderedPageBreak/>
        <w:t>64 % des répondants ont déclaré que dans leur pays, le FSE contribuait à atteindre l’objectif de 20 % d’investissements dans l’inclusion sociale et la lutte contre la pauvreté. On ne note pas de différences significatives entre les pays, à l’exception de l’Espagne, où la plupart des répondants (77 %) ont déclaré que de telles mesures prioritaires avaient été prises.</w:t>
      </w:r>
    </w:p>
    <w:p w:rsidRPr="00A12A49" w:rsidR="002A42BD" w:rsidP="002A42BD" w:rsidRDefault="002A42BD" w14:paraId="70AAF464" w14:textId="77777777">
      <w:pPr>
        <w:pStyle w:val="Heading2"/>
        <w:numPr>
          <w:ilvl w:val="0"/>
          <w:numId w:val="0"/>
        </w:numPr>
      </w:pPr>
    </w:p>
    <w:p w:rsidRPr="00A12A49" w:rsidR="002A42BD" w:rsidP="002A42BD" w:rsidRDefault="002A42BD" w14:paraId="696E9630" w14:textId="77777777">
      <w:pPr>
        <w:pStyle w:val="Heading2"/>
      </w:pPr>
      <w:r w:rsidRPr="00A12A49">
        <w:t>65 % des personnes interrogées ont indiqué que le FSE soutenait des actions en faveur des Roms, 57 % ont affirmé qu’il soutenait des actions en faveur des citoyens de pays tiers et 45 % ont répondu qu’il soutenait des actions en faveur des citoyens de l’UE provenant d’un ou de plusieurs autres États membres.</w:t>
      </w:r>
    </w:p>
    <w:p w:rsidRPr="00A12A49" w:rsidR="002A42BD" w:rsidP="002A42BD" w:rsidRDefault="002A42BD" w14:paraId="5284A500" w14:textId="77777777">
      <w:pPr>
        <w:pStyle w:val="Heading2"/>
        <w:numPr>
          <w:ilvl w:val="0"/>
          <w:numId w:val="0"/>
        </w:numPr>
      </w:pPr>
    </w:p>
    <w:p w:rsidRPr="00A12A49" w:rsidR="002A42BD" w:rsidP="002A42BD" w:rsidRDefault="002A42BD" w14:paraId="45BACA9D" w14:textId="77777777">
      <w:pPr>
        <w:pStyle w:val="Heading2"/>
      </w:pPr>
      <w:r w:rsidRPr="00A12A49">
        <w:t xml:space="preserve">36 % des répondants ont estimé que le FSE contribuait à financer des plans d’assainissement administratif afin de rendre l’administration publique plus efficiente et plus efficace en matière de programmation et d’utilisation des ressources européennes. </w:t>
      </w:r>
    </w:p>
    <w:p w:rsidRPr="00A12A49" w:rsidR="002A42BD" w:rsidP="002A42BD" w:rsidRDefault="002A42BD" w14:paraId="29FBCC2B" w14:textId="77777777"/>
    <w:p w:rsidRPr="00A12A49" w:rsidR="002A42BD" w:rsidP="002A42BD" w:rsidRDefault="002A42BD" w14:paraId="3BD44D03" w14:textId="77777777">
      <w:pPr>
        <w:pStyle w:val="Heading2"/>
      </w:pPr>
      <w:r w:rsidRPr="00A12A49">
        <w:t xml:space="preserve">Au cours de la mission en Italie, la majorité des organisations consultées, qui représentaient à la fois les employeurs et les syndicats, ont réaffirmé l’importance fondamentale que revêt la formation des travailleurs tout au long de la vie. Elles ont également déploré le fait que le financement consacré par les entreprises à la formation tout au long de la vie de leurs travailleurs soit exclu des règles applicables en matière d’aides d’État. </w:t>
      </w:r>
    </w:p>
    <w:p w:rsidRPr="00A12A49" w:rsidR="002A42BD" w:rsidP="002A42BD" w:rsidRDefault="002A42BD" w14:paraId="5A9B3931" w14:textId="77777777"/>
    <w:p w:rsidRPr="00A12A49" w:rsidR="002A42BD" w:rsidP="002A42BD" w:rsidRDefault="002A42BD" w14:paraId="0FEDE31F" w14:textId="77777777">
      <w:pPr>
        <w:pStyle w:val="Heading1"/>
        <w:keepNext/>
        <w:keepLines/>
        <w:rPr>
          <w:b/>
        </w:rPr>
      </w:pPr>
      <w:r w:rsidRPr="00A12A49">
        <w:rPr>
          <w:b/>
        </w:rPr>
        <w:t>Conclusions concernant la pertinence</w:t>
      </w:r>
    </w:p>
    <w:p w:rsidRPr="00A12A49" w:rsidR="002A42BD" w:rsidP="002A42BD" w:rsidRDefault="002A42BD" w14:paraId="342ED954" w14:textId="77777777">
      <w:pPr>
        <w:keepNext/>
        <w:keepLines/>
      </w:pPr>
    </w:p>
    <w:p w:rsidRPr="00A12A49" w:rsidR="002A42BD" w:rsidP="002A42BD" w:rsidRDefault="002A42BD" w14:paraId="045446C8" w14:textId="77777777">
      <w:pPr>
        <w:pStyle w:val="Heading2"/>
      </w:pPr>
      <w:r w:rsidRPr="00A12A49">
        <w:t>78 % des répondants ont déclaré que le FSE était totalement ou du moins modérément intégré dans le Fonds européen de développement régional (FEDER), tandis que 40 % n’ont pas pu évaluer l’intégration avec le Fonds européen agricole pour le développement rural (</w:t>
      </w:r>
      <w:proofErr w:type="spellStart"/>
      <w:r w:rsidRPr="00A12A49">
        <w:t>Feader</w:t>
      </w:r>
      <w:proofErr w:type="spellEnd"/>
      <w:r w:rsidRPr="00A12A49">
        <w:t xml:space="preserve">) ou le Fonds européen d’aide aux plus démunis (FEAD). En ce qui concerne le FEDER, près de 80 % des personnes interrogées ont indiqué qu’il était totalement ou du moins modérément intégré au FSE. Une approche </w:t>
      </w:r>
      <w:proofErr w:type="spellStart"/>
      <w:r w:rsidRPr="00A12A49">
        <w:t>plurifonds</w:t>
      </w:r>
      <w:proofErr w:type="spellEnd"/>
      <w:r w:rsidRPr="00A12A49">
        <w:t xml:space="preserve"> au niveau de la programmation est bienvenue.</w:t>
      </w:r>
    </w:p>
    <w:p w:rsidRPr="00A12A49" w:rsidR="002A42BD" w:rsidP="002A42BD" w:rsidRDefault="002A42BD" w14:paraId="302C2346" w14:textId="77777777"/>
    <w:p w:rsidRPr="00A12A49" w:rsidR="002A42BD" w:rsidP="002A42BD" w:rsidRDefault="002A42BD" w14:paraId="28520C3F" w14:textId="77777777">
      <w:pPr>
        <w:pStyle w:val="Heading2"/>
      </w:pPr>
      <w:r w:rsidRPr="00A12A49">
        <w:t>80 % des répondants ont estimé qu’il devrait y avoir une combinaison appropriée de programmes nationaux et régionaux pour la programmation du FSE. Seuls 14 % considéraient que les programmes nationaux étaient à eux seuls capables d’apporter des réponses adéquates aux besoins des citoyens, tandis que 29 % pensaient que seuls les programmes régionaux répondent de manière significative aux besoins des citoyens.</w:t>
      </w:r>
    </w:p>
    <w:p w:rsidRPr="00A12A49" w:rsidR="002A42BD" w:rsidP="002A42BD" w:rsidRDefault="002A42BD" w14:paraId="6EACA23A" w14:textId="77777777">
      <w:pPr>
        <w:pStyle w:val="Heading2"/>
        <w:numPr>
          <w:ilvl w:val="0"/>
          <w:numId w:val="0"/>
        </w:numPr>
      </w:pPr>
    </w:p>
    <w:p w:rsidRPr="00A12A49" w:rsidR="002A42BD" w:rsidP="002A42BD" w:rsidRDefault="002A42BD" w14:paraId="6FD88700" w14:textId="77777777">
      <w:pPr>
        <w:pStyle w:val="Heading2"/>
      </w:pPr>
      <w:r w:rsidRPr="00A12A49">
        <w:t>La majorité des personnes interrogées ont estimé que le FSE avait été largement ou modérément intégré dans le programme de l’IEJ. Cette évaluation globalement positive a été effectuée par tous types de répondants à l’exception des employeurs, dont une moitié ont donné une réponse négative et l’autre moitié une réponse positive.</w:t>
      </w:r>
    </w:p>
    <w:p w:rsidRPr="00A12A49" w:rsidR="002A42BD" w:rsidP="002A42BD" w:rsidRDefault="002A42BD" w14:paraId="60BFF59F" w14:textId="77777777"/>
    <w:p w:rsidRPr="00A12A49" w:rsidR="002A42BD" w:rsidP="002A42BD" w:rsidRDefault="002A42BD" w14:paraId="3F3EC0E2" w14:textId="1116D567">
      <w:pPr>
        <w:pStyle w:val="Heading2"/>
      </w:pPr>
      <w:r w:rsidRPr="00A12A49">
        <w:t xml:space="preserve">À la question de savoir s’il existait des synergies adéquates entre REACT-EU et le FSE, plus d’un tiers des personnes interrogées ont répondu par la négative, et seuls 22 % ont répondu </w:t>
      </w:r>
      <w:r w:rsidRPr="00A12A49" w:rsidR="00FB00F2">
        <w:t>«</w:t>
      </w:r>
      <w:r w:rsidRPr="00A12A49">
        <w:t>oui</w:t>
      </w:r>
      <w:r w:rsidRPr="00A12A49" w:rsidR="00FB00F2">
        <w:t>»</w:t>
      </w:r>
      <w:r w:rsidRPr="00A12A49">
        <w:t xml:space="preserve">. </w:t>
      </w:r>
    </w:p>
    <w:p w:rsidRPr="00A12A49" w:rsidR="002A42BD" w:rsidP="002A42BD" w:rsidRDefault="002A42BD" w14:paraId="657A7C0F" w14:textId="77777777">
      <w:pPr>
        <w:pStyle w:val="Heading2"/>
        <w:numPr>
          <w:ilvl w:val="0"/>
          <w:numId w:val="0"/>
        </w:numPr>
      </w:pPr>
    </w:p>
    <w:p w:rsidRPr="00A12A49" w:rsidR="002A42BD" w:rsidP="00FF5A67" w:rsidRDefault="002A42BD" w14:paraId="26F6431D" w14:textId="77777777">
      <w:pPr>
        <w:pStyle w:val="Heading2"/>
        <w:keepNext/>
        <w:keepLines/>
      </w:pPr>
      <w:r w:rsidRPr="00A12A49">
        <w:lastRenderedPageBreak/>
        <w:t xml:space="preserve">Interrogées sur la question de savoir si les parties intéressées savaient que le FSE soutenait des projets de coopération transfrontalière ou transnationale, un tiers des personnes interrogées ont déclaré ne pas pouvoir donner de réponse, tandis que 45 % ont déclaré que le FSE fournissait un tel soutien. </w:t>
      </w:r>
    </w:p>
    <w:p w:rsidRPr="00A12A49" w:rsidR="002A42BD" w:rsidP="002A42BD" w:rsidRDefault="002A42BD" w14:paraId="50796615" w14:textId="77777777">
      <w:pPr>
        <w:pStyle w:val="Heading2"/>
        <w:numPr>
          <w:ilvl w:val="0"/>
          <w:numId w:val="0"/>
        </w:numPr>
      </w:pPr>
    </w:p>
    <w:p w:rsidRPr="00A12A49" w:rsidR="002A42BD" w:rsidP="002A42BD" w:rsidRDefault="002A42BD" w14:paraId="5C4E1675" w14:textId="77777777">
      <w:pPr>
        <w:pStyle w:val="Heading2"/>
      </w:pPr>
      <w:r w:rsidRPr="00A12A49">
        <w:t xml:space="preserve">Environ la moitié des petits bénéficiaires, des PME et des microentreprises ont souligné la nécessité de simplifier les procédures d’accès aux possibilités offertes par le FSE. Les réponses reflétant une évaluation positive et négative étaient réparties de manière équilibrée. </w:t>
      </w:r>
    </w:p>
    <w:p w:rsidRPr="00A12A49" w:rsidR="002A42BD" w:rsidP="002A42BD" w:rsidRDefault="002A42BD" w14:paraId="3AC076BF" w14:textId="77777777">
      <w:pPr>
        <w:pStyle w:val="Heading2"/>
        <w:numPr>
          <w:ilvl w:val="0"/>
          <w:numId w:val="0"/>
        </w:numPr>
      </w:pPr>
    </w:p>
    <w:p w:rsidRPr="00A12A49" w:rsidR="002A42BD" w:rsidP="002A42BD" w:rsidRDefault="002A42BD" w14:paraId="04985AFA" w14:textId="77777777">
      <w:pPr>
        <w:pStyle w:val="Heading2"/>
      </w:pPr>
      <w:r w:rsidRPr="00A12A49">
        <w:t>L’une des questions portait sur la procédure du Semestre européen et sur la mesure dans laquelle le FSE a contribué à la mise en œuvre des recommandations spécifiques par pays. Les réponses ont formé un tableau contrasté: 37 % des personnes interrogées n’ont pas répondu à cette question et parmi celles qui l’ont fait, 49 % ont considéré que le FSE a fortement ou modérément contribué à la mise en œuvre des recommandations spécifiques par pays.</w:t>
      </w:r>
    </w:p>
    <w:p w:rsidRPr="00A12A49" w:rsidR="002A42BD" w:rsidP="002A42BD" w:rsidRDefault="002A42BD" w14:paraId="63E6D746" w14:textId="77777777"/>
    <w:p w:rsidRPr="00A12A49" w:rsidR="002A42BD" w:rsidP="002A42BD" w:rsidRDefault="002A42BD" w14:paraId="29DD89F3" w14:textId="77777777">
      <w:pPr>
        <w:pStyle w:val="Heading1"/>
        <w:keepNext/>
        <w:keepLines/>
        <w:rPr>
          <w:b/>
        </w:rPr>
      </w:pPr>
      <w:r w:rsidRPr="00A12A49">
        <w:rPr>
          <w:b/>
        </w:rPr>
        <w:t>Conclusions concernant la valeur ajoutée pour la société civile</w:t>
      </w:r>
    </w:p>
    <w:p w:rsidRPr="00A12A49" w:rsidR="002A42BD" w:rsidP="002A42BD" w:rsidRDefault="002A42BD" w14:paraId="3301E9DF" w14:textId="77777777">
      <w:pPr>
        <w:keepNext/>
        <w:keepLines/>
      </w:pPr>
    </w:p>
    <w:p w:rsidRPr="00A12A49" w:rsidR="002A42BD" w:rsidP="002A42BD" w:rsidRDefault="002A42BD" w14:paraId="6B75EB7F" w14:textId="77777777">
      <w:pPr>
        <w:pStyle w:val="Heading2"/>
      </w:pPr>
      <w:r w:rsidRPr="00A12A49">
        <w:t>80 % des répondants ont déclaré avoir été consultés, tandis que 57 % ont affirmé que les programmes du FSE avaient associé les partenaires sociaux et les organisations de la société civile à la conception des mesures dans leur pays.</w:t>
      </w:r>
    </w:p>
    <w:p w:rsidRPr="00A12A49" w:rsidR="002A42BD" w:rsidP="002A42BD" w:rsidRDefault="002A42BD" w14:paraId="25D85F06" w14:textId="77777777">
      <w:pPr>
        <w:pStyle w:val="Heading2"/>
        <w:numPr>
          <w:ilvl w:val="0"/>
          <w:numId w:val="0"/>
        </w:numPr>
      </w:pPr>
    </w:p>
    <w:p w:rsidRPr="00A12A49" w:rsidR="002A42BD" w:rsidP="002A42BD" w:rsidRDefault="002A42BD" w14:paraId="78C234A1" w14:textId="139947C7">
      <w:pPr>
        <w:pStyle w:val="Heading2"/>
      </w:pPr>
      <w:r w:rsidRPr="00A12A49">
        <w:t xml:space="preserve">À la question de savoir si les programmes du FSE sont conformes au code de conduite européen sur le partenariat en ce qui concerne la consultation des partenaires sociaux et des organisations de la société civile, la majorité des personnes interrogées ont répondu par l’affirmative. Cependant, nombre d’entre elles l’ignoraient ou n’ont pas répondu à cette question. 43 % des répondants ont répondu </w:t>
      </w:r>
      <w:r w:rsidRPr="00A12A49" w:rsidR="00FB00F2">
        <w:t>«</w:t>
      </w:r>
      <w:r w:rsidRPr="00A12A49">
        <w:t>oui</w:t>
      </w:r>
      <w:r w:rsidRPr="00A12A49" w:rsidR="00FB00F2">
        <w:t>»</w:t>
      </w:r>
      <w:r w:rsidRPr="00A12A49">
        <w:t xml:space="preserve">, 24 % </w:t>
      </w:r>
      <w:r w:rsidRPr="00A12A49" w:rsidR="00FB00F2">
        <w:t>«</w:t>
      </w:r>
      <w:r w:rsidRPr="00A12A49">
        <w:t>modérément</w:t>
      </w:r>
      <w:r w:rsidRPr="00A12A49" w:rsidR="00FB00F2">
        <w:t>»</w:t>
      </w:r>
      <w:r w:rsidRPr="00A12A49">
        <w:t xml:space="preserve">, 10 % ont estimé que la plupart des programmes du FSE ne le sont pas et 24 % n’ont pas répondu ou n’ont pas pu y répondre. </w:t>
      </w:r>
    </w:p>
    <w:p w:rsidRPr="00A12A49" w:rsidR="002A42BD" w:rsidP="002A42BD" w:rsidRDefault="002A42BD" w14:paraId="4D6A0151" w14:textId="77777777">
      <w:pPr>
        <w:pStyle w:val="Heading2"/>
        <w:numPr>
          <w:ilvl w:val="0"/>
          <w:numId w:val="0"/>
        </w:numPr>
      </w:pPr>
    </w:p>
    <w:p w:rsidRPr="00A12A49" w:rsidR="002A42BD" w:rsidP="002A42BD" w:rsidRDefault="002A42BD" w14:paraId="76C171F0" w14:textId="30699569">
      <w:pPr>
        <w:pStyle w:val="Heading2"/>
      </w:pPr>
      <w:r w:rsidRPr="00A12A49">
        <w:t xml:space="preserve">Interrogés sur le point de savoir si les avis des partenaires sociaux et d’autres organisations de la société civile ont été pris en compte par les comités de suivi, 24 % ont déclaré </w:t>
      </w:r>
      <w:r w:rsidRPr="00A12A49" w:rsidR="00FB00F2">
        <w:t>«</w:t>
      </w:r>
      <w:r w:rsidRPr="00A12A49">
        <w:t>oui</w:t>
      </w:r>
      <w:r w:rsidRPr="00A12A49" w:rsidR="00FB00F2">
        <w:t>»</w:t>
      </w:r>
      <w:r w:rsidRPr="00A12A49">
        <w:t xml:space="preserve">, 41 % </w:t>
      </w:r>
      <w:r w:rsidRPr="00A12A49" w:rsidR="00FB00F2">
        <w:t>«</w:t>
      </w:r>
      <w:r w:rsidRPr="00A12A49">
        <w:t>modérément</w:t>
      </w:r>
      <w:r w:rsidRPr="00A12A49" w:rsidR="00FB00F2">
        <w:t>»</w:t>
      </w:r>
      <w:r w:rsidRPr="00A12A49">
        <w:t xml:space="preserve">, 10 % </w:t>
      </w:r>
      <w:r w:rsidRPr="00A12A49" w:rsidR="00FB00F2">
        <w:t>«</w:t>
      </w:r>
      <w:r w:rsidRPr="00A12A49">
        <w:t>pour la plupart non</w:t>
      </w:r>
      <w:r w:rsidRPr="00A12A49" w:rsidR="00FB00F2">
        <w:t>»</w:t>
      </w:r>
      <w:r w:rsidRPr="00A12A49">
        <w:t xml:space="preserve"> et 25 % ne savaient pas. </w:t>
      </w:r>
    </w:p>
    <w:p w:rsidRPr="00A12A49" w:rsidR="002A42BD" w:rsidP="002A42BD" w:rsidRDefault="002A42BD" w14:paraId="763D0B81" w14:textId="77777777">
      <w:pPr>
        <w:pStyle w:val="Heading2"/>
        <w:numPr>
          <w:ilvl w:val="0"/>
          <w:numId w:val="0"/>
        </w:numPr>
      </w:pPr>
    </w:p>
    <w:p w:rsidRPr="00A12A49" w:rsidR="002A42BD" w:rsidP="00371F74" w:rsidRDefault="002A42BD" w14:paraId="1EEF55DE" w14:textId="1DD1D2E5">
      <w:pPr>
        <w:pStyle w:val="Heading2"/>
      </w:pPr>
      <w:r w:rsidRPr="00A12A49">
        <w:t xml:space="preserve">Seuls 16 % des répondants ont déclaré que les programmes du FSE avaient financé des projets de renforcement des capacités institutionnelles des partenaires sociaux et des organisations de la société civile, 24 % ont déclaré </w:t>
      </w:r>
      <w:r w:rsidRPr="00A12A49" w:rsidR="00FB00F2">
        <w:t>«</w:t>
      </w:r>
      <w:r w:rsidRPr="00A12A49">
        <w:t>modérément</w:t>
      </w:r>
      <w:r w:rsidRPr="00A12A49" w:rsidR="00FB00F2">
        <w:t>»</w:t>
      </w:r>
      <w:r w:rsidRPr="00A12A49">
        <w:t xml:space="preserve">, 29 % ont estimé que la plupart des programmes n’avaient pas financé de tels projets et 26 % ne savaient pas. </w:t>
      </w:r>
    </w:p>
    <w:p w:rsidRPr="00A12A49" w:rsidR="002A42BD" w:rsidP="002A42BD" w:rsidRDefault="002A42BD" w14:paraId="5EBDDED1" w14:textId="77777777">
      <w:pPr>
        <w:pStyle w:val="Heading2"/>
        <w:numPr>
          <w:ilvl w:val="0"/>
          <w:numId w:val="0"/>
        </w:numPr>
      </w:pPr>
    </w:p>
    <w:p w:rsidRPr="00A12A49" w:rsidR="002A42BD" w:rsidP="002A42BD" w:rsidRDefault="002A42BD" w14:paraId="3519E878" w14:textId="77777777">
      <w:pPr>
        <w:pStyle w:val="Heading2"/>
      </w:pPr>
      <w:r w:rsidRPr="00A12A49">
        <w:t>18 % des personnes interrogées ont indiqué que le FSE apportait une assistance technique aux partenaires sociaux et aux organisations de la société civile pour la soumission de projets, 30 % ont estimé que le FSE fournissait une assistance technique modérée, 20 % ont répondu que le soutien était limité et 12 % ont déclaré que le FSE ne finançait aucune assistance technique.</w:t>
      </w:r>
    </w:p>
    <w:p w:rsidRPr="00A12A49" w:rsidR="002A42BD" w:rsidP="002A42BD" w:rsidRDefault="002A42BD" w14:paraId="3DF816B1" w14:textId="77777777">
      <w:pPr>
        <w:pStyle w:val="Heading2"/>
        <w:numPr>
          <w:ilvl w:val="0"/>
          <w:numId w:val="0"/>
        </w:numPr>
      </w:pPr>
    </w:p>
    <w:p w:rsidRPr="00A12A49" w:rsidR="002A42BD" w:rsidP="002A42BD" w:rsidRDefault="002A42BD" w14:paraId="718B48A2" w14:textId="77777777">
      <w:pPr>
        <w:pStyle w:val="Heading2"/>
      </w:pPr>
      <w:r w:rsidRPr="00A12A49">
        <w:t>78 % des répondants ont jugé que la communication et l’information provenant des programmes du FSE étaient adéquates, tandis que 16 % ont déclaré que la communication et l’information étaient pour la plupart insuffisantes et seuls 4 % ont estimé qu’elles n’étaient pas adéquates du tout.</w:t>
      </w:r>
    </w:p>
    <w:p w:rsidRPr="00A12A49" w:rsidR="002A42BD" w:rsidP="002A42BD" w:rsidRDefault="002A42BD" w14:paraId="076E61DF" w14:textId="77777777"/>
    <w:p w:rsidRPr="00A12A49" w:rsidR="002A42BD" w:rsidP="002A42BD" w:rsidRDefault="002A42BD" w14:paraId="30AD5498" w14:textId="77777777">
      <w:pPr>
        <w:pStyle w:val="Heading1"/>
        <w:keepNext/>
        <w:keepLines/>
        <w:rPr>
          <w:b/>
        </w:rPr>
      </w:pPr>
      <w:r w:rsidRPr="00A12A49">
        <w:rPr>
          <w:b/>
        </w:rPr>
        <w:t>Recommandations</w:t>
      </w:r>
    </w:p>
    <w:p w:rsidRPr="00A12A49" w:rsidR="002A42BD" w:rsidP="002A42BD" w:rsidRDefault="002A42BD" w14:paraId="049327FC" w14:textId="77777777">
      <w:pPr>
        <w:keepNext/>
        <w:keepLines/>
      </w:pPr>
    </w:p>
    <w:p w:rsidRPr="00A12A49" w:rsidR="002A42BD" w:rsidP="002A42BD" w:rsidRDefault="002A42BD" w14:paraId="005530A4" w14:textId="0290C5CB">
      <w:pPr>
        <w:pStyle w:val="Heading2"/>
      </w:pPr>
      <w:r w:rsidRPr="00A12A49">
        <w:t>Le FSE a contribué à promouvoir l’employabilité, l’éducation et la formation et à lutter contre l’exclusion sociale. Il convient cependant de mettre davantage l’accent sur l’éducation.</w:t>
      </w:r>
    </w:p>
    <w:p w:rsidRPr="00A12A49" w:rsidR="002A42BD" w:rsidP="002A42BD" w:rsidRDefault="002A42BD" w14:paraId="5F37BCF9" w14:textId="6E123A11">
      <w:pPr>
        <w:pStyle w:val="Heading2"/>
      </w:pPr>
      <w:r w:rsidRPr="00A12A49">
        <w:t>Des investissements sont nécessaires pour résoudre les problèmes liés aux inadéquations entre l’offre et la demande sur le marché du travail, en particulier en ce qui concerne les femmes, les jeunes, les ch</w:t>
      </w:r>
      <w:r w:rsidRPr="00A12A49" w:rsidR="00FB00F2">
        <w:t>ô</w:t>
      </w:r>
      <w:r w:rsidRPr="00A12A49">
        <w:t>meurs de longue durée, les migrants et les plus vulnérables, y compris les personnes handicapées. Des ressources financières et humaines supplémentaires sont nécessaires pour renforcer les services publics de l’emploi. En outre, la participation durable des partenaires sociaux et des organisations de la société civile aiderait les pouvoirs publics à répondre aux besoins spécifiques des différents groupes de la société.</w:t>
      </w:r>
    </w:p>
    <w:p w:rsidRPr="00A12A49" w:rsidR="002A42BD" w:rsidP="002A42BD" w:rsidRDefault="002A42BD" w14:paraId="78597B8A" w14:textId="77777777"/>
    <w:p w:rsidRPr="00A12A49" w:rsidR="002A42BD" w:rsidP="002A42BD" w:rsidRDefault="002A42BD" w14:paraId="1BE5589E" w14:textId="77777777">
      <w:pPr>
        <w:pStyle w:val="Heading2"/>
      </w:pPr>
      <w:r w:rsidRPr="00A12A49">
        <w:t>Il convient d’investir davantage dans un système d’éducation et de formation inclusif et de grande qualité, en remédiant au déficit de compétences et au sous-emploi et en élargissant les possibilités de formation ainsi que les conditions de travail équitables pour les travailleurs exerçant de nouvelles formes d’emploi.</w:t>
      </w:r>
    </w:p>
    <w:p w:rsidRPr="00A12A49" w:rsidR="002A42BD" w:rsidP="002A42BD" w:rsidRDefault="002A42BD" w14:paraId="48856610" w14:textId="77777777"/>
    <w:p w:rsidRPr="00A12A49" w:rsidR="002A42BD" w:rsidP="002A42BD" w:rsidRDefault="002A42BD" w14:paraId="40A94449" w14:textId="77777777">
      <w:pPr>
        <w:pStyle w:val="Heading2"/>
      </w:pPr>
      <w:r w:rsidRPr="00A12A49">
        <w:t xml:space="preserve">L’apprentissage tout au long de la vie est un levier fondamental pour favoriser l’innovation et permettre aux travailleurs et aux employeurs de s’adapter aux changements qui sous-tendent les transitions numérique et écologique, et de surmonter la résistance naturelle au changement. C’est pourquoi la charte relative aux aides d’État doit être remaniée afin d’en exclure les fonds que les entreprises consacrent à la formation tout au long de la vie de leurs salariés. </w:t>
      </w:r>
    </w:p>
    <w:p w:rsidRPr="00A12A49" w:rsidR="002A42BD" w:rsidP="002A42BD" w:rsidRDefault="002A42BD" w14:paraId="38AD8182" w14:textId="77777777"/>
    <w:p w:rsidRPr="00A12A49" w:rsidR="002A42BD" w:rsidP="002A42BD" w:rsidRDefault="002A42BD" w14:paraId="734E1BA9" w14:textId="77777777">
      <w:pPr>
        <w:pStyle w:val="Heading2"/>
      </w:pPr>
      <w:r w:rsidRPr="00A12A49">
        <w:t xml:space="preserve">Le soutien à l’entrepreneuriat et au travail indépendant véritables est recommandé et devrait couvrir l’accès au crédit et à la formation financière. Une part adéquate des ressources du FSE devrait donc être affectée à des projets menés par des organisations de plus petite taille. </w:t>
      </w:r>
    </w:p>
    <w:p w:rsidRPr="00A12A49" w:rsidR="002A42BD" w:rsidP="002A42BD" w:rsidRDefault="002A42BD" w14:paraId="16880E85" w14:textId="77777777"/>
    <w:p w:rsidRPr="00A12A49" w:rsidR="002A42BD" w:rsidP="002A42BD" w:rsidRDefault="002A42BD" w14:paraId="7CA1BBFC" w14:textId="77777777">
      <w:pPr>
        <w:pStyle w:val="Heading2"/>
      </w:pPr>
      <w:r w:rsidRPr="00A12A49">
        <w:t xml:space="preserve">Les changements démographiques doivent être davantage pris en compte à l’avenir afin de garantir une protection sociale adéquate et durable pour tous, tout au long de la vie. </w:t>
      </w:r>
    </w:p>
    <w:p w:rsidRPr="00A12A49" w:rsidR="002A42BD" w:rsidP="002A42BD" w:rsidRDefault="002A42BD" w14:paraId="63B5B12D" w14:textId="77777777"/>
    <w:p w:rsidRPr="00A12A49" w:rsidR="002A42BD" w:rsidP="002A42BD" w:rsidRDefault="002A42BD" w14:paraId="4C5AE44A" w14:textId="77777777">
      <w:pPr>
        <w:pStyle w:val="Heading2"/>
      </w:pPr>
      <w:r w:rsidRPr="00A12A49">
        <w:t xml:space="preserve">Il est recommandé de consacrer des ressources aux services destinés aux enfants âgés de 0 à 6 ans afin d’améliorer l’offre à temps plein dans l’ensemble des écoles de tous les niveaux et de mettre en place des prestations supplémentaires dans les services de soins de longue durée. Ces services devraient être rendus accessibles et abordables pour les ménages à faibles revenus afin d’améliorer l’employabilité et l’intégration socio-économique des groupes marginalisés, y compris </w:t>
      </w:r>
      <w:proofErr w:type="gramStart"/>
      <w:r w:rsidRPr="00A12A49">
        <w:t>les sans-abri</w:t>
      </w:r>
      <w:proofErr w:type="gramEnd"/>
      <w:r w:rsidRPr="00A12A49">
        <w:t xml:space="preserve">, et de soutenir l’intégration des migrants. </w:t>
      </w:r>
    </w:p>
    <w:p w:rsidRPr="00A12A49" w:rsidR="002A42BD" w:rsidP="002A42BD" w:rsidRDefault="002A42BD" w14:paraId="55F4B5A9" w14:textId="77777777"/>
    <w:p w:rsidRPr="00A12A49" w:rsidR="002A42BD" w:rsidP="002A42BD" w:rsidRDefault="002A42BD" w14:paraId="27E9F8E0" w14:textId="77777777">
      <w:pPr>
        <w:pStyle w:val="Heading2"/>
      </w:pPr>
      <w:r w:rsidRPr="00A12A49">
        <w:t xml:space="preserve">L’accès aux services sociaux, de santé et de logement doit être facilité et des mesures doivent être prises pour rendre ces services abordables, durables et de qualité adéquate. Le FSE devrait soutenir les actions et initiatives de </w:t>
      </w:r>
      <w:proofErr w:type="spellStart"/>
      <w:r w:rsidRPr="00A12A49">
        <w:t>coplanification</w:t>
      </w:r>
      <w:proofErr w:type="spellEnd"/>
      <w:r w:rsidRPr="00A12A49">
        <w:t xml:space="preserve"> promues par les entités de l’économie sociale.</w:t>
      </w:r>
    </w:p>
    <w:p w:rsidRPr="00A12A49" w:rsidR="002A42BD" w:rsidP="002A42BD" w:rsidRDefault="002A42BD" w14:paraId="55FD731A" w14:textId="77777777"/>
    <w:p w:rsidRPr="00A12A49" w:rsidR="002A42BD" w:rsidP="002A42BD" w:rsidRDefault="002A42BD" w14:paraId="7735A274" w14:textId="77777777">
      <w:pPr>
        <w:pStyle w:val="Heading2"/>
      </w:pPr>
      <w:r w:rsidRPr="00A12A49">
        <w:t>Il y a lieu de poursuivre les mesures axées sur la gouvernance et la capacité administrative du secteur public afin de permettre aux administrations publiques de gérer de manière plus efficiente et plus efficace les fonds de cohésion européens.</w:t>
      </w:r>
    </w:p>
    <w:p w:rsidRPr="00A12A49" w:rsidR="002A42BD" w:rsidP="002A42BD" w:rsidRDefault="002A42BD" w14:paraId="5FA63F90" w14:textId="77777777"/>
    <w:p w:rsidRPr="00A12A49" w:rsidR="002A42BD" w:rsidP="002A42BD" w:rsidRDefault="002A42BD" w14:paraId="07E1683C" w14:textId="77777777">
      <w:pPr>
        <w:pStyle w:val="Heading2"/>
      </w:pPr>
      <w:r w:rsidRPr="00A12A49">
        <w:t xml:space="preserve">Les programmes du FSE doivent trouver un juste équilibre en ce qui concerne la gestion des programmes nationaux et régionaux, en veillant à éviter les doubles emplois. </w:t>
      </w:r>
    </w:p>
    <w:p w:rsidRPr="00A12A49" w:rsidR="002A42BD" w:rsidP="002A42BD" w:rsidRDefault="002A42BD" w14:paraId="6D686F01" w14:textId="77777777"/>
    <w:p w:rsidRPr="00A12A49" w:rsidR="002A42BD" w:rsidP="002A42BD" w:rsidRDefault="002A42BD" w14:paraId="5A7775D1" w14:textId="77777777">
      <w:pPr>
        <w:pStyle w:val="Heading2"/>
      </w:pPr>
      <w:r w:rsidRPr="00A12A49">
        <w:t xml:space="preserve">Afin d’éviter tout chevauchement ou double emploi entre les différents fonds et programmes européens, les autorités nationales doivent être encouragées à mettre en place une coordination adéquate afin d’identifier d’éventuelles synergies entre les programmes du FSE et d’autres programmes européens. </w:t>
      </w:r>
    </w:p>
    <w:p w:rsidRPr="00A12A49" w:rsidR="002A42BD" w:rsidP="002A42BD" w:rsidRDefault="002A42BD" w14:paraId="33EFC7E4" w14:textId="77777777"/>
    <w:p w:rsidRPr="00A12A49" w:rsidR="002A42BD" w:rsidP="002A42BD" w:rsidRDefault="002A42BD" w14:paraId="10D43E10" w14:textId="77777777">
      <w:pPr>
        <w:pStyle w:val="Heading2"/>
      </w:pPr>
      <w:r w:rsidRPr="00A12A49">
        <w:t xml:space="preserve">Il est recommandé de renforcer la synergie et la complémentarité des programmes financés par le FSE et le FEDER, le </w:t>
      </w:r>
      <w:proofErr w:type="spellStart"/>
      <w:r w:rsidRPr="00A12A49">
        <w:t>Feader</w:t>
      </w:r>
      <w:proofErr w:type="spellEnd"/>
      <w:r w:rsidRPr="00A12A49">
        <w:t xml:space="preserve"> et </w:t>
      </w:r>
      <w:proofErr w:type="spellStart"/>
      <w:r w:rsidRPr="00A12A49">
        <w:t>NextGenerationEU</w:t>
      </w:r>
      <w:proofErr w:type="spellEnd"/>
      <w:r w:rsidRPr="00A12A49">
        <w:t>. Cela contribuera également à combler les hiatus entre les périodes de programmation.</w:t>
      </w:r>
    </w:p>
    <w:p w:rsidRPr="00A12A49" w:rsidR="002A42BD" w:rsidP="002A42BD" w:rsidRDefault="002A42BD" w14:paraId="395DA32F" w14:textId="77777777"/>
    <w:p w:rsidRPr="00A12A49" w:rsidR="002A42BD" w:rsidP="002A42BD" w:rsidRDefault="002A42BD" w14:paraId="584A24D4" w14:textId="77777777">
      <w:pPr>
        <w:pStyle w:val="Heading2"/>
      </w:pPr>
      <w:r w:rsidRPr="00A12A49">
        <w:t>Les programmes cofinancés par le FSE doivent être intégrés dans le Semestre européen afin de répondre de manière équitable et solidaire aux principaux défis économiques et sociaux auxquels sont confrontés les États membres.</w:t>
      </w:r>
    </w:p>
    <w:p w:rsidRPr="00A12A49" w:rsidR="002A42BD" w:rsidP="002A42BD" w:rsidRDefault="002A42BD" w14:paraId="30FAF44C" w14:textId="77777777"/>
    <w:p w:rsidRPr="00A12A49" w:rsidR="002A42BD" w:rsidP="002A42BD" w:rsidRDefault="002A42BD" w14:paraId="267AC31B" w14:textId="77777777">
      <w:pPr>
        <w:pStyle w:val="Heading2"/>
      </w:pPr>
      <w:r w:rsidRPr="00A12A49">
        <w:t xml:space="preserve">Une participation réelle et substantielle des parties concernées est primordiale pour une mise en œuvre efficace de la politique de cohésion. Il est donc impératif que soient garantis la consultation structurée ainsi que l’engagement continu des partenaires sociaux et des organisations de la société civile à toutes les étapes de la mise en œuvre des programmes du FSE, de la programmation à la mise en œuvre, en passant par le suivi et l’évaluation, y compris les échanges de bonnes pratiques et d’expériences transfrontalières. </w:t>
      </w:r>
    </w:p>
    <w:p w:rsidRPr="00A12A49" w:rsidR="002A42BD" w:rsidP="002A42BD" w:rsidRDefault="002A42BD" w14:paraId="4E9B9ED3" w14:textId="77777777"/>
    <w:p w:rsidRPr="00A12A49" w:rsidR="002A42BD" w:rsidP="002A42BD" w:rsidRDefault="002A42BD" w14:paraId="4328F173" w14:textId="2A86971E">
      <w:pPr>
        <w:pStyle w:val="Heading2"/>
      </w:pPr>
      <w:r w:rsidRPr="00A12A49">
        <w:t>Le CESE souligne la nécessité d’intégrer de manière significative les contributions aux processus décisionnels. Les partenaires sociaux et les organisations de la société civile devraient se voir reconnaître un véritable r</w:t>
      </w:r>
      <w:r w:rsidRPr="00A12A49" w:rsidR="00FB00F2">
        <w:t>ô</w:t>
      </w:r>
      <w:r w:rsidRPr="00A12A49">
        <w:t xml:space="preserve">le au sein des comités de suivi, qui aille au-delà des exigences formelles. </w:t>
      </w:r>
    </w:p>
    <w:p w:rsidRPr="00A12A49" w:rsidR="002A42BD" w:rsidP="002A42BD" w:rsidRDefault="002A42BD" w14:paraId="14C398BB" w14:textId="77777777"/>
    <w:p w:rsidRPr="00A12A49" w:rsidR="002A42BD" w:rsidP="002A42BD" w:rsidRDefault="002A42BD" w14:paraId="2EC6EA25" w14:textId="77777777">
      <w:pPr>
        <w:pStyle w:val="Heading2"/>
      </w:pPr>
      <w:r w:rsidRPr="00A12A49">
        <w:t>Un financement adéquat du FSE est nécessaire pour améliorer la capacité des partenaires sociaux et des organisations de la société civile à renforcer le dialogue social et civil.</w:t>
      </w:r>
    </w:p>
    <w:p w:rsidRPr="00A12A49" w:rsidR="002A42BD" w:rsidP="002A42BD" w:rsidRDefault="002A42BD" w14:paraId="2011475D" w14:textId="77777777"/>
    <w:p w:rsidRPr="00A12A49" w:rsidR="002A42BD" w:rsidP="002A42BD" w:rsidRDefault="002A42BD" w14:paraId="51EB7DEC" w14:textId="77777777">
      <w:pPr>
        <w:pStyle w:val="Heading2"/>
      </w:pPr>
      <w:r w:rsidRPr="00A12A49">
        <w:t>Les partenaires sociaux et la société civile ne disposent parfois que de quelques jours pour contribuer à la prise de décision, ce qui peut compromettre leur participation. Il y a dès lors lieu de prolonger les délais impartis aux partenaires sociaux et aux organisations de la société civile pour exprimer leur point de vue.</w:t>
      </w:r>
    </w:p>
    <w:p w:rsidRPr="00A12A49" w:rsidR="002A42BD" w:rsidP="002A42BD" w:rsidRDefault="002A42BD" w14:paraId="524A96FB" w14:textId="77777777"/>
    <w:p w:rsidRPr="00A12A49" w:rsidR="002A42BD" w:rsidP="002A42BD" w:rsidRDefault="002A42BD" w14:paraId="128F09A2" w14:textId="77777777">
      <w:pPr>
        <w:pStyle w:val="Heading2"/>
      </w:pPr>
      <w:r w:rsidRPr="00A12A49">
        <w:t>La transparence de la communication fait partie intégrante de la programmation du FSE. Les parties prenantes tout comme le système de gestion des programmes opérationnels devraient donc améliorer leurs systèmes d’information et de communication, en évitant le jargon et les acronymes et en adoptant une approche moins bureaucratique.</w:t>
      </w:r>
    </w:p>
    <w:p w:rsidRPr="00A12A49" w:rsidR="002A42BD" w:rsidP="002A42BD" w:rsidRDefault="002A42BD" w14:paraId="1471354A" w14:textId="77777777"/>
    <w:p w:rsidRPr="00A12A49" w:rsidR="002A42BD" w:rsidP="002A42BD" w:rsidRDefault="002A42BD" w14:paraId="56161C84" w14:textId="77777777">
      <w:pPr>
        <w:pStyle w:val="Heading2"/>
      </w:pPr>
      <w:r w:rsidRPr="00A12A49">
        <w:t xml:space="preserve">La simplification des procédures correspond à un besoin permanent d’améliorer l’accès aux possibilités de financement pour les initiatives favorisant l’emploi, la formation et l’éducation ainsi que la lutte contre </w:t>
      </w:r>
      <w:proofErr w:type="gramStart"/>
      <w:r w:rsidRPr="00A12A49">
        <w:t>la pauvreté offertes</w:t>
      </w:r>
      <w:proofErr w:type="gramEnd"/>
      <w:r w:rsidRPr="00A12A49">
        <w:t xml:space="preserve"> par le FSE.</w:t>
      </w:r>
    </w:p>
    <w:p w:rsidRPr="00A12A49" w:rsidR="002A42BD" w:rsidP="002A42BD" w:rsidRDefault="002A42BD" w14:paraId="2950DC7B" w14:textId="77777777"/>
    <w:p w:rsidRPr="00A12A49" w:rsidR="002A42BD" w:rsidP="002A42BD" w:rsidRDefault="002A42BD" w14:paraId="1E271D13" w14:textId="77777777">
      <w:r w:rsidRPr="00A12A49">
        <w:lastRenderedPageBreak/>
        <w:t>Bruxelles, le 24 avril 2024</w:t>
      </w:r>
    </w:p>
    <w:p w:rsidRPr="00A12A49" w:rsidR="002A42BD" w:rsidP="002A42BD" w:rsidRDefault="002A42BD" w14:paraId="5D9312D4" w14:textId="77777777"/>
    <w:p w:rsidRPr="00A12A49" w:rsidR="002A42BD" w:rsidP="002A42BD" w:rsidRDefault="002A42BD" w14:paraId="6E46404E" w14:textId="77777777">
      <w:pPr>
        <w:jc w:val="left"/>
      </w:pPr>
    </w:p>
    <w:p w:rsidRPr="00A12A49" w:rsidR="002A42BD" w:rsidP="002A42BD" w:rsidRDefault="002A42BD" w14:paraId="181DE2C1" w14:textId="77777777">
      <w:pPr>
        <w:jc w:val="left"/>
      </w:pPr>
    </w:p>
    <w:p w:rsidRPr="00A12A49" w:rsidR="002A42BD" w:rsidP="002A42BD" w:rsidRDefault="002A42BD" w14:paraId="4D90C7AD" w14:textId="77777777">
      <w:pPr>
        <w:jc w:val="left"/>
      </w:pPr>
    </w:p>
    <w:p w:rsidRPr="00A12A49" w:rsidR="00373830" w:rsidP="002A42BD" w:rsidRDefault="00914286" w14:paraId="46490F37" w14:textId="60850612">
      <w:pPr>
        <w:jc w:val="left"/>
      </w:pPr>
      <w:r w:rsidRPr="00A12A49">
        <w:rPr>
          <w:i/>
        </w:rPr>
        <w:t>Le président du Comité économique et social européen</w:t>
      </w:r>
    </w:p>
    <w:p w:rsidRPr="00A12A49" w:rsidR="00914286" w:rsidP="002A42BD" w:rsidRDefault="00373830" w14:paraId="7BD982E0" w14:textId="77777777">
      <w:pPr>
        <w:jc w:val="left"/>
        <w:rPr>
          <w:kern w:val="28"/>
        </w:rPr>
      </w:pPr>
      <w:r w:rsidRPr="00A12A49">
        <w:t>Oliver RÖPKE</w:t>
      </w:r>
    </w:p>
    <w:p w:rsidRPr="00A12A49" w:rsidR="003B556B" w:rsidP="002A42BD" w:rsidRDefault="003B556B" w14:paraId="627EB9AB" w14:textId="77777777"/>
    <w:p w:rsidRPr="00A12A49" w:rsidR="00F53370" w:rsidP="00DB7F50" w:rsidRDefault="00E2376B" w14:paraId="32A5BD59" w14:textId="77777777">
      <w:pPr>
        <w:jc w:val="center"/>
      </w:pPr>
      <w:r w:rsidRPr="00A12A49">
        <w:t>_____________</w:t>
      </w:r>
    </w:p>
    <w:p w:rsidRPr="00A12A49" w:rsidR="003B556B" w:rsidP="00DB7F50" w:rsidRDefault="003B556B" w14:paraId="1B5DCC36" w14:textId="77777777">
      <w:pPr>
        <w:jc w:val="center"/>
      </w:pPr>
    </w:p>
    <w:sectPr w:rsidRPr="00A12A49" w:rsidR="003B556B" w:rsidSect="00A12A49">
      <w:headerReference w:type="even" r:id="rId23"/>
      <w:headerReference w:type="default" r:id="rId24"/>
      <w:footerReference w:type="even" r:id="rId25"/>
      <w:footerReference w:type="default" r:id="rId26"/>
      <w:headerReference w:type="first" r:id="rId27"/>
      <w:footerReference w:type="first" r:id="rId28"/>
      <w:pgSz w:w="11907" w:h="16839" w:code="9"/>
      <w:pgMar w:top="1418" w:right="1418" w:bottom="1418" w:left="1418"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C0698" w14:textId="77777777" w:rsidR="00337567" w:rsidRDefault="00337567" w:rsidP="00F53370">
      <w:pPr>
        <w:spacing w:line="240" w:lineRule="auto"/>
      </w:pPr>
      <w:r>
        <w:separator/>
      </w:r>
    </w:p>
  </w:endnote>
  <w:endnote w:type="continuationSeparator" w:id="0">
    <w:p w14:paraId="40EAFDB6" w14:textId="77777777" w:rsidR="00337567" w:rsidRDefault="00337567" w:rsidP="00F53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F68CC" w14:textId="77777777" w:rsidR="00BA3214" w:rsidRPr="00A12A49" w:rsidRDefault="00BA3214" w:rsidP="00A12A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A9032" w14:textId="040B0DAC" w:rsidR="00BA3214" w:rsidRPr="00A12A49" w:rsidRDefault="00A12A49" w:rsidP="00A12A49">
    <w:pPr>
      <w:pStyle w:val="Footer"/>
    </w:pPr>
    <w:r>
      <w:t xml:space="preserve">SOC/754 – EESC-2023-02717-00-00-RE-TRA (EN) </w:t>
    </w:r>
    <w:r>
      <w:fldChar w:fldCharType="begin"/>
    </w:r>
    <w:r>
      <w:instrText xml:space="preserve"> PAGE  \* Arabic  \* MERGEFORMAT </w:instrText>
    </w:r>
    <w:r>
      <w:fldChar w:fldCharType="separate"/>
    </w:r>
    <w:r>
      <w:rPr>
        <w:noProof/>
      </w:rPr>
      <w:t>1</w:t>
    </w:r>
    <w:r>
      <w:fldChar w:fldCharType="end"/>
    </w:r>
    <w:r>
      <w:t>/</w:t>
    </w:r>
    <w:r>
      <w:fldChar w:fldCharType="begin"/>
    </w:r>
    <w:r>
      <w:instrText xml:space="preserve"> = </w:instrText>
    </w:r>
    <w:fldSimple w:instr=" NUMPAGES ">
      <w:r w:rsidR="00535C7E">
        <w:rPr>
          <w:noProof/>
        </w:rPr>
        <w:instrText>9</w:instrText>
      </w:r>
    </w:fldSimple>
    <w:r>
      <w:instrText xml:space="preserve"> -0 </w:instrText>
    </w:r>
    <w:r>
      <w:fldChar w:fldCharType="separate"/>
    </w:r>
    <w:r w:rsidR="00535C7E">
      <w:rPr>
        <w:noProof/>
      </w:rP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C6667" w14:textId="77777777" w:rsidR="00BA3214" w:rsidRPr="00A12A49" w:rsidRDefault="00BA3214" w:rsidP="00A12A4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1C65E" w14:textId="77777777" w:rsidR="00A12A49" w:rsidRPr="00A12A49" w:rsidRDefault="00A12A49" w:rsidP="00A12A4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77D7A" w14:textId="7FEB851C" w:rsidR="00574C9B" w:rsidRPr="00A12A49" w:rsidRDefault="00A12A49" w:rsidP="00A12A49">
    <w:pPr>
      <w:pStyle w:val="Footer"/>
    </w:pPr>
    <w:r>
      <w:t xml:space="preserve">SOC/754 – EESC-2023-02717-00-00-RE-TRA (EN) </w:t>
    </w:r>
    <w:r>
      <w:fldChar w:fldCharType="begin"/>
    </w:r>
    <w:r>
      <w:instrText xml:space="preserve"> PAGE  \* Arabic  \* MERGEFORMAT </w:instrText>
    </w:r>
    <w:r>
      <w:fldChar w:fldCharType="separate"/>
    </w:r>
    <w:r>
      <w:rPr>
        <w:noProof/>
      </w:rPr>
      <w:t>2</w:t>
    </w:r>
    <w:r>
      <w:fldChar w:fldCharType="end"/>
    </w:r>
    <w:r>
      <w:t>/</w:t>
    </w:r>
    <w:r>
      <w:fldChar w:fldCharType="begin"/>
    </w:r>
    <w:r>
      <w:instrText xml:space="preserve"> = </w:instrText>
    </w:r>
    <w:fldSimple w:instr=" NUMPAGES ">
      <w:r w:rsidR="00535C7E">
        <w:rPr>
          <w:noProof/>
        </w:rPr>
        <w:instrText>9</w:instrText>
      </w:r>
    </w:fldSimple>
    <w:r>
      <w:instrText xml:space="preserve"> -0 </w:instrText>
    </w:r>
    <w:r>
      <w:fldChar w:fldCharType="separate"/>
    </w:r>
    <w:r w:rsidR="00535C7E">
      <w:rPr>
        <w:noProof/>
      </w:rPr>
      <w:t>9</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1FA1E" w14:textId="77777777" w:rsidR="00A12A49" w:rsidRPr="00A12A49" w:rsidRDefault="00A12A49" w:rsidP="00A12A4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0AC91" w14:textId="77777777" w:rsidR="00A12A49" w:rsidRPr="00A12A49" w:rsidRDefault="00A12A49" w:rsidP="00A12A4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E707C" w14:textId="0328FAF6" w:rsidR="0084105C" w:rsidRPr="00A12A49" w:rsidRDefault="00A12A49" w:rsidP="00A12A49">
    <w:pPr>
      <w:pStyle w:val="Footer"/>
    </w:pPr>
    <w:r>
      <w:t xml:space="preserve">SOC/754 – EESC-2023-02717-00-00-RE-TRA (EN) </w:t>
    </w:r>
    <w:r>
      <w:fldChar w:fldCharType="begin"/>
    </w:r>
    <w:r>
      <w:instrText xml:space="preserve"> PAGE  \* Arabic  \* MERGEFORMAT </w:instrText>
    </w:r>
    <w:r>
      <w:fldChar w:fldCharType="separate"/>
    </w:r>
    <w:r>
      <w:rPr>
        <w:noProof/>
      </w:rPr>
      <w:t>7</w:t>
    </w:r>
    <w:r>
      <w:fldChar w:fldCharType="end"/>
    </w:r>
    <w:r>
      <w:t>/</w:t>
    </w:r>
    <w:r>
      <w:fldChar w:fldCharType="begin"/>
    </w:r>
    <w:r>
      <w:instrText xml:space="preserve"> = </w:instrText>
    </w:r>
    <w:fldSimple w:instr=" NUMPAGES ">
      <w:r w:rsidR="00535C7E">
        <w:rPr>
          <w:noProof/>
        </w:rPr>
        <w:instrText>9</w:instrText>
      </w:r>
    </w:fldSimple>
    <w:r>
      <w:instrText xml:space="preserve"> -0 </w:instrText>
    </w:r>
    <w:r>
      <w:fldChar w:fldCharType="separate"/>
    </w:r>
    <w:r w:rsidR="00535C7E">
      <w:rPr>
        <w:noProof/>
      </w:rPr>
      <w:t>9</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7EBBE" w14:textId="77777777" w:rsidR="00A12A49" w:rsidRPr="00A12A49" w:rsidRDefault="00A12A49" w:rsidP="00A12A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EA663" w14:textId="77777777" w:rsidR="00337567" w:rsidRDefault="00337567" w:rsidP="00F53370">
      <w:pPr>
        <w:spacing w:line="240" w:lineRule="auto"/>
      </w:pPr>
      <w:r>
        <w:separator/>
      </w:r>
    </w:p>
  </w:footnote>
  <w:footnote w:type="continuationSeparator" w:id="0">
    <w:p w14:paraId="7989FBCB" w14:textId="77777777" w:rsidR="00337567" w:rsidRDefault="00337567" w:rsidP="00F533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40B1E" w14:textId="303572A2" w:rsidR="00574C9B" w:rsidRPr="00A12A49" w:rsidRDefault="00574C9B" w:rsidP="00A12A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1491B" w14:textId="6A01762F" w:rsidR="00574C9B" w:rsidRPr="00A12A49" w:rsidRDefault="00574C9B" w:rsidP="00A12A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A84C0" w14:textId="0D7B6FDF" w:rsidR="00574C9B" w:rsidRPr="00A12A49" w:rsidRDefault="00574C9B" w:rsidP="00A12A4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15F31" w14:textId="5BC532E7" w:rsidR="00574C9B" w:rsidRPr="00A12A49" w:rsidRDefault="00574C9B" w:rsidP="00A12A4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3CB43" w14:textId="7C2EBA59" w:rsidR="00574C9B" w:rsidRPr="00A12A49" w:rsidRDefault="00574C9B" w:rsidP="00A12A4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DE471" w14:textId="373EB83D" w:rsidR="00574C9B" w:rsidRPr="00A12A49" w:rsidRDefault="00574C9B" w:rsidP="00A12A4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3F416" w14:textId="375BDCA6" w:rsidR="004871B8" w:rsidRPr="00A12A49" w:rsidRDefault="004871B8" w:rsidP="00A12A4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DD7BA" w14:textId="7B1A4BB3" w:rsidR="00FA08F8" w:rsidRPr="00A12A49" w:rsidRDefault="00136233" w:rsidP="00A12A4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61539" w14:textId="5A2C9343" w:rsidR="004871B8" w:rsidRPr="00A12A49" w:rsidRDefault="004871B8" w:rsidP="00A12A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DDCE010"/>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1D73DDC"/>
    <w:multiLevelType w:val="hybridMultilevel"/>
    <w:tmpl w:val="41C44C58"/>
    <w:lvl w:ilvl="0" w:tplc="055864F4">
      <w:start w:val="2"/>
      <w:numFmt w:val="bullet"/>
      <w:lvlText w:val="-"/>
      <w:lvlJc w:val="left"/>
      <w:pPr>
        <w:ind w:left="720" w:hanging="360"/>
      </w:pPr>
      <w:rPr>
        <w:rFonts w:ascii="Times New Roman" w:eastAsia="Times New Roman" w:hAnsi="Times New Roman" w:cs="Times New Roman" w:hint="default"/>
        <w:color w:val="00000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A56E6"/>
    <w:multiLevelType w:val="hybridMultilevel"/>
    <w:tmpl w:val="EDD0C48C"/>
    <w:lvl w:ilvl="0" w:tplc="E4C614EE">
      <w:start w:val="1"/>
      <w:numFmt w:val="bullet"/>
      <w:lvlText w:val=""/>
      <w:lvlJc w:val="left"/>
      <w:pPr>
        <w:ind w:left="720" w:hanging="360"/>
      </w:pPr>
      <w:rPr>
        <w:rFonts w:ascii="Symbol" w:hAnsi="Symbol" w:hint="default"/>
        <w:color w:val="00000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274C44"/>
    <w:multiLevelType w:val="hybridMultilevel"/>
    <w:tmpl w:val="29120AA2"/>
    <w:lvl w:ilvl="0" w:tplc="E4C614E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8D4F90"/>
    <w:multiLevelType w:val="hybridMultilevel"/>
    <w:tmpl w:val="08DC5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801C5"/>
    <w:multiLevelType w:val="hybridMultilevel"/>
    <w:tmpl w:val="146021AA"/>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6B63C6A"/>
    <w:multiLevelType w:val="hybridMultilevel"/>
    <w:tmpl w:val="D7B6F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ED0CA8"/>
    <w:multiLevelType w:val="hybridMultilevel"/>
    <w:tmpl w:val="E0E44CCA"/>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 w15:restartNumberingAfterBreak="0">
    <w:nsid w:val="2C0A495B"/>
    <w:multiLevelType w:val="hybridMultilevel"/>
    <w:tmpl w:val="C8D08698"/>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3345160B"/>
    <w:multiLevelType w:val="hybridMultilevel"/>
    <w:tmpl w:val="973E8F8A"/>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4957EAC"/>
    <w:multiLevelType w:val="hybridMultilevel"/>
    <w:tmpl w:val="CF7071B4"/>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49C7F31"/>
    <w:multiLevelType w:val="hybridMultilevel"/>
    <w:tmpl w:val="A992DE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BE9219D"/>
    <w:multiLevelType w:val="hybridMultilevel"/>
    <w:tmpl w:val="66C05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702815"/>
    <w:multiLevelType w:val="hybridMultilevel"/>
    <w:tmpl w:val="BD46BE84"/>
    <w:lvl w:ilvl="0" w:tplc="0809000B">
      <w:start w:val="1"/>
      <w:numFmt w:val="bullet"/>
      <w:lvlText w:val=""/>
      <w:lvlJc w:val="left"/>
      <w:pPr>
        <w:ind w:left="1080" w:hanging="360"/>
      </w:pPr>
      <w:rPr>
        <w:rFonts w:ascii="Wingdings" w:hAnsi="Wingdings"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4" w15:restartNumberingAfterBreak="0">
    <w:nsid w:val="4C965DE4"/>
    <w:multiLevelType w:val="hybridMultilevel"/>
    <w:tmpl w:val="C60EAF62"/>
    <w:lvl w:ilvl="0" w:tplc="30164A3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4C993E93"/>
    <w:multiLevelType w:val="hybridMultilevel"/>
    <w:tmpl w:val="B46C1910"/>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EA66FF8"/>
    <w:multiLevelType w:val="hybridMultilevel"/>
    <w:tmpl w:val="DF545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A84A9C"/>
    <w:multiLevelType w:val="hybridMultilevel"/>
    <w:tmpl w:val="EDECF78E"/>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573C7356"/>
    <w:multiLevelType w:val="hybridMultilevel"/>
    <w:tmpl w:val="F1B42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2C2ED1"/>
    <w:multiLevelType w:val="hybridMultilevel"/>
    <w:tmpl w:val="8D8CBC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0DA47F1"/>
    <w:multiLevelType w:val="hybridMultilevel"/>
    <w:tmpl w:val="4D74E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C63BBA"/>
    <w:multiLevelType w:val="hybridMultilevel"/>
    <w:tmpl w:val="FF62FE4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661B67E6"/>
    <w:multiLevelType w:val="hybridMultilevel"/>
    <w:tmpl w:val="4554F7C0"/>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6B8F0B23"/>
    <w:multiLevelType w:val="hybridMultilevel"/>
    <w:tmpl w:val="C2A6D576"/>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7B955F8D"/>
    <w:multiLevelType w:val="hybridMultilevel"/>
    <w:tmpl w:val="C7D6DA66"/>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4"/>
  </w:num>
  <w:num w:numId="5">
    <w:abstractNumId w:val="1"/>
  </w:num>
  <w:num w:numId="6">
    <w:abstractNumId w:val="19"/>
  </w:num>
  <w:num w:numId="7">
    <w:abstractNumId w:val="6"/>
  </w:num>
  <w:num w:numId="8">
    <w:abstractNumId w:val="24"/>
  </w:num>
  <w:num w:numId="9">
    <w:abstractNumId w:val="11"/>
  </w:num>
  <w:num w:numId="10">
    <w:abstractNumId w:val="21"/>
  </w:num>
  <w:num w:numId="11">
    <w:abstractNumId w:val="7"/>
  </w:num>
  <w:num w:numId="12">
    <w:abstractNumId w:val="4"/>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23"/>
  </w:num>
  <w:num w:numId="16">
    <w:abstractNumId w:val="17"/>
  </w:num>
  <w:num w:numId="17">
    <w:abstractNumId w:val="10"/>
  </w:num>
  <w:num w:numId="18">
    <w:abstractNumId w:val="5"/>
  </w:num>
  <w:num w:numId="19">
    <w:abstractNumId w:val="9"/>
  </w:num>
  <w:num w:numId="20">
    <w:abstractNumId w:val="18"/>
  </w:num>
  <w:num w:numId="21">
    <w:abstractNumId w:val="20"/>
  </w:num>
  <w:num w:numId="22">
    <w:abstractNumId w:val="12"/>
  </w:num>
  <w:num w:numId="23">
    <w:abstractNumId w:val="22"/>
  </w:num>
  <w:num w:numId="24">
    <w:abstractNumId w:val="15"/>
  </w:num>
  <w:num w:numId="25">
    <w:abstractNumId w:val="8"/>
  </w:num>
  <w:num w:numId="26">
    <w:abstractNumId w:val="2"/>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370"/>
    <w:rsid w:val="00020389"/>
    <w:rsid w:val="00030E2A"/>
    <w:rsid w:val="00053D00"/>
    <w:rsid w:val="000A0F3B"/>
    <w:rsid w:val="000B2215"/>
    <w:rsid w:val="000D5C61"/>
    <w:rsid w:val="00136233"/>
    <w:rsid w:val="001534B1"/>
    <w:rsid w:val="0019231D"/>
    <w:rsid w:val="001955B6"/>
    <w:rsid w:val="001C71F6"/>
    <w:rsid w:val="001D61AC"/>
    <w:rsid w:val="001E15AA"/>
    <w:rsid w:val="001E3FA1"/>
    <w:rsid w:val="00200E87"/>
    <w:rsid w:val="00206D14"/>
    <w:rsid w:val="00214BDC"/>
    <w:rsid w:val="00215E81"/>
    <w:rsid w:val="0024727F"/>
    <w:rsid w:val="002A42BD"/>
    <w:rsid w:val="002A63E0"/>
    <w:rsid w:val="002B6A7B"/>
    <w:rsid w:val="002F03F9"/>
    <w:rsid w:val="003353D7"/>
    <w:rsid w:val="00337567"/>
    <w:rsid w:val="003567D4"/>
    <w:rsid w:val="003659F9"/>
    <w:rsid w:val="00371F74"/>
    <w:rsid w:val="00373830"/>
    <w:rsid w:val="003B556B"/>
    <w:rsid w:val="003D3052"/>
    <w:rsid w:val="00401DE5"/>
    <w:rsid w:val="004104B1"/>
    <w:rsid w:val="00452CAF"/>
    <w:rsid w:val="004871B8"/>
    <w:rsid w:val="00535C7E"/>
    <w:rsid w:val="00574C9B"/>
    <w:rsid w:val="0058411F"/>
    <w:rsid w:val="005D3C92"/>
    <w:rsid w:val="005E2695"/>
    <w:rsid w:val="006125A1"/>
    <w:rsid w:val="00627409"/>
    <w:rsid w:val="0063214A"/>
    <w:rsid w:val="00653E7D"/>
    <w:rsid w:val="00662207"/>
    <w:rsid w:val="00667F09"/>
    <w:rsid w:val="006B57A6"/>
    <w:rsid w:val="006D53A6"/>
    <w:rsid w:val="00770815"/>
    <w:rsid w:val="00787837"/>
    <w:rsid w:val="00787ABB"/>
    <w:rsid w:val="007B6C64"/>
    <w:rsid w:val="00822952"/>
    <w:rsid w:val="00836505"/>
    <w:rsid w:val="00844B87"/>
    <w:rsid w:val="00870584"/>
    <w:rsid w:val="0089251B"/>
    <w:rsid w:val="008A6DD4"/>
    <w:rsid w:val="008A7731"/>
    <w:rsid w:val="008F74D7"/>
    <w:rsid w:val="00904C42"/>
    <w:rsid w:val="00913FA7"/>
    <w:rsid w:val="00914286"/>
    <w:rsid w:val="00914683"/>
    <w:rsid w:val="00924C05"/>
    <w:rsid w:val="00931C1C"/>
    <w:rsid w:val="00937CF2"/>
    <w:rsid w:val="00976645"/>
    <w:rsid w:val="00976F77"/>
    <w:rsid w:val="0098228C"/>
    <w:rsid w:val="009B01EB"/>
    <w:rsid w:val="009E2100"/>
    <w:rsid w:val="009E51ED"/>
    <w:rsid w:val="009F3486"/>
    <w:rsid w:val="00A12A49"/>
    <w:rsid w:val="00A310E1"/>
    <w:rsid w:val="00A36AB0"/>
    <w:rsid w:val="00A52104"/>
    <w:rsid w:val="00AB37A3"/>
    <w:rsid w:val="00AC5114"/>
    <w:rsid w:val="00AE0B53"/>
    <w:rsid w:val="00AE4D0B"/>
    <w:rsid w:val="00AF50F0"/>
    <w:rsid w:val="00AF6603"/>
    <w:rsid w:val="00B24518"/>
    <w:rsid w:val="00B25683"/>
    <w:rsid w:val="00B51901"/>
    <w:rsid w:val="00B970E8"/>
    <w:rsid w:val="00BA3214"/>
    <w:rsid w:val="00BD50F6"/>
    <w:rsid w:val="00BF2AD4"/>
    <w:rsid w:val="00C073E1"/>
    <w:rsid w:val="00C24F0A"/>
    <w:rsid w:val="00C25647"/>
    <w:rsid w:val="00C65696"/>
    <w:rsid w:val="00C66AEA"/>
    <w:rsid w:val="00C9040A"/>
    <w:rsid w:val="00C91E4D"/>
    <w:rsid w:val="00CB110A"/>
    <w:rsid w:val="00CB7CD0"/>
    <w:rsid w:val="00CD0E3A"/>
    <w:rsid w:val="00CD26C9"/>
    <w:rsid w:val="00CF34D6"/>
    <w:rsid w:val="00D039AF"/>
    <w:rsid w:val="00D72198"/>
    <w:rsid w:val="00D95232"/>
    <w:rsid w:val="00DB7F50"/>
    <w:rsid w:val="00DE30C7"/>
    <w:rsid w:val="00DF400F"/>
    <w:rsid w:val="00E15BF4"/>
    <w:rsid w:val="00E2376B"/>
    <w:rsid w:val="00E26935"/>
    <w:rsid w:val="00E27707"/>
    <w:rsid w:val="00E52B04"/>
    <w:rsid w:val="00E60496"/>
    <w:rsid w:val="00E661B7"/>
    <w:rsid w:val="00E938AF"/>
    <w:rsid w:val="00E939B7"/>
    <w:rsid w:val="00EF1C31"/>
    <w:rsid w:val="00F2069F"/>
    <w:rsid w:val="00F53370"/>
    <w:rsid w:val="00F90BE2"/>
    <w:rsid w:val="00FB00F2"/>
    <w:rsid w:val="00FC0CEA"/>
    <w:rsid w:val="00FF5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14:docId w14:val="503D4697"/>
  <w15:chartTrackingRefBased/>
  <w15:docId w15:val="{D381F634-0C15-4454-8DBD-75C4E885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C9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F53370"/>
    <w:pPr>
      <w:numPr>
        <w:numId w:val="1"/>
      </w:numPr>
      <w:ind w:left="567" w:hanging="567"/>
      <w:outlineLvl w:val="0"/>
    </w:pPr>
    <w:rPr>
      <w:kern w:val="28"/>
    </w:rPr>
  </w:style>
  <w:style w:type="paragraph" w:styleId="Heading2">
    <w:name w:val="heading 2"/>
    <w:basedOn w:val="Normal"/>
    <w:next w:val="Normal"/>
    <w:link w:val="Heading2Char"/>
    <w:qFormat/>
    <w:rsid w:val="00F53370"/>
    <w:pPr>
      <w:numPr>
        <w:ilvl w:val="1"/>
        <w:numId w:val="1"/>
      </w:numPr>
      <w:ind w:left="567" w:hanging="567"/>
      <w:outlineLvl w:val="1"/>
    </w:pPr>
  </w:style>
  <w:style w:type="paragraph" w:styleId="Heading3">
    <w:name w:val="heading 3"/>
    <w:basedOn w:val="Normal"/>
    <w:next w:val="Normal"/>
    <w:link w:val="Heading3Char"/>
    <w:qFormat/>
    <w:rsid w:val="00F53370"/>
    <w:pPr>
      <w:numPr>
        <w:ilvl w:val="2"/>
        <w:numId w:val="1"/>
      </w:numPr>
      <w:ind w:left="567" w:hanging="567"/>
      <w:outlineLvl w:val="2"/>
    </w:pPr>
  </w:style>
  <w:style w:type="paragraph" w:styleId="Heading4">
    <w:name w:val="heading 4"/>
    <w:basedOn w:val="Normal"/>
    <w:next w:val="Normal"/>
    <w:link w:val="Heading4Char"/>
    <w:qFormat/>
    <w:rsid w:val="00F53370"/>
    <w:pPr>
      <w:numPr>
        <w:ilvl w:val="3"/>
        <w:numId w:val="1"/>
      </w:numPr>
      <w:ind w:left="567" w:hanging="567"/>
      <w:outlineLvl w:val="3"/>
    </w:pPr>
  </w:style>
  <w:style w:type="paragraph" w:styleId="Heading5">
    <w:name w:val="heading 5"/>
    <w:basedOn w:val="Normal"/>
    <w:next w:val="Normal"/>
    <w:link w:val="Heading5Char"/>
    <w:qFormat/>
    <w:rsid w:val="00F53370"/>
    <w:pPr>
      <w:numPr>
        <w:ilvl w:val="4"/>
        <w:numId w:val="1"/>
      </w:numPr>
      <w:ind w:left="567" w:hanging="567"/>
      <w:outlineLvl w:val="4"/>
    </w:pPr>
  </w:style>
  <w:style w:type="paragraph" w:styleId="Heading6">
    <w:name w:val="heading 6"/>
    <w:basedOn w:val="Normal"/>
    <w:next w:val="Normal"/>
    <w:link w:val="Heading6Char"/>
    <w:qFormat/>
    <w:rsid w:val="00F53370"/>
    <w:pPr>
      <w:numPr>
        <w:ilvl w:val="5"/>
        <w:numId w:val="1"/>
      </w:numPr>
      <w:ind w:left="567" w:hanging="567"/>
      <w:outlineLvl w:val="5"/>
    </w:pPr>
  </w:style>
  <w:style w:type="paragraph" w:styleId="Heading7">
    <w:name w:val="heading 7"/>
    <w:basedOn w:val="Normal"/>
    <w:next w:val="Normal"/>
    <w:link w:val="Heading7Char"/>
    <w:qFormat/>
    <w:rsid w:val="00F53370"/>
    <w:pPr>
      <w:numPr>
        <w:ilvl w:val="6"/>
        <w:numId w:val="1"/>
      </w:numPr>
      <w:ind w:left="567" w:hanging="567"/>
      <w:outlineLvl w:val="6"/>
    </w:pPr>
  </w:style>
  <w:style w:type="paragraph" w:styleId="Heading8">
    <w:name w:val="heading 8"/>
    <w:basedOn w:val="Normal"/>
    <w:next w:val="Normal"/>
    <w:link w:val="Heading8Char"/>
    <w:qFormat/>
    <w:rsid w:val="00F53370"/>
    <w:pPr>
      <w:numPr>
        <w:ilvl w:val="7"/>
        <w:numId w:val="1"/>
      </w:numPr>
      <w:ind w:left="567" w:hanging="567"/>
      <w:outlineLvl w:val="7"/>
    </w:pPr>
  </w:style>
  <w:style w:type="paragraph" w:styleId="Heading9">
    <w:name w:val="heading 9"/>
    <w:basedOn w:val="Normal"/>
    <w:next w:val="Normal"/>
    <w:link w:val="Heading9Char"/>
    <w:qFormat/>
    <w:rsid w:val="00F5337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370"/>
    <w:rPr>
      <w:rFonts w:ascii="Times New Roman" w:eastAsia="Times New Roman" w:hAnsi="Times New Roman" w:cs="Times New Roman"/>
      <w:kern w:val="28"/>
    </w:rPr>
  </w:style>
  <w:style w:type="character" w:customStyle="1" w:styleId="Heading2Char">
    <w:name w:val="Heading 2 Char"/>
    <w:basedOn w:val="DefaultParagraphFont"/>
    <w:link w:val="Heading2"/>
    <w:rsid w:val="00F53370"/>
    <w:rPr>
      <w:rFonts w:ascii="Times New Roman" w:eastAsia="Times New Roman" w:hAnsi="Times New Roman" w:cs="Times New Roman"/>
    </w:rPr>
  </w:style>
  <w:style w:type="character" w:customStyle="1" w:styleId="Heading3Char">
    <w:name w:val="Heading 3 Char"/>
    <w:basedOn w:val="DefaultParagraphFont"/>
    <w:link w:val="Heading3"/>
    <w:rsid w:val="00F53370"/>
    <w:rPr>
      <w:rFonts w:ascii="Times New Roman" w:eastAsia="Times New Roman" w:hAnsi="Times New Roman" w:cs="Times New Roman"/>
    </w:rPr>
  </w:style>
  <w:style w:type="character" w:customStyle="1" w:styleId="Heading4Char">
    <w:name w:val="Heading 4 Char"/>
    <w:basedOn w:val="DefaultParagraphFont"/>
    <w:link w:val="Heading4"/>
    <w:rsid w:val="00F53370"/>
    <w:rPr>
      <w:rFonts w:ascii="Times New Roman" w:eastAsia="Times New Roman" w:hAnsi="Times New Roman" w:cs="Times New Roman"/>
    </w:rPr>
  </w:style>
  <w:style w:type="character" w:customStyle="1" w:styleId="Heading5Char">
    <w:name w:val="Heading 5 Char"/>
    <w:basedOn w:val="DefaultParagraphFont"/>
    <w:link w:val="Heading5"/>
    <w:rsid w:val="00F53370"/>
    <w:rPr>
      <w:rFonts w:ascii="Times New Roman" w:eastAsia="Times New Roman" w:hAnsi="Times New Roman" w:cs="Times New Roman"/>
    </w:rPr>
  </w:style>
  <w:style w:type="character" w:customStyle="1" w:styleId="Heading6Char">
    <w:name w:val="Heading 6 Char"/>
    <w:basedOn w:val="DefaultParagraphFont"/>
    <w:link w:val="Heading6"/>
    <w:rsid w:val="00F53370"/>
    <w:rPr>
      <w:rFonts w:ascii="Times New Roman" w:eastAsia="Times New Roman" w:hAnsi="Times New Roman" w:cs="Times New Roman"/>
    </w:rPr>
  </w:style>
  <w:style w:type="character" w:customStyle="1" w:styleId="Heading7Char">
    <w:name w:val="Heading 7 Char"/>
    <w:basedOn w:val="DefaultParagraphFont"/>
    <w:link w:val="Heading7"/>
    <w:rsid w:val="00F53370"/>
    <w:rPr>
      <w:rFonts w:ascii="Times New Roman" w:eastAsia="Times New Roman" w:hAnsi="Times New Roman" w:cs="Times New Roman"/>
    </w:rPr>
  </w:style>
  <w:style w:type="character" w:customStyle="1" w:styleId="Heading8Char">
    <w:name w:val="Heading 8 Char"/>
    <w:basedOn w:val="DefaultParagraphFont"/>
    <w:link w:val="Heading8"/>
    <w:rsid w:val="00F53370"/>
    <w:rPr>
      <w:rFonts w:ascii="Times New Roman" w:eastAsia="Times New Roman" w:hAnsi="Times New Roman" w:cs="Times New Roman"/>
    </w:rPr>
  </w:style>
  <w:style w:type="character" w:customStyle="1" w:styleId="Heading9Char">
    <w:name w:val="Heading 9 Char"/>
    <w:basedOn w:val="DefaultParagraphFont"/>
    <w:link w:val="Heading9"/>
    <w:rsid w:val="00F53370"/>
    <w:rPr>
      <w:rFonts w:ascii="Times New Roman" w:eastAsia="Times New Roman" w:hAnsi="Times New Roman" w:cs="Times New Roman"/>
    </w:rPr>
  </w:style>
  <w:style w:type="paragraph" w:styleId="Footer">
    <w:name w:val="footer"/>
    <w:basedOn w:val="Normal"/>
    <w:link w:val="FooterChar"/>
    <w:qFormat/>
    <w:rsid w:val="00F53370"/>
  </w:style>
  <w:style w:type="character" w:customStyle="1" w:styleId="FooterChar">
    <w:name w:val="Footer Char"/>
    <w:basedOn w:val="DefaultParagraphFont"/>
    <w:link w:val="Footer"/>
    <w:rsid w:val="00F53370"/>
    <w:rPr>
      <w:rFonts w:ascii="Times New Roman" w:eastAsia="Times New Roman" w:hAnsi="Times New Roman" w:cs="Times New Roman"/>
    </w:rPr>
  </w:style>
  <w:style w:type="paragraph" w:styleId="FootnoteText">
    <w:name w:val="footnote text"/>
    <w:basedOn w:val="Normal"/>
    <w:link w:val="FootnoteTextChar"/>
    <w:uiPriority w:val="99"/>
    <w:qFormat/>
    <w:rsid w:val="00F53370"/>
    <w:pPr>
      <w:keepLines/>
      <w:spacing w:after="60" w:line="240" w:lineRule="auto"/>
      <w:ind w:left="567" w:hanging="567"/>
    </w:pPr>
    <w:rPr>
      <w:sz w:val="16"/>
    </w:rPr>
  </w:style>
  <w:style w:type="character" w:customStyle="1" w:styleId="FootnoteTextChar">
    <w:name w:val="Footnote Text Char"/>
    <w:basedOn w:val="DefaultParagraphFont"/>
    <w:link w:val="FootnoteText"/>
    <w:uiPriority w:val="99"/>
    <w:rsid w:val="00F53370"/>
    <w:rPr>
      <w:rFonts w:ascii="Times New Roman" w:eastAsia="Times New Roman" w:hAnsi="Times New Roman" w:cs="Times New Roman"/>
      <w:sz w:val="16"/>
    </w:rPr>
  </w:style>
  <w:style w:type="paragraph" w:styleId="Header">
    <w:name w:val="header"/>
    <w:basedOn w:val="Normal"/>
    <w:link w:val="HeaderChar"/>
    <w:qFormat/>
    <w:rsid w:val="00F53370"/>
  </w:style>
  <w:style w:type="character" w:customStyle="1" w:styleId="HeaderChar">
    <w:name w:val="Header Char"/>
    <w:basedOn w:val="DefaultParagraphFont"/>
    <w:link w:val="Header"/>
    <w:rsid w:val="00F53370"/>
    <w:rPr>
      <w:rFonts w:ascii="Times New Roman" w:eastAsia="Times New Roman" w:hAnsi="Times New Roman" w:cs="Times New Roman"/>
    </w:rPr>
  </w:style>
  <w:style w:type="paragraph" w:customStyle="1" w:styleId="quotes">
    <w:name w:val="quotes"/>
    <w:basedOn w:val="Normal"/>
    <w:next w:val="Normal"/>
    <w:rsid w:val="00F53370"/>
    <w:pPr>
      <w:ind w:left="720"/>
    </w:pPr>
    <w:rPr>
      <w:i/>
    </w:rPr>
  </w:style>
  <w:style w:type="character" w:styleId="FootnoteReference">
    <w:name w:val="footnote reference"/>
    <w:basedOn w:val="DefaultParagraphFont"/>
    <w:uiPriority w:val="99"/>
    <w:unhideWhenUsed/>
    <w:qFormat/>
    <w:rsid w:val="00F53370"/>
    <w:rPr>
      <w:sz w:val="24"/>
      <w:vertAlign w:val="superscript"/>
    </w:rPr>
  </w:style>
  <w:style w:type="table" w:styleId="TableGrid">
    <w:name w:val="Table Grid"/>
    <w:basedOn w:val="TableNormal"/>
    <w:uiPriority w:val="59"/>
    <w:rsid w:val="00F53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A6DD4"/>
    <w:rPr>
      <w:color w:val="0000FF"/>
      <w:u w:val="single"/>
    </w:rPr>
  </w:style>
  <w:style w:type="character" w:styleId="CommentReference">
    <w:name w:val="annotation reference"/>
    <w:basedOn w:val="DefaultParagraphFont"/>
    <w:semiHidden/>
    <w:unhideWhenUsed/>
    <w:rsid w:val="00976F77"/>
    <w:rPr>
      <w:sz w:val="16"/>
      <w:szCs w:val="16"/>
    </w:rPr>
  </w:style>
  <w:style w:type="paragraph" w:styleId="CommentText">
    <w:name w:val="annotation text"/>
    <w:basedOn w:val="Normal"/>
    <w:link w:val="CommentTextChar"/>
    <w:unhideWhenUsed/>
    <w:rsid w:val="00976F77"/>
    <w:pPr>
      <w:spacing w:line="240" w:lineRule="auto"/>
    </w:pPr>
    <w:rPr>
      <w:sz w:val="20"/>
      <w:szCs w:val="20"/>
    </w:rPr>
  </w:style>
  <w:style w:type="character" w:customStyle="1" w:styleId="CommentTextChar">
    <w:name w:val="Comment Text Char"/>
    <w:basedOn w:val="DefaultParagraphFont"/>
    <w:link w:val="CommentText"/>
    <w:rsid w:val="00976F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976F77"/>
    <w:rPr>
      <w:b/>
      <w:bCs/>
    </w:rPr>
  </w:style>
  <w:style w:type="character" w:customStyle="1" w:styleId="CommentSubjectChar">
    <w:name w:val="Comment Subject Char"/>
    <w:basedOn w:val="CommentTextChar"/>
    <w:link w:val="CommentSubject"/>
    <w:semiHidden/>
    <w:rsid w:val="00976F77"/>
    <w:rPr>
      <w:rFonts w:ascii="Times New Roman" w:eastAsia="Times New Roman" w:hAnsi="Times New Roman" w:cs="Times New Roman"/>
      <w:b/>
      <w:bCs/>
      <w:sz w:val="20"/>
      <w:szCs w:val="20"/>
    </w:rPr>
  </w:style>
  <w:style w:type="paragraph" w:styleId="Revision">
    <w:name w:val="Revision"/>
    <w:hidden/>
    <w:uiPriority w:val="99"/>
    <w:semiHidden/>
    <w:rsid w:val="00976F77"/>
    <w:pPr>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76F77"/>
    <w:pPr>
      <w:spacing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976F77"/>
    <w:rPr>
      <w:rFonts w:ascii="Segoe UI" w:eastAsia="Times New Roman" w:hAnsi="Segoe UI" w:cs="Times New Roman"/>
      <w:sz w:val="18"/>
      <w:szCs w:val="18"/>
    </w:rPr>
  </w:style>
  <w:style w:type="paragraph" w:styleId="ListParagraph">
    <w:name w:val="List Paragraph"/>
    <w:basedOn w:val="Normal"/>
    <w:link w:val="ListParagraphChar"/>
    <w:uiPriority w:val="34"/>
    <w:qFormat/>
    <w:rsid w:val="002A42BD"/>
    <w:pPr>
      <w:overflowPunct w:val="0"/>
      <w:autoSpaceDE w:val="0"/>
      <w:autoSpaceDN w:val="0"/>
      <w:adjustRightInd w:val="0"/>
      <w:ind w:left="720"/>
      <w:contextualSpacing/>
      <w:textAlignment w:val="baseline"/>
    </w:pPr>
    <w:rPr>
      <w:szCs w:val="20"/>
      <w:lang w:eastAsia="fr-BE"/>
    </w:rPr>
  </w:style>
  <w:style w:type="paragraph" w:styleId="TOCHeading">
    <w:name w:val="TOC Heading"/>
    <w:basedOn w:val="Heading1"/>
    <w:next w:val="Normal"/>
    <w:uiPriority w:val="39"/>
    <w:unhideWhenUsed/>
    <w:qFormat/>
    <w:rsid w:val="003B556B"/>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3B556B"/>
    <w:pPr>
      <w:tabs>
        <w:tab w:val="left" w:pos="440"/>
        <w:tab w:val="right" w:leader="dot" w:pos="9063"/>
      </w:tabs>
      <w:spacing w:after="100"/>
    </w:pPr>
    <w:rPr>
      <w:b/>
      <w:noProof/>
    </w:rPr>
  </w:style>
  <w:style w:type="paragraph" w:styleId="TOC2">
    <w:name w:val="toc 2"/>
    <w:basedOn w:val="Normal"/>
    <w:next w:val="Normal"/>
    <w:autoRedefine/>
    <w:uiPriority w:val="39"/>
    <w:unhideWhenUsed/>
    <w:rsid w:val="003B556B"/>
    <w:pPr>
      <w:spacing w:after="100"/>
      <w:ind w:left="220"/>
    </w:pPr>
  </w:style>
  <w:style w:type="paragraph" w:customStyle="1" w:styleId="paragraph">
    <w:name w:val="paragraph"/>
    <w:basedOn w:val="Normal"/>
    <w:rsid w:val="003B556B"/>
    <w:pPr>
      <w:spacing w:before="100" w:beforeAutospacing="1" w:after="100" w:afterAutospacing="1" w:line="240" w:lineRule="auto"/>
      <w:jc w:val="left"/>
    </w:pPr>
    <w:rPr>
      <w:sz w:val="24"/>
      <w:szCs w:val="24"/>
      <w:lang w:eastAsia="es-ES"/>
    </w:rPr>
  </w:style>
  <w:style w:type="paragraph" w:styleId="NormalWeb">
    <w:name w:val="Normal (Web)"/>
    <w:basedOn w:val="Normal"/>
    <w:uiPriority w:val="99"/>
    <w:unhideWhenUsed/>
    <w:rsid w:val="003B556B"/>
    <w:pPr>
      <w:spacing w:before="100" w:beforeAutospacing="1" w:after="100" w:afterAutospacing="1" w:line="240" w:lineRule="auto"/>
      <w:jc w:val="left"/>
    </w:pPr>
    <w:rPr>
      <w:sz w:val="24"/>
      <w:szCs w:val="24"/>
      <w:lang w:eastAsia="es-ES"/>
    </w:rPr>
  </w:style>
  <w:style w:type="paragraph" w:styleId="Caption">
    <w:name w:val="caption"/>
    <w:basedOn w:val="Normal"/>
    <w:next w:val="Normal"/>
    <w:uiPriority w:val="35"/>
    <w:semiHidden/>
    <w:unhideWhenUsed/>
    <w:qFormat/>
    <w:rsid w:val="003B556B"/>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3B556B"/>
    <w:rPr>
      <w:color w:val="954F72" w:themeColor="followedHyperlink"/>
      <w:u w:val="single"/>
    </w:rPr>
  </w:style>
  <w:style w:type="character" w:customStyle="1" w:styleId="UnresolvedMention1">
    <w:name w:val="Unresolved Mention1"/>
    <w:basedOn w:val="DefaultParagraphFont"/>
    <w:uiPriority w:val="99"/>
    <w:semiHidden/>
    <w:unhideWhenUsed/>
    <w:rsid w:val="003B556B"/>
    <w:rPr>
      <w:color w:val="605E5C"/>
      <w:shd w:val="clear" w:color="auto" w:fill="E1DFDD"/>
    </w:rPr>
  </w:style>
  <w:style w:type="character" w:customStyle="1" w:styleId="ListParagraphChar">
    <w:name w:val="List Paragraph Char"/>
    <w:link w:val="ListParagraph"/>
    <w:uiPriority w:val="34"/>
    <w:rsid w:val="003B556B"/>
    <w:rPr>
      <w:rFonts w:ascii="Times New Roman" w:eastAsia="Times New Roman" w:hAnsi="Times New Roman" w:cs="Times New Roman"/>
      <w:szCs w:val="20"/>
      <w:lang w:val="fr-FR" w:eastAsia="fr-BE"/>
    </w:rPr>
  </w:style>
  <w:style w:type="paragraph" w:styleId="HTMLPreformatted">
    <w:name w:val="HTML Preformatted"/>
    <w:basedOn w:val="Normal"/>
    <w:link w:val="HTMLPreformattedChar"/>
    <w:uiPriority w:val="99"/>
    <w:unhideWhenUsed/>
    <w:rsid w:val="003B5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szCs w:val="20"/>
      <w:lang w:eastAsia="fr-FR"/>
    </w:rPr>
  </w:style>
  <w:style w:type="character" w:customStyle="1" w:styleId="HTMLPreformattedChar">
    <w:name w:val="HTML Preformatted Char"/>
    <w:basedOn w:val="DefaultParagraphFont"/>
    <w:link w:val="HTMLPreformatted"/>
    <w:uiPriority w:val="99"/>
    <w:rsid w:val="003B556B"/>
    <w:rPr>
      <w:rFonts w:ascii="Courier New" w:eastAsia="Times New Roman" w:hAnsi="Courier New" w:cs="Courier New"/>
      <w:sz w:val="20"/>
      <w:szCs w:val="20"/>
      <w:lang w:val="fr-FR" w:eastAsia="fr-FR"/>
    </w:rPr>
  </w:style>
  <w:style w:type="table" w:styleId="GridTable5Dark-Accent1">
    <w:name w:val="Grid Table 5 Dark Accent 1"/>
    <w:basedOn w:val="TableNormal"/>
    <w:uiPriority w:val="50"/>
    <w:rsid w:val="003B556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3">
    <w:name w:val="toc 3"/>
    <w:basedOn w:val="Normal"/>
    <w:next w:val="Normal"/>
    <w:autoRedefine/>
    <w:uiPriority w:val="39"/>
    <w:unhideWhenUsed/>
    <w:rsid w:val="003B556B"/>
    <w:pPr>
      <w:spacing w:after="100"/>
      <w:ind w:left="440"/>
    </w:pPr>
  </w:style>
  <w:style w:type="table" w:styleId="GridTable4">
    <w:name w:val="Grid Table 4"/>
    <w:basedOn w:val="TableNormal"/>
    <w:uiPriority w:val="49"/>
    <w:rsid w:val="003B556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1"/>
    <w:qFormat/>
    <w:rsid w:val="003B556B"/>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21" Type="http://schemas.openxmlformats.org/officeDocument/2006/relationships/header" Target="header6.xml"/><Relationship Id="rId34" Type="http://schemas.openxmlformats.org/officeDocument/2006/relationships/customXml" Target="../customXml/item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customXml" Target="../customXml/item3.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customXml" Target="../customXml/item2.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6202344E2A73294A96CB0CA75BC1E892" ma:contentTypeVersion="7" ma:contentTypeDescription="Defines the documents for Document Manager V2" ma:contentTypeScope="" ma:versionID="1cade58246a910000bf51559b692ae30">
  <xsd:schema xmlns:xsd="http://www.w3.org/2001/XMLSchema" xmlns:xs="http://www.w3.org/2001/XMLSchema" xmlns:p="http://schemas.microsoft.com/office/2006/metadata/properties" xmlns:ns2="56a5413d-c261-4a00-870c-a20d3379ae6d" xmlns:ns3="http://schemas.microsoft.com/sharepoint/v3/fields" xmlns:ns4="0257f74b-9830-4f7d-85e6-515b2ff0b009" targetNamespace="http://schemas.microsoft.com/office/2006/metadata/properties" ma:root="true" ma:fieldsID="3dde802d4ff8b2c128f2a66642a792aa" ns2:_="" ns3:_="" ns4:_="">
    <xsd:import namespace="56a5413d-c261-4a00-870c-a20d3379ae6d"/>
    <xsd:import namespace="http://schemas.microsoft.com/sharepoint/v3/fields"/>
    <xsd:import namespace="0257f74b-9830-4f7d-85e6-515b2ff0b009"/>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5413d-c261-4a00-870c-a20d3379ae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68fc3fc4-2e3f-4257-97d9-99bc181f56c2}" ma:internalName="TaxCatchAll" ma:showField="CatchAllData"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68fc3fc4-2e3f-4257-97d9-99bc181f56c2}" ma:internalName="TaxCatchAllLabel" ma:readOnly="true" ma:showField="CatchAllDataLabel"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57f74b-9830-4f7d-85e6-515b2ff0b009"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56a5413d-c261-4a00-870c-a20d3379ae6d">XMKEDVFMMJCW-1593724795-10582</_dlc_DocId>
    <_dlc_DocIdUrl xmlns="56a5413d-c261-4a00-870c-a20d3379ae6d">
      <Url>http://dm/eesc/2023/_layouts/15/DocIdRedir.aspx?ID=XMKEDVFMMJCW-1593724795-10582</Url>
      <Description>XMKEDVFMMJCW-1593724795-10582</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RE</TermName>
          <TermId xmlns="http://schemas.microsoft.com/office/infopath/2007/PartnerControls">2e31ab9a-38d8-4b15-bf54-b076b749ef85</TermId>
        </TermInfo>
      </Terms>
    </DocumentType_0>
    <Procedure xmlns="56a5413d-c261-4a00-870c-a20d3379ae6d"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6a5413d-c261-4a00-870c-a20d3379ae6d">2024-04-30T12:00:00+00:00</ProductionDate>
    <DocumentNumber xmlns="0257f74b-9830-4f7d-85e6-515b2ff0b009">2717</DocumentNumber>
    <FicheYear xmlns="56a5413d-c261-4a00-870c-a20d3379ae6d" xsi:nil="true"/>
    <DossierNumber xmlns="56a5413d-c261-4a00-870c-a20d3379ae6d">754</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6a5413d-c261-4a00-870c-a20d3379ae6d" xsi:nil="true"/>
    <TaxCatchAll xmlns="56a5413d-c261-4a00-870c-a20d3379ae6d">
      <Value>332</Value>
      <Value>49</Value>
      <Value>47</Value>
      <Value>46</Value>
      <Value>45</Value>
      <Value>44</Value>
      <Value>43</Value>
      <Value>42</Value>
      <Value>41</Value>
      <Value>40</Value>
      <Value>39</Value>
      <Value>38</Value>
      <Value>37</Value>
      <Value>36</Value>
      <Value>35</Value>
      <Value>34</Value>
      <Value>33</Value>
      <Value>32</Value>
      <Value>31</Value>
      <Value>30</Value>
      <Value>25</Value>
      <Value>24</Value>
      <Value>21</Value>
      <Value>16</Value>
      <Value>10</Value>
      <Value>9</Value>
      <Value>7</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s>
    </DocumentLanguage_0>
    <Rapporteur xmlns="56a5413d-c261-4a00-870c-a20d3379ae6d">SVENTEK &amp; BALON &amp; DEL RIO</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56a5413d-c261-4a00-870c-a20d3379ae6d">2023</DocumentYear>
    <FicheNumber xmlns="56a5413d-c261-4a00-870c-a20d3379ae6d">2888</FicheNumber>
    <OriginalSender xmlns="56a5413d-c261-4a00-870c-a20d3379ae6d">
      <UserInfo>
        <DisplayName>Masutti Valeria</DisplayName>
        <AccountId>1443</AccountId>
        <AccountType/>
      </UserInfo>
    </OriginalSender>
    <DocumentPart xmlns="56a5413d-c261-4a00-870c-a20d3379ae6d">0</DocumentPart>
    <AdoptionDate xmlns="56a5413d-c261-4a00-870c-a20d3379ae6d">2024-04-24T12:00:00+00:00</AdoptionDate>
    <RequestingService xmlns="56a5413d-c261-4a00-870c-a20d3379ae6d">Emploi, affaires sociales, citoyenneté</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0257f74b-9830-4f7d-85e6-515b2ff0b009"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SOC</TermName>
          <TermId xmlns="http://schemas.microsoft.com/office/infopath/2007/PartnerControls">13795804-ecbd-4ce5-9693-9b8be1981b20</TermId>
        </TermInfo>
      </Terms>
    </DossierName_0>
    <DocumentVersion xmlns="56a5413d-c261-4a00-870c-a20d3379ae6d">0</DocumentVersion>
  </documentManagement>
</p:properties>
</file>

<file path=customXml/itemProps1.xml><?xml version="1.0" encoding="utf-8"?>
<ds:datastoreItem xmlns:ds="http://schemas.openxmlformats.org/officeDocument/2006/customXml" ds:itemID="{B876DD3E-B19D-4A67-8BD5-85F9BD7B61C9}"/>
</file>

<file path=customXml/itemProps2.xml><?xml version="1.0" encoding="utf-8"?>
<ds:datastoreItem xmlns:ds="http://schemas.openxmlformats.org/officeDocument/2006/customXml" ds:itemID="{2913936F-EE5A-4A62-A08C-C6242A7B3314}"/>
</file>

<file path=customXml/itemProps3.xml><?xml version="1.0" encoding="utf-8"?>
<ds:datastoreItem xmlns:ds="http://schemas.openxmlformats.org/officeDocument/2006/customXml" ds:itemID="{27461A86-5271-4142-BDB0-245EC2527F5F}"/>
</file>

<file path=customXml/itemProps4.xml><?xml version="1.0" encoding="utf-8"?>
<ds:datastoreItem xmlns:ds="http://schemas.openxmlformats.org/officeDocument/2006/customXml" ds:itemID="{DD2C7767-EE45-48C0-8A70-BF7759DFBFF3}"/>
</file>

<file path=docProps/app.xml><?xml version="1.0" encoding="utf-8"?>
<Properties xmlns="http://schemas.openxmlformats.org/officeDocument/2006/extended-properties" xmlns:vt="http://schemas.openxmlformats.org/officeDocument/2006/docPropsVTypes">
  <Template>Normal.dotm</Template>
  <TotalTime>4</TotalTime>
  <Pages>9</Pages>
  <Words>2850</Words>
  <Characters>15679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AC-Cover page - Opinion Committee - EESC revised model</vt:lpstr>
    </vt:vector>
  </TitlesOfParts>
  <Company>CESE-CdR</Company>
  <LinksUpToDate>false</LinksUpToDate>
  <CharactersWithSpaces>18493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Évaluation du Fonds social européen pour la période2014-2020</dc:title>
  <dc:subject>RE</dc:subject>
  <dc:creator>Francois Aude</dc:creator>
  <cp:keywords>EESC-2023-02717-00-00-RE-TRA-EN</cp:keywords>
  <dc:description>Rapporteur: SVENTEK &amp; BALON &amp; DEL RIO - Original language: EN - Date of document: 30/04/2024 - Date of meeting:  - External documents:  - Administrator:  BEDNAROWICZ BARTŁOMIEJ</dc:description>
  <cp:lastModifiedBy>Masutti Valeria</cp:lastModifiedBy>
  <cp:revision>12</cp:revision>
  <dcterms:created xsi:type="dcterms:W3CDTF">2024-04-25T11:25:00Z</dcterms:created>
  <dcterms:modified xsi:type="dcterms:W3CDTF">2024-04-30T06:52:00Z</dcterms:modified>
  <cp:category>SOC/754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25/04/2024, 12/04/2024, 17/05/2022</vt:lpwstr>
  </property>
  <property fmtid="{D5CDD505-2E9C-101B-9397-08002B2CF9AE}" pid="4" name="Pref_Time">
    <vt:lpwstr>13:21:20, 12:03:55, 14:58:36</vt:lpwstr>
  </property>
  <property fmtid="{D5CDD505-2E9C-101B-9397-08002B2CF9AE}" pid="5" name="Pref_User">
    <vt:lpwstr>pacup, enied, enied</vt:lpwstr>
  </property>
  <property fmtid="{D5CDD505-2E9C-101B-9397-08002B2CF9AE}" pid="6" name="Pref_FileName">
    <vt:lpwstr>EESC-2023-02717-00-00-RE-TRA-EN-CRR.docx, COR-EESC-2024-01326-22-00-ADMIN-ORI.docx, COR-EESC-2022-02592-00-00-ADMIN-ORI.docx</vt:lpwstr>
  </property>
  <property fmtid="{D5CDD505-2E9C-101B-9397-08002B2CF9AE}" pid="7" name="ContentTypeId">
    <vt:lpwstr>0x010100EA97B91038054C99906057A708A1480A006202344E2A73294A96CB0CA75BC1E892</vt:lpwstr>
  </property>
  <property fmtid="{D5CDD505-2E9C-101B-9397-08002B2CF9AE}" pid="8" name="_dlc_DocIdItemGuid">
    <vt:lpwstr>adf8c745-4a30-46f3-bb71-796cfb105726</vt:lpwstr>
  </property>
  <property fmtid="{D5CDD505-2E9C-101B-9397-08002B2CF9AE}" pid="9" name="AvailableTranslations">
    <vt:lpwstr>39;#LT|a7ff5ce7-6123-4f68-865a-a57c31810414;#30;#IT|0774613c-01ed-4e5d-a25d-11d2388de825;#33;#LV|46f7e311-5d9f-4663-b433-18aeccb7ace7;#43;#DA|5d49c027-8956-412b-aa16-e85a0f96ad0e;#41;#HU|6b229040-c589-4408-b4c1-4285663d20a8;#45;#ET|ff6c3f4c-b02c-4c3c-ab07-2c37995a7a0a;#35;#SL|98a412ae-eb01-49e9-ae3d-585a81724cfc;#5;#EN|f2175f21-25d7-44a3-96da-d6a61b075e1b;#21;#SV|c2ed69e7-a339-43d7-8f22-d93680a92aa0;#44;#BG|1a1b3951-7821-4e6a-85f5-5673fc08bd2c;#10;#FR|d2afafd3-4c81-4f60-8f52-ee33f2f54ff3;#34;#SK|46d9fce0-ef79-4f71-b89b-cd6aa82426b8;#37;#CS|72f9705b-0217-4fd3-bea2-cbc7ed80e26e;#32;#PT|50ccc04a-eadd-42ae-a0cb-acaf45f812ba;#42;#FI|87606a43-d45f-42d6-b8c9-e1a3457db5b7;#36;#MT|7df99101-6854-4a26-b53a-b88c0da02c26;#25;#ES|e7a6b05b-ae16-40c8-add9-68b64b03aeba;#46;#HR|2f555653-ed1a-4fe6-8362-9082d95989e5;#31;#NL|55c6556c-b4f4-441d-9acf-c498d4f838bd;#40;#RO|feb747a2-64cd-4299-af12-4833ddc30497;#49;#GA|762d2456-c427-4ecb-b312-af3dad8e258c;#24;#PL|1e03da61-4678-4e07-b136-b5024ca9197b;#16;#DE|f6b31e5a-26fa-4935-b661-318e46daf27e;#38;#EL|6d4f4d51-af9b-4650-94b4-4276bee85c91</vt:lpwstr>
  </property>
  <property fmtid="{D5CDD505-2E9C-101B-9397-08002B2CF9AE}" pid="10" name="DocumentType_0">
    <vt:lpwstr>RE|2e31ab9a-38d8-4b15-bf54-b076b749ef85</vt:lpwstr>
  </property>
  <property fmtid="{D5CDD505-2E9C-101B-9397-08002B2CF9AE}" pid="11" name="DossierName_0">
    <vt:lpwstr>SOC|13795804-ecbd-4ce5-9693-9b8be1981b20</vt:lpwstr>
  </property>
  <property fmtid="{D5CDD505-2E9C-101B-9397-08002B2CF9AE}" pid="12" name="DocumentSource_0">
    <vt:lpwstr>EESC|422833ec-8d7e-4e65-8e4e-8bed07ffb729</vt:lpwstr>
  </property>
  <property fmtid="{D5CDD505-2E9C-101B-9397-08002B2CF9AE}" pid="13" name="DocumentNumber">
    <vt:i4>2717</vt:i4>
  </property>
  <property fmtid="{D5CDD505-2E9C-101B-9397-08002B2CF9AE}" pid="14" name="DocumentVersion">
    <vt:i4>0</vt:i4>
  </property>
  <property fmtid="{D5CDD505-2E9C-101B-9397-08002B2CF9AE}" pid="15" name="DossierNumber">
    <vt:i4>754</vt:i4>
  </property>
  <property fmtid="{D5CDD505-2E9C-101B-9397-08002B2CF9AE}" pid="16" name="DocumentStatus">
    <vt:lpwstr>3;#TRA|150d2a88-1431-44e6-a8ca-0bb753ab8672</vt:lpwstr>
  </property>
  <property fmtid="{D5CDD505-2E9C-101B-9397-08002B2CF9AE}" pid="17" name="DossierName">
    <vt:lpwstr>47;#SOC|13795804-ecbd-4ce5-9693-9b8be1981b20</vt:lpwstr>
  </property>
  <property fmtid="{D5CDD505-2E9C-101B-9397-08002B2CF9AE}" pid="18" name="RequestingService">
    <vt:lpwstr>Emploi, affaires sociales, citoyenneté</vt:lpwstr>
  </property>
  <property fmtid="{D5CDD505-2E9C-101B-9397-08002B2CF9AE}" pid="19" name="Confidentiality">
    <vt:lpwstr>9;#Unrestricted|826e22d7-d029-4ec0-a450-0c28ff673572</vt:lpwstr>
  </property>
  <property fmtid="{D5CDD505-2E9C-101B-9397-08002B2CF9AE}" pid="20" name="MeetingName_0">
    <vt:lpwstr/>
  </property>
  <property fmtid="{D5CDD505-2E9C-101B-9397-08002B2CF9AE}" pid="21" name="Confidentiality_0">
    <vt:lpwstr>Unrestricted|826e22d7-d029-4ec0-a450-0c28ff673572</vt:lpwstr>
  </property>
  <property fmtid="{D5CDD505-2E9C-101B-9397-08002B2CF9AE}" pid="22" name="OriginalLanguage">
    <vt:lpwstr>5;#EN|f2175f21-25d7-44a3-96da-d6a61b075e1b</vt:lpwstr>
  </property>
  <property fmtid="{D5CDD505-2E9C-101B-9397-08002B2CF9AE}" pid="23" name="MeetingName">
    <vt:lpwstr/>
  </property>
  <property fmtid="{D5CDD505-2E9C-101B-9397-08002B2CF9AE}" pid="25" name="AvailableTranslations_0">
    <vt:lpwstr>LT|a7ff5ce7-6123-4f68-865a-a57c31810414;IT|0774613c-01ed-4e5d-a25d-11d2388de825;HU|6b229040-c589-4408-b4c1-4285663d20a8;SL|98a412ae-eb01-49e9-ae3d-585a81724cfc;EN|f2175f21-25d7-44a3-96da-d6a61b075e1b;SV|c2ed69e7-a339-43d7-8f22-d93680a92aa0;SK|46d9fce0-ef79-4f71-b89b-cd6aa82426b8;CS|72f9705b-0217-4fd3-bea2-cbc7ed80e26e;FI|87606a43-d45f-42d6-b8c9-e1a3457db5b7;ES|e7a6b05b-ae16-40c8-add9-68b64b03aeba;HR|2f555653-ed1a-4fe6-8362-9082d95989e5;NL|55c6556c-b4f4-441d-9acf-c498d4f838bd;GA|762d2456-c427-4ecb-b312-af3dad8e258c;PL|1e03da61-4678-4e07-b136-b5024ca9197b;DE|f6b31e5a-26fa-4935-b661-318e46daf27e;EL|6d4f4d51-af9b-4650-94b4-4276bee85c91</vt:lpwstr>
  </property>
  <property fmtid="{D5CDD505-2E9C-101B-9397-08002B2CF9AE}" pid="26" name="DocumentStatus_0">
    <vt:lpwstr>TRA|150d2a88-1431-44e6-a8ca-0bb753ab8672</vt:lpwstr>
  </property>
  <property fmtid="{D5CDD505-2E9C-101B-9397-08002B2CF9AE}" pid="27" name="OriginalLanguage_0">
    <vt:lpwstr>EN|f2175f21-25d7-44a3-96da-d6a61b075e1b</vt:lpwstr>
  </property>
  <property fmtid="{D5CDD505-2E9C-101B-9397-08002B2CF9AE}" pid="28" name="TaxCatchAll">
    <vt:lpwstr>332;#RE|2e31ab9a-38d8-4b15-bf54-b076b749ef85;#35;#SL|98a412ae-eb01-49e9-ae3d-585a81724cfc;#34;#SK|46d9fce0-ef79-4f71-b89b-cd6aa82426b8;#38;#EL|6d4f4d51-af9b-4650-94b4-4276bee85c91;#31;#NL|55c6556c-b4f4-441d-9acf-c498d4f838bd;#30;#IT|0774613c-01ed-4e5d-a25d-11d2388de825;#25;#ES|e7a6b05b-ae16-40c8-add9-68b64b03aeba;#42;#FI|87606a43-d45f-42d6-b8c9-e1a3457db5b7;#21;#SV|c2ed69e7-a339-43d7-8f22-d93680a92aa0;#16;#DE|f6b31e5a-26fa-4935-b661-318e46daf27e;#24;#PL|1e03da61-4678-4e07-b136-b5024ca9197b;#46;#HR|2f555653-ed1a-4fe6-8362-9082d95989e5;#49;#GA|762d2456-c427-4ecb-b312-af3dad8e258c;#47;#SOC|13795804-ecbd-4ce5-9693-9b8be1981b20;#9;#Unrestricted|826e22d7-d029-4ec0-a450-0c28ff673572;#7;#Final|ea5e6674-7b27-4bac-b091-73adbb394efe;#5;#EN|f2175f21-25d7-44a3-96da-d6a61b075e1b;#41;#HU|6b229040-c589-4408-b4c1-4285663d20a8;#3;#TRA|150d2a88-1431-44e6-a8ca-0bb753ab8672;#39;#LT|a7ff5ce7-6123-4f68-865a-a57c31810414;#1;#EESC|422833ec-8d7e-4e65-8e4e-8bed07ffb729;#37;#CS|72f9705b-0217-4fd3-bea2-cbc7ed80e26e</vt:lpwstr>
  </property>
  <property fmtid="{D5CDD505-2E9C-101B-9397-08002B2CF9AE}" pid="29" name="Rapporteur">
    <vt:lpwstr>SVENTEK &amp; BALON &amp; DEL RIO</vt:lpwstr>
  </property>
  <property fmtid="{D5CDD505-2E9C-101B-9397-08002B2CF9AE}" pid="30" name="VersionStatus_0">
    <vt:lpwstr>Final|ea5e6674-7b27-4bac-b091-73adbb394efe</vt:lpwstr>
  </property>
  <property fmtid="{D5CDD505-2E9C-101B-9397-08002B2CF9AE}" pid="31" name="VersionStatus">
    <vt:lpwstr>7;#Final|ea5e6674-7b27-4bac-b091-73adbb394efe</vt:lpwstr>
  </property>
  <property fmtid="{D5CDD505-2E9C-101B-9397-08002B2CF9AE}" pid="32" name="DocumentYear">
    <vt:i4>2023</vt:i4>
  </property>
  <property fmtid="{D5CDD505-2E9C-101B-9397-08002B2CF9AE}" pid="33" name="FicheNumber">
    <vt:i4>2888</vt:i4>
  </property>
  <property fmtid="{D5CDD505-2E9C-101B-9397-08002B2CF9AE}" pid="34" name="DocumentPart">
    <vt:i4>0</vt:i4>
  </property>
  <property fmtid="{D5CDD505-2E9C-101B-9397-08002B2CF9AE}" pid="35" name="DocumentSource">
    <vt:lpwstr>1;#EESC|422833ec-8d7e-4e65-8e4e-8bed07ffb729</vt:lpwstr>
  </property>
  <property fmtid="{D5CDD505-2E9C-101B-9397-08002B2CF9AE}" pid="36" name="AdoptionDate">
    <vt:filetime>2024-04-24T12:00:00Z</vt:filetime>
  </property>
  <property fmtid="{D5CDD505-2E9C-101B-9397-08002B2CF9AE}" pid="37" name="DocumentType">
    <vt:lpwstr>332;#RE|2e31ab9a-38d8-4b15-bf54-b076b749ef85</vt:lpwstr>
  </property>
  <property fmtid="{D5CDD505-2E9C-101B-9397-08002B2CF9AE}" pid="38" name="DocumentLanguage">
    <vt:lpwstr>10;#FR|d2afafd3-4c81-4f60-8f52-ee33f2f54ff3</vt:lpwstr>
  </property>
</Properties>
</file>