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header15.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9.xml" ContentType="application/vnd.openxmlformats-officedocument.wordprocessingml.footer+xml"/>
  <Override PartName="/word/header2.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0.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73"/>
      </w:tblGrid>
      <w:tr w:rsidRPr="00B47B36" w:rsidR="00CD26C9" w:rsidTr="00695F57" w14:paraId="0C1266F7" w14:textId="77777777">
        <w:trPr>
          <w:jc w:val="center"/>
        </w:trPr>
        <w:tc>
          <w:tcPr>
            <w:tcW w:w="5000" w:type="pct"/>
            <w:vAlign w:val="center"/>
          </w:tcPr>
          <w:p w:rsidRPr="00B47B36" w:rsidR="00CD26C9" w:rsidP="00695F57" w:rsidRDefault="00CD26C9" w14:paraId="6B1B2975" w14:textId="5CB2785E">
            <w:pPr>
              <w:jc w:val="center"/>
              <w:rPr>
                <w:b/>
                <w:bCs/>
                <w:sz w:val="72"/>
                <w:szCs w:val="72"/>
              </w:rPr>
            </w:pPr>
            <w:r>
              <w:rPr>
                <w:b/>
                <w:sz w:val="72"/>
              </w:rPr>
              <w:t>UTVÄRDERINGS</w:t>
            </w:r>
            <w:r w:rsidR="006272FD">
              <w:rPr>
                <w:b/>
                <w:sz w:val="72"/>
              </w:rPr>
              <w:softHyphen/>
            </w:r>
            <w:r>
              <w:rPr>
                <w:b/>
                <w:sz w:val="72"/>
              </w:rPr>
              <w:t>RAPPORT</w:t>
            </w:r>
          </w:p>
        </w:tc>
      </w:tr>
      <w:tr w:rsidRPr="00B47B36" w:rsidR="00CD26C9" w:rsidTr="00695F57" w14:paraId="0997F6B4" w14:textId="77777777">
        <w:trPr>
          <w:trHeight w:val="567"/>
          <w:jc w:val="center"/>
        </w:trPr>
        <w:tc>
          <w:tcPr>
            <w:tcW w:w="5000" w:type="pct"/>
            <w:vAlign w:val="center"/>
          </w:tcPr>
          <w:p w:rsidRPr="00B47B36" w:rsidR="00CD26C9" w:rsidP="00695F57" w:rsidRDefault="00CD26C9" w14:paraId="3904D624" w14:textId="77777777">
            <w:pPr>
              <w:jc w:val="center"/>
              <w:rPr>
                <w:sz w:val="24"/>
                <w:szCs w:val="24"/>
              </w:rPr>
            </w:pPr>
            <w:r>
              <w:rPr>
                <w:sz w:val="24"/>
              </w:rPr>
              <w:t>Europeiska ekonomiska och sociala kommittén</w:t>
            </w:r>
          </w:p>
        </w:tc>
      </w:tr>
      <w:tr w:rsidRPr="00B47B36" w:rsidR="00CD26C9" w:rsidTr="00695F57" w14:paraId="1D644B77" w14:textId="77777777">
        <w:trPr>
          <w:jc w:val="center"/>
        </w:trPr>
        <w:tc>
          <w:tcPr>
            <w:tcW w:w="5000" w:type="pct"/>
            <w:vAlign w:val="center"/>
          </w:tcPr>
          <w:p w:rsidRPr="00B47B36" w:rsidR="00CD26C9" w:rsidP="00695F57" w:rsidRDefault="003130C2" w14:paraId="25DFFFC7" w14:textId="4658D41B">
            <w:pPr>
              <w:jc w:val="center"/>
              <w:rPr>
                <w:b/>
                <w:bCs/>
                <w:sz w:val="44"/>
                <w:szCs w:val="44"/>
              </w:rPr>
            </w:pPr>
            <w:r>
              <w:rPr>
                <w:b/>
                <w:sz w:val="44"/>
              </w:rPr>
              <w:t>Programmet för ett digitalt Europa</w:t>
            </w:r>
          </w:p>
        </w:tc>
      </w:tr>
      <w:tr w:rsidRPr="00B47B36" w:rsidR="00CD26C9" w:rsidTr="00695F57" w14:paraId="10E683EE" w14:textId="77777777">
        <w:trPr>
          <w:jc w:val="center"/>
        </w:trPr>
        <w:tc>
          <w:tcPr>
            <w:tcW w:w="5000" w:type="pct"/>
            <w:vAlign w:val="center"/>
          </w:tcPr>
          <w:p w:rsidRPr="00B47B36" w:rsidR="00CD26C9" w:rsidP="00695F57" w:rsidRDefault="00CD26C9" w14:paraId="2BAFC35D" w14:textId="77777777">
            <w:pPr>
              <w:overflowPunct w:val="0"/>
              <w:autoSpaceDE w:val="0"/>
              <w:autoSpaceDN w:val="0"/>
              <w:adjustRightInd w:val="0"/>
              <w:jc w:val="center"/>
              <w:textAlignment w:val="baseline"/>
              <w:rPr>
                <w:b/>
                <w:bCs/>
                <w:sz w:val="24"/>
                <w:szCs w:val="24"/>
              </w:rPr>
            </w:pPr>
            <w:r>
              <w:rPr>
                <w:sz w:val="24"/>
              </w:rPr>
              <w:t>_____________</w:t>
            </w:r>
          </w:p>
        </w:tc>
      </w:tr>
      <w:tr w:rsidRPr="00B47B36" w:rsidR="00CD26C9" w:rsidTr="00695F57" w14:paraId="5B865E60" w14:textId="77777777">
        <w:trPr>
          <w:jc w:val="center"/>
        </w:trPr>
        <w:tc>
          <w:tcPr>
            <w:tcW w:w="5000" w:type="pct"/>
            <w:vAlign w:val="center"/>
          </w:tcPr>
          <w:p w:rsidRPr="00B47B36" w:rsidR="00CD26C9" w:rsidP="00695F57" w:rsidRDefault="003130C2" w14:paraId="765FFD53" w14:textId="7A7FBF0B">
            <w:pPr>
              <w:jc w:val="center"/>
              <w:rPr>
                <w:sz w:val="24"/>
                <w:szCs w:val="24"/>
              </w:rPr>
            </w:pPr>
            <w:r>
              <w:rPr>
                <w:sz w:val="24"/>
              </w:rPr>
              <w:t>Utvärdering av programmet för ett digitalt Europa</w:t>
            </w:r>
          </w:p>
        </w:tc>
      </w:tr>
      <w:tr w:rsidRPr="00B47B36" w:rsidR="00CD26C9" w:rsidTr="00695F57" w14:paraId="30A15ABD" w14:textId="77777777">
        <w:trPr>
          <w:jc w:val="center"/>
        </w:trPr>
        <w:tc>
          <w:tcPr>
            <w:tcW w:w="5000" w:type="pct"/>
            <w:vAlign w:val="center"/>
          </w:tcPr>
          <w:p w:rsidRPr="00B47B36" w:rsidR="00CD26C9" w:rsidP="00695F57" w:rsidRDefault="00CD26C9" w14:paraId="4CDF6137" w14:textId="77777777">
            <w:pPr>
              <w:jc w:val="center"/>
              <w:rPr>
                <w:sz w:val="24"/>
                <w:szCs w:val="24"/>
                <w:lang w:val="en-GB"/>
              </w:rPr>
            </w:pPr>
          </w:p>
        </w:tc>
      </w:tr>
      <w:tr w:rsidRPr="00B47B36" w:rsidR="00CD26C9" w:rsidTr="00695F57" w14:paraId="0A87DD1F" w14:textId="77777777">
        <w:trPr>
          <w:jc w:val="center"/>
        </w:trPr>
        <w:tc>
          <w:tcPr>
            <w:tcW w:w="5000" w:type="pct"/>
            <w:vAlign w:val="center"/>
          </w:tcPr>
          <w:p w:rsidRPr="00B47B36" w:rsidR="00CD26C9" w:rsidP="00695F57" w:rsidRDefault="003130C2" w14:paraId="3922E3BF" w14:textId="65223758">
            <w:pPr>
              <w:jc w:val="center"/>
              <w:rPr>
                <w:b/>
                <w:bCs/>
                <w:sz w:val="24"/>
                <w:szCs w:val="24"/>
              </w:rPr>
            </w:pPr>
            <w:r>
              <w:rPr>
                <w:b/>
                <w:sz w:val="24"/>
              </w:rPr>
              <w:t>INT/1054</w:t>
            </w:r>
          </w:p>
        </w:tc>
      </w:tr>
      <w:tr w:rsidRPr="00B47B36" w:rsidR="00CD26C9" w:rsidTr="00695F57" w14:paraId="7C0D824A" w14:textId="77777777">
        <w:trPr>
          <w:jc w:val="center"/>
        </w:trPr>
        <w:tc>
          <w:tcPr>
            <w:tcW w:w="5000" w:type="pct"/>
            <w:vAlign w:val="center"/>
          </w:tcPr>
          <w:p w:rsidRPr="00B47B36" w:rsidR="00CD26C9" w:rsidP="00695F57" w:rsidRDefault="00CD26C9" w14:paraId="193AB3B9" w14:textId="77777777">
            <w:pPr>
              <w:jc w:val="center"/>
              <w:rPr>
                <w:sz w:val="24"/>
                <w:szCs w:val="24"/>
                <w:lang w:val="en-GB"/>
              </w:rPr>
            </w:pPr>
          </w:p>
        </w:tc>
      </w:tr>
      <w:tr w:rsidRPr="00B47B36" w:rsidR="00CD26C9" w:rsidTr="00695F57" w14:paraId="65003D07" w14:textId="77777777">
        <w:trPr>
          <w:jc w:val="center"/>
        </w:trPr>
        <w:tc>
          <w:tcPr>
            <w:tcW w:w="5000" w:type="pct"/>
            <w:vAlign w:val="center"/>
          </w:tcPr>
          <w:p w:rsidRPr="00B47B36" w:rsidR="00CD26C9" w:rsidP="00695F57" w:rsidRDefault="00CD26C9" w14:paraId="2D4C5907" w14:textId="085E84F9">
            <w:pPr>
              <w:jc w:val="center"/>
              <w:rPr>
                <w:sz w:val="24"/>
                <w:szCs w:val="24"/>
              </w:rPr>
            </w:pPr>
            <w:r>
              <w:t xml:space="preserve">Föredragande: </w:t>
            </w:r>
            <w:r>
              <w:rPr>
                <w:b/>
              </w:rPr>
              <w:t>Katrīna Zariņa</w:t>
            </w:r>
          </w:p>
        </w:tc>
      </w:tr>
    </w:tbl>
    <w:p w:rsidRPr="00B47B36" w:rsidR="00574C9B" w:rsidP="00574C9B" w:rsidRDefault="00574C9B" w14:paraId="0B225863" w14:textId="77777777">
      <w:r>
        <w:rPr>
          <w:noProof/>
          <w:sz w:val="20"/>
        </w:rPr>
        <mc:AlternateContent>
          <mc:Choice Requires="wps">
            <w:drawing>
              <wp:anchor distT="0" distB="0" distL="114300" distR="114300" simplePos="0" relativeHeight="251545600"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770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SV</w:t>
                      </w:r>
                    </w:p>
                  </w:txbxContent>
                </v:textbox>
                <w10:wrap anchorx="margin" anchory="page"/>
              </v:shape>
            </w:pict>
          </mc:Fallback>
        </mc:AlternateContent>
      </w:r>
    </w:p>
    <w:p w:rsidRPr="00B47B36" w:rsidR="00574C9B" w:rsidP="00574C9B" w:rsidRDefault="00574C9B" w14:paraId="3FA5826A" w14:textId="77777777">
      <w:pPr>
        <w:rPr>
          <w:lang w:val="en-GB"/>
        </w:rPr>
      </w:pPr>
    </w:p>
    <w:p w:rsidRPr="00B47B36" w:rsidR="00574C9B" w:rsidP="00574C9B" w:rsidRDefault="00574C9B" w14:paraId="4B88FC0A" w14:textId="77777777">
      <w:pPr>
        <w:rPr>
          <w:lang w:val="en-GB"/>
        </w:rPr>
        <w:sectPr w:rsidRPr="00B47B36" w:rsidR="00574C9B" w:rsidSect="0005674E">
          <w:headerReference w:type="even" r:id="rId12"/>
          <w:headerReference w:type="default" r:id="rId13"/>
          <w:footerReference w:type="even" r:id="rId14"/>
          <w:footerReference w:type="default" r:id="rId15"/>
          <w:headerReference w:type="first" r:id="rId16"/>
          <w:footerReference w:type="first" r:id="rId17"/>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B47B36" w:rsidR="00914683" w:rsidTr="00E15BF4" w14:paraId="64074C63" w14:textId="77777777">
        <w:tc>
          <w:tcPr>
            <w:tcW w:w="3085" w:type="dxa"/>
          </w:tcPr>
          <w:p w:rsidRPr="00B47B36" w:rsidR="00914683" w:rsidP="0058411F" w:rsidRDefault="009F3486" w14:paraId="51393BC8" w14:textId="2A005DA4">
            <w:pPr>
              <w:autoSpaceDE w:val="0"/>
              <w:autoSpaceDN w:val="0"/>
              <w:jc w:val="left"/>
              <w:rPr>
                <w:szCs w:val="20"/>
              </w:rPr>
            </w:pPr>
            <w:r>
              <w:lastRenderedPageBreak/>
              <w:t>Rådgivare</w:t>
            </w:r>
          </w:p>
        </w:tc>
        <w:tc>
          <w:tcPr>
            <w:tcW w:w="6204" w:type="dxa"/>
            <w:vAlign w:val="bottom"/>
          </w:tcPr>
          <w:p w:rsidRPr="00B47B36" w:rsidR="00914683" w:rsidP="0058411F" w:rsidRDefault="000254D8" w14:paraId="1BB75A13" w14:textId="06696851">
            <w:pPr>
              <w:autoSpaceDE w:val="0"/>
              <w:autoSpaceDN w:val="0"/>
              <w:jc w:val="left"/>
            </w:pPr>
            <w:r>
              <w:t>Aiga Irmeja (för föredraganden)</w:t>
            </w:r>
          </w:p>
        </w:tc>
      </w:tr>
      <w:tr w:rsidRPr="00B47B36" w:rsidR="009F3486" w:rsidTr="00E15BF4" w14:paraId="439F01E3" w14:textId="77777777">
        <w:tc>
          <w:tcPr>
            <w:tcW w:w="3085" w:type="dxa"/>
          </w:tcPr>
          <w:p w:rsidRPr="00B47B36" w:rsidR="009F3486" w:rsidP="0058411F" w:rsidRDefault="009F3486" w14:paraId="3BA47B6B" w14:textId="77777777">
            <w:pPr>
              <w:autoSpaceDE w:val="0"/>
              <w:autoSpaceDN w:val="0"/>
              <w:jc w:val="left"/>
              <w:rPr>
                <w:szCs w:val="20"/>
                <w:lang w:val="en-GB"/>
              </w:rPr>
            </w:pPr>
          </w:p>
        </w:tc>
        <w:tc>
          <w:tcPr>
            <w:tcW w:w="6204" w:type="dxa"/>
            <w:vAlign w:val="bottom"/>
          </w:tcPr>
          <w:p w:rsidRPr="00B47B36" w:rsidR="009F3486" w:rsidP="0058411F" w:rsidRDefault="009F3486" w14:paraId="301F80DA" w14:textId="77777777">
            <w:pPr>
              <w:autoSpaceDE w:val="0"/>
              <w:autoSpaceDN w:val="0"/>
              <w:jc w:val="left"/>
              <w:rPr>
                <w:lang w:val="en-GB"/>
              </w:rPr>
            </w:pPr>
          </w:p>
        </w:tc>
      </w:tr>
      <w:tr w:rsidRPr="00B47B36" w:rsidR="009F3486" w:rsidTr="00E15BF4" w14:paraId="139D4058" w14:textId="77777777">
        <w:tc>
          <w:tcPr>
            <w:tcW w:w="3085" w:type="dxa"/>
          </w:tcPr>
          <w:p w:rsidRPr="00B47B36" w:rsidR="009F3486" w:rsidP="0058411F" w:rsidRDefault="009F3486" w14:paraId="6C1D3442" w14:textId="0BBD6945">
            <w:pPr>
              <w:autoSpaceDE w:val="0"/>
              <w:autoSpaceDN w:val="0"/>
              <w:jc w:val="left"/>
              <w:rPr>
                <w:szCs w:val="20"/>
              </w:rPr>
            </w:pPr>
            <w:r>
              <w:t>Remiss</w:t>
            </w:r>
          </w:p>
        </w:tc>
        <w:tc>
          <w:tcPr>
            <w:tcW w:w="6204" w:type="dxa"/>
            <w:vAlign w:val="bottom"/>
          </w:tcPr>
          <w:p w:rsidRPr="00B47B36" w:rsidR="009F3486" w:rsidP="0058411F" w:rsidRDefault="000254D8" w14:paraId="376AB48C" w14:textId="675A1F46">
            <w:pPr>
              <w:autoSpaceDE w:val="0"/>
              <w:autoSpaceDN w:val="0"/>
              <w:jc w:val="left"/>
            </w:pPr>
            <w:r>
              <w:t>Europeiska kommissionen, 28/11/2023</w:t>
            </w:r>
          </w:p>
        </w:tc>
      </w:tr>
      <w:tr w:rsidRPr="00B47B36" w:rsidR="00AC5114" w:rsidTr="00E15BF4" w14:paraId="46C189AE" w14:textId="77777777">
        <w:tc>
          <w:tcPr>
            <w:tcW w:w="3085" w:type="dxa"/>
          </w:tcPr>
          <w:p w:rsidRPr="00B47B36" w:rsidR="00AC5114" w:rsidP="0058411F" w:rsidRDefault="00AC5114" w14:paraId="2DA32C67" w14:textId="77777777">
            <w:pPr>
              <w:autoSpaceDE w:val="0"/>
              <w:autoSpaceDN w:val="0"/>
              <w:jc w:val="left"/>
              <w:rPr>
                <w:szCs w:val="20"/>
              </w:rPr>
            </w:pPr>
            <w:r>
              <w:t>Rättslig grund</w:t>
            </w:r>
          </w:p>
        </w:tc>
        <w:tc>
          <w:tcPr>
            <w:tcW w:w="6204" w:type="dxa"/>
            <w:vAlign w:val="bottom"/>
          </w:tcPr>
          <w:p w:rsidRPr="00B47B36" w:rsidR="00AC5114" w:rsidP="0058411F" w:rsidRDefault="00AC5114" w14:paraId="67EB3E4A" w14:textId="2E2815FD">
            <w:pPr>
              <w:autoSpaceDE w:val="0"/>
              <w:autoSpaceDN w:val="0"/>
              <w:jc w:val="left"/>
              <w:rPr>
                <w:szCs w:val="20"/>
              </w:rPr>
            </w:pPr>
            <w:r>
              <w:t>Artikel 304 i fördraget om Europeiska unionens funktionssätt</w:t>
            </w:r>
          </w:p>
        </w:tc>
      </w:tr>
      <w:tr w:rsidRPr="00B47B36" w:rsidR="00AC5114" w:rsidTr="00E15BF4" w14:paraId="0E2099A6" w14:textId="77777777">
        <w:tc>
          <w:tcPr>
            <w:tcW w:w="3085" w:type="dxa"/>
          </w:tcPr>
          <w:p w:rsidRPr="00B47B36" w:rsidR="00AC5114" w:rsidP="0058411F" w:rsidRDefault="00AC5114" w14:paraId="0BC68BA5" w14:textId="77777777">
            <w:pPr>
              <w:autoSpaceDE w:val="0"/>
              <w:autoSpaceDN w:val="0"/>
              <w:jc w:val="left"/>
            </w:pPr>
            <w:r>
              <w:t>Ansvarig sektion</w:t>
            </w:r>
          </w:p>
        </w:tc>
        <w:tc>
          <w:tcPr>
            <w:tcW w:w="6204" w:type="dxa"/>
            <w:vAlign w:val="bottom"/>
          </w:tcPr>
          <w:p w:rsidRPr="00B47B36" w:rsidR="00AC5114" w:rsidP="0058411F" w:rsidRDefault="000254D8" w14:paraId="5AE7EA9E" w14:textId="033AF686">
            <w:pPr>
              <w:autoSpaceDE w:val="0"/>
              <w:autoSpaceDN w:val="0"/>
              <w:jc w:val="left"/>
            </w:pPr>
            <w:r>
              <w:t>Inre marknaden, produktion och konsumtion</w:t>
            </w:r>
          </w:p>
        </w:tc>
      </w:tr>
      <w:tr w:rsidRPr="00B47B36" w:rsidR="00AC5114" w:rsidTr="00E15BF4" w14:paraId="53972E32" w14:textId="77777777">
        <w:tc>
          <w:tcPr>
            <w:tcW w:w="3085" w:type="dxa"/>
          </w:tcPr>
          <w:p w:rsidRPr="00B47B36" w:rsidR="00AC5114" w:rsidP="0058411F" w:rsidRDefault="00AC5114" w14:paraId="13B33E83" w14:textId="77777777">
            <w:pPr>
              <w:autoSpaceDE w:val="0"/>
              <w:autoSpaceDN w:val="0"/>
              <w:jc w:val="left"/>
            </w:pPr>
            <w:r>
              <w:t>Antagande av sektionen</w:t>
            </w:r>
          </w:p>
        </w:tc>
        <w:tc>
          <w:tcPr>
            <w:tcW w:w="6204" w:type="dxa"/>
            <w:vAlign w:val="bottom"/>
          </w:tcPr>
          <w:p w:rsidRPr="00B47B36" w:rsidR="00AC5114" w:rsidP="0058411F" w:rsidRDefault="0026073F" w14:paraId="5E71ECD2" w14:textId="7DE2AA57">
            <w:pPr>
              <w:autoSpaceDE w:val="0"/>
              <w:autoSpaceDN w:val="0"/>
              <w:jc w:val="left"/>
            </w:pPr>
            <w:r>
              <w:t>1/10/2024</w:t>
            </w:r>
          </w:p>
        </w:tc>
      </w:tr>
      <w:tr w:rsidRPr="00B47B36" w:rsidR="0058411F" w:rsidTr="00E15BF4" w14:paraId="7AE47B93" w14:textId="77777777">
        <w:tc>
          <w:tcPr>
            <w:tcW w:w="3085" w:type="dxa"/>
          </w:tcPr>
          <w:p w:rsidRPr="00B47B36" w:rsidR="0058411F" w:rsidP="0058411F" w:rsidRDefault="0058411F" w14:paraId="26DE3092" w14:textId="2975B5A0">
            <w:pPr>
              <w:autoSpaceDE w:val="0"/>
              <w:autoSpaceDN w:val="0"/>
              <w:jc w:val="left"/>
            </w:pPr>
            <w:r>
              <w:t>Antagande vid plenarsessionen</w:t>
            </w:r>
          </w:p>
        </w:tc>
        <w:tc>
          <w:tcPr>
            <w:tcW w:w="6204" w:type="dxa"/>
            <w:vAlign w:val="bottom"/>
          </w:tcPr>
          <w:p w:rsidRPr="00B47B36" w:rsidR="0058411F" w:rsidP="0058411F" w:rsidRDefault="00796490" w14:paraId="34FA2183" w14:textId="626B81B2">
            <w:pPr>
              <w:autoSpaceDE w:val="0"/>
              <w:autoSpaceDN w:val="0"/>
              <w:jc w:val="left"/>
            </w:pPr>
            <w:r>
              <w:t>23/10/2024</w:t>
            </w:r>
          </w:p>
        </w:tc>
      </w:tr>
      <w:tr w:rsidRPr="00B47B36" w:rsidR="0058411F" w:rsidTr="00E15BF4" w14:paraId="2FE8AE44" w14:textId="77777777">
        <w:tc>
          <w:tcPr>
            <w:tcW w:w="3085" w:type="dxa"/>
          </w:tcPr>
          <w:p w:rsidRPr="00B47B36" w:rsidR="0058411F" w:rsidP="0058411F" w:rsidRDefault="0058411F" w14:paraId="2A65A034" w14:textId="77777777">
            <w:pPr>
              <w:autoSpaceDE w:val="0"/>
              <w:autoSpaceDN w:val="0"/>
              <w:jc w:val="left"/>
            </w:pPr>
            <w:r>
              <w:t>Plenarsession nr</w:t>
            </w:r>
          </w:p>
        </w:tc>
        <w:tc>
          <w:tcPr>
            <w:tcW w:w="6204" w:type="dxa"/>
            <w:vAlign w:val="bottom"/>
          </w:tcPr>
          <w:p w:rsidRPr="00B47B36" w:rsidR="0058411F" w:rsidP="0058411F" w:rsidRDefault="00796490" w14:paraId="17BFB0A7" w14:textId="515B7EED">
            <w:pPr>
              <w:autoSpaceDE w:val="0"/>
              <w:autoSpaceDN w:val="0"/>
              <w:jc w:val="left"/>
            </w:pPr>
            <w:r>
              <w:t>591</w:t>
            </w:r>
          </w:p>
        </w:tc>
      </w:tr>
      <w:tr w:rsidRPr="00B47B36" w:rsidR="0058411F" w:rsidTr="00E15BF4" w14:paraId="3889B17A" w14:textId="77777777">
        <w:tc>
          <w:tcPr>
            <w:tcW w:w="3085" w:type="dxa"/>
          </w:tcPr>
          <w:p w:rsidRPr="00B47B36" w:rsidR="0058411F" w:rsidP="0058411F" w:rsidRDefault="0058411F" w14:paraId="0C723801" w14:textId="77777777">
            <w:pPr>
              <w:autoSpaceDE w:val="0"/>
              <w:autoSpaceDN w:val="0"/>
              <w:jc w:val="left"/>
            </w:pPr>
            <w:r>
              <w:t>Resultat av omröstningen</w:t>
            </w:r>
            <w:r>
              <w:br/>
              <w:t>(för/emot/nedlagda röster)</w:t>
            </w:r>
          </w:p>
        </w:tc>
        <w:tc>
          <w:tcPr>
            <w:tcW w:w="6204" w:type="dxa"/>
            <w:vAlign w:val="bottom"/>
          </w:tcPr>
          <w:p w:rsidRPr="00B47B36" w:rsidR="0058411F" w:rsidP="0058411F" w:rsidRDefault="003D3869" w14:paraId="14DB34EA" w14:textId="19209F56">
            <w:pPr>
              <w:autoSpaceDE w:val="0"/>
              <w:autoSpaceDN w:val="0"/>
              <w:jc w:val="left"/>
            </w:pPr>
            <w:r>
              <w:t>184/2/1</w:t>
            </w:r>
          </w:p>
        </w:tc>
      </w:tr>
    </w:tbl>
    <w:p w:rsidRPr="00B47B36" w:rsidR="00AC5114" w:rsidP="00574C9B" w:rsidRDefault="00AC5114" w14:paraId="156A5F34" w14:textId="77777777">
      <w:pPr>
        <w:rPr>
          <w:lang w:val="en-GB"/>
        </w:rPr>
      </w:pPr>
    </w:p>
    <w:p w:rsidRPr="00B47B36" w:rsidR="00AC5114" w:rsidP="00574C9B" w:rsidRDefault="00AC5114" w14:paraId="2CD3051D" w14:textId="77777777">
      <w:pPr>
        <w:rPr>
          <w:lang w:val="en-GB"/>
        </w:rPr>
        <w:sectPr w:rsidRPr="00B47B36" w:rsidR="00AC5114" w:rsidSect="0005674E">
          <w:headerReference w:type="even" r:id="rId18"/>
          <w:headerReference w:type="default" r:id="rId19"/>
          <w:footerReference w:type="default" r:id="rId20"/>
          <w:headerReference w:type="first" r:id="rId21"/>
          <w:pgSz w:w="11907" w:h="16839" w:code="9"/>
          <w:pgMar w:top="5669" w:right="1418" w:bottom="1418" w:left="1418" w:header="709" w:footer="709" w:gutter="0"/>
          <w:cols w:space="720"/>
          <w:docGrid w:linePitch="360"/>
        </w:sectPr>
      </w:pPr>
    </w:p>
    <w:p w:rsidRPr="009F3F65" w:rsidR="003130C2" w:rsidP="006272FD" w:rsidRDefault="003130C2" w14:paraId="7EE8178B" w14:textId="3BA133D2">
      <w:pPr>
        <w:jc w:val="left"/>
        <w:rPr>
          <w:b/>
          <w:bCs/>
        </w:rPr>
      </w:pPr>
      <w:r>
        <w:rPr>
          <w:noProof/>
          <w:sz w:val="20"/>
        </w:rPr>
        <w:lastRenderedPageBreak/>
        <mc:AlternateContent>
          <mc:Choice Requires="wps">
            <w:drawing>
              <wp:anchor distT="0" distB="0" distL="114300" distR="114300" simplePos="0" relativeHeight="251555840" behindDoc="1" locked="0" layoutInCell="0" allowOverlap="1" wp14:editId="1E747BD9" wp14:anchorId="459BD1AF">
                <wp:simplePos x="0" y="0"/>
                <wp:positionH relativeFrom="page">
                  <wp:posOffset>6769100</wp:posOffset>
                </wp:positionH>
                <wp:positionV relativeFrom="page">
                  <wp:posOffset>10081260</wp:posOffset>
                </wp:positionV>
                <wp:extent cx="647700" cy="396240"/>
                <wp:effectExtent l="0" t="3810" r="3175" b="0"/>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3130C2" w:rsidP="003130C2" w:rsidRDefault="003130C2" w14:paraId="531BCE10" w14:textId="77777777">
                            <w:pPr>
                              <w:jc w:val="center"/>
                              <w:rPr>
                                <w:rFonts w:ascii="Arial" w:hAnsi="Arial" w:cs="Arial"/>
                                <w:b/>
                                <w:bCs/>
                                <w:sz w:val="48"/>
                              </w:rPr>
                            </w:pPr>
                            <w:r>
                              <w:rPr>
                                <w:rFonts w:ascii="Arial" w:hAnsi="Arial"/>
                                <w:b/>
                                <w:sz w:val="48"/>
                              </w:rPr>
                              <w:t>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style="position:absolute;margin-left:533pt;margin-top:793.8pt;width:51pt;height:31.2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" w14:anchorId="459BD1AF">
                <v:textbox>
                  <w:txbxContent>
                    <w:p w:rsidRPr="00260E65" w:rsidR="003130C2" w:rsidP="003130C2" w:rsidRDefault="003130C2" w14:paraId="531BCE10" w14:textId="77777777">
                      <w:pPr>
                        <w:jc w:val="center"/>
                        <w:rPr>
                          <w:rFonts w:ascii="Arial" w:hAnsi="Arial" w:cs="Arial"/>
                          <w:b/>
                          <w:bCs/>
                          <w:sz w:val="48"/>
                        </w:rPr>
                      </w:pPr>
                      <w:r>
                        <w:rPr>
                          <w:rFonts w:ascii="Arial" w:hAnsi="Arial"/>
                          <w:b/>
                          <w:sz w:val="48"/>
                        </w:rPr>
                        <w:t>SV</w:t>
                      </w:r>
                    </w:p>
                  </w:txbxContent>
                </v:textbox>
                <w10:wrap anchorx="page" anchory="page"/>
              </v:shape>
            </w:pict>
          </mc:Fallback>
        </mc:AlternateContent>
      </w:r>
      <w:r>
        <w:rPr>
          <w:b/>
        </w:rPr>
        <w:t>Inledning</w:t>
      </w:r>
    </w:p>
    <w:p w:rsidRPr="006272FD" w:rsidR="003130C2" w:rsidP="003130C2" w:rsidRDefault="003130C2" w14:paraId="28DC2E0D" w14:textId="77777777">
      <w:pPr>
        <w:spacing w:line="283" w:lineRule="auto"/>
        <w:rPr>
          <w:sz w:val="16"/>
          <w:szCs w:val="16"/>
          <w:lang w:val="en-GB"/>
        </w:rPr>
      </w:pPr>
    </w:p>
    <w:p w:rsidRPr="009F3F65" w:rsidR="003130C2" w:rsidP="003130C2" w:rsidRDefault="003130C2" w14:paraId="21DF7A9F" w14:textId="77777777">
      <w:pPr>
        <w:pStyle w:val="Heading2"/>
        <w:spacing w:line="283" w:lineRule="auto"/>
      </w:pPr>
      <w:r>
        <w:t>Programmet för ett digitalt Europa (nedan kallat ”programmet”) 2021–2027 syftar till att påskynda införandet av digital teknik bland företag och offentliga förvaltningar i hela EU. Det stöder digital omvandling och strategisk digital kapacitet som en del av klustret för europeiska strategiska investeringar, med fokus på att främja resiliens, inkludering och digital suveränitet i EU. Programmet har tilldelats en budget på 7,6 miljarder euro för 2021–2027.</w:t>
      </w:r>
    </w:p>
    <w:p w:rsidRPr="006272FD" w:rsidR="003130C2" w:rsidP="003130C2" w:rsidRDefault="003130C2" w14:paraId="156FEDB2" w14:textId="77777777">
      <w:pPr>
        <w:pStyle w:val="Heading2"/>
        <w:numPr>
          <w:ilvl w:val="0"/>
          <w:numId w:val="0"/>
        </w:numPr>
        <w:spacing w:line="283" w:lineRule="auto"/>
        <w:rPr>
          <w:sz w:val="16"/>
          <w:szCs w:val="16"/>
          <w:lang w:val="en-GB"/>
        </w:rPr>
      </w:pPr>
    </w:p>
    <w:p w:rsidRPr="006272FD" w:rsidR="003130C2" w:rsidP="003130C2" w:rsidRDefault="003130C2" w14:paraId="01FE8788" w14:textId="77777777">
      <w:pPr>
        <w:pStyle w:val="Heading2"/>
        <w:spacing w:line="283" w:lineRule="auto"/>
        <w:rPr>
          <w:spacing w:val="-2"/>
        </w:rPr>
      </w:pPr>
      <w:r w:rsidRPr="006272FD">
        <w:rPr>
          <w:spacing w:val="-2"/>
        </w:rPr>
        <w:t>Denna rapport, som syftar till att utvärdera programmet, utgör Europeiska ekonomiska och sociala kommitténs (EESK) bidrag till kommissionens halvtidsutvärdering. På grundval av EESK:s utvärderingsmetod delar denna rapport insikter från arbetsmarknadens parter och det civila samhällets organisationer i Tyskland, Portugal, Polen, Malta och Sverige om effekterna och vikten av det civila samhällets deltagande i programmets processer. Med tanke på programmets särskilda utformning genomfördes intervjuer och enkäter med företrädare för relevanta offentliga myndigheter. Resultaten kommer från direkt interaktion i de nämnda länderna och från återkoppling på webbenkäten. Närmare uppgifter om metod och förfaranden finns i den tekniska bilagan.</w:t>
      </w:r>
    </w:p>
    <w:p w:rsidRPr="006272FD" w:rsidR="003130C2" w:rsidP="003130C2" w:rsidRDefault="003130C2" w14:paraId="1CA212EC" w14:textId="77777777">
      <w:pPr>
        <w:spacing w:line="283" w:lineRule="auto"/>
        <w:rPr>
          <w:sz w:val="16"/>
          <w:szCs w:val="16"/>
          <w:lang w:val="en-GB"/>
        </w:rPr>
      </w:pPr>
    </w:p>
    <w:p w:rsidRPr="009F3F65" w:rsidR="003130C2" w:rsidP="003130C2" w:rsidRDefault="003130C2" w14:paraId="10BCA927" w14:textId="77777777">
      <w:pPr>
        <w:pStyle w:val="Heading2"/>
        <w:spacing w:line="283" w:lineRule="auto"/>
      </w:pPr>
      <w:r>
        <w:t>Programmet stöder projekt inom superdatorer, artificiell intelligens, cybersäkerhet, avancerade digitala färdigheter och utbredd användning av digital teknik. Efter diskussioner med kommissionen valde EESK att koncentrera sin utvärdering på avancerade digitala färdigheter och omfattande tillämpning av teknik, bl.a. via europeiska digitala innovationsknutpunkter (EDIH), med fokus på könsperspektiv och de faktiska fördelarna för användare av programmet.</w:t>
      </w:r>
    </w:p>
    <w:p w:rsidRPr="006272FD" w:rsidR="003130C2" w:rsidP="003130C2" w:rsidRDefault="003130C2" w14:paraId="30B1F73D" w14:textId="77777777">
      <w:pPr>
        <w:spacing w:line="283" w:lineRule="auto"/>
        <w:rPr>
          <w:sz w:val="16"/>
          <w:szCs w:val="16"/>
          <w:lang w:val="en-GB"/>
        </w:rPr>
      </w:pPr>
    </w:p>
    <w:p w:rsidRPr="009F3F65" w:rsidR="003130C2" w:rsidP="003130C2" w:rsidRDefault="003130C2" w14:paraId="3666B03C" w14:textId="77777777">
      <w:pPr>
        <w:pStyle w:val="Heading2"/>
        <w:spacing w:line="283" w:lineRule="auto"/>
      </w:pPr>
      <w:r>
        <w:t>Utvärderingsrapporten och den tekniska bilagan syftar till att informera beslutsfattarna på EU-nivå om synpunkterna från de civilsamhällesorganisationer och offentliga myndigheter som deltagit i halvtidsgenomförandet av programmet i de utvalda medlemsstaterna och till att bedöma civilsamhällesorganisationernas och de offentliga myndigheternas erfarenheter och roll i planeringen och genomförandet av detta nya EU-finansieringsprogram.</w:t>
      </w:r>
    </w:p>
    <w:p w:rsidRPr="006272FD" w:rsidR="003130C2" w:rsidP="003130C2" w:rsidRDefault="003130C2" w14:paraId="1C83B5CE" w14:textId="77777777">
      <w:pPr>
        <w:spacing w:line="283" w:lineRule="auto"/>
        <w:rPr>
          <w:sz w:val="16"/>
          <w:szCs w:val="16"/>
          <w:lang w:val="en-GB"/>
        </w:rPr>
      </w:pPr>
    </w:p>
    <w:p w:rsidRPr="009F3F65" w:rsidR="003130C2" w:rsidP="003130C2" w:rsidRDefault="003130C2" w14:paraId="03E268AC" w14:textId="77777777">
      <w:pPr>
        <w:pStyle w:val="Heading2"/>
        <w:spacing w:line="283" w:lineRule="auto"/>
      </w:pPr>
      <w:r>
        <w:t>I utvärderingsrapporten rekommenderas att man skapar en lyhörd, engagerande och ändamålsenlig ram för programmet för att ta itu med de unika utmaningarna och utnyttja möjligheterna till digital omvandling i hela EU. Genom att olika perspektiv integreras och programmets tillgänglighet förbättras kan programmet maximera sin inverkan i alla medlemsstater.</w:t>
      </w:r>
    </w:p>
    <w:p w:rsidRPr="006272FD" w:rsidR="003130C2" w:rsidP="003130C2" w:rsidRDefault="003130C2" w14:paraId="1FD630E1" w14:textId="77777777">
      <w:pPr>
        <w:spacing w:line="283" w:lineRule="auto"/>
        <w:rPr>
          <w:sz w:val="16"/>
          <w:szCs w:val="16"/>
          <w:lang w:val="en-GB"/>
        </w:rPr>
      </w:pPr>
    </w:p>
    <w:p w:rsidRPr="009F3F65" w:rsidR="003130C2" w:rsidP="003130C2" w:rsidRDefault="003130C2" w14:paraId="771DE986" w14:textId="77777777">
      <w:pPr>
        <w:pStyle w:val="Heading1"/>
        <w:spacing w:line="283" w:lineRule="auto"/>
        <w:rPr>
          <w:b/>
          <w:bCs/>
        </w:rPr>
      </w:pPr>
      <w:r>
        <w:rPr>
          <w:b/>
        </w:rPr>
        <w:t>Allmänna kommentarer</w:t>
      </w:r>
    </w:p>
    <w:p w:rsidRPr="006272FD" w:rsidR="003130C2" w:rsidP="003130C2" w:rsidRDefault="003130C2" w14:paraId="5194A5F3" w14:textId="77777777">
      <w:pPr>
        <w:spacing w:line="283" w:lineRule="auto"/>
        <w:ind w:left="142" w:hanging="142"/>
        <w:jc w:val="left"/>
        <w:rPr>
          <w:sz w:val="16"/>
          <w:szCs w:val="16"/>
          <w:lang w:val="en-GB"/>
        </w:rPr>
      </w:pPr>
    </w:p>
    <w:p w:rsidRPr="009F3F65" w:rsidR="003130C2" w:rsidP="003130C2" w:rsidRDefault="003130C2" w14:paraId="4EAF4740" w14:textId="5196ADDD">
      <w:pPr>
        <w:pStyle w:val="Heading2"/>
        <w:spacing w:line="283" w:lineRule="auto"/>
      </w:pPr>
      <w:r>
        <w:t>De flesta respondenter höll med om att programmet är avgörande för att driva på innovation och digital omvandling av ekonomin, och programmet är allmänt uppskattat, särskilt dess fokus på små och medelstora företag. EDIH-programmet ses som en framgångsrik strategi för att uppnå målen för det digitala decenniet genom att det ger omfattande täckning i hela EU.</w:t>
      </w:r>
    </w:p>
    <w:p w:rsidRPr="006272FD" w:rsidR="003130C2" w:rsidP="003130C2" w:rsidRDefault="003130C2" w14:paraId="354D3246" w14:textId="77777777">
      <w:pPr>
        <w:spacing w:line="283" w:lineRule="auto"/>
        <w:rPr>
          <w:sz w:val="16"/>
          <w:szCs w:val="16"/>
          <w:lang w:val="en-GB"/>
        </w:rPr>
      </w:pPr>
    </w:p>
    <w:p w:rsidRPr="009F3F65" w:rsidR="003130C2" w:rsidP="003130C2" w:rsidRDefault="003130C2" w14:paraId="6D8E80F7" w14:textId="77777777">
      <w:pPr>
        <w:pStyle w:val="Heading2"/>
        <w:spacing w:line="283" w:lineRule="auto"/>
      </w:pPr>
      <w:r>
        <w:t>Genomförandeprocessen för programmet har försenats avsevärt, vilket tyder på bristande mognad. På grund av dessa förseningar anses det allmänt att det fortfarande är för tidigt att bedöma programmets genomslag och ändamålsenlighet. Eftersom det är ett nytt program saknar det långsiktig planering, kontinuitet och tydliga framtida åtgärder, och det har begränsade medel. Erkännandet av dessa genomföranderelaterade utmaningar nödvändiggör fortlöpande förbättringar och en tydlig färdplan för programmets framtid.</w:t>
      </w:r>
    </w:p>
    <w:p w:rsidRPr="009F3F65" w:rsidR="003130C2" w:rsidP="003130C2" w:rsidRDefault="003130C2" w14:paraId="0EF68642" w14:textId="77777777">
      <w:pPr>
        <w:spacing w:line="283" w:lineRule="auto"/>
        <w:rPr>
          <w:lang w:val="en-GB"/>
        </w:rPr>
      </w:pPr>
    </w:p>
    <w:p w:rsidRPr="009F3F65" w:rsidR="003130C2" w:rsidP="003130C2" w:rsidRDefault="003130C2" w14:paraId="228955A4" w14:textId="3262CB0A">
      <w:pPr>
        <w:pStyle w:val="Heading2"/>
        <w:spacing w:line="283" w:lineRule="auto"/>
      </w:pPr>
      <w:r>
        <w:lastRenderedPageBreak/>
        <w:t>EDIH-programmet är det mål för programmet för ett digitalt Europa som civilsamhälles</w:t>
      </w:r>
      <w:r w:rsidR="006272FD">
        <w:softHyphen/>
      </w:r>
      <w:r>
        <w:t>organisationerna bäst känner till. Det finns dock nästan ingen kunskap om andra specifika mål och det förekommer sammanblandning med andra finansieringsprogram och initiativ. EDIH-programmet, som omfattar alla regioner i EU, erkänns som en framgångsrik strategi och föreslås ofta som ett exempel som är värt att kopiera.</w:t>
      </w:r>
    </w:p>
    <w:p w:rsidRPr="009F3F65" w:rsidR="003130C2" w:rsidP="003130C2" w:rsidRDefault="003130C2" w14:paraId="09A728E2" w14:textId="77777777">
      <w:pPr>
        <w:spacing w:line="283" w:lineRule="auto"/>
        <w:rPr>
          <w:lang w:val="en-GB"/>
        </w:rPr>
      </w:pPr>
    </w:p>
    <w:p w:rsidRPr="009F3F65" w:rsidR="003130C2" w:rsidP="003130C2" w:rsidRDefault="003130C2" w14:paraId="6CD81155" w14:textId="77777777">
      <w:pPr>
        <w:pStyle w:val="Heading2"/>
        <w:spacing w:line="283" w:lineRule="auto"/>
      </w:pPr>
      <w:r>
        <w:t>Genomförandet av EDIH-programmet varierar inom EU. På grund av medlemsstaternas viktiga roll i programmets genomförande skiljer sig programmets relevans, erkännande och framsteg avsevärt mellan medlemsstaterna. Länderna har olika regler och strategier när det gäller nationella mål, urvalskriterier och EDIH:s roll som institution och i medfinansieringssystemen (från nationella offentliga budgetar, Europeiska regionala utvecklingsfonden (Eruf), faciliteten för återhämtning och resiliens eller andra källor). Till följd av detta varierar respondenternas åsikter om programmets ändamålsenlighet och övergripande relevans.</w:t>
      </w:r>
    </w:p>
    <w:p w:rsidRPr="009F3F65" w:rsidR="003130C2" w:rsidP="003130C2" w:rsidRDefault="003130C2" w14:paraId="381DE2AA" w14:textId="77777777">
      <w:pPr>
        <w:spacing w:line="283" w:lineRule="auto"/>
        <w:rPr>
          <w:lang w:val="en-GB"/>
        </w:rPr>
      </w:pPr>
    </w:p>
    <w:p w:rsidRPr="009F3F65" w:rsidR="003130C2" w:rsidP="003130C2" w:rsidRDefault="003130C2" w14:paraId="6D8D661A" w14:textId="77777777">
      <w:pPr>
        <w:pStyle w:val="Heading2"/>
        <w:spacing w:line="283" w:lineRule="auto"/>
      </w:pPr>
      <w:r>
        <w:t>Förutom EDIH-programmet uppvisar de andra programmålen ojämlikheter mellan stora EU-ekonomier och mindre regioner. Kombinationen av medfinansieringsinstrument skapar betydande förseningar, ojämlikheter mellan länderna och brist på gemensamt engagemang för att uppnå gemensamma mål, vilket hämmar det gränsöverskridande samarbetet.</w:t>
      </w:r>
    </w:p>
    <w:p w:rsidRPr="009F3F65" w:rsidR="003130C2" w:rsidP="003130C2" w:rsidRDefault="003130C2" w14:paraId="6492E52F" w14:textId="77777777">
      <w:pPr>
        <w:spacing w:line="283" w:lineRule="auto"/>
        <w:rPr>
          <w:lang w:val="en-GB"/>
        </w:rPr>
      </w:pPr>
    </w:p>
    <w:p w:rsidRPr="009F3F65" w:rsidR="003130C2" w:rsidP="003130C2" w:rsidRDefault="003130C2" w14:paraId="726F3215" w14:textId="77777777">
      <w:pPr>
        <w:pStyle w:val="Heading2"/>
        <w:spacing w:line="283" w:lineRule="auto"/>
      </w:pPr>
      <w:r>
        <w:t>Bristen på förståelse av samt kunskap och medvetenhet om de möjligheter som programmet erbjuder och avsaknaden av snabb, konsekvent och öppen kommunikation med offentliga myndigheter leder till ojämlik tillgång till information mellan länder och regioner.</w:t>
      </w:r>
    </w:p>
    <w:p w:rsidRPr="009F3F65" w:rsidR="003130C2" w:rsidP="003130C2" w:rsidRDefault="003130C2" w14:paraId="2EE1530E" w14:textId="77777777">
      <w:pPr>
        <w:spacing w:line="283" w:lineRule="auto"/>
        <w:rPr>
          <w:lang w:val="en-GB"/>
        </w:rPr>
      </w:pPr>
    </w:p>
    <w:p w:rsidRPr="009F3F65" w:rsidR="003130C2" w:rsidP="003130C2" w:rsidRDefault="003130C2" w14:paraId="153C0AA4" w14:textId="53F21938">
      <w:pPr>
        <w:pStyle w:val="Heading2"/>
        <w:spacing w:line="283" w:lineRule="auto"/>
      </w:pPr>
      <w:r>
        <w:t>Många intervjuer pekade på administrativa bördor och problem med programstyrning, såsom inledande kaos, komplicerade ansökningsförfaranden, rapportering och obesvarade frågor om moms, statsstödsmekanismer och gränsöverskridande samarbete. Detta belyser vikten av att förenkla de administrativa processerna, förbättra samordningen och stärka programförvaltnings</w:t>
      </w:r>
      <w:r w:rsidR="006272FD">
        <w:softHyphen/>
      </w:r>
      <w:r>
        <w:t>kapaciteten för att säkerställa ett ändamålsenligt genomförande och maximera genomslaget av programmet, särskilt EDIH-programmet.</w:t>
      </w:r>
    </w:p>
    <w:p w:rsidRPr="009F3F65" w:rsidR="003130C2" w:rsidP="003130C2" w:rsidRDefault="003130C2" w14:paraId="3B710527" w14:textId="77777777">
      <w:pPr>
        <w:spacing w:line="283" w:lineRule="auto"/>
        <w:rPr>
          <w:lang w:val="en-GB"/>
        </w:rPr>
      </w:pPr>
    </w:p>
    <w:p w:rsidRPr="009F3F65" w:rsidR="003130C2" w:rsidP="003130C2" w:rsidRDefault="003130C2" w14:paraId="79DF7F42" w14:textId="77777777">
      <w:pPr>
        <w:pStyle w:val="Heading2"/>
        <w:spacing w:line="283" w:lineRule="auto"/>
      </w:pPr>
      <w:r>
        <w:t>Analysen av de uppgifter och data som erhållits visar att de nuvarande medfinansieringssatserna hindrar ett brett antagande av programmet. I intervjuerna påpekade de flesta respondenter att satsen på 50 % gör programmet otillgängligt och uteslutande tillgängligt för stora och välfinansierade enheter. Medfinansieringssatsen, som kräver ett åtagande om 50/50, ansågs medföra ytterligare utmaningar. Organisationerna tvekar att engagera sig på grund av kontraktens komplexitet och långsiktiga karaktär. Att ge ekonomiskt stöd till fler mindre ansökningsomgångar med en lättare administrativ börda sågs som en bra lösning.</w:t>
      </w:r>
    </w:p>
    <w:p w:rsidRPr="009F3F65" w:rsidR="003130C2" w:rsidP="003130C2" w:rsidRDefault="003130C2" w14:paraId="0E21FBDE" w14:textId="77777777">
      <w:pPr>
        <w:spacing w:line="283" w:lineRule="auto"/>
        <w:rPr>
          <w:lang w:val="en-GB"/>
        </w:rPr>
      </w:pPr>
    </w:p>
    <w:p w:rsidRPr="009F3F65" w:rsidR="003130C2" w:rsidP="003130C2" w:rsidRDefault="003130C2" w14:paraId="48C834E9" w14:textId="77777777">
      <w:pPr>
        <w:pStyle w:val="Heading2"/>
        <w:spacing w:line="283" w:lineRule="auto"/>
      </w:pPr>
      <w:r>
        <w:t>Tydliga regler på både nationell nivå och EU-nivå är avgörande för en framgångsrik medfinansiering. Bristen på tydlighet kommer att fortsätta att begränsa takten i utvecklingen av programmet. Stödmottagarna uppfattade det som att medfinansieringen innebar en begränsning av innovationen, eftersom den medförde längre administrativa förfaranden och gjorde det mindre attraktivt för små berörda parter att delta i projekt.</w:t>
      </w:r>
    </w:p>
    <w:p w:rsidRPr="009F3F65" w:rsidR="003130C2" w:rsidP="003130C2" w:rsidRDefault="003130C2" w14:paraId="43A2B080" w14:textId="77777777">
      <w:pPr>
        <w:spacing w:line="283" w:lineRule="auto"/>
        <w:rPr>
          <w:lang w:val="en-GB"/>
        </w:rPr>
      </w:pPr>
    </w:p>
    <w:p w:rsidRPr="009F3F65" w:rsidR="003130C2" w:rsidP="003130C2" w:rsidRDefault="003130C2" w14:paraId="535A00E1" w14:textId="77777777">
      <w:pPr>
        <w:pStyle w:val="Heading2"/>
        <w:spacing w:line="283" w:lineRule="auto"/>
      </w:pPr>
      <w:r>
        <w:t>Även om insatser görs för att främja avancerade digitala färdigheter behövs det fortfarande ändamålsenliga genomförandestrategier för att tillgodose arbetskraftens nya behov.</w:t>
      </w:r>
    </w:p>
    <w:p w:rsidRPr="009F3F65" w:rsidR="003130C2" w:rsidP="003130C2" w:rsidRDefault="003130C2" w14:paraId="3EE0A489" w14:textId="77777777">
      <w:pPr>
        <w:spacing w:line="283" w:lineRule="auto"/>
        <w:rPr>
          <w:lang w:val="en-GB"/>
        </w:rPr>
      </w:pPr>
    </w:p>
    <w:p w:rsidRPr="009F3F65" w:rsidR="003130C2" w:rsidP="003130C2" w:rsidRDefault="003130C2" w14:paraId="4B14EBB8" w14:textId="77777777">
      <w:pPr>
        <w:pStyle w:val="Heading2"/>
        <w:spacing w:line="283" w:lineRule="auto"/>
      </w:pPr>
      <w:r>
        <w:lastRenderedPageBreak/>
        <w:t>Programmet har gjort en betydande insats för att stödja kvinnor inom teknik genom att erkänna vikten av könsinkludering inom den digitala sektorn. De berörda parternas bedömningar är dock blandade. Det finns visserligen lovvärda initiativ som syftar till att engagera kvinnor och flickor i teknik, såsom mentorskapsprogram och riktad utbildning, men deltagarna uttryckte oro över dessa åtgärders ändamålsenlighet och synlighet. Berörda parter från olika länder noterade en brist på utåtriktad verksamhet när det gäller programmets initiativ med inriktning på kvinnor och gjorde en bredare iakttagelse att många pågående program saknar direkt deltagande av det civila samhället och arbetsmarknadens parter.</w:t>
      </w:r>
    </w:p>
    <w:p w:rsidRPr="009F3F65" w:rsidR="003130C2" w:rsidP="003130C2" w:rsidRDefault="003130C2" w14:paraId="7CA3C469" w14:textId="77777777">
      <w:pPr>
        <w:spacing w:line="283" w:lineRule="auto"/>
        <w:rPr>
          <w:lang w:val="en-GB"/>
        </w:rPr>
      </w:pPr>
    </w:p>
    <w:p w:rsidRPr="009F3F65" w:rsidR="003130C2" w:rsidP="003130C2" w:rsidRDefault="003130C2" w14:paraId="31B2F6CB" w14:textId="77777777">
      <w:pPr>
        <w:pStyle w:val="Heading2"/>
        <w:spacing w:line="283" w:lineRule="auto"/>
      </w:pPr>
      <w:r>
        <w:t>Även om initiativ inom forskning, utveckling och entreprenörskap har tagits emot väl har den högre utbildningen kritiserats för sin bristande effektivitet när det gäller att främja kvinnors deltagande. Även om programmet anses värdefullt för att främja en jämn könsfördelning inom teknikindustrin betonar de berörda parterna på det hela taget vikten av förbättrad kommunikation, ökat engagemang av kvinnor och ett strategiskt fokus på att anpassa utbildnings- och industribehoven för att förbättra dessa initiativs genomslag.</w:t>
      </w:r>
    </w:p>
    <w:p w:rsidRPr="009F3F65" w:rsidR="003130C2" w:rsidP="003130C2" w:rsidRDefault="003130C2" w14:paraId="39B28CF5" w14:textId="77777777">
      <w:pPr>
        <w:spacing w:line="283" w:lineRule="auto"/>
        <w:rPr>
          <w:lang w:val="en-GB"/>
        </w:rPr>
      </w:pPr>
    </w:p>
    <w:p w:rsidRPr="009F3F65" w:rsidR="003130C2" w:rsidP="0005674E" w:rsidRDefault="003130C2" w14:paraId="11D66A39" w14:textId="77777777">
      <w:pPr>
        <w:pStyle w:val="Heading1"/>
        <w:keepNext/>
        <w:keepLines/>
        <w:spacing w:line="283" w:lineRule="auto"/>
      </w:pPr>
      <w:r>
        <w:rPr>
          <w:b/>
        </w:rPr>
        <w:t>Särskilda kommentarer</w:t>
      </w:r>
    </w:p>
    <w:p w:rsidRPr="009F3F65" w:rsidR="003130C2" w:rsidP="0005674E" w:rsidRDefault="003130C2" w14:paraId="69B5D0AA" w14:textId="77777777">
      <w:pPr>
        <w:keepNext/>
        <w:keepLines/>
        <w:spacing w:line="283" w:lineRule="auto"/>
        <w:rPr>
          <w:lang w:val="en-GB"/>
        </w:rPr>
      </w:pPr>
    </w:p>
    <w:p w:rsidRPr="009F3F65" w:rsidR="003130C2" w:rsidP="0005674E" w:rsidRDefault="003130C2" w14:paraId="7F13004A" w14:textId="77777777">
      <w:pPr>
        <w:pStyle w:val="Heading2"/>
        <w:keepNext/>
        <w:keepLines/>
        <w:spacing w:line="283" w:lineRule="auto"/>
      </w:pPr>
      <w:r>
        <w:t>Ändamålsenlighet</w:t>
      </w:r>
    </w:p>
    <w:p w:rsidRPr="009F3F65" w:rsidR="003130C2" w:rsidP="0005674E" w:rsidRDefault="003130C2" w14:paraId="16FF24BA" w14:textId="77777777">
      <w:pPr>
        <w:keepNext/>
        <w:keepLines/>
        <w:spacing w:line="283" w:lineRule="auto"/>
        <w:rPr>
          <w:lang w:val="en-GB"/>
        </w:rPr>
      </w:pPr>
    </w:p>
    <w:p w:rsidRPr="009F3F65" w:rsidR="003130C2" w:rsidP="003130C2" w:rsidRDefault="003130C2" w14:paraId="5530A133" w14:textId="77777777">
      <w:pPr>
        <w:pStyle w:val="Heading3"/>
        <w:spacing w:line="283" w:lineRule="auto"/>
      </w:pPr>
      <w:r>
        <w:t>De flesta respondenter håller med om att verksamheten inom programmet har en positiv inverkan på regionala ekosystem och formar den digitala omvandlingen av EU:s ekonomi. Verksamheten inom programmet identifieras dock ofta som ett EDIH-program eller förväxlas med allmänna initiativ för digital omvandling eller kompetensinitiativ som finansieras av flera offentliga finansieringskällor.</w:t>
      </w:r>
    </w:p>
    <w:p w:rsidRPr="009F3F65" w:rsidR="003130C2" w:rsidP="003130C2" w:rsidRDefault="003130C2" w14:paraId="45A5131E" w14:textId="77777777">
      <w:pPr>
        <w:spacing w:line="283" w:lineRule="auto"/>
        <w:rPr>
          <w:lang w:val="en-GB"/>
        </w:rPr>
      </w:pPr>
    </w:p>
    <w:p w:rsidRPr="009F3F65" w:rsidR="003130C2" w:rsidP="003130C2" w:rsidRDefault="003130C2" w14:paraId="68DB4DD2" w14:textId="77777777">
      <w:pPr>
        <w:pStyle w:val="Heading3"/>
        <w:spacing w:line="283" w:lineRule="auto"/>
      </w:pPr>
      <w:r>
        <w:t>Intervjuer i flera länder, t.ex. Polen och Sverige, gav upphov till tvivel om huruvida små och medelstora företag kan dra full nytta av de möjligheter som programmet erbjuder. Bristen på medvetenhet och strategiskt tillvägagångssätt identifierades som viktiga bidragande faktorer.</w:t>
      </w:r>
    </w:p>
    <w:p w:rsidRPr="009F3F65" w:rsidR="003130C2" w:rsidP="003130C2" w:rsidRDefault="003130C2" w14:paraId="40456F05" w14:textId="77777777">
      <w:pPr>
        <w:spacing w:line="283" w:lineRule="auto"/>
        <w:rPr>
          <w:lang w:val="en-GB"/>
        </w:rPr>
      </w:pPr>
    </w:p>
    <w:p w:rsidRPr="009F3F65" w:rsidR="003130C2" w:rsidP="003130C2" w:rsidRDefault="003130C2" w14:paraId="42C0E4B7" w14:textId="77777777">
      <w:pPr>
        <w:pStyle w:val="Heading3"/>
        <w:spacing w:line="283" w:lineRule="auto"/>
      </w:pPr>
      <w:r>
        <w:t>63 % av respondenterna anser att verksamheten inom programmet är ändamålsenlig. Samtidigt var 28 % inte säkra på hur de skulle besvara frågan. Värt att noteras är att andelen osäkra respondenter i Tyskland uppgick till 13 %, jämfört med 67 % i Malta, vilket tyder på skillnader mellan medlemsstaterna när det gäller att framgångsrikt genomföra program och öka medvetenheten inom ekosystemet.</w:t>
      </w:r>
    </w:p>
    <w:p w:rsidRPr="009F3F65" w:rsidR="003130C2" w:rsidP="003130C2" w:rsidRDefault="003130C2" w14:paraId="7D130869" w14:textId="77777777">
      <w:pPr>
        <w:spacing w:line="283" w:lineRule="auto"/>
        <w:rPr>
          <w:lang w:val="en-GB"/>
        </w:rPr>
      </w:pPr>
    </w:p>
    <w:p w:rsidRPr="009F3F65" w:rsidR="003130C2" w:rsidP="003130C2" w:rsidRDefault="003130C2" w14:paraId="5E368C5E" w14:textId="599CC76A">
      <w:pPr>
        <w:pStyle w:val="Heading3"/>
        <w:spacing w:line="283" w:lineRule="auto"/>
      </w:pPr>
      <w:r>
        <w:t>EU-länder med en strategisk vision och strategiska resurser samt bestämda medfinansierings</w:t>
      </w:r>
      <w:r w:rsidR="006272FD">
        <w:softHyphen/>
      </w:r>
      <w:r>
        <w:t>mekanismer har bättre förutsättningar att locka finansiering, bilda flerlandskonsortier och vinna projekt, vilket skapar en ännu större klyfta mellan EU-länderna när det gäller införande av digital teknik och utnyttjande av EU-medel.</w:t>
      </w:r>
    </w:p>
    <w:p w:rsidRPr="009F3F65" w:rsidR="003130C2" w:rsidP="003130C2" w:rsidRDefault="003130C2" w14:paraId="6DB3E576" w14:textId="77777777">
      <w:pPr>
        <w:spacing w:line="283" w:lineRule="auto"/>
        <w:rPr>
          <w:lang w:val="en-GB"/>
        </w:rPr>
      </w:pPr>
    </w:p>
    <w:p w:rsidRPr="009F3F65" w:rsidR="003130C2" w:rsidP="003130C2" w:rsidRDefault="003130C2" w14:paraId="2976CE9D" w14:textId="77777777">
      <w:pPr>
        <w:pStyle w:val="Heading3"/>
        <w:spacing w:line="283" w:lineRule="auto"/>
      </w:pPr>
      <w:r>
        <w:t>Företrädare för Malta har lyft fram svårigheterna med att använda EU-program vars tillämpningsområden överlappar varandra. Detta förutsätter nödvändiga resurser och insatser för att anpassa de strategiska målen till rätt ansökningsomgångar och en korrekt användning av medlen.</w:t>
      </w:r>
    </w:p>
    <w:p w:rsidRPr="009F3F65" w:rsidR="003130C2" w:rsidP="003130C2" w:rsidRDefault="003130C2" w14:paraId="4DE1227E" w14:textId="77777777">
      <w:pPr>
        <w:spacing w:line="283" w:lineRule="auto"/>
        <w:rPr>
          <w:lang w:val="en-GB"/>
        </w:rPr>
      </w:pPr>
    </w:p>
    <w:p w:rsidRPr="009F3F65" w:rsidR="003130C2" w:rsidP="003130C2" w:rsidRDefault="003130C2" w14:paraId="50F52439" w14:textId="77777777">
      <w:pPr>
        <w:pStyle w:val="Heading3"/>
        <w:spacing w:line="283" w:lineRule="auto"/>
      </w:pPr>
      <w:r>
        <w:lastRenderedPageBreak/>
        <w:t>På frågan om hur ändamålsenligt programmet är när det gäller att främja digitala färdigheter kunde 56 % inte svara. Endast 26 % ansåg det vara ”måttligt ändamålsenligt”, och 14 % ”inte särskilt ändamålsenligt”. Berörda parter betonade behovet av mer finansiering för utbildningsprogram för digitala färdigheter, särskilt på gymnasie- och högskolenivå. Det behövs också initiativ för att överbrygga klyftan mellan akademiska institutioner och industrins behov.</w:t>
      </w:r>
    </w:p>
    <w:p w:rsidRPr="009F3F65" w:rsidR="003130C2" w:rsidP="003130C2" w:rsidRDefault="003130C2" w14:paraId="677B807D" w14:textId="77777777">
      <w:pPr>
        <w:spacing w:line="283" w:lineRule="auto"/>
        <w:rPr>
          <w:lang w:val="en-GB"/>
        </w:rPr>
      </w:pPr>
    </w:p>
    <w:p w:rsidRPr="009F3F65" w:rsidR="003130C2" w:rsidP="003130C2" w:rsidRDefault="003130C2" w14:paraId="07FD16D4" w14:textId="77777777">
      <w:pPr>
        <w:pStyle w:val="Heading3"/>
        <w:spacing w:line="283" w:lineRule="auto"/>
      </w:pPr>
      <w:r>
        <w:t>I Polen noterade berörda parter ett behov av sammanhållna digitaliseringsinsatser vid lokala universitet och industrier för att förbättra de övergripande ekosystemen för digitala färdigheter. De polska deltagarna betonade behovet av investeringar på strategiska områden såsom 5G-nät, kompetensutveckling inom naturvetenskap, teknik, ingenjörsvetenskap och matematik (särskilt för kvinnor) och förbättringar av IKT-värdekedjan.</w:t>
      </w:r>
    </w:p>
    <w:p w:rsidRPr="009F3F65" w:rsidR="003130C2" w:rsidP="003130C2" w:rsidRDefault="003130C2" w14:paraId="13616736" w14:textId="77777777">
      <w:pPr>
        <w:spacing w:line="283" w:lineRule="auto"/>
        <w:rPr>
          <w:lang w:val="en-GB"/>
        </w:rPr>
      </w:pPr>
    </w:p>
    <w:p w:rsidRPr="009F3F65" w:rsidR="003130C2" w:rsidP="003130C2" w:rsidRDefault="003130C2" w14:paraId="1AC12BD5" w14:textId="77777777">
      <w:pPr>
        <w:pStyle w:val="Heading3"/>
        <w:spacing w:line="283" w:lineRule="auto"/>
      </w:pPr>
      <w:r>
        <w:t>De berörda parterna hade olika åsikter om hur ändamålsenliga de nationella kontaktpunkterna är när det gäller att underlätta nätverksbyggande och samarbete mellan berörda parter. Vissa respondenter framhöll den positiva roll som de nationella kontaktpunkterna spelar, men en betydande andel ansåg att deras deltagande var ”föga relevant”. Vissa berörda parter efterlyste bättre utbildning och vägledning för de nationella kontaktpunkterna om den verksamhet de bör utföra.</w:t>
      </w:r>
    </w:p>
    <w:p w:rsidRPr="009F3F65" w:rsidR="003130C2" w:rsidP="003130C2" w:rsidRDefault="003130C2" w14:paraId="7FBB3A1B" w14:textId="77777777">
      <w:pPr>
        <w:spacing w:line="283" w:lineRule="auto"/>
        <w:rPr>
          <w:lang w:val="en-GB"/>
        </w:rPr>
      </w:pPr>
    </w:p>
    <w:p w:rsidRPr="009F3F65" w:rsidR="003130C2" w:rsidP="003130C2" w:rsidRDefault="003130C2" w14:paraId="4CB112B2" w14:textId="77777777">
      <w:pPr>
        <w:pStyle w:val="Heading3"/>
        <w:spacing w:line="283" w:lineRule="auto"/>
      </w:pPr>
      <w:r>
        <w:t>Företrädare för de polska offentliga myndigheterna betonade vikten av att de nationella kontaktpunkterna ges åtkomst till programmets databaser för att förbättra sin kommunikation med stödmottagarna. I Malta noterade berörda parter en försening i de tjänster som tillhandahålls av de nationella kontaktpunkterna. De menade att programmet måste främjas bättre på lokal nivå jämfört med andra EU-finansieringsinitiativ som är mer allmänt kända.</w:t>
      </w:r>
    </w:p>
    <w:p w:rsidRPr="009F3F65" w:rsidR="003130C2" w:rsidP="003130C2" w:rsidRDefault="003130C2" w14:paraId="40271E4A" w14:textId="77777777">
      <w:pPr>
        <w:spacing w:line="283" w:lineRule="auto"/>
        <w:rPr>
          <w:lang w:val="en-GB"/>
        </w:rPr>
      </w:pPr>
    </w:p>
    <w:p w:rsidRPr="009F3F65" w:rsidR="003130C2" w:rsidP="003130C2" w:rsidRDefault="003130C2" w14:paraId="37C1DEBD" w14:textId="4BFC98C1">
      <w:pPr>
        <w:pStyle w:val="Heading3"/>
        <w:spacing w:line="283" w:lineRule="auto"/>
      </w:pPr>
      <w:r>
        <w:t>De tyska berörda parterna framhöll vikten av att stärka förbindelserna mellan den europeiska och den nationella dimensionen genom ett mer robust nätverk av nationella kontaktpunkter. De</w:t>
      </w:r>
      <w:r w:rsidR="006272FD">
        <w:t> </w:t>
      </w:r>
      <w:r>
        <w:t>menade att en omfattande analys som integrerar både EU-perspektiv och nationella perspektiv skulle öka de nationella kontaktpunkternas ändamålsenlighet.</w:t>
      </w:r>
    </w:p>
    <w:p w:rsidRPr="009F3F65" w:rsidR="003130C2" w:rsidP="003130C2" w:rsidRDefault="003130C2" w14:paraId="238ADB0B" w14:textId="77777777">
      <w:pPr>
        <w:spacing w:line="283" w:lineRule="auto"/>
        <w:rPr>
          <w:lang w:val="en-GB"/>
        </w:rPr>
      </w:pPr>
    </w:p>
    <w:p w:rsidRPr="009F3F65" w:rsidR="003130C2" w:rsidP="003130C2" w:rsidRDefault="003130C2" w14:paraId="2101FB6E" w14:textId="77777777">
      <w:pPr>
        <w:pStyle w:val="Heading2"/>
        <w:spacing w:line="283" w:lineRule="auto"/>
      </w:pPr>
      <w:r>
        <w:t>Relevans</w:t>
      </w:r>
    </w:p>
    <w:p w:rsidRPr="009F3F65" w:rsidR="003130C2" w:rsidP="003130C2" w:rsidRDefault="003130C2" w14:paraId="64177AE8" w14:textId="77777777">
      <w:pPr>
        <w:spacing w:line="283" w:lineRule="auto"/>
        <w:rPr>
          <w:lang w:val="en-GB"/>
        </w:rPr>
      </w:pPr>
    </w:p>
    <w:p w:rsidRPr="009F3F65" w:rsidR="003130C2" w:rsidP="003130C2" w:rsidRDefault="003130C2" w14:paraId="73D30F36" w14:textId="2C98C23E">
      <w:pPr>
        <w:pStyle w:val="Heading3"/>
        <w:spacing w:line="283" w:lineRule="auto"/>
      </w:pPr>
      <w:r>
        <w:t>Länder med väldefinierade mål tenderar att uppnå större framgång och synlighet. De tyska myndigheterna lyfte fram en tydlig strategisk vision och de europeiska digitala innovations</w:t>
      </w:r>
      <w:r w:rsidR="006272FD">
        <w:softHyphen/>
      </w:r>
      <w:r>
        <w:t>knutpunkternas centrala roll i den digitala omvandlingen, till skillnad från i Malta, där de maltesiska europeiska digitala innovationsknutpunkternas roll och tjänster fortfarande håller på att utformas.</w:t>
      </w:r>
    </w:p>
    <w:p w:rsidRPr="009F3F65" w:rsidR="003130C2" w:rsidP="003130C2" w:rsidRDefault="003130C2" w14:paraId="02FB9144" w14:textId="77777777">
      <w:pPr>
        <w:spacing w:line="283" w:lineRule="auto"/>
        <w:rPr>
          <w:lang w:val="en-GB"/>
        </w:rPr>
      </w:pPr>
    </w:p>
    <w:p w:rsidRPr="009F3F65" w:rsidR="003130C2" w:rsidP="003130C2" w:rsidRDefault="003130C2" w14:paraId="0800A0EB" w14:textId="320F2CBB">
      <w:pPr>
        <w:pStyle w:val="Heading3"/>
        <w:spacing w:line="283" w:lineRule="auto"/>
      </w:pPr>
      <w:r>
        <w:t>De flesta respondenter anser att programmet spelar en avgörande roll för EU:s ekonomiska tillväxt och konkurrenskraft, men menar att det är för tidigt att bedöma dess genomslag. De</w:t>
      </w:r>
      <w:r w:rsidR="006272FD">
        <w:t> </w:t>
      </w:r>
      <w:r>
        <w:t>förespråkar att programmet ska stödja lika finansiering i EU:s regioner permanent.</w:t>
      </w:r>
    </w:p>
    <w:p w:rsidRPr="009F3F65" w:rsidR="003130C2" w:rsidP="003130C2" w:rsidRDefault="003130C2" w14:paraId="1B2A083B" w14:textId="77777777">
      <w:pPr>
        <w:spacing w:line="283" w:lineRule="auto"/>
        <w:rPr>
          <w:lang w:val="en-GB"/>
        </w:rPr>
      </w:pPr>
    </w:p>
    <w:p w:rsidRPr="009F3F65" w:rsidR="003130C2" w:rsidP="003130C2" w:rsidRDefault="003130C2" w14:paraId="368A7406" w14:textId="496B3C54">
      <w:pPr>
        <w:pStyle w:val="Heading3"/>
        <w:spacing w:line="283" w:lineRule="auto"/>
      </w:pPr>
      <w:r>
        <w:t>Portugisiska berörda parter framhöll behovet av att de europeiska digitala innovations</w:t>
      </w:r>
      <w:r w:rsidR="006272FD">
        <w:softHyphen/>
      </w:r>
      <w:r>
        <w:t>knutpunkterna blir självständiga, och betonade att de måste vara oberoende av projektfinansiering för att visa sitt värde för företagen.</w:t>
      </w:r>
    </w:p>
    <w:p w:rsidRPr="009F3F65" w:rsidR="003130C2" w:rsidP="003130C2" w:rsidRDefault="003130C2" w14:paraId="7891E866" w14:textId="77777777">
      <w:pPr>
        <w:spacing w:line="283" w:lineRule="auto"/>
        <w:rPr>
          <w:lang w:val="en-GB"/>
        </w:rPr>
      </w:pPr>
    </w:p>
    <w:p w:rsidRPr="009F3F65" w:rsidR="003130C2" w:rsidP="003130C2" w:rsidRDefault="003130C2" w14:paraId="108D8DE3" w14:textId="77777777">
      <w:pPr>
        <w:pStyle w:val="Heading3"/>
        <w:spacing w:line="283" w:lineRule="auto"/>
      </w:pPr>
      <w:r>
        <w:lastRenderedPageBreak/>
        <w:t>Slutligen betonades vikten av att integrera hållbarhet i de digitala projekten inom programmet, och framhölls behovet av grön teknik och gröna metoder.</w:t>
      </w:r>
    </w:p>
    <w:p w:rsidRPr="009F3F65" w:rsidR="003130C2" w:rsidP="003130C2" w:rsidRDefault="003130C2" w14:paraId="2189089F" w14:textId="77777777">
      <w:pPr>
        <w:spacing w:line="283" w:lineRule="auto"/>
        <w:rPr>
          <w:lang w:val="en-GB"/>
        </w:rPr>
      </w:pPr>
    </w:p>
    <w:p w:rsidRPr="009F3F65" w:rsidR="003130C2" w:rsidP="003130C2" w:rsidRDefault="003130C2" w14:paraId="211C765C" w14:textId="77777777">
      <w:pPr>
        <w:pStyle w:val="Heading2"/>
        <w:spacing w:line="283" w:lineRule="auto"/>
      </w:pPr>
      <w:r>
        <w:t>Det civila samhällets deltagande och mervärde</w:t>
      </w:r>
    </w:p>
    <w:p w:rsidRPr="009F3F65" w:rsidR="003130C2" w:rsidP="003130C2" w:rsidRDefault="003130C2" w14:paraId="5BF55C8B" w14:textId="77777777">
      <w:pPr>
        <w:spacing w:line="283" w:lineRule="auto"/>
        <w:rPr>
          <w:lang w:val="en-GB"/>
        </w:rPr>
      </w:pPr>
    </w:p>
    <w:p w:rsidRPr="009F3F65" w:rsidR="003130C2" w:rsidP="003130C2" w:rsidRDefault="003130C2" w14:paraId="6EEC3861" w14:textId="77777777">
      <w:pPr>
        <w:pStyle w:val="Heading3"/>
        <w:spacing w:line="283" w:lineRule="auto"/>
      </w:pPr>
      <w:r>
        <w:t>Vid samråden konstaterades att det civila samhället måste göras mer delaktigt i utformningen av program på nationell nivå och EU-nivå. Berörda parter betonade vikten av att skapa EU-program som är mindre byråkratiska och mer användarvänliga. På frågan om arbetsmarknadsparternas och civilsamhällesorganisationernas deltagande i utformningen av åtgärder och verksamhet inom programmet för ett digitalt Europa i respektive länder kunde 42 % inte svara, och 30 % ansåg att det inte var särskilt bra, 14 % måttligt bra och bara 7 % mycket bra.</w:t>
      </w:r>
    </w:p>
    <w:p w:rsidRPr="009F3F65" w:rsidR="003130C2" w:rsidP="003130C2" w:rsidRDefault="003130C2" w14:paraId="773BD30D" w14:textId="77777777">
      <w:pPr>
        <w:spacing w:line="283" w:lineRule="auto"/>
        <w:rPr>
          <w:lang w:val="en-GB"/>
        </w:rPr>
      </w:pPr>
    </w:p>
    <w:p w:rsidRPr="009F3F65" w:rsidR="003130C2" w:rsidP="003130C2" w:rsidRDefault="003130C2" w14:paraId="4D1C96A1" w14:textId="77777777">
      <w:pPr>
        <w:pStyle w:val="Heading3"/>
        <w:spacing w:line="283" w:lineRule="auto"/>
      </w:pPr>
      <w:r>
        <w:t>Under intervjuerna betonade företrädare för tyska offentliga myndigheter bristen på strukturerat utbyte med arbetsmarknadens parter om utformningen och genomförandet av programmet. Det nämndes dock att ett sådant utbyte fanns inom ramen för annan finansiering med inriktning på digital omvandling på nationell nivå.</w:t>
      </w:r>
    </w:p>
    <w:p w:rsidRPr="009F3F65" w:rsidR="003130C2" w:rsidP="003130C2" w:rsidRDefault="003130C2" w14:paraId="5CCB7089" w14:textId="77777777">
      <w:pPr>
        <w:spacing w:line="283" w:lineRule="auto"/>
        <w:rPr>
          <w:lang w:val="en-GB"/>
        </w:rPr>
      </w:pPr>
    </w:p>
    <w:p w:rsidRPr="009F3F65" w:rsidR="003130C2" w:rsidP="003130C2" w:rsidRDefault="003130C2" w14:paraId="03A90DA4" w14:textId="77777777">
      <w:pPr>
        <w:pStyle w:val="Heading3"/>
        <w:spacing w:line="283" w:lineRule="auto"/>
      </w:pPr>
      <w:r>
        <w:t>I intervjuerna och enkäterna identifierades inga tydliga tendenser i synpunkterna från grupper i det civila samhället och arbetstagarorganisationer, vilket tyder på olika förväntningar eller ett behov av mer allmän information om programmet. Detta belyser behovet av inkluderande dialog och samarbete med berörda parter för att bemöta deras specifika problem och prioriteringar.</w:t>
      </w:r>
    </w:p>
    <w:p w:rsidRPr="009F3F65" w:rsidR="003130C2" w:rsidP="003130C2" w:rsidRDefault="003130C2" w14:paraId="077D0634" w14:textId="77777777">
      <w:pPr>
        <w:spacing w:line="283" w:lineRule="auto"/>
        <w:rPr>
          <w:lang w:val="en-GB"/>
        </w:rPr>
      </w:pPr>
    </w:p>
    <w:p w:rsidRPr="009F3F65" w:rsidR="003130C2" w:rsidP="003130C2" w:rsidRDefault="003130C2" w14:paraId="6263A027" w14:textId="77777777">
      <w:pPr>
        <w:pStyle w:val="Heading3"/>
        <w:spacing w:line="283" w:lineRule="auto"/>
      </w:pPr>
      <w:r>
        <w:t>Det finns en utbredd uppfattning om att det civila samhällets organisationer behöver mer allmän information och kommunikation om EU-program, inklusive programmet för ett digitalt Europa. Bara 12 % av respondenterna ansåg att kommunikationen var mycket bra, och 54 % ansåg att den kunde ha varit bättre. Detta belyser behovet av mer robusta, inkluderande och proaktiva strategier för att involvera alla berörda parter i genomförandet av programmet.</w:t>
      </w:r>
    </w:p>
    <w:p w:rsidRPr="009F3F65" w:rsidR="003130C2" w:rsidP="003130C2" w:rsidRDefault="003130C2" w14:paraId="2303D8E7" w14:textId="77777777">
      <w:pPr>
        <w:spacing w:line="283" w:lineRule="auto"/>
        <w:rPr>
          <w:lang w:val="en-GB"/>
        </w:rPr>
      </w:pPr>
    </w:p>
    <w:p w:rsidRPr="009F3F65" w:rsidR="003130C2" w:rsidP="003130C2" w:rsidRDefault="003130C2" w14:paraId="65A4DC80" w14:textId="77777777">
      <w:pPr>
        <w:pStyle w:val="Heading3"/>
        <w:spacing w:line="283" w:lineRule="auto"/>
      </w:pPr>
      <w:r>
        <w:t>Dessutom noterade företrädare för offentliga institutioner också att det saknades information hos den nationella kontaktpunkten eller de viktigaste offentliga aktörer som deltar i programmet. Vidare var respondenterna ofta förvirrade beträffande andra initiativ och finansieringskällor.</w:t>
      </w:r>
    </w:p>
    <w:p w:rsidRPr="009F3F65" w:rsidR="003130C2" w:rsidP="003130C2" w:rsidRDefault="003130C2" w14:paraId="00ABF864" w14:textId="77777777">
      <w:pPr>
        <w:spacing w:line="283" w:lineRule="auto"/>
        <w:rPr>
          <w:lang w:val="en-GB"/>
        </w:rPr>
      </w:pPr>
    </w:p>
    <w:p w:rsidRPr="009F3F65" w:rsidR="003130C2" w:rsidP="003130C2" w:rsidRDefault="003130C2" w14:paraId="6064B84B" w14:textId="77777777">
      <w:pPr>
        <w:pStyle w:val="Heading3"/>
        <w:spacing w:line="283" w:lineRule="auto"/>
      </w:pPr>
      <w:r>
        <w:t>Ett annat hinder för civilsamhällesorganisationernas verkliga delaktighet är deras låga kapacitet, vilket visar på ett behov av specialiserad personal och resurser för att övervaka programmen och dra full nytta av de möjligheter som ges. Företrädare från Sverige efterlyste förenkling och mindre byråkrati för att öka det civila samhällets deltagande.</w:t>
      </w:r>
    </w:p>
    <w:p w:rsidRPr="009F3F65" w:rsidR="003130C2" w:rsidP="003130C2" w:rsidRDefault="003130C2" w14:paraId="12FEF648" w14:textId="77777777">
      <w:pPr>
        <w:spacing w:line="283" w:lineRule="auto"/>
        <w:rPr>
          <w:lang w:val="en-GB"/>
        </w:rPr>
      </w:pPr>
    </w:p>
    <w:p w:rsidRPr="009F3F65" w:rsidR="003130C2" w:rsidP="0005674E" w:rsidRDefault="003130C2" w14:paraId="5A3AEFB6" w14:textId="77777777">
      <w:pPr>
        <w:pStyle w:val="Heading1"/>
        <w:keepNext/>
        <w:keepLines/>
        <w:spacing w:line="283" w:lineRule="auto"/>
        <w:rPr>
          <w:b/>
        </w:rPr>
      </w:pPr>
      <w:r>
        <w:rPr>
          <w:b/>
        </w:rPr>
        <w:t>Rekommendationer</w:t>
      </w:r>
    </w:p>
    <w:p w:rsidRPr="009F3F65" w:rsidR="003130C2" w:rsidP="0005674E" w:rsidRDefault="003130C2" w14:paraId="220B04DE" w14:textId="77777777">
      <w:pPr>
        <w:keepNext/>
        <w:keepLines/>
        <w:spacing w:line="283" w:lineRule="auto"/>
        <w:rPr>
          <w:lang w:val="en-GB"/>
        </w:rPr>
      </w:pPr>
    </w:p>
    <w:p w:rsidRPr="009F3F65" w:rsidR="003130C2" w:rsidP="003130C2" w:rsidRDefault="003130C2" w14:paraId="1BC673C5" w14:textId="77777777">
      <w:pPr>
        <w:pStyle w:val="Heading2"/>
        <w:spacing w:line="283" w:lineRule="auto"/>
      </w:pPr>
      <w:r>
        <w:rPr>
          <w:b/>
        </w:rPr>
        <w:t>Öka medvetenheten och kommunikationen om programmet</w:t>
      </w:r>
      <w:r>
        <w:t>: EESK föreslår att kommissionen utvecklar en integrerad kommunikationsstrategi för att öka medvetenheten om programmet bland olika beröra parter. Dessa berörda parter omfattar arbetsmarknadens parter, små och medelstora företag, offentliga myndigheter, utbildningsinstitutioner och det civila samhället. Målet är att klargöra finansieringsmöjligheterna och öka de berörda parternas engagemang.</w:t>
      </w:r>
    </w:p>
    <w:p w:rsidRPr="009F3F65" w:rsidR="003130C2" w:rsidP="003130C2" w:rsidRDefault="003130C2" w14:paraId="27540C1C" w14:textId="77777777">
      <w:pPr>
        <w:spacing w:line="283" w:lineRule="auto"/>
        <w:jc w:val="left"/>
        <w:rPr>
          <w:lang w:val="en-GB"/>
        </w:rPr>
      </w:pPr>
    </w:p>
    <w:p w:rsidRPr="009F3F65" w:rsidR="003130C2" w:rsidP="003130C2" w:rsidRDefault="003130C2" w14:paraId="5E6142D8" w14:textId="2F8EEAD0">
      <w:pPr>
        <w:pStyle w:val="Heading2"/>
        <w:spacing w:line="283" w:lineRule="auto"/>
      </w:pPr>
      <w:r>
        <w:lastRenderedPageBreak/>
        <w:t xml:space="preserve">EESK rekommenderar att kommissionen </w:t>
      </w:r>
      <w:r>
        <w:rPr>
          <w:b/>
        </w:rPr>
        <w:t>lägger stor vikt vid strategisk utveckling och undanröjande av hinder i medlemsstaterna när det gäller genomförandet av programmet</w:t>
      </w:r>
      <w:r>
        <w:t>, och betonar att kommissionen har huvudansvaret för dess genomförande genom direkt förvaltning. Kommittén uppmanar kommissionen att erbjuda bättre vägledning och stöd för att säkerställa att varje medlemsstat effektivt kan ta itu med utmaningarna och anpassa sina initiativ till programmets mål. Dessutom betonar vi behovet av att varje medlemsstat skapar en tydlig strategi och handlingsplan för genomförandet som är anpassad till programmets mål. Genom att fastställa dessa roller och kräva samstämmiga handlingsplaner kan kommissionen öka transparensen, ansvarsskyldigheten och samarbetet och därigenom underlätta samordnade insatser för att uppnå målen för den digitala omvandlingen i hela EU.</w:t>
      </w:r>
    </w:p>
    <w:p w:rsidRPr="009F3F65" w:rsidR="003130C2" w:rsidP="003130C2" w:rsidRDefault="003130C2" w14:paraId="544E4CE8" w14:textId="77777777">
      <w:pPr>
        <w:pStyle w:val="Heading2"/>
        <w:numPr>
          <w:ilvl w:val="0"/>
          <w:numId w:val="0"/>
        </w:numPr>
        <w:spacing w:line="283" w:lineRule="auto"/>
        <w:rPr>
          <w:lang w:val="en-GB"/>
        </w:rPr>
      </w:pPr>
    </w:p>
    <w:p w:rsidRPr="009F3F65" w:rsidR="003130C2" w:rsidP="003130C2" w:rsidRDefault="003130C2" w14:paraId="5AE94476" w14:textId="77777777">
      <w:pPr>
        <w:pStyle w:val="Heading2"/>
        <w:spacing w:line="283" w:lineRule="auto"/>
      </w:pPr>
      <w:r>
        <w:rPr>
          <w:b/>
        </w:rPr>
        <w:t>Stärka medfinansieringsstrukturerna</w:t>
      </w:r>
      <w:r>
        <w:t>: EESK uppmanar kommissionen att se över och förbättra medfinansieringsmodellerna inom ramen för programmet för att göra dem mer attraktiva och tillgängliga, särskilt för små och medelstora företag, organisationer i det civila samhället och andra mindre enheter. Kommittén föreslår att medfinansieringssatsen höjs till minst 80 % för att minska den ekonomiska bördan för organisationerna och uppmuntra mindre enheter att delta. Dessutom bör kommissionen undersöka alternativa finansieringsmekanismer.</w:t>
      </w:r>
    </w:p>
    <w:p w:rsidRPr="00B47B36" w:rsidR="003130C2" w:rsidP="003130C2" w:rsidRDefault="003130C2" w14:paraId="41F43716" w14:textId="77777777">
      <w:pPr>
        <w:pStyle w:val="ListParagraph"/>
        <w:spacing w:line="283" w:lineRule="auto"/>
        <w:ind w:left="0"/>
      </w:pPr>
    </w:p>
    <w:p w:rsidRPr="009F3F65" w:rsidR="003130C2" w:rsidP="003130C2" w:rsidRDefault="003130C2" w14:paraId="50F22720" w14:textId="77777777">
      <w:pPr>
        <w:pStyle w:val="Heading2"/>
        <w:spacing w:line="283" w:lineRule="auto"/>
      </w:pPr>
      <w:r>
        <w:t xml:space="preserve">Det är mycket viktigt att </w:t>
      </w:r>
      <w:r>
        <w:rPr>
          <w:b/>
        </w:rPr>
        <w:t>underlätta bättre synergier mellan EU:s finansieringsprogram</w:t>
      </w:r>
      <w:r>
        <w:t xml:space="preserve">. EESK uppmanar kommissionen att fastställa tydliga mekanismer för att anpassa målen för programmet för ett digitalt Europa, Horisont Europa, Eruf och andra EU-program. Kommittén rekommenderar att man ger tydlig vägledning om hur resurser från dessa flöden kan kombineras för att öka projektens genomslag och undvika överlappningar. </w:t>
      </w:r>
    </w:p>
    <w:p w:rsidRPr="009F3F65" w:rsidR="003130C2" w:rsidP="003130C2" w:rsidRDefault="003130C2" w14:paraId="74D3D22F" w14:textId="77777777">
      <w:pPr>
        <w:spacing w:line="283" w:lineRule="auto"/>
        <w:jc w:val="left"/>
        <w:rPr>
          <w:lang w:val="en-GB"/>
        </w:rPr>
      </w:pPr>
    </w:p>
    <w:p w:rsidRPr="009F3F65" w:rsidR="003130C2" w:rsidP="003130C2" w:rsidRDefault="003130C2" w14:paraId="7D3353ED" w14:textId="77777777">
      <w:pPr>
        <w:pStyle w:val="Heading2"/>
        <w:spacing w:line="283" w:lineRule="auto"/>
      </w:pPr>
      <w:r>
        <w:t xml:space="preserve">EESK anser att </w:t>
      </w:r>
      <w:r>
        <w:rPr>
          <w:b/>
        </w:rPr>
        <w:t>de europeiska digitala innovationsknutpunkternas kapacitet bör utökas</w:t>
      </w:r>
      <w:r>
        <w:t>, och uppmanar kommissionen att ge dem möjlighet att erbjuda efterlevnad, cybersäkerhet, rådgivning om tillgång till finansiering och digitalt stöd för små och medelstora företag. Behovet av att erkänna de europeiska digitala innovationsknutpunkterna som avgörande för kunskapsutbyte och regionalt samarbete betonas.</w:t>
      </w:r>
    </w:p>
    <w:p w:rsidRPr="009F3F65" w:rsidR="003130C2" w:rsidP="003130C2" w:rsidRDefault="003130C2" w14:paraId="352798DE" w14:textId="77777777">
      <w:pPr>
        <w:spacing w:line="283" w:lineRule="auto"/>
        <w:jc w:val="left"/>
        <w:rPr>
          <w:lang w:val="en-GB"/>
        </w:rPr>
      </w:pPr>
    </w:p>
    <w:p w:rsidRPr="009F3F65" w:rsidR="003130C2" w:rsidP="003130C2" w:rsidRDefault="003130C2" w14:paraId="4B205A89" w14:textId="77777777">
      <w:pPr>
        <w:pStyle w:val="Heading2"/>
        <w:spacing w:line="283" w:lineRule="auto"/>
      </w:pPr>
      <w:r>
        <w:rPr>
          <w:b/>
        </w:rPr>
        <w:t>Förenkla och standardisera ansökningsförfarandena för programmet</w:t>
      </w:r>
      <w:r>
        <w:t>. EESK efterlyser minskade byråkratiska hinder och tydligare riktlinjer för att förbättra efterlevnaden och förståelsen bland sökandena. Kommissionen bör aktivt öka de berörda parternas engagemang genom att involvera det civila samhället, arbetsmarknadens parter och marginaliserade grupper i utformningen, genomförandet och utvärderingen av programmet. Kommittén rekommenderar regelbundna samråd och workshoppar för att samla in viktig återkoppling och se till att programmet tar itu med de berörda parternas verkliga behov och utmaningar. EESK rekommenderar att man inför ett ändamålsenligt övervaknings- och utvärderingssystem för programmet och införlivar återkoppling från berörda parter för att säkerställa anpassningsbarhet till deltagarnas behov och utmaningar.</w:t>
      </w:r>
    </w:p>
    <w:p w:rsidRPr="009F3F65" w:rsidR="003130C2" w:rsidP="003130C2" w:rsidRDefault="003130C2" w14:paraId="333E0419" w14:textId="77777777">
      <w:pPr>
        <w:spacing w:line="283" w:lineRule="auto"/>
        <w:jc w:val="left"/>
        <w:rPr>
          <w:lang w:val="en-GB"/>
        </w:rPr>
      </w:pPr>
    </w:p>
    <w:p w:rsidRPr="009F3F65" w:rsidR="003130C2" w:rsidP="003130C2" w:rsidRDefault="003130C2" w14:paraId="6D30141D" w14:textId="77777777">
      <w:pPr>
        <w:pStyle w:val="Heading2"/>
        <w:spacing w:line="283" w:lineRule="auto"/>
      </w:pPr>
      <w:r>
        <w:t xml:space="preserve">Kommittén framhåller vikten av att </w:t>
      </w:r>
      <w:r>
        <w:rPr>
          <w:b/>
        </w:rPr>
        <w:t>öka de berörda parternas deltagande i programmet</w:t>
      </w:r>
      <w:r>
        <w:t xml:space="preserve"> genom att integrera det civila samhället, arbetsmarknadens parter och marginaliserade grupper i alla programstadier. Det föreslås att regelbundna samråd genomförs för att säkerställa att programmet tillgodoser de berörda parternas verkliga behov.</w:t>
      </w:r>
    </w:p>
    <w:p w:rsidRPr="009F3F65" w:rsidR="003130C2" w:rsidP="003130C2" w:rsidRDefault="003130C2" w14:paraId="68807EFD" w14:textId="77777777">
      <w:pPr>
        <w:spacing w:line="283" w:lineRule="auto"/>
        <w:jc w:val="left"/>
        <w:rPr>
          <w:lang w:val="en-GB"/>
        </w:rPr>
      </w:pPr>
    </w:p>
    <w:p w:rsidRPr="009F3F65" w:rsidR="003130C2" w:rsidP="003130C2" w:rsidRDefault="003130C2" w14:paraId="2494A3D4" w14:textId="77777777">
      <w:pPr>
        <w:pStyle w:val="Heading2"/>
        <w:spacing w:line="283" w:lineRule="auto"/>
      </w:pPr>
      <w:r>
        <w:rPr>
          <w:b/>
        </w:rPr>
        <w:lastRenderedPageBreak/>
        <w:t>Det rekommenderas att man stärker de nationella kontaktpunkterna.</w:t>
      </w:r>
      <w:r>
        <w:t xml:space="preserve"> Kommissionen bör se till att de nationella kontaktpunkterna förfogar över den utbildning, de resurser och den tydlighet beträffande deras roller som krävs för att främja nätverkande och samarbete och därigenom överbrygga de europeiska och nationella dimensionerna genom ett starkare nätverk av nationella kontaktpunkter. EESK föreslår också att man använder det civila samhällets organisationer för att förmedla information om programmet och gör dem delaktiga i de nationella kontaktpunkternas verksamhet.</w:t>
      </w:r>
    </w:p>
    <w:p w:rsidRPr="009F3F65" w:rsidR="003130C2" w:rsidP="003130C2" w:rsidRDefault="003130C2" w14:paraId="755DAF6A" w14:textId="77777777">
      <w:pPr>
        <w:spacing w:line="283" w:lineRule="auto"/>
        <w:rPr>
          <w:lang w:val="en-GB"/>
        </w:rPr>
      </w:pPr>
    </w:p>
    <w:p w:rsidRPr="009F3F65" w:rsidR="003130C2" w:rsidP="003130C2" w:rsidRDefault="003130C2" w14:paraId="261F6694" w14:textId="77777777">
      <w:pPr>
        <w:pStyle w:val="Heading2"/>
        <w:spacing w:line="283" w:lineRule="auto"/>
        <w:ind w:left="720" w:hanging="720"/>
      </w:pPr>
      <w:r>
        <w:rPr>
          <w:b/>
        </w:rPr>
        <w:t>Stödja utvecklingen av digitala färdigheter</w:t>
      </w:r>
      <w:r>
        <w:t>. EESK uppmanar kommissionen att investera i initiativ för digitala färdigheter som skapar tydliga vägar för arbetskraftens utveckling inom olika sektorer, genom att digitala och tekniska färdigheter kopplas samman med andra utbildningsområden. Kommittén rekommenderar riktad utbildning för grundläggande och avancerade digitala färdigheter, med fokus på inkludering av kvinnor, ungdomar och eftersatta befolkningsgrupper. Vi förespråkar också samarbete mellan den akademiska världen och näringslivet för att säkerställa överensstämmelse mellan kursplaner och marknadens behov.</w:t>
      </w:r>
    </w:p>
    <w:p w:rsidRPr="009F3F65" w:rsidR="003130C2" w:rsidP="003130C2" w:rsidRDefault="003130C2" w14:paraId="1DAEF2FD" w14:textId="77777777">
      <w:pPr>
        <w:pStyle w:val="Heading2"/>
        <w:numPr>
          <w:ilvl w:val="0"/>
          <w:numId w:val="0"/>
        </w:numPr>
        <w:spacing w:line="283" w:lineRule="auto"/>
        <w:rPr>
          <w:lang w:val="en-GB"/>
        </w:rPr>
      </w:pPr>
    </w:p>
    <w:p w:rsidRPr="009F3F65" w:rsidR="003130C2" w:rsidP="003130C2" w:rsidRDefault="003130C2" w14:paraId="5BACA8BA" w14:textId="77777777">
      <w:pPr>
        <w:pStyle w:val="Heading2"/>
        <w:spacing w:line="283" w:lineRule="auto"/>
        <w:ind w:left="720" w:hanging="720"/>
      </w:pPr>
      <w:r>
        <w:rPr>
          <w:b/>
        </w:rPr>
        <w:t>Fastställa robusta utvärderingsmått</w:t>
      </w:r>
      <w:r>
        <w:t>. EESK rekommenderar att kommissionen utarbetar en övergripande ram för utvärdering av ändamålsenligheten och genomslaget av initiativen inom programmet. Denna ram bör inriktas på både kvalitativa och kvantitativa mått och omfatta regelbundna bedömningar för att bedöma överensstämmelsen med EU:s bredare politiska mål och de socioekonomiska behoven i olika regioner. Kommittén stöder också en öppen och ändamålsenlig användning av offentliga medel och lämpliga kontrollmekanismer för att säkerställa en smart användning av medlen. Denna utvärderingsprocess måste också genomföras när det gäller ändamålsenligheten i de nationella kontaktpunkternas arbete.</w:t>
      </w:r>
    </w:p>
    <w:p w:rsidRPr="009F3F65" w:rsidR="003130C2" w:rsidP="003130C2" w:rsidRDefault="003130C2" w14:paraId="09D1D917" w14:textId="77777777">
      <w:pPr>
        <w:spacing w:line="283" w:lineRule="auto"/>
        <w:rPr>
          <w:lang w:val="en-GB"/>
        </w:rPr>
      </w:pPr>
    </w:p>
    <w:p w:rsidRPr="009F3F65" w:rsidR="003130C2" w:rsidP="003130C2" w:rsidRDefault="003130C2" w14:paraId="528201F3" w14:textId="77777777">
      <w:pPr>
        <w:pStyle w:val="Heading2"/>
        <w:spacing w:line="283" w:lineRule="auto"/>
        <w:ind w:left="720" w:hanging="720"/>
      </w:pPr>
      <w:r>
        <w:rPr>
          <w:b/>
        </w:rPr>
        <w:t>Öka flexibiliteten i programgenomförandet</w:t>
      </w:r>
      <w:r>
        <w:t>. EESK uppmanar kommissionen att anpassa genomföranderamen för programmet för att tillgodose de föränderliga behoven i olika medlemsstater. Denna flexibilitet bör göra det möjligt att anpassa tillämpningsmål och tidsfrister till följd av förändrade omständigheter, såsom ekonomiska eller tekniska förändringar.</w:t>
      </w:r>
    </w:p>
    <w:p w:rsidRPr="009F3F65" w:rsidR="003130C2" w:rsidP="003130C2" w:rsidRDefault="003130C2" w14:paraId="6091A2C3" w14:textId="77777777">
      <w:pPr>
        <w:spacing w:line="283" w:lineRule="auto"/>
        <w:rPr>
          <w:lang w:val="en-GB"/>
        </w:rPr>
      </w:pPr>
    </w:p>
    <w:p w:rsidRPr="009F3F65" w:rsidR="003130C2" w:rsidP="003130C2" w:rsidRDefault="003130C2" w14:paraId="4E1E0AB9" w14:textId="77777777">
      <w:pPr>
        <w:pStyle w:val="Heading2"/>
        <w:spacing w:line="283" w:lineRule="auto"/>
        <w:ind w:left="720" w:hanging="720"/>
      </w:pPr>
      <w:r>
        <w:rPr>
          <w:b/>
        </w:rPr>
        <w:t>Resultattavlan för ett digitalt Europa.</w:t>
      </w:r>
      <w:r>
        <w:t xml:space="preserve"> EESK rekommenderar att kommissionen aktivt främjar resultattavlan för programmet, som lanserades sommaren 2024. Resultattavlan kommer att vara ett viktigt verktyg för att spåra programresultat, ekonomiska anslag, projektstatus och programmets samhällsgenomslag.</w:t>
      </w:r>
    </w:p>
    <w:p w:rsidRPr="009F3F65" w:rsidR="003130C2" w:rsidP="003130C2" w:rsidRDefault="003130C2" w14:paraId="718E4D05" w14:textId="77777777">
      <w:pPr>
        <w:spacing w:line="283" w:lineRule="auto"/>
        <w:rPr>
          <w:lang w:val="en-GB"/>
        </w:rPr>
      </w:pPr>
    </w:p>
    <w:p w:rsidRPr="009F3F65" w:rsidR="003130C2" w:rsidP="003130C2" w:rsidRDefault="003130C2" w14:paraId="7B2DB5A5" w14:textId="18D2EC0E">
      <w:pPr>
        <w:pStyle w:val="Heading2"/>
        <w:spacing w:line="283" w:lineRule="auto"/>
      </w:pPr>
      <w:r>
        <w:rPr>
          <w:b/>
        </w:rPr>
        <w:t>Främja könsinkludering inom teknik inom ramen för programmet.</w:t>
      </w:r>
      <w:r>
        <w:t xml:space="preserve"> EESK efterlyser aktivt stöd till initiativ för att öka kvinnors deltagande i teknik och i karriärer inom naturvetenskap, teknik, ingenjörsvetenskap och matematik samt för att informera dem om sektorsövergripande tillväxtmöjligheter att lära sig/använda olika framväxande tekniker. Detta inbegriper rekommendationer om inrättande av mentorskapsprogram, deltagande av kvinnliga förebilder och upprättande av partnerskap med organisationer som fokuserar på kvinnors egenmakt på teknikområdet.</w:t>
      </w:r>
    </w:p>
    <w:p w:rsidR="006272FD" w:rsidRDefault="006272FD" w14:paraId="239E6C76" w14:textId="54309097">
      <w:pPr>
        <w:spacing w:after="160" w:line="259" w:lineRule="auto"/>
        <w:jc w:val="left"/>
        <w:rPr>
          <w:lang w:val="en-GB"/>
        </w:rPr>
      </w:pPr>
      <w:r>
        <w:rPr>
          <w:lang w:val="en-GB"/>
        </w:rPr>
        <w:br w:type="page"/>
      </w:r>
    </w:p>
    <w:p w:rsidRPr="009F3F65" w:rsidR="003130C2" w:rsidP="003130C2" w:rsidRDefault="003130C2" w14:paraId="0FB3A58A" w14:textId="77777777">
      <w:pPr>
        <w:pStyle w:val="Heading2"/>
        <w:spacing w:line="283" w:lineRule="auto"/>
      </w:pPr>
      <w:r>
        <w:rPr>
          <w:b/>
        </w:rPr>
        <w:lastRenderedPageBreak/>
        <w:t>Förbättra utbildning och stöd för små och medelstora företag.</w:t>
      </w:r>
      <w:r>
        <w:t xml:space="preserve"> EESK uppmanar kommissionen att inrätta riktade stödprogram för att ta itu med de särskilda utmaningar som små och medelstora företag står inför när det gäller att få tillgång till och använda finansiering från programmet. Kommittén rekommenderar individanpassade samråd och workshoppar för att bygga upp små och medelstora företags kapacitet när det gäller att författa bidragsansökningar och förvalta projekt.</w:t>
      </w:r>
    </w:p>
    <w:p w:rsidRPr="009F3F65" w:rsidR="003130C2" w:rsidP="003130C2" w:rsidRDefault="003130C2" w14:paraId="79E25B39" w14:textId="77777777">
      <w:pPr>
        <w:spacing w:line="283" w:lineRule="auto"/>
        <w:rPr>
          <w:lang w:val="en-GB"/>
        </w:rPr>
      </w:pPr>
    </w:p>
    <w:p w:rsidRPr="009F3F65" w:rsidR="003130C2" w:rsidP="003130C2" w:rsidRDefault="003130C2" w14:paraId="7BD28D78" w14:textId="77777777">
      <w:pPr>
        <w:pStyle w:val="Heading2"/>
        <w:spacing w:line="283" w:lineRule="auto"/>
        <w:ind w:left="720" w:hanging="720"/>
      </w:pPr>
      <w:r>
        <w:t xml:space="preserve">EESK uppmanar kommissionen att </w:t>
      </w:r>
      <w:r>
        <w:rPr>
          <w:b/>
        </w:rPr>
        <w:t>främja pilotförsök och experiment inom ramen för programmet</w:t>
      </w:r>
      <w:r>
        <w:t>. Kommittén rekommenderar att man anslår en särskild budget för detta ändamål, kopplad till de europeiska digitala innovationsknutpunkterna och andra berörda parter, och därigenom underlättar innovationer som effektivt tar itu med verkliga utmaningar.</w:t>
      </w:r>
    </w:p>
    <w:p w:rsidRPr="009F3F65" w:rsidR="003130C2" w:rsidP="003130C2" w:rsidRDefault="003130C2" w14:paraId="578A26DC" w14:textId="77777777">
      <w:pPr>
        <w:spacing w:line="283" w:lineRule="auto"/>
        <w:rPr>
          <w:lang w:val="en-GB"/>
        </w:rPr>
      </w:pPr>
    </w:p>
    <w:p w:rsidRPr="009F3F65" w:rsidR="003130C2" w:rsidP="003130C2" w:rsidRDefault="003130C2" w14:paraId="6A019FE9" w14:textId="77777777">
      <w:pPr>
        <w:pStyle w:val="Heading2"/>
        <w:spacing w:line="283" w:lineRule="auto"/>
      </w:pPr>
      <w:r>
        <w:t xml:space="preserve">EESK uppmanar kommissionen att </w:t>
      </w:r>
      <w:r>
        <w:rPr>
          <w:b/>
        </w:rPr>
        <w:t>stimulera partnerskap mellan medlemsstaterna</w:t>
      </w:r>
      <w:r>
        <w:t xml:space="preserve"> genom att tillhandahålla ekonomiskt och logistiskt stöd till gemensamma projekt för samarbete, nätverksbyggande och innovationsmetoder.</w:t>
      </w:r>
    </w:p>
    <w:p w:rsidRPr="009F3F65" w:rsidR="003130C2" w:rsidP="003130C2" w:rsidRDefault="003130C2" w14:paraId="5B608D40" w14:textId="77777777">
      <w:pPr>
        <w:spacing w:line="283" w:lineRule="auto"/>
        <w:rPr>
          <w:lang w:val="en-GB"/>
        </w:rPr>
      </w:pPr>
    </w:p>
    <w:p w:rsidRPr="009F3F65" w:rsidR="003130C2" w:rsidP="003130C2" w:rsidRDefault="003130C2" w14:paraId="2217C7C3" w14:textId="6EB69B4B">
      <w:pPr>
        <w:spacing w:line="283" w:lineRule="auto"/>
      </w:pPr>
      <w:r>
        <w:t>Bryssel den 23 oktober 2024.</w:t>
      </w:r>
    </w:p>
    <w:p w:rsidRPr="009F3F65" w:rsidR="003130C2" w:rsidP="003130C2" w:rsidRDefault="003130C2" w14:paraId="055752D1" w14:textId="77777777">
      <w:pPr>
        <w:spacing w:line="283" w:lineRule="auto"/>
        <w:rPr>
          <w:lang w:val="en-GB"/>
        </w:rPr>
      </w:pPr>
    </w:p>
    <w:p w:rsidR="003130C2" w:rsidP="003130C2" w:rsidRDefault="003130C2" w14:paraId="0210E0A4" w14:textId="44EF3C65">
      <w:pPr>
        <w:spacing w:line="283" w:lineRule="auto"/>
        <w:rPr>
          <w:lang w:val="en-GB"/>
        </w:rPr>
      </w:pPr>
    </w:p>
    <w:p w:rsidR="0005674E" w:rsidP="003130C2" w:rsidRDefault="0005674E" w14:paraId="28ECBFEA" w14:textId="50AE3903">
      <w:pPr>
        <w:spacing w:line="283" w:lineRule="auto"/>
        <w:rPr>
          <w:lang w:val="en-GB"/>
        </w:rPr>
      </w:pPr>
    </w:p>
    <w:p w:rsidRPr="009F3F65" w:rsidR="00E54941" w:rsidP="003130C2" w:rsidRDefault="00E54941" w14:paraId="46CDFC89" w14:textId="66AB2AB2">
      <w:pPr>
        <w:spacing w:line="283" w:lineRule="auto"/>
        <w:rPr>
          <w:lang w:val="en-GB"/>
        </w:rPr>
      </w:pPr>
      <w:r>
        <w:t>Oliver RÖPKE</w:t>
      </w:r>
    </w:p>
    <w:p w:rsidRPr="009F3F65" w:rsidR="003130C2" w:rsidP="003130C2" w:rsidRDefault="003130C2" w14:paraId="5C869658" w14:textId="6E706DA6">
      <w:pPr>
        <w:spacing w:line="283" w:lineRule="auto"/>
        <w:rPr>
          <w:i/>
          <w:iCs/>
        </w:rPr>
      </w:pPr>
      <w:r>
        <w:rPr>
          <w:i/>
        </w:rPr>
        <w:t>Europeiska ekonomiska och sociala kommitténs ordförande</w:t>
      </w:r>
    </w:p>
    <w:p w:rsidRPr="009F3F65" w:rsidR="003130C2" w:rsidP="003130C2" w:rsidRDefault="003130C2" w14:paraId="3242929A" w14:textId="192FB0C5">
      <w:pPr>
        <w:spacing w:line="283" w:lineRule="auto"/>
        <w:jc w:val="left"/>
      </w:pPr>
    </w:p>
    <w:p w:rsidRPr="009F3F65" w:rsidR="003130C2" w:rsidP="003130C2" w:rsidRDefault="003130C2" w14:paraId="3EFEE640" w14:textId="77777777">
      <w:pPr>
        <w:spacing w:line="283" w:lineRule="auto"/>
        <w:jc w:val="left"/>
        <w:rPr>
          <w:lang w:val="en-GB"/>
        </w:rPr>
      </w:pPr>
    </w:p>
    <w:p w:rsidRPr="009F3F65" w:rsidR="003130C2" w:rsidP="003130C2" w:rsidRDefault="003130C2" w14:paraId="53D409F4" w14:textId="77777777">
      <w:pPr>
        <w:spacing w:line="283" w:lineRule="auto"/>
        <w:jc w:val="left"/>
        <w:rPr>
          <w:lang w:val="en-GB"/>
        </w:rPr>
      </w:pPr>
    </w:p>
    <w:p w:rsidRPr="009F3F65" w:rsidR="003130C2" w:rsidP="003130C2" w:rsidRDefault="003130C2" w14:paraId="088EB447" w14:textId="77777777">
      <w:pPr>
        <w:spacing w:line="283" w:lineRule="auto"/>
        <w:jc w:val="center"/>
      </w:pPr>
      <w:r>
        <w:t>*</w:t>
      </w:r>
    </w:p>
    <w:p w:rsidRPr="009F3F65" w:rsidR="003130C2" w:rsidP="003130C2" w:rsidRDefault="003130C2" w14:paraId="65A6CB14" w14:textId="77777777">
      <w:pPr>
        <w:spacing w:line="283" w:lineRule="auto"/>
        <w:jc w:val="center"/>
        <w:rPr>
          <w:lang w:val="en-GB"/>
        </w:rPr>
      </w:pPr>
    </w:p>
    <w:p w:rsidRPr="009F3F65" w:rsidR="003130C2" w:rsidP="003130C2" w:rsidRDefault="003130C2" w14:paraId="4AC99C73" w14:textId="77777777">
      <w:pPr>
        <w:spacing w:line="283" w:lineRule="auto"/>
        <w:jc w:val="center"/>
      </w:pPr>
      <w:r>
        <w:t>*</w:t>
      </w:r>
      <w:r>
        <w:tab/>
        <w:t>*</w:t>
      </w:r>
    </w:p>
    <w:p w:rsidRPr="009F3F65" w:rsidR="003130C2" w:rsidP="003130C2" w:rsidRDefault="003130C2" w14:paraId="3383CDFB" w14:textId="77777777">
      <w:pPr>
        <w:spacing w:line="283" w:lineRule="auto"/>
        <w:rPr>
          <w:lang w:val="en-GB"/>
        </w:rPr>
      </w:pPr>
    </w:p>
    <w:p w:rsidRPr="009F3F65" w:rsidR="003130C2" w:rsidP="003130C2" w:rsidRDefault="003130C2" w14:paraId="6281E6BB" w14:textId="77777777">
      <w:pPr>
        <w:spacing w:line="283" w:lineRule="auto"/>
      </w:pPr>
      <w:r>
        <w:rPr>
          <w:b/>
        </w:rPr>
        <w:t>OBS!</w:t>
      </w:r>
      <w:r>
        <w:t xml:space="preserve"> Teknisk bilaga följer.</w:t>
      </w:r>
    </w:p>
    <w:p w:rsidRPr="009F3F65" w:rsidR="003130C2" w:rsidP="003130C2" w:rsidRDefault="003130C2" w14:paraId="2C7D77E4" w14:textId="77777777">
      <w:pPr>
        <w:spacing w:line="283" w:lineRule="auto"/>
        <w:jc w:val="left"/>
        <w:rPr>
          <w:lang w:val="en-GB"/>
        </w:rPr>
      </w:pPr>
    </w:p>
    <w:p w:rsidRPr="009F3F65" w:rsidR="003130C2" w:rsidP="003130C2" w:rsidRDefault="003130C2" w14:paraId="646D2524" w14:textId="77777777">
      <w:pPr>
        <w:jc w:val="left"/>
        <w:rPr>
          <w:lang w:val="en-GB"/>
        </w:rPr>
        <w:sectPr w:rsidRPr="009F3F65" w:rsidR="003130C2" w:rsidSect="004A4BE2">
          <w:headerReference w:type="even" r:id="rId22"/>
          <w:headerReference w:type="default" r:id="rId23"/>
          <w:footerReference w:type="even" r:id="rId24"/>
          <w:footerReference w:type="default" r:id="rId25"/>
          <w:headerReference w:type="first" r:id="rId26"/>
          <w:footerReference w:type="first" r:id="rId27"/>
          <w:pgSz w:w="11907" w:h="16839" w:code="9"/>
          <w:pgMar w:top="1361" w:right="1418" w:bottom="1361" w:left="1418" w:header="709" w:footer="709" w:gutter="0"/>
          <w:pgNumType w:start="1"/>
          <w:cols w:space="720"/>
          <w:docGrid w:linePitch="299"/>
        </w:sectPr>
      </w:pPr>
    </w:p>
    <w:tbl>
      <w:tblPr>
        <w:tblStyle w:val="TableGrid"/>
        <w:tblpPr w:leftFromText="141" w:rightFromText="141" w:vertAnchor="text" w:horzAnchor="margin" w:tblpXSpec="center" w:tblpY="-77"/>
        <w:tblW w:w="0" w:type="auto"/>
        <w:jc w:val="center"/>
        <w:shd w:val="clear" w:color="auto" w:fill="ACB9CA" w:themeFill="text2" w:themeFillTint="66"/>
        <w:tblLook w:val="04A0" w:firstRow="1" w:lastRow="0" w:firstColumn="1" w:lastColumn="0" w:noHBand="0" w:noVBand="1"/>
      </w:tblPr>
      <w:tblGrid>
        <w:gridCol w:w="9032"/>
      </w:tblGrid>
      <w:tr w:rsidRPr="00B47B36" w:rsidR="003130C2" w:rsidTr="00F32872" w14:paraId="3A9945AE" w14:textId="77777777">
        <w:trPr>
          <w:trHeight w:val="1581"/>
          <w:jc w:val="center"/>
        </w:trPr>
        <w:tc>
          <w:tcPr>
            <w:tcW w:w="9032" w:type="dxa"/>
            <w:tcBorders>
              <w:top w:val="single" w:color="auto" w:sz="4" w:space="0"/>
              <w:left w:val="single" w:color="auto" w:sz="4" w:space="0"/>
              <w:bottom w:val="single" w:color="auto" w:sz="4" w:space="0"/>
              <w:right w:val="single" w:color="auto" w:sz="4" w:space="0"/>
            </w:tcBorders>
            <w:shd w:val="clear" w:color="auto" w:fill="ACB9CA" w:themeFill="text2" w:themeFillTint="66"/>
            <w:vAlign w:val="center"/>
            <w:hideMark/>
          </w:tcPr>
          <w:p w:rsidRPr="00B47B36" w:rsidR="003130C2" w:rsidP="00F32872" w:rsidRDefault="003130C2" w14:paraId="4A36C293" w14:textId="77777777">
            <w:pPr>
              <w:spacing w:after="120" w:line="300" w:lineRule="exact"/>
              <w:jc w:val="center"/>
              <w:rPr>
                <w:b/>
                <w:bCs/>
                <w:color w:val="1F4E79"/>
                <w:sz w:val="36"/>
                <w:szCs w:val="36"/>
              </w:rPr>
            </w:pPr>
            <w:r>
              <w:rPr>
                <w:b/>
                <w:color w:val="1F4E79"/>
                <w:sz w:val="36"/>
              </w:rPr>
              <w:lastRenderedPageBreak/>
              <w:t xml:space="preserve">INTERIM EVALUATION OF THE DIGITAL </w:t>
            </w:r>
          </w:p>
          <w:p w:rsidRPr="00B47B36" w:rsidR="003130C2" w:rsidP="00F32872" w:rsidRDefault="003130C2" w14:paraId="31D35BD8" w14:textId="77777777">
            <w:pPr>
              <w:spacing w:after="120" w:line="300" w:lineRule="exact"/>
              <w:jc w:val="center"/>
              <w:rPr>
                <w:b/>
                <w:bCs/>
                <w:color w:val="1F4E79"/>
                <w:sz w:val="36"/>
                <w:szCs w:val="36"/>
              </w:rPr>
            </w:pPr>
            <w:r>
              <w:rPr>
                <w:b/>
                <w:color w:val="1F4E79"/>
                <w:sz w:val="36"/>
              </w:rPr>
              <w:t>EUROPE PROGRAMME (2021-2027)</w:t>
            </w:r>
          </w:p>
          <w:p w:rsidRPr="00B47B36" w:rsidR="003130C2" w:rsidP="00F32872" w:rsidRDefault="003130C2" w14:paraId="14772A2A" w14:textId="77777777">
            <w:pPr>
              <w:spacing w:after="120" w:line="300" w:lineRule="exact"/>
              <w:jc w:val="center"/>
              <w:rPr>
                <w:sz w:val="28"/>
                <w:szCs w:val="28"/>
              </w:rPr>
            </w:pPr>
            <w:r>
              <w:rPr>
                <w:i/>
                <w:color w:val="1F4E79"/>
                <w:sz w:val="28"/>
              </w:rPr>
              <w:t>Technical annex</w:t>
            </w:r>
          </w:p>
        </w:tc>
      </w:tr>
    </w:tbl>
    <w:p w:rsidRPr="009F3F65" w:rsidR="003130C2" w:rsidP="003130C2" w:rsidRDefault="003130C2" w14:paraId="2512F56F" w14:textId="77777777">
      <w:pPr>
        <w:spacing w:after="120" w:line="300" w:lineRule="exact"/>
        <w:rPr>
          <w:lang w:val="en-GB"/>
        </w:rPr>
      </w:pPr>
    </w:p>
    <w:sdt>
      <w:sdtPr>
        <w:rPr>
          <w:rFonts w:ascii="Times New Roman" w:hAnsi="Times New Roman" w:eastAsia="Times New Roman" w:cs="Times New Roman"/>
          <w:b/>
          <w:noProof/>
          <w:color w:val="0070C0"/>
          <w:sz w:val="22"/>
          <w:szCs w:val="22"/>
        </w:rPr>
        <w:id w:val="-1742783689"/>
        <w:docPartObj>
          <w:docPartGallery w:val="Table of Contents"/>
          <w:docPartUnique/>
        </w:docPartObj>
      </w:sdtPr>
      <w:sdtEndPr>
        <w:rPr>
          <w:bCs/>
          <w:color w:val="auto"/>
        </w:rPr>
      </w:sdtEndPr>
      <w:sdtContent>
        <w:p w:rsidRPr="009F3F65" w:rsidR="003130C2" w:rsidP="003130C2" w:rsidRDefault="003130C2" w14:paraId="635E7944" w14:textId="77777777">
          <w:pPr>
            <w:pStyle w:val="TOCHeading"/>
            <w:spacing w:before="0" w:after="120" w:line="300" w:lineRule="exact"/>
            <w:jc w:val="both"/>
          </w:pPr>
          <w:r>
            <w:rPr>
              <w:rFonts w:ascii="Times New Roman" w:hAnsi="Times New Roman"/>
              <w:b/>
              <w:color w:val="0070C0"/>
            </w:rPr>
            <w:t>Table of contents</w:t>
          </w:r>
        </w:p>
        <w:p w:rsidRPr="00B47B36" w:rsidR="003130C2" w:rsidP="003130C2" w:rsidRDefault="003130C2" w14:paraId="3A5F0CA8" w14:textId="40690252">
          <w:pPr>
            <w:pStyle w:val="TOC1"/>
            <w:rPr>
              <w:rFonts w:asciiTheme="minorHAnsi" w:hAnsiTheme="minorHAnsi" w:eastAsiaTheme="minorEastAsia" w:cstheme="minorBidi"/>
              <w:b w:val="0"/>
            </w:rPr>
          </w:pPr>
          <w:r w:rsidRPr="009F3F65">
            <w:fldChar w:fldCharType="begin"/>
          </w:r>
          <w:r w:rsidRPr="00B47B36">
            <w:instrText xml:space="preserve"> TOC \o "1-3" \h \z \u </w:instrText>
          </w:r>
          <w:r w:rsidRPr="009F3F65">
            <w:fldChar w:fldCharType="separate"/>
          </w:r>
          <w:hyperlink w:history="1" w:anchor="_Toc174452834">
            <w:r w:rsidRPr="00B47B36">
              <w:rPr>
                <w:rStyle w:val="Hyperlink"/>
              </w:rPr>
              <w:t>1.</w:t>
            </w:r>
            <w:r w:rsidRPr="00B47B36">
              <w:rPr>
                <w:rFonts w:asciiTheme="minorHAnsi" w:hAnsiTheme="minorHAnsi" w:eastAsiaTheme="minorEastAsia" w:cstheme="minorBidi"/>
                <w:b w:val="0"/>
              </w:rPr>
              <w:tab/>
            </w:r>
            <w:r w:rsidRPr="00B47B36">
              <w:rPr>
                <w:rStyle w:val="Hyperlink"/>
              </w:rPr>
              <w:t>Introduction</w:t>
            </w:r>
            <w:r w:rsidRPr="00B47B36">
              <w:rPr>
                <w:webHidden/>
              </w:rPr>
              <w:tab/>
            </w:r>
            <w:r w:rsidRPr="009F3F65">
              <w:rPr>
                <w:webHidden/>
              </w:rPr>
              <w:fldChar w:fldCharType="begin"/>
            </w:r>
            <w:r w:rsidRPr="00B47B36">
              <w:rPr>
                <w:webHidden/>
              </w:rPr>
              <w:instrText xml:space="preserve"> PAGEREF _Toc174452834 \h </w:instrText>
            </w:r>
            <w:r w:rsidRPr="009F3F65">
              <w:rPr>
                <w:webHidden/>
              </w:rPr>
            </w:r>
            <w:r w:rsidRPr="009F3F65">
              <w:rPr>
                <w:webHidden/>
              </w:rPr>
              <w:fldChar w:fldCharType="separate"/>
            </w:r>
            <w:r w:rsidRPr="00B47B36" w:rsidR="004A4BE2">
              <w:rPr>
                <w:webHidden/>
              </w:rPr>
              <w:t>10</w:t>
            </w:r>
            <w:r w:rsidRPr="009F3F65">
              <w:rPr>
                <w:webHidden/>
              </w:rPr>
              <w:fldChar w:fldCharType="end"/>
            </w:r>
          </w:hyperlink>
        </w:p>
        <w:p w:rsidRPr="00B47B36" w:rsidR="003130C2" w:rsidP="003130C2" w:rsidRDefault="00BE2709" w14:paraId="6B755289" w14:textId="178ADED4">
          <w:pPr>
            <w:pStyle w:val="TOC2"/>
            <w:tabs>
              <w:tab w:val="left" w:pos="880"/>
              <w:tab w:val="right" w:leader="dot" w:pos="9063"/>
            </w:tabs>
            <w:rPr>
              <w:rFonts w:asciiTheme="minorHAnsi" w:hAnsiTheme="minorHAnsi" w:eastAsiaTheme="minorEastAsia" w:cstheme="minorBidi"/>
            </w:rPr>
          </w:pPr>
          <w:hyperlink w:history="1" w:anchor="_Toc174452835">
            <w:r w:rsidRPr="00B47B36" w:rsidR="003130C2">
              <w:rPr>
                <w:rStyle w:val="Hyperlink"/>
              </w:rPr>
              <w:t>1.1</w:t>
            </w:r>
            <w:r w:rsidRPr="00B47B36" w:rsidR="003130C2">
              <w:rPr>
                <w:rFonts w:asciiTheme="minorHAnsi" w:hAnsiTheme="minorHAnsi" w:eastAsiaTheme="minorEastAsia" w:cstheme="minorBidi"/>
              </w:rPr>
              <w:tab/>
            </w:r>
            <w:r w:rsidRPr="00B47B36" w:rsidR="003130C2">
              <w:rPr>
                <w:rStyle w:val="Hyperlink"/>
              </w:rPr>
              <w:t>Focus of the evaluation</w:t>
            </w:r>
            <w:r w:rsidRPr="00B47B36" w:rsidR="003130C2">
              <w:rPr>
                <w:webHidden/>
              </w:rPr>
              <w:tab/>
            </w:r>
            <w:r w:rsidRPr="009F3F65" w:rsidR="003130C2">
              <w:rPr>
                <w:webHidden/>
              </w:rPr>
              <w:fldChar w:fldCharType="begin"/>
            </w:r>
            <w:r w:rsidRPr="00B47B36" w:rsidR="003130C2">
              <w:rPr>
                <w:webHidden/>
              </w:rPr>
              <w:instrText xml:space="preserve"> PAGEREF _Toc174452835 \h </w:instrText>
            </w:r>
            <w:r w:rsidRPr="009F3F65" w:rsidR="003130C2">
              <w:rPr>
                <w:webHidden/>
              </w:rPr>
            </w:r>
            <w:r w:rsidRPr="009F3F65" w:rsidR="003130C2">
              <w:rPr>
                <w:webHidden/>
              </w:rPr>
              <w:fldChar w:fldCharType="separate"/>
            </w:r>
            <w:r w:rsidRPr="00B47B36" w:rsidR="004A4BE2">
              <w:rPr>
                <w:webHidden/>
              </w:rPr>
              <w:t>10</w:t>
            </w:r>
            <w:r w:rsidRPr="009F3F65" w:rsidR="003130C2">
              <w:rPr>
                <w:webHidden/>
              </w:rPr>
              <w:fldChar w:fldCharType="end"/>
            </w:r>
          </w:hyperlink>
        </w:p>
        <w:p w:rsidRPr="00B47B36" w:rsidR="003130C2" w:rsidP="003130C2" w:rsidRDefault="00BE2709" w14:paraId="0EEC32E1" w14:textId="45933917">
          <w:pPr>
            <w:pStyle w:val="TOC2"/>
            <w:tabs>
              <w:tab w:val="left" w:pos="880"/>
              <w:tab w:val="right" w:leader="dot" w:pos="9063"/>
            </w:tabs>
            <w:rPr>
              <w:rFonts w:asciiTheme="minorHAnsi" w:hAnsiTheme="minorHAnsi" w:eastAsiaTheme="minorEastAsia" w:cstheme="minorBidi"/>
            </w:rPr>
          </w:pPr>
          <w:hyperlink w:history="1" w:anchor="_Toc174452836">
            <w:r w:rsidRPr="00B47B36" w:rsidR="003130C2">
              <w:rPr>
                <w:rStyle w:val="Hyperlink"/>
              </w:rPr>
              <w:t>1.2</w:t>
            </w:r>
            <w:r w:rsidRPr="00B47B36" w:rsidR="003130C2">
              <w:rPr>
                <w:rFonts w:asciiTheme="minorHAnsi" w:hAnsiTheme="minorHAnsi" w:eastAsiaTheme="minorEastAsia" w:cstheme="minorBidi"/>
              </w:rPr>
              <w:tab/>
            </w:r>
            <w:r w:rsidRPr="00B47B36" w:rsidR="003130C2">
              <w:rPr>
                <w:rStyle w:val="Hyperlink"/>
              </w:rPr>
              <w:t>Methodology and study group</w:t>
            </w:r>
            <w:r w:rsidRPr="00B47B36" w:rsidR="003130C2">
              <w:rPr>
                <w:webHidden/>
              </w:rPr>
              <w:tab/>
            </w:r>
            <w:r w:rsidRPr="009F3F65" w:rsidR="003130C2">
              <w:rPr>
                <w:webHidden/>
              </w:rPr>
              <w:fldChar w:fldCharType="begin"/>
            </w:r>
            <w:r w:rsidRPr="00B47B36" w:rsidR="003130C2">
              <w:rPr>
                <w:webHidden/>
              </w:rPr>
              <w:instrText xml:space="preserve"> PAGEREF _Toc174452836 \h </w:instrText>
            </w:r>
            <w:r w:rsidRPr="009F3F65" w:rsidR="003130C2">
              <w:rPr>
                <w:webHidden/>
              </w:rPr>
            </w:r>
            <w:r w:rsidRPr="009F3F65" w:rsidR="003130C2">
              <w:rPr>
                <w:webHidden/>
              </w:rPr>
              <w:fldChar w:fldCharType="separate"/>
            </w:r>
            <w:r w:rsidRPr="00B47B36" w:rsidR="004A4BE2">
              <w:rPr>
                <w:webHidden/>
              </w:rPr>
              <w:t>10</w:t>
            </w:r>
            <w:r w:rsidRPr="009F3F65" w:rsidR="003130C2">
              <w:rPr>
                <w:webHidden/>
              </w:rPr>
              <w:fldChar w:fldCharType="end"/>
            </w:r>
          </w:hyperlink>
        </w:p>
        <w:p w:rsidRPr="00B47B36" w:rsidR="003130C2" w:rsidP="003130C2" w:rsidRDefault="00BE2709" w14:paraId="1668A4CD" w14:textId="3C020B89">
          <w:pPr>
            <w:pStyle w:val="TOC2"/>
            <w:tabs>
              <w:tab w:val="left" w:pos="880"/>
              <w:tab w:val="right" w:leader="dot" w:pos="9063"/>
            </w:tabs>
            <w:rPr>
              <w:rFonts w:asciiTheme="minorHAnsi" w:hAnsiTheme="minorHAnsi" w:eastAsiaTheme="minorEastAsia" w:cstheme="minorBidi"/>
            </w:rPr>
          </w:pPr>
          <w:hyperlink w:history="1" w:anchor="_Toc174452837">
            <w:r w:rsidRPr="00B47B36" w:rsidR="003130C2">
              <w:rPr>
                <w:rStyle w:val="Hyperlink"/>
              </w:rPr>
              <w:t>1.3</w:t>
            </w:r>
            <w:r w:rsidRPr="00B47B36" w:rsidR="003130C2">
              <w:rPr>
                <w:rFonts w:asciiTheme="minorHAnsi" w:hAnsiTheme="minorHAnsi" w:eastAsiaTheme="minorEastAsia" w:cstheme="minorBidi"/>
              </w:rPr>
              <w:tab/>
            </w:r>
            <w:r w:rsidRPr="00B47B36" w:rsidR="003130C2">
              <w:rPr>
                <w:rStyle w:val="Hyperlink"/>
              </w:rPr>
              <w:t>Fact-finding meetings</w:t>
            </w:r>
            <w:r w:rsidRPr="00B47B36" w:rsidR="003130C2">
              <w:rPr>
                <w:webHidden/>
              </w:rPr>
              <w:tab/>
            </w:r>
            <w:r w:rsidRPr="009F3F65" w:rsidR="003130C2">
              <w:rPr>
                <w:webHidden/>
              </w:rPr>
              <w:fldChar w:fldCharType="begin"/>
            </w:r>
            <w:r w:rsidRPr="00B47B36" w:rsidR="003130C2">
              <w:rPr>
                <w:webHidden/>
              </w:rPr>
              <w:instrText xml:space="preserve"> PAGEREF _Toc174452837 \h </w:instrText>
            </w:r>
            <w:r w:rsidRPr="009F3F65" w:rsidR="003130C2">
              <w:rPr>
                <w:webHidden/>
              </w:rPr>
            </w:r>
            <w:r w:rsidRPr="009F3F65" w:rsidR="003130C2">
              <w:rPr>
                <w:webHidden/>
              </w:rPr>
              <w:fldChar w:fldCharType="separate"/>
            </w:r>
            <w:r w:rsidRPr="00B47B36" w:rsidR="004A4BE2">
              <w:rPr>
                <w:webHidden/>
              </w:rPr>
              <w:t>11</w:t>
            </w:r>
            <w:r w:rsidRPr="009F3F65" w:rsidR="003130C2">
              <w:rPr>
                <w:webHidden/>
              </w:rPr>
              <w:fldChar w:fldCharType="end"/>
            </w:r>
          </w:hyperlink>
        </w:p>
        <w:p w:rsidRPr="00B47B36" w:rsidR="003130C2" w:rsidP="003130C2" w:rsidRDefault="00BE2709" w14:paraId="478715C1" w14:textId="35815AFD">
          <w:pPr>
            <w:pStyle w:val="TOC2"/>
            <w:tabs>
              <w:tab w:val="left" w:pos="880"/>
              <w:tab w:val="right" w:leader="dot" w:pos="9063"/>
            </w:tabs>
            <w:rPr>
              <w:rFonts w:asciiTheme="minorHAnsi" w:hAnsiTheme="minorHAnsi" w:eastAsiaTheme="minorEastAsia" w:cstheme="minorBidi"/>
            </w:rPr>
          </w:pPr>
          <w:hyperlink w:history="1" w:anchor="_Toc174452838">
            <w:r w:rsidRPr="00B47B36" w:rsidR="003130C2">
              <w:rPr>
                <w:rStyle w:val="Hyperlink"/>
              </w:rPr>
              <w:t>1.4</w:t>
            </w:r>
            <w:r w:rsidRPr="00B47B36" w:rsidR="003130C2">
              <w:rPr>
                <w:rFonts w:asciiTheme="minorHAnsi" w:hAnsiTheme="minorHAnsi" w:eastAsiaTheme="minorEastAsia" w:cstheme="minorBidi"/>
              </w:rPr>
              <w:tab/>
            </w:r>
            <w:r w:rsidRPr="00B47B36" w:rsidR="003130C2">
              <w:rPr>
                <w:rStyle w:val="Hyperlink"/>
              </w:rPr>
              <w:t>Questionnaire</w:t>
            </w:r>
            <w:r w:rsidRPr="00B47B36" w:rsidR="003130C2">
              <w:rPr>
                <w:webHidden/>
              </w:rPr>
              <w:tab/>
            </w:r>
            <w:r w:rsidRPr="009F3F65" w:rsidR="003130C2">
              <w:rPr>
                <w:webHidden/>
              </w:rPr>
              <w:fldChar w:fldCharType="begin"/>
            </w:r>
            <w:r w:rsidRPr="00B47B36" w:rsidR="003130C2">
              <w:rPr>
                <w:webHidden/>
              </w:rPr>
              <w:instrText xml:space="preserve"> PAGEREF _Toc174452838 \h </w:instrText>
            </w:r>
            <w:r w:rsidRPr="009F3F65" w:rsidR="003130C2">
              <w:rPr>
                <w:webHidden/>
              </w:rPr>
            </w:r>
            <w:r w:rsidRPr="009F3F65" w:rsidR="003130C2">
              <w:rPr>
                <w:webHidden/>
              </w:rPr>
              <w:fldChar w:fldCharType="separate"/>
            </w:r>
            <w:r w:rsidRPr="00B47B36" w:rsidR="004A4BE2">
              <w:rPr>
                <w:webHidden/>
              </w:rPr>
              <w:t>12</w:t>
            </w:r>
            <w:r w:rsidRPr="009F3F65" w:rsidR="003130C2">
              <w:rPr>
                <w:webHidden/>
              </w:rPr>
              <w:fldChar w:fldCharType="end"/>
            </w:r>
          </w:hyperlink>
        </w:p>
        <w:p w:rsidRPr="00B47B36" w:rsidR="003130C2" w:rsidP="003130C2" w:rsidRDefault="00BE2709" w14:paraId="245A5951" w14:textId="3E8C7C0B">
          <w:pPr>
            <w:pStyle w:val="TOC2"/>
            <w:tabs>
              <w:tab w:val="left" w:pos="880"/>
              <w:tab w:val="right" w:leader="dot" w:pos="9063"/>
            </w:tabs>
            <w:rPr>
              <w:rFonts w:asciiTheme="minorHAnsi" w:hAnsiTheme="minorHAnsi" w:eastAsiaTheme="minorEastAsia" w:cstheme="minorBidi"/>
            </w:rPr>
          </w:pPr>
          <w:hyperlink w:history="1" w:anchor="_Toc174452839">
            <w:r w:rsidRPr="00B47B36" w:rsidR="003130C2">
              <w:rPr>
                <w:rStyle w:val="Hyperlink"/>
              </w:rPr>
              <w:t>1.5</w:t>
            </w:r>
            <w:r w:rsidRPr="00B47B36" w:rsidR="003130C2">
              <w:rPr>
                <w:rFonts w:asciiTheme="minorHAnsi" w:hAnsiTheme="minorHAnsi" w:eastAsiaTheme="minorEastAsia" w:cstheme="minorBidi"/>
              </w:rPr>
              <w:tab/>
            </w:r>
            <w:r w:rsidRPr="00B47B36" w:rsidR="003130C2">
              <w:rPr>
                <w:rStyle w:val="Hyperlink"/>
              </w:rPr>
              <w:t>Respondent breakdown</w:t>
            </w:r>
            <w:r w:rsidRPr="00B47B36" w:rsidR="003130C2">
              <w:rPr>
                <w:webHidden/>
              </w:rPr>
              <w:tab/>
            </w:r>
            <w:r w:rsidRPr="009F3F65" w:rsidR="003130C2">
              <w:rPr>
                <w:webHidden/>
              </w:rPr>
              <w:fldChar w:fldCharType="begin"/>
            </w:r>
            <w:r w:rsidRPr="00B47B36" w:rsidR="003130C2">
              <w:rPr>
                <w:webHidden/>
              </w:rPr>
              <w:instrText xml:space="preserve"> PAGEREF _Toc174452839 \h </w:instrText>
            </w:r>
            <w:r w:rsidRPr="009F3F65" w:rsidR="003130C2">
              <w:rPr>
                <w:webHidden/>
              </w:rPr>
            </w:r>
            <w:r w:rsidRPr="009F3F65" w:rsidR="003130C2">
              <w:rPr>
                <w:webHidden/>
              </w:rPr>
              <w:fldChar w:fldCharType="separate"/>
            </w:r>
            <w:r w:rsidRPr="00B47B36" w:rsidR="004A4BE2">
              <w:rPr>
                <w:webHidden/>
              </w:rPr>
              <w:t>12</w:t>
            </w:r>
            <w:r w:rsidRPr="009F3F65" w:rsidR="003130C2">
              <w:rPr>
                <w:webHidden/>
              </w:rPr>
              <w:fldChar w:fldCharType="end"/>
            </w:r>
          </w:hyperlink>
        </w:p>
        <w:p w:rsidRPr="00B47B36" w:rsidR="003130C2" w:rsidP="003130C2" w:rsidRDefault="00BE2709" w14:paraId="392147DA" w14:textId="2E7F8D8F">
          <w:pPr>
            <w:pStyle w:val="TOC1"/>
            <w:rPr>
              <w:rFonts w:asciiTheme="minorHAnsi" w:hAnsiTheme="minorHAnsi" w:eastAsiaTheme="minorEastAsia" w:cstheme="minorBidi"/>
              <w:b w:val="0"/>
            </w:rPr>
          </w:pPr>
          <w:hyperlink w:history="1" w:anchor="_Toc174452840">
            <w:r w:rsidRPr="00B47B36" w:rsidR="003130C2">
              <w:rPr>
                <w:rStyle w:val="Hyperlink"/>
              </w:rPr>
              <w:t>2.</w:t>
            </w:r>
            <w:r w:rsidRPr="00B47B36" w:rsidR="003130C2">
              <w:rPr>
                <w:rFonts w:asciiTheme="minorHAnsi" w:hAnsiTheme="minorHAnsi" w:eastAsiaTheme="minorEastAsia" w:cstheme="minorBidi"/>
                <w:b w:val="0"/>
              </w:rPr>
              <w:tab/>
            </w:r>
            <w:r w:rsidRPr="00B47B36" w:rsidR="003130C2">
              <w:rPr>
                <w:rStyle w:val="Hyperlink"/>
              </w:rPr>
              <w:t>Policy overview</w:t>
            </w:r>
            <w:r w:rsidRPr="00B47B36" w:rsidR="003130C2">
              <w:rPr>
                <w:webHidden/>
              </w:rPr>
              <w:tab/>
            </w:r>
            <w:r w:rsidRPr="009F3F65" w:rsidR="003130C2">
              <w:rPr>
                <w:webHidden/>
              </w:rPr>
              <w:fldChar w:fldCharType="begin"/>
            </w:r>
            <w:r w:rsidRPr="00B47B36" w:rsidR="003130C2">
              <w:rPr>
                <w:webHidden/>
              </w:rPr>
              <w:instrText xml:space="preserve"> PAGEREF _Toc174452840 \h </w:instrText>
            </w:r>
            <w:r w:rsidRPr="009F3F65" w:rsidR="003130C2">
              <w:rPr>
                <w:webHidden/>
              </w:rPr>
            </w:r>
            <w:r w:rsidRPr="009F3F65" w:rsidR="003130C2">
              <w:rPr>
                <w:webHidden/>
              </w:rPr>
              <w:fldChar w:fldCharType="separate"/>
            </w:r>
            <w:r w:rsidRPr="00B47B36" w:rsidR="004A4BE2">
              <w:rPr>
                <w:webHidden/>
              </w:rPr>
              <w:t>14</w:t>
            </w:r>
            <w:r w:rsidRPr="009F3F65" w:rsidR="003130C2">
              <w:rPr>
                <w:webHidden/>
              </w:rPr>
              <w:fldChar w:fldCharType="end"/>
            </w:r>
          </w:hyperlink>
        </w:p>
        <w:p w:rsidRPr="00B47B36" w:rsidR="003130C2" w:rsidP="003130C2" w:rsidRDefault="00BE2709" w14:paraId="4CCE3E5A" w14:textId="6E667F70">
          <w:pPr>
            <w:pStyle w:val="TOC2"/>
            <w:tabs>
              <w:tab w:val="left" w:pos="880"/>
              <w:tab w:val="right" w:leader="dot" w:pos="9063"/>
            </w:tabs>
            <w:rPr>
              <w:rFonts w:asciiTheme="minorHAnsi" w:hAnsiTheme="minorHAnsi" w:eastAsiaTheme="minorEastAsia" w:cstheme="minorBidi"/>
            </w:rPr>
          </w:pPr>
          <w:hyperlink w:history="1" w:anchor="_Toc174452841">
            <w:r w:rsidRPr="00B47B36" w:rsidR="003130C2">
              <w:rPr>
                <w:rStyle w:val="Hyperlink"/>
              </w:rPr>
              <w:t>2.1</w:t>
            </w:r>
            <w:r w:rsidRPr="00B47B36" w:rsidR="003130C2">
              <w:rPr>
                <w:rFonts w:asciiTheme="minorHAnsi" w:hAnsiTheme="minorHAnsi" w:eastAsiaTheme="minorEastAsia" w:cstheme="minorBidi"/>
              </w:rPr>
              <w:tab/>
            </w:r>
            <w:r w:rsidRPr="00B47B36" w:rsidR="003130C2">
              <w:rPr>
                <w:rStyle w:val="Hyperlink"/>
              </w:rPr>
              <w:t>The Digital Europe Programme 2021-2027</w:t>
            </w:r>
            <w:r w:rsidRPr="00B47B36" w:rsidR="003130C2">
              <w:rPr>
                <w:webHidden/>
              </w:rPr>
              <w:tab/>
            </w:r>
            <w:r w:rsidRPr="009F3F65" w:rsidR="003130C2">
              <w:rPr>
                <w:webHidden/>
              </w:rPr>
              <w:fldChar w:fldCharType="begin"/>
            </w:r>
            <w:r w:rsidRPr="00B47B36" w:rsidR="003130C2">
              <w:rPr>
                <w:webHidden/>
              </w:rPr>
              <w:instrText xml:space="preserve"> PAGEREF _Toc174452841 \h </w:instrText>
            </w:r>
            <w:r w:rsidRPr="009F3F65" w:rsidR="003130C2">
              <w:rPr>
                <w:webHidden/>
              </w:rPr>
            </w:r>
            <w:r w:rsidRPr="009F3F65" w:rsidR="003130C2">
              <w:rPr>
                <w:webHidden/>
              </w:rPr>
              <w:fldChar w:fldCharType="separate"/>
            </w:r>
            <w:r w:rsidRPr="00B47B36" w:rsidR="004A4BE2">
              <w:rPr>
                <w:webHidden/>
              </w:rPr>
              <w:t>14</w:t>
            </w:r>
            <w:r w:rsidRPr="009F3F65" w:rsidR="003130C2">
              <w:rPr>
                <w:webHidden/>
              </w:rPr>
              <w:fldChar w:fldCharType="end"/>
            </w:r>
          </w:hyperlink>
        </w:p>
        <w:p w:rsidRPr="00B47B36" w:rsidR="003130C2" w:rsidP="003130C2" w:rsidRDefault="00BE2709" w14:paraId="1F3AD977" w14:textId="6D33D961">
          <w:pPr>
            <w:pStyle w:val="TOC2"/>
            <w:tabs>
              <w:tab w:val="left" w:pos="880"/>
              <w:tab w:val="right" w:leader="dot" w:pos="9063"/>
            </w:tabs>
            <w:rPr>
              <w:rFonts w:asciiTheme="minorHAnsi" w:hAnsiTheme="minorHAnsi" w:eastAsiaTheme="minorEastAsia" w:cstheme="minorBidi"/>
            </w:rPr>
          </w:pPr>
          <w:hyperlink w:history="1" w:anchor="_Toc174452842">
            <w:r w:rsidRPr="00B47B36" w:rsidR="003130C2">
              <w:rPr>
                <w:rStyle w:val="Hyperlink"/>
              </w:rPr>
              <w:t>2.2</w:t>
            </w:r>
            <w:r w:rsidRPr="00B47B36" w:rsidR="003130C2">
              <w:rPr>
                <w:rFonts w:asciiTheme="minorHAnsi" w:hAnsiTheme="minorHAnsi" w:eastAsiaTheme="minorEastAsia" w:cstheme="minorBidi"/>
              </w:rPr>
              <w:tab/>
            </w:r>
            <w:r w:rsidRPr="00B47B36" w:rsidR="003130C2">
              <w:rPr>
                <w:rStyle w:val="Hyperlink"/>
              </w:rPr>
              <w:t>Programme implementation in the selected Member States</w:t>
            </w:r>
            <w:r w:rsidRPr="00B47B36" w:rsidR="003130C2">
              <w:rPr>
                <w:webHidden/>
              </w:rPr>
              <w:tab/>
            </w:r>
            <w:r w:rsidRPr="009F3F65" w:rsidR="003130C2">
              <w:rPr>
                <w:webHidden/>
              </w:rPr>
              <w:fldChar w:fldCharType="begin"/>
            </w:r>
            <w:r w:rsidRPr="00B47B36" w:rsidR="003130C2">
              <w:rPr>
                <w:webHidden/>
              </w:rPr>
              <w:instrText xml:space="preserve"> PAGEREF _Toc174452842 \h </w:instrText>
            </w:r>
            <w:r w:rsidRPr="009F3F65" w:rsidR="003130C2">
              <w:rPr>
                <w:webHidden/>
              </w:rPr>
            </w:r>
            <w:r w:rsidRPr="009F3F65" w:rsidR="003130C2">
              <w:rPr>
                <w:webHidden/>
              </w:rPr>
              <w:fldChar w:fldCharType="separate"/>
            </w:r>
            <w:r w:rsidRPr="00B47B36" w:rsidR="004A4BE2">
              <w:rPr>
                <w:webHidden/>
              </w:rPr>
              <w:t>15</w:t>
            </w:r>
            <w:r w:rsidRPr="009F3F65" w:rsidR="003130C2">
              <w:rPr>
                <w:webHidden/>
              </w:rPr>
              <w:fldChar w:fldCharType="end"/>
            </w:r>
          </w:hyperlink>
        </w:p>
        <w:p w:rsidRPr="00B47B36" w:rsidR="003130C2" w:rsidP="003130C2" w:rsidRDefault="00BE2709" w14:paraId="2FB56ABF" w14:textId="03FCAF83">
          <w:pPr>
            <w:pStyle w:val="TOC1"/>
            <w:rPr>
              <w:rFonts w:asciiTheme="minorHAnsi" w:hAnsiTheme="minorHAnsi" w:eastAsiaTheme="minorEastAsia" w:cstheme="minorBidi"/>
              <w:b w:val="0"/>
            </w:rPr>
          </w:pPr>
          <w:hyperlink w:history="1" w:anchor="_Toc174452843">
            <w:r w:rsidRPr="00B47B36" w:rsidR="003130C2">
              <w:rPr>
                <w:rStyle w:val="Hyperlink"/>
              </w:rPr>
              <w:t>3.</w:t>
            </w:r>
            <w:r w:rsidRPr="00B47B36" w:rsidR="003130C2">
              <w:rPr>
                <w:rFonts w:asciiTheme="minorHAnsi" w:hAnsiTheme="minorHAnsi" w:eastAsiaTheme="minorEastAsia" w:cstheme="minorBidi"/>
                <w:b w:val="0"/>
              </w:rPr>
              <w:tab/>
            </w:r>
            <w:r w:rsidRPr="00B47B36" w:rsidR="003130C2">
              <w:rPr>
                <w:rStyle w:val="Hyperlink"/>
              </w:rPr>
              <w:t>Primary data: findings and analysis</w:t>
            </w:r>
            <w:r w:rsidRPr="00B47B36" w:rsidR="003130C2">
              <w:rPr>
                <w:webHidden/>
              </w:rPr>
              <w:tab/>
            </w:r>
            <w:r w:rsidRPr="009F3F65" w:rsidR="003130C2">
              <w:rPr>
                <w:webHidden/>
              </w:rPr>
              <w:fldChar w:fldCharType="begin"/>
            </w:r>
            <w:r w:rsidRPr="00B47B36" w:rsidR="003130C2">
              <w:rPr>
                <w:webHidden/>
              </w:rPr>
              <w:instrText xml:space="preserve"> PAGEREF _Toc174452843 \h </w:instrText>
            </w:r>
            <w:r w:rsidRPr="009F3F65" w:rsidR="003130C2">
              <w:rPr>
                <w:webHidden/>
              </w:rPr>
            </w:r>
            <w:r w:rsidRPr="009F3F65" w:rsidR="003130C2">
              <w:rPr>
                <w:webHidden/>
              </w:rPr>
              <w:fldChar w:fldCharType="separate"/>
            </w:r>
            <w:r w:rsidRPr="00B47B36" w:rsidR="004A4BE2">
              <w:rPr>
                <w:webHidden/>
              </w:rPr>
              <w:t>29</w:t>
            </w:r>
            <w:r w:rsidRPr="009F3F65" w:rsidR="003130C2">
              <w:rPr>
                <w:webHidden/>
              </w:rPr>
              <w:fldChar w:fldCharType="end"/>
            </w:r>
          </w:hyperlink>
        </w:p>
        <w:p w:rsidRPr="00B47B36" w:rsidR="003130C2" w:rsidP="003130C2" w:rsidRDefault="00BE2709" w14:paraId="5DCCE3EC" w14:textId="05B2A560">
          <w:pPr>
            <w:pStyle w:val="TOC2"/>
            <w:tabs>
              <w:tab w:val="left" w:pos="880"/>
              <w:tab w:val="right" w:leader="dot" w:pos="9063"/>
            </w:tabs>
            <w:rPr>
              <w:rFonts w:asciiTheme="minorHAnsi" w:hAnsiTheme="minorHAnsi" w:eastAsiaTheme="minorEastAsia" w:cstheme="minorBidi"/>
            </w:rPr>
          </w:pPr>
          <w:hyperlink w:history="1" w:anchor="_Toc174452844">
            <w:r w:rsidRPr="00B47B36" w:rsidR="003130C2">
              <w:rPr>
                <w:rStyle w:val="Hyperlink"/>
              </w:rPr>
              <w:t>3.1</w:t>
            </w:r>
            <w:r w:rsidRPr="00B47B36" w:rsidR="003130C2">
              <w:rPr>
                <w:rFonts w:asciiTheme="minorHAnsi" w:hAnsiTheme="minorHAnsi" w:eastAsiaTheme="minorEastAsia" w:cstheme="minorBidi"/>
              </w:rPr>
              <w:tab/>
            </w:r>
            <w:r w:rsidRPr="00B47B36" w:rsidR="003130C2">
              <w:rPr>
                <w:rStyle w:val="Hyperlink"/>
              </w:rPr>
              <w:t>Effectiveness</w:t>
            </w:r>
            <w:r w:rsidRPr="00B47B36" w:rsidR="003130C2">
              <w:rPr>
                <w:webHidden/>
              </w:rPr>
              <w:tab/>
            </w:r>
            <w:r w:rsidRPr="009F3F65" w:rsidR="003130C2">
              <w:rPr>
                <w:webHidden/>
              </w:rPr>
              <w:fldChar w:fldCharType="begin"/>
            </w:r>
            <w:r w:rsidRPr="00B47B36" w:rsidR="003130C2">
              <w:rPr>
                <w:webHidden/>
              </w:rPr>
              <w:instrText xml:space="preserve"> PAGEREF _Toc174452844 \h </w:instrText>
            </w:r>
            <w:r w:rsidRPr="009F3F65" w:rsidR="003130C2">
              <w:rPr>
                <w:webHidden/>
              </w:rPr>
            </w:r>
            <w:r w:rsidRPr="009F3F65" w:rsidR="003130C2">
              <w:rPr>
                <w:webHidden/>
              </w:rPr>
              <w:fldChar w:fldCharType="separate"/>
            </w:r>
            <w:r w:rsidRPr="00B47B36" w:rsidR="004A4BE2">
              <w:rPr>
                <w:webHidden/>
              </w:rPr>
              <w:t>29</w:t>
            </w:r>
            <w:r w:rsidRPr="009F3F65" w:rsidR="003130C2">
              <w:rPr>
                <w:webHidden/>
              </w:rPr>
              <w:fldChar w:fldCharType="end"/>
            </w:r>
          </w:hyperlink>
        </w:p>
        <w:p w:rsidRPr="00B47B36" w:rsidR="003130C2" w:rsidP="003130C2" w:rsidRDefault="00BE2709" w14:paraId="1850B9F7" w14:textId="08064377">
          <w:pPr>
            <w:pStyle w:val="TOC2"/>
            <w:tabs>
              <w:tab w:val="left" w:pos="880"/>
              <w:tab w:val="right" w:leader="dot" w:pos="9063"/>
            </w:tabs>
            <w:rPr>
              <w:rFonts w:asciiTheme="minorHAnsi" w:hAnsiTheme="minorHAnsi" w:eastAsiaTheme="minorEastAsia" w:cstheme="minorBidi"/>
            </w:rPr>
          </w:pPr>
          <w:hyperlink w:history="1" w:anchor="_Toc174452845">
            <w:r w:rsidRPr="00B47B36" w:rsidR="003130C2">
              <w:rPr>
                <w:rStyle w:val="Hyperlink"/>
              </w:rPr>
              <w:t>3.2</w:t>
            </w:r>
            <w:r w:rsidRPr="00B47B36" w:rsidR="003130C2">
              <w:rPr>
                <w:rFonts w:asciiTheme="minorHAnsi" w:hAnsiTheme="minorHAnsi" w:eastAsiaTheme="minorEastAsia" w:cstheme="minorBidi"/>
              </w:rPr>
              <w:tab/>
            </w:r>
            <w:r w:rsidRPr="00B47B36" w:rsidR="003130C2">
              <w:rPr>
                <w:rStyle w:val="Hyperlink"/>
              </w:rPr>
              <w:t>Relevance</w:t>
            </w:r>
            <w:r w:rsidRPr="00B47B36" w:rsidR="003130C2">
              <w:rPr>
                <w:webHidden/>
              </w:rPr>
              <w:tab/>
            </w:r>
            <w:r w:rsidRPr="009F3F65" w:rsidR="003130C2">
              <w:rPr>
                <w:webHidden/>
              </w:rPr>
              <w:fldChar w:fldCharType="begin"/>
            </w:r>
            <w:r w:rsidRPr="00B47B36" w:rsidR="003130C2">
              <w:rPr>
                <w:webHidden/>
              </w:rPr>
              <w:instrText xml:space="preserve"> PAGEREF _Toc174452845 \h </w:instrText>
            </w:r>
            <w:r w:rsidRPr="009F3F65" w:rsidR="003130C2">
              <w:rPr>
                <w:webHidden/>
              </w:rPr>
            </w:r>
            <w:r w:rsidRPr="009F3F65" w:rsidR="003130C2">
              <w:rPr>
                <w:webHidden/>
              </w:rPr>
              <w:fldChar w:fldCharType="separate"/>
            </w:r>
            <w:r w:rsidRPr="00B47B36" w:rsidR="004A4BE2">
              <w:rPr>
                <w:webHidden/>
              </w:rPr>
              <w:t>50</w:t>
            </w:r>
            <w:r w:rsidRPr="009F3F65" w:rsidR="003130C2">
              <w:rPr>
                <w:webHidden/>
              </w:rPr>
              <w:fldChar w:fldCharType="end"/>
            </w:r>
          </w:hyperlink>
        </w:p>
        <w:p w:rsidRPr="00B47B36" w:rsidR="003130C2" w:rsidP="003130C2" w:rsidRDefault="00BE2709" w14:paraId="6BFAFB6A" w14:textId="79275B71">
          <w:pPr>
            <w:pStyle w:val="TOC2"/>
            <w:tabs>
              <w:tab w:val="left" w:pos="880"/>
              <w:tab w:val="right" w:leader="dot" w:pos="9063"/>
            </w:tabs>
            <w:rPr>
              <w:rFonts w:asciiTheme="minorHAnsi" w:hAnsiTheme="minorHAnsi" w:eastAsiaTheme="minorEastAsia" w:cstheme="minorBidi"/>
            </w:rPr>
          </w:pPr>
          <w:hyperlink w:history="1" w:anchor="_Toc174452846">
            <w:r w:rsidRPr="00B47B36" w:rsidR="003130C2">
              <w:rPr>
                <w:rStyle w:val="Hyperlink"/>
              </w:rPr>
              <w:t>3.3</w:t>
            </w:r>
            <w:r w:rsidRPr="00B47B36" w:rsidR="003130C2">
              <w:rPr>
                <w:rFonts w:asciiTheme="minorHAnsi" w:hAnsiTheme="minorHAnsi" w:eastAsiaTheme="minorEastAsia" w:cstheme="minorBidi"/>
              </w:rPr>
              <w:tab/>
            </w:r>
            <w:r w:rsidRPr="00B47B36" w:rsidR="003130C2">
              <w:rPr>
                <w:rStyle w:val="Hyperlink"/>
              </w:rPr>
              <w:t>Inclusion of civil society and added value</w:t>
            </w:r>
            <w:r w:rsidRPr="00B47B36" w:rsidR="003130C2">
              <w:rPr>
                <w:webHidden/>
              </w:rPr>
              <w:tab/>
            </w:r>
            <w:r w:rsidRPr="009F3F65" w:rsidR="003130C2">
              <w:rPr>
                <w:webHidden/>
              </w:rPr>
              <w:fldChar w:fldCharType="begin"/>
            </w:r>
            <w:r w:rsidRPr="00B47B36" w:rsidR="003130C2">
              <w:rPr>
                <w:webHidden/>
              </w:rPr>
              <w:instrText xml:space="preserve"> PAGEREF _Toc174452846 \h </w:instrText>
            </w:r>
            <w:r w:rsidRPr="009F3F65" w:rsidR="003130C2">
              <w:rPr>
                <w:webHidden/>
              </w:rPr>
            </w:r>
            <w:r w:rsidRPr="009F3F65" w:rsidR="003130C2">
              <w:rPr>
                <w:webHidden/>
              </w:rPr>
              <w:fldChar w:fldCharType="separate"/>
            </w:r>
            <w:r w:rsidRPr="00B47B36" w:rsidR="004A4BE2">
              <w:rPr>
                <w:webHidden/>
              </w:rPr>
              <w:t>61</w:t>
            </w:r>
            <w:r w:rsidRPr="009F3F65" w:rsidR="003130C2">
              <w:rPr>
                <w:webHidden/>
              </w:rPr>
              <w:fldChar w:fldCharType="end"/>
            </w:r>
          </w:hyperlink>
        </w:p>
        <w:p w:rsidRPr="00B47B36" w:rsidR="003130C2" w:rsidP="003130C2" w:rsidRDefault="00BE2709" w14:paraId="168C04AD" w14:textId="7EB444F6">
          <w:pPr>
            <w:pStyle w:val="TOC2"/>
            <w:tabs>
              <w:tab w:val="left" w:pos="880"/>
              <w:tab w:val="right" w:leader="dot" w:pos="9063"/>
            </w:tabs>
            <w:rPr>
              <w:rFonts w:asciiTheme="minorHAnsi" w:hAnsiTheme="minorHAnsi" w:eastAsiaTheme="minorEastAsia" w:cstheme="minorBidi"/>
            </w:rPr>
          </w:pPr>
          <w:hyperlink w:history="1" w:anchor="_Toc174452847">
            <w:r w:rsidRPr="00B47B36" w:rsidR="003130C2">
              <w:rPr>
                <w:rStyle w:val="Hyperlink"/>
              </w:rPr>
              <w:t>3.4</w:t>
            </w:r>
            <w:r w:rsidRPr="00B47B36" w:rsidR="003130C2">
              <w:rPr>
                <w:rFonts w:asciiTheme="minorHAnsi" w:hAnsiTheme="minorHAnsi" w:eastAsiaTheme="minorEastAsia" w:cstheme="minorBidi"/>
              </w:rPr>
              <w:tab/>
            </w:r>
            <w:r w:rsidRPr="00B47B36" w:rsidR="003130C2">
              <w:rPr>
                <w:rStyle w:val="Hyperlink"/>
              </w:rPr>
              <w:t>Additional comments</w:t>
            </w:r>
            <w:r w:rsidRPr="00B47B36" w:rsidR="003130C2">
              <w:rPr>
                <w:webHidden/>
              </w:rPr>
              <w:tab/>
              <w:t>57</w:t>
            </w:r>
          </w:hyperlink>
        </w:p>
        <w:p w:rsidRPr="00B47B36" w:rsidR="003130C2" w:rsidP="003130C2" w:rsidRDefault="00BE2709" w14:paraId="149C1B5F" w14:textId="75EBEBF8">
          <w:pPr>
            <w:pStyle w:val="TOC1"/>
            <w:rPr>
              <w:rFonts w:asciiTheme="minorHAnsi" w:hAnsiTheme="minorHAnsi" w:eastAsiaTheme="minorEastAsia" w:cstheme="minorBidi"/>
              <w:b w:val="0"/>
            </w:rPr>
          </w:pPr>
          <w:hyperlink w:history="1" w:anchor="_Toc174452848">
            <w:r w:rsidRPr="00B47B36" w:rsidR="003130C2">
              <w:rPr>
                <w:rStyle w:val="Hyperlink"/>
              </w:rPr>
              <w:t>4.</w:t>
            </w:r>
            <w:r w:rsidRPr="00B47B36" w:rsidR="003130C2">
              <w:rPr>
                <w:rFonts w:asciiTheme="minorHAnsi" w:hAnsiTheme="minorHAnsi" w:eastAsiaTheme="minorEastAsia" w:cstheme="minorBidi"/>
                <w:b w:val="0"/>
              </w:rPr>
              <w:tab/>
            </w:r>
            <w:r w:rsidRPr="00B47B36" w:rsidR="003130C2">
              <w:rPr>
                <w:rStyle w:val="Hyperlink"/>
              </w:rPr>
              <w:t>Primary data: summary of findings from the country visits</w:t>
            </w:r>
            <w:r w:rsidRPr="00B47B36" w:rsidR="003130C2">
              <w:rPr>
                <w:webHidden/>
              </w:rPr>
              <w:tab/>
            </w:r>
            <w:r w:rsidRPr="009F3F65" w:rsidR="003130C2">
              <w:rPr>
                <w:webHidden/>
              </w:rPr>
              <w:fldChar w:fldCharType="begin"/>
            </w:r>
            <w:r w:rsidRPr="00B47B36" w:rsidR="003130C2">
              <w:rPr>
                <w:webHidden/>
              </w:rPr>
              <w:instrText xml:space="preserve"> PAGEREF _Toc174452848 \h </w:instrText>
            </w:r>
            <w:r w:rsidRPr="009F3F65" w:rsidR="003130C2">
              <w:rPr>
                <w:webHidden/>
              </w:rPr>
            </w:r>
            <w:r w:rsidRPr="009F3F65" w:rsidR="003130C2">
              <w:rPr>
                <w:webHidden/>
              </w:rPr>
              <w:fldChar w:fldCharType="separate"/>
            </w:r>
            <w:r w:rsidRPr="00B47B36" w:rsidR="004A4BE2">
              <w:rPr>
                <w:webHidden/>
              </w:rPr>
              <w:t>70</w:t>
            </w:r>
            <w:r w:rsidRPr="009F3F65" w:rsidR="003130C2">
              <w:rPr>
                <w:webHidden/>
              </w:rPr>
              <w:fldChar w:fldCharType="end"/>
            </w:r>
          </w:hyperlink>
        </w:p>
        <w:p w:rsidRPr="00B47B36" w:rsidR="003130C2" w:rsidP="003130C2" w:rsidRDefault="00BE2709" w14:paraId="43D2B9AB" w14:textId="76C874EA">
          <w:pPr>
            <w:pStyle w:val="TOC2"/>
            <w:tabs>
              <w:tab w:val="left" w:pos="880"/>
              <w:tab w:val="right" w:leader="dot" w:pos="9063"/>
            </w:tabs>
            <w:rPr>
              <w:rFonts w:asciiTheme="minorHAnsi" w:hAnsiTheme="minorHAnsi" w:eastAsiaTheme="minorEastAsia" w:cstheme="minorBidi"/>
            </w:rPr>
          </w:pPr>
          <w:hyperlink w:history="1" w:anchor="_Toc174452849">
            <w:r w:rsidRPr="00B47B36" w:rsidR="003130C2">
              <w:rPr>
                <w:rStyle w:val="Hyperlink"/>
                <w:rFonts w:eastAsia="Calibri"/>
              </w:rPr>
              <w:t>4.1</w:t>
            </w:r>
            <w:r w:rsidRPr="00B47B36" w:rsidR="003130C2">
              <w:rPr>
                <w:rFonts w:asciiTheme="minorHAnsi" w:hAnsiTheme="minorHAnsi" w:eastAsiaTheme="minorEastAsia" w:cstheme="minorBidi"/>
              </w:rPr>
              <w:tab/>
            </w:r>
            <w:r w:rsidRPr="00B47B36" w:rsidR="003130C2">
              <w:rPr>
                <w:rStyle w:val="Hyperlink"/>
                <w:rFonts w:eastAsia="Calibri"/>
              </w:rPr>
              <w:t>Germany</w:t>
            </w:r>
            <w:r w:rsidRPr="00B47B36" w:rsidR="003130C2">
              <w:rPr>
                <w:webHidden/>
              </w:rPr>
              <w:tab/>
            </w:r>
            <w:r w:rsidRPr="009F3F65" w:rsidR="003130C2">
              <w:rPr>
                <w:webHidden/>
              </w:rPr>
              <w:fldChar w:fldCharType="begin"/>
            </w:r>
            <w:r w:rsidRPr="00B47B36" w:rsidR="003130C2">
              <w:rPr>
                <w:webHidden/>
              </w:rPr>
              <w:instrText xml:space="preserve"> PAGEREF _Toc174452849 \h </w:instrText>
            </w:r>
            <w:r w:rsidRPr="009F3F65" w:rsidR="003130C2">
              <w:rPr>
                <w:webHidden/>
              </w:rPr>
            </w:r>
            <w:r w:rsidRPr="009F3F65" w:rsidR="003130C2">
              <w:rPr>
                <w:webHidden/>
              </w:rPr>
              <w:fldChar w:fldCharType="separate"/>
            </w:r>
            <w:r w:rsidRPr="00B47B36" w:rsidR="004A4BE2">
              <w:rPr>
                <w:webHidden/>
              </w:rPr>
              <w:t>70</w:t>
            </w:r>
            <w:r w:rsidRPr="009F3F65" w:rsidR="003130C2">
              <w:rPr>
                <w:webHidden/>
              </w:rPr>
              <w:fldChar w:fldCharType="end"/>
            </w:r>
          </w:hyperlink>
        </w:p>
        <w:p w:rsidRPr="00B47B36" w:rsidR="003130C2" w:rsidP="003130C2" w:rsidRDefault="00BE2709" w14:paraId="0629AAC5" w14:textId="033A1D89">
          <w:pPr>
            <w:pStyle w:val="TOC2"/>
            <w:tabs>
              <w:tab w:val="left" w:pos="880"/>
              <w:tab w:val="right" w:leader="dot" w:pos="9063"/>
            </w:tabs>
            <w:rPr>
              <w:rFonts w:asciiTheme="minorHAnsi" w:hAnsiTheme="minorHAnsi" w:eastAsiaTheme="minorEastAsia" w:cstheme="minorBidi"/>
            </w:rPr>
          </w:pPr>
          <w:hyperlink w:history="1" w:anchor="_Toc174452850">
            <w:r w:rsidRPr="00B47B36" w:rsidR="003130C2">
              <w:rPr>
                <w:rStyle w:val="Hyperlink"/>
              </w:rPr>
              <w:t>4.2</w:t>
            </w:r>
            <w:r w:rsidRPr="00B47B36" w:rsidR="003130C2">
              <w:rPr>
                <w:rFonts w:asciiTheme="minorHAnsi" w:hAnsiTheme="minorHAnsi" w:eastAsiaTheme="minorEastAsia" w:cstheme="minorBidi"/>
              </w:rPr>
              <w:tab/>
            </w:r>
            <w:r w:rsidRPr="00B47B36" w:rsidR="003130C2">
              <w:rPr>
                <w:rStyle w:val="Hyperlink"/>
              </w:rPr>
              <w:t>Malta</w:t>
            </w:r>
            <w:r w:rsidRPr="00B47B36" w:rsidR="003130C2">
              <w:rPr>
                <w:webHidden/>
              </w:rPr>
              <w:tab/>
            </w:r>
            <w:r w:rsidRPr="009F3F65" w:rsidR="003130C2">
              <w:rPr>
                <w:webHidden/>
              </w:rPr>
              <w:fldChar w:fldCharType="begin"/>
            </w:r>
            <w:r w:rsidRPr="00B47B36" w:rsidR="003130C2">
              <w:rPr>
                <w:webHidden/>
              </w:rPr>
              <w:instrText xml:space="preserve"> PAGEREF _Toc174452850 \h </w:instrText>
            </w:r>
            <w:r w:rsidRPr="009F3F65" w:rsidR="003130C2">
              <w:rPr>
                <w:webHidden/>
              </w:rPr>
            </w:r>
            <w:r w:rsidRPr="009F3F65" w:rsidR="003130C2">
              <w:rPr>
                <w:webHidden/>
              </w:rPr>
              <w:fldChar w:fldCharType="separate"/>
            </w:r>
            <w:r w:rsidRPr="00B47B36" w:rsidR="004A4BE2">
              <w:rPr>
                <w:webHidden/>
              </w:rPr>
              <w:t>70</w:t>
            </w:r>
            <w:r w:rsidRPr="009F3F65" w:rsidR="003130C2">
              <w:rPr>
                <w:webHidden/>
              </w:rPr>
              <w:fldChar w:fldCharType="end"/>
            </w:r>
          </w:hyperlink>
        </w:p>
        <w:p w:rsidRPr="00B47B36" w:rsidR="003130C2" w:rsidP="003130C2" w:rsidRDefault="00BE2709" w14:paraId="0788EC49" w14:textId="678BD33B">
          <w:pPr>
            <w:pStyle w:val="TOC2"/>
            <w:tabs>
              <w:tab w:val="left" w:pos="880"/>
              <w:tab w:val="right" w:leader="dot" w:pos="9063"/>
            </w:tabs>
            <w:rPr>
              <w:rFonts w:asciiTheme="minorHAnsi" w:hAnsiTheme="minorHAnsi" w:eastAsiaTheme="minorEastAsia" w:cstheme="minorBidi"/>
            </w:rPr>
          </w:pPr>
          <w:hyperlink w:history="1" w:anchor="_Toc174452851">
            <w:r w:rsidRPr="00B47B36" w:rsidR="003130C2">
              <w:rPr>
                <w:rStyle w:val="Hyperlink"/>
              </w:rPr>
              <w:t>4.3</w:t>
            </w:r>
            <w:r w:rsidRPr="00B47B36" w:rsidR="003130C2">
              <w:rPr>
                <w:rFonts w:asciiTheme="minorHAnsi" w:hAnsiTheme="minorHAnsi" w:eastAsiaTheme="minorEastAsia" w:cstheme="minorBidi"/>
              </w:rPr>
              <w:tab/>
            </w:r>
            <w:r w:rsidRPr="00B47B36" w:rsidR="003130C2">
              <w:rPr>
                <w:rStyle w:val="Hyperlink"/>
              </w:rPr>
              <w:t>Poland</w:t>
            </w:r>
            <w:r w:rsidRPr="00B47B36" w:rsidR="003130C2">
              <w:rPr>
                <w:webHidden/>
              </w:rPr>
              <w:tab/>
            </w:r>
            <w:r w:rsidRPr="009F3F65" w:rsidR="003130C2">
              <w:rPr>
                <w:webHidden/>
              </w:rPr>
              <w:fldChar w:fldCharType="begin"/>
            </w:r>
            <w:r w:rsidRPr="00B47B36" w:rsidR="003130C2">
              <w:rPr>
                <w:webHidden/>
              </w:rPr>
              <w:instrText xml:space="preserve"> PAGEREF _Toc174452851 \h </w:instrText>
            </w:r>
            <w:r w:rsidRPr="009F3F65" w:rsidR="003130C2">
              <w:rPr>
                <w:webHidden/>
              </w:rPr>
            </w:r>
            <w:r w:rsidRPr="009F3F65" w:rsidR="003130C2">
              <w:rPr>
                <w:webHidden/>
              </w:rPr>
              <w:fldChar w:fldCharType="separate"/>
            </w:r>
            <w:r w:rsidRPr="00B47B36" w:rsidR="004A4BE2">
              <w:rPr>
                <w:webHidden/>
              </w:rPr>
              <w:t>71</w:t>
            </w:r>
            <w:r w:rsidRPr="009F3F65" w:rsidR="003130C2">
              <w:rPr>
                <w:webHidden/>
              </w:rPr>
              <w:fldChar w:fldCharType="end"/>
            </w:r>
          </w:hyperlink>
        </w:p>
        <w:p w:rsidRPr="00B47B36" w:rsidR="003130C2" w:rsidP="003130C2" w:rsidRDefault="00BE2709" w14:paraId="2ADD6026" w14:textId="7A335CB1">
          <w:pPr>
            <w:pStyle w:val="TOC2"/>
            <w:tabs>
              <w:tab w:val="left" w:pos="880"/>
              <w:tab w:val="right" w:leader="dot" w:pos="9063"/>
            </w:tabs>
            <w:rPr>
              <w:rFonts w:asciiTheme="minorHAnsi" w:hAnsiTheme="minorHAnsi" w:eastAsiaTheme="minorEastAsia" w:cstheme="minorBidi"/>
            </w:rPr>
          </w:pPr>
          <w:hyperlink w:history="1" w:anchor="_Toc174452852">
            <w:r w:rsidRPr="00B47B36" w:rsidR="003130C2">
              <w:rPr>
                <w:rStyle w:val="Hyperlink"/>
                <w:rFonts w:eastAsia="Calibri"/>
              </w:rPr>
              <w:t>4.4</w:t>
            </w:r>
            <w:r w:rsidRPr="00B47B36" w:rsidR="003130C2">
              <w:rPr>
                <w:rFonts w:asciiTheme="minorHAnsi" w:hAnsiTheme="minorHAnsi" w:eastAsiaTheme="minorEastAsia" w:cstheme="minorBidi"/>
              </w:rPr>
              <w:tab/>
            </w:r>
            <w:r w:rsidRPr="00B47B36" w:rsidR="003130C2">
              <w:rPr>
                <w:rStyle w:val="Hyperlink"/>
                <w:rFonts w:eastAsia="Calibri"/>
              </w:rPr>
              <w:t>Portugal</w:t>
            </w:r>
            <w:r w:rsidRPr="00B47B36" w:rsidR="003130C2">
              <w:rPr>
                <w:webHidden/>
              </w:rPr>
              <w:tab/>
            </w:r>
            <w:r w:rsidRPr="009F3F65" w:rsidR="003130C2">
              <w:rPr>
                <w:webHidden/>
              </w:rPr>
              <w:fldChar w:fldCharType="begin"/>
            </w:r>
            <w:r w:rsidRPr="00B47B36" w:rsidR="003130C2">
              <w:rPr>
                <w:webHidden/>
              </w:rPr>
              <w:instrText xml:space="preserve"> PAGEREF _Toc174452852 \h </w:instrText>
            </w:r>
            <w:r w:rsidRPr="009F3F65" w:rsidR="003130C2">
              <w:rPr>
                <w:webHidden/>
              </w:rPr>
            </w:r>
            <w:r w:rsidRPr="009F3F65" w:rsidR="003130C2">
              <w:rPr>
                <w:webHidden/>
              </w:rPr>
              <w:fldChar w:fldCharType="separate"/>
            </w:r>
            <w:r w:rsidRPr="00B47B36" w:rsidR="004A4BE2">
              <w:rPr>
                <w:webHidden/>
              </w:rPr>
              <w:t>72</w:t>
            </w:r>
            <w:r w:rsidRPr="009F3F65" w:rsidR="003130C2">
              <w:rPr>
                <w:webHidden/>
              </w:rPr>
              <w:fldChar w:fldCharType="end"/>
            </w:r>
          </w:hyperlink>
        </w:p>
        <w:p w:rsidRPr="00B47B36" w:rsidR="003130C2" w:rsidP="003130C2" w:rsidRDefault="00BE2709" w14:paraId="09BE4B0E" w14:textId="1F77F67A">
          <w:pPr>
            <w:pStyle w:val="TOC2"/>
            <w:tabs>
              <w:tab w:val="left" w:pos="880"/>
              <w:tab w:val="right" w:leader="dot" w:pos="9063"/>
            </w:tabs>
            <w:rPr>
              <w:rFonts w:asciiTheme="minorHAnsi" w:hAnsiTheme="minorHAnsi" w:eastAsiaTheme="minorEastAsia" w:cstheme="minorBidi"/>
            </w:rPr>
          </w:pPr>
          <w:hyperlink w:history="1" w:anchor="_Toc174452853">
            <w:r w:rsidRPr="00B47B36" w:rsidR="003130C2">
              <w:rPr>
                <w:rStyle w:val="Hyperlink"/>
                <w:rFonts w:eastAsia="Calibri"/>
              </w:rPr>
              <w:t>4.5</w:t>
            </w:r>
            <w:r w:rsidRPr="00B47B36" w:rsidR="003130C2">
              <w:rPr>
                <w:rFonts w:asciiTheme="minorHAnsi" w:hAnsiTheme="minorHAnsi" w:eastAsiaTheme="minorEastAsia" w:cstheme="minorBidi"/>
              </w:rPr>
              <w:tab/>
            </w:r>
            <w:r w:rsidRPr="00B47B36" w:rsidR="003130C2">
              <w:rPr>
                <w:rStyle w:val="Hyperlink"/>
                <w:rFonts w:eastAsia="Calibri"/>
              </w:rPr>
              <w:t>Sweden</w:t>
            </w:r>
            <w:r w:rsidRPr="00B47B36" w:rsidR="003130C2">
              <w:rPr>
                <w:webHidden/>
              </w:rPr>
              <w:tab/>
            </w:r>
            <w:r w:rsidRPr="009F3F65" w:rsidR="003130C2">
              <w:rPr>
                <w:webHidden/>
              </w:rPr>
              <w:fldChar w:fldCharType="begin"/>
            </w:r>
            <w:r w:rsidRPr="00B47B36" w:rsidR="003130C2">
              <w:rPr>
                <w:webHidden/>
              </w:rPr>
              <w:instrText xml:space="preserve"> PAGEREF _Toc174452853 \h </w:instrText>
            </w:r>
            <w:r w:rsidRPr="009F3F65" w:rsidR="003130C2">
              <w:rPr>
                <w:webHidden/>
              </w:rPr>
            </w:r>
            <w:r w:rsidRPr="009F3F65" w:rsidR="003130C2">
              <w:rPr>
                <w:webHidden/>
              </w:rPr>
              <w:fldChar w:fldCharType="separate"/>
            </w:r>
            <w:r w:rsidRPr="00B47B36" w:rsidR="004A4BE2">
              <w:rPr>
                <w:webHidden/>
              </w:rPr>
              <w:t>73</w:t>
            </w:r>
            <w:r w:rsidRPr="009F3F65" w:rsidR="003130C2">
              <w:rPr>
                <w:webHidden/>
              </w:rPr>
              <w:fldChar w:fldCharType="end"/>
            </w:r>
          </w:hyperlink>
        </w:p>
        <w:p w:rsidRPr="00B47B36" w:rsidR="003130C2" w:rsidP="003130C2" w:rsidRDefault="00BE2709" w14:paraId="645202DE" w14:textId="583769AE">
          <w:pPr>
            <w:pStyle w:val="TOC1"/>
            <w:rPr>
              <w:rFonts w:asciiTheme="minorHAnsi" w:hAnsiTheme="minorHAnsi" w:eastAsiaTheme="minorEastAsia" w:cstheme="minorBidi"/>
              <w:b w:val="0"/>
            </w:rPr>
          </w:pPr>
          <w:hyperlink w:history="1" w:anchor="_Toc174452854">
            <w:r w:rsidRPr="00B47B36" w:rsidR="003130C2">
              <w:rPr>
                <w:rStyle w:val="Hyperlink"/>
              </w:rPr>
              <w:t>5.</w:t>
            </w:r>
            <w:r w:rsidRPr="00B47B36" w:rsidR="003130C2">
              <w:rPr>
                <w:rFonts w:asciiTheme="minorHAnsi" w:hAnsiTheme="minorHAnsi" w:eastAsiaTheme="minorEastAsia" w:cstheme="minorBidi"/>
                <w:b w:val="0"/>
              </w:rPr>
              <w:tab/>
            </w:r>
            <w:r w:rsidRPr="00B47B36" w:rsidR="003130C2">
              <w:rPr>
                <w:rStyle w:val="Hyperlink"/>
              </w:rPr>
              <w:t>Secondary data: literature review</w:t>
            </w:r>
            <w:r w:rsidRPr="00B47B36" w:rsidR="003130C2">
              <w:rPr>
                <w:webHidden/>
              </w:rPr>
              <w:tab/>
            </w:r>
            <w:r w:rsidRPr="009F3F65" w:rsidR="003130C2">
              <w:rPr>
                <w:webHidden/>
              </w:rPr>
              <w:fldChar w:fldCharType="begin"/>
            </w:r>
            <w:r w:rsidRPr="00B47B36" w:rsidR="003130C2">
              <w:rPr>
                <w:webHidden/>
              </w:rPr>
              <w:instrText xml:space="preserve"> PAGEREF _Toc174452854 \h </w:instrText>
            </w:r>
            <w:r w:rsidRPr="009F3F65" w:rsidR="003130C2">
              <w:rPr>
                <w:webHidden/>
              </w:rPr>
            </w:r>
            <w:r w:rsidRPr="009F3F65" w:rsidR="003130C2">
              <w:rPr>
                <w:webHidden/>
              </w:rPr>
              <w:fldChar w:fldCharType="separate"/>
            </w:r>
            <w:r w:rsidRPr="00B47B36" w:rsidR="004A4BE2">
              <w:rPr>
                <w:webHidden/>
              </w:rPr>
              <w:t>74</w:t>
            </w:r>
            <w:r w:rsidRPr="009F3F65" w:rsidR="003130C2">
              <w:rPr>
                <w:webHidden/>
              </w:rPr>
              <w:fldChar w:fldCharType="end"/>
            </w:r>
          </w:hyperlink>
        </w:p>
        <w:p w:rsidRPr="00B47B36" w:rsidR="003130C2" w:rsidP="003130C2" w:rsidRDefault="00BE2709" w14:paraId="3944F3FD" w14:textId="60DE1D5D">
          <w:pPr>
            <w:pStyle w:val="TOC2"/>
            <w:tabs>
              <w:tab w:val="left" w:pos="880"/>
              <w:tab w:val="right" w:leader="dot" w:pos="9063"/>
            </w:tabs>
            <w:rPr>
              <w:rFonts w:asciiTheme="minorHAnsi" w:hAnsiTheme="minorHAnsi" w:eastAsiaTheme="minorEastAsia" w:cstheme="minorBidi"/>
            </w:rPr>
          </w:pPr>
          <w:hyperlink w:history="1" w:anchor="_Toc174452855">
            <w:r w:rsidRPr="00B47B36" w:rsidR="003130C2">
              <w:rPr>
                <w:rStyle w:val="Hyperlink"/>
              </w:rPr>
              <w:t>5.1</w:t>
            </w:r>
            <w:r w:rsidRPr="00B47B36" w:rsidR="003130C2">
              <w:rPr>
                <w:rFonts w:asciiTheme="minorHAnsi" w:hAnsiTheme="minorHAnsi" w:eastAsiaTheme="minorEastAsia" w:cstheme="minorBidi"/>
              </w:rPr>
              <w:tab/>
            </w:r>
            <w:r w:rsidRPr="00B47B36" w:rsidR="003130C2">
              <w:rPr>
                <w:rStyle w:val="Hyperlink"/>
              </w:rPr>
              <w:t>SOC/774 – Digital skills and education package (2023)</w:t>
            </w:r>
            <w:r w:rsidRPr="00B47B36" w:rsidR="003130C2">
              <w:rPr>
                <w:webHidden/>
              </w:rPr>
              <w:tab/>
            </w:r>
            <w:r w:rsidRPr="009F3F65" w:rsidR="003130C2">
              <w:rPr>
                <w:webHidden/>
              </w:rPr>
              <w:fldChar w:fldCharType="begin"/>
            </w:r>
            <w:r w:rsidRPr="00B47B36" w:rsidR="003130C2">
              <w:rPr>
                <w:webHidden/>
              </w:rPr>
              <w:instrText xml:space="preserve"> PAGEREF _Toc174452855 \h </w:instrText>
            </w:r>
            <w:r w:rsidRPr="009F3F65" w:rsidR="003130C2">
              <w:rPr>
                <w:webHidden/>
              </w:rPr>
            </w:r>
            <w:r w:rsidRPr="009F3F65" w:rsidR="003130C2">
              <w:rPr>
                <w:webHidden/>
              </w:rPr>
              <w:fldChar w:fldCharType="separate"/>
            </w:r>
            <w:r w:rsidRPr="00B47B36" w:rsidR="004A4BE2">
              <w:rPr>
                <w:webHidden/>
              </w:rPr>
              <w:t>74</w:t>
            </w:r>
            <w:r w:rsidRPr="009F3F65" w:rsidR="003130C2">
              <w:rPr>
                <w:webHidden/>
              </w:rPr>
              <w:fldChar w:fldCharType="end"/>
            </w:r>
          </w:hyperlink>
        </w:p>
        <w:p w:rsidRPr="00B47B36" w:rsidR="003130C2" w:rsidP="003130C2" w:rsidRDefault="00BE2709" w14:paraId="2550F59F" w14:textId="44195ADE">
          <w:pPr>
            <w:pStyle w:val="TOC2"/>
            <w:tabs>
              <w:tab w:val="left" w:pos="880"/>
              <w:tab w:val="right" w:leader="dot" w:pos="9063"/>
            </w:tabs>
            <w:rPr>
              <w:rFonts w:asciiTheme="minorHAnsi" w:hAnsiTheme="minorHAnsi" w:eastAsiaTheme="minorEastAsia" w:cstheme="minorBidi"/>
            </w:rPr>
          </w:pPr>
          <w:hyperlink w:history="1" w:anchor="_Toc174452856">
            <w:r w:rsidRPr="00B47B36" w:rsidR="003130C2">
              <w:rPr>
                <w:rStyle w:val="Hyperlink"/>
                <w:rFonts w:eastAsia="Calibri"/>
              </w:rPr>
              <w:t>5.2</w:t>
            </w:r>
            <w:r w:rsidRPr="00B47B36" w:rsidR="003130C2">
              <w:rPr>
                <w:rFonts w:asciiTheme="minorHAnsi" w:hAnsiTheme="minorHAnsi" w:eastAsiaTheme="minorEastAsia" w:cstheme="minorBidi"/>
              </w:rPr>
              <w:tab/>
            </w:r>
            <w:r w:rsidRPr="00B47B36" w:rsidR="003130C2">
              <w:rPr>
                <w:rStyle w:val="Hyperlink"/>
                <w:rFonts w:eastAsia="Calibri"/>
              </w:rPr>
              <w:t>INT/1019 – Deepening the single market through digitalisation (2023)</w:t>
            </w:r>
            <w:r w:rsidRPr="00B47B36" w:rsidR="003130C2">
              <w:rPr>
                <w:webHidden/>
              </w:rPr>
              <w:tab/>
            </w:r>
            <w:r w:rsidRPr="009F3F65" w:rsidR="003130C2">
              <w:rPr>
                <w:webHidden/>
              </w:rPr>
              <w:fldChar w:fldCharType="begin"/>
            </w:r>
            <w:r w:rsidRPr="00B47B36" w:rsidR="003130C2">
              <w:rPr>
                <w:webHidden/>
              </w:rPr>
              <w:instrText xml:space="preserve"> PAGEREF _Toc174452856 \h </w:instrText>
            </w:r>
            <w:r w:rsidRPr="009F3F65" w:rsidR="003130C2">
              <w:rPr>
                <w:webHidden/>
              </w:rPr>
            </w:r>
            <w:r w:rsidRPr="009F3F65" w:rsidR="003130C2">
              <w:rPr>
                <w:webHidden/>
              </w:rPr>
              <w:fldChar w:fldCharType="separate"/>
            </w:r>
            <w:r w:rsidRPr="00B47B36" w:rsidR="004A4BE2">
              <w:rPr>
                <w:webHidden/>
              </w:rPr>
              <w:t>75</w:t>
            </w:r>
            <w:r w:rsidRPr="009F3F65" w:rsidR="003130C2">
              <w:rPr>
                <w:webHidden/>
              </w:rPr>
              <w:fldChar w:fldCharType="end"/>
            </w:r>
          </w:hyperlink>
        </w:p>
        <w:p w:rsidRPr="00B47B36" w:rsidR="003130C2" w:rsidP="003130C2" w:rsidRDefault="00BE2709" w14:paraId="2DEB9DE5" w14:textId="1BBFC793">
          <w:pPr>
            <w:pStyle w:val="TOC2"/>
            <w:tabs>
              <w:tab w:val="left" w:pos="880"/>
              <w:tab w:val="right" w:leader="dot" w:pos="9063"/>
            </w:tabs>
            <w:rPr>
              <w:rFonts w:asciiTheme="minorHAnsi" w:hAnsiTheme="minorHAnsi" w:eastAsiaTheme="minorEastAsia" w:cstheme="minorBidi"/>
            </w:rPr>
          </w:pPr>
          <w:hyperlink w:history="1" w:anchor="_Toc174452857">
            <w:r w:rsidRPr="00B47B36" w:rsidR="003130C2">
              <w:rPr>
                <w:rStyle w:val="Hyperlink"/>
                <w:rFonts w:eastAsia="Calibri"/>
              </w:rPr>
              <w:t>5.3</w:t>
            </w:r>
            <w:r w:rsidRPr="00B47B36" w:rsidR="003130C2">
              <w:rPr>
                <w:rFonts w:asciiTheme="minorHAnsi" w:hAnsiTheme="minorHAnsi" w:eastAsiaTheme="minorEastAsia" w:cstheme="minorBidi"/>
              </w:rPr>
              <w:tab/>
            </w:r>
            <w:r w:rsidRPr="00B47B36" w:rsidR="003130C2">
              <w:rPr>
                <w:rStyle w:val="Hyperlink"/>
                <w:rFonts w:eastAsia="Calibri"/>
              </w:rPr>
              <w:t xml:space="preserve">INT/996 – </w:t>
            </w:r>
            <w:r w:rsidRPr="00B47B36" w:rsidR="003130C2">
              <w:rPr>
                <w:rStyle w:val="Hyperlink"/>
              </w:rPr>
              <w:t>A new European Innovation Agenda</w:t>
            </w:r>
            <w:r w:rsidRPr="00B47B36" w:rsidR="003130C2">
              <w:rPr>
                <w:rStyle w:val="Hyperlink"/>
                <w:i/>
              </w:rPr>
              <w:t xml:space="preserve"> </w:t>
            </w:r>
            <w:r w:rsidRPr="00B47B36" w:rsidR="003130C2">
              <w:rPr>
                <w:rStyle w:val="Hyperlink"/>
                <w:rFonts w:eastAsia="Calibri"/>
              </w:rPr>
              <w:t>(2022)</w:t>
            </w:r>
            <w:r w:rsidRPr="00B47B36" w:rsidR="003130C2">
              <w:rPr>
                <w:webHidden/>
              </w:rPr>
              <w:tab/>
            </w:r>
            <w:r w:rsidRPr="009F3F65" w:rsidR="003130C2">
              <w:rPr>
                <w:webHidden/>
              </w:rPr>
              <w:fldChar w:fldCharType="begin"/>
            </w:r>
            <w:r w:rsidRPr="00B47B36" w:rsidR="003130C2">
              <w:rPr>
                <w:webHidden/>
              </w:rPr>
              <w:instrText xml:space="preserve"> PAGEREF _Toc174452857 \h </w:instrText>
            </w:r>
            <w:r w:rsidRPr="009F3F65" w:rsidR="003130C2">
              <w:rPr>
                <w:webHidden/>
              </w:rPr>
            </w:r>
            <w:r w:rsidRPr="009F3F65" w:rsidR="003130C2">
              <w:rPr>
                <w:webHidden/>
              </w:rPr>
              <w:fldChar w:fldCharType="separate"/>
            </w:r>
            <w:r w:rsidRPr="00B47B36" w:rsidR="004A4BE2">
              <w:rPr>
                <w:webHidden/>
              </w:rPr>
              <w:t>76</w:t>
            </w:r>
            <w:r w:rsidRPr="009F3F65" w:rsidR="003130C2">
              <w:rPr>
                <w:webHidden/>
              </w:rPr>
              <w:fldChar w:fldCharType="end"/>
            </w:r>
          </w:hyperlink>
        </w:p>
        <w:p w:rsidRPr="00B47B36" w:rsidR="003130C2" w:rsidP="003130C2" w:rsidRDefault="00BE2709" w14:paraId="43151875" w14:textId="27580C79">
          <w:pPr>
            <w:pStyle w:val="TOC2"/>
            <w:tabs>
              <w:tab w:val="left" w:pos="880"/>
              <w:tab w:val="right" w:leader="dot" w:pos="9063"/>
            </w:tabs>
            <w:rPr>
              <w:rFonts w:asciiTheme="minorHAnsi" w:hAnsiTheme="minorHAnsi" w:eastAsiaTheme="minorEastAsia" w:cstheme="minorBidi"/>
            </w:rPr>
          </w:pPr>
          <w:hyperlink w:history="1" w:anchor="_Toc174452858">
            <w:r w:rsidRPr="00B47B36" w:rsidR="003130C2">
              <w:rPr>
                <w:rStyle w:val="Hyperlink"/>
                <w:rFonts w:eastAsia="Calibri"/>
              </w:rPr>
              <w:t>5.4</w:t>
            </w:r>
            <w:r w:rsidRPr="00B47B36" w:rsidR="003130C2">
              <w:rPr>
                <w:rFonts w:asciiTheme="minorHAnsi" w:hAnsiTheme="minorHAnsi" w:eastAsiaTheme="minorEastAsia" w:cstheme="minorBidi"/>
              </w:rPr>
              <w:tab/>
            </w:r>
            <w:r w:rsidRPr="00B47B36" w:rsidR="003130C2">
              <w:rPr>
                <w:rStyle w:val="Hyperlink"/>
                <w:rFonts w:eastAsia="Calibri"/>
              </w:rPr>
              <w:t xml:space="preserve">INT/999 – </w:t>
            </w:r>
            <w:r w:rsidRPr="00B47B36" w:rsidR="003130C2">
              <w:rPr>
                <w:rStyle w:val="Hyperlink"/>
              </w:rPr>
              <w:t xml:space="preserve">Cyber Resilience Act </w:t>
            </w:r>
            <w:r w:rsidRPr="00B47B36" w:rsidR="003130C2">
              <w:rPr>
                <w:rStyle w:val="Hyperlink"/>
                <w:rFonts w:eastAsia="Calibri"/>
              </w:rPr>
              <w:t>(2022)</w:t>
            </w:r>
            <w:r w:rsidRPr="00B47B36" w:rsidR="003130C2">
              <w:rPr>
                <w:webHidden/>
              </w:rPr>
              <w:tab/>
            </w:r>
            <w:r w:rsidRPr="009F3F65" w:rsidR="003130C2">
              <w:rPr>
                <w:webHidden/>
              </w:rPr>
              <w:fldChar w:fldCharType="begin"/>
            </w:r>
            <w:r w:rsidRPr="00B47B36" w:rsidR="003130C2">
              <w:rPr>
                <w:webHidden/>
              </w:rPr>
              <w:instrText xml:space="preserve"> PAGEREF _Toc174452858 \h </w:instrText>
            </w:r>
            <w:r w:rsidRPr="009F3F65" w:rsidR="003130C2">
              <w:rPr>
                <w:webHidden/>
              </w:rPr>
            </w:r>
            <w:r w:rsidRPr="009F3F65" w:rsidR="003130C2">
              <w:rPr>
                <w:webHidden/>
              </w:rPr>
              <w:fldChar w:fldCharType="separate"/>
            </w:r>
            <w:r w:rsidRPr="00B47B36" w:rsidR="004A4BE2">
              <w:rPr>
                <w:webHidden/>
              </w:rPr>
              <w:t>76</w:t>
            </w:r>
            <w:r w:rsidRPr="009F3F65" w:rsidR="003130C2">
              <w:rPr>
                <w:webHidden/>
              </w:rPr>
              <w:fldChar w:fldCharType="end"/>
            </w:r>
          </w:hyperlink>
        </w:p>
        <w:p w:rsidRPr="00B47B36" w:rsidR="003130C2" w:rsidP="003130C2" w:rsidRDefault="00BE2709" w14:paraId="1B58182C" w14:textId="732C3B9F">
          <w:pPr>
            <w:pStyle w:val="TOC2"/>
            <w:tabs>
              <w:tab w:val="left" w:pos="880"/>
              <w:tab w:val="right" w:leader="dot" w:pos="9063"/>
            </w:tabs>
            <w:rPr>
              <w:rFonts w:asciiTheme="minorHAnsi" w:hAnsiTheme="minorHAnsi" w:eastAsiaTheme="minorEastAsia" w:cstheme="minorBidi"/>
            </w:rPr>
          </w:pPr>
          <w:hyperlink w:history="1" w:anchor="_Toc174452859">
            <w:r w:rsidRPr="00B47B36" w:rsidR="003130C2">
              <w:rPr>
                <w:rStyle w:val="Hyperlink"/>
                <w:rFonts w:eastAsia="Calibri"/>
              </w:rPr>
              <w:t>5.5</w:t>
            </w:r>
            <w:r w:rsidRPr="00B47B36" w:rsidR="003130C2">
              <w:rPr>
                <w:rFonts w:asciiTheme="minorHAnsi" w:hAnsiTheme="minorHAnsi" w:eastAsiaTheme="minorEastAsia" w:cstheme="minorBidi"/>
              </w:rPr>
              <w:tab/>
            </w:r>
            <w:r w:rsidRPr="00B47B36" w:rsidR="003130C2">
              <w:rPr>
                <w:rStyle w:val="Hyperlink"/>
                <w:rFonts w:eastAsia="Calibri"/>
              </w:rPr>
              <w:t xml:space="preserve">INT/1003 – </w:t>
            </w:r>
            <w:r w:rsidRPr="00B47B36" w:rsidR="003130C2">
              <w:rPr>
                <w:rStyle w:val="Hyperlink"/>
              </w:rPr>
              <w:t xml:space="preserve">Interoperability Europe Act </w:t>
            </w:r>
            <w:r w:rsidRPr="00B47B36" w:rsidR="003130C2">
              <w:rPr>
                <w:rStyle w:val="Hyperlink"/>
                <w:rFonts w:eastAsia="Calibri"/>
              </w:rPr>
              <w:t>(2022)</w:t>
            </w:r>
            <w:r w:rsidRPr="00B47B36" w:rsidR="003130C2">
              <w:rPr>
                <w:webHidden/>
              </w:rPr>
              <w:tab/>
              <w:t>6</w:t>
            </w:r>
          </w:hyperlink>
          <w:r w:rsidRPr="00B47B36" w:rsidR="003130C2">
            <w:t>5</w:t>
          </w:r>
        </w:p>
        <w:p w:rsidRPr="00B47B36" w:rsidR="003130C2" w:rsidP="003130C2" w:rsidRDefault="00BE2709" w14:paraId="1DA41765" w14:textId="02F82718">
          <w:pPr>
            <w:pStyle w:val="TOC2"/>
            <w:tabs>
              <w:tab w:val="left" w:pos="880"/>
              <w:tab w:val="right" w:leader="dot" w:pos="9063"/>
            </w:tabs>
            <w:rPr>
              <w:rFonts w:asciiTheme="minorHAnsi" w:hAnsiTheme="minorHAnsi" w:eastAsiaTheme="minorEastAsia" w:cstheme="minorBidi"/>
            </w:rPr>
          </w:pPr>
          <w:hyperlink w:history="1" w:anchor="_Toc174452860">
            <w:r w:rsidRPr="00B47B36" w:rsidR="003130C2">
              <w:rPr>
                <w:rStyle w:val="Hyperlink"/>
                <w:rFonts w:eastAsia="Calibri"/>
              </w:rPr>
              <w:t>5.6</w:t>
            </w:r>
            <w:r w:rsidRPr="00B47B36" w:rsidR="003130C2">
              <w:rPr>
                <w:rFonts w:asciiTheme="minorHAnsi" w:hAnsiTheme="minorHAnsi" w:eastAsiaTheme="minorEastAsia" w:cstheme="minorBidi"/>
              </w:rPr>
              <w:tab/>
            </w:r>
            <w:r w:rsidRPr="00B47B36" w:rsidR="003130C2">
              <w:rPr>
                <w:rStyle w:val="Hyperlink"/>
                <w:rFonts w:eastAsia="Calibri"/>
              </w:rPr>
              <w:t>TEN/677 – Digital Europe programme (2018)</w:t>
            </w:r>
            <w:r w:rsidRPr="00B47B36" w:rsidR="003130C2">
              <w:rPr>
                <w:webHidden/>
              </w:rPr>
              <w:tab/>
              <w:t>6</w:t>
            </w:r>
          </w:hyperlink>
          <w:r w:rsidRPr="00B47B36" w:rsidR="003130C2">
            <w:t>5</w:t>
          </w:r>
        </w:p>
        <w:p w:rsidRPr="00B47B36" w:rsidR="003130C2" w:rsidP="003130C2" w:rsidRDefault="00BE2709" w14:paraId="3B223524" w14:textId="77E34F07">
          <w:pPr>
            <w:pStyle w:val="TOC2"/>
            <w:tabs>
              <w:tab w:val="left" w:pos="880"/>
              <w:tab w:val="right" w:leader="dot" w:pos="9063"/>
            </w:tabs>
            <w:rPr>
              <w:rFonts w:asciiTheme="minorHAnsi" w:hAnsiTheme="minorHAnsi" w:eastAsiaTheme="minorEastAsia" w:cstheme="minorBidi"/>
            </w:rPr>
          </w:pPr>
          <w:hyperlink w:history="1" w:anchor="_Toc174452861">
            <w:r w:rsidRPr="00B47B36" w:rsidR="003130C2">
              <w:rPr>
                <w:rStyle w:val="Hyperlink"/>
              </w:rPr>
              <w:t>5.7</w:t>
            </w:r>
            <w:r w:rsidRPr="00B47B36" w:rsidR="003130C2">
              <w:rPr>
                <w:rFonts w:asciiTheme="minorHAnsi" w:hAnsiTheme="minorHAnsi" w:eastAsiaTheme="minorEastAsia" w:cstheme="minorBidi"/>
              </w:rPr>
              <w:tab/>
            </w:r>
            <w:r w:rsidRPr="00B47B36" w:rsidR="003130C2">
              <w:rPr>
                <w:rStyle w:val="Hyperlink"/>
              </w:rPr>
              <w:t>Fit4Future 2023 DEP opinion</w:t>
            </w:r>
            <w:r w:rsidRPr="00B47B36" w:rsidR="003130C2">
              <w:rPr>
                <w:webHidden/>
              </w:rPr>
              <w:tab/>
            </w:r>
            <w:r w:rsidRPr="009F3F65" w:rsidR="003130C2">
              <w:rPr>
                <w:webHidden/>
              </w:rPr>
              <w:fldChar w:fldCharType="begin"/>
            </w:r>
            <w:r w:rsidRPr="00B47B36" w:rsidR="003130C2">
              <w:rPr>
                <w:webHidden/>
              </w:rPr>
              <w:instrText xml:space="preserve"> PAGEREF _Toc174452861 \h </w:instrText>
            </w:r>
            <w:r w:rsidRPr="009F3F65" w:rsidR="003130C2">
              <w:rPr>
                <w:webHidden/>
              </w:rPr>
            </w:r>
            <w:r w:rsidRPr="009F3F65" w:rsidR="003130C2">
              <w:rPr>
                <w:webHidden/>
              </w:rPr>
              <w:fldChar w:fldCharType="separate"/>
            </w:r>
            <w:r w:rsidRPr="00B47B36" w:rsidR="004A4BE2">
              <w:rPr>
                <w:webHidden/>
              </w:rPr>
              <w:t>79</w:t>
            </w:r>
            <w:r w:rsidRPr="009F3F65" w:rsidR="003130C2">
              <w:rPr>
                <w:webHidden/>
              </w:rPr>
              <w:fldChar w:fldCharType="end"/>
            </w:r>
          </w:hyperlink>
        </w:p>
        <w:p w:rsidRPr="00B47B36" w:rsidR="003130C2" w:rsidP="003130C2" w:rsidRDefault="00BE2709" w14:paraId="2A5D6971" w14:textId="665BADE9">
          <w:pPr>
            <w:pStyle w:val="TOC1"/>
            <w:rPr>
              <w:b w:val="0"/>
            </w:rPr>
            <w:sectPr w:rsidRPr="00B47B36" w:rsidR="003130C2" w:rsidSect="009342EE">
              <w:headerReference w:type="even" r:id="rId28"/>
              <w:headerReference w:type="default" r:id="rId29"/>
              <w:footerReference w:type="even" r:id="rId30"/>
              <w:footerReference w:type="default" r:id="rId31"/>
              <w:headerReference w:type="first" r:id="rId32"/>
              <w:footerReference w:type="first" r:id="rId33"/>
              <w:pgSz w:w="11907" w:h="16839"/>
              <w:pgMar w:top="1276" w:right="1417" w:bottom="1417" w:left="1417" w:header="709" w:footer="709" w:gutter="0"/>
              <w:cols w:space="708"/>
              <w:docGrid w:linePitch="360"/>
            </w:sectPr>
          </w:pPr>
          <w:hyperlink w:history="1" w:anchor="_Toc174452862">
            <w:r w:rsidRPr="00B47B36" w:rsidR="003130C2">
              <w:rPr>
                <w:rStyle w:val="Hyperlink"/>
              </w:rPr>
              <w:t>6.</w:t>
            </w:r>
            <w:r w:rsidRPr="00B47B36" w:rsidR="003130C2">
              <w:rPr>
                <w:rFonts w:asciiTheme="minorHAnsi" w:hAnsiTheme="minorHAnsi" w:eastAsiaTheme="minorEastAsia" w:cstheme="minorBidi"/>
                <w:b w:val="0"/>
              </w:rPr>
              <w:tab/>
            </w:r>
            <w:r w:rsidRPr="00B47B36" w:rsidR="003130C2">
              <w:rPr>
                <w:rStyle w:val="Hyperlink"/>
              </w:rPr>
              <w:t>List of organisations consulted</w:t>
            </w:r>
            <w:r w:rsidRPr="00B47B36" w:rsidR="003130C2">
              <w:rPr>
                <w:webHidden/>
              </w:rPr>
              <w:tab/>
            </w:r>
            <w:r w:rsidRPr="009F3F65" w:rsidR="003130C2">
              <w:rPr>
                <w:webHidden/>
              </w:rPr>
              <w:fldChar w:fldCharType="begin"/>
            </w:r>
            <w:r w:rsidRPr="00B47B36" w:rsidR="003130C2">
              <w:rPr>
                <w:webHidden/>
              </w:rPr>
              <w:instrText xml:space="preserve"> PAGEREF _Toc174452862 \h </w:instrText>
            </w:r>
            <w:r w:rsidRPr="009F3F65" w:rsidR="003130C2">
              <w:rPr>
                <w:webHidden/>
              </w:rPr>
            </w:r>
            <w:r w:rsidRPr="009F3F65" w:rsidR="003130C2">
              <w:rPr>
                <w:webHidden/>
              </w:rPr>
              <w:fldChar w:fldCharType="separate"/>
            </w:r>
            <w:r w:rsidRPr="00B47B36" w:rsidR="004A4BE2">
              <w:rPr>
                <w:webHidden/>
              </w:rPr>
              <w:t>81</w:t>
            </w:r>
            <w:r w:rsidRPr="009F3F65" w:rsidR="003130C2">
              <w:rPr>
                <w:webHidden/>
              </w:rPr>
              <w:fldChar w:fldCharType="end"/>
            </w:r>
          </w:hyperlink>
          <w:r w:rsidRPr="009F3F65" w:rsidR="003130C2">
            <w:rPr>
              <w:b w:val="0"/>
            </w:rPr>
            <w:fldChar w:fldCharType="end"/>
          </w:r>
        </w:p>
      </w:sdtContent>
    </w:sdt>
    <w:p w:rsidRPr="009F3F65" w:rsidR="003130C2" w:rsidP="003130C2" w:rsidRDefault="003130C2" w14:paraId="5CA2D2D7" w14:textId="77777777">
      <w:pPr>
        <w:pStyle w:val="Heading1"/>
        <w:numPr>
          <w:ilvl w:val="0"/>
          <w:numId w:val="2"/>
        </w:numPr>
        <w:spacing w:after="120" w:line="300" w:lineRule="exact"/>
        <w:rPr>
          <w:b/>
          <w:bCs/>
        </w:rPr>
      </w:pPr>
      <w:bookmarkStart w:name="_Toc174452834" w:id="0"/>
      <w:r>
        <w:rPr>
          <w:b/>
        </w:rPr>
        <w:lastRenderedPageBreak/>
        <w:t>Introduction</w:t>
      </w:r>
      <w:bookmarkEnd w:id="0"/>
    </w:p>
    <w:p w:rsidRPr="009F3F65" w:rsidR="003130C2" w:rsidP="003130C2" w:rsidRDefault="003130C2" w14:paraId="6D7F642F" w14:textId="77777777">
      <w:pPr>
        <w:rPr>
          <w:lang w:val="en-GB" w:eastAsia="en-GB"/>
        </w:rPr>
      </w:pPr>
    </w:p>
    <w:p w:rsidRPr="009F3F65" w:rsidR="003130C2" w:rsidP="003130C2" w:rsidRDefault="003130C2" w14:paraId="4B33565C" w14:textId="77777777">
      <w:pPr>
        <w:pStyle w:val="Heading2"/>
        <w:rPr>
          <w:u w:val="single"/>
        </w:rPr>
      </w:pPr>
      <w:bookmarkStart w:name="_Toc174452835" w:id="1"/>
      <w:r>
        <w:rPr>
          <w:b/>
          <w:u w:val="single"/>
        </w:rPr>
        <w:t>Focus of the evaluation</w:t>
      </w:r>
      <w:bookmarkEnd w:id="1"/>
    </w:p>
    <w:p w:rsidRPr="009F3F65" w:rsidR="003130C2" w:rsidP="003130C2" w:rsidRDefault="003130C2" w14:paraId="0B84E7DC" w14:textId="77777777">
      <w:pPr>
        <w:spacing w:line="300" w:lineRule="exact"/>
        <w:rPr>
          <w:lang w:val="en-GB" w:eastAsia="en-GB"/>
        </w:rPr>
      </w:pPr>
    </w:p>
    <w:p w:rsidRPr="009F3F65" w:rsidR="003130C2" w:rsidP="003130C2" w:rsidRDefault="003130C2" w14:paraId="04BF8DA3" w14:textId="77777777">
      <w:r>
        <w:t>The European Commission is currently carrying out an interim evaluation of the 2021-2027 Digital Europe Programme (DEP), which is a new EU funding programme focused on bringing digital technology to businesses, citizens and public administrations. It focuses on advancing digital transformation and strategic capacities within the European Strategic Investments cluster, and reflects the EU’s commitment to creating a resilient, inclusive and digitally sovereign European Union in the 21</w:t>
      </w:r>
      <w:r>
        <w:rPr>
          <w:vertAlign w:val="superscript"/>
        </w:rPr>
        <w:t>st</w:t>
      </w:r>
      <w:r>
        <w:t xml:space="preserve"> century. The programme is governed by Regulation (EU) 2021/694 of the European Parliament and of the Council of 29 April 2021.</w:t>
      </w:r>
    </w:p>
    <w:p w:rsidRPr="009F3F65" w:rsidR="003130C2" w:rsidP="003130C2" w:rsidRDefault="003130C2" w14:paraId="43A947DC" w14:textId="77777777">
      <w:pPr>
        <w:rPr>
          <w:lang w:val="en-GB" w:eastAsia="en-GB"/>
        </w:rPr>
      </w:pPr>
    </w:p>
    <w:p w:rsidRPr="009F3F65" w:rsidR="003130C2" w:rsidP="003130C2" w:rsidRDefault="003130C2" w14:paraId="50368BC0" w14:textId="77777777">
      <w:pPr>
        <w:rPr>
          <w:rFonts w:eastAsia="Calibri"/>
        </w:rPr>
      </w:pPr>
      <w:r>
        <w:t>With a view to contributing as an additional source of information to the Commission’s evaluation,</w:t>
      </w:r>
      <w:r>
        <w:rPr>
          <w:b/>
        </w:rPr>
        <w:t xml:space="preserve"> in December 2023 the EESC Bureau requested that an evaluation report be drawn up, appointing Katrīna Zariņa as rapporteur</w:t>
      </w:r>
      <w:r>
        <w:t xml:space="preserve"> (Group I, representative of the </w:t>
      </w:r>
      <w:r>
        <w:rPr>
          <w:color w:val="000000"/>
        </w:rPr>
        <w:t>Latvian Chamber of Commerce and Industry</w:t>
      </w:r>
      <w:r>
        <w:t>).</w:t>
      </w:r>
    </w:p>
    <w:p w:rsidRPr="009F3F65" w:rsidR="003130C2" w:rsidP="003130C2" w:rsidRDefault="003130C2" w14:paraId="579C33DE" w14:textId="77777777">
      <w:pPr>
        <w:rPr>
          <w:rFonts w:eastAsia="Calibri"/>
          <w:lang w:val="en-GB"/>
        </w:rPr>
      </w:pPr>
    </w:p>
    <w:p w:rsidRPr="009F3F65" w:rsidR="003130C2" w:rsidP="003130C2" w:rsidRDefault="003130C2" w14:paraId="1E7EB3CD" w14:textId="77777777">
      <w:pPr>
        <w:rPr>
          <w:rFonts w:eastAsia="Calibri"/>
        </w:rPr>
      </w:pPr>
      <w:r>
        <w:t xml:space="preserve">With a view to complementing the European Commission’s evaluation, the </w:t>
      </w:r>
      <w:r>
        <w:rPr>
          <w:b/>
        </w:rPr>
        <w:t>EESC’s evaluation focused specifically on</w:t>
      </w:r>
      <w:r>
        <w:t>:</w:t>
      </w:r>
    </w:p>
    <w:p w:rsidRPr="00B47B36" w:rsidR="003130C2" w:rsidP="003130C2" w:rsidRDefault="003130C2" w14:paraId="7DC48561" w14:textId="77777777">
      <w:pPr>
        <w:pStyle w:val="ListParagraph"/>
        <w:numPr>
          <w:ilvl w:val="0"/>
          <w:numId w:val="10"/>
        </w:numPr>
        <w:rPr>
          <w:rFonts w:eastAsia="Calibri"/>
        </w:rPr>
      </w:pPr>
      <w:r>
        <w:t>advanced digital skills;</w:t>
      </w:r>
    </w:p>
    <w:p w:rsidRPr="00B47B36" w:rsidR="003130C2" w:rsidP="003130C2" w:rsidRDefault="003130C2" w14:paraId="773DC622" w14:textId="77777777">
      <w:pPr>
        <w:pStyle w:val="ListParagraph"/>
        <w:numPr>
          <w:ilvl w:val="0"/>
          <w:numId w:val="10"/>
        </w:numPr>
        <w:rPr>
          <w:rFonts w:eastAsia="Calibri"/>
        </w:rPr>
      </w:pPr>
      <w:r>
        <w:t>the wide use of digital technologies across the economy and society, including through European Digital Innovation Hubs (EDIHs);</w:t>
      </w:r>
    </w:p>
    <w:p w:rsidRPr="00B47B36" w:rsidR="003130C2" w:rsidP="003130C2" w:rsidRDefault="003130C2" w14:paraId="17E6F5C6" w14:textId="77777777">
      <w:pPr>
        <w:pStyle w:val="ListParagraph"/>
        <w:numPr>
          <w:ilvl w:val="0"/>
          <w:numId w:val="10"/>
        </w:numPr>
        <w:rPr>
          <w:rFonts w:eastAsia="Calibri"/>
        </w:rPr>
      </w:pPr>
      <w:r>
        <w:t>paying particular attention to the gender perspective and the practical benefits of the DEP for its end users/beneficiaries.</w:t>
      </w:r>
    </w:p>
    <w:p w:rsidRPr="009F3F65" w:rsidR="003130C2" w:rsidP="003130C2" w:rsidRDefault="003130C2" w14:paraId="126F644E" w14:textId="77777777">
      <w:pPr>
        <w:spacing w:after="120" w:line="300" w:lineRule="exact"/>
        <w:rPr>
          <w:highlight w:val="yellow"/>
          <w:lang w:val="en-GB"/>
        </w:rPr>
      </w:pPr>
    </w:p>
    <w:p w:rsidRPr="009F3F65" w:rsidR="003130C2" w:rsidP="003130C2" w:rsidRDefault="003130C2" w14:paraId="5667C0BA" w14:textId="77777777">
      <w:pPr>
        <w:pStyle w:val="Heading2"/>
        <w:spacing w:line="300" w:lineRule="exact"/>
        <w:rPr>
          <w:b/>
          <w:bCs/>
          <w:u w:val="single"/>
        </w:rPr>
      </w:pPr>
      <w:bookmarkStart w:name="_Toc174452836" w:id="2"/>
      <w:r>
        <w:rPr>
          <w:b/>
          <w:u w:val="single"/>
        </w:rPr>
        <w:t>Methodology and study group</w:t>
      </w:r>
      <w:bookmarkEnd w:id="2"/>
    </w:p>
    <w:p w:rsidRPr="009F3F65" w:rsidR="003130C2" w:rsidP="003130C2" w:rsidRDefault="003130C2" w14:paraId="655988D8" w14:textId="77777777">
      <w:pPr>
        <w:rPr>
          <w:lang w:val="en-GB"/>
        </w:rPr>
      </w:pPr>
    </w:p>
    <w:p w:rsidRPr="009F3F65" w:rsidR="003130C2" w:rsidP="003130C2" w:rsidRDefault="003130C2" w14:paraId="36E3A82D" w14:textId="77777777">
      <w:r>
        <w:rPr>
          <w:b/>
        </w:rPr>
        <w:t>The EESC methodology</w:t>
      </w:r>
      <w:r>
        <w:t xml:space="preserve"> is guided by the Commission’s Better Regulation guidelines. The EESC evaluation reports use two of the three criteria mentioned in Tool 47 of the Better Regulation Toolbox: effectiveness and relevance. In addition, the institution also evaluates the added value of civil society involvement in the policy.</w:t>
      </w:r>
    </w:p>
    <w:p w:rsidRPr="009F3F65" w:rsidR="003130C2" w:rsidP="003130C2" w:rsidRDefault="003130C2" w14:paraId="56B79ACA" w14:textId="77777777">
      <w:pPr>
        <w:rPr>
          <w:lang w:val="en-GB"/>
        </w:rPr>
      </w:pPr>
    </w:p>
    <w:p w:rsidRPr="009F3F65" w:rsidR="003130C2" w:rsidP="003130C2" w:rsidRDefault="003130C2" w14:paraId="5CBA2C6B" w14:textId="77777777">
      <w:r>
        <w:t xml:space="preserve">The three criteria can be understood as follows: </w:t>
      </w:r>
    </w:p>
    <w:p w:rsidRPr="00B47B36" w:rsidR="003130C2" w:rsidP="003130C2" w:rsidRDefault="003130C2" w14:paraId="6D46FA6E" w14:textId="77777777">
      <w:pPr>
        <w:pStyle w:val="ListParagraph"/>
        <w:numPr>
          <w:ilvl w:val="0"/>
          <w:numId w:val="11"/>
        </w:numPr>
        <w:rPr>
          <w:bCs/>
        </w:rPr>
      </w:pPr>
      <w:r>
        <w:rPr>
          <w:b/>
        </w:rPr>
        <w:t>Effectiveness</w:t>
      </w:r>
      <w:r>
        <w:t>: considers how successful EU action has been in achieving (or progressing towards) its objectives.</w:t>
      </w:r>
    </w:p>
    <w:p w:rsidRPr="00B47B36" w:rsidR="003130C2" w:rsidP="003130C2" w:rsidRDefault="003130C2" w14:paraId="57024DF0" w14:textId="77777777">
      <w:pPr>
        <w:pStyle w:val="ListParagraph"/>
        <w:numPr>
          <w:ilvl w:val="0"/>
          <w:numId w:val="11"/>
        </w:numPr>
        <w:rPr>
          <w:bCs/>
        </w:rPr>
      </w:pPr>
      <w:r>
        <w:rPr>
          <w:b/>
        </w:rPr>
        <w:t>Relevance</w:t>
      </w:r>
      <w:r>
        <w:t xml:space="preserve">: looks at the relationship between the needs of, and problems in, society and the objectives of the intervention; analysis of relevance requires consideration of how the objectives of an EU intervention correspond to wider EU policy goals and priorities. </w:t>
      </w:r>
    </w:p>
    <w:p w:rsidRPr="00B47B36" w:rsidR="003130C2" w:rsidP="003130C2" w:rsidRDefault="003130C2" w14:paraId="0E74D352" w14:textId="77777777">
      <w:pPr>
        <w:pStyle w:val="ListParagraph"/>
        <w:numPr>
          <w:ilvl w:val="0"/>
          <w:numId w:val="11"/>
        </w:numPr>
        <w:rPr>
          <w:bCs/>
        </w:rPr>
      </w:pPr>
      <w:r>
        <w:rPr>
          <w:b/>
        </w:rPr>
        <w:t>Added value of civil society involvement</w:t>
      </w:r>
      <w:r>
        <w:t xml:space="preserve"> assesses the extent to which civil society has been involved in designing, monitoring, implementing and evaluating the EU legislation in question.</w:t>
      </w:r>
    </w:p>
    <w:p w:rsidRPr="00B47B36" w:rsidR="003130C2" w:rsidP="003130C2" w:rsidRDefault="003130C2" w14:paraId="32DBB02E" w14:textId="77777777">
      <w:pPr>
        <w:pStyle w:val="ListParagraph"/>
        <w:rPr>
          <w:bCs/>
        </w:rPr>
      </w:pPr>
    </w:p>
    <w:p w:rsidRPr="009F3F65" w:rsidR="003130C2" w:rsidP="003130C2" w:rsidRDefault="003130C2" w14:paraId="3102A1D0" w14:textId="77777777">
      <w:pPr>
        <w:rPr>
          <w:bCs/>
        </w:rPr>
      </w:pPr>
      <w:r>
        <w:t>In practice, the EESC evaluation reports provide organised civil society’s input into an ongoing evaluation by the European Commission.</w:t>
      </w:r>
    </w:p>
    <w:p w:rsidRPr="009F3F65" w:rsidR="003130C2" w:rsidP="003130C2" w:rsidRDefault="003130C2" w14:paraId="4D067EE1" w14:textId="77777777">
      <w:pPr>
        <w:rPr>
          <w:bCs/>
          <w:lang w:val="en-GB"/>
        </w:rPr>
      </w:pPr>
    </w:p>
    <w:p w:rsidRPr="009F3F65" w:rsidR="003130C2" w:rsidP="003130C2" w:rsidRDefault="003130C2" w14:paraId="0D3E612C" w14:textId="77777777">
      <w:pPr>
        <w:spacing w:line="300" w:lineRule="exact"/>
      </w:pPr>
      <w:r>
        <w:lastRenderedPageBreak/>
        <w:t xml:space="preserve">A study group of nine EESC members gathered the views of civil society organisations as well as public authorities through two channels: </w:t>
      </w:r>
      <w:r>
        <w:rPr>
          <w:b/>
        </w:rPr>
        <w:t>five physical fact-finding visits</w:t>
      </w:r>
      <w:r>
        <w:t xml:space="preserve"> to selected Member States and a targeted </w:t>
      </w:r>
      <w:r>
        <w:rPr>
          <w:b/>
        </w:rPr>
        <w:t>online questionnaire</w:t>
      </w:r>
      <w:r>
        <w:t>.</w:t>
      </w:r>
    </w:p>
    <w:p w:rsidRPr="009F3F65" w:rsidR="003130C2" w:rsidP="003130C2" w:rsidRDefault="003130C2" w14:paraId="2D2289E3" w14:textId="77777777">
      <w:pPr>
        <w:spacing w:line="300" w:lineRule="exact"/>
        <w:rPr>
          <w:highlight w:val="yellow"/>
          <w:lang w:val="en-GB"/>
        </w:rPr>
      </w:pPr>
    </w:p>
    <w:p w:rsidRPr="009F3F65" w:rsidR="003130C2" w:rsidP="003130C2" w:rsidRDefault="003130C2" w14:paraId="21108616" w14:textId="77777777">
      <w:pPr>
        <w:spacing w:after="120" w:line="300" w:lineRule="exact"/>
      </w:pPr>
      <w:r>
        <w:t xml:space="preserve">The full membership of the study group was as follows: </w:t>
      </w:r>
    </w:p>
    <w:p w:rsidRPr="00B47B36" w:rsidR="003130C2" w:rsidP="003130C2" w:rsidRDefault="00BE2709" w14:paraId="11F4AB73" w14:textId="77777777">
      <w:pPr>
        <w:pStyle w:val="ListParagraph"/>
        <w:numPr>
          <w:ilvl w:val="0"/>
          <w:numId w:val="5"/>
        </w:numPr>
        <w:spacing w:after="120" w:line="300" w:lineRule="exact"/>
      </w:pPr>
      <w:hyperlink w:history="1" r:id="rId34">
        <w:r w:rsidR="00E43CF2">
          <w:rPr>
            <w:rStyle w:val="Hyperlink"/>
          </w:rPr>
          <w:t>Martin BÖHME</w:t>
        </w:r>
      </w:hyperlink>
      <w:r w:rsidR="00E43CF2">
        <w:t xml:space="preserve"> – Civil Society Organisations’ Group, Rhineland-Palatinate Chamber of Engineers and the Rhineland-Palatinate Association of Liberal Professions, Germany;</w:t>
      </w:r>
    </w:p>
    <w:p w:rsidRPr="00B47B36" w:rsidR="003130C2" w:rsidP="003130C2" w:rsidRDefault="00BE2709" w14:paraId="726209C1" w14:textId="77777777">
      <w:pPr>
        <w:pStyle w:val="ListParagraph"/>
        <w:numPr>
          <w:ilvl w:val="0"/>
          <w:numId w:val="5"/>
        </w:numPr>
        <w:spacing w:after="120" w:line="300" w:lineRule="exact"/>
      </w:pPr>
      <w:hyperlink w:history="1" r:id="rId35">
        <w:r w:rsidR="00E43CF2">
          <w:rPr>
            <w:rStyle w:val="Hyperlink"/>
          </w:rPr>
          <w:t>Vasco DE MELLO</w:t>
        </w:r>
      </w:hyperlink>
      <w:r w:rsidR="00E43CF2">
        <w:t xml:space="preserve"> – Employers’ Group, Commerce and Services Confederation of Portugal, Portugal;</w:t>
      </w:r>
    </w:p>
    <w:p w:rsidRPr="00B47B36" w:rsidR="003130C2" w:rsidP="003130C2" w:rsidRDefault="00BE2709" w14:paraId="361D2D0C" w14:textId="77777777">
      <w:pPr>
        <w:pStyle w:val="ListParagraph"/>
        <w:numPr>
          <w:ilvl w:val="0"/>
          <w:numId w:val="5"/>
        </w:numPr>
        <w:spacing w:after="120" w:line="300" w:lineRule="exact"/>
      </w:pPr>
      <w:hyperlink w:history="1" r:id="rId36">
        <w:r w:rsidR="00E43CF2">
          <w:rPr>
            <w:rStyle w:val="Hyperlink"/>
          </w:rPr>
          <w:t>Louise GRABO</w:t>
        </w:r>
      </w:hyperlink>
      <w:r w:rsidR="00E43CF2">
        <w:t xml:space="preserve"> – President of the Study Group, Civil Society Organisations’ Group, National Council of Swedish Youth Organisations (LSU), Sweden;</w:t>
      </w:r>
    </w:p>
    <w:p w:rsidRPr="00B47B36" w:rsidR="003130C2" w:rsidP="003130C2" w:rsidRDefault="00BE2709" w14:paraId="1855E99F" w14:textId="77777777">
      <w:pPr>
        <w:pStyle w:val="ListParagraph"/>
        <w:numPr>
          <w:ilvl w:val="0"/>
          <w:numId w:val="5"/>
        </w:numPr>
        <w:spacing w:after="120" w:line="300" w:lineRule="exact"/>
      </w:pPr>
      <w:hyperlink w:history="1" r:id="rId37">
        <w:r w:rsidR="00E43CF2">
          <w:rPr>
            <w:rStyle w:val="Hyperlink"/>
          </w:rPr>
          <w:t>Marcin NOWACKI</w:t>
        </w:r>
      </w:hyperlink>
      <w:r w:rsidR="00E43CF2">
        <w:t xml:space="preserve"> – Employers’ Group, Union of Entrepreneurs and Employers, Poland;</w:t>
      </w:r>
    </w:p>
    <w:p w:rsidRPr="00B47B36" w:rsidR="003130C2" w:rsidP="003130C2" w:rsidRDefault="00BE2709" w14:paraId="32F03E72" w14:textId="77777777">
      <w:pPr>
        <w:pStyle w:val="ListParagraph"/>
        <w:numPr>
          <w:ilvl w:val="0"/>
          <w:numId w:val="5"/>
        </w:numPr>
        <w:spacing w:after="120" w:line="300" w:lineRule="exact"/>
      </w:pPr>
      <w:hyperlink w:history="1" r:id="rId38">
        <w:r w:rsidR="00E43CF2">
          <w:rPr>
            <w:rStyle w:val="Hyperlink"/>
          </w:rPr>
          <w:t>Franca SALIS-MADINIER</w:t>
        </w:r>
      </w:hyperlink>
      <w:r w:rsidR="00E43CF2">
        <w:t xml:space="preserve"> – Workers’ Group, French Democratic Confederation of Labour – professionals and managers (CFDT), France;</w:t>
      </w:r>
    </w:p>
    <w:p w:rsidRPr="00B47B36" w:rsidR="003130C2" w:rsidP="003130C2" w:rsidRDefault="00BE2709" w14:paraId="45987268" w14:textId="77777777">
      <w:pPr>
        <w:pStyle w:val="ListParagraph"/>
        <w:numPr>
          <w:ilvl w:val="0"/>
          <w:numId w:val="5"/>
        </w:numPr>
        <w:spacing w:after="120" w:line="300" w:lineRule="exact"/>
      </w:pPr>
      <w:hyperlink w:history="1" r:id="rId39">
        <w:r w:rsidR="00E43CF2">
          <w:rPr>
            <w:rStyle w:val="Hyperlink"/>
          </w:rPr>
          <w:t>Mare VIIES</w:t>
        </w:r>
      </w:hyperlink>
      <w:r w:rsidR="00E43CF2">
        <w:t xml:space="preserve"> – Workers’ Group, Estonian Confederation of Employee Unions (TALO), Estonia;</w:t>
      </w:r>
    </w:p>
    <w:p w:rsidRPr="00B47B36" w:rsidR="003130C2" w:rsidP="003130C2" w:rsidRDefault="00BE2709" w14:paraId="0469D534" w14:textId="77777777">
      <w:pPr>
        <w:pStyle w:val="ListParagraph"/>
        <w:numPr>
          <w:ilvl w:val="0"/>
          <w:numId w:val="5"/>
        </w:numPr>
        <w:spacing w:after="120" w:line="300" w:lineRule="exact"/>
      </w:pPr>
      <w:hyperlink w:history="1" r:id="rId40">
        <w:r w:rsidR="00E43CF2">
          <w:rPr>
            <w:rStyle w:val="Hyperlink"/>
          </w:rPr>
          <w:t>Philip VON BROCKDORFF</w:t>
        </w:r>
      </w:hyperlink>
      <w:r w:rsidR="00E43CF2">
        <w:t xml:space="preserve"> – Civil Society Organisations’ Group, Union Ħaddiema Magħqudin/UHM Voice of the Workers, Malta;</w:t>
      </w:r>
    </w:p>
    <w:p w:rsidRPr="00B47B36" w:rsidR="003130C2" w:rsidP="003130C2" w:rsidRDefault="00BE2709" w14:paraId="6B24E210" w14:textId="77777777">
      <w:pPr>
        <w:pStyle w:val="ListParagraph"/>
        <w:numPr>
          <w:ilvl w:val="0"/>
          <w:numId w:val="5"/>
        </w:numPr>
        <w:spacing w:after="120" w:line="300" w:lineRule="exact"/>
      </w:pPr>
      <w:hyperlink w:history="1" r:id="rId41">
        <w:r w:rsidR="00E43CF2">
          <w:rPr>
            <w:rStyle w:val="Hyperlink"/>
          </w:rPr>
          <w:t>Katrīna ZARIŅA</w:t>
        </w:r>
      </w:hyperlink>
      <w:r w:rsidR="00E43CF2">
        <w:t xml:space="preserve"> – Rapporteur, Employers’ Group, Latvian Chamber of Commerce and lndustry, Latvia;</w:t>
      </w:r>
    </w:p>
    <w:p w:rsidRPr="00B47B36" w:rsidR="003130C2" w:rsidP="003130C2" w:rsidRDefault="00BE2709" w14:paraId="0101662B" w14:textId="77777777">
      <w:pPr>
        <w:pStyle w:val="ListParagraph"/>
        <w:numPr>
          <w:ilvl w:val="0"/>
          <w:numId w:val="5"/>
        </w:numPr>
        <w:spacing w:after="120" w:line="300" w:lineRule="exact"/>
      </w:pPr>
      <w:hyperlink w:history="1" r:id="rId42">
        <w:r w:rsidR="00E43CF2">
          <w:rPr>
            <w:rStyle w:val="Hyperlink"/>
          </w:rPr>
          <w:t>Tymoteusz Adam ZYCH</w:t>
        </w:r>
      </w:hyperlink>
      <w:r w:rsidR="00E43CF2">
        <w:t xml:space="preserve"> – Civil Society Organisations’ Group, Polish Confederation of Non-Governmental Initiatives, Poland.</w:t>
      </w:r>
    </w:p>
    <w:p w:rsidRPr="009F3F65" w:rsidR="003130C2" w:rsidP="003130C2" w:rsidRDefault="003130C2" w14:paraId="2DB937E5" w14:textId="77777777">
      <w:pPr>
        <w:spacing w:after="120" w:line="300" w:lineRule="exact"/>
      </w:pPr>
      <w:r>
        <w:t>The rapporteur was also supported by an advisor – Aiga Irmeja, the Executive Director of the Latvian IT Cluster.</w:t>
      </w:r>
    </w:p>
    <w:p w:rsidRPr="009F3F65" w:rsidR="003130C2" w:rsidP="003130C2" w:rsidRDefault="003130C2" w14:paraId="35A20F7B" w14:textId="77777777">
      <w:pPr>
        <w:spacing w:line="300" w:lineRule="exact"/>
      </w:pPr>
      <w:r>
        <w:t>Besides the fact-finding visits and the online questionnaire, secondary data on the EESC’s past work on the subject was also analysed.</w:t>
      </w:r>
    </w:p>
    <w:p w:rsidRPr="009F3F65" w:rsidR="003130C2" w:rsidP="003130C2" w:rsidRDefault="003130C2" w14:paraId="2538A502" w14:textId="77777777">
      <w:pPr>
        <w:spacing w:line="300" w:lineRule="exact"/>
        <w:rPr>
          <w:highlight w:val="red"/>
          <w:lang w:val="en-GB"/>
        </w:rPr>
      </w:pPr>
    </w:p>
    <w:p w:rsidRPr="009F3F65" w:rsidR="003130C2" w:rsidP="003130C2" w:rsidRDefault="003130C2" w14:paraId="091F0C41" w14:textId="77777777">
      <w:pPr>
        <w:pStyle w:val="Heading2"/>
        <w:spacing w:line="300" w:lineRule="exact"/>
        <w:rPr>
          <w:b/>
          <w:u w:val="single"/>
        </w:rPr>
      </w:pPr>
      <w:bookmarkStart w:name="_Toc174452837" w:id="3"/>
      <w:r>
        <w:rPr>
          <w:b/>
          <w:u w:val="single"/>
        </w:rPr>
        <w:t>Fact-finding meetings</w:t>
      </w:r>
      <w:bookmarkEnd w:id="3"/>
    </w:p>
    <w:p w:rsidRPr="009F3F65" w:rsidR="003130C2" w:rsidP="003130C2" w:rsidRDefault="003130C2" w14:paraId="0725DAE1" w14:textId="77777777">
      <w:pPr>
        <w:rPr>
          <w:lang w:val="en-GB"/>
        </w:rPr>
      </w:pPr>
    </w:p>
    <w:p w:rsidRPr="009F3F65" w:rsidR="003130C2" w:rsidP="003130C2" w:rsidRDefault="003130C2" w14:paraId="524AA53B" w14:textId="77777777">
      <w:r>
        <w:t>The fact-finding meetings included semi-structured interviews with local civil society organisations and representatives of public authorities, generally following the thematic structure of the questionnaire. They took place in person, with some participants also attending online.</w:t>
      </w:r>
    </w:p>
    <w:p w:rsidRPr="009F3F65" w:rsidR="003130C2" w:rsidP="003130C2" w:rsidRDefault="003130C2" w14:paraId="14B1AAD1" w14:textId="77777777">
      <w:pPr>
        <w:rPr>
          <w:lang w:val="en-GB"/>
        </w:rPr>
      </w:pPr>
    </w:p>
    <w:p w:rsidRPr="009F3F65" w:rsidR="003130C2" w:rsidP="003130C2" w:rsidRDefault="003130C2" w14:paraId="7EF2DA5B" w14:textId="77777777">
      <w:r>
        <w:t>The sample of Member States was selected by the study group on the basis of criteria adopted by the EESC Bureau on 13 December 2022. The European Commission was also informed about the sample.</w:t>
      </w:r>
    </w:p>
    <w:p w:rsidRPr="009F3F65" w:rsidR="003130C2" w:rsidP="003130C2" w:rsidRDefault="003130C2" w14:paraId="45AFCB5F" w14:textId="77777777">
      <w:pPr>
        <w:rPr>
          <w:lang w:val="en-GB"/>
        </w:rPr>
      </w:pPr>
    </w:p>
    <w:p w:rsidRPr="009F3F65" w:rsidR="003130C2" w:rsidP="003130C2" w:rsidRDefault="003130C2" w14:paraId="0419CE29" w14:textId="77777777">
      <w:pPr>
        <w:spacing w:line="300" w:lineRule="exact"/>
      </w:pPr>
      <w:r>
        <w:t>The countries were selected on the basis of:</w:t>
      </w:r>
    </w:p>
    <w:p w:rsidRPr="00B47B36" w:rsidR="003130C2" w:rsidP="003130C2" w:rsidRDefault="003130C2" w14:paraId="6D06BBC8" w14:textId="77777777">
      <w:pPr>
        <w:pStyle w:val="ListParagraph"/>
        <w:numPr>
          <w:ilvl w:val="0"/>
          <w:numId w:val="3"/>
        </w:numPr>
        <w:spacing w:after="120" w:line="300" w:lineRule="exact"/>
      </w:pPr>
      <w:r>
        <w:rPr>
          <w:i/>
        </w:rPr>
        <w:t>political spread</w:t>
      </w:r>
      <w:r>
        <w:t>, e.g. high/low level of implementation, application success rates, most/least affected by the legislative proposal/programme, etc.;</w:t>
      </w:r>
    </w:p>
    <w:p w:rsidRPr="00B47B36" w:rsidR="003130C2" w:rsidP="003130C2" w:rsidRDefault="003130C2" w14:paraId="365ECD09" w14:textId="77777777">
      <w:pPr>
        <w:pStyle w:val="ListParagraph"/>
        <w:numPr>
          <w:ilvl w:val="0"/>
          <w:numId w:val="3"/>
        </w:numPr>
        <w:spacing w:after="120" w:line="300" w:lineRule="exact"/>
      </w:pPr>
      <w:r>
        <w:rPr>
          <w:i/>
        </w:rPr>
        <w:t>geographical spread</w:t>
      </w:r>
      <w:r>
        <w:t>, i.e. by setting up five groups of Member States and choosing one from each group.</w:t>
      </w:r>
    </w:p>
    <w:p w:rsidRPr="009F3F65" w:rsidR="003130C2" w:rsidP="003130C2" w:rsidRDefault="003130C2" w14:paraId="6DECA2F7" w14:textId="77777777">
      <w:pPr>
        <w:spacing w:line="300" w:lineRule="exact"/>
        <w:rPr>
          <w:b/>
          <w:bCs/>
        </w:rPr>
      </w:pPr>
      <w:r>
        <w:t>The EU Member States selected for this evaluation report where in-person fact-finding meetings took place were the following:</w:t>
      </w:r>
    </w:p>
    <w:p w:rsidRPr="00B47B36" w:rsidR="003130C2" w:rsidP="003130C2" w:rsidRDefault="003130C2" w14:paraId="2A34CFA0" w14:textId="77777777">
      <w:pPr>
        <w:pStyle w:val="ListParagraph"/>
        <w:numPr>
          <w:ilvl w:val="0"/>
          <w:numId w:val="4"/>
        </w:numPr>
        <w:spacing w:after="120" w:line="300" w:lineRule="exact"/>
        <w:rPr>
          <w:b/>
          <w:bCs/>
        </w:rPr>
      </w:pPr>
      <w:r>
        <w:rPr>
          <w:b/>
        </w:rPr>
        <w:t>Portugal (8 May 2024),</w:t>
      </w:r>
    </w:p>
    <w:p w:rsidRPr="00B47B36" w:rsidR="003130C2" w:rsidP="003130C2" w:rsidRDefault="003130C2" w14:paraId="470DE432" w14:textId="77777777">
      <w:pPr>
        <w:pStyle w:val="ListParagraph"/>
        <w:numPr>
          <w:ilvl w:val="0"/>
          <w:numId w:val="4"/>
        </w:numPr>
        <w:spacing w:after="120" w:line="300" w:lineRule="exact"/>
        <w:rPr>
          <w:b/>
          <w:bCs/>
        </w:rPr>
      </w:pPr>
      <w:r>
        <w:rPr>
          <w:b/>
        </w:rPr>
        <w:t>Malta (27 May 2024),</w:t>
      </w:r>
    </w:p>
    <w:p w:rsidRPr="00B47B36" w:rsidR="003130C2" w:rsidP="003130C2" w:rsidRDefault="003130C2" w14:paraId="7AF83F68" w14:textId="77777777">
      <w:pPr>
        <w:pStyle w:val="ListParagraph"/>
        <w:numPr>
          <w:ilvl w:val="0"/>
          <w:numId w:val="4"/>
        </w:numPr>
        <w:spacing w:after="120" w:line="300" w:lineRule="exact"/>
        <w:rPr>
          <w:b/>
          <w:bCs/>
        </w:rPr>
      </w:pPr>
      <w:r>
        <w:rPr>
          <w:b/>
        </w:rPr>
        <w:lastRenderedPageBreak/>
        <w:t>Germany (10 June 2024),</w:t>
      </w:r>
    </w:p>
    <w:p w:rsidRPr="00B47B36" w:rsidR="003130C2" w:rsidP="003130C2" w:rsidRDefault="003130C2" w14:paraId="20A5728B" w14:textId="77777777">
      <w:pPr>
        <w:pStyle w:val="ListParagraph"/>
        <w:numPr>
          <w:ilvl w:val="0"/>
          <w:numId w:val="4"/>
        </w:numPr>
        <w:spacing w:after="120" w:line="300" w:lineRule="exact"/>
        <w:rPr>
          <w:bCs/>
        </w:rPr>
      </w:pPr>
      <w:r>
        <w:rPr>
          <w:b/>
        </w:rPr>
        <w:t xml:space="preserve">Poland (11 June 2024) </w:t>
      </w:r>
      <w:r>
        <w:t>and</w:t>
      </w:r>
    </w:p>
    <w:p w:rsidRPr="00B47B36" w:rsidR="003130C2" w:rsidP="003130C2" w:rsidRDefault="003130C2" w14:paraId="0627F86B" w14:textId="77777777">
      <w:pPr>
        <w:pStyle w:val="ListParagraph"/>
        <w:numPr>
          <w:ilvl w:val="0"/>
          <w:numId w:val="4"/>
        </w:numPr>
        <w:spacing w:after="120" w:line="300" w:lineRule="exact"/>
        <w:rPr>
          <w:b/>
          <w:bCs/>
        </w:rPr>
      </w:pPr>
      <w:r>
        <w:rPr>
          <w:b/>
        </w:rPr>
        <w:t>Sweden (19 June 2024).</w:t>
      </w:r>
    </w:p>
    <w:p w:rsidRPr="00B47B36" w:rsidR="003130C2" w:rsidP="003130C2" w:rsidRDefault="003130C2" w14:paraId="4671E402" w14:textId="77777777">
      <w:pPr>
        <w:pStyle w:val="ListParagraph"/>
        <w:spacing w:line="300" w:lineRule="exact"/>
      </w:pPr>
    </w:p>
    <w:p w:rsidRPr="009F3F65" w:rsidR="003130C2" w:rsidP="003130C2" w:rsidRDefault="003130C2" w14:paraId="1A44F0FA" w14:textId="77777777">
      <w:pPr>
        <w:pStyle w:val="Heading2"/>
        <w:spacing w:line="300" w:lineRule="exact"/>
        <w:rPr>
          <w:b/>
          <w:u w:val="single"/>
        </w:rPr>
      </w:pPr>
      <w:bookmarkStart w:name="_Toc174452838" w:id="4"/>
      <w:r>
        <w:rPr>
          <w:b/>
          <w:u w:val="single"/>
        </w:rPr>
        <w:t>Questionnaire</w:t>
      </w:r>
      <w:bookmarkEnd w:id="4"/>
    </w:p>
    <w:p w:rsidRPr="009F3F65" w:rsidR="003130C2" w:rsidP="003130C2" w:rsidRDefault="003130C2" w14:paraId="61DD6EE6" w14:textId="77777777">
      <w:pPr>
        <w:rPr>
          <w:lang w:val="en-GB"/>
        </w:rPr>
      </w:pPr>
    </w:p>
    <w:p w:rsidRPr="009F3F65" w:rsidR="003130C2" w:rsidP="003130C2" w:rsidRDefault="003130C2" w14:paraId="06F463B8" w14:textId="77777777">
      <w:r>
        <w:t>The questionnaire was created on the EU survey online portal, using a combination of question formats (filter questions, closed and open-ended questions, a grid). The questionnaire was open from 18 April 2024 to 27 June 2024.</w:t>
      </w:r>
    </w:p>
    <w:p w:rsidRPr="009F3F65" w:rsidR="003130C2" w:rsidP="003130C2" w:rsidRDefault="003130C2" w14:paraId="68A24E7A" w14:textId="77777777">
      <w:pPr>
        <w:rPr>
          <w:lang w:val="en-GB"/>
        </w:rPr>
      </w:pPr>
    </w:p>
    <w:p w:rsidRPr="009F3F65" w:rsidR="003130C2" w:rsidP="003130C2" w:rsidRDefault="003130C2" w14:paraId="35A986D9" w14:textId="77777777">
      <w:r>
        <w:t>The aim of the questionnaire was to complement the information obtained from the fact-finding meetings. Composed of 23 questions (and additional sub-questions) the questionnaire was sent to organisations in the Member States selected for the fact-finding meetings (not only to those participating in the in-person meetings, but also to other relevant organisations).</w:t>
      </w:r>
    </w:p>
    <w:p w:rsidRPr="009F3F65" w:rsidR="003130C2" w:rsidP="003130C2" w:rsidRDefault="003130C2" w14:paraId="43A6F538" w14:textId="77777777">
      <w:pPr>
        <w:spacing w:line="300" w:lineRule="exact"/>
        <w:rPr>
          <w:lang w:val="en-GB"/>
        </w:rPr>
      </w:pPr>
    </w:p>
    <w:p w:rsidRPr="009F3F65" w:rsidR="003130C2" w:rsidP="003130C2" w:rsidRDefault="003130C2" w14:paraId="771A3CA2" w14:textId="77777777">
      <w:pPr>
        <w:pStyle w:val="Heading2"/>
        <w:spacing w:line="300" w:lineRule="exact"/>
        <w:rPr>
          <w:b/>
          <w:u w:val="single"/>
        </w:rPr>
      </w:pPr>
      <w:bookmarkStart w:name="_Toc174452839" w:id="5"/>
      <w:r>
        <w:rPr>
          <w:b/>
          <w:u w:val="single"/>
        </w:rPr>
        <w:t>Respondent breakdown</w:t>
      </w:r>
      <w:bookmarkEnd w:id="5"/>
    </w:p>
    <w:p w:rsidRPr="009F3F65" w:rsidR="003130C2" w:rsidP="003130C2" w:rsidRDefault="003130C2" w14:paraId="44950425" w14:textId="77777777">
      <w:pPr>
        <w:rPr>
          <w:lang w:val="en-GB"/>
        </w:rPr>
      </w:pPr>
    </w:p>
    <w:p w:rsidRPr="009F3F65" w:rsidR="003130C2" w:rsidP="003130C2" w:rsidRDefault="003130C2" w14:paraId="23CCCB7F" w14:textId="77777777">
      <w:r>
        <w:t>In total,</w:t>
      </w:r>
      <w:r>
        <w:rPr>
          <w:i/>
        </w:rPr>
        <w:t xml:space="preserve"> 116 organisations were consulted throughout this evaluation</w:t>
      </w:r>
      <w:r>
        <w:t>, from five different Member states and using two complementary methods. A full list of the participants is available at the end of this document.</w:t>
      </w:r>
    </w:p>
    <w:p w:rsidRPr="009F3F65" w:rsidR="003130C2" w:rsidP="003130C2" w:rsidRDefault="003130C2" w14:paraId="02A788A1" w14:textId="77777777">
      <w:pPr>
        <w:rPr>
          <w:lang w:val="en-GB"/>
        </w:rPr>
      </w:pPr>
    </w:p>
    <w:p w:rsidRPr="009F3F65" w:rsidR="003130C2" w:rsidP="003130C2" w:rsidRDefault="003130C2" w14:paraId="70313285" w14:textId="77777777">
      <w:r>
        <w:rPr>
          <w:i/>
        </w:rPr>
        <w:t>During the five fact-finding country visits, the EESC delegation consulted 76 organisations in total</w:t>
      </w:r>
      <w:r>
        <w:t>, representing beneficiaries of the programme both from the private and public sectors, research and academia, social partners and public authorities. It is important to note, however, that the total number of persons interviewed was slightly higher as on many occasions more than one representative of an organisation participated in the meeting.</w:t>
      </w:r>
    </w:p>
    <w:p w:rsidRPr="009F3F65" w:rsidR="003130C2" w:rsidP="003130C2" w:rsidRDefault="003130C2" w14:paraId="2A6C14B4" w14:textId="77777777">
      <w:pPr>
        <w:rPr>
          <w:lang w:val="en-GB"/>
        </w:rPr>
      </w:pPr>
    </w:p>
    <w:p w:rsidRPr="009F3F65" w:rsidR="003130C2" w:rsidP="003130C2" w:rsidRDefault="003130C2" w14:paraId="0F62F5AA" w14:textId="77777777">
      <w:r>
        <w:rPr>
          <w:i/>
        </w:rPr>
        <w:t xml:space="preserve">In addition, 43 contributions were collected through the online questionnaire </w:t>
      </w:r>
      <w:r>
        <w:t>(on three occasions two persons responded from the same organisation). It is worth noting that almost 40% of the respondents (17 persons) were from research and academia. Furthermore, regarding the role of the respondents' organisation in the DEP activities, more than half of the respondents (53%) identified themselves as project coordinators, while 35% were national level stakeholders and 23% project beneficiaries.</w:t>
      </w:r>
    </w:p>
    <w:p w:rsidRPr="009F3F65" w:rsidR="003130C2" w:rsidP="003130C2" w:rsidRDefault="003130C2" w14:paraId="62773E0B" w14:textId="77777777">
      <w:pPr>
        <w:rPr>
          <w:lang w:val="en-GB"/>
        </w:rPr>
      </w:pPr>
    </w:p>
    <w:p w:rsidRPr="009F3F65" w:rsidR="003130C2" w:rsidP="003130C2" w:rsidRDefault="003130C2" w14:paraId="13940A2F" w14:textId="77777777">
      <w:pPr>
        <w:rPr>
          <w:i/>
          <w:iCs/>
        </w:rPr>
      </w:pPr>
      <w:r>
        <w:rPr>
          <w:noProof/>
        </w:rPr>
        <w:lastRenderedPageBreak/>
        <w:drawing>
          <wp:inline distT="0" distB="0" distL="0" distR="0" wp14:anchorId="61F34BA4" wp14:editId="4DA9C7D7">
            <wp:extent cx="5649763" cy="3340805"/>
            <wp:effectExtent l="0" t="0" r="8255" b="12065"/>
            <wp:docPr id="4" name="Chart 4">
              <a:extLst xmlns:a="http://schemas.openxmlformats.org/drawingml/2006/main">
                <a:ext uri="{FF2B5EF4-FFF2-40B4-BE49-F238E27FC236}">
                  <a16:creationId xmlns:a16="http://schemas.microsoft.com/office/drawing/2014/main" id="{79FBE208-A1CA-4ED7-9E5A-684397557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Pr="009F3F65" w:rsidR="003130C2" w:rsidP="003130C2" w:rsidRDefault="003130C2" w14:paraId="31576CEA" w14:textId="77777777">
      <w:pPr>
        <w:jc w:val="center"/>
        <w:rPr>
          <w:i/>
          <w:iCs/>
        </w:rPr>
      </w:pPr>
      <w:r>
        <w:rPr>
          <w:b/>
          <w:color w:val="5B9BD5" w:themeColor="accent1"/>
          <w:sz w:val="20"/>
        </w:rPr>
        <w:t>Figure 1.</w:t>
      </w:r>
      <w:r>
        <w:rPr>
          <w:color w:val="5B9BD5" w:themeColor="accent1"/>
          <w:sz w:val="20"/>
        </w:rPr>
        <w:t xml:space="preserve"> Questionnaire respondents – by category.</w:t>
      </w:r>
    </w:p>
    <w:p w:rsidRPr="009F3F65" w:rsidR="003130C2" w:rsidP="003130C2" w:rsidRDefault="003130C2" w14:paraId="01FA1D8F" w14:textId="77777777">
      <w:pPr>
        <w:jc w:val="center"/>
        <w:rPr>
          <w:color w:val="5B9BD5" w:themeColor="accent1"/>
          <w:sz w:val="20"/>
          <w:lang w:val="en-GB"/>
        </w:rPr>
      </w:pPr>
    </w:p>
    <w:p w:rsidRPr="009F3F65" w:rsidR="003130C2" w:rsidP="003130C2" w:rsidRDefault="003130C2" w14:paraId="734CB48A" w14:textId="77777777">
      <w:pPr>
        <w:spacing w:after="120" w:line="300" w:lineRule="exact"/>
      </w:pPr>
      <w:r>
        <w:t>In terms of the breakdown of answers across the five countries, the highest number of responses came from Germany (15), and the lowest from Portugal (4).</w:t>
      </w:r>
    </w:p>
    <w:p w:rsidRPr="009F3F65" w:rsidR="003130C2" w:rsidP="003130C2" w:rsidRDefault="003130C2" w14:paraId="60B6F7D0" w14:textId="77777777">
      <w:pPr>
        <w:spacing w:after="120" w:line="300" w:lineRule="exact"/>
        <w:jc w:val="center"/>
      </w:pPr>
      <w:r>
        <w:rPr>
          <w:noProof/>
        </w:rPr>
        <w:drawing>
          <wp:anchor distT="0" distB="0" distL="114300" distR="114300" simplePos="0" relativeHeight="251565056" behindDoc="0" locked="0" layoutInCell="1" allowOverlap="1" wp14:editId="77D84FDD" wp14:anchorId="05646737">
            <wp:simplePos x="0" y="0"/>
            <wp:positionH relativeFrom="margin">
              <wp:posOffset>552450</wp:posOffset>
            </wp:positionH>
            <wp:positionV relativeFrom="paragraph">
              <wp:posOffset>243205</wp:posOffset>
            </wp:positionV>
            <wp:extent cx="4601210" cy="2559050"/>
            <wp:effectExtent l="0" t="0" r="8890" b="12700"/>
            <wp:wrapNone/>
            <wp:docPr id="2" name="Chart 2">
              <a:extLst xmlns:a="http://schemas.openxmlformats.org/drawingml/2006/main">
                <a:ext uri="{FF2B5EF4-FFF2-40B4-BE49-F238E27FC236}">
                  <a16:creationId xmlns:a16="http://schemas.microsoft.com/office/drawing/2014/main" id="{0B0DD5BC-E39B-4DB3-B1AF-201922AC66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V relativeFrom="margin">
              <wp14:pctHeight>0</wp14:pctHeight>
            </wp14:sizeRelV>
          </wp:anchor>
        </w:drawing>
      </w:r>
    </w:p>
    <w:p w:rsidRPr="009F3F65" w:rsidR="003130C2" w:rsidP="003130C2" w:rsidRDefault="003130C2" w14:paraId="664DC3B2" w14:textId="77777777">
      <w:pPr>
        <w:spacing w:after="120" w:line="300" w:lineRule="exact"/>
        <w:jc w:val="center"/>
        <w:rPr>
          <w:lang w:val="en-GB"/>
        </w:rPr>
      </w:pPr>
    </w:p>
    <w:p w:rsidRPr="009F3F65" w:rsidR="003130C2" w:rsidP="003130C2" w:rsidRDefault="003130C2" w14:paraId="50597B66" w14:textId="77777777">
      <w:pPr>
        <w:spacing w:after="120" w:line="300" w:lineRule="exact"/>
        <w:jc w:val="center"/>
        <w:rPr>
          <w:lang w:val="en-GB"/>
        </w:rPr>
      </w:pPr>
    </w:p>
    <w:p w:rsidRPr="009F3F65" w:rsidR="003130C2" w:rsidP="003130C2" w:rsidRDefault="003130C2" w14:paraId="13DFDBF0" w14:textId="77777777">
      <w:pPr>
        <w:spacing w:after="120" w:line="300" w:lineRule="exact"/>
        <w:jc w:val="center"/>
        <w:rPr>
          <w:lang w:val="en-GB"/>
        </w:rPr>
      </w:pPr>
    </w:p>
    <w:p w:rsidRPr="009F3F65" w:rsidR="003130C2" w:rsidP="003130C2" w:rsidRDefault="003130C2" w14:paraId="0E053E89" w14:textId="77777777">
      <w:pPr>
        <w:spacing w:after="120" w:line="300" w:lineRule="exact"/>
        <w:jc w:val="center"/>
        <w:rPr>
          <w:lang w:val="en-GB"/>
        </w:rPr>
      </w:pPr>
    </w:p>
    <w:p w:rsidRPr="009F3F65" w:rsidR="003130C2" w:rsidP="003130C2" w:rsidRDefault="003130C2" w14:paraId="7A3CD805" w14:textId="77777777">
      <w:pPr>
        <w:spacing w:after="120" w:line="300" w:lineRule="exact"/>
        <w:rPr>
          <w:lang w:val="en-GB"/>
        </w:rPr>
      </w:pPr>
    </w:p>
    <w:p w:rsidRPr="009F3F65" w:rsidR="003130C2" w:rsidP="003130C2" w:rsidRDefault="003130C2" w14:paraId="0B38383F" w14:textId="77777777">
      <w:pPr>
        <w:spacing w:after="120" w:line="300" w:lineRule="exact"/>
        <w:rPr>
          <w:lang w:val="en-GB"/>
        </w:rPr>
      </w:pPr>
    </w:p>
    <w:p w:rsidRPr="009F3F65" w:rsidR="003130C2" w:rsidP="003130C2" w:rsidRDefault="003130C2" w14:paraId="06D28941" w14:textId="77777777">
      <w:pPr>
        <w:spacing w:after="120" w:line="300" w:lineRule="exact"/>
        <w:rPr>
          <w:lang w:val="en-GB"/>
        </w:rPr>
      </w:pPr>
    </w:p>
    <w:p w:rsidRPr="009F3F65" w:rsidR="003130C2" w:rsidP="003130C2" w:rsidRDefault="003130C2" w14:paraId="55E83736" w14:textId="77777777">
      <w:pPr>
        <w:spacing w:after="120" w:line="300" w:lineRule="exact"/>
        <w:rPr>
          <w:lang w:val="en-GB"/>
        </w:rPr>
      </w:pPr>
    </w:p>
    <w:p w:rsidRPr="009F3F65" w:rsidR="003130C2" w:rsidP="003130C2" w:rsidRDefault="003130C2" w14:paraId="489B0016" w14:textId="77777777">
      <w:pPr>
        <w:spacing w:after="120" w:line="300" w:lineRule="exact"/>
        <w:rPr>
          <w:lang w:val="en-GB"/>
        </w:rPr>
      </w:pPr>
    </w:p>
    <w:p w:rsidRPr="009F3F65" w:rsidR="003130C2" w:rsidP="003130C2" w:rsidRDefault="003130C2" w14:paraId="7D5F344A" w14:textId="77777777">
      <w:pPr>
        <w:spacing w:after="120" w:line="300" w:lineRule="exact"/>
        <w:rPr>
          <w:lang w:val="en-GB"/>
        </w:rPr>
      </w:pPr>
    </w:p>
    <w:p w:rsidRPr="009F3F65" w:rsidR="003130C2" w:rsidP="003130C2" w:rsidRDefault="003130C2" w14:paraId="4865F517" w14:textId="77777777">
      <w:pPr>
        <w:spacing w:after="120" w:line="300" w:lineRule="exact"/>
        <w:jc w:val="center"/>
        <w:rPr>
          <w:sz w:val="20"/>
        </w:rPr>
      </w:pPr>
      <w:r>
        <w:rPr>
          <w:b/>
          <w:color w:val="5B9BD5" w:themeColor="accent1"/>
          <w:sz w:val="20"/>
        </w:rPr>
        <w:t>Figure 2</w:t>
      </w:r>
      <w:r>
        <w:rPr>
          <w:color w:val="5B9BD5" w:themeColor="accent1"/>
          <w:sz w:val="20"/>
        </w:rPr>
        <w:t>. Questionnaire respondents – by country.</w:t>
      </w:r>
    </w:p>
    <w:p w:rsidRPr="009F3F65" w:rsidR="003130C2" w:rsidP="003130C2" w:rsidRDefault="003130C2" w14:paraId="0A785717" w14:textId="77777777">
      <w:pPr>
        <w:spacing w:after="120" w:line="300" w:lineRule="exact"/>
        <w:rPr>
          <w:lang w:val="en-GB"/>
        </w:rPr>
      </w:pPr>
    </w:p>
    <w:p w:rsidRPr="009F3F65" w:rsidR="003130C2" w:rsidP="003130C2" w:rsidRDefault="003130C2" w14:paraId="45B1B7C4" w14:textId="77777777">
      <w:pPr>
        <w:spacing w:after="120" w:line="300" w:lineRule="exact"/>
        <w:rPr>
          <w:lang w:val="en-GB"/>
        </w:rPr>
      </w:pPr>
    </w:p>
    <w:p w:rsidRPr="009F3F65" w:rsidR="003130C2" w:rsidP="003130C2" w:rsidRDefault="003130C2" w14:paraId="4DE3ACB3" w14:textId="77777777">
      <w:pPr>
        <w:spacing w:after="120" w:line="300" w:lineRule="exact"/>
        <w:rPr>
          <w:lang w:val="en-GB"/>
        </w:rPr>
      </w:pPr>
    </w:p>
    <w:p w:rsidRPr="009F3F65" w:rsidR="003130C2" w:rsidP="003130C2" w:rsidRDefault="003130C2" w14:paraId="32652858" w14:textId="77777777">
      <w:pPr>
        <w:spacing w:after="120" w:line="300" w:lineRule="exact"/>
        <w:rPr>
          <w:lang w:val="en-GB"/>
        </w:rPr>
      </w:pPr>
    </w:p>
    <w:p w:rsidRPr="009F3F65" w:rsidR="003130C2" w:rsidP="003130C2" w:rsidRDefault="003130C2" w14:paraId="6DC97F39" w14:textId="77777777">
      <w:pPr>
        <w:spacing w:after="120" w:line="300" w:lineRule="exact"/>
        <w:rPr>
          <w:lang w:val="en-GB"/>
        </w:rPr>
      </w:pPr>
    </w:p>
    <w:p w:rsidRPr="009F3F65" w:rsidR="003130C2" w:rsidP="003130C2" w:rsidRDefault="003130C2" w14:paraId="6622A3F1" w14:textId="77777777">
      <w:pPr>
        <w:spacing w:after="120" w:line="300" w:lineRule="exact"/>
        <w:rPr>
          <w:lang w:val="en-GB"/>
        </w:rPr>
      </w:pPr>
    </w:p>
    <w:p w:rsidRPr="009F3F65" w:rsidR="003130C2" w:rsidP="003130C2" w:rsidRDefault="003130C2" w14:paraId="59F846AA" w14:textId="77777777">
      <w:pPr>
        <w:pStyle w:val="Heading1"/>
        <w:rPr>
          <w:b/>
          <w:bCs/>
        </w:rPr>
      </w:pPr>
      <w:bookmarkStart w:name="_Toc174452840" w:id="6"/>
      <w:r>
        <w:rPr>
          <w:b/>
        </w:rPr>
        <w:t>Policy overview</w:t>
      </w:r>
      <w:bookmarkEnd w:id="6"/>
    </w:p>
    <w:p w:rsidRPr="009F3F65" w:rsidR="003130C2" w:rsidP="003130C2" w:rsidRDefault="003130C2" w14:paraId="24BBDA1A" w14:textId="77777777">
      <w:pPr>
        <w:rPr>
          <w:lang w:val="en-GB"/>
        </w:rPr>
      </w:pPr>
    </w:p>
    <w:p w:rsidRPr="009F3F65" w:rsidR="003130C2" w:rsidP="003130C2" w:rsidRDefault="003130C2" w14:paraId="55AAD1F7" w14:textId="77777777">
      <w:pPr>
        <w:pStyle w:val="Heading2"/>
        <w:spacing w:line="300" w:lineRule="exact"/>
      </w:pPr>
      <w:bookmarkStart w:name="_Toc174452841" w:id="7"/>
      <w:r>
        <w:rPr>
          <w:b/>
          <w:u w:val="single"/>
        </w:rPr>
        <w:t>The Digital Europe Programme 2021-2027</w:t>
      </w:r>
      <w:bookmarkEnd w:id="7"/>
    </w:p>
    <w:p w:rsidRPr="009F3F65" w:rsidR="003130C2" w:rsidP="003130C2" w:rsidRDefault="003130C2" w14:paraId="1545C541" w14:textId="77777777">
      <w:pPr>
        <w:spacing w:line="300" w:lineRule="exact"/>
        <w:rPr>
          <w:bCs/>
          <w:lang w:val="en-GB"/>
        </w:rPr>
      </w:pPr>
    </w:p>
    <w:p w:rsidRPr="009F3F65" w:rsidR="003130C2" w:rsidP="003130C2" w:rsidRDefault="003130C2" w14:paraId="30ACFDE5" w14:textId="77777777">
      <w:r>
        <w:t>The Digital Europe Programme (DEP) is a new EU funding programme focused on bringing digital technology to businesses, citizens and public administrations; it is governed by Regulation (EU) 2021/694 of the European Parliament and of the Council of 29 April 2021 establishing the Digital Europe Programme for the period 2021-2027</w:t>
      </w:r>
      <w:r w:rsidRPr="009F3F65">
        <w:rPr>
          <w:rStyle w:val="FootnoteReference"/>
          <w:bCs/>
          <w:lang w:val="en-GB"/>
        </w:rPr>
        <w:footnoteReference w:id="1"/>
      </w:r>
      <w:r>
        <w:t>. The legal bases of the Regulation are: Article 173(3), focused on the EU’s industrial competitiveness, relating to most of the activities undertaken under this programme, and Article 172, notably with regard to the digital transformation of areas of public interest.</w:t>
      </w:r>
    </w:p>
    <w:p w:rsidRPr="009F3F65" w:rsidR="003130C2" w:rsidP="003130C2" w:rsidRDefault="003130C2" w14:paraId="77950544" w14:textId="77777777">
      <w:pPr>
        <w:rPr>
          <w:lang w:val="en-GB"/>
        </w:rPr>
      </w:pPr>
    </w:p>
    <w:p w:rsidRPr="009F3F65" w:rsidR="003130C2" w:rsidP="003130C2" w:rsidRDefault="003130C2" w14:paraId="2AF8020F" w14:textId="77777777">
      <w:r>
        <w:t xml:space="preserve">The DEP operates through direct and indirect forms of management under the Single Market, Innovation, and Digital category in the multiannual financial framework (MFF). It </w:t>
      </w:r>
      <w:r>
        <w:rPr>
          <w:b/>
        </w:rPr>
        <w:t>focuses on advancing digital transformation and strategic capacities within the European Strategic Investments cluster</w:t>
      </w:r>
      <w:r w:rsidRPr="009F3F65">
        <w:rPr>
          <w:rStyle w:val="FootnoteReference"/>
          <w:b/>
          <w:lang w:val="en-GB"/>
        </w:rPr>
        <w:footnoteReference w:id="2"/>
      </w:r>
      <w:r>
        <w:t xml:space="preserve">. The programme reflects the EU’s commitment to creating a </w:t>
      </w:r>
      <w:r>
        <w:rPr>
          <w:b/>
        </w:rPr>
        <w:t>resilient, inclusive, and digitally sovereign European Union</w:t>
      </w:r>
      <w:r>
        <w:t xml:space="preserve"> in the 21st century.</w:t>
      </w:r>
    </w:p>
    <w:p w:rsidRPr="009F3F65" w:rsidR="003130C2" w:rsidP="003130C2" w:rsidRDefault="003130C2" w14:paraId="0773B2C6" w14:textId="77777777">
      <w:pPr>
        <w:rPr>
          <w:lang w:val="en-GB"/>
        </w:rPr>
      </w:pPr>
    </w:p>
    <w:p w:rsidRPr="009F3F65" w:rsidR="003130C2" w:rsidP="003130C2" w:rsidRDefault="003130C2" w14:paraId="7C9E07AE" w14:textId="77777777">
      <w:r>
        <w:t>The Digital Europe Programme provides funding for projects in five crucial areas</w:t>
      </w:r>
      <w:r w:rsidRPr="009F3F65">
        <w:rPr>
          <w:rStyle w:val="FootnoteReference"/>
          <w:bCs/>
          <w:lang w:val="en-GB"/>
        </w:rPr>
        <w:footnoteReference w:id="3"/>
      </w:r>
      <w:r w:rsidRPr="009F3F65">
        <w:rPr>
          <w:rStyle w:val="FootnoteReference"/>
          <w:bCs/>
          <w:lang w:val="en-GB"/>
        </w:rPr>
        <w:footnoteReference w:id="4"/>
      </w:r>
      <w:r>
        <w:t>:</w:t>
      </w:r>
    </w:p>
    <w:p w:rsidRPr="00B47B36" w:rsidR="003130C2" w:rsidP="003130C2" w:rsidRDefault="003130C2" w14:paraId="55998F6D" w14:textId="77777777">
      <w:pPr>
        <w:pStyle w:val="ListParagraph"/>
        <w:numPr>
          <w:ilvl w:val="0"/>
          <w:numId w:val="31"/>
        </w:numPr>
      </w:pPr>
      <w:r>
        <w:rPr>
          <w:b/>
        </w:rPr>
        <w:t>Supercomputing</w:t>
      </w:r>
      <w:r>
        <w:t>: deploying world-class exascale, post-exascale supercomputing and quantum computing capacities to ensure the widest possible access to and use of these capacities.</w:t>
      </w:r>
    </w:p>
    <w:p w:rsidRPr="00B47B36" w:rsidR="003130C2" w:rsidP="003130C2" w:rsidRDefault="003130C2" w14:paraId="7F20341E" w14:textId="77777777">
      <w:pPr>
        <w:pStyle w:val="ListParagraph"/>
        <w:numPr>
          <w:ilvl w:val="0"/>
          <w:numId w:val="31"/>
        </w:numPr>
      </w:pPr>
      <w:r>
        <w:rPr>
          <w:b/>
        </w:rPr>
        <w:t>Artificial intelligence</w:t>
      </w:r>
      <w:r>
        <w:t xml:space="preserve"> (AI): establishing EU-wide common data spaces using a federated infrastructure and promoting the testing and adoption of AI technologies through a European AI platform and top-tier testing facilities.</w:t>
      </w:r>
    </w:p>
    <w:p w:rsidRPr="00B47B36" w:rsidR="003130C2" w:rsidP="003130C2" w:rsidRDefault="003130C2" w14:paraId="117C55D7" w14:textId="77777777">
      <w:pPr>
        <w:pStyle w:val="ListParagraph"/>
        <w:numPr>
          <w:ilvl w:val="0"/>
          <w:numId w:val="31"/>
        </w:numPr>
      </w:pPr>
      <w:r>
        <w:rPr>
          <w:b/>
        </w:rPr>
        <w:t>Cybersecurity and trust</w:t>
      </w:r>
      <w:r>
        <w:t>: building up advanced cybersecurity capabilities (equipment, tools and data infrastructures), including a quantum secure communication infrastructure for Europe; promoting the sharing of best practices and ensuring wide deployment of state-of-the-art cybersecurity solutions.</w:t>
      </w:r>
    </w:p>
    <w:p w:rsidRPr="00B47B36" w:rsidR="003130C2" w:rsidP="003130C2" w:rsidRDefault="003130C2" w14:paraId="69F5E528" w14:textId="77777777">
      <w:pPr>
        <w:pStyle w:val="ListParagraph"/>
        <w:numPr>
          <w:ilvl w:val="0"/>
          <w:numId w:val="31"/>
        </w:numPr>
      </w:pPr>
      <w:r>
        <w:rPr>
          <w:b/>
        </w:rPr>
        <w:t>Advanced digital skills</w:t>
      </w:r>
      <w:r>
        <w:t>: boosting academic excellence by increasing education and training in key digital technologies, such as high-performance computing, cybersecurity and artificial intelligence. Training in these areas will be carried out through cooperation among tertiary education institutions, world-class research centres and innovative businesses.</w:t>
      </w:r>
    </w:p>
    <w:p w:rsidRPr="00B47B36" w:rsidR="003130C2" w:rsidP="003130C2" w:rsidRDefault="003130C2" w14:paraId="19651762" w14:textId="77777777">
      <w:pPr>
        <w:pStyle w:val="ListParagraph"/>
        <w:numPr>
          <w:ilvl w:val="0"/>
          <w:numId w:val="31"/>
        </w:numPr>
      </w:pPr>
      <w:r>
        <w:rPr>
          <w:b/>
        </w:rPr>
        <w:t>Ensuring the wide use of digital technologies across the economy and society</w:t>
      </w:r>
      <w:r>
        <w:t>: establishing a European digital innovation hub network for transforming public and private organisations, addressing societal challenges, reinforcing blockchain capacities, and promoting the digital transformation of public administrations through interoperability for an inclusive and trustworthy digital space.</w:t>
      </w:r>
    </w:p>
    <w:p w:rsidRPr="009F3F65" w:rsidR="003130C2" w:rsidP="003130C2" w:rsidRDefault="003130C2" w14:paraId="563EDB00" w14:textId="77777777">
      <w:pPr>
        <w:rPr>
          <w:lang w:val="en-GB"/>
        </w:rPr>
      </w:pPr>
    </w:p>
    <w:p w:rsidRPr="009F3F65" w:rsidR="003130C2" w:rsidP="003130C2" w:rsidRDefault="003130C2" w14:paraId="44646505" w14:textId="77777777">
      <w:pPr>
        <w:rPr>
          <w:b/>
        </w:rPr>
      </w:pPr>
      <w:r>
        <w:lastRenderedPageBreak/>
        <w:t>The programme is designed to bridge the gap between digital technology research and market deployment. It will benefit Europe’s citizens and businesses, especially SMEs. Furthermore, it supports the European Union’s twin objectives of a green transition and digital transformation while strengthening the Union’s resilience and digital sovereignty. Although sustainability is a commitment, no explicit climate contribution target is set in the legal basis.</w:t>
      </w:r>
    </w:p>
    <w:p w:rsidRPr="009F3F65" w:rsidR="003130C2" w:rsidP="003130C2" w:rsidRDefault="003130C2" w14:paraId="5A84385F" w14:textId="77777777">
      <w:pPr>
        <w:rPr>
          <w:lang w:val="en-GB"/>
        </w:rPr>
      </w:pPr>
    </w:p>
    <w:p w:rsidRPr="009F3F65" w:rsidR="003130C2" w:rsidP="003130C2" w:rsidRDefault="003130C2" w14:paraId="1D738043" w14:textId="77777777">
      <w:r>
        <w:t xml:space="preserve">The programme has </w:t>
      </w:r>
      <w:r>
        <w:rPr>
          <w:b/>
        </w:rPr>
        <w:t>a total budget of EUR 7.6 billion</w:t>
      </w:r>
      <w:r>
        <w:t xml:space="preserve"> for the 2021-2027 period. The budget is allocated across the five pillars of the programme as follows</w:t>
      </w:r>
      <w:r w:rsidRPr="009F3F65">
        <w:rPr>
          <w:rStyle w:val="FootnoteReference"/>
          <w:lang w:val="en-GB"/>
        </w:rPr>
        <w:footnoteReference w:id="5"/>
      </w:r>
      <w:r>
        <w:t>:</w:t>
      </w:r>
    </w:p>
    <w:p w:rsidRPr="00B47B36" w:rsidR="003130C2" w:rsidP="003130C2" w:rsidRDefault="003130C2" w14:paraId="730C4575" w14:textId="77777777">
      <w:pPr>
        <w:pStyle w:val="ListParagraph"/>
        <w:numPr>
          <w:ilvl w:val="0"/>
          <w:numId w:val="12"/>
        </w:numPr>
      </w:pPr>
      <w:r>
        <w:t>Supercomputing: EUR 2.2 billion;</w:t>
      </w:r>
    </w:p>
    <w:p w:rsidRPr="00B47B36" w:rsidR="003130C2" w:rsidP="003130C2" w:rsidRDefault="003130C2" w14:paraId="38D17F68" w14:textId="77777777">
      <w:pPr>
        <w:pStyle w:val="ListParagraph"/>
        <w:numPr>
          <w:ilvl w:val="0"/>
          <w:numId w:val="12"/>
        </w:numPr>
      </w:pPr>
      <w:r>
        <w:t>Artificial intelligence: EUR 2.1 billion;</w:t>
      </w:r>
    </w:p>
    <w:p w:rsidRPr="00B47B36" w:rsidR="003130C2" w:rsidP="003130C2" w:rsidRDefault="003130C2" w14:paraId="581193D1" w14:textId="77777777">
      <w:pPr>
        <w:pStyle w:val="ListParagraph"/>
        <w:numPr>
          <w:ilvl w:val="0"/>
          <w:numId w:val="12"/>
        </w:numPr>
      </w:pPr>
      <w:r>
        <w:t>Cybersecurity: EUR 1.6 billion;</w:t>
      </w:r>
    </w:p>
    <w:p w:rsidRPr="00B47B36" w:rsidR="003130C2" w:rsidP="003130C2" w:rsidRDefault="003130C2" w14:paraId="3560AD5E" w14:textId="77777777">
      <w:pPr>
        <w:pStyle w:val="ListParagraph"/>
        <w:numPr>
          <w:ilvl w:val="0"/>
          <w:numId w:val="12"/>
        </w:numPr>
      </w:pPr>
      <w:r>
        <w:t>Advanced digital skills: EUR 580 million;</w:t>
      </w:r>
    </w:p>
    <w:p w:rsidRPr="00B47B36" w:rsidR="003130C2" w:rsidP="003130C2" w:rsidRDefault="003130C2" w14:paraId="58E7ACF7" w14:textId="77777777">
      <w:pPr>
        <w:pStyle w:val="ListParagraph"/>
        <w:numPr>
          <w:ilvl w:val="0"/>
          <w:numId w:val="12"/>
        </w:numPr>
      </w:pPr>
      <w:r>
        <w:t>Ensuring the wide use of digital technologies across the economy and society: EUR 1.1 billion.</w:t>
      </w:r>
    </w:p>
    <w:p w:rsidRPr="009F3F65" w:rsidR="003130C2" w:rsidP="003130C2" w:rsidRDefault="003130C2" w14:paraId="4AE353F3" w14:textId="77777777">
      <w:pPr>
        <w:rPr>
          <w:lang w:val="en-GB"/>
        </w:rPr>
      </w:pPr>
    </w:p>
    <w:p w:rsidRPr="009F3F65" w:rsidR="003130C2" w:rsidP="003130C2" w:rsidRDefault="003130C2" w14:paraId="0E18716A" w14:textId="77777777">
      <w:r>
        <w:t>Funding within the programme is to be allocated on the basis of a competitive selection process, favouring projects aligned with the programme’s goals and priorities. The budget is allocated and implemented through both direct and indirect management mechanisms. These include procurement methods, either through direct calls for tender or existing framework contracts, as well as grants. Consequently, there is no fixed budget for each country; rather, contributions depend on the specific projects and calls received.</w:t>
      </w:r>
    </w:p>
    <w:p w:rsidRPr="00B47B36" w:rsidR="003130C2" w:rsidP="003130C2" w:rsidRDefault="003130C2" w14:paraId="5AC3A4B5" w14:textId="77777777">
      <w:pPr>
        <w:pStyle w:val="NoSpacing"/>
        <w:rPr>
          <w:lang w:val="en-GB"/>
        </w:rPr>
      </w:pPr>
    </w:p>
    <w:p w:rsidRPr="009F3F65" w:rsidR="003130C2" w:rsidP="003130C2" w:rsidRDefault="003130C2" w14:paraId="1E928C3F" w14:textId="77777777">
      <w:pPr>
        <w:spacing w:line="300" w:lineRule="exact"/>
      </w:pPr>
      <w:r>
        <w:rPr>
          <w:rStyle w:val="nessuno"/>
        </w:rPr>
        <w:t xml:space="preserve">The Digital Europe Programme </w:t>
      </w:r>
      <w:r>
        <w:rPr>
          <w:rStyle w:val="nessuno"/>
          <w:b/>
        </w:rPr>
        <w:t>complements</w:t>
      </w:r>
      <w:r>
        <w:rPr>
          <w:rStyle w:val="nessuno"/>
        </w:rPr>
        <w:t xml:space="preserve"> </w:t>
      </w:r>
      <w:r>
        <w:rPr>
          <w:rStyle w:val="nessuno"/>
          <w:b/>
        </w:rPr>
        <w:t>and has synergies with a number of other proposed instruments in the post-2020 MFF</w:t>
      </w:r>
      <w:r>
        <w:rPr>
          <w:rStyle w:val="nessuno"/>
        </w:rPr>
        <w:t>, notably Horizon Europe, Connecting Europe Facility (CEF2), EU Values Fund (MEDIA programme), InvestEU Fund, COSME, the European Regional Development Fund, the European Social Fund (including the Youth Employment Initiative and basic digital skills), Erasmus+, the European Globalisation Adjustment Fund (basic and advanced digital skills),</w:t>
      </w:r>
      <w:r>
        <w:t xml:space="preserve"> the </w:t>
      </w:r>
      <w:r>
        <w:rPr>
          <w:rStyle w:val="nessuno"/>
        </w:rPr>
        <w:t>Defence Fund, the Internal Security Fund, the Internal Border Management Fund, Environment and Climate Action (including energy efficiency) and the European Agricultural Fund for Rural Development</w:t>
      </w:r>
      <w:r w:rsidRPr="009F3F65">
        <w:rPr>
          <w:rStyle w:val="FootnoteReference"/>
          <w:lang w:val="en-GB"/>
        </w:rPr>
        <w:footnoteReference w:id="6"/>
      </w:r>
      <w:r>
        <w:rPr>
          <w:rStyle w:val="nessuno"/>
        </w:rPr>
        <w:t>.</w:t>
      </w:r>
    </w:p>
    <w:p w:rsidRPr="009F3F65" w:rsidR="003130C2" w:rsidP="003130C2" w:rsidRDefault="003130C2" w14:paraId="771B1437" w14:textId="77777777">
      <w:pPr>
        <w:spacing w:after="120" w:line="300" w:lineRule="exact"/>
        <w:rPr>
          <w:bCs/>
          <w:highlight w:val="red"/>
          <w:lang w:val="en-GB"/>
        </w:rPr>
      </w:pPr>
    </w:p>
    <w:p w:rsidRPr="009F3F65" w:rsidR="003130C2" w:rsidP="003130C2" w:rsidRDefault="003130C2" w14:paraId="64E37F2F" w14:textId="77777777">
      <w:pPr>
        <w:pStyle w:val="Heading2"/>
        <w:spacing w:line="300" w:lineRule="exact"/>
        <w:rPr>
          <w:b/>
          <w:u w:val="single"/>
        </w:rPr>
      </w:pPr>
      <w:bookmarkStart w:name="_Toc174452842" w:id="8"/>
      <w:r>
        <w:rPr>
          <w:b/>
          <w:u w:val="single"/>
        </w:rPr>
        <w:t>Programme implementation in the selected Member States</w:t>
      </w:r>
      <w:bookmarkEnd w:id="8"/>
    </w:p>
    <w:p w:rsidRPr="009F3F65" w:rsidR="003130C2" w:rsidP="003130C2" w:rsidRDefault="003130C2" w14:paraId="06931BFF" w14:textId="77777777">
      <w:pPr>
        <w:rPr>
          <w:lang w:val="en-GB"/>
        </w:rPr>
      </w:pPr>
    </w:p>
    <w:p w:rsidRPr="00B47B36" w:rsidR="003130C2" w:rsidP="003130C2" w:rsidRDefault="003130C2" w14:paraId="54A5CB05" w14:textId="77777777">
      <w:pPr>
        <w:pStyle w:val="NoSpacing"/>
        <w:spacing w:line="300" w:lineRule="exact"/>
        <w:jc w:val="both"/>
      </w:pPr>
      <w:r>
        <w:t>The following section presents a brief overview of how the Digital Europe Programme is being implemented in each of the five selected Member States.</w:t>
      </w:r>
    </w:p>
    <w:p w:rsidRPr="00B47B36" w:rsidR="003130C2" w:rsidP="003130C2" w:rsidRDefault="003130C2" w14:paraId="776A604C" w14:textId="77777777">
      <w:pPr>
        <w:pStyle w:val="NoSpacing"/>
        <w:spacing w:line="300" w:lineRule="exact"/>
        <w:jc w:val="both"/>
        <w:rPr>
          <w:lang w:val="en-GB"/>
        </w:rPr>
      </w:pPr>
    </w:p>
    <w:p w:rsidRPr="00B47B36" w:rsidR="003130C2" w:rsidP="003130C2" w:rsidRDefault="003130C2" w14:paraId="46FD2983" w14:textId="77777777">
      <w:pPr>
        <w:pStyle w:val="NoSpacing"/>
        <w:numPr>
          <w:ilvl w:val="0"/>
          <w:numId w:val="6"/>
        </w:numPr>
        <w:spacing w:line="300" w:lineRule="exact"/>
        <w:jc w:val="both"/>
        <w:rPr>
          <w:b/>
          <w:bCs/>
          <w:u w:val="single"/>
        </w:rPr>
      </w:pPr>
      <w:r>
        <w:rPr>
          <w:b/>
          <w:u w:val="single"/>
        </w:rPr>
        <w:t>Germany</w:t>
      </w:r>
    </w:p>
    <w:p w:rsidRPr="00B47B36" w:rsidR="003130C2" w:rsidP="003130C2" w:rsidRDefault="003130C2" w14:paraId="792E61A0" w14:textId="77777777">
      <w:pPr>
        <w:pStyle w:val="NoSpacing"/>
        <w:spacing w:line="300" w:lineRule="exact"/>
        <w:jc w:val="both"/>
        <w:rPr>
          <w:lang w:val="en-GB"/>
        </w:rPr>
      </w:pPr>
    </w:p>
    <w:p w:rsidRPr="00B47B36" w:rsidR="003130C2" w:rsidP="003130C2" w:rsidRDefault="003130C2" w14:paraId="03642B91" w14:textId="77777777">
      <w:pPr>
        <w:pStyle w:val="NoSpacing"/>
        <w:spacing w:line="300" w:lineRule="exact"/>
        <w:jc w:val="both"/>
        <w:rPr>
          <w:b/>
          <w:bCs/>
          <w:u w:val="single"/>
        </w:rPr>
      </w:pPr>
      <w:r>
        <w:rPr>
          <w:b/>
          <w:u w:val="single"/>
        </w:rPr>
        <w:t>Specific Objective 1 – High Performance Computing</w:t>
      </w:r>
    </w:p>
    <w:p w:rsidRPr="00B47B36" w:rsidR="003130C2" w:rsidP="003130C2" w:rsidRDefault="003130C2" w14:paraId="34E817A4" w14:textId="77777777">
      <w:pPr>
        <w:pStyle w:val="NoSpacing"/>
        <w:spacing w:line="300" w:lineRule="exact"/>
        <w:jc w:val="both"/>
        <w:rPr>
          <w:lang w:val="en-GB"/>
        </w:rPr>
      </w:pPr>
    </w:p>
    <w:p w:rsidRPr="009F3F65" w:rsidR="003130C2" w:rsidP="003130C2" w:rsidRDefault="003130C2" w14:paraId="46DFD0BC" w14:textId="77777777">
      <w:r>
        <w:t xml:space="preserve">Germany’s pursuit of high-performance computing (HPC) excellence under the DEP has been achieved through the </w:t>
      </w:r>
      <w:r>
        <w:rPr>
          <w:b/>
        </w:rPr>
        <w:t>European High-Performance Computing Joint Undertaking (EuroHPC JU)</w:t>
      </w:r>
      <w:r w:rsidRPr="009F3F65">
        <w:rPr>
          <w:rStyle w:val="FootnoteReference"/>
          <w:b/>
          <w:bCs/>
          <w:lang w:val="en-GB"/>
        </w:rPr>
        <w:footnoteReference w:id="7"/>
      </w:r>
      <w:r>
        <w:rPr>
          <w:b/>
        </w:rPr>
        <w:t>.</w:t>
      </w:r>
      <w:r>
        <w:t xml:space="preserve"> Established in 2018, the EuroHPC JU serves as a pivotal legal and funding entity, facilitating </w:t>
      </w:r>
      <w:r>
        <w:lastRenderedPageBreak/>
        <w:t xml:space="preserve">collaboration among EU Member States to propel Europe to the forefront of supercomputing innovation. </w:t>
      </w:r>
      <w:r>
        <w:rPr>
          <w:u w:val="single"/>
        </w:rPr>
        <w:t>Its overarching mission includes the development, deployment, and maintenance of a secure, interconnected supercomputing and quantum computing ecosystem within the EU</w:t>
      </w:r>
      <w:r>
        <w:t xml:space="preserve">. </w:t>
      </w:r>
    </w:p>
    <w:p w:rsidRPr="009F3F65" w:rsidR="003130C2" w:rsidP="003130C2" w:rsidRDefault="003130C2" w14:paraId="13579431" w14:textId="77777777">
      <w:pPr>
        <w:rPr>
          <w:lang w:val="en-GB"/>
        </w:rPr>
      </w:pPr>
    </w:p>
    <w:p w:rsidRPr="009F3F65" w:rsidR="003130C2" w:rsidP="003130C2" w:rsidRDefault="003130C2" w14:paraId="21DCD1C0" w14:textId="77777777">
      <w:r>
        <w:t xml:space="preserve">In October 2023, EuroHPC JU signed the procurement contract for JUPITER, due to start in early 2024. </w:t>
      </w:r>
      <w:r>
        <w:rPr>
          <w:b/>
        </w:rPr>
        <w:t>JUPITER is the first EuroHPC exascale supercomputer in Europe to surpass the threshold of one quintillion calculations per second.</w:t>
      </w:r>
      <w:r>
        <w:t xml:space="preserve"> The system is located on the </w:t>
      </w:r>
      <w:r>
        <w:rPr>
          <w:i/>
        </w:rPr>
        <w:t>Forschungszentrum Jülich</w:t>
      </w:r>
      <w:r>
        <w:t xml:space="preserve"> campus in Germany and is operated by the Jülich Supercomputing Centre. The Jülich Supercomputing Centre provides cutting-edge supercomputer resources, IT tools, methods, and know-how for researchers participating in more than 200 German and European projects.</w:t>
      </w:r>
    </w:p>
    <w:p w:rsidRPr="009F3F65" w:rsidR="003130C2" w:rsidP="003130C2" w:rsidRDefault="003130C2" w14:paraId="2F678433" w14:textId="77777777">
      <w:pPr>
        <w:rPr>
          <w:lang w:val="en-GB"/>
        </w:rPr>
      </w:pPr>
    </w:p>
    <w:p w:rsidRPr="009F3F65" w:rsidR="003130C2" w:rsidP="003130C2" w:rsidRDefault="003130C2" w14:paraId="31475D03" w14:textId="77777777">
      <w:r>
        <w:t>The acquisition and operation of JUPITER is funded jointly by the EuroHPC Joint Undertaking, through the DEP, as well as by Germany. The EuroHPC JU is funding JUPITER with EUR 250 million. The German Federal Ministry of Education and Research (BMBF) provides its own share of EUR 125 million. The Ministry of Culture and Science of the State of North Rhine-Westphalia (MKW NRW) finances a further share of EUR 125 million</w:t>
      </w:r>
      <w:r w:rsidRPr="009F3F65">
        <w:rPr>
          <w:rStyle w:val="FootnoteReference"/>
          <w:lang w:val="en-GB"/>
        </w:rPr>
        <w:footnoteReference w:id="8"/>
      </w:r>
      <w:r>
        <w:t>.</w:t>
      </w:r>
    </w:p>
    <w:p w:rsidRPr="00B47B36" w:rsidR="003130C2" w:rsidP="003130C2" w:rsidRDefault="003130C2" w14:paraId="19C816AE" w14:textId="77777777">
      <w:pPr>
        <w:pStyle w:val="NoSpacing"/>
        <w:spacing w:line="300" w:lineRule="exact"/>
        <w:jc w:val="both"/>
        <w:rPr>
          <w:lang w:val="en-GB"/>
        </w:rPr>
      </w:pPr>
    </w:p>
    <w:p w:rsidRPr="00B47B36" w:rsidR="003130C2" w:rsidP="003130C2" w:rsidRDefault="003130C2" w14:paraId="2C1ADBD7" w14:textId="77777777">
      <w:pPr>
        <w:pStyle w:val="NoSpacing"/>
        <w:spacing w:line="300" w:lineRule="exact"/>
        <w:jc w:val="both"/>
        <w:rPr>
          <w:b/>
          <w:bCs/>
          <w:u w:val="single"/>
        </w:rPr>
      </w:pPr>
      <w:r>
        <w:rPr>
          <w:b/>
          <w:u w:val="single"/>
        </w:rPr>
        <w:t>Specific Objective 2 – Artificial Intelligence</w:t>
      </w:r>
    </w:p>
    <w:p w:rsidRPr="00B47B36" w:rsidR="003130C2" w:rsidP="003130C2" w:rsidRDefault="003130C2" w14:paraId="1D709DA6" w14:textId="77777777">
      <w:pPr>
        <w:pStyle w:val="NoSpacing"/>
        <w:spacing w:line="300" w:lineRule="exact"/>
        <w:jc w:val="both"/>
        <w:rPr>
          <w:lang w:val="en-GB"/>
        </w:rPr>
      </w:pPr>
    </w:p>
    <w:p w:rsidRPr="009F3F65" w:rsidR="003130C2" w:rsidP="003130C2" w:rsidRDefault="003130C2" w14:paraId="045CBB48" w14:textId="77777777">
      <w:r>
        <w:t xml:space="preserve">Specific Objective 2 aims at reinforcing the EU’s core AI capacities as a crucial driver for the digital transformation of the public and private sectors. </w:t>
      </w:r>
      <w:r>
        <w:rPr>
          <w:b/>
        </w:rPr>
        <w:t>A big focus is given to cloud-to-edge infostructures and services, common data spaces and AI testing and implementation facilities</w:t>
      </w:r>
      <w:r w:rsidRPr="009F3F65">
        <w:rPr>
          <w:rStyle w:val="FootnoteReference"/>
          <w:b/>
          <w:bCs/>
          <w:lang w:val="en-GB"/>
        </w:rPr>
        <w:footnoteReference w:id="9"/>
      </w:r>
      <w:r>
        <w:t>.</w:t>
      </w:r>
    </w:p>
    <w:p w:rsidRPr="00B47B36" w:rsidR="003130C2" w:rsidP="003130C2" w:rsidRDefault="003130C2" w14:paraId="748961B1" w14:textId="77777777">
      <w:pPr>
        <w:pStyle w:val="NoSpacing"/>
        <w:spacing w:line="300" w:lineRule="exact"/>
        <w:jc w:val="both"/>
        <w:rPr>
          <w:lang w:val="en-GB"/>
        </w:rPr>
      </w:pPr>
    </w:p>
    <w:p w:rsidRPr="009F3F65" w:rsidR="003130C2" w:rsidP="003130C2" w:rsidRDefault="003130C2" w14:paraId="5575A767" w14:textId="77777777">
      <w:r>
        <w:t>Among the main projects financed under objective 2 in Germany are:</w:t>
      </w:r>
    </w:p>
    <w:p w:rsidRPr="00B47B36" w:rsidR="003130C2" w:rsidP="003130C2" w:rsidRDefault="003130C2" w14:paraId="1DA40E09" w14:textId="77777777">
      <w:pPr>
        <w:pStyle w:val="ListParagraph"/>
        <w:numPr>
          <w:ilvl w:val="0"/>
          <w:numId w:val="13"/>
        </w:numPr>
      </w:pPr>
      <w:r>
        <w:t xml:space="preserve">The </w:t>
      </w:r>
      <w:r>
        <w:rPr>
          <w:b/>
        </w:rPr>
        <w:t>AI sectorial Testing and Experimentation Facilities (TEFs)</w:t>
      </w:r>
      <w:r>
        <w:t>, large-scale reference sites to test and experiment with AI solutions;</w:t>
      </w:r>
    </w:p>
    <w:p w:rsidRPr="00B47B36" w:rsidR="003130C2" w:rsidP="003130C2" w:rsidRDefault="003130C2" w14:paraId="39BB2D29" w14:textId="77777777">
      <w:pPr>
        <w:pStyle w:val="ListParagraph"/>
        <w:numPr>
          <w:ilvl w:val="0"/>
          <w:numId w:val="13"/>
        </w:numPr>
      </w:pPr>
      <w:r>
        <w:t xml:space="preserve">The </w:t>
      </w:r>
      <w:r>
        <w:rPr>
          <w:b/>
        </w:rPr>
        <w:t>Important Projects of Common European Interest (IPCEI)</w:t>
      </w:r>
      <w:r>
        <w:t xml:space="preserve"> to promote collaboration among Member States in cutting-edge microelectronics and communication projects;</w:t>
      </w:r>
    </w:p>
    <w:p w:rsidRPr="00B47B36" w:rsidR="003130C2" w:rsidP="003130C2" w:rsidRDefault="003130C2" w14:paraId="5CC05915" w14:textId="77777777">
      <w:pPr>
        <w:pStyle w:val="ListParagraph"/>
        <w:numPr>
          <w:ilvl w:val="0"/>
          <w:numId w:val="13"/>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B47B36">
        <w:rPr>
          <w:rStyle w:val="FootnoteReference"/>
        </w:rPr>
        <w:footnoteReference w:id="10"/>
      </w:r>
      <w:r>
        <w:t>.</w:t>
      </w:r>
    </w:p>
    <w:p w:rsidRPr="00B47B36" w:rsidR="003130C2" w:rsidP="003130C2" w:rsidRDefault="003130C2" w14:paraId="5A2656A4" w14:textId="77777777">
      <w:pPr>
        <w:pStyle w:val="NoSpacing"/>
        <w:spacing w:line="300" w:lineRule="exact"/>
        <w:jc w:val="both"/>
        <w:rPr>
          <w:lang w:val="en-GB"/>
        </w:rPr>
      </w:pPr>
    </w:p>
    <w:p w:rsidRPr="009F3F65" w:rsidR="003130C2" w:rsidP="003130C2" w:rsidRDefault="003130C2" w14:paraId="0BD6AD85" w14:textId="77777777">
      <w:r>
        <w:t>The AI sectorial Testing and Experimentation Facilities (TEFs) are permanent facilities in the European Union where complex digital technologies can be tested in real-world settings, physically and through simulation. They focus on four high-impact sectors: agri-food; healthcare; manufacturing; and smart cities &amp; communities, and began work in January 2023.</w:t>
      </w:r>
    </w:p>
    <w:p w:rsidRPr="00B47B36" w:rsidR="003130C2" w:rsidP="003130C2" w:rsidRDefault="003130C2" w14:paraId="45CB75EC" w14:textId="77777777">
      <w:pPr>
        <w:pStyle w:val="NoSpacing"/>
        <w:spacing w:line="300" w:lineRule="exact"/>
        <w:jc w:val="both"/>
        <w:rPr>
          <w:lang w:val="en-GB"/>
        </w:rPr>
      </w:pPr>
    </w:p>
    <w:p w:rsidRPr="009F3F65" w:rsidR="003130C2" w:rsidP="003130C2" w:rsidRDefault="003130C2" w14:paraId="2977B7D3" w14:textId="77777777">
      <w:r>
        <w:t>Germany plays an active part in the EU’s AI sectorial Testing and Experimentation Facilities (TEFs), being a TEF coordinator node for the healthcare and manufacturing projects and an active participant in the agri-food TEFs.</w:t>
      </w:r>
    </w:p>
    <w:p w:rsidRPr="009F3F65" w:rsidR="003130C2" w:rsidP="003130C2" w:rsidRDefault="003130C2" w14:paraId="70D3F25D" w14:textId="77777777">
      <w:pPr>
        <w:rPr>
          <w:lang w:val="en-GB"/>
        </w:rPr>
      </w:pPr>
    </w:p>
    <w:p w:rsidRPr="009F3F65" w:rsidR="003130C2" w:rsidP="003130C2" w:rsidRDefault="003130C2" w14:paraId="0E05DC63" w14:textId="77777777">
      <w:r>
        <w:lastRenderedPageBreak/>
        <w:t xml:space="preserve">As for </w:t>
      </w:r>
      <w:r>
        <w:rPr>
          <w:b/>
        </w:rPr>
        <w:t>TEF-Health</w:t>
      </w:r>
      <w:r>
        <w:t>, Germany leads the project which aims to test and approve innovative AI and robotics solutions for the healthcare sector and ensure they come to market more quickly. The project is funded with EUR 60 million, with half coming from the European Commission under the Digital Europe Programme and the other half from national funding agencies</w:t>
      </w:r>
      <w:r w:rsidRPr="009F3F65">
        <w:rPr>
          <w:rStyle w:val="FootnoteReference"/>
          <w:lang w:val="en-GB"/>
        </w:rPr>
        <w:footnoteReference w:id="11"/>
      </w:r>
      <w:r>
        <w:t>.</w:t>
      </w:r>
    </w:p>
    <w:p w:rsidRPr="00B47B36" w:rsidR="003130C2" w:rsidP="003130C2" w:rsidRDefault="003130C2" w14:paraId="11E48C86" w14:textId="77777777">
      <w:pPr>
        <w:pStyle w:val="NoSpacing"/>
        <w:spacing w:line="300" w:lineRule="exact"/>
        <w:jc w:val="both"/>
        <w:rPr>
          <w:lang w:val="en-GB"/>
        </w:rPr>
      </w:pPr>
    </w:p>
    <w:p w:rsidRPr="009F3F65" w:rsidR="003130C2" w:rsidP="003130C2" w:rsidRDefault="003130C2" w14:paraId="07EF99E5" w14:textId="77777777">
      <w:r>
        <w:t xml:space="preserve">Germany also has a node for the </w:t>
      </w:r>
      <w:r>
        <w:rPr>
          <w:b/>
        </w:rPr>
        <w:t>TEF-AI</w:t>
      </w:r>
      <w:r>
        <w:t xml:space="preserve"> in the Manufacturing, Testing and Experimentation, Facilities Network for European industries. The German node is located in Stuttgart and has four partner institutes: Fraunhofer IPA, Institute of Electrical Energy Conversion (IEW), Research Campus ARENA2036, and </w:t>
      </w:r>
      <w:r>
        <w:rPr>
          <w:i/>
        </w:rPr>
        <w:t>Physikalisch-Technische Bundesanstalt</w:t>
      </w:r>
      <w:r>
        <w:t xml:space="preserve"> (PTB)</w:t>
      </w:r>
      <w:r w:rsidRPr="009F3F65">
        <w:rPr>
          <w:rStyle w:val="FootnoteReference"/>
          <w:lang w:val="en-GB"/>
        </w:rPr>
        <w:footnoteReference w:id="12"/>
      </w:r>
      <w:r>
        <w:t>.</w:t>
      </w:r>
    </w:p>
    <w:p w:rsidRPr="009F3F65" w:rsidR="003130C2" w:rsidP="003130C2" w:rsidRDefault="003130C2" w14:paraId="0DEF95ED" w14:textId="77777777">
      <w:pPr>
        <w:rPr>
          <w:lang w:val="en-GB"/>
        </w:rPr>
      </w:pPr>
    </w:p>
    <w:p w:rsidRPr="009F3F65" w:rsidR="003130C2" w:rsidP="003130C2" w:rsidRDefault="003130C2" w14:paraId="3B574D43" w14:textId="77777777">
      <w:r>
        <w:t xml:space="preserve">As for </w:t>
      </w:r>
      <w:r>
        <w:rPr>
          <w:b/>
        </w:rPr>
        <w:t>TEF-agriculture</w:t>
      </w:r>
      <w:r>
        <w:t>, the German node provides means for testing, validating and certifying AI and robotic systems in agriculture, with a specific focus on innovation reaching farmers through the agricultural machinery they use</w:t>
      </w:r>
      <w:r w:rsidRPr="009F3F65">
        <w:rPr>
          <w:rStyle w:val="FootnoteReference"/>
          <w:lang w:val="en-GB"/>
        </w:rPr>
        <w:footnoteReference w:id="13"/>
      </w:r>
      <w:r>
        <w:t>.</w:t>
      </w:r>
    </w:p>
    <w:p w:rsidRPr="00B47B36" w:rsidR="003130C2" w:rsidP="003130C2" w:rsidRDefault="003130C2" w14:paraId="1F3BC49B" w14:textId="77777777">
      <w:pPr>
        <w:pStyle w:val="NoSpacing"/>
        <w:spacing w:line="300" w:lineRule="exact"/>
        <w:jc w:val="both"/>
        <w:rPr>
          <w:lang w:val="en-GB"/>
        </w:rPr>
      </w:pPr>
    </w:p>
    <w:p w:rsidRPr="009F3F65" w:rsidR="003130C2" w:rsidP="003130C2" w:rsidRDefault="003130C2" w14:paraId="52F229CD" w14:textId="77777777">
      <w:r>
        <w:t xml:space="preserve">Finally, as regards the Important Projects of Common European Interest (IPCEI), </w:t>
      </w:r>
      <w:r>
        <w:rPr>
          <w:u w:val="single"/>
        </w:rPr>
        <w:t>Germany is among the coordinating Member States for IPCEI-Microelectronics and the IPCEI Next Generation Cloud Infrastructure and Services</w:t>
      </w:r>
      <w:r w:rsidRPr="009F3F65">
        <w:rPr>
          <w:rStyle w:val="FootnoteReference"/>
          <w:lang w:val="en-GB"/>
        </w:rPr>
        <w:footnoteReference w:id="14"/>
      </w:r>
      <w:r>
        <w:t>. Germany is also part of the IPCEI- Hydrogen and Battery value chain.</w:t>
      </w:r>
    </w:p>
    <w:p w:rsidRPr="00B47B36" w:rsidR="003130C2" w:rsidP="003130C2" w:rsidRDefault="003130C2" w14:paraId="2F3A7FDB" w14:textId="77777777">
      <w:pPr>
        <w:pStyle w:val="NoSpacing"/>
        <w:spacing w:line="300" w:lineRule="exact"/>
        <w:jc w:val="both"/>
        <w:rPr>
          <w:lang w:val="en-GB"/>
        </w:rPr>
      </w:pPr>
    </w:p>
    <w:p w:rsidRPr="00B47B36" w:rsidR="003130C2" w:rsidP="003130C2" w:rsidRDefault="003130C2" w14:paraId="7247BAFD" w14:textId="77777777">
      <w:pPr>
        <w:pStyle w:val="NoSpacing"/>
        <w:spacing w:line="300" w:lineRule="exact"/>
        <w:jc w:val="both"/>
        <w:rPr>
          <w:b/>
          <w:bCs/>
          <w:u w:val="single"/>
        </w:rPr>
      </w:pPr>
      <w:r>
        <w:rPr>
          <w:b/>
          <w:u w:val="single"/>
        </w:rPr>
        <w:t>Specific Objective 3 – Cybersecurity and Trust</w:t>
      </w:r>
    </w:p>
    <w:p w:rsidRPr="00B47B36" w:rsidR="003130C2" w:rsidP="003130C2" w:rsidRDefault="003130C2" w14:paraId="44DD7239" w14:textId="77777777">
      <w:pPr>
        <w:pStyle w:val="NoSpacing"/>
        <w:spacing w:line="300" w:lineRule="exact"/>
        <w:jc w:val="both"/>
        <w:rPr>
          <w:lang w:val="en-GB"/>
        </w:rPr>
      </w:pPr>
    </w:p>
    <w:p w:rsidRPr="009F3F65" w:rsidR="003130C2" w:rsidP="003130C2" w:rsidRDefault="003130C2" w14:paraId="7E73C759" w14:textId="77777777">
      <w:r>
        <w:t>The Cybersecurity initiatives within the DEP prioritise the Cybersecurity Industrial, Technology, and Research Competence Centres (ECCC) and the Network of National Coordination Centres (NCCs) focused on cybersecurity research and innovation solutions</w:t>
      </w:r>
      <w:r w:rsidRPr="009F3F65">
        <w:rPr>
          <w:rStyle w:val="FootnoteReference"/>
          <w:lang w:val="en-GB"/>
        </w:rPr>
        <w:footnoteReference w:id="15"/>
      </w:r>
      <w:r>
        <w:t xml:space="preserve">. In Germany, </w:t>
      </w:r>
      <w:r>
        <w:rPr>
          <w:u w:val="single"/>
        </w:rPr>
        <w:t>the German National Coordination Centre for cybersecurity (NCC-DE) facilitates EU initiatives, fosters sectoral connections, and offers guidance on EU calls for tender</w:t>
      </w:r>
      <w:r>
        <w:t>. The NCC-DE is a joint platform for cooperation among different ministries coordinated by the Federal Ministry of the Interior</w:t>
      </w:r>
      <w:r w:rsidRPr="009F3F65">
        <w:rPr>
          <w:rStyle w:val="FootnoteReference"/>
          <w:lang w:val="en-GB"/>
        </w:rPr>
        <w:footnoteReference w:id="16"/>
      </w:r>
      <w:r>
        <w:t>.</w:t>
      </w:r>
    </w:p>
    <w:p w:rsidRPr="00B47B36" w:rsidR="003130C2" w:rsidP="003130C2" w:rsidRDefault="003130C2" w14:paraId="3AB3AEF2" w14:textId="77777777">
      <w:pPr>
        <w:pStyle w:val="NoSpacing"/>
        <w:spacing w:line="300" w:lineRule="exact"/>
        <w:jc w:val="both"/>
        <w:rPr>
          <w:lang w:val="en-GB"/>
        </w:rPr>
      </w:pPr>
    </w:p>
    <w:p w:rsidRPr="009F3F65" w:rsidR="003130C2" w:rsidP="003130C2" w:rsidRDefault="003130C2" w14:paraId="1A4B5F72" w14:textId="77777777">
      <w:r>
        <w:t xml:space="preserve">Objective 3 also includes the establishment of </w:t>
      </w:r>
      <w:r>
        <w:rPr>
          <w:b/>
        </w:rPr>
        <w:t>secure quantum communication infrastructure</w:t>
      </w:r>
      <w:r>
        <w:t xml:space="preserve"> for the EU (EuroQCI), to which Germany and other Member States have committed. In Germany, the national EuroQCI initiative is led by the QuNET Initiative, focusing on integrating quantum key distribution (QKD) into existing information and communication technology (ICT) systems</w:t>
      </w:r>
      <w:r w:rsidRPr="009F3F65">
        <w:rPr>
          <w:rStyle w:val="FootnoteReference"/>
          <w:lang w:val="en-GB"/>
        </w:rPr>
        <w:footnoteReference w:id="17"/>
      </w:r>
      <w:r>
        <w:t>.</w:t>
      </w:r>
    </w:p>
    <w:p w:rsidRPr="009F3F65" w:rsidR="003130C2" w:rsidP="003130C2" w:rsidRDefault="003130C2" w14:paraId="5899509C" w14:textId="77777777">
      <w:pPr>
        <w:rPr>
          <w:lang w:val="en-GB"/>
        </w:rPr>
      </w:pPr>
    </w:p>
    <w:p w:rsidRPr="009F3F65" w:rsidR="003130C2" w:rsidP="003130C2" w:rsidRDefault="003130C2" w14:paraId="0CB6535B" w14:textId="77777777">
      <w:r>
        <w:t xml:space="preserve">Finally, the Cybersecurity 2023-2024 work programme includes joint actions to </w:t>
      </w:r>
      <w:r>
        <w:rPr>
          <w:b/>
        </w:rPr>
        <w:t>create an advanced threat detection and cyber incident analysis ecosystem by building the capacities</w:t>
      </w:r>
      <w:r>
        <w:t xml:space="preserve"> of Security Operation Centres (SOCs), National SOCs and Cross-Border SOC platforms</w:t>
      </w:r>
      <w:r w:rsidRPr="009F3F65">
        <w:rPr>
          <w:rStyle w:val="FootnoteReference"/>
          <w:lang w:val="en-GB"/>
        </w:rPr>
        <w:footnoteReference w:id="18"/>
      </w:r>
      <w:r>
        <w:t>. In 2021, Germany opened its first European Security Operations Centre (SOC) in Frankfurt, with the support of Arctic Wolf, a security operations platform.</w:t>
      </w:r>
    </w:p>
    <w:p w:rsidRPr="00B47B36" w:rsidR="003130C2" w:rsidP="003130C2" w:rsidRDefault="003130C2" w14:paraId="49A88600" w14:textId="77777777">
      <w:pPr>
        <w:pStyle w:val="NoSpacing"/>
        <w:spacing w:line="300" w:lineRule="exact"/>
        <w:jc w:val="both"/>
        <w:rPr>
          <w:lang w:val="en-GB"/>
        </w:rPr>
      </w:pPr>
    </w:p>
    <w:p w:rsidRPr="00B47B36" w:rsidR="003130C2" w:rsidP="003130C2" w:rsidRDefault="003130C2" w14:paraId="612993D3" w14:textId="77777777">
      <w:pPr>
        <w:pStyle w:val="NoSpacing"/>
        <w:spacing w:line="300" w:lineRule="exact"/>
        <w:jc w:val="both"/>
        <w:rPr>
          <w:b/>
          <w:bCs/>
          <w:u w:val="single"/>
        </w:rPr>
      </w:pPr>
      <w:r>
        <w:rPr>
          <w:b/>
          <w:u w:val="single"/>
        </w:rPr>
        <w:t>Specific Objective 4 – Advanced Digital Skills</w:t>
      </w:r>
    </w:p>
    <w:p w:rsidRPr="00B47B36" w:rsidR="003130C2" w:rsidP="003130C2" w:rsidRDefault="003130C2" w14:paraId="13190017" w14:textId="77777777">
      <w:pPr>
        <w:pStyle w:val="NoSpacing"/>
        <w:spacing w:line="300" w:lineRule="exact"/>
        <w:jc w:val="both"/>
        <w:rPr>
          <w:lang w:val="en-GB"/>
        </w:rPr>
      </w:pPr>
    </w:p>
    <w:p w:rsidRPr="009F3F65" w:rsidR="003130C2" w:rsidP="003130C2" w:rsidRDefault="003130C2" w14:paraId="41251E30" w14:textId="77777777">
      <w:r>
        <w:t xml:space="preserve">Strategic Objective 4 focuses on </w:t>
      </w:r>
      <w:r>
        <w:rPr>
          <w:b/>
        </w:rPr>
        <w:t>bolstering the excellence of EU education and training institutions in digital domains</w:t>
      </w:r>
      <w:r>
        <w:t>. This is achieved by fostering collaboration with research and businesses, offering education and training opportunities for future experts in key areas such as data, ethical AI, cybersecurity, quantum computing, and High Performance Computing (HPC). Moreover, it is aimed at reskilling and upskilling the existing workforce through short-term training programmes</w:t>
      </w:r>
      <w:r w:rsidRPr="009F3F65">
        <w:rPr>
          <w:rStyle w:val="FootnoteReference"/>
          <w:lang w:val="en-GB"/>
        </w:rPr>
        <w:footnoteReference w:id="19"/>
      </w:r>
      <w:r>
        <w:t>.</w:t>
      </w:r>
    </w:p>
    <w:p w:rsidRPr="00B47B36" w:rsidR="003130C2" w:rsidP="003130C2" w:rsidRDefault="003130C2" w14:paraId="4803FB3E" w14:textId="77777777">
      <w:pPr>
        <w:pStyle w:val="NoSpacing"/>
        <w:spacing w:line="300" w:lineRule="exact"/>
        <w:jc w:val="both"/>
        <w:rPr>
          <w:lang w:val="en-GB"/>
        </w:rPr>
      </w:pPr>
    </w:p>
    <w:p w:rsidRPr="009F3F65" w:rsidR="003130C2" w:rsidP="003130C2" w:rsidRDefault="003130C2" w14:paraId="5BCA5143" w14:textId="77777777">
      <w:r>
        <w:t xml:space="preserve">Regarding Germany, the JRC report on the Academic Offer of Advanced Digital Skills in 2020-21 revealed that the country was a </w:t>
      </w:r>
      <w:r>
        <w:rPr>
          <w:b/>
        </w:rPr>
        <w:t>leader in Europe in terms of offering master’s programmes in the field of digital skills</w:t>
      </w:r>
      <w:r>
        <w:t>. Germany provided 103 master’s in AI, 37 High Performance Computing master’s, 121 master’s in Data Science (second only to the Netherlands in Europe), and 55 Cybersecurity master’s, leading the EU ranking and offering 14% of the total number of EU master’s in Cybersecurity</w:t>
      </w:r>
      <w:r w:rsidRPr="009F3F65">
        <w:rPr>
          <w:rStyle w:val="FootnoteReference"/>
          <w:lang w:val="en-GB"/>
        </w:rPr>
        <w:footnoteReference w:id="20"/>
      </w:r>
      <w:r>
        <w:t>. Furthermore, Germany ranked 13</w:t>
      </w:r>
      <w:r>
        <w:rPr>
          <w:vertAlign w:val="superscript"/>
        </w:rPr>
        <w:t>th</w:t>
      </w:r>
      <w:r>
        <w:t xml:space="preserve"> out of 27 EU Member States in the 2022 Digital Economy and Society Index (DESI), indicating a strong overall performance in line with the European average.</w:t>
      </w:r>
    </w:p>
    <w:p w:rsidRPr="009F3F65" w:rsidR="003130C2" w:rsidP="003130C2" w:rsidRDefault="003130C2" w14:paraId="7B9C6C13" w14:textId="77777777">
      <w:pPr>
        <w:rPr>
          <w:lang w:val="en-GB"/>
        </w:rPr>
      </w:pPr>
    </w:p>
    <w:p w:rsidRPr="00B47B36" w:rsidR="003130C2" w:rsidP="003130C2" w:rsidRDefault="003130C2" w14:paraId="3AEB14F5" w14:textId="77777777">
      <w:pPr>
        <w:pStyle w:val="NoSpacing"/>
        <w:spacing w:line="300" w:lineRule="exact"/>
        <w:rPr>
          <w:b/>
          <w:bCs/>
          <w:u w:val="single"/>
        </w:rPr>
      </w:pPr>
      <w:r>
        <w:rPr>
          <w:b/>
          <w:u w:val="single"/>
        </w:rPr>
        <w:t>Specific Objective 5 – Deployment and Best Use of Digital Capacity and Interoperability</w:t>
      </w:r>
    </w:p>
    <w:p w:rsidRPr="00B47B36" w:rsidR="003130C2" w:rsidP="003130C2" w:rsidRDefault="003130C2" w14:paraId="678FBED0" w14:textId="77777777">
      <w:pPr>
        <w:pStyle w:val="NoSpacing"/>
        <w:spacing w:line="300" w:lineRule="exact"/>
        <w:rPr>
          <w:lang w:val="en-GB"/>
        </w:rPr>
      </w:pPr>
    </w:p>
    <w:p w:rsidRPr="009F3F65" w:rsidR="003130C2" w:rsidP="003130C2" w:rsidRDefault="003130C2" w14:paraId="10981A2A" w14:textId="77777777">
      <w:r>
        <w:t>Objective 5 focuses on the Deployment and Best Use of Digital Capacity and Interoperability, concentrating on priority areas such as supporting the Green Deal and assisting SMEs and public authorities in their digital transformation</w:t>
      </w:r>
      <w:r w:rsidRPr="009F3F65">
        <w:rPr>
          <w:rStyle w:val="FootnoteReference"/>
          <w:u w:val="single"/>
          <w:lang w:val="en-GB"/>
        </w:rPr>
        <w:footnoteReference w:id="21"/>
      </w:r>
      <w:r>
        <w:t>. This is achieved through initiatives such as the European Blockchain Services Infrastructure (EBSI), the European Digital Government EcoSystem for transforming public administrations digitally, the GovTech incubator to facilitate cross-border collaboration among digitalisation agencies, and European Digital Innovation Hubs</w:t>
      </w:r>
      <w:r w:rsidRPr="009F3F65">
        <w:rPr>
          <w:rStyle w:val="FootnoteReference"/>
          <w:lang w:val="en-GB"/>
        </w:rPr>
        <w:footnoteReference w:id="22"/>
      </w:r>
      <w:r>
        <w:t>.</w:t>
      </w:r>
    </w:p>
    <w:p w:rsidRPr="009F3F65" w:rsidR="003130C2" w:rsidP="003130C2" w:rsidRDefault="003130C2" w14:paraId="3630869D" w14:textId="77777777">
      <w:pPr>
        <w:rPr>
          <w:lang w:val="en-GB"/>
        </w:rPr>
      </w:pPr>
    </w:p>
    <w:p w:rsidRPr="009F3F65" w:rsidR="003130C2" w:rsidP="003130C2" w:rsidRDefault="003130C2" w14:paraId="7EA90834" w14:textId="77777777">
      <w:r>
        <w:t xml:space="preserve">In Germany, there are </w:t>
      </w:r>
      <w:r>
        <w:rPr>
          <w:b/>
        </w:rPr>
        <w:t>for the moment 6 GovTech initiatives</w:t>
      </w:r>
      <w:r w:rsidRPr="009F3F65">
        <w:rPr>
          <w:rStyle w:val="FootnoteReference"/>
          <w:lang w:val="en-GB"/>
        </w:rPr>
        <w:footnoteReference w:id="23"/>
      </w:r>
      <w:r>
        <w:t>. In June 2021, the GovTech Campus was established as a non-profit association by the federal government, two federal states, and several organisations working together. The aim was to establish a physical and virtual platform fostering connection and collaboration between public administration and the GovTech community.</w:t>
      </w:r>
    </w:p>
    <w:p w:rsidRPr="009F3F65" w:rsidR="003130C2" w:rsidP="003130C2" w:rsidRDefault="003130C2" w14:paraId="35ACA48F" w14:textId="77777777">
      <w:pPr>
        <w:rPr>
          <w:lang w:val="en-GB"/>
        </w:rPr>
      </w:pPr>
    </w:p>
    <w:p w:rsidRPr="009F3F65" w:rsidR="003130C2" w:rsidP="003130C2" w:rsidRDefault="003130C2" w14:paraId="3B31CA8E" w14:textId="77777777">
      <w:r>
        <w:t xml:space="preserve">Germany also </w:t>
      </w:r>
      <w:r>
        <w:rPr>
          <w:b/>
        </w:rPr>
        <w:t>hosts 16 European digital innovation hubs</w:t>
      </w:r>
      <w:r>
        <w:t>, funded through the Digital Europe Programme. They all focus on SMEs, digitalisation and sustainability. Germany also has 12 independent digital hubs</w:t>
      </w:r>
      <w:r w:rsidRPr="009F3F65">
        <w:rPr>
          <w:rStyle w:val="FootnoteReference"/>
          <w:lang w:val="en-GB"/>
        </w:rPr>
        <w:footnoteReference w:id="24"/>
      </w:r>
      <w:r>
        <w:t>.</w:t>
      </w:r>
    </w:p>
    <w:p w:rsidRPr="00B47B36" w:rsidR="003130C2" w:rsidP="003130C2" w:rsidRDefault="003130C2" w14:paraId="003483CE" w14:textId="77777777">
      <w:pPr>
        <w:pStyle w:val="NoSpacing"/>
        <w:spacing w:line="300" w:lineRule="exact"/>
        <w:jc w:val="both"/>
        <w:rPr>
          <w:lang w:val="en-GB"/>
        </w:rPr>
      </w:pPr>
    </w:p>
    <w:p w:rsidRPr="009F3F65" w:rsidR="003130C2" w:rsidP="003130C2" w:rsidRDefault="003130C2" w14:paraId="79B11D9F" w14:textId="77777777">
      <w:r>
        <w:t xml:space="preserve">Finally, in terms of </w:t>
      </w:r>
      <w:r>
        <w:rPr>
          <w:b/>
        </w:rPr>
        <w:t>digital public service rankings</w:t>
      </w:r>
      <w:r>
        <w:t>, Germany is placed 18</w:t>
      </w:r>
      <w:r>
        <w:rPr>
          <w:vertAlign w:val="superscript"/>
        </w:rPr>
        <w:t>th</w:t>
      </w:r>
      <w:r>
        <w:t xml:space="preserve"> in the DESI 2022 report, indicating an underperformance compared to other factors in this area despite various initiatives from the federal government to speed up digitalisation in public services. The proportion of internet users </w:t>
      </w:r>
      <w:r>
        <w:lastRenderedPageBreak/>
        <w:t>making use of e-government services stood at 55%, placing Germany 24</w:t>
      </w:r>
      <w:r>
        <w:rPr>
          <w:vertAlign w:val="superscript"/>
        </w:rPr>
        <w:t>th</w:t>
      </w:r>
      <w:r>
        <w:t>, behind most EU Member States</w:t>
      </w:r>
      <w:r w:rsidRPr="009F3F65">
        <w:rPr>
          <w:rStyle w:val="FootnoteReference"/>
          <w:lang w:val="en-GB"/>
        </w:rPr>
        <w:footnoteReference w:id="25"/>
      </w:r>
      <w:r>
        <w:t>.</w:t>
      </w:r>
    </w:p>
    <w:p w:rsidRPr="009F3F65" w:rsidR="003130C2" w:rsidP="003130C2" w:rsidRDefault="003130C2" w14:paraId="1ACA47EA" w14:textId="77777777">
      <w:pPr>
        <w:rPr>
          <w:b/>
          <w:bCs/>
          <w:u w:val="single"/>
          <w:lang w:val="en-GB"/>
        </w:rPr>
      </w:pPr>
    </w:p>
    <w:p w:rsidRPr="009F3F65" w:rsidR="003130C2" w:rsidP="003130C2" w:rsidRDefault="003130C2" w14:paraId="5D359421" w14:textId="77777777">
      <w:pPr>
        <w:rPr>
          <w:b/>
          <w:bCs/>
          <w:u w:val="single"/>
          <w:lang w:val="en-GB"/>
        </w:rPr>
      </w:pPr>
    </w:p>
    <w:p w:rsidRPr="009F3F65" w:rsidR="003130C2" w:rsidP="003130C2" w:rsidRDefault="003130C2" w14:paraId="6B8091B3" w14:textId="77777777">
      <w:pPr>
        <w:rPr>
          <w:b/>
          <w:bCs/>
          <w:u w:val="single"/>
          <w:lang w:val="en-GB"/>
        </w:rPr>
      </w:pPr>
    </w:p>
    <w:p w:rsidRPr="009F3F65" w:rsidR="003130C2" w:rsidP="003130C2" w:rsidRDefault="003130C2" w14:paraId="3E626674" w14:textId="77777777">
      <w:pPr>
        <w:rPr>
          <w:b/>
          <w:bCs/>
          <w:u w:val="single"/>
          <w:lang w:val="en-GB"/>
        </w:rPr>
      </w:pPr>
    </w:p>
    <w:p w:rsidRPr="009F3F65" w:rsidR="003130C2" w:rsidP="003130C2" w:rsidRDefault="003130C2" w14:paraId="600155AB" w14:textId="77777777">
      <w:pPr>
        <w:rPr>
          <w:b/>
          <w:bCs/>
          <w:u w:val="single"/>
          <w:lang w:val="en-GB"/>
        </w:rPr>
      </w:pPr>
    </w:p>
    <w:p w:rsidRPr="00B47B36" w:rsidR="003130C2" w:rsidP="003130C2" w:rsidRDefault="003130C2" w14:paraId="2E405FAF" w14:textId="77777777">
      <w:pPr>
        <w:pStyle w:val="NoSpacing"/>
        <w:numPr>
          <w:ilvl w:val="0"/>
          <w:numId w:val="6"/>
        </w:numPr>
        <w:spacing w:line="300" w:lineRule="exact"/>
        <w:jc w:val="both"/>
        <w:rPr>
          <w:b/>
          <w:bCs/>
          <w:u w:val="single"/>
        </w:rPr>
      </w:pPr>
      <w:r>
        <w:rPr>
          <w:b/>
          <w:u w:val="single"/>
        </w:rPr>
        <w:t>Malta</w:t>
      </w:r>
    </w:p>
    <w:p w:rsidRPr="00B47B36" w:rsidR="003130C2" w:rsidP="003130C2" w:rsidRDefault="003130C2" w14:paraId="76A378E3" w14:textId="77777777">
      <w:pPr>
        <w:pStyle w:val="NoSpacing"/>
        <w:spacing w:line="300" w:lineRule="exact"/>
        <w:jc w:val="both"/>
        <w:rPr>
          <w:b/>
          <w:bCs/>
          <w:u w:val="single"/>
          <w:lang w:val="en-GB"/>
        </w:rPr>
      </w:pPr>
    </w:p>
    <w:p w:rsidRPr="009F3F65" w:rsidR="003130C2" w:rsidP="003130C2" w:rsidRDefault="003130C2" w14:paraId="7861A522" w14:textId="77777777">
      <w:r>
        <w:t>Malta takes part in the Digital Europe Programme, supporting various digital transformation projects across the European Union. The country hosts three major initiatives funded by the programme: the creation of a Digital Innovation Hub (</w:t>
      </w:r>
      <w:r>
        <w:rPr>
          <w:b/>
        </w:rPr>
        <w:t>DiHubMT)</w:t>
      </w:r>
      <w:r>
        <w:t xml:space="preserve"> as part of the network of EDIHs, led by the Malta Digital Innovation Authority and described in more detail under Specific Objective 5, the establishment of a National Coordination Centre of Cybersecurity, and the deployment of advanced national quantum communication infrastructure systems and networks, which is managed by universities and the private sector.</w:t>
      </w:r>
    </w:p>
    <w:p w:rsidRPr="00B47B36" w:rsidR="003130C2" w:rsidP="003130C2" w:rsidRDefault="003130C2" w14:paraId="5508EF2E" w14:textId="77777777">
      <w:pPr>
        <w:pStyle w:val="paragraph"/>
        <w:spacing w:before="0" w:beforeAutospacing="0" w:after="0" w:afterAutospacing="0"/>
        <w:jc w:val="both"/>
        <w:textAlignment w:val="baseline"/>
        <w:rPr>
          <w:sz w:val="22"/>
          <w:szCs w:val="22"/>
          <w:lang w:val="en-GB"/>
        </w:rPr>
      </w:pPr>
    </w:p>
    <w:p w:rsidRPr="00B47B36" w:rsidR="003130C2" w:rsidP="003130C2" w:rsidRDefault="003130C2" w14:paraId="52CC8BDB" w14:textId="77777777">
      <w:pPr>
        <w:pStyle w:val="paragraph"/>
        <w:spacing w:before="0" w:beforeAutospacing="0" w:after="0" w:afterAutospacing="0"/>
        <w:jc w:val="both"/>
        <w:textAlignment w:val="baseline"/>
        <w:rPr>
          <w:rFonts w:eastAsiaTheme="majorEastAsia"/>
          <w:b/>
          <w:bCs/>
          <w:sz w:val="22"/>
          <w:szCs w:val="22"/>
          <w:u w:val="single"/>
        </w:rPr>
      </w:pPr>
      <w:r>
        <w:rPr>
          <w:b/>
          <w:sz w:val="22"/>
          <w:u w:val="single"/>
        </w:rPr>
        <w:t>Specific Objective 1 – High Performance Computing </w:t>
      </w:r>
    </w:p>
    <w:p w:rsidRPr="00B47B36" w:rsidR="003130C2" w:rsidP="003130C2" w:rsidRDefault="003130C2" w14:paraId="0C1E29BA"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7C337DE3" w14:textId="77777777">
      <w:r>
        <w:rPr>
          <w:color w:val="000000" w:themeColor="text1"/>
        </w:rPr>
        <w:t>The DiHubMT recently launched a call for tender to establish a high-performing computer with 15 petaflops within the hub. In connection with this, Malta also joined the European High Performance Computing Joint Undertaking (EuroHPC JU), a joint initiative between the EU, European countries, and private partners that pools resources to develop a world-class supercomputing ecosystem in Europe</w:t>
      </w:r>
      <w:r w:rsidRPr="009F3F65">
        <w:rPr>
          <w:rStyle w:val="FootnoteReference"/>
          <w:color w:val="000000" w:themeColor="text1"/>
          <w:lang w:val="en-GB"/>
        </w:rPr>
        <w:footnoteReference w:id="26"/>
      </w:r>
      <w:r>
        <w:rPr>
          <w:color w:val="000000" w:themeColor="text1"/>
        </w:rPr>
        <w:t>.</w:t>
      </w:r>
    </w:p>
    <w:p w:rsidRPr="009F3F65" w:rsidR="003130C2" w:rsidP="003130C2" w:rsidRDefault="003130C2" w14:paraId="5E716BF1" w14:textId="77777777">
      <w:pPr>
        <w:rPr>
          <w:lang w:val="en-GB"/>
        </w:rPr>
      </w:pPr>
    </w:p>
    <w:p w:rsidRPr="009F3F65" w:rsidR="003130C2" w:rsidP="003130C2" w:rsidRDefault="003130C2" w14:paraId="4046EDC5" w14:textId="77777777">
      <w:pPr>
        <w:rPr>
          <w:b/>
          <w:bCs/>
          <w:u w:val="single"/>
          <w:shd w:val="clear" w:color="auto" w:fill="FFFFFF"/>
        </w:rPr>
      </w:pPr>
      <w:r>
        <w:rPr>
          <w:b/>
          <w:u w:val="single"/>
          <w:shd w:val="clear" w:color="auto" w:fill="FFFFFF"/>
        </w:rPr>
        <w:t>Specific Objective 2 – Artificial Intelligence </w:t>
      </w:r>
    </w:p>
    <w:p w:rsidRPr="009F3F65" w:rsidR="003130C2" w:rsidP="003130C2" w:rsidRDefault="003130C2" w14:paraId="7C1C63A6" w14:textId="77777777">
      <w:pPr>
        <w:rPr>
          <w:shd w:val="clear" w:color="auto" w:fill="FFFFFF"/>
          <w:lang w:val="en-GB"/>
        </w:rPr>
      </w:pPr>
    </w:p>
    <w:p w:rsidRPr="00B47B36" w:rsidR="003130C2" w:rsidP="003130C2" w:rsidRDefault="003130C2" w14:paraId="6827C346" w14:textId="77777777">
      <w:pPr>
        <w:pStyle w:val="NoSpacing"/>
        <w:rPr>
          <w:rFonts w:eastAsiaTheme="majorEastAsia"/>
        </w:rPr>
      </w:pPr>
      <w:r>
        <w:t>Among the main projects financed under objective 2 in Malta are the following: </w:t>
      </w:r>
    </w:p>
    <w:p w:rsidRPr="00B47B36" w:rsidR="003130C2" w:rsidP="003130C2" w:rsidRDefault="003130C2" w14:paraId="587B4AE4" w14:textId="77777777">
      <w:pPr>
        <w:pStyle w:val="NoSpacing"/>
        <w:numPr>
          <w:ilvl w:val="0"/>
          <w:numId w:val="14"/>
        </w:numPr>
        <w:rPr>
          <w:rFonts w:eastAsiaTheme="majorEastAsia"/>
        </w:rPr>
      </w:pPr>
      <w:r>
        <w:t>The</w:t>
      </w:r>
      <w:r>
        <w:rPr>
          <w:b/>
        </w:rPr>
        <w:t xml:space="preserve"> AI sectorial Testing and Experimentation Facilities (TEFs),</w:t>
      </w:r>
      <w:r>
        <w:t xml:space="preserve"> large-scale reference sites to test and experiment with AI solutions;</w:t>
      </w:r>
    </w:p>
    <w:p w:rsidRPr="00B47B36" w:rsidR="003130C2" w:rsidP="003130C2" w:rsidRDefault="003130C2" w14:paraId="0CF4ED57" w14:textId="77777777">
      <w:pPr>
        <w:pStyle w:val="NoSpacing"/>
        <w:numPr>
          <w:ilvl w:val="0"/>
          <w:numId w:val="14"/>
        </w:numPr>
        <w:rPr>
          <w:rFonts w:eastAsiaTheme="majorEastAsia"/>
        </w:rPr>
      </w:pPr>
      <w:r>
        <w:t xml:space="preserve">The </w:t>
      </w:r>
      <w:r>
        <w:rPr>
          <w:b/>
        </w:rPr>
        <w:t>Important Projects of Common European Interest (IPCEI</w:t>
      </w:r>
      <w:r>
        <w:t>) to promote collaboration among Member States in cutting-edge microelectronics and communication projects; </w:t>
      </w:r>
    </w:p>
    <w:p w:rsidRPr="00B47B36" w:rsidR="003130C2" w:rsidP="003130C2" w:rsidRDefault="003130C2" w14:paraId="2B41D449" w14:textId="77777777">
      <w:pPr>
        <w:pStyle w:val="NoSpacing"/>
        <w:numPr>
          <w:ilvl w:val="0"/>
          <w:numId w:val="14"/>
        </w:numPr>
        <w:rPr>
          <w:rFonts w:cs="Times New Roman" w:eastAsiaTheme="majorEastAsia"/>
        </w:r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B47B36">
        <w:rPr>
          <w:rStyle w:val="FootnoteReference"/>
          <w:rFonts w:eastAsiaTheme="majorEastAsia"/>
          <w:lang w:val="en-GB"/>
        </w:rPr>
        <w:footnoteReference w:id="27"/>
      </w:r>
      <w:r>
        <w:t>.</w:t>
      </w:r>
    </w:p>
    <w:p w:rsidRPr="00B47B36" w:rsidR="003130C2" w:rsidP="003130C2" w:rsidRDefault="003130C2" w14:paraId="1779B868"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33A436FD" w14:textId="77777777">
      <w:pPr>
        <w:pStyle w:val="Footer"/>
        <w:rPr>
          <w:rFonts w:eastAsiaTheme="majorEastAsia"/>
          <w:b/>
          <w:bCs/>
          <w:u w:val="single"/>
        </w:rPr>
      </w:pPr>
      <w:r>
        <w:rPr>
          <w:b/>
          <w:u w:val="single"/>
        </w:rPr>
        <w:t>Specific Objective 3 – Cybersecurity and Trust </w:t>
      </w:r>
    </w:p>
    <w:p w:rsidRPr="009F3F65" w:rsidR="003130C2" w:rsidP="003130C2" w:rsidRDefault="003130C2" w14:paraId="3DDE4D25" w14:textId="77777777">
      <w:pPr>
        <w:pStyle w:val="Footer"/>
        <w:rPr>
          <w:lang w:val="en-GB"/>
        </w:rPr>
      </w:pPr>
    </w:p>
    <w:p w:rsidRPr="009F3F65" w:rsidR="003130C2" w:rsidP="003130C2" w:rsidRDefault="003130C2" w14:paraId="144257FD" w14:textId="77777777">
      <w:r>
        <w:rPr>
          <w:b/>
        </w:rPr>
        <w:t>The Malta Information Technology Agency (MITA)</w:t>
      </w:r>
      <w:r>
        <w:t xml:space="preserve"> serves as the National Coordination Centre within Malta, playing a pivotal role in the nation’s cybersecurity and digital infrastructure landscape. A specialised team, </w:t>
      </w:r>
      <w:r>
        <w:rPr>
          <w:b/>
        </w:rPr>
        <w:t>the Information Security and Governance Department (ISGD)</w:t>
      </w:r>
      <w:r>
        <w:t xml:space="preserve">, operates within MITA, focusing on the strategic oversight of cybersecurity measures. MITA is the primary public entity tasked with developing and implementing cybersecurity strategies, as well as providing ICT </w:t>
      </w:r>
      <w:r>
        <w:lastRenderedPageBreak/>
        <w:t>infrastructure, systems, and services. These efforts support the government’s broader digital strategies, which are crucial for fostering a modern digital economy</w:t>
      </w:r>
      <w:r w:rsidRPr="009F3F65">
        <w:rPr>
          <w:rStyle w:val="FootnoteReference"/>
          <w:lang w:val="en-GB"/>
        </w:rPr>
        <w:footnoteReference w:id="28"/>
      </w:r>
      <w:r>
        <w:t>.</w:t>
      </w:r>
    </w:p>
    <w:p w:rsidRPr="009F3F65" w:rsidR="003130C2" w:rsidP="003130C2" w:rsidRDefault="003130C2" w14:paraId="50364CB1" w14:textId="77777777">
      <w:pPr>
        <w:pStyle w:val="Footer"/>
        <w:rPr>
          <w:rFonts w:eastAsiaTheme="majorEastAsia"/>
          <w:color w:val="2F5496"/>
          <w:lang w:val="en-GB"/>
        </w:rPr>
      </w:pPr>
    </w:p>
    <w:p w:rsidRPr="009F3F65" w:rsidR="003130C2" w:rsidP="003130C2" w:rsidRDefault="003130C2" w14:paraId="4E28FC97" w14:textId="77777777">
      <w:pPr>
        <w:pStyle w:val="Footer"/>
        <w:rPr>
          <w:rFonts w:eastAsiaTheme="majorEastAsia"/>
          <w:b/>
          <w:bCs/>
          <w:u w:val="single"/>
        </w:rPr>
      </w:pPr>
      <w:r>
        <w:rPr>
          <w:b/>
          <w:u w:val="single"/>
        </w:rPr>
        <w:t>Specific Objective 4 – Advanced Digital Skills </w:t>
      </w:r>
    </w:p>
    <w:p w:rsidRPr="009F3F65" w:rsidR="003130C2" w:rsidP="003130C2" w:rsidRDefault="003130C2" w14:paraId="156F01FA" w14:textId="77777777">
      <w:pPr>
        <w:pStyle w:val="Footer"/>
        <w:rPr>
          <w:lang w:val="en-GB"/>
        </w:rPr>
      </w:pPr>
    </w:p>
    <w:p w:rsidRPr="009F3F65" w:rsidR="003130C2" w:rsidP="003130C2" w:rsidRDefault="003130C2" w14:paraId="5EAB947B" w14:textId="77777777">
      <w:pPr>
        <w:rPr>
          <w:rFonts w:eastAsiaTheme="majorEastAsia"/>
        </w:rPr>
      </w:pPr>
      <w:r>
        <w:rPr>
          <w:b/>
        </w:rPr>
        <w:t>In the 2022 Digital Economy and Society Index (DESI),</w:t>
      </w:r>
      <w:r>
        <w:t xml:space="preserve"> Malta demonstrates a performance that consistently exceeds the EU average across several key dimensions, including overall DESI scores, human capital, integration of digital technology, and digital public services. However, Malta’s performance in connectivity is below the EU average. Furthermore, Malta ranked 6</w:t>
      </w:r>
      <w:r>
        <w:rPr>
          <w:vertAlign w:val="superscript"/>
        </w:rPr>
        <w:t>th</w:t>
      </w:r>
      <w:r>
        <w:t xml:space="preserve"> out of 27 EU Member States in the 2022 Digital Economy and Society Index (DESI), indicating an exceptionally strong overall performance, well above the European average.</w:t>
      </w:r>
    </w:p>
    <w:p w:rsidRPr="009F3F65" w:rsidR="003130C2" w:rsidP="003130C2" w:rsidRDefault="003130C2" w14:paraId="776C2984" w14:textId="77777777">
      <w:pPr>
        <w:rPr>
          <w:lang w:val="en-GB"/>
        </w:rPr>
      </w:pPr>
    </w:p>
    <w:p w:rsidRPr="009F3F65" w:rsidR="003130C2" w:rsidP="003130C2" w:rsidRDefault="003130C2" w14:paraId="0B81B04E" w14:textId="77777777">
      <w:pPr>
        <w:rPr>
          <w:b/>
          <w:bCs/>
          <w:u w:val="single"/>
        </w:rPr>
      </w:pPr>
      <w:r>
        <w:t xml:space="preserve">Malta reveals strong human capital indicators </w:t>
      </w:r>
      <w:r>
        <w:rPr>
          <w:b/>
        </w:rPr>
        <w:t>in the 2022 Digital Economy and Society Index (DESI)</w:t>
      </w:r>
      <w:r>
        <w:t>, outperforming the EU average in several key areas. The country boasts a 61% rate in basic digital skills among individuals, significantly higher than the EU’s 54% average. Advanced digital skills are also more prevalent in Malta, with 35% of individuals skilled beyond basic levels, compared to 26% in the EU. Malta’s ICT specialist workforce stands at 4.9%, slightly above the EU average of 4.5%. However, female ICT specialists in Malta represent 11% of the workforce, which is below the EU average of 19%. Overall, Malta demonstrates a strong commitment to developing digital skills, reflected positively in its educational and workforce training initiatives.</w:t>
      </w:r>
    </w:p>
    <w:p w:rsidRPr="00B47B36" w:rsidR="003130C2" w:rsidP="003130C2" w:rsidRDefault="003130C2" w14:paraId="095563DA" w14:textId="77777777">
      <w:pPr>
        <w:pStyle w:val="NoSpacing"/>
        <w:spacing w:line="300" w:lineRule="exact"/>
        <w:jc w:val="both"/>
        <w:rPr>
          <w:lang w:val="en-GB"/>
        </w:rPr>
      </w:pPr>
    </w:p>
    <w:p w:rsidRPr="00B47B36" w:rsidR="003130C2" w:rsidP="003130C2" w:rsidRDefault="003130C2" w14:paraId="2BE4488F" w14:textId="77777777">
      <w:pPr>
        <w:pStyle w:val="paragraph"/>
        <w:spacing w:before="0" w:beforeAutospacing="0" w:after="0" w:afterAutospacing="0"/>
        <w:jc w:val="both"/>
        <w:textAlignment w:val="baseline"/>
        <w:rPr>
          <w:rFonts w:eastAsiaTheme="majorEastAsia"/>
          <w:b/>
          <w:bCs/>
          <w:sz w:val="22"/>
          <w:szCs w:val="22"/>
          <w:u w:val="single"/>
        </w:rPr>
      </w:pPr>
      <w:r>
        <w:rPr>
          <w:b/>
          <w:sz w:val="22"/>
          <w:u w:val="single"/>
        </w:rPr>
        <w:t>Specific Objective 5 – Deployment and Best Use of Digital Capacity and Interoperability </w:t>
      </w:r>
    </w:p>
    <w:p w:rsidRPr="00B47B36" w:rsidR="003130C2" w:rsidP="003130C2" w:rsidRDefault="003130C2" w14:paraId="6FC06FC9"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448D6A0E" w14:textId="77777777">
      <w:r>
        <w:t xml:space="preserve">As previously stated, the only project hosted by Malta under the Digital Europe Programme is an innovation hub named </w:t>
      </w:r>
      <w:r>
        <w:rPr>
          <w:b/>
        </w:rPr>
        <w:t>DiHubMT</w:t>
      </w:r>
      <w:r>
        <w:t xml:space="preserve">. Led by </w:t>
      </w:r>
      <w:r>
        <w:rPr>
          <w:b/>
        </w:rPr>
        <w:t>the Malta Digital Innovation Authority</w:t>
      </w:r>
      <w:r>
        <w:t xml:space="preserve">, DiHubMT was established as Malta’s single European Digital Innovation Hub in response to the call for proposals for EDIHs. It serves as a specialised ecosystem designed to support and nurture digital innovation by connecting industry experts and leaders and fostering collaboration to advance technology start-ups, SMEs, and public sector organisations. DiHubMT offers a comprehensive suite of services on an open, transparent and non-discriminatory basis, emphasising digital and green transformation. </w:t>
      </w:r>
    </w:p>
    <w:p w:rsidRPr="009F3F65" w:rsidR="003130C2" w:rsidP="003130C2" w:rsidRDefault="003130C2" w14:paraId="002A74A1" w14:textId="77777777">
      <w:pPr>
        <w:rPr>
          <w:lang w:val="en-GB"/>
        </w:rPr>
      </w:pPr>
    </w:p>
    <w:p w:rsidRPr="009F3F65" w:rsidR="003130C2" w:rsidP="003130C2" w:rsidRDefault="003130C2" w14:paraId="77C8FA49" w14:textId="77777777">
      <w:pPr>
        <w:rPr>
          <w:rFonts w:eastAsiaTheme="majorEastAsia"/>
        </w:rPr>
      </w:pPr>
      <w:r>
        <w:t>Key services include:</w:t>
      </w:r>
    </w:p>
    <w:p w:rsidRPr="00B47B36" w:rsidR="003130C2" w:rsidP="003130C2" w:rsidRDefault="003130C2" w14:paraId="7436AC64" w14:textId="77777777">
      <w:pPr>
        <w:pStyle w:val="ListParagraph"/>
        <w:numPr>
          <w:ilvl w:val="0"/>
          <w:numId w:val="6"/>
        </w:numPr>
        <w:rPr>
          <w:rFonts w:ascii="Segoe UI" w:hAnsi="Segoe UI" w:cs="Segoe UI"/>
          <w:sz w:val="18"/>
          <w:szCs w:val="18"/>
        </w:rPr>
      </w:pPr>
      <w:r>
        <w:t>Digital entrepreneurship support services;</w:t>
      </w:r>
    </w:p>
    <w:p w:rsidRPr="00B47B36" w:rsidR="003130C2" w:rsidP="003130C2" w:rsidRDefault="003130C2" w14:paraId="708079E0" w14:textId="77777777">
      <w:pPr>
        <w:pStyle w:val="ListParagraph"/>
        <w:numPr>
          <w:ilvl w:val="0"/>
          <w:numId w:val="6"/>
        </w:numPr>
        <w:rPr>
          <w:rFonts w:ascii="Segoe UI" w:hAnsi="Segoe UI" w:cs="Segoe UI"/>
          <w:sz w:val="18"/>
          <w:szCs w:val="18"/>
        </w:rPr>
      </w:pPr>
      <w:r>
        <w:t>Technical ‘test before invest’ support services;</w:t>
      </w:r>
    </w:p>
    <w:p w:rsidRPr="00B47B36" w:rsidR="003130C2" w:rsidP="003130C2" w:rsidRDefault="003130C2" w14:paraId="0BD088D4" w14:textId="77777777">
      <w:pPr>
        <w:pStyle w:val="ListParagraph"/>
        <w:numPr>
          <w:ilvl w:val="0"/>
          <w:numId w:val="6"/>
        </w:numPr>
        <w:rPr>
          <w:rFonts w:ascii="Segoe UI" w:hAnsi="Segoe UI" w:cs="Segoe UI"/>
          <w:sz w:val="18"/>
          <w:szCs w:val="18"/>
        </w:rPr>
      </w:pPr>
      <w:r>
        <w:t>Digital skills and training development;</w:t>
      </w:r>
    </w:p>
    <w:p w:rsidRPr="00B47B36" w:rsidR="003130C2" w:rsidP="003130C2" w:rsidRDefault="003130C2" w14:paraId="5A1DE9A2" w14:textId="77777777">
      <w:pPr>
        <w:pStyle w:val="ListParagraph"/>
        <w:numPr>
          <w:ilvl w:val="0"/>
          <w:numId w:val="6"/>
        </w:numPr>
        <w:rPr>
          <w:rFonts w:ascii="Segoe UI" w:hAnsi="Segoe UI" w:cs="Segoe UI"/>
          <w:sz w:val="18"/>
          <w:szCs w:val="18"/>
        </w:rPr>
      </w:pPr>
      <w:r>
        <w:t>Innovation ecosystems and networking;</w:t>
      </w:r>
    </w:p>
    <w:p w:rsidRPr="00B47B36" w:rsidR="003130C2" w:rsidP="003130C2" w:rsidRDefault="003130C2" w14:paraId="4898C3AB" w14:textId="77777777">
      <w:pPr>
        <w:pStyle w:val="ListParagraph"/>
        <w:numPr>
          <w:ilvl w:val="0"/>
          <w:numId w:val="6"/>
        </w:numPr>
        <w:rPr>
          <w:rFonts w:ascii="Segoe UI" w:hAnsi="Segoe UI" w:cs="Segoe UI"/>
          <w:sz w:val="18"/>
          <w:szCs w:val="18"/>
        </w:rPr>
      </w:pPr>
      <w:r>
        <w:t>Digital innovation policy and strategy.</w:t>
      </w:r>
    </w:p>
    <w:p w:rsidRPr="009F3F65" w:rsidR="003130C2" w:rsidP="003130C2" w:rsidRDefault="003130C2" w14:paraId="27974C77" w14:textId="77777777">
      <w:pPr>
        <w:pStyle w:val="Footer"/>
        <w:ind w:left="720"/>
        <w:rPr>
          <w:rFonts w:ascii="Segoe UI" w:hAnsi="Segoe UI" w:cs="Segoe UI"/>
          <w:sz w:val="18"/>
          <w:szCs w:val="18"/>
          <w:lang w:val="en-GB"/>
        </w:rPr>
      </w:pPr>
    </w:p>
    <w:p w:rsidRPr="009F3F65" w:rsidR="003130C2" w:rsidP="003130C2" w:rsidRDefault="003130C2" w14:paraId="725D46CC" w14:textId="77777777">
      <w:pPr>
        <w:rPr>
          <w:rFonts w:eastAsiaTheme="majorEastAsia"/>
        </w:rPr>
      </w:pPr>
      <w:r>
        <w:t>The hub aims to integrate new digital technologies into practical applications, thereby contributing significantly to the growth of Malta’s digital economy</w:t>
      </w:r>
      <w:r w:rsidRPr="009F3F65">
        <w:rPr>
          <w:rStyle w:val="FootnoteReference"/>
          <w:rFonts w:eastAsiaTheme="majorEastAsia"/>
          <w:lang w:val="en-GB"/>
        </w:rPr>
        <w:footnoteReference w:id="29"/>
      </w:r>
      <w:r>
        <w:t xml:space="preserve"> </w:t>
      </w:r>
      <w:r w:rsidRPr="009F3F65">
        <w:rPr>
          <w:rStyle w:val="FootnoteReference"/>
          <w:rFonts w:eastAsiaTheme="majorEastAsia"/>
          <w:lang w:val="en-GB"/>
        </w:rPr>
        <w:footnoteReference w:id="30"/>
      </w:r>
      <w:r>
        <w:t>.</w:t>
      </w:r>
    </w:p>
    <w:p w:rsidRPr="009F3F65" w:rsidR="003130C2" w:rsidP="003130C2" w:rsidRDefault="003130C2" w14:paraId="7F71EA94" w14:textId="77777777">
      <w:pPr>
        <w:rPr>
          <w:rFonts w:eastAsiaTheme="majorEastAsia"/>
          <w:lang w:val="en-GB"/>
        </w:rPr>
      </w:pPr>
    </w:p>
    <w:p w:rsidRPr="009F3F65" w:rsidR="003130C2" w:rsidP="003130C2" w:rsidRDefault="003130C2" w14:paraId="50413450" w14:textId="77777777">
      <w:r>
        <w:lastRenderedPageBreak/>
        <w:t xml:space="preserve">Malta excels in digital public services, ranking third </w:t>
      </w:r>
      <w:r>
        <w:rPr>
          <w:b/>
        </w:rPr>
        <w:t xml:space="preserve">in the Digital Economy and Society Index (DESI) 2022 </w:t>
      </w:r>
      <w:r>
        <w:t>with a score of 85.8, significantly above the EU average of 67.3. Notably, Malta’s e-government user engagement increased to 72% in 2022, surpassing the EU average of 65%.</w:t>
      </w:r>
    </w:p>
    <w:p w:rsidRPr="009F3F65" w:rsidR="003130C2" w:rsidP="003130C2" w:rsidRDefault="003130C2" w14:paraId="7080C756" w14:textId="77777777">
      <w:pPr>
        <w:rPr>
          <w:lang w:val="en-GB"/>
        </w:rPr>
      </w:pPr>
    </w:p>
    <w:p w:rsidRPr="00B47B36" w:rsidR="003130C2" w:rsidP="003130C2" w:rsidRDefault="003130C2" w14:paraId="176C2C20" w14:textId="77777777">
      <w:pPr>
        <w:pStyle w:val="NoSpacing"/>
        <w:numPr>
          <w:ilvl w:val="0"/>
          <w:numId w:val="6"/>
        </w:numPr>
        <w:spacing w:line="300" w:lineRule="exact"/>
        <w:jc w:val="both"/>
        <w:rPr>
          <w:b/>
          <w:bCs/>
          <w:u w:val="single"/>
        </w:rPr>
      </w:pPr>
      <w:r>
        <w:rPr>
          <w:b/>
          <w:u w:val="single"/>
        </w:rPr>
        <w:t>Poland</w:t>
      </w:r>
    </w:p>
    <w:p w:rsidRPr="009F3F65" w:rsidR="003130C2" w:rsidP="003130C2" w:rsidRDefault="003130C2" w14:paraId="2BE58119" w14:textId="77777777">
      <w:pPr>
        <w:rPr>
          <w:lang w:val="en-GB"/>
        </w:rPr>
      </w:pPr>
    </w:p>
    <w:p w:rsidRPr="00B47B36" w:rsidR="003130C2" w:rsidP="003130C2" w:rsidRDefault="003130C2" w14:paraId="1E965BC6" w14:textId="77777777">
      <w:pPr>
        <w:pStyle w:val="paragraph"/>
        <w:spacing w:before="0" w:beforeAutospacing="0" w:after="0" w:afterAutospacing="0"/>
        <w:jc w:val="both"/>
        <w:textAlignment w:val="baseline"/>
        <w:rPr>
          <w:rFonts w:eastAsiaTheme="majorEastAsia"/>
          <w:b/>
          <w:bCs/>
          <w:sz w:val="22"/>
          <w:szCs w:val="22"/>
          <w:u w:val="single"/>
        </w:rPr>
      </w:pPr>
      <w:r>
        <w:rPr>
          <w:b/>
          <w:sz w:val="22"/>
          <w:u w:val="single"/>
        </w:rPr>
        <w:t>Specific Objective 1 – High Performance Computing </w:t>
      </w:r>
    </w:p>
    <w:p w:rsidRPr="00B47B36" w:rsidR="003130C2" w:rsidP="003130C2" w:rsidRDefault="003130C2" w14:paraId="094B7D8B"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301C0355" w14:textId="77777777">
      <w:r>
        <w:t>In line with this programme, Poland has launched the HPC4Poland EDIH project. This initiative enhances Poland’s high-performance computing capabilities by providing access to advanced computing resources, supporting research and development across various sectors</w:t>
      </w:r>
      <w:r w:rsidRPr="009F3F65">
        <w:rPr>
          <w:rStyle w:val="FootnoteReference"/>
          <w:lang w:val="en-GB"/>
        </w:rPr>
        <w:footnoteReference w:id="31"/>
      </w:r>
      <w:r>
        <w:t>.</w:t>
      </w:r>
    </w:p>
    <w:p w:rsidRPr="009F3F65" w:rsidR="003130C2" w:rsidP="003130C2" w:rsidRDefault="003130C2" w14:paraId="3DB89272" w14:textId="77777777">
      <w:pPr>
        <w:pStyle w:val="Footer"/>
        <w:rPr>
          <w:lang w:val="en-GB"/>
        </w:rPr>
      </w:pPr>
    </w:p>
    <w:p w:rsidRPr="009F3F65" w:rsidR="003130C2" w:rsidP="003130C2" w:rsidRDefault="003130C2" w14:paraId="6CD6EC96" w14:textId="77777777">
      <w:pPr>
        <w:pStyle w:val="Footer"/>
        <w:rPr>
          <w:b/>
          <w:bCs/>
          <w:u w:val="single"/>
          <w:shd w:val="clear" w:color="auto" w:fill="FFFFFF"/>
        </w:rPr>
      </w:pPr>
      <w:r>
        <w:rPr>
          <w:b/>
          <w:u w:val="single"/>
          <w:shd w:val="clear" w:color="auto" w:fill="FFFFFF"/>
        </w:rPr>
        <w:t>Specific Objective 2 – Artificial Intelligence </w:t>
      </w:r>
    </w:p>
    <w:p w:rsidRPr="009F3F65" w:rsidR="003130C2" w:rsidP="003130C2" w:rsidRDefault="003130C2" w14:paraId="0C3F3A25" w14:textId="77777777">
      <w:pPr>
        <w:pStyle w:val="Footer"/>
        <w:rPr>
          <w:shd w:val="clear" w:color="auto" w:fill="FFFFFF"/>
          <w:lang w:val="en-GB"/>
        </w:rPr>
      </w:pPr>
    </w:p>
    <w:p w:rsidRPr="009F3F65" w:rsidR="003130C2" w:rsidP="003130C2" w:rsidRDefault="003130C2" w14:paraId="70A65676" w14:textId="77777777">
      <w:pPr>
        <w:rPr>
          <w:rFonts w:eastAsiaTheme="majorEastAsia"/>
        </w:rPr>
      </w:pPr>
      <w:r>
        <w:t>Among the main projects financed under objective 2 in Poland are the following: </w:t>
      </w:r>
    </w:p>
    <w:p w:rsidRPr="00B47B36" w:rsidR="003130C2" w:rsidP="003130C2" w:rsidRDefault="003130C2" w14:paraId="384FCF79" w14:textId="77777777">
      <w:pPr>
        <w:pStyle w:val="ListParagraph"/>
        <w:numPr>
          <w:ilvl w:val="0"/>
          <w:numId w:val="15"/>
        </w:numPr>
      </w:pPr>
      <w:r>
        <w:t>The</w:t>
      </w:r>
      <w:r>
        <w:rPr>
          <w:b/>
        </w:rPr>
        <w:t xml:space="preserve"> AI sectorial Testing and Experimentation Facilities (TEFs),</w:t>
      </w:r>
      <w:r>
        <w:t xml:space="preserve"> large-scale reference sites to test and experiment with AI solutions;</w:t>
      </w:r>
    </w:p>
    <w:p w:rsidRPr="00B47B36" w:rsidR="003130C2" w:rsidP="003130C2" w:rsidRDefault="003130C2" w14:paraId="68D7304B" w14:textId="77777777">
      <w:pPr>
        <w:pStyle w:val="ListParagraph"/>
        <w:numPr>
          <w:ilvl w:val="0"/>
          <w:numId w:val="15"/>
        </w:numPr>
      </w:pPr>
      <w:r>
        <w:t xml:space="preserve">The </w:t>
      </w:r>
      <w:r>
        <w:rPr>
          <w:b/>
        </w:rPr>
        <w:t>Important Projects of Common European Interest (IPCEI</w:t>
      </w:r>
      <w:r>
        <w:t>) to promote collaboration among Member States in cutting-edge microelectronics and communication projects; </w:t>
      </w:r>
    </w:p>
    <w:p w:rsidRPr="00B47B36" w:rsidR="003130C2" w:rsidP="003130C2" w:rsidRDefault="003130C2" w14:paraId="22649732" w14:textId="77777777">
      <w:pPr>
        <w:pStyle w:val="ListParagraph"/>
        <w:numPr>
          <w:ilvl w:val="0"/>
          <w:numId w:val="15"/>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p>
    <w:p w:rsidRPr="00B47B36" w:rsidR="003130C2" w:rsidP="003130C2" w:rsidRDefault="003130C2" w14:paraId="08092CDD" w14:textId="77777777">
      <w:pPr>
        <w:pStyle w:val="ListParagraph"/>
      </w:pPr>
    </w:p>
    <w:p w:rsidRPr="009F3F65" w:rsidR="003130C2" w:rsidP="003130C2" w:rsidRDefault="003130C2" w14:paraId="630AC9A3" w14:textId="77777777">
      <w:pPr>
        <w:rPr>
          <w:rFonts w:eastAsiaTheme="majorEastAsia"/>
        </w:rPr>
      </w:pPr>
      <w:r>
        <w:t xml:space="preserve">In line with these efforts, the </w:t>
      </w:r>
      <w:r>
        <w:rPr>
          <w:b/>
        </w:rPr>
        <w:t>EDIH-SILESIA hub</w:t>
      </w:r>
      <w:r>
        <w:t xml:space="preserve"> in Poland focuses on facilitating the integration of artificial intelligence within industrial applications. It assists businesses and organisations in Silesia in adopting AI technologies effectively</w:t>
      </w:r>
      <w:r w:rsidRPr="009F3F65">
        <w:rPr>
          <w:rStyle w:val="FootnoteReference"/>
          <w:rFonts w:eastAsiaTheme="majorEastAsia"/>
          <w:lang w:val="en-GB"/>
        </w:rPr>
        <w:footnoteReference w:id="32"/>
      </w:r>
      <w:r>
        <w:t xml:space="preserve">. Similarly, the </w:t>
      </w:r>
      <w:r>
        <w:rPr>
          <w:b/>
        </w:rPr>
        <w:t>PDIH</w:t>
      </w:r>
      <w:r>
        <w:t xml:space="preserve"> (Pomeranian Digital Innovation Hub) specialises in AI and robotics. This hub provides expertise and resources aimed at fostering innovation and facilitating digital transformation within these advanced technological fields</w:t>
      </w:r>
      <w:r w:rsidRPr="009F3F65">
        <w:rPr>
          <w:rStyle w:val="FootnoteReference"/>
          <w:rFonts w:eastAsiaTheme="majorEastAsia"/>
          <w:lang w:val="en-GB"/>
        </w:rPr>
        <w:footnoteReference w:id="33"/>
      </w:r>
      <w:r>
        <w:t>.</w:t>
      </w:r>
    </w:p>
    <w:p w:rsidRPr="009F3F65" w:rsidR="003130C2" w:rsidP="003130C2" w:rsidRDefault="003130C2" w14:paraId="2FE66AA0" w14:textId="77777777">
      <w:pPr>
        <w:pStyle w:val="Footer"/>
        <w:rPr>
          <w:lang w:val="en-GB"/>
        </w:rPr>
      </w:pPr>
    </w:p>
    <w:p w:rsidRPr="009F3F65" w:rsidR="003130C2" w:rsidP="003130C2" w:rsidRDefault="003130C2" w14:paraId="359551FE" w14:textId="77777777">
      <w:pPr>
        <w:pStyle w:val="Footer"/>
        <w:rPr>
          <w:rFonts w:eastAsiaTheme="majorEastAsia"/>
          <w:b/>
          <w:bCs/>
          <w:u w:val="single"/>
        </w:rPr>
      </w:pPr>
      <w:r>
        <w:rPr>
          <w:b/>
          <w:u w:val="single"/>
        </w:rPr>
        <w:t>Specific Objective 3 – Cybersecurity and Trust </w:t>
      </w:r>
    </w:p>
    <w:p w:rsidRPr="009F3F65" w:rsidR="003130C2" w:rsidP="003130C2" w:rsidRDefault="003130C2" w14:paraId="3C775D42" w14:textId="77777777">
      <w:pPr>
        <w:pStyle w:val="Footer"/>
        <w:rPr>
          <w:lang w:val="en-GB"/>
        </w:rPr>
      </w:pPr>
    </w:p>
    <w:p w:rsidRPr="009F3F65" w:rsidR="003130C2" w:rsidP="003130C2" w:rsidRDefault="003130C2" w14:paraId="4A417A9A" w14:textId="77777777">
      <w:pPr>
        <w:rPr>
          <w:rFonts w:eastAsiaTheme="majorEastAsia"/>
        </w:rPr>
      </w:pPr>
      <w:r>
        <w:t xml:space="preserve">The </w:t>
      </w:r>
      <w:r>
        <w:rPr>
          <w:b/>
        </w:rPr>
        <w:t>CyberSec</w:t>
      </w:r>
      <w:r>
        <w:t xml:space="preserve"> project in Poznań is a key component of these initiatives, focusing on enhancing cybersecurity measures and fostering trust in digital transactions. It provides robust cybersecurity solutions aimed at protecting data and systems</w:t>
      </w:r>
      <w:r w:rsidRPr="009F3F65">
        <w:rPr>
          <w:rStyle w:val="FootnoteReference"/>
          <w:lang w:val="en-GB"/>
        </w:rPr>
        <w:footnoteReference w:id="34"/>
      </w:r>
      <w:r>
        <w:t xml:space="preserve">. Additionally, the </w:t>
      </w:r>
      <w:r>
        <w:rPr>
          <w:b/>
        </w:rPr>
        <w:t xml:space="preserve">Smart Secure Cities </w:t>
      </w:r>
      <w:r>
        <w:t>project seeks to bolster security in urban environments. It aims to enhance the safety and resilience of cities by implementing advanced digital security technologies</w:t>
      </w:r>
      <w:r w:rsidRPr="009F3F65">
        <w:rPr>
          <w:rStyle w:val="FootnoteReference"/>
          <w:lang w:val="en-GB"/>
        </w:rPr>
        <w:footnoteReference w:id="35"/>
      </w:r>
      <w:r>
        <w:t>.</w:t>
      </w:r>
    </w:p>
    <w:p w:rsidRPr="009F3F65" w:rsidR="003130C2" w:rsidP="003130C2" w:rsidRDefault="003130C2" w14:paraId="4D0946AD" w14:textId="77777777">
      <w:pPr>
        <w:rPr>
          <w:rFonts w:eastAsiaTheme="majorEastAsia"/>
          <w:lang w:val="en-GB"/>
        </w:rPr>
      </w:pPr>
    </w:p>
    <w:p w:rsidRPr="009F3F65" w:rsidR="003130C2" w:rsidP="003130C2" w:rsidRDefault="003130C2" w14:paraId="77E947CA" w14:textId="77777777">
      <w:pPr>
        <w:pStyle w:val="Footer"/>
        <w:rPr>
          <w:rFonts w:eastAsiaTheme="majorEastAsia"/>
          <w:b/>
          <w:bCs/>
          <w:u w:val="single"/>
        </w:rPr>
      </w:pPr>
      <w:r>
        <w:rPr>
          <w:b/>
          <w:u w:val="single"/>
        </w:rPr>
        <w:t>Specific Objective 4 – Advanced Digital Skills </w:t>
      </w:r>
    </w:p>
    <w:p w:rsidRPr="009F3F65" w:rsidR="003130C2" w:rsidP="003130C2" w:rsidRDefault="003130C2" w14:paraId="4B7414A2" w14:textId="77777777">
      <w:pPr>
        <w:pStyle w:val="Footer"/>
        <w:rPr>
          <w:lang w:val="en-GB"/>
        </w:rPr>
      </w:pPr>
    </w:p>
    <w:p w:rsidRPr="009F3F65" w:rsidR="003130C2" w:rsidP="003130C2" w:rsidRDefault="003130C2" w14:paraId="3F485541" w14:textId="77777777">
      <w:pPr>
        <w:rPr>
          <w:rFonts w:eastAsiaTheme="majorEastAsia"/>
        </w:rPr>
      </w:pPr>
      <w:r>
        <w:lastRenderedPageBreak/>
        <w:t>In the 2022 Digital Economy and Society Index (DESI), Poland demonstrates a performance that is consistently lower than the EU average across all evaluated categories, including overall DESI scores, human capital, connectivity, integration of digital technology, and digital public services.</w:t>
      </w:r>
    </w:p>
    <w:p w:rsidRPr="009F3F65" w:rsidR="003130C2" w:rsidP="003130C2" w:rsidRDefault="003130C2" w14:paraId="54FB869D" w14:textId="77777777">
      <w:pPr>
        <w:rPr>
          <w:rFonts w:eastAsiaTheme="majorEastAsia"/>
          <w:lang w:val="en-GB"/>
        </w:rPr>
      </w:pPr>
    </w:p>
    <w:p w:rsidRPr="009F3F65" w:rsidR="003130C2" w:rsidP="003130C2" w:rsidRDefault="003130C2" w14:paraId="5068135F" w14:textId="77777777">
      <w:pPr>
        <w:rPr>
          <w:rFonts w:eastAsiaTheme="majorEastAsia"/>
        </w:rPr>
      </w:pPr>
      <w:r>
        <w:t>Poland’s performance in the Digital Economy and Society Index 2022 shows mixed results in human capital compared to the EU average. The country has lower proficiency in basic (43%) and advanced (21%) digital skills than the EU averages of 54% and 26%, respectively. However, Poland is close to the EU average in digital content creation skills, with a 57% proficiency. In terms of ICT specialists, Poland has a slightly lower rate (3.5%) compared to the EU average (4.5%), but its percentage of female ICT specialists (16%) is nearly at the EU level (19%).</w:t>
      </w:r>
    </w:p>
    <w:p w:rsidRPr="009F3F65" w:rsidR="003130C2" w:rsidP="003130C2" w:rsidRDefault="003130C2" w14:paraId="43BBF14A" w14:textId="77777777">
      <w:pPr>
        <w:rPr>
          <w:rFonts w:eastAsiaTheme="majorEastAsia"/>
          <w:lang w:val="en-GB"/>
        </w:rPr>
      </w:pPr>
    </w:p>
    <w:p w:rsidRPr="009F3F65" w:rsidR="003130C2" w:rsidP="003130C2" w:rsidRDefault="003130C2" w14:paraId="1C246C31" w14:textId="77777777">
      <w:pPr>
        <w:rPr>
          <w:rFonts w:eastAsiaTheme="majorEastAsia"/>
        </w:rPr>
      </w:pPr>
      <w:r>
        <w:t xml:space="preserve">Regarding the Advanced Digital Skills and the Digital Europe Programme, Poland has important projects aimed at enhancing the digital competency of the workforce. The </w:t>
      </w:r>
      <w:r>
        <w:rPr>
          <w:b/>
        </w:rPr>
        <w:t>red project</w:t>
      </w:r>
      <w:r>
        <w:t xml:space="preserve"> focuses on reskilling and upskilling the workforce in digital technologies, particularly targeting sectors where these skills are crucial for future development. This initiative aims to equip workers with the skills needed to thrive in an increasingly digital landscape</w:t>
      </w:r>
      <w:r w:rsidRPr="009F3F65">
        <w:rPr>
          <w:rStyle w:val="FootnoteReference"/>
          <w:rFonts w:eastAsiaTheme="majorEastAsia"/>
          <w:lang w:val="en-GB"/>
        </w:rPr>
        <w:footnoteReference w:id="36"/>
      </w:r>
      <w:r>
        <w:t>.</w:t>
      </w:r>
    </w:p>
    <w:p w:rsidRPr="009F3F65" w:rsidR="003130C2" w:rsidP="003130C2" w:rsidRDefault="003130C2" w14:paraId="3C575224" w14:textId="77777777">
      <w:pPr>
        <w:pStyle w:val="Footer"/>
        <w:rPr>
          <w:rFonts w:eastAsiaTheme="majorEastAsia"/>
          <w:lang w:val="en-GB"/>
        </w:rPr>
      </w:pPr>
    </w:p>
    <w:p w:rsidRPr="009F3F65" w:rsidR="003130C2" w:rsidP="003130C2" w:rsidRDefault="003130C2" w14:paraId="7CF70DB6" w14:textId="77777777">
      <w:pPr>
        <w:rPr>
          <w:rFonts w:eastAsiaTheme="majorEastAsia"/>
        </w:rPr>
      </w:pPr>
      <w:r>
        <w:t xml:space="preserve">Additionally, </w:t>
      </w:r>
      <w:r>
        <w:rPr>
          <w:b/>
        </w:rPr>
        <w:t>the WRO4digITal project</w:t>
      </w:r>
      <w:r>
        <w:t xml:space="preserve"> is dedicated to improving digital skills among professionals in the Wrocław region. It offers a range of training and workshops in the latest digital technologies, providing essential tools and knowledge to meet the demands of the digital economy</w:t>
      </w:r>
      <w:r w:rsidRPr="009F3F65">
        <w:rPr>
          <w:rStyle w:val="FootnoteReference"/>
          <w:rFonts w:eastAsiaTheme="majorEastAsia"/>
          <w:lang w:val="en-GB"/>
        </w:rPr>
        <w:footnoteReference w:id="37"/>
      </w:r>
      <w:r>
        <w:t>.</w:t>
      </w:r>
    </w:p>
    <w:p w:rsidRPr="009F3F65" w:rsidR="003130C2" w:rsidP="003130C2" w:rsidRDefault="003130C2" w14:paraId="2CD5E8C5" w14:textId="77777777">
      <w:pPr>
        <w:rPr>
          <w:lang w:val="en-GB"/>
        </w:rPr>
      </w:pPr>
    </w:p>
    <w:p w:rsidRPr="009F3F65" w:rsidR="003130C2" w:rsidP="003130C2" w:rsidRDefault="003130C2" w14:paraId="254F858A" w14:textId="77777777">
      <w:pPr>
        <w:pStyle w:val="Footer"/>
        <w:rPr>
          <w:rFonts w:eastAsiaTheme="majorEastAsia"/>
          <w:b/>
          <w:bCs/>
          <w:u w:val="single"/>
        </w:rPr>
      </w:pPr>
      <w:r>
        <w:rPr>
          <w:b/>
          <w:u w:val="single"/>
        </w:rPr>
        <w:t>Specific Objective 5 – Deployment and Best Use of Digital Capacity and Interoperability </w:t>
      </w:r>
    </w:p>
    <w:p w:rsidRPr="009F3F65" w:rsidR="003130C2" w:rsidP="003130C2" w:rsidRDefault="003130C2" w14:paraId="76C2CCE8" w14:textId="77777777">
      <w:pPr>
        <w:pStyle w:val="Footer"/>
        <w:rPr>
          <w:lang w:val="en-GB"/>
        </w:rPr>
      </w:pPr>
    </w:p>
    <w:p w:rsidRPr="009F3F65" w:rsidR="003130C2" w:rsidP="003130C2" w:rsidRDefault="003130C2" w14:paraId="2A3BCEF4" w14:textId="77777777">
      <w:pPr>
        <w:rPr>
          <w:rFonts w:eastAsiaTheme="majorEastAsia"/>
        </w:rPr>
      </w:pPr>
      <w:r>
        <w:t>Regarding the Deployment and Best Use of Digital Capacity and Interoperability and the EDIH, there are several key projects in Poland to enhance the digital landscape across various regions and sectors:</w:t>
      </w:r>
    </w:p>
    <w:p w:rsidRPr="009F3F65" w:rsidR="003130C2" w:rsidP="003130C2" w:rsidRDefault="003130C2" w14:paraId="537F250E" w14:textId="77777777">
      <w:pPr>
        <w:rPr>
          <w:rFonts w:eastAsiaTheme="majorEastAsia"/>
          <w:lang w:val="en-GB"/>
        </w:rPr>
      </w:pPr>
    </w:p>
    <w:p w:rsidRPr="00B47B36" w:rsidR="003130C2" w:rsidP="003130C2" w:rsidRDefault="003130C2" w14:paraId="4FBD6FB0" w14:textId="77777777">
      <w:pPr>
        <w:pStyle w:val="ListParagraph"/>
        <w:numPr>
          <w:ilvl w:val="0"/>
          <w:numId w:val="16"/>
        </w:numPr>
        <w:rPr>
          <w:rFonts w:eastAsiaTheme="majorEastAsia"/>
        </w:rPr>
      </w:pPr>
      <w:r>
        <w:rPr>
          <w:b/>
        </w:rPr>
        <w:t>Mazovia EDIH</w:t>
      </w:r>
      <w:r>
        <w:t xml:space="preserve"> is dedicated to advancing digital transformation within the Mazovia region. The project aims to enhance access to digital tools and promote interoperability among businesses, driving sector-wide connectivity and integration</w:t>
      </w:r>
      <w:r w:rsidRPr="00B47B36">
        <w:rPr>
          <w:rStyle w:val="FootnoteReference"/>
          <w:rFonts w:eastAsiaTheme="majorEastAsia"/>
        </w:rPr>
        <w:footnoteReference w:id="38"/>
      </w:r>
      <w:r>
        <w:t xml:space="preserve"> </w:t>
      </w:r>
      <w:r w:rsidRPr="00B47B36">
        <w:rPr>
          <w:rStyle w:val="FootnoteReference"/>
          <w:rFonts w:eastAsiaTheme="majorEastAsia"/>
        </w:rPr>
        <w:footnoteReference w:id="39"/>
      </w:r>
      <w:r>
        <w:t>.</w:t>
      </w:r>
    </w:p>
    <w:p w:rsidRPr="00B47B36" w:rsidR="003130C2" w:rsidP="003130C2" w:rsidRDefault="003130C2" w14:paraId="31729877" w14:textId="77777777">
      <w:pPr>
        <w:pStyle w:val="ListParagraph"/>
        <w:numPr>
          <w:ilvl w:val="0"/>
          <w:numId w:val="16"/>
        </w:numPr>
        <w:rPr>
          <w:rFonts w:eastAsiaTheme="majorEastAsia"/>
        </w:rPr>
      </w:pPr>
      <w:r>
        <w:rPr>
          <w:b/>
        </w:rPr>
        <w:t>TKDIH</w:t>
      </w:r>
      <w:r>
        <w:t xml:space="preserve"> is centred on accelerating digital transformation by fostering enhanced interoperability and strategically deploying digital capacities. This initiative targets a broad range of sectors, aiming to optimise their digital readiness and efficiency</w:t>
      </w:r>
      <w:r w:rsidRPr="00B47B36">
        <w:rPr>
          <w:rStyle w:val="FootnoteReference"/>
          <w:rFonts w:eastAsiaTheme="majorEastAsia"/>
        </w:rPr>
        <w:footnoteReference w:id="40"/>
      </w:r>
      <w:r>
        <w:t>.</w:t>
      </w:r>
    </w:p>
    <w:p w:rsidRPr="00B47B36" w:rsidR="003130C2" w:rsidP="003130C2" w:rsidRDefault="003130C2" w14:paraId="144FEBCB" w14:textId="77777777">
      <w:pPr>
        <w:pStyle w:val="ListParagraph"/>
        <w:numPr>
          <w:ilvl w:val="0"/>
          <w:numId w:val="16"/>
        </w:numPr>
        <w:rPr>
          <w:rFonts w:eastAsiaTheme="majorEastAsia"/>
        </w:rPr>
      </w:pPr>
      <w:r>
        <w:rPr>
          <w:b/>
        </w:rPr>
        <w:t>WAMA EDIH</w:t>
      </w:r>
      <w:r>
        <w:t xml:space="preserve"> focuses on implementing digital technologies in the Warmia-Masuria region. The project ensures that these technologies are used effectively, bolstering connectivity and interoperability to foster a digitally integrated environment</w:t>
      </w:r>
      <w:r w:rsidRPr="00B47B36">
        <w:rPr>
          <w:rStyle w:val="FootnoteReference"/>
          <w:rFonts w:eastAsiaTheme="majorEastAsia"/>
        </w:rPr>
        <w:footnoteReference w:id="41"/>
      </w:r>
      <w:r>
        <w:t>.</w:t>
      </w:r>
    </w:p>
    <w:p w:rsidRPr="00B47B36" w:rsidR="003130C2" w:rsidP="003130C2" w:rsidRDefault="003130C2" w14:paraId="59158710" w14:textId="77777777">
      <w:pPr>
        <w:pStyle w:val="ListParagraph"/>
        <w:numPr>
          <w:ilvl w:val="0"/>
          <w:numId w:val="16"/>
        </w:numPr>
        <w:rPr>
          <w:rFonts w:eastAsiaTheme="majorEastAsia"/>
        </w:rPr>
      </w:pPr>
      <w:r>
        <w:rPr>
          <w:b/>
        </w:rPr>
        <w:t>h4i (Health for Innovation)</w:t>
      </w:r>
      <w:r>
        <w:t xml:space="preserve"> incorporates advanced elements such as AI, digital skills, and cybersecurity, tailored to address the unique needs of the health sector</w:t>
      </w:r>
      <w:r w:rsidRPr="00B47B36">
        <w:rPr>
          <w:rStyle w:val="FootnoteReference"/>
          <w:rFonts w:eastAsiaTheme="majorEastAsia"/>
        </w:rPr>
        <w:footnoteReference w:id="42"/>
      </w:r>
      <w:r>
        <w:t>.</w:t>
      </w:r>
    </w:p>
    <w:p w:rsidRPr="009F3F65" w:rsidR="003130C2" w:rsidP="003130C2" w:rsidRDefault="003130C2" w14:paraId="29EB531F" w14:textId="77777777">
      <w:pPr>
        <w:pStyle w:val="Footer"/>
        <w:rPr>
          <w:rFonts w:eastAsiaTheme="majorEastAsia"/>
          <w:lang w:val="en-GB"/>
        </w:rPr>
      </w:pPr>
    </w:p>
    <w:p w:rsidRPr="009F3F65" w:rsidR="003130C2" w:rsidP="003130C2" w:rsidRDefault="003130C2" w14:paraId="43E08BBA" w14:textId="77777777">
      <w:r>
        <w:lastRenderedPageBreak/>
        <w:t>Poland ranks 22</w:t>
      </w:r>
      <w:r>
        <w:rPr>
          <w:vertAlign w:val="superscript"/>
        </w:rPr>
        <w:t>nd</w:t>
      </w:r>
      <w:r>
        <w:t xml:space="preserve"> in the Digital Economy and Society Index (DESI) 2022 for digital public services, scoring 55.8, which is below the EU average of 67.3. In 2022, 55% of internet users in Poland used e-government services, trailing the EU average of 65%. The country scored 74 for pre-filled forms, surpassing the EU average of 64. However, digital public services for citizens and businesses scored 57 and 70 respectively, both below the EU averages of 75 and 82. Notably, Poland excels in open data, achieving a 95% score, significantly higher than the EU average of 81%.</w:t>
      </w:r>
    </w:p>
    <w:p w:rsidRPr="009F3F65" w:rsidR="003130C2" w:rsidP="003130C2" w:rsidRDefault="003130C2" w14:paraId="185D32A5" w14:textId="77777777">
      <w:pPr>
        <w:rPr>
          <w:lang w:val="en-GB"/>
        </w:rPr>
      </w:pPr>
    </w:p>
    <w:p w:rsidRPr="00B47B36" w:rsidR="003130C2" w:rsidP="003130C2" w:rsidRDefault="003130C2" w14:paraId="4A6C8FC6" w14:textId="77777777">
      <w:pPr>
        <w:pStyle w:val="NoSpacing"/>
        <w:numPr>
          <w:ilvl w:val="0"/>
          <w:numId w:val="6"/>
        </w:numPr>
        <w:spacing w:line="300" w:lineRule="exact"/>
        <w:jc w:val="both"/>
        <w:rPr>
          <w:b/>
          <w:bCs/>
          <w:u w:val="single"/>
        </w:rPr>
      </w:pPr>
      <w:r>
        <w:rPr>
          <w:b/>
          <w:u w:val="single"/>
        </w:rPr>
        <w:t>Portugal</w:t>
      </w:r>
    </w:p>
    <w:p w:rsidRPr="00B47B36" w:rsidR="003130C2" w:rsidP="003130C2" w:rsidRDefault="003130C2" w14:paraId="41D482BC" w14:textId="77777777">
      <w:pPr>
        <w:pStyle w:val="NoSpacing"/>
        <w:spacing w:line="300" w:lineRule="exact"/>
        <w:jc w:val="both"/>
        <w:rPr>
          <w:lang w:val="en-GB"/>
        </w:rPr>
      </w:pPr>
    </w:p>
    <w:p w:rsidRPr="009F3F65" w:rsidR="003130C2" w:rsidP="003130C2" w:rsidRDefault="003130C2" w14:paraId="10A83E0B" w14:textId="77777777">
      <w:pPr>
        <w:pStyle w:val="Footer"/>
        <w:rPr>
          <w:b/>
          <w:bCs/>
          <w:u w:val="single"/>
        </w:rPr>
      </w:pPr>
      <w:r>
        <w:rPr>
          <w:b/>
          <w:u w:val="single"/>
        </w:rPr>
        <w:t>Objective 1 – High Performance Computing</w:t>
      </w:r>
    </w:p>
    <w:p w:rsidRPr="009F3F65" w:rsidR="003130C2" w:rsidP="003130C2" w:rsidRDefault="003130C2" w14:paraId="2160D403" w14:textId="77777777">
      <w:pPr>
        <w:pStyle w:val="Footer"/>
        <w:rPr>
          <w:lang w:val="en-GB"/>
        </w:rPr>
      </w:pPr>
    </w:p>
    <w:p w:rsidRPr="009F3F65" w:rsidR="003130C2" w:rsidP="003130C2" w:rsidRDefault="003130C2" w14:paraId="1AB22A6B" w14:textId="77777777">
      <w:r>
        <w:t>Portugal’s pursuit of high-performance computing (HPC) excellence under the DEP has been achieved through the European High-Performance Computing Joint Undertaking (EuroHPC JU)</w:t>
      </w:r>
      <w:r w:rsidRPr="009F3F65">
        <w:rPr>
          <w:rStyle w:val="FootnoteReference"/>
          <w:lang w:val="en-GB"/>
        </w:rPr>
        <w:footnoteReference w:id="43"/>
      </w:r>
      <w:r>
        <w:t xml:space="preserve">. </w:t>
      </w:r>
      <w:r>
        <w:rPr>
          <w:b/>
        </w:rPr>
        <w:t>Portugal has one supercomputing project through the EuroHPC JU, Deucalion</w:t>
      </w:r>
      <w:r>
        <w:t xml:space="preserve">, which is a </w:t>
      </w:r>
      <w:r>
        <w:rPr>
          <w:b/>
        </w:rPr>
        <w:t>petascale EuroHPC</w:t>
      </w:r>
      <w:r>
        <w:t xml:space="preserve"> supercomputer launched in September 2023 in </w:t>
      </w:r>
      <w:r>
        <w:rPr>
          <w:b/>
        </w:rPr>
        <w:t>Guimarães</w:t>
      </w:r>
      <w:r>
        <w:t xml:space="preserve">. With its cutting-edge ARM processors, it operates at speeds surpassing 10 petaflops, driving innovation across various fields. Co-funded by EuroHPC JU and </w:t>
      </w:r>
      <w:r>
        <w:rPr>
          <w:i/>
        </w:rPr>
        <w:t>Fundação para a Ciência e a Tecnologia</w:t>
      </w:r>
      <w:r>
        <w:t xml:space="preserve"> (FCT), Deucalion is housed at MACC.</w:t>
      </w:r>
    </w:p>
    <w:p w:rsidRPr="009F3F65" w:rsidR="003130C2" w:rsidP="003130C2" w:rsidRDefault="003130C2" w14:paraId="40120E9B" w14:textId="77777777">
      <w:pPr>
        <w:rPr>
          <w:lang w:val="en-GB"/>
        </w:rPr>
      </w:pPr>
    </w:p>
    <w:p w:rsidRPr="009F3F65" w:rsidR="003130C2" w:rsidP="003130C2" w:rsidRDefault="003130C2" w14:paraId="0FC731F2" w14:textId="77777777">
      <w:r>
        <w:t xml:space="preserve">The </w:t>
      </w:r>
      <w:r>
        <w:rPr>
          <w:b/>
        </w:rPr>
        <w:t>Minho Advanced Computing Centre (MACC)</w:t>
      </w:r>
      <w:r>
        <w:t xml:space="preserve"> is a sustainable supercomputing and bigdata infrastructure facility for national scientific and industrial communities. It was created in 2017 by the Portuguese government through FCT, INCoDE.2030 and the University of Minho as a national collaborative infrastructure facility to promote and support Open Science initiatives on advanced computing, data science and visualisation</w:t>
      </w:r>
      <w:r w:rsidRPr="009F3F65">
        <w:rPr>
          <w:rStyle w:val="FootnoteReference"/>
          <w:lang w:val="en-GB"/>
        </w:rPr>
        <w:footnoteReference w:id="44"/>
      </w:r>
      <w:r>
        <w:t>.</w:t>
      </w:r>
    </w:p>
    <w:p w:rsidRPr="009F3F65" w:rsidR="003130C2" w:rsidP="003130C2" w:rsidRDefault="003130C2" w14:paraId="67D3B806" w14:textId="77777777">
      <w:pPr>
        <w:rPr>
          <w:lang w:val="en-GB"/>
        </w:rPr>
      </w:pPr>
    </w:p>
    <w:p w:rsidRPr="009F3F65" w:rsidR="003130C2" w:rsidP="003130C2" w:rsidRDefault="003130C2" w14:paraId="4047B757" w14:textId="77777777">
      <w:r>
        <w:rPr>
          <w:b/>
        </w:rPr>
        <w:t xml:space="preserve">The </w:t>
      </w:r>
      <w:r>
        <w:rPr>
          <w:b/>
          <w:i/>
        </w:rPr>
        <w:t>Fundação para a Ciência e a Tecnologia</w:t>
      </w:r>
      <w:r>
        <w:rPr>
          <w:b/>
        </w:rPr>
        <w:t xml:space="preserve"> (FCT)</w:t>
      </w:r>
      <w:r>
        <w:t xml:space="preserve"> is the national public agency that supports research in science, technology and innovation in all areas of knowledge and comes under the Ministry of Science, Technology and Higher Education</w:t>
      </w:r>
      <w:r w:rsidRPr="009F3F65">
        <w:rPr>
          <w:rStyle w:val="FootnoteReference"/>
          <w:lang w:val="en-GB"/>
        </w:rPr>
        <w:footnoteReference w:id="45"/>
      </w:r>
      <w:r>
        <w:t>.</w:t>
      </w:r>
    </w:p>
    <w:p w:rsidRPr="009F3F65" w:rsidR="003130C2" w:rsidP="003130C2" w:rsidRDefault="003130C2" w14:paraId="1A51536F" w14:textId="77777777">
      <w:pPr>
        <w:pStyle w:val="Footer"/>
        <w:rPr>
          <w:lang w:val="en-GB"/>
        </w:rPr>
      </w:pPr>
    </w:p>
    <w:p w:rsidRPr="009F3F65" w:rsidR="003130C2" w:rsidP="003130C2" w:rsidRDefault="003130C2" w14:paraId="3CFA8019" w14:textId="77777777">
      <w:pPr>
        <w:pStyle w:val="Footer"/>
        <w:rPr>
          <w:b/>
          <w:bCs/>
          <w:u w:val="single"/>
        </w:rPr>
      </w:pPr>
      <w:r>
        <w:rPr>
          <w:b/>
          <w:u w:val="single"/>
        </w:rPr>
        <w:t>Objective 2 – Artificial Intelligence</w:t>
      </w:r>
    </w:p>
    <w:p w:rsidRPr="009F3F65" w:rsidR="003130C2" w:rsidP="003130C2" w:rsidRDefault="003130C2" w14:paraId="71111074" w14:textId="77777777">
      <w:pPr>
        <w:pStyle w:val="Footer"/>
        <w:rPr>
          <w:lang w:val="en-GB"/>
        </w:rPr>
      </w:pPr>
    </w:p>
    <w:p w:rsidRPr="009F3F65" w:rsidR="003130C2" w:rsidP="003130C2" w:rsidRDefault="003130C2" w14:paraId="36B11605" w14:textId="77777777">
      <w:pPr>
        <w:pStyle w:val="Footer"/>
      </w:pPr>
      <w:r>
        <w:t>Among the main projects financed under objective 2 in Portugal are the following:</w:t>
      </w:r>
    </w:p>
    <w:p w:rsidRPr="009F3F65" w:rsidR="003130C2" w:rsidP="003130C2" w:rsidRDefault="003130C2" w14:paraId="42A69C9A" w14:textId="77777777">
      <w:pPr>
        <w:pStyle w:val="Footer"/>
        <w:numPr>
          <w:ilvl w:val="0"/>
          <w:numId w:val="7"/>
        </w:numPr>
      </w:pPr>
      <w:r>
        <w:t>The</w:t>
      </w:r>
      <w:r>
        <w:rPr>
          <w:b/>
        </w:rPr>
        <w:t xml:space="preserve"> AI sectorial Testing and Experimentation Facilities (TEFs)</w:t>
      </w:r>
      <w:r>
        <w:t>, large-scale reference sites to test and experiment with AI solutions;</w:t>
      </w:r>
    </w:p>
    <w:p w:rsidRPr="009F3F65" w:rsidR="003130C2" w:rsidP="003130C2" w:rsidRDefault="003130C2" w14:paraId="0CD2912C" w14:textId="77777777">
      <w:pPr>
        <w:pStyle w:val="Footer"/>
        <w:numPr>
          <w:ilvl w:val="0"/>
          <w:numId w:val="7"/>
        </w:numPr>
      </w:pPr>
      <w:r>
        <w:t>The</w:t>
      </w:r>
      <w:r>
        <w:rPr>
          <w:b/>
        </w:rPr>
        <w:t xml:space="preserve"> Important Projects of Common European Interest (IPCEI)</w:t>
      </w:r>
      <w:r>
        <w:t xml:space="preserve"> to promote collaboration among Member States in cutting-edge microelectronics and communication projects;</w:t>
      </w:r>
    </w:p>
    <w:p w:rsidRPr="009F3F65" w:rsidR="003130C2" w:rsidP="003130C2" w:rsidRDefault="003130C2" w14:paraId="0517F491" w14:textId="77777777">
      <w:pPr>
        <w:pStyle w:val="Footer"/>
        <w:numPr>
          <w:ilvl w:val="0"/>
          <w:numId w:val="7"/>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9F3F65">
        <w:rPr>
          <w:rStyle w:val="FootnoteReference"/>
          <w:lang w:val="en-GB"/>
        </w:rPr>
        <w:footnoteReference w:id="46"/>
      </w:r>
      <w:r>
        <w:t>.</w:t>
      </w:r>
    </w:p>
    <w:p w:rsidRPr="009F3F65" w:rsidR="003130C2" w:rsidP="003130C2" w:rsidRDefault="003130C2" w14:paraId="030E1F45" w14:textId="77777777">
      <w:pPr>
        <w:pStyle w:val="Footer"/>
        <w:rPr>
          <w:lang w:val="en-GB"/>
        </w:rPr>
      </w:pPr>
    </w:p>
    <w:p w:rsidRPr="009F3F65" w:rsidR="003130C2" w:rsidP="003130C2" w:rsidRDefault="003130C2" w14:paraId="4FD23D35" w14:textId="77777777">
      <w:r>
        <w:lastRenderedPageBreak/>
        <w:t>Some of these projects come under the 2023-2024 work programme and are assessed through grant applications. As a consequence, their specific assessments of Portugal are yet to be determined.</w:t>
      </w:r>
    </w:p>
    <w:p w:rsidRPr="009F3F65" w:rsidR="003130C2" w:rsidP="003130C2" w:rsidRDefault="003130C2" w14:paraId="4F82FB5D" w14:textId="77777777">
      <w:pPr>
        <w:rPr>
          <w:lang w:val="en-GB"/>
        </w:rPr>
      </w:pPr>
    </w:p>
    <w:p w:rsidRPr="009F3F65" w:rsidR="003130C2" w:rsidP="003130C2" w:rsidRDefault="003130C2" w14:paraId="6EF1F8D9" w14:textId="77777777">
      <w:r>
        <w:t xml:space="preserve">Nevertheless, regarding </w:t>
      </w:r>
      <w:r>
        <w:rPr>
          <w:b/>
        </w:rPr>
        <w:t>Portugal’s AI landscape</w:t>
      </w:r>
      <w:r>
        <w:t xml:space="preserve">, the Portuguese government unveiled the national strategy </w:t>
      </w:r>
      <w:r>
        <w:rPr>
          <w:b/>
        </w:rPr>
        <w:t>AI Portugal 2030</w:t>
      </w:r>
      <w:r>
        <w:t xml:space="preserve"> in June 2019, outlining challenges and opportunities within the country’s AI ecosystem. This strategy emphasises fostering AI usage in both public and private sectors over the coming years, with a focus on inclusion, education, qualification, specialisation and research</w:t>
      </w:r>
      <w:r w:rsidRPr="009F3F65">
        <w:rPr>
          <w:rStyle w:val="FootnoteReference"/>
          <w:lang w:val="en-GB"/>
        </w:rPr>
        <w:footnoteReference w:id="47"/>
      </w:r>
      <w:r>
        <w:t>.</w:t>
      </w:r>
    </w:p>
    <w:p w:rsidRPr="009F3F65" w:rsidR="003130C2" w:rsidP="003130C2" w:rsidRDefault="003130C2" w14:paraId="53E48368" w14:textId="77777777">
      <w:pPr>
        <w:rPr>
          <w:lang w:val="en-GB"/>
        </w:rPr>
      </w:pPr>
    </w:p>
    <w:p w:rsidRPr="009F3F65" w:rsidR="003130C2" w:rsidP="003130C2" w:rsidRDefault="003130C2" w14:paraId="00922040" w14:textId="77777777">
      <w:r>
        <w:t xml:space="preserve">As part of the EU’s </w:t>
      </w:r>
      <w:r>
        <w:rPr>
          <w:b/>
        </w:rPr>
        <w:t>AI sectorial Testing and Experimentation Facilities (TEFs)</w:t>
      </w:r>
      <w:r>
        <w:t xml:space="preserve">, Portugal hosts nodes primarily focused on </w:t>
      </w:r>
      <w:r>
        <w:rPr>
          <w:b/>
        </w:rPr>
        <w:t>healthcare</w:t>
      </w:r>
      <w:r>
        <w:t xml:space="preserve">, including the </w:t>
      </w:r>
      <w:r>
        <w:rPr>
          <w:u w:val="single"/>
        </w:rPr>
        <w:t>Instituto Pedro Nunes, Health Cluster Portugal, Centro Hospitalar Universitário De Coimbra Epe, Centro Hospitalar De São João Epe, and Serviços Partilhados Do Ministério Da Saúde Epe</w:t>
      </w:r>
      <w:r w:rsidRPr="009F3F65">
        <w:rPr>
          <w:rStyle w:val="FootnoteReference"/>
          <w:u w:val="single"/>
          <w:lang w:val="en-GB"/>
        </w:rPr>
        <w:footnoteReference w:id="48"/>
      </w:r>
      <w:r>
        <w:t>.</w:t>
      </w:r>
    </w:p>
    <w:p w:rsidRPr="009F3F65" w:rsidR="003130C2" w:rsidP="003130C2" w:rsidRDefault="003130C2" w14:paraId="00EBE735" w14:textId="77777777">
      <w:pPr>
        <w:pStyle w:val="Footer"/>
        <w:rPr>
          <w:lang w:val="en-GB"/>
        </w:rPr>
      </w:pPr>
    </w:p>
    <w:p w:rsidRPr="009F3F65" w:rsidR="003130C2" w:rsidP="003130C2" w:rsidRDefault="003130C2" w14:paraId="75119952" w14:textId="77777777">
      <w:r>
        <w:t xml:space="preserve">Moreover, Portugal is actively engaged in the </w:t>
      </w:r>
      <w:r>
        <w:rPr>
          <w:b/>
        </w:rPr>
        <w:t>Important Projects of Common European Interest (IPCEI),</w:t>
      </w:r>
      <w:r>
        <w:t xml:space="preserve"> particularly in the </w:t>
      </w:r>
      <w:r>
        <w:rPr>
          <w:b/>
        </w:rPr>
        <w:t>hydrogen sector</w:t>
      </w:r>
      <w:r>
        <w:t xml:space="preserve">, participating in the </w:t>
      </w:r>
      <w:r>
        <w:rPr>
          <w:b/>
        </w:rPr>
        <w:t>first, second and third hydrogen IPCEI-Hy2Tech</w:t>
      </w:r>
      <w:r>
        <w:t>. This initiative covers various aspects of the hydrogen technology value chain, encompassing hydrogen generation, fuel cells, storage, transportation, distribution, and end-user applications</w:t>
      </w:r>
      <w:r w:rsidRPr="009F3F65">
        <w:rPr>
          <w:rStyle w:val="FootnoteReference"/>
          <w:lang w:val="en-GB"/>
        </w:rPr>
        <w:footnoteReference w:id="49"/>
      </w:r>
      <w:r>
        <w:t>.</w:t>
      </w:r>
    </w:p>
    <w:p w:rsidRPr="009F3F65" w:rsidR="003130C2" w:rsidP="003130C2" w:rsidRDefault="003130C2" w14:paraId="3F33C58D" w14:textId="77777777">
      <w:pPr>
        <w:spacing w:line="240" w:lineRule="auto"/>
        <w:rPr>
          <w:lang w:val="en-GB"/>
        </w:rPr>
      </w:pPr>
    </w:p>
    <w:p w:rsidRPr="009F3F65" w:rsidR="003130C2" w:rsidP="003130C2" w:rsidRDefault="003130C2" w14:paraId="402E8CF6" w14:textId="77777777">
      <w:pPr>
        <w:pStyle w:val="Footer"/>
        <w:rPr>
          <w:b/>
          <w:bCs/>
          <w:u w:val="single"/>
        </w:rPr>
      </w:pPr>
      <w:r>
        <w:rPr>
          <w:b/>
          <w:u w:val="single"/>
        </w:rPr>
        <w:t>Objective 3 – Cybersecurity and Trust</w:t>
      </w:r>
    </w:p>
    <w:p w:rsidRPr="009F3F65" w:rsidR="003130C2" w:rsidP="003130C2" w:rsidRDefault="003130C2" w14:paraId="54E291EE" w14:textId="77777777">
      <w:pPr>
        <w:pStyle w:val="Footer"/>
        <w:rPr>
          <w:lang w:val="en-GB"/>
        </w:rPr>
      </w:pPr>
    </w:p>
    <w:p w:rsidRPr="009F3F65" w:rsidR="003130C2" w:rsidP="003130C2" w:rsidRDefault="003130C2" w14:paraId="13054C21" w14:textId="77777777">
      <w:r>
        <w:t xml:space="preserve">The </w:t>
      </w:r>
      <w:r>
        <w:rPr>
          <w:b/>
        </w:rPr>
        <w:t>Portuguese National Cybersecurity Centre (CNCS)</w:t>
      </w:r>
      <w:r>
        <w:t xml:space="preserve"> is dedicated to ensuring a free, reliable, and secure cyberspace of national interest. It serves as the operational coordinator and national authority for cybersecurity matters, focusing on awareness-raising, training, alert dissemination, knowledge production, incident response coordination, and regulatory supervision in line with the Legal Framework for Cyberspace Security</w:t>
      </w:r>
      <w:r w:rsidRPr="009F3F65">
        <w:rPr>
          <w:rStyle w:val="FootnoteReference"/>
          <w:lang w:val="en-GB"/>
        </w:rPr>
        <w:footnoteReference w:id="50"/>
      </w:r>
      <w:r>
        <w:t>.</w:t>
      </w:r>
    </w:p>
    <w:p w:rsidRPr="009F3F65" w:rsidR="003130C2" w:rsidP="003130C2" w:rsidRDefault="003130C2" w14:paraId="4D463A58" w14:textId="77777777">
      <w:pPr>
        <w:spacing w:line="240" w:lineRule="auto"/>
        <w:rPr>
          <w:lang w:val="en-GB"/>
        </w:rPr>
      </w:pPr>
    </w:p>
    <w:p w:rsidRPr="00B47B36" w:rsidR="003130C2" w:rsidP="003130C2" w:rsidRDefault="003130C2" w14:paraId="1A393031" w14:textId="77777777">
      <w:pPr>
        <w:pStyle w:val="NoSpacing"/>
        <w:jc w:val="both"/>
        <w:rPr>
          <w:b/>
          <w:bCs/>
          <w:u w:val="single"/>
        </w:rPr>
      </w:pPr>
      <w:r>
        <w:rPr>
          <w:b/>
          <w:u w:val="single"/>
        </w:rPr>
        <w:t>Objective 4 – Advanced Digital Skills</w:t>
      </w:r>
    </w:p>
    <w:p w:rsidRPr="00B47B36" w:rsidR="003130C2" w:rsidP="003130C2" w:rsidRDefault="003130C2" w14:paraId="1EFA82B2" w14:textId="77777777">
      <w:pPr>
        <w:pStyle w:val="NoSpacing"/>
        <w:jc w:val="both"/>
        <w:rPr>
          <w:lang w:val="en-GB"/>
        </w:rPr>
      </w:pPr>
    </w:p>
    <w:p w:rsidRPr="009F3F65" w:rsidR="003130C2" w:rsidP="003130C2" w:rsidRDefault="003130C2" w14:paraId="0B74B7AA" w14:textId="77777777">
      <w:pPr>
        <w:rPr>
          <w:b/>
          <w:bCs/>
          <w:u w:val="single"/>
        </w:rPr>
      </w:pPr>
      <w:r>
        <w:t xml:space="preserve">According to the </w:t>
      </w:r>
      <w:r>
        <w:rPr>
          <w:b/>
        </w:rPr>
        <w:t>JRC report on</w:t>
      </w:r>
      <w:r>
        <w:t xml:space="preserve"> </w:t>
      </w:r>
      <w:r>
        <w:rPr>
          <w:b/>
        </w:rPr>
        <w:t>Academic Offer of Advanced Digital Skills in 2020-21</w:t>
      </w:r>
      <w:r>
        <w:t xml:space="preserve">, Portugal does not have as many master’s programmes in digital skills as some other European countries. However, there has been a significant rise in specialised options. For example, in the 2020-2021 academic year, </w:t>
      </w:r>
      <w:r>
        <w:rPr>
          <w:u w:val="single"/>
        </w:rPr>
        <w:t>Portugal provided 22 master’s programmes in Artificial Intelligence, 8 in High-Performance Computing, 13 in Cybersecurity, and 27 in Data Science</w:t>
      </w:r>
      <w:r w:rsidRPr="009F3F65">
        <w:rPr>
          <w:rStyle w:val="FootnoteReference"/>
          <w:u w:val="single"/>
          <w:lang w:val="en-GB"/>
        </w:rPr>
        <w:footnoteReference w:id="51"/>
      </w:r>
      <w:r>
        <w:t>.</w:t>
      </w:r>
    </w:p>
    <w:p w:rsidRPr="009F3F65" w:rsidR="003130C2" w:rsidP="003130C2" w:rsidRDefault="003130C2" w14:paraId="17B6B5CC" w14:textId="77777777">
      <w:pPr>
        <w:rPr>
          <w:lang w:val="en-GB"/>
        </w:rPr>
      </w:pPr>
    </w:p>
    <w:p w:rsidRPr="009F3F65" w:rsidR="003130C2" w:rsidP="003130C2" w:rsidRDefault="003130C2" w14:paraId="5769200F" w14:textId="77777777">
      <w:pPr>
        <w:rPr>
          <w:u w:val="single"/>
        </w:rPr>
      </w:pPr>
      <w:r>
        <w:t xml:space="preserve">Moreover, Portugal improved its position in the </w:t>
      </w:r>
      <w:r>
        <w:rPr>
          <w:b/>
        </w:rPr>
        <w:t>2022 Digital Economy and Society Index (DESI),</w:t>
      </w:r>
      <w:r>
        <w:t xml:space="preserve"> rising to the </w:t>
      </w:r>
      <w:r>
        <w:rPr>
          <w:b/>
        </w:rPr>
        <w:t>15</w:t>
      </w:r>
      <w:r>
        <w:rPr>
          <w:b/>
          <w:vertAlign w:val="superscript"/>
        </w:rPr>
        <w:t>th</w:t>
      </w:r>
      <w:r>
        <w:rPr>
          <w:b/>
        </w:rPr>
        <w:t xml:space="preserve"> spot among 27 EU Member States</w:t>
      </w:r>
      <w:r>
        <w:t xml:space="preserve">, one place higher than its 2021 ranking. Notably, </w:t>
      </w:r>
      <w:r>
        <w:rPr>
          <w:u w:val="single"/>
        </w:rPr>
        <w:t>55% of the population possesses basic digital skills, with 29% having skills above the basic level</w:t>
      </w:r>
      <w:r>
        <w:t xml:space="preserve">. While these figures align closely with the EU average of 54% and 26%, respectively, Portugal excels in fixed </w:t>
      </w:r>
      <w:r>
        <w:lastRenderedPageBreak/>
        <w:t xml:space="preserve">broadband access but trails in mobile data subscriptions and 5G deployment. In terms of </w:t>
      </w:r>
      <w:r>
        <w:rPr>
          <w:b/>
        </w:rPr>
        <w:t>gender and digital skills,</w:t>
      </w:r>
      <w:r>
        <w:t xml:space="preserve"> </w:t>
      </w:r>
      <w:r>
        <w:rPr>
          <w:u w:val="single"/>
        </w:rPr>
        <w:t>Portugal surpasses the EU average with 21% of ICT specialists being women, compared to 19% across the EU</w:t>
      </w:r>
      <w:r w:rsidRPr="009F3F65">
        <w:rPr>
          <w:rStyle w:val="FootnoteReference"/>
          <w:u w:val="single"/>
          <w:lang w:val="en-GB"/>
        </w:rPr>
        <w:footnoteReference w:id="52"/>
      </w:r>
      <w:r>
        <w:rPr>
          <w:u w:val="single"/>
        </w:rPr>
        <w:t>.</w:t>
      </w:r>
    </w:p>
    <w:p w:rsidRPr="009F3F65" w:rsidR="003130C2" w:rsidP="003130C2" w:rsidRDefault="003130C2" w14:paraId="76FFCE31" w14:textId="77777777">
      <w:pPr>
        <w:rPr>
          <w:lang w:val="en-GB"/>
        </w:rPr>
      </w:pPr>
    </w:p>
    <w:p w:rsidRPr="009F3F65" w:rsidR="003130C2" w:rsidP="003130C2" w:rsidRDefault="003130C2" w14:paraId="4E961979" w14:textId="77777777">
      <w:pPr>
        <w:rPr>
          <w:color w:val="333333"/>
        </w:rPr>
      </w:pPr>
      <w:r>
        <w:t xml:space="preserve">In line with objective 4, Portugal established the </w:t>
      </w:r>
      <w:r>
        <w:rPr>
          <w:b/>
        </w:rPr>
        <w:t xml:space="preserve">Portugal Digital Skills and Jobs Coalition (CPED) </w:t>
      </w:r>
      <w:r>
        <w:t xml:space="preserve">in 2015. Relaunched at the beginning of 2021, CPED currently brings together </w:t>
      </w:r>
      <w:r>
        <w:rPr>
          <w:b/>
        </w:rPr>
        <w:t>37 entities</w:t>
      </w:r>
      <w:r>
        <w:t xml:space="preserve">, ranging from </w:t>
      </w:r>
      <w:r>
        <w:rPr>
          <w:u w:val="single"/>
        </w:rPr>
        <w:t>governmental bodies and public institutions to a diverse array of private entities, associations, companies, non-governmental organisations (NGOs), university centres, and industry confederations</w:t>
      </w:r>
      <w:r>
        <w:t>. This initiative is dedicated to enhancing digital skills and employability across Portugal, serving as a hub for digital training and job opportunities</w:t>
      </w:r>
      <w:r>
        <w:rPr>
          <w:color w:val="333333"/>
        </w:rPr>
        <w:t>.</w:t>
      </w:r>
    </w:p>
    <w:p w:rsidRPr="009F3F65" w:rsidR="003130C2" w:rsidP="003130C2" w:rsidRDefault="003130C2" w14:paraId="6F5C118B" w14:textId="77777777">
      <w:pPr>
        <w:rPr>
          <w:color w:val="333333"/>
          <w:lang w:val="en-GB"/>
        </w:rPr>
      </w:pPr>
    </w:p>
    <w:p w:rsidRPr="009F3F65" w:rsidR="003130C2" w:rsidP="003130C2" w:rsidRDefault="003130C2" w14:paraId="3A19F27D" w14:textId="77777777">
      <w:r>
        <w:t xml:space="preserve">The platform has contributed to significant initiatives such as the </w:t>
      </w:r>
      <w:r>
        <w:rPr>
          <w:b/>
        </w:rPr>
        <w:t>InCode2030 Programme</w:t>
      </w:r>
      <w:r>
        <w:t xml:space="preserve">, </w:t>
      </w:r>
      <w:r>
        <w:rPr>
          <w:b/>
        </w:rPr>
        <w:t>Creative Communities for Digital Inclusion (CCDI)</w:t>
      </w:r>
      <w:r>
        <w:t xml:space="preserve">, and the </w:t>
      </w:r>
      <w:r>
        <w:rPr>
          <w:b/>
        </w:rPr>
        <w:t>Eu Sou Digital programme</w:t>
      </w:r>
      <w:r>
        <w:t xml:space="preserve"> for digital inclusion, skills development and public awareness</w:t>
      </w:r>
      <w:r w:rsidRPr="009F3F65">
        <w:rPr>
          <w:rStyle w:val="FootnoteReference"/>
          <w:lang w:val="en-GB"/>
        </w:rPr>
        <w:footnoteReference w:id="53"/>
      </w:r>
      <w:r>
        <w:t>.</w:t>
      </w:r>
    </w:p>
    <w:p w:rsidRPr="009F3F65" w:rsidR="003130C2" w:rsidP="003130C2" w:rsidRDefault="003130C2" w14:paraId="10787BF5" w14:textId="77777777">
      <w:pPr>
        <w:rPr>
          <w:lang w:val="en-GB"/>
        </w:rPr>
      </w:pPr>
    </w:p>
    <w:p w:rsidRPr="009F3F65" w:rsidR="003130C2" w:rsidP="003130C2" w:rsidRDefault="003130C2" w14:paraId="7938119C" w14:textId="77777777">
      <w:pPr>
        <w:rPr>
          <w:lang w:val="en-GB"/>
        </w:rPr>
      </w:pPr>
    </w:p>
    <w:p w:rsidRPr="009F3F65" w:rsidR="003130C2" w:rsidP="003130C2" w:rsidRDefault="003130C2" w14:paraId="770882EE" w14:textId="77777777">
      <w:pPr>
        <w:rPr>
          <w:lang w:val="en-GB"/>
        </w:rPr>
      </w:pPr>
    </w:p>
    <w:p w:rsidRPr="009F3F65" w:rsidR="003130C2" w:rsidP="003130C2" w:rsidRDefault="003130C2" w14:paraId="1C93EF01" w14:textId="77777777">
      <w:pPr>
        <w:pStyle w:val="Footer"/>
        <w:rPr>
          <w:b/>
          <w:bCs/>
          <w:u w:val="single"/>
        </w:rPr>
      </w:pPr>
      <w:r>
        <w:rPr>
          <w:b/>
          <w:u w:val="single"/>
        </w:rPr>
        <w:t>Objective 5 – Deployment and Best Use of Digital Capacity and Interoperability</w:t>
      </w:r>
    </w:p>
    <w:p w:rsidRPr="009F3F65" w:rsidR="003130C2" w:rsidP="003130C2" w:rsidRDefault="003130C2" w14:paraId="7244CDA8" w14:textId="77777777">
      <w:pPr>
        <w:pStyle w:val="Footer"/>
        <w:rPr>
          <w:lang w:val="en-GB"/>
        </w:rPr>
      </w:pPr>
    </w:p>
    <w:p w:rsidRPr="009F3F65" w:rsidR="003130C2" w:rsidP="003130C2" w:rsidRDefault="003130C2" w14:paraId="54928D22" w14:textId="77777777">
      <w:r>
        <w:t xml:space="preserve">The 2023 Digital Decade Country Report reveals that </w:t>
      </w:r>
      <w:r>
        <w:rPr>
          <w:b/>
        </w:rPr>
        <w:t>70% of Portuguese SMEs have at least a basic level of digital intensity, surpassing the EU average of 69%.</w:t>
      </w:r>
      <w:r>
        <w:t xml:space="preserve"> Enterprises using cloud and big data represent 11% and 29% respectively, trailing the EU average of 14% and 34%. However, Portuguese businesses using AI account for 17%, more than twice the EU average.</w:t>
      </w:r>
    </w:p>
    <w:p w:rsidRPr="009F3F65" w:rsidR="003130C2" w:rsidP="003130C2" w:rsidRDefault="003130C2" w14:paraId="153D28CC" w14:textId="77777777">
      <w:pPr>
        <w:rPr>
          <w:lang w:val="en-GB"/>
        </w:rPr>
      </w:pPr>
    </w:p>
    <w:p w:rsidRPr="009F3F65" w:rsidR="003130C2" w:rsidP="003130C2" w:rsidRDefault="003130C2" w14:paraId="6652CC9C" w14:textId="77777777">
      <w:r>
        <w:t xml:space="preserve">Regarding the </w:t>
      </w:r>
      <w:r>
        <w:rPr>
          <w:b/>
        </w:rPr>
        <w:t>digitalisation of public services</w:t>
      </w:r>
      <w:r>
        <w:t xml:space="preserve">, since 2023, </w:t>
      </w:r>
      <w:r>
        <w:rPr>
          <w:u w:val="single"/>
        </w:rPr>
        <w:t>81% of the Portuguese population have been e-government users</w:t>
      </w:r>
      <w:r>
        <w:t>. The country has made digitalising public services a centrepiece of its administrative modernisation by cutting red tape and using ICT to deliver better public service</w:t>
      </w:r>
      <w:r w:rsidRPr="009F3F65">
        <w:rPr>
          <w:rStyle w:val="FootnoteReference"/>
          <w:lang w:val="en-GB"/>
        </w:rPr>
        <w:footnoteReference w:id="54"/>
      </w:r>
      <w:r>
        <w:t>.</w:t>
      </w:r>
    </w:p>
    <w:p w:rsidRPr="009F3F65" w:rsidR="003130C2" w:rsidP="003130C2" w:rsidRDefault="003130C2" w14:paraId="118066D9" w14:textId="77777777">
      <w:pPr>
        <w:pStyle w:val="Footer"/>
        <w:rPr>
          <w:lang w:val="en-GB"/>
        </w:rPr>
      </w:pPr>
    </w:p>
    <w:p w:rsidRPr="009F3F65" w:rsidR="003130C2" w:rsidP="003130C2" w:rsidRDefault="003130C2" w14:paraId="05F65513" w14:textId="77777777">
      <w:r>
        <w:t xml:space="preserve">In line with these achievements, Portugal, together with other 20 countries, is a member of the </w:t>
      </w:r>
      <w:r>
        <w:rPr>
          <w:b/>
        </w:rPr>
        <w:t>POTENTIAL</w:t>
      </w:r>
      <w:r>
        <w:t xml:space="preserve"> </w:t>
      </w:r>
      <w:r>
        <w:rPr>
          <w:b/>
        </w:rPr>
        <w:t>European consortium</w:t>
      </w:r>
      <w:r>
        <w:t xml:space="preserve"> funded by the Digital Europe Programme to test </w:t>
      </w:r>
      <w:r>
        <w:rPr>
          <w:b/>
        </w:rPr>
        <w:t>the European digital identity wallets</w:t>
      </w:r>
      <w:r>
        <w:t>, which are to be launched in conjunction with the revision of the eIDAS Regulation.</w:t>
      </w:r>
    </w:p>
    <w:p w:rsidRPr="009F3F65" w:rsidR="003130C2" w:rsidP="003130C2" w:rsidRDefault="003130C2" w14:paraId="562A5CE5" w14:textId="77777777">
      <w:pPr>
        <w:rPr>
          <w:lang w:val="en-GB"/>
        </w:rPr>
      </w:pPr>
    </w:p>
    <w:p w:rsidRPr="009F3F65" w:rsidR="003130C2" w:rsidP="003130C2" w:rsidRDefault="003130C2" w14:paraId="323A905D" w14:textId="77777777">
      <w:r>
        <w:t xml:space="preserve">At the core of advancing digitalisation for both SMEs and public services within the Digital Europe Programme lies the pivotal role of </w:t>
      </w:r>
      <w:r>
        <w:rPr>
          <w:b/>
        </w:rPr>
        <w:t>Digital Innovation Hubs (DIHs).</w:t>
      </w:r>
      <w:r>
        <w:t xml:space="preserve"> </w:t>
      </w:r>
      <w:r>
        <w:rPr>
          <w:u w:val="single"/>
        </w:rPr>
        <w:t>These hubs serve as collaborative networks comprising specialised digital competence centres, aimed at disseminating and promoting the adoption of cutting-edge digital technologies, particularly among SMEs</w:t>
      </w:r>
      <w:r>
        <w:t>.</w:t>
      </w:r>
    </w:p>
    <w:p w:rsidRPr="009F3F65" w:rsidR="003130C2" w:rsidP="003130C2" w:rsidRDefault="003130C2" w14:paraId="0BC10B17" w14:textId="77777777">
      <w:pPr>
        <w:rPr>
          <w:lang w:val="en-GB"/>
        </w:rPr>
      </w:pPr>
    </w:p>
    <w:p w:rsidRPr="009F3F65" w:rsidR="003130C2" w:rsidP="003130C2" w:rsidRDefault="003130C2" w14:paraId="07D339E4" w14:textId="77777777">
      <w:pPr>
        <w:rPr>
          <w:u w:val="single"/>
        </w:rPr>
      </w:pPr>
      <w:r>
        <w:rPr>
          <w:u w:val="single"/>
        </w:rPr>
        <w:t>In Portugal, key organisations spearheading this initiative include the Directorate-General for Economic Activities (DGAE), the National Innovation Agency (ANI), the Portugal Digital technical structure (EMPD), and the Portuguese Agency for Competitiveness and Innovation (IAPMEI).</w:t>
      </w:r>
    </w:p>
    <w:p w:rsidRPr="009F3F65" w:rsidR="003130C2" w:rsidP="003130C2" w:rsidRDefault="003130C2" w14:paraId="4D608CB6" w14:textId="77777777">
      <w:pPr>
        <w:spacing w:line="240" w:lineRule="auto"/>
        <w:rPr>
          <w:lang w:val="en-GB"/>
        </w:rPr>
      </w:pPr>
    </w:p>
    <w:p w:rsidRPr="009F3F65" w:rsidR="003130C2" w:rsidP="003130C2" w:rsidRDefault="003130C2" w14:paraId="0C02F464" w14:textId="77777777">
      <w:r>
        <w:t xml:space="preserve">Currently, </w:t>
      </w:r>
      <w:r>
        <w:rPr>
          <w:b/>
        </w:rPr>
        <w:t>Portugal boasts 17 nationally recognised DIHs</w:t>
      </w:r>
      <w:r>
        <w:t>, playing a pivotal role in supporting the digital transformation journey of small and mid-sized Portuguese companies and public administration entities. These DIHs serve as invaluable resources, demystifying digital concepts, sharing knowledge, developing skills, showcasing solutions, facilitating financing, nurturing relationships and partnerships, and fostering entrepreneurship</w:t>
      </w:r>
      <w:r w:rsidRPr="009F3F65">
        <w:rPr>
          <w:rStyle w:val="FootnoteReference"/>
          <w:lang w:val="en-GB"/>
        </w:rPr>
        <w:footnoteReference w:id="55"/>
      </w:r>
      <w:r>
        <w:t>.</w:t>
      </w:r>
    </w:p>
    <w:p w:rsidRPr="009F3F65" w:rsidR="003130C2" w:rsidP="003130C2" w:rsidRDefault="003130C2" w14:paraId="686664BC" w14:textId="77777777">
      <w:pPr>
        <w:rPr>
          <w:lang w:val="en-GB"/>
        </w:rPr>
      </w:pPr>
    </w:p>
    <w:p w:rsidRPr="009F3F65" w:rsidR="003130C2" w:rsidP="003130C2" w:rsidRDefault="003130C2" w14:paraId="3B337A48" w14:textId="77777777">
      <w:pPr>
        <w:rPr>
          <w:b/>
          <w:bCs/>
        </w:rPr>
      </w:pPr>
      <w:r>
        <w:t xml:space="preserve">An exemplary DIH in Portugal is </w:t>
      </w:r>
      <w:r>
        <w:rPr>
          <w:b/>
        </w:rPr>
        <w:t>AI4PA Portugal – Artificial Intelligence &amp; Data Science for Public Administration Portugal Innovation Hub</w:t>
      </w:r>
      <w:r>
        <w:t xml:space="preserve">. Coordinated by the </w:t>
      </w:r>
      <w:r>
        <w:rPr>
          <w:b/>
        </w:rPr>
        <w:t>Portuguese Administrative Modernisation Agency (AMA),</w:t>
      </w:r>
      <w:r>
        <w:t xml:space="preserve"> this DIH is dedicated to </w:t>
      </w:r>
      <w:r>
        <w:rPr>
          <w:u w:val="single"/>
        </w:rPr>
        <w:t>supporting the digital transition of public administration entities.</w:t>
      </w:r>
    </w:p>
    <w:p w:rsidRPr="009F3F65" w:rsidR="003130C2" w:rsidP="003130C2" w:rsidRDefault="003130C2" w14:paraId="40E6EAE8" w14:textId="77777777">
      <w:pPr>
        <w:rPr>
          <w:lang w:val="en-GB"/>
        </w:rPr>
      </w:pPr>
    </w:p>
    <w:p w:rsidRPr="00B47B36" w:rsidR="003130C2" w:rsidP="003130C2" w:rsidRDefault="003130C2" w14:paraId="75CE9C72" w14:textId="77777777">
      <w:pPr>
        <w:pStyle w:val="NoSpacing"/>
        <w:numPr>
          <w:ilvl w:val="0"/>
          <w:numId w:val="6"/>
        </w:numPr>
        <w:spacing w:line="300" w:lineRule="exact"/>
        <w:jc w:val="both"/>
        <w:rPr>
          <w:b/>
          <w:bCs/>
          <w:u w:val="single"/>
        </w:rPr>
      </w:pPr>
      <w:r>
        <w:rPr>
          <w:b/>
          <w:u w:val="single"/>
        </w:rPr>
        <w:t>Sweden</w:t>
      </w:r>
    </w:p>
    <w:p w:rsidRPr="00B47B36" w:rsidR="003130C2" w:rsidP="003130C2" w:rsidRDefault="003130C2" w14:paraId="1254BD46" w14:textId="77777777">
      <w:pPr>
        <w:pStyle w:val="NoSpacing"/>
        <w:spacing w:line="300" w:lineRule="exact"/>
        <w:jc w:val="both"/>
        <w:rPr>
          <w:lang w:val="en-GB"/>
        </w:rPr>
      </w:pPr>
    </w:p>
    <w:p w:rsidRPr="009F3F65" w:rsidR="003130C2" w:rsidP="003130C2" w:rsidRDefault="003130C2" w14:paraId="57EDE3A5" w14:textId="77777777">
      <w:pPr>
        <w:pStyle w:val="Footer"/>
        <w:rPr>
          <w:b/>
          <w:bCs/>
          <w:u w:val="single"/>
        </w:rPr>
      </w:pPr>
      <w:r>
        <w:rPr>
          <w:b/>
          <w:u w:val="single"/>
        </w:rPr>
        <w:t>Specific Objective 1 – High Performance Computing</w:t>
      </w:r>
    </w:p>
    <w:p w:rsidRPr="009F3F65" w:rsidR="003130C2" w:rsidP="003130C2" w:rsidRDefault="003130C2" w14:paraId="5C431A24" w14:textId="77777777">
      <w:pPr>
        <w:pStyle w:val="Footer"/>
        <w:rPr>
          <w:lang w:val="en-GB"/>
        </w:rPr>
      </w:pPr>
    </w:p>
    <w:p w:rsidRPr="009F3F65" w:rsidR="003130C2" w:rsidP="003130C2" w:rsidRDefault="003130C2" w14:paraId="154EB1D2" w14:textId="77777777">
      <w:r>
        <w:t xml:space="preserve">Through the EuroHPC JU, Linköping University (LiU) was selected as the host institution for </w:t>
      </w:r>
      <w:r>
        <w:rPr>
          <w:b/>
        </w:rPr>
        <w:t>Arrhenius, a mid-range supercomputer</w:t>
      </w:r>
      <w:r>
        <w:t xml:space="preserve">, to be developed in the coming years in Sweden. Arrhenius capabilities will extend to handling AI/ML and other demanding applications requiring </w:t>
      </w:r>
      <w:r>
        <w:rPr>
          <w:b/>
        </w:rPr>
        <w:t>high memory bandwidth and swift data transfer</w:t>
      </w:r>
      <w:r>
        <w:t>, all while ensuring top-tier security and data integrity</w:t>
      </w:r>
      <w:r w:rsidRPr="009F3F65">
        <w:rPr>
          <w:rStyle w:val="FootnoteReference"/>
          <w:lang w:val="en-GB"/>
        </w:rPr>
        <w:footnoteReference w:id="56"/>
      </w:r>
      <w:r>
        <w:t>.</w:t>
      </w:r>
    </w:p>
    <w:p w:rsidRPr="00B47B36" w:rsidR="003130C2" w:rsidP="003130C2" w:rsidRDefault="003130C2" w14:paraId="0708777F" w14:textId="77777777">
      <w:pPr>
        <w:pStyle w:val="NoSpacing"/>
        <w:jc w:val="both"/>
        <w:rPr>
          <w:rFonts w:cs="Times New Roman"/>
          <w:lang w:val="en-GB"/>
        </w:rPr>
      </w:pPr>
    </w:p>
    <w:p w:rsidRPr="009F3F65" w:rsidR="003130C2" w:rsidP="003130C2" w:rsidRDefault="003130C2" w14:paraId="6ADCEB12" w14:textId="77777777">
      <w:r>
        <w:t xml:space="preserve">Linköping University, home to both the </w:t>
      </w:r>
      <w:r>
        <w:rPr>
          <w:b/>
        </w:rPr>
        <w:t>Swedish</w:t>
      </w:r>
      <w:r>
        <w:t xml:space="preserve"> </w:t>
      </w:r>
      <w:r>
        <w:rPr>
          <w:b/>
        </w:rPr>
        <w:t>National AI Research Centre (NAISS)</w:t>
      </w:r>
      <w:r>
        <w:t xml:space="preserve"> and </w:t>
      </w:r>
      <w:r>
        <w:rPr>
          <w:b/>
        </w:rPr>
        <w:t>EuroHPC JU</w:t>
      </w:r>
      <w:r>
        <w:t xml:space="preserve">, will take ownership of Arrhenius. The machine is co-funded by EuroHPC JU through the </w:t>
      </w:r>
      <w:r>
        <w:rPr>
          <w:b/>
        </w:rPr>
        <w:t>Digital Europe Programme</w:t>
      </w:r>
      <w:r>
        <w:t xml:space="preserve"> and the </w:t>
      </w:r>
      <w:r>
        <w:rPr>
          <w:b/>
        </w:rPr>
        <w:t>Swedish Research Council’s</w:t>
      </w:r>
      <w:r>
        <w:t xml:space="preserve"> </w:t>
      </w:r>
      <w:r>
        <w:rPr>
          <w:b/>
        </w:rPr>
        <w:t>infrastructure research funding</w:t>
      </w:r>
      <w:r>
        <w:t>.</w:t>
      </w:r>
    </w:p>
    <w:p w:rsidRPr="00B47B36" w:rsidR="003130C2" w:rsidP="003130C2" w:rsidRDefault="003130C2" w14:paraId="38330AA0" w14:textId="77777777">
      <w:pPr>
        <w:pStyle w:val="NoSpacing"/>
        <w:jc w:val="both"/>
        <w:rPr>
          <w:rFonts w:cs="Times New Roman"/>
          <w:lang w:val="en-GB"/>
        </w:rPr>
      </w:pPr>
    </w:p>
    <w:p w:rsidRPr="009F3F65" w:rsidR="003130C2" w:rsidP="003130C2" w:rsidRDefault="003130C2" w14:paraId="192B63FC" w14:textId="77777777">
      <w:pPr>
        <w:pStyle w:val="Footer"/>
        <w:rPr>
          <w:b/>
          <w:bCs/>
          <w:u w:val="single"/>
        </w:rPr>
      </w:pPr>
      <w:r>
        <w:rPr>
          <w:b/>
          <w:u w:val="single"/>
        </w:rPr>
        <w:t>Specific Objective 2 – Artificial Intelligence</w:t>
      </w:r>
    </w:p>
    <w:p w:rsidRPr="009F3F65" w:rsidR="003130C2" w:rsidP="003130C2" w:rsidRDefault="003130C2" w14:paraId="30A77571" w14:textId="77777777">
      <w:pPr>
        <w:pStyle w:val="Footer"/>
        <w:rPr>
          <w:lang w:val="en-GB"/>
        </w:rPr>
      </w:pPr>
    </w:p>
    <w:p w:rsidRPr="009F3F65" w:rsidR="003130C2" w:rsidP="003130C2" w:rsidRDefault="003130C2" w14:paraId="2351410D" w14:textId="77777777">
      <w:pPr>
        <w:pStyle w:val="Footer"/>
      </w:pPr>
      <w:r>
        <w:t>Among the main projects financed under objective 2 in Sweden are the following:</w:t>
      </w:r>
    </w:p>
    <w:p w:rsidRPr="009F3F65" w:rsidR="003130C2" w:rsidP="003130C2" w:rsidRDefault="003130C2" w14:paraId="7F3950C2" w14:textId="77777777">
      <w:pPr>
        <w:pStyle w:val="Footer"/>
        <w:numPr>
          <w:ilvl w:val="0"/>
          <w:numId w:val="8"/>
        </w:numPr>
      </w:pPr>
      <w:r>
        <w:t>The</w:t>
      </w:r>
      <w:r>
        <w:rPr>
          <w:b/>
        </w:rPr>
        <w:t xml:space="preserve"> AI sectorial Testing and Experimentation Facilities (TEFs)</w:t>
      </w:r>
      <w:r>
        <w:t>, large-scale reference sites to test and experiment with AI solutions;</w:t>
      </w:r>
    </w:p>
    <w:p w:rsidRPr="009F3F65" w:rsidR="003130C2" w:rsidP="003130C2" w:rsidRDefault="003130C2" w14:paraId="54DC15CA" w14:textId="77777777">
      <w:pPr>
        <w:pStyle w:val="Footer"/>
        <w:numPr>
          <w:ilvl w:val="0"/>
          <w:numId w:val="8"/>
        </w:numPr>
      </w:pPr>
      <w:r>
        <w:t>The</w:t>
      </w:r>
      <w:r>
        <w:rPr>
          <w:b/>
        </w:rPr>
        <w:t xml:space="preserve"> Important Projects of Common European Interest (IPCEI)</w:t>
      </w:r>
      <w:r>
        <w:t xml:space="preserve"> to promote collaboration among Member States in cutting-edge microelectronics and communication projects;</w:t>
      </w:r>
    </w:p>
    <w:p w:rsidRPr="009F3F65" w:rsidR="003130C2" w:rsidP="003130C2" w:rsidRDefault="003130C2" w14:paraId="1A3CD534" w14:textId="77777777">
      <w:pPr>
        <w:pStyle w:val="Footer"/>
        <w:numPr>
          <w:ilvl w:val="0"/>
          <w:numId w:val="8"/>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p>
    <w:p w:rsidRPr="009F3F65" w:rsidR="003130C2" w:rsidP="003130C2" w:rsidRDefault="003130C2" w14:paraId="2ACBF82B" w14:textId="77777777">
      <w:pPr>
        <w:pStyle w:val="Footer"/>
        <w:numPr>
          <w:ilvl w:val="0"/>
          <w:numId w:val="8"/>
        </w:numPr>
      </w:pPr>
      <w:r>
        <w:rPr>
          <w:b/>
        </w:rPr>
        <w:t>CitiVerse</w:t>
      </w:r>
      <w:r>
        <w:t>, building on the smart communities’ data infrastructure to develop the different layers of VR/AR worlds</w:t>
      </w:r>
      <w:r w:rsidRPr="009F3F65">
        <w:rPr>
          <w:rStyle w:val="FootnoteReference"/>
          <w:lang w:val="en-GB"/>
        </w:rPr>
        <w:footnoteReference w:id="57"/>
      </w:r>
      <w:r>
        <w:t>.</w:t>
      </w:r>
    </w:p>
    <w:p w:rsidRPr="00B47B36" w:rsidR="003130C2" w:rsidP="003130C2" w:rsidRDefault="003130C2" w14:paraId="6DFC6003" w14:textId="77777777">
      <w:pPr>
        <w:pStyle w:val="NoSpacing"/>
        <w:jc w:val="both"/>
        <w:rPr>
          <w:rFonts w:cs="Times New Roman"/>
          <w:lang w:val="en-GB"/>
        </w:rPr>
      </w:pPr>
    </w:p>
    <w:p w:rsidRPr="009F3F65" w:rsidR="003130C2" w:rsidP="003130C2" w:rsidRDefault="003130C2" w14:paraId="05FC3D7E" w14:textId="77777777">
      <w:r>
        <w:t>Some of these projects come under the 2023-2024 work programme and are assessed through grant applications. As a consequence, their specific assessments of Sweden are yet to be determined.</w:t>
      </w:r>
    </w:p>
    <w:p w:rsidRPr="009F3F65" w:rsidR="003130C2" w:rsidP="003130C2" w:rsidRDefault="003130C2" w14:paraId="38CFBB8D" w14:textId="77777777">
      <w:pPr>
        <w:rPr>
          <w:lang w:val="en-GB"/>
        </w:rPr>
      </w:pPr>
    </w:p>
    <w:p w:rsidRPr="009F3F65" w:rsidR="003130C2" w:rsidP="003130C2" w:rsidRDefault="003130C2" w14:paraId="145AF395" w14:textId="77777777">
      <w:r>
        <w:lastRenderedPageBreak/>
        <w:t xml:space="preserve">Nevertheless, concerning the status of AI in Sweden, the government unveiled its </w:t>
      </w:r>
      <w:r>
        <w:rPr>
          <w:b/>
        </w:rPr>
        <w:t>national AI strategy</w:t>
      </w:r>
      <w:r>
        <w:t xml:space="preserve"> entitled the </w:t>
      </w:r>
      <w:r>
        <w:rPr>
          <w:i/>
        </w:rPr>
        <w:t>National Approach for Artificial Intelligence</w:t>
      </w:r>
      <w:r>
        <w:t xml:space="preserve"> in May 2018, with a primary focus on key areas such as </w:t>
      </w:r>
      <w:r>
        <w:rPr>
          <w:b/>
        </w:rPr>
        <w:t>education, research, innovation and infrastructure</w:t>
      </w:r>
      <w:r>
        <w:t>.</w:t>
      </w:r>
    </w:p>
    <w:p w:rsidRPr="009F3F65" w:rsidR="003130C2" w:rsidP="003130C2" w:rsidRDefault="003130C2" w14:paraId="003F4910" w14:textId="77777777">
      <w:pPr>
        <w:rPr>
          <w:lang w:val="en-GB"/>
        </w:rPr>
      </w:pPr>
    </w:p>
    <w:p w:rsidRPr="009F3F65" w:rsidR="003130C2" w:rsidP="003130C2" w:rsidRDefault="003130C2" w14:paraId="16E2AB8E" w14:textId="77777777">
      <w:r>
        <w:t xml:space="preserve">Furthermore, a report from </w:t>
      </w:r>
      <w:r>
        <w:rPr>
          <w:b/>
        </w:rPr>
        <w:t>Vinnova</w:t>
      </w:r>
      <w:r>
        <w:t xml:space="preserve">, Sweden’s innovation agency, released in the same year, shed light on the state of Swedish AI, noting significant </w:t>
      </w:r>
      <w:r>
        <w:rPr>
          <w:u w:val="single"/>
        </w:rPr>
        <w:t>progress in internet platforms, image recognition, and automated translation</w:t>
      </w:r>
      <w:r>
        <w:t xml:space="preserve">. Despite these advancements, the practical application of AI was deemed </w:t>
      </w:r>
      <w:r>
        <w:rPr>
          <w:u w:val="single"/>
        </w:rPr>
        <w:t>limited in various business sectors and public activities</w:t>
      </w:r>
      <w:r>
        <w:t xml:space="preserve"> in 2018. While Sweden boasts a technology-friendly population and robust infrastructure, challenges remain, including limited recruitment of AI talent and a deficit in digital business model expertise</w:t>
      </w:r>
      <w:r w:rsidRPr="009F3F65">
        <w:rPr>
          <w:rStyle w:val="FootnoteReference"/>
          <w:lang w:val="en-GB"/>
        </w:rPr>
        <w:footnoteReference w:id="58"/>
      </w:r>
      <w:r>
        <w:t>.</w:t>
      </w:r>
    </w:p>
    <w:p w:rsidRPr="00B47B36" w:rsidR="003130C2" w:rsidP="003130C2" w:rsidRDefault="003130C2" w14:paraId="10DC17AB" w14:textId="77777777">
      <w:pPr>
        <w:pStyle w:val="NoSpacing"/>
        <w:rPr>
          <w:lang w:val="en-GB"/>
        </w:rPr>
      </w:pPr>
    </w:p>
    <w:p w:rsidRPr="009F3F65" w:rsidR="003130C2" w:rsidP="003130C2" w:rsidRDefault="003130C2" w14:paraId="6684BBFD" w14:textId="77777777">
      <w:pPr>
        <w:pStyle w:val="Footer"/>
        <w:rPr>
          <w:b/>
          <w:bCs/>
          <w:u w:val="single"/>
        </w:rPr>
      </w:pPr>
      <w:r>
        <w:rPr>
          <w:b/>
          <w:u w:val="single"/>
        </w:rPr>
        <w:t>Specific Objective 3 – Cybersecurity and Trust</w:t>
      </w:r>
    </w:p>
    <w:p w:rsidRPr="009F3F65" w:rsidR="003130C2" w:rsidP="003130C2" w:rsidRDefault="003130C2" w14:paraId="0D2CC624" w14:textId="77777777">
      <w:pPr>
        <w:pStyle w:val="Footer"/>
        <w:rPr>
          <w:lang w:val="en-GB"/>
        </w:rPr>
      </w:pPr>
    </w:p>
    <w:p w:rsidRPr="009F3F65" w:rsidR="003130C2" w:rsidP="003130C2" w:rsidRDefault="003130C2" w14:paraId="09BA07FB" w14:textId="77777777">
      <w:r>
        <w:t xml:space="preserve">In Sweden, the </w:t>
      </w:r>
      <w:r>
        <w:rPr>
          <w:b/>
        </w:rPr>
        <w:t>Swedish National Coordination Centre for cybersecurity research and innovation (NCC-SE)</w:t>
      </w:r>
      <w:r>
        <w:t xml:space="preserve"> facilitates EU initiatives, fosters sectoral connections, and offers guidance on EU calls for tender</w:t>
      </w:r>
      <w:r w:rsidRPr="009F3F65">
        <w:rPr>
          <w:rStyle w:val="FootnoteReference"/>
          <w:lang w:val="en-GB"/>
        </w:rPr>
        <w:footnoteReference w:id="59"/>
      </w:r>
      <w:r>
        <w:t>.</w:t>
      </w:r>
    </w:p>
    <w:p w:rsidRPr="009F3F65" w:rsidR="003130C2" w:rsidP="003130C2" w:rsidRDefault="003130C2" w14:paraId="40D0E4CD" w14:textId="77777777">
      <w:pPr>
        <w:rPr>
          <w:lang w:val="en-GB"/>
        </w:rPr>
      </w:pPr>
    </w:p>
    <w:p w:rsidRPr="009F3F65" w:rsidR="003130C2" w:rsidP="003130C2" w:rsidRDefault="003130C2" w14:paraId="28E6644A" w14:textId="77777777">
      <w:r>
        <w:t xml:space="preserve">Objective 3 also includes the establishment of a </w:t>
      </w:r>
      <w:r>
        <w:rPr>
          <w:b/>
        </w:rPr>
        <w:t>secure quantum communication infrastructure for the EU (EuroQCI)</w:t>
      </w:r>
      <w:r>
        <w:t xml:space="preserve">, to which Sweden and other Member States have committed. Additionally, the Cybersecurity 2023-2024 work programme include joint actions to create an advanced threat detection and cyber incident analysis ecosystem by building the capacities of </w:t>
      </w:r>
      <w:r>
        <w:rPr>
          <w:b/>
        </w:rPr>
        <w:t>Security Operation Centres (SOCs), National SOCs and Cross-Border SOC platforms</w:t>
      </w:r>
      <w:r w:rsidRPr="009F3F65">
        <w:rPr>
          <w:rStyle w:val="FootnoteReference"/>
          <w:lang w:val="en-GB"/>
        </w:rPr>
        <w:footnoteReference w:id="60"/>
      </w:r>
      <w:r>
        <w:t>.</w:t>
      </w:r>
    </w:p>
    <w:p w:rsidRPr="009F3F65" w:rsidR="003130C2" w:rsidP="003130C2" w:rsidRDefault="003130C2" w14:paraId="29A2403A" w14:textId="77777777">
      <w:r>
        <w:t>Sweden initiated the creation of the</w:t>
      </w:r>
      <w:r>
        <w:rPr>
          <w:b/>
        </w:rPr>
        <w:t xml:space="preserve"> National Cyber Security Centre</w:t>
      </w:r>
      <w:r>
        <w:t xml:space="preserve"> in 2021, managed through government directives by the FRA, the Swedish Armed Forces, the Swedish Civil Contingencies Agency (MSB), and Swedish Security Service</w:t>
      </w:r>
      <w:r w:rsidRPr="009F3F65">
        <w:rPr>
          <w:rStyle w:val="FootnoteReference"/>
          <w:lang w:val="en-GB"/>
        </w:rPr>
        <w:footnoteReference w:id="61"/>
      </w:r>
      <w:r>
        <w:t>.</w:t>
      </w:r>
    </w:p>
    <w:p w:rsidRPr="00B47B36" w:rsidR="003130C2" w:rsidP="003130C2" w:rsidRDefault="003130C2" w14:paraId="5086C6A3" w14:textId="77777777">
      <w:pPr>
        <w:pStyle w:val="NoSpacing"/>
        <w:jc w:val="both"/>
        <w:rPr>
          <w:b/>
          <w:bCs/>
          <w:u w:val="single"/>
          <w:lang w:val="en-GB"/>
        </w:rPr>
      </w:pPr>
    </w:p>
    <w:p w:rsidRPr="00B47B36" w:rsidR="003130C2" w:rsidP="003130C2" w:rsidRDefault="003130C2" w14:paraId="5D7F45B0" w14:textId="77777777">
      <w:pPr>
        <w:pStyle w:val="NoSpacing"/>
        <w:jc w:val="both"/>
        <w:rPr>
          <w:b/>
          <w:bCs/>
          <w:u w:val="single"/>
        </w:rPr>
      </w:pPr>
      <w:r>
        <w:rPr>
          <w:b/>
          <w:u w:val="single"/>
        </w:rPr>
        <w:t>Specific Objective 4 – Advanced Digital Skills</w:t>
      </w:r>
    </w:p>
    <w:p w:rsidRPr="00B47B36" w:rsidR="003130C2" w:rsidP="003130C2" w:rsidRDefault="003130C2" w14:paraId="76A14F0B" w14:textId="77777777">
      <w:pPr>
        <w:pStyle w:val="NoSpacing"/>
        <w:jc w:val="both"/>
        <w:rPr>
          <w:sz w:val="24"/>
          <w:szCs w:val="24"/>
          <w:lang w:val="en-GB"/>
        </w:rPr>
      </w:pPr>
    </w:p>
    <w:p w:rsidRPr="009F3F65" w:rsidR="003130C2" w:rsidP="003130C2" w:rsidRDefault="003130C2" w14:paraId="25625E98" w14:textId="77777777">
      <w:pPr>
        <w:rPr>
          <w:u w:val="single"/>
        </w:rPr>
      </w:pPr>
      <w:r>
        <w:t>The</w:t>
      </w:r>
      <w:r>
        <w:rPr>
          <w:b/>
        </w:rPr>
        <w:t xml:space="preserve"> JRC report on Academic Offer of Advanced Digital Skills in 2020-21</w:t>
      </w:r>
      <w:r>
        <w:t xml:space="preserve"> highlights Sweden’s significant contribution, despite a slight decline compared to previous years. Sweden is among the EU Member States offering a substantial number of </w:t>
      </w:r>
      <w:r>
        <w:rPr>
          <w:u w:val="single"/>
        </w:rPr>
        <w:t>master’s programmes in Artificial Intelligence (82), High Performance Computing (23), and Cybersecurity (30)</w:t>
      </w:r>
      <w:r>
        <w:rPr>
          <w:rStyle w:val="FootnoteReference"/>
        </w:rPr>
        <w:t xml:space="preserve"> </w:t>
      </w:r>
      <w:r w:rsidRPr="009F3F65">
        <w:rPr>
          <w:rStyle w:val="FootnoteReference"/>
          <w:lang w:val="en-GB"/>
        </w:rPr>
        <w:footnoteReference w:id="62"/>
      </w:r>
      <w:r>
        <w:t>.</w:t>
      </w:r>
    </w:p>
    <w:p w:rsidRPr="009F3F65" w:rsidR="003130C2" w:rsidP="003130C2" w:rsidRDefault="003130C2" w14:paraId="49D3C1F6" w14:textId="77777777">
      <w:pPr>
        <w:rPr>
          <w:lang w:val="en-GB"/>
        </w:rPr>
      </w:pPr>
    </w:p>
    <w:p w:rsidRPr="009F3F65" w:rsidR="003130C2" w:rsidP="003130C2" w:rsidRDefault="003130C2" w14:paraId="5BC4E4EA" w14:textId="77777777">
      <w:pPr>
        <w:rPr>
          <w:u w:val="single"/>
        </w:rPr>
      </w:pPr>
      <w:r>
        <w:t>Furthermore, Sweden ranked 4</w:t>
      </w:r>
      <w:r>
        <w:rPr>
          <w:vertAlign w:val="superscript"/>
        </w:rPr>
        <w:t>th</w:t>
      </w:r>
      <w:r>
        <w:t xml:space="preserve"> out of 27 EU Member States in </w:t>
      </w:r>
      <w:r>
        <w:rPr>
          <w:b/>
        </w:rPr>
        <w:t>the 2022 Digital Economy and Society Index (DESI),</w:t>
      </w:r>
      <w:r>
        <w:t xml:space="preserve"> demonstrating a strong overall performance, particularly in human capital. </w:t>
      </w:r>
      <w:r>
        <w:rPr>
          <w:u w:val="single"/>
        </w:rPr>
        <w:t>The country boasted high levels of basic (67%) and above basic (36%) digital skills among its general population.</w:t>
      </w:r>
    </w:p>
    <w:p w:rsidRPr="009F3F65" w:rsidR="003130C2" w:rsidP="003130C2" w:rsidRDefault="003130C2" w14:paraId="2B8ECA16" w14:textId="77777777">
      <w:pPr>
        <w:rPr>
          <w:u w:val="single"/>
          <w:lang w:val="en-GB"/>
        </w:rPr>
      </w:pPr>
    </w:p>
    <w:p w:rsidRPr="009F3F65" w:rsidR="003130C2" w:rsidP="003130C2" w:rsidRDefault="003130C2" w14:paraId="1FEB891B" w14:textId="77777777">
      <w:r>
        <w:t>However, Sweden had slipped to 9</w:t>
      </w:r>
      <w:r>
        <w:rPr>
          <w:vertAlign w:val="superscript"/>
        </w:rPr>
        <w:t>th</w:t>
      </w:r>
      <w:r>
        <w:t xml:space="preserve"> place in terms of connectivity, scoring below the EU average in 5G coverage, with only 18% coverage in populated areas compared to the EU average of 66%. Nevertheless, </w:t>
      </w:r>
      <w:r>
        <w:rPr>
          <w:u w:val="single"/>
        </w:rPr>
        <w:t xml:space="preserve">Sweden stood out for its digitalised SMEs, with 86% having a basic level of digital intensity, and its </w:t>
      </w:r>
      <w:r>
        <w:rPr>
          <w:u w:val="single"/>
        </w:rPr>
        <w:lastRenderedPageBreak/>
        <w:t>overall digital transformation of businesses</w:t>
      </w:r>
      <w:r w:rsidRPr="009F3F65">
        <w:rPr>
          <w:rStyle w:val="FootnoteReference"/>
          <w:lang w:val="en-GB"/>
        </w:rPr>
        <w:footnoteReference w:id="63"/>
      </w:r>
      <w:r>
        <w:t xml:space="preserve">. Regarding </w:t>
      </w:r>
      <w:r>
        <w:rPr>
          <w:b/>
        </w:rPr>
        <w:t>gender and digital skills</w:t>
      </w:r>
      <w:r>
        <w:t xml:space="preserve">, the </w:t>
      </w:r>
      <w:r>
        <w:rPr>
          <w:b/>
        </w:rPr>
        <w:t>2023 Digital Decade Country Report on Sweden</w:t>
      </w:r>
      <w:r>
        <w:t xml:space="preserve"> indicated that </w:t>
      </w:r>
      <w:r>
        <w:rPr>
          <w:u w:val="single"/>
        </w:rPr>
        <w:t>the share of women among ICT specialists was above the EU average at 22.9% (compared to 18.9%)</w:t>
      </w:r>
      <w:r w:rsidRPr="009F3F65">
        <w:rPr>
          <w:rStyle w:val="FootnoteReference"/>
          <w:lang w:val="en-GB"/>
        </w:rPr>
        <w:footnoteReference w:id="64"/>
      </w:r>
      <w:r>
        <w:t>.</w:t>
      </w:r>
    </w:p>
    <w:p w:rsidRPr="009F3F65" w:rsidR="003130C2" w:rsidP="003130C2" w:rsidRDefault="003130C2" w14:paraId="29F7A5DB" w14:textId="77777777">
      <w:pPr>
        <w:rPr>
          <w:lang w:val="en-GB"/>
        </w:rPr>
      </w:pPr>
    </w:p>
    <w:p w:rsidRPr="009F3F65" w:rsidR="003130C2" w:rsidP="003130C2" w:rsidRDefault="003130C2" w14:paraId="1CA27C42" w14:textId="77777777">
      <w:r>
        <w:t xml:space="preserve">In line with objective 4, Sweden established the </w:t>
      </w:r>
      <w:r>
        <w:rPr>
          <w:b/>
        </w:rPr>
        <w:t>Swedish National Digital Skills and Jobs Coalition</w:t>
      </w:r>
      <w:r>
        <w:t xml:space="preserve"> in 2018, which has steadily grown since it was set up. This coalition serves as a </w:t>
      </w:r>
      <w:r>
        <w:rPr>
          <w:b/>
        </w:rPr>
        <w:t>multi-stakeholder partnership, fostering digital skills development and enhancing overall digital competence</w:t>
      </w:r>
      <w:r>
        <w:t xml:space="preserve"> in Sweden. It also </w:t>
      </w:r>
      <w:r>
        <w:rPr>
          <w:b/>
        </w:rPr>
        <w:t>facilitates funding opportunities</w:t>
      </w:r>
      <w:r>
        <w:t xml:space="preserve"> for upskilling and reskilling, supporting individuals and organisations with loans, grants, and financial instruments</w:t>
      </w:r>
      <w:r w:rsidRPr="009F3F65">
        <w:rPr>
          <w:rStyle w:val="FootnoteReference"/>
          <w:lang w:val="en-GB"/>
        </w:rPr>
        <w:footnoteReference w:id="65"/>
      </w:r>
      <w:r>
        <w:t>.</w:t>
      </w:r>
    </w:p>
    <w:p w:rsidRPr="009F3F65" w:rsidR="003130C2" w:rsidP="003130C2" w:rsidRDefault="003130C2" w14:paraId="20859E36" w14:textId="77777777">
      <w:pPr>
        <w:rPr>
          <w:lang w:val="en-GB"/>
        </w:rPr>
      </w:pPr>
    </w:p>
    <w:p w:rsidRPr="00B47B36" w:rsidR="003130C2" w:rsidP="003130C2" w:rsidRDefault="003130C2" w14:paraId="411333DE" w14:textId="77777777">
      <w:pPr>
        <w:pStyle w:val="NoSpacing"/>
        <w:jc w:val="both"/>
        <w:rPr>
          <w:rFonts w:cs="Times New Roman"/>
          <w:b/>
          <w:bCs/>
          <w:u w:val="single"/>
        </w:rPr>
      </w:pPr>
      <w:r>
        <w:rPr>
          <w:b/>
          <w:u w:val="single"/>
        </w:rPr>
        <w:t>Specific Objective 5 – Deployment and Best Use of Digital Capacity and Interoperability</w:t>
      </w:r>
    </w:p>
    <w:p w:rsidRPr="00B47B36" w:rsidR="003130C2" w:rsidP="003130C2" w:rsidRDefault="003130C2" w14:paraId="18B9929C" w14:textId="77777777">
      <w:pPr>
        <w:pStyle w:val="NoSpacing"/>
        <w:jc w:val="both"/>
        <w:rPr>
          <w:rFonts w:cs="Times New Roman"/>
          <w:lang w:val="en-GB"/>
        </w:rPr>
      </w:pPr>
    </w:p>
    <w:p w:rsidRPr="009F3F65" w:rsidR="003130C2" w:rsidP="003130C2" w:rsidRDefault="003130C2" w14:paraId="223A1EAD" w14:textId="77777777">
      <w:r>
        <w:t xml:space="preserve">In Sweden, </w:t>
      </w:r>
      <w:r>
        <w:rPr>
          <w:b/>
        </w:rPr>
        <w:t>Bronn Innovation</w:t>
      </w:r>
      <w:r>
        <w:t xml:space="preserve"> serves as one of the primary actors for </w:t>
      </w:r>
      <w:r>
        <w:rPr>
          <w:b/>
        </w:rPr>
        <w:t>GovTech initiatives</w:t>
      </w:r>
      <w:r>
        <w:t>, functioning as Västernorrland’s IT cluster and Digital Innovation Hub, where around 100 private and public entities work together to promote growth and regional development</w:t>
      </w:r>
      <w:r w:rsidRPr="009F3F65">
        <w:rPr>
          <w:rStyle w:val="FootnoteReference"/>
          <w:lang w:val="en-GB"/>
        </w:rPr>
        <w:footnoteReference w:id="66"/>
      </w:r>
      <w:r>
        <w:t>.</w:t>
      </w:r>
    </w:p>
    <w:p w:rsidRPr="009F3F65" w:rsidR="003130C2" w:rsidP="003130C2" w:rsidRDefault="003130C2" w14:paraId="2AB78893" w14:textId="77777777">
      <w:pPr>
        <w:rPr>
          <w:lang w:val="en-GB"/>
        </w:rPr>
      </w:pPr>
    </w:p>
    <w:p w:rsidRPr="009F3F65" w:rsidR="003130C2" w:rsidP="003130C2" w:rsidRDefault="003130C2" w14:paraId="5DFF2BF1" w14:textId="77777777">
      <w:r>
        <w:t xml:space="preserve">Another important tool is </w:t>
      </w:r>
      <w:r>
        <w:rPr>
          <w:b/>
        </w:rPr>
        <w:t>DigIT Hub Sweden</w:t>
      </w:r>
      <w:r>
        <w:t>, an existing regional Digital Innovation Hub operating in Skåne and Blekinge since 2020. Its overarching goals include boosting growth and productivity for SMEs in the manufacturing sector through digitalisation and driving digital transformation in the public sector</w:t>
      </w:r>
      <w:r w:rsidRPr="009F3F65">
        <w:rPr>
          <w:rStyle w:val="FootnoteReference"/>
          <w:lang w:val="en-GB"/>
        </w:rPr>
        <w:footnoteReference w:id="67"/>
      </w:r>
      <w:r>
        <w:t>.</w:t>
      </w:r>
    </w:p>
    <w:p w:rsidRPr="009F3F65" w:rsidR="003130C2" w:rsidP="003130C2" w:rsidRDefault="003130C2" w14:paraId="2145B3C4" w14:textId="77777777">
      <w:pPr>
        <w:rPr>
          <w:lang w:val="en-GB"/>
        </w:rPr>
      </w:pPr>
    </w:p>
    <w:p w:rsidRPr="009F3F65" w:rsidR="003130C2" w:rsidP="003130C2" w:rsidRDefault="003130C2" w14:paraId="0A0E194F" w14:textId="77777777">
      <w:r>
        <w:t xml:space="preserve">Sweden also hosts three ongoing </w:t>
      </w:r>
      <w:r>
        <w:rPr>
          <w:b/>
        </w:rPr>
        <w:t>European Digital Innovation Hub projects</w:t>
      </w:r>
      <w:r>
        <w:t xml:space="preserve"> established in partnership with </w:t>
      </w:r>
      <w:r>
        <w:rPr>
          <w:b/>
        </w:rPr>
        <w:t>EuroHPC:</w:t>
      </w:r>
    </w:p>
    <w:p w:rsidRPr="009F3F65" w:rsidR="003130C2" w:rsidP="003130C2" w:rsidRDefault="003130C2" w14:paraId="59ED9A87" w14:textId="77777777">
      <w:pPr>
        <w:pStyle w:val="Footer"/>
        <w:numPr>
          <w:ilvl w:val="0"/>
          <w:numId w:val="9"/>
        </w:numPr>
      </w:pPr>
      <w:r>
        <w:rPr>
          <w:b/>
        </w:rPr>
        <w:t>CEEC – Centre of Excellence for Exascale CFD</w:t>
      </w:r>
      <w:r>
        <w:t>: implementing exascale-ready workflows to address future exascale system challenges</w:t>
      </w:r>
      <w:r w:rsidRPr="009F3F65">
        <w:rPr>
          <w:rStyle w:val="FootnoteReference"/>
          <w:lang w:val="en-GB"/>
        </w:rPr>
        <w:footnoteReference w:id="68"/>
      </w:r>
      <w:r>
        <w:t>.</w:t>
      </w:r>
    </w:p>
    <w:p w:rsidRPr="009F3F65" w:rsidR="003130C2" w:rsidP="003130C2" w:rsidRDefault="003130C2" w14:paraId="0B4E1B0B" w14:textId="77777777">
      <w:pPr>
        <w:pStyle w:val="Footer"/>
        <w:numPr>
          <w:ilvl w:val="0"/>
          <w:numId w:val="9"/>
        </w:numPr>
      </w:pPr>
      <w:r>
        <w:rPr>
          <w:b/>
        </w:rPr>
        <w:t>BioExcel – Centre of Excellence for Computational Biomolecular Research</w:t>
      </w:r>
      <w:r>
        <w:t xml:space="preserve"> – a major innovation hub for scientific computing, focusing on biomolecular modelling and simulations, and providing support services to the life science research communities.</w:t>
      </w:r>
      <w:r>
        <w:rPr>
          <w:rStyle w:val="FootnoteReference"/>
        </w:rPr>
        <w:t xml:space="preserve"> </w:t>
      </w:r>
    </w:p>
    <w:p w:rsidRPr="009F3F65" w:rsidR="003130C2" w:rsidP="003130C2" w:rsidRDefault="003130C2" w14:paraId="4E701AFC" w14:textId="77777777">
      <w:pPr>
        <w:pStyle w:val="Footer"/>
        <w:numPr>
          <w:ilvl w:val="0"/>
          <w:numId w:val="9"/>
        </w:numPr>
      </w:pPr>
      <w:r>
        <w:rPr>
          <w:b/>
        </w:rPr>
        <w:t>Plasma-PEPSC – Plasma Exascale-Performance Simulations Centre of Excellence</w:t>
      </w:r>
      <w:r>
        <w:t>: enabling scientific breakthroughs in plasma science through exascale computing and extreme-scale data analytics</w:t>
      </w:r>
      <w:r w:rsidRPr="009F3F65">
        <w:rPr>
          <w:rStyle w:val="FootnoteReference"/>
          <w:lang w:val="en-GB"/>
        </w:rPr>
        <w:footnoteReference w:id="69"/>
      </w:r>
      <w:r>
        <w:t>.</w:t>
      </w:r>
    </w:p>
    <w:p w:rsidRPr="009F3F65" w:rsidR="003130C2" w:rsidP="003130C2" w:rsidRDefault="003130C2" w14:paraId="3DC812E8" w14:textId="77777777">
      <w:pPr>
        <w:pStyle w:val="Footer"/>
        <w:rPr>
          <w:lang w:val="en-GB"/>
        </w:rPr>
      </w:pPr>
    </w:p>
    <w:p w:rsidRPr="009F3F65" w:rsidR="003130C2" w:rsidP="003130C2" w:rsidRDefault="003130C2" w14:paraId="3F8A348F" w14:textId="77777777">
      <w:r>
        <w:t xml:space="preserve">Finally, in terms of </w:t>
      </w:r>
      <w:r>
        <w:rPr>
          <w:b/>
        </w:rPr>
        <w:t>public rankings of digital skills</w:t>
      </w:r>
      <w:r>
        <w:t>, Sweden was ranked 9</w:t>
      </w:r>
      <w:r>
        <w:rPr>
          <w:vertAlign w:val="superscript"/>
        </w:rPr>
        <w:t>th</w:t>
      </w:r>
      <w:r>
        <w:t xml:space="preserve"> in 2022 on digital public services, with the </w:t>
      </w:r>
      <w:r>
        <w:rPr>
          <w:b/>
        </w:rPr>
        <w:t>highest proportion of e-government users in the EU</w:t>
      </w:r>
      <w:r>
        <w:t xml:space="preserve">. </w:t>
      </w:r>
      <w:r>
        <w:rPr>
          <w:u w:val="single"/>
        </w:rPr>
        <w:t xml:space="preserve">The Digital Decade Country Report 2023 reaffirmed Sweden’s prowess in online provision of key public services for citizens and businesses, with </w:t>
      </w:r>
      <w:r>
        <w:rPr>
          <w:b/>
          <w:u w:val="single"/>
        </w:rPr>
        <w:t>most public administrations offering online interactions</w:t>
      </w:r>
      <w:r w:rsidRPr="009F3F65">
        <w:rPr>
          <w:rStyle w:val="FootnoteReference"/>
          <w:lang w:val="en-GB"/>
        </w:rPr>
        <w:footnoteReference w:id="70"/>
      </w:r>
      <w:r>
        <w:t>.</w:t>
      </w:r>
    </w:p>
    <w:p w:rsidRPr="009F3F65" w:rsidR="003130C2" w:rsidP="003130C2" w:rsidRDefault="003130C2" w14:paraId="340F2977" w14:textId="77777777">
      <w:pPr>
        <w:pStyle w:val="Footer"/>
        <w:rPr>
          <w:lang w:val="en-GB"/>
        </w:rPr>
      </w:pPr>
    </w:p>
    <w:p w:rsidRPr="009F3F65" w:rsidR="003130C2" w:rsidP="003130C2" w:rsidRDefault="003130C2" w14:paraId="44B69A10" w14:textId="77777777">
      <w:pPr>
        <w:pStyle w:val="Heading1"/>
        <w:spacing w:after="120" w:line="300" w:lineRule="exact"/>
        <w:rPr>
          <w:b/>
          <w:bCs/>
        </w:rPr>
      </w:pPr>
      <w:bookmarkStart w:name="_Toc125632262" w:id="9"/>
      <w:bookmarkStart w:name="_Toc174452843" w:id="10"/>
      <w:r>
        <w:rPr>
          <w:b/>
        </w:rPr>
        <w:lastRenderedPageBreak/>
        <w:t>Primary data: findings and analysis</w:t>
      </w:r>
      <w:bookmarkEnd w:id="9"/>
      <w:bookmarkEnd w:id="10"/>
    </w:p>
    <w:p w:rsidRPr="009F3F65" w:rsidR="003130C2" w:rsidP="003130C2" w:rsidRDefault="003130C2" w14:paraId="2C413DDE" w14:textId="77777777">
      <w:pPr>
        <w:rPr>
          <w:lang w:val="en-GB"/>
        </w:rPr>
      </w:pPr>
    </w:p>
    <w:p w:rsidRPr="009F3F65" w:rsidR="003130C2" w:rsidP="003130C2" w:rsidRDefault="003130C2" w14:paraId="5DEF3042" w14:textId="77777777">
      <w:pPr>
        <w:pStyle w:val="Heading2"/>
        <w:rPr>
          <w:b/>
          <w:u w:val="single"/>
        </w:rPr>
      </w:pPr>
      <w:bookmarkStart w:name="_Toc125732190" w:id="11"/>
      <w:bookmarkStart w:name="_Toc174452844" w:id="12"/>
      <w:r>
        <w:rPr>
          <w:b/>
          <w:u w:val="single"/>
        </w:rPr>
        <w:t>Effectiveness</w:t>
      </w:r>
      <w:bookmarkEnd w:id="11"/>
      <w:bookmarkEnd w:id="12"/>
    </w:p>
    <w:p w:rsidRPr="009F3F65" w:rsidR="003130C2" w:rsidP="003130C2" w:rsidRDefault="003130C2" w14:paraId="3C1B402C" w14:textId="77777777">
      <w:pPr>
        <w:spacing w:after="120" w:line="300" w:lineRule="exact"/>
        <w:rPr>
          <w:color w:val="000000"/>
          <w:lang w:val="en-GB"/>
        </w:rPr>
      </w:pPr>
    </w:p>
    <w:tbl>
      <w:tblPr>
        <w:tblStyle w:val="TableGrid"/>
        <w:tblW w:w="0" w:type="auto"/>
        <w:tblLook w:val="04A0" w:firstRow="1" w:lastRow="0" w:firstColumn="1" w:lastColumn="0" w:noHBand="0" w:noVBand="1"/>
      </w:tblPr>
      <w:tblGrid>
        <w:gridCol w:w="9061"/>
      </w:tblGrid>
      <w:tr w:rsidRPr="00B47B36" w:rsidR="003130C2" w:rsidTr="00F32872" w14:paraId="65512A2F" w14:textId="77777777">
        <w:tc>
          <w:tcPr>
            <w:tcW w:w="9063" w:type="dxa"/>
          </w:tcPr>
          <w:p w:rsidRPr="00B47B36" w:rsidR="003130C2" w:rsidP="00F32872" w:rsidRDefault="003130C2" w14:paraId="7C79BCE9" w14:textId="77777777">
            <w:pPr>
              <w:spacing w:after="120" w:line="300" w:lineRule="exact"/>
            </w:pPr>
            <w:r>
              <w:t xml:space="preserve">According to the European Commission Better Regulation toolbox, the criterion of effectiveness </w:t>
            </w:r>
            <w:r>
              <w:rPr>
                <w:i/>
              </w:rPr>
              <w:t>‘considers how successful EU action has been in achieving or progressing towards its objectives’</w:t>
            </w:r>
            <w:r>
              <w:t>.</w:t>
            </w:r>
          </w:p>
        </w:tc>
      </w:tr>
    </w:tbl>
    <w:p w:rsidRPr="009F3F65" w:rsidR="003130C2" w:rsidP="003130C2" w:rsidRDefault="003130C2" w14:paraId="75CC2A82" w14:textId="77777777">
      <w:pPr>
        <w:rPr>
          <w:lang w:val="en-GB"/>
        </w:rPr>
      </w:pPr>
    </w:p>
    <w:p w:rsidRPr="009F3F65" w:rsidR="003130C2" w:rsidP="003130C2" w:rsidRDefault="003130C2" w14:paraId="3487AA79" w14:textId="77777777">
      <w:r>
        <w:t xml:space="preserve">When asked about the </w:t>
      </w:r>
      <w:r>
        <w:rPr>
          <w:u w:val="single"/>
        </w:rPr>
        <w:t>effectiveness of DEP activities in shaping the digital transformation of Europe’s society and economy so far</w:t>
      </w:r>
      <w:r>
        <w:t xml:space="preserve"> (</w:t>
      </w:r>
      <w:r>
        <w:rPr>
          <w:b/>
        </w:rPr>
        <w:t>question 1</w:t>
      </w:r>
      <w:r>
        <w:t>), most respondents held the view that these activities had been ‘moderately effective’ (58% or 25 respondents), whilst 28% answered ‘unsure’, 9% ‘not very effective’ and 5% ‘very effective’.</w:t>
      </w:r>
    </w:p>
    <w:p w:rsidRPr="009F3F65" w:rsidR="003130C2" w:rsidP="003130C2" w:rsidRDefault="003130C2" w14:paraId="53A3B780" w14:textId="77777777">
      <w:pPr>
        <w:rPr>
          <w:lang w:val="en-GB"/>
        </w:rPr>
      </w:pPr>
    </w:p>
    <w:p w:rsidRPr="009F3F65" w:rsidR="003130C2" w:rsidP="003130C2" w:rsidRDefault="003130C2" w14:paraId="4AC397A5" w14:textId="77777777">
      <w:pPr>
        <w:jc w:val="center"/>
      </w:pPr>
      <w:r>
        <w:rPr>
          <w:noProof/>
        </w:rPr>
        <w:drawing>
          <wp:inline distT="0" distB="0" distL="0" distR="0" wp14:anchorId="407CDBE7" wp14:editId="110D0842">
            <wp:extent cx="4864735" cy="2737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64735" cy="2737485"/>
                    </a:xfrm>
                    <a:prstGeom prst="rect">
                      <a:avLst/>
                    </a:prstGeom>
                    <a:noFill/>
                  </pic:spPr>
                </pic:pic>
              </a:graphicData>
            </a:graphic>
          </wp:inline>
        </w:drawing>
      </w:r>
    </w:p>
    <w:p w:rsidRPr="009F3F65" w:rsidR="003130C2" w:rsidP="003130C2" w:rsidRDefault="003130C2" w14:paraId="4C9D6F3B" w14:textId="77777777">
      <w:pPr>
        <w:jc w:val="center"/>
        <w:rPr>
          <w:sz w:val="20"/>
        </w:rPr>
      </w:pPr>
      <w:r>
        <w:rPr>
          <w:b/>
          <w:color w:val="5B9BD5" w:themeColor="accent1"/>
          <w:sz w:val="20"/>
        </w:rPr>
        <w:t>Figure 3.</w:t>
      </w:r>
      <w:r>
        <w:rPr>
          <w:color w:val="5B9BD5" w:themeColor="accent1"/>
          <w:sz w:val="20"/>
        </w:rPr>
        <w:t xml:space="preserve"> Effectiveness of DEP activities – general.</w:t>
      </w:r>
    </w:p>
    <w:p w:rsidRPr="009F3F65" w:rsidR="003130C2" w:rsidP="003130C2" w:rsidRDefault="003130C2" w14:paraId="4EC0FF8D" w14:textId="77777777">
      <w:pPr>
        <w:rPr>
          <w:lang w:val="en-GB"/>
        </w:rPr>
      </w:pPr>
    </w:p>
    <w:p w:rsidRPr="009F3F65" w:rsidR="003130C2" w:rsidP="003130C2" w:rsidRDefault="003130C2" w14:paraId="5D18AB3F" w14:textId="77777777">
      <w:r>
        <w:t>Looking across countries, the German respondents seemed to assess the effectiveness of the DEP activities the most positively, with 73% considering that the activities had been ‘moderately effective’ and 13% ‘very effective’. In addition, most Polish (63%), Swedish (50% or 5 persons) and Portuguese (50% or 2 persons) respondents thought that the activities had been ‘moderately effective’, whilst 67% or 4 Maltese respondents and 40% or 4 Swedish respondents answered ‘unsure’.</w:t>
      </w:r>
    </w:p>
    <w:p w:rsidRPr="009F3F65" w:rsidR="003130C2" w:rsidP="003130C2" w:rsidRDefault="003130C2" w14:paraId="166E86BA" w14:textId="77777777">
      <w:pPr>
        <w:pStyle w:val="Footer"/>
        <w:rPr>
          <w:lang w:val="en-GB"/>
        </w:rPr>
      </w:pPr>
    </w:p>
    <w:p w:rsidRPr="009F3F65" w:rsidR="003130C2" w:rsidP="003130C2" w:rsidRDefault="003130C2" w14:paraId="29334432" w14:textId="77777777">
      <w:pPr>
        <w:pStyle w:val="Footer"/>
        <w:jc w:val="center"/>
      </w:pPr>
      <w:r>
        <w:rPr>
          <w:noProof/>
        </w:rPr>
        <w:lastRenderedPageBreak/>
        <w:drawing>
          <wp:inline distT="0" distB="0" distL="0" distR="0" wp14:anchorId="3C028F90" wp14:editId="494A5B02">
            <wp:extent cx="5303366" cy="2770003"/>
            <wp:effectExtent l="0" t="0" r="12065" b="11430"/>
            <wp:docPr id="3" name="Chart 3">
              <a:extLst xmlns:a="http://schemas.openxmlformats.org/drawingml/2006/main">
                <a:ext uri="{FF2B5EF4-FFF2-40B4-BE49-F238E27FC236}">
                  <a16:creationId xmlns:a16="http://schemas.microsoft.com/office/drawing/2014/main" id="{B2E1F83A-1C4B-426A-BF08-3DB91D706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Pr="009F3F65" w:rsidR="003130C2" w:rsidP="003130C2" w:rsidRDefault="003130C2" w14:paraId="2ECBF59A" w14:textId="77777777">
      <w:pPr>
        <w:pStyle w:val="Footer"/>
        <w:jc w:val="center"/>
        <w:rPr>
          <w:b/>
          <w:bCs/>
          <w:sz w:val="20"/>
        </w:rPr>
      </w:pPr>
      <w:r>
        <w:rPr>
          <w:b/>
          <w:color w:val="5B9BD5" w:themeColor="accent1"/>
          <w:sz w:val="20"/>
        </w:rPr>
        <w:t xml:space="preserve">Figure 4. </w:t>
      </w:r>
      <w:r>
        <w:rPr>
          <w:color w:val="5B9BD5" w:themeColor="accent1"/>
          <w:sz w:val="20"/>
        </w:rPr>
        <w:t>Effectiveness of DEP activities – by country.</w:t>
      </w:r>
    </w:p>
    <w:p w:rsidRPr="009F3F65" w:rsidR="003130C2" w:rsidP="003130C2" w:rsidRDefault="003130C2" w14:paraId="6199DAB4" w14:textId="77777777">
      <w:pPr>
        <w:pStyle w:val="Footer"/>
        <w:rPr>
          <w:lang w:val="en-GB"/>
        </w:rPr>
      </w:pPr>
    </w:p>
    <w:p w:rsidRPr="009F3F65" w:rsidR="003130C2" w:rsidP="003130C2" w:rsidRDefault="003130C2" w14:paraId="66680959" w14:textId="77777777">
      <w:pPr>
        <w:pStyle w:val="Footer"/>
      </w:pPr>
      <w:r>
        <w:t xml:space="preserve">During the semi-structured interviews, representatives from the </w:t>
      </w:r>
      <w:r>
        <w:rPr>
          <w:b/>
        </w:rPr>
        <w:t>German</w:t>
      </w:r>
      <w:r>
        <w:t xml:space="preserve"> public authorities, despite them being in the early stages of implementation, noted </w:t>
      </w:r>
      <w:r>
        <w:rPr>
          <w:b/>
        </w:rPr>
        <w:t>the positive effects of the DEP</w:t>
      </w:r>
      <w:r>
        <w:t xml:space="preserve"> in providing funding to strategic digital initiatives (e.g. 50% coverage of EUR 500 million budget for HPC JUPITER initiative via the EUROHPC Joint Undertaking, with the rest of the budget covered by national and Westphalia region funding; advanced digital skills development; cybersecurity; Data Spaces; and Destination Earth aimed at developing a high precision digital model of the Earth to monitor and simulate natural phenomena and related human activities).</w:t>
      </w:r>
    </w:p>
    <w:p w:rsidRPr="009F3F65" w:rsidR="003130C2" w:rsidP="003130C2" w:rsidRDefault="003130C2" w14:paraId="403B92FE" w14:textId="77777777">
      <w:pPr>
        <w:pStyle w:val="Footer"/>
        <w:rPr>
          <w:lang w:val="en-GB"/>
        </w:rPr>
      </w:pPr>
    </w:p>
    <w:p w:rsidRPr="009F3F65" w:rsidR="003130C2" w:rsidP="003130C2" w:rsidRDefault="003130C2" w14:paraId="4882F72F" w14:textId="77777777">
      <w:pPr>
        <w:pStyle w:val="Footer"/>
      </w:pPr>
      <w:r>
        <w:t xml:space="preserve">The </w:t>
      </w:r>
      <w:r>
        <w:rPr>
          <w:b/>
        </w:rPr>
        <w:t>Maltese</w:t>
      </w:r>
      <w:r>
        <w:t xml:space="preserve"> stakeholders agreed that the DEP </w:t>
      </w:r>
      <w:r>
        <w:rPr>
          <w:b/>
        </w:rPr>
        <w:t>is crucial for driving innovation and the digital transition</w:t>
      </w:r>
      <w:r>
        <w:t>. Participants highlighted its important role in enhancing digital skills, supporting start-ups and MSMEs. They stressed the importance of continued support and improvement for long-term success.</w:t>
      </w:r>
    </w:p>
    <w:p w:rsidRPr="009F3F65" w:rsidR="003130C2" w:rsidP="003130C2" w:rsidRDefault="003130C2" w14:paraId="6351A8E7" w14:textId="77777777">
      <w:pPr>
        <w:pStyle w:val="Footer"/>
        <w:rPr>
          <w:lang w:val="en-GB"/>
        </w:rPr>
      </w:pPr>
    </w:p>
    <w:p w:rsidRPr="009F3F65" w:rsidR="003130C2" w:rsidP="003130C2" w:rsidRDefault="003130C2" w14:paraId="4EC99629" w14:textId="77777777">
      <w:pPr>
        <w:pStyle w:val="Footer"/>
      </w:pPr>
      <w:r>
        <w:t xml:space="preserve">In addition, the </w:t>
      </w:r>
      <w:r>
        <w:rPr>
          <w:b/>
        </w:rPr>
        <w:t>Portuguese</w:t>
      </w:r>
      <w:r>
        <w:t xml:space="preserve"> stakeholders agreed that, despite challenges, </w:t>
      </w:r>
      <w:r>
        <w:rPr>
          <w:b/>
        </w:rPr>
        <w:t xml:space="preserve">the DEP is crucial for driving innovation and the digital transition. </w:t>
      </w:r>
      <w:r>
        <w:t>Participants emphasised its role in enhancing digital skills, supporting start-ups and SMEs, and maintaining Europe’s competitiveness. They stressed the importance of continued support and improvement for long-term success.</w:t>
      </w:r>
    </w:p>
    <w:p w:rsidRPr="009F3F65" w:rsidR="003130C2" w:rsidP="003130C2" w:rsidRDefault="003130C2" w14:paraId="2692807B" w14:textId="77777777">
      <w:pPr>
        <w:pStyle w:val="Footer"/>
        <w:rPr>
          <w:lang w:val="en-GB"/>
        </w:rPr>
      </w:pPr>
    </w:p>
    <w:p w:rsidRPr="009F3F65" w:rsidR="003130C2" w:rsidP="003130C2" w:rsidRDefault="003130C2" w14:paraId="5D57C380" w14:textId="77777777">
      <w:pPr>
        <w:pStyle w:val="Footer"/>
      </w:pPr>
      <w:r>
        <w:t xml:space="preserve">Furthermore, a representative from the </w:t>
      </w:r>
      <w:r>
        <w:rPr>
          <w:b/>
        </w:rPr>
        <w:t>Maltese</w:t>
      </w:r>
      <w:r>
        <w:t xml:space="preserve"> public authorities put a strong emphasis on the suggestion that, if the DEP is to be successful, there is </w:t>
      </w:r>
      <w:r>
        <w:rPr>
          <w:b/>
        </w:rPr>
        <w:t>a strategic need to ensure continuous industry engagement</w:t>
      </w:r>
      <w:r>
        <w:t xml:space="preserve">, especially to allow it to understand how to benefit from such a programme and be prepared to tackle the green transition and related regulatory requirements through clean technologies. </w:t>
      </w:r>
      <w:r>
        <w:rPr>
          <w:b/>
        </w:rPr>
        <w:t>The</w:t>
      </w:r>
      <w:r>
        <w:t xml:space="preserve"> </w:t>
      </w:r>
      <w:r>
        <w:rPr>
          <w:b/>
        </w:rPr>
        <w:t>importance of foreign investments in the EU economy from third countries</w:t>
      </w:r>
      <w:r>
        <w:t xml:space="preserve"> was also stressed. To this end, EU programmes, such as the DEP, should become more flexible and attractive in order to allow and support such investments.</w:t>
      </w:r>
    </w:p>
    <w:p w:rsidRPr="009F3F65" w:rsidR="003130C2" w:rsidP="003130C2" w:rsidRDefault="003130C2" w14:paraId="0AF3F705" w14:textId="77777777">
      <w:pPr>
        <w:pStyle w:val="Footer"/>
        <w:rPr>
          <w:lang w:val="en-GB"/>
        </w:rPr>
      </w:pPr>
    </w:p>
    <w:p w:rsidRPr="009F3F65" w:rsidR="003130C2" w:rsidP="003130C2" w:rsidRDefault="003130C2" w14:paraId="4C583569" w14:textId="77777777">
      <w:pPr>
        <w:pStyle w:val="Footer"/>
      </w:pPr>
      <w:r>
        <w:t xml:space="preserve">During the semi-structured interviews in </w:t>
      </w:r>
      <w:r>
        <w:rPr>
          <w:b/>
        </w:rPr>
        <w:t>Poland</w:t>
      </w:r>
      <w:r>
        <w:t xml:space="preserve">, representatives from the public authorities </w:t>
      </w:r>
      <w:r>
        <w:rPr>
          <w:b/>
        </w:rPr>
        <w:t>appreciated the strategic role of the DEP</w:t>
      </w:r>
      <w:r>
        <w:t xml:space="preserve">, aimed at tackling and supporting the European digital transformation. In this regard, they pointed out the clear convergence of EU digital policy priorities, </w:t>
      </w:r>
      <w:r>
        <w:lastRenderedPageBreak/>
        <w:t xml:space="preserve">Polish digital priorities and the aims of the Digital Europe Programme (e.g. AI, semiconductors, skills development in cybersecurity, increased diversity and female participation, online safety of children and young people). Nevertheless, the participants highlighted </w:t>
      </w:r>
      <w:r>
        <w:rPr>
          <w:b/>
        </w:rPr>
        <w:t>the importance of ensuring the interoperability of the different key priorities of the DEP with other policies, such as energy, climate and environment</w:t>
      </w:r>
      <w:r>
        <w:t>, in order to tackle the different challenges that individual EU countries might be facing.</w:t>
      </w:r>
    </w:p>
    <w:p w:rsidRPr="009F3F65" w:rsidR="003130C2" w:rsidP="003130C2" w:rsidRDefault="003130C2" w14:paraId="6F05D8A1" w14:textId="77777777">
      <w:pPr>
        <w:pStyle w:val="Footer"/>
        <w:rPr>
          <w:lang w:val="en-GB"/>
        </w:rPr>
      </w:pPr>
    </w:p>
    <w:p w:rsidRPr="009F3F65" w:rsidR="003130C2" w:rsidP="003130C2" w:rsidRDefault="003130C2" w14:paraId="4E54905F" w14:textId="77777777">
      <w:pPr>
        <w:pStyle w:val="Footer"/>
      </w:pPr>
      <w:r>
        <w:t xml:space="preserve">Furthermore, </w:t>
      </w:r>
      <w:r>
        <w:rPr>
          <w:b/>
        </w:rPr>
        <w:t>Polish</w:t>
      </w:r>
      <w:r>
        <w:t xml:space="preserve"> representatives from the social partners noted that, </w:t>
      </w:r>
      <w:r>
        <w:rPr>
          <w:b/>
        </w:rPr>
        <w:t>in order to support the digital transformation and improve digital literacy</w:t>
      </w:r>
      <w:r>
        <w:t xml:space="preserve"> in practice (Polish digital literacy is 10% below the EU average with only 43% of Polish people between 17 and 64 being digitally literate), there is </w:t>
      </w:r>
      <w:r>
        <w:rPr>
          <w:b/>
        </w:rPr>
        <w:t>a need to invest and focus initiatives on local cohesive digitalisation of universities, local energy networks and the internet of things in local manufacturing facilities. The aim is to improve local ecosystems as a whole.</w:t>
      </w:r>
    </w:p>
    <w:p w:rsidRPr="009F3F65" w:rsidR="003130C2" w:rsidP="003130C2" w:rsidRDefault="003130C2" w14:paraId="1D337E55" w14:textId="77777777">
      <w:pPr>
        <w:pStyle w:val="Footer"/>
        <w:rPr>
          <w:lang w:val="en-GB"/>
        </w:rPr>
      </w:pPr>
    </w:p>
    <w:p w:rsidRPr="009F3F65" w:rsidR="003130C2" w:rsidP="003130C2" w:rsidRDefault="003130C2" w14:paraId="5B8232FB" w14:textId="77777777">
      <w:pPr>
        <w:pStyle w:val="Footer"/>
      </w:pPr>
      <w:r>
        <w:t>Despite Poland’s position in the ranking of economies’ digitalisation, it was highlighted how the Polish digital economy was gaining momentum. To this end, it is critical to ensure the focus of initiatives on strategic subjects, such as stronger 5G networks, STEM skills development (especially for women) and a better repositioning within the global ICT value chain disrupted by the pandemic and the outbreak of the war in Ukraine.</w:t>
      </w:r>
    </w:p>
    <w:p w:rsidRPr="009F3F65" w:rsidR="003130C2" w:rsidP="003130C2" w:rsidRDefault="003130C2" w14:paraId="2CEAB88D" w14:textId="77777777">
      <w:pPr>
        <w:pStyle w:val="Footer"/>
        <w:rPr>
          <w:lang w:val="en-GB"/>
        </w:rPr>
      </w:pPr>
    </w:p>
    <w:p w:rsidRPr="009F3F65" w:rsidR="003130C2" w:rsidP="003130C2" w:rsidRDefault="003130C2" w14:paraId="43B6CC3E" w14:textId="77777777">
      <w:pPr>
        <w:pStyle w:val="Footer"/>
      </w:pPr>
      <w:r>
        <w:t xml:space="preserve">Moreover, taking into account the current geopolitical crisis, the Polish stakeholders pointed out the </w:t>
      </w:r>
      <w:r>
        <w:rPr>
          <w:b/>
        </w:rPr>
        <w:t>importance of making cybersecurity a top priority</w:t>
      </w:r>
      <w:r>
        <w:t xml:space="preserve"> and a conventional element of future innovation and defence policies, by ensuring the proper professional competences and skills which are currently lacking.</w:t>
      </w:r>
    </w:p>
    <w:p w:rsidRPr="009F3F65" w:rsidR="003130C2" w:rsidP="003130C2" w:rsidRDefault="003130C2" w14:paraId="56C64A40" w14:textId="77777777">
      <w:pPr>
        <w:pStyle w:val="Footer"/>
        <w:rPr>
          <w:lang w:val="en-GB"/>
        </w:rPr>
      </w:pPr>
    </w:p>
    <w:p w:rsidRPr="009F3F65" w:rsidR="003130C2" w:rsidP="003130C2" w:rsidRDefault="003130C2" w14:paraId="101B7064" w14:textId="77777777">
      <w:pPr>
        <w:pStyle w:val="Footer"/>
      </w:pPr>
      <w:r>
        <w:t xml:space="preserve">With regard to the </w:t>
      </w:r>
      <w:r>
        <w:rPr>
          <w:u w:val="single"/>
        </w:rPr>
        <w:t>effectiveness of the key capacity areas of the DEP in contributing to the programme’s objectives in their respective countries so far</w:t>
      </w:r>
      <w:r>
        <w:t xml:space="preserve"> (</w:t>
      </w:r>
      <w:r>
        <w:rPr>
          <w:b/>
        </w:rPr>
        <w:t>question 2</w:t>
      </w:r>
      <w:r>
        <w:t>), more than half of the respondents assessed the effectiveness in three areas positively: ensuring a wide use of digital technologies (30% answered ‘very effective’ and 26% ‘moderately effective’), artificial intelligence (12% answered ‘very effective’ and 40% ‘moderately effective’) and cybersecurity (9% answered ‘very effective’ and 42% ‘moderately effective’). A large number of the respondents (47% answered ‘unsure’) did not know how to assess the effectiveness of supercomputing.</w:t>
      </w:r>
    </w:p>
    <w:p w:rsidRPr="009F3F65" w:rsidR="003130C2" w:rsidP="003130C2" w:rsidRDefault="003130C2" w14:paraId="07B35877" w14:textId="77777777">
      <w:pPr>
        <w:pStyle w:val="Footer"/>
        <w:rPr>
          <w:lang w:val="en-GB"/>
        </w:rPr>
      </w:pPr>
    </w:p>
    <w:p w:rsidRPr="009F3F65" w:rsidR="003130C2" w:rsidP="003130C2" w:rsidRDefault="003130C2" w14:paraId="06558030" w14:textId="77777777">
      <w:pPr>
        <w:pStyle w:val="Footer"/>
      </w:pPr>
      <w:r>
        <w:rPr>
          <w:noProof/>
        </w:rPr>
        <w:lastRenderedPageBreak/>
        <w:drawing>
          <wp:inline distT="0" distB="0" distL="0" distR="0" wp14:anchorId="44923172" wp14:editId="377FB476">
            <wp:extent cx="5731510" cy="2655570"/>
            <wp:effectExtent l="0" t="0" r="2540" b="11430"/>
            <wp:docPr id="18" name="Chart 18">
              <a:extLst xmlns:a="http://schemas.openxmlformats.org/drawingml/2006/main">
                <a:ext uri="{FF2B5EF4-FFF2-40B4-BE49-F238E27FC236}">
                  <a16:creationId xmlns:a16="http://schemas.microsoft.com/office/drawing/2014/main" id="{F09D7D41-9804-4D48-8BAC-4DDA0CB875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Pr="009F3F65" w:rsidR="003130C2" w:rsidP="003130C2" w:rsidRDefault="003130C2" w14:paraId="19235255" w14:textId="77777777">
      <w:pPr>
        <w:pStyle w:val="Footer"/>
        <w:jc w:val="center"/>
      </w:pPr>
      <w:r>
        <w:rPr>
          <w:b/>
          <w:color w:val="5B9BD5" w:themeColor="accent1"/>
          <w:sz w:val="20"/>
        </w:rPr>
        <w:t xml:space="preserve">Figure 5. </w:t>
      </w:r>
      <w:r>
        <w:rPr>
          <w:color w:val="5B9BD5" w:themeColor="accent1"/>
          <w:sz w:val="20"/>
        </w:rPr>
        <w:t>Effectiveness of key capacity areas – general.</w:t>
      </w:r>
    </w:p>
    <w:p w:rsidRPr="009F3F65" w:rsidR="003130C2" w:rsidP="003130C2" w:rsidRDefault="003130C2" w14:paraId="7B1A56C0" w14:textId="77777777">
      <w:pPr>
        <w:rPr>
          <w:lang w:val="en-GB"/>
        </w:rPr>
      </w:pPr>
    </w:p>
    <w:p w:rsidRPr="009F3F65" w:rsidR="003130C2" w:rsidP="003130C2" w:rsidRDefault="003130C2" w14:paraId="3C7EF5B7" w14:textId="77777777">
      <w:r>
        <w:t>Looking across countries, the German respondents once again held the most positive views with regard to all four key capacity areas. Between 52 and 79% of them considered that the key capacity areas mentioned had been ‘very effective’ or ‘moderately effective’ in contributing to the objectives of the DEP in Germany. Most Swedish respondents – between 50 and 80% – answered ‘unsure’ in how to assess the effectiveness of these areas in their country, whilst the Polish respondents expressed the highest number of answers viewing the contribution of the key capacity areas to the DEP objectives as ‘not very effective’ (25% or 2 persons with regard to supercomputing, artificial intelligence, cybersecurity and ensuring a wide use of digital technologies).</w:t>
      </w:r>
    </w:p>
    <w:p w:rsidRPr="009F3F65" w:rsidR="003130C2" w:rsidP="003130C2" w:rsidRDefault="003130C2" w14:paraId="6DA551F5" w14:textId="77777777">
      <w:pPr>
        <w:rPr>
          <w:lang w:val="en-GB"/>
        </w:rPr>
      </w:pPr>
    </w:p>
    <w:p w:rsidRPr="009F3F65" w:rsidR="003130C2" w:rsidP="003130C2" w:rsidRDefault="003130C2" w14:paraId="7A461418" w14:textId="77777777">
      <w:r>
        <w:t xml:space="preserve">During the semi-structured interviews, representatives from the </w:t>
      </w:r>
      <w:r>
        <w:rPr>
          <w:b/>
        </w:rPr>
        <w:t>German</w:t>
      </w:r>
      <w:r>
        <w:t xml:space="preserve"> public authorities </w:t>
      </w:r>
      <w:r>
        <w:rPr>
          <w:b/>
        </w:rPr>
        <w:t>confirmed the critical role played by European Digital Innovation Hubs within the national economic ecosystem</w:t>
      </w:r>
      <w:r>
        <w:t xml:space="preserve"> (e.g. provision of testing facilities able to adapt to specific companies’ needs). In this regard, the participants pointed out the strong collaboration between the German EDIHs on content and financing elements. Nevertheless, the challenge for consortia of finding and providing the co-funding contribution not covered by the programme (not covered by German public authorities) was also underlined.</w:t>
      </w:r>
    </w:p>
    <w:p w:rsidRPr="009F3F65" w:rsidR="003130C2" w:rsidP="003130C2" w:rsidRDefault="003130C2" w14:paraId="6D7DD2BA" w14:textId="77777777">
      <w:pPr>
        <w:rPr>
          <w:lang w:val="en-GB"/>
        </w:rPr>
      </w:pPr>
    </w:p>
    <w:p w:rsidRPr="009F3F65" w:rsidR="003130C2" w:rsidP="003130C2" w:rsidRDefault="003130C2" w14:paraId="0F0A2D13" w14:textId="77777777">
      <w:r>
        <w:t xml:space="preserve">Concerning the establishment of a European Digital Innovation Hub, a representative from the </w:t>
      </w:r>
      <w:r>
        <w:rPr>
          <w:b/>
        </w:rPr>
        <w:t>Maltese</w:t>
      </w:r>
      <w:r>
        <w:t xml:space="preserve"> public authorities confirmed the difficulty in providing input on effectiveness due to the project being in the early stages. Nevertheless, the participant </w:t>
      </w:r>
      <w:r>
        <w:rPr>
          <w:b/>
        </w:rPr>
        <w:t>confirmed the positive effect of establishing a first hub in Malta</w:t>
      </w:r>
      <w:r>
        <w:t xml:space="preserve"> through such a call for tender and, in turn, enabling the establishment of a high performing computer with 15 petaflops (tender just published) within the hub, allowing Malta to take part in the EUROHPC Joint Undertaking. The EDIH-Malta should focus on skills development and technical and legal advice for start-ups and SMEs as regards HPC, AI and cybersecurity. Moreover, MoUs are being developed for joint initiatives with other hubs within the European Network of Digital Innovation Hubs.</w:t>
      </w:r>
    </w:p>
    <w:p w:rsidRPr="009F3F65" w:rsidR="003130C2" w:rsidP="003130C2" w:rsidRDefault="003130C2" w14:paraId="146FDCFD" w14:textId="77777777">
      <w:pPr>
        <w:rPr>
          <w:lang w:val="en-GB"/>
        </w:rPr>
      </w:pPr>
    </w:p>
    <w:p w:rsidRPr="009F3F65" w:rsidR="003130C2" w:rsidP="003130C2" w:rsidRDefault="003130C2" w14:paraId="227D9A66" w14:textId="77777777">
      <w:r>
        <w:t xml:space="preserve">During the semi-structured interviews in </w:t>
      </w:r>
      <w:r>
        <w:rPr>
          <w:b/>
        </w:rPr>
        <w:t>Portugal</w:t>
      </w:r>
      <w:r>
        <w:t xml:space="preserve">, stakeholders representing a digital innovation entity noted that </w:t>
      </w:r>
      <w:r>
        <w:rPr>
          <w:b/>
        </w:rPr>
        <w:t>delays in implementing the programme, particularly concerning digital innovation hubs, have been experienced.</w:t>
      </w:r>
      <w:r>
        <w:t xml:space="preserve"> These delays have been attributed to challenges in complying with EU financing rules and navigating hierarchical structures. Despite the presence of a consortium and a </w:t>
      </w:r>
      <w:r>
        <w:lastRenderedPageBreak/>
        <w:t xml:space="preserve">structured process, uncertainties persist regarding payment and eligibility rules. </w:t>
      </w:r>
      <w:r>
        <w:rPr>
          <w:b/>
        </w:rPr>
        <w:t>While some activities have commenced, clarity is lacking on the rules and procedures</w:t>
      </w:r>
      <w:r>
        <w:t>. This lack of information has been considered an obstacle to progress, especially concerning security measures. Additionally, it was noted that companies face difficulties applying to the programme due to undisclosed requisites and rules from managing entities, further complicating the situation from a national perspective.</w:t>
      </w:r>
    </w:p>
    <w:p w:rsidRPr="009F3F65" w:rsidR="003130C2" w:rsidP="003130C2" w:rsidRDefault="003130C2" w14:paraId="4798EF48" w14:textId="77777777">
      <w:pPr>
        <w:rPr>
          <w:lang w:val="en-GB"/>
        </w:rPr>
      </w:pPr>
    </w:p>
    <w:p w:rsidRPr="009F3F65" w:rsidR="003130C2" w:rsidP="003130C2" w:rsidRDefault="003130C2" w14:paraId="512067C9" w14:textId="77777777">
      <w:r>
        <w:t xml:space="preserve">One Portuguese stakeholder observed that </w:t>
      </w:r>
      <w:r>
        <w:rPr>
          <w:b/>
        </w:rPr>
        <w:t>the process from application to final approval for digital innovation centres is excessively long</w:t>
      </w:r>
      <w:r>
        <w:t>. In this particular case, three applications were submitted before receiving a response, resulting in significant delays. Despite having contact with some companies, uncertainty remains regarding eligibility criteria and expenses. A need for greater familiarity with the programme and convenience was identified. The current situation was considered unfavourable, as businesses require timely responses, yet the process is hindered by formalities.</w:t>
      </w:r>
    </w:p>
    <w:p w:rsidRPr="009F3F65" w:rsidR="003130C2" w:rsidP="003130C2" w:rsidRDefault="003130C2" w14:paraId="633A608F" w14:textId="77777777">
      <w:pPr>
        <w:rPr>
          <w:lang w:val="en-GB"/>
        </w:rPr>
      </w:pPr>
    </w:p>
    <w:p w:rsidRPr="009F3F65" w:rsidR="003130C2" w:rsidP="003130C2" w:rsidRDefault="003130C2" w14:paraId="51974649" w14:textId="77777777">
      <w:r>
        <w:t xml:space="preserve">Furthermore, the </w:t>
      </w:r>
      <w:r>
        <w:rPr>
          <w:b/>
        </w:rPr>
        <w:t>Portuguese</w:t>
      </w:r>
      <w:r>
        <w:t xml:space="preserve"> stakeholders agreed that, whilst the European and national financing components appeared to be functioning adequately, issues arise primarily at the national level, particularly concerning the national recovery programme. The rules are clear at European level, but when it comes to the national component, clarity is lacking, causing uncertainty. This uncertainty extends not only to the consortium but also to partners who fear potential penalties. </w:t>
      </w:r>
      <w:r>
        <w:rPr>
          <w:b/>
        </w:rPr>
        <w:t>It was acknowledged that the national component is not functioning as effectively as desire</w:t>
      </w:r>
      <w:r>
        <w:t>d, hindering progress towards objectives. This situation has persisted for over three years, indicating a prolonged challenge.</w:t>
      </w:r>
    </w:p>
    <w:p w:rsidRPr="009F3F65" w:rsidR="003130C2" w:rsidP="003130C2" w:rsidRDefault="003130C2" w14:paraId="33702D6C" w14:textId="77777777">
      <w:pPr>
        <w:rPr>
          <w:lang w:val="en-GB"/>
        </w:rPr>
      </w:pPr>
    </w:p>
    <w:p w:rsidRPr="009F3F65" w:rsidR="003130C2" w:rsidP="003130C2" w:rsidRDefault="003130C2" w14:paraId="718B45F9" w14:textId="77777777">
      <w:r>
        <w:t xml:space="preserve">With regard to the </w:t>
      </w:r>
      <w:r>
        <w:rPr>
          <w:u w:val="single"/>
        </w:rPr>
        <w:t>effectiveness of EDIH activities in supporting micro, small and medium-sized companies so far</w:t>
      </w:r>
      <w:r>
        <w:t xml:space="preserve"> (</w:t>
      </w:r>
      <w:r>
        <w:rPr>
          <w:b/>
        </w:rPr>
        <w:t>question 3</w:t>
      </w:r>
      <w:r>
        <w:t>), the respondents’ views diverged quite significantly, with 30% considering that they had been ‘moderately effective’, 28% answered ‘unsure’, and 19% were split between ‘very effective’ and ‘not very effective’. Finally, 5% were of the view that EDIH activities had been ‘not at all effective’ when it comes to supporting SMEs.</w:t>
      </w:r>
    </w:p>
    <w:p w:rsidRPr="009F3F65" w:rsidR="003130C2" w:rsidP="003130C2" w:rsidRDefault="003130C2" w14:paraId="07085513" w14:textId="77777777">
      <w:pPr>
        <w:rPr>
          <w:lang w:val="en-GB"/>
        </w:rPr>
      </w:pPr>
    </w:p>
    <w:p w:rsidRPr="009F3F65" w:rsidR="003130C2" w:rsidP="003130C2" w:rsidRDefault="003130C2" w14:paraId="65B477DE" w14:textId="77777777">
      <w:pPr>
        <w:jc w:val="center"/>
      </w:pPr>
      <w:r>
        <w:rPr>
          <w:noProof/>
        </w:rPr>
        <w:drawing>
          <wp:inline distT="0" distB="0" distL="0" distR="0" wp14:anchorId="393AE8BC" wp14:editId="23FF5448">
            <wp:extent cx="4853305" cy="2595880"/>
            <wp:effectExtent l="0" t="0" r="4445" b="13970"/>
            <wp:docPr id="6" name="Chart 6">
              <a:extLst xmlns:a="http://schemas.openxmlformats.org/drawingml/2006/main">
                <a:ext uri="{FF2B5EF4-FFF2-40B4-BE49-F238E27FC236}">
                  <a16:creationId xmlns:a16="http://schemas.microsoft.com/office/drawing/2014/main" id="{D98878E3-92BF-46D4-99A7-FF9DFD5E54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Pr="009F3F65" w:rsidR="003130C2" w:rsidP="003130C2" w:rsidRDefault="003130C2" w14:paraId="576761CE" w14:textId="77777777">
      <w:pPr>
        <w:jc w:val="center"/>
        <w:rPr>
          <w:color w:val="5B9BD5" w:themeColor="accent1"/>
          <w:sz w:val="20"/>
        </w:rPr>
      </w:pPr>
      <w:r>
        <w:rPr>
          <w:b/>
          <w:color w:val="5B9BD5" w:themeColor="accent1"/>
          <w:sz w:val="20"/>
        </w:rPr>
        <w:t xml:space="preserve">Figure 6. </w:t>
      </w:r>
      <w:r>
        <w:rPr>
          <w:color w:val="5B9BD5" w:themeColor="accent1"/>
          <w:sz w:val="20"/>
        </w:rPr>
        <w:t>Effectiveness of EDIH activities – general.</w:t>
      </w:r>
    </w:p>
    <w:p w:rsidRPr="009F3F65" w:rsidR="003130C2" w:rsidP="003130C2" w:rsidRDefault="003130C2" w14:paraId="341FF3BA" w14:textId="77777777">
      <w:pPr>
        <w:spacing w:line="240" w:lineRule="auto"/>
        <w:jc w:val="left"/>
        <w:rPr>
          <w:lang w:val="en-GB"/>
        </w:rPr>
      </w:pPr>
    </w:p>
    <w:p w:rsidRPr="009F3F65" w:rsidR="003130C2" w:rsidP="003130C2" w:rsidRDefault="003130C2" w14:paraId="48D602E2" w14:textId="77777777">
      <w:r>
        <w:t xml:space="preserve">Looking across countries, the results mirrored the general divergence in views. The German and Maltese respondents held the most positive views (40% of Germans answered ‘very effective’, and 27% </w:t>
      </w:r>
      <w:r>
        <w:lastRenderedPageBreak/>
        <w:t>‘moderately effective’; for the Maltese, 17% or 1 person answered ‘very effective’ and 67% or 4 persons ‘moderately effective’), whilst the Polish respondents were split between four types of answers with 38% nevertheless considering the EDIH activities as having been ‘moderately effective’. Finally, most Portuguese respondents considered that the EDIH activities to support SMEs had been ‘not very effective’ (75% or 3 respondents) and the majority of the Swedish respondents answered ‘unsure’ (70%).</w:t>
      </w:r>
    </w:p>
    <w:p w:rsidRPr="009F3F65" w:rsidR="003130C2" w:rsidP="003130C2" w:rsidRDefault="003130C2" w14:paraId="5539698C" w14:textId="77777777">
      <w:pPr>
        <w:rPr>
          <w:lang w:val="en-GB"/>
        </w:rPr>
      </w:pPr>
    </w:p>
    <w:p w:rsidRPr="009F3F65" w:rsidR="003130C2" w:rsidP="003130C2" w:rsidRDefault="003130C2" w14:paraId="16930AB6" w14:textId="77777777">
      <w:pPr>
        <w:jc w:val="center"/>
      </w:pPr>
      <w:r>
        <w:rPr>
          <w:noProof/>
        </w:rPr>
        <w:drawing>
          <wp:inline distT="0" distB="0" distL="0" distR="0" wp14:anchorId="15511BC9" wp14:editId="63A3A863">
            <wp:extent cx="5731510" cy="2554605"/>
            <wp:effectExtent l="0" t="0" r="2540" b="17145"/>
            <wp:docPr id="8" name="Chart 8">
              <a:extLst xmlns:a="http://schemas.openxmlformats.org/drawingml/2006/main">
                <a:ext uri="{FF2B5EF4-FFF2-40B4-BE49-F238E27FC236}">
                  <a16:creationId xmlns:a16="http://schemas.microsoft.com/office/drawing/2014/main" id="{C6B1BEB0-5390-4BB5-8BC2-34C988CCC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Pr="009F3F65" w:rsidR="003130C2" w:rsidP="003130C2" w:rsidRDefault="003130C2" w14:paraId="220E9C58" w14:textId="77777777">
      <w:pPr>
        <w:jc w:val="center"/>
      </w:pPr>
      <w:r>
        <w:rPr>
          <w:b/>
          <w:color w:val="5B9BD5" w:themeColor="accent1"/>
          <w:sz w:val="20"/>
        </w:rPr>
        <w:t xml:space="preserve">Figure 7. </w:t>
      </w:r>
      <w:r>
        <w:rPr>
          <w:color w:val="5B9BD5" w:themeColor="accent1"/>
          <w:sz w:val="20"/>
        </w:rPr>
        <w:t>Effectiveness of EDIH activities – by country.</w:t>
      </w:r>
    </w:p>
    <w:p w:rsidRPr="009F3F65" w:rsidR="003130C2" w:rsidP="003130C2" w:rsidRDefault="003130C2" w14:paraId="2590A699" w14:textId="77777777">
      <w:pPr>
        <w:spacing w:after="120" w:line="300" w:lineRule="exact"/>
        <w:rPr>
          <w:i/>
          <w:iCs/>
          <w:lang w:val="en-GB"/>
        </w:rPr>
      </w:pPr>
    </w:p>
    <w:p w:rsidRPr="009F3F65" w:rsidR="003130C2" w:rsidP="003130C2" w:rsidRDefault="003130C2" w14:paraId="39541220" w14:textId="77777777">
      <w:pPr>
        <w:spacing w:line="300" w:lineRule="exact"/>
      </w:pPr>
      <w:r>
        <w:t xml:space="preserve">During the semi-structured interviews, representatives from the </w:t>
      </w:r>
      <w:r>
        <w:rPr>
          <w:b/>
        </w:rPr>
        <w:t>German</w:t>
      </w:r>
      <w:r>
        <w:t xml:space="preserve"> programme beneficiaries pointed out </w:t>
      </w:r>
      <w:r>
        <w:rPr>
          <w:b/>
        </w:rPr>
        <w:t>the positive effect of EDIHs in providing digital support at granular level for local companies</w:t>
      </w:r>
      <w:r>
        <w:t xml:space="preserve"> (mainly SMEs with fewer than ten people). Participants also underlined the good communication between beneficiaries of the programme and national contact points (e.g. monthly meetings between EDIHs in Germany and the national contact point). They also underlined the </w:t>
      </w:r>
      <w:r>
        <w:rPr>
          <w:b/>
        </w:rPr>
        <w:t>strong commitment to involving women</w:t>
      </w:r>
      <w:r>
        <w:t xml:space="preserve"> (e.g. establishment of a network called ‘Women in digital areas’, organisation of conferences, etc.).</w:t>
      </w:r>
    </w:p>
    <w:p w:rsidRPr="009F3F65" w:rsidR="003130C2" w:rsidP="003130C2" w:rsidRDefault="003130C2" w14:paraId="69482798" w14:textId="77777777">
      <w:pPr>
        <w:spacing w:line="300" w:lineRule="exact"/>
        <w:rPr>
          <w:lang w:val="en-GB"/>
        </w:rPr>
      </w:pPr>
    </w:p>
    <w:p w:rsidRPr="009F3F65" w:rsidR="003130C2" w:rsidP="003130C2" w:rsidRDefault="003130C2" w14:paraId="1023E77C" w14:textId="77777777">
      <w:pPr>
        <w:spacing w:line="300" w:lineRule="exact"/>
      </w:pPr>
      <w:r>
        <w:t xml:space="preserve">Furthermore, with regard to EDIHs, the stakeholders </w:t>
      </w:r>
      <w:r>
        <w:rPr>
          <w:b/>
        </w:rPr>
        <w:t>highlighted the challenge of integrating and ensuring the uptake of complex technologies by SMEs, such as HPC or AI</w:t>
      </w:r>
      <w:r>
        <w:t>. Such companies still need to address more basic needs first (lack of basic digital skills). In this regard, generative AI was considered to be the opposite, thanks to the ease of use by SMEs (e.g. products’ design improved by generative AI – co-design between joiners and customers for furniture).</w:t>
      </w:r>
    </w:p>
    <w:p w:rsidRPr="009F3F65" w:rsidR="003130C2" w:rsidP="003130C2" w:rsidRDefault="003130C2" w14:paraId="4C743DCA" w14:textId="77777777">
      <w:pPr>
        <w:spacing w:line="300" w:lineRule="exact"/>
        <w:rPr>
          <w:lang w:val="en-GB"/>
        </w:rPr>
      </w:pPr>
    </w:p>
    <w:p w:rsidRPr="009F3F65" w:rsidR="003130C2" w:rsidP="003130C2" w:rsidRDefault="003130C2" w14:paraId="22733BA3" w14:textId="77777777">
      <w:pPr>
        <w:spacing w:line="300" w:lineRule="exact"/>
      </w:pPr>
      <w:r>
        <w:t xml:space="preserve">During the semi-structured interviews in </w:t>
      </w:r>
      <w:r>
        <w:rPr>
          <w:b/>
        </w:rPr>
        <w:t>Portugal</w:t>
      </w:r>
      <w:r>
        <w:t xml:space="preserve">, representatives from the social partners expressed the view that </w:t>
      </w:r>
      <w:r>
        <w:rPr>
          <w:b/>
        </w:rPr>
        <w:t>peripheral countries faced greater challenges, particularly concerning microbusinesses’ access to funding, with bureaucracy seen as a significant obstacle</w:t>
      </w:r>
      <w:r>
        <w:t>. Even with 100% funding, applying for certain funding opportunities was considered extremely difficult. It was urged to take these challenges into consideration when assessing the implementation of the programme. Finally, it was emphasised that Portuguese SMEs do not operate at the same capacity level as German ones.</w:t>
      </w:r>
    </w:p>
    <w:p w:rsidRPr="009F3F65" w:rsidR="003130C2" w:rsidP="003130C2" w:rsidRDefault="003130C2" w14:paraId="39C39A1B" w14:textId="77777777">
      <w:pPr>
        <w:spacing w:line="300" w:lineRule="exact"/>
        <w:rPr>
          <w:lang w:val="en-GB"/>
        </w:rPr>
      </w:pPr>
    </w:p>
    <w:p w:rsidRPr="009F3F65" w:rsidR="003130C2" w:rsidP="003130C2" w:rsidRDefault="003130C2" w14:paraId="1FFBD900" w14:textId="77777777">
      <w:pPr>
        <w:spacing w:line="300" w:lineRule="exact"/>
      </w:pPr>
      <w:r>
        <w:t>It was also noted that facilitating access for small enterprises for both managers and employees is essential, emphasising the crucial role of training in the digital transformation process.</w:t>
      </w:r>
    </w:p>
    <w:p w:rsidRPr="009F3F65" w:rsidR="003130C2" w:rsidP="003130C2" w:rsidRDefault="003130C2" w14:paraId="1BC08AA7" w14:textId="77777777">
      <w:pPr>
        <w:spacing w:line="300" w:lineRule="exact"/>
        <w:rPr>
          <w:lang w:val="en-GB"/>
        </w:rPr>
      </w:pPr>
    </w:p>
    <w:p w:rsidRPr="009F3F65" w:rsidR="003130C2" w:rsidP="003130C2" w:rsidRDefault="003130C2" w14:paraId="4493DE3E" w14:textId="77777777">
      <w:pPr>
        <w:spacing w:line="300" w:lineRule="exact"/>
      </w:pPr>
      <w:r>
        <w:t xml:space="preserve">When asked about the </w:t>
      </w:r>
      <w:r>
        <w:rPr>
          <w:u w:val="single"/>
        </w:rPr>
        <w:t xml:space="preserve">effectiveness of the DEP activities in advancing digital skills </w:t>
      </w:r>
      <w:r>
        <w:t>(master’s, bachelor’s, doctorate programmes in key capacity areas, short-term training, highly specialised skills academies, etc.)</w:t>
      </w:r>
      <w:r>
        <w:rPr>
          <w:u w:val="single"/>
        </w:rPr>
        <w:t xml:space="preserve"> in their respective countries so far</w:t>
      </w:r>
      <w:r>
        <w:t xml:space="preserve"> (</w:t>
      </w:r>
      <w:r>
        <w:rPr>
          <w:b/>
        </w:rPr>
        <w:t>question 4</w:t>
      </w:r>
      <w:r>
        <w:t>), most respondents (56%) answered ‘unsure’ in how to evaluate this, whilst 26% found these activities as having been ‘moderately effective’, 14% ‘not very effective’ and 5% ‘not at all effective’.</w:t>
      </w:r>
    </w:p>
    <w:p w:rsidRPr="009F3F65" w:rsidR="003130C2" w:rsidP="003130C2" w:rsidRDefault="003130C2" w14:paraId="77C1C57D" w14:textId="77777777">
      <w:pPr>
        <w:spacing w:line="240" w:lineRule="auto"/>
        <w:jc w:val="left"/>
        <w:rPr>
          <w:lang w:val="en-GB"/>
        </w:rPr>
      </w:pPr>
    </w:p>
    <w:p w:rsidRPr="009F3F65" w:rsidR="003130C2" w:rsidP="003130C2" w:rsidRDefault="003130C2" w14:paraId="5FC24BDD" w14:textId="77777777">
      <w:pPr>
        <w:spacing w:after="120" w:line="300" w:lineRule="exact"/>
      </w:pPr>
      <w:r>
        <w:rPr>
          <w:noProof/>
        </w:rPr>
        <w:drawing>
          <wp:anchor distT="0" distB="0" distL="114300" distR="114300" simplePos="0" relativeHeight="251574272" behindDoc="0" locked="0" layoutInCell="1" allowOverlap="1" wp14:editId="79982A87" wp14:anchorId="187FCAEA">
            <wp:simplePos x="0" y="0"/>
            <wp:positionH relativeFrom="margin">
              <wp:posOffset>215900</wp:posOffset>
            </wp:positionH>
            <wp:positionV relativeFrom="paragraph">
              <wp:posOffset>147955</wp:posOffset>
            </wp:positionV>
            <wp:extent cx="5346700" cy="3181350"/>
            <wp:effectExtent l="0" t="0" r="6350" b="0"/>
            <wp:wrapNone/>
            <wp:docPr id="19" name="Chart 19">
              <a:extLst xmlns:a="http://schemas.openxmlformats.org/drawingml/2006/main">
                <a:ext uri="{FF2B5EF4-FFF2-40B4-BE49-F238E27FC236}">
                  <a16:creationId xmlns:a16="http://schemas.microsoft.com/office/drawing/2014/main" id="{BF8981C3-AFCB-433A-B95C-E5C484233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rsidRPr="009F3F65" w:rsidR="003130C2" w:rsidP="003130C2" w:rsidRDefault="003130C2" w14:paraId="3BE53613" w14:textId="77777777">
      <w:pPr>
        <w:spacing w:after="120" w:line="300" w:lineRule="exact"/>
        <w:rPr>
          <w:lang w:val="en-GB"/>
        </w:rPr>
      </w:pPr>
    </w:p>
    <w:p w:rsidRPr="009F3F65" w:rsidR="003130C2" w:rsidP="003130C2" w:rsidRDefault="003130C2" w14:paraId="63585A1B" w14:textId="77777777">
      <w:pPr>
        <w:spacing w:after="120" w:line="300" w:lineRule="exact"/>
        <w:rPr>
          <w:lang w:val="en-GB"/>
        </w:rPr>
      </w:pPr>
    </w:p>
    <w:p w:rsidRPr="009F3F65" w:rsidR="003130C2" w:rsidP="003130C2" w:rsidRDefault="003130C2" w14:paraId="4F85AA87" w14:textId="77777777">
      <w:pPr>
        <w:spacing w:after="120" w:line="300" w:lineRule="exact"/>
        <w:rPr>
          <w:lang w:val="en-GB"/>
        </w:rPr>
      </w:pPr>
    </w:p>
    <w:p w:rsidRPr="009F3F65" w:rsidR="003130C2" w:rsidP="003130C2" w:rsidRDefault="003130C2" w14:paraId="55EBEC63" w14:textId="77777777">
      <w:pPr>
        <w:spacing w:after="120" w:line="300" w:lineRule="exact"/>
        <w:rPr>
          <w:lang w:val="en-GB"/>
        </w:rPr>
      </w:pPr>
    </w:p>
    <w:p w:rsidRPr="009F3F65" w:rsidR="003130C2" w:rsidP="003130C2" w:rsidRDefault="003130C2" w14:paraId="56D868A8" w14:textId="77777777">
      <w:pPr>
        <w:spacing w:after="120" w:line="300" w:lineRule="exact"/>
        <w:rPr>
          <w:lang w:val="en-GB"/>
        </w:rPr>
      </w:pPr>
    </w:p>
    <w:p w:rsidRPr="009F3F65" w:rsidR="003130C2" w:rsidP="003130C2" w:rsidRDefault="003130C2" w14:paraId="4733D4F0" w14:textId="77777777">
      <w:pPr>
        <w:spacing w:after="120" w:line="300" w:lineRule="exact"/>
        <w:rPr>
          <w:lang w:val="en-GB"/>
        </w:rPr>
      </w:pPr>
    </w:p>
    <w:p w:rsidRPr="009F3F65" w:rsidR="003130C2" w:rsidP="003130C2" w:rsidRDefault="003130C2" w14:paraId="2A7CE836" w14:textId="77777777">
      <w:pPr>
        <w:spacing w:after="120" w:line="300" w:lineRule="exact"/>
        <w:rPr>
          <w:lang w:val="en-GB"/>
        </w:rPr>
      </w:pPr>
    </w:p>
    <w:p w:rsidRPr="009F3F65" w:rsidR="003130C2" w:rsidP="003130C2" w:rsidRDefault="003130C2" w14:paraId="14E51E1C" w14:textId="77777777">
      <w:pPr>
        <w:spacing w:after="120" w:line="300" w:lineRule="exact"/>
        <w:rPr>
          <w:lang w:val="en-GB"/>
        </w:rPr>
      </w:pPr>
    </w:p>
    <w:p w:rsidRPr="009F3F65" w:rsidR="003130C2" w:rsidP="003130C2" w:rsidRDefault="003130C2" w14:paraId="34C0DE61" w14:textId="77777777">
      <w:pPr>
        <w:spacing w:after="120" w:line="300" w:lineRule="exact"/>
        <w:rPr>
          <w:lang w:val="en-GB"/>
        </w:rPr>
      </w:pPr>
    </w:p>
    <w:p w:rsidRPr="009F3F65" w:rsidR="003130C2" w:rsidP="003130C2" w:rsidRDefault="003130C2" w14:paraId="662010A5" w14:textId="77777777">
      <w:pPr>
        <w:spacing w:after="120" w:line="300" w:lineRule="exact"/>
        <w:rPr>
          <w:lang w:val="en-GB"/>
        </w:rPr>
      </w:pPr>
    </w:p>
    <w:p w:rsidRPr="009F3F65" w:rsidR="003130C2" w:rsidP="003130C2" w:rsidRDefault="003130C2" w14:paraId="772B68DF" w14:textId="77777777">
      <w:pPr>
        <w:spacing w:after="120" w:line="300" w:lineRule="exact"/>
        <w:rPr>
          <w:lang w:val="en-GB"/>
        </w:rPr>
      </w:pPr>
    </w:p>
    <w:p w:rsidRPr="009F3F65" w:rsidR="003130C2" w:rsidP="003130C2" w:rsidRDefault="003130C2" w14:paraId="57633888" w14:textId="77777777">
      <w:pPr>
        <w:spacing w:after="120" w:line="300" w:lineRule="exact"/>
        <w:rPr>
          <w:lang w:val="en-GB"/>
        </w:rPr>
      </w:pPr>
    </w:p>
    <w:p w:rsidRPr="009F3F65" w:rsidR="003130C2" w:rsidP="003130C2" w:rsidRDefault="003130C2" w14:paraId="147CAD9F" w14:textId="77777777">
      <w:pPr>
        <w:spacing w:after="120" w:line="300" w:lineRule="exact"/>
        <w:jc w:val="center"/>
        <w:rPr>
          <w:i/>
          <w:iCs/>
        </w:rPr>
      </w:pPr>
      <w:r>
        <w:rPr>
          <w:b/>
          <w:color w:val="5B9BD5" w:themeColor="accent1"/>
          <w:sz w:val="20"/>
        </w:rPr>
        <w:t xml:space="preserve">Figure 8. </w:t>
      </w:r>
      <w:r>
        <w:rPr>
          <w:color w:val="5B9BD5" w:themeColor="accent1"/>
          <w:sz w:val="20"/>
        </w:rPr>
        <w:t>Effectiveness of DEP activities in advancing digital skills – general.</w:t>
      </w:r>
    </w:p>
    <w:p w:rsidRPr="009F3F65" w:rsidR="003130C2" w:rsidP="003130C2" w:rsidRDefault="003130C2" w14:paraId="0E1D7C0A" w14:textId="77777777">
      <w:pPr>
        <w:spacing w:line="300" w:lineRule="exact"/>
      </w:pPr>
      <w:r>
        <w:t xml:space="preserve">Interestingly, both across respondent categories and the different countries, the spread of answers was very similar, with most respondents in all categories (business organisations (46%), academia (47%) and public authorities (73%)), as well as in Germany (60%), Malta (67% or 4 persons), Portugal (50% or 2 persons) and Sweden (70%) alike, except for Poland (25% or 2 persons), answering ‘unsure’ about the effectiveness of the DEP in advancing digital skills in their countries so far. </w:t>
      </w:r>
    </w:p>
    <w:p w:rsidRPr="009F3F65" w:rsidR="003130C2" w:rsidP="003130C2" w:rsidRDefault="003130C2" w14:paraId="1C2C45DB" w14:textId="77777777">
      <w:pPr>
        <w:spacing w:line="300" w:lineRule="exact"/>
      </w:pPr>
      <w:r>
        <w:t xml:space="preserve">During the semi-structured interviews in </w:t>
      </w:r>
      <w:r>
        <w:rPr>
          <w:b/>
        </w:rPr>
        <w:t>Malta</w:t>
      </w:r>
      <w:r>
        <w:t xml:space="preserve">, the representatives of the social partners emphasised </w:t>
      </w:r>
      <w:r>
        <w:rPr>
          <w:b/>
        </w:rPr>
        <w:t>the need to ensure basic digital skills</w:t>
      </w:r>
      <w:r>
        <w:t xml:space="preserve"> (e.g. digital banking) especially for more vulnerable categories (e.g. the elderly) in addition to the focus on advanced digital skills. Concerning the development of advanced skills, one participant underlined the current difference between industrial sectors. Due to their international dimension, industrial sectors such as shipping or logistics have such skills guaranteed (not least because of their need to survive) while other sectors, such as healthcare, have more difficulties due to their national dimension and lack of financing.</w:t>
      </w:r>
    </w:p>
    <w:p w:rsidRPr="009F3F65" w:rsidR="003130C2" w:rsidP="003130C2" w:rsidRDefault="003130C2" w14:paraId="69809B34" w14:textId="77777777">
      <w:pPr>
        <w:spacing w:line="300" w:lineRule="exact"/>
        <w:rPr>
          <w:lang w:val="en-GB"/>
        </w:rPr>
      </w:pPr>
    </w:p>
    <w:p w:rsidRPr="009F3F65" w:rsidR="003130C2" w:rsidP="003130C2" w:rsidRDefault="003130C2" w14:paraId="05CF0006" w14:textId="77777777">
      <w:pPr>
        <w:spacing w:line="300" w:lineRule="exact"/>
      </w:pPr>
      <w:r>
        <w:t xml:space="preserve">Furthermore, with regard to advanced digital skills, a Maltese social partners’ representative mentioned </w:t>
      </w:r>
      <w:r>
        <w:rPr>
          <w:b/>
        </w:rPr>
        <w:t>the issue of capacity-building</w:t>
      </w:r>
      <w:r>
        <w:t xml:space="preserve"> due to the small size of Malta and the specific features that characterise such skills. The participant also underlined the importance of addressing the mismatch between supply of (e.g. education institutions), and demand (e.g. industry) for, advanced digital skills through a clear long-term strategy, ensuring stronger involvement of the demand side (e.g. industry).</w:t>
      </w:r>
    </w:p>
    <w:p w:rsidRPr="009F3F65" w:rsidR="003130C2" w:rsidP="003130C2" w:rsidRDefault="003130C2" w14:paraId="71408965" w14:textId="77777777">
      <w:pPr>
        <w:spacing w:line="300" w:lineRule="exact"/>
        <w:rPr>
          <w:lang w:val="en-GB"/>
        </w:rPr>
      </w:pPr>
    </w:p>
    <w:p w:rsidRPr="009F3F65" w:rsidR="003130C2" w:rsidP="003130C2" w:rsidRDefault="003130C2" w14:paraId="53E3CFC4" w14:textId="77777777">
      <w:pPr>
        <w:spacing w:line="300" w:lineRule="exact"/>
      </w:pPr>
      <w:r>
        <w:lastRenderedPageBreak/>
        <w:t xml:space="preserve">A representative from the </w:t>
      </w:r>
      <w:r>
        <w:rPr>
          <w:b/>
        </w:rPr>
        <w:t>Maltese</w:t>
      </w:r>
      <w:r>
        <w:t xml:space="preserve"> public authorities pointed out the difficulty of providing input on projects’ effectiveness since their involvement in three different calls for tender (e.g. Boosting Digital Skills of young pupils, in particular girls, Digital Skills and Job Platform, and Women in ICT) is still at the very early stages.</w:t>
      </w:r>
    </w:p>
    <w:p w:rsidRPr="009F3F65" w:rsidR="003130C2" w:rsidP="003130C2" w:rsidRDefault="003130C2" w14:paraId="65A67794" w14:textId="77777777">
      <w:pPr>
        <w:spacing w:line="300" w:lineRule="exact"/>
        <w:rPr>
          <w:lang w:val="en-GB"/>
        </w:rPr>
      </w:pPr>
    </w:p>
    <w:p w:rsidRPr="009F3F65" w:rsidR="003130C2" w:rsidP="003130C2" w:rsidRDefault="003130C2" w14:paraId="3E465FC1" w14:textId="77777777">
      <w:pPr>
        <w:spacing w:line="300" w:lineRule="exact"/>
        <w:rPr>
          <w:rFonts w:eastAsiaTheme="minorHAnsi"/>
        </w:rPr>
      </w:pPr>
      <w:r>
        <w:t xml:space="preserve">Representatives from </w:t>
      </w:r>
      <w:r>
        <w:rPr>
          <w:b/>
        </w:rPr>
        <w:t>Maltese</w:t>
      </w:r>
      <w:r>
        <w:t xml:space="preserve"> beneficiaries noted the </w:t>
      </w:r>
      <w:r>
        <w:rPr>
          <w:b/>
        </w:rPr>
        <w:t>existing mismatch between supply of, and demand for, advanced digital skills</w:t>
      </w:r>
      <w:r>
        <w:t xml:space="preserve">. An educational entity pointed out the uneven distribution of students in the very same ICT faculty, where there was less interest in infrastructure subjects (e.g. engineering courses, communication infrastructure) among the students (more interest is shown for software development, multimedia and digital games). In this regard, </w:t>
      </w:r>
      <w:r>
        <w:rPr>
          <w:b/>
        </w:rPr>
        <w:t>the same trend within the DEP was reported where calls for tender and projects have a stronger focus on software development rather than infrastructure development</w:t>
      </w:r>
      <w:r>
        <w:t>. As an exception, it was mentioned that some EU countries, such as Ireland, had the opposite trend with students more interested in infrastructure development. This opposite trend was justified by the strong presence of data centres in Ireland.</w:t>
      </w:r>
    </w:p>
    <w:p w:rsidRPr="009F3F65" w:rsidR="003130C2" w:rsidP="003130C2" w:rsidRDefault="003130C2" w14:paraId="2CD433AD" w14:textId="77777777">
      <w:pPr>
        <w:spacing w:line="300" w:lineRule="exact"/>
        <w:rPr>
          <w:rFonts w:eastAsiaTheme="minorHAnsi"/>
          <w:lang w:val="en-GB"/>
        </w:rPr>
      </w:pPr>
    </w:p>
    <w:p w:rsidRPr="009F3F65" w:rsidR="003130C2" w:rsidP="003130C2" w:rsidRDefault="003130C2" w14:paraId="63CF2F0A" w14:textId="77777777">
      <w:pPr>
        <w:spacing w:line="300" w:lineRule="exact"/>
        <w:rPr>
          <w:rFonts w:eastAsiaTheme="minorHAnsi"/>
        </w:rPr>
      </w:pPr>
      <w:r>
        <w:t xml:space="preserve">Furthermore, despite not benefitting directly from the programme, a representative from a </w:t>
      </w:r>
      <w:r>
        <w:rPr>
          <w:b/>
        </w:rPr>
        <w:t>Maltese</w:t>
      </w:r>
      <w:r>
        <w:t xml:space="preserve"> educational body </w:t>
      </w:r>
      <w:r>
        <w:rPr>
          <w:b/>
        </w:rPr>
        <w:t>confirmed that their activities (establishment of new courses, master’s and degrees on AI, cybersecurity, Internet of Things) were in line with the DEP priorities</w:t>
      </w:r>
      <w:r>
        <w:t>. The fact that the entity had not taken part in the programme’s calls for tender and projects was justified by such activities beginning prior to the launch of the programme and by the lack of outreach activities by the programme towards educational entities. In particular, the DEP was known mainly for being geared towards SMEs.</w:t>
      </w:r>
    </w:p>
    <w:p w:rsidRPr="009F3F65" w:rsidR="003130C2" w:rsidP="003130C2" w:rsidRDefault="003130C2" w14:paraId="1E4C7F82" w14:textId="77777777">
      <w:pPr>
        <w:spacing w:line="300" w:lineRule="exact"/>
        <w:rPr>
          <w:rFonts w:eastAsiaTheme="minorHAnsi"/>
          <w:lang w:val="en-GB"/>
        </w:rPr>
      </w:pPr>
    </w:p>
    <w:p w:rsidRPr="009F3F65" w:rsidR="003130C2" w:rsidP="003130C2" w:rsidRDefault="003130C2" w14:paraId="77C44EC7" w14:textId="77777777">
      <w:pPr>
        <w:spacing w:line="300" w:lineRule="exact"/>
      </w:pPr>
      <w:r>
        <w:t xml:space="preserve">When inquiring about the DEP’s relevance for social change, a representative of a </w:t>
      </w:r>
      <w:r>
        <w:rPr>
          <w:b/>
        </w:rPr>
        <w:t>Portuguese</w:t>
      </w:r>
      <w:r>
        <w:t xml:space="preserve"> public authority indicated that, from a political perspective at national level, </w:t>
      </w:r>
      <w:r>
        <w:rPr>
          <w:b/>
        </w:rPr>
        <w:t>most advancements in digital skills were driven by this programme</w:t>
      </w:r>
      <w:r>
        <w:t>. However, challenges were encountered, particularly during the initial setup of the network in the first year. Despite the knowledge acquired, it was noted that leveraging this knowledge for training purposes, whether for the unemployed or the employed, is crucial for labour market integration.</w:t>
      </w:r>
    </w:p>
    <w:p w:rsidRPr="009F3F65" w:rsidR="003130C2" w:rsidP="003130C2" w:rsidRDefault="003130C2" w14:paraId="410F1D1B" w14:textId="77777777">
      <w:pPr>
        <w:spacing w:line="300" w:lineRule="exact"/>
        <w:rPr>
          <w:lang w:val="en-GB"/>
        </w:rPr>
      </w:pPr>
    </w:p>
    <w:p w:rsidRPr="009F3F65" w:rsidR="003130C2" w:rsidP="003130C2" w:rsidRDefault="003130C2" w14:paraId="7BDC758A" w14:textId="77777777">
      <w:pPr>
        <w:spacing w:line="300" w:lineRule="exact"/>
      </w:pPr>
      <w:r>
        <w:t xml:space="preserve">During the semi-structured interviews in </w:t>
      </w:r>
      <w:r>
        <w:rPr>
          <w:b/>
        </w:rPr>
        <w:t>Sweden</w:t>
      </w:r>
      <w:r>
        <w:t xml:space="preserve">, a representative from a public authority stated that, </w:t>
      </w:r>
      <w:r>
        <w:rPr>
          <w:b/>
        </w:rPr>
        <w:t>compared to other countries, there is higher participation from universities in Sweden</w:t>
      </w:r>
      <w:r>
        <w:t>, especially in skills development and the creation of new master’s programmes. However, the effectiveness of these programmes cannot be assessed until students graduate, indicating long-term effects. The private sector was encouraged to provide short courses for employees. While universities played an active role, other actors’ involvement was encouraged. Furthermore, the development of semi-short courses was encouraged and considered to have a significant impact.</w:t>
      </w:r>
    </w:p>
    <w:p w:rsidRPr="009F3F65" w:rsidR="003130C2" w:rsidP="003130C2" w:rsidRDefault="003130C2" w14:paraId="53961C14" w14:textId="77777777">
      <w:pPr>
        <w:spacing w:line="300" w:lineRule="exact"/>
        <w:rPr>
          <w:lang w:val="en-GB"/>
        </w:rPr>
      </w:pPr>
    </w:p>
    <w:p w:rsidRPr="009F3F65" w:rsidR="003130C2" w:rsidP="003130C2" w:rsidRDefault="003130C2" w14:paraId="40C0094D" w14:textId="77777777">
      <w:pPr>
        <w:spacing w:line="300" w:lineRule="exact"/>
      </w:pPr>
      <w:r>
        <w:t>Representatives from Swedish academia stated that the inclusion of more master’s programmes and better involvement of women was not widely known as part of the DEP. However, a new master’s programme in health data had been launched thanks to the programme, which was viewed positively.</w:t>
      </w:r>
    </w:p>
    <w:p w:rsidRPr="009F3F65" w:rsidR="003130C2" w:rsidP="003130C2" w:rsidRDefault="003130C2" w14:paraId="2231A73E" w14:textId="77777777">
      <w:pPr>
        <w:spacing w:line="300" w:lineRule="exact"/>
        <w:rPr>
          <w:lang w:val="en-GB"/>
        </w:rPr>
      </w:pPr>
    </w:p>
    <w:p w:rsidRPr="009F3F65" w:rsidR="003130C2" w:rsidP="003130C2" w:rsidRDefault="003130C2" w14:paraId="65E9A7F3" w14:textId="77777777">
      <w:pPr>
        <w:spacing w:after="120" w:line="300" w:lineRule="exact"/>
      </w:pPr>
      <w:r>
        <w:t xml:space="preserve">Regarding the </w:t>
      </w:r>
      <w:r>
        <w:rPr>
          <w:u w:val="single"/>
        </w:rPr>
        <w:t>effectiveness of the DEP activities in involving girls and women in the digital technologies sector in their respective countries so far</w:t>
      </w:r>
      <w:r>
        <w:t xml:space="preserve"> (</w:t>
      </w:r>
      <w:r>
        <w:rPr>
          <w:b/>
        </w:rPr>
        <w:t>question 5</w:t>
      </w:r>
      <w:r>
        <w:t xml:space="preserve">), most respondents answered ‘unsure’ in how to assess this particular aspect in all the mentioned areas: primary and secondary education, higher education, research and development, employment and entrepreneurship. Areas with the highest </w:t>
      </w:r>
      <w:r>
        <w:lastRenderedPageBreak/>
        <w:t>positive assessment were ‘research and development’ (26% answered ‘moderately effective’) and ‘entrepreneurship’ (23% answered ‘moderately effective’), whilst ‘higher education’ was deemed ‘not very effective’ by 21% of the respondents and ‘primary and secondary education’ ‘not at all effective‘ by 12%.</w:t>
      </w:r>
    </w:p>
    <w:p w:rsidRPr="009F3F65" w:rsidR="003130C2" w:rsidP="003130C2" w:rsidRDefault="003130C2" w14:paraId="4FDCF87B" w14:textId="77777777">
      <w:pPr>
        <w:spacing w:line="240" w:lineRule="auto"/>
        <w:jc w:val="left"/>
        <w:rPr>
          <w:lang w:val="en-GB"/>
        </w:rPr>
      </w:pPr>
    </w:p>
    <w:p w:rsidRPr="009F3F65" w:rsidR="003130C2" w:rsidP="003130C2" w:rsidRDefault="003130C2" w14:paraId="6B357367" w14:textId="77777777">
      <w:pPr>
        <w:spacing w:after="120" w:line="300" w:lineRule="exact"/>
      </w:pPr>
      <w:r>
        <w:rPr>
          <w:noProof/>
        </w:rPr>
        <w:drawing>
          <wp:anchor distT="0" distB="0" distL="114300" distR="114300" simplePos="0" relativeHeight="251583488" behindDoc="0" locked="0" layoutInCell="1" allowOverlap="1" wp14:editId="0812A655" wp14:anchorId="5DA46DBC">
            <wp:simplePos x="0" y="0"/>
            <wp:positionH relativeFrom="margin">
              <wp:align>right</wp:align>
            </wp:positionH>
            <wp:positionV relativeFrom="paragraph">
              <wp:posOffset>139700</wp:posOffset>
            </wp:positionV>
            <wp:extent cx="5731510" cy="2940050"/>
            <wp:effectExtent l="0" t="0" r="2540" b="12700"/>
            <wp:wrapNone/>
            <wp:docPr id="21" name="Chart 21">
              <a:extLst xmlns:a="http://schemas.openxmlformats.org/drawingml/2006/main">
                <a:ext uri="{FF2B5EF4-FFF2-40B4-BE49-F238E27FC236}">
                  <a16:creationId xmlns:a16="http://schemas.microsoft.com/office/drawing/2014/main" id="{FF42EBF1-4CA3-4957-B33B-233E15A1C1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V relativeFrom="margin">
              <wp14:pctHeight>0</wp14:pctHeight>
            </wp14:sizeRelV>
          </wp:anchor>
        </w:drawing>
      </w:r>
    </w:p>
    <w:p w:rsidRPr="009F3F65" w:rsidR="003130C2" w:rsidP="003130C2" w:rsidRDefault="003130C2" w14:paraId="7C9925C2" w14:textId="77777777">
      <w:pPr>
        <w:spacing w:after="120" w:line="300" w:lineRule="exact"/>
        <w:rPr>
          <w:lang w:val="en-GB"/>
        </w:rPr>
      </w:pPr>
    </w:p>
    <w:p w:rsidRPr="009F3F65" w:rsidR="003130C2" w:rsidP="003130C2" w:rsidRDefault="003130C2" w14:paraId="1A4A80AF" w14:textId="77777777">
      <w:pPr>
        <w:spacing w:after="120" w:line="300" w:lineRule="exact"/>
        <w:rPr>
          <w:lang w:val="en-GB"/>
        </w:rPr>
      </w:pPr>
    </w:p>
    <w:p w:rsidRPr="009F3F65" w:rsidR="003130C2" w:rsidP="003130C2" w:rsidRDefault="003130C2" w14:paraId="37378122" w14:textId="77777777">
      <w:pPr>
        <w:spacing w:after="120" w:line="300" w:lineRule="exact"/>
        <w:rPr>
          <w:lang w:val="en-GB"/>
        </w:rPr>
      </w:pPr>
    </w:p>
    <w:p w:rsidRPr="009F3F65" w:rsidR="003130C2" w:rsidP="003130C2" w:rsidRDefault="003130C2" w14:paraId="6761BABC" w14:textId="77777777">
      <w:pPr>
        <w:spacing w:after="120" w:line="300" w:lineRule="exact"/>
        <w:rPr>
          <w:lang w:val="en-GB"/>
        </w:rPr>
      </w:pPr>
    </w:p>
    <w:p w:rsidRPr="009F3F65" w:rsidR="003130C2" w:rsidP="003130C2" w:rsidRDefault="003130C2" w14:paraId="2B459FC8" w14:textId="77777777">
      <w:pPr>
        <w:spacing w:after="120" w:line="300" w:lineRule="exact"/>
        <w:rPr>
          <w:lang w:val="en-GB"/>
        </w:rPr>
      </w:pPr>
    </w:p>
    <w:p w:rsidRPr="009F3F65" w:rsidR="003130C2" w:rsidP="003130C2" w:rsidRDefault="003130C2" w14:paraId="290F7B32" w14:textId="77777777">
      <w:pPr>
        <w:spacing w:after="120" w:line="300" w:lineRule="exact"/>
        <w:rPr>
          <w:lang w:val="en-GB"/>
        </w:rPr>
      </w:pPr>
    </w:p>
    <w:p w:rsidRPr="009F3F65" w:rsidR="003130C2" w:rsidP="003130C2" w:rsidRDefault="003130C2" w14:paraId="51F60833" w14:textId="77777777">
      <w:pPr>
        <w:spacing w:after="120" w:line="300" w:lineRule="exact"/>
        <w:rPr>
          <w:lang w:val="en-GB"/>
        </w:rPr>
      </w:pPr>
    </w:p>
    <w:p w:rsidRPr="009F3F65" w:rsidR="003130C2" w:rsidP="003130C2" w:rsidRDefault="003130C2" w14:paraId="66A580F7" w14:textId="77777777">
      <w:pPr>
        <w:spacing w:after="120" w:line="300" w:lineRule="exact"/>
        <w:rPr>
          <w:lang w:val="en-GB"/>
        </w:rPr>
      </w:pPr>
    </w:p>
    <w:p w:rsidRPr="009F3F65" w:rsidR="003130C2" w:rsidP="003130C2" w:rsidRDefault="003130C2" w14:paraId="765167E8" w14:textId="77777777">
      <w:pPr>
        <w:spacing w:after="120" w:line="300" w:lineRule="exact"/>
        <w:rPr>
          <w:lang w:val="en-GB"/>
        </w:rPr>
      </w:pPr>
    </w:p>
    <w:p w:rsidRPr="009F3F65" w:rsidR="003130C2" w:rsidP="003130C2" w:rsidRDefault="003130C2" w14:paraId="2C0C29DE" w14:textId="77777777">
      <w:pPr>
        <w:spacing w:after="120" w:line="300" w:lineRule="exact"/>
        <w:rPr>
          <w:lang w:val="en-GB"/>
        </w:rPr>
      </w:pPr>
    </w:p>
    <w:p w:rsidRPr="009F3F65" w:rsidR="003130C2" w:rsidP="003130C2" w:rsidRDefault="003130C2" w14:paraId="69AEE36A" w14:textId="77777777">
      <w:pPr>
        <w:spacing w:after="120" w:line="300" w:lineRule="exact"/>
        <w:rPr>
          <w:lang w:val="en-GB"/>
        </w:rPr>
      </w:pPr>
    </w:p>
    <w:p w:rsidRPr="009F3F65" w:rsidR="003130C2" w:rsidP="003130C2" w:rsidRDefault="003130C2" w14:paraId="75575B6E" w14:textId="77777777">
      <w:pPr>
        <w:spacing w:line="300" w:lineRule="exact"/>
        <w:jc w:val="center"/>
        <w:rPr>
          <w:color w:val="5B9BD5" w:themeColor="accent1"/>
          <w:sz w:val="20"/>
        </w:rPr>
      </w:pPr>
      <w:r>
        <w:rPr>
          <w:b/>
          <w:color w:val="5B9BD5" w:themeColor="accent1"/>
          <w:sz w:val="20"/>
        </w:rPr>
        <w:t xml:space="preserve">Figure 9. </w:t>
      </w:r>
      <w:r>
        <w:rPr>
          <w:color w:val="5B9BD5" w:themeColor="accent1"/>
          <w:sz w:val="20"/>
        </w:rPr>
        <w:t>Effectiveness of DEP activities in involving girls and women in digital technologies – general.</w:t>
      </w:r>
    </w:p>
    <w:p w:rsidRPr="009F3F65" w:rsidR="003130C2" w:rsidP="003130C2" w:rsidRDefault="003130C2" w14:paraId="335B89D1" w14:textId="77777777">
      <w:pPr>
        <w:spacing w:line="300" w:lineRule="exact"/>
        <w:jc w:val="center"/>
        <w:rPr>
          <w:color w:val="5B9BD5" w:themeColor="accent1"/>
          <w:sz w:val="20"/>
          <w:lang w:val="en-GB"/>
        </w:rPr>
      </w:pPr>
    </w:p>
    <w:p w:rsidRPr="009F3F65" w:rsidR="003130C2" w:rsidP="003130C2" w:rsidRDefault="003130C2" w14:paraId="59C2DE55" w14:textId="77777777">
      <w:pPr>
        <w:spacing w:line="300" w:lineRule="exact"/>
      </w:pPr>
      <w:r>
        <w:t>A cross-country comparison reflected a similar spread of views, with the exception of Poland, where a larger number of the respondents were able to provide an assessment of the DEP’s effectiveness in involving girls and women in the digital technologies sector in all categories. In the area of primary and secondary education, as well as in employment and entrepreneurship, it had been ‘moderately effective’ (38% or 3 persons), whilst in higher education and in research and development ‘not very effective’ (38% or 3 persons).</w:t>
      </w:r>
    </w:p>
    <w:p w:rsidRPr="009F3F65" w:rsidR="003130C2" w:rsidP="003130C2" w:rsidRDefault="003130C2" w14:paraId="23D840B1" w14:textId="77777777">
      <w:pPr>
        <w:spacing w:line="300" w:lineRule="exact"/>
        <w:rPr>
          <w:lang w:val="en-GB"/>
        </w:rPr>
      </w:pPr>
    </w:p>
    <w:p w:rsidRPr="009F3F65" w:rsidR="003130C2" w:rsidP="003130C2" w:rsidRDefault="003130C2" w14:paraId="3A3689A9" w14:textId="77777777">
      <w:pPr>
        <w:spacing w:line="300" w:lineRule="exact"/>
      </w:pPr>
      <w:r>
        <w:t xml:space="preserve">During the semi-structured interviews in </w:t>
      </w:r>
      <w:r>
        <w:rPr>
          <w:b/>
        </w:rPr>
        <w:t>Malta</w:t>
      </w:r>
      <w:r>
        <w:t>, representatives from educational entities confirmed their involvement and efforts in increasing the presence of women in advancing digital skills by promoting their participation in tech competitions, international and national events and advertising courses in public media.</w:t>
      </w:r>
    </w:p>
    <w:p w:rsidRPr="009F3F65" w:rsidR="003130C2" w:rsidP="003130C2" w:rsidRDefault="003130C2" w14:paraId="594BFD8C" w14:textId="77777777">
      <w:pPr>
        <w:spacing w:line="300" w:lineRule="exact"/>
      </w:pPr>
      <w:r>
        <w:t xml:space="preserve">During the semi-structured interviews in </w:t>
      </w:r>
      <w:r>
        <w:rPr>
          <w:b/>
        </w:rPr>
        <w:t>Sweden</w:t>
      </w:r>
      <w:r>
        <w:t xml:space="preserve">, a social partners’ representative noted with regard to STEM and women in STEM, that the initiatives in Sweden are quite different from those at EU level. There have been sector-specific initiatives and efforts in entrepreneurship, but these are not linked to the EU. </w:t>
      </w:r>
      <w:r>
        <w:rPr>
          <w:b/>
        </w:rPr>
        <w:t>Discussions on promoting interest in STEM among women are ongoing within the government, but they are not connected to any European initiatives.</w:t>
      </w:r>
    </w:p>
    <w:p w:rsidRPr="009F3F65" w:rsidR="003130C2" w:rsidP="003130C2" w:rsidRDefault="003130C2" w14:paraId="534AC5F1" w14:textId="77777777">
      <w:pPr>
        <w:spacing w:line="300" w:lineRule="exact"/>
        <w:rPr>
          <w:lang w:val="en-GB"/>
        </w:rPr>
      </w:pPr>
    </w:p>
    <w:p w:rsidRPr="009F3F65" w:rsidR="003130C2" w:rsidP="003130C2" w:rsidRDefault="003130C2" w14:paraId="76987F78" w14:textId="77777777">
      <w:pPr>
        <w:spacing w:line="300" w:lineRule="exact"/>
      </w:pPr>
      <w:r>
        <w:t>When discussing the advancement of women in tech, a representative from the Swedish public authorities stated that the DEP did not initially come to mind as covering this area. However, after considering the programme and its focus on skills, many new ideas have emerged.</w:t>
      </w:r>
    </w:p>
    <w:p w:rsidRPr="009F3F65" w:rsidR="003130C2" w:rsidP="003130C2" w:rsidRDefault="003130C2" w14:paraId="535F2564" w14:textId="77777777">
      <w:pPr>
        <w:spacing w:line="300" w:lineRule="exact"/>
        <w:rPr>
          <w:lang w:val="en-GB"/>
        </w:rPr>
      </w:pPr>
    </w:p>
    <w:p w:rsidRPr="009F3F65" w:rsidR="003130C2" w:rsidP="003130C2" w:rsidRDefault="003130C2" w14:paraId="042A3E7B" w14:textId="77777777">
      <w:pPr>
        <w:spacing w:line="300" w:lineRule="exact"/>
      </w:pPr>
      <w:r>
        <w:lastRenderedPageBreak/>
        <w:t xml:space="preserve">Asked </w:t>
      </w:r>
      <w:r>
        <w:rPr>
          <w:u w:val="single"/>
        </w:rPr>
        <w:t>to provide further information on this topic</w:t>
      </w:r>
      <w:r>
        <w:t xml:space="preserve"> (</w:t>
      </w:r>
      <w:r>
        <w:rPr>
          <w:b/>
        </w:rPr>
        <w:t>open question 5.a</w:t>
      </w:r>
      <w:r>
        <w:t>), 12 respondents did so. Several participants noted that efforts in this area were being made in their respective countries but they were not sure whether they were thanks to the Digital Europe Programme or other (national) initiatives. It was mentioned that gender balance was a general issue in this field. Another point raised was the lack of information, in particular, not enough dissemination efforts by the local National Contact Points. Finally, one participant pointed to good support from the EDIH for female entrepreneurs.</w:t>
      </w:r>
    </w:p>
    <w:p w:rsidRPr="009F3F65" w:rsidR="003130C2" w:rsidP="003130C2" w:rsidRDefault="003130C2" w14:paraId="63AB9D4B" w14:textId="77777777">
      <w:pPr>
        <w:spacing w:line="300" w:lineRule="exact"/>
        <w:rPr>
          <w:lang w:val="en-GB"/>
        </w:rPr>
      </w:pPr>
    </w:p>
    <w:p w:rsidRPr="009F3F65" w:rsidR="003130C2" w:rsidP="003130C2" w:rsidRDefault="003130C2" w14:paraId="49BE3151" w14:textId="77777777">
      <w:pPr>
        <w:spacing w:line="300" w:lineRule="exact"/>
      </w:pPr>
      <w:r>
        <w:t xml:space="preserve">Asked to evaluate </w:t>
      </w:r>
      <w:r>
        <w:rPr>
          <w:u w:val="single"/>
        </w:rPr>
        <w:t>what progress has been made towards achieving the expected outcomes, results and impacts of the DEP in their respective countries so far</w:t>
      </w:r>
      <w:r>
        <w:t xml:space="preserve"> (</w:t>
      </w:r>
      <w:r>
        <w:rPr>
          <w:b/>
        </w:rPr>
        <w:t>question 6</w:t>
      </w:r>
      <w:r>
        <w:t>), almost half of the respondents (49%) answered that the progress had been ‘moderately good’, whilst 21% answered ‘unsure’, 14% thought the progress was ‘not very good’ and 9% that it was ‘very good’.</w:t>
      </w:r>
    </w:p>
    <w:p w:rsidRPr="009F3F65" w:rsidR="003130C2" w:rsidP="003130C2" w:rsidRDefault="003130C2" w14:paraId="2076DFEC" w14:textId="77777777">
      <w:pPr>
        <w:spacing w:line="300" w:lineRule="exact"/>
      </w:pPr>
      <w:r>
        <w:rPr>
          <w:noProof/>
        </w:rPr>
        <w:drawing>
          <wp:anchor distT="0" distB="0" distL="114300" distR="114300" simplePos="0" relativeHeight="251592704" behindDoc="0" locked="0" layoutInCell="1" allowOverlap="1" wp14:editId="30750BDC" wp14:anchorId="4E83C6F9">
            <wp:simplePos x="0" y="0"/>
            <wp:positionH relativeFrom="margin">
              <wp:posOffset>488950</wp:posOffset>
            </wp:positionH>
            <wp:positionV relativeFrom="paragraph">
              <wp:posOffset>152400</wp:posOffset>
            </wp:positionV>
            <wp:extent cx="4648200" cy="2889250"/>
            <wp:effectExtent l="0" t="0" r="0" b="6350"/>
            <wp:wrapNone/>
            <wp:docPr id="22" name="Chart 22">
              <a:extLst xmlns:a="http://schemas.openxmlformats.org/drawingml/2006/main">
                <a:ext uri="{FF2B5EF4-FFF2-40B4-BE49-F238E27FC236}">
                  <a16:creationId xmlns:a16="http://schemas.microsoft.com/office/drawing/2014/main" id="{E9AF1D57-9FD5-4A1A-8684-D5F417576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rsidRPr="009F3F65" w:rsidR="003130C2" w:rsidP="003130C2" w:rsidRDefault="003130C2" w14:paraId="0B791F01" w14:textId="77777777">
      <w:pPr>
        <w:spacing w:after="120" w:line="300" w:lineRule="exact"/>
        <w:jc w:val="center"/>
        <w:rPr>
          <w:color w:val="5B9BD5" w:themeColor="accent1"/>
          <w:sz w:val="20"/>
          <w:lang w:val="en-GB"/>
        </w:rPr>
      </w:pPr>
    </w:p>
    <w:p w:rsidRPr="009F3F65" w:rsidR="003130C2" w:rsidP="003130C2" w:rsidRDefault="003130C2" w14:paraId="40A71AAB" w14:textId="77777777">
      <w:pPr>
        <w:spacing w:after="120" w:line="300" w:lineRule="exact"/>
        <w:jc w:val="center"/>
        <w:rPr>
          <w:color w:val="5B9BD5" w:themeColor="accent1"/>
          <w:sz w:val="20"/>
          <w:lang w:val="en-GB"/>
        </w:rPr>
      </w:pPr>
    </w:p>
    <w:p w:rsidRPr="009F3F65" w:rsidR="003130C2" w:rsidP="003130C2" w:rsidRDefault="003130C2" w14:paraId="65B6D987" w14:textId="77777777">
      <w:pPr>
        <w:spacing w:after="120" w:line="300" w:lineRule="exact"/>
        <w:jc w:val="center"/>
        <w:rPr>
          <w:color w:val="5B9BD5" w:themeColor="accent1"/>
          <w:sz w:val="20"/>
          <w:lang w:val="en-GB"/>
        </w:rPr>
      </w:pPr>
    </w:p>
    <w:p w:rsidRPr="009F3F65" w:rsidR="003130C2" w:rsidP="003130C2" w:rsidRDefault="003130C2" w14:paraId="32C3EDDB" w14:textId="77777777">
      <w:pPr>
        <w:spacing w:after="120" w:line="300" w:lineRule="exact"/>
        <w:jc w:val="center"/>
        <w:rPr>
          <w:lang w:val="en-GB"/>
        </w:rPr>
      </w:pPr>
    </w:p>
    <w:p w:rsidRPr="009F3F65" w:rsidR="003130C2" w:rsidP="003130C2" w:rsidRDefault="003130C2" w14:paraId="2188ADEC" w14:textId="77777777">
      <w:pPr>
        <w:spacing w:after="120" w:line="300" w:lineRule="exact"/>
        <w:jc w:val="center"/>
        <w:rPr>
          <w:lang w:val="en-GB"/>
        </w:rPr>
      </w:pPr>
    </w:p>
    <w:p w:rsidRPr="009F3F65" w:rsidR="003130C2" w:rsidP="003130C2" w:rsidRDefault="003130C2" w14:paraId="1384F587" w14:textId="77777777">
      <w:pPr>
        <w:spacing w:after="120" w:line="300" w:lineRule="exact"/>
        <w:jc w:val="center"/>
        <w:rPr>
          <w:lang w:val="en-GB"/>
        </w:rPr>
      </w:pPr>
    </w:p>
    <w:p w:rsidRPr="009F3F65" w:rsidR="003130C2" w:rsidP="003130C2" w:rsidRDefault="003130C2" w14:paraId="6ECBF7C2" w14:textId="77777777">
      <w:pPr>
        <w:spacing w:after="120" w:line="300" w:lineRule="exact"/>
        <w:jc w:val="center"/>
        <w:rPr>
          <w:lang w:val="en-GB"/>
        </w:rPr>
      </w:pPr>
    </w:p>
    <w:p w:rsidRPr="009F3F65" w:rsidR="003130C2" w:rsidP="003130C2" w:rsidRDefault="003130C2" w14:paraId="21ECC4C4" w14:textId="77777777">
      <w:pPr>
        <w:spacing w:after="120" w:line="300" w:lineRule="exact"/>
        <w:jc w:val="center"/>
        <w:rPr>
          <w:lang w:val="en-GB"/>
        </w:rPr>
      </w:pPr>
    </w:p>
    <w:p w:rsidRPr="009F3F65" w:rsidR="003130C2" w:rsidP="003130C2" w:rsidRDefault="003130C2" w14:paraId="13454D47" w14:textId="77777777">
      <w:pPr>
        <w:spacing w:after="120" w:line="300" w:lineRule="exact"/>
        <w:jc w:val="center"/>
        <w:rPr>
          <w:lang w:val="en-GB"/>
        </w:rPr>
      </w:pPr>
    </w:p>
    <w:p w:rsidRPr="009F3F65" w:rsidR="003130C2" w:rsidP="003130C2" w:rsidRDefault="003130C2" w14:paraId="64B24780" w14:textId="77777777">
      <w:pPr>
        <w:spacing w:after="120" w:line="300" w:lineRule="exact"/>
        <w:jc w:val="center"/>
        <w:rPr>
          <w:lang w:val="en-GB"/>
        </w:rPr>
      </w:pPr>
    </w:p>
    <w:p w:rsidRPr="009F3F65" w:rsidR="003130C2" w:rsidP="003130C2" w:rsidRDefault="003130C2" w14:paraId="266DE7DF" w14:textId="77777777">
      <w:pPr>
        <w:spacing w:after="120" w:line="300" w:lineRule="exact"/>
        <w:jc w:val="center"/>
        <w:rPr>
          <w:lang w:val="en-GB"/>
        </w:rPr>
      </w:pPr>
    </w:p>
    <w:p w:rsidRPr="009F3F65" w:rsidR="003130C2" w:rsidP="003130C2" w:rsidRDefault="003130C2" w14:paraId="61651ED7" w14:textId="77777777">
      <w:pPr>
        <w:spacing w:line="300" w:lineRule="exact"/>
        <w:jc w:val="center"/>
        <w:rPr>
          <w:color w:val="5B9BD5" w:themeColor="accent1"/>
          <w:sz w:val="20"/>
        </w:rPr>
      </w:pPr>
      <w:r>
        <w:rPr>
          <w:b/>
          <w:color w:val="5B9BD5" w:themeColor="accent1"/>
          <w:sz w:val="20"/>
        </w:rPr>
        <w:t xml:space="preserve">Figure 10. </w:t>
      </w:r>
      <w:r>
        <w:rPr>
          <w:color w:val="5B9BD5" w:themeColor="accent1"/>
          <w:sz w:val="20"/>
        </w:rPr>
        <w:t>Progress towards achieving DEP outcomes, results and impacts – general.</w:t>
      </w:r>
    </w:p>
    <w:p w:rsidRPr="009F3F65" w:rsidR="003130C2" w:rsidP="003130C2" w:rsidRDefault="003130C2" w14:paraId="7F5D0D38" w14:textId="77777777">
      <w:pPr>
        <w:spacing w:line="300" w:lineRule="exact"/>
        <w:jc w:val="center"/>
        <w:rPr>
          <w:color w:val="5B9BD5" w:themeColor="accent1"/>
          <w:sz w:val="20"/>
          <w:lang w:val="en-GB"/>
        </w:rPr>
      </w:pPr>
    </w:p>
    <w:p w:rsidRPr="009F3F65" w:rsidR="003130C2" w:rsidP="003130C2" w:rsidRDefault="003130C2" w14:paraId="2FD12BDC" w14:textId="77777777">
      <w:pPr>
        <w:spacing w:line="300" w:lineRule="exact"/>
        <w:rPr>
          <w:vanish/>
        </w:rPr>
      </w:pPr>
      <w:r>
        <w:t>Looking across countries, the most popular answer in all five countries was that the DEP’s progress towards achieving the expected outcomes, results and impacts had been ‘moderately good’ (9 respondents in Germany, 4 – in Malta, 4 in Poland, 1 – in Portugal and 3 - in Sweden) , with German and Maltese respondents also choosing the option "very good" (3 persons in Germany and one person in Malta). Whereas in Poland, Portugal and Sweden respondents instead chose ‘not very good’ (2 persons in each of the countries), or ‘not at all good’ (1 person in each of the countries).</w:t>
      </w:r>
    </w:p>
    <w:p w:rsidRPr="009F3F65" w:rsidR="003130C2" w:rsidP="003130C2" w:rsidRDefault="003130C2" w14:paraId="068C5CFC" w14:textId="77777777">
      <w:pPr>
        <w:spacing w:line="300" w:lineRule="exact"/>
        <w:rPr>
          <w:lang w:val="en-GB"/>
        </w:rPr>
      </w:pPr>
    </w:p>
    <w:p w:rsidRPr="009F3F65" w:rsidR="003130C2" w:rsidP="003130C2" w:rsidRDefault="003130C2" w14:paraId="51D7DCA7" w14:textId="77777777">
      <w:pPr>
        <w:spacing w:line="300" w:lineRule="exact"/>
      </w:pPr>
      <w:r>
        <w:t>In a cross-category comparison, the responses diverged slightly more. The business representatives were the most sceptical, with over a third (36%) considering that the progress of the DEP towards achieving the expected outcomes, results and impacts had been ‘not very good’, whilst representatives from academia were the most positive, with 18% believing that the said progress had been ‘very good’ and more than half (65%) that it had been ‘moderately good’.</w:t>
      </w:r>
    </w:p>
    <w:p w:rsidRPr="009F3F65" w:rsidR="003130C2" w:rsidP="003130C2" w:rsidRDefault="003130C2" w14:paraId="6138D9D8" w14:textId="77777777">
      <w:pPr>
        <w:spacing w:line="300" w:lineRule="exact"/>
        <w:rPr>
          <w:color w:val="5B9BD5" w:themeColor="accent1"/>
          <w:sz w:val="20"/>
        </w:rPr>
      </w:pPr>
      <w:r>
        <w:rPr>
          <w:b/>
          <w:noProof/>
          <w:color w:val="5B9BD5" w:themeColor="accent1"/>
          <w:sz w:val="20"/>
        </w:rPr>
        <w:lastRenderedPageBreak/>
        <w:drawing>
          <wp:anchor distT="0" distB="0" distL="114300" distR="114300" simplePos="0" relativeHeight="251611136" behindDoc="0" locked="0" layoutInCell="1" allowOverlap="1" wp14:editId="6FC012B1" wp14:anchorId="1554C2C1">
            <wp:simplePos x="0" y="0"/>
            <wp:positionH relativeFrom="column">
              <wp:posOffset>-22372</wp:posOffset>
            </wp:positionH>
            <wp:positionV relativeFrom="paragraph">
              <wp:posOffset>315701</wp:posOffset>
            </wp:positionV>
            <wp:extent cx="5731510" cy="2733675"/>
            <wp:effectExtent l="0" t="0" r="2540" b="9525"/>
            <wp:wrapSquare wrapText="bothSides"/>
            <wp:docPr id="11" name="Chart 11">
              <a:extLst xmlns:a="http://schemas.openxmlformats.org/drawingml/2006/main">
                <a:ext uri="{FF2B5EF4-FFF2-40B4-BE49-F238E27FC236}">
                  <a16:creationId xmlns:a16="http://schemas.microsoft.com/office/drawing/2014/main" id="{2AB9C076-F492-4741-AAF0-D3C401D09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rsidRPr="009F3F65" w:rsidR="003130C2" w:rsidP="003130C2" w:rsidRDefault="003130C2" w14:paraId="5D0A11E0" w14:textId="77777777">
      <w:pPr>
        <w:spacing w:line="300" w:lineRule="exact"/>
        <w:jc w:val="center"/>
        <w:rPr>
          <w:color w:val="5B9BD5" w:themeColor="accent1"/>
          <w:sz w:val="20"/>
        </w:rPr>
      </w:pPr>
      <w:r>
        <w:rPr>
          <w:b/>
          <w:color w:val="5B9BD5" w:themeColor="accent1"/>
          <w:sz w:val="20"/>
        </w:rPr>
        <w:t xml:space="preserve">Figure 11. </w:t>
      </w:r>
      <w:r>
        <w:rPr>
          <w:color w:val="5B9BD5" w:themeColor="accent1"/>
          <w:sz w:val="20"/>
        </w:rPr>
        <w:t>Progress towards achieving DEP outcomes, results and impacts – by category.</w:t>
      </w:r>
    </w:p>
    <w:p w:rsidRPr="009F3F65" w:rsidR="003130C2" w:rsidP="003130C2" w:rsidRDefault="003130C2" w14:paraId="665CB97B" w14:textId="77777777">
      <w:pPr>
        <w:spacing w:line="300" w:lineRule="exact"/>
        <w:jc w:val="center"/>
        <w:rPr>
          <w:lang w:val="en-GB"/>
        </w:rPr>
      </w:pPr>
    </w:p>
    <w:p w:rsidRPr="009F3F65" w:rsidR="003130C2" w:rsidP="003130C2" w:rsidRDefault="003130C2" w14:paraId="0E448E3C" w14:textId="77777777">
      <w:pPr>
        <w:spacing w:line="300" w:lineRule="exact"/>
      </w:pPr>
      <w:r>
        <w:t xml:space="preserve">During the semi-structured interviews in </w:t>
      </w:r>
      <w:r>
        <w:rPr>
          <w:b/>
        </w:rPr>
        <w:t>Malta</w:t>
      </w:r>
      <w:r>
        <w:t xml:space="preserve">, the stakeholders highlighted the existence of </w:t>
      </w:r>
      <w:r>
        <w:rPr>
          <w:b/>
        </w:rPr>
        <w:t>bureaucratic and lengthy hurdles, and complex application processes that impede participation</w:t>
      </w:r>
      <w:r>
        <w:t xml:space="preserve">. Simplifying procedures could enhance participation and speed up implementation. Moreover, </w:t>
      </w:r>
      <w:r>
        <w:rPr>
          <w:b/>
        </w:rPr>
        <w:t>the</w:t>
      </w:r>
      <w:r>
        <w:t xml:space="preserve"> </w:t>
      </w:r>
      <w:r>
        <w:rPr>
          <w:b/>
        </w:rPr>
        <w:t xml:space="preserve">substantial co-financing rate (50%) of calls for tender and projects under the DEP creates obstacles for entities with limited networking capacities and located in small countries </w:t>
      </w:r>
      <w:r>
        <w:t>such as Malta. In this regard, different types of grants, lump-sum grants or projects of different sizes could be some of the elements to take into account in order to allow the stakeholders from small and isolated EU Member States, such as Malta (as is the case with the Creative Europe Programme), to benefit from the programme.</w:t>
      </w:r>
    </w:p>
    <w:p w:rsidRPr="009F3F65" w:rsidR="003130C2" w:rsidP="003130C2" w:rsidRDefault="003130C2" w14:paraId="77115282" w14:textId="77777777">
      <w:pPr>
        <w:spacing w:line="300" w:lineRule="exact"/>
        <w:rPr>
          <w:lang w:val="en-GB"/>
        </w:rPr>
      </w:pPr>
    </w:p>
    <w:p w:rsidRPr="009F3F65" w:rsidR="003130C2" w:rsidP="003130C2" w:rsidRDefault="003130C2" w14:paraId="6E9746B3" w14:textId="77777777">
      <w:pPr>
        <w:spacing w:line="300" w:lineRule="exact"/>
      </w:pPr>
      <w:r>
        <w:t xml:space="preserve">Furthermore, representatives from the </w:t>
      </w:r>
      <w:r>
        <w:rPr>
          <w:b/>
        </w:rPr>
        <w:t>Maltese</w:t>
      </w:r>
      <w:r>
        <w:t xml:space="preserve"> social partners put a particular focus on </w:t>
      </w:r>
      <w:r>
        <w:rPr>
          <w:b/>
        </w:rPr>
        <w:t>the need to address the skills shortage with specific regard to the area of STEM, and the improvement of solutions against cyberthreats</w:t>
      </w:r>
      <w:r>
        <w:t>. They also highlighted the importance of setting realistic long-term targets (e.g. the creation of 20 million ICT specialists as a target of the Europe’s Digital Decade 2030 seems unrealistic at present).</w:t>
      </w:r>
    </w:p>
    <w:p w:rsidRPr="009F3F65" w:rsidR="003130C2" w:rsidP="003130C2" w:rsidRDefault="003130C2" w14:paraId="3C803C6F" w14:textId="77777777">
      <w:pPr>
        <w:spacing w:line="300" w:lineRule="exact"/>
        <w:rPr>
          <w:lang w:val="en-GB"/>
        </w:rPr>
      </w:pPr>
    </w:p>
    <w:p w:rsidRPr="009F3F65" w:rsidR="003130C2" w:rsidP="003130C2" w:rsidRDefault="003130C2" w14:paraId="1E9B4E76" w14:textId="77777777">
      <w:pPr>
        <w:spacing w:line="300" w:lineRule="exact"/>
      </w:pPr>
      <w:r>
        <w:t xml:space="preserve">Finally, a representative from a </w:t>
      </w:r>
      <w:r>
        <w:rPr>
          <w:b/>
        </w:rPr>
        <w:t>Maltese</w:t>
      </w:r>
      <w:r>
        <w:t xml:space="preserve"> company benefitting from the DEP highlighted the programme’s positive effect, as a tool to ensure collaboration between public authorities, educational entities and private companies. Concerning the challenges, he pointed out </w:t>
      </w:r>
      <w:r>
        <w:rPr>
          <w:b/>
        </w:rPr>
        <w:t>the difficulty of taking advantage of EU programmes whose scopes overlap</w:t>
      </w:r>
      <w:r>
        <w:t xml:space="preserve"> (e.g. digital skills covered by Erasmus+ and Digital Europe Programme), with efforts to identify the right calls for tender and make proper use of the funds proving to be time-consuming. Despite them being in the early stages, academia, public authorities and entities responsible for managing the projects (e.g. EDIH-Malta) under the programme confirmed their intention to work together closely to ensure synergies between their respective activities.</w:t>
      </w:r>
    </w:p>
    <w:p w:rsidRPr="009F3F65" w:rsidR="003130C2" w:rsidP="003130C2" w:rsidRDefault="003130C2" w14:paraId="471DBA11" w14:textId="77777777">
      <w:pPr>
        <w:spacing w:line="300" w:lineRule="exact"/>
      </w:pPr>
      <w:r>
        <w:t xml:space="preserve">During the semi-structured interviews in </w:t>
      </w:r>
      <w:r>
        <w:rPr>
          <w:b/>
        </w:rPr>
        <w:t>Poland</w:t>
      </w:r>
      <w:r>
        <w:t xml:space="preserve">, representatives of the social partners expressed the view that the DEP has yielded partial results in Poland as regards the digital transformation of SMEs (thanks to European Digital Innovation Hubs), implementation of AI and cybersecurity solutions (e.g. creation of security operation centres thanks to the programme’s financing, with over EUR 30 million </w:t>
      </w:r>
      <w:r>
        <w:lastRenderedPageBreak/>
        <w:t xml:space="preserve">placed in the Polish market) and the digitalisation of services in the healthcare sector (e.g. e-prescriptions). Participants also pointed out </w:t>
      </w:r>
      <w:r>
        <w:rPr>
          <w:b/>
        </w:rPr>
        <w:t>the difficulty for Polish enterprises of accessing the DEP</w:t>
      </w:r>
      <w:r>
        <w:t>. Among the different causes, they pointed out the lack of awareness by SMEs and companies from more vulnerable sectors, such as agriculture.</w:t>
      </w:r>
    </w:p>
    <w:p w:rsidRPr="009F3F65" w:rsidR="003130C2" w:rsidP="003130C2" w:rsidRDefault="003130C2" w14:paraId="5A77F6AA" w14:textId="77777777">
      <w:pPr>
        <w:spacing w:line="300" w:lineRule="exact"/>
        <w:rPr>
          <w:lang w:val="en-GB"/>
        </w:rPr>
      </w:pPr>
    </w:p>
    <w:p w:rsidRPr="009F3F65" w:rsidR="003130C2" w:rsidP="003130C2" w:rsidRDefault="003130C2" w14:paraId="473EC574" w14:textId="77777777">
      <w:pPr>
        <w:spacing w:line="300" w:lineRule="exact"/>
      </w:pPr>
      <w:r>
        <w:t xml:space="preserve">During the semi-structured interviews in </w:t>
      </w:r>
      <w:r>
        <w:rPr>
          <w:b/>
        </w:rPr>
        <w:t>Sweden</w:t>
      </w:r>
      <w:r>
        <w:t xml:space="preserve">, a representative from the social partners </w:t>
      </w:r>
      <w:r>
        <w:rPr>
          <w:b/>
        </w:rPr>
        <w:t xml:space="preserve">expressed scepticism regarding the success of the DEP, noting that while digital innovation hubs are known, their impact is not substantial. </w:t>
      </w:r>
      <w:r>
        <w:t xml:space="preserve">In this regard, it was observed that, similar to other EU policies, </w:t>
      </w:r>
      <w:r>
        <w:rPr>
          <w:b/>
        </w:rPr>
        <w:t>Sweden seems to lack awareness about the DEP</w:t>
      </w:r>
      <w:r>
        <w:t>. Swedish media and politicians seldom discuss it, resulting in the EU’s digital goals not being prioritised or widely known among Swedish stakeholders. Many are unaware of the programme’s objectives and goals, leading to minimal visibility and engagement.</w:t>
      </w:r>
    </w:p>
    <w:p w:rsidRPr="009F3F65" w:rsidR="003130C2" w:rsidP="003130C2" w:rsidRDefault="003130C2" w14:paraId="4E29C9FB" w14:textId="77777777">
      <w:pPr>
        <w:spacing w:line="300" w:lineRule="exact"/>
        <w:rPr>
          <w:lang w:val="en-GB"/>
        </w:rPr>
      </w:pPr>
    </w:p>
    <w:p w:rsidRPr="009F3F65" w:rsidR="003130C2" w:rsidP="003130C2" w:rsidRDefault="003130C2" w14:paraId="34369008" w14:textId="77777777">
      <w:pPr>
        <w:spacing w:line="300" w:lineRule="exact"/>
      </w:pPr>
      <w:r>
        <w:t xml:space="preserve">Furthermore, it was noted that, despite new data from the national authority on digital governance indicating a decline in digital skills among younger age groups, </w:t>
      </w:r>
      <w:r>
        <w:rPr>
          <w:b/>
        </w:rPr>
        <w:t>this information has not been prioritised at the policy level</w:t>
      </w:r>
      <w:r>
        <w:t>, resulting in a lack of initiatives. This issue extends beyond education, affecting general digital advancement. Overall, there was discontent about the Swedish government’s lack of action in the digital domain despite the results of data and studies.</w:t>
      </w:r>
    </w:p>
    <w:p w:rsidRPr="009F3F65" w:rsidR="003130C2" w:rsidP="003130C2" w:rsidRDefault="003130C2" w14:paraId="2C404153" w14:textId="77777777">
      <w:pPr>
        <w:spacing w:line="300" w:lineRule="exact"/>
        <w:rPr>
          <w:lang w:val="en-GB"/>
        </w:rPr>
      </w:pPr>
    </w:p>
    <w:p w:rsidRPr="009F3F65" w:rsidR="003130C2" w:rsidP="003130C2" w:rsidRDefault="003130C2" w14:paraId="3816CC65" w14:textId="77777777">
      <w:pPr>
        <w:spacing w:line="300" w:lineRule="exact"/>
      </w:pPr>
      <w:r>
        <w:t xml:space="preserve">From the point of view of the </w:t>
      </w:r>
      <w:r>
        <w:rPr>
          <w:b/>
        </w:rPr>
        <w:t>Swedish</w:t>
      </w:r>
      <w:r>
        <w:t xml:space="preserve"> public authorities, a mid-term evaluation is being conducted on a programme that has barely started. The representative noted that </w:t>
      </w:r>
      <w:r>
        <w:rPr>
          <w:b/>
        </w:rPr>
        <w:t>the progress of the projects would be described as quite limited due to a chaotic start</w:t>
      </w:r>
      <w:r>
        <w:t xml:space="preserve">. However, given the challenges posed by COVID-19 when the programme was launched, the progress made is commendable. It was added that not many small and medium-sized enterprises (SMEs) are involved yet, as they have been busy organising themselves, as shown by the available data. Despite the broad scope and challenges, </w:t>
      </w:r>
      <w:r>
        <w:rPr>
          <w:b/>
        </w:rPr>
        <w:t>some good examples are emerging</w:t>
      </w:r>
      <w:r>
        <w:t>.</w:t>
      </w:r>
    </w:p>
    <w:p w:rsidRPr="009F3F65" w:rsidR="003130C2" w:rsidP="003130C2" w:rsidRDefault="003130C2" w14:paraId="5DABFDDB" w14:textId="77777777">
      <w:pPr>
        <w:spacing w:line="300" w:lineRule="exact"/>
        <w:rPr>
          <w:lang w:val="en-GB"/>
        </w:rPr>
      </w:pPr>
    </w:p>
    <w:p w:rsidRPr="009F3F65" w:rsidR="003130C2" w:rsidP="003130C2" w:rsidRDefault="003130C2" w14:paraId="2A36991F" w14:textId="77777777">
      <w:pPr>
        <w:spacing w:line="300" w:lineRule="exact"/>
        <w:rPr>
          <w:b/>
          <w:bCs/>
        </w:rPr>
      </w:pPr>
      <w:r>
        <w:t xml:space="preserve">Furthermore, cybersecurity in particular was mentioned, as it involves many SMEs that are not accustomed to EU calls for tender. Most of the efforts have been focused on spreading awareness (through social media) on how to respond to these calls. It was felt that interest was growing, but it was too early to see a significant impact. For those familiar with the DEP, the challenges lie in explaining the programme and lowering the threshold for these complex applications. Big companies and universities have departments dedicated to handling applications, whereas </w:t>
      </w:r>
      <w:r>
        <w:rPr>
          <w:b/>
        </w:rPr>
        <w:t>SMEs hesitate due to the administrative burden</w:t>
      </w:r>
      <w:r>
        <w:t xml:space="preserve">. The co-funding rate, which requires a 50-50 commitment, was considered to pose additional challenges. Companies are reluctant to get involved due to the complexity and long-term nature of contracts. </w:t>
      </w:r>
      <w:r>
        <w:rPr>
          <w:b/>
        </w:rPr>
        <w:t>Financial support for smaller calls for tender with a lighter administrative burden was deemed a good solution.</w:t>
      </w:r>
    </w:p>
    <w:p w:rsidRPr="009F3F65" w:rsidR="003130C2" w:rsidP="003130C2" w:rsidRDefault="003130C2" w14:paraId="0B9CF695" w14:textId="77777777">
      <w:pPr>
        <w:spacing w:line="300" w:lineRule="exact"/>
        <w:rPr>
          <w:b/>
          <w:bCs/>
          <w:lang w:val="en-GB"/>
        </w:rPr>
      </w:pPr>
    </w:p>
    <w:p w:rsidRPr="009F3F65" w:rsidR="003130C2" w:rsidP="003130C2" w:rsidRDefault="003130C2" w14:paraId="1FAC6E13" w14:textId="77777777">
      <w:pPr>
        <w:spacing w:line="300" w:lineRule="exact"/>
      </w:pPr>
      <w:r>
        <w:t xml:space="preserve">Finally, regarding the effectiveness of the DEP, a representative from a Swedish organisation (operated by a public authority) running projects funded by it believed it was crucial and highly effective. </w:t>
      </w:r>
      <w:r>
        <w:rPr>
          <w:b/>
        </w:rPr>
        <w:t xml:space="preserve">Without this funding, certain projects would not be feasible. </w:t>
      </w:r>
      <w:r>
        <w:t xml:space="preserve">It was said that the programme allows collaboration with civil society and NGOs, leading to positive results and a higher impact than if a governmental agency worked alone. </w:t>
      </w:r>
    </w:p>
    <w:p w:rsidRPr="009F3F65" w:rsidR="003130C2" w:rsidP="003130C2" w:rsidRDefault="003130C2" w14:paraId="35078E5E" w14:textId="77777777">
      <w:pPr>
        <w:spacing w:line="300" w:lineRule="exact"/>
        <w:rPr>
          <w:lang w:val="en-GB"/>
        </w:rPr>
      </w:pPr>
    </w:p>
    <w:p w:rsidRPr="009F3F65" w:rsidR="003130C2" w:rsidP="003130C2" w:rsidRDefault="003130C2" w14:paraId="7DED8037" w14:textId="77777777">
      <w:pPr>
        <w:spacing w:line="300" w:lineRule="exact"/>
      </w:pPr>
      <w:r>
        <w:t xml:space="preserve">When </w:t>
      </w:r>
      <w:r>
        <w:rPr>
          <w:u w:val="single"/>
        </w:rPr>
        <w:t>asked to evaluate certain aspects of EDIH activities in their respective regions</w:t>
      </w:r>
      <w:r>
        <w:t xml:space="preserve"> (</w:t>
      </w:r>
      <w:r>
        <w:rPr>
          <w:b/>
        </w:rPr>
        <w:t>question 7</w:t>
      </w:r>
      <w:r>
        <w:t xml:space="preserve">), most respondents gave a positive assessment in four out of the five mentioned areas: </w:t>
      </w:r>
    </w:p>
    <w:p w:rsidRPr="009F3F65" w:rsidR="003130C2" w:rsidP="003130C2" w:rsidRDefault="003130C2" w14:paraId="1B5CB68B" w14:textId="77777777">
      <w:pPr>
        <w:spacing w:line="300" w:lineRule="exact"/>
        <w:rPr>
          <w:lang w:val="en-GB"/>
        </w:rPr>
      </w:pPr>
    </w:p>
    <w:p w:rsidRPr="00B47B36" w:rsidR="003130C2" w:rsidP="003130C2" w:rsidRDefault="003130C2" w14:paraId="4ED3B003" w14:textId="77777777">
      <w:pPr>
        <w:pStyle w:val="ListParagraph"/>
        <w:numPr>
          <w:ilvl w:val="0"/>
          <w:numId w:val="32"/>
        </w:numPr>
        <w:spacing w:line="300" w:lineRule="exact"/>
      </w:pPr>
      <w:r>
        <w:t xml:space="preserve">Overall programme design – 16% answered ‘very good’ and 44% ‘moderately good’; </w:t>
      </w:r>
    </w:p>
    <w:p w:rsidRPr="00B47B36" w:rsidR="003130C2" w:rsidP="003130C2" w:rsidRDefault="003130C2" w14:paraId="2A1441CD" w14:textId="77777777">
      <w:pPr>
        <w:pStyle w:val="ListParagraph"/>
        <w:numPr>
          <w:ilvl w:val="0"/>
          <w:numId w:val="32"/>
        </w:numPr>
        <w:spacing w:line="300" w:lineRule="exact"/>
      </w:pPr>
      <w:r>
        <w:t xml:space="preserve">Quality of the technological expertise provided (e.g. testing) – 33% answered ‘very good’ and 26% ‘moderately good’; </w:t>
      </w:r>
    </w:p>
    <w:p w:rsidRPr="00B47B36" w:rsidR="003130C2" w:rsidP="003130C2" w:rsidRDefault="003130C2" w14:paraId="662D1FB9" w14:textId="77777777">
      <w:pPr>
        <w:pStyle w:val="ListParagraph"/>
        <w:numPr>
          <w:ilvl w:val="0"/>
          <w:numId w:val="32"/>
        </w:numPr>
        <w:spacing w:line="300" w:lineRule="exact"/>
      </w:pPr>
      <w:r>
        <w:t>Quality of the innovation services provided (e.g. financing advice, training) – 26% answered ‘very good’ and 35% ‘moderately good’;</w:t>
      </w:r>
    </w:p>
    <w:p w:rsidRPr="00B47B36" w:rsidR="003130C2" w:rsidP="003130C2" w:rsidRDefault="003130C2" w14:paraId="6C26FCA2" w14:textId="77777777">
      <w:pPr>
        <w:pStyle w:val="ListParagraph"/>
        <w:numPr>
          <w:ilvl w:val="0"/>
          <w:numId w:val="32"/>
        </w:numPr>
        <w:spacing w:line="300" w:lineRule="exact"/>
      </w:pPr>
      <w:r>
        <w:t>Collaboration and involvement of the hub within the EDIHs network – 21% answered ‘very good’ and 33% ‘moderately good’.</w:t>
      </w:r>
    </w:p>
    <w:p w:rsidRPr="00B47B36" w:rsidR="003130C2" w:rsidP="003130C2" w:rsidRDefault="003130C2" w14:paraId="2EB6B96E" w14:textId="77777777">
      <w:pPr>
        <w:pStyle w:val="ListParagraph"/>
        <w:spacing w:line="300" w:lineRule="exact"/>
      </w:pPr>
    </w:p>
    <w:p w:rsidRPr="009F3F65" w:rsidR="003130C2" w:rsidP="003130C2" w:rsidRDefault="003130C2" w14:paraId="32F47E10" w14:textId="77777777">
      <w:pPr>
        <w:spacing w:line="300" w:lineRule="exact"/>
      </w:pPr>
      <w:r>
        <w:t>When it comes to ‘EDIH budget availability’, only 9% of the respondents considered that it had been ‘very good’, with 30% answering ‘moderately good’, 16% ‘not very good’ and 12% ‘not at all good’.</w:t>
      </w:r>
    </w:p>
    <w:p w:rsidRPr="009F3F65" w:rsidR="003130C2" w:rsidP="003130C2" w:rsidRDefault="003130C2" w14:paraId="68950221" w14:textId="77777777">
      <w:pPr>
        <w:spacing w:line="300" w:lineRule="exact"/>
        <w:rPr>
          <w:lang w:val="en-GB"/>
        </w:rPr>
      </w:pPr>
    </w:p>
    <w:p w:rsidRPr="009F3F65" w:rsidR="003130C2" w:rsidP="003130C2" w:rsidRDefault="003130C2" w14:paraId="377F8F6B" w14:textId="77777777">
      <w:pPr>
        <w:spacing w:line="300" w:lineRule="exact"/>
      </w:pPr>
      <w:r>
        <w:t>However, it is worth noting that, with regard to all five areas of activity, more than one third of the respondents answered ‘unsure’ as to how to evaluate the success of the mentioned activities.</w:t>
      </w:r>
    </w:p>
    <w:p w:rsidRPr="009F3F65" w:rsidR="003130C2" w:rsidP="003130C2" w:rsidRDefault="003130C2" w14:paraId="33ADD723" w14:textId="77777777">
      <w:pPr>
        <w:spacing w:line="300" w:lineRule="exact"/>
        <w:rPr>
          <w:lang w:val="en-GB"/>
        </w:rPr>
      </w:pPr>
    </w:p>
    <w:p w:rsidRPr="009F3F65" w:rsidR="003130C2" w:rsidP="003130C2" w:rsidRDefault="003130C2" w14:paraId="2F231655" w14:textId="77777777">
      <w:pPr>
        <w:spacing w:after="120" w:line="300" w:lineRule="exact"/>
        <w:jc w:val="center"/>
      </w:pPr>
      <w:r>
        <w:rPr>
          <w:noProof/>
        </w:rPr>
        <w:drawing>
          <wp:anchor distT="0" distB="0" distL="114300" distR="114300" simplePos="0" relativeHeight="251601920" behindDoc="0" locked="0" layoutInCell="1" allowOverlap="1" wp14:editId="4FE811A4" wp14:anchorId="369A136D">
            <wp:simplePos x="0" y="0"/>
            <wp:positionH relativeFrom="column">
              <wp:posOffset>0</wp:posOffset>
            </wp:positionH>
            <wp:positionV relativeFrom="paragraph">
              <wp:posOffset>0</wp:posOffset>
            </wp:positionV>
            <wp:extent cx="5761355" cy="2624455"/>
            <wp:effectExtent l="0" t="0" r="10795" b="4445"/>
            <wp:wrapNone/>
            <wp:docPr id="25" name="Chart 25">
              <a:extLst xmlns:a="http://schemas.openxmlformats.org/drawingml/2006/main">
                <a:ext uri="{FF2B5EF4-FFF2-40B4-BE49-F238E27FC236}">
                  <a16:creationId xmlns:a16="http://schemas.microsoft.com/office/drawing/2014/main" id="{0AF2127C-07B1-449E-96F8-2F5CDCF52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rsidRPr="009F3F65" w:rsidR="003130C2" w:rsidP="003130C2" w:rsidRDefault="003130C2" w14:paraId="701C92B1" w14:textId="77777777">
      <w:pPr>
        <w:spacing w:after="120" w:line="300" w:lineRule="exact"/>
        <w:jc w:val="center"/>
        <w:rPr>
          <w:lang w:val="en-GB"/>
        </w:rPr>
      </w:pPr>
    </w:p>
    <w:p w:rsidRPr="009F3F65" w:rsidR="003130C2" w:rsidP="003130C2" w:rsidRDefault="003130C2" w14:paraId="13348C03" w14:textId="77777777">
      <w:pPr>
        <w:spacing w:after="120" w:line="300" w:lineRule="exact"/>
        <w:jc w:val="center"/>
        <w:rPr>
          <w:lang w:val="en-GB"/>
        </w:rPr>
      </w:pPr>
    </w:p>
    <w:p w:rsidRPr="009F3F65" w:rsidR="003130C2" w:rsidP="003130C2" w:rsidRDefault="003130C2" w14:paraId="61EBFE5E" w14:textId="77777777">
      <w:pPr>
        <w:spacing w:after="120" w:line="300" w:lineRule="exact"/>
        <w:jc w:val="center"/>
        <w:rPr>
          <w:lang w:val="en-GB"/>
        </w:rPr>
      </w:pPr>
    </w:p>
    <w:p w:rsidRPr="009F3F65" w:rsidR="003130C2" w:rsidP="003130C2" w:rsidRDefault="003130C2" w14:paraId="358A4D97" w14:textId="77777777">
      <w:pPr>
        <w:spacing w:after="120" w:line="300" w:lineRule="exact"/>
        <w:jc w:val="center"/>
        <w:rPr>
          <w:lang w:val="en-GB"/>
        </w:rPr>
      </w:pPr>
    </w:p>
    <w:p w:rsidRPr="009F3F65" w:rsidR="003130C2" w:rsidP="003130C2" w:rsidRDefault="003130C2" w14:paraId="15CF73D9" w14:textId="77777777">
      <w:pPr>
        <w:spacing w:after="120" w:line="300" w:lineRule="exact"/>
        <w:jc w:val="center"/>
        <w:rPr>
          <w:lang w:val="en-GB"/>
        </w:rPr>
      </w:pPr>
    </w:p>
    <w:p w:rsidRPr="009F3F65" w:rsidR="003130C2" w:rsidP="003130C2" w:rsidRDefault="003130C2" w14:paraId="529C0514" w14:textId="77777777">
      <w:pPr>
        <w:spacing w:after="120" w:line="300" w:lineRule="exact"/>
        <w:jc w:val="center"/>
        <w:rPr>
          <w:lang w:val="en-GB"/>
        </w:rPr>
      </w:pPr>
    </w:p>
    <w:p w:rsidRPr="009F3F65" w:rsidR="003130C2" w:rsidP="003130C2" w:rsidRDefault="003130C2" w14:paraId="467BA16A" w14:textId="77777777">
      <w:pPr>
        <w:spacing w:after="120" w:line="300" w:lineRule="exact"/>
        <w:jc w:val="center"/>
        <w:rPr>
          <w:lang w:val="en-GB"/>
        </w:rPr>
      </w:pPr>
    </w:p>
    <w:p w:rsidRPr="009F3F65" w:rsidR="003130C2" w:rsidP="003130C2" w:rsidRDefault="003130C2" w14:paraId="0FEC2E7C" w14:textId="77777777">
      <w:pPr>
        <w:spacing w:after="120" w:line="300" w:lineRule="exact"/>
        <w:jc w:val="center"/>
        <w:rPr>
          <w:lang w:val="en-GB"/>
        </w:rPr>
      </w:pPr>
    </w:p>
    <w:p w:rsidRPr="009F3F65" w:rsidR="003130C2" w:rsidP="003130C2" w:rsidRDefault="003130C2" w14:paraId="72C00FC1" w14:textId="77777777">
      <w:pPr>
        <w:spacing w:after="120" w:line="300" w:lineRule="exact"/>
        <w:jc w:val="center"/>
        <w:rPr>
          <w:lang w:val="en-GB"/>
        </w:rPr>
      </w:pPr>
    </w:p>
    <w:p w:rsidRPr="009F3F65" w:rsidR="003130C2" w:rsidP="003130C2" w:rsidRDefault="003130C2" w14:paraId="4D294E9B" w14:textId="77777777">
      <w:pPr>
        <w:spacing w:line="300" w:lineRule="exact"/>
        <w:jc w:val="center"/>
        <w:rPr>
          <w:color w:val="5B9BD5" w:themeColor="accent1"/>
          <w:sz w:val="20"/>
        </w:rPr>
      </w:pPr>
      <w:r>
        <w:rPr>
          <w:b/>
          <w:color w:val="5B9BD5" w:themeColor="accent1"/>
          <w:sz w:val="20"/>
        </w:rPr>
        <w:t xml:space="preserve">Figure 12. </w:t>
      </w:r>
      <w:r>
        <w:rPr>
          <w:color w:val="5B9BD5" w:themeColor="accent1"/>
          <w:sz w:val="20"/>
        </w:rPr>
        <w:t>Assessment of certain aspects of EDIH activities – general.</w:t>
      </w:r>
    </w:p>
    <w:p w:rsidRPr="009F3F65" w:rsidR="003130C2" w:rsidP="003130C2" w:rsidRDefault="003130C2" w14:paraId="44B974F0" w14:textId="77777777">
      <w:pPr>
        <w:spacing w:line="300" w:lineRule="exact"/>
        <w:jc w:val="center"/>
        <w:rPr>
          <w:lang w:val="en-GB"/>
        </w:rPr>
      </w:pPr>
    </w:p>
    <w:p w:rsidRPr="009F3F65" w:rsidR="003130C2" w:rsidP="003130C2" w:rsidRDefault="003130C2" w14:paraId="19C7F2DB" w14:textId="77777777">
      <w:pPr>
        <w:spacing w:line="300" w:lineRule="exact"/>
      </w:pPr>
      <w:r>
        <w:t xml:space="preserve">Looking across countries, the answers diverged quite substantially. The German respondents were very satisfied when it came to ‘quality of the technological expertise provided’ (73% answered ‘very good’) and the ‘quality of the innovation services provided’ (53% answered ‘very good’). </w:t>
      </w:r>
    </w:p>
    <w:p w:rsidRPr="009F3F65" w:rsidR="003130C2" w:rsidP="003130C2" w:rsidRDefault="003130C2" w14:paraId="26BC82F8" w14:textId="77777777">
      <w:pPr>
        <w:spacing w:line="300" w:lineRule="exact"/>
        <w:rPr>
          <w:lang w:val="en-GB"/>
        </w:rPr>
      </w:pPr>
    </w:p>
    <w:p w:rsidRPr="009F3F65" w:rsidR="003130C2" w:rsidP="003130C2" w:rsidRDefault="003130C2" w14:paraId="28F91B8B" w14:textId="77777777">
      <w:pPr>
        <w:spacing w:line="300" w:lineRule="exact"/>
      </w:pPr>
      <w:r>
        <w:t xml:space="preserve">The Maltese respondents answered ‘unsure’ with regard to all areas except for the EDIH budget availability, which they saw most positively of all among the five countries (33% or 2 persons answered ‘very good’, 17% or 1 person ‘moderately good’ and ‘not at all good’, 33% or 2 persons ‘unsure’). </w:t>
      </w:r>
    </w:p>
    <w:p w:rsidRPr="009F3F65" w:rsidR="003130C2" w:rsidP="003130C2" w:rsidRDefault="003130C2" w14:paraId="77A266DB" w14:textId="77777777">
      <w:pPr>
        <w:spacing w:line="300" w:lineRule="exact"/>
        <w:rPr>
          <w:lang w:val="en-GB"/>
        </w:rPr>
      </w:pPr>
    </w:p>
    <w:p w:rsidRPr="009F3F65" w:rsidR="003130C2" w:rsidP="003130C2" w:rsidRDefault="003130C2" w14:paraId="2C50C4B7" w14:textId="77777777">
      <w:pPr>
        <w:spacing w:line="300" w:lineRule="exact"/>
      </w:pPr>
      <w:r>
        <w:t xml:space="preserve">Half or more than half of the Polish respondents evaluated all areas as ‘moderately good’, with the exception of ‘Collaboration and involvement of the hub within the EDIHs network’ (38% or 3 persons). </w:t>
      </w:r>
    </w:p>
    <w:p w:rsidRPr="009F3F65" w:rsidR="003130C2" w:rsidP="003130C2" w:rsidRDefault="003130C2" w14:paraId="31975C59" w14:textId="77777777">
      <w:pPr>
        <w:spacing w:line="300" w:lineRule="exact"/>
      </w:pPr>
      <w:r>
        <w:t>Furthermore, half or more than half of the Portuguese respondents evaluated all areas as ‘moderately good’, with the exception of ‘EDIH budget availability’, where half (or 2 persons) viewed it as ‘not at all good’.</w:t>
      </w:r>
    </w:p>
    <w:p w:rsidRPr="009F3F65" w:rsidR="003130C2" w:rsidP="003130C2" w:rsidRDefault="003130C2" w14:paraId="16BEA132" w14:textId="77777777">
      <w:pPr>
        <w:spacing w:line="300" w:lineRule="exact"/>
      </w:pPr>
      <w:r>
        <w:t>Finally, 60-70% of the Swedish respondents answered ‘unsure’ with regard to all the aspects of EDIH activities.</w:t>
      </w:r>
    </w:p>
    <w:p w:rsidRPr="009F3F65" w:rsidR="003130C2" w:rsidP="003130C2" w:rsidRDefault="003130C2" w14:paraId="2A3AACFE" w14:textId="77777777">
      <w:pPr>
        <w:spacing w:line="300" w:lineRule="exact"/>
      </w:pPr>
      <w:r>
        <w:lastRenderedPageBreak/>
        <w:t xml:space="preserve">During the semi-structured interviews, representatives from the </w:t>
      </w:r>
      <w:r>
        <w:rPr>
          <w:b/>
        </w:rPr>
        <w:t>German</w:t>
      </w:r>
      <w:r>
        <w:t xml:space="preserve"> public authorities expressed the view with regard to the future activities of the EDIHs, that, as they are supposed to provide financial and digital business models advice, </w:t>
      </w:r>
      <w:r>
        <w:rPr>
          <w:b/>
        </w:rPr>
        <w:t>EDIHs should in future put more focus on providing high risk financial advice (not only focussing on public funding) and developing stronger public relations</w:t>
      </w:r>
      <w:r>
        <w:t xml:space="preserve"> (many hubs, coming from the academic sphere, might have difficulties in interacting within the market, e.g. professional communication and use of social media). It was said that the DEP should also cover such types of support.</w:t>
      </w:r>
    </w:p>
    <w:p w:rsidRPr="009F3F65" w:rsidR="003130C2" w:rsidP="003130C2" w:rsidRDefault="003130C2" w14:paraId="280B5E19" w14:textId="77777777">
      <w:pPr>
        <w:spacing w:line="300" w:lineRule="exact"/>
        <w:rPr>
          <w:lang w:val="en-GB"/>
        </w:rPr>
      </w:pPr>
    </w:p>
    <w:p w:rsidRPr="009F3F65" w:rsidR="003130C2" w:rsidP="003130C2" w:rsidRDefault="003130C2" w14:paraId="5725A60B" w14:textId="77777777">
      <w:pPr>
        <w:spacing w:line="300" w:lineRule="exact"/>
      </w:pPr>
      <w:r>
        <w:t xml:space="preserve">Representatives from the Polish social partners </w:t>
      </w:r>
      <w:r>
        <w:rPr>
          <w:b/>
        </w:rPr>
        <w:t>highlighted the need to maximise European Digital Innovation Hubs’ effect by covering all the existing regional ecosystems</w:t>
      </w:r>
      <w:r>
        <w:t>, with particular regard to less developed or more isolated areas with untapped potential.</w:t>
      </w:r>
    </w:p>
    <w:p w:rsidRPr="009F3F65" w:rsidR="003130C2" w:rsidP="003130C2" w:rsidRDefault="003130C2" w14:paraId="5A5FE057" w14:textId="77777777">
      <w:pPr>
        <w:spacing w:line="300" w:lineRule="exact"/>
        <w:rPr>
          <w:lang w:val="en-GB"/>
        </w:rPr>
      </w:pPr>
    </w:p>
    <w:p w:rsidRPr="009F3F65" w:rsidR="003130C2" w:rsidP="003130C2" w:rsidRDefault="003130C2" w14:paraId="2B2E5C79" w14:textId="77777777">
      <w:pPr>
        <w:spacing w:line="300" w:lineRule="exact"/>
      </w:pPr>
      <w:r>
        <w:t xml:space="preserve">During the semi-structured interviews in </w:t>
      </w:r>
      <w:r>
        <w:rPr>
          <w:b/>
        </w:rPr>
        <w:t>Portugal</w:t>
      </w:r>
      <w:r>
        <w:t xml:space="preserve">, stakeholders representing digital innovation noted </w:t>
      </w:r>
      <w:r>
        <w:rPr>
          <w:b/>
        </w:rPr>
        <w:t>that the sustainability of the hubs and their self-sufficiency is a significant concern</w:t>
      </w:r>
      <w:r>
        <w:t>. The goal is for the hubs to become autonomous rather than just being project-based. Proving their effectiveness and relevance to companies is essential. However, it was noted that demonstrating this has been challenging so far.</w:t>
      </w:r>
    </w:p>
    <w:p w:rsidRPr="009F3F65" w:rsidR="003130C2" w:rsidP="003130C2" w:rsidRDefault="003130C2" w14:paraId="2C9E52E4" w14:textId="77777777">
      <w:pPr>
        <w:spacing w:line="300" w:lineRule="exact"/>
        <w:rPr>
          <w:lang w:val="en-GB"/>
        </w:rPr>
      </w:pPr>
    </w:p>
    <w:p w:rsidRPr="009F3F65" w:rsidR="003130C2" w:rsidP="003130C2" w:rsidRDefault="003130C2" w14:paraId="50DED2DD" w14:textId="77777777">
      <w:pPr>
        <w:spacing w:line="300" w:lineRule="exact"/>
      </w:pPr>
      <w:r>
        <w:t xml:space="preserve">One representative from the </w:t>
      </w:r>
      <w:r>
        <w:rPr>
          <w:b/>
        </w:rPr>
        <w:t>Portuguese</w:t>
      </w:r>
      <w:r>
        <w:t xml:space="preserve"> DIHs agreed that sustainability is a key focus. It was suggested that these projects could serve as an introduction for companies to understand the value they can bring to their activities. This approach could provide companies with access to services they typically do not use or are unfamiliar with. </w:t>
      </w:r>
      <w:r>
        <w:rPr>
          <w:b/>
        </w:rPr>
        <w:t>The potential for high impact was noted once alignment and preparation have been carried out.</w:t>
      </w:r>
      <w:r>
        <w:t xml:space="preserve"> However, it was emphasised that much discussion has centred around digital innovation hubs and their sectors. It was highlighted that access to partners and an organised structure is essential to support these efforts. The need for initial funding to structure and organise effectively to meet market needs was also stressed.</w:t>
      </w:r>
    </w:p>
    <w:p w:rsidRPr="009F3F65" w:rsidR="003130C2" w:rsidP="003130C2" w:rsidRDefault="003130C2" w14:paraId="0F4C408E" w14:textId="77777777">
      <w:pPr>
        <w:spacing w:line="300" w:lineRule="exact"/>
        <w:rPr>
          <w:lang w:val="en-GB"/>
        </w:rPr>
      </w:pPr>
    </w:p>
    <w:p w:rsidRPr="009F3F65" w:rsidR="003130C2" w:rsidP="003130C2" w:rsidRDefault="003130C2" w14:paraId="7B553A02" w14:textId="77777777">
      <w:pPr>
        <w:spacing w:line="300" w:lineRule="exact"/>
      </w:pPr>
      <w:r>
        <w:t xml:space="preserve">Furthermore, it was noted that </w:t>
      </w:r>
      <w:r>
        <w:rPr>
          <w:b/>
        </w:rPr>
        <w:t>there is a disconnect regarding highly specialised services</w:t>
      </w:r>
      <w:r>
        <w:t>. Businesses are willing to pay for services they cannot usually find, but they expect these to be more affordable. The expectation is that costs should be lower than market rates because companies already pay taxes. It was emphasised that companies are willing to pay for high specialisation and expertise, but at a reduced cost. Proving the essential nature of these services was considered crucial.</w:t>
      </w:r>
    </w:p>
    <w:p w:rsidRPr="009F3F65" w:rsidR="003130C2" w:rsidP="003130C2" w:rsidRDefault="003130C2" w14:paraId="0F9F684C" w14:textId="77777777">
      <w:pPr>
        <w:spacing w:line="300" w:lineRule="exact"/>
        <w:rPr>
          <w:lang w:val="en-GB"/>
        </w:rPr>
      </w:pPr>
    </w:p>
    <w:p w:rsidRPr="009F3F65" w:rsidR="003130C2" w:rsidP="003130C2" w:rsidRDefault="003130C2" w14:paraId="7170F1F7" w14:textId="77777777">
      <w:pPr>
        <w:spacing w:line="300" w:lineRule="exact"/>
      </w:pPr>
      <w:r>
        <w:t>Likewise, a representative from the agricultural sector noted similar experiences. The agricultural sector is considered complex due to the presence of large companies and SMEs. The latter cannot afford to pay for services because they have small structures and see it as an investment without clear profit. It was mentioned that reaching farms that operate more like businesses is possible, but when services are offered, there is often hesitation and questions about the need to pay.</w:t>
      </w:r>
    </w:p>
    <w:p w:rsidRPr="009F3F65" w:rsidR="003130C2" w:rsidP="003130C2" w:rsidRDefault="003130C2" w14:paraId="14FF8014" w14:textId="77777777">
      <w:pPr>
        <w:spacing w:line="300" w:lineRule="exact"/>
        <w:rPr>
          <w:lang w:val="en-GB"/>
        </w:rPr>
      </w:pPr>
    </w:p>
    <w:p w:rsidRPr="009F3F65" w:rsidR="003130C2" w:rsidP="003130C2" w:rsidRDefault="003130C2" w14:paraId="28E12FBF" w14:textId="77777777">
      <w:pPr>
        <w:spacing w:line="300" w:lineRule="exact"/>
      </w:pPr>
      <w:r>
        <w:t xml:space="preserve">In general, Portuguese stakeholders observed that the concept of the hubs is well-conceived, particularly in terms of technology that also cuts across other sectors, which is a major asset. </w:t>
      </w:r>
      <w:r>
        <w:rPr>
          <w:b/>
        </w:rPr>
        <w:t>However, implementation at national level was seen as less effective</w:t>
      </w:r>
      <w:r>
        <w:t xml:space="preserve">, rendering the national financing inefficient. </w:t>
      </w:r>
      <w:r>
        <w:rPr>
          <w:b/>
        </w:rPr>
        <w:t>While the idea, concept, and structure of the hubs are commendable, their implementation, particularly in Portugal, is insufficient</w:t>
      </w:r>
      <w:r>
        <w:t>.</w:t>
      </w:r>
    </w:p>
    <w:p w:rsidRPr="009F3F65" w:rsidR="003130C2" w:rsidP="003130C2" w:rsidRDefault="003130C2" w14:paraId="61F179DE" w14:textId="77777777">
      <w:pPr>
        <w:spacing w:line="300" w:lineRule="exact"/>
        <w:rPr>
          <w:lang w:val="en-GB"/>
        </w:rPr>
      </w:pPr>
    </w:p>
    <w:p w:rsidRPr="009F3F65" w:rsidR="003130C2" w:rsidP="003130C2" w:rsidRDefault="003130C2" w14:paraId="07DD1E6E" w14:textId="77777777">
      <w:pPr>
        <w:spacing w:line="300" w:lineRule="exact"/>
      </w:pPr>
      <w:r>
        <w:lastRenderedPageBreak/>
        <w:t xml:space="preserve">When it comes to the </w:t>
      </w:r>
      <w:r>
        <w:rPr>
          <w:b/>
        </w:rPr>
        <w:t>Digital Innovation Hubs programme</w:t>
      </w:r>
      <w:r>
        <w:t xml:space="preserve">, representatives from the </w:t>
      </w:r>
      <w:r>
        <w:rPr>
          <w:b/>
        </w:rPr>
        <w:t>Portuguese</w:t>
      </w:r>
      <w:r>
        <w:t xml:space="preserve"> digital innovation entities noted that, though well-intentioned, </w:t>
      </w:r>
      <w:r>
        <w:rPr>
          <w:b/>
        </w:rPr>
        <w:t>detailed implementation was lacking</w:t>
      </w:r>
      <w:r>
        <w:t xml:space="preserve">. The European Commission aimed to make these hubs widely available across Europe, financed by both the EU and Member States. However, the programme’s financial structure, involving both the DEP and the Recovery and Resilience Facility, created complications. It was said that obtaining funds from both programmes was challenging. The entry clause, intended to ensure compatibility, did not allow the effective use of funds alongside other funds. This resulted in two separate contracts: one with EU financing and one regulated by Portugal. To improve this, it was emphasised that the initiative needs better coordination. Clear definitions of projects and rules, along with proper communication to promoters, are essential. Since the official launch on 1 October 2022, the project has faced implementation challenges. </w:t>
      </w:r>
      <w:r>
        <w:rPr>
          <w:b/>
        </w:rPr>
        <w:t>For successful co-financing, clear rules at both national and European levels are crucial</w:t>
      </w:r>
      <w:r>
        <w:t>. Lack of clarity will continue to limit the speed of Digital Innovation Hubs’ development.</w:t>
      </w:r>
    </w:p>
    <w:p w:rsidRPr="009F3F65" w:rsidR="003130C2" w:rsidP="003130C2" w:rsidRDefault="003130C2" w14:paraId="48E52133" w14:textId="77777777">
      <w:pPr>
        <w:spacing w:line="300" w:lineRule="exact"/>
        <w:rPr>
          <w:lang w:val="en-GB"/>
        </w:rPr>
      </w:pPr>
    </w:p>
    <w:p w:rsidRPr="009F3F65" w:rsidR="003130C2" w:rsidP="003130C2" w:rsidRDefault="003130C2" w14:paraId="1937870F" w14:textId="77777777">
      <w:pPr>
        <w:spacing w:line="300" w:lineRule="exact"/>
      </w:pPr>
      <w:r>
        <w:t xml:space="preserve">Finally, the </w:t>
      </w:r>
      <w:r>
        <w:rPr>
          <w:b/>
        </w:rPr>
        <w:t>Portuguese</w:t>
      </w:r>
      <w:r>
        <w:t xml:space="preserve"> stakeholders emphasised that Digital Innovation Hubs are recognised nationally as a European initiative, pivotal for fostering a proactive attitude. However, it was noted that issues regarding budget constraints and non-official commitments persist. It was stressed that it is crucial to not only focus on project approvals but also on the broader commitment of programmes over six years. </w:t>
      </w:r>
      <w:r>
        <w:rPr>
          <w:b/>
        </w:rPr>
        <w:t>It was established that DIHs serve as public assets, promoting services and goods that the market alone cannot address adequately to meet societal objectives</w:t>
      </w:r>
      <w:r>
        <w:t>. The challenge lies in expecting DIHs to drive societal transformation and serve as public service providers, particularly if a funding shortfall remains over the next six years. In such a scenario, it was suggested that DIHs’ organisational structures may need to be reorganised to become self-sustainable, balancing public service intervention with income generation. However, it was cautioned that this evolution may not occur spontaneously. One significant issue is that</w:t>
      </w:r>
      <w:r>
        <w:rPr>
          <w:b/>
        </w:rPr>
        <w:t xml:space="preserve"> regions operate at different speeds</w:t>
      </w:r>
      <w:r>
        <w:t>, hindering the democratisation of access and impact across Europe. It was recommended to promote interventions involving various Member States and to rectify co-funding issues for future editions.</w:t>
      </w:r>
    </w:p>
    <w:p w:rsidRPr="009F3F65" w:rsidR="003130C2" w:rsidP="003130C2" w:rsidRDefault="003130C2" w14:paraId="024502A6" w14:textId="77777777">
      <w:pPr>
        <w:spacing w:line="300" w:lineRule="exact"/>
        <w:rPr>
          <w:lang w:val="en-GB"/>
        </w:rPr>
      </w:pPr>
    </w:p>
    <w:p w:rsidRPr="009F3F65" w:rsidR="003130C2" w:rsidP="003130C2" w:rsidRDefault="003130C2" w14:paraId="2C8356A0" w14:textId="77777777">
      <w:pPr>
        <w:spacing w:line="300" w:lineRule="exact"/>
      </w:pPr>
      <w:r>
        <w:t xml:space="preserve">During the semi-structured interviews in </w:t>
      </w:r>
      <w:r>
        <w:rPr>
          <w:b/>
        </w:rPr>
        <w:t>Sweden</w:t>
      </w:r>
      <w:r>
        <w:t xml:space="preserve">, a social partners’ representative noted with regard to the Digital Innovation Hubs </w:t>
      </w:r>
      <w:r>
        <w:rPr>
          <w:b/>
        </w:rPr>
        <w:t>(DIHs) in Sweden, that there is limited knowledge about them</w:t>
      </w:r>
      <w:r>
        <w:t xml:space="preserve"> – their existence is known, but less is known about their work. The interaction was deemed limited, with more contact with researchers working at the hubs rather than with the hubs per se. Overall, there seems to be an added value, but from a distance.</w:t>
      </w:r>
    </w:p>
    <w:p w:rsidRPr="009F3F65" w:rsidR="003130C2" w:rsidP="003130C2" w:rsidRDefault="003130C2" w14:paraId="459EF412" w14:textId="77777777">
      <w:pPr>
        <w:spacing w:line="300" w:lineRule="exact"/>
        <w:rPr>
          <w:lang w:val="en-GB"/>
        </w:rPr>
      </w:pPr>
    </w:p>
    <w:p w:rsidRPr="009F3F65" w:rsidR="003130C2" w:rsidP="003130C2" w:rsidRDefault="003130C2" w14:paraId="7E062D01" w14:textId="77777777">
      <w:pPr>
        <w:spacing w:line="300" w:lineRule="exact"/>
      </w:pPr>
      <w:r>
        <w:t xml:space="preserve">When asked </w:t>
      </w:r>
      <w:r>
        <w:rPr>
          <w:u w:val="single"/>
        </w:rPr>
        <w:t>whether there had been any unexpected outcomes (positive or negative) or results of the DEP activities in their respective countries</w:t>
      </w:r>
      <w:r>
        <w:t xml:space="preserve"> (</w:t>
      </w:r>
      <w:r>
        <w:rPr>
          <w:b/>
        </w:rPr>
        <w:t>question 8</w:t>
      </w:r>
      <w:r>
        <w:t>), 86% of the respondents answered ‘not to my knowledge’. Out of the six people who responded positively to this question, five also provided additional information as to the reasons. Two persons mentioned increased bureaucracy as a factor which reduced capacity for delivering results. In this regard, two persons also noted the co-funding mechanism and, subsequently, the low funding of EDIHs, as a barrier to successful outcomes. On the positive side, it was said that, thanks to the DEP, innovation in health data had become a topic of interest, and, in general, innovation and SMEs were being taken seriously. Finally, two persons referred to the 18 month delay in starting to implement DEP projects, which was seen negatively for countries.</w:t>
      </w:r>
    </w:p>
    <w:p w:rsidRPr="009F3F65" w:rsidR="003130C2" w:rsidP="003130C2" w:rsidRDefault="003130C2" w14:paraId="4DF970BB" w14:textId="77777777">
      <w:pPr>
        <w:spacing w:line="240" w:lineRule="auto"/>
        <w:jc w:val="left"/>
      </w:pPr>
      <w:r>
        <w:br w:type="page"/>
      </w:r>
    </w:p>
    <w:p w:rsidRPr="009F3F65" w:rsidR="003130C2" w:rsidP="003130C2" w:rsidRDefault="003130C2" w14:paraId="75668907" w14:textId="77777777">
      <w:pPr>
        <w:spacing w:after="120" w:line="300" w:lineRule="exact"/>
      </w:pPr>
      <w:r>
        <w:rPr>
          <w:noProof/>
        </w:rPr>
        <w:lastRenderedPageBreak/>
        <w:drawing>
          <wp:anchor distT="0" distB="0" distL="114300" distR="114300" simplePos="0" relativeHeight="251629568" behindDoc="0" locked="0" layoutInCell="1" allowOverlap="1" wp14:editId="479461CF" wp14:anchorId="14F9A0A4">
            <wp:simplePos x="0" y="0"/>
            <wp:positionH relativeFrom="margin">
              <wp:posOffset>704850</wp:posOffset>
            </wp:positionH>
            <wp:positionV relativeFrom="paragraph">
              <wp:posOffset>139700</wp:posOffset>
            </wp:positionV>
            <wp:extent cx="4321810" cy="2279650"/>
            <wp:effectExtent l="0" t="0" r="2540" b="6350"/>
            <wp:wrapNone/>
            <wp:docPr id="12" name="Chart 12">
              <a:extLst xmlns:a="http://schemas.openxmlformats.org/drawingml/2006/main">
                <a:ext uri="{FF2B5EF4-FFF2-40B4-BE49-F238E27FC236}">
                  <a16:creationId xmlns:a16="http://schemas.microsoft.com/office/drawing/2014/main" id="{B0C29BE2-9101-4E38-B1BD-35BA0B4DEF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V relativeFrom="margin">
              <wp14:pctHeight>0</wp14:pctHeight>
            </wp14:sizeRelV>
          </wp:anchor>
        </w:drawing>
      </w:r>
    </w:p>
    <w:p w:rsidRPr="009F3F65" w:rsidR="003130C2" w:rsidP="003130C2" w:rsidRDefault="003130C2" w14:paraId="79A3BC3D" w14:textId="77777777">
      <w:pPr>
        <w:spacing w:after="120" w:line="300" w:lineRule="exact"/>
        <w:jc w:val="center"/>
        <w:rPr>
          <w:lang w:val="en-GB"/>
        </w:rPr>
      </w:pPr>
    </w:p>
    <w:p w:rsidRPr="009F3F65" w:rsidR="003130C2" w:rsidP="003130C2" w:rsidRDefault="003130C2" w14:paraId="1979632E" w14:textId="77777777">
      <w:pPr>
        <w:spacing w:after="120" w:line="300" w:lineRule="exact"/>
        <w:jc w:val="center"/>
        <w:rPr>
          <w:lang w:val="en-GB"/>
        </w:rPr>
      </w:pPr>
    </w:p>
    <w:p w:rsidRPr="009F3F65" w:rsidR="003130C2" w:rsidP="003130C2" w:rsidRDefault="003130C2" w14:paraId="60DE884B" w14:textId="77777777">
      <w:pPr>
        <w:spacing w:after="120" w:line="300" w:lineRule="exact"/>
        <w:jc w:val="center"/>
        <w:rPr>
          <w:lang w:val="en-GB"/>
        </w:rPr>
      </w:pPr>
    </w:p>
    <w:p w:rsidRPr="009F3F65" w:rsidR="003130C2" w:rsidP="003130C2" w:rsidRDefault="003130C2" w14:paraId="541F8202" w14:textId="77777777">
      <w:pPr>
        <w:spacing w:after="120" w:line="300" w:lineRule="exact"/>
        <w:jc w:val="center"/>
        <w:rPr>
          <w:lang w:val="en-GB"/>
        </w:rPr>
      </w:pPr>
    </w:p>
    <w:p w:rsidRPr="009F3F65" w:rsidR="003130C2" w:rsidP="003130C2" w:rsidRDefault="003130C2" w14:paraId="57CB5B9F" w14:textId="77777777">
      <w:pPr>
        <w:spacing w:after="120" w:line="300" w:lineRule="exact"/>
        <w:jc w:val="center"/>
        <w:rPr>
          <w:lang w:val="en-GB"/>
        </w:rPr>
      </w:pPr>
    </w:p>
    <w:p w:rsidRPr="009F3F65" w:rsidR="003130C2" w:rsidP="003130C2" w:rsidRDefault="003130C2" w14:paraId="2F86B4E2" w14:textId="77777777">
      <w:pPr>
        <w:spacing w:after="120" w:line="300" w:lineRule="exact"/>
        <w:jc w:val="center"/>
        <w:rPr>
          <w:lang w:val="en-GB"/>
        </w:rPr>
      </w:pPr>
    </w:p>
    <w:p w:rsidRPr="009F3F65" w:rsidR="003130C2" w:rsidP="003130C2" w:rsidRDefault="003130C2" w14:paraId="5DD61EF0" w14:textId="77777777">
      <w:pPr>
        <w:spacing w:after="120" w:line="300" w:lineRule="exact"/>
        <w:jc w:val="center"/>
        <w:rPr>
          <w:lang w:val="en-GB"/>
        </w:rPr>
      </w:pPr>
    </w:p>
    <w:p w:rsidRPr="009F3F65" w:rsidR="003130C2" w:rsidP="003130C2" w:rsidRDefault="003130C2" w14:paraId="7A6DB90C" w14:textId="77777777">
      <w:pPr>
        <w:spacing w:after="120" w:line="300" w:lineRule="exact"/>
        <w:jc w:val="center"/>
        <w:rPr>
          <w:lang w:val="en-GB"/>
        </w:rPr>
      </w:pPr>
    </w:p>
    <w:p w:rsidRPr="009F3F65" w:rsidR="003130C2" w:rsidP="003130C2" w:rsidRDefault="003130C2" w14:paraId="5E60F5B9" w14:textId="77777777">
      <w:pPr>
        <w:spacing w:line="300" w:lineRule="exact"/>
        <w:jc w:val="center"/>
        <w:rPr>
          <w:color w:val="5B9BD5" w:themeColor="accent1"/>
          <w:sz w:val="20"/>
        </w:rPr>
      </w:pPr>
      <w:r>
        <w:rPr>
          <w:b/>
          <w:color w:val="5B9BD5" w:themeColor="accent1"/>
          <w:sz w:val="20"/>
        </w:rPr>
        <w:t>Figure 13.</w:t>
      </w:r>
      <w:r>
        <w:rPr>
          <w:color w:val="5B9BD5" w:themeColor="accent1"/>
          <w:sz w:val="20"/>
        </w:rPr>
        <w:t xml:space="preserve"> Any unexpected DEP outcomes (positive or negative) – general.</w:t>
      </w:r>
    </w:p>
    <w:p w:rsidRPr="009F3F65" w:rsidR="003130C2" w:rsidP="003130C2" w:rsidRDefault="003130C2" w14:paraId="48BF977E" w14:textId="77777777">
      <w:pPr>
        <w:spacing w:line="300" w:lineRule="exact"/>
        <w:rPr>
          <w:lang w:val="en-GB"/>
        </w:rPr>
      </w:pPr>
    </w:p>
    <w:p w:rsidRPr="009F3F65" w:rsidR="003130C2" w:rsidP="003130C2" w:rsidRDefault="003130C2" w14:paraId="79239C14" w14:textId="77777777">
      <w:pPr>
        <w:spacing w:line="300" w:lineRule="exact"/>
      </w:pPr>
      <w:r>
        <w:t xml:space="preserve">During the semi-structured interviews in Poland, concerning the activities of the EDIHs, the Polish DEP beneficiaries pointed out the </w:t>
      </w:r>
      <w:r>
        <w:rPr>
          <w:b/>
        </w:rPr>
        <w:t>challenges and uncertainty relating to applying VAT for services</w:t>
      </w:r>
      <w:r>
        <w:t xml:space="preserve"> provided to companies in accordance with projects’ aims (e.g. some legal interpretations support VAT being excluded, such as the European Commission, others the opposite). In this regard, a clear, uniform and mandatory interpretation by Polish tax authorities is required. The Polish tax authorities’ opinion was considered unclear. It confirmed the principle of VAT exclusion but, at the same time, required an individual interpretation (which could ultimately imply paying VAT, as reported by some EDIHs).</w:t>
      </w:r>
    </w:p>
    <w:p w:rsidRPr="009F3F65" w:rsidR="003130C2" w:rsidP="003130C2" w:rsidRDefault="003130C2" w14:paraId="6627AD44" w14:textId="77777777">
      <w:pPr>
        <w:spacing w:line="300" w:lineRule="exact"/>
        <w:rPr>
          <w:lang w:val="en-GB"/>
        </w:rPr>
      </w:pPr>
    </w:p>
    <w:p w:rsidRPr="009F3F65" w:rsidR="003130C2" w:rsidP="003130C2" w:rsidRDefault="003130C2" w14:paraId="1B2EE93D" w14:textId="77777777">
      <w:pPr>
        <w:spacing w:line="300" w:lineRule="exact"/>
      </w:pPr>
      <w:r>
        <w:t xml:space="preserve">Further, when asked </w:t>
      </w:r>
      <w:r>
        <w:rPr>
          <w:u w:val="single"/>
        </w:rPr>
        <w:t>whether there had been any tangible results (benefits, outcomes) from implementing the DEP in their respective countries so far</w:t>
      </w:r>
      <w:r>
        <w:t xml:space="preserve"> (</w:t>
      </w:r>
      <w:r>
        <w:rPr>
          <w:b/>
        </w:rPr>
        <w:t>question 9</w:t>
      </w:r>
      <w:r>
        <w:t xml:space="preserve">), 47% of the respondents answered positively and 53% ‘not to my knowledge’. </w:t>
      </w:r>
    </w:p>
    <w:p w:rsidRPr="009F3F65" w:rsidR="003130C2" w:rsidP="003130C2" w:rsidRDefault="003130C2" w14:paraId="71B69356" w14:textId="77777777">
      <w:pPr>
        <w:spacing w:line="240" w:lineRule="auto"/>
        <w:jc w:val="left"/>
        <w:rPr>
          <w:lang w:val="en-GB"/>
        </w:rPr>
      </w:pPr>
    </w:p>
    <w:p w:rsidRPr="009F3F65" w:rsidR="003130C2" w:rsidP="003130C2" w:rsidRDefault="003130C2" w14:paraId="043F43B4" w14:textId="77777777">
      <w:pPr>
        <w:spacing w:line="300" w:lineRule="exact"/>
        <w:rPr>
          <w:lang w:val="en-GB"/>
        </w:rPr>
      </w:pPr>
    </w:p>
    <w:p w:rsidRPr="009F3F65" w:rsidR="003130C2" w:rsidP="003130C2" w:rsidRDefault="003130C2" w14:paraId="0A1514CE" w14:textId="77777777">
      <w:pPr>
        <w:spacing w:after="120" w:line="300" w:lineRule="exact"/>
        <w:jc w:val="center"/>
      </w:pPr>
      <w:r>
        <w:rPr>
          <w:noProof/>
        </w:rPr>
        <w:drawing>
          <wp:anchor distT="0" distB="0" distL="114300" distR="114300" simplePos="0" relativeHeight="251620352" behindDoc="0" locked="0" layoutInCell="1" allowOverlap="1" wp14:editId="1B9FD886" wp14:anchorId="22791ED0">
            <wp:simplePos x="0" y="0"/>
            <wp:positionH relativeFrom="column">
              <wp:posOffset>520791</wp:posOffset>
            </wp:positionH>
            <wp:positionV relativeFrom="paragraph">
              <wp:posOffset>31659</wp:posOffset>
            </wp:positionV>
            <wp:extent cx="4784271" cy="2277836"/>
            <wp:effectExtent l="0" t="0" r="16510" b="8255"/>
            <wp:wrapNone/>
            <wp:docPr id="10" name="Chart 10">
              <a:extLst xmlns:a="http://schemas.openxmlformats.org/drawingml/2006/main">
                <a:ext uri="{FF2B5EF4-FFF2-40B4-BE49-F238E27FC236}">
                  <a16:creationId xmlns:a16="http://schemas.microsoft.com/office/drawing/2014/main" id="{1BBF346B-59E4-4F03-8173-454BF31BA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rsidRPr="009F3F65" w:rsidR="003130C2" w:rsidP="003130C2" w:rsidRDefault="003130C2" w14:paraId="65CBD017" w14:textId="77777777">
      <w:pPr>
        <w:spacing w:after="120" w:line="300" w:lineRule="exact"/>
        <w:jc w:val="center"/>
        <w:rPr>
          <w:lang w:val="en-GB"/>
        </w:rPr>
      </w:pPr>
    </w:p>
    <w:p w:rsidRPr="009F3F65" w:rsidR="003130C2" w:rsidP="003130C2" w:rsidRDefault="003130C2" w14:paraId="56FAF778" w14:textId="77777777">
      <w:pPr>
        <w:spacing w:after="120" w:line="300" w:lineRule="exact"/>
        <w:jc w:val="center"/>
        <w:rPr>
          <w:lang w:val="en-GB"/>
        </w:rPr>
      </w:pPr>
    </w:p>
    <w:p w:rsidRPr="009F3F65" w:rsidR="003130C2" w:rsidP="003130C2" w:rsidRDefault="003130C2" w14:paraId="74F48CC2" w14:textId="77777777">
      <w:pPr>
        <w:spacing w:after="120" w:line="300" w:lineRule="exact"/>
        <w:jc w:val="center"/>
        <w:rPr>
          <w:lang w:val="en-GB"/>
        </w:rPr>
      </w:pPr>
    </w:p>
    <w:p w:rsidRPr="009F3F65" w:rsidR="003130C2" w:rsidP="003130C2" w:rsidRDefault="003130C2" w14:paraId="64C8EA55" w14:textId="77777777">
      <w:pPr>
        <w:spacing w:after="120" w:line="300" w:lineRule="exact"/>
        <w:jc w:val="center"/>
        <w:rPr>
          <w:lang w:val="en-GB"/>
        </w:rPr>
      </w:pPr>
    </w:p>
    <w:p w:rsidRPr="009F3F65" w:rsidR="003130C2" w:rsidP="003130C2" w:rsidRDefault="003130C2" w14:paraId="0AD2A276" w14:textId="77777777">
      <w:pPr>
        <w:spacing w:after="120" w:line="300" w:lineRule="exact"/>
        <w:jc w:val="center"/>
        <w:rPr>
          <w:lang w:val="en-GB"/>
        </w:rPr>
      </w:pPr>
    </w:p>
    <w:p w:rsidRPr="009F3F65" w:rsidR="003130C2" w:rsidP="003130C2" w:rsidRDefault="003130C2" w14:paraId="4DAF4BB4" w14:textId="77777777">
      <w:pPr>
        <w:spacing w:after="120" w:line="300" w:lineRule="exact"/>
        <w:jc w:val="center"/>
        <w:rPr>
          <w:lang w:val="en-GB"/>
        </w:rPr>
      </w:pPr>
    </w:p>
    <w:p w:rsidRPr="009F3F65" w:rsidR="003130C2" w:rsidP="003130C2" w:rsidRDefault="003130C2" w14:paraId="58F81321" w14:textId="77777777">
      <w:pPr>
        <w:spacing w:line="300" w:lineRule="exact"/>
        <w:rPr>
          <w:lang w:val="en-GB"/>
        </w:rPr>
      </w:pPr>
    </w:p>
    <w:p w:rsidRPr="009F3F65" w:rsidR="003130C2" w:rsidP="003130C2" w:rsidRDefault="003130C2" w14:paraId="4002B18E" w14:textId="77777777">
      <w:pPr>
        <w:spacing w:line="300" w:lineRule="exact"/>
        <w:rPr>
          <w:lang w:val="en-GB"/>
        </w:rPr>
      </w:pPr>
    </w:p>
    <w:p w:rsidRPr="009F3F65" w:rsidR="003130C2" w:rsidP="003130C2" w:rsidRDefault="003130C2" w14:paraId="426262E3" w14:textId="77777777">
      <w:pPr>
        <w:spacing w:line="300" w:lineRule="exact"/>
        <w:rPr>
          <w:lang w:val="en-GB"/>
        </w:rPr>
      </w:pPr>
    </w:p>
    <w:p w:rsidRPr="009F3F65" w:rsidR="003130C2" w:rsidP="003130C2" w:rsidRDefault="003130C2" w14:paraId="5378712F" w14:textId="77777777">
      <w:pPr>
        <w:spacing w:after="120" w:line="300" w:lineRule="exact"/>
        <w:jc w:val="center"/>
      </w:pPr>
      <w:r>
        <w:rPr>
          <w:b/>
          <w:color w:val="5B9BD5" w:themeColor="accent1"/>
          <w:sz w:val="20"/>
        </w:rPr>
        <w:t>Figure 14.</w:t>
      </w:r>
      <w:r>
        <w:rPr>
          <w:color w:val="5B9BD5" w:themeColor="accent1"/>
          <w:sz w:val="20"/>
        </w:rPr>
        <w:t xml:space="preserve"> Any tangible DEP results – general.</w:t>
      </w:r>
    </w:p>
    <w:p w:rsidRPr="009F3F65" w:rsidR="003130C2" w:rsidP="003130C2" w:rsidRDefault="003130C2" w14:paraId="4E9B064B" w14:textId="77777777">
      <w:pPr>
        <w:spacing w:line="300" w:lineRule="exact"/>
        <w:rPr>
          <w:lang w:val="en-GB"/>
        </w:rPr>
      </w:pPr>
    </w:p>
    <w:p w:rsidRPr="009F3F65" w:rsidR="003130C2" w:rsidP="003130C2" w:rsidRDefault="003130C2" w14:paraId="2C4D4C81" w14:textId="77777777">
      <w:pPr>
        <w:spacing w:line="300" w:lineRule="exact"/>
      </w:pPr>
      <w:r>
        <w:t>Here, the views diverged more when looking across countries. Whilst 80% of the German and 67% of the Maltese respondents were of the view that tangible results were being seen, 88% of the Polish respondents, 75% (or 3 persons) of the Portuguese and 80% of the Swedish shared the opposite view.</w:t>
      </w:r>
    </w:p>
    <w:p w:rsidRPr="009F3F65" w:rsidR="003130C2" w:rsidP="003130C2" w:rsidRDefault="003130C2" w14:paraId="2C7CC1DD" w14:textId="77777777">
      <w:pPr>
        <w:spacing w:line="300" w:lineRule="exact"/>
        <w:rPr>
          <w:lang w:val="en-GB"/>
        </w:rPr>
      </w:pPr>
    </w:p>
    <w:p w:rsidRPr="009F3F65" w:rsidR="003130C2" w:rsidP="003130C2" w:rsidRDefault="003130C2" w14:paraId="4925FC53" w14:textId="77777777">
      <w:pPr>
        <w:spacing w:line="300" w:lineRule="exact"/>
        <w:rPr>
          <w:lang w:val="en-GB"/>
        </w:rPr>
      </w:pPr>
    </w:p>
    <w:p w:rsidRPr="009F3F65" w:rsidR="003130C2" w:rsidP="003130C2" w:rsidRDefault="003130C2" w14:paraId="514DC91A" w14:textId="77777777">
      <w:pPr>
        <w:spacing w:line="300" w:lineRule="exact"/>
        <w:rPr>
          <w:lang w:val="en-GB"/>
        </w:rPr>
      </w:pPr>
    </w:p>
    <w:p w:rsidRPr="009F3F65" w:rsidR="003130C2" w:rsidP="003130C2" w:rsidRDefault="003130C2" w14:paraId="3028D931" w14:textId="77777777">
      <w:pPr>
        <w:spacing w:line="300" w:lineRule="exact"/>
      </w:pPr>
      <w:r>
        <w:rPr>
          <w:noProof/>
        </w:rPr>
        <w:drawing>
          <wp:anchor distT="0" distB="0" distL="114300" distR="114300" simplePos="0" relativeHeight="251657216" behindDoc="0" locked="0" layoutInCell="1" allowOverlap="1" wp14:editId="2EB82F4D" wp14:anchorId="5E4240AE">
            <wp:simplePos x="0" y="0"/>
            <wp:positionH relativeFrom="margin">
              <wp:align>center</wp:align>
            </wp:positionH>
            <wp:positionV relativeFrom="paragraph">
              <wp:posOffset>-114300</wp:posOffset>
            </wp:positionV>
            <wp:extent cx="4589620" cy="2713538"/>
            <wp:effectExtent l="0" t="0" r="1905" b="10795"/>
            <wp:wrapNone/>
            <wp:docPr id="225" name="Chart 225">
              <a:extLst xmlns:a="http://schemas.openxmlformats.org/drawingml/2006/main">
                <a:ext uri="{FF2B5EF4-FFF2-40B4-BE49-F238E27FC236}">
                  <a16:creationId xmlns:a16="http://schemas.microsoft.com/office/drawing/2014/main" id="{4551083F-E5FA-4C3A-B94C-43DB22C238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Pr="009F3F65" w:rsidR="003130C2" w:rsidP="003130C2" w:rsidRDefault="003130C2" w14:paraId="2A20F21C" w14:textId="77777777">
      <w:pPr>
        <w:spacing w:line="300" w:lineRule="exact"/>
        <w:rPr>
          <w:lang w:val="en-GB"/>
        </w:rPr>
      </w:pPr>
    </w:p>
    <w:p w:rsidRPr="009F3F65" w:rsidR="003130C2" w:rsidP="003130C2" w:rsidRDefault="003130C2" w14:paraId="4CF4F6AF" w14:textId="77777777">
      <w:pPr>
        <w:spacing w:line="300" w:lineRule="exact"/>
        <w:rPr>
          <w:lang w:val="en-GB"/>
        </w:rPr>
      </w:pPr>
    </w:p>
    <w:p w:rsidRPr="009F3F65" w:rsidR="003130C2" w:rsidP="003130C2" w:rsidRDefault="003130C2" w14:paraId="6CA88198" w14:textId="77777777">
      <w:pPr>
        <w:spacing w:line="300" w:lineRule="exact"/>
        <w:rPr>
          <w:lang w:val="en-GB"/>
        </w:rPr>
      </w:pPr>
    </w:p>
    <w:p w:rsidRPr="009F3F65" w:rsidR="003130C2" w:rsidP="003130C2" w:rsidRDefault="003130C2" w14:paraId="1780A540" w14:textId="77777777">
      <w:pPr>
        <w:spacing w:line="300" w:lineRule="exact"/>
        <w:rPr>
          <w:lang w:val="en-GB"/>
        </w:rPr>
      </w:pPr>
    </w:p>
    <w:p w:rsidRPr="009F3F65" w:rsidR="003130C2" w:rsidP="003130C2" w:rsidRDefault="003130C2" w14:paraId="3D5033A2" w14:textId="77777777">
      <w:pPr>
        <w:spacing w:line="300" w:lineRule="exact"/>
        <w:rPr>
          <w:lang w:val="en-GB"/>
        </w:rPr>
      </w:pPr>
    </w:p>
    <w:p w:rsidRPr="009F3F65" w:rsidR="003130C2" w:rsidP="003130C2" w:rsidRDefault="003130C2" w14:paraId="48D9AE36" w14:textId="77777777">
      <w:pPr>
        <w:spacing w:line="300" w:lineRule="exact"/>
        <w:rPr>
          <w:lang w:val="en-GB"/>
        </w:rPr>
      </w:pPr>
    </w:p>
    <w:p w:rsidRPr="009F3F65" w:rsidR="003130C2" w:rsidP="003130C2" w:rsidRDefault="003130C2" w14:paraId="61FD17B8" w14:textId="77777777">
      <w:pPr>
        <w:spacing w:line="300" w:lineRule="exact"/>
        <w:rPr>
          <w:lang w:val="en-GB"/>
        </w:rPr>
      </w:pPr>
    </w:p>
    <w:p w:rsidRPr="009F3F65" w:rsidR="003130C2" w:rsidP="003130C2" w:rsidRDefault="003130C2" w14:paraId="4583E056" w14:textId="77777777">
      <w:pPr>
        <w:spacing w:line="300" w:lineRule="exact"/>
        <w:rPr>
          <w:lang w:val="en-GB"/>
        </w:rPr>
      </w:pPr>
    </w:p>
    <w:p w:rsidRPr="009F3F65" w:rsidR="003130C2" w:rsidP="003130C2" w:rsidRDefault="003130C2" w14:paraId="6F420BB2" w14:textId="77777777">
      <w:pPr>
        <w:spacing w:line="300" w:lineRule="exact"/>
        <w:rPr>
          <w:lang w:val="en-GB"/>
        </w:rPr>
      </w:pPr>
    </w:p>
    <w:p w:rsidRPr="009F3F65" w:rsidR="003130C2" w:rsidP="003130C2" w:rsidRDefault="003130C2" w14:paraId="53C79E4E" w14:textId="77777777">
      <w:pPr>
        <w:spacing w:line="300" w:lineRule="exact"/>
        <w:rPr>
          <w:lang w:val="en-GB"/>
        </w:rPr>
      </w:pPr>
    </w:p>
    <w:p w:rsidRPr="009F3F65" w:rsidR="003130C2" w:rsidP="003130C2" w:rsidRDefault="003130C2" w14:paraId="2C10ECE1" w14:textId="77777777">
      <w:pPr>
        <w:spacing w:line="300" w:lineRule="exact"/>
        <w:rPr>
          <w:lang w:val="en-GB"/>
        </w:rPr>
      </w:pPr>
    </w:p>
    <w:p w:rsidRPr="009F3F65" w:rsidR="003130C2" w:rsidP="003130C2" w:rsidRDefault="003130C2" w14:paraId="205C45B6" w14:textId="77777777">
      <w:pPr>
        <w:spacing w:line="300" w:lineRule="exact"/>
        <w:rPr>
          <w:lang w:val="en-GB"/>
        </w:rPr>
      </w:pPr>
    </w:p>
    <w:p w:rsidRPr="009F3F65" w:rsidR="003130C2" w:rsidP="003130C2" w:rsidRDefault="003130C2" w14:paraId="0EEB2605" w14:textId="77777777">
      <w:pPr>
        <w:spacing w:line="300" w:lineRule="exact"/>
        <w:rPr>
          <w:lang w:val="en-GB"/>
        </w:rPr>
      </w:pPr>
    </w:p>
    <w:p w:rsidRPr="009F3F65" w:rsidR="003130C2" w:rsidP="003130C2" w:rsidRDefault="003130C2" w14:paraId="6E1E4B8E" w14:textId="77777777">
      <w:pPr>
        <w:spacing w:line="300" w:lineRule="exact"/>
        <w:jc w:val="center"/>
      </w:pPr>
      <w:r>
        <w:rPr>
          <w:b/>
          <w:color w:val="5B9BD5" w:themeColor="accent1"/>
          <w:sz w:val="20"/>
        </w:rPr>
        <w:t>Figure 15.</w:t>
      </w:r>
      <w:r>
        <w:rPr>
          <w:color w:val="5B9BD5" w:themeColor="accent1"/>
          <w:sz w:val="20"/>
        </w:rPr>
        <w:t xml:space="preserve"> Any tangible DEP results – per country.</w:t>
      </w:r>
    </w:p>
    <w:p w:rsidRPr="009F3F65" w:rsidR="003130C2" w:rsidP="003130C2" w:rsidRDefault="003130C2" w14:paraId="1B457A34" w14:textId="77777777">
      <w:pPr>
        <w:spacing w:line="300" w:lineRule="exact"/>
        <w:rPr>
          <w:lang w:val="en-GB"/>
        </w:rPr>
      </w:pPr>
    </w:p>
    <w:p w:rsidRPr="009F3F65" w:rsidR="003130C2" w:rsidP="003130C2" w:rsidRDefault="003130C2" w14:paraId="536DDADB" w14:textId="77777777">
      <w:pPr>
        <w:spacing w:line="300" w:lineRule="exact"/>
      </w:pPr>
      <w:r>
        <w:t>Also, in a cross-category comparison, the answers diverged quite significantly. Whilst the majority of the respondents from academia and the public authorities were of the view that there had been tangible results from implementing the DEP in their respective countries (71% and 55% respectively), the business representatives had a much more sombre view, with only 9% considering that positive changes had taken place.</w:t>
      </w:r>
    </w:p>
    <w:p w:rsidRPr="009F3F65" w:rsidR="003130C2" w:rsidP="003130C2" w:rsidRDefault="003130C2" w14:paraId="3871E5B7" w14:textId="77777777">
      <w:pPr>
        <w:spacing w:line="240" w:lineRule="auto"/>
        <w:jc w:val="left"/>
        <w:rPr>
          <w:lang w:val="en-GB"/>
        </w:rPr>
      </w:pPr>
    </w:p>
    <w:p w:rsidRPr="009F3F65" w:rsidR="003130C2" w:rsidP="003130C2" w:rsidRDefault="003130C2" w14:paraId="04867560" w14:textId="77777777">
      <w:pPr>
        <w:spacing w:line="300" w:lineRule="exact"/>
        <w:rPr>
          <w:lang w:val="en-GB"/>
        </w:rPr>
      </w:pPr>
    </w:p>
    <w:p w:rsidRPr="009F3F65" w:rsidR="003130C2" w:rsidP="003130C2" w:rsidRDefault="003130C2" w14:paraId="355199D3" w14:textId="77777777">
      <w:pPr>
        <w:spacing w:line="300" w:lineRule="exact"/>
      </w:pPr>
      <w:r>
        <w:rPr>
          <w:noProof/>
        </w:rPr>
        <w:drawing>
          <wp:anchor distT="0" distB="0" distL="114300" distR="114300" simplePos="0" relativeHeight="251648000" behindDoc="0" locked="0" layoutInCell="1" allowOverlap="1" wp14:editId="47A5EDCD" wp14:anchorId="6AFB5983">
            <wp:simplePos x="0" y="0"/>
            <wp:positionH relativeFrom="margin">
              <wp:posOffset>374650</wp:posOffset>
            </wp:positionH>
            <wp:positionV relativeFrom="paragraph">
              <wp:posOffset>6350</wp:posOffset>
            </wp:positionV>
            <wp:extent cx="4699000" cy="2705100"/>
            <wp:effectExtent l="0" t="0" r="6350" b="0"/>
            <wp:wrapNone/>
            <wp:docPr id="227" name="Chart 227">
              <a:extLst xmlns:a="http://schemas.openxmlformats.org/drawingml/2006/main">
                <a:ext uri="{FF2B5EF4-FFF2-40B4-BE49-F238E27FC236}">
                  <a16:creationId xmlns:a16="http://schemas.microsoft.com/office/drawing/2014/main" id="{6483F33B-1434-4383-802B-49AD5AE3C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p>
    <w:p w:rsidRPr="009F3F65" w:rsidR="003130C2" w:rsidP="003130C2" w:rsidRDefault="003130C2" w14:paraId="1687051A" w14:textId="77777777">
      <w:pPr>
        <w:spacing w:line="300" w:lineRule="exact"/>
        <w:rPr>
          <w:lang w:val="en-GB"/>
        </w:rPr>
      </w:pPr>
    </w:p>
    <w:p w:rsidRPr="009F3F65" w:rsidR="003130C2" w:rsidP="003130C2" w:rsidRDefault="003130C2" w14:paraId="54DB7AEE" w14:textId="77777777">
      <w:pPr>
        <w:spacing w:line="300" w:lineRule="exact"/>
        <w:rPr>
          <w:lang w:val="en-GB"/>
        </w:rPr>
      </w:pPr>
    </w:p>
    <w:p w:rsidRPr="009F3F65" w:rsidR="003130C2" w:rsidP="003130C2" w:rsidRDefault="003130C2" w14:paraId="0307D70E" w14:textId="77777777">
      <w:pPr>
        <w:spacing w:line="300" w:lineRule="exact"/>
        <w:rPr>
          <w:lang w:val="en-GB"/>
        </w:rPr>
      </w:pPr>
    </w:p>
    <w:p w:rsidRPr="009F3F65" w:rsidR="003130C2" w:rsidP="003130C2" w:rsidRDefault="003130C2" w14:paraId="5ED1D85A" w14:textId="77777777">
      <w:pPr>
        <w:spacing w:line="300" w:lineRule="exact"/>
        <w:rPr>
          <w:lang w:val="en-GB"/>
        </w:rPr>
      </w:pPr>
    </w:p>
    <w:p w:rsidRPr="009F3F65" w:rsidR="003130C2" w:rsidP="003130C2" w:rsidRDefault="003130C2" w14:paraId="3365CB3E" w14:textId="77777777">
      <w:pPr>
        <w:spacing w:line="300" w:lineRule="exact"/>
        <w:rPr>
          <w:lang w:val="en-GB"/>
        </w:rPr>
      </w:pPr>
    </w:p>
    <w:p w:rsidRPr="009F3F65" w:rsidR="003130C2" w:rsidP="003130C2" w:rsidRDefault="003130C2" w14:paraId="6332CC22" w14:textId="77777777">
      <w:pPr>
        <w:spacing w:line="300" w:lineRule="exact"/>
        <w:rPr>
          <w:lang w:val="en-GB"/>
        </w:rPr>
      </w:pPr>
    </w:p>
    <w:p w:rsidRPr="009F3F65" w:rsidR="003130C2" w:rsidP="003130C2" w:rsidRDefault="003130C2" w14:paraId="2ECE208D" w14:textId="77777777">
      <w:pPr>
        <w:spacing w:line="300" w:lineRule="exact"/>
        <w:rPr>
          <w:lang w:val="en-GB"/>
        </w:rPr>
      </w:pPr>
    </w:p>
    <w:p w:rsidRPr="009F3F65" w:rsidR="003130C2" w:rsidP="003130C2" w:rsidRDefault="003130C2" w14:paraId="34C37FCA" w14:textId="77777777">
      <w:pPr>
        <w:spacing w:line="300" w:lineRule="exact"/>
        <w:rPr>
          <w:lang w:val="en-GB"/>
        </w:rPr>
      </w:pPr>
    </w:p>
    <w:p w:rsidRPr="009F3F65" w:rsidR="003130C2" w:rsidP="003130C2" w:rsidRDefault="003130C2" w14:paraId="4B0A358F" w14:textId="77777777">
      <w:pPr>
        <w:spacing w:line="300" w:lineRule="exact"/>
        <w:rPr>
          <w:lang w:val="en-GB"/>
        </w:rPr>
      </w:pPr>
    </w:p>
    <w:p w:rsidRPr="009F3F65" w:rsidR="003130C2" w:rsidP="003130C2" w:rsidRDefault="003130C2" w14:paraId="61B58C3C" w14:textId="77777777">
      <w:pPr>
        <w:spacing w:line="300" w:lineRule="exact"/>
        <w:rPr>
          <w:lang w:val="en-GB"/>
        </w:rPr>
      </w:pPr>
    </w:p>
    <w:p w:rsidRPr="009F3F65" w:rsidR="003130C2" w:rsidP="003130C2" w:rsidRDefault="003130C2" w14:paraId="0CD1B91C" w14:textId="77777777">
      <w:pPr>
        <w:spacing w:line="300" w:lineRule="exact"/>
        <w:rPr>
          <w:lang w:val="en-GB"/>
        </w:rPr>
      </w:pPr>
    </w:p>
    <w:p w:rsidRPr="009F3F65" w:rsidR="003130C2" w:rsidP="003130C2" w:rsidRDefault="003130C2" w14:paraId="64B71C72" w14:textId="77777777">
      <w:pPr>
        <w:spacing w:line="300" w:lineRule="exact"/>
        <w:rPr>
          <w:lang w:val="en-GB"/>
        </w:rPr>
      </w:pPr>
    </w:p>
    <w:p w:rsidRPr="009F3F65" w:rsidR="003130C2" w:rsidP="003130C2" w:rsidRDefault="003130C2" w14:paraId="5FCB20DF" w14:textId="77777777">
      <w:pPr>
        <w:spacing w:line="300" w:lineRule="exact"/>
        <w:rPr>
          <w:lang w:val="en-GB"/>
        </w:rPr>
      </w:pPr>
    </w:p>
    <w:p w:rsidRPr="009F3F65" w:rsidR="003130C2" w:rsidP="003130C2" w:rsidRDefault="003130C2" w14:paraId="0EB8F497" w14:textId="77777777">
      <w:pPr>
        <w:spacing w:line="300" w:lineRule="exact"/>
        <w:rPr>
          <w:lang w:val="en-GB"/>
        </w:rPr>
      </w:pPr>
    </w:p>
    <w:p w:rsidRPr="009F3F65" w:rsidR="003130C2" w:rsidP="003130C2" w:rsidRDefault="003130C2" w14:paraId="688BF5B5" w14:textId="77777777">
      <w:pPr>
        <w:spacing w:line="300" w:lineRule="exact"/>
        <w:jc w:val="center"/>
      </w:pPr>
      <w:r>
        <w:rPr>
          <w:b/>
          <w:color w:val="5B9BD5" w:themeColor="accent1"/>
          <w:sz w:val="20"/>
        </w:rPr>
        <w:t>Figure 16.</w:t>
      </w:r>
      <w:r>
        <w:rPr>
          <w:color w:val="5B9BD5" w:themeColor="accent1"/>
          <w:sz w:val="20"/>
        </w:rPr>
        <w:t xml:space="preserve"> Any tangible DEP results – per category.</w:t>
      </w:r>
    </w:p>
    <w:p w:rsidRPr="009F3F65" w:rsidR="003130C2" w:rsidP="003130C2" w:rsidRDefault="003130C2" w14:paraId="5C5E0B13" w14:textId="77777777">
      <w:pPr>
        <w:spacing w:line="300" w:lineRule="exact"/>
        <w:rPr>
          <w:lang w:val="en-GB"/>
        </w:rPr>
      </w:pPr>
    </w:p>
    <w:p w:rsidRPr="009F3F65" w:rsidR="003130C2" w:rsidP="003130C2" w:rsidRDefault="003130C2" w14:paraId="1EDBCE71" w14:textId="77777777">
      <w:pPr>
        <w:spacing w:line="300" w:lineRule="exact"/>
      </w:pPr>
      <w:r>
        <w:t>Asked to expand on these answers (</w:t>
      </w:r>
      <w:r>
        <w:rPr>
          <w:b/>
        </w:rPr>
        <w:t>question 9.a</w:t>
      </w:r>
      <w:r>
        <w:t xml:space="preserve">), 18 persons did so. Several of the answers highlighted the establishment and functioning of EDIHs and the businesses that have subsequently benefitted from these networks. Furthermore, increased awareness and acquisition of digital skills and training, as well </w:t>
      </w:r>
      <w:r>
        <w:lastRenderedPageBreak/>
        <w:t>as identification of best practices and success stories were mentioned. In addition, better collaboration between public administrations, facilitated by the EDIHs, was noted as a positive outcome.</w:t>
      </w:r>
    </w:p>
    <w:p w:rsidRPr="009F3F65" w:rsidR="003130C2" w:rsidP="003130C2" w:rsidRDefault="003130C2" w14:paraId="718B8629" w14:textId="77777777">
      <w:pPr>
        <w:spacing w:line="300" w:lineRule="exact"/>
        <w:rPr>
          <w:lang w:val="en-GB"/>
        </w:rPr>
      </w:pPr>
    </w:p>
    <w:p w:rsidRPr="009F3F65" w:rsidR="003130C2" w:rsidP="003130C2" w:rsidRDefault="003130C2" w14:paraId="10A6CD2E" w14:textId="77777777">
      <w:pPr>
        <w:spacing w:line="300" w:lineRule="exact"/>
      </w:pPr>
      <w:r>
        <w:t xml:space="preserve">During the semi-structured interviews in </w:t>
      </w:r>
      <w:r>
        <w:rPr>
          <w:b/>
        </w:rPr>
        <w:t>Poland</w:t>
      </w:r>
      <w:r>
        <w:t xml:space="preserve">, representatives from the public authorities noted that </w:t>
      </w:r>
      <w:r>
        <w:rPr>
          <w:b/>
        </w:rPr>
        <w:t>projects under the DEP represent a natural continuation of previous initiatives launched under other EU funds</w:t>
      </w:r>
      <w:r>
        <w:t xml:space="preserve">. Nevertheless, it was stressed that the effectiveness of the specific projects under the DEP is </w:t>
      </w:r>
      <w:r>
        <w:rPr>
          <w:b/>
        </w:rPr>
        <w:t>still difficult to assess due to them being in the early stages of implementation</w:t>
      </w:r>
      <w:r>
        <w:t xml:space="preserve"> (e.g. skills development on cybersecurity through academic programmes). The Polish beneficiaries noted that this was also due to </w:t>
      </w:r>
      <w:r>
        <w:rPr>
          <w:b/>
        </w:rPr>
        <w:t>delays in the administrative procedures linked to the incompatibility of the Polish national co-funding</w:t>
      </w:r>
      <w:r>
        <w:t>, which is provided by the European Funds for a Modern Economy Programme (FENG) – a national programme replacing the Intelligent Development Programme (IDP).</w:t>
      </w:r>
    </w:p>
    <w:p w:rsidRPr="009F3F65" w:rsidR="003130C2" w:rsidP="003130C2" w:rsidRDefault="003130C2" w14:paraId="6A1A21F8" w14:textId="77777777">
      <w:pPr>
        <w:spacing w:line="300" w:lineRule="exact"/>
        <w:rPr>
          <w:lang w:val="en-GB"/>
        </w:rPr>
      </w:pPr>
    </w:p>
    <w:p w:rsidRPr="009F3F65" w:rsidR="003130C2" w:rsidP="003130C2" w:rsidRDefault="003130C2" w14:paraId="07961325" w14:textId="77777777">
      <w:pPr>
        <w:spacing w:line="300" w:lineRule="exact"/>
      </w:pPr>
      <w:r>
        <w:t xml:space="preserve">Furthermore, a representative from a public authority highlighted its focus on acquiring new beneficiaries of the programme, instead of limiting the provision of services to existing ones, and the importance of ensuring strong support for such activities through the programme. In this regard, participants mentioned </w:t>
      </w:r>
      <w:r>
        <w:rPr>
          <w:b/>
        </w:rPr>
        <w:t>the low absorption of DEP funds by Polish entities</w:t>
      </w:r>
      <w:r>
        <w:t xml:space="preserve"> (currently at 4% of the budget).</w:t>
      </w:r>
    </w:p>
    <w:p w:rsidRPr="009F3F65" w:rsidR="003130C2" w:rsidP="003130C2" w:rsidRDefault="003130C2" w14:paraId="23692312" w14:textId="77777777">
      <w:pPr>
        <w:spacing w:line="300" w:lineRule="exact"/>
        <w:rPr>
          <w:lang w:val="en-GB"/>
        </w:rPr>
      </w:pPr>
    </w:p>
    <w:p w:rsidRPr="009F3F65" w:rsidR="003130C2" w:rsidP="003130C2" w:rsidRDefault="003130C2" w14:paraId="13733EF6" w14:textId="77777777">
      <w:pPr>
        <w:spacing w:line="300" w:lineRule="exact"/>
      </w:pPr>
      <w:r>
        <w:t>However, concerning advanced digital skills, the</w:t>
      </w:r>
      <w:r>
        <w:rPr>
          <w:b/>
        </w:rPr>
        <w:t xml:space="preserve"> Polish</w:t>
      </w:r>
      <w:r>
        <w:t xml:space="preserve"> DEP beneficiaries reported the </w:t>
      </w:r>
      <w:r>
        <w:rPr>
          <w:b/>
        </w:rPr>
        <w:t>success and positive impact of a project implemented from 2021 to 2023 under the DEP, in cooperation with five universities across Poland, with the goal of creating specific study programmes</w:t>
      </w:r>
      <w:r>
        <w:t xml:space="preserve"> (e.g. Master of Arts in innovative areas of ICT, such as machine learning). In this regard, it was suggested to continue financing similar projects with the creation of new study programmes while improving existing ones, taking into account the considerable efforts needed to ensure competitive provision of training at global level. Moreover, the participants underlined the need for micro-certifications and key performance indicators for exams, certificates and lifelong learning programmes.</w:t>
      </w:r>
    </w:p>
    <w:p w:rsidRPr="009F3F65" w:rsidR="003130C2" w:rsidP="003130C2" w:rsidRDefault="003130C2" w14:paraId="4743198A" w14:textId="77777777">
      <w:pPr>
        <w:spacing w:line="300" w:lineRule="exact"/>
        <w:rPr>
          <w:lang w:val="en-GB"/>
        </w:rPr>
      </w:pPr>
    </w:p>
    <w:p w:rsidRPr="009F3F65" w:rsidR="003130C2" w:rsidP="003130C2" w:rsidRDefault="003130C2" w14:paraId="7437A97B" w14:textId="77777777">
      <w:pPr>
        <w:spacing w:line="300" w:lineRule="exact"/>
      </w:pPr>
      <w:r>
        <w:t xml:space="preserve">During the semi-structured interviews in </w:t>
      </w:r>
      <w:r>
        <w:rPr>
          <w:b/>
        </w:rPr>
        <w:t>Portugal</w:t>
      </w:r>
      <w:r>
        <w:t>, representatives from the public authorities noted that Portugal had successfully established 17 different hubs, including one exclusively national hub focused on fashion. Additionally, three other hubs were highlighted as very successful, having received both national and European funds, with the others also scoring high as centres of excellence.</w:t>
      </w:r>
    </w:p>
    <w:p w:rsidRPr="009F3F65" w:rsidR="003130C2" w:rsidP="003130C2" w:rsidRDefault="003130C2" w14:paraId="166DD889" w14:textId="77777777">
      <w:pPr>
        <w:spacing w:line="300" w:lineRule="exact"/>
        <w:rPr>
          <w:lang w:val="en-GB"/>
        </w:rPr>
      </w:pPr>
    </w:p>
    <w:p w:rsidRPr="009F3F65" w:rsidR="003130C2" w:rsidP="003130C2" w:rsidRDefault="003130C2" w14:paraId="0F18B532" w14:textId="77777777">
      <w:pPr>
        <w:spacing w:line="300" w:lineRule="exact"/>
      </w:pPr>
      <w:r>
        <w:t xml:space="preserve">However, when it comes to implementing the DEP, three main challenges were identified. Firstly, there was a lack of correct alignment at supranational level in terms of guidelines for national coordination plans to meet cybersecurity objectives. Additionally, efforts were made to make the DEP more efficient; however, a major challenge arose from some financing programmes not being aligned and competing with one another in terms of objectives. Furthermore, Portuguese entities could not risk the 50% financing contribution and did not find these incentives appealing due to the high risk involved. As a result, it was highlighted that it was </w:t>
      </w:r>
      <w:r>
        <w:rPr>
          <w:b/>
        </w:rPr>
        <w:t>too early to gauge the impact of the DEP</w:t>
      </w:r>
      <w:r>
        <w:t>.</w:t>
      </w:r>
    </w:p>
    <w:p w:rsidRPr="009F3F65" w:rsidR="003130C2" w:rsidP="003130C2" w:rsidRDefault="003130C2" w14:paraId="41EC0632" w14:textId="77777777">
      <w:pPr>
        <w:spacing w:line="300" w:lineRule="exact"/>
        <w:rPr>
          <w:lang w:val="en-GB"/>
        </w:rPr>
      </w:pPr>
    </w:p>
    <w:p w:rsidRPr="009F3F65" w:rsidR="003130C2" w:rsidP="003130C2" w:rsidRDefault="003130C2" w14:paraId="16B68D80" w14:textId="77777777">
      <w:pPr>
        <w:spacing w:line="300" w:lineRule="exact"/>
      </w:pPr>
      <w:r>
        <w:t xml:space="preserve">In the next question, the respondents were </w:t>
      </w:r>
      <w:r>
        <w:rPr>
          <w:u w:val="single"/>
        </w:rPr>
        <w:t xml:space="preserve">asked whether, to their knowledge, there had been any obstacles to effectively implementing EDIH and advanced digital skills activities in their respective countries so far </w:t>
      </w:r>
      <w:r>
        <w:t>(</w:t>
      </w:r>
      <w:r>
        <w:rPr>
          <w:b/>
        </w:rPr>
        <w:t>question 10</w:t>
      </w:r>
      <w:r>
        <w:t>).</w:t>
      </w:r>
    </w:p>
    <w:p w:rsidRPr="009F3F65" w:rsidR="003130C2" w:rsidP="003130C2" w:rsidRDefault="003130C2" w14:paraId="745F191A" w14:textId="77777777">
      <w:pPr>
        <w:spacing w:line="300" w:lineRule="exact"/>
        <w:rPr>
          <w:lang w:val="en-GB"/>
        </w:rPr>
      </w:pPr>
    </w:p>
    <w:p w:rsidRPr="009F3F65" w:rsidR="003130C2" w:rsidP="003130C2" w:rsidRDefault="003130C2" w14:paraId="7F52DDB9" w14:textId="77777777">
      <w:pPr>
        <w:spacing w:line="300" w:lineRule="exact"/>
      </w:pPr>
      <w:r>
        <w:t xml:space="preserve">With regard to carrying out digital skills activities, more than half of the respondents agreed that all the obstacles mentioned had been present in their respective countries: ‘problems with co-financing’ being </w:t>
      </w:r>
      <w:r>
        <w:lastRenderedPageBreak/>
        <w:t>seen as the smallest obstacle (53%) and ‘the European Commission’s programme framework is too strict’ as the biggest (77%).</w:t>
      </w:r>
    </w:p>
    <w:p w:rsidRPr="009F3F65" w:rsidR="003130C2" w:rsidP="003130C2" w:rsidRDefault="003130C2" w14:paraId="2910F5F9" w14:textId="77777777">
      <w:pPr>
        <w:spacing w:line="300" w:lineRule="exact"/>
        <w:rPr>
          <w:lang w:val="en-GB"/>
        </w:rPr>
      </w:pPr>
    </w:p>
    <w:p w:rsidRPr="009F3F65" w:rsidR="003130C2" w:rsidP="003130C2" w:rsidRDefault="003130C2" w14:paraId="0AB91D5D" w14:textId="77777777">
      <w:pPr>
        <w:spacing w:line="300" w:lineRule="exact"/>
      </w:pPr>
      <w:r>
        <w:t>Activities to implement EDIHs seemed to have been more successful, as in four out of the six possible obstacles, the majority of the respondents did not identify these obstacles. In particular, ‘the European Commission’s programme framework is too strict’ was seen as an obstacle by only 35% of the respondents, whilst ‘problems with co-financing’ was the most pressing issue with regard to EDIHs (79%).</w:t>
      </w:r>
    </w:p>
    <w:p w:rsidRPr="009F3F65" w:rsidR="003130C2" w:rsidP="003130C2" w:rsidRDefault="003130C2" w14:paraId="7AA82C55" w14:textId="77777777">
      <w:pPr>
        <w:spacing w:line="300" w:lineRule="exact"/>
        <w:rPr>
          <w:lang w:val="en-GB"/>
        </w:rPr>
      </w:pPr>
    </w:p>
    <w:p w:rsidRPr="009F3F65" w:rsidR="003130C2" w:rsidP="003130C2" w:rsidRDefault="003130C2" w14:paraId="20B9B7E2" w14:textId="77777777">
      <w:pPr>
        <w:spacing w:after="120" w:line="300" w:lineRule="exact"/>
      </w:pPr>
      <w:r>
        <w:rPr>
          <w:noProof/>
        </w:rPr>
        <w:drawing>
          <wp:anchor distT="0" distB="0" distL="114300" distR="114300" simplePos="0" relativeHeight="251638784" behindDoc="0" locked="0" layoutInCell="1" allowOverlap="1" wp14:editId="05CD6E41" wp14:anchorId="43A0AB03">
            <wp:simplePos x="0" y="0"/>
            <wp:positionH relativeFrom="margin">
              <wp:align>left</wp:align>
            </wp:positionH>
            <wp:positionV relativeFrom="paragraph">
              <wp:posOffset>6350</wp:posOffset>
            </wp:positionV>
            <wp:extent cx="5761355" cy="2921000"/>
            <wp:effectExtent l="0" t="0" r="10795" b="12700"/>
            <wp:wrapNone/>
            <wp:docPr id="23" name="Chart 23">
              <a:extLst xmlns:a="http://schemas.openxmlformats.org/drawingml/2006/main">
                <a:ext uri="{FF2B5EF4-FFF2-40B4-BE49-F238E27FC236}">
                  <a16:creationId xmlns:a16="http://schemas.microsoft.com/office/drawing/2014/main" id="{629715E3-4670-4B9A-B6E3-B3DF1C52B8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rsidRPr="009F3F65" w:rsidR="003130C2" w:rsidP="003130C2" w:rsidRDefault="003130C2" w14:paraId="0FD02E73" w14:textId="77777777">
      <w:pPr>
        <w:spacing w:after="120" w:line="300" w:lineRule="exact"/>
        <w:rPr>
          <w:lang w:val="en-GB"/>
        </w:rPr>
      </w:pPr>
    </w:p>
    <w:p w:rsidRPr="009F3F65" w:rsidR="003130C2" w:rsidP="003130C2" w:rsidRDefault="003130C2" w14:paraId="4092A0FC" w14:textId="77777777">
      <w:pPr>
        <w:spacing w:after="120" w:line="300" w:lineRule="exact"/>
        <w:rPr>
          <w:lang w:val="en-GB"/>
        </w:rPr>
      </w:pPr>
    </w:p>
    <w:p w:rsidRPr="009F3F65" w:rsidR="003130C2" w:rsidP="003130C2" w:rsidRDefault="003130C2" w14:paraId="5436A7A8" w14:textId="77777777">
      <w:pPr>
        <w:spacing w:after="120" w:line="300" w:lineRule="exact"/>
        <w:rPr>
          <w:lang w:val="en-GB"/>
        </w:rPr>
      </w:pPr>
    </w:p>
    <w:p w:rsidRPr="009F3F65" w:rsidR="003130C2" w:rsidP="003130C2" w:rsidRDefault="003130C2" w14:paraId="4FCAB624" w14:textId="77777777">
      <w:pPr>
        <w:spacing w:after="120" w:line="300" w:lineRule="exact"/>
        <w:rPr>
          <w:lang w:val="en-GB"/>
        </w:rPr>
      </w:pPr>
    </w:p>
    <w:p w:rsidRPr="009F3F65" w:rsidR="003130C2" w:rsidP="003130C2" w:rsidRDefault="003130C2" w14:paraId="2EBA6250" w14:textId="77777777">
      <w:pPr>
        <w:spacing w:after="120" w:line="300" w:lineRule="exact"/>
        <w:jc w:val="center"/>
        <w:rPr>
          <w:lang w:val="en-GB"/>
        </w:rPr>
      </w:pPr>
    </w:p>
    <w:p w:rsidRPr="009F3F65" w:rsidR="003130C2" w:rsidP="003130C2" w:rsidRDefault="003130C2" w14:paraId="3F5A6BBB" w14:textId="77777777">
      <w:pPr>
        <w:spacing w:after="120" w:line="300" w:lineRule="exact"/>
        <w:jc w:val="center"/>
        <w:rPr>
          <w:lang w:val="en-GB"/>
        </w:rPr>
      </w:pPr>
    </w:p>
    <w:p w:rsidRPr="009F3F65" w:rsidR="003130C2" w:rsidP="003130C2" w:rsidRDefault="003130C2" w14:paraId="0AE3C884" w14:textId="77777777">
      <w:pPr>
        <w:spacing w:after="120" w:line="300" w:lineRule="exact"/>
        <w:jc w:val="center"/>
        <w:rPr>
          <w:lang w:val="en-GB"/>
        </w:rPr>
      </w:pPr>
    </w:p>
    <w:p w:rsidRPr="009F3F65" w:rsidR="003130C2" w:rsidP="003130C2" w:rsidRDefault="003130C2" w14:paraId="5F9032CA" w14:textId="77777777">
      <w:pPr>
        <w:spacing w:after="120" w:line="300" w:lineRule="exact"/>
        <w:jc w:val="center"/>
        <w:rPr>
          <w:lang w:val="en-GB"/>
        </w:rPr>
      </w:pPr>
    </w:p>
    <w:p w:rsidRPr="009F3F65" w:rsidR="003130C2" w:rsidP="003130C2" w:rsidRDefault="003130C2" w14:paraId="39F94A1F" w14:textId="77777777">
      <w:pPr>
        <w:spacing w:after="120" w:line="300" w:lineRule="exact"/>
        <w:jc w:val="center"/>
        <w:rPr>
          <w:lang w:val="en-GB"/>
        </w:rPr>
      </w:pPr>
    </w:p>
    <w:p w:rsidRPr="009F3F65" w:rsidR="003130C2" w:rsidP="003130C2" w:rsidRDefault="003130C2" w14:paraId="2B9D5FD4" w14:textId="77777777">
      <w:pPr>
        <w:spacing w:after="120" w:line="300" w:lineRule="exact"/>
        <w:jc w:val="center"/>
        <w:rPr>
          <w:lang w:val="en-GB"/>
        </w:rPr>
      </w:pPr>
    </w:p>
    <w:p w:rsidRPr="009F3F65" w:rsidR="003130C2" w:rsidP="003130C2" w:rsidRDefault="003130C2" w14:paraId="4F721651" w14:textId="77777777">
      <w:pPr>
        <w:spacing w:after="120" w:line="300" w:lineRule="exact"/>
        <w:jc w:val="center"/>
        <w:rPr>
          <w:color w:val="5B9BD5" w:themeColor="accent1"/>
          <w:sz w:val="20"/>
        </w:rPr>
      </w:pPr>
      <w:r>
        <w:rPr>
          <w:b/>
          <w:color w:val="5B9BD5" w:themeColor="accent1"/>
          <w:sz w:val="20"/>
        </w:rPr>
        <w:t>Figure 17.</w:t>
      </w:r>
      <w:r>
        <w:rPr>
          <w:color w:val="5B9BD5" w:themeColor="accent1"/>
          <w:sz w:val="20"/>
        </w:rPr>
        <w:t xml:space="preserve"> Obstacles to effectively implementing EDIH and advanced skills activities – general.</w:t>
      </w:r>
    </w:p>
    <w:p w:rsidRPr="009F3F65" w:rsidR="003130C2" w:rsidP="003130C2" w:rsidRDefault="003130C2" w14:paraId="66CEF425" w14:textId="77777777">
      <w:pPr>
        <w:spacing w:line="300" w:lineRule="exact"/>
      </w:pPr>
      <w:r>
        <w:t>In a cross-country comparison, the responses across the five countries largely converged around those mentioned above.</w:t>
      </w:r>
    </w:p>
    <w:p w:rsidRPr="009F3F65" w:rsidR="003130C2" w:rsidP="003130C2" w:rsidRDefault="003130C2" w14:paraId="2C791DAA" w14:textId="77777777">
      <w:pPr>
        <w:spacing w:line="300" w:lineRule="exact"/>
        <w:rPr>
          <w:lang w:val="en-GB"/>
        </w:rPr>
      </w:pPr>
    </w:p>
    <w:p w:rsidRPr="009F3F65" w:rsidR="003130C2" w:rsidP="003130C2" w:rsidRDefault="003130C2" w14:paraId="3D73BDA7" w14:textId="77777777">
      <w:pPr>
        <w:spacing w:line="300" w:lineRule="exact"/>
      </w:pPr>
      <w:r>
        <w:t xml:space="preserve">During the semi-structured interviews, representatives from the </w:t>
      </w:r>
      <w:r>
        <w:rPr>
          <w:b/>
        </w:rPr>
        <w:t>German</w:t>
      </w:r>
      <w:r>
        <w:t xml:space="preserve"> public authorities </w:t>
      </w:r>
      <w:r>
        <w:rPr>
          <w:b/>
        </w:rPr>
        <w:t>underlined the need to tackle the complexities relating to the co-funding approach due to the uncertainties of co-funding not covered by the programme</w:t>
      </w:r>
      <w:r>
        <w:t xml:space="preserve"> (in terms of availability and amount). If not granted, this could lead to the reshaping of budget plans and considerable delays to a project’s launch. If it is granted, however, there could be more challenges in complying with requirements from different funding sources. </w:t>
      </w:r>
      <w:r>
        <w:rPr>
          <w:b/>
        </w:rPr>
        <w:t>Higher co-funding rates under the programme were considered desirable.</w:t>
      </w:r>
    </w:p>
    <w:p w:rsidRPr="009F3F65" w:rsidR="003130C2" w:rsidP="003130C2" w:rsidRDefault="003130C2" w14:paraId="1C3F80AB" w14:textId="77777777">
      <w:pPr>
        <w:spacing w:line="300" w:lineRule="exact"/>
        <w:rPr>
          <w:lang w:val="en-GB"/>
        </w:rPr>
      </w:pPr>
    </w:p>
    <w:p w:rsidRPr="009F3F65" w:rsidR="003130C2" w:rsidP="003130C2" w:rsidRDefault="003130C2" w14:paraId="4B37E129" w14:textId="77777777">
      <w:r>
        <w:t xml:space="preserve">Furthermore, the representatives from the </w:t>
      </w:r>
      <w:r>
        <w:rPr>
          <w:b/>
        </w:rPr>
        <w:t>German</w:t>
      </w:r>
      <w:r>
        <w:t xml:space="preserve"> beneficiaries of the programme underlined the issue of co-funding in terms of the low rate provided by the programme (50% coverage of projects’ budget by the DEP) and challenges in covering the remaining part of the budget. </w:t>
      </w:r>
      <w:r>
        <w:rPr>
          <w:b/>
        </w:rPr>
        <w:t>Co-funding was perceived by the beneficiaries as a constraint on innovation, entailing longer administrative procedures and making it less attractive for small stakeholders to participate in projects.</w:t>
      </w:r>
    </w:p>
    <w:p w:rsidRPr="009F3F65" w:rsidR="003130C2" w:rsidP="003130C2" w:rsidRDefault="003130C2" w14:paraId="39C5AED9" w14:textId="77777777">
      <w:pPr>
        <w:rPr>
          <w:lang w:val="en-GB"/>
        </w:rPr>
      </w:pPr>
    </w:p>
    <w:p w:rsidRPr="009F3F65" w:rsidR="003130C2" w:rsidP="003130C2" w:rsidRDefault="003130C2" w14:paraId="6FD18336" w14:textId="77777777">
      <w:r>
        <w:t xml:space="preserve">In addition, a representative from a </w:t>
      </w:r>
      <w:r>
        <w:rPr>
          <w:b/>
        </w:rPr>
        <w:t>Maltese</w:t>
      </w:r>
      <w:r>
        <w:t xml:space="preserve"> company benefitting from the DEP underlined the co-financing component as a possible reason for the lack of applications under the DEP. This was due to the inadequate capacity of entities based in small countries, such as Malta, to cover it (50% co-financing was said to be quite demanding).</w:t>
      </w:r>
    </w:p>
    <w:p w:rsidRPr="009F3F65" w:rsidR="003130C2" w:rsidP="003130C2" w:rsidRDefault="003130C2" w14:paraId="53A39A4A" w14:textId="77777777">
      <w:pPr>
        <w:rPr>
          <w:lang w:val="en-GB"/>
        </w:rPr>
      </w:pPr>
    </w:p>
    <w:p w:rsidRPr="009F3F65" w:rsidR="003130C2" w:rsidP="003130C2" w:rsidRDefault="003130C2" w14:paraId="4662E379" w14:textId="77777777">
      <w:r>
        <w:t xml:space="preserve">Likewise, representatives from the </w:t>
      </w:r>
      <w:r>
        <w:rPr>
          <w:b/>
        </w:rPr>
        <w:t>Portuguese</w:t>
      </w:r>
      <w:r>
        <w:t xml:space="preserve"> public authorities </w:t>
      </w:r>
      <w:r>
        <w:rPr>
          <w:b/>
        </w:rPr>
        <w:t>deemed the financing approach of the DEP as complicating rather than streamlining matters</w:t>
      </w:r>
      <w:r>
        <w:t>. Entities found it challenging because, since the programme only covered 50%, they ended up with three signed contracts, and everything had to align with national funds. Therefore, the next multiannual framework was deemed crucial for easing administrative burdens and achieving goals, as execution remained very difficult for individual entities.</w:t>
      </w:r>
    </w:p>
    <w:p w:rsidRPr="009F3F65" w:rsidR="003130C2" w:rsidP="003130C2" w:rsidRDefault="003130C2" w14:paraId="5ABD6396" w14:textId="77777777">
      <w:pPr>
        <w:rPr>
          <w:lang w:val="en-GB"/>
        </w:rPr>
      </w:pPr>
    </w:p>
    <w:p w:rsidRPr="009F3F65" w:rsidR="003130C2" w:rsidP="003130C2" w:rsidRDefault="003130C2" w14:paraId="2EA24809" w14:textId="77777777">
      <w:r>
        <w:t xml:space="preserve">Furthermore, representatives from the </w:t>
      </w:r>
      <w:r>
        <w:rPr>
          <w:b/>
        </w:rPr>
        <w:t>Maltese</w:t>
      </w:r>
      <w:r>
        <w:t xml:space="preserve"> public authorities noted </w:t>
      </w:r>
      <w:r>
        <w:rPr>
          <w:b/>
        </w:rPr>
        <w:t>the need for a more flexible application process</w:t>
      </w:r>
      <w:r>
        <w:t>, with less burdensome procedures for smaller amounts (e.g. the same documentation and scrutiny is required for large and small amounts; a funding of EUR 65 000 requires three quotations). Moreover, it was reported that a lack of clarity on the definition of ‘start-ups’ might entail complexities for the application process.</w:t>
      </w:r>
    </w:p>
    <w:p w:rsidRPr="009F3F65" w:rsidR="003130C2" w:rsidP="003130C2" w:rsidRDefault="003130C2" w14:paraId="22B2533E" w14:textId="77777777">
      <w:pPr>
        <w:rPr>
          <w:lang w:val="en-GB"/>
        </w:rPr>
      </w:pPr>
    </w:p>
    <w:p w:rsidRPr="009F3F65" w:rsidR="003130C2" w:rsidP="003130C2" w:rsidRDefault="003130C2" w14:paraId="2E30406D" w14:textId="77777777">
      <w:pPr>
        <w:spacing w:line="300" w:lineRule="exact"/>
      </w:pPr>
      <w:r>
        <w:t xml:space="preserve">During the semi-structured interviews in Poland, the beneficiaries noted </w:t>
      </w:r>
      <w:r>
        <w:rPr>
          <w:b/>
        </w:rPr>
        <w:t>the challenge of properly implementing the co-funding structure, with different co-funding approaches at EU and national level</w:t>
      </w:r>
      <w:r>
        <w:t>. In this specific regard, while the EU co-funding process was considered efficient overall (e.g. a well organised preparatory stage, clear verification and evaluation procedures and agreement signature), the process for national co-funding, which started after the EU co-funding process, was complex in some respects. For example, there were different understandings of eligible costs among the programmes, the national fund criteria were different from those of the DEP, and there were different key performance indicators and complex procedures for advanced payment. It was reported that, in some cases, calls for national co-funding have not been published yet (e.g. activities of EDIHs focused on digital skills for public administration).</w:t>
      </w:r>
    </w:p>
    <w:p w:rsidRPr="009F3F65" w:rsidR="003130C2" w:rsidP="003130C2" w:rsidRDefault="003130C2" w14:paraId="0C245358" w14:textId="77777777">
      <w:pPr>
        <w:spacing w:line="300" w:lineRule="exact"/>
        <w:rPr>
          <w:lang w:val="en-GB"/>
        </w:rPr>
      </w:pPr>
    </w:p>
    <w:p w:rsidRPr="009F3F65" w:rsidR="003130C2" w:rsidP="003130C2" w:rsidRDefault="003130C2" w14:paraId="689DFDDB" w14:textId="77777777">
      <w:pPr>
        <w:spacing w:line="300" w:lineRule="exact"/>
      </w:pPr>
      <w:r>
        <w:t xml:space="preserve">Concerning national co-funding, </w:t>
      </w:r>
      <w:r>
        <w:rPr>
          <w:b/>
        </w:rPr>
        <w:t>Polish</w:t>
      </w:r>
      <w:r>
        <w:t xml:space="preserve"> DEP beneficiaries pointed out </w:t>
      </w:r>
      <w:r>
        <w:rPr>
          <w:b/>
        </w:rPr>
        <w:t>the need to ensure a network coordinator at national level</w:t>
      </w:r>
      <w:r>
        <w:t xml:space="preserve"> who would be able, on the one hand, to coordinate the different national authorities (e.g. Ministry of Finance, Ministry of Funds) and, on the other, guide the beneficiaries towards the right national public authority depending on the specific issue to be addressed.</w:t>
      </w:r>
    </w:p>
    <w:p w:rsidRPr="009F3F65" w:rsidR="003130C2" w:rsidP="003130C2" w:rsidRDefault="003130C2" w14:paraId="10209ED1" w14:textId="77777777">
      <w:pPr>
        <w:spacing w:line="300" w:lineRule="exact"/>
        <w:rPr>
          <w:lang w:val="en-GB"/>
        </w:rPr>
      </w:pPr>
    </w:p>
    <w:p w:rsidRPr="009F3F65" w:rsidR="003130C2" w:rsidP="003130C2" w:rsidRDefault="003130C2" w14:paraId="4E796CC0" w14:textId="77777777">
      <w:pPr>
        <w:spacing w:line="300" w:lineRule="exact"/>
      </w:pPr>
      <w:r>
        <w:t>Regarding the co-funding approach, beneficiaries also pointed out the low rate and reimbursement of indirect costs provided by the DEP (50% coverage of project budget and 7% coverage of eligible direct costs, respectively).</w:t>
      </w:r>
    </w:p>
    <w:p w:rsidRPr="009F3F65" w:rsidR="003130C2" w:rsidP="003130C2" w:rsidRDefault="003130C2" w14:paraId="234DDDC4" w14:textId="77777777">
      <w:pPr>
        <w:spacing w:line="300" w:lineRule="exact"/>
        <w:rPr>
          <w:lang w:val="en-GB"/>
        </w:rPr>
      </w:pPr>
    </w:p>
    <w:p w:rsidRPr="009F3F65" w:rsidR="003130C2" w:rsidP="003130C2" w:rsidRDefault="003130C2" w14:paraId="7D415DC6" w14:textId="77777777">
      <w:pPr>
        <w:spacing w:line="300" w:lineRule="exact"/>
      </w:pPr>
      <w:r>
        <w:t xml:space="preserve">In this regard, a representative from a </w:t>
      </w:r>
      <w:r>
        <w:rPr>
          <w:b/>
        </w:rPr>
        <w:t>Polish</w:t>
      </w:r>
      <w:r>
        <w:t xml:space="preserve"> public authority highlighted </w:t>
      </w:r>
      <w:r>
        <w:rPr>
          <w:b/>
        </w:rPr>
        <w:t>the need to ensure better coordination of co-funding procedures (EU and national funds) and clear guidance by the European Commission on the matter (</w:t>
      </w:r>
      <w:r>
        <w:t>e.g. discrepancies between guidelines on how to set eligible costs and related definitions). For instance, co-funding might not be granted by the national authority if EU authorities do not sign. If the EU authorities sign the co-funding agreement at a later stage, the consequences are unclear vis-à-vis the application of such an agreement unless there is proper co-funding. In this regard, inter-ministerial discussions are taking place in order to provide systematic solutions at national level (e.g. plans on implementing regulatory measures enabling public entities to create funds) to cover the remaining co-funding part. Nevertheless, a solution at EU level able to tackle the issue relating to co-funding was considered preferable.</w:t>
      </w:r>
    </w:p>
    <w:p w:rsidRPr="009F3F65" w:rsidR="003130C2" w:rsidP="003130C2" w:rsidRDefault="003130C2" w14:paraId="4FB77043" w14:textId="77777777">
      <w:pPr>
        <w:spacing w:line="300" w:lineRule="exact"/>
        <w:rPr>
          <w:lang w:val="en-GB"/>
        </w:rPr>
      </w:pPr>
    </w:p>
    <w:p w:rsidRPr="009F3F65" w:rsidR="003130C2" w:rsidP="003130C2" w:rsidRDefault="003130C2" w14:paraId="4B5A9394" w14:textId="77777777">
      <w:pPr>
        <w:spacing w:line="300" w:lineRule="exact"/>
      </w:pPr>
      <w:r>
        <w:t xml:space="preserve">Furthermore, a particular issue raised by the </w:t>
      </w:r>
      <w:r>
        <w:rPr>
          <w:b/>
        </w:rPr>
        <w:t>Polish</w:t>
      </w:r>
      <w:r>
        <w:t xml:space="preserve"> social partners was </w:t>
      </w:r>
      <w:r>
        <w:rPr>
          <w:b/>
        </w:rPr>
        <w:t>the lack of flexibility of long-term projects’ goals and structure when circumstances</w:t>
      </w:r>
      <w:r>
        <w:t xml:space="preserve"> </w:t>
      </w:r>
      <w:r>
        <w:rPr>
          <w:b/>
        </w:rPr>
        <w:t>change</w:t>
      </w:r>
      <w:r>
        <w:t xml:space="preserve"> (importance of ensuring flexibility </w:t>
      </w:r>
      <w:r>
        <w:lastRenderedPageBreak/>
        <w:t xml:space="preserve">to revise the goals and simplifying administrative procedures for co-funding under EU and national funds). For instance, revising goals might be relevant for services provided to SMEs (whose needs might evolve over time) by European Digital Innovation Hubs. Concerning administrative procedures for co-funding, the Polish stakeholders highlighted </w:t>
      </w:r>
      <w:r>
        <w:rPr>
          <w:b/>
        </w:rPr>
        <w:t>the importance of a more timely combination of the DEP and national funds</w:t>
      </w:r>
      <w:r>
        <w:t>.</w:t>
      </w:r>
    </w:p>
    <w:p w:rsidRPr="009F3F65" w:rsidR="003130C2" w:rsidP="003130C2" w:rsidRDefault="003130C2" w14:paraId="6CDC7B6A" w14:textId="77777777">
      <w:pPr>
        <w:spacing w:line="300" w:lineRule="exact"/>
        <w:rPr>
          <w:lang w:val="en-GB"/>
        </w:rPr>
      </w:pPr>
    </w:p>
    <w:p w:rsidRPr="009F3F65" w:rsidR="003130C2" w:rsidP="003130C2" w:rsidRDefault="003130C2" w14:paraId="61778BDD" w14:textId="77777777">
      <w:pPr>
        <w:spacing w:line="300" w:lineRule="exact"/>
      </w:pPr>
      <w:r>
        <w:t xml:space="preserve">Another point relating to flexibility was </w:t>
      </w:r>
      <w:r>
        <w:rPr>
          <w:b/>
        </w:rPr>
        <w:t>the need for scalability of projects, not least by ensuring the accessibility and involvement of larger companies</w:t>
      </w:r>
      <w:r>
        <w:t xml:space="preserve"> (not only SMEs) through better budgeting. Moreover, the Polish stakeholders underlined </w:t>
      </w:r>
      <w:r>
        <w:rPr>
          <w:b/>
        </w:rPr>
        <w:t>a structural need for the DEP to be more cross-cutting in nature</w:t>
      </w:r>
      <w:r>
        <w:t xml:space="preserve"> (a limitation shared with many European programmes). So far, initiatives and projects supporting digitalisation have been focused on software, with an excessive concentration on services without targeting sufficient infrastructure and hardware (e.g. Edge Data Hubs, 5G networks).</w:t>
      </w:r>
    </w:p>
    <w:p w:rsidRPr="009F3F65" w:rsidR="003130C2" w:rsidP="003130C2" w:rsidRDefault="003130C2" w14:paraId="423D8EF4" w14:textId="77777777">
      <w:pPr>
        <w:spacing w:line="300" w:lineRule="exact"/>
        <w:rPr>
          <w:lang w:val="en-GB"/>
        </w:rPr>
      </w:pPr>
    </w:p>
    <w:p w:rsidRPr="009F3F65" w:rsidR="003130C2" w:rsidP="003130C2" w:rsidRDefault="003130C2" w14:paraId="4EA1EF2C" w14:textId="77777777">
      <w:pPr>
        <w:spacing w:line="300" w:lineRule="exact"/>
      </w:pPr>
      <w:r>
        <w:t xml:space="preserve">When it comes to the administrative burden, representatives from the </w:t>
      </w:r>
      <w:r>
        <w:rPr>
          <w:b/>
        </w:rPr>
        <w:t>Polish</w:t>
      </w:r>
      <w:r>
        <w:t xml:space="preserve"> public authorities stressed </w:t>
      </w:r>
      <w:r>
        <w:rPr>
          <w:b/>
        </w:rPr>
        <w:t>the need to simplify administrative procedures, especially when it comes to establishing consortia for projects</w:t>
      </w:r>
      <w:r>
        <w:t>, to protect know-how in relation to competitors and to increase the level of co-funding rates (50% of project budget covered by the programme was considered too low) and reimbursement of indirect costs (7% coverage of eligible direct costs was considered too low whereas Horizon Europe’s coverage is 20/25%). As regards the co-funding rates, public entities indicated that the 80% rate covered by the programme is more reasonable (Horizon Europe might ensure 100% coverage).</w:t>
      </w:r>
    </w:p>
    <w:p w:rsidRPr="009F3F65" w:rsidR="003130C2" w:rsidP="003130C2" w:rsidRDefault="003130C2" w14:paraId="35613E3B" w14:textId="77777777">
      <w:pPr>
        <w:spacing w:line="300" w:lineRule="exact"/>
        <w:rPr>
          <w:lang w:val="en-GB"/>
        </w:rPr>
      </w:pPr>
    </w:p>
    <w:p w:rsidRPr="009F3F65" w:rsidR="003130C2" w:rsidP="003130C2" w:rsidRDefault="003130C2" w14:paraId="6E9D2FB4" w14:textId="77777777">
      <w:pPr>
        <w:spacing w:line="300" w:lineRule="exact"/>
      </w:pPr>
      <w:r>
        <w:t xml:space="preserve">During the semi-structured interviews in </w:t>
      </w:r>
      <w:r>
        <w:rPr>
          <w:b/>
        </w:rPr>
        <w:t>Sweden</w:t>
      </w:r>
      <w:r>
        <w:t xml:space="preserve">, the social partners noted that the main cooperation takes place between hubs and universities, as smaller entities do not have the capacity or the need to cooperate. It was also highlighted that the reporting procedures and the </w:t>
      </w:r>
      <w:r>
        <w:rPr>
          <w:b/>
        </w:rPr>
        <w:t>high level of bureaucracy make it less appealing for big Swedish NGOs to apply for funding</w:t>
      </w:r>
      <w:r>
        <w:t xml:space="preserve">. It was explained that, for national funding, Swedish NGOs are only required to report annually compared to the highly burdensome reporting requirements of EU-funded projects. It was stated that Swedish NGOs prefer to focus on the quality, rather than the quantity of funding. Overall, the application process for funding was considered bureaucratic and time-consuming, deterring smaller NGOs and entities from participating. There was a </w:t>
      </w:r>
      <w:r>
        <w:rPr>
          <w:b/>
        </w:rPr>
        <w:t>call for simplification and less bureaucracy to enhance civil society involvement.</w:t>
      </w:r>
    </w:p>
    <w:p w:rsidRPr="009F3F65" w:rsidR="003130C2" w:rsidP="003130C2" w:rsidRDefault="003130C2" w14:paraId="1F3BF72A" w14:textId="77777777">
      <w:pPr>
        <w:spacing w:line="300" w:lineRule="exact"/>
        <w:rPr>
          <w:lang w:val="en-GB"/>
        </w:rPr>
      </w:pPr>
    </w:p>
    <w:p w:rsidRPr="009F3F65" w:rsidR="003130C2" w:rsidP="003130C2" w:rsidRDefault="003130C2" w14:paraId="5A85D9F4" w14:textId="77777777">
      <w:pPr>
        <w:spacing w:line="300" w:lineRule="exact"/>
      </w:pPr>
      <w:r>
        <w:rPr>
          <w:b/>
        </w:rPr>
        <w:t>The difficulty of applying for funding was reiterated.</w:t>
      </w:r>
      <w:r>
        <w:t xml:space="preserve"> It was stated that it requires two people working for two months to write an application with a 10% chance of being successful, unlike the more streamlined national processes, making the funding mechanisms not appealing to Swedish NGOs.</w:t>
      </w:r>
    </w:p>
    <w:p w:rsidRPr="009F3F65" w:rsidR="003130C2" w:rsidP="003130C2" w:rsidRDefault="003130C2" w14:paraId="5C073B5B" w14:textId="77777777">
      <w:pPr>
        <w:spacing w:line="300" w:lineRule="exact"/>
        <w:rPr>
          <w:lang w:val="en-GB"/>
        </w:rPr>
      </w:pPr>
    </w:p>
    <w:p w:rsidRPr="009F3F65" w:rsidR="003130C2" w:rsidP="003130C2" w:rsidRDefault="003130C2" w14:paraId="1C7D0A79" w14:textId="77777777">
      <w:pPr>
        <w:spacing w:line="300" w:lineRule="exact"/>
      </w:pPr>
      <w:r>
        <w:t xml:space="preserve">In addition, representatives from </w:t>
      </w:r>
      <w:r>
        <w:rPr>
          <w:b/>
        </w:rPr>
        <w:t>Swedish</w:t>
      </w:r>
      <w:r>
        <w:t xml:space="preserve"> academia mentioned difficulties, particularly in the application phase of the DEP (they reported that the implementation phase was running smoothly). Specifically, </w:t>
      </w:r>
      <w:r>
        <w:rPr>
          <w:b/>
        </w:rPr>
        <w:t>the co-funding rate was not deemed beneficial for universities</w:t>
      </w:r>
      <w:r>
        <w:t>, and the guidance on national and international co-funding was unclear. While the projects were progressing, challenges and problems in the application phase were acknowledged.</w:t>
      </w:r>
    </w:p>
    <w:p w:rsidRPr="009F3F65" w:rsidR="003130C2" w:rsidP="003130C2" w:rsidRDefault="003130C2" w14:paraId="04077377" w14:textId="77777777">
      <w:pPr>
        <w:spacing w:line="300" w:lineRule="exact"/>
        <w:rPr>
          <w:lang w:val="en-GB"/>
        </w:rPr>
      </w:pPr>
    </w:p>
    <w:p w:rsidRPr="009F3F65" w:rsidR="003130C2" w:rsidP="003130C2" w:rsidRDefault="003130C2" w14:paraId="2CE555DA" w14:textId="77777777">
      <w:pPr>
        <w:spacing w:line="300" w:lineRule="exact"/>
      </w:pPr>
      <w:r>
        <w:t xml:space="preserve">In this regard, cooperation with the European Commission was regarded as mostly positive, with informal discussions taking place even before calls for tender were launched, indicating a willingness to involve Swedish actors. The challenge was in understanding the role of the national contribution, particularly regarding co-financing responsibilities. National contact points were effective, but not for co-financing. Hence, </w:t>
      </w:r>
      <w:r>
        <w:rPr>
          <w:b/>
        </w:rPr>
        <w:t xml:space="preserve">the main challenge concerned the co-financing at national level and finding </w:t>
      </w:r>
      <w:r>
        <w:rPr>
          <w:b/>
        </w:rPr>
        <w:lastRenderedPageBreak/>
        <w:t>information about it</w:t>
      </w:r>
      <w:r>
        <w:t>. Universities expressed scepticism about the co-financing rate, finding it difficult to secure co-financing from the Swedish Innovation Agency (Vinnova).</w:t>
      </w:r>
    </w:p>
    <w:p w:rsidRPr="009F3F65" w:rsidR="003130C2" w:rsidP="003130C2" w:rsidRDefault="003130C2" w14:paraId="751B59D1" w14:textId="77777777">
      <w:pPr>
        <w:spacing w:line="300" w:lineRule="exact"/>
        <w:rPr>
          <w:lang w:val="en-GB"/>
        </w:rPr>
      </w:pPr>
    </w:p>
    <w:p w:rsidRPr="009F3F65" w:rsidR="003130C2" w:rsidP="003130C2" w:rsidRDefault="003130C2" w14:paraId="3551AE06" w14:textId="77777777">
      <w:pPr>
        <w:spacing w:line="300" w:lineRule="exact"/>
      </w:pPr>
      <w:r>
        <w:t>Another complication with regard to co-financing related to State aid regulations that prevented aid from being granted to non-EU members, such as Norway.</w:t>
      </w:r>
    </w:p>
    <w:p w:rsidRPr="009F3F65" w:rsidR="003130C2" w:rsidP="003130C2" w:rsidRDefault="003130C2" w14:paraId="198DE2D7" w14:textId="77777777">
      <w:pPr>
        <w:spacing w:line="300" w:lineRule="exact"/>
        <w:rPr>
          <w:lang w:val="en-GB"/>
        </w:rPr>
      </w:pPr>
    </w:p>
    <w:p w:rsidRPr="009F3F65" w:rsidR="003130C2" w:rsidP="003130C2" w:rsidRDefault="003130C2" w14:paraId="73441098" w14:textId="77777777">
      <w:pPr>
        <w:spacing w:line="300" w:lineRule="exact"/>
        <w:rPr>
          <w:lang w:val="en-GB"/>
        </w:rPr>
      </w:pPr>
    </w:p>
    <w:p w:rsidRPr="009F3F65" w:rsidR="003130C2" w:rsidP="003130C2" w:rsidRDefault="003130C2" w14:paraId="153D83CB" w14:textId="77777777">
      <w:pPr>
        <w:spacing w:line="300" w:lineRule="exact"/>
        <w:rPr>
          <w:lang w:val="en-GB"/>
        </w:rPr>
      </w:pPr>
    </w:p>
    <w:p w:rsidRPr="009F3F65" w:rsidR="003130C2" w:rsidP="003130C2" w:rsidRDefault="003130C2" w14:paraId="73F5BDDD" w14:textId="77777777">
      <w:pPr>
        <w:spacing w:line="300" w:lineRule="exact"/>
        <w:rPr>
          <w:lang w:val="en-GB"/>
        </w:rPr>
      </w:pPr>
    </w:p>
    <w:p w:rsidRPr="009F3F65" w:rsidR="003130C2" w:rsidP="003130C2" w:rsidRDefault="003130C2" w14:paraId="3581AD30" w14:textId="77777777">
      <w:pPr>
        <w:spacing w:line="300" w:lineRule="exact"/>
        <w:rPr>
          <w:lang w:val="en-GB"/>
        </w:rPr>
      </w:pPr>
    </w:p>
    <w:p w:rsidRPr="009F3F65" w:rsidR="003130C2" w:rsidP="003130C2" w:rsidRDefault="003130C2" w14:paraId="4ADDE57A" w14:textId="77777777">
      <w:pPr>
        <w:pStyle w:val="Heading2"/>
        <w:rPr>
          <w:b/>
          <w:bCs/>
          <w:u w:val="single"/>
        </w:rPr>
      </w:pPr>
      <w:bookmarkStart w:name="_Toc125632264" w:id="13"/>
      <w:bookmarkStart w:name="_Toc174452845" w:id="14"/>
      <w:r>
        <w:rPr>
          <w:b/>
          <w:u w:val="single"/>
        </w:rPr>
        <w:t>Relevance</w:t>
      </w:r>
      <w:bookmarkEnd w:id="13"/>
      <w:bookmarkEnd w:id="14"/>
    </w:p>
    <w:p w:rsidRPr="009F3F65" w:rsidR="003130C2" w:rsidP="003130C2" w:rsidRDefault="003130C2" w14:paraId="3DB94765" w14:textId="77777777">
      <w:pPr>
        <w:spacing w:after="120" w:line="300" w:lineRule="exact"/>
        <w:rPr>
          <w:lang w:val="en-GB"/>
        </w:rPr>
      </w:pPr>
    </w:p>
    <w:tbl>
      <w:tblPr>
        <w:tblStyle w:val="TableGrid"/>
        <w:tblW w:w="0" w:type="auto"/>
        <w:tblLook w:val="04A0" w:firstRow="1" w:lastRow="0" w:firstColumn="1" w:lastColumn="0" w:noHBand="0" w:noVBand="1"/>
      </w:tblPr>
      <w:tblGrid>
        <w:gridCol w:w="9061"/>
      </w:tblGrid>
      <w:tr w:rsidRPr="00B47B36" w:rsidR="003130C2" w:rsidTr="00F32872" w14:paraId="56242C3B" w14:textId="77777777">
        <w:tc>
          <w:tcPr>
            <w:tcW w:w="9063" w:type="dxa"/>
          </w:tcPr>
          <w:p w:rsidRPr="00B47B36" w:rsidR="003130C2" w:rsidP="00F32872" w:rsidRDefault="003130C2" w14:paraId="07F4D1E0" w14:textId="77777777">
            <w:pPr>
              <w:spacing w:after="120" w:line="300" w:lineRule="exact"/>
            </w:pPr>
            <w:r>
              <w:t>According to the European Commission’s Better Regulation toolbox, the criterion of relevance ‘</w:t>
            </w:r>
            <w:r>
              <w:rPr>
                <w:i/>
              </w:rPr>
              <w:t>looks at the relationship between the needs and problems in society and the objectives of the intervention and hence touches on aspects of design. Relevance analysis also requires a consideration of how the objectives of an EU intervention (…) correspond to wider EU policy goals and priorities.</w:t>
            </w:r>
            <w:r w:rsidRPr="00B47B36">
              <w:rPr>
                <w:rStyle w:val="FootnoteReference"/>
                <w:lang w:val="en-GB"/>
              </w:rPr>
              <w:footnoteReference w:id="71"/>
            </w:r>
            <w:r>
              <w:t>’</w:t>
            </w:r>
          </w:p>
        </w:tc>
      </w:tr>
    </w:tbl>
    <w:p w:rsidRPr="009F3F65" w:rsidR="003130C2" w:rsidP="003130C2" w:rsidRDefault="003130C2" w14:paraId="44C1B391" w14:textId="77777777">
      <w:pPr>
        <w:spacing w:after="120" w:line="300" w:lineRule="exact"/>
        <w:rPr>
          <w:i/>
          <w:iCs/>
          <w:lang w:val="en-GB"/>
        </w:rPr>
      </w:pPr>
    </w:p>
    <w:p w:rsidRPr="009F3F65" w:rsidR="003130C2" w:rsidP="003130C2" w:rsidRDefault="003130C2" w14:paraId="56129D3D" w14:textId="77777777">
      <w:pPr>
        <w:spacing w:after="120" w:line="300" w:lineRule="exact"/>
      </w:pPr>
      <w:r>
        <w:t xml:space="preserve">Regarding the </w:t>
      </w:r>
      <w:r>
        <w:rPr>
          <w:u w:val="single"/>
        </w:rPr>
        <w:t>relevance of the DEP in shaping the digital transformation of their respective country’s society and economy so far</w:t>
      </w:r>
      <w:r>
        <w:t xml:space="preserve"> (</w:t>
      </w:r>
      <w:r>
        <w:rPr>
          <w:b/>
        </w:rPr>
        <w:t>question 11</w:t>
      </w:r>
      <w:r>
        <w:t>), just under half of the respondents considered the programme to have been relevant in this respect (21% answered ‘very relevant’ and 28% ‘moderately relevant’); on the other hand, 19% thought it had been ‘not very relevant’ and 5%, or 2 persons, answered ‘not at all relevant’.</w:t>
      </w:r>
    </w:p>
    <w:p w:rsidRPr="009F3F65" w:rsidR="003130C2" w:rsidP="003130C2" w:rsidRDefault="003130C2" w14:paraId="232705A7" w14:textId="77777777">
      <w:pPr>
        <w:spacing w:after="120" w:line="300" w:lineRule="exact"/>
        <w:rPr>
          <w:lang w:val="en-GB"/>
        </w:rPr>
      </w:pPr>
    </w:p>
    <w:p w:rsidRPr="009F3F65" w:rsidR="003130C2" w:rsidP="003130C2" w:rsidRDefault="003130C2" w14:paraId="2B109F00" w14:textId="77777777">
      <w:pPr>
        <w:spacing w:after="120" w:line="300" w:lineRule="exact"/>
      </w:pPr>
      <w:r>
        <w:rPr>
          <w:noProof/>
        </w:rPr>
        <w:drawing>
          <wp:anchor distT="0" distB="0" distL="114300" distR="114300" simplePos="0" relativeHeight="251666432" behindDoc="0" locked="0" layoutInCell="1" allowOverlap="1" wp14:editId="13E5D35B" wp14:anchorId="350B7720">
            <wp:simplePos x="0" y="0"/>
            <wp:positionH relativeFrom="margin">
              <wp:posOffset>495300</wp:posOffset>
            </wp:positionH>
            <wp:positionV relativeFrom="paragraph">
              <wp:posOffset>86360</wp:posOffset>
            </wp:positionV>
            <wp:extent cx="4546600" cy="2437765"/>
            <wp:effectExtent l="0" t="0" r="6350" b="635"/>
            <wp:wrapNone/>
            <wp:docPr id="24" name="Chart 24">
              <a:extLst xmlns:a="http://schemas.openxmlformats.org/drawingml/2006/main">
                <a:ext uri="{FF2B5EF4-FFF2-40B4-BE49-F238E27FC236}">
                  <a16:creationId xmlns:a16="http://schemas.microsoft.com/office/drawing/2014/main" id="{30F8A2FA-D6BA-457B-9D0F-9F7D494951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rsidRPr="009F3F65" w:rsidR="003130C2" w:rsidP="003130C2" w:rsidRDefault="003130C2" w14:paraId="37B099D8" w14:textId="77777777">
      <w:pPr>
        <w:spacing w:after="120" w:line="300" w:lineRule="exact"/>
        <w:rPr>
          <w:lang w:val="en-GB"/>
        </w:rPr>
      </w:pPr>
    </w:p>
    <w:p w:rsidRPr="009F3F65" w:rsidR="003130C2" w:rsidP="003130C2" w:rsidRDefault="003130C2" w14:paraId="0D0ABAF4" w14:textId="77777777">
      <w:pPr>
        <w:spacing w:after="120" w:line="300" w:lineRule="exact"/>
        <w:rPr>
          <w:lang w:val="en-GB"/>
        </w:rPr>
      </w:pPr>
    </w:p>
    <w:p w:rsidRPr="009F3F65" w:rsidR="003130C2" w:rsidP="003130C2" w:rsidRDefault="003130C2" w14:paraId="6FB2E10E" w14:textId="77777777">
      <w:pPr>
        <w:spacing w:after="120" w:line="300" w:lineRule="exact"/>
        <w:rPr>
          <w:lang w:val="en-GB"/>
        </w:rPr>
      </w:pPr>
    </w:p>
    <w:p w:rsidRPr="009F3F65" w:rsidR="003130C2" w:rsidP="003130C2" w:rsidRDefault="003130C2" w14:paraId="3C70BBB0" w14:textId="77777777">
      <w:pPr>
        <w:spacing w:after="120" w:line="300" w:lineRule="exact"/>
        <w:rPr>
          <w:lang w:val="en-GB"/>
        </w:rPr>
      </w:pPr>
    </w:p>
    <w:p w:rsidRPr="009F3F65" w:rsidR="003130C2" w:rsidP="003130C2" w:rsidRDefault="003130C2" w14:paraId="4BDD3477" w14:textId="77777777">
      <w:pPr>
        <w:spacing w:after="120" w:line="300" w:lineRule="exact"/>
        <w:rPr>
          <w:lang w:val="en-GB"/>
        </w:rPr>
      </w:pPr>
    </w:p>
    <w:p w:rsidRPr="009F3F65" w:rsidR="003130C2" w:rsidP="003130C2" w:rsidRDefault="003130C2" w14:paraId="003297CB" w14:textId="77777777">
      <w:pPr>
        <w:spacing w:after="120" w:line="300" w:lineRule="exact"/>
        <w:rPr>
          <w:lang w:val="en-GB"/>
        </w:rPr>
      </w:pPr>
    </w:p>
    <w:p w:rsidRPr="009F3F65" w:rsidR="003130C2" w:rsidP="003130C2" w:rsidRDefault="003130C2" w14:paraId="2FF60311" w14:textId="77777777">
      <w:pPr>
        <w:spacing w:after="120" w:line="300" w:lineRule="exact"/>
        <w:rPr>
          <w:lang w:val="en-GB"/>
        </w:rPr>
      </w:pPr>
    </w:p>
    <w:p w:rsidRPr="009F3F65" w:rsidR="003130C2" w:rsidP="003130C2" w:rsidRDefault="003130C2" w14:paraId="0BE05F20" w14:textId="77777777">
      <w:pPr>
        <w:spacing w:after="120" w:line="300" w:lineRule="exact"/>
        <w:rPr>
          <w:lang w:val="en-GB"/>
        </w:rPr>
      </w:pPr>
    </w:p>
    <w:p w:rsidRPr="009F3F65" w:rsidR="003130C2" w:rsidP="003130C2" w:rsidRDefault="003130C2" w14:paraId="39ADF61D" w14:textId="77777777">
      <w:pPr>
        <w:spacing w:after="120" w:line="300" w:lineRule="exact"/>
        <w:rPr>
          <w:lang w:val="en-GB"/>
        </w:rPr>
      </w:pPr>
    </w:p>
    <w:p w:rsidRPr="009F3F65" w:rsidR="003130C2" w:rsidP="003130C2" w:rsidRDefault="003130C2" w14:paraId="61C785CF" w14:textId="77777777">
      <w:pPr>
        <w:spacing w:after="120" w:line="300" w:lineRule="exact"/>
        <w:jc w:val="center"/>
        <w:rPr>
          <w:color w:val="5B9BD5" w:themeColor="accent1"/>
          <w:sz w:val="20"/>
        </w:rPr>
      </w:pPr>
      <w:r>
        <w:rPr>
          <w:b/>
          <w:color w:val="5B9BD5" w:themeColor="accent1"/>
          <w:sz w:val="20"/>
        </w:rPr>
        <w:t>Figure 18.</w:t>
      </w:r>
      <w:r>
        <w:rPr>
          <w:color w:val="5B9BD5" w:themeColor="accent1"/>
          <w:sz w:val="20"/>
        </w:rPr>
        <w:t xml:space="preserve"> Relevance of the DEP – general.</w:t>
      </w:r>
    </w:p>
    <w:p w:rsidRPr="009F3F65" w:rsidR="003130C2" w:rsidP="003130C2" w:rsidRDefault="003130C2" w14:paraId="3E6536C8" w14:textId="77777777">
      <w:pPr>
        <w:spacing w:after="120" w:line="300" w:lineRule="exact"/>
        <w:rPr>
          <w:color w:val="5B9BD5" w:themeColor="accent1"/>
        </w:rPr>
      </w:pPr>
      <w:r>
        <w:t xml:space="preserve">In a cross-country comparison, the answers here reflected the mood of the respondents in the respective countries on previous questions, namely, the German respondents had the most positive view of the DEP’s relevance in shaping the digital transformation of their country’s society and economy (40% answering ‘very relevant’ and 33% ‘moderately relevant’, with only one person saying ‘not very </w:t>
      </w:r>
      <w:r>
        <w:lastRenderedPageBreak/>
        <w:t>relevant’). In contrast, in Poland and in Portugal, none of the respondents found the DEP to have been ‘very relevant’, whilst 3 persons from Poland and 2 persons from Portugal said that the programme had been ‘moderately relevant’ and another three from Poland - ‘not very relevant’. In Sweden, 5 persons (or 50%) were ‘unsure’ how to assess this matter, whilst 2 persons considered the programme to have been ‘very relevant’ and another two - ‘not very relevant’.</w:t>
      </w:r>
    </w:p>
    <w:p w:rsidRPr="009F3F65" w:rsidR="003130C2" w:rsidP="003130C2" w:rsidRDefault="003130C2" w14:paraId="4BF375AA" w14:textId="77777777">
      <w:pPr>
        <w:spacing w:after="120" w:line="300" w:lineRule="exact"/>
        <w:rPr>
          <w:lang w:val="en-GB"/>
        </w:rPr>
      </w:pPr>
    </w:p>
    <w:p w:rsidRPr="009F3F65" w:rsidR="003130C2" w:rsidP="003130C2" w:rsidRDefault="003130C2" w14:paraId="55F5E0E2" w14:textId="77777777">
      <w:pPr>
        <w:spacing w:line="240" w:lineRule="auto"/>
        <w:jc w:val="left"/>
      </w:pPr>
      <w:r>
        <w:br w:type="page"/>
      </w:r>
    </w:p>
    <w:p w:rsidRPr="009F3F65" w:rsidR="003130C2" w:rsidP="003130C2" w:rsidRDefault="003130C2" w14:paraId="54C12E0B" w14:textId="77777777">
      <w:pPr>
        <w:spacing w:after="120" w:line="300" w:lineRule="exact"/>
      </w:pPr>
      <w:r>
        <w:rPr>
          <w:noProof/>
        </w:rPr>
        <w:lastRenderedPageBreak/>
        <w:drawing>
          <wp:anchor distT="0" distB="0" distL="114300" distR="114300" simplePos="0" relativeHeight="251675648" behindDoc="0" locked="0" layoutInCell="1" allowOverlap="1" wp14:editId="15B04272" wp14:anchorId="72E9FD88">
            <wp:simplePos x="0" y="0"/>
            <wp:positionH relativeFrom="margin">
              <wp:align>left</wp:align>
            </wp:positionH>
            <wp:positionV relativeFrom="paragraph">
              <wp:posOffset>0</wp:posOffset>
            </wp:positionV>
            <wp:extent cx="5637530" cy="2686050"/>
            <wp:effectExtent l="0" t="0" r="1270" b="0"/>
            <wp:wrapNone/>
            <wp:docPr id="13" name="Chart 13">
              <a:extLst xmlns:a="http://schemas.openxmlformats.org/drawingml/2006/main">
                <a:ext uri="{FF2B5EF4-FFF2-40B4-BE49-F238E27FC236}">
                  <a16:creationId xmlns:a16="http://schemas.microsoft.com/office/drawing/2014/main" id="{528F6EF6-D48B-4734-8E15-A60601418D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V relativeFrom="margin">
              <wp14:pctHeight>0</wp14:pctHeight>
            </wp14:sizeRelV>
          </wp:anchor>
        </w:drawing>
      </w:r>
    </w:p>
    <w:p w:rsidRPr="009F3F65" w:rsidR="003130C2" w:rsidP="003130C2" w:rsidRDefault="003130C2" w14:paraId="12104413" w14:textId="77777777">
      <w:pPr>
        <w:spacing w:after="120" w:line="300" w:lineRule="exact"/>
        <w:rPr>
          <w:lang w:val="en-GB"/>
        </w:rPr>
      </w:pPr>
    </w:p>
    <w:p w:rsidRPr="009F3F65" w:rsidR="003130C2" w:rsidP="003130C2" w:rsidRDefault="003130C2" w14:paraId="15104BD8" w14:textId="77777777">
      <w:pPr>
        <w:spacing w:after="120" w:line="300" w:lineRule="exact"/>
        <w:rPr>
          <w:lang w:val="en-GB"/>
        </w:rPr>
      </w:pPr>
    </w:p>
    <w:p w:rsidRPr="009F3F65" w:rsidR="003130C2" w:rsidP="003130C2" w:rsidRDefault="003130C2" w14:paraId="2D3A6720" w14:textId="77777777">
      <w:pPr>
        <w:spacing w:after="120" w:line="300" w:lineRule="exact"/>
        <w:rPr>
          <w:lang w:val="en-GB"/>
        </w:rPr>
      </w:pPr>
    </w:p>
    <w:p w:rsidRPr="009F3F65" w:rsidR="003130C2" w:rsidP="003130C2" w:rsidRDefault="003130C2" w14:paraId="3492FF4E" w14:textId="77777777">
      <w:pPr>
        <w:spacing w:after="120" w:line="300" w:lineRule="exact"/>
        <w:rPr>
          <w:lang w:val="en-GB"/>
        </w:rPr>
      </w:pPr>
    </w:p>
    <w:p w:rsidRPr="009F3F65" w:rsidR="003130C2" w:rsidP="003130C2" w:rsidRDefault="003130C2" w14:paraId="06593486" w14:textId="77777777">
      <w:pPr>
        <w:spacing w:after="120" w:line="300" w:lineRule="exact"/>
        <w:rPr>
          <w:lang w:val="en-GB"/>
        </w:rPr>
      </w:pPr>
    </w:p>
    <w:p w:rsidRPr="009F3F65" w:rsidR="003130C2" w:rsidP="003130C2" w:rsidRDefault="003130C2" w14:paraId="27409C59" w14:textId="77777777">
      <w:pPr>
        <w:spacing w:after="120" w:line="300" w:lineRule="exact"/>
        <w:rPr>
          <w:lang w:val="en-GB"/>
        </w:rPr>
      </w:pPr>
    </w:p>
    <w:p w:rsidRPr="009F3F65" w:rsidR="003130C2" w:rsidP="003130C2" w:rsidRDefault="003130C2" w14:paraId="74BAC77D" w14:textId="77777777">
      <w:pPr>
        <w:spacing w:after="120" w:line="300" w:lineRule="exact"/>
        <w:rPr>
          <w:lang w:val="en-GB"/>
        </w:rPr>
      </w:pPr>
    </w:p>
    <w:p w:rsidRPr="009F3F65" w:rsidR="003130C2" w:rsidP="003130C2" w:rsidRDefault="003130C2" w14:paraId="3C83F95A" w14:textId="77777777">
      <w:pPr>
        <w:spacing w:after="120" w:line="300" w:lineRule="exact"/>
        <w:jc w:val="center"/>
        <w:rPr>
          <w:b/>
          <w:bCs/>
          <w:color w:val="5B9BD5" w:themeColor="accent1"/>
          <w:sz w:val="20"/>
          <w:lang w:val="en-GB"/>
        </w:rPr>
      </w:pPr>
    </w:p>
    <w:p w:rsidRPr="009F3F65" w:rsidR="003130C2" w:rsidP="003130C2" w:rsidRDefault="003130C2" w14:paraId="2E01BDC0" w14:textId="77777777">
      <w:pPr>
        <w:spacing w:after="120" w:line="300" w:lineRule="exact"/>
        <w:jc w:val="center"/>
        <w:rPr>
          <w:b/>
          <w:bCs/>
          <w:color w:val="5B9BD5" w:themeColor="accent1"/>
          <w:sz w:val="20"/>
          <w:lang w:val="en-GB"/>
        </w:rPr>
      </w:pPr>
    </w:p>
    <w:p w:rsidRPr="009F3F65" w:rsidR="003130C2" w:rsidP="003130C2" w:rsidRDefault="003130C2" w14:paraId="13D9303E" w14:textId="77777777">
      <w:pPr>
        <w:spacing w:after="120" w:line="300" w:lineRule="exact"/>
        <w:jc w:val="center"/>
      </w:pPr>
      <w:r>
        <w:rPr>
          <w:b/>
          <w:color w:val="5B9BD5" w:themeColor="accent1"/>
          <w:sz w:val="20"/>
        </w:rPr>
        <w:t>Figure 19.</w:t>
      </w:r>
      <w:r>
        <w:rPr>
          <w:color w:val="5B9BD5" w:themeColor="accent1"/>
          <w:sz w:val="20"/>
        </w:rPr>
        <w:t xml:space="preserve"> Relevance of the DEP – by country.</w:t>
      </w:r>
    </w:p>
    <w:p w:rsidRPr="009F3F65" w:rsidR="003130C2" w:rsidP="003130C2" w:rsidRDefault="003130C2" w14:paraId="0E1C6490" w14:textId="77777777">
      <w:pPr>
        <w:spacing w:line="300" w:lineRule="exact"/>
      </w:pPr>
      <w:r>
        <w:t xml:space="preserve">During the semi-structured interviews, the </w:t>
      </w:r>
      <w:r>
        <w:rPr>
          <w:b/>
        </w:rPr>
        <w:t>German</w:t>
      </w:r>
      <w:r>
        <w:t xml:space="preserve"> stakeholders confirmed that the purposes and activities of the DEP aligned with the targets and priorities of the EU Digital Decade Policy Programme 2030 and that several of its initiatives and projects were highly relevant for EU policy on digital transformation and competitiveness of industry. Furthermore, it was recognised and agreed that the </w:t>
      </w:r>
      <w:r>
        <w:rPr>
          <w:b/>
        </w:rPr>
        <w:t>DEP is crucial for driving innovation and the digital transition</w:t>
      </w:r>
      <w:r>
        <w:t xml:space="preserve">. Participants </w:t>
      </w:r>
      <w:r>
        <w:rPr>
          <w:b/>
        </w:rPr>
        <w:t>highlighted its important role in enhancing digital skills, supporting start-ups and SMEs</w:t>
      </w:r>
      <w:r>
        <w:t>. They stressed the importance of continued support and improvement for long-term success. Moreover, they confirmed that they expected this kind of programme to continue under the next EU Multiannual Financial Framework.</w:t>
      </w:r>
    </w:p>
    <w:p w:rsidRPr="009F3F65" w:rsidR="003130C2" w:rsidP="003130C2" w:rsidRDefault="003130C2" w14:paraId="724A97F7" w14:textId="77777777">
      <w:pPr>
        <w:spacing w:line="300" w:lineRule="exact"/>
        <w:rPr>
          <w:lang w:val="en-GB"/>
        </w:rPr>
      </w:pPr>
    </w:p>
    <w:p w:rsidRPr="009F3F65" w:rsidR="003130C2" w:rsidP="003130C2" w:rsidRDefault="003130C2" w14:paraId="32B4CCA7" w14:textId="77777777">
      <w:pPr>
        <w:spacing w:line="300" w:lineRule="exact"/>
      </w:pPr>
      <w:r>
        <w:t xml:space="preserve">Representatives from the </w:t>
      </w:r>
      <w:r>
        <w:rPr>
          <w:b/>
        </w:rPr>
        <w:t>German</w:t>
      </w:r>
      <w:r>
        <w:t xml:space="preserve"> public authorities also confirmed that several of the programme’s initiatives and projects (e.g. the Chips Joint Undertaking, Destination Earth, Artificial Intelligence, etc.) were highly relevant for EU policy on digital transformation and competitiveness of industry.</w:t>
      </w:r>
    </w:p>
    <w:p w:rsidRPr="009F3F65" w:rsidR="003130C2" w:rsidP="003130C2" w:rsidRDefault="003130C2" w14:paraId="5D1BE820" w14:textId="77777777">
      <w:pPr>
        <w:spacing w:line="300" w:lineRule="exact"/>
        <w:rPr>
          <w:lang w:val="en-GB"/>
        </w:rPr>
      </w:pPr>
    </w:p>
    <w:p w:rsidRPr="009F3F65" w:rsidR="003130C2" w:rsidP="003130C2" w:rsidRDefault="003130C2" w14:paraId="12A4FC14" w14:textId="77777777">
      <w:pPr>
        <w:spacing w:after="120" w:line="300" w:lineRule="exact"/>
      </w:pPr>
      <w:r>
        <w:t xml:space="preserve">With regard to </w:t>
      </w:r>
      <w:r>
        <w:rPr>
          <w:u w:val="single"/>
        </w:rPr>
        <w:t>the relevance of the DEP’s objectives in terms of the EDIHs, considering Europe’s current and emerging needs</w:t>
      </w:r>
      <w:r>
        <w:t xml:space="preserve"> (</w:t>
      </w:r>
      <w:r>
        <w:rPr>
          <w:b/>
        </w:rPr>
        <w:t>question 12</w:t>
      </w:r>
      <w:r>
        <w:t>), the respondents views were much more positive, with 67% considering that these were ‘very relevant’. However, over a fifth of the respondents (21%) were ‘unsure’.</w:t>
      </w:r>
    </w:p>
    <w:p w:rsidRPr="009F3F65" w:rsidR="003130C2" w:rsidP="003130C2" w:rsidRDefault="003130C2" w14:paraId="5E6746AF" w14:textId="77777777">
      <w:pPr>
        <w:spacing w:after="120" w:line="300" w:lineRule="exact"/>
        <w:rPr>
          <w:lang w:val="en-GB"/>
        </w:rPr>
      </w:pPr>
    </w:p>
    <w:p w:rsidRPr="009F3F65" w:rsidR="003130C2" w:rsidP="003130C2" w:rsidRDefault="003130C2" w14:paraId="3B0F82FD" w14:textId="77777777">
      <w:pPr>
        <w:spacing w:after="120" w:line="300" w:lineRule="exact"/>
      </w:pPr>
      <w:r>
        <w:rPr>
          <w:noProof/>
        </w:rPr>
        <w:drawing>
          <wp:anchor distT="0" distB="0" distL="114300" distR="114300" simplePos="0" relativeHeight="251684864" behindDoc="0" locked="0" layoutInCell="1" allowOverlap="1" wp14:editId="46C2F704" wp14:anchorId="25F1C298">
            <wp:simplePos x="0" y="0"/>
            <wp:positionH relativeFrom="margin">
              <wp:posOffset>577850</wp:posOffset>
            </wp:positionH>
            <wp:positionV relativeFrom="paragraph">
              <wp:posOffset>0</wp:posOffset>
            </wp:positionV>
            <wp:extent cx="4502150" cy="2330450"/>
            <wp:effectExtent l="0" t="0" r="12700" b="12700"/>
            <wp:wrapNone/>
            <wp:docPr id="27" name="Chart 27">
              <a:extLst xmlns:a="http://schemas.openxmlformats.org/drawingml/2006/main">
                <a:ext uri="{FF2B5EF4-FFF2-40B4-BE49-F238E27FC236}">
                  <a16:creationId xmlns:a16="http://schemas.microsoft.com/office/drawing/2014/main" id="{5542595E-601F-4A20-BC94-07A5140C2F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p>
    <w:p w:rsidRPr="009F3F65" w:rsidR="003130C2" w:rsidP="003130C2" w:rsidRDefault="003130C2" w14:paraId="5D20EE76" w14:textId="77777777">
      <w:pPr>
        <w:spacing w:after="120" w:line="300" w:lineRule="exact"/>
        <w:rPr>
          <w:lang w:val="en-GB"/>
        </w:rPr>
      </w:pPr>
    </w:p>
    <w:p w:rsidRPr="009F3F65" w:rsidR="003130C2" w:rsidP="003130C2" w:rsidRDefault="003130C2" w14:paraId="53691ACE" w14:textId="77777777">
      <w:pPr>
        <w:spacing w:after="120" w:line="300" w:lineRule="exact"/>
        <w:rPr>
          <w:lang w:val="en-GB"/>
        </w:rPr>
      </w:pPr>
    </w:p>
    <w:p w:rsidRPr="009F3F65" w:rsidR="003130C2" w:rsidP="003130C2" w:rsidRDefault="003130C2" w14:paraId="023626EF" w14:textId="77777777">
      <w:pPr>
        <w:spacing w:after="120" w:line="300" w:lineRule="exact"/>
        <w:rPr>
          <w:lang w:val="en-GB"/>
        </w:rPr>
      </w:pPr>
    </w:p>
    <w:p w:rsidRPr="009F3F65" w:rsidR="003130C2" w:rsidP="003130C2" w:rsidRDefault="003130C2" w14:paraId="728046FC" w14:textId="77777777">
      <w:pPr>
        <w:spacing w:after="120" w:line="300" w:lineRule="exact"/>
        <w:rPr>
          <w:lang w:val="en-GB"/>
        </w:rPr>
      </w:pPr>
    </w:p>
    <w:p w:rsidRPr="009F3F65" w:rsidR="003130C2" w:rsidP="003130C2" w:rsidRDefault="003130C2" w14:paraId="3E30192D" w14:textId="77777777">
      <w:pPr>
        <w:spacing w:after="120" w:line="300" w:lineRule="exact"/>
        <w:rPr>
          <w:lang w:val="en-GB"/>
        </w:rPr>
      </w:pPr>
    </w:p>
    <w:p w:rsidRPr="009F3F65" w:rsidR="003130C2" w:rsidP="003130C2" w:rsidRDefault="003130C2" w14:paraId="5642A5D8" w14:textId="77777777">
      <w:pPr>
        <w:spacing w:after="120" w:line="300" w:lineRule="exact"/>
        <w:rPr>
          <w:lang w:val="en-GB"/>
        </w:rPr>
      </w:pPr>
    </w:p>
    <w:p w:rsidRPr="009F3F65" w:rsidR="003130C2" w:rsidP="003130C2" w:rsidRDefault="003130C2" w14:paraId="55E128C8" w14:textId="77777777">
      <w:pPr>
        <w:spacing w:after="120" w:line="300" w:lineRule="exact"/>
        <w:rPr>
          <w:lang w:val="en-GB"/>
        </w:rPr>
      </w:pPr>
    </w:p>
    <w:p w:rsidRPr="009F3F65" w:rsidR="003130C2" w:rsidP="003130C2" w:rsidRDefault="003130C2" w14:paraId="39E66E47" w14:textId="77777777">
      <w:pPr>
        <w:spacing w:after="120" w:line="300" w:lineRule="exact"/>
        <w:rPr>
          <w:lang w:val="en-GB"/>
        </w:rPr>
      </w:pPr>
    </w:p>
    <w:p w:rsidRPr="009F3F65" w:rsidR="003130C2" w:rsidP="003130C2" w:rsidRDefault="003130C2" w14:paraId="582169AA" w14:textId="77777777">
      <w:pPr>
        <w:spacing w:after="120" w:line="300" w:lineRule="exact"/>
        <w:jc w:val="center"/>
        <w:rPr>
          <w:color w:val="5B9BD5" w:themeColor="accent1"/>
          <w:sz w:val="20"/>
        </w:rPr>
      </w:pPr>
      <w:r>
        <w:rPr>
          <w:b/>
          <w:color w:val="5B9BD5" w:themeColor="accent1"/>
          <w:sz w:val="20"/>
        </w:rPr>
        <w:lastRenderedPageBreak/>
        <w:t>Figure 20.</w:t>
      </w:r>
      <w:r>
        <w:rPr>
          <w:color w:val="5B9BD5" w:themeColor="accent1"/>
          <w:sz w:val="20"/>
        </w:rPr>
        <w:t xml:space="preserve"> Relevance of the DEP’s objectives in terms of EDIHs – general.</w:t>
      </w:r>
    </w:p>
    <w:p w:rsidRPr="009F3F65" w:rsidR="003130C2" w:rsidP="003130C2" w:rsidRDefault="003130C2" w14:paraId="14DF90BA" w14:textId="77777777">
      <w:pPr>
        <w:spacing w:line="300" w:lineRule="exact"/>
      </w:pPr>
      <w:r>
        <w:t>In a cross-country comparison, the majority of respondents in each of the five countries agreed that the DEP’s objectives in terms of the EDIHs, considering Europe's current and emerging needs, were ‘very relevant’.</w:t>
      </w:r>
    </w:p>
    <w:p w:rsidRPr="009F3F65" w:rsidR="003130C2" w:rsidP="003130C2" w:rsidRDefault="003130C2" w14:paraId="5FBFED9C" w14:textId="77777777">
      <w:pPr>
        <w:spacing w:line="300" w:lineRule="exact"/>
        <w:rPr>
          <w:lang w:val="en-GB"/>
        </w:rPr>
      </w:pPr>
    </w:p>
    <w:p w:rsidRPr="009F3F65" w:rsidR="003130C2" w:rsidP="003130C2" w:rsidRDefault="003130C2" w14:paraId="610B62CB" w14:textId="77777777">
      <w:pPr>
        <w:spacing w:line="300" w:lineRule="exact"/>
      </w:pPr>
      <w:r>
        <w:t>In a cross-category comparison, the public authorities, interestingly, considered the DEP’s objectives in terms of the EDIHs the least relevant: 45% answered ‘very relevant’, whilst business organisations (56%) and academia (88%) were more convinced of their relevance.</w:t>
      </w:r>
    </w:p>
    <w:p w:rsidRPr="009F3F65" w:rsidR="003130C2" w:rsidP="003130C2" w:rsidRDefault="003130C2" w14:paraId="0CD9FFE2" w14:textId="77777777">
      <w:pPr>
        <w:spacing w:line="300" w:lineRule="exact"/>
        <w:rPr>
          <w:lang w:val="en-GB"/>
        </w:rPr>
      </w:pPr>
    </w:p>
    <w:p w:rsidRPr="009F3F65" w:rsidR="003130C2" w:rsidP="003130C2" w:rsidRDefault="003130C2" w14:paraId="223A376D" w14:textId="77777777">
      <w:pPr>
        <w:spacing w:after="120" w:line="300" w:lineRule="exact"/>
      </w:pPr>
      <w:r>
        <w:t xml:space="preserve">When it comes to the </w:t>
      </w:r>
      <w:r>
        <w:rPr>
          <w:u w:val="single"/>
        </w:rPr>
        <w:t>relevance of the DEP’s objectives in terms of advanced digital skills</w:t>
      </w:r>
      <w:r>
        <w:t xml:space="preserve"> (</w:t>
      </w:r>
      <w:r>
        <w:rPr>
          <w:b/>
        </w:rPr>
        <w:t>question 13</w:t>
      </w:r>
      <w:r>
        <w:t>), the answers were similar, though slightly less positive: 49% of the respondents considered that they had been ‘very relevant’, 16% ‘moderately relevant’, 7% ‘not very relevant’ and 28% were ‘unsure’.</w:t>
      </w:r>
    </w:p>
    <w:p w:rsidRPr="009F3F65" w:rsidR="003130C2" w:rsidP="003130C2" w:rsidRDefault="003130C2" w14:paraId="2E6D1E86" w14:textId="77777777">
      <w:pPr>
        <w:spacing w:line="240" w:lineRule="auto"/>
        <w:jc w:val="left"/>
        <w:rPr>
          <w:lang w:val="en-GB"/>
        </w:rPr>
      </w:pPr>
    </w:p>
    <w:p w:rsidRPr="009F3F65" w:rsidR="003130C2" w:rsidP="003130C2" w:rsidRDefault="003130C2" w14:paraId="2B38D0EC" w14:textId="77777777">
      <w:pPr>
        <w:spacing w:after="120" w:line="300" w:lineRule="exact"/>
      </w:pPr>
      <w:r>
        <w:rPr>
          <w:noProof/>
        </w:rPr>
        <w:drawing>
          <wp:anchor distT="0" distB="0" distL="114300" distR="114300" simplePos="0" relativeHeight="251694080" behindDoc="0" locked="0" layoutInCell="1" allowOverlap="1" wp14:editId="38E2E93E" wp14:anchorId="408B3E54">
            <wp:simplePos x="0" y="0"/>
            <wp:positionH relativeFrom="margin">
              <wp:posOffset>457200</wp:posOffset>
            </wp:positionH>
            <wp:positionV relativeFrom="paragraph">
              <wp:posOffset>165100</wp:posOffset>
            </wp:positionV>
            <wp:extent cx="4540250" cy="2590800"/>
            <wp:effectExtent l="0" t="0" r="12700" b="0"/>
            <wp:wrapNone/>
            <wp:docPr id="29" name="Chart 29">
              <a:extLst xmlns:a="http://schemas.openxmlformats.org/drawingml/2006/main">
                <a:ext uri="{FF2B5EF4-FFF2-40B4-BE49-F238E27FC236}">
                  <a16:creationId xmlns:a16="http://schemas.microsoft.com/office/drawing/2014/main" id="{F1BB4E73-3636-42A4-A0FE-596C108CD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p>
    <w:p w:rsidRPr="009F3F65" w:rsidR="003130C2" w:rsidP="003130C2" w:rsidRDefault="003130C2" w14:paraId="3DB3CA32" w14:textId="77777777">
      <w:pPr>
        <w:spacing w:after="120" w:line="300" w:lineRule="exact"/>
        <w:rPr>
          <w:lang w:val="en-GB"/>
        </w:rPr>
      </w:pPr>
    </w:p>
    <w:p w:rsidRPr="009F3F65" w:rsidR="003130C2" w:rsidP="003130C2" w:rsidRDefault="003130C2" w14:paraId="3560BF8C" w14:textId="77777777">
      <w:pPr>
        <w:spacing w:after="120" w:line="300" w:lineRule="exact"/>
        <w:rPr>
          <w:lang w:val="en-GB"/>
        </w:rPr>
      </w:pPr>
    </w:p>
    <w:p w:rsidRPr="009F3F65" w:rsidR="003130C2" w:rsidP="003130C2" w:rsidRDefault="003130C2" w14:paraId="5BA14077" w14:textId="77777777">
      <w:pPr>
        <w:spacing w:after="120" w:line="300" w:lineRule="exact"/>
        <w:rPr>
          <w:lang w:val="en-GB"/>
        </w:rPr>
      </w:pPr>
    </w:p>
    <w:p w:rsidRPr="009F3F65" w:rsidR="003130C2" w:rsidP="003130C2" w:rsidRDefault="003130C2" w14:paraId="5432F091" w14:textId="77777777">
      <w:pPr>
        <w:spacing w:after="120" w:line="300" w:lineRule="exact"/>
        <w:rPr>
          <w:lang w:val="en-GB"/>
        </w:rPr>
      </w:pPr>
    </w:p>
    <w:p w:rsidRPr="009F3F65" w:rsidR="003130C2" w:rsidP="003130C2" w:rsidRDefault="003130C2" w14:paraId="4143D4A0" w14:textId="77777777">
      <w:pPr>
        <w:spacing w:after="120" w:line="300" w:lineRule="exact"/>
        <w:rPr>
          <w:lang w:val="en-GB"/>
        </w:rPr>
      </w:pPr>
    </w:p>
    <w:p w:rsidRPr="009F3F65" w:rsidR="003130C2" w:rsidP="003130C2" w:rsidRDefault="003130C2" w14:paraId="6240D1D1" w14:textId="77777777">
      <w:pPr>
        <w:spacing w:after="120" w:line="300" w:lineRule="exact"/>
        <w:rPr>
          <w:lang w:val="en-GB"/>
        </w:rPr>
      </w:pPr>
    </w:p>
    <w:p w:rsidRPr="009F3F65" w:rsidR="003130C2" w:rsidP="003130C2" w:rsidRDefault="003130C2" w14:paraId="6BBE3B01" w14:textId="77777777">
      <w:pPr>
        <w:spacing w:after="120" w:line="300" w:lineRule="exact"/>
        <w:rPr>
          <w:lang w:val="en-GB"/>
        </w:rPr>
      </w:pPr>
    </w:p>
    <w:p w:rsidRPr="009F3F65" w:rsidR="003130C2" w:rsidP="003130C2" w:rsidRDefault="003130C2" w14:paraId="7BEA8DC5" w14:textId="77777777">
      <w:pPr>
        <w:spacing w:after="120" w:line="300" w:lineRule="exact"/>
        <w:rPr>
          <w:lang w:val="en-GB"/>
        </w:rPr>
      </w:pPr>
    </w:p>
    <w:p w:rsidRPr="009F3F65" w:rsidR="003130C2" w:rsidP="003130C2" w:rsidRDefault="003130C2" w14:paraId="704DBADF" w14:textId="77777777">
      <w:pPr>
        <w:spacing w:after="120" w:line="300" w:lineRule="exact"/>
        <w:rPr>
          <w:lang w:val="en-GB"/>
        </w:rPr>
      </w:pPr>
    </w:p>
    <w:p w:rsidRPr="009F3F65" w:rsidR="003130C2" w:rsidP="003130C2" w:rsidRDefault="003130C2" w14:paraId="7106E409" w14:textId="77777777">
      <w:pPr>
        <w:spacing w:after="120" w:line="300" w:lineRule="exact"/>
        <w:rPr>
          <w:lang w:val="en-GB"/>
        </w:rPr>
      </w:pPr>
    </w:p>
    <w:p w:rsidRPr="009F3F65" w:rsidR="003130C2" w:rsidP="003130C2" w:rsidRDefault="003130C2" w14:paraId="3067242F" w14:textId="77777777">
      <w:pPr>
        <w:spacing w:line="300" w:lineRule="exact"/>
        <w:jc w:val="center"/>
        <w:rPr>
          <w:color w:val="5B9BD5" w:themeColor="accent1"/>
          <w:sz w:val="20"/>
        </w:rPr>
      </w:pPr>
      <w:r>
        <w:rPr>
          <w:b/>
          <w:color w:val="5B9BD5" w:themeColor="accent1"/>
          <w:sz w:val="20"/>
        </w:rPr>
        <w:t>Figure 21.</w:t>
      </w:r>
      <w:r>
        <w:rPr>
          <w:color w:val="5B9BD5" w:themeColor="accent1"/>
          <w:sz w:val="20"/>
        </w:rPr>
        <w:t xml:space="preserve"> Relevance of the DEP’s objectives in terms of advanced digital skills – general.</w:t>
      </w:r>
    </w:p>
    <w:p w:rsidRPr="009F3F65" w:rsidR="003130C2" w:rsidP="003130C2" w:rsidRDefault="003130C2" w14:paraId="7FE3DCBD" w14:textId="77777777">
      <w:pPr>
        <w:spacing w:line="300" w:lineRule="exact"/>
        <w:rPr>
          <w:color w:val="5B9BD5" w:themeColor="accent1"/>
          <w:lang w:val="en-GB"/>
        </w:rPr>
      </w:pPr>
    </w:p>
    <w:p w:rsidRPr="009F3F65" w:rsidR="003130C2" w:rsidP="003130C2" w:rsidRDefault="003130C2" w14:paraId="63982B4E" w14:textId="77777777">
      <w:pPr>
        <w:spacing w:line="300" w:lineRule="exact"/>
      </w:pPr>
      <w:r>
        <w:t>In a cross-country comparison, it is worth noting that whilst the majority of the German (60%), Maltese (83%) and Portuguese (75% or 3 persons) respondents agreed that the DEP’s objectives were ‘very relevant’ in terms of advanced digital skills, among the Polish respondents only 38% (or 3 persons) thought so, whilst 25% (or 2 persons) found it was ‘not very relevant’, and 70% of the Swedish respondents were ‘unsure’.</w:t>
      </w:r>
    </w:p>
    <w:p w:rsidRPr="009F3F65" w:rsidR="003130C2" w:rsidP="003130C2" w:rsidRDefault="003130C2" w14:paraId="5FC237DC" w14:textId="77777777">
      <w:pPr>
        <w:spacing w:line="300" w:lineRule="exact"/>
        <w:rPr>
          <w:lang w:val="en-GB"/>
        </w:rPr>
      </w:pPr>
    </w:p>
    <w:p w:rsidRPr="009F3F65" w:rsidR="003130C2" w:rsidP="003130C2" w:rsidRDefault="003130C2" w14:paraId="38E5DBAC" w14:textId="77777777">
      <w:pPr>
        <w:spacing w:line="300" w:lineRule="exact"/>
      </w:pPr>
      <w:r>
        <w:t xml:space="preserve">When asked </w:t>
      </w:r>
      <w:r>
        <w:rPr>
          <w:u w:val="single"/>
        </w:rPr>
        <w:t>whether the advanced digital skills training meets the current emerging skills gap in Europe</w:t>
      </w:r>
      <w:r>
        <w:t xml:space="preserve"> (</w:t>
      </w:r>
      <w:r>
        <w:rPr>
          <w:b/>
        </w:rPr>
        <w:t>question 14</w:t>
      </w:r>
      <w:r>
        <w:t xml:space="preserve">), 63% of the respondents replied that it did not. </w:t>
      </w:r>
    </w:p>
    <w:p w:rsidRPr="009F3F65" w:rsidR="003130C2" w:rsidP="003130C2" w:rsidRDefault="003130C2" w14:paraId="65292CC6" w14:textId="77777777">
      <w:pPr>
        <w:spacing w:line="300" w:lineRule="exact"/>
        <w:rPr>
          <w:lang w:val="en-GB"/>
        </w:rPr>
      </w:pPr>
    </w:p>
    <w:p w:rsidRPr="009F3F65" w:rsidR="003130C2" w:rsidP="003130C2" w:rsidRDefault="003130C2" w14:paraId="77A79938" w14:textId="77777777">
      <w:pPr>
        <w:spacing w:line="240" w:lineRule="auto"/>
        <w:jc w:val="left"/>
      </w:pPr>
      <w:r>
        <w:br w:type="page"/>
      </w:r>
    </w:p>
    <w:p w:rsidRPr="009F3F65" w:rsidR="003130C2" w:rsidP="003130C2" w:rsidRDefault="003130C2" w14:paraId="73ADEBC2" w14:textId="77777777">
      <w:pPr>
        <w:spacing w:line="300" w:lineRule="exact"/>
        <w:rPr>
          <w:lang w:val="en-GB"/>
        </w:rPr>
      </w:pPr>
    </w:p>
    <w:p w:rsidRPr="009F3F65" w:rsidR="003130C2" w:rsidP="003130C2" w:rsidRDefault="003130C2" w14:paraId="723A5966" w14:textId="77777777">
      <w:pPr>
        <w:spacing w:line="300" w:lineRule="exact"/>
      </w:pPr>
      <w:r>
        <w:rPr>
          <w:noProof/>
        </w:rPr>
        <w:drawing>
          <wp:anchor distT="0" distB="0" distL="114300" distR="114300" simplePos="0" relativeHeight="251703296" behindDoc="0" locked="0" layoutInCell="1" allowOverlap="1" wp14:editId="42ABC675" wp14:anchorId="741AC95C">
            <wp:simplePos x="0" y="0"/>
            <wp:positionH relativeFrom="margin">
              <wp:posOffset>596900</wp:posOffset>
            </wp:positionH>
            <wp:positionV relativeFrom="paragraph">
              <wp:posOffset>38100</wp:posOffset>
            </wp:positionV>
            <wp:extent cx="4743450" cy="2578100"/>
            <wp:effectExtent l="0" t="0" r="0" b="12700"/>
            <wp:wrapNone/>
            <wp:docPr id="30" name="Chart 30">
              <a:extLst xmlns:a="http://schemas.openxmlformats.org/drawingml/2006/main">
                <a:ext uri="{FF2B5EF4-FFF2-40B4-BE49-F238E27FC236}">
                  <a16:creationId xmlns:a16="http://schemas.microsoft.com/office/drawing/2014/main" id="{5F4BB08B-DBF2-40B5-B761-BCEF0F75C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rsidRPr="009F3F65" w:rsidR="003130C2" w:rsidP="003130C2" w:rsidRDefault="003130C2" w14:paraId="43849BDC" w14:textId="77777777">
      <w:pPr>
        <w:spacing w:line="300" w:lineRule="exact"/>
        <w:rPr>
          <w:lang w:val="en-GB"/>
        </w:rPr>
      </w:pPr>
    </w:p>
    <w:p w:rsidRPr="009F3F65" w:rsidR="003130C2" w:rsidP="003130C2" w:rsidRDefault="003130C2" w14:paraId="515C1FDC" w14:textId="77777777">
      <w:pPr>
        <w:spacing w:line="300" w:lineRule="exact"/>
        <w:rPr>
          <w:lang w:val="en-GB"/>
        </w:rPr>
      </w:pPr>
    </w:p>
    <w:p w:rsidRPr="009F3F65" w:rsidR="003130C2" w:rsidP="003130C2" w:rsidRDefault="003130C2" w14:paraId="563F2C10" w14:textId="77777777">
      <w:pPr>
        <w:spacing w:line="300" w:lineRule="exact"/>
        <w:rPr>
          <w:lang w:val="en-GB"/>
        </w:rPr>
      </w:pPr>
    </w:p>
    <w:p w:rsidRPr="009F3F65" w:rsidR="003130C2" w:rsidP="003130C2" w:rsidRDefault="003130C2" w14:paraId="508A464A" w14:textId="77777777">
      <w:pPr>
        <w:spacing w:line="300" w:lineRule="exact"/>
        <w:rPr>
          <w:lang w:val="en-GB"/>
        </w:rPr>
      </w:pPr>
    </w:p>
    <w:p w:rsidRPr="009F3F65" w:rsidR="003130C2" w:rsidP="003130C2" w:rsidRDefault="003130C2" w14:paraId="63B774F9" w14:textId="77777777">
      <w:pPr>
        <w:spacing w:line="300" w:lineRule="exact"/>
        <w:rPr>
          <w:lang w:val="en-GB"/>
        </w:rPr>
      </w:pPr>
    </w:p>
    <w:p w:rsidRPr="009F3F65" w:rsidR="003130C2" w:rsidP="003130C2" w:rsidRDefault="003130C2" w14:paraId="100F6A79" w14:textId="77777777">
      <w:pPr>
        <w:spacing w:line="300" w:lineRule="exact"/>
        <w:rPr>
          <w:lang w:val="en-GB"/>
        </w:rPr>
      </w:pPr>
    </w:p>
    <w:p w:rsidRPr="009F3F65" w:rsidR="003130C2" w:rsidP="003130C2" w:rsidRDefault="003130C2" w14:paraId="3A745AA8" w14:textId="77777777">
      <w:pPr>
        <w:spacing w:line="300" w:lineRule="exact"/>
        <w:rPr>
          <w:lang w:val="en-GB"/>
        </w:rPr>
      </w:pPr>
    </w:p>
    <w:p w:rsidRPr="009F3F65" w:rsidR="003130C2" w:rsidP="003130C2" w:rsidRDefault="003130C2" w14:paraId="1CC6A970" w14:textId="77777777">
      <w:pPr>
        <w:spacing w:line="300" w:lineRule="exact"/>
        <w:rPr>
          <w:lang w:val="en-GB"/>
        </w:rPr>
      </w:pPr>
    </w:p>
    <w:p w:rsidRPr="009F3F65" w:rsidR="003130C2" w:rsidP="003130C2" w:rsidRDefault="003130C2" w14:paraId="0C5EEF54" w14:textId="77777777">
      <w:pPr>
        <w:spacing w:line="300" w:lineRule="exact"/>
        <w:rPr>
          <w:lang w:val="en-GB"/>
        </w:rPr>
      </w:pPr>
    </w:p>
    <w:p w:rsidRPr="009F3F65" w:rsidR="003130C2" w:rsidP="003130C2" w:rsidRDefault="003130C2" w14:paraId="3110217D" w14:textId="77777777">
      <w:pPr>
        <w:spacing w:line="300" w:lineRule="exact"/>
        <w:rPr>
          <w:lang w:val="en-GB"/>
        </w:rPr>
      </w:pPr>
    </w:p>
    <w:p w:rsidRPr="009F3F65" w:rsidR="003130C2" w:rsidP="003130C2" w:rsidRDefault="003130C2" w14:paraId="52E1862F" w14:textId="77777777">
      <w:pPr>
        <w:spacing w:line="300" w:lineRule="exact"/>
        <w:rPr>
          <w:lang w:val="en-GB"/>
        </w:rPr>
      </w:pPr>
    </w:p>
    <w:p w:rsidRPr="009F3F65" w:rsidR="003130C2" w:rsidP="003130C2" w:rsidRDefault="003130C2" w14:paraId="30E5A7BF" w14:textId="77777777">
      <w:pPr>
        <w:spacing w:line="300" w:lineRule="exact"/>
        <w:rPr>
          <w:lang w:val="en-GB"/>
        </w:rPr>
      </w:pPr>
    </w:p>
    <w:p w:rsidRPr="009F3F65" w:rsidR="003130C2" w:rsidP="003130C2" w:rsidRDefault="003130C2" w14:paraId="756108B9" w14:textId="77777777">
      <w:pPr>
        <w:spacing w:line="300" w:lineRule="exact"/>
        <w:rPr>
          <w:lang w:val="en-GB"/>
        </w:rPr>
      </w:pPr>
    </w:p>
    <w:p w:rsidRPr="009F3F65" w:rsidR="003130C2" w:rsidP="003130C2" w:rsidRDefault="003130C2" w14:paraId="2698A635" w14:textId="77777777">
      <w:pPr>
        <w:spacing w:line="300" w:lineRule="exact"/>
        <w:jc w:val="center"/>
        <w:rPr>
          <w:color w:val="5B9BD5" w:themeColor="accent1"/>
          <w:sz w:val="20"/>
        </w:rPr>
      </w:pPr>
      <w:r>
        <w:rPr>
          <w:b/>
          <w:color w:val="5B9BD5" w:themeColor="accent1"/>
          <w:sz w:val="20"/>
        </w:rPr>
        <w:t>Figure 22.</w:t>
      </w:r>
      <w:r>
        <w:rPr>
          <w:color w:val="5B9BD5" w:themeColor="accent1"/>
          <w:sz w:val="20"/>
        </w:rPr>
        <w:t xml:space="preserve"> Does the advanced skills training meet the current emerging skills gap in Europe? – general.</w:t>
      </w:r>
    </w:p>
    <w:p w:rsidRPr="009F3F65" w:rsidR="003130C2" w:rsidP="003130C2" w:rsidRDefault="003130C2" w14:paraId="492D029D" w14:textId="77777777">
      <w:pPr>
        <w:spacing w:line="300" w:lineRule="exact"/>
        <w:jc w:val="center"/>
        <w:rPr>
          <w:color w:val="5B9BD5" w:themeColor="accent1"/>
          <w:sz w:val="20"/>
          <w:lang w:val="en-GB"/>
        </w:rPr>
      </w:pPr>
    </w:p>
    <w:p w:rsidRPr="009F3F65" w:rsidR="003130C2" w:rsidP="003130C2" w:rsidRDefault="003130C2" w14:paraId="5ECA2630" w14:textId="77777777">
      <w:pPr>
        <w:spacing w:line="300" w:lineRule="exact"/>
      </w:pPr>
      <w:r>
        <w:t>Looking at the breakdown by category, only academia (59%) was of the view that the advanced digital skills training meets the current emerging skills gap in Europe, whilst the majority of the business organisations (91%) and public authorities (64%) disagreed.</w:t>
      </w:r>
    </w:p>
    <w:p w:rsidRPr="009F3F65" w:rsidR="003130C2" w:rsidP="003130C2" w:rsidRDefault="003130C2" w14:paraId="0C27E186" w14:textId="77777777">
      <w:pPr>
        <w:spacing w:line="240" w:lineRule="auto"/>
        <w:jc w:val="left"/>
        <w:rPr>
          <w:lang w:val="en-GB"/>
        </w:rPr>
      </w:pPr>
    </w:p>
    <w:p w:rsidRPr="009F3F65" w:rsidR="003130C2" w:rsidP="003130C2" w:rsidRDefault="003130C2" w14:paraId="71037C3C" w14:textId="77777777">
      <w:pPr>
        <w:spacing w:line="300" w:lineRule="exact"/>
        <w:rPr>
          <w:lang w:val="en-GB"/>
        </w:rPr>
      </w:pPr>
    </w:p>
    <w:p w:rsidRPr="009F3F65" w:rsidR="003130C2" w:rsidP="003130C2" w:rsidRDefault="003130C2" w14:paraId="2DC21098" w14:textId="77777777">
      <w:pPr>
        <w:spacing w:line="300" w:lineRule="exact"/>
        <w:rPr>
          <w:noProof/>
        </w:rPr>
      </w:pPr>
      <w:r>
        <w:rPr>
          <w:noProof/>
        </w:rPr>
        <w:drawing>
          <wp:anchor distT="0" distB="0" distL="114300" distR="114300" simplePos="0" relativeHeight="251712512" behindDoc="0" locked="0" layoutInCell="1" allowOverlap="1" wp14:editId="5BB09228" wp14:anchorId="52E9500B">
            <wp:simplePos x="0" y="0"/>
            <wp:positionH relativeFrom="column">
              <wp:posOffset>558800</wp:posOffset>
            </wp:positionH>
            <wp:positionV relativeFrom="paragraph">
              <wp:posOffset>6350</wp:posOffset>
            </wp:positionV>
            <wp:extent cx="4591685" cy="3048000"/>
            <wp:effectExtent l="0" t="0" r="18415" b="0"/>
            <wp:wrapNone/>
            <wp:docPr id="14" name="Chart 14">
              <a:extLst xmlns:a="http://schemas.openxmlformats.org/drawingml/2006/main">
                <a:ext uri="{FF2B5EF4-FFF2-40B4-BE49-F238E27FC236}">
                  <a16:creationId xmlns:a16="http://schemas.microsoft.com/office/drawing/2014/main" id="{E44C15AF-05EE-46D9-B48C-BA0FA557E6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V relativeFrom="margin">
              <wp14:pctHeight>0</wp14:pctHeight>
            </wp14:sizeRelV>
          </wp:anchor>
        </w:drawing>
      </w:r>
    </w:p>
    <w:p w:rsidRPr="009F3F65" w:rsidR="003130C2" w:rsidP="003130C2" w:rsidRDefault="003130C2" w14:paraId="0903685F" w14:textId="77777777">
      <w:pPr>
        <w:spacing w:line="300" w:lineRule="exact"/>
        <w:rPr>
          <w:noProof/>
          <w:lang w:val="en-GB"/>
        </w:rPr>
      </w:pPr>
    </w:p>
    <w:p w:rsidRPr="009F3F65" w:rsidR="003130C2" w:rsidP="003130C2" w:rsidRDefault="003130C2" w14:paraId="62C7AD1F" w14:textId="77777777">
      <w:pPr>
        <w:spacing w:line="300" w:lineRule="exact"/>
        <w:rPr>
          <w:noProof/>
          <w:lang w:val="en-GB"/>
        </w:rPr>
      </w:pPr>
    </w:p>
    <w:p w:rsidRPr="009F3F65" w:rsidR="003130C2" w:rsidP="003130C2" w:rsidRDefault="003130C2" w14:paraId="21496956" w14:textId="77777777">
      <w:pPr>
        <w:spacing w:line="300" w:lineRule="exact"/>
        <w:rPr>
          <w:lang w:val="en-GB"/>
        </w:rPr>
      </w:pPr>
    </w:p>
    <w:p w:rsidRPr="009F3F65" w:rsidR="003130C2" w:rsidP="003130C2" w:rsidRDefault="003130C2" w14:paraId="185AD160" w14:textId="77777777">
      <w:pPr>
        <w:spacing w:line="300" w:lineRule="exact"/>
        <w:rPr>
          <w:lang w:val="en-GB"/>
        </w:rPr>
      </w:pPr>
    </w:p>
    <w:p w:rsidRPr="009F3F65" w:rsidR="003130C2" w:rsidP="003130C2" w:rsidRDefault="003130C2" w14:paraId="6F1F0E23" w14:textId="77777777">
      <w:pPr>
        <w:spacing w:line="300" w:lineRule="exact"/>
        <w:rPr>
          <w:color w:val="5B9BD5" w:themeColor="accent1"/>
          <w:lang w:val="en-GB"/>
        </w:rPr>
      </w:pPr>
    </w:p>
    <w:p w:rsidRPr="009F3F65" w:rsidR="003130C2" w:rsidP="003130C2" w:rsidRDefault="003130C2" w14:paraId="156E52BF" w14:textId="77777777">
      <w:pPr>
        <w:spacing w:line="300" w:lineRule="exact"/>
        <w:rPr>
          <w:color w:val="5B9BD5" w:themeColor="accent1"/>
          <w:lang w:val="en-GB"/>
        </w:rPr>
      </w:pPr>
    </w:p>
    <w:p w:rsidRPr="009F3F65" w:rsidR="003130C2" w:rsidP="003130C2" w:rsidRDefault="003130C2" w14:paraId="446930F1" w14:textId="77777777">
      <w:pPr>
        <w:spacing w:after="120" w:line="300" w:lineRule="exact"/>
        <w:jc w:val="center"/>
        <w:rPr>
          <w:color w:val="5B9BD5" w:themeColor="accent1"/>
          <w:sz w:val="20"/>
          <w:lang w:val="en-GB"/>
        </w:rPr>
      </w:pPr>
    </w:p>
    <w:p w:rsidRPr="009F3F65" w:rsidR="003130C2" w:rsidP="003130C2" w:rsidRDefault="003130C2" w14:paraId="1287794D" w14:textId="77777777">
      <w:pPr>
        <w:spacing w:after="120" w:line="300" w:lineRule="exact"/>
        <w:jc w:val="center"/>
        <w:rPr>
          <w:color w:val="5B9BD5" w:themeColor="accent1"/>
          <w:sz w:val="20"/>
          <w:lang w:val="en-GB"/>
        </w:rPr>
      </w:pPr>
    </w:p>
    <w:p w:rsidRPr="009F3F65" w:rsidR="003130C2" w:rsidP="003130C2" w:rsidRDefault="003130C2" w14:paraId="72453A17" w14:textId="77777777">
      <w:pPr>
        <w:spacing w:after="120" w:line="300" w:lineRule="exact"/>
        <w:jc w:val="center"/>
        <w:rPr>
          <w:color w:val="5B9BD5" w:themeColor="accent1"/>
          <w:sz w:val="20"/>
          <w:lang w:val="en-GB"/>
        </w:rPr>
      </w:pPr>
    </w:p>
    <w:p w:rsidRPr="009F3F65" w:rsidR="003130C2" w:rsidP="003130C2" w:rsidRDefault="003130C2" w14:paraId="64D26A42" w14:textId="77777777">
      <w:pPr>
        <w:spacing w:after="120" w:line="300" w:lineRule="exact"/>
        <w:jc w:val="center"/>
        <w:rPr>
          <w:color w:val="5B9BD5" w:themeColor="accent1"/>
          <w:sz w:val="20"/>
          <w:lang w:val="en-GB"/>
        </w:rPr>
      </w:pPr>
    </w:p>
    <w:p w:rsidRPr="009F3F65" w:rsidR="003130C2" w:rsidP="003130C2" w:rsidRDefault="003130C2" w14:paraId="77434103" w14:textId="77777777">
      <w:pPr>
        <w:spacing w:after="120" w:line="300" w:lineRule="exact"/>
        <w:jc w:val="center"/>
        <w:rPr>
          <w:lang w:val="en-GB"/>
        </w:rPr>
      </w:pPr>
    </w:p>
    <w:p w:rsidRPr="009F3F65" w:rsidR="003130C2" w:rsidP="003130C2" w:rsidRDefault="003130C2" w14:paraId="6A220487" w14:textId="77777777">
      <w:pPr>
        <w:spacing w:after="120" w:line="300" w:lineRule="exact"/>
        <w:rPr>
          <w:lang w:val="en-GB"/>
        </w:rPr>
      </w:pPr>
    </w:p>
    <w:p w:rsidRPr="009F3F65" w:rsidR="003130C2" w:rsidP="003130C2" w:rsidRDefault="003130C2" w14:paraId="3614935F" w14:textId="77777777">
      <w:pPr>
        <w:spacing w:after="120" w:line="300" w:lineRule="exact"/>
        <w:jc w:val="center"/>
        <w:rPr>
          <w:lang w:val="en-GB"/>
        </w:rPr>
      </w:pPr>
    </w:p>
    <w:p w:rsidRPr="009F3F65" w:rsidR="003130C2" w:rsidP="003130C2" w:rsidRDefault="003130C2" w14:paraId="4E6685AB" w14:textId="77777777">
      <w:pPr>
        <w:spacing w:line="300" w:lineRule="exact"/>
        <w:jc w:val="center"/>
        <w:rPr>
          <w:color w:val="5B9BD5" w:themeColor="accent1"/>
          <w:sz w:val="20"/>
        </w:rPr>
      </w:pPr>
      <w:r>
        <w:rPr>
          <w:b/>
          <w:color w:val="5B9BD5" w:themeColor="accent1"/>
          <w:sz w:val="20"/>
        </w:rPr>
        <w:t>Figure 23.</w:t>
      </w:r>
      <w:r>
        <w:rPr>
          <w:color w:val="5B9BD5" w:themeColor="accent1"/>
          <w:sz w:val="20"/>
        </w:rPr>
        <w:t xml:space="preserve"> Does the advanced digital skills training meet the current emerging skills gap in Europe? – by category.</w:t>
      </w:r>
    </w:p>
    <w:p w:rsidRPr="009F3F65" w:rsidR="003130C2" w:rsidP="003130C2" w:rsidRDefault="003130C2" w14:paraId="4E22C903" w14:textId="77777777">
      <w:pPr>
        <w:spacing w:line="300" w:lineRule="exact"/>
        <w:jc w:val="center"/>
        <w:rPr>
          <w:color w:val="5B9BD5" w:themeColor="accent1"/>
          <w:sz w:val="20"/>
          <w:lang w:val="en-GB"/>
        </w:rPr>
      </w:pPr>
    </w:p>
    <w:p w:rsidRPr="009F3F65" w:rsidR="003130C2" w:rsidP="003130C2" w:rsidRDefault="003130C2" w14:paraId="27865467" w14:textId="77777777">
      <w:pPr>
        <w:spacing w:line="300" w:lineRule="exact"/>
      </w:pPr>
      <w:r>
        <w:t>Looking across the countries, the views also diverged: whilst the majority of the German (60%), and the Maltese (67%) respondents considered that the advanced digital skills training did meet the current emerging skills gap in Europe, the majority of the Polish (75%), Portuguese (75% or 3 persons) and Swedish (10 out of 10 respondents) did not think so.</w:t>
      </w:r>
    </w:p>
    <w:p w:rsidRPr="009F3F65" w:rsidR="003130C2" w:rsidP="003130C2" w:rsidRDefault="003130C2" w14:paraId="6760C4DD" w14:textId="77777777">
      <w:pPr>
        <w:spacing w:line="300" w:lineRule="exact"/>
        <w:rPr>
          <w:lang w:val="en-GB"/>
        </w:rPr>
      </w:pPr>
    </w:p>
    <w:p w:rsidRPr="009F3F65" w:rsidR="003130C2" w:rsidP="003130C2" w:rsidRDefault="003130C2" w14:paraId="066D3D23" w14:textId="77777777">
      <w:pPr>
        <w:spacing w:line="240" w:lineRule="auto"/>
        <w:jc w:val="left"/>
      </w:pPr>
      <w:r>
        <w:lastRenderedPageBreak/>
        <w:br w:type="page"/>
      </w:r>
    </w:p>
    <w:p w:rsidRPr="009F3F65" w:rsidR="003130C2" w:rsidP="003130C2" w:rsidRDefault="003130C2" w14:paraId="27CF1BF1" w14:textId="77777777">
      <w:pPr>
        <w:spacing w:line="300" w:lineRule="exact"/>
      </w:pPr>
      <w:r>
        <w:rPr>
          <w:noProof/>
        </w:rPr>
        <w:lastRenderedPageBreak/>
        <w:drawing>
          <wp:anchor distT="0" distB="0" distL="114300" distR="114300" simplePos="0" relativeHeight="251721728" behindDoc="0" locked="0" layoutInCell="1" allowOverlap="1" wp14:editId="06D74C83" wp14:anchorId="1FE3F268">
            <wp:simplePos x="0" y="0"/>
            <wp:positionH relativeFrom="margin">
              <wp:posOffset>615950</wp:posOffset>
            </wp:positionH>
            <wp:positionV relativeFrom="paragraph">
              <wp:posOffset>127000</wp:posOffset>
            </wp:positionV>
            <wp:extent cx="4534535" cy="2654300"/>
            <wp:effectExtent l="0" t="0" r="18415" b="12700"/>
            <wp:wrapNone/>
            <wp:docPr id="15" name="Chart 15">
              <a:extLst xmlns:a="http://schemas.openxmlformats.org/drawingml/2006/main">
                <a:ext uri="{FF2B5EF4-FFF2-40B4-BE49-F238E27FC236}">
                  <a16:creationId xmlns:a16="http://schemas.microsoft.com/office/drawing/2014/main" id="{32C3D543-B8D2-4081-847E-354ABE1D5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p>
    <w:p w:rsidRPr="009F3F65" w:rsidR="003130C2" w:rsidP="003130C2" w:rsidRDefault="003130C2" w14:paraId="4F6FB72E" w14:textId="77777777">
      <w:pPr>
        <w:spacing w:line="300" w:lineRule="exact"/>
        <w:rPr>
          <w:lang w:val="en-GB"/>
        </w:rPr>
      </w:pPr>
    </w:p>
    <w:p w:rsidRPr="009F3F65" w:rsidR="003130C2" w:rsidP="003130C2" w:rsidRDefault="003130C2" w14:paraId="0BD33642" w14:textId="77777777">
      <w:pPr>
        <w:spacing w:line="300" w:lineRule="exact"/>
        <w:rPr>
          <w:lang w:val="en-GB"/>
        </w:rPr>
      </w:pPr>
    </w:p>
    <w:p w:rsidRPr="009F3F65" w:rsidR="003130C2" w:rsidP="003130C2" w:rsidRDefault="003130C2" w14:paraId="40D52D96" w14:textId="77777777">
      <w:pPr>
        <w:spacing w:line="300" w:lineRule="exact"/>
        <w:rPr>
          <w:lang w:val="en-GB"/>
        </w:rPr>
      </w:pPr>
    </w:p>
    <w:p w:rsidRPr="009F3F65" w:rsidR="003130C2" w:rsidP="003130C2" w:rsidRDefault="003130C2" w14:paraId="4D42A264" w14:textId="77777777">
      <w:pPr>
        <w:spacing w:line="300" w:lineRule="exact"/>
        <w:rPr>
          <w:lang w:val="en-GB"/>
        </w:rPr>
      </w:pPr>
    </w:p>
    <w:p w:rsidRPr="009F3F65" w:rsidR="003130C2" w:rsidP="003130C2" w:rsidRDefault="003130C2" w14:paraId="105CBA70" w14:textId="77777777">
      <w:pPr>
        <w:spacing w:line="300" w:lineRule="exact"/>
        <w:rPr>
          <w:lang w:val="en-GB"/>
        </w:rPr>
      </w:pPr>
    </w:p>
    <w:p w:rsidRPr="009F3F65" w:rsidR="003130C2" w:rsidP="003130C2" w:rsidRDefault="003130C2" w14:paraId="50690193" w14:textId="77777777">
      <w:pPr>
        <w:spacing w:line="300" w:lineRule="exact"/>
        <w:rPr>
          <w:lang w:val="en-GB"/>
        </w:rPr>
      </w:pPr>
    </w:p>
    <w:p w:rsidRPr="009F3F65" w:rsidR="003130C2" w:rsidP="003130C2" w:rsidRDefault="003130C2" w14:paraId="676E48A8" w14:textId="77777777">
      <w:pPr>
        <w:spacing w:line="300" w:lineRule="exact"/>
        <w:rPr>
          <w:lang w:val="en-GB"/>
        </w:rPr>
      </w:pPr>
    </w:p>
    <w:p w:rsidRPr="009F3F65" w:rsidR="003130C2" w:rsidP="003130C2" w:rsidRDefault="003130C2" w14:paraId="0CE63039" w14:textId="77777777">
      <w:pPr>
        <w:spacing w:line="300" w:lineRule="exact"/>
        <w:rPr>
          <w:lang w:val="en-GB"/>
        </w:rPr>
      </w:pPr>
    </w:p>
    <w:p w:rsidRPr="009F3F65" w:rsidR="003130C2" w:rsidP="003130C2" w:rsidRDefault="003130C2" w14:paraId="75D4B05A" w14:textId="77777777">
      <w:pPr>
        <w:spacing w:line="300" w:lineRule="exact"/>
        <w:rPr>
          <w:lang w:val="en-GB"/>
        </w:rPr>
      </w:pPr>
    </w:p>
    <w:p w:rsidRPr="009F3F65" w:rsidR="003130C2" w:rsidP="003130C2" w:rsidRDefault="003130C2" w14:paraId="7B7E6EFE" w14:textId="77777777">
      <w:pPr>
        <w:spacing w:line="300" w:lineRule="exact"/>
        <w:rPr>
          <w:lang w:val="en-GB"/>
        </w:rPr>
      </w:pPr>
    </w:p>
    <w:p w:rsidRPr="009F3F65" w:rsidR="003130C2" w:rsidP="003130C2" w:rsidRDefault="003130C2" w14:paraId="3C7501AE" w14:textId="77777777">
      <w:pPr>
        <w:spacing w:line="300" w:lineRule="exact"/>
        <w:rPr>
          <w:lang w:val="en-GB"/>
        </w:rPr>
      </w:pPr>
    </w:p>
    <w:p w:rsidRPr="009F3F65" w:rsidR="003130C2" w:rsidP="003130C2" w:rsidRDefault="003130C2" w14:paraId="6FCE5057" w14:textId="77777777">
      <w:pPr>
        <w:spacing w:line="300" w:lineRule="exact"/>
        <w:rPr>
          <w:lang w:val="en-GB"/>
        </w:rPr>
      </w:pPr>
    </w:p>
    <w:p w:rsidRPr="009F3F65" w:rsidR="003130C2" w:rsidP="003130C2" w:rsidRDefault="003130C2" w14:paraId="58ED1B88" w14:textId="77777777">
      <w:pPr>
        <w:spacing w:line="300" w:lineRule="exact"/>
        <w:rPr>
          <w:lang w:val="en-GB"/>
        </w:rPr>
      </w:pPr>
    </w:p>
    <w:p w:rsidRPr="009F3F65" w:rsidR="003130C2" w:rsidP="003130C2" w:rsidRDefault="003130C2" w14:paraId="1B46090D" w14:textId="77777777">
      <w:pPr>
        <w:spacing w:line="300" w:lineRule="exact"/>
        <w:rPr>
          <w:lang w:val="en-GB"/>
        </w:rPr>
      </w:pPr>
    </w:p>
    <w:p w:rsidRPr="009F3F65" w:rsidR="003130C2" w:rsidP="003130C2" w:rsidRDefault="003130C2" w14:paraId="68D5E6A0" w14:textId="77777777">
      <w:pPr>
        <w:spacing w:line="300" w:lineRule="exact"/>
        <w:jc w:val="center"/>
        <w:rPr>
          <w:color w:val="5B9BD5" w:themeColor="accent1"/>
          <w:sz w:val="20"/>
        </w:rPr>
      </w:pPr>
      <w:r>
        <w:rPr>
          <w:b/>
          <w:color w:val="5B9BD5" w:themeColor="accent1"/>
          <w:sz w:val="20"/>
        </w:rPr>
        <w:t>Figure 24.</w:t>
      </w:r>
      <w:r>
        <w:rPr>
          <w:color w:val="5B9BD5" w:themeColor="accent1"/>
          <w:sz w:val="20"/>
        </w:rPr>
        <w:t xml:space="preserve"> Does the advanced digital skills training meet the current emerging skills gap in Europe? – by country.</w:t>
      </w:r>
    </w:p>
    <w:p w:rsidRPr="009F3F65" w:rsidR="003130C2" w:rsidP="003130C2" w:rsidRDefault="003130C2" w14:paraId="70FD7D16" w14:textId="77777777">
      <w:pPr>
        <w:spacing w:after="120" w:line="300" w:lineRule="exact"/>
        <w:jc w:val="center"/>
        <w:rPr>
          <w:color w:val="5B9BD5" w:themeColor="accent1"/>
          <w:sz w:val="20"/>
          <w:lang w:val="en-GB"/>
        </w:rPr>
      </w:pPr>
    </w:p>
    <w:p w:rsidRPr="009F3F65" w:rsidR="003130C2" w:rsidP="003130C2" w:rsidRDefault="003130C2" w14:paraId="47B4A396" w14:textId="77777777">
      <w:pPr>
        <w:spacing w:after="120" w:line="300" w:lineRule="exact"/>
      </w:pPr>
      <w:r>
        <w:t xml:space="preserve">In the next question, the respondents were </w:t>
      </w:r>
      <w:r>
        <w:rPr>
          <w:u w:val="single"/>
        </w:rPr>
        <w:t>asked to evaluate the extent to which the DEP had developed consistent synergies with other EU funding programmes</w:t>
      </w:r>
      <w:r>
        <w:t xml:space="preserve"> (</w:t>
      </w:r>
      <w:r>
        <w:rPr>
          <w:b/>
        </w:rPr>
        <w:t>question 15</w:t>
      </w:r>
      <w:r>
        <w:t>). The largest proportion of respondents were ‘unsure’ how to evaluate this, particularly with regard to the Connecting Europe Facility (72%) and the Recovery and Resilience Fund (53%). Of the remaining respondents, the answers broke down as follows:</w:t>
      </w:r>
    </w:p>
    <w:p w:rsidRPr="00B47B36" w:rsidR="003130C2" w:rsidP="003130C2" w:rsidRDefault="003130C2" w14:paraId="77F48F39" w14:textId="77777777">
      <w:pPr>
        <w:pStyle w:val="ListParagraph"/>
        <w:numPr>
          <w:ilvl w:val="0"/>
          <w:numId w:val="33"/>
        </w:numPr>
        <w:spacing w:line="300" w:lineRule="exact"/>
      </w:pPr>
      <w:r>
        <w:t>Horizon Europe was evaluated as the funding programme with the most synergies with the DEP: 26% expressed the view that synergies had been developed ‘very well’ and 33% ‘moderately well’;</w:t>
      </w:r>
    </w:p>
    <w:p w:rsidRPr="00B47B36" w:rsidR="003130C2" w:rsidP="003130C2" w:rsidRDefault="003130C2" w14:paraId="7C2786D3" w14:textId="77777777">
      <w:pPr>
        <w:pStyle w:val="ListParagraph"/>
        <w:numPr>
          <w:ilvl w:val="0"/>
          <w:numId w:val="33"/>
        </w:numPr>
        <w:spacing w:line="300" w:lineRule="exact"/>
      </w:pPr>
      <w:r>
        <w:t>the Structural Funds (the ERDF, ESF, CF, EAFRD, EMFF) ranked second, with 7% of the respondents considering that synergies with the DEP had been developed ‘very well’ and 35% answering ‘moderately well’;</w:t>
      </w:r>
    </w:p>
    <w:p w:rsidRPr="00B47B36" w:rsidR="003130C2" w:rsidP="003130C2" w:rsidRDefault="003130C2" w14:paraId="136C3614" w14:textId="77777777">
      <w:pPr>
        <w:pStyle w:val="ListParagraph"/>
        <w:numPr>
          <w:ilvl w:val="0"/>
          <w:numId w:val="33"/>
        </w:numPr>
        <w:spacing w:line="300" w:lineRule="exact"/>
      </w:pPr>
      <w:r>
        <w:t>with regard to the Recovery and Resilience Fund, only 5% of the respondents considered that synergies with the DEP had been developed ‘very well’ and 16% ‘moderately well’, whilst 14% thought that this had happened ‘not very well’ and 11% ‘not at all well’; and</w:t>
      </w:r>
    </w:p>
    <w:p w:rsidRPr="00B47B36" w:rsidR="003130C2" w:rsidP="003130C2" w:rsidRDefault="003130C2" w14:paraId="3963669F" w14:textId="77777777">
      <w:pPr>
        <w:pStyle w:val="ListParagraph"/>
        <w:numPr>
          <w:ilvl w:val="0"/>
          <w:numId w:val="33"/>
        </w:numPr>
        <w:spacing w:line="300" w:lineRule="exact"/>
      </w:pPr>
      <w:r>
        <w:t>finally, when it comes to the Connecting Europe Facility, out of the 12 persons who had a clear view (31 persons were ‘unsure’), the majority were split between ‘moderately well’ and ‘not very well’ (five answers each), whilst one person chose ‘very well’ and one person ‘not at all well’.</w:t>
      </w:r>
    </w:p>
    <w:p w:rsidRPr="009F3F65" w:rsidR="003130C2" w:rsidP="003130C2" w:rsidRDefault="003130C2" w14:paraId="3564B4EF" w14:textId="77777777">
      <w:pPr>
        <w:spacing w:line="300" w:lineRule="exact"/>
        <w:rPr>
          <w:lang w:val="en-GB"/>
        </w:rPr>
      </w:pPr>
    </w:p>
    <w:p w:rsidRPr="009F3F65" w:rsidR="003130C2" w:rsidP="003130C2" w:rsidRDefault="003130C2" w14:paraId="737E0020" w14:textId="77777777">
      <w:pPr>
        <w:spacing w:line="240" w:lineRule="auto"/>
        <w:jc w:val="left"/>
      </w:pPr>
      <w:r>
        <w:br w:type="page"/>
      </w:r>
    </w:p>
    <w:p w:rsidRPr="009F3F65" w:rsidR="003130C2" w:rsidP="003130C2" w:rsidRDefault="003130C2" w14:paraId="43D7BA85" w14:textId="77777777">
      <w:pPr>
        <w:spacing w:line="300" w:lineRule="exact"/>
        <w:rPr>
          <w:lang w:val="en-GB"/>
        </w:rPr>
      </w:pPr>
    </w:p>
    <w:p w:rsidRPr="009F3F65" w:rsidR="003130C2" w:rsidP="003130C2" w:rsidRDefault="003130C2" w14:paraId="461B5390" w14:textId="77777777">
      <w:pPr>
        <w:spacing w:line="300" w:lineRule="exact"/>
      </w:pPr>
      <w:r>
        <w:rPr>
          <w:noProof/>
        </w:rPr>
        <w:drawing>
          <wp:anchor distT="0" distB="0" distL="114300" distR="114300" simplePos="0" relativeHeight="251730944" behindDoc="0" locked="0" layoutInCell="1" allowOverlap="1" wp14:editId="4892EAD9" wp14:anchorId="0C9EF112">
            <wp:simplePos x="0" y="0"/>
            <wp:positionH relativeFrom="margin">
              <wp:posOffset>0</wp:posOffset>
            </wp:positionH>
            <wp:positionV relativeFrom="paragraph">
              <wp:posOffset>-635</wp:posOffset>
            </wp:positionV>
            <wp:extent cx="5761355" cy="2663190"/>
            <wp:effectExtent l="0" t="0" r="10795" b="3810"/>
            <wp:wrapNone/>
            <wp:docPr id="31" name="Chart 31">
              <a:extLst xmlns:a="http://schemas.openxmlformats.org/drawingml/2006/main">
                <a:ext uri="{FF2B5EF4-FFF2-40B4-BE49-F238E27FC236}">
                  <a16:creationId xmlns:a16="http://schemas.microsoft.com/office/drawing/2014/main" id="{3A59A8C0-8ED8-4B14-8601-76F13F081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p>
    <w:p w:rsidRPr="009F3F65" w:rsidR="003130C2" w:rsidP="003130C2" w:rsidRDefault="003130C2" w14:paraId="21618D96" w14:textId="77777777">
      <w:pPr>
        <w:spacing w:line="300" w:lineRule="exact"/>
        <w:rPr>
          <w:lang w:val="en-GB"/>
        </w:rPr>
      </w:pPr>
    </w:p>
    <w:p w:rsidRPr="009F3F65" w:rsidR="003130C2" w:rsidP="003130C2" w:rsidRDefault="003130C2" w14:paraId="368177E7" w14:textId="77777777">
      <w:pPr>
        <w:spacing w:line="300" w:lineRule="exact"/>
        <w:rPr>
          <w:lang w:val="en-GB"/>
        </w:rPr>
      </w:pPr>
    </w:p>
    <w:p w:rsidRPr="009F3F65" w:rsidR="003130C2" w:rsidP="003130C2" w:rsidRDefault="003130C2" w14:paraId="1FE1AC8A" w14:textId="77777777">
      <w:pPr>
        <w:spacing w:line="300" w:lineRule="exact"/>
        <w:rPr>
          <w:lang w:val="en-GB"/>
        </w:rPr>
      </w:pPr>
    </w:p>
    <w:p w:rsidRPr="009F3F65" w:rsidR="003130C2" w:rsidP="003130C2" w:rsidRDefault="003130C2" w14:paraId="2FA4F8E2" w14:textId="77777777">
      <w:pPr>
        <w:spacing w:line="300" w:lineRule="exact"/>
        <w:rPr>
          <w:lang w:val="en-GB"/>
        </w:rPr>
      </w:pPr>
    </w:p>
    <w:p w:rsidRPr="009F3F65" w:rsidR="003130C2" w:rsidP="003130C2" w:rsidRDefault="003130C2" w14:paraId="66ECCC44" w14:textId="77777777">
      <w:pPr>
        <w:spacing w:line="300" w:lineRule="exact"/>
        <w:rPr>
          <w:lang w:val="en-GB"/>
        </w:rPr>
      </w:pPr>
    </w:p>
    <w:p w:rsidRPr="009F3F65" w:rsidR="003130C2" w:rsidP="003130C2" w:rsidRDefault="003130C2" w14:paraId="25654890" w14:textId="77777777">
      <w:pPr>
        <w:spacing w:line="300" w:lineRule="exact"/>
        <w:rPr>
          <w:lang w:val="en-GB"/>
        </w:rPr>
      </w:pPr>
    </w:p>
    <w:p w:rsidRPr="009F3F65" w:rsidR="003130C2" w:rsidP="003130C2" w:rsidRDefault="003130C2" w14:paraId="399D7974" w14:textId="77777777">
      <w:pPr>
        <w:spacing w:line="300" w:lineRule="exact"/>
        <w:rPr>
          <w:lang w:val="en-GB"/>
        </w:rPr>
      </w:pPr>
    </w:p>
    <w:p w:rsidRPr="009F3F65" w:rsidR="003130C2" w:rsidP="003130C2" w:rsidRDefault="003130C2" w14:paraId="6949395F" w14:textId="77777777">
      <w:pPr>
        <w:spacing w:line="300" w:lineRule="exact"/>
        <w:rPr>
          <w:lang w:val="en-GB"/>
        </w:rPr>
      </w:pPr>
    </w:p>
    <w:p w:rsidRPr="009F3F65" w:rsidR="003130C2" w:rsidP="003130C2" w:rsidRDefault="003130C2" w14:paraId="392AD05F" w14:textId="77777777">
      <w:pPr>
        <w:spacing w:line="300" w:lineRule="exact"/>
        <w:rPr>
          <w:lang w:val="en-GB"/>
        </w:rPr>
      </w:pPr>
    </w:p>
    <w:p w:rsidRPr="009F3F65" w:rsidR="003130C2" w:rsidP="003130C2" w:rsidRDefault="003130C2" w14:paraId="3A88A4B4" w14:textId="77777777">
      <w:pPr>
        <w:spacing w:line="300" w:lineRule="exact"/>
        <w:rPr>
          <w:lang w:val="en-GB"/>
        </w:rPr>
      </w:pPr>
    </w:p>
    <w:p w:rsidRPr="009F3F65" w:rsidR="003130C2" w:rsidP="003130C2" w:rsidRDefault="003130C2" w14:paraId="27235F37" w14:textId="77777777">
      <w:pPr>
        <w:spacing w:line="300" w:lineRule="exact"/>
        <w:rPr>
          <w:lang w:val="en-GB"/>
        </w:rPr>
      </w:pPr>
    </w:p>
    <w:p w:rsidRPr="009F3F65" w:rsidR="003130C2" w:rsidP="003130C2" w:rsidRDefault="003130C2" w14:paraId="130881F2" w14:textId="77777777">
      <w:pPr>
        <w:spacing w:line="300" w:lineRule="exact"/>
        <w:rPr>
          <w:lang w:val="en-GB"/>
        </w:rPr>
      </w:pPr>
    </w:p>
    <w:p w:rsidRPr="009F3F65" w:rsidR="003130C2" w:rsidP="003130C2" w:rsidRDefault="003130C2" w14:paraId="486DE6E6" w14:textId="77777777">
      <w:pPr>
        <w:spacing w:line="300" w:lineRule="exact"/>
        <w:rPr>
          <w:lang w:val="en-GB"/>
        </w:rPr>
      </w:pPr>
    </w:p>
    <w:p w:rsidRPr="009F3F65" w:rsidR="003130C2" w:rsidP="003130C2" w:rsidRDefault="003130C2" w14:paraId="3B3FD20F" w14:textId="77777777">
      <w:pPr>
        <w:spacing w:line="300" w:lineRule="exact"/>
        <w:jc w:val="center"/>
      </w:pPr>
      <w:r>
        <w:rPr>
          <w:b/>
          <w:color w:val="5B9BD5" w:themeColor="accent1"/>
          <w:sz w:val="20"/>
        </w:rPr>
        <w:t>Figure 25.</w:t>
      </w:r>
      <w:r>
        <w:rPr>
          <w:color w:val="5B9BD5" w:themeColor="accent1"/>
          <w:sz w:val="20"/>
        </w:rPr>
        <w:t xml:space="preserve"> DEP synergies with other EU funding programmes – general.</w:t>
      </w:r>
    </w:p>
    <w:p w:rsidRPr="009F3F65" w:rsidR="003130C2" w:rsidP="003130C2" w:rsidRDefault="003130C2" w14:paraId="1A6A4E63" w14:textId="77777777">
      <w:pPr>
        <w:spacing w:line="300" w:lineRule="exact"/>
        <w:rPr>
          <w:lang w:val="en-GB"/>
        </w:rPr>
      </w:pPr>
    </w:p>
    <w:p w:rsidRPr="009F3F65" w:rsidR="003130C2" w:rsidP="003130C2" w:rsidRDefault="003130C2" w14:paraId="7B4DE3A2" w14:textId="77777777">
      <w:pPr>
        <w:spacing w:line="300" w:lineRule="exact"/>
      </w:pPr>
      <w:r>
        <w:t>A cross-country perspective broadly reflects the aforementioned trends, with, again, the German, Maltese and Polish respondents expressing more positive views, and the Swedish respondents being ‘unsure’, with between 60% and 100% of them giving this answer depending on the programme.</w:t>
      </w:r>
    </w:p>
    <w:p w:rsidRPr="009F3F65" w:rsidR="003130C2" w:rsidP="003130C2" w:rsidRDefault="003130C2" w14:paraId="7622BC7A" w14:textId="77777777">
      <w:pPr>
        <w:spacing w:line="240" w:lineRule="auto"/>
        <w:jc w:val="left"/>
        <w:rPr>
          <w:lang w:val="en-GB"/>
        </w:rPr>
      </w:pPr>
    </w:p>
    <w:p w:rsidRPr="009F3F65" w:rsidR="003130C2" w:rsidP="003130C2" w:rsidRDefault="003130C2" w14:paraId="2DA593A0" w14:textId="77777777">
      <w:pPr>
        <w:spacing w:line="300" w:lineRule="exact"/>
      </w:pPr>
      <w:r>
        <w:rPr>
          <w:noProof/>
        </w:rPr>
        <w:drawing>
          <wp:anchor distT="0" distB="0" distL="114300" distR="114300" simplePos="0" relativeHeight="251740160" behindDoc="0" locked="0" layoutInCell="1" allowOverlap="1" wp14:editId="3EA038EF" wp14:anchorId="47486039">
            <wp:simplePos x="0" y="0"/>
            <wp:positionH relativeFrom="margin">
              <wp:align>right</wp:align>
            </wp:positionH>
            <wp:positionV relativeFrom="paragraph">
              <wp:posOffset>127000</wp:posOffset>
            </wp:positionV>
            <wp:extent cx="5731510" cy="4718050"/>
            <wp:effectExtent l="0" t="0" r="2540" b="6350"/>
            <wp:wrapNone/>
            <wp:docPr id="254" name="Chart 254">
              <a:extLst xmlns:a="http://schemas.openxmlformats.org/drawingml/2006/main">
                <a:ext uri="{FF2B5EF4-FFF2-40B4-BE49-F238E27FC236}">
                  <a16:creationId xmlns:a16="http://schemas.microsoft.com/office/drawing/2014/main" id="{838BE546-0B55-499F-88A5-145178437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V relativeFrom="margin">
              <wp14:pctHeight>0</wp14:pctHeight>
            </wp14:sizeRelV>
          </wp:anchor>
        </w:drawing>
      </w:r>
    </w:p>
    <w:p w:rsidRPr="009F3F65" w:rsidR="003130C2" w:rsidP="003130C2" w:rsidRDefault="003130C2" w14:paraId="441D2BFA" w14:textId="77777777">
      <w:pPr>
        <w:spacing w:line="300" w:lineRule="exact"/>
        <w:rPr>
          <w:lang w:val="en-GB"/>
        </w:rPr>
      </w:pPr>
    </w:p>
    <w:p w:rsidRPr="009F3F65" w:rsidR="003130C2" w:rsidP="003130C2" w:rsidRDefault="003130C2" w14:paraId="2E2D0145" w14:textId="77777777">
      <w:pPr>
        <w:spacing w:line="300" w:lineRule="exact"/>
        <w:rPr>
          <w:lang w:val="en-GB"/>
        </w:rPr>
      </w:pPr>
    </w:p>
    <w:p w:rsidRPr="009F3F65" w:rsidR="003130C2" w:rsidP="003130C2" w:rsidRDefault="003130C2" w14:paraId="0F9679AE" w14:textId="77777777">
      <w:pPr>
        <w:spacing w:line="300" w:lineRule="exact"/>
        <w:rPr>
          <w:lang w:val="en-GB"/>
        </w:rPr>
      </w:pPr>
    </w:p>
    <w:p w:rsidRPr="009F3F65" w:rsidR="003130C2" w:rsidP="003130C2" w:rsidRDefault="003130C2" w14:paraId="1AC6B1E0" w14:textId="77777777">
      <w:pPr>
        <w:spacing w:line="300" w:lineRule="exact"/>
        <w:rPr>
          <w:lang w:val="en-GB"/>
        </w:rPr>
      </w:pPr>
    </w:p>
    <w:p w:rsidRPr="009F3F65" w:rsidR="003130C2" w:rsidP="003130C2" w:rsidRDefault="003130C2" w14:paraId="53A2918D" w14:textId="77777777">
      <w:pPr>
        <w:spacing w:line="300" w:lineRule="exact"/>
        <w:rPr>
          <w:lang w:val="en-GB"/>
        </w:rPr>
      </w:pPr>
    </w:p>
    <w:p w:rsidRPr="009F3F65" w:rsidR="003130C2" w:rsidP="003130C2" w:rsidRDefault="003130C2" w14:paraId="1EB6AA63" w14:textId="77777777">
      <w:pPr>
        <w:spacing w:line="300" w:lineRule="exact"/>
        <w:rPr>
          <w:lang w:val="en-GB"/>
        </w:rPr>
      </w:pPr>
    </w:p>
    <w:p w:rsidRPr="009F3F65" w:rsidR="003130C2" w:rsidP="003130C2" w:rsidRDefault="003130C2" w14:paraId="60B35B79" w14:textId="77777777">
      <w:pPr>
        <w:spacing w:line="300" w:lineRule="exact"/>
        <w:rPr>
          <w:lang w:val="en-GB"/>
        </w:rPr>
      </w:pPr>
    </w:p>
    <w:p w:rsidRPr="009F3F65" w:rsidR="003130C2" w:rsidP="003130C2" w:rsidRDefault="003130C2" w14:paraId="5BC9240C" w14:textId="77777777">
      <w:pPr>
        <w:spacing w:line="300" w:lineRule="exact"/>
        <w:rPr>
          <w:lang w:val="en-GB"/>
        </w:rPr>
      </w:pPr>
    </w:p>
    <w:p w:rsidRPr="009F3F65" w:rsidR="003130C2" w:rsidP="003130C2" w:rsidRDefault="003130C2" w14:paraId="4E78BA33" w14:textId="77777777">
      <w:pPr>
        <w:spacing w:line="300" w:lineRule="exact"/>
        <w:rPr>
          <w:lang w:val="en-GB"/>
        </w:rPr>
      </w:pPr>
    </w:p>
    <w:p w:rsidRPr="009F3F65" w:rsidR="003130C2" w:rsidP="003130C2" w:rsidRDefault="003130C2" w14:paraId="088C0834" w14:textId="77777777">
      <w:pPr>
        <w:spacing w:line="300" w:lineRule="exact"/>
        <w:rPr>
          <w:lang w:val="en-GB"/>
        </w:rPr>
      </w:pPr>
    </w:p>
    <w:p w:rsidRPr="009F3F65" w:rsidR="003130C2" w:rsidP="003130C2" w:rsidRDefault="003130C2" w14:paraId="7F2365EA" w14:textId="77777777">
      <w:pPr>
        <w:spacing w:line="300" w:lineRule="exact"/>
        <w:rPr>
          <w:lang w:val="en-GB"/>
        </w:rPr>
      </w:pPr>
    </w:p>
    <w:p w:rsidRPr="009F3F65" w:rsidR="003130C2" w:rsidP="003130C2" w:rsidRDefault="003130C2" w14:paraId="0C09B69A" w14:textId="77777777">
      <w:pPr>
        <w:spacing w:line="300" w:lineRule="exact"/>
        <w:rPr>
          <w:lang w:val="en-GB"/>
        </w:rPr>
      </w:pPr>
    </w:p>
    <w:p w:rsidRPr="009F3F65" w:rsidR="003130C2" w:rsidP="003130C2" w:rsidRDefault="003130C2" w14:paraId="6BAED755" w14:textId="77777777">
      <w:pPr>
        <w:spacing w:line="300" w:lineRule="exact"/>
        <w:rPr>
          <w:lang w:val="en-GB"/>
        </w:rPr>
      </w:pPr>
    </w:p>
    <w:p w:rsidRPr="009F3F65" w:rsidR="003130C2" w:rsidP="003130C2" w:rsidRDefault="003130C2" w14:paraId="2D87CA39" w14:textId="77777777">
      <w:pPr>
        <w:spacing w:line="300" w:lineRule="exact"/>
        <w:rPr>
          <w:lang w:val="en-GB"/>
        </w:rPr>
      </w:pPr>
    </w:p>
    <w:p w:rsidRPr="009F3F65" w:rsidR="003130C2" w:rsidP="003130C2" w:rsidRDefault="003130C2" w14:paraId="4D65A760" w14:textId="77777777">
      <w:pPr>
        <w:spacing w:line="300" w:lineRule="exact"/>
        <w:rPr>
          <w:lang w:val="en-GB"/>
        </w:rPr>
      </w:pPr>
    </w:p>
    <w:p w:rsidRPr="009F3F65" w:rsidR="003130C2" w:rsidP="003130C2" w:rsidRDefault="003130C2" w14:paraId="4FD2F055" w14:textId="77777777">
      <w:pPr>
        <w:spacing w:line="300" w:lineRule="exact"/>
        <w:rPr>
          <w:lang w:val="en-GB"/>
        </w:rPr>
      </w:pPr>
    </w:p>
    <w:p w:rsidRPr="009F3F65" w:rsidR="003130C2" w:rsidP="003130C2" w:rsidRDefault="003130C2" w14:paraId="6A5ABA47" w14:textId="77777777">
      <w:pPr>
        <w:spacing w:line="300" w:lineRule="exact"/>
        <w:rPr>
          <w:lang w:val="en-GB"/>
        </w:rPr>
      </w:pPr>
    </w:p>
    <w:p w:rsidRPr="009F3F65" w:rsidR="003130C2" w:rsidP="003130C2" w:rsidRDefault="003130C2" w14:paraId="35A927FC" w14:textId="77777777">
      <w:pPr>
        <w:spacing w:line="300" w:lineRule="exact"/>
        <w:rPr>
          <w:lang w:val="en-GB"/>
        </w:rPr>
      </w:pPr>
    </w:p>
    <w:p w:rsidRPr="009F3F65" w:rsidR="003130C2" w:rsidP="003130C2" w:rsidRDefault="003130C2" w14:paraId="356FC17E" w14:textId="77777777">
      <w:pPr>
        <w:spacing w:line="300" w:lineRule="exact"/>
        <w:rPr>
          <w:lang w:val="en-GB"/>
        </w:rPr>
      </w:pPr>
    </w:p>
    <w:p w:rsidRPr="009F3F65" w:rsidR="003130C2" w:rsidP="003130C2" w:rsidRDefault="003130C2" w14:paraId="1B5EDB8A" w14:textId="77777777">
      <w:pPr>
        <w:spacing w:line="300" w:lineRule="exact"/>
        <w:rPr>
          <w:lang w:val="en-GB"/>
        </w:rPr>
      </w:pPr>
    </w:p>
    <w:p w:rsidRPr="009F3F65" w:rsidR="003130C2" w:rsidP="003130C2" w:rsidRDefault="003130C2" w14:paraId="2118EBAA" w14:textId="77777777">
      <w:pPr>
        <w:spacing w:line="300" w:lineRule="exact"/>
        <w:rPr>
          <w:lang w:val="en-GB"/>
        </w:rPr>
      </w:pPr>
    </w:p>
    <w:p w:rsidRPr="009F3F65" w:rsidR="003130C2" w:rsidP="003130C2" w:rsidRDefault="003130C2" w14:paraId="5415AAE1" w14:textId="77777777">
      <w:pPr>
        <w:spacing w:line="300" w:lineRule="exact"/>
        <w:rPr>
          <w:lang w:val="en-GB"/>
        </w:rPr>
      </w:pPr>
    </w:p>
    <w:p w:rsidRPr="009F3F65" w:rsidR="003130C2" w:rsidP="003130C2" w:rsidRDefault="003130C2" w14:paraId="5E495693" w14:textId="77777777">
      <w:pPr>
        <w:spacing w:line="300" w:lineRule="exact"/>
        <w:rPr>
          <w:lang w:val="en-GB"/>
        </w:rPr>
      </w:pPr>
    </w:p>
    <w:p w:rsidRPr="009F3F65" w:rsidR="003130C2" w:rsidP="003130C2" w:rsidRDefault="003130C2" w14:paraId="3E8B2144" w14:textId="77777777">
      <w:pPr>
        <w:spacing w:line="300" w:lineRule="exact"/>
        <w:rPr>
          <w:lang w:val="en-GB"/>
        </w:rPr>
      </w:pPr>
    </w:p>
    <w:p w:rsidRPr="009F3F65" w:rsidR="003130C2" w:rsidP="003130C2" w:rsidRDefault="003130C2" w14:paraId="7A87FBB3" w14:textId="77777777">
      <w:pPr>
        <w:spacing w:line="300" w:lineRule="exact"/>
        <w:rPr>
          <w:lang w:val="en-GB"/>
        </w:rPr>
      </w:pPr>
    </w:p>
    <w:p w:rsidRPr="009F3F65" w:rsidR="003130C2" w:rsidP="003130C2" w:rsidRDefault="003130C2" w14:paraId="4DD0059A" w14:textId="77777777">
      <w:pPr>
        <w:spacing w:line="300" w:lineRule="exact"/>
        <w:jc w:val="center"/>
        <w:rPr>
          <w:color w:val="5B9BD5" w:themeColor="accent1"/>
          <w:sz w:val="20"/>
        </w:rPr>
      </w:pPr>
      <w:r>
        <w:rPr>
          <w:b/>
          <w:color w:val="5B9BD5" w:themeColor="accent1"/>
          <w:sz w:val="20"/>
        </w:rPr>
        <w:t>Figure 26.</w:t>
      </w:r>
      <w:r>
        <w:rPr>
          <w:color w:val="5B9BD5" w:themeColor="accent1"/>
          <w:sz w:val="20"/>
        </w:rPr>
        <w:t xml:space="preserve"> DEP synergies with other EU funding programmes – by country.</w:t>
      </w:r>
    </w:p>
    <w:p w:rsidRPr="009F3F65" w:rsidR="003130C2" w:rsidP="003130C2" w:rsidRDefault="003130C2" w14:paraId="4073BD49" w14:textId="77777777">
      <w:pPr>
        <w:spacing w:line="300" w:lineRule="exact"/>
      </w:pPr>
      <w:r>
        <w:t xml:space="preserve">During the semi-structured interviews, a representative from the </w:t>
      </w:r>
      <w:r>
        <w:rPr>
          <w:b/>
        </w:rPr>
        <w:t>Maltese</w:t>
      </w:r>
      <w:r>
        <w:t xml:space="preserve"> beneficiaries stressed that </w:t>
      </w:r>
      <w:r>
        <w:rPr>
          <w:b/>
        </w:rPr>
        <w:t>it is critical to ensure proper complementarity between the Horizon Europe programme and the DEP</w:t>
      </w:r>
      <w:r>
        <w:t xml:space="preserve">, by providing clearer separation of their scopes when drawing up specific calls (calls under Cluster 4 of Horizon Europe can overlap with calls under the DEP). The DEP should have a stronger role in the market uptake to close the loop of the research results provided by Horizon Europe as a programme more focused on R&amp;I. Complementarities should be fostered between the two programmes from a strategic planning perspective (e.g. the drawing up of the respective annual work programmes should be aligned and dealt with through the same comitology procedures and entities). There should be harmonisation between the two programmes when setting timelines and deadlines (clear synchronisation of the respective projects in terms of their beginning and end by ensuring the uptake of the results from one programme to the other). </w:t>
      </w:r>
    </w:p>
    <w:p w:rsidRPr="009F3F65" w:rsidR="003130C2" w:rsidP="003130C2" w:rsidRDefault="003130C2" w14:paraId="33317947" w14:textId="77777777">
      <w:pPr>
        <w:spacing w:line="300" w:lineRule="exact"/>
        <w:rPr>
          <w:lang w:val="en-GB"/>
        </w:rPr>
      </w:pPr>
    </w:p>
    <w:p w:rsidRPr="009F3F65" w:rsidR="003130C2" w:rsidP="003130C2" w:rsidRDefault="003130C2" w14:paraId="0C0677E1" w14:textId="77777777">
      <w:pPr>
        <w:spacing w:line="300" w:lineRule="exact"/>
      </w:pPr>
      <w:r>
        <w:t xml:space="preserve">Concerning advanced digital skills, the </w:t>
      </w:r>
      <w:r>
        <w:rPr>
          <w:b/>
        </w:rPr>
        <w:t>Maltese</w:t>
      </w:r>
      <w:r>
        <w:t xml:space="preserve"> beneficiaries </w:t>
      </w:r>
      <w:r>
        <w:rPr>
          <w:b/>
        </w:rPr>
        <w:t>stressed the need for the same type of complementarity between the DEP and the other EU programmes focusing on digital skills</w:t>
      </w:r>
      <w:r>
        <w:t xml:space="preserve"> (Creative Europe, Erasmus+, ESF+). Moreover, a representative from a </w:t>
      </w:r>
      <w:r>
        <w:rPr>
          <w:b/>
        </w:rPr>
        <w:t>Maltese</w:t>
      </w:r>
      <w:r>
        <w:t xml:space="preserve"> public entity provided the historical context of Malta’s involvement in related initiatives at EU level: it had mainly benefited from a project under the ESF+ (which had run from 2016 until 2023) with a special focus on students advancing their digital skills, and this had been quite successful (all other projects – e.g. eTwinning – stem from this experience). The public entity representative pointed out </w:t>
      </w:r>
      <w:r>
        <w:rPr>
          <w:b/>
        </w:rPr>
        <w:t>the need to ensure the alignment of the DEP with the Digital Education Action Plan</w:t>
      </w:r>
      <w:r>
        <w:t xml:space="preserve"> (e.g. Action 9 on the European Digital Skills Certificate) with a view to correctly identifying future skills needs. Moreover, the entity underlined the critical role that the EDIH-Malta Hub would play in streamlining the support for digital skills in academia and the private sector.</w:t>
      </w:r>
    </w:p>
    <w:p w:rsidRPr="009F3F65" w:rsidR="003130C2" w:rsidP="003130C2" w:rsidRDefault="003130C2" w14:paraId="6F31B978" w14:textId="77777777">
      <w:pPr>
        <w:spacing w:line="300" w:lineRule="exact"/>
        <w:rPr>
          <w:lang w:val="en-GB"/>
        </w:rPr>
      </w:pPr>
    </w:p>
    <w:p w:rsidRPr="009F3F65" w:rsidR="003130C2" w:rsidP="003130C2" w:rsidRDefault="003130C2" w14:paraId="61A51C6A" w14:textId="77777777">
      <w:pPr>
        <w:spacing w:line="300" w:lineRule="exact"/>
      </w:pPr>
      <w:r>
        <w:t xml:space="preserve">Furthermore, a representative from the </w:t>
      </w:r>
      <w:r>
        <w:rPr>
          <w:b/>
        </w:rPr>
        <w:t>Maltese</w:t>
      </w:r>
      <w:r>
        <w:t xml:space="preserve"> public </w:t>
      </w:r>
      <w:r>
        <w:rPr>
          <w:b/>
        </w:rPr>
        <w:t>authorities pointed to the importance of considering the DEP in conjunction with other EU and national funds</w:t>
      </w:r>
      <w:r>
        <w:t>, and highlighted the strategic role played by public agencies helping MSMEs to obtain finance from several different funds. In the public authority’s view, the DEP covers strategic subjects in terms of digital transformation and fills important gaps not covered by other funding opportunities.</w:t>
      </w:r>
    </w:p>
    <w:p w:rsidRPr="009F3F65" w:rsidR="003130C2" w:rsidP="003130C2" w:rsidRDefault="003130C2" w14:paraId="163FF709" w14:textId="77777777">
      <w:pPr>
        <w:spacing w:line="300" w:lineRule="exact"/>
        <w:rPr>
          <w:lang w:val="en-GB"/>
        </w:rPr>
      </w:pPr>
    </w:p>
    <w:p w:rsidRPr="009F3F65" w:rsidR="003130C2" w:rsidP="003130C2" w:rsidRDefault="003130C2" w14:paraId="2EF4D6A8" w14:textId="77777777">
      <w:pPr>
        <w:spacing w:line="300" w:lineRule="exact"/>
      </w:pPr>
      <w:r>
        <w:t xml:space="preserve">During the semi-structured interviews in Poland, representatives from the public authorities pointed to </w:t>
      </w:r>
      <w:r>
        <w:rPr>
          <w:b/>
        </w:rPr>
        <w:t>the need to ensure proper interaction and synergies between the EU programmes focusing on the same subjects</w:t>
      </w:r>
      <w:r>
        <w:t xml:space="preserve"> (e.g. semiconductors and HPCs are funded and covered by both the Digital Europe Programme and Horizon Europe). While Horizon Europe focuses on R&amp;I and the Digital Europe Programme focuses on market uptake, this conceptual separation is blurry when it comes to project development and implementation.</w:t>
      </w:r>
    </w:p>
    <w:p w:rsidRPr="009F3F65" w:rsidR="003130C2" w:rsidP="003130C2" w:rsidRDefault="003130C2" w14:paraId="01DBC254" w14:textId="77777777">
      <w:pPr>
        <w:spacing w:line="300" w:lineRule="exact"/>
        <w:rPr>
          <w:lang w:val="en-GB"/>
        </w:rPr>
      </w:pPr>
    </w:p>
    <w:p w:rsidRPr="009F3F65" w:rsidR="003130C2" w:rsidP="003130C2" w:rsidRDefault="003130C2" w14:paraId="66BAB514" w14:textId="77777777">
      <w:pPr>
        <w:spacing w:line="300" w:lineRule="exact"/>
      </w:pPr>
      <w:r>
        <w:t xml:space="preserve">The </w:t>
      </w:r>
      <w:r>
        <w:rPr>
          <w:b/>
        </w:rPr>
        <w:t>Polish</w:t>
      </w:r>
      <w:r>
        <w:t xml:space="preserve"> DEP beneficiaries noted that the similarities in terms of processes and structure with other EU funding programmes (e.g. Horizon 2020, Horizon Europe) facilitated the involvement of beneficiaries already active in those previous programmes, especially for projects on EDIHs. Nevertheless, they pointed out the challenge related to the application of the </w:t>
      </w:r>
      <w:r>
        <w:rPr>
          <w:i/>
        </w:rPr>
        <w:t>de minimis</w:t>
      </w:r>
      <w:r>
        <w:t xml:space="preserve"> aid regime as regards the awarding of grants under the DEP, which entailed more complex conditions for the implementation of projects (e.g. reduced flexibility in addressing the needs of clients/SMEs, increased formalities for cascade funding compared to the conditions established previously under Horizon 2020). </w:t>
      </w:r>
      <w:r>
        <w:rPr>
          <w:b/>
        </w:rPr>
        <w:lastRenderedPageBreak/>
        <w:t>It was suggested that better coordination should be ensured, by requiring the same scheme for all EDIHs</w:t>
      </w:r>
      <w:r>
        <w:t xml:space="preserve"> (instead of demanding documentation individually).</w:t>
      </w:r>
    </w:p>
    <w:p w:rsidRPr="009F3F65" w:rsidR="003130C2" w:rsidP="003130C2" w:rsidRDefault="003130C2" w14:paraId="23C1B2AF" w14:textId="77777777">
      <w:pPr>
        <w:spacing w:line="300" w:lineRule="exact"/>
        <w:rPr>
          <w:lang w:val="en-GB"/>
        </w:rPr>
      </w:pPr>
    </w:p>
    <w:p w:rsidRPr="009F3F65" w:rsidR="003130C2" w:rsidP="003130C2" w:rsidRDefault="003130C2" w14:paraId="58F0BC10" w14:textId="77777777">
      <w:pPr>
        <w:spacing w:line="300" w:lineRule="exact"/>
      </w:pPr>
      <w:r>
        <w:t xml:space="preserve">During the semi-structured interviews in </w:t>
      </w:r>
      <w:r>
        <w:rPr>
          <w:b/>
        </w:rPr>
        <w:t>Portugal</w:t>
      </w:r>
      <w:r>
        <w:t>, a representative from a digital innovation entity noted that the DEP was linked to the Horizon Programme. Digital Europe covered technological maturity levels that Horizon did not, aiding in technology implementation in the market and complementing the Horizon Programme. This intertwining, along with the co-financing mechanisms, was considered a reason why some countries ranked higher or lower. Portugal also utilised the Recovery Programme in specific domains such as digital innovation hubs and implemented co-financing mechanisms with different testing in the health sector through national mechanisms. However, for other domains, there were no co-financing mechanisms, which was considered demotivating, not only for Portugal.</w:t>
      </w:r>
    </w:p>
    <w:p w:rsidRPr="009F3F65" w:rsidR="003130C2" w:rsidP="003130C2" w:rsidRDefault="003130C2" w14:paraId="266B9F82" w14:textId="77777777">
      <w:pPr>
        <w:spacing w:line="300" w:lineRule="exact"/>
        <w:rPr>
          <w:lang w:val="en-GB"/>
        </w:rPr>
      </w:pPr>
    </w:p>
    <w:p w:rsidRPr="009F3F65" w:rsidR="003130C2" w:rsidP="003130C2" w:rsidRDefault="003130C2" w14:paraId="09D31512" w14:textId="77777777">
      <w:pPr>
        <w:spacing w:line="300" w:lineRule="exact"/>
      </w:pPr>
      <w:r>
        <w:t xml:space="preserve">Another point raised by </w:t>
      </w:r>
      <w:r>
        <w:rPr>
          <w:b/>
        </w:rPr>
        <w:t>Portugal</w:t>
      </w:r>
      <w:r>
        <w:t xml:space="preserve"> was the numerous difficulties in the interaction between the Recovery Programme and the DEP. </w:t>
      </w:r>
      <w:r>
        <w:rPr>
          <w:b/>
        </w:rPr>
        <w:t>There were some irregularities when combining these funds</w:t>
      </w:r>
      <w:r>
        <w:t>, as it was a dual financing approach. It was noted that the issues were related to the capacity to implement the programme. It was highlighted that the legislation process took too long, and that this legislative part had only been resolved the previous year.</w:t>
      </w:r>
    </w:p>
    <w:p w:rsidRPr="009F3F65" w:rsidR="003130C2" w:rsidP="003130C2" w:rsidRDefault="003130C2" w14:paraId="01DC1B06" w14:textId="77777777">
      <w:pPr>
        <w:spacing w:line="300" w:lineRule="exact"/>
        <w:rPr>
          <w:lang w:val="en-GB"/>
        </w:rPr>
      </w:pPr>
    </w:p>
    <w:p w:rsidRPr="009F3F65" w:rsidR="003130C2" w:rsidP="003130C2" w:rsidRDefault="003130C2" w14:paraId="74057398" w14:textId="77777777">
      <w:pPr>
        <w:spacing w:line="300" w:lineRule="exact"/>
      </w:pPr>
      <w:r>
        <w:t xml:space="preserve">Finally, the Portuguese stakeholders pointed out that </w:t>
      </w:r>
      <w:r>
        <w:rPr>
          <w:b/>
        </w:rPr>
        <w:t>there are other EU funding programmes with higher rates of co-financing, which make the DEP, standing at 50% co-financing, less attractive</w:t>
      </w:r>
      <w:r>
        <w:t>.</w:t>
      </w:r>
    </w:p>
    <w:p w:rsidRPr="009F3F65" w:rsidR="003130C2" w:rsidP="003130C2" w:rsidRDefault="003130C2" w14:paraId="103073D4" w14:textId="77777777">
      <w:pPr>
        <w:spacing w:line="300" w:lineRule="exact"/>
        <w:rPr>
          <w:lang w:val="en-GB"/>
        </w:rPr>
      </w:pPr>
    </w:p>
    <w:p w:rsidRPr="009F3F65" w:rsidR="003130C2" w:rsidP="003130C2" w:rsidRDefault="003130C2" w14:paraId="2DD83BE5" w14:textId="77777777">
      <w:pPr>
        <w:spacing w:line="300" w:lineRule="exact"/>
      </w:pPr>
      <w:r>
        <w:t xml:space="preserve">During the semi-structured interviews in </w:t>
      </w:r>
      <w:r>
        <w:rPr>
          <w:b/>
        </w:rPr>
        <w:t>Sweden</w:t>
      </w:r>
      <w:r>
        <w:t xml:space="preserve">, a representative from the public authorities noted that challenges arose from the need to find co-funding from different actors, leading to negative consequences. This co-funding difficulty was noted also for other programmes such as the European Regional Development Fund (ERDF) and Horizon, where it was possible to co-fund but it was complicated due to diverging national authority rules. These co-funding mechanisms were deemed detrimental to the implementation of the programme. </w:t>
      </w:r>
    </w:p>
    <w:p w:rsidRPr="009F3F65" w:rsidR="003130C2" w:rsidP="003130C2" w:rsidRDefault="003130C2" w14:paraId="5B7E9CA7" w14:textId="77777777">
      <w:pPr>
        <w:spacing w:line="300" w:lineRule="exact"/>
        <w:rPr>
          <w:lang w:val="en-GB"/>
        </w:rPr>
      </w:pPr>
    </w:p>
    <w:p w:rsidRPr="009F3F65" w:rsidR="003130C2" w:rsidP="003130C2" w:rsidRDefault="003130C2" w14:paraId="234C920E" w14:textId="77777777">
      <w:pPr>
        <w:spacing w:line="300" w:lineRule="exact"/>
      </w:pPr>
      <w:r>
        <w:t xml:space="preserve">In an additional question, </w:t>
      </w:r>
      <w:r>
        <w:rPr>
          <w:u w:val="single"/>
        </w:rPr>
        <w:t>asked to name any other funding programmes with which the DEP had developed synergies in their respective country to their knowledge</w:t>
      </w:r>
      <w:r>
        <w:t xml:space="preserve"> (</w:t>
      </w:r>
      <w:r>
        <w:rPr>
          <w:b/>
        </w:rPr>
        <w:t>question 15a</w:t>
      </w:r>
      <w:r>
        <w:t xml:space="preserve">), ten respondents mentioned the following programmes: EU4Health, the Creative Europe programme, the Justice programme (JUST), and the European Social Fund (ESF). In particular, the German stakeholders mentioned </w:t>
      </w:r>
      <w:r>
        <w:rPr>
          <w:i/>
        </w:rPr>
        <w:t>Mittelstand-Digital</w:t>
      </w:r>
      <w:r>
        <w:t xml:space="preserve"> and the </w:t>
      </w:r>
      <w:r>
        <w:rPr>
          <w:i/>
        </w:rPr>
        <w:t>Zukunftszentren</w:t>
      </w:r>
      <w:r>
        <w:t>, as well as the German Framework Programme on Quantum Technologies; it was also noted that the German part of Airbus is involved in DEP and EDF projects.</w:t>
      </w:r>
    </w:p>
    <w:p w:rsidRPr="009F3F65" w:rsidR="003130C2" w:rsidP="003130C2" w:rsidRDefault="003130C2" w14:paraId="4B8BDF54" w14:textId="77777777">
      <w:pPr>
        <w:spacing w:line="300" w:lineRule="exact"/>
        <w:rPr>
          <w:lang w:val="en-GB"/>
        </w:rPr>
      </w:pPr>
    </w:p>
    <w:p w:rsidRPr="009F3F65" w:rsidR="003130C2" w:rsidP="003130C2" w:rsidRDefault="003130C2" w14:paraId="500374DA" w14:textId="77777777">
      <w:pPr>
        <w:spacing w:line="300" w:lineRule="exact"/>
      </w:pPr>
      <w:r>
        <w:t xml:space="preserve">Finally, </w:t>
      </w:r>
      <w:r>
        <w:rPr>
          <w:u w:val="single"/>
        </w:rPr>
        <w:t>asked for their opinion on how relevant the national contact points (NCPs) had been in facilitating networking and cooperation between stakeholders and NCPs in other countries</w:t>
      </w:r>
      <w:r>
        <w:t xml:space="preserve"> (</w:t>
      </w:r>
      <w:r>
        <w:rPr>
          <w:b/>
        </w:rPr>
        <w:t>question 16</w:t>
      </w:r>
      <w:r>
        <w:t xml:space="preserve">), the respondents views were very divergent, with the largest number of respondents choosing the answers ‘not very relevant’ (26%) and ‘moderately relevant’ (23%). </w:t>
      </w:r>
    </w:p>
    <w:p w:rsidRPr="009F3F65" w:rsidR="003130C2" w:rsidP="003130C2" w:rsidRDefault="003130C2" w14:paraId="2FA6B925" w14:textId="77777777">
      <w:pPr>
        <w:spacing w:line="300" w:lineRule="exact"/>
        <w:rPr>
          <w:lang w:val="en-GB"/>
        </w:rPr>
      </w:pPr>
    </w:p>
    <w:p w:rsidRPr="009F3F65" w:rsidR="003130C2" w:rsidP="003130C2" w:rsidRDefault="003130C2" w14:paraId="2A199423" w14:textId="77777777">
      <w:pPr>
        <w:spacing w:line="240" w:lineRule="auto"/>
        <w:jc w:val="left"/>
      </w:pPr>
      <w:r>
        <w:br w:type="page"/>
      </w:r>
    </w:p>
    <w:p w:rsidRPr="009F3F65" w:rsidR="003130C2" w:rsidP="003130C2" w:rsidRDefault="003130C2" w14:paraId="3254D86F" w14:textId="77777777">
      <w:pPr>
        <w:spacing w:line="300" w:lineRule="exact"/>
        <w:rPr>
          <w:lang w:val="en-GB"/>
        </w:rPr>
      </w:pPr>
    </w:p>
    <w:p w:rsidRPr="009F3F65" w:rsidR="003130C2" w:rsidP="003130C2" w:rsidRDefault="003130C2" w14:paraId="7BFFEC5E" w14:textId="77777777">
      <w:pPr>
        <w:spacing w:line="300" w:lineRule="exact"/>
      </w:pPr>
      <w:r>
        <w:rPr>
          <w:noProof/>
        </w:rPr>
        <w:drawing>
          <wp:anchor distT="0" distB="0" distL="114300" distR="114300" simplePos="0" relativeHeight="251749376" behindDoc="0" locked="0" layoutInCell="1" allowOverlap="1" wp14:editId="70179DBE" wp14:anchorId="23B4F494">
            <wp:simplePos x="0" y="0"/>
            <wp:positionH relativeFrom="margin">
              <wp:posOffset>520700</wp:posOffset>
            </wp:positionH>
            <wp:positionV relativeFrom="paragraph">
              <wp:posOffset>0</wp:posOffset>
            </wp:positionV>
            <wp:extent cx="4813300" cy="2638425"/>
            <wp:effectExtent l="0" t="0" r="6350" b="9525"/>
            <wp:wrapNone/>
            <wp:docPr id="224" name="Chart 224">
              <a:extLst xmlns:a="http://schemas.openxmlformats.org/drawingml/2006/main">
                <a:ext uri="{FF2B5EF4-FFF2-40B4-BE49-F238E27FC236}">
                  <a16:creationId xmlns:a16="http://schemas.microsoft.com/office/drawing/2014/main" id="{DAA3A707-161E-4FF9-88E1-90C38E4BA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p>
    <w:p w:rsidRPr="009F3F65" w:rsidR="003130C2" w:rsidP="003130C2" w:rsidRDefault="003130C2" w14:paraId="241BCE62" w14:textId="77777777">
      <w:pPr>
        <w:spacing w:line="300" w:lineRule="exact"/>
        <w:rPr>
          <w:lang w:val="en-GB"/>
        </w:rPr>
      </w:pPr>
    </w:p>
    <w:p w:rsidRPr="009F3F65" w:rsidR="003130C2" w:rsidP="003130C2" w:rsidRDefault="003130C2" w14:paraId="59C93F5F" w14:textId="77777777">
      <w:pPr>
        <w:spacing w:line="300" w:lineRule="exact"/>
        <w:rPr>
          <w:lang w:val="en-GB"/>
        </w:rPr>
      </w:pPr>
    </w:p>
    <w:p w:rsidRPr="009F3F65" w:rsidR="003130C2" w:rsidP="003130C2" w:rsidRDefault="003130C2" w14:paraId="1890FB14" w14:textId="77777777">
      <w:pPr>
        <w:spacing w:line="300" w:lineRule="exact"/>
        <w:rPr>
          <w:lang w:val="en-GB"/>
        </w:rPr>
      </w:pPr>
    </w:p>
    <w:p w:rsidRPr="009F3F65" w:rsidR="003130C2" w:rsidP="003130C2" w:rsidRDefault="003130C2" w14:paraId="0CFCE065" w14:textId="77777777">
      <w:pPr>
        <w:spacing w:line="300" w:lineRule="exact"/>
        <w:rPr>
          <w:lang w:val="en-GB"/>
        </w:rPr>
      </w:pPr>
    </w:p>
    <w:p w:rsidRPr="009F3F65" w:rsidR="003130C2" w:rsidP="003130C2" w:rsidRDefault="003130C2" w14:paraId="5C394A06" w14:textId="77777777">
      <w:pPr>
        <w:spacing w:line="300" w:lineRule="exact"/>
        <w:rPr>
          <w:lang w:val="en-GB"/>
        </w:rPr>
      </w:pPr>
    </w:p>
    <w:p w:rsidRPr="009F3F65" w:rsidR="003130C2" w:rsidP="003130C2" w:rsidRDefault="003130C2" w14:paraId="1CD99F06" w14:textId="77777777">
      <w:pPr>
        <w:spacing w:line="300" w:lineRule="exact"/>
        <w:rPr>
          <w:lang w:val="en-GB"/>
        </w:rPr>
      </w:pPr>
    </w:p>
    <w:p w:rsidRPr="009F3F65" w:rsidR="003130C2" w:rsidP="003130C2" w:rsidRDefault="003130C2" w14:paraId="63B670A9" w14:textId="77777777">
      <w:pPr>
        <w:spacing w:line="300" w:lineRule="exact"/>
        <w:rPr>
          <w:lang w:val="en-GB"/>
        </w:rPr>
      </w:pPr>
    </w:p>
    <w:p w:rsidRPr="009F3F65" w:rsidR="003130C2" w:rsidP="003130C2" w:rsidRDefault="003130C2" w14:paraId="690CE82C" w14:textId="77777777">
      <w:pPr>
        <w:spacing w:line="300" w:lineRule="exact"/>
        <w:rPr>
          <w:lang w:val="en-GB"/>
        </w:rPr>
      </w:pPr>
    </w:p>
    <w:p w:rsidRPr="009F3F65" w:rsidR="003130C2" w:rsidP="003130C2" w:rsidRDefault="003130C2" w14:paraId="2F33C597" w14:textId="77777777">
      <w:pPr>
        <w:spacing w:line="300" w:lineRule="exact"/>
        <w:rPr>
          <w:lang w:val="en-GB"/>
        </w:rPr>
      </w:pPr>
    </w:p>
    <w:p w:rsidRPr="009F3F65" w:rsidR="003130C2" w:rsidP="003130C2" w:rsidRDefault="003130C2" w14:paraId="702FF104" w14:textId="77777777">
      <w:pPr>
        <w:spacing w:line="300" w:lineRule="exact"/>
        <w:rPr>
          <w:lang w:val="en-GB"/>
        </w:rPr>
      </w:pPr>
    </w:p>
    <w:p w:rsidRPr="009F3F65" w:rsidR="003130C2" w:rsidP="003130C2" w:rsidRDefault="003130C2" w14:paraId="7A3E2B5F" w14:textId="77777777">
      <w:pPr>
        <w:spacing w:line="300" w:lineRule="exact"/>
        <w:rPr>
          <w:lang w:val="en-GB"/>
        </w:rPr>
      </w:pPr>
    </w:p>
    <w:p w:rsidRPr="009F3F65" w:rsidR="003130C2" w:rsidP="003130C2" w:rsidRDefault="003130C2" w14:paraId="3E12E4B5" w14:textId="77777777">
      <w:pPr>
        <w:spacing w:line="300" w:lineRule="exact"/>
        <w:rPr>
          <w:lang w:val="en-GB"/>
        </w:rPr>
      </w:pPr>
    </w:p>
    <w:p w:rsidRPr="009F3F65" w:rsidR="003130C2" w:rsidP="003130C2" w:rsidRDefault="003130C2" w14:paraId="75DCBDB5" w14:textId="77777777">
      <w:pPr>
        <w:spacing w:line="300" w:lineRule="exact"/>
        <w:rPr>
          <w:lang w:val="en-GB"/>
        </w:rPr>
      </w:pPr>
    </w:p>
    <w:p w:rsidRPr="009F3F65" w:rsidR="003130C2" w:rsidP="003130C2" w:rsidRDefault="003130C2" w14:paraId="3066AD4F" w14:textId="77777777">
      <w:pPr>
        <w:spacing w:line="300" w:lineRule="exact"/>
        <w:jc w:val="center"/>
      </w:pPr>
      <w:r>
        <w:rPr>
          <w:b/>
          <w:color w:val="5B9BD5" w:themeColor="accent1"/>
          <w:sz w:val="20"/>
        </w:rPr>
        <w:t>Figure 27.</w:t>
      </w:r>
      <w:r>
        <w:rPr>
          <w:color w:val="5B9BD5" w:themeColor="accent1"/>
          <w:sz w:val="20"/>
        </w:rPr>
        <w:t xml:space="preserve"> Relevance of the NCPs in facilitating networking and cooperation – general.</w:t>
      </w:r>
    </w:p>
    <w:p w:rsidRPr="009F3F65" w:rsidR="003130C2" w:rsidP="003130C2" w:rsidRDefault="003130C2" w14:paraId="6E13808B" w14:textId="77777777">
      <w:pPr>
        <w:spacing w:line="300" w:lineRule="exact"/>
        <w:rPr>
          <w:lang w:val="en-GB"/>
        </w:rPr>
      </w:pPr>
    </w:p>
    <w:p w:rsidRPr="009F3F65" w:rsidR="003130C2" w:rsidP="003130C2" w:rsidRDefault="003130C2" w14:paraId="7D375452" w14:textId="77777777">
      <w:pPr>
        <w:spacing w:line="300" w:lineRule="exact"/>
      </w:pPr>
      <w:r>
        <w:t>Looking at the differences between the countries, the German respondents put forward the most positive views, with 33% answering ‘very relevant’ and 27% ‘moderately relevant’, though 20% (or 3 persons) considered the work of the NCPs in facilitating networking and cooperation between stakeholders to be ‘not very relevant’. The Maltese and the Polish respondents had one person choosing each of the categories, apart from the ‘unsure’ option, whilst 40% (or 4 persons) of the Swedish respondents chose exactly that answer. Finally, half of the Polish respondents (or 4 persons) considered the activities of the NCPs to be ‘not very relevant’.</w:t>
      </w:r>
    </w:p>
    <w:p w:rsidRPr="009F3F65" w:rsidR="003130C2" w:rsidP="003130C2" w:rsidRDefault="003130C2" w14:paraId="4EAAC97F" w14:textId="77777777">
      <w:pPr>
        <w:spacing w:line="300" w:lineRule="exact"/>
        <w:rPr>
          <w:lang w:val="en-GB"/>
        </w:rPr>
      </w:pPr>
    </w:p>
    <w:p w:rsidRPr="009F3F65" w:rsidR="003130C2" w:rsidP="003130C2" w:rsidRDefault="003130C2" w14:paraId="0900E2C9" w14:textId="77777777">
      <w:pPr>
        <w:spacing w:line="300" w:lineRule="exact"/>
      </w:pPr>
      <w:r>
        <w:t xml:space="preserve">During the semi-structured interviews, the </w:t>
      </w:r>
      <w:r>
        <w:rPr>
          <w:b/>
        </w:rPr>
        <w:t>German</w:t>
      </w:r>
      <w:r>
        <w:t xml:space="preserve"> stakeholders </w:t>
      </w:r>
      <w:r>
        <w:rPr>
          <w:b/>
        </w:rPr>
        <w:t>highlighted the need to set up a Digital Europe Dashboard similar to the Horizon Dashboard</w:t>
      </w:r>
      <w:r>
        <w:t xml:space="preserve">, where all projects are listed and visible with statistics. Such a dashboard would facilitate the coordination activities of the national contact points, whose coordination at EU level, in turn, should also be improved. Furthermore, representatives from the German public authorities highlighted </w:t>
      </w:r>
      <w:r>
        <w:rPr>
          <w:b/>
        </w:rPr>
        <w:t>the importance of strengthening the connections between the European dimension and the different national dimensions through a stronger national contact points network</w:t>
      </w:r>
      <w:r>
        <w:t xml:space="preserve"> (similarly to the network of Horizon Europe which had decades of experience). This would enable a comprehensive analysis by integrating the general perspective from the EU level and the granular perspective from the national contact points at Member State level.</w:t>
      </w:r>
    </w:p>
    <w:p w:rsidRPr="009F3F65" w:rsidR="003130C2" w:rsidP="003130C2" w:rsidRDefault="003130C2" w14:paraId="0208DDBD" w14:textId="77777777">
      <w:pPr>
        <w:spacing w:line="300" w:lineRule="exact"/>
        <w:rPr>
          <w:lang w:val="en-GB"/>
        </w:rPr>
      </w:pPr>
    </w:p>
    <w:p w:rsidRPr="009F3F65" w:rsidR="003130C2" w:rsidP="003130C2" w:rsidRDefault="003130C2" w14:paraId="292F4F4A" w14:textId="77777777">
      <w:pPr>
        <w:spacing w:line="300" w:lineRule="exact"/>
      </w:pPr>
      <w:r>
        <w:t xml:space="preserve">A representative from the </w:t>
      </w:r>
      <w:r>
        <w:rPr>
          <w:b/>
        </w:rPr>
        <w:t>Maltese</w:t>
      </w:r>
      <w:r>
        <w:t xml:space="preserve"> public authorities reported </w:t>
      </w:r>
      <w:r>
        <w:rPr>
          <w:b/>
        </w:rPr>
        <w:t>the need for training for the national authorities on the activities that the national contact points should carry out</w:t>
      </w:r>
      <w:r>
        <w:t xml:space="preserve">, focusing on all five key areas of the DEP. Furthermore, two representatives from </w:t>
      </w:r>
      <w:r>
        <w:rPr>
          <w:b/>
        </w:rPr>
        <w:t>Maltese</w:t>
      </w:r>
      <w:r>
        <w:t xml:space="preserve"> companies, as beneficiaries of the DEP, underlined the need to promote the programme locally (comparing the level of awareness with other EU funding programmes) and pointed out that </w:t>
      </w:r>
      <w:r>
        <w:rPr>
          <w:b/>
        </w:rPr>
        <w:t>the NCP services under the DEP lagged behind</w:t>
      </w:r>
      <w:r>
        <w:t>.</w:t>
      </w:r>
    </w:p>
    <w:p w:rsidRPr="009F3F65" w:rsidR="003130C2" w:rsidP="003130C2" w:rsidRDefault="003130C2" w14:paraId="17018322" w14:textId="77777777">
      <w:pPr>
        <w:spacing w:line="300" w:lineRule="exact"/>
        <w:rPr>
          <w:lang w:val="en-GB"/>
        </w:rPr>
      </w:pPr>
    </w:p>
    <w:p w:rsidRPr="009F3F65" w:rsidR="003130C2" w:rsidP="003130C2" w:rsidRDefault="003130C2" w14:paraId="30107124" w14:textId="77777777">
      <w:r>
        <w:t xml:space="preserve">During the semi-structured interviews in </w:t>
      </w:r>
      <w:r>
        <w:rPr>
          <w:b/>
        </w:rPr>
        <w:t>Poland</w:t>
      </w:r>
      <w:r>
        <w:t xml:space="preserve">, representatives from the public authorities pointed to </w:t>
      </w:r>
      <w:r>
        <w:rPr>
          <w:b/>
        </w:rPr>
        <w:t>the strong need to ensure access to the databases of the DEP so that the national contact points could reach the beneficiaries</w:t>
      </w:r>
      <w:r>
        <w:t>. Moreover, additional training for the national contact points under the programme would also be conducive to proper support being given to the beneficiaries and potential interested entities.</w:t>
      </w:r>
    </w:p>
    <w:p w:rsidRPr="009F3F65" w:rsidR="003130C2" w:rsidP="003130C2" w:rsidRDefault="003130C2" w14:paraId="01D137FE" w14:textId="77777777">
      <w:pPr>
        <w:rPr>
          <w:lang w:val="en-GB"/>
        </w:rPr>
      </w:pPr>
    </w:p>
    <w:p w:rsidRPr="009F3F65" w:rsidR="003130C2" w:rsidP="003130C2" w:rsidRDefault="003130C2" w14:paraId="525DAA71" w14:textId="77777777">
      <w:pPr>
        <w:pStyle w:val="Heading2"/>
        <w:spacing w:after="120" w:line="300" w:lineRule="exact"/>
        <w:rPr>
          <w:b/>
          <w:u w:val="single"/>
        </w:rPr>
      </w:pPr>
      <w:bookmarkStart w:name="_Toc125632265" w:id="15"/>
      <w:bookmarkStart w:name="_Toc174452846" w:id="16"/>
      <w:r>
        <w:rPr>
          <w:b/>
          <w:u w:val="single"/>
        </w:rPr>
        <w:t>Inclusion of civil society and added value</w:t>
      </w:r>
      <w:bookmarkEnd w:id="15"/>
      <w:bookmarkEnd w:id="16"/>
    </w:p>
    <w:p w:rsidRPr="009F3F65" w:rsidR="003130C2" w:rsidP="003130C2" w:rsidRDefault="003130C2" w14:paraId="6E60A078" w14:textId="77777777">
      <w:pPr>
        <w:spacing w:after="120" w:line="300" w:lineRule="exact"/>
        <w:jc w:val="left"/>
        <w:rPr>
          <w:lang w:val="en-GB"/>
        </w:rPr>
      </w:pPr>
    </w:p>
    <w:tbl>
      <w:tblPr>
        <w:tblStyle w:val="TableGrid"/>
        <w:tblW w:w="0" w:type="auto"/>
        <w:tblLook w:val="04A0" w:firstRow="1" w:lastRow="0" w:firstColumn="1" w:lastColumn="0" w:noHBand="0" w:noVBand="1"/>
      </w:tblPr>
      <w:tblGrid>
        <w:gridCol w:w="9061"/>
      </w:tblGrid>
      <w:tr w:rsidRPr="00B47B36" w:rsidR="003130C2" w:rsidTr="00F32872" w14:paraId="6CF186C5" w14:textId="77777777">
        <w:tc>
          <w:tcPr>
            <w:tcW w:w="9063" w:type="dxa"/>
          </w:tcPr>
          <w:p w:rsidRPr="00B47B36" w:rsidR="003130C2" w:rsidP="00F32872" w:rsidRDefault="003130C2" w14:paraId="0BF91043" w14:textId="77777777">
            <w:pPr>
              <w:spacing w:after="120" w:line="300" w:lineRule="exact"/>
            </w:pPr>
            <w:r>
              <w:t xml:space="preserve">This section examines the involvement of organised civil society in the design, implementation and monitoring of the Digital Europe Programme since 2021. </w:t>
            </w:r>
          </w:p>
        </w:tc>
      </w:tr>
    </w:tbl>
    <w:p w:rsidRPr="009F3F65" w:rsidR="003130C2" w:rsidP="003130C2" w:rsidRDefault="003130C2" w14:paraId="08CC28C2" w14:textId="77777777">
      <w:pPr>
        <w:rPr>
          <w:lang w:val="en-GB"/>
        </w:rPr>
      </w:pPr>
    </w:p>
    <w:p w:rsidRPr="009F3F65" w:rsidR="003130C2" w:rsidP="003130C2" w:rsidRDefault="003130C2" w14:paraId="1B445140" w14:textId="77777777">
      <w:r>
        <w:t xml:space="preserve">Regarding the </w:t>
      </w:r>
      <w:r>
        <w:rPr>
          <w:u w:val="single"/>
        </w:rPr>
        <w:t>quality of the general communication and information on the DEP at European level and in their respective countries</w:t>
      </w:r>
      <w:r>
        <w:t xml:space="preserve"> (</w:t>
      </w:r>
      <w:r>
        <w:rPr>
          <w:b/>
        </w:rPr>
        <w:t>question 17</w:t>
      </w:r>
      <w:r>
        <w:t>), almost half of the respondents (49%) expressed the view that this had been ‘moderately good’ at European level, whilst 35% considered that it had been ‘not very good’ at national level. Also, when taking into account the other response options, it can be concluded that the respondents perceived the general communication and information on the DEP to be better at European level.</w:t>
      </w:r>
    </w:p>
    <w:p w:rsidRPr="009F3F65" w:rsidR="003130C2" w:rsidP="003130C2" w:rsidRDefault="003130C2" w14:paraId="26EDD5A0" w14:textId="77777777">
      <w:pPr>
        <w:rPr>
          <w:lang w:val="en-GB"/>
        </w:rPr>
      </w:pPr>
    </w:p>
    <w:p w:rsidRPr="009F3F65" w:rsidR="003130C2" w:rsidP="003130C2" w:rsidRDefault="003130C2" w14:paraId="0D2918A5" w14:textId="77777777">
      <w:r>
        <w:rPr>
          <w:noProof/>
        </w:rPr>
        <w:drawing>
          <wp:anchor distT="0" distB="0" distL="114300" distR="114300" simplePos="0" relativeHeight="251758592" behindDoc="0" locked="0" layoutInCell="1" allowOverlap="1" wp14:editId="30DE32E0" wp14:anchorId="550B62E8">
            <wp:simplePos x="0" y="0"/>
            <wp:positionH relativeFrom="margin">
              <wp:posOffset>95250</wp:posOffset>
            </wp:positionH>
            <wp:positionV relativeFrom="paragraph">
              <wp:posOffset>5080</wp:posOffset>
            </wp:positionV>
            <wp:extent cx="5530850" cy="2781300"/>
            <wp:effectExtent l="0" t="0" r="12700" b="0"/>
            <wp:wrapNone/>
            <wp:docPr id="226" name="Chart 226">
              <a:extLst xmlns:a="http://schemas.openxmlformats.org/drawingml/2006/main">
                <a:ext uri="{FF2B5EF4-FFF2-40B4-BE49-F238E27FC236}">
                  <a16:creationId xmlns:a16="http://schemas.microsoft.com/office/drawing/2014/main" id="{9AEBE706-A853-4CEB-9FFE-B584F51A5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p>
    <w:p w:rsidRPr="009F3F65" w:rsidR="003130C2" w:rsidP="003130C2" w:rsidRDefault="003130C2" w14:paraId="7CA32A49" w14:textId="77777777">
      <w:pPr>
        <w:rPr>
          <w:lang w:val="en-GB"/>
        </w:rPr>
      </w:pPr>
    </w:p>
    <w:p w:rsidRPr="009F3F65" w:rsidR="003130C2" w:rsidP="003130C2" w:rsidRDefault="003130C2" w14:paraId="1A9A2324" w14:textId="77777777">
      <w:pPr>
        <w:rPr>
          <w:lang w:val="en-GB"/>
        </w:rPr>
      </w:pPr>
    </w:p>
    <w:p w:rsidRPr="009F3F65" w:rsidR="003130C2" w:rsidP="003130C2" w:rsidRDefault="003130C2" w14:paraId="2642CFDB" w14:textId="77777777">
      <w:pPr>
        <w:rPr>
          <w:lang w:val="en-GB"/>
        </w:rPr>
      </w:pPr>
    </w:p>
    <w:p w:rsidRPr="009F3F65" w:rsidR="003130C2" w:rsidP="003130C2" w:rsidRDefault="003130C2" w14:paraId="6C2CCBBD" w14:textId="77777777">
      <w:pPr>
        <w:rPr>
          <w:lang w:val="en-GB"/>
        </w:rPr>
      </w:pPr>
    </w:p>
    <w:p w:rsidRPr="009F3F65" w:rsidR="003130C2" w:rsidP="003130C2" w:rsidRDefault="003130C2" w14:paraId="0D9100EF" w14:textId="77777777">
      <w:pPr>
        <w:rPr>
          <w:lang w:val="en-GB"/>
        </w:rPr>
      </w:pPr>
    </w:p>
    <w:p w:rsidRPr="009F3F65" w:rsidR="003130C2" w:rsidP="003130C2" w:rsidRDefault="003130C2" w14:paraId="0EDD7A43" w14:textId="77777777">
      <w:pPr>
        <w:rPr>
          <w:lang w:val="en-GB"/>
        </w:rPr>
      </w:pPr>
    </w:p>
    <w:p w:rsidRPr="009F3F65" w:rsidR="003130C2" w:rsidP="003130C2" w:rsidRDefault="003130C2" w14:paraId="61A820F9" w14:textId="77777777">
      <w:pPr>
        <w:rPr>
          <w:lang w:val="en-GB"/>
        </w:rPr>
      </w:pPr>
    </w:p>
    <w:p w:rsidRPr="009F3F65" w:rsidR="003130C2" w:rsidP="003130C2" w:rsidRDefault="003130C2" w14:paraId="0A05D8FC" w14:textId="77777777">
      <w:pPr>
        <w:rPr>
          <w:lang w:val="en-GB"/>
        </w:rPr>
      </w:pPr>
    </w:p>
    <w:p w:rsidRPr="009F3F65" w:rsidR="003130C2" w:rsidP="003130C2" w:rsidRDefault="003130C2" w14:paraId="1D61FDF0" w14:textId="77777777">
      <w:pPr>
        <w:rPr>
          <w:lang w:val="en-GB"/>
        </w:rPr>
      </w:pPr>
    </w:p>
    <w:p w:rsidRPr="009F3F65" w:rsidR="003130C2" w:rsidP="003130C2" w:rsidRDefault="003130C2" w14:paraId="5357911D" w14:textId="77777777">
      <w:pPr>
        <w:rPr>
          <w:lang w:val="en-GB"/>
        </w:rPr>
      </w:pPr>
    </w:p>
    <w:p w:rsidRPr="009F3F65" w:rsidR="003130C2" w:rsidP="003130C2" w:rsidRDefault="003130C2" w14:paraId="6166F6D3" w14:textId="77777777">
      <w:pPr>
        <w:rPr>
          <w:lang w:val="en-GB"/>
        </w:rPr>
      </w:pPr>
    </w:p>
    <w:p w:rsidRPr="009F3F65" w:rsidR="003130C2" w:rsidP="003130C2" w:rsidRDefault="003130C2" w14:paraId="4617EF11" w14:textId="77777777">
      <w:pPr>
        <w:rPr>
          <w:lang w:val="en-GB"/>
        </w:rPr>
      </w:pPr>
    </w:p>
    <w:p w:rsidRPr="009F3F65" w:rsidR="003130C2" w:rsidP="003130C2" w:rsidRDefault="003130C2" w14:paraId="1F3B4707" w14:textId="77777777">
      <w:pPr>
        <w:rPr>
          <w:lang w:val="en-GB"/>
        </w:rPr>
      </w:pPr>
    </w:p>
    <w:p w:rsidRPr="009F3F65" w:rsidR="003130C2" w:rsidP="003130C2" w:rsidRDefault="003130C2" w14:paraId="4020A7F1" w14:textId="77777777">
      <w:pPr>
        <w:rPr>
          <w:lang w:val="en-GB"/>
        </w:rPr>
      </w:pPr>
    </w:p>
    <w:p w:rsidRPr="009F3F65" w:rsidR="003130C2" w:rsidP="003130C2" w:rsidRDefault="003130C2" w14:paraId="3FD79E92" w14:textId="77777777">
      <w:pPr>
        <w:jc w:val="center"/>
        <w:rPr>
          <w:color w:val="5B9BD5" w:themeColor="accent1"/>
          <w:sz w:val="20"/>
        </w:rPr>
      </w:pPr>
      <w:r>
        <w:rPr>
          <w:b/>
          <w:color w:val="5B9BD5" w:themeColor="accent1"/>
          <w:sz w:val="20"/>
        </w:rPr>
        <w:t>Figure 28.</w:t>
      </w:r>
      <w:r>
        <w:rPr>
          <w:color w:val="5B9BD5" w:themeColor="accent1"/>
          <w:sz w:val="20"/>
        </w:rPr>
        <w:t xml:space="preserve"> Quality of the general communication and information on the DEP – general.</w:t>
      </w:r>
    </w:p>
    <w:p w:rsidRPr="009F3F65" w:rsidR="003130C2" w:rsidP="003130C2" w:rsidRDefault="003130C2" w14:paraId="4DEB0E98" w14:textId="77777777">
      <w:pPr>
        <w:jc w:val="center"/>
        <w:rPr>
          <w:color w:val="5B9BD5" w:themeColor="accent1"/>
          <w:sz w:val="20"/>
          <w:lang w:val="en-GB"/>
        </w:rPr>
      </w:pPr>
    </w:p>
    <w:p w:rsidRPr="009F3F65" w:rsidR="003130C2" w:rsidP="003130C2" w:rsidRDefault="003130C2" w14:paraId="4D9BC8F7" w14:textId="77777777">
      <w:r>
        <w:t>In a cross-country comparison, the answers are somewhat diverging, though the respondents in all five countries agreed that the communication and information on the DEP had been of a better quality at European level. In particular, it should be noted that a large number of the respondents in all five countries agreed that these efforts had been ‘not very good’ at national level (40% of the German respondents, 50% of the Polish and 75% (or 3 persons) of the Portuguese, whilst 30% (or 3 persons) of the Swedish respondents even evaluated these efforts as having been ‘not at all good’. The Maltese respondents were split between all answer categories, except ‘very good’.</w:t>
      </w:r>
    </w:p>
    <w:p w:rsidRPr="009F3F65" w:rsidR="003130C2" w:rsidP="003130C2" w:rsidRDefault="003130C2" w14:paraId="6C798D36" w14:textId="77777777">
      <w:pPr>
        <w:jc w:val="center"/>
        <w:rPr>
          <w:color w:val="5B9BD5" w:themeColor="accent1"/>
          <w:sz w:val="20"/>
          <w:lang w:val="en-GB"/>
        </w:rPr>
      </w:pPr>
    </w:p>
    <w:p w:rsidRPr="009F3F65" w:rsidR="003130C2" w:rsidP="003130C2" w:rsidRDefault="003130C2" w14:paraId="0E2B3686" w14:textId="77777777">
      <w:pPr>
        <w:jc w:val="center"/>
        <w:rPr>
          <w:color w:val="5B9BD5" w:themeColor="accent1"/>
          <w:sz w:val="20"/>
        </w:rPr>
      </w:pPr>
      <w:r>
        <w:rPr>
          <w:noProof/>
        </w:rPr>
        <w:lastRenderedPageBreak/>
        <w:drawing>
          <wp:inline distT="0" distB="0" distL="0" distR="0" wp14:anchorId="575297FC" wp14:editId="169D8BDF">
            <wp:extent cx="5731510" cy="3382010"/>
            <wp:effectExtent l="0" t="0" r="2540" b="8890"/>
            <wp:docPr id="16" name="Chart 16">
              <a:extLst xmlns:a="http://schemas.openxmlformats.org/drawingml/2006/main">
                <a:ext uri="{FF2B5EF4-FFF2-40B4-BE49-F238E27FC236}">
                  <a16:creationId xmlns:a16="http://schemas.microsoft.com/office/drawing/2014/main" id="{EA64BF9A-7E42-4D3F-96FE-28F3E1DFA6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Pr="009F3F65" w:rsidR="003130C2" w:rsidP="003130C2" w:rsidRDefault="003130C2" w14:paraId="2AD7675B" w14:textId="77777777">
      <w:pPr>
        <w:jc w:val="center"/>
        <w:rPr>
          <w:color w:val="5B9BD5" w:themeColor="accent1"/>
          <w:sz w:val="20"/>
        </w:rPr>
      </w:pPr>
      <w:r>
        <w:rPr>
          <w:b/>
          <w:color w:val="5B9BD5" w:themeColor="accent1"/>
          <w:sz w:val="20"/>
        </w:rPr>
        <w:t>Figure 29.</w:t>
      </w:r>
      <w:r>
        <w:rPr>
          <w:color w:val="5B9BD5" w:themeColor="accent1"/>
          <w:sz w:val="20"/>
        </w:rPr>
        <w:t xml:space="preserve"> Quality of the general communication and information on the DEP – by country.</w:t>
      </w:r>
    </w:p>
    <w:p w:rsidRPr="009F3F65" w:rsidR="003130C2" w:rsidP="003130C2" w:rsidRDefault="003130C2" w14:paraId="24A4DC23" w14:textId="77777777">
      <w:pPr>
        <w:jc w:val="center"/>
        <w:rPr>
          <w:color w:val="5B9BD5" w:themeColor="accent1"/>
          <w:sz w:val="20"/>
          <w:lang w:val="en-GB"/>
        </w:rPr>
      </w:pPr>
    </w:p>
    <w:p w:rsidRPr="009F3F65" w:rsidR="003130C2" w:rsidP="003130C2" w:rsidRDefault="003130C2" w14:paraId="639DE887" w14:textId="77777777">
      <w:r>
        <w:t xml:space="preserve">During the semi-structured interviews, the </w:t>
      </w:r>
      <w:r>
        <w:rPr>
          <w:b/>
        </w:rPr>
        <w:t>German</w:t>
      </w:r>
      <w:r>
        <w:t xml:space="preserve"> stakeholders noted </w:t>
      </w:r>
      <w:r>
        <w:rPr>
          <w:b/>
        </w:rPr>
        <w:t>that the dissemination and communication efforts about the DEP need improvement</w:t>
      </w:r>
      <w:r>
        <w:t xml:space="preserve">. SMEs and smaller companies might be unaware of the programme details, limiting participation and effectiveness. Enhanced efforts to publicise the programme could ensure broader awareness and participation. In particular, there was a need to harmonise and standardise external communication activities (e.g. use of the same communication methods as for the EDIHs) and ensure synergies with other similar initiatives covered by other actors (beyond EDIH services, digital supporting services might also be provided by local chambers of commerce). </w:t>
      </w:r>
    </w:p>
    <w:p w:rsidRPr="009F3F65" w:rsidR="003130C2" w:rsidP="003130C2" w:rsidRDefault="003130C2" w14:paraId="3BEE7DA0" w14:textId="77777777">
      <w:pPr>
        <w:rPr>
          <w:lang w:val="en-GB"/>
        </w:rPr>
      </w:pPr>
    </w:p>
    <w:p w:rsidRPr="009F3F65" w:rsidR="003130C2" w:rsidP="003130C2" w:rsidRDefault="003130C2" w14:paraId="47564342" w14:textId="77777777">
      <w:r>
        <w:t xml:space="preserve">The </w:t>
      </w:r>
      <w:r>
        <w:rPr>
          <w:b/>
        </w:rPr>
        <w:t>Maltese</w:t>
      </w:r>
      <w:r>
        <w:t xml:space="preserve"> stakeholders also noted that the dissemination and communication efforts about the DEP need improvement, including with regard to public authorities responsible for disseminating information about the programme, as many stakeholders are unaware of the programme details. Representatives from the Maltese public authorities confirmed the need to ensure wider awareness- raising campaigns.</w:t>
      </w:r>
    </w:p>
    <w:p w:rsidRPr="009F3F65" w:rsidR="003130C2" w:rsidP="003130C2" w:rsidRDefault="003130C2" w14:paraId="535F168A" w14:textId="77777777">
      <w:pPr>
        <w:rPr>
          <w:lang w:val="en-GB"/>
        </w:rPr>
      </w:pPr>
    </w:p>
    <w:p w:rsidRPr="009F3F65" w:rsidR="003130C2" w:rsidP="003130C2" w:rsidRDefault="003130C2" w14:paraId="01F084A1" w14:textId="77777777">
      <w:r>
        <w:t xml:space="preserve">The lack of effective dissemination of information about the programme was also emphasised by the </w:t>
      </w:r>
      <w:r>
        <w:rPr>
          <w:b/>
        </w:rPr>
        <w:t>Portuguese</w:t>
      </w:r>
      <w:r>
        <w:t xml:space="preserve"> stakeholders.</w:t>
      </w:r>
    </w:p>
    <w:p w:rsidRPr="009F3F65" w:rsidR="003130C2" w:rsidP="003130C2" w:rsidRDefault="003130C2" w14:paraId="031CB576" w14:textId="77777777">
      <w:pPr>
        <w:rPr>
          <w:lang w:val="en-GB"/>
        </w:rPr>
      </w:pPr>
    </w:p>
    <w:p w:rsidRPr="009F3F65" w:rsidR="003130C2" w:rsidP="003130C2" w:rsidRDefault="003130C2" w14:paraId="7F6A2058" w14:textId="77777777">
      <w:r>
        <w:t xml:space="preserve">During the semi-structured interviews in </w:t>
      </w:r>
      <w:r>
        <w:rPr>
          <w:b/>
        </w:rPr>
        <w:t>Sweden</w:t>
      </w:r>
      <w:r>
        <w:t xml:space="preserve">, a representative from the public authorities noted that digital targets show potential connections, but communication remains an issue. </w:t>
      </w:r>
      <w:r>
        <w:rPr>
          <w:b/>
        </w:rPr>
        <w:t>Communication problems exist at both the national and EU levels, as well as a lack of clear understanding of roles and responsibilities</w:t>
      </w:r>
      <w:r>
        <w:t xml:space="preserve">. The unit responsible at the European Commission was said to be small and was considered to assume that national governments would handle the relevant tasks, but the national governments may not view it as their responsibility. </w:t>
      </w:r>
    </w:p>
    <w:p w:rsidRPr="009F3F65" w:rsidR="003130C2" w:rsidP="003130C2" w:rsidRDefault="003130C2" w14:paraId="2567D4D0" w14:textId="77777777">
      <w:pPr>
        <w:rPr>
          <w:lang w:val="en-GB"/>
        </w:rPr>
      </w:pPr>
    </w:p>
    <w:p w:rsidRPr="009F3F65" w:rsidR="003130C2" w:rsidP="003130C2" w:rsidRDefault="003130C2" w14:paraId="1B5C03B6" w14:textId="77777777">
      <w:r>
        <w:t xml:space="preserve">Asked </w:t>
      </w:r>
      <w:r>
        <w:rPr>
          <w:u w:val="single"/>
        </w:rPr>
        <w:t>to rate communication and information on the DEP’s key capacity areas in their respective countries</w:t>
      </w:r>
      <w:r>
        <w:t xml:space="preserve"> (</w:t>
      </w:r>
      <w:r>
        <w:rPr>
          <w:b/>
        </w:rPr>
        <w:t>question 18</w:t>
      </w:r>
      <w:r>
        <w:t xml:space="preserve">), the respondents gave quite similar ratings to the six key capacity areas, though </w:t>
      </w:r>
      <w:r>
        <w:lastRenderedPageBreak/>
        <w:t>‘cybersecurity’ scored the highest positive ratings (16% ‘very good’ and 33% ‘moderately good’) and ‘supercomputing’ the lowest positive ratings (2% ‘very good’ and 35% ‘moderately good’). The highest score in negative terms was attributed to ‘advanced digital skills’ (28% ‘not very good’ and 14% ‘not at all good’) and the lowest to ‘cybersecurity’ (28% ‘not very good’ and 9% ‘not at all good’)</w:t>
      </w:r>
    </w:p>
    <w:p w:rsidRPr="009F3F65" w:rsidR="003130C2" w:rsidP="003130C2" w:rsidRDefault="003130C2" w14:paraId="34070FEB" w14:textId="77777777">
      <w:pPr>
        <w:rPr>
          <w:lang w:val="en-GB"/>
        </w:rPr>
      </w:pPr>
    </w:p>
    <w:p w:rsidRPr="009F3F65" w:rsidR="003130C2" w:rsidP="003130C2" w:rsidRDefault="003130C2" w14:paraId="0DFA8A0F" w14:textId="77777777">
      <w:r>
        <w:rPr>
          <w:noProof/>
        </w:rPr>
        <w:drawing>
          <wp:anchor distT="0" distB="0" distL="114300" distR="114300" simplePos="0" relativeHeight="251786240" behindDoc="0" locked="0" layoutInCell="1" allowOverlap="1" wp14:editId="19B9B52E" wp14:anchorId="350B9E03">
            <wp:simplePos x="0" y="0"/>
            <wp:positionH relativeFrom="column">
              <wp:posOffset>0</wp:posOffset>
            </wp:positionH>
            <wp:positionV relativeFrom="paragraph">
              <wp:posOffset>0</wp:posOffset>
            </wp:positionV>
            <wp:extent cx="5761355" cy="2573020"/>
            <wp:effectExtent l="0" t="0" r="10795" b="17780"/>
            <wp:wrapNone/>
            <wp:docPr id="228" name="Chart 228">
              <a:extLst xmlns:a="http://schemas.openxmlformats.org/drawingml/2006/main">
                <a:ext uri="{FF2B5EF4-FFF2-40B4-BE49-F238E27FC236}">
                  <a16:creationId xmlns:a16="http://schemas.microsoft.com/office/drawing/2014/main" id="{51C62F2E-CC36-4270-BE02-DB4E622D0C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p>
    <w:p w:rsidRPr="009F3F65" w:rsidR="003130C2" w:rsidP="003130C2" w:rsidRDefault="003130C2" w14:paraId="5F8F1333" w14:textId="77777777">
      <w:pPr>
        <w:rPr>
          <w:lang w:val="en-GB"/>
        </w:rPr>
      </w:pPr>
    </w:p>
    <w:p w:rsidRPr="009F3F65" w:rsidR="003130C2" w:rsidP="003130C2" w:rsidRDefault="003130C2" w14:paraId="0EE07CBF" w14:textId="77777777">
      <w:pPr>
        <w:jc w:val="center"/>
        <w:rPr>
          <w:color w:val="5B9BD5" w:themeColor="accent1"/>
          <w:sz w:val="20"/>
          <w:lang w:val="en-GB"/>
        </w:rPr>
      </w:pPr>
    </w:p>
    <w:p w:rsidRPr="009F3F65" w:rsidR="003130C2" w:rsidP="003130C2" w:rsidRDefault="003130C2" w14:paraId="551E7078" w14:textId="77777777">
      <w:pPr>
        <w:jc w:val="center"/>
        <w:rPr>
          <w:color w:val="5B9BD5" w:themeColor="accent1"/>
          <w:sz w:val="20"/>
          <w:lang w:val="en-GB"/>
        </w:rPr>
      </w:pPr>
    </w:p>
    <w:p w:rsidRPr="009F3F65" w:rsidR="003130C2" w:rsidP="003130C2" w:rsidRDefault="003130C2" w14:paraId="0BCD9792" w14:textId="77777777">
      <w:pPr>
        <w:jc w:val="center"/>
        <w:rPr>
          <w:color w:val="5B9BD5" w:themeColor="accent1"/>
          <w:sz w:val="20"/>
          <w:lang w:val="en-GB"/>
        </w:rPr>
      </w:pPr>
    </w:p>
    <w:p w:rsidRPr="009F3F65" w:rsidR="003130C2" w:rsidP="003130C2" w:rsidRDefault="003130C2" w14:paraId="693C65B2" w14:textId="77777777">
      <w:pPr>
        <w:jc w:val="center"/>
        <w:rPr>
          <w:color w:val="5B9BD5" w:themeColor="accent1"/>
          <w:sz w:val="20"/>
          <w:lang w:val="en-GB"/>
        </w:rPr>
      </w:pPr>
    </w:p>
    <w:p w:rsidRPr="009F3F65" w:rsidR="003130C2" w:rsidP="003130C2" w:rsidRDefault="003130C2" w14:paraId="4D165D91" w14:textId="77777777">
      <w:pPr>
        <w:jc w:val="center"/>
        <w:rPr>
          <w:color w:val="5B9BD5" w:themeColor="accent1"/>
          <w:sz w:val="20"/>
          <w:lang w:val="en-GB"/>
        </w:rPr>
      </w:pPr>
    </w:p>
    <w:p w:rsidRPr="009F3F65" w:rsidR="003130C2" w:rsidP="003130C2" w:rsidRDefault="003130C2" w14:paraId="6E105FD6" w14:textId="77777777">
      <w:pPr>
        <w:jc w:val="center"/>
        <w:rPr>
          <w:color w:val="5B9BD5" w:themeColor="accent1"/>
          <w:sz w:val="20"/>
          <w:lang w:val="en-GB"/>
        </w:rPr>
      </w:pPr>
    </w:p>
    <w:p w:rsidRPr="009F3F65" w:rsidR="003130C2" w:rsidP="003130C2" w:rsidRDefault="003130C2" w14:paraId="05397E9F" w14:textId="77777777">
      <w:pPr>
        <w:jc w:val="center"/>
        <w:rPr>
          <w:color w:val="5B9BD5" w:themeColor="accent1"/>
          <w:sz w:val="20"/>
          <w:lang w:val="en-GB"/>
        </w:rPr>
      </w:pPr>
    </w:p>
    <w:p w:rsidRPr="009F3F65" w:rsidR="003130C2" w:rsidP="003130C2" w:rsidRDefault="003130C2" w14:paraId="09BB4034" w14:textId="77777777">
      <w:pPr>
        <w:jc w:val="center"/>
        <w:rPr>
          <w:color w:val="5B9BD5" w:themeColor="accent1"/>
          <w:sz w:val="20"/>
          <w:lang w:val="en-GB"/>
        </w:rPr>
      </w:pPr>
    </w:p>
    <w:p w:rsidRPr="009F3F65" w:rsidR="003130C2" w:rsidP="003130C2" w:rsidRDefault="003130C2" w14:paraId="6F9AC555" w14:textId="77777777">
      <w:pPr>
        <w:jc w:val="center"/>
        <w:rPr>
          <w:color w:val="5B9BD5" w:themeColor="accent1"/>
          <w:sz w:val="20"/>
          <w:lang w:val="en-GB"/>
        </w:rPr>
      </w:pPr>
    </w:p>
    <w:p w:rsidRPr="009F3F65" w:rsidR="003130C2" w:rsidP="003130C2" w:rsidRDefault="003130C2" w14:paraId="1F9141CC" w14:textId="77777777">
      <w:pPr>
        <w:jc w:val="center"/>
        <w:rPr>
          <w:color w:val="5B9BD5" w:themeColor="accent1"/>
          <w:sz w:val="20"/>
          <w:lang w:val="en-GB"/>
        </w:rPr>
      </w:pPr>
    </w:p>
    <w:p w:rsidRPr="009F3F65" w:rsidR="003130C2" w:rsidP="003130C2" w:rsidRDefault="003130C2" w14:paraId="2295E296" w14:textId="77777777">
      <w:pPr>
        <w:jc w:val="center"/>
        <w:rPr>
          <w:lang w:val="en-GB"/>
        </w:rPr>
      </w:pPr>
    </w:p>
    <w:p w:rsidRPr="009F3F65" w:rsidR="003130C2" w:rsidP="003130C2" w:rsidRDefault="003130C2" w14:paraId="6B226629" w14:textId="77777777">
      <w:pPr>
        <w:rPr>
          <w:lang w:val="en-GB"/>
        </w:rPr>
      </w:pPr>
    </w:p>
    <w:p w:rsidRPr="009F3F65" w:rsidR="003130C2" w:rsidP="003130C2" w:rsidRDefault="003130C2" w14:paraId="21B632A6" w14:textId="77777777">
      <w:pPr>
        <w:jc w:val="center"/>
        <w:rPr>
          <w:color w:val="5B9BD5" w:themeColor="accent1"/>
          <w:sz w:val="16"/>
          <w:szCs w:val="16"/>
          <w:lang w:val="en-GB"/>
        </w:rPr>
      </w:pPr>
    </w:p>
    <w:p w:rsidRPr="009F3F65" w:rsidR="003130C2" w:rsidP="003130C2" w:rsidRDefault="003130C2" w14:paraId="65C1D89A" w14:textId="77777777">
      <w:pPr>
        <w:jc w:val="center"/>
      </w:pPr>
      <w:r>
        <w:rPr>
          <w:b/>
          <w:color w:val="5B9BD5" w:themeColor="accent1"/>
          <w:sz w:val="20"/>
        </w:rPr>
        <w:t>Figure 30.</w:t>
      </w:r>
      <w:r>
        <w:rPr>
          <w:color w:val="5B9BD5" w:themeColor="accent1"/>
          <w:sz w:val="20"/>
        </w:rPr>
        <w:t xml:space="preserve"> Quality of communication and information on the DEP’s key capacity areas – general.</w:t>
      </w:r>
    </w:p>
    <w:p w:rsidRPr="009F3F65" w:rsidR="003130C2" w:rsidP="003130C2" w:rsidRDefault="003130C2" w14:paraId="589F8507" w14:textId="77777777">
      <w:pPr>
        <w:rPr>
          <w:lang w:val="en-GB"/>
        </w:rPr>
      </w:pPr>
    </w:p>
    <w:p w:rsidRPr="009F3F65" w:rsidR="003130C2" w:rsidP="003130C2" w:rsidRDefault="003130C2" w14:paraId="7ABF4BC2" w14:textId="77777777">
      <w:r>
        <w:t xml:space="preserve">With regard to </w:t>
      </w:r>
      <w:r>
        <w:rPr>
          <w:u w:val="single"/>
        </w:rPr>
        <w:t>the involvement and consultation of the social partners and civil society during the planning and implementation of the DEP activities in their respective countries</w:t>
      </w:r>
      <w:r>
        <w:t xml:space="preserve"> (</w:t>
      </w:r>
      <w:r>
        <w:rPr>
          <w:b/>
        </w:rPr>
        <w:t>question 19</w:t>
      </w:r>
      <w:r>
        <w:t>), the largest number of respondents were ‘unsure’ as to how to assess this (40%), whilst 23% considered this aspect as having been ‘not very good’, with 16% answering ‘moderately good’ and only 11% ‘very good’.</w:t>
      </w:r>
    </w:p>
    <w:p w:rsidRPr="009F3F65" w:rsidR="003130C2" w:rsidP="003130C2" w:rsidRDefault="003130C2" w14:paraId="17CA5919" w14:textId="77777777">
      <w:r>
        <w:rPr>
          <w:noProof/>
        </w:rPr>
        <w:drawing>
          <wp:anchor distT="0" distB="0" distL="114300" distR="114300" simplePos="0" relativeHeight="251767808" behindDoc="0" locked="0" layoutInCell="1" allowOverlap="1" wp14:editId="338E2876" wp14:anchorId="04686242">
            <wp:simplePos x="0" y="0"/>
            <wp:positionH relativeFrom="margin">
              <wp:posOffset>165100</wp:posOffset>
            </wp:positionH>
            <wp:positionV relativeFrom="paragraph">
              <wp:posOffset>194310</wp:posOffset>
            </wp:positionV>
            <wp:extent cx="5454650" cy="2617470"/>
            <wp:effectExtent l="0" t="0" r="12700" b="11430"/>
            <wp:wrapNone/>
            <wp:docPr id="229" name="Chart 229">
              <a:extLst xmlns:a="http://schemas.openxmlformats.org/drawingml/2006/main">
                <a:ext uri="{FF2B5EF4-FFF2-40B4-BE49-F238E27FC236}">
                  <a16:creationId xmlns:a16="http://schemas.microsoft.com/office/drawing/2014/main" id="{B18AD0AC-DF2F-4A03-B6DC-92E20F9027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p>
    <w:p w:rsidRPr="009F3F65" w:rsidR="003130C2" w:rsidP="003130C2" w:rsidRDefault="003130C2" w14:paraId="48C8E53B" w14:textId="77777777">
      <w:pPr>
        <w:rPr>
          <w:lang w:val="en-GB"/>
        </w:rPr>
      </w:pPr>
    </w:p>
    <w:p w:rsidRPr="009F3F65" w:rsidR="003130C2" w:rsidP="003130C2" w:rsidRDefault="003130C2" w14:paraId="5E0ED768" w14:textId="77777777">
      <w:pPr>
        <w:rPr>
          <w:lang w:val="en-GB"/>
        </w:rPr>
      </w:pPr>
    </w:p>
    <w:p w:rsidRPr="009F3F65" w:rsidR="003130C2" w:rsidP="003130C2" w:rsidRDefault="003130C2" w14:paraId="7A6A9BDA" w14:textId="77777777">
      <w:pPr>
        <w:rPr>
          <w:lang w:val="en-GB"/>
        </w:rPr>
      </w:pPr>
    </w:p>
    <w:p w:rsidRPr="009F3F65" w:rsidR="003130C2" w:rsidP="003130C2" w:rsidRDefault="003130C2" w14:paraId="66E9E9B0" w14:textId="77777777">
      <w:pPr>
        <w:rPr>
          <w:lang w:val="en-GB"/>
        </w:rPr>
      </w:pPr>
    </w:p>
    <w:p w:rsidRPr="009F3F65" w:rsidR="003130C2" w:rsidP="003130C2" w:rsidRDefault="003130C2" w14:paraId="36B6E991" w14:textId="77777777">
      <w:pPr>
        <w:rPr>
          <w:lang w:val="en-GB"/>
        </w:rPr>
      </w:pPr>
    </w:p>
    <w:p w:rsidRPr="009F3F65" w:rsidR="003130C2" w:rsidP="003130C2" w:rsidRDefault="003130C2" w14:paraId="222B3758" w14:textId="77777777">
      <w:pPr>
        <w:rPr>
          <w:lang w:val="en-GB"/>
        </w:rPr>
      </w:pPr>
    </w:p>
    <w:p w:rsidRPr="009F3F65" w:rsidR="003130C2" w:rsidP="003130C2" w:rsidRDefault="003130C2" w14:paraId="6EF6F25F" w14:textId="77777777">
      <w:pPr>
        <w:rPr>
          <w:lang w:val="en-GB"/>
        </w:rPr>
      </w:pPr>
    </w:p>
    <w:p w:rsidRPr="009F3F65" w:rsidR="003130C2" w:rsidP="003130C2" w:rsidRDefault="003130C2" w14:paraId="12BD2AB0" w14:textId="77777777">
      <w:pPr>
        <w:rPr>
          <w:lang w:val="en-GB"/>
        </w:rPr>
      </w:pPr>
    </w:p>
    <w:p w:rsidRPr="009F3F65" w:rsidR="003130C2" w:rsidP="003130C2" w:rsidRDefault="003130C2" w14:paraId="7E1B654B" w14:textId="77777777">
      <w:pPr>
        <w:rPr>
          <w:lang w:val="en-GB"/>
        </w:rPr>
      </w:pPr>
    </w:p>
    <w:p w:rsidRPr="009F3F65" w:rsidR="003130C2" w:rsidP="003130C2" w:rsidRDefault="003130C2" w14:paraId="7C09F9C2" w14:textId="77777777">
      <w:pPr>
        <w:rPr>
          <w:lang w:val="en-GB"/>
        </w:rPr>
      </w:pPr>
    </w:p>
    <w:p w:rsidRPr="009F3F65" w:rsidR="003130C2" w:rsidP="003130C2" w:rsidRDefault="003130C2" w14:paraId="25BF9013" w14:textId="77777777">
      <w:pPr>
        <w:rPr>
          <w:lang w:val="en-GB"/>
        </w:rPr>
      </w:pPr>
    </w:p>
    <w:p w:rsidRPr="009F3F65" w:rsidR="003130C2" w:rsidP="003130C2" w:rsidRDefault="003130C2" w14:paraId="4106E179" w14:textId="77777777">
      <w:pPr>
        <w:rPr>
          <w:lang w:val="en-GB"/>
        </w:rPr>
      </w:pPr>
    </w:p>
    <w:p w:rsidRPr="009F3F65" w:rsidR="003130C2" w:rsidP="003130C2" w:rsidRDefault="003130C2" w14:paraId="4004BE1E" w14:textId="77777777">
      <w:pPr>
        <w:rPr>
          <w:lang w:val="en-GB"/>
        </w:rPr>
      </w:pPr>
    </w:p>
    <w:p w:rsidRPr="009F3F65" w:rsidR="003130C2" w:rsidP="003130C2" w:rsidRDefault="003130C2" w14:paraId="10FE529A" w14:textId="77777777">
      <w:pPr>
        <w:rPr>
          <w:lang w:val="en-GB"/>
        </w:rPr>
      </w:pPr>
    </w:p>
    <w:p w:rsidRPr="009F3F65" w:rsidR="003130C2" w:rsidP="003130C2" w:rsidRDefault="003130C2" w14:paraId="07B39F49" w14:textId="77777777">
      <w:pPr>
        <w:jc w:val="center"/>
      </w:pPr>
      <w:r>
        <w:rPr>
          <w:b/>
          <w:color w:val="5B9BD5" w:themeColor="accent1"/>
          <w:sz w:val="20"/>
        </w:rPr>
        <w:t>Figure 31.</w:t>
      </w:r>
      <w:r>
        <w:rPr>
          <w:color w:val="5B9BD5" w:themeColor="accent1"/>
          <w:sz w:val="20"/>
        </w:rPr>
        <w:t xml:space="preserve"> Involvement and consultation of the social partners and civil society regarding the DEP – general.</w:t>
      </w:r>
    </w:p>
    <w:p w:rsidRPr="009F3F65" w:rsidR="003130C2" w:rsidP="003130C2" w:rsidRDefault="003130C2" w14:paraId="10F275FC" w14:textId="77777777">
      <w:pPr>
        <w:jc w:val="center"/>
        <w:rPr>
          <w:lang w:val="en-GB"/>
        </w:rPr>
      </w:pPr>
    </w:p>
    <w:p w:rsidRPr="009F3F65" w:rsidR="003130C2" w:rsidP="003130C2" w:rsidRDefault="003130C2" w14:paraId="40A4FC72" w14:textId="77777777">
      <w:r>
        <w:t xml:space="preserve">In a cross-country comparison, the responses are quite divergent. Only the German respondents gave a majority of positive answers on the involvement and consultation of the social partners and civil society during the planning and implementation of the DEP activities (27% for both ‘very good’ and ‘moderately good’), whilst 83% (or 5 persons) of the Maltese respondents were ‘unsure’, as were 70% </w:t>
      </w:r>
      <w:r>
        <w:lastRenderedPageBreak/>
        <w:t>of the Swedish respondents. The Polish and Portuguese were the most sceptical, with 75% of the Polish respondents considering that the involvement and consultation had been either ‘not very good’ (50% or 4 persons) or ‘not at all good’ (25% or 2 persons). Finally, half of the Portuguese respondents (or 2 persons) assessed this aspect as having been ‘not very good’.</w:t>
      </w:r>
    </w:p>
    <w:p w:rsidRPr="009F3F65" w:rsidR="003130C2" w:rsidP="003130C2" w:rsidRDefault="003130C2" w14:paraId="14756839" w14:textId="77777777">
      <w:pPr>
        <w:rPr>
          <w:lang w:val="en-GB"/>
        </w:rPr>
      </w:pPr>
    </w:p>
    <w:p w:rsidRPr="009F3F65" w:rsidR="003130C2" w:rsidP="003130C2" w:rsidRDefault="003130C2" w14:paraId="772C1F21" w14:textId="77777777">
      <w:r>
        <w:rPr>
          <w:noProof/>
        </w:rPr>
        <w:drawing>
          <wp:inline distT="0" distB="0" distL="0" distR="0" wp14:anchorId="6FB31054" wp14:editId="43866213">
            <wp:extent cx="5731510" cy="2472515"/>
            <wp:effectExtent l="0" t="0" r="2540" b="4445"/>
            <wp:docPr id="256" name="Chart 256">
              <a:extLst xmlns:a="http://schemas.openxmlformats.org/drawingml/2006/main">
                <a:ext uri="{FF2B5EF4-FFF2-40B4-BE49-F238E27FC236}">
                  <a16:creationId xmlns:a16="http://schemas.microsoft.com/office/drawing/2014/main" id="{06BF96A8-5AAF-4D76-8491-775514A48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Pr="009F3F65" w:rsidR="003130C2" w:rsidP="003130C2" w:rsidRDefault="003130C2" w14:paraId="72B33FAE" w14:textId="77777777">
      <w:pPr>
        <w:jc w:val="right"/>
      </w:pPr>
      <w:r>
        <w:rPr>
          <w:b/>
          <w:color w:val="5B9BD5" w:themeColor="accent1"/>
          <w:sz w:val="20"/>
        </w:rPr>
        <w:t>Figure 32.</w:t>
      </w:r>
      <w:r>
        <w:rPr>
          <w:color w:val="5B9BD5" w:themeColor="accent1"/>
          <w:sz w:val="20"/>
        </w:rPr>
        <w:t xml:space="preserve"> Involvement and consultation of the social partners and civil society regarding the DEP – by country.</w:t>
      </w:r>
    </w:p>
    <w:p w:rsidRPr="009F3F65" w:rsidR="003130C2" w:rsidP="003130C2" w:rsidRDefault="003130C2" w14:paraId="619ED871" w14:textId="77777777">
      <w:pPr>
        <w:rPr>
          <w:lang w:val="en-GB"/>
        </w:rPr>
      </w:pPr>
    </w:p>
    <w:p w:rsidRPr="009F3F65" w:rsidR="003130C2" w:rsidP="003130C2" w:rsidRDefault="003130C2" w14:paraId="25E245FD" w14:textId="77777777">
      <w:r>
        <w:t xml:space="preserve">During the semi-structured interviews in </w:t>
      </w:r>
      <w:r>
        <w:rPr>
          <w:b/>
        </w:rPr>
        <w:t>Malta</w:t>
      </w:r>
      <w:r>
        <w:t xml:space="preserve">, all of the social partner representatives who were present </w:t>
      </w:r>
      <w:r>
        <w:rPr>
          <w:b/>
        </w:rPr>
        <w:t>underlined the importance of ensuring a stronger role for the social partners in the design and development of the DEP</w:t>
      </w:r>
      <w:r>
        <w:t xml:space="preserve"> (e.g. proper consultation by the national authorities when negotiating the programme’s priorities and scope) and a more significant involvement in the monitoring of the initiatives and projects that are linked to their specific competences. Moreover, all participants from the social partners confirmed that they were not directly involved in any current initiative or project launched under the DEP.</w:t>
      </w:r>
    </w:p>
    <w:p w:rsidRPr="009F3F65" w:rsidR="003130C2" w:rsidP="003130C2" w:rsidRDefault="003130C2" w14:paraId="74A3B3B4" w14:textId="77777777">
      <w:pPr>
        <w:rPr>
          <w:lang w:val="en-GB"/>
        </w:rPr>
      </w:pPr>
    </w:p>
    <w:p w:rsidRPr="009F3F65" w:rsidR="003130C2" w:rsidP="003130C2" w:rsidRDefault="003130C2" w14:paraId="4731F474" w14:textId="77777777">
      <w:r>
        <w:t xml:space="preserve">The </w:t>
      </w:r>
      <w:r>
        <w:rPr>
          <w:b/>
        </w:rPr>
        <w:t>Maltese</w:t>
      </w:r>
      <w:r>
        <w:t xml:space="preserve"> beneficiaries also </w:t>
      </w:r>
      <w:r>
        <w:rPr>
          <w:b/>
        </w:rPr>
        <w:t>underlined the importance of stronger involvement of civil society in initiatives related to the digital dimension</w:t>
      </w:r>
      <w:r>
        <w:t>, including the DEP, in order to ensure proper societal readiness to accept new changes brought by digital technologies. In this regard, participants highlighted the scepticism towards and lower regard for courses and training provided fully online, because of the lack of in-person interaction.</w:t>
      </w:r>
    </w:p>
    <w:p w:rsidRPr="009F3F65" w:rsidR="003130C2" w:rsidP="003130C2" w:rsidRDefault="003130C2" w14:paraId="627BEDEA" w14:textId="77777777">
      <w:pPr>
        <w:rPr>
          <w:lang w:val="en-GB"/>
        </w:rPr>
      </w:pPr>
    </w:p>
    <w:p w:rsidRPr="009F3F65" w:rsidR="003130C2" w:rsidP="003130C2" w:rsidRDefault="003130C2" w14:paraId="476319CD" w14:textId="77777777">
      <w:r>
        <w:t xml:space="preserve">During the semi-structured interviews in </w:t>
      </w:r>
      <w:r>
        <w:rPr>
          <w:b/>
        </w:rPr>
        <w:t>Poland</w:t>
      </w:r>
      <w:r>
        <w:t>, representatives from the public authorities confirmed their engagement in consulting civil society organisations, considered as a common practice (e.g. publication of communications, public bulletins). As the DEP was a new programme, it was reported that no specific comments had been submitted by civil society organisations.</w:t>
      </w:r>
    </w:p>
    <w:p w:rsidRPr="009F3F65" w:rsidR="003130C2" w:rsidP="003130C2" w:rsidRDefault="003130C2" w14:paraId="3FE1A79D" w14:textId="77777777">
      <w:pPr>
        <w:rPr>
          <w:lang w:val="en-GB"/>
        </w:rPr>
      </w:pPr>
    </w:p>
    <w:p w:rsidRPr="009F3F65" w:rsidR="003130C2" w:rsidP="003130C2" w:rsidRDefault="003130C2" w14:paraId="4EE7F937" w14:textId="77777777">
      <w:r>
        <w:t xml:space="preserve">On the other hand, representatives from the Polish social partners pointed out </w:t>
      </w:r>
      <w:r>
        <w:rPr>
          <w:b/>
        </w:rPr>
        <w:t>the importance of including more social partners in the public expenditure of European funds, including in the development and implementation of the DEP</w:t>
      </w:r>
      <w:r>
        <w:t>, and of targeting the best growth opportunities. In conjunction with the DEP, the stakeholders underlined the need for ICT professionals and workers to be covered by collective agreements, as most of them were not covered by such agreements across the EU, in order to strengthen their role in the European digital economy as a whole.</w:t>
      </w:r>
    </w:p>
    <w:p w:rsidRPr="009F3F65" w:rsidR="003130C2" w:rsidP="003130C2" w:rsidRDefault="003130C2" w14:paraId="3450A240" w14:textId="77777777">
      <w:pPr>
        <w:rPr>
          <w:lang w:val="en-GB"/>
        </w:rPr>
      </w:pPr>
    </w:p>
    <w:p w:rsidRPr="009F3F65" w:rsidR="003130C2" w:rsidP="003130C2" w:rsidRDefault="003130C2" w14:paraId="146D40FA" w14:textId="77777777">
      <w:r>
        <w:lastRenderedPageBreak/>
        <w:t xml:space="preserve">During the semi-structured interviews in </w:t>
      </w:r>
      <w:r>
        <w:rPr>
          <w:b/>
        </w:rPr>
        <w:t>Portugal</w:t>
      </w:r>
      <w:r>
        <w:t xml:space="preserve">, representatives from the public authorities noted that research entities had secured the largest portion of the funding, particularly in areas like health and manufacturing. However, there had not been a high level of participation by NGOs. It was observed that </w:t>
      </w:r>
      <w:r>
        <w:rPr>
          <w:b/>
        </w:rPr>
        <w:t>NGOs faced challenges due to the need to adhere to a set of objectives and constraints</w:t>
      </w:r>
      <w:r>
        <w:t>. Failure to meet funding conditions could result in the obligation to return the support. This condition often favoured entities with greater experience in framework programmes and awareness of the associated conditions.</w:t>
      </w:r>
    </w:p>
    <w:p w:rsidRPr="009F3F65" w:rsidR="003130C2" w:rsidP="003130C2" w:rsidRDefault="003130C2" w14:paraId="3E62747D" w14:textId="77777777">
      <w:pPr>
        <w:rPr>
          <w:lang w:val="en-GB"/>
        </w:rPr>
      </w:pPr>
    </w:p>
    <w:p w:rsidRPr="009F3F65" w:rsidR="003130C2" w:rsidP="003130C2" w:rsidRDefault="003130C2" w14:paraId="621BA5B1" w14:textId="77777777">
      <w:r>
        <w:t xml:space="preserve">Furthermore, concerns were expressed regarding the thematic view of funding, noting that covering only 50% of the funds created challenges. Many entities were willing to submit proposals but lacked incentives due to various constraints. </w:t>
      </w:r>
      <w:r>
        <w:rPr>
          <w:b/>
        </w:rPr>
        <w:t>The possibility of non-compliance and the obligation to return funds was considered a significant issue, hindering engagement</w:t>
      </w:r>
      <w:r>
        <w:t xml:space="preserve">. Moreover, the need to rely on other funding sources to complement the funds provided meant that there was insufficient incentive. </w:t>
      </w:r>
      <w:r>
        <w:rPr>
          <w:b/>
        </w:rPr>
        <w:t>It was reported that</w:t>
      </w:r>
      <w:r>
        <w:t xml:space="preserve"> </w:t>
      </w:r>
      <w:r>
        <w:rPr>
          <w:b/>
        </w:rPr>
        <w:t>these issues discouraged entities in civil society from attempting to access this funding source</w:t>
      </w:r>
      <w:r>
        <w:t xml:space="preserve">. </w:t>
      </w:r>
    </w:p>
    <w:p w:rsidRPr="009F3F65" w:rsidR="003130C2" w:rsidP="003130C2" w:rsidRDefault="003130C2" w14:paraId="59B05FAD" w14:textId="77777777">
      <w:pPr>
        <w:rPr>
          <w:lang w:val="en-GB"/>
        </w:rPr>
      </w:pPr>
    </w:p>
    <w:p w:rsidRPr="009F3F65" w:rsidR="003130C2" w:rsidP="003130C2" w:rsidRDefault="003130C2" w14:paraId="5E534AA9" w14:textId="77777777">
      <w:r>
        <w:t xml:space="preserve">As regards the </w:t>
      </w:r>
      <w:r>
        <w:rPr>
          <w:b/>
        </w:rPr>
        <w:t>Portuguese</w:t>
      </w:r>
      <w:r>
        <w:t xml:space="preserve"> social partners, they felt that there had been insufficient dissemination of the programme’s initiatives in Portugal, with </w:t>
      </w:r>
      <w:r>
        <w:rPr>
          <w:b/>
        </w:rPr>
        <w:t>no involvement of the social partners in the debate on the DEP</w:t>
      </w:r>
      <w:r>
        <w:t>. The view was expressed that the lack of involvement cannot solely be attributed to the small-scale dissemination of the programme; perhaps it was due to the programme’s design. It was suggested that there should be a contact point established for civil society. At national level, it would be important to reinforce the mechanisms for participation and to have a focal point that centralised the dynamics and involved civil society in discussions about these matters.</w:t>
      </w:r>
    </w:p>
    <w:p w:rsidRPr="009F3F65" w:rsidR="003130C2" w:rsidP="003130C2" w:rsidRDefault="003130C2" w14:paraId="3C6414EE" w14:textId="77777777">
      <w:pPr>
        <w:rPr>
          <w:lang w:val="en-GB"/>
        </w:rPr>
      </w:pPr>
    </w:p>
    <w:p w:rsidRPr="009F3F65" w:rsidR="003130C2" w:rsidP="003130C2" w:rsidRDefault="003130C2" w14:paraId="6683B8A3" w14:textId="77777777">
      <w:r>
        <w:t xml:space="preserve">In general, </w:t>
      </w:r>
      <w:r>
        <w:rPr>
          <w:b/>
        </w:rPr>
        <w:t>the non-involvement of civil society at both national and European levels in the programme’s design was highlighted</w:t>
      </w:r>
      <w:r>
        <w:t>. Stakeholders stressed the need for the EU to design programmes that are less bureaucratic and more user-friendly.</w:t>
      </w:r>
    </w:p>
    <w:p w:rsidRPr="009F3F65" w:rsidR="003130C2" w:rsidP="003130C2" w:rsidRDefault="003130C2" w14:paraId="664F3EAC" w14:textId="77777777">
      <w:pPr>
        <w:rPr>
          <w:lang w:val="en-GB"/>
        </w:rPr>
      </w:pPr>
    </w:p>
    <w:p w:rsidRPr="009F3F65" w:rsidR="003130C2" w:rsidP="003130C2" w:rsidRDefault="003130C2" w14:paraId="09243730" w14:textId="77777777">
      <w:r>
        <w:t xml:space="preserve">Finally, a </w:t>
      </w:r>
      <w:r>
        <w:rPr>
          <w:b/>
        </w:rPr>
        <w:t>Portuguese</w:t>
      </w:r>
      <w:r>
        <w:t xml:space="preserve"> representative of digital innovation hubs noted a </w:t>
      </w:r>
      <w:r>
        <w:rPr>
          <w:b/>
        </w:rPr>
        <w:t>lack of awareness, particularly regarding the involvement of civil organisations in digital innovation hubs</w:t>
      </w:r>
      <w:r>
        <w:t xml:space="preserve">. Even companies are not aware of their work, indicating an ongoing process. It was emphasised that involving civil society stakeholders in the design of the programme is crucial. Understanding the needs of the sector is essential, regardless of its nature, as there are often cross-sectoral issues. </w:t>
      </w:r>
    </w:p>
    <w:p w:rsidRPr="009F3F65" w:rsidR="003130C2" w:rsidP="003130C2" w:rsidRDefault="003130C2" w14:paraId="4D65D2BA" w14:textId="77777777">
      <w:pPr>
        <w:rPr>
          <w:lang w:val="en-GB"/>
        </w:rPr>
      </w:pPr>
    </w:p>
    <w:p w:rsidRPr="009F3F65" w:rsidR="003130C2" w:rsidP="003130C2" w:rsidRDefault="003130C2" w14:paraId="5651FC71" w14:textId="77777777">
      <w:r>
        <w:t xml:space="preserve">During the semi-structured interviews in </w:t>
      </w:r>
      <w:r>
        <w:rPr>
          <w:b/>
        </w:rPr>
        <w:t>Sweden</w:t>
      </w:r>
      <w:r>
        <w:t xml:space="preserve">, the social partners noted that there is a tradition of inviting stakeholders and consulting trade unions, but that concerning digital initiatives, there is a general lack of initiatives and discussion, both at national and EU levels. A </w:t>
      </w:r>
      <w:r>
        <w:rPr>
          <w:b/>
        </w:rPr>
        <w:t>desire was expressed for greater involvement of trade unions in initiatives, when appropriate</w:t>
      </w:r>
      <w:r>
        <w:t>. The current situation seemed to indicate that this was not the case.</w:t>
      </w:r>
    </w:p>
    <w:p w:rsidRPr="009F3F65" w:rsidR="003130C2" w:rsidP="003130C2" w:rsidRDefault="003130C2" w14:paraId="224E50D9" w14:textId="77777777">
      <w:pPr>
        <w:rPr>
          <w:lang w:val="en-GB"/>
        </w:rPr>
      </w:pPr>
    </w:p>
    <w:p w:rsidRPr="009F3F65" w:rsidR="003130C2" w:rsidP="003130C2" w:rsidRDefault="003130C2" w14:paraId="3180477C" w14:textId="77777777">
      <w:r>
        <w:t xml:space="preserve">From the point of view of the Swedish public authorities, in order to improve civil society involvement, it was deemed crucial to address the lack of information. </w:t>
      </w:r>
      <w:r>
        <w:rPr>
          <w:b/>
        </w:rPr>
        <w:t>Enhanced communication was seen as a key factor in significantly boosting participation.</w:t>
      </w:r>
    </w:p>
    <w:p w:rsidRPr="009F3F65" w:rsidR="003130C2" w:rsidP="003130C2" w:rsidRDefault="003130C2" w14:paraId="214331CC" w14:textId="77777777">
      <w:pPr>
        <w:rPr>
          <w:lang w:val="en-GB"/>
        </w:rPr>
      </w:pPr>
    </w:p>
    <w:p w:rsidRPr="009F3F65" w:rsidR="003130C2" w:rsidP="003130C2" w:rsidRDefault="003130C2" w14:paraId="29DA191B" w14:textId="77777777">
      <w:r>
        <w:t xml:space="preserve">With regard to the </w:t>
      </w:r>
      <w:r>
        <w:rPr>
          <w:u w:val="single"/>
        </w:rPr>
        <w:t>inclusion of the social partners and civil society organisations in co-designing the measures and activities of the DEP in their respective countries</w:t>
      </w:r>
      <w:r>
        <w:t xml:space="preserve"> (</w:t>
      </w:r>
      <w:r>
        <w:rPr>
          <w:b/>
        </w:rPr>
        <w:t>question 20</w:t>
      </w:r>
      <w:r>
        <w:t xml:space="preserve">), similarly as in the </w:t>
      </w:r>
      <w:r>
        <w:lastRenderedPageBreak/>
        <w:t>previous question, the majority of the respondents were ‘unsure’ as to how to assess this (42%), whilst 30% considered that this had been ‘not very good’, 14% answered ‘moderately good’ and only 7% ‘very good’.</w:t>
      </w:r>
    </w:p>
    <w:p w:rsidRPr="009F3F65" w:rsidR="003130C2" w:rsidP="003130C2" w:rsidRDefault="003130C2" w14:paraId="2F01EAEA" w14:textId="77777777">
      <w:pPr>
        <w:spacing w:line="240" w:lineRule="auto"/>
        <w:jc w:val="left"/>
      </w:pPr>
      <w:r>
        <w:br w:type="page"/>
      </w:r>
    </w:p>
    <w:p w:rsidRPr="009F3F65" w:rsidR="003130C2" w:rsidP="003130C2" w:rsidRDefault="003130C2" w14:paraId="779DDF22" w14:textId="77777777">
      <w:r>
        <w:rPr>
          <w:noProof/>
        </w:rPr>
        <w:lastRenderedPageBreak/>
        <w:drawing>
          <wp:anchor distT="0" distB="0" distL="114300" distR="114300" simplePos="0" relativeHeight="251795456" behindDoc="0" locked="0" layoutInCell="1" allowOverlap="1" wp14:editId="1A6E45FF" wp14:anchorId="156D3A9D">
            <wp:simplePos x="0" y="0"/>
            <wp:positionH relativeFrom="margin">
              <wp:posOffset>419100</wp:posOffset>
            </wp:positionH>
            <wp:positionV relativeFrom="paragraph">
              <wp:posOffset>192405</wp:posOffset>
            </wp:positionV>
            <wp:extent cx="4781550" cy="2571750"/>
            <wp:effectExtent l="0" t="0" r="0" b="0"/>
            <wp:wrapNone/>
            <wp:docPr id="231" name="Chart 231">
              <a:extLst xmlns:a="http://schemas.openxmlformats.org/drawingml/2006/main">
                <a:ext uri="{FF2B5EF4-FFF2-40B4-BE49-F238E27FC236}">
                  <a16:creationId xmlns:a16="http://schemas.microsoft.com/office/drawing/2014/main" id="{FD9A2A53-67D0-408A-BB4E-FCD4F98840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p>
    <w:p w:rsidRPr="009F3F65" w:rsidR="003130C2" w:rsidP="003130C2" w:rsidRDefault="003130C2" w14:paraId="7E860A2B" w14:textId="77777777">
      <w:pPr>
        <w:rPr>
          <w:lang w:val="en-GB"/>
        </w:rPr>
      </w:pPr>
    </w:p>
    <w:p w:rsidRPr="009F3F65" w:rsidR="003130C2" w:rsidP="003130C2" w:rsidRDefault="003130C2" w14:paraId="77410655" w14:textId="77777777">
      <w:pPr>
        <w:rPr>
          <w:lang w:val="en-GB"/>
        </w:rPr>
      </w:pPr>
    </w:p>
    <w:p w:rsidRPr="009F3F65" w:rsidR="003130C2" w:rsidP="003130C2" w:rsidRDefault="003130C2" w14:paraId="149CEEAE" w14:textId="77777777">
      <w:pPr>
        <w:rPr>
          <w:lang w:val="en-GB"/>
        </w:rPr>
      </w:pPr>
    </w:p>
    <w:p w:rsidRPr="009F3F65" w:rsidR="003130C2" w:rsidP="003130C2" w:rsidRDefault="003130C2" w14:paraId="637D502B" w14:textId="77777777">
      <w:pPr>
        <w:rPr>
          <w:lang w:val="en-GB"/>
        </w:rPr>
      </w:pPr>
    </w:p>
    <w:p w:rsidRPr="009F3F65" w:rsidR="003130C2" w:rsidP="003130C2" w:rsidRDefault="003130C2" w14:paraId="59795BFC" w14:textId="77777777">
      <w:pPr>
        <w:rPr>
          <w:lang w:val="en-GB"/>
        </w:rPr>
      </w:pPr>
    </w:p>
    <w:p w:rsidRPr="009F3F65" w:rsidR="003130C2" w:rsidP="003130C2" w:rsidRDefault="003130C2" w14:paraId="1FCAAEA3" w14:textId="77777777">
      <w:pPr>
        <w:rPr>
          <w:lang w:val="en-GB"/>
        </w:rPr>
      </w:pPr>
    </w:p>
    <w:p w:rsidRPr="009F3F65" w:rsidR="003130C2" w:rsidP="003130C2" w:rsidRDefault="003130C2" w14:paraId="3D9A5FC2" w14:textId="77777777">
      <w:pPr>
        <w:rPr>
          <w:lang w:val="en-GB"/>
        </w:rPr>
      </w:pPr>
    </w:p>
    <w:p w:rsidRPr="009F3F65" w:rsidR="003130C2" w:rsidP="003130C2" w:rsidRDefault="003130C2" w14:paraId="66586652" w14:textId="77777777">
      <w:pPr>
        <w:rPr>
          <w:lang w:val="en-GB"/>
        </w:rPr>
      </w:pPr>
    </w:p>
    <w:p w:rsidRPr="009F3F65" w:rsidR="003130C2" w:rsidP="003130C2" w:rsidRDefault="003130C2" w14:paraId="685A579D" w14:textId="77777777">
      <w:pPr>
        <w:rPr>
          <w:lang w:val="en-GB"/>
        </w:rPr>
      </w:pPr>
    </w:p>
    <w:p w:rsidRPr="009F3F65" w:rsidR="003130C2" w:rsidP="003130C2" w:rsidRDefault="003130C2" w14:paraId="6CE01D97" w14:textId="77777777">
      <w:pPr>
        <w:rPr>
          <w:lang w:val="en-GB"/>
        </w:rPr>
      </w:pPr>
    </w:p>
    <w:p w:rsidRPr="009F3F65" w:rsidR="003130C2" w:rsidP="003130C2" w:rsidRDefault="003130C2" w14:paraId="6CDC17D9" w14:textId="77777777">
      <w:pPr>
        <w:rPr>
          <w:lang w:val="en-GB"/>
        </w:rPr>
      </w:pPr>
    </w:p>
    <w:p w:rsidRPr="009F3F65" w:rsidR="003130C2" w:rsidP="003130C2" w:rsidRDefault="003130C2" w14:paraId="528BD28C" w14:textId="77777777">
      <w:pPr>
        <w:rPr>
          <w:lang w:val="en-GB"/>
        </w:rPr>
      </w:pPr>
    </w:p>
    <w:p w:rsidRPr="009F3F65" w:rsidR="003130C2" w:rsidP="003130C2" w:rsidRDefault="003130C2" w14:paraId="5919224B" w14:textId="77777777">
      <w:pPr>
        <w:rPr>
          <w:lang w:val="en-GB"/>
        </w:rPr>
      </w:pPr>
    </w:p>
    <w:p w:rsidRPr="009F3F65" w:rsidR="003130C2" w:rsidP="003130C2" w:rsidRDefault="003130C2" w14:paraId="3445847E" w14:textId="77777777">
      <w:pPr>
        <w:rPr>
          <w:lang w:val="en-GB"/>
        </w:rPr>
      </w:pPr>
    </w:p>
    <w:p w:rsidRPr="009F3F65" w:rsidR="003130C2" w:rsidP="003130C2" w:rsidRDefault="003130C2" w14:paraId="69F8A92B" w14:textId="77777777">
      <w:pPr>
        <w:jc w:val="center"/>
      </w:pPr>
      <w:r>
        <w:rPr>
          <w:b/>
          <w:color w:val="5B9BD5" w:themeColor="accent1"/>
          <w:sz w:val="20"/>
        </w:rPr>
        <w:t>Figure 33.</w:t>
      </w:r>
      <w:r>
        <w:rPr>
          <w:color w:val="5B9BD5" w:themeColor="accent1"/>
          <w:sz w:val="20"/>
        </w:rPr>
        <w:t xml:space="preserve"> Inclusion of the social partners and civil society in co-designing DEP activities – general.</w:t>
      </w:r>
    </w:p>
    <w:p w:rsidRPr="009F3F65" w:rsidR="003130C2" w:rsidP="003130C2" w:rsidRDefault="003130C2" w14:paraId="037EB6D5" w14:textId="77777777">
      <w:pPr>
        <w:rPr>
          <w:lang w:val="en-GB"/>
        </w:rPr>
      </w:pPr>
    </w:p>
    <w:p w:rsidRPr="009F3F65" w:rsidR="003130C2" w:rsidP="003130C2" w:rsidRDefault="003130C2" w14:paraId="2F38C58C" w14:textId="77777777">
      <w:r>
        <w:t>Looking across the countries, the responses were quite similar, with the majority of respondents in all countries, except for Malta and Sweden (where 67% and 70% respectively were ‘unsure’), being of the opinion that the inclusion of the social partners and civil society organisations in co-designing the measures and activities of the DEP in their respective country had been ‘not very good’ (33% in Germany, 38% (or 3 persons) in Poland and 75% (or 3 persons) in Portugal.</w:t>
      </w:r>
    </w:p>
    <w:p w:rsidRPr="009F3F65" w:rsidR="003130C2" w:rsidP="003130C2" w:rsidRDefault="003130C2" w14:paraId="2FFF603B" w14:textId="77777777">
      <w:pPr>
        <w:rPr>
          <w:lang w:val="en-GB"/>
        </w:rPr>
      </w:pPr>
    </w:p>
    <w:p w:rsidRPr="009F3F65" w:rsidR="003130C2" w:rsidP="003130C2" w:rsidRDefault="003130C2" w14:paraId="731B7F23" w14:textId="77777777">
      <w:r>
        <w:t xml:space="preserve">During the semi-structured interviews, representatives from the </w:t>
      </w:r>
      <w:r>
        <w:rPr>
          <w:b/>
        </w:rPr>
        <w:t>German</w:t>
      </w:r>
      <w:r>
        <w:t xml:space="preserve"> public authorities emphasised </w:t>
      </w:r>
      <w:r>
        <w:rPr>
          <w:b/>
        </w:rPr>
        <w:t>the lack of structured exchange with the social partners</w:t>
      </w:r>
      <w:r>
        <w:t>, justified by the specific focus of their activities on providing support to the EDIHs in Germany. Nevertheless, it was pointed out that such an exchange existed in the context of other funding focused on digital transformation at national level.</w:t>
      </w:r>
    </w:p>
    <w:p w:rsidRPr="009F3F65" w:rsidR="003130C2" w:rsidP="003130C2" w:rsidRDefault="003130C2" w14:paraId="00E95B67" w14:textId="77777777">
      <w:pPr>
        <w:rPr>
          <w:lang w:val="en-GB"/>
        </w:rPr>
      </w:pPr>
    </w:p>
    <w:p w:rsidRPr="009F3F65" w:rsidR="003130C2" w:rsidP="003130C2" w:rsidRDefault="003130C2" w14:paraId="1364314C" w14:textId="77777777">
      <w:r>
        <w:t xml:space="preserve">A representative from the </w:t>
      </w:r>
      <w:r>
        <w:rPr>
          <w:b/>
        </w:rPr>
        <w:t>Maltese</w:t>
      </w:r>
      <w:r>
        <w:t xml:space="preserve"> social partners underlined the </w:t>
      </w:r>
      <w:r>
        <w:rPr>
          <w:b/>
        </w:rPr>
        <w:t>importance of ensuring stronger involvement of the trade unions with specific regard to the efforts on skilling and upskilling the workforce</w:t>
      </w:r>
      <w:r>
        <w:t xml:space="preserve">. Despite not being directly related to the DEP, the low level of funding (EUR 2.5 million) invested in upskilling (partially covering digital skills) in 2022 by Malta Enterprise (national agency responsible for economic development) was pointed out. </w:t>
      </w:r>
    </w:p>
    <w:p w:rsidRPr="009F3F65" w:rsidR="003130C2" w:rsidP="003130C2" w:rsidRDefault="003130C2" w14:paraId="05C3F0E7" w14:textId="77777777">
      <w:pPr>
        <w:rPr>
          <w:lang w:val="en-GB"/>
        </w:rPr>
      </w:pPr>
    </w:p>
    <w:p w:rsidRPr="009F3F65" w:rsidR="003130C2" w:rsidP="003130C2" w:rsidRDefault="003130C2" w14:paraId="48FD870D" w14:textId="77777777">
      <w:r>
        <w:t xml:space="preserve">Furthermore, representatives from the </w:t>
      </w:r>
      <w:r>
        <w:rPr>
          <w:b/>
        </w:rPr>
        <w:t>Polish</w:t>
      </w:r>
      <w:r>
        <w:t xml:space="preserve"> social partners highlighted the importance of closely involving industry stakeholders in DEP projects and initiatives focused on upskilling and reskilling the existing workforce (with a view to retaining staff and counteracting jobs losses linked to robotisation and AI).</w:t>
      </w:r>
    </w:p>
    <w:p w:rsidRPr="009F3F65" w:rsidR="003130C2" w:rsidP="003130C2" w:rsidRDefault="003130C2" w14:paraId="4132D799" w14:textId="77777777">
      <w:pPr>
        <w:rPr>
          <w:lang w:val="en-GB"/>
        </w:rPr>
      </w:pPr>
    </w:p>
    <w:p w:rsidRPr="009F3F65" w:rsidR="003130C2" w:rsidP="003130C2" w:rsidRDefault="003130C2" w14:paraId="5685F0E2" w14:textId="77777777">
      <w:r>
        <w:t xml:space="preserve">With regard to the </w:t>
      </w:r>
      <w:r>
        <w:rPr>
          <w:u w:val="single"/>
        </w:rPr>
        <w:t>quality of the information provided to potential and final beneficiaries of actions funded under the DEP</w:t>
      </w:r>
      <w:r>
        <w:t xml:space="preserve"> (</w:t>
      </w:r>
      <w:r>
        <w:rPr>
          <w:b/>
        </w:rPr>
        <w:t>question 21</w:t>
      </w:r>
      <w:r>
        <w:t>), more than a third of the respondents (37%) considered that this had been ‘moderately good’, whilst only 9% thought that it had been ‘very good’ and 12% ‘not at all good’; finally, almost a fifth of the respondents were ‘unsure’ (19%).</w:t>
      </w:r>
    </w:p>
    <w:p w:rsidRPr="009F3F65" w:rsidR="003130C2" w:rsidP="003130C2" w:rsidRDefault="003130C2" w14:paraId="6B76E1F2" w14:textId="77777777">
      <w:pPr>
        <w:rPr>
          <w:lang w:val="en-GB"/>
        </w:rPr>
      </w:pPr>
    </w:p>
    <w:p w:rsidRPr="009F3F65" w:rsidR="003130C2" w:rsidP="003130C2" w:rsidRDefault="003130C2" w14:paraId="4AC6E492" w14:textId="77777777">
      <w:pPr>
        <w:spacing w:line="240" w:lineRule="auto"/>
        <w:jc w:val="left"/>
      </w:pPr>
      <w:r>
        <w:br w:type="page"/>
      </w:r>
    </w:p>
    <w:p w:rsidRPr="009F3F65" w:rsidR="003130C2" w:rsidP="003130C2" w:rsidRDefault="003130C2" w14:paraId="4B3B7EFE" w14:textId="77777777">
      <w:r>
        <w:rPr>
          <w:noProof/>
        </w:rPr>
        <w:lastRenderedPageBreak/>
        <w:drawing>
          <wp:anchor distT="0" distB="0" distL="114300" distR="114300" simplePos="0" relativeHeight="251777024" behindDoc="0" locked="0" layoutInCell="1" allowOverlap="1" wp14:editId="2FBA5A3E" wp14:anchorId="137FFA84">
            <wp:simplePos x="0" y="0"/>
            <wp:positionH relativeFrom="margin">
              <wp:posOffset>323850</wp:posOffset>
            </wp:positionH>
            <wp:positionV relativeFrom="paragraph">
              <wp:posOffset>93345</wp:posOffset>
            </wp:positionV>
            <wp:extent cx="4927600" cy="2527300"/>
            <wp:effectExtent l="0" t="0" r="6350" b="6350"/>
            <wp:wrapNone/>
            <wp:docPr id="233" name="Chart 233">
              <a:extLst xmlns:a="http://schemas.openxmlformats.org/drawingml/2006/main">
                <a:ext uri="{FF2B5EF4-FFF2-40B4-BE49-F238E27FC236}">
                  <a16:creationId xmlns:a16="http://schemas.microsoft.com/office/drawing/2014/main" id="{92223C6E-4EB3-4B5A-9B6B-156950FD6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p>
    <w:p w:rsidRPr="009F3F65" w:rsidR="003130C2" w:rsidP="003130C2" w:rsidRDefault="003130C2" w14:paraId="4483BAD4" w14:textId="77777777">
      <w:pPr>
        <w:rPr>
          <w:lang w:val="en-GB"/>
        </w:rPr>
      </w:pPr>
    </w:p>
    <w:p w:rsidRPr="009F3F65" w:rsidR="003130C2" w:rsidP="003130C2" w:rsidRDefault="003130C2" w14:paraId="0CA327B8" w14:textId="77777777">
      <w:pPr>
        <w:rPr>
          <w:lang w:val="en-GB"/>
        </w:rPr>
      </w:pPr>
    </w:p>
    <w:p w:rsidRPr="009F3F65" w:rsidR="003130C2" w:rsidP="003130C2" w:rsidRDefault="003130C2" w14:paraId="6A376302" w14:textId="77777777">
      <w:pPr>
        <w:rPr>
          <w:lang w:val="en-GB"/>
        </w:rPr>
      </w:pPr>
    </w:p>
    <w:p w:rsidRPr="009F3F65" w:rsidR="003130C2" w:rsidP="003130C2" w:rsidRDefault="003130C2" w14:paraId="69DE2129" w14:textId="77777777">
      <w:pPr>
        <w:rPr>
          <w:lang w:val="en-GB"/>
        </w:rPr>
      </w:pPr>
    </w:p>
    <w:p w:rsidRPr="009F3F65" w:rsidR="003130C2" w:rsidP="003130C2" w:rsidRDefault="003130C2" w14:paraId="09AB0F25" w14:textId="77777777">
      <w:pPr>
        <w:rPr>
          <w:lang w:val="en-GB"/>
        </w:rPr>
      </w:pPr>
    </w:p>
    <w:p w:rsidRPr="009F3F65" w:rsidR="003130C2" w:rsidP="003130C2" w:rsidRDefault="003130C2" w14:paraId="0270AB7A" w14:textId="77777777">
      <w:pPr>
        <w:rPr>
          <w:lang w:val="en-GB"/>
        </w:rPr>
      </w:pPr>
    </w:p>
    <w:p w:rsidRPr="009F3F65" w:rsidR="003130C2" w:rsidP="003130C2" w:rsidRDefault="003130C2" w14:paraId="376F212A" w14:textId="77777777">
      <w:pPr>
        <w:rPr>
          <w:lang w:val="en-GB"/>
        </w:rPr>
      </w:pPr>
    </w:p>
    <w:p w:rsidRPr="009F3F65" w:rsidR="003130C2" w:rsidP="003130C2" w:rsidRDefault="003130C2" w14:paraId="3D582ACB" w14:textId="77777777">
      <w:pPr>
        <w:rPr>
          <w:lang w:val="en-GB"/>
        </w:rPr>
      </w:pPr>
    </w:p>
    <w:p w:rsidRPr="009F3F65" w:rsidR="003130C2" w:rsidP="003130C2" w:rsidRDefault="003130C2" w14:paraId="7A6E72C0" w14:textId="77777777">
      <w:pPr>
        <w:rPr>
          <w:lang w:val="en-GB"/>
        </w:rPr>
      </w:pPr>
    </w:p>
    <w:p w:rsidRPr="009F3F65" w:rsidR="003130C2" w:rsidP="003130C2" w:rsidRDefault="003130C2" w14:paraId="7A353B1D" w14:textId="77777777">
      <w:pPr>
        <w:rPr>
          <w:lang w:val="en-GB"/>
        </w:rPr>
      </w:pPr>
    </w:p>
    <w:p w:rsidRPr="009F3F65" w:rsidR="003130C2" w:rsidP="003130C2" w:rsidRDefault="003130C2" w14:paraId="6729C20A" w14:textId="77777777">
      <w:pPr>
        <w:rPr>
          <w:lang w:val="en-GB"/>
        </w:rPr>
      </w:pPr>
    </w:p>
    <w:p w:rsidRPr="009F3F65" w:rsidR="003130C2" w:rsidP="003130C2" w:rsidRDefault="003130C2" w14:paraId="4805F93C" w14:textId="77777777">
      <w:pPr>
        <w:rPr>
          <w:lang w:val="en-GB"/>
        </w:rPr>
      </w:pPr>
    </w:p>
    <w:p w:rsidRPr="009F3F65" w:rsidR="003130C2" w:rsidP="003130C2" w:rsidRDefault="003130C2" w14:paraId="28375973" w14:textId="77777777">
      <w:pPr>
        <w:rPr>
          <w:lang w:val="en-GB"/>
        </w:rPr>
      </w:pPr>
    </w:p>
    <w:p w:rsidRPr="009F3F65" w:rsidR="003130C2" w:rsidP="003130C2" w:rsidRDefault="003130C2" w14:paraId="6E6F64C5" w14:textId="77777777">
      <w:pPr>
        <w:jc w:val="center"/>
        <w:rPr>
          <w:color w:val="5B9BD5" w:themeColor="accent1"/>
          <w:sz w:val="20"/>
        </w:rPr>
      </w:pPr>
      <w:r>
        <w:rPr>
          <w:b/>
          <w:color w:val="5B9BD5" w:themeColor="accent1"/>
          <w:sz w:val="20"/>
        </w:rPr>
        <w:t>Figure 34.</w:t>
      </w:r>
      <w:r>
        <w:rPr>
          <w:color w:val="5B9BD5" w:themeColor="accent1"/>
          <w:sz w:val="20"/>
        </w:rPr>
        <w:t xml:space="preserve"> Quality of information provided to beneficiaries under the DEP – general.</w:t>
      </w:r>
    </w:p>
    <w:p w:rsidRPr="009F3F65" w:rsidR="003130C2" w:rsidP="003130C2" w:rsidRDefault="003130C2" w14:paraId="4279CB28" w14:textId="77777777">
      <w:pPr>
        <w:jc w:val="center"/>
        <w:rPr>
          <w:color w:val="5B9BD5" w:themeColor="accent1"/>
          <w:sz w:val="20"/>
          <w:lang w:val="en-GB"/>
        </w:rPr>
      </w:pPr>
    </w:p>
    <w:p w:rsidRPr="009F3F65" w:rsidR="003130C2" w:rsidP="003130C2" w:rsidRDefault="003130C2" w14:paraId="5573A575" w14:textId="77777777">
      <w:r>
        <w:t>Whilst from a cross-country perspective the answers were quite similar, the cross-category comparison highlights some differing views. Whereas 78% of the respondents from the public authorities considered that the information provided to potential and final beneficiaries of actions funded under the DEP had been ‘moderately good’, 36% of respondents from business organisations thought that it had been ‘not at all good’ or they were ‘unsure’, and 41% of the respondents from academia viewed it as having been ‘not very good’.</w:t>
      </w:r>
    </w:p>
    <w:p w:rsidRPr="009F3F65" w:rsidR="003130C2" w:rsidP="003130C2" w:rsidRDefault="003130C2" w14:paraId="509F50DF" w14:textId="77777777">
      <w:pPr>
        <w:jc w:val="center"/>
        <w:rPr>
          <w:lang w:val="en-GB"/>
        </w:rPr>
      </w:pPr>
    </w:p>
    <w:p w:rsidRPr="009F3F65" w:rsidR="003130C2" w:rsidP="003130C2" w:rsidRDefault="003130C2" w14:paraId="0AEE4CE9" w14:textId="77777777">
      <w:r>
        <w:rPr>
          <w:noProof/>
        </w:rPr>
        <w:drawing>
          <wp:inline distT="0" distB="0" distL="0" distR="0" wp14:anchorId="1B24D085" wp14:editId="6E60498B">
            <wp:extent cx="5731510" cy="2436495"/>
            <wp:effectExtent l="0" t="0" r="2540" b="1905"/>
            <wp:docPr id="17" name="Chart 17">
              <a:extLst xmlns:a="http://schemas.openxmlformats.org/drawingml/2006/main">
                <a:ext uri="{FF2B5EF4-FFF2-40B4-BE49-F238E27FC236}">
                  <a16:creationId xmlns:a16="http://schemas.microsoft.com/office/drawing/2014/main" id="{89DCA7A6-6500-41C0-BF48-9E68A524A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Pr="009F3F65" w:rsidR="003130C2" w:rsidP="003130C2" w:rsidRDefault="003130C2" w14:paraId="73094E93" w14:textId="77777777">
      <w:pPr>
        <w:jc w:val="center"/>
      </w:pPr>
      <w:r>
        <w:rPr>
          <w:b/>
          <w:color w:val="5B9BD5" w:themeColor="accent1"/>
          <w:sz w:val="20"/>
        </w:rPr>
        <w:t>Figure 35.</w:t>
      </w:r>
      <w:r>
        <w:rPr>
          <w:color w:val="5B9BD5" w:themeColor="accent1"/>
          <w:sz w:val="20"/>
        </w:rPr>
        <w:t xml:space="preserve"> Quality of information provided to beneficiaries under the DEP – by category.</w:t>
      </w:r>
    </w:p>
    <w:p w:rsidRPr="009F3F65" w:rsidR="003130C2" w:rsidP="003130C2" w:rsidRDefault="003130C2" w14:paraId="471845A1" w14:textId="77777777">
      <w:pPr>
        <w:rPr>
          <w:lang w:val="en-GB"/>
        </w:rPr>
      </w:pPr>
    </w:p>
    <w:p w:rsidRPr="009F3F65" w:rsidR="003130C2" w:rsidP="003130C2" w:rsidRDefault="003130C2" w14:paraId="0933FE71" w14:textId="77777777">
      <w:r>
        <w:t xml:space="preserve">During the semi-structured interviews, representatives from the </w:t>
      </w:r>
      <w:r>
        <w:rPr>
          <w:b/>
        </w:rPr>
        <w:t>German</w:t>
      </w:r>
      <w:r>
        <w:t xml:space="preserve"> beneficiaries of the programme pointed out the </w:t>
      </w:r>
      <w:r>
        <w:rPr>
          <w:b/>
        </w:rPr>
        <w:t>need to make the comprehensive services provided by the different DEP initiatives and projects more accessible</w:t>
      </w:r>
      <w:r>
        <w:t xml:space="preserve"> (e.g. the European Digital Innovation Hubs, the EUROHPC Joint Undertaking), by focusing on raising greater awareness among SMEs and educational institutions (e.g. universities and schools). They underlined the need for stakeholders looking for support services to be clear about their needs (e.g. SMEs are often unprepared when it comes to requesting support services). At the same time, it was stressed that </w:t>
      </w:r>
      <w:r>
        <w:rPr>
          <w:b/>
        </w:rPr>
        <w:t>a flood of information should be avoided</w:t>
      </w:r>
      <w:r>
        <w:t xml:space="preserve">. </w:t>
      </w:r>
    </w:p>
    <w:p w:rsidRPr="009F3F65" w:rsidR="003130C2" w:rsidP="003130C2" w:rsidRDefault="003130C2" w14:paraId="2AB4FD6F" w14:textId="77777777">
      <w:pPr>
        <w:rPr>
          <w:lang w:val="en-GB"/>
        </w:rPr>
      </w:pPr>
    </w:p>
    <w:p w:rsidRPr="009F3F65" w:rsidR="003130C2" w:rsidP="003130C2" w:rsidRDefault="003130C2" w14:paraId="7C6B50A1" w14:textId="77777777">
      <w:r>
        <w:lastRenderedPageBreak/>
        <w:t xml:space="preserve">The stakeholders noted that the existence of several similar initiatives with different logos and scopes (e.g. different EU and national initiatives) made it hard for SMEs and other small players to pinpoint exactly what support services they needed. They </w:t>
      </w:r>
      <w:r>
        <w:rPr>
          <w:b/>
        </w:rPr>
        <w:t>suggested harmonising and standardising external communication activities</w:t>
      </w:r>
      <w:r>
        <w:t xml:space="preserve"> (e.g. use the same communication methods as for the EDIHs) and ensuring synergies with other similar initiatives covered by other entities (beyond EDIH services, digital support services might also be provided by local chambers of commerce).</w:t>
      </w:r>
    </w:p>
    <w:p w:rsidRPr="009F3F65" w:rsidR="003130C2" w:rsidP="003130C2" w:rsidRDefault="003130C2" w14:paraId="3C01315E" w14:textId="77777777">
      <w:pPr>
        <w:rPr>
          <w:lang w:val="en-GB"/>
        </w:rPr>
      </w:pPr>
    </w:p>
    <w:p w:rsidRPr="009F3F65" w:rsidR="003130C2" w:rsidP="003130C2" w:rsidRDefault="003130C2" w14:paraId="14CFA6D0" w14:textId="77777777">
      <w:r>
        <w:t xml:space="preserve">Finally, the respondents were asked in an open question </w:t>
      </w:r>
      <w:r>
        <w:rPr>
          <w:u w:val="single"/>
        </w:rPr>
        <w:t>how they would improve the involvement of beneficiaries, the social partners and civil society organisations in future actions of the DEP</w:t>
      </w:r>
      <w:r>
        <w:t xml:space="preserve"> (</w:t>
      </w:r>
      <w:r>
        <w:rPr>
          <w:b/>
        </w:rPr>
        <w:t>question 22</w:t>
      </w:r>
      <w:r>
        <w:t>), and 20 responses were received. Among those, the following suggestions were made:</w:t>
      </w:r>
    </w:p>
    <w:p w:rsidRPr="009F3F65" w:rsidR="003130C2" w:rsidP="003130C2" w:rsidRDefault="003130C2" w14:paraId="7D3F2DDC" w14:textId="77777777">
      <w:pPr>
        <w:rPr>
          <w:lang w:val="en-GB"/>
        </w:rPr>
      </w:pPr>
    </w:p>
    <w:p w:rsidRPr="00B47B36" w:rsidR="003130C2" w:rsidP="003130C2" w:rsidRDefault="003130C2" w14:paraId="7BCF48E1" w14:textId="77777777">
      <w:pPr>
        <w:pStyle w:val="ListParagraph"/>
        <w:numPr>
          <w:ilvl w:val="0"/>
          <w:numId w:val="34"/>
        </w:numPr>
      </w:pPr>
      <w:r>
        <w:t xml:space="preserve">there should be increased co-financing, as well as more clarity in terms of funding; </w:t>
      </w:r>
    </w:p>
    <w:p w:rsidRPr="00B47B36" w:rsidR="003130C2" w:rsidP="003130C2" w:rsidRDefault="003130C2" w14:paraId="5A2BD899" w14:textId="77777777">
      <w:pPr>
        <w:pStyle w:val="ListParagraph"/>
        <w:numPr>
          <w:ilvl w:val="0"/>
          <w:numId w:val="34"/>
        </w:numPr>
      </w:pPr>
      <w:r>
        <w:t xml:space="preserve">dissemination efforts should be stepped up, and the communication budget increased; </w:t>
      </w:r>
    </w:p>
    <w:p w:rsidRPr="00B47B36" w:rsidR="003130C2" w:rsidP="003130C2" w:rsidRDefault="003130C2" w14:paraId="5F213EF8" w14:textId="77777777">
      <w:pPr>
        <w:pStyle w:val="ListParagraph"/>
        <w:numPr>
          <w:ilvl w:val="0"/>
          <w:numId w:val="34"/>
        </w:numPr>
      </w:pPr>
      <w:r>
        <w:t xml:space="preserve">civil society organisations should be more closely involved, including via consultation of the respective national ministries to identify the key partners and CSOs in each Member State; </w:t>
      </w:r>
    </w:p>
    <w:p w:rsidRPr="00B47B36" w:rsidR="003130C2" w:rsidP="003130C2" w:rsidRDefault="003130C2" w14:paraId="1979A4AF" w14:textId="77777777">
      <w:pPr>
        <w:pStyle w:val="ListParagraph"/>
        <w:numPr>
          <w:ilvl w:val="0"/>
          <w:numId w:val="34"/>
        </w:numPr>
      </w:pPr>
      <w:r>
        <w:t xml:space="preserve">there should be better awareness of how the needs of small regions can be represented in the programme, as currently many SMEs are not able to apply for the funding; </w:t>
      </w:r>
    </w:p>
    <w:p w:rsidRPr="00B47B36" w:rsidR="003130C2" w:rsidP="003130C2" w:rsidRDefault="003130C2" w14:paraId="6AAF9953" w14:textId="77777777">
      <w:pPr>
        <w:pStyle w:val="ListParagraph"/>
        <w:numPr>
          <w:ilvl w:val="0"/>
          <w:numId w:val="34"/>
        </w:numPr>
      </w:pPr>
      <w:r>
        <w:t>Digital Europe info days and training sessions should be held, with sufficient time for potential project consortia to prepare project proposals.</w:t>
      </w:r>
    </w:p>
    <w:p w:rsidRPr="009F3F65" w:rsidR="003130C2" w:rsidP="003130C2" w:rsidRDefault="003130C2" w14:paraId="6D99F77E" w14:textId="77777777">
      <w:pPr>
        <w:rPr>
          <w:lang w:val="en-GB"/>
        </w:rPr>
      </w:pPr>
    </w:p>
    <w:p w:rsidRPr="009F3F65" w:rsidR="003130C2" w:rsidP="003130C2" w:rsidRDefault="003130C2" w14:paraId="46B87DA8" w14:textId="77777777">
      <w:pPr>
        <w:pStyle w:val="Heading2"/>
        <w:spacing w:after="120" w:line="300" w:lineRule="exact"/>
        <w:rPr>
          <w:b/>
          <w:bCs/>
          <w:u w:val="single"/>
        </w:rPr>
      </w:pPr>
      <w:bookmarkStart w:name="_Toc125632266" w:id="17"/>
      <w:bookmarkStart w:name="_Toc174452847" w:id="18"/>
      <w:r>
        <w:rPr>
          <w:b/>
          <w:u w:val="single"/>
        </w:rPr>
        <w:t>Additional comments</w:t>
      </w:r>
      <w:bookmarkEnd w:id="17"/>
      <w:bookmarkEnd w:id="18"/>
    </w:p>
    <w:p w:rsidRPr="009F3F65" w:rsidR="003130C2" w:rsidP="003130C2" w:rsidRDefault="003130C2" w14:paraId="2EB96AA0" w14:textId="77777777">
      <w:pPr>
        <w:spacing w:line="300" w:lineRule="exact"/>
        <w:rPr>
          <w:lang w:val="en-GB"/>
        </w:rPr>
      </w:pPr>
    </w:p>
    <w:p w:rsidRPr="009F3F65" w:rsidR="003130C2" w:rsidP="003130C2" w:rsidRDefault="003130C2" w14:paraId="1A3C58BD" w14:textId="77777777">
      <w:r>
        <w:t>Stakeholders were given the opportunity to raise further issues that were not included in the questionnaire or to expand on issues that they thought deserved additional attention (</w:t>
      </w:r>
      <w:r>
        <w:rPr>
          <w:b/>
        </w:rPr>
        <w:t>question 23</w:t>
      </w:r>
      <w:r>
        <w:t>). Below, we summarise the additional contributions:</w:t>
      </w:r>
    </w:p>
    <w:p w:rsidRPr="009F3F65" w:rsidR="003130C2" w:rsidP="003130C2" w:rsidRDefault="003130C2" w14:paraId="1825119F" w14:textId="77777777">
      <w:pPr>
        <w:rPr>
          <w:lang w:val="en-GB"/>
        </w:rPr>
      </w:pPr>
    </w:p>
    <w:p w:rsidRPr="00B47B36" w:rsidR="003130C2" w:rsidP="003130C2" w:rsidRDefault="003130C2" w14:paraId="6121B4C3" w14:textId="77777777">
      <w:pPr>
        <w:pStyle w:val="ListParagraph"/>
        <w:numPr>
          <w:ilvl w:val="0"/>
          <w:numId w:val="35"/>
        </w:numPr>
      </w:pPr>
      <w:r>
        <w:t>need for increased co-financing;</w:t>
      </w:r>
    </w:p>
    <w:p w:rsidRPr="00B47B36" w:rsidR="003130C2" w:rsidP="003130C2" w:rsidRDefault="003130C2" w14:paraId="652078ED" w14:textId="77777777">
      <w:pPr>
        <w:pStyle w:val="ListParagraph"/>
        <w:numPr>
          <w:ilvl w:val="0"/>
          <w:numId w:val="35"/>
        </w:numPr>
      </w:pPr>
      <w:r>
        <w:t>need for guidance on combining the DEP resources with other EU funding programmes;</w:t>
      </w:r>
    </w:p>
    <w:p w:rsidRPr="00B47B36" w:rsidR="003130C2" w:rsidP="003130C2" w:rsidRDefault="003130C2" w14:paraId="29CBFF01" w14:textId="77777777">
      <w:pPr>
        <w:pStyle w:val="ListParagraph"/>
        <w:numPr>
          <w:ilvl w:val="0"/>
          <w:numId w:val="35"/>
        </w:numPr>
      </w:pPr>
      <w:r>
        <w:t>suggestion to organise the funding in a similar way as is done in the Horizon programme;</w:t>
      </w:r>
    </w:p>
    <w:p w:rsidRPr="00B47B36" w:rsidR="003130C2" w:rsidP="003130C2" w:rsidRDefault="003130C2" w14:paraId="12029A37" w14:textId="77777777">
      <w:pPr>
        <w:pStyle w:val="ListParagraph"/>
        <w:numPr>
          <w:ilvl w:val="0"/>
          <w:numId w:val="35"/>
        </w:numPr>
      </w:pPr>
      <w:r>
        <w:t>more time needed for beneficiaries and countries to prepare their participation in projects;</w:t>
      </w:r>
    </w:p>
    <w:p w:rsidRPr="00B47B36" w:rsidR="003130C2" w:rsidP="003130C2" w:rsidRDefault="003130C2" w14:paraId="08E2E316" w14:textId="77777777">
      <w:pPr>
        <w:pStyle w:val="ListParagraph"/>
        <w:numPr>
          <w:ilvl w:val="0"/>
          <w:numId w:val="35"/>
        </w:numPr>
      </w:pPr>
      <w:r>
        <w:t>the possibility for EDIHs to directly support regional SMEs and PSOs should be highlighted;</w:t>
      </w:r>
    </w:p>
    <w:p w:rsidRPr="00B47B36" w:rsidR="003130C2" w:rsidP="003130C2" w:rsidRDefault="003130C2" w14:paraId="032E71D4" w14:textId="77777777">
      <w:pPr>
        <w:pStyle w:val="ListParagraph"/>
        <w:numPr>
          <w:ilvl w:val="0"/>
          <w:numId w:val="35"/>
        </w:numPr>
      </w:pPr>
      <w:r>
        <w:t xml:space="preserve">mentioning of discrepancies between EU and ‘national’ funding in Poland: since, in reality, the national funding is covered by the EU funds, this financing should fall under the EU regime and not the national one. Due to the structure and the characteristics of the ‘national’ funding, EDIHs in Poland do not have the right to support foreign entities, and therefore the concept of the European network of cooperating EDIHs cannot be executed by the Polish EDIHs. Furthermore, a discrepancy in the area of the VAT regulations: in Poland, EDIHs are obliged to pay VAT on the funds received, contrary to the EU VAT regulations. As a result, the strict </w:t>
      </w:r>
      <w:r>
        <w:rPr>
          <w:i/>
        </w:rPr>
        <w:t>de minimis</w:t>
      </w:r>
      <w:r>
        <w:t xml:space="preserve"> procedures set by the national agency and the amount of the paperwork required discourage SMEs from participating in the projects;</w:t>
      </w:r>
    </w:p>
    <w:p w:rsidRPr="00B47B36" w:rsidR="003130C2" w:rsidP="003130C2" w:rsidRDefault="003130C2" w14:paraId="27D17349" w14:textId="77777777">
      <w:pPr>
        <w:pStyle w:val="ListParagraph"/>
        <w:numPr>
          <w:ilvl w:val="0"/>
          <w:numId w:val="35"/>
        </w:numPr>
      </w:pPr>
      <w:r>
        <w:t xml:space="preserve">educational programmes for digital skills in secondary education and higher education should be raised up to a much higher level of the funding agenda and rolled out in close dialogue with all of the education ministries in the Member States and national associations for secondary and higher education. Education at this level is the key to a highly skilled digital workforce, as well </w:t>
      </w:r>
      <w:r>
        <w:lastRenderedPageBreak/>
        <w:t>as an informed, aware and digitally competent society, which are needed for the successful and sustainable digitalisation of Europe;</w:t>
      </w:r>
    </w:p>
    <w:p w:rsidRPr="00B47B36" w:rsidR="003130C2" w:rsidP="003130C2" w:rsidRDefault="003130C2" w14:paraId="294083E0" w14:textId="77777777">
      <w:pPr>
        <w:pStyle w:val="ListParagraph"/>
        <w:numPr>
          <w:ilvl w:val="0"/>
          <w:numId w:val="35"/>
        </w:numPr>
      </w:pPr>
      <w:r>
        <w:t>since a strong research component lies within education institutions that carry out research, outreach to these higher education institutions could and should be carried out on a regular basis.</w:t>
      </w:r>
    </w:p>
    <w:p w:rsidRPr="009F3F65" w:rsidR="003130C2" w:rsidP="003130C2" w:rsidRDefault="003130C2" w14:paraId="2B0FF661" w14:textId="77777777">
      <w:pPr>
        <w:rPr>
          <w:lang w:val="en-GB"/>
        </w:rPr>
      </w:pPr>
    </w:p>
    <w:p w:rsidRPr="009F3F65" w:rsidR="003130C2" w:rsidP="003130C2" w:rsidRDefault="003130C2" w14:paraId="1E6B9E17" w14:textId="77777777">
      <w:pPr>
        <w:pStyle w:val="Heading1"/>
        <w:spacing w:after="120" w:line="300" w:lineRule="exact"/>
        <w:rPr>
          <w:b/>
          <w:bCs/>
        </w:rPr>
      </w:pPr>
      <w:bookmarkStart w:name="_Toc174452848" w:id="19"/>
      <w:r>
        <w:rPr>
          <w:b/>
        </w:rPr>
        <w:t>Primary data: summary of findings from the country visits</w:t>
      </w:r>
      <w:bookmarkEnd w:id="19"/>
    </w:p>
    <w:p w:rsidRPr="009F3F65" w:rsidR="003130C2" w:rsidP="003130C2" w:rsidRDefault="003130C2" w14:paraId="219C8A56" w14:textId="77777777">
      <w:pPr>
        <w:rPr>
          <w:lang w:val="en-GB"/>
        </w:rPr>
      </w:pPr>
    </w:p>
    <w:p w:rsidRPr="009F3F65" w:rsidR="003130C2" w:rsidP="003130C2" w:rsidRDefault="003130C2" w14:paraId="0D73BEA4" w14:textId="77777777">
      <w:pPr>
        <w:pStyle w:val="Heading2"/>
        <w:spacing w:line="300" w:lineRule="exact"/>
        <w:rPr>
          <w:rFonts w:eastAsia="Calibri"/>
          <w:b/>
          <w:bCs/>
          <w:u w:val="single"/>
        </w:rPr>
      </w:pPr>
      <w:bookmarkStart w:name="_Toc174452849" w:id="20"/>
      <w:r>
        <w:rPr>
          <w:b/>
          <w:u w:val="single"/>
        </w:rPr>
        <w:t>Germany</w:t>
      </w:r>
      <w:bookmarkEnd w:id="20"/>
    </w:p>
    <w:p w:rsidRPr="009F3F65" w:rsidR="003130C2" w:rsidP="003130C2" w:rsidRDefault="003130C2" w14:paraId="2C65524D" w14:textId="77777777">
      <w:pPr>
        <w:rPr>
          <w:rFonts w:eastAsia="Calibri"/>
          <w:lang w:val="en-GB"/>
        </w:rPr>
      </w:pPr>
    </w:p>
    <w:p w:rsidRPr="009F3F65" w:rsidR="003130C2" w:rsidP="003130C2" w:rsidRDefault="003130C2" w14:paraId="46131AB4" w14:textId="77777777">
      <w:pPr>
        <w:rPr>
          <w:rFonts w:eastAsia="Calibri"/>
          <w:b/>
          <w:bCs/>
        </w:rPr>
      </w:pPr>
      <w:r>
        <w:rPr>
          <w:b/>
        </w:rPr>
        <w:t>Effectiveness</w:t>
      </w:r>
    </w:p>
    <w:p w:rsidRPr="00B47B36" w:rsidR="003130C2" w:rsidP="003130C2" w:rsidRDefault="003130C2" w14:paraId="65F45736" w14:textId="77777777">
      <w:pPr>
        <w:pStyle w:val="ListParagraph"/>
        <w:numPr>
          <w:ilvl w:val="0"/>
          <w:numId w:val="17"/>
        </w:numPr>
        <w:rPr>
          <w:rFonts w:eastAsia="Calibri"/>
        </w:rPr>
      </w:pPr>
      <w:r>
        <w:t>The positive impacts of the Digital Europe Programme (DEP) were highlighted, including substantial funding for strategic digital initiatives such as HPC JUPITER, advances in digital skills development, and cybersecurity projects. The crucial role of the European Digital Innovation Hubs (EDIHs) in the national economic ecosystem, particularly in providing tailored digital support to local SMEs, was also underscored.</w:t>
      </w:r>
    </w:p>
    <w:p w:rsidRPr="00B47B36" w:rsidR="003130C2" w:rsidP="003130C2" w:rsidRDefault="003130C2" w14:paraId="69C29B11" w14:textId="77777777">
      <w:pPr>
        <w:pStyle w:val="ListParagraph"/>
        <w:numPr>
          <w:ilvl w:val="0"/>
          <w:numId w:val="17"/>
        </w:numPr>
        <w:rPr>
          <w:rFonts w:eastAsia="Calibri"/>
        </w:rPr>
      </w:pPr>
      <w:r>
        <w:t>Participants pointed out several areas where there was room for improvement, including the need for enhanced dissemination and communication strategies for the DEP. They emphasised the importance of refining the timing of the application process, addressing complexities related to co-funding, and advocated better co-funding rates, particularly for smaller entities. Additionally, there was a call for greater inclusivity in innovation activities.</w:t>
      </w:r>
    </w:p>
    <w:p w:rsidRPr="00B47B36" w:rsidR="003130C2" w:rsidP="003130C2" w:rsidRDefault="003130C2" w14:paraId="69C3BCF4" w14:textId="77777777">
      <w:pPr>
        <w:pStyle w:val="ListParagraph"/>
        <w:numPr>
          <w:ilvl w:val="0"/>
          <w:numId w:val="17"/>
        </w:numPr>
        <w:rPr>
          <w:rFonts w:eastAsia="Calibri"/>
        </w:rPr>
      </w:pPr>
      <w:r>
        <w:t>The need to improve the channels of communication between the programme beneficiaries and the national contact points was emphasised, alongside initiatives to increase women’s participation in the tech sector.</w:t>
      </w:r>
    </w:p>
    <w:p w:rsidRPr="00B47B36" w:rsidR="003130C2" w:rsidP="003130C2" w:rsidRDefault="003130C2" w14:paraId="1534DE6B" w14:textId="77777777">
      <w:pPr>
        <w:pStyle w:val="ListParagraph"/>
        <w:numPr>
          <w:ilvl w:val="0"/>
          <w:numId w:val="17"/>
        </w:numPr>
        <w:rPr>
          <w:rFonts w:eastAsia="Calibri"/>
        </w:rPr>
      </w:pPr>
      <w:r>
        <w:t>It was emphasised that improving access to the comprehensive services, enhancing awareness among SMEs, fostering synergies with similar initiatives, and standardising external communication were crucial for maximising the programme’s impact.</w:t>
      </w:r>
    </w:p>
    <w:p w:rsidRPr="009F3F65" w:rsidR="003130C2" w:rsidP="003130C2" w:rsidRDefault="003130C2" w14:paraId="2845796D" w14:textId="77777777">
      <w:pPr>
        <w:rPr>
          <w:rFonts w:eastAsia="Calibri"/>
          <w:lang w:val="en-GB"/>
        </w:rPr>
      </w:pPr>
    </w:p>
    <w:p w:rsidRPr="009F3F65" w:rsidR="003130C2" w:rsidP="003130C2" w:rsidRDefault="003130C2" w14:paraId="0C501A2D" w14:textId="77777777">
      <w:pPr>
        <w:spacing w:line="276" w:lineRule="auto"/>
        <w:rPr>
          <w:rFonts w:eastAsia="Calibri"/>
          <w:b/>
          <w:bCs/>
        </w:rPr>
      </w:pPr>
      <w:r>
        <w:rPr>
          <w:b/>
        </w:rPr>
        <w:t>Relevance</w:t>
      </w:r>
    </w:p>
    <w:p w:rsidRPr="00B47B36" w:rsidR="003130C2" w:rsidP="003130C2" w:rsidRDefault="003130C2" w14:paraId="7808E013" w14:textId="77777777">
      <w:pPr>
        <w:pStyle w:val="ListParagraph"/>
        <w:numPr>
          <w:ilvl w:val="0"/>
          <w:numId w:val="18"/>
        </w:numPr>
        <w:rPr>
          <w:rFonts w:eastAsia="Calibri"/>
        </w:rPr>
      </w:pPr>
      <w:r>
        <w:t>It was confirmed that the DEP aligns with the EU Digital Decade Policy Programme 2030, with an emphasis on the pivotal role of the EDIHs in supporting SMEs and meeting strategic targets.</w:t>
      </w:r>
    </w:p>
    <w:p w:rsidRPr="00B47B36" w:rsidR="003130C2" w:rsidP="003130C2" w:rsidRDefault="003130C2" w14:paraId="07892DCB" w14:textId="77777777">
      <w:pPr>
        <w:pStyle w:val="ListParagraph"/>
        <w:numPr>
          <w:ilvl w:val="0"/>
          <w:numId w:val="18"/>
        </w:numPr>
        <w:rPr>
          <w:rFonts w:eastAsia="Calibri"/>
        </w:rPr>
      </w:pPr>
      <w:r>
        <w:t>Participants highlighted the importance of various initiatives within the DEP (such as the Chips Joint Undertaking, Destination Earth, and AI) for driving the EU’s digital transformation and enhancing industry competitiveness.</w:t>
      </w:r>
    </w:p>
    <w:p w:rsidRPr="00B47B36" w:rsidR="003130C2" w:rsidP="003130C2" w:rsidRDefault="003130C2" w14:paraId="34AE8602" w14:textId="77777777">
      <w:pPr>
        <w:pStyle w:val="ListParagraph"/>
        <w:numPr>
          <w:ilvl w:val="0"/>
          <w:numId w:val="18"/>
        </w:numPr>
        <w:rPr>
          <w:rFonts w:eastAsia="Calibri"/>
        </w:rPr>
      </w:pPr>
      <w:r>
        <w:t>There was recognition of the need to strengthen connections between the European and national levels through a robust network of national contact points. Ensuring alignment with EU digital policies and geopolitical priorities, and fostering broad stakeholder engagement, were identified as crucial steps toward achieving the programme’s objectives.</w:t>
      </w:r>
    </w:p>
    <w:p w:rsidRPr="00B47B36" w:rsidR="003130C2" w:rsidP="003130C2" w:rsidRDefault="003130C2" w14:paraId="2657DC96" w14:textId="77777777">
      <w:pPr>
        <w:pStyle w:val="ListParagraph"/>
        <w:spacing w:line="276" w:lineRule="auto"/>
        <w:rPr>
          <w:rFonts w:eastAsia="Calibri"/>
        </w:rPr>
      </w:pPr>
    </w:p>
    <w:p w:rsidRPr="009F3F65" w:rsidR="003130C2" w:rsidP="003130C2" w:rsidRDefault="003130C2" w14:paraId="13B62283" w14:textId="77777777">
      <w:pPr>
        <w:spacing w:line="276" w:lineRule="auto"/>
        <w:rPr>
          <w:rFonts w:eastAsia="Calibri"/>
          <w:b/>
          <w:bCs/>
        </w:rPr>
      </w:pPr>
      <w:r>
        <w:rPr>
          <w:b/>
        </w:rPr>
        <w:t>Civil society added value</w:t>
      </w:r>
    </w:p>
    <w:p w:rsidRPr="00B47B36" w:rsidR="003130C2" w:rsidP="003130C2" w:rsidRDefault="003130C2" w14:paraId="4D56C206" w14:textId="77777777">
      <w:pPr>
        <w:pStyle w:val="ListParagraph"/>
        <w:numPr>
          <w:ilvl w:val="0"/>
          <w:numId w:val="19"/>
        </w:numPr>
        <w:rPr>
          <w:rFonts w:eastAsia="Calibri"/>
        </w:rPr>
      </w:pPr>
      <w:r>
        <w:t>It was noted that there had been a lack of structured exchange with the social partners during the implementation of the DEP, as the efforts were primarily focused on supporting the EDIHs in Germany.</w:t>
      </w:r>
    </w:p>
    <w:p w:rsidRPr="009F3F65" w:rsidR="003130C2" w:rsidP="003130C2" w:rsidRDefault="003130C2" w14:paraId="145E3022" w14:textId="77777777">
      <w:pPr>
        <w:spacing w:line="300" w:lineRule="exact"/>
        <w:ind w:left="720"/>
        <w:contextualSpacing/>
        <w:rPr>
          <w:rFonts w:eastAsia="Calibri"/>
          <w:lang w:val="en-GB"/>
        </w:rPr>
      </w:pPr>
    </w:p>
    <w:p w:rsidRPr="009F3F65" w:rsidR="003130C2" w:rsidP="003130C2" w:rsidRDefault="003130C2" w14:paraId="7C69348E" w14:textId="77777777">
      <w:pPr>
        <w:pStyle w:val="Heading2"/>
        <w:spacing w:line="300" w:lineRule="exact"/>
        <w:rPr>
          <w:b/>
          <w:bCs/>
          <w:u w:val="single"/>
        </w:rPr>
      </w:pPr>
      <w:bookmarkStart w:name="_Toc174452850" w:id="21"/>
      <w:r>
        <w:rPr>
          <w:b/>
          <w:u w:val="single"/>
        </w:rPr>
        <w:t>Malta</w:t>
      </w:r>
      <w:bookmarkEnd w:id="21"/>
    </w:p>
    <w:p w:rsidRPr="009F3F65" w:rsidR="003130C2" w:rsidP="003130C2" w:rsidRDefault="003130C2" w14:paraId="6B12323B" w14:textId="77777777">
      <w:pPr>
        <w:rPr>
          <w:lang w:val="en-GB"/>
        </w:rPr>
      </w:pPr>
    </w:p>
    <w:p w:rsidRPr="009F3F65" w:rsidR="003130C2" w:rsidP="003130C2" w:rsidRDefault="003130C2" w14:paraId="341DEB02" w14:textId="77777777">
      <w:pPr>
        <w:spacing w:line="276" w:lineRule="auto"/>
        <w:rPr>
          <w:rFonts w:eastAsia="Calibri"/>
          <w:b/>
          <w:bCs/>
        </w:rPr>
      </w:pPr>
      <w:r>
        <w:rPr>
          <w:b/>
        </w:rPr>
        <w:lastRenderedPageBreak/>
        <w:t>Effectiveness</w:t>
      </w:r>
    </w:p>
    <w:p w:rsidRPr="00B47B36" w:rsidR="003130C2" w:rsidP="003130C2" w:rsidRDefault="003130C2" w14:paraId="7ACD8304" w14:textId="77777777">
      <w:pPr>
        <w:pStyle w:val="ListParagraph"/>
        <w:numPr>
          <w:ilvl w:val="0"/>
          <w:numId w:val="19"/>
        </w:numPr>
        <w:rPr>
          <w:rFonts w:eastAsia="Calibri"/>
        </w:rPr>
      </w:pPr>
      <w:r>
        <w:t xml:space="preserve">It was deemed difficult to establish the effectiveness of the programme given that the project was in its early stages. </w:t>
      </w:r>
    </w:p>
    <w:p w:rsidRPr="00B47B36" w:rsidR="003130C2" w:rsidP="003130C2" w:rsidRDefault="003130C2" w14:paraId="392821BF" w14:textId="77777777">
      <w:pPr>
        <w:pStyle w:val="ListParagraph"/>
        <w:numPr>
          <w:ilvl w:val="0"/>
          <w:numId w:val="19"/>
        </w:numPr>
        <w:rPr>
          <w:rFonts w:eastAsia="Calibri"/>
        </w:rPr>
      </w:pPr>
      <w:r>
        <w:t>Participants emphasised the importance of public-private partnerships in supporting new technologies, the need for stronger involvement of trade unions in workforce skilling and upskilling initiatives, and the need for better dissemination of the DEP’s opportunities, particularly for SMEs.</w:t>
      </w:r>
    </w:p>
    <w:p w:rsidRPr="00B47B36" w:rsidR="003130C2" w:rsidP="003130C2" w:rsidRDefault="003130C2" w14:paraId="53A36870" w14:textId="77777777">
      <w:pPr>
        <w:pStyle w:val="ListParagraph"/>
        <w:numPr>
          <w:ilvl w:val="0"/>
          <w:numId w:val="19"/>
        </w:numPr>
        <w:rPr>
          <w:rFonts w:eastAsia="Calibri"/>
        </w:rPr>
      </w:pPr>
      <w:r>
        <w:t>Several challenges were highlighted, including the excessive bureaucracy that hindered small entities, the limited national funding for digital skills upskilling, and the need for improved AI integration in business activities. Participants also noted a lack of interest among private entities in DEP calls and advocated broader awareness campaigns.</w:t>
      </w:r>
    </w:p>
    <w:p w:rsidRPr="00B47B36" w:rsidR="003130C2" w:rsidP="003130C2" w:rsidRDefault="003130C2" w14:paraId="3EEA788A" w14:textId="77777777">
      <w:pPr>
        <w:pStyle w:val="ListParagraph"/>
        <w:numPr>
          <w:ilvl w:val="0"/>
          <w:numId w:val="19"/>
        </w:numPr>
        <w:rPr>
          <w:rFonts w:eastAsia="Calibri"/>
        </w:rPr>
      </w:pPr>
      <w:r>
        <w:t>Positive developments included the successful launch of the European Digital Innovation Hub in Malta, the potential for establishing a semiconductor competence centre, and ongoing efforts to promote advanced digital skills, particularly among women, through a range of initiatives.</w:t>
      </w:r>
    </w:p>
    <w:p w:rsidRPr="00B47B36" w:rsidR="003130C2" w:rsidP="003130C2" w:rsidRDefault="003130C2" w14:paraId="441F1688" w14:textId="77777777">
      <w:pPr>
        <w:pStyle w:val="ListParagraph"/>
        <w:numPr>
          <w:ilvl w:val="0"/>
          <w:numId w:val="19"/>
        </w:numPr>
        <w:rPr>
          <w:rFonts w:eastAsia="Calibri"/>
        </w:rPr>
      </w:pPr>
      <w:r>
        <w:t>The limited interest from private entities was attributed to the restricted scope of the initiatives that Maltese private entities could engage with, the scale and complexity of the projects, challenges in identifying and partnering with suitable entities, and insufficient awareness about the new programme.</w:t>
      </w:r>
    </w:p>
    <w:p w:rsidRPr="00B47B36" w:rsidR="003130C2" w:rsidP="003130C2" w:rsidRDefault="003130C2" w14:paraId="77B0356C" w14:textId="77777777">
      <w:pPr>
        <w:pStyle w:val="ListParagraph"/>
        <w:numPr>
          <w:ilvl w:val="0"/>
          <w:numId w:val="19"/>
        </w:numPr>
        <w:rPr>
          <w:rFonts w:eastAsia="Calibri"/>
        </w:rPr>
      </w:pPr>
      <w:r>
        <w:t xml:space="preserve">There was a call for greater flexibility in the application process and broader awareness campaigns, with a view to facilitating less burdensome procedures for smaller-scale projects. </w:t>
      </w:r>
    </w:p>
    <w:p w:rsidRPr="00B47B36" w:rsidR="003130C2" w:rsidP="003130C2" w:rsidRDefault="003130C2" w14:paraId="3DFE5E28" w14:textId="77777777">
      <w:pPr>
        <w:pStyle w:val="ListParagraph"/>
        <w:spacing w:line="276" w:lineRule="auto"/>
        <w:rPr>
          <w:rFonts w:eastAsia="Calibri"/>
        </w:rPr>
      </w:pPr>
    </w:p>
    <w:p w:rsidRPr="009F3F65" w:rsidR="003130C2" w:rsidP="003130C2" w:rsidRDefault="003130C2" w14:paraId="626EE9FD" w14:textId="77777777">
      <w:pPr>
        <w:spacing w:line="276" w:lineRule="auto"/>
        <w:rPr>
          <w:rFonts w:eastAsia="Calibri"/>
          <w:b/>
          <w:bCs/>
        </w:rPr>
      </w:pPr>
      <w:r>
        <w:rPr>
          <w:b/>
        </w:rPr>
        <w:t>Relevance</w:t>
      </w:r>
    </w:p>
    <w:p w:rsidRPr="00B47B36" w:rsidR="003130C2" w:rsidP="003130C2" w:rsidRDefault="003130C2" w14:paraId="5413775C" w14:textId="77777777">
      <w:pPr>
        <w:pStyle w:val="ListParagraph"/>
        <w:numPr>
          <w:ilvl w:val="0"/>
          <w:numId w:val="20"/>
        </w:numPr>
      </w:pPr>
      <w:r>
        <w:t>Emphasis was placed on addressing skills shortages, particularly in STEM, ensuring basic digital skills for vulnerable groups, and improving cybersecurity solutions alongside advanced digital skills.</w:t>
      </w:r>
    </w:p>
    <w:p w:rsidRPr="00B47B36" w:rsidR="003130C2" w:rsidP="003130C2" w:rsidRDefault="003130C2" w14:paraId="09D6E635" w14:textId="77777777">
      <w:pPr>
        <w:pStyle w:val="ListParagraph"/>
        <w:numPr>
          <w:ilvl w:val="0"/>
          <w:numId w:val="20"/>
        </w:numPr>
      </w:pPr>
      <w:r>
        <w:t>The Digital Europe Programme’s strategic role was underscored, complementing other EU and national funds, especially in supporting SMEs and facilitating their access to various funding sources. Stakeholders noted that the programme covered critical aspects of digital transformation, filling gaps left by other funding opportunities.</w:t>
      </w:r>
    </w:p>
    <w:p w:rsidRPr="00B47B36" w:rsidR="003130C2" w:rsidP="003130C2" w:rsidRDefault="003130C2" w14:paraId="144A344E" w14:textId="77777777">
      <w:pPr>
        <w:pStyle w:val="ListParagraph"/>
        <w:numPr>
          <w:ilvl w:val="0"/>
          <w:numId w:val="20"/>
        </w:numPr>
      </w:pPr>
      <w:r>
        <w:t>There was a reiterated call to ensure complementarity between the DEP and other similar initiatives aimed at advancing digital fields, and to focus on ensuring basic digital skills.</w:t>
      </w:r>
    </w:p>
    <w:p w:rsidRPr="00B47B36" w:rsidR="003130C2" w:rsidP="003130C2" w:rsidRDefault="003130C2" w14:paraId="7DC55EE3" w14:textId="77777777">
      <w:pPr>
        <w:pStyle w:val="ListParagraph"/>
        <w:spacing w:line="276" w:lineRule="auto"/>
        <w:rPr>
          <w:rFonts w:eastAsia="Calibri"/>
        </w:rPr>
      </w:pPr>
    </w:p>
    <w:p w:rsidRPr="009F3F65" w:rsidR="003130C2" w:rsidP="003130C2" w:rsidRDefault="003130C2" w14:paraId="17D62068" w14:textId="77777777">
      <w:pPr>
        <w:spacing w:line="276" w:lineRule="auto"/>
        <w:rPr>
          <w:rFonts w:eastAsia="Calibri"/>
          <w:b/>
          <w:bCs/>
        </w:rPr>
      </w:pPr>
      <w:r>
        <w:rPr>
          <w:b/>
        </w:rPr>
        <w:t>Civil society added value</w:t>
      </w:r>
    </w:p>
    <w:p w:rsidRPr="00B47B36" w:rsidR="003130C2" w:rsidP="003130C2" w:rsidRDefault="003130C2" w14:paraId="0CA5E5AA" w14:textId="77777777">
      <w:pPr>
        <w:pStyle w:val="ListParagraph"/>
        <w:numPr>
          <w:ilvl w:val="0"/>
          <w:numId w:val="21"/>
        </w:numPr>
        <w:rPr>
          <w:rFonts w:eastAsia="Calibri"/>
        </w:rPr>
      </w:pPr>
      <w:r>
        <w:t>Participants emphasised the need to enhance the role of the social partners in the design and development of the DEP, advocating meaningful consultation by the national authorities when negotiating programme priorities and scope. They stressed the importance of involving the social partners more closely in monitoring initiatives and projects aligned with their specific competences.</w:t>
      </w:r>
    </w:p>
    <w:p w:rsidRPr="00B47B36" w:rsidR="003130C2" w:rsidP="003130C2" w:rsidRDefault="003130C2" w14:paraId="536860DB" w14:textId="77777777">
      <w:pPr>
        <w:pStyle w:val="ListParagraph"/>
        <w:numPr>
          <w:ilvl w:val="0"/>
          <w:numId w:val="21"/>
        </w:numPr>
        <w:rPr>
          <w:rFonts w:eastAsia="Calibri"/>
        </w:rPr>
      </w:pPr>
      <w:r>
        <w:t>There was consensus on the importance of focusing on stronger involvement of civil society in initiatives related to the digital dimension, in order to ensure societal readiness for embracing the new changes brought about by digital technologies.</w:t>
      </w:r>
    </w:p>
    <w:p w:rsidRPr="00B47B36" w:rsidR="003130C2" w:rsidP="003130C2" w:rsidRDefault="003130C2" w14:paraId="665890F1" w14:textId="77777777">
      <w:pPr>
        <w:pStyle w:val="ListParagraph"/>
        <w:spacing w:line="276" w:lineRule="auto"/>
        <w:rPr>
          <w:rFonts w:eastAsia="Calibri"/>
        </w:rPr>
      </w:pPr>
    </w:p>
    <w:p w:rsidRPr="009F3F65" w:rsidR="003130C2" w:rsidP="003130C2" w:rsidRDefault="003130C2" w14:paraId="6EBD5027" w14:textId="77777777">
      <w:pPr>
        <w:pStyle w:val="Heading2"/>
        <w:spacing w:line="300" w:lineRule="exact"/>
        <w:rPr>
          <w:b/>
          <w:bCs/>
          <w:u w:val="single"/>
        </w:rPr>
      </w:pPr>
      <w:bookmarkStart w:name="_Toc174452851" w:id="22"/>
      <w:r>
        <w:rPr>
          <w:b/>
          <w:u w:val="single"/>
        </w:rPr>
        <w:t>Poland</w:t>
      </w:r>
      <w:bookmarkEnd w:id="22"/>
    </w:p>
    <w:p w:rsidRPr="009F3F65" w:rsidR="003130C2" w:rsidP="003130C2" w:rsidRDefault="003130C2" w14:paraId="6FB8E9DE" w14:textId="77777777">
      <w:pPr>
        <w:rPr>
          <w:lang w:val="en-GB"/>
        </w:rPr>
      </w:pPr>
    </w:p>
    <w:p w:rsidRPr="009F3F65" w:rsidR="003130C2" w:rsidP="003130C2" w:rsidRDefault="003130C2" w14:paraId="23F0D3AD" w14:textId="77777777">
      <w:pPr>
        <w:spacing w:line="276" w:lineRule="auto"/>
        <w:rPr>
          <w:rFonts w:eastAsia="Calibri"/>
          <w:b/>
          <w:bCs/>
        </w:rPr>
      </w:pPr>
      <w:r>
        <w:rPr>
          <w:b/>
        </w:rPr>
        <w:t>Effectiveness</w:t>
      </w:r>
    </w:p>
    <w:p w:rsidRPr="00B47B36" w:rsidR="003130C2" w:rsidP="003130C2" w:rsidRDefault="003130C2" w14:paraId="68F54838" w14:textId="77777777">
      <w:pPr>
        <w:pStyle w:val="ListParagraph"/>
        <w:numPr>
          <w:ilvl w:val="0"/>
          <w:numId w:val="22"/>
        </w:numPr>
        <w:rPr>
          <w:rFonts w:eastAsia="Calibri"/>
        </w:rPr>
      </w:pPr>
      <w:r>
        <w:lastRenderedPageBreak/>
        <w:t>Participants noted partial successes of the DEP in Poland, particularly in fostering the digital transformation of SMEs through the EDIHs, implementing AI and cybersecurity solutions, and advancing digital services in healthcare. However, they felt it was somewhat difficult to assess its effectiveness given that project implementation was still in the early stages.</w:t>
      </w:r>
    </w:p>
    <w:p w:rsidRPr="00B47B36" w:rsidR="003130C2" w:rsidP="003130C2" w:rsidRDefault="003130C2" w14:paraId="24E08B46" w14:textId="77777777">
      <w:pPr>
        <w:pStyle w:val="ListParagraph"/>
        <w:numPr>
          <w:ilvl w:val="0"/>
          <w:numId w:val="22"/>
        </w:numPr>
        <w:rPr>
          <w:rFonts w:eastAsia="Calibri"/>
        </w:rPr>
      </w:pPr>
      <w:r>
        <w:t>There was a call for better coordination of the co-funding procedures and clearer guidance from the European Commission, addressing discrepancies in the guidelines for setting eligible costs and in the definitions. The need to simplify the administrative procedures, especially for establishing a consortium, and to increase the co-funding rates, with a suggested 80% coverage by the programme, were emphasised.</w:t>
      </w:r>
    </w:p>
    <w:p w:rsidRPr="00B47B36" w:rsidR="003130C2" w:rsidP="003130C2" w:rsidRDefault="003130C2" w14:paraId="554BCABB" w14:textId="77777777">
      <w:pPr>
        <w:pStyle w:val="ListParagraph"/>
        <w:numPr>
          <w:ilvl w:val="0"/>
          <w:numId w:val="22"/>
        </w:numPr>
        <w:rPr>
          <w:rFonts w:eastAsia="Calibri"/>
        </w:rPr>
      </w:pPr>
      <w:r>
        <w:t>Concerning national co-funding, there was a need to establish a network coordinator at national level, to streamline coordination among the various national authorities and guide beneficiaries to the appropriate national public authority based on specific needs.</w:t>
      </w:r>
    </w:p>
    <w:p w:rsidRPr="00B47B36" w:rsidR="003130C2" w:rsidP="003130C2" w:rsidRDefault="003130C2" w14:paraId="57AD3AA7" w14:textId="77777777">
      <w:pPr>
        <w:pStyle w:val="ListParagraph"/>
        <w:numPr>
          <w:ilvl w:val="0"/>
          <w:numId w:val="22"/>
        </w:numPr>
      </w:pPr>
      <w:r>
        <w:t>Regarding advanced digital skills, success was reported from a 2021-2023 project under the DEP, in collaboration with five universities across Poland, aimed at developing specialised study programmes.</w:t>
      </w:r>
    </w:p>
    <w:p w:rsidRPr="009F3F65" w:rsidR="003130C2" w:rsidP="003130C2" w:rsidRDefault="003130C2" w14:paraId="2BB006E4" w14:textId="77777777">
      <w:pPr>
        <w:rPr>
          <w:lang w:val="en-GB"/>
        </w:rPr>
      </w:pPr>
    </w:p>
    <w:p w:rsidRPr="009F3F65" w:rsidR="003130C2" w:rsidP="003130C2" w:rsidRDefault="003130C2" w14:paraId="1B0513B9" w14:textId="77777777">
      <w:pPr>
        <w:spacing w:line="276" w:lineRule="auto"/>
        <w:rPr>
          <w:rFonts w:eastAsia="Calibri"/>
          <w:b/>
          <w:bCs/>
        </w:rPr>
      </w:pPr>
      <w:r>
        <w:rPr>
          <w:b/>
        </w:rPr>
        <w:t>Relevance</w:t>
      </w:r>
    </w:p>
    <w:p w:rsidRPr="00B47B36" w:rsidR="003130C2" w:rsidP="003130C2" w:rsidRDefault="003130C2" w14:paraId="2CD27135" w14:textId="77777777">
      <w:pPr>
        <w:pStyle w:val="ListParagraph"/>
        <w:numPr>
          <w:ilvl w:val="0"/>
          <w:numId w:val="23"/>
        </w:numPr>
      </w:pPr>
      <w:r>
        <w:t>The strategic importance of the DEP in driving and supporting Europe’s digital transformation was underscored, stressing the need for enhanced interaction and synergies between EU programmes focusing on similar objectives.</w:t>
      </w:r>
    </w:p>
    <w:p w:rsidRPr="00B47B36" w:rsidR="003130C2" w:rsidP="003130C2" w:rsidRDefault="003130C2" w14:paraId="204DBF4B" w14:textId="77777777">
      <w:pPr>
        <w:pStyle w:val="ListParagraph"/>
        <w:numPr>
          <w:ilvl w:val="0"/>
          <w:numId w:val="23"/>
        </w:numPr>
        <w:rPr>
          <w:rFonts w:eastAsiaTheme="minorHAnsi"/>
        </w:rPr>
      </w:pPr>
      <w:r>
        <w:t>Emphasis was placed on investing in and prioritising initiatives for cohesive digitalisation across local universities and energy networks to enhance overall local ecosystems. It was deemed crucial to focus on strategic areas such as strengthening 5G networks, advancing STEM skills (particularly among women), and enhancing positioning within the global ICT value chain.</w:t>
      </w:r>
    </w:p>
    <w:p w:rsidRPr="00B47B36" w:rsidR="003130C2" w:rsidP="003130C2" w:rsidRDefault="003130C2" w14:paraId="61B06D32" w14:textId="77777777">
      <w:pPr>
        <w:pStyle w:val="ListParagraph"/>
        <w:numPr>
          <w:ilvl w:val="0"/>
          <w:numId w:val="23"/>
        </w:numPr>
        <w:rPr>
          <w:rFonts w:eastAsiaTheme="minorHAnsi"/>
        </w:rPr>
      </w:pPr>
      <w:r>
        <w:t>The importance of prioritising cybersecurity and AI in future innovation and defence policies was highlighted, emphasising the need to consider current geopolitical crises.</w:t>
      </w:r>
    </w:p>
    <w:p w:rsidRPr="00B47B36" w:rsidR="003130C2" w:rsidP="003130C2" w:rsidRDefault="003130C2" w14:paraId="485A05E8" w14:textId="77777777">
      <w:pPr>
        <w:pStyle w:val="ListParagraph"/>
        <w:numPr>
          <w:ilvl w:val="0"/>
          <w:numId w:val="23"/>
        </w:numPr>
        <w:rPr>
          <w:rFonts w:eastAsiaTheme="minorHAnsi"/>
        </w:rPr>
      </w:pPr>
      <w:r>
        <w:t>Concerning digital skills development, it was emphasised that projects and initiatives under the programme should extensively involve industry stakeholders with particular regard to upskilling and reskilling the existing workforce, particularly in less developed or isolated areas with significant untapped potential.</w:t>
      </w:r>
    </w:p>
    <w:p w:rsidRPr="009F3F65" w:rsidR="003130C2" w:rsidP="003130C2" w:rsidRDefault="003130C2" w14:paraId="40A180F4" w14:textId="77777777">
      <w:pPr>
        <w:rPr>
          <w:rFonts w:eastAsiaTheme="minorHAnsi"/>
          <w:lang w:val="en-GB"/>
        </w:rPr>
      </w:pPr>
    </w:p>
    <w:p w:rsidRPr="009F3F65" w:rsidR="003130C2" w:rsidP="003130C2" w:rsidRDefault="003130C2" w14:paraId="0EDCEB28" w14:textId="77777777">
      <w:pPr>
        <w:spacing w:line="276" w:lineRule="auto"/>
        <w:rPr>
          <w:rFonts w:eastAsia="Calibri"/>
          <w:b/>
          <w:bCs/>
        </w:rPr>
      </w:pPr>
      <w:r>
        <w:rPr>
          <w:b/>
        </w:rPr>
        <w:t>Civil society added value</w:t>
      </w:r>
    </w:p>
    <w:p w:rsidRPr="00B47B36" w:rsidR="003130C2" w:rsidP="003130C2" w:rsidRDefault="003130C2" w14:paraId="4C362131" w14:textId="77777777">
      <w:pPr>
        <w:pStyle w:val="ListParagraph"/>
        <w:numPr>
          <w:ilvl w:val="0"/>
          <w:numId w:val="24"/>
        </w:numPr>
        <w:rPr>
          <w:rFonts w:eastAsia="Calibri"/>
        </w:rPr>
      </w:pPr>
      <w:r>
        <w:t>Stakeholders emphasised the importance of greater involvement of the social partners in the allocation of European funds, including in the development and implementation of the DEP, to maximize growth opportunities effectively.</w:t>
      </w:r>
    </w:p>
    <w:p w:rsidRPr="00B47B36" w:rsidR="003130C2" w:rsidP="003130C2" w:rsidRDefault="003130C2" w14:paraId="53A42F77" w14:textId="77777777">
      <w:pPr>
        <w:pStyle w:val="ListParagraph"/>
        <w:numPr>
          <w:ilvl w:val="0"/>
          <w:numId w:val="24"/>
        </w:numPr>
      </w:pPr>
      <w:r>
        <w:t>Alongside the Digital Europe Programme, it was underscored that it was crucial for ICT professionals and workers to be covered by collective agreements to strengthen their role in the broader European digital economy.</w:t>
      </w:r>
    </w:p>
    <w:p w:rsidRPr="00B47B36" w:rsidR="003130C2" w:rsidP="003130C2" w:rsidRDefault="003130C2" w14:paraId="5CBDB9D3" w14:textId="77777777">
      <w:pPr>
        <w:pStyle w:val="ListParagraph"/>
        <w:spacing w:line="300" w:lineRule="exact"/>
      </w:pPr>
    </w:p>
    <w:p w:rsidRPr="009F3F65" w:rsidR="003130C2" w:rsidP="003130C2" w:rsidRDefault="003130C2" w14:paraId="758ECC6F" w14:textId="77777777">
      <w:pPr>
        <w:pStyle w:val="Heading2"/>
        <w:spacing w:line="300" w:lineRule="exact"/>
        <w:rPr>
          <w:rFonts w:eastAsia="Calibri"/>
          <w:b/>
          <w:bCs/>
          <w:u w:val="single"/>
        </w:rPr>
      </w:pPr>
      <w:bookmarkStart w:name="_Toc174452852" w:id="23"/>
      <w:r>
        <w:rPr>
          <w:b/>
          <w:u w:val="single"/>
        </w:rPr>
        <w:t>Portugal</w:t>
      </w:r>
      <w:bookmarkEnd w:id="23"/>
    </w:p>
    <w:p w:rsidRPr="009F3F65" w:rsidR="003130C2" w:rsidP="003130C2" w:rsidRDefault="003130C2" w14:paraId="0245B70A" w14:textId="77777777">
      <w:pPr>
        <w:rPr>
          <w:rFonts w:eastAsia="Calibri"/>
          <w:lang w:val="en-GB"/>
        </w:rPr>
      </w:pPr>
    </w:p>
    <w:p w:rsidRPr="009F3F65" w:rsidR="003130C2" w:rsidP="003130C2" w:rsidRDefault="003130C2" w14:paraId="478B9FB9" w14:textId="77777777">
      <w:pPr>
        <w:spacing w:line="276" w:lineRule="auto"/>
        <w:rPr>
          <w:rFonts w:eastAsia="Calibri"/>
          <w:b/>
          <w:bCs/>
        </w:rPr>
      </w:pPr>
      <w:r>
        <w:rPr>
          <w:b/>
        </w:rPr>
        <w:t>Effectiveness</w:t>
      </w:r>
    </w:p>
    <w:p w:rsidRPr="00B47B36" w:rsidR="003130C2" w:rsidP="003130C2" w:rsidRDefault="003130C2" w14:paraId="527B52AD" w14:textId="77777777">
      <w:pPr>
        <w:pStyle w:val="ListParagraph"/>
        <w:numPr>
          <w:ilvl w:val="0"/>
          <w:numId w:val="25"/>
        </w:numPr>
        <w:rPr>
          <w:rFonts w:eastAsia="Calibri"/>
        </w:rPr>
      </w:pPr>
      <w:r>
        <w:lastRenderedPageBreak/>
        <w:t>Positive feedback on the programme highlighted its high value, particularly praising Portuguese digital hubs, national incubators and innovation hubs for their effectiveness in reaching start-ups and SMEs and providing them with access to European support.</w:t>
      </w:r>
    </w:p>
    <w:p w:rsidRPr="00B47B36" w:rsidR="003130C2" w:rsidP="003130C2" w:rsidRDefault="003130C2" w14:paraId="601F98DA" w14:textId="77777777">
      <w:pPr>
        <w:pStyle w:val="ListParagraph"/>
        <w:numPr>
          <w:ilvl w:val="0"/>
          <w:numId w:val="25"/>
        </w:numPr>
        <w:rPr>
          <w:rFonts w:eastAsia="Calibri"/>
        </w:rPr>
      </w:pPr>
      <w:r>
        <w:t>Concerns were raised about the sustainability of projects linked to the Digital Europe Programme. The continuity of EU funding was deemed essential for maintaining the programme’s initiatives.</w:t>
      </w:r>
    </w:p>
    <w:p w:rsidRPr="00B47B36" w:rsidR="003130C2" w:rsidP="003130C2" w:rsidRDefault="003130C2" w14:paraId="3737D384" w14:textId="77777777">
      <w:pPr>
        <w:pStyle w:val="ListParagraph"/>
        <w:numPr>
          <w:ilvl w:val="0"/>
          <w:numId w:val="25"/>
        </w:numPr>
        <w:rPr>
          <w:rFonts w:eastAsia="Calibri"/>
        </w:rPr>
      </w:pPr>
      <w:r>
        <w:t>Participants noted difficulties in accessing funding, highlighting especially the 50% funding requirement, which tends to favour larger companies. The lack of a robust co-financing mechanism in Portugal was highlighted as a significant challenge.</w:t>
      </w:r>
    </w:p>
    <w:p w:rsidRPr="00B47B36" w:rsidR="003130C2" w:rsidP="003130C2" w:rsidRDefault="003130C2" w14:paraId="73BA2D24" w14:textId="77777777">
      <w:pPr>
        <w:pStyle w:val="ListParagraph"/>
        <w:numPr>
          <w:ilvl w:val="0"/>
          <w:numId w:val="25"/>
        </w:numPr>
        <w:rPr>
          <w:rFonts w:eastAsia="Calibri"/>
        </w:rPr>
      </w:pPr>
      <w:r>
        <w:t>The lack of effective dissemination of information about the programme and of clear regulations and guidelines from managing entities was criticised. There was also a need for clarification from the national authorities regarding specific administrative and bureaucratic rules that SMEs should follow. Clear definitions of projects and rules, along with proper communication to promoters, especially at national level, were suggested as improvements.</w:t>
      </w:r>
    </w:p>
    <w:p w:rsidRPr="00B47B36" w:rsidR="003130C2" w:rsidP="003130C2" w:rsidRDefault="003130C2" w14:paraId="4862B524" w14:textId="77777777">
      <w:pPr>
        <w:pStyle w:val="ListParagraph"/>
        <w:numPr>
          <w:ilvl w:val="0"/>
          <w:numId w:val="25"/>
        </w:numPr>
      </w:pPr>
      <w:r>
        <w:t>Participants emphasised the need for targeted training initiatives to support workers, focusing on vulnerable groups such as youngsters and the elderly.</w:t>
      </w:r>
    </w:p>
    <w:p w:rsidRPr="00B47B36" w:rsidR="003130C2" w:rsidP="003130C2" w:rsidRDefault="003130C2" w14:paraId="0DCBF1AF" w14:textId="77777777">
      <w:pPr>
        <w:pStyle w:val="NoSpacing"/>
        <w:spacing w:line="276" w:lineRule="auto"/>
        <w:ind w:left="720"/>
        <w:rPr>
          <w:rFonts w:cs="Times New Roman"/>
          <w:lang w:val="en-GB"/>
        </w:rPr>
      </w:pPr>
    </w:p>
    <w:p w:rsidRPr="009F3F65" w:rsidR="003130C2" w:rsidP="003130C2" w:rsidRDefault="003130C2" w14:paraId="6403849D" w14:textId="77777777">
      <w:pPr>
        <w:spacing w:line="276" w:lineRule="auto"/>
        <w:rPr>
          <w:rFonts w:eastAsia="Calibri"/>
          <w:b/>
          <w:bCs/>
        </w:rPr>
      </w:pPr>
      <w:r>
        <w:rPr>
          <w:b/>
        </w:rPr>
        <w:t>Relevance</w:t>
      </w:r>
    </w:p>
    <w:p w:rsidRPr="00B47B36" w:rsidR="003130C2" w:rsidP="003130C2" w:rsidRDefault="003130C2" w14:paraId="76036428" w14:textId="77777777">
      <w:pPr>
        <w:pStyle w:val="ListParagraph"/>
        <w:numPr>
          <w:ilvl w:val="0"/>
          <w:numId w:val="26"/>
        </w:numPr>
        <w:rPr>
          <w:rFonts w:eastAsia="Calibri"/>
        </w:rPr>
      </w:pPr>
      <w:r>
        <w:t>The programme was noted to hold significant potential in promoting digital competencies and facilitating transformation for both companies and society. Emphasis was placed on the initiative’s crucial role in the national economy.</w:t>
      </w:r>
    </w:p>
    <w:p w:rsidRPr="00B47B36" w:rsidR="003130C2" w:rsidP="003130C2" w:rsidRDefault="003130C2" w14:paraId="7B264CA9" w14:textId="77777777">
      <w:pPr>
        <w:pStyle w:val="ListParagraph"/>
        <w:numPr>
          <w:ilvl w:val="0"/>
          <w:numId w:val="26"/>
        </w:numPr>
        <w:rPr>
          <w:rFonts w:eastAsia="Calibri"/>
        </w:rPr>
      </w:pPr>
      <w:r>
        <w:t>In terms of competition, several support programmes with zero costs were highlighted. A suggestion was made to reconsider how the funds are allocated to ensure convergence with other programmes.</w:t>
      </w:r>
    </w:p>
    <w:p w:rsidRPr="00B47B36" w:rsidR="003130C2" w:rsidP="003130C2" w:rsidRDefault="003130C2" w14:paraId="0757F299" w14:textId="77777777">
      <w:pPr>
        <w:pStyle w:val="ListParagraph"/>
        <w:numPr>
          <w:ilvl w:val="0"/>
          <w:numId w:val="26"/>
        </w:numPr>
        <w:rPr>
          <w:rFonts w:eastAsia="Calibri"/>
        </w:rPr>
      </w:pPr>
      <w:r>
        <w:t>The programme’s relevance and alignment with current needs was noted. A suggestion was made to address the development of new skills for workers or the recycling of acquired knowledge, particularly in areas like AI and cybersecurity.</w:t>
      </w:r>
    </w:p>
    <w:p w:rsidRPr="00B47B36" w:rsidR="003130C2" w:rsidP="003130C2" w:rsidRDefault="003130C2" w14:paraId="54028D28" w14:textId="77777777">
      <w:pPr>
        <w:pStyle w:val="ListParagraph"/>
        <w:numPr>
          <w:ilvl w:val="0"/>
          <w:numId w:val="26"/>
        </w:numPr>
        <w:rPr>
          <w:rFonts w:eastAsia="Calibri"/>
        </w:rPr>
      </w:pPr>
      <w:r>
        <w:t>While the objectives of the programme were praised, participants suggested paying more attention to implementation and increasing initiatives for the involvement of women.</w:t>
      </w:r>
    </w:p>
    <w:p w:rsidRPr="00B47B36" w:rsidR="003130C2" w:rsidP="003130C2" w:rsidRDefault="003130C2" w14:paraId="00EE0C81" w14:textId="77777777">
      <w:pPr>
        <w:pStyle w:val="ListParagraph"/>
        <w:spacing w:line="276" w:lineRule="auto"/>
        <w:rPr>
          <w:rFonts w:eastAsia="Calibri"/>
        </w:rPr>
      </w:pPr>
    </w:p>
    <w:p w:rsidRPr="009F3F65" w:rsidR="003130C2" w:rsidP="003130C2" w:rsidRDefault="003130C2" w14:paraId="47626397" w14:textId="77777777">
      <w:pPr>
        <w:spacing w:line="276" w:lineRule="auto"/>
        <w:rPr>
          <w:rFonts w:eastAsia="Calibri"/>
          <w:b/>
          <w:bCs/>
        </w:rPr>
      </w:pPr>
      <w:r>
        <w:rPr>
          <w:b/>
        </w:rPr>
        <w:t>Civil society added value</w:t>
      </w:r>
    </w:p>
    <w:p w:rsidRPr="00B47B36" w:rsidR="003130C2" w:rsidP="003130C2" w:rsidRDefault="003130C2" w14:paraId="24937093" w14:textId="77777777">
      <w:pPr>
        <w:pStyle w:val="ListParagraph"/>
        <w:numPr>
          <w:ilvl w:val="0"/>
          <w:numId w:val="27"/>
        </w:numPr>
      </w:pPr>
      <w:r>
        <w:t>The low participation level of civil society was stressed, and attributed to insufficient dissemination and the lack of involvement of the social partners in the digital programme debate. At national level, it was suggested that the mechanisms for participation be reinforced and a focal point created to centralise the dynamics and involve civil society in discussions about these matters.</w:t>
      </w:r>
    </w:p>
    <w:p w:rsidRPr="00B47B36" w:rsidR="003130C2" w:rsidP="003130C2" w:rsidRDefault="003130C2" w14:paraId="475278BD" w14:textId="77777777">
      <w:pPr>
        <w:pStyle w:val="ListParagraph"/>
        <w:numPr>
          <w:ilvl w:val="0"/>
          <w:numId w:val="27"/>
        </w:numPr>
      </w:pPr>
      <w:r>
        <w:t>Many entities were willing to submit proposals but were deterred by various constraints, including the risk of non-compliance and the 50% financing strategy. Bureaucracy was identified as a significant impediment, discouraging civil society entities from attempting to access this funding source. It was emphasised that the EU needs to design programmes that are less bureaucratic and to improve communication.</w:t>
      </w:r>
    </w:p>
    <w:p w:rsidRPr="009F3F65" w:rsidR="003130C2" w:rsidP="003130C2" w:rsidRDefault="003130C2" w14:paraId="41EED37C" w14:textId="77777777">
      <w:pPr>
        <w:rPr>
          <w:rFonts w:eastAsia="Calibri"/>
          <w:lang w:val="en-GB"/>
        </w:rPr>
      </w:pPr>
    </w:p>
    <w:p w:rsidRPr="009F3F65" w:rsidR="003130C2" w:rsidP="003130C2" w:rsidRDefault="003130C2" w14:paraId="02341A50" w14:textId="77777777">
      <w:pPr>
        <w:pStyle w:val="Heading2"/>
        <w:rPr>
          <w:rFonts w:eastAsia="Calibri"/>
          <w:b/>
          <w:bCs/>
          <w:u w:val="single"/>
        </w:rPr>
      </w:pPr>
      <w:bookmarkStart w:name="_Toc174452853" w:id="24"/>
      <w:r>
        <w:rPr>
          <w:b/>
          <w:u w:val="single"/>
        </w:rPr>
        <w:t>Sweden</w:t>
      </w:r>
      <w:bookmarkEnd w:id="24"/>
    </w:p>
    <w:p w:rsidRPr="009F3F65" w:rsidR="003130C2" w:rsidP="003130C2" w:rsidRDefault="003130C2" w14:paraId="23E20F82" w14:textId="77777777">
      <w:pPr>
        <w:rPr>
          <w:rFonts w:eastAsia="Calibri"/>
          <w:lang w:val="en-GB"/>
        </w:rPr>
      </w:pPr>
    </w:p>
    <w:p w:rsidRPr="009F3F65" w:rsidR="003130C2" w:rsidP="003130C2" w:rsidRDefault="003130C2" w14:paraId="3279BAA8" w14:textId="77777777">
      <w:pPr>
        <w:spacing w:line="276" w:lineRule="auto"/>
        <w:rPr>
          <w:rFonts w:eastAsia="Calibri"/>
          <w:b/>
          <w:bCs/>
        </w:rPr>
      </w:pPr>
      <w:r>
        <w:rPr>
          <w:b/>
        </w:rPr>
        <w:t>Effectiveness</w:t>
      </w:r>
    </w:p>
    <w:p w:rsidRPr="00B47B36" w:rsidR="003130C2" w:rsidP="003130C2" w:rsidRDefault="003130C2" w14:paraId="02FA9401" w14:textId="77777777">
      <w:pPr>
        <w:pStyle w:val="ListParagraph"/>
        <w:numPr>
          <w:ilvl w:val="0"/>
          <w:numId w:val="28"/>
        </w:numPr>
        <w:rPr>
          <w:rFonts w:eastAsia="Calibri"/>
        </w:rPr>
      </w:pPr>
      <w:r>
        <w:lastRenderedPageBreak/>
        <w:t>The DEP was said to have potential, yet its success in Sweden was limited by insufficient dissemination, lack of political prioritisation, and minimal engagement with civil society. Greater emphasis on communication, outreach, and streamlined processes was called for to improve its impact.</w:t>
      </w:r>
    </w:p>
    <w:p w:rsidRPr="00B47B36" w:rsidR="003130C2" w:rsidP="003130C2" w:rsidRDefault="003130C2" w14:paraId="620C9D17" w14:textId="77777777">
      <w:pPr>
        <w:pStyle w:val="ListParagraph"/>
        <w:numPr>
          <w:ilvl w:val="0"/>
          <w:numId w:val="28"/>
        </w:numPr>
        <w:rPr>
          <w:rFonts w:eastAsia="Calibri"/>
        </w:rPr>
      </w:pPr>
      <w:r>
        <w:t>Regarding the Digital Innovation Hubs (DIHs) in Sweden, limited knowledge about them was noted, though their potential added value was acknowledged. The current government was deemed not to prioritise digital initiatives.</w:t>
      </w:r>
    </w:p>
    <w:p w:rsidRPr="00B47B36" w:rsidR="003130C2" w:rsidP="003130C2" w:rsidRDefault="003130C2" w14:paraId="18F35413" w14:textId="77777777">
      <w:pPr>
        <w:pStyle w:val="ListParagraph"/>
        <w:numPr>
          <w:ilvl w:val="0"/>
          <w:numId w:val="28"/>
        </w:numPr>
        <w:rPr>
          <w:rFonts w:eastAsia="Calibri"/>
        </w:rPr>
      </w:pPr>
      <w:r>
        <w:t>There was a recognised need for more vocational training, digital knowledge, and AI initiatives, and to upskill and develop human capital.</w:t>
      </w:r>
    </w:p>
    <w:p w:rsidRPr="00B47B36" w:rsidR="003130C2" w:rsidP="003130C2" w:rsidRDefault="003130C2" w14:paraId="49ED29C7" w14:textId="77777777">
      <w:pPr>
        <w:pStyle w:val="ListParagraph"/>
        <w:spacing w:line="276" w:lineRule="auto"/>
        <w:rPr>
          <w:rFonts w:eastAsia="Calibri"/>
        </w:rPr>
      </w:pPr>
    </w:p>
    <w:p w:rsidRPr="009F3F65" w:rsidR="003130C2" w:rsidP="003130C2" w:rsidRDefault="003130C2" w14:paraId="2A689F12" w14:textId="77777777">
      <w:pPr>
        <w:spacing w:line="276" w:lineRule="auto"/>
        <w:rPr>
          <w:rFonts w:eastAsia="Calibri"/>
          <w:b/>
          <w:bCs/>
        </w:rPr>
      </w:pPr>
      <w:r>
        <w:rPr>
          <w:b/>
        </w:rPr>
        <w:t>Relevance</w:t>
      </w:r>
    </w:p>
    <w:p w:rsidRPr="00B47B36" w:rsidR="003130C2" w:rsidP="003130C2" w:rsidRDefault="003130C2" w14:paraId="0AAB3EF9" w14:textId="77777777">
      <w:pPr>
        <w:pStyle w:val="ListParagraph"/>
        <w:numPr>
          <w:ilvl w:val="0"/>
          <w:numId w:val="29"/>
        </w:numPr>
        <w:rPr>
          <w:rFonts w:eastAsia="Calibri"/>
        </w:rPr>
      </w:pPr>
      <w:r>
        <w:t>Emphasis was placed on the programme’s ongoing importance; however, challenges had been encountered, particularly during the initial setup of the network.</w:t>
      </w:r>
    </w:p>
    <w:p w:rsidRPr="00B47B36" w:rsidR="003130C2" w:rsidP="003130C2" w:rsidRDefault="003130C2" w14:paraId="669B8A3B" w14:textId="77777777">
      <w:pPr>
        <w:pStyle w:val="ListParagraph"/>
        <w:numPr>
          <w:ilvl w:val="0"/>
          <w:numId w:val="29"/>
        </w:numPr>
        <w:rPr>
          <w:rFonts w:eastAsia="Calibri"/>
        </w:rPr>
      </w:pPr>
      <w:r>
        <w:t>Cybersecurity was considered an essential topic to be prioritised. Emphasis was placed on highlighting, promoting, and unifying the skills-related sections in cybersecurity. Public administration was also highlighted as an important target for large-scale initiatives to develop competencies.</w:t>
      </w:r>
    </w:p>
    <w:p w:rsidRPr="00B47B36" w:rsidR="003130C2" w:rsidP="003130C2" w:rsidRDefault="003130C2" w14:paraId="7812E6FA" w14:textId="77777777">
      <w:pPr>
        <w:pStyle w:val="ListParagraph"/>
        <w:numPr>
          <w:ilvl w:val="0"/>
          <w:numId w:val="29"/>
        </w:numPr>
        <w:rPr>
          <w:rFonts w:eastAsia="Calibri"/>
        </w:rPr>
      </w:pPr>
      <w:r>
        <w:t>While the objectives of the programme were deemed relevant and connected, participants suggested improving the dissemination of the programme, enhancing communication, and placing more emphasis on advancing women in tech.</w:t>
      </w:r>
    </w:p>
    <w:p w:rsidRPr="00B47B36" w:rsidR="003130C2" w:rsidP="003130C2" w:rsidRDefault="003130C2" w14:paraId="0833F418" w14:textId="77777777">
      <w:pPr>
        <w:pStyle w:val="ListParagraph"/>
        <w:numPr>
          <w:ilvl w:val="0"/>
          <w:numId w:val="29"/>
        </w:numPr>
        <w:rPr>
          <w:rFonts w:eastAsia="Calibri"/>
        </w:rPr>
      </w:pPr>
      <w:r>
        <w:t>The programme was considered to have successfully brought the topic of AI to the forefront.</w:t>
      </w:r>
    </w:p>
    <w:p w:rsidRPr="00B47B36" w:rsidR="003130C2" w:rsidP="003130C2" w:rsidRDefault="003130C2" w14:paraId="4C27E627" w14:textId="77777777">
      <w:pPr>
        <w:pStyle w:val="ListParagraph"/>
        <w:spacing w:line="276" w:lineRule="auto"/>
        <w:rPr>
          <w:rFonts w:eastAsia="Calibri"/>
        </w:rPr>
      </w:pPr>
    </w:p>
    <w:p w:rsidRPr="009F3F65" w:rsidR="003130C2" w:rsidP="003130C2" w:rsidRDefault="003130C2" w14:paraId="31B5512B" w14:textId="77777777">
      <w:pPr>
        <w:spacing w:line="276" w:lineRule="auto"/>
        <w:rPr>
          <w:rFonts w:eastAsia="Calibri"/>
          <w:b/>
          <w:bCs/>
        </w:rPr>
      </w:pPr>
      <w:r>
        <w:rPr>
          <w:b/>
        </w:rPr>
        <w:t>Civil society added value</w:t>
      </w:r>
    </w:p>
    <w:p w:rsidRPr="00B47B36" w:rsidR="003130C2" w:rsidP="003130C2" w:rsidRDefault="003130C2" w14:paraId="13F7A0C9" w14:textId="77777777">
      <w:pPr>
        <w:pStyle w:val="ListParagraph"/>
        <w:numPr>
          <w:ilvl w:val="0"/>
          <w:numId w:val="30"/>
        </w:numPr>
        <w:rPr>
          <w:rFonts w:eastAsia="Calibri"/>
        </w:rPr>
      </w:pPr>
      <w:r>
        <w:t>A lack of cooperation between the private sector and civil society was highlighted, with a desire expressed for greater involvement of trade unions in initiatives.</w:t>
      </w:r>
    </w:p>
    <w:p w:rsidRPr="00B47B36" w:rsidR="003130C2" w:rsidP="003130C2" w:rsidRDefault="003130C2" w14:paraId="1DE00169" w14:textId="77777777">
      <w:pPr>
        <w:pStyle w:val="ListParagraph"/>
        <w:numPr>
          <w:ilvl w:val="0"/>
          <w:numId w:val="30"/>
        </w:numPr>
        <w:rPr>
          <w:rFonts w:eastAsia="Calibri"/>
        </w:rPr>
      </w:pPr>
      <w:r>
        <w:t>It was noted that large cities and established networks primarily benefited from the funding, raising concerns about how to involve smaller entities that lacked internal resources.</w:t>
      </w:r>
    </w:p>
    <w:p w:rsidRPr="00B47B36" w:rsidR="003130C2" w:rsidP="003130C2" w:rsidRDefault="003130C2" w14:paraId="35A2CA13" w14:textId="77777777">
      <w:pPr>
        <w:pStyle w:val="ListParagraph"/>
        <w:numPr>
          <w:ilvl w:val="0"/>
          <w:numId w:val="30"/>
        </w:numPr>
        <w:rPr>
          <w:rFonts w:eastAsia="Calibri"/>
        </w:rPr>
      </w:pPr>
      <w:r>
        <w:t>The application process for funding was considered bureaucratic and time-consuming, deterring smaller NGOs and entities from participating. There was a call for simplification, enhanced communication, and reduced bureaucracy to enhance civil society involvement.</w:t>
      </w:r>
    </w:p>
    <w:p w:rsidRPr="00B47B36" w:rsidR="003130C2" w:rsidP="003130C2" w:rsidRDefault="003130C2" w14:paraId="412F05D5" w14:textId="77777777">
      <w:pPr>
        <w:pStyle w:val="ListParagraph"/>
        <w:numPr>
          <w:ilvl w:val="0"/>
          <w:numId w:val="30"/>
        </w:numPr>
        <w:rPr>
          <w:rFonts w:eastAsia="Calibri"/>
        </w:rPr>
      </w:pPr>
      <w:r>
        <w:t>Understanding the needs of SMEs and ensuring that they were aware of the available support and how to access it was deemed crucial.</w:t>
      </w:r>
    </w:p>
    <w:p w:rsidRPr="009F3F65" w:rsidR="003130C2" w:rsidP="003130C2" w:rsidRDefault="003130C2" w14:paraId="43FF886E" w14:textId="77777777">
      <w:pPr>
        <w:spacing w:line="300" w:lineRule="exact"/>
        <w:rPr>
          <w:b/>
          <w:bCs/>
          <w:highlight w:val="red"/>
          <w:lang w:val="en-GB"/>
        </w:rPr>
      </w:pPr>
    </w:p>
    <w:p w:rsidRPr="009F3F65" w:rsidR="003130C2" w:rsidP="003130C2" w:rsidRDefault="003130C2" w14:paraId="3D21CBD0" w14:textId="77777777">
      <w:pPr>
        <w:pStyle w:val="Heading1"/>
        <w:spacing w:after="120" w:line="300" w:lineRule="exact"/>
        <w:rPr>
          <w:b/>
          <w:bCs/>
        </w:rPr>
      </w:pPr>
      <w:bookmarkStart w:name="_Toc125632267" w:id="25"/>
      <w:bookmarkStart w:name="_Toc174452854" w:id="26"/>
      <w:r>
        <w:rPr>
          <w:b/>
        </w:rPr>
        <w:t>Secondary data: literature review</w:t>
      </w:r>
      <w:bookmarkEnd w:id="25"/>
      <w:bookmarkEnd w:id="26"/>
    </w:p>
    <w:p w:rsidRPr="009F3F65" w:rsidR="003130C2" w:rsidP="003130C2" w:rsidRDefault="003130C2" w14:paraId="5494BAF6" w14:textId="77777777">
      <w:pPr>
        <w:rPr>
          <w:lang w:val="en-GB"/>
        </w:rPr>
      </w:pPr>
    </w:p>
    <w:p w:rsidRPr="009F3F65" w:rsidR="003130C2" w:rsidP="003130C2" w:rsidRDefault="003130C2" w14:paraId="68D54562" w14:textId="77777777">
      <w:pPr>
        <w:pStyle w:val="Heading2"/>
        <w:spacing w:line="300" w:lineRule="exact"/>
        <w:rPr>
          <w:b/>
          <w:bCs/>
          <w:u w:val="single"/>
        </w:rPr>
      </w:pPr>
      <w:bookmarkStart w:name="_Toc174452855" w:id="27"/>
      <w:r>
        <w:rPr>
          <w:b/>
          <w:u w:val="single"/>
        </w:rPr>
        <w:t>SOC/774 Digital skills and education package (2023)</w:t>
      </w:r>
      <w:bookmarkEnd w:id="27"/>
    </w:p>
    <w:p w:rsidRPr="009F3F65" w:rsidR="003130C2" w:rsidP="003130C2" w:rsidRDefault="003130C2" w14:paraId="58D3AE85" w14:textId="77777777">
      <w:pPr>
        <w:rPr>
          <w:lang w:val="en-GB"/>
        </w:rPr>
      </w:pPr>
    </w:p>
    <w:p w:rsidRPr="009F3F65" w:rsidR="003130C2" w:rsidP="003130C2" w:rsidRDefault="003130C2" w14:paraId="4BDB1010" w14:textId="77777777">
      <w:pPr>
        <w:pStyle w:val="Footer"/>
      </w:pPr>
      <w:r>
        <w:rPr>
          <w:b/>
        </w:rPr>
        <w:t xml:space="preserve">In </w:t>
      </w:r>
      <w:hyperlink w:history="1" r:id="rId78">
        <w:r>
          <w:rPr>
            <w:rStyle w:val="Hyperlink"/>
          </w:rPr>
          <w:t>SOC/774</w:t>
        </w:r>
      </w:hyperlink>
      <w:r>
        <w:rPr>
          <w:b/>
        </w:rPr>
        <w:t xml:space="preserve">, on </w:t>
      </w:r>
      <w:r>
        <w:rPr>
          <w:b/>
          <w:i/>
        </w:rPr>
        <w:t>Digital skills and education package</w:t>
      </w:r>
      <w:r>
        <w:rPr>
          <w:b/>
        </w:rPr>
        <w:t xml:space="preserve"> (2023)</w:t>
      </w:r>
      <w:r>
        <w:t xml:space="preserve"> (rapporteurs: Angelova, Babrauskiene, Ochedzan), the EESC supported efforts to ensure </w:t>
      </w:r>
      <w:r>
        <w:rPr>
          <w:b/>
        </w:rPr>
        <w:t>digital inclusion for all</w:t>
      </w:r>
      <w:r>
        <w:t xml:space="preserve"> and expressed firm commitment to helping create levers </w:t>
      </w:r>
      <w:r>
        <w:rPr>
          <w:b/>
        </w:rPr>
        <w:t>to reduce digital vulnerability and close the digital gap</w:t>
      </w:r>
      <w:r>
        <w:t>.</w:t>
      </w:r>
    </w:p>
    <w:p w:rsidRPr="009F3F65" w:rsidR="003130C2" w:rsidP="003130C2" w:rsidRDefault="003130C2" w14:paraId="2E04174C" w14:textId="77777777">
      <w:pPr>
        <w:rPr>
          <w:lang w:val="en-GB"/>
        </w:rPr>
      </w:pPr>
    </w:p>
    <w:p w:rsidRPr="009F3F65" w:rsidR="003130C2" w:rsidP="003130C2" w:rsidRDefault="003130C2" w14:paraId="6DFE7E25" w14:textId="77777777">
      <w:r>
        <w:t xml:space="preserve">The EESC </w:t>
      </w:r>
      <w:r>
        <w:rPr>
          <w:b/>
        </w:rPr>
        <w:t>welcomed the digital skills and education package</w:t>
      </w:r>
      <w:r>
        <w:t xml:space="preserve"> as an important and tangible contribution to the European Year of Skills, and supported the two strategic priorities of the EC's Digital Education Action Plan 2021-2027: fostering the development of a high-performing digital education ecosystem and enhancing digital skills and competences for the digital transformation.</w:t>
      </w:r>
    </w:p>
    <w:p w:rsidRPr="009F3F65" w:rsidR="003130C2" w:rsidP="003130C2" w:rsidRDefault="003130C2" w14:paraId="573A52D7" w14:textId="77777777">
      <w:pPr>
        <w:pStyle w:val="Footer"/>
        <w:rPr>
          <w:lang w:val="en-GB"/>
        </w:rPr>
      </w:pPr>
    </w:p>
    <w:p w:rsidRPr="009F3F65" w:rsidR="003130C2" w:rsidP="003130C2" w:rsidRDefault="003130C2" w14:paraId="7388F69E" w14:textId="77777777">
      <w:r>
        <w:t xml:space="preserve">The Committee asked that further specific guidance be provided regarding quality and inclusive infrastructure, connectivity and security, and safe data handling for all users. The EESC recommended that, in order to implement effective policies on the development of digital skills, the EC encourage the Member States (MSs) to </w:t>
      </w:r>
      <w:r>
        <w:rPr>
          <w:b/>
        </w:rPr>
        <w:t>use a comprehensive approach involving the institutions concerned, social partners, civil society organisations (CSOs), training organisations and the scientific community</w:t>
      </w:r>
      <w:r>
        <w:t>.</w:t>
      </w:r>
    </w:p>
    <w:p w:rsidRPr="009F3F65" w:rsidR="003130C2" w:rsidP="003130C2" w:rsidRDefault="003130C2" w14:paraId="6869F68B" w14:textId="77777777">
      <w:pPr>
        <w:rPr>
          <w:lang w:val="en-GB"/>
        </w:rPr>
      </w:pPr>
    </w:p>
    <w:p w:rsidRPr="009F3F65" w:rsidR="003130C2" w:rsidP="003130C2" w:rsidRDefault="003130C2" w14:paraId="4424291C" w14:textId="77777777">
      <w:r>
        <w:t xml:space="preserve">The EESC underlined the crucial importance of </w:t>
      </w:r>
      <w:r>
        <w:rPr>
          <w:b/>
        </w:rPr>
        <w:t xml:space="preserve">respecting education and training as human rights and public goods. </w:t>
      </w:r>
      <w:r>
        <w:t>The digitalisation of education and training institutions needs to ensure equal access to education and training for all and not limit access to education.</w:t>
      </w:r>
    </w:p>
    <w:p w:rsidRPr="009F3F65" w:rsidR="003130C2" w:rsidP="003130C2" w:rsidRDefault="003130C2" w14:paraId="3A49DF41" w14:textId="77777777">
      <w:pPr>
        <w:rPr>
          <w:lang w:val="en-GB"/>
        </w:rPr>
      </w:pPr>
    </w:p>
    <w:p w:rsidRPr="009F3F65" w:rsidR="003130C2" w:rsidP="003130C2" w:rsidRDefault="003130C2" w14:paraId="3F06906A" w14:textId="77777777">
      <w:r>
        <w:t xml:space="preserve">The Committee recommended </w:t>
      </w:r>
      <w:r>
        <w:rPr>
          <w:b/>
        </w:rPr>
        <w:t>large-scale information campaigns on digital learning</w:t>
      </w:r>
      <w:r>
        <w:t xml:space="preserve">, dedicated funding for </w:t>
      </w:r>
      <w:r>
        <w:rPr>
          <w:b/>
        </w:rPr>
        <w:t>digitalization of vocational education and adult learning</w:t>
      </w:r>
      <w:r>
        <w:t xml:space="preserve">, and </w:t>
      </w:r>
      <w:r>
        <w:rPr>
          <w:b/>
        </w:rPr>
        <w:t>equal access</w:t>
      </w:r>
      <w:r>
        <w:t xml:space="preserve"> to digital education and tools, including for those with disabilities and in rural areas. Furthermore, the EESC emphasized the importance of </w:t>
      </w:r>
      <w:r>
        <w:rPr>
          <w:b/>
        </w:rPr>
        <w:t xml:space="preserve">social interaction </w:t>
      </w:r>
      <w:r>
        <w:t xml:space="preserve">in digitalized schools, </w:t>
      </w:r>
      <w:r>
        <w:rPr>
          <w:b/>
        </w:rPr>
        <w:t>motivation for online training</w:t>
      </w:r>
      <w:r>
        <w:t xml:space="preserve"> through training accounts and vouchers, and quality </w:t>
      </w:r>
      <w:r>
        <w:rPr>
          <w:b/>
        </w:rPr>
        <w:t>career guidance</w:t>
      </w:r>
      <w:r>
        <w:t xml:space="preserve">. </w:t>
      </w:r>
    </w:p>
    <w:p w:rsidRPr="009F3F65" w:rsidR="003130C2" w:rsidP="003130C2" w:rsidRDefault="003130C2" w14:paraId="79DEF724" w14:textId="77777777">
      <w:pPr>
        <w:pStyle w:val="Footer"/>
        <w:rPr>
          <w:lang w:val="en-GB"/>
        </w:rPr>
      </w:pPr>
    </w:p>
    <w:p w:rsidRPr="009F3F65" w:rsidR="003130C2" w:rsidP="003130C2" w:rsidRDefault="003130C2" w14:paraId="79BC089A" w14:textId="77777777">
      <w:pPr>
        <w:pStyle w:val="Footer"/>
      </w:pPr>
      <w:r>
        <w:t xml:space="preserve">Finally, the EESC called for </w:t>
      </w:r>
      <w:r>
        <w:rPr>
          <w:b/>
        </w:rPr>
        <w:t xml:space="preserve">broader access </w:t>
      </w:r>
      <w:r>
        <w:t xml:space="preserve">to professional development </w:t>
      </w:r>
      <w:r>
        <w:rPr>
          <w:b/>
        </w:rPr>
        <w:t>for teachers</w:t>
      </w:r>
      <w:r>
        <w:t xml:space="preserve"> and addressing teacher shortages, as well as stressed the need to develop </w:t>
      </w:r>
      <w:r>
        <w:rPr>
          <w:b/>
        </w:rPr>
        <w:t>knowledge and skills in AI</w:t>
      </w:r>
      <w:r>
        <w:t xml:space="preserve"> to enhance competitiveness and bridge digital gaps.</w:t>
      </w:r>
    </w:p>
    <w:p w:rsidRPr="009F3F65" w:rsidR="003130C2" w:rsidP="003130C2" w:rsidRDefault="003130C2" w14:paraId="3DA2E4C5" w14:textId="77777777">
      <w:pPr>
        <w:spacing w:line="300" w:lineRule="exact"/>
        <w:rPr>
          <w:rFonts w:eastAsia="Calibri"/>
          <w:b/>
          <w:lang w:val="en-GB"/>
        </w:rPr>
      </w:pPr>
    </w:p>
    <w:p w:rsidRPr="009F3F65" w:rsidR="003130C2" w:rsidP="003130C2" w:rsidRDefault="003130C2" w14:paraId="2D2F37E7" w14:textId="77777777">
      <w:pPr>
        <w:pStyle w:val="Heading2"/>
        <w:spacing w:line="300" w:lineRule="exact"/>
        <w:rPr>
          <w:rFonts w:eastAsia="Calibri"/>
          <w:b/>
          <w:bCs/>
          <w:u w:val="single"/>
        </w:rPr>
      </w:pPr>
      <w:bookmarkStart w:name="_Toc174452856" w:id="28"/>
      <w:r>
        <w:rPr>
          <w:b/>
          <w:u w:val="single"/>
        </w:rPr>
        <w:t>INT/1019 Deepening the single market through digitalisation (2023)</w:t>
      </w:r>
      <w:bookmarkEnd w:id="28"/>
    </w:p>
    <w:p w:rsidRPr="009F3F65" w:rsidR="003130C2" w:rsidP="003130C2" w:rsidRDefault="003130C2" w14:paraId="078066B3" w14:textId="77777777">
      <w:pPr>
        <w:spacing w:line="300" w:lineRule="exact"/>
        <w:rPr>
          <w:rFonts w:eastAsia="Calibri"/>
          <w:lang w:val="en-GB"/>
        </w:rPr>
      </w:pPr>
    </w:p>
    <w:p w:rsidRPr="009F3F65" w:rsidR="003130C2" w:rsidP="003130C2" w:rsidRDefault="003130C2" w14:paraId="63F082F8" w14:textId="77777777">
      <w:pPr>
        <w:pStyle w:val="Footer"/>
      </w:pPr>
      <w:r>
        <w:rPr>
          <w:b/>
        </w:rPr>
        <w:t>In</w:t>
      </w:r>
      <w:r>
        <w:rPr>
          <w:b/>
          <w:color w:val="1F3864"/>
        </w:rPr>
        <w:t xml:space="preserve"> </w:t>
      </w:r>
      <w:hyperlink w:history="1" r:id="rId79">
        <w:r>
          <w:rPr>
            <w:rStyle w:val="Hyperlink"/>
          </w:rPr>
          <w:t>INT/1019</w:t>
        </w:r>
      </w:hyperlink>
      <w:r>
        <w:rPr>
          <w:b/>
          <w:color w:val="1F3864"/>
        </w:rPr>
        <w:t xml:space="preserve">, </w:t>
      </w:r>
      <w:r>
        <w:rPr>
          <w:b/>
        </w:rPr>
        <w:t>on</w:t>
      </w:r>
      <w:r>
        <w:rPr>
          <w:b/>
          <w:i/>
        </w:rPr>
        <w:t xml:space="preserve"> Deepening the single market through digitalisation </w:t>
      </w:r>
      <w:r>
        <w:rPr>
          <w:b/>
        </w:rPr>
        <w:t xml:space="preserve">(2023) </w:t>
      </w:r>
      <w:r>
        <w:t xml:space="preserve">(rapporteur: Danisman), the EESC believed that digitalisation plays a significant role in the single market and </w:t>
      </w:r>
      <w:r>
        <w:rPr>
          <w:b/>
        </w:rPr>
        <w:t>suggested in this own-initiative opinion how digitalisation could bring further added value to the functioning of the single market and improve the enjoyment of the single market's freedoms</w:t>
      </w:r>
      <w:r>
        <w:t>.</w:t>
      </w:r>
    </w:p>
    <w:p w:rsidRPr="009F3F65" w:rsidR="003130C2" w:rsidP="003130C2" w:rsidRDefault="003130C2" w14:paraId="1CDD48CD" w14:textId="77777777">
      <w:pPr>
        <w:pStyle w:val="Footer"/>
        <w:rPr>
          <w:lang w:val="en-GB"/>
        </w:rPr>
      </w:pPr>
    </w:p>
    <w:p w:rsidRPr="009F3F65" w:rsidR="003130C2" w:rsidP="003130C2" w:rsidRDefault="003130C2" w14:paraId="703E98BE" w14:textId="77777777">
      <w:pPr>
        <w:pStyle w:val="Footer"/>
      </w:pPr>
      <w:r>
        <w:t>Digitalisation in transport and logistics are key in enhancing the free movement of goods. This highlights the need for proper investment in a future-proof transport infrastructure. The EESC also called on the Member States to step up their efforts to facilitate the use of transport-related electronic documents.</w:t>
      </w:r>
    </w:p>
    <w:p w:rsidRPr="009F3F65" w:rsidR="003130C2" w:rsidP="003130C2" w:rsidRDefault="003130C2" w14:paraId="2C769AAD" w14:textId="77777777">
      <w:pPr>
        <w:pStyle w:val="Footer"/>
        <w:rPr>
          <w:lang w:val="en-GB"/>
        </w:rPr>
      </w:pPr>
    </w:p>
    <w:p w:rsidRPr="009F3F65" w:rsidR="003130C2" w:rsidP="003130C2" w:rsidRDefault="003130C2" w14:paraId="5D1896D1" w14:textId="77777777">
      <w:pPr>
        <w:pStyle w:val="Footer"/>
      </w:pPr>
      <w:r>
        <w:t xml:space="preserve">The EESC noted that e-commerce offers businesses significant opportunities to reach customers in other Member States, and provides consumers with more choice and easier access to goods and services. Therefore, the Committee </w:t>
      </w:r>
      <w:r>
        <w:rPr>
          <w:b/>
        </w:rPr>
        <w:t>called for action to overcome existing barriers to e-commerce in the single market</w:t>
      </w:r>
      <w:r>
        <w:t>, e.g. through enforcing the EU's rules on geoblocking.</w:t>
      </w:r>
    </w:p>
    <w:p w:rsidRPr="00B47B36" w:rsidR="003130C2" w:rsidP="003130C2" w:rsidRDefault="003130C2" w14:paraId="135EC411" w14:textId="77777777">
      <w:pPr>
        <w:pStyle w:val="NoSpacing"/>
        <w:rPr>
          <w:rFonts w:cs="Times New Roman"/>
          <w:lang w:val="en-GB"/>
        </w:rPr>
      </w:pPr>
    </w:p>
    <w:p w:rsidRPr="009F3F65" w:rsidR="003130C2" w:rsidP="003130C2" w:rsidRDefault="003130C2" w14:paraId="3594887C" w14:textId="77777777">
      <w:pPr>
        <w:pStyle w:val="Footer"/>
      </w:pPr>
      <w:r>
        <w:t xml:space="preserve">The EESC suggested that </w:t>
      </w:r>
      <w:r>
        <w:rPr>
          <w:b/>
        </w:rPr>
        <w:t>the withdrawn Commission proposal for a "services e-card"</w:t>
      </w:r>
      <w:r>
        <w:t xml:space="preserve">, aimed at helping service providers to operate across borders, </w:t>
      </w:r>
      <w:r>
        <w:rPr>
          <w:b/>
        </w:rPr>
        <w:t>should be put back on the agenda</w:t>
      </w:r>
      <w:r>
        <w:t>, as it is a practical means of promoting the single market in services.</w:t>
      </w:r>
    </w:p>
    <w:p w:rsidRPr="009F3F65" w:rsidR="003130C2" w:rsidP="003130C2" w:rsidRDefault="003130C2" w14:paraId="1E44BB64" w14:textId="77777777">
      <w:pPr>
        <w:pStyle w:val="Footer"/>
        <w:rPr>
          <w:lang w:val="en-GB"/>
        </w:rPr>
      </w:pPr>
    </w:p>
    <w:p w:rsidRPr="009F3F65" w:rsidR="003130C2" w:rsidP="003130C2" w:rsidRDefault="003130C2" w14:paraId="4DD5A399" w14:textId="77777777">
      <w:pPr>
        <w:pStyle w:val="Footer"/>
      </w:pPr>
      <w:r>
        <w:t xml:space="preserve">The Committee urged the introduction of secure and standardised digital identification systems such as </w:t>
      </w:r>
      <w:r>
        <w:rPr>
          <w:b/>
        </w:rPr>
        <w:t>eID-cards</w:t>
      </w:r>
      <w:r>
        <w:t xml:space="preserve">, as well as called for the development and scaling up of initiatives in the sphere of digitalisation of social security and labour mobility and </w:t>
      </w:r>
      <w:r>
        <w:rPr>
          <w:b/>
        </w:rPr>
        <w:t>encouraged the introduction of initiatives such as the European Social Security Pass</w:t>
      </w:r>
      <w:r>
        <w:t>.</w:t>
      </w:r>
    </w:p>
    <w:p w:rsidRPr="009F3F65" w:rsidR="003130C2" w:rsidP="003130C2" w:rsidRDefault="003130C2" w14:paraId="17F20E3C" w14:textId="77777777">
      <w:pPr>
        <w:pStyle w:val="Footer"/>
        <w:rPr>
          <w:lang w:val="en-GB"/>
        </w:rPr>
      </w:pPr>
    </w:p>
    <w:p w:rsidRPr="009F3F65" w:rsidR="003130C2" w:rsidP="003130C2" w:rsidRDefault="003130C2" w14:paraId="3C18CB9E" w14:textId="77777777">
      <w:pPr>
        <w:pStyle w:val="Footer"/>
      </w:pPr>
      <w:r>
        <w:lastRenderedPageBreak/>
        <w:t xml:space="preserve">To boost fintech applications, the EESC was of the view that </w:t>
      </w:r>
      <w:r>
        <w:rPr>
          <w:b/>
        </w:rPr>
        <w:t>the European Union (EU) should further harmonise the regulation of digital financial services</w:t>
      </w:r>
      <w:r>
        <w:t xml:space="preserve"> and increase innovation funding for digital solutions.</w:t>
      </w:r>
    </w:p>
    <w:p w:rsidRPr="009F3F65" w:rsidR="003130C2" w:rsidP="003130C2" w:rsidRDefault="003130C2" w14:paraId="1E48529A" w14:textId="77777777">
      <w:pPr>
        <w:pStyle w:val="Footer"/>
        <w:rPr>
          <w:lang w:val="en-GB"/>
        </w:rPr>
      </w:pPr>
    </w:p>
    <w:p w:rsidRPr="009F3F65" w:rsidR="003130C2" w:rsidP="003130C2" w:rsidRDefault="003130C2" w14:paraId="5795AE7E" w14:textId="77777777">
      <w:pPr>
        <w:pStyle w:val="Footer"/>
      </w:pPr>
      <w:r>
        <w:t xml:space="preserve">The EESC </w:t>
      </w:r>
      <w:r>
        <w:rPr>
          <w:b/>
        </w:rPr>
        <w:t>highlighted the importance of intensive investment in digital infrastructure, research and innovation, and skills development</w:t>
      </w:r>
      <w:r>
        <w:t>, all of which are key enabling factors of digitalisation.</w:t>
      </w:r>
    </w:p>
    <w:p w:rsidRPr="009F3F65" w:rsidR="003130C2" w:rsidP="003130C2" w:rsidRDefault="003130C2" w14:paraId="2453FBBB" w14:textId="77777777">
      <w:pPr>
        <w:pStyle w:val="Footer"/>
        <w:rPr>
          <w:lang w:val="en-GB"/>
        </w:rPr>
      </w:pPr>
    </w:p>
    <w:p w:rsidRPr="009F3F65" w:rsidR="003130C2" w:rsidP="003130C2" w:rsidRDefault="003130C2" w14:paraId="44ECF43F" w14:textId="77777777">
      <w:pPr>
        <w:pStyle w:val="Footer"/>
      </w:pPr>
      <w:r>
        <w:t xml:space="preserve">The Committee stressed </w:t>
      </w:r>
      <w:r>
        <w:rPr>
          <w:b/>
        </w:rPr>
        <w:t>the need for digitalisation to take place in an economically, socially and environmentally sustainable way</w:t>
      </w:r>
      <w:r>
        <w:t>. Due attention must be paid to the prevention of harmful environmental impacts of digitalisation and the digital divides regarding access to infrastructure and skills.</w:t>
      </w:r>
    </w:p>
    <w:p w:rsidRPr="00B47B36" w:rsidR="003130C2" w:rsidP="003130C2" w:rsidRDefault="003130C2" w14:paraId="51630162" w14:textId="77777777">
      <w:pPr>
        <w:pStyle w:val="NoSpacing"/>
        <w:jc w:val="both"/>
        <w:rPr>
          <w:rFonts w:cs="Times New Roman"/>
          <w:lang w:val="en-GB"/>
        </w:rPr>
      </w:pPr>
    </w:p>
    <w:p w:rsidRPr="00B47B36" w:rsidR="003130C2" w:rsidP="003130C2" w:rsidRDefault="003130C2" w14:paraId="5E38E70A" w14:textId="77777777">
      <w:pPr>
        <w:pStyle w:val="NoSpacing"/>
        <w:jc w:val="both"/>
        <w:rPr>
          <w:rFonts w:cs="Times New Roman"/>
        </w:rPr>
      </w:pPr>
      <w:r>
        <w:t xml:space="preserve">Finally, the EESC called for a </w:t>
      </w:r>
      <w:r>
        <w:rPr>
          <w:b/>
        </w:rPr>
        <w:t>supportive regulatory framework</w:t>
      </w:r>
      <w:r>
        <w:t xml:space="preserve"> and effective enforcement of common EU rules by the Member States.</w:t>
      </w:r>
    </w:p>
    <w:p w:rsidRPr="009F3F65" w:rsidR="003130C2" w:rsidP="003130C2" w:rsidRDefault="003130C2" w14:paraId="48044DB0" w14:textId="77777777">
      <w:pPr>
        <w:spacing w:after="120" w:line="300" w:lineRule="exact"/>
        <w:rPr>
          <w:rFonts w:eastAsia="Calibri"/>
          <w:lang w:val="en-GB"/>
        </w:rPr>
      </w:pPr>
    </w:p>
    <w:p w:rsidRPr="009F3F65" w:rsidR="003130C2" w:rsidP="003130C2" w:rsidRDefault="003130C2" w14:paraId="682537B8" w14:textId="77777777">
      <w:pPr>
        <w:pStyle w:val="Heading2"/>
        <w:spacing w:line="300" w:lineRule="exact"/>
        <w:rPr>
          <w:rFonts w:eastAsia="Calibri"/>
          <w:b/>
          <w:bCs/>
          <w:u w:val="single"/>
        </w:rPr>
      </w:pPr>
      <w:bookmarkStart w:name="_Toc174452857" w:id="29"/>
      <w:r>
        <w:rPr>
          <w:b/>
          <w:u w:val="single"/>
        </w:rPr>
        <w:t>INT/996 A new European Innovation Agenda</w:t>
      </w:r>
      <w:r>
        <w:rPr>
          <w:b/>
          <w:i/>
          <w:u w:val="single"/>
        </w:rPr>
        <w:t xml:space="preserve"> </w:t>
      </w:r>
      <w:r>
        <w:rPr>
          <w:b/>
          <w:u w:val="single"/>
        </w:rPr>
        <w:t>(2022)</w:t>
      </w:r>
      <w:bookmarkEnd w:id="29"/>
    </w:p>
    <w:p w:rsidRPr="009F3F65" w:rsidR="003130C2" w:rsidP="003130C2" w:rsidRDefault="003130C2" w14:paraId="76D7856D" w14:textId="77777777">
      <w:pPr>
        <w:spacing w:line="300" w:lineRule="exact"/>
        <w:rPr>
          <w:rFonts w:eastAsia="Calibri"/>
          <w:lang w:val="en-GB"/>
        </w:rPr>
      </w:pPr>
    </w:p>
    <w:p w:rsidRPr="009F3F65" w:rsidR="003130C2" w:rsidP="003130C2" w:rsidRDefault="003130C2" w14:paraId="4526A2E7" w14:textId="77777777">
      <w:pPr>
        <w:pStyle w:val="Footer"/>
      </w:pPr>
      <w:r>
        <w:rPr>
          <w:b/>
        </w:rPr>
        <w:t xml:space="preserve">In </w:t>
      </w:r>
      <w:hyperlink w:history="1" r:id="rId80">
        <w:r>
          <w:rPr>
            <w:rStyle w:val="Hyperlink"/>
          </w:rPr>
          <w:t>INT/996</w:t>
        </w:r>
      </w:hyperlink>
      <w:r>
        <w:rPr>
          <w:b/>
        </w:rPr>
        <w:t xml:space="preserve">, on </w:t>
      </w:r>
      <w:r>
        <w:rPr>
          <w:b/>
          <w:i/>
        </w:rPr>
        <w:t xml:space="preserve">A new European Innovation Agenda </w:t>
      </w:r>
      <w:r>
        <w:rPr>
          <w:b/>
        </w:rPr>
        <w:t>(2022)</w:t>
      </w:r>
      <w:r>
        <w:t xml:space="preserve"> (rapporteur: Mensi, co-rapporteur: Lefèvre), the EESC welcomed the European Innovation Agenda's </w:t>
      </w:r>
      <w:r>
        <w:rPr>
          <w:b/>
        </w:rPr>
        <w:t>focus on competitiveness and citizens' welfare</w:t>
      </w:r>
      <w:r>
        <w:t xml:space="preserve">, urging emphasis on </w:t>
      </w:r>
      <w:r>
        <w:rPr>
          <w:b/>
        </w:rPr>
        <w:t>supporting businesses, SMEs, and start-ups</w:t>
      </w:r>
      <w:r>
        <w:t xml:space="preserve">. </w:t>
      </w:r>
    </w:p>
    <w:p w:rsidRPr="009F3F65" w:rsidR="003130C2" w:rsidP="003130C2" w:rsidRDefault="003130C2" w14:paraId="76445EF1" w14:textId="77777777">
      <w:pPr>
        <w:pStyle w:val="Footer"/>
        <w:rPr>
          <w:lang w:val="en-GB"/>
        </w:rPr>
      </w:pPr>
    </w:p>
    <w:p w:rsidRPr="009F3F65" w:rsidR="003130C2" w:rsidP="003130C2" w:rsidRDefault="003130C2" w14:paraId="37FB3A63" w14:textId="77777777">
      <w:pPr>
        <w:pStyle w:val="Footer"/>
      </w:pPr>
      <w:r>
        <w:t xml:space="preserve">The Committee welcomed the proposal to set up an </w:t>
      </w:r>
      <w:r>
        <w:rPr>
          <w:b/>
        </w:rPr>
        <w:t>Innovation-Friendly Regulations Advisory Group</w:t>
      </w:r>
      <w:r>
        <w:t xml:space="preserve"> within public services and proposed that an EESC representative be a full member of the group.</w:t>
      </w:r>
    </w:p>
    <w:p w:rsidRPr="009F3F65" w:rsidR="003130C2" w:rsidP="003130C2" w:rsidRDefault="003130C2" w14:paraId="3BFBC51A" w14:textId="77777777">
      <w:pPr>
        <w:pStyle w:val="Footer"/>
        <w:rPr>
          <w:lang w:val="en-GB"/>
        </w:rPr>
      </w:pPr>
    </w:p>
    <w:p w:rsidRPr="009F3F65" w:rsidR="003130C2" w:rsidP="003130C2" w:rsidRDefault="003130C2" w14:paraId="44C547D1" w14:textId="77777777">
      <w:pPr>
        <w:pStyle w:val="Footer"/>
      </w:pPr>
      <w:r>
        <w:t xml:space="preserve">The EESC pointed out the </w:t>
      </w:r>
      <w:r>
        <w:rPr>
          <w:b/>
        </w:rPr>
        <w:t>importance of funding experimentation and testing infrastructures</w:t>
      </w:r>
      <w:r>
        <w:t xml:space="preserve"> in order to help startups and to close the gap between labs and commercial applications. In this regard, the introduction of the new concept of "testing and experimentation infrastructures" in the draft revised General Block Exemption Regulation (GBER) on State aid was welcomed.</w:t>
      </w:r>
    </w:p>
    <w:p w:rsidRPr="009F3F65" w:rsidR="003130C2" w:rsidP="003130C2" w:rsidRDefault="003130C2" w14:paraId="5F6100CE" w14:textId="77777777">
      <w:pPr>
        <w:pStyle w:val="Footer"/>
        <w:rPr>
          <w:lang w:val="en-GB"/>
        </w:rPr>
      </w:pPr>
    </w:p>
    <w:p w:rsidRPr="009F3F65" w:rsidR="003130C2" w:rsidP="003130C2" w:rsidRDefault="003130C2" w14:paraId="2768BD8C" w14:textId="77777777">
      <w:pPr>
        <w:pStyle w:val="Footer"/>
      </w:pPr>
      <w:r>
        <w:t>The Committee underlined the importance of a sound intellectual property (IP) regime applicable to startups' inventions in order to promote continuous research development.</w:t>
      </w:r>
    </w:p>
    <w:p w:rsidRPr="009F3F65" w:rsidR="003130C2" w:rsidP="003130C2" w:rsidRDefault="003130C2" w14:paraId="783C6E1C" w14:textId="77777777">
      <w:pPr>
        <w:pStyle w:val="Footer"/>
        <w:rPr>
          <w:lang w:val="en-GB"/>
        </w:rPr>
      </w:pPr>
    </w:p>
    <w:p w:rsidRPr="009F3F65" w:rsidR="003130C2" w:rsidP="003130C2" w:rsidRDefault="003130C2" w14:paraId="41592899" w14:textId="77777777">
      <w:pPr>
        <w:pStyle w:val="Footer"/>
      </w:pPr>
      <w:r>
        <w:t xml:space="preserve">The EESC </w:t>
      </w:r>
      <w:r>
        <w:rPr>
          <w:b/>
        </w:rPr>
        <w:t>urged the Commission to encourage the interregional dimension of investments</w:t>
      </w:r>
      <w:r>
        <w:t>, with the joint participation of less and more innovative regions, pointing out that public support should also benefit higher education and innovation labs.</w:t>
      </w:r>
    </w:p>
    <w:p w:rsidRPr="009F3F65" w:rsidR="003130C2" w:rsidP="003130C2" w:rsidRDefault="003130C2" w14:paraId="14775C50" w14:textId="77777777">
      <w:pPr>
        <w:pStyle w:val="Footer"/>
        <w:rPr>
          <w:lang w:val="en-GB"/>
        </w:rPr>
      </w:pPr>
    </w:p>
    <w:p w:rsidRPr="009F3F65" w:rsidR="003130C2" w:rsidP="003130C2" w:rsidRDefault="003130C2" w14:paraId="421D1DAA" w14:textId="77777777">
      <w:pPr>
        <w:pStyle w:val="Footer"/>
      </w:pPr>
      <w:r>
        <w:t>The Committee also welcomed the Commission's support for Member States in taking forward cross-border projects of common European interest.</w:t>
      </w:r>
    </w:p>
    <w:p w:rsidRPr="009F3F65" w:rsidR="003130C2" w:rsidP="003130C2" w:rsidRDefault="003130C2" w14:paraId="7207C9DD" w14:textId="77777777">
      <w:pPr>
        <w:pStyle w:val="Footer"/>
        <w:rPr>
          <w:lang w:val="en-GB"/>
        </w:rPr>
      </w:pPr>
    </w:p>
    <w:p w:rsidRPr="009F3F65" w:rsidR="003130C2" w:rsidP="003130C2" w:rsidRDefault="003130C2" w14:paraId="2FD80B96" w14:textId="77777777">
      <w:pPr>
        <w:pStyle w:val="Footer"/>
      </w:pPr>
      <w:r>
        <w:t xml:space="preserve">Finally, the EESC welcomed the idea of </w:t>
      </w:r>
      <w:r>
        <w:rPr>
          <w:b/>
        </w:rPr>
        <w:t>studying more favourable tax treatment of stock options</w:t>
      </w:r>
      <w:r>
        <w:t xml:space="preserve"> </w:t>
      </w:r>
      <w:r>
        <w:rPr>
          <w:b/>
        </w:rPr>
        <w:t>and a fiscal regime for talented individuals moving across borders</w:t>
      </w:r>
      <w:r>
        <w:t>. It invited the Commission to coordinate the national initiatives aimed at nurturing talents.</w:t>
      </w:r>
    </w:p>
    <w:p w:rsidRPr="009F3F65" w:rsidR="003130C2" w:rsidP="003130C2" w:rsidRDefault="003130C2" w14:paraId="0E414D57" w14:textId="77777777">
      <w:pPr>
        <w:spacing w:after="120" w:line="300" w:lineRule="exact"/>
        <w:rPr>
          <w:rFonts w:eastAsia="Calibri"/>
          <w:lang w:val="en-GB" w:eastAsia="hu-HU"/>
        </w:rPr>
      </w:pPr>
    </w:p>
    <w:p w:rsidRPr="009F3F65" w:rsidR="003130C2" w:rsidP="003130C2" w:rsidRDefault="003130C2" w14:paraId="7A40BFE5" w14:textId="77777777">
      <w:pPr>
        <w:pStyle w:val="Heading2"/>
        <w:spacing w:line="300" w:lineRule="exact"/>
        <w:rPr>
          <w:rFonts w:eastAsia="Calibri"/>
          <w:b/>
          <w:bCs/>
          <w:u w:val="single"/>
        </w:rPr>
      </w:pPr>
      <w:bookmarkStart w:name="_Toc174452858" w:id="30"/>
      <w:r>
        <w:rPr>
          <w:b/>
          <w:u w:val="single"/>
        </w:rPr>
        <w:t>INT/999 Cyber Resilience Act (2022)</w:t>
      </w:r>
      <w:bookmarkEnd w:id="30"/>
    </w:p>
    <w:p w:rsidRPr="009F3F65" w:rsidR="003130C2" w:rsidP="003130C2" w:rsidRDefault="003130C2" w14:paraId="210EA45C" w14:textId="77777777">
      <w:pPr>
        <w:spacing w:line="300" w:lineRule="exact"/>
        <w:rPr>
          <w:rFonts w:eastAsia="Calibri"/>
          <w:lang w:val="en-GB" w:eastAsia="hu-HU"/>
        </w:rPr>
      </w:pPr>
    </w:p>
    <w:p w:rsidRPr="009F3F65" w:rsidR="003130C2" w:rsidP="003130C2" w:rsidRDefault="003130C2" w14:paraId="49C4341D" w14:textId="77777777">
      <w:pPr>
        <w:pStyle w:val="Footer"/>
      </w:pPr>
      <w:r>
        <w:rPr>
          <w:b/>
        </w:rPr>
        <w:lastRenderedPageBreak/>
        <w:t xml:space="preserve">In </w:t>
      </w:r>
      <w:hyperlink w:history="1" r:id="rId81">
        <w:r>
          <w:rPr>
            <w:rStyle w:val="Hyperlink"/>
          </w:rPr>
          <w:t>INT/999</w:t>
        </w:r>
      </w:hyperlink>
      <w:r>
        <w:rPr>
          <w:b/>
        </w:rPr>
        <w:t xml:space="preserve">, on </w:t>
      </w:r>
      <w:r>
        <w:rPr>
          <w:b/>
          <w:i/>
        </w:rPr>
        <w:t>Cyber Resilience Act</w:t>
      </w:r>
      <w:r>
        <w:rPr>
          <w:b/>
        </w:rPr>
        <w:t xml:space="preserve"> (2022)</w:t>
      </w:r>
      <w:r>
        <w:t xml:space="preserve"> (rapporteur: Mensi, co-rapporteur: Mureşan), the EESC considered it essential to strengthen the collective response to cyber attacks and </w:t>
      </w:r>
      <w:r>
        <w:rPr>
          <w:b/>
        </w:rPr>
        <w:t>to consolidate the process of harmonising national-level cybersecurity in terms of operational rules and tools</w:t>
      </w:r>
      <w:r>
        <w:t>, to prevent different national approaches creating legal uncertainties and obstacles.</w:t>
      </w:r>
    </w:p>
    <w:p w:rsidRPr="009F3F65" w:rsidR="003130C2" w:rsidP="003130C2" w:rsidRDefault="003130C2" w14:paraId="07101C72" w14:textId="77777777">
      <w:pPr>
        <w:pStyle w:val="Footer"/>
        <w:rPr>
          <w:lang w:val="en-GB"/>
        </w:rPr>
      </w:pPr>
    </w:p>
    <w:p w:rsidRPr="009F3F65" w:rsidR="003130C2" w:rsidP="003130C2" w:rsidRDefault="003130C2" w14:paraId="10200813" w14:textId="77777777">
      <w:pPr>
        <w:pStyle w:val="Footer"/>
        <w:rPr>
          <w:b/>
          <w:bCs/>
        </w:rPr>
      </w:pPr>
      <w:r>
        <w:t xml:space="preserve">The Committee considered it important to point out that, while it is commendable that the CRA covers virtually all digital products, the practical application of the CRA might be problematic given the considerable and complex monitoring and oversight it entails. Hence </w:t>
      </w:r>
      <w:r>
        <w:rPr>
          <w:b/>
        </w:rPr>
        <w:t>the need to strengthen the monitoring and oversight tools.</w:t>
      </w:r>
    </w:p>
    <w:p w:rsidRPr="009F3F65" w:rsidR="003130C2" w:rsidP="003130C2" w:rsidRDefault="003130C2" w14:paraId="37E27F65" w14:textId="77777777">
      <w:pPr>
        <w:pStyle w:val="Footer"/>
        <w:rPr>
          <w:b/>
          <w:bCs/>
          <w:lang w:val="en-GB"/>
        </w:rPr>
      </w:pPr>
    </w:p>
    <w:p w:rsidRPr="009F3F65" w:rsidR="003130C2" w:rsidP="003130C2" w:rsidRDefault="003130C2" w14:paraId="073E0BE7" w14:textId="77777777">
      <w:pPr>
        <w:pStyle w:val="Footer"/>
      </w:pPr>
      <w:r>
        <w:t xml:space="preserve">The EESC pointed to </w:t>
      </w:r>
      <w:r>
        <w:rPr>
          <w:b/>
        </w:rPr>
        <w:t>the need to clarify precisely the material scope of the CRA</w:t>
      </w:r>
      <w:r>
        <w:t>, with particular reference to products with digital elements and software.</w:t>
      </w:r>
    </w:p>
    <w:p w:rsidRPr="009F3F65" w:rsidR="003130C2" w:rsidP="003130C2" w:rsidRDefault="003130C2" w14:paraId="725B57F5" w14:textId="77777777">
      <w:pPr>
        <w:pStyle w:val="Footer"/>
        <w:rPr>
          <w:lang w:val="en-GB"/>
        </w:rPr>
      </w:pPr>
    </w:p>
    <w:p w:rsidRPr="009F3F65" w:rsidR="003130C2" w:rsidP="003130C2" w:rsidRDefault="003130C2" w14:paraId="354A574D" w14:textId="77777777">
      <w:pPr>
        <w:pStyle w:val="Footer"/>
      </w:pPr>
      <w:r>
        <w:t>The EESC noted that manufacturers will be obliged to report both vulnerabilities in their products and any security incidents, informing the EU Agency for Cybersecurity (ENISA). In this regard, it will be important that ENISA be provided with the necessary resources to carry out effectively and in a timely manner the important and sensitive tasks entrusted to it.</w:t>
      </w:r>
    </w:p>
    <w:p w:rsidRPr="009F3F65" w:rsidR="003130C2" w:rsidP="003130C2" w:rsidRDefault="003130C2" w14:paraId="00040436" w14:textId="77777777">
      <w:pPr>
        <w:pStyle w:val="Footer"/>
        <w:rPr>
          <w:lang w:val="en-GB"/>
        </w:rPr>
      </w:pPr>
    </w:p>
    <w:p w:rsidRPr="009F3F65" w:rsidR="003130C2" w:rsidP="003130C2" w:rsidRDefault="003130C2" w14:paraId="352239ED" w14:textId="77777777">
      <w:pPr>
        <w:pStyle w:val="Footer"/>
      </w:pPr>
      <w:r>
        <w:t xml:space="preserve">To avoid any uncertainty when it comes to interpretation, the EESC suggested that the Commission draw up </w:t>
      </w:r>
      <w:r>
        <w:rPr>
          <w:b/>
        </w:rPr>
        <w:t>guidelines to guide manufacturers and consumers on the exact rules and procedures</w:t>
      </w:r>
      <w:r>
        <w:t xml:space="preserve"> that apply in practice, since it appears that a number of products within the scope of the proposal are also subject to other legislation on cybersecurity. </w:t>
      </w:r>
    </w:p>
    <w:p w:rsidRPr="009F3F65" w:rsidR="003130C2" w:rsidP="003130C2" w:rsidRDefault="003130C2" w14:paraId="7D14F650" w14:textId="77777777">
      <w:pPr>
        <w:pStyle w:val="Footer"/>
        <w:rPr>
          <w:lang w:val="en-GB"/>
        </w:rPr>
      </w:pPr>
    </w:p>
    <w:p w:rsidRPr="009F3F65" w:rsidR="003130C2" w:rsidP="003130C2" w:rsidRDefault="003130C2" w14:paraId="283A5216" w14:textId="77777777">
      <w:pPr>
        <w:pStyle w:val="Footer"/>
      </w:pPr>
      <w:r>
        <w:t xml:space="preserve">Finally, the EESC noted that the </w:t>
      </w:r>
      <w:r>
        <w:rPr>
          <w:b/>
        </w:rPr>
        <w:t>relationship between the certification authorities under the CRA and other bodies authorised to certify cybersecurity under other legislation is not entirely clear</w:t>
      </w:r>
      <w:r>
        <w:t>. The same problem may also arise when it comes to operational coordination between the surveillance authorities provided for in this proposal and those already operating in accordance with other legislation applicable to the same products.</w:t>
      </w:r>
    </w:p>
    <w:p w:rsidRPr="009F3F65" w:rsidR="003130C2" w:rsidP="003130C2" w:rsidRDefault="003130C2" w14:paraId="606BF154" w14:textId="77777777">
      <w:pPr>
        <w:spacing w:line="300" w:lineRule="exact"/>
        <w:rPr>
          <w:rFonts w:eastAsia="Calibri"/>
          <w:lang w:val="en-GB"/>
        </w:rPr>
      </w:pPr>
    </w:p>
    <w:p w:rsidRPr="009F3F65" w:rsidR="003130C2" w:rsidP="003130C2" w:rsidRDefault="003130C2" w14:paraId="28160D77" w14:textId="77777777">
      <w:pPr>
        <w:pStyle w:val="Heading2"/>
        <w:rPr>
          <w:b/>
          <w:bCs/>
          <w:u w:val="single"/>
        </w:rPr>
      </w:pPr>
      <w:bookmarkStart w:name="_Toc174452859" w:id="31"/>
      <w:r>
        <w:rPr>
          <w:b/>
          <w:u w:val="single"/>
        </w:rPr>
        <w:t>INT/1003 Interoperability Europe Act (2022)</w:t>
      </w:r>
      <w:bookmarkEnd w:id="31"/>
    </w:p>
    <w:p w:rsidRPr="009F3F65" w:rsidR="003130C2" w:rsidP="003130C2" w:rsidRDefault="003130C2" w14:paraId="710F61EC" w14:textId="77777777">
      <w:pPr>
        <w:spacing w:line="300" w:lineRule="exact"/>
        <w:rPr>
          <w:rFonts w:eastAsia="Calibri"/>
          <w:lang w:val="en-GB"/>
        </w:rPr>
      </w:pPr>
    </w:p>
    <w:p w:rsidRPr="009F3F65" w:rsidR="003130C2" w:rsidP="003130C2" w:rsidRDefault="003130C2" w14:paraId="762C96D0" w14:textId="77777777">
      <w:pPr>
        <w:pStyle w:val="Footer"/>
      </w:pPr>
      <w:r>
        <w:rPr>
          <w:b/>
        </w:rPr>
        <w:t xml:space="preserve">In </w:t>
      </w:r>
      <w:hyperlink w:history="1" r:id="rId82">
        <w:r>
          <w:rPr>
            <w:rStyle w:val="Hyperlink"/>
          </w:rPr>
          <w:t>INT/1003</w:t>
        </w:r>
      </w:hyperlink>
      <w:r>
        <w:rPr>
          <w:b/>
        </w:rPr>
        <w:t xml:space="preserve">, on </w:t>
      </w:r>
      <w:r>
        <w:rPr>
          <w:b/>
          <w:i/>
        </w:rPr>
        <w:t>Interoperability Europe Act</w:t>
      </w:r>
      <w:r>
        <w:t xml:space="preserve"> </w:t>
      </w:r>
      <w:r>
        <w:rPr>
          <w:b/>
        </w:rPr>
        <w:t xml:space="preserve">(2022) </w:t>
      </w:r>
      <w:r>
        <w:t xml:space="preserve">(rapporteur: de Mello), the EESC expressed the belief that interoperability between public services is an essential requirement for a digital single market to be established. However, achieving this objective must not involve Member States adopting a policy of complete digitalisation of public services to the detriment of those provided in person; it should </w:t>
      </w:r>
      <w:r>
        <w:rPr>
          <w:b/>
        </w:rPr>
        <w:t>take into consideration the most vulnerable population groups</w:t>
      </w:r>
      <w:r>
        <w:t xml:space="preserve">. </w:t>
      </w:r>
      <w:r>
        <w:rPr>
          <w:b/>
        </w:rPr>
        <w:t>Training on digital skills should be available to everyone</w:t>
      </w:r>
      <w:r>
        <w:t>, but in particular to these population groups.</w:t>
      </w:r>
    </w:p>
    <w:p w:rsidRPr="009F3F65" w:rsidR="003130C2" w:rsidP="003130C2" w:rsidRDefault="003130C2" w14:paraId="27A2A1F9" w14:textId="77777777">
      <w:pPr>
        <w:pStyle w:val="Footer"/>
        <w:rPr>
          <w:lang w:val="en-GB"/>
        </w:rPr>
      </w:pPr>
    </w:p>
    <w:p w:rsidRPr="009F3F65" w:rsidR="003130C2" w:rsidP="003130C2" w:rsidRDefault="003130C2" w14:paraId="252CA367" w14:textId="77777777">
      <w:pPr>
        <w:pStyle w:val="Footer"/>
      </w:pPr>
      <w:r>
        <w:t>The Committee supported the creation of a governance model for this policy, consisting of two key bodies - the Interoperable Europe Board and the Interoperable Europe Community.</w:t>
      </w:r>
    </w:p>
    <w:p w:rsidRPr="009F3F65" w:rsidR="003130C2" w:rsidP="003130C2" w:rsidRDefault="003130C2" w14:paraId="3C856702" w14:textId="77777777">
      <w:pPr>
        <w:pStyle w:val="Footer"/>
        <w:rPr>
          <w:lang w:val="en-GB"/>
        </w:rPr>
      </w:pPr>
    </w:p>
    <w:p w:rsidRPr="009F3F65" w:rsidR="003130C2" w:rsidP="003130C2" w:rsidRDefault="003130C2" w14:paraId="64CD813B" w14:textId="77777777">
      <w:pPr>
        <w:pStyle w:val="Footer"/>
      </w:pPr>
      <w:r>
        <w:t xml:space="preserve">The EESC considered it important for future funding programmes for public service interoperability projects to </w:t>
      </w:r>
      <w:r>
        <w:rPr>
          <w:b/>
        </w:rPr>
        <w:t>make granting of funding conditional on adopting the principles and structures advocated by the European Interoperability Framework</w:t>
      </w:r>
      <w:r>
        <w:t>.</w:t>
      </w:r>
    </w:p>
    <w:p w:rsidRPr="009F3F65" w:rsidR="003130C2" w:rsidP="003130C2" w:rsidRDefault="003130C2" w14:paraId="3AE3958B" w14:textId="77777777">
      <w:pPr>
        <w:pStyle w:val="Footer"/>
        <w:rPr>
          <w:lang w:val="en-GB"/>
        </w:rPr>
      </w:pPr>
    </w:p>
    <w:p w:rsidRPr="009F3F65" w:rsidR="003130C2" w:rsidP="003130C2" w:rsidRDefault="003130C2" w14:paraId="47ECB88F" w14:textId="77777777">
      <w:pPr>
        <w:pStyle w:val="Footer"/>
      </w:pPr>
      <w:r>
        <w:lastRenderedPageBreak/>
        <w:t>While welcoming the fact that this process fits into the so-called dual transition, the EESC warned that some technological solutions for digitalisation could be highly energy-intensive.</w:t>
      </w:r>
    </w:p>
    <w:p w:rsidRPr="009F3F65" w:rsidR="003130C2" w:rsidP="003130C2" w:rsidRDefault="003130C2" w14:paraId="5F710F3A" w14:textId="77777777">
      <w:pPr>
        <w:pStyle w:val="Footer"/>
        <w:rPr>
          <w:lang w:val="en-GB"/>
        </w:rPr>
      </w:pPr>
    </w:p>
    <w:p w:rsidRPr="009F3F65" w:rsidR="003130C2" w:rsidP="003130C2" w:rsidRDefault="003130C2" w14:paraId="0F6216A4" w14:textId="77777777">
      <w:pPr>
        <w:pStyle w:val="Footer"/>
      </w:pPr>
      <w:r>
        <w:t>The EESC believed that, with the necessary care taken, data protection cannot be allowed to be an obstacle to either public services or private individuals creating new interoperable solutions.</w:t>
      </w:r>
    </w:p>
    <w:p w:rsidRPr="009F3F65" w:rsidR="003130C2" w:rsidP="003130C2" w:rsidRDefault="003130C2" w14:paraId="410B3AA4" w14:textId="77777777">
      <w:pPr>
        <w:pStyle w:val="Footer"/>
      </w:pPr>
      <w:r>
        <w:t xml:space="preserve">Moreover, the EESC believed that </w:t>
      </w:r>
      <w:r>
        <w:rPr>
          <w:b/>
        </w:rPr>
        <w:t>access to data, whether for people, businesses or other public services, should be subject to different levels of authorisation in order to safeguard data confidentiality</w:t>
      </w:r>
      <w:r>
        <w:t xml:space="preserve"> and to ensure that only data that is strictly necessary is disclosed.</w:t>
      </w:r>
    </w:p>
    <w:p w:rsidRPr="00B47B36" w:rsidR="003130C2" w:rsidP="003130C2" w:rsidRDefault="003130C2" w14:paraId="66D56DBB" w14:textId="77777777">
      <w:pPr>
        <w:pStyle w:val="NoSpacing"/>
        <w:spacing w:line="300" w:lineRule="exact"/>
        <w:jc w:val="both"/>
        <w:rPr>
          <w:lang w:val="en-GB"/>
        </w:rPr>
      </w:pPr>
    </w:p>
    <w:p w:rsidRPr="009F3F65" w:rsidR="003130C2" w:rsidP="003130C2" w:rsidRDefault="003130C2" w14:paraId="24DF9C11" w14:textId="77777777">
      <w:pPr>
        <w:pStyle w:val="Heading2"/>
        <w:rPr>
          <w:b/>
          <w:bCs/>
          <w:u w:val="single"/>
        </w:rPr>
      </w:pPr>
      <w:bookmarkStart w:name="_Toc174452860" w:id="32"/>
      <w:r>
        <w:rPr>
          <w:b/>
          <w:u w:val="single"/>
        </w:rPr>
        <w:t>TEN/677 Digital Europe programme (2018)</w:t>
      </w:r>
      <w:bookmarkEnd w:id="32"/>
    </w:p>
    <w:p w:rsidRPr="00B47B36" w:rsidR="003130C2" w:rsidP="003130C2" w:rsidRDefault="003130C2" w14:paraId="3172F8B1" w14:textId="77777777">
      <w:pPr>
        <w:pStyle w:val="NoSpacing"/>
        <w:jc w:val="both"/>
        <w:rPr>
          <w:rFonts w:cs="Times New Roman"/>
          <w:lang w:val="en-GB"/>
        </w:rPr>
      </w:pPr>
    </w:p>
    <w:p w:rsidRPr="009F3F65" w:rsidR="003130C2" w:rsidP="003130C2" w:rsidRDefault="003130C2" w14:paraId="22BB60D7" w14:textId="77777777">
      <w:pPr>
        <w:pStyle w:val="Footer"/>
      </w:pPr>
      <w:r>
        <w:rPr>
          <w:b/>
        </w:rPr>
        <w:t xml:space="preserve">In </w:t>
      </w:r>
      <w:hyperlink w:history="1" r:id="rId83">
        <w:r>
          <w:rPr>
            <w:rStyle w:val="Hyperlink"/>
          </w:rPr>
          <w:t>TEN/677</w:t>
        </w:r>
      </w:hyperlink>
      <w:r>
        <w:rPr>
          <w:b/>
        </w:rPr>
        <w:t xml:space="preserve">, on </w:t>
      </w:r>
      <w:r>
        <w:rPr>
          <w:b/>
          <w:i/>
        </w:rPr>
        <w:t>Digital Europe programme</w:t>
      </w:r>
      <w:r>
        <w:rPr>
          <w:b/>
        </w:rPr>
        <w:t xml:space="preserve"> (2018)</w:t>
      </w:r>
      <w:r>
        <w:t xml:space="preserve"> (rapporteur: Kluge, co-rapporteur: Samm), the EESC welcomed the Digital Europe programme by the European Commission, aiming to position Europe as a digital leader and enhance its competitiveness globally. </w:t>
      </w:r>
    </w:p>
    <w:p w:rsidRPr="009F3F65" w:rsidR="003130C2" w:rsidP="003130C2" w:rsidRDefault="003130C2" w14:paraId="097ED6F9" w14:textId="77777777">
      <w:pPr>
        <w:pStyle w:val="Footer"/>
        <w:rPr>
          <w:lang w:val="en-GB"/>
        </w:rPr>
      </w:pPr>
    </w:p>
    <w:p w:rsidRPr="009F3F65" w:rsidR="003130C2" w:rsidP="003130C2" w:rsidRDefault="003130C2" w14:paraId="6209D124" w14:textId="77777777">
      <w:pPr>
        <w:pStyle w:val="Footer"/>
      </w:pPr>
      <w:r>
        <w:t xml:space="preserve">In order to ensure that the results of research and development are disseminated and benefit all European Union (EU) citizens, the EESC suggested to </w:t>
      </w:r>
      <w:r>
        <w:rPr>
          <w:b/>
        </w:rPr>
        <w:t xml:space="preserve">step up dialogue between researchers, the social partners and civil society organisations. </w:t>
      </w:r>
      <w:r>
        <w:t>Complex issues must be presented in such a way that they can be understood and followed by non-experts. The EESC also suggested that the programme be linked with the principles of research funding under Horizon 2020 (Horizon Europe), which are based inter alia on the European Charter for Researchers and the principles of "responsible research and innovation" and "open science".</w:t>
      </w:r>
    </w:p>
    <w:p w:rsidRPr="009F3F65" w:rsidR="003130C2" w:rsidP="003130C2" w:rsidRDefault="003130C2" w14:paraId="2DA9453F" w14:textId="77777777">
      <w:pPr>
        <w:pStyle w:val="Footer"/>
        <w:rPr>
          <w:lang w:val="en-GB"/>
        </w:rPr>
      </w:pPr>
    </w:p>
    <w:p w:rsidRPr="009F3F65" w:rsidR="003130C2" w:rsidP="003130C2" w:rsidRDefault="003130C2" w14:paraId="51D23C54" w14:textId="77777777">
      <w:pPr>
        <w:pStyle w:val="Footer"/>
      </w:pPr>
      <w:r>
        <w:t xml:space="preserve">The EESC considered positive </w:t>
      </w:r>
      <w:r>
        <w:rPr>
          <w:b/>
        </w:rPr>
        <w:t>the fact that</w:t>
      </w:r>
      <w:r>
        <w:t xml:space="preserve"> </w:t>
      </w:r>
      <w:r>
        <w:rPr>
          <w:b/>
        </w:rPr>
        <w:t xml:space="preserve">support for digital skills has been made a key element in the programme. </w:t>
      </w:r>
      <w:r>
        <w:t>Digital knowledge and skills are the prerequisite for being able to achieve the other four priorities. However, the Committee regretted that the budget for this priority is lower than that for the others. The EESC therefore supported the European Parliament's proposal to increase the budget from EUR 700 million (7.6% of the total budget) to EUR 830 million (9% of the total budget).</w:t>
      </w:r>
    </w:p>
    <w:p w:rsidRPr="009F3F65" w:rsidR="003130C2" w:rsidP="003130C2" w:rsidRDefault="003130C2" w14:paraId="0961566F" w14:textId="77777777">
      <w:pPr>
        <w:pStyle w:val="Footer"/>
        <w:rPr>
          <w:lang w:val="en-GB"/>
        </w:rPr>
      </w:pPr>
    </w:p>
    <w:p w:rsidRPr="009F3F65" w:rsidR="003130C2" w:rsidP="003130C2" w:rsidRDefault="003130C2" w14:paraId="763D93B9" w14:textId="77777777">
      <w:pPr>
        <w:pStyle w:val="Footer"/>
      </w:pPr>
      <w:r>
        <w:t xml:space="preserve">The Committee also stressed, however, that it is primarily the Member States, and their national budgets, that are responsible for education issues. </w:t>
      </w:r>
      <w:r>
        <w:rPr>
          <w:b/>
        </w:rPr>
        <w:t>The EESC noted that the budgets for digital training differ greatly between the EU Member States.</w:t>
      </w:r>
      <w:r>
        <w:t xml:space="preserve"> It therefore called upon the Commission to remind the Member States of their own large responsibility in this field to ensure that all people can benefit equally from digitalisation.</w:t>
      </w:r>
    </w:p>
    <w:p w:rsidRPr="009F3F65" w:rsidR="003130C2" w:rsidP="003130C2" w:rsidRDefault="003130C2" w14:paraId="33591146" w14:textId="77777777">
      <w:pPr>
        <w:pStyle w:val="Footer"/>
        <w:rPr>
          <w:lang w:val="en-GB"/>
        </w:rPr>
      </w:pPr>
    </w:p>
    <w:p w:rsidRPr="009F3F65" w:rsidR="003130C2" w:rsidP="003130C2" w:rsidRDefault="003130C2" w14:paraId="7AF88803" w14:textId="77777777">
      <w:pPr>
        <w:pStyle w:val="Footer"/>
      </w:pPr>
      <w:r>
        <w:t xml:space="preserve">The EESC saw the need to </w:t>
      </w:r>
      <w:r>
        <w:rPr>
          <w:b/>
        </w:rPr>
        <w:t>train and recruit highly qualified young people in order to improve the attractiveness of Europe as a place of employment</w:t>
      </w:r>
      <w:r>
        <w:t xml:space="preserve"> for this group in the global marketplace. At the same time, the EESC also emphasised that the programme must not focus solely on specific efforts to gain high-level and advanced digital skills and capacities</w:t>
      </w:r>
      <w:r>
        <w:rPr>
          <w:b/>
        </w:rPr>
        <w:t>. There should be comprehensive support for businesses, workers and consumers for the introduction and use of both basic and advanced digital technologies</w:t>
      </w:r>
      <w:r>
        <w:t>, as this is of decisive importance for the quantity and quality of jobs in Europe, and for its competitiveness</w:t>
      </w:r>
    </w:p>
    <w:p w:rsidRPr="009F3F65" w:rsidR="003130C2" w:rsidP="003130C2" w:rsidRDefault="003130C2" w14:paraId="2B86D646" w14:textId="77777777">
      <w:pPr>
        <w:pStyle w:val="Footer"/>
        <w:rPr>
          <w:lang w:val="en-GB"/>
        </w:rPr>
      </w:pPr>
    </w:p>
    <w:p w:rsidRPr="009F3F65" w:rsidR="003130C2" w:rsidP="003130C2" w:rsidRDefault="003130C2" w14:paraId="6ED70695" w14:textId="77777777">
      <w:pPr>
        <w:pStyle w:val="Footer"/>
      </w:pPr>
      <w:r>
        <w:t xml:space="preserve">The EESC </w:t>
      </w:r>
      <w:r>
        <w:rPr>
          <w:b/>
        </w:rPr>
        <w:t>expressed the hope that the social partners and civil society will be involved as a matter of course in the implementation of the digital innovation hubs.</w:t>
      </w:r>
      <w:r>
        <w:t xml:space="preserve"> They should be given access to the </w:t>
      </w:r>
      <w:r>
        <w:lastRenderedPageBreak/>
        <w:t>digital innovation hubs. As non-governmental organisations, they can make the impact of the innovation hubs more visible and enhance their acceptance.</w:t>
      </w:r>
    </w:p>
    <w:p w:rsidRPr="009F3F65" w:rsidR="003130C2" w:rsidP="003130C2" w:rsidRDefault="003130C2" w14:paraId="4A246316" w14:textId="77777777">
      <w:pPr>
        <w:pStyle w:val="Footer"/>
        <w:rPr>
          <w:lang w:val="en-GB"/>
        </w:rPr>
      </w:pPr>
    </w:p>
    <w:p w:rsidRPr="009F3F65" w:rsidR="003130C2" w:rsidP="003130C2" w:rsidRDefault="003130C2" w14:paraId="70FA1EA0" w14:textId="77777777">
      <w:pPr>
        <w:pStyle w:val="Footer"/>
      </w:pPr>
      <w:r>
        <w:t xml:space="preserve">Finally, the Committee emphasized the need for </w:t>
      </w:r>
      <w:r>
        <w:rPr>
          <w:b/>
        </w:rPr>
        <w:t>joint efforts in cybersecurity</w:t>
      </w:r>
      <w:r>
        <w:t xml:space="preserve"> and advocated for the establishment of an </w:t>
      </w:r>
      <w:r>
        <w:rPr>
          <w:b/>
        </w:rPr>
        <w:t>independent European microchip industry</w:t>
      </w:r>
      <w:r>
        <w:t xml:space="preserve">. Ethical principles, particularly the </w:t>
      </w:r>
      <w:r>
        <w:rPr>
          <w:b/>
        </w:rPr>
        <w:t>"human in command" principle</w:t>
      </w:r>
      <w:r>
        <w:t xml:space="preserve">, must guide AI development, alongside statutory measures for liability, data protection, and worker and consumer rights. </w:t>
      </w:r>
    </w:p>
    <w:p w:rsidRPr="009F3F65" w:rsidR="003130C2" w:rsidP="003130C2" w:rsidRDefault="003130C2" w14:paraId="4675E5F2" w14:textId="77777777">
      <w:pPr>
        <w:pStyle w:val="Footer"/>
        <w:rPr>
          <w:lang w:val="en-GB"/>
        </w:rPr>
      </w:pPr>
    </w:p>
    <w:p w:rsidRPr="009F3F65" w:rsidR="003130C2" w:rsidP="003130C2" w:rsidRDefault="003130C2" w14:paraId="34035EA4" w14:textId="77777777">
      <w:pPr>
        <w:pStyle w:val="Heading2"/>
        <w:keepNext/>
        <w:rPr>
          <w:b/>
          <w:bCs/>
          <w:u w:val="single"/>
        </w:rPr>
      </w:pPr>
      <w:bookmarkStart w:name="_Toc174452861" w:id="33"/>
      <w:r>
        <w:rPr>
          <w:b/>
          <w:u w:val="single"/>
        </w:rPr>
        <w:t>Fit4Future 2023 DEP opinion</w:t>
      </w:r>
      <w:bookmarkEnd w:id="33"/>
    </w:p>
    <w:p w:rsidRPr="009F3F65" w:rsidR="003130C2" w:rsidP="003130C2" w:rsidRDefault="003130C2" w14:paraId="0052785F" w14:textId="77777777">
      <w:pPr>
        <w:keepNext/>
        <w:rPr>
          <w:lang w:val="en-GB"/>
        </w:rPr>
      </w:pPr>
    </w:p>
    <w:p w:rsidRPr="009F3F65" w:rsidR="003130C2" w:rsidP="003130C2" w:rsidRDefault="003130C2" w14:paraId="76E0903A" w14:textId="77777777">
      <w:r>
        <w:t>The Fit for Future Platform is a high-level expert group set up by the EC to help in its efforts to simplify EU laws and to reduce related unnecessary costs. It comprises two groups: the Government group and the Stakeholder group. The Government group is composed of representatives from national, regional and local authorities from all EU countries, as well as from the Committee of the Regions. The Stakeholder group is composed of experts on better regulation representing business and non-governmental organisations, plus the European Economic and Social Committee.</w:t>
      </w:r>
      <w:r w:rsidRPr="009F3F65">
        <w:rPr>
          <w:rStyle w:val="FootnoteReference"/>
          <w:lang w:val="en-GB"/>
        </w:rPr>
        <w:footnoteReference w:id="72"/>
      </w:r>
    </w:p>
    <w:p w:rsidRPr="009F3F65" w:rsidR="003130C2" w:rsidP="003130C2" w:rsidRDefault="003130C2" w14:paraId="2009F85C" w14:textId="77777777">
      <w:pPr>
        <w:rPr>
          <w:lang w:val="en-GB"/>
        </w:rPr>
      </w:pPr>
    </w:p>
    <w:p w:rsidRPr="009F3F65" w:rsidR="003130C2" w:rsidP="003130C2" w:rsidRDefault="003130C2" w14:paraId="3989A9E1" w14:textId="77777777">
      <w:r>
        <w:t>In 2023 it approved an opinion on the DEP</w:t>
      </w:r>
      <w:r w:rsidRPr="009F3F65">
        <w:rPr>
          <w:rStyle w:val="FootnoteReference"/>
          <w:lang w:val="en-GB"/>
        </w:rPr>
        <w:footnoteReference w:id="73"/>
      </w:r>
      <w:r>
        <w:t>, having as rapporteur Mr Michiel Rijsberman, CoR member, containing a total of nine suggestions to improve its implementation. The opinion suggests measures to speed up the implementation of the DEP, such as reviewing security guarantees, introducing multiannual projects, and providing coordinated guidelines on the application of State aid rules.</w:t>
      </w:r>
    </w:p>
    <w:p w:rsidRPr="009F3F65" w:rsidR="003130C2" w:rsidP="003130C2" w:rsidRDefault="003130C2" w14:paraId="7146E903" w14:textId="77777777">
      <w:pPr>
        <w:rPr>
          <w:lang w:val="en-GB"/>
        </w:rPr>
      </w:pPr>
    </w:p>
    <w:p w:rsidRPr="009F3F65" w:rsidR="003130C2" w:rsidP="003130C2" w:rsidRDefault="003130C2" w14:paraId="486614D8" w14:textId="77777777">
      <w:r>
        <w:t>The document also proposes the use of voluntary benchmarking tools, such as the Local and Regional Digital Maturity Assessment tool (LORDIMAS), in applications for DEP funding. These tools can help potential applicants assess their digital maturity, which can improve the quality of their applications and prove the usefulness of their projects. The document suggests that the European Commission incentivize project applicants to make the best use of these tools.</w:t>
      </w:r>
    </w:p>
    <w:p w:rsidRPr="009F3F65" w:rsidR="003130C2" w:rsidP="003130C2" w:rsidRDefault="003130C2" w14:paraId="0F3A8CF2" w14:textId="77777777">
      <w:pPr>
        <w:rPr>
          <w:lang w:val="en-GB"/>
        </w:rPr>
      </w:pPr>
    </w:p>
    <w:p w:rsidRPr="009F3F65" w:rsidR="003130C2" w:rsidP="003130C2" w:rsidRDefault="003130C2" w14:paraId="543DD7A9" w14:textId="77777777">
      <w:r>
        <w:t>Furthermore, the document emphasizes the need for a strong focus on digital resilience and digital sovereignty in the forthcoming DEP work programmes and relevant calls. It suggests that the EU should address forthcoming challenges of digital resilience and digital sovereignty through the launch of specific calls under suitable funding programmes such as the DEP and Horizon Europe. The document also recommends improving synergies between the DEP and other supporting programmes and funds by making the DEP more flexible, aligning applicable rules, and coordinating their management.</w:t>
      </w:r>
    </w:p>
    <w:p w:rsidRPr="009F3F65" w:rsidR="003130C2" w:rsidP="003130C2" w:rsidRDefault="003130C2" w14:paraId="63874DA0" w14:textId="77777777">
      <w:pPr>
        <w:rPr>
          <w:lang w:val="en-GB"/>
        </w:rPr>
      </w:pPr>
    </w:p>
    <w:p w:rsidRPr="009F3F65" w:rsidR="003130C2" w:rsidP="003130C2" w:rsidRDefault="003130C2" w14:paraId="58B9EE28" w14:textId="77777777">
      <w:r>
        <w:t>Lastly, the document suggests increasing the communication and transparency of the DEP to make it easier for potential applicants and end-users to participate or make use of DEP-funded activities. It also recommends increasing the predictability of the DEP budget to make it easier for applicants to prepare applications and secure co-funding. The document also proposes including a strong citizen and consumer focus in the forthcoming DEP work programmes and relevant calls.</w:t>
      </w:r>
    </w:p>
    <w:p w:rsidRPr="009F3F65" w:rsidR="003130C2" w:rsidP="003130C2" w:rsidRDefault="003130C2" w14:paraId="6FF2581C" w14:textId="77777777">
      <w:pPr>
        <w:pStyle w:val="Footer"/>
        <w:rPr>
          <w:lang w:val="en-GB"/>
        </w:rPr>
      </w:pPr>
    </w:p>
    <w:p w:rsidRPr="009F3F65" w:rsidR="003130C2" w:rsidP="003130C2" w:rsidRDefault="003130C2" w14:paraId="3F2B135F" w14:textId="77777777">
      <w:pPr>
        <w:spacing w:after="160" w:line="259" w:lineRule="auto"/>
        <w:jc w:val="left"/>
      </w:pPr>
      <w:r>
        <w:lastRenderedPageBreak/>
        <w:br w:type="page"/>
      </w:r>
    </w:p>
    <w:p w:rsidRPr="009F3F65" w:rsidR="003130C2" w:rsidP="003130C2" w:rsidRDefault="003130C2" w14:paraId="7292FE3F" w14:textId="77777777">
      <w:pPr>
        <w:pStyle w:val="Heading1"/>
        <w:rPr>
          <w:b/>
          <w:bCs/>
        </w:rPr>
      </w:pPr>
      <w:bookmarkStart w:name="_Toc174452862" w:id="34"/>
      <w:r>
        <w:rPr>
          <w:b/>
        </w:rPr>
        <w:lastRenderedPageBreak/>
        <w:t>List of organisations consulted</w:t>
      </w:r>
      <w:bookmarkEnd w:id="34"/>
    </w:p>
    <w:p w:rsidRPr="009F3F65" w:rsidR="003130C2" w:rsidP="003130C2" w:rsidRDefault="003130C2" w14:paraId="0C30B5D2" w14:textId="77777777">
      <w:pPr>
        <w:rPr>
          <w:rFonts w:eastAsia="Calibri"/>
          <w:lang w:val="en-GB"/>
        </w:rPr>
      </w:pPr>
    </w:p>
    <w:tbl>
      <w:tblPr>
        <w:tblW w:w="9114" w:type="dxa"/>
        <w:tblLook w:val="04A0" w:firstRow="1" w:lastRow="0" w:firstColumn="1" w:lastColumn="0" w:noHBand="0" w:noVBand="1"/>
      </w:tblPr>
      <w:tblGrid>
        <w:gridCol w:w="4810"/>
        <w:gridCol w:w="1559"/>
        <w:gridCol w:w="1428"/>
        <w:gridCol w:w="1317"/>
      </w:tblGrid>
      <w:tr w:rsidRPr="00B47B36" w:rsidR="003130C2" w:rsidTr="00F32872" w14:paraId="740396A0" w14:textId="77777777">
        <w:trPr>
          <w:trHeight w:val="627"/>
          <w:tblHeader/>
        </w:trPr>
        <w:tc>
          <w:tcPr>
            <w:tcW w:w="4810" w:type="dxa"/>
            <w:tcBorders>
              <w:top w:val="single" w:color="BFBFBF" w:sz="8" w:space="0"/>
              <w:left w:val="single" w:color="BFBFBF" w:sz="8" w:space="0"/>
              <w:bottom w:val="single" w:color="auto" w:sz="8" w:space="0"/>
              <w:right w:val="single" w:color="BFBFBF" w:sz="8" w:space="0"/>
            </w:tcBorders>
            <w:shd w:val="clear" w:color="000000" w:fill="262626"/>
            <w:noWrap/>
            <w:vAlign w:val="center"/>
            <w:hideMark/>
          </w:tcPr>
          <w:p w:rsidRPr="009F3F65" w:rsidR="003130C2" w:rsidP="00F32872" w:rsidRDefault="003130C2" w14:paraId="43BBE160" w14:textId="77777777">
            <w:pPr>
              <w:spacing w:line="240" w:lineRule="auto"/>
              <w:jc w:val="left"/>
              <w:rPr>
                <w:b/>
                <w:bCs/>
                <w:color w:val="FFFFFF"/>
                <w:sz w:val="20"/>
              </w:rPr>
            </w:pPr>
            <w:r>
              <w:rPr>
                <w:b/>
                <w:color w:val="FFFFFF"/>
                <w:sz w:val="20"/>
              </w:rPr>
              <w:t>Organisation</w:t>
            </w:r>
          </w:p>
        </w:tc>
        <w:tc>
          <w:tcPr>
            <w:tcW w:w="1559" w:type="dxa"/>
            <w:tcBorders>
              <w:top w:val="single" w:color="BFBFBF" w:sz="8" w:space="0"/>
              <w:left w:val="nil"/>
              <w:bottom w:val="single" w:color="auto" w:sz="8" w:space="0"/>
              <w:right w:val="single" w:color="BFBFBF" w:sz="8" w:space="0"/>
            </w:tcBorders>
            <w:shd w:val="clear" w:color="000000" w:fill="262626"/>
            <w:noWrap/>
            <w:vAlign w:val="center"/>
            <w:hideMark/>
          </w:tcPr>
          <w:p w:rsidRPr="009F3F65" w:rsidR="003130C2" w:rsidP="00F32872" w:rsidRDefault="003130C2" w14:paraId="19C20089" w14:textId="77777777">
            <w:pPr>
              <w:spacing w:line="240" w:lineRule="auto"/>
              <w:jc w:val="left"/>
              <w:rPr>
                <w:b/>
                <w:bCs/>
                <w:color w:val="FFFFFF"/>
                <w:sz w:val="20"/>
              </w:rPr>
            </w:pPr>
            <w:r>
              <w:rPr>
                <w:b/>
                <w:color w:val="FFFFFF"/>
                <w:sz w:val="20"/>
              </w:rPr>
              <w:t xml:space="preserve">Member State </w:t>
            </w:r>
          </w:p>
        </w:tc>
        <w:tc>
          <w:tcPr>
            <w:tcW w:w="1428" w:type="dxa"/>
            <w:tcBorders>
              <w:top w:val="single" w:color="BFBFBF" w:sz="8" w:space="0"/>
              <w:left w:val="nil"/>
              <w:bottom w:val="single" w:color="auto" w:sz="8" w:space="0"/>
              <w:right w:val="single" w:color="BFBFBF" w:sz="8" w:space="0"/>
            </w:tcBorders>
            <w:shd w:val="clear" w:color="000000" w:fill="262626"/>
            <w:vAlign w:val="center"/>
            <w:hideMark/>
          </w:tcPr>
          <w:p w:rsidRPr="009F3F65" w:rsidR="003130C2" w:rsidP="00F32872" w:rsidRDefault="003130C2" w14:paraId="429B4762" w14:textId="77777777">
            <w:pPr>
              <w:spacing w:line="240" w:lineRule="auto"/>
              <w:jc w:val="left"/>
              <w:rPr>
                <w:b/>
                <w:bCs/>
                <w:color w:val="FFFFFF"/>
                <w:sz w:val="20"/>
              </w:rPr>
            </w:pPr>
            <w:r>
              <w:rPr>
                <w:b/>
                <w:color w:val="FFFFFF"/>
                <w:sz w:val="20"/>
              </w:rPr>
              <w:t>Consultation via online questionnaire</w:t>
            </w:r>
          </w:p>
        </w:tc>
        <w:tc>
          <w:tcPr>
            <w:tcW w:w="1317" w:type="dxa"/>
            <w:tcBorders>
              <w:top w:val="single" w:color="BFBFBF" w:sz="8" w:space="0"/>
              <w:left w:val="nil"/>
              <w:bottom w:val="single" w:color="auto" w:sz="8" w:space="0"/>
              <w:right w:val="single" w:color="BFBFBF" w:sz="8" w:space="0"/>
            </w:tcBorders>
            <w:shd w:val="clear" w:color="000000" w:fill="262626"/>
            <w:vAlign w:val="center"/>
            <w:hideMark/>
          </w:tcPr>
          <w:p w:rsidRPr="009F3F65" w:rsidR="003130C2" w:rsidP="00F32872" w:rsidRDefault="003130C2" w14:paraId="5A0E5C9B" w14:textId="77777777">
            <w:pPr>
              <w:spacing w:line="240" w:lineRule="auto"/>
              <w:jc w:val="center"/>
              <w:rPr>
                <w:b/>
                <w:bCs/>
                <w:color w:val="FFFFFF"/>
                <w:sz w:val="20"/>
              </w:rPr>
            </w:pPr>
            <w:r>
              <w:rPr>
                <w:b/>
                <w:color w:val="FFFFFF"/>
                <w:sz w:val="20"/>
              </w:rPr>
              <w:t>Consultation via meetings</w:t>
            </w:r>
          </w:p>
        </w:tc>
      </w:tr>
      <w:tr w:rsidRPr="00B47B36" w:rsidR="003130C2" w:rsidTr="00F32872" w14:paraId="74F8888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8B65CAE" w14:textId="77777777">
            <w:pPr>
              <w:spacing w:line="240" w:lineRule="auto"/>
              <w:jc w:val="left"/>
              <w:rPr>
                <w:color w:val="000000"/>
                <w:sz w:val="20"/>
              </w:rPr>
            </w:pPr>
            <w:r>
              <w:rPr>
                <w:color w:val="000000"/>
                <w:sz w:val="20"/>
              </w:rPr>
              <w:t>HITeC e.V. (research and technology transfer centre at the University of Hamburg)</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70E5010"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B2228E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8886E34" w14:textId="77777777">
            <w:pPr>
              <w:spacing w:line="240" w:lineRule="auto"/>
              <w:jc w:val="center"/>
              <w:rPr>
                <w:b/>
                <w:bCs/>
                <w:color w:val="000000"/>
                <w:sz w:val="20"/>
              </w:rPr>
            </w:pPr>
            <w:r>
              <w:rPr>
                <w:b/>
                <w:color w:val="000000"/>
                <w:sz w:val="20"/>
              </w:rPr>
              <w:t> </w:t>
            </w:r>
          </w:p>
        </w:tc>
      </w:tr>
      <w:tr w:rsidRPr="00B47B36" w:rsidR="003130C2" w:rsidTr="00F32872" w14:paraId="17BFBFF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D9A4907" w14:textId="77777777">
            <w:pPr>
              <w:spacing w:line="240" w:lineRule="auto"/>
              <w:jc w:val="left"/>
              <w:rPr>
                <w:color w:val="000000"/>
                <w:sz w:val="20"/>
              </w:rPr>
            </w:pPr>
            <w:r>
              <w:rPr>
                <w:color w:val="000000"/>
                <w:sz w:val="20"/>
              </w:rPr>
              <w:t>Hahn-Schickard-Gesellschaft für angewandte Forschung e.V.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2F09558"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29E17EE"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608B977" w14:textId="77777777">
            <w:pPr>
              <w:spacing w:line="240" w:lineRule="auto"/>
              <w:jc w:val="center"/>
              <w:rPr>
                <w:b/>
                <w:bCs/>
                <w:color w:val="000000"/>
                <w:sz w:val="20"/>
              </w:rPr>
            </w:pPr>
            <w:r>
              <w:rPr>
                <w:b/>
                <w:color w:val="000000"/>
                <w:sz w:val="20"/>
              </w:rPr>
              <w:t> </w:t>
            </w:r>
          </w:p>
        </w:tc>
      </w:tr>
      <w:tr w:rsidRPr="00B47B36" w:rsidR="003130C2" w:rsidTr="00F32872" w14:paraId="6DA90E2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233ED8A" w14:textId="77777777">
            <w:pPr>
              <w:spacing w:line="240" w:lineRule="auto"/>
              <w:jc w:val="left"/>
              <w:rPr>
                <w:color w:val="000000"/>
                <w:sz w:val="20"/>
              </w:rPr>
            </w:pPr>
            <w:r>
              <w:rPr>
                <w:color w:val="000000"/>
                <w:sz w:val="20"/>
              </w:rPr>
              <w:t>EDITH | House of Digital Transformation (project co-ordinator)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D2CA608"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EA4967"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B0EB100" w14:textId="77777777">
            <w:pPr>
              <w:spacing w:line="240" w:lineRule="auto"/>
              <w:jc w:val="center"/>
              <w:rPr>
                <w:b/>
                <w:bCs/>
                <w:color w:val="000000"/>
                <w:sz w:val="20"/>
              </w:rPr>
            </w:pPr>
            <w:r>
              <w:rPr>
                <w:b/>
                <w:color w:val="000000"/>
                <w:sz w:val="20"/>
              </w:rPr>
              <w:t> </w:t>
            </w:r>
          </w:p>
        </w:tc>
      </w:tr>
      <w:tr w:rsidRPr="00B47B36" w:rsidR="003130C2" w:rsidTr="00F32872" w14:paraId="2DF028A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990B265" w14:textId="77777777">
            <w:pPr>
              <w:spacing w:line="240" w:lineRule="auto"/>
              <w:jc w:val="left"/>
              <w:rPr>
                <w:color w:val="000000"/>
                <w:sz w:val="20"/>
              </w:rPr>
            </w:pPr>
            <w:r>
              <w:rPr>
                <w:color w:val="000000"/>
                <w:sz w:val="20"/>
              </w:rPr>
              <w:t>FZI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F187BD3"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9530AC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1D1EFFA" w14:textId="77777777">
            <w:pPr>
              <w:spacing w:line="240" w:lineRule="auto"/>
              <w:jc w:val="center"/>
              <w:rPr>
                <w:b/>
                <w:bCs/>
                <w:color w:val="000000"/>
                <w:sz w:val="20"/>
              </w:rPr>
            </w:pPr>
            <w:r>
              <w:rPr>
                <w:b/>
                <w:color w:val="000000"/>
                <w:sz w:val="20"/>
              </w:rPr>
              <w:t> </w:t>
            </w:r>
          </w:p>
        </w:tc>
      </w:tr>
      <w:tr w:rsidRPr="00B47B36" w:rsidR="003130C2" w:rsidTr="00F32872" w14:paraId="578177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1557366" w14:textId="77777777">
            <w:pPr>
              <w:spacing w:line="240" w:lineRule="auto"/>
              <w:jc w:val="left"/>
              <w:rPr>
                <w:color w:val="000000"/>
                <w:sz w:val="20"/>
              </w:rPr>
            </w:pPr>
            <w:r>
              <w:rPr>
                <w:color w:val="000000"/>
                <w:sz w:val="20"/>
              </w:rPr>
              <w:t>NCC-DE/Federal Office for Information Security (BSI)</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639083D"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FDF37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D72C878" w14:textId="77777777">
            <w:pPr>
              <w:spacing w:line="240" w:lineRule="auto"/>
              <w:jc w:val="center"/>
              <w:rPr>
                <w:b/>
                <w:bCs/>
                <w:color w:val="000000"/>
                <w:sz w:val="20"/>
              </w:rPr>
            </w:pPr>
            <w:r>
              <w:rPr>
                <w:b/>
                <w:color w:val="000000"/>
                <w:sz w:val="20"/>
              </w:rPr>
              <w:t>x</w:t>
            </w:r>
          </w:p>
        </w:tc>
      </w:tr>
      <w:tr w:rsidRPr="00B47B36" w:rsidR="003130C2" w:rsidTr="00F32872" w14:paraId="5ED861B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CC187FE" w14:textId="77777777">
            <w:pPr>
              <w:spacing w:line="240" w:lineRule="auto"/>
              <w:jc w:val="left"/>
              <w:rPr>
                <w:color w:val="000000"/>
                <w:sz w:val="20"/>
              </w:rPr>
            </w:pPr>
            <w:r>
              <w:rPr>
                <w:color w:val="000000"/>
                <w:sz w:val="20"/>
              </w:rPr>
              <w:t>DLR Project Management Agency (Germany)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78AD352"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3D9C589"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47BDCF4" w14:textId="77777777">
            <w:pPr>
              <w:spacing w:line="240" w:lineRule="auto"/>
              <w:jc w:val="center"/>
              <w:rPr>
                <w:b/>
                <w:bCs/>
                <w:color w:val="000000"/>
                <w:sz w:val="20"/>
              </w:rPr>
            </w:pPr>
            <w:r>
              <w:rPr>
                <w:b/>
                <w:color w:val="000000"/>
                <w:sz w:val="20"/>
              </w:rPr>
              <w:t> </w:t>
            </w:r>
          </w:p>
        </w:tc>
      </w:tr>
      <w:tr w:rsidRPr="00B47B36" w:rsidR="003130C2" w:rsidTr="00F32872" w14:paraId="79AB8CD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E29AAF5" w14:textId="77777777">
            <w:pPr>
              <w:spacing w:line="240" w:lineRule="auto"/>
              <w:jc w:val="left"/>
              <w:rPr>
                <w:color w:val="000000"/>
                <w:sz w:val="20"/>
              </w:rPr>
            </w:pPr>
            <w:r>
              <w:rPr>
                <w:color w:val="000000"/>
                <w:sz w:val="20"/>
              </w:rPr>
              <w:t>Forschungszentrum Jülich GmbH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F904E0D"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E0F026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0DC9778" w14:textId="77777777">
            <w:pPr>
              <w:spacing w:line="240" w:lineRule="auto"/>
              <w:jc w:val="center"/>
              <w:rPr>
                <w:b/>
                <w:bCs/>
                <w:color w:val="000000"/>
                <w:sz w:val="20"/>
              </w:rPr>
            </w:pPr>
            <w:r>
              <w:rPr>
                <w:b/>
                <w:color w:val="000000"/>
                <w:sz w:val="20"/>
              </w:rPr>
              <w:t>x</w:t>
            </w:r>
          </w:p>
        </w:tc>
      </w:tr>
      <w:tr w:rsidRPr="00B47B36" w:rsidR="003130C2" w:rsidTr="00F32872" w14:paraId="5EDFFB6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547016D" w14:textId="77777777">
            <w:pPr>
              <w:spacing w:line="240" w:lineRule="auto"/>
              <w:jc w:val="left"/>
              <w:rPr>
                <w:color w:val="000000"/>
                <w:sz w:val="20"/>
              </w:rPr>
            </w:pPr>
            <w:r>
              <w:rPr>
                <w:color w:val="000000"/>
                <w:sz w:val="20"/>
              </w:rPr>
              <w:t>Deggendorf Institute of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00E8D09"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9457553"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8B2CFEF" w14:textId="77777777">
            <w:pPr>
              <w:spacing w:line="240" w:lineRule="auto"/>
              <w:jc w:val="center"/>
              <w:rPr>
                <w:b/>
                <w:bCs/>
                <w:color w:val="000000"/>
                <w:sz w:val="20"/>
              </w:rPr>
            </w:pPr>
            <w:r>
              <w:rPr>
                <w:b/>
                <w:color w:val="000000"/>
                <w:sz w:val="20"/>
              </w:rPr>
              <w:t> </w:t>
            </w:r>
          </w:p>
        </w:tc>
      </w:tr>
      <w:tr w:rsidRPr="00B47B36" w:rsidR="003130C2" w:rsidTr="00F32872" w14:paraId="3386C53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1BCC116" w14:textId="77777777">
            <w:pPr>
              <w:spacing w:line="240" w:lineRule="auto"/>
              <w:jc w:val="left"/>
              <w:rPr>
                <w:color w:val="000000"/>
                <w:sz w:val="20"/>
              </w:rPr>
            </w:pPr>
            <w:r>
              <w:rPr>
                <w:color w:val="000000"/>
                <w:sz w:val="20"/>
              </w:rPr>
              <w:t xml:space="preserve">German Aerospace Center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1484FF1"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E2FC06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8F5A9FA" w14:textId="77777777">
            <w:pPr>
              <w:spacing w:line="240" w:lineRule="auto"/>
              <w:jc w:val="center"/>
              <w:rPr>
                <w:b/>
                <w:bCs/>
                <w:color w:val="000000"/>
                <w:sz w:val="20"/>
              </w:rPr>
            </w:pPr>
            <w:r>
              <w:rPr>
                <w:b/>
                <w:color w:val="000000"/>
                <w:sz w:val="20"/>
              </w:rPr>
              <w:t> </w:t>
            </w:r>
          </w:p>
        </w:tc>
      </w:tr>
      <w:tr w:rsidRPr="00B47B36" w:rsidR="003130C2" w:rsidTr="00F32872" w14:paraId="336E9B0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449CB2A" w14:textId="77777777">
            <w:pPr>
              <w:spacing w:line="240" w:lineRule="auto"/>
              <w:jc w:val="left"/>
              <w:rPr>
                <w:color w:val="000000"/>
                <w:sz w:val="20"/>
              </w:rPr>
            </w:pPr>
            <w:r>
              <w:rPr>
                <w:color w:val="000000"/>
                <w:sz w:val="20"/>
              </w:rPr>
              <w:t>EDIH.SH (European Digital Innovation Hub Schleswig-Holstein)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03FCD3"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A06FA13"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8B4996C" w14:textId="77777777">
            <w:pPr>
              <w:spacing w:line="240" w:lineRule="auto"/>
              <w:jc w:val="center"/>
              <w:rPr>
                <w:b/>
                <w:bCs/>
                <w:color w:val="000000"/>
                <w:sz w:val="20"/>
              </w:rPr>
            </w:pPr>
            <w:r>
              <w:rPr>
                <w:b/>
                <w:color w:val="000000"/>
                <w:sz w:val="20"/>
              </w:rPr>
              <w:t>x</w:t>
            </w:r>
          </w:p>
        </w:tc>
      </w:tr>
      <w:tr w:rsidRPr="00B47B36" w:rsidR="003130C2" w:rsidTr="00F32872" w14:paraId="6263896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53D35E1" w14:textId="77777777">
            <w:pPr>
              <w:spacing w:line="240" w:lineRule="auto"/>
              <w:jc w:val="left"/>
              <w:rPr>
                <w:color w:val="000000"/>
                <w:sz w:val="20"/>
              </w:rPr>
            </w:pPr>
            <w:r>
              <w:rPr>
                <w:color w:val="000000"/>
                <w:sz w:val="20"/>
              </w:rPr>
              <w:t>DAISEC – European Digital Innovation Hub for AI and Cybersecurity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848BB47"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94551A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35A8315" w14:textId="77777777">
            <w:pPr>
              <w:spacing w:line="240" w:lineRule="auto"/>
              <w:jc w:val="center"/>
              <w:rPr>
                <w:b/>
                <w:bCs/>
                <w:color w:val="000000"/>
                <w:sz w:val="20"/>
              </w:rPr>
            </w:pPr>
            <w:r>
              <w:rPr>
                <w:b/>
                <w:color w:val="000000"/>
                <w:sz w:val="20"/>
              </w:rPr>
              <w:t>x</w:t>
            </w:r>
          </w:p>
        </w:tc>
      </w:tr>
      <w:tr w:rsidRPr="00B47B36" w:rsidR="003130C2" w:rsidTr="00F32872" w14:paraId="1E1CE87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F9C21C5" w14:textId="77777777">
            <w:pPr>
              <w:spacing w:line="240" w:lineRule="auto"/>
              <w:jc w:val="left"/>
              <w:rPr>
                <w:color w:val="000000"/>
                <w:sz w:val="20"/>
              </w:rPr>
            </w:pPr>
            <w:r>
              <w:rPr>
                <w:color w:val="000000"/>
                <w:sz w:val="20"/>
              </w:rPr>
              <w:t>Federal Ministry for Digital and Transport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3C8501E"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6B668A9"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EDA0C76" w14:textId="77777777">
            <w:pPr>
              <w:spacing w:line="240" w:lineRule="auto"/>
              <w:jc w:val="center"/>
              <w:rPr>
                <w:b/>
                <w:bCs/>
                <w:color w:val="000000"/>
                <w:sz w:val="20"/>
              </w:rPr>
            </w:pPr>
            <w:r>
              <w:rPr>
                <w:b/>
                <w:color w:val="000000"/>
                <w:sz w:val="20"/>
              </w:rPr>
              <w:t>x</w:t>
            </w:r>
          </w:p>
        </w:tc>
      </w:tr>
      <w:tr w:rsidRPr="00B47B36" w:rsidR="003130C2" w:rsidTr="00F32872" w14:paraId="020FADE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60E7EF5" w14:textId="77777777">
            <w:pPr>
              <w:spacing w:line="240" w:lineRule="auto"/>
              <w:jc w:val="left"/>
              <w:rPr>
                <w:color w:val="000000"/>
                <w:sz w:val="20"/>
              </w:rPr>
            </w:pPr>
            <w:r>
              <w:rPr>
                <w:color w:val="000000"/>
                <w:sz w:val="20"/>
              </w:rPr>
              <w:t>German Digital Innovation Hubs Network</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5296E86"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181C54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A79E9EC" w14:textId="77777777">
            <w:pPr>
              <w:spacing w:line="240" w:lineRule="auto"/>
              <w:jc w:val="center"/>
              <w:rPr>
                <w:b/>
                <w:bCs/>
                <w:color w:val="000000"/>
                <w:sz w:val="20"/>
              </w:rPr>
            </w:pPr>
            <w:r>
              <w:rPr>
                <w:b/>
                <w:color w:val="000000"/>
                <w:sz w:val="20"/>
              </w:rPr>
              <w:t>x</w:t>
            </w:r>
          </w:p>
        </w:tc>
      </w:tr>
      <w:tr w:rsidRPr="00B47B36" w:rsidR="003130C2" w:rsidTr="00F32872" w14:paraId="388546E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E8EF5A5" w14:textId="77777777">
            <w:pPr>
              <w:spacing w:line="240" w:lineRule="auto"/>
              <w:jc w:val="left"/>
              <w:rPr>
                <w:color w:val="000000"/>
                <w:sz w:val="20"/>
              </w:rPr>
            </w:pPr>
            <w:r>
              <w:rPr>
                <w:color w:val="000000"/>
                <w:sz w:val="20"/>
              </w:rPr>
              <w:t>IAI – Institut für Angewandte Informatik / Institute for Applied Informatics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D729169"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F414B26"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6ECE120" w14:textId="77777777">
            <w:pPr>
              <w:spacing w:line="240" w:lineRule="auto"/>
              <w:jc w:val="center"/>
              <w:rPr>
                <w:b/>
                <w:bCs/>
                <w:color w:val="000000"/>
                <w:sz w:val="20"/>
              </w:rPr>
            </w:pPr>
            <w:r>
              <w:rPr>
                <w:b/>
                <w:color w:val="000000"/>
                <w:sz w:val="20"/>
              </w:rPr>
              <w:t>x</w:t>
            </w:r>
          </w:p>
        </w:tc>
      </w:tr>
      <w:tr w:rsidRPr="00B47B36" w:rsidR="003130C2" w:rsidTr="00F32872" w14:paraId="24529D5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BFD707E" w14:textId="77777777">
            <w:pPr>
              <w:spacing w:line="240" w:lineRule="auto"/>
              <w:jc w:val="left"/>
              <w:rPr>
                <w:color w:val="000000"/>
                <w:sz w:val="20"/>
              </w:rPr>
            </w:pPr>
            <w:r>
              <w:rPr>
                <w:color w:val="000000"/>
                <w:sz w:val="20"/>
              </w:rPr>
              <w:t>AWO Federal Association e. V. (Worker’s Welfare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4D17F8A"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416D56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B04DB02" w14:textId="77777777">
            <w:pPr>
              <w:spacing w:line="240" w:lineRule="auto"/>
              <w:jc w:val="center"/>
              <w:rPr>
                <w:b/>
                <w:bCs/>
                <w:color w:val="000000"/>
                <w:sz w:val="20"/>
              </w:rPr>
            </w:pPr>
            <w:r>
              <w:rPr>
                <w:b/>
                <w:color w:val="000000"/>
                <w:sz w:val="20"/>
              </w:rPr>
              <w:t>x</w:t>
            </w:r>
          </w:p>
        </w:tc>
      </w:tr>
      <w:tr w:rsidRPr="00B47B36" w:rsidR="003130C2" w:rsidTr="00F32872" w14:paraId="1BCC1D7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06BD720" w14:textId="77777777">
            <w:pPr>
              <w:spacing w:line="240" w:lineRule="auto"/>
              <w:jc w:val="left"/>
              <w:rPr>
                <w:color w:val="000000"/>
                <w:sz w:val="20"/>
              </w:rPr>
            </w:pPr>
            <w:r>
              <w:rPr>
                <w:color w:val="000000"/>
                <w:sz w:val="20"/>
              </w:rPr>
              <w:t>Fraunhofer Institute for Applied Optics and Precision Engineering IOF (QuNET initiative)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4288E0A"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2DDDDF0"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49824E4" w14:textId="77777777">
            <w:pPr>
              <w:spacing w:line="240" w:lineRule="auto"/>
              <w:jc w:val="center"/>
              <w:rPr>
                <w:b/>
                <w:bCs/>
                <w:color w:val="000000"/>
                <w:sz w:val="20"/>
              </w:rPr>
            </w:pPr>
            <w:r>
              <w:rPr>
                <w:b/>
                <w:color w:val="000000"/>
                <w:sz w:val="20"/>
              </w:rPr>
              <w:t>x</w:t>
            </w:r>
          </w:p>
        </w:tc>
      </w:tr>
      <w:tr w:rsidRPr="00B47B36" w:rsidR="003130C2" w:rsidTr="00F32872" w14:paraId="45F0557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0932185" w14:textId="77777777">
            <w:pPr>
              <w:spacing w:line="240" w:lineRule="auto"/>
              <w:jc w:val="left"/>
              <w:rPr>
                <w:color w:val="000000"/>
                <w:sz w:val="20"/>
              </w:rPr>
            </w:pPr>
            <w:r>
              <w:rPr>
                <w:color w:val="000000"/>
                <w:sz w:val="20"/>
              </w:rPr>
              <w:t>University of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779A324"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0745BEC"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AF7226D" w14:textId="77777777">
            <w:pPr>
              <w:spacing w:line="240" w:lineRule="auto"/>
              <w:jc w:val="center"/>
              <w:rPr>
                <w:b/>
                <w:bCs/>
                <w:color w:val="000000"/>
                <w:sz w:val="20"/>
              </w:rPr>
            </w:pPr>
            <w:r>
              <w:rPr>
                <w:b/>
                <w:color w:val="000000"/>
                <w:sz w:val="20"/>
              </w:rPr>
              <w:t>x</w:t>
            </w:r>
          </w:p>
        </w:tc>
      </w:tr>
      <w:tr w:rsidRPr="00B47B36" w:rsidR="003130C2" w:rsidTr="00F32872" w14:paraId="7484553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00BF48D" w14:textId="77777777">
            <w:pPr>
              <w:spacing w:line="240" w:lineRule="auto"/>
              <w:jc w:val="left"/>
              <w:rPr>
                <w:color w:val="000000"/>
                <w:sz w:val="20"/>
              </w:rPr>
            </w:pPr>
            <w:r>
              <w:rPr>
                <w:color w:val="000000"/>
                <w:sz w:val="20"/>
              </w:rPr>
              <w:t>Servizzi Ewropej f'Malta (SEM) (government agency promoting access to EU funding)</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5B186C9"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68CA464"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C8B3BDD" w14:textId="77777777">
            <w:pPr>
              <w:spacing w:line="240" w:lineRule="auto"/>
              <w:jc w:val="center"/>
              <w:rPr>
                <w:b/>
                <w:bCs/>
                <w:color w:val="000000"/>
                <w:sz w:val="20"/>
              </w:rPr>
            </w:pPr>
            <w:r>
              <w:rPr>
                <w:b/>
                <w:color w:val="000000"/>
                <w:sz w:val="20"/>
              </w:rPr>
              <w:t>x</w:t>
            </w:r>
          </w:p>
        </w:tc>
      </w:tr>
      <w:tr w:rsidRPr="00B47B36" w:rsidR="003130C2" w:rsidTr="00F32872" w14:paraId="1B3EC74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3C60735" w14:textId="77777777">
            <w:pPr>
              <w:spacing w:line="240" w:lineRule="auto"/>
              <w:jc w:val="left"/>
              <w:rPr>
                <w:color w:val="000000"/>
                <w:sz w:val="20"/>
              </w:rPr>
            </w:pPr>
            <w:r>
              <w:rPr>
                <w:color w:val="000000"/>
                <w:sz w:val="20"/>
              </w:rPr>
              <w:t>European Institute for Innovation &amp; Technology Regional Innovation Scheme Hub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F0F4935"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8783EA2"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807B886" w14:textId="77777777">
            <w:pPr>
              <w:spacing w:line="240" w:lineRule="auto"/>
              <w:jc w:val="center"/>
              <w:rPr>
                <w:b/>
                <w:bCs/>
                <w:color w:val="000000"/>
                <w:sz w:val="20"/>
              </w:rPr>
            </w:pPr>
            <w:r>
              <w:rPr>
                <w:b/>
                <w:color w:val="000000"/>
                <w:sz w:val="20"/>
              </w:rPr>
              <w:t>x</w:t>
            </w:r>
          </w:p>
        </w:tc>
      </w:tr>
      <w:tr w:rsidRPr="00B47B36" w:rsidR="003130C2" w:rsidTr="00F32872" w14:paraId="37A8073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26F6CB2" w14:textId="77777777">
            <w:pPr>
              <w:spacing w:line="240" w:lineRule="auto"/>
              <w:jc w:val="left"/>
              <w:rPr>
                <w:color w:val="000000"/>
                <w:sz w:val="20"/>
              </w:rPr>
            </w:pPr>
            <w:r>
              <w:rPr>
                <w:color w:val="000000"/>
                <w:sz w:val="20"/>
              </w:rPr>
              <w:t>Minister for Economy, Enterprise and Strategic Projects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7A9BF36"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6192639"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DDC4DF8" w14:textId="77777777">
            <w:pPr>
              <w:spacing w:line="240" w:lineRule="auto"/>
              <w:jc w:val="center"/>
              <w:rPr>
                <w:b/>
                <w:bCs/>
                <w:color w:val="000000"/>
                <w:sz w:val="20"/>
              </w:rPr>
            </w:pPr>
            <w:r>
              <w:rPr>
                <w:b/>
                <w:color w:val="000000"/>
                <w:sz w:val="20"/>
              </w:rPr>
              <w:t>x</w:t>
            </w:r>
          </w:p>
        </w:tc>
      </w:tr>
      <w:tr w:rsidRPr="00B47B36" w:rsidR="003130C2" w:rsidTr="00F32872" w14:paraId="19CF505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428FCC7" w14:textId="77777777">
            <w:pPr>
              <w:spacing w:line="240" w:lineRule="auto"/>
              <w:jc w:val="left"/>
              <w:rPr>
                <w:color w:val="000000"/>
                <w:sz w:val="20"/>
              </w:rPr>
            </w:pPr>
            <w:r>
              <w:rPr>
                <w:color w:val="000000"/>
                <w:sz w:val="20"/>
              </w:rPr>
              <w:t>Malta College of Arts, Science &amp; Technology (MCAST)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376428B"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AE3D00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0B13873" w14:textId="77777777">
            <w:pPr>
              <w:spacing w:line="240" w:lineRule="auto"/>
              <w:jc w:val="center"/>
              <w:rPr>
                <w:b/>
                <w:bCs/>
                <w:color w:val="000000"/>
                <w:sz w:val="20"/>
              </w:rPr>
            </w:pPr>
            <w:r>
              <w:rPr>
                <w:b/>
                <w:color w:val="000000"/>
                <w:sz w:val="20"/>
              </w:rPr>
              <w:t>x</w:t>
            </w:r>
          </w:p>
        </w:tc>
      </w:tr>
      <w:tr w:rsidRPr="00B47B36" w:rsidR="003130C2" w:rsidTr="00F32872" w14:paraId="221847D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1492AA3" w14:textId="77777777">
            <w:pPr>
              <w:spacing w:line="240" w:lineRule="auto"/>
              <w:jc w:val="left"/>
              <w:rPr>
                <w:color w:val="000000"/>
                <w:sz w:val="20"/>
              </w:rPr>
            </w:pPr>
            <w:r>
              <w:rPr>
                <w:color w:val="000000"/>
                <w:sz w:val="20"/>
              </w:rPr>
              <w:t>National Skills Council –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F588AE"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C89506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ADE6D69" w14:textId="77777777">
            <w:pPr>
              <w:spacing w:line="240" w:lineRule="auto"/>
              <w:jc w:val="center"/>
              <w:rPr>
                <w:b/>
                <w:bCs/>
                <w:color w:val="000000"/>
                <w:sz w:val="20"/>
              </w:rPr>
            </w:pPr>
            <w:r>
              <w:rPr>
                <w:b/>
                <w:color w:val="000000"/>
                <w:sz w:val="20"/>
              </w:rPr>
              <w:t> </w:t>
            </w:r>
          </w:p>
        </w:tc>
      </w:tr>
      <w:tr w:rsidRPr="00B47B36" w:rsidR="003130C2" w:rsidTr="00F32872" w14:paraId="0027493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889A049" w14:textId="77777777">
            <w:pPr>
              <w:spacing w:line="240" w:lineRule="auto"/>
              <w:jc w:val="left"/>
              <w:rPr>
                <w:color w:val="000000"/>
                <w:sz w:val="20"/>
              </w:rPr>
            </w:pPr>
            <w:r>
              <w:rPr>
                <w:color w:val="000000"/>
                <w:sz w:val="20"/>
              </w:rPr>
              <w:t>UHM – Voice of the Workers (trade union)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2D6D06E"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60709D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7115CF0" w14:textId="77777777">
            <w:pPr>
              <w:spacing w:line="240" w:lineRule="auto"/>
              <w:jc w:val="center"/>
              <w:rPr>
                <w:b/>
                <w:bCs/>
                <w:color w:val="000000"/>
                <w:sz w:val="20"/>
              </w:rPr>
            </w:pPr>
            <w:r>
              <w:rPr>
                <w:b/>
                <w:color w:val="000000"/>
                <w:sz w:val="20"/>
              </w:rPr>
              <w:t>x</w:t>
            </w:r>
          </w:p>
        </w:tc>
      </w:tr>
      <w:tr w:rsidRPr="00B47B36" w:rsidR="003130C2" w:rsidTr="00F32872" w14:paraId="622E9D3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E319222" w14:textId="77777777">
            <w:pPr>
              <w:spacing w:line="240" w:lineRule="auto"/>
              <w:jc w:val="left"/>
              <w:rPr>
                <w:color w:val="000000"/>
                <w:sz w:val="20"/>
              </w:rPr>
            </w:pPr>
            <w:r>
              <w:rPr>
                <w:color w:val="000000"/>
                <w:sz w:val="20"/>
              </w:rPr>
              <w:t>Chamber of Engineers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C00E8D"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8FB042D"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0DBFABB" w14:textId="77777777">
            <w:pPr>
              <w:spacing w:line="240" w:lineRule="auto"/>
              <w:jc w:val="center"/>
              <w:rPr>
                <w:b/>
                <w:bCs/>
                <w:color w:val="000000"/>
                <w:sz w:val="20"/>
              </w:rPr>
            </w:pPr>
            <w:r>
              <w:rPr>
                <w:b/>
                <w:color w:val="000000"/>
                <w:sz w:val="20"/>
              </w:rPr>
              <w:t>x</w:t>
            </w:r>
          </w:p>
        </w:tc>
      </w:tr>
      <w:tr w:rsidRPr="00B47B36" w:rsidR="003130C2" w:rsidTr="00F32872" w14:paraId="2A4454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1532E0A" w14:textId="77777777">
            <w:pPr>
              <w:spacing w:line="240" w:lineRule="auto"/>
              <w:jc w:val="left"/>
              <w:rPr>
                <w:color w:val="000000"/>
                <w:sz w:val="20"/>
              </w:rPr>
            </w:pPr>
            <w:r>
              <w:rPr>
                <w:color w:val="000000"/>
                <w:sz w:val="20"/>
              </w:rPr>
              <w:t>The Malta Chamber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F19F94B"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27D8CE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593983E" w14:textId="77777777">
            <w:pPr>
              <w:spacing w:line="240" w:lineRule="auto"/>
              <w:jc w:val="center"/>
              <w:rPr>
                <w:b/>
                <w:bCs/>
                <w:color w:val="000000"/>
                <w:sz w:val="20"/>
              </w:rPr>
            </w:pPr>
            <w:r>
              <w:rPr>
                <w:b/>
                <w:color w:val="000000"/>
                <w:sz w:val="20"/>
              </w:rPr>
              <w:t>x</w:t>
            </w:r>
          </w:p>
        </w:tc>
      </w:tr>
      <w:tr w:rsidRPr="00B47B36" w:rsidR="003130C2" w:rsidTr="00F32872" w14:paraId="0A0629A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A7BB144" w14:textId="77777777">
            <w:pPr>
              <w:spacing w:line="240" w:lineRule="auto"/>
              <w:jc w:val="left"/>
              <w:rPr>
                <w:color w:val="000000"/>
                <w:sz w:val="20"/>
              </w:rPr>
            </w:pPr>
            <w:r>
              <w:rPr>
                <w:color w:val="000000"/>
                <w:sz w:val="20"/>
              </w:rPr>
              <w:t>MDIA (Malta Digital Innovation Authority)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64C4004"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640A9C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9BE0657" w14:textId="77777777">
            <w:pPr>
              <w:spacing w:line="240" w:lineRule="auto"/>
              <w:jc w:val="center"/>
              <w:rPr>
                <w:b/>
                <w:bCs/>
                <w:color w:val="000000"/>
                <w:sz w:val="20"/>
              </w:rPr>
            </w:pPr>
            <w:r>
              <w:rPr>
                <w:b/>
                <w:color w:val="000000"/>
                <w:sz w:val="20"/>
              </w:rPr>
              <w:t>x</w:t>
            </w:r>
          </w:p>
        </w:tc>
      </w:tr>
      <w:tr w:rsidRPr="00B47B36" w:rsidR="003130C2" w:rsidTr="00F32872" w14:paraId="4D8DED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9788A77" w14:textId="77777777">
            <w:pPr>
              <w:spacing w:line="240" w:lineRule="auto"/>
              <w:jc w:val="left"/>
              <w:rPr>
                <w:color w:val="000000"/>
                <w:sz w:val="20"/>
              </w:rPr>
            </w:pPr>
            <w:r>
              <w:rPr>
                <w:color w:val="000000"/>
                <w:sz w:val="20"/>
              </w:rPr>
              <w:t>MITA (Malta Information and Technology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064C3CF"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B8A81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B15C75C" w14:textId="77777777">
            <w:pPr>
              <w:spacing w:line="240" w:lineRule="auto"/>
              <w:jc w:val="center"/>
              <w:rPr>
                <w:b/>
                <w:bCs/>
                <w:color w:val="000000"/>
                <w:sz w:val="20"/>
              </w:rPr>
            </w:pPr>
            <w:r>
              <w:rPr>
                <w:b/>
                <w:color w:val="000000"/>
                <w:sz w:val="20"/>
              </w:rPr>
              <w:t>x</w:t>
            </w:r>
          </w:p>
        </w:tc>
      </w:tr>
      <w:tr w:rsidRPr="00B47B36" w:rsidR="003130C2" w:rsidTr="00F32872" w14:paraId="52E08E8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8CC5414" w14:textId="77777777">
            <w:pPr>
              <w:spacing w:line="240" w:lineRule="auto"/>
              <w:jc w:val="left"/>
              <w:rPr>
                <w:color w:val="000000"/>
                <w:sz w:val="20"/>
              </w:rPr>
            </w:pPr>
            <w:r>
              <w:rPr>
                <w:color w:val="000000"/>
                <w:sz w:val="20"/>
              </w:rPr>
              <w:t>Malta Enterprise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1C2783B"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C8B37A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3E3527E" w14:textId="77777777">
            <w:pPr>
              <w:spacing w:line="240" w:lineRule="auto"/>
              <w:jc w:val="center"/>
              <w:rPr>
                <w:b/>
                <w:bCs/>
                <w:color w:val="000000"/>
                <w:sz w:val="20"/>
              </w:rPr>
            </w:pPr>
            <w:r>
              <w:rPr>
                <w:b/>
                <w:color w:val="000000"/>
                <w:sz w:val="20"/>
              </w:rPr>
              <w:t>x</w:t>
            </w:r>
          </w:p>
        </w:tc>
      </w:tr>
      <w:tr w:rsidRPr="00B47B36" w:rsidR="003130C2" w:rsidTr="00F32872" w14:paraId="4E960D3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BC8BA52" w14:textId="77777777">
            <w:pPr>
              <w:spacing w:line="240" w:lineRule="auto"/>
              <w:jc w:val="left"/>
              <w:rPr>
                <w:color w:val="000000"/>
                <w:sz w:val="20"/>
              </w:rPr>
            </w:pPr>
            <w:r>
              <w:rPr>
                <w:color w:val="000000"/>
                <w:sz w:val="20"/>
              </w:rPr>
              <w:t>DiHubMT (digital innovation hub within the MDIA)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A09722"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1D2C7C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E47ABC8" w14:textId="77777777">
            <w:pPr>
              <w:spacing w:line="240" w:lineRule="auto"/>
              <w:jc w:val="center"/>
              <w:rPr>
                <w:b/>
                <w:bCs/>
                <w:color w:val="000000"/>
                <w:sz w:val="20"/>
              </w:rPr>
            </w:pPr>
            <w:r>
              <w:rPr>
                <w:b/>
                <w:color w:val="000000"/>
                <w:sz w:val="20"/>
              </w:rPr>
              <w:t>x</w:t>
            </w:r>
          </w:p>
        </w:tc>
      </w:tr>
      <w:tr w:rsidRPr="00B47B36" w:rsidR="003130C2" w:rsidTr="00F32872" w14:paraId="4945565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D85F708" w14:textId="77777777">
            <w:pPr>
              <w:spacing w:line="240" w:lineRule="auto"/>
              <w:jc w:val="left"/>
              <w:rPr>
                <w:color w:val="000000"/>
                <w:sz w:val="20"/>
              </w:rPr>
            </w:pPr>
            <w:r>
              <w:rPr>
                <w:color w:val="000000"/>
                <w:sz w:val="20"/>
              </w:rPr>
              <w:t>Tech.mt (public-private partnership)</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762D801"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6057FFF"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C0C271E" w14:textId="77777777">
            <w:pPr>
              <w:spacing w:line="240" w:lineRule="auto"/>
              <w:jc w:val="center"/>
              <w:rPr>
                <w:b/>
                <w:bCs/>
                <w:color w:val="000000"/>
                <w:sz w:val="20"/>
              </w:rPr>
            </w:pPr>
            <w:r>
              <w:rPr>
                <w:b/>
                <w:color w:val="000000"/>
                <w:sz w:val="20"/>
              </w:rPr>
              <w:t>x</w:t>
            </w:r>
          </w:p>
        </w:tc>
      </w:tr>
      <w:tr w:rsidRPr="00B47B36" w:rsidR="003130C2" w:rsidTr="00F32872" w14:paraId="64D955A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40DC9B5" w14:textId="77777777">
            <w:pPr>
              <w:spacing w:line="240" w:lineRule="auto"/>
              <w:jc w:val="left"/>
              <w:rPr>
                <w:color w:val="000000"/>
                <w:sz w:val="20"/>
              </w:rPr>
            </w:pPr>
            <w:r>
              <w:rPr>
                <w:color w:val="000000"/>
                <w:sz w:val="20"/>
              </w:rPr>
              <w:t>eSkills Malta Foundation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FFFDB87"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5959B6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7781563" w14:textId="77777777">
            <w:pPr>
              <w:spacing w:line="240" w:lineRule="auto"/>
              <w:jc w:val="center"/>
              <w:rPr>
                <w:b/>
                <w:bCs/>
                <w:color w:val="000000"/>
                <w:sz w:val="20"/>
              </w:rPr>
            </w:pPr>
            <w:r>
              <w:rPr>
                <w:b/>
                <w:color w:val="000000"/>
                <w:sz w:val="20"/>
              </w:rPr>
              <w:t>x</w:t>
            </w:r>
          </w:p>
        </w:tc>
      </w:tr>
      <w:tr w:rsidRPr="00B47B36" w:rsidR="003130C2" w:rsidTr="00F32872" w14:paraId="6F95D4D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0B8981B" w14:textId="77777777">
            <w:pPr>
              <w:spacing w:line="240" w:lineRule="auto"/>
              <w:jc w:val="left"/>
              <w:rPr>
                <w:color w:val="000000"/>
                <w:sz w:val="20"/>
              </w:rPr>
            </w:pPr>
            <w:r>
              <w:rPr>
                <w:color w:val="000000"/>
                <w:sz w:val="20"/>
              </w:rPr>
              <w:t>AIVHY Industry 4.0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4AFF782"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DB71CCE"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4D8E353" w14:textId="77777777">
            <w:pPr>
              <w:spacing w:line="240" w:lineRule="auto"/>
              <w:jc w:val="center"/>
              <w:rPr>
                <w:b/>
                <w:bCs/>
                <w:color w:val="000000"/>
                <w:sz w:val="20"/>
              </w:rPr>
            </w:pPr>
            <w:r>
              <w:rPr>
                <w:b/>
                <w:color w:val="000000"/>
                <w:sz w:val="20"/>
              </w:rPr>
              <w:t>x</w:t>
            </w:r>
          </w:p>
        </w:tc>
      </w:tr>
      <w:tr w:rsidRPr="00B47B36" w:rsidR="003130C2" w:rsidTr="00F32872" w14:paraId="4485BA9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2135FAC" w14:textId="77777777">
            <w:pPr>
              <w:spacing w:line="240" w:lineRule="auto"/>
              <w:jc w:val="left"/>
              <w:rPr>
                <w:color w:val="000000"/>
                <w:sz w:val="20"/>
              </w:rPr>
            </w:pPr>
            <w:r>
              <w:rPr>
                <w:color w:val="000000"/>
                <w:sz w:val="20"/>
              </w:rPr>
              <w:t>Ministry for Education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C4A3768"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63C562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3C26ABE" w14:textId="77777777">
            <w:pPr>
              <w:spacing w:line="240" w:lineRule="auto"/>
              <w:jc w:val="center"/>
              <w:rPr>
                <w:b/>
                <w:bCs/>
                <w:color w:val="000000"/>
                <w:sz w:val="20"/>
              </w:rPr>
            </w:pPr>
            <w:r>
              <w:rPr>
                <w:b/>
                <w:color w:val="000000"/>
                <w:sz w:val="20"/>
              </w:rPr>
              <w:t>x</w:t>
            </w:r>
          </w:p>
        </w:tc>
      </w:tr>
      <w:tr w:rsidRPr="00B47B36" w:rsidR="003130C2" w:rsidTr="00F32872" w14:paraId="1C94957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9530159" w14:textId="77777777">
            <w:pPr>
              <w:spacing w:line="240" w:lineRule="auto"/>
              <w:jc w:val="left"/>
              <w:rPr>
                <w:color w:val="000000"/>
                <w:sz w:val="20"/>
              </w:rPr>
            </w:pPr>
            <w:r>
              <w:rPr>
                <w:color w:val="000000"/>
                <w:sz w:val="20"/>
              </w:rPr>
              <w:t>Malta Further and Higher Education Authority (MFHEA)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067A7C5"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39C14C0"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5D4B79C" w14:textId="77777777">
            <w:pPr>
              <w:spacing w:line="240" w:lineRule="auto"/>
              <w:jc w:val="center"/>
              <w:rPr>
                <w:b/>
                <w:bCs/>
                <w:color w:val="000000"/>
                <w:sz w:val="20"/>
              </w:rPr>
            </w:pPr>
            <w:r>
              <w:rPr>
                <w:b/>
                <w:color w:val="000000"/>
                <w:sz w:val="20"/>
              </w:rPr>
              <w:t>x</w:t>
            </w:r>
          </w:p>
        </w:tc>
      </w:tr>
      <w:tr w:rsidRPr="00B47B36" w:rsidR="003130C2" w:rsidTr="00F32872" w14:paraId="1F66575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B35EB9E" w14:textId="77777777">
            <w:pPr>
              <w:spacing w:line="240" w:lineRule="auto"/>
              <w:jc w:val="left"/>
              <w:rPr>
                <w:color w:val="000000"/>
                <w:sz w:val="20"/>
              </w:rPr>
            </w:pPr>
            <w:r>
              <w:rPr>
                <w:color w:val="000000"/>
                <w:sz w:val="20"/>
              </w:rPr>
              <w:t>The Malta Council for Science and Technology (MCST)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9CBE87"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E460860"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FBC21B7" w14:textId="77777777">
            <w:pPr>
              <w:spacing w:line="240" w:lineRule="auto"/>
              <w:jc w:val="center"/>
              <w:rPr>
                <w:b/>
                <w:bCs/>
                <w:color w:val="000000"/>
                <w:sz w:val="20"/>
              </w:rPr>
            </w:pPr>
            <w:r>
              <w:rPr>
                <w:b/>
                <w:color w:val="000000"/>
                <w:sz w:val="20"/>
              </w:rPr>
              <w:t>x</w:t>
            </w:r>
          </w:p>
        </w:tc>
      </w:tr>
      <w:tr w:rsidRPr="00B47B36" w:rsidR="003130C2" w:rsidTr="00F32872" w14:paraId="2C1DF6A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430F015" w14:textId="77777777">
            <w:pPr>
              <w:spacing w:line="240" w:lineRule="auto"/>
              <w:jc w:val="left"/>
              <w:rPr>
                <w:color w:val="000000"/>
                <w:sz w:val="20"/>
              </w:rPr>
            </w:pPr>
            <w:r>
              <w:rPr>
                <w:color w:val="000000"/>
                <w:sz w:val="20"/>
              </w:rPr>
              <w:lastRenderedPageBreak/>
              <w:t>Centrum Projektow Polska Cyfrowa (Digital</w:t>
            </w:r>
            <w:r>
              <w:rPr>
                <w:b/>
                <w:color w:val="000000"/>
                <w:sz w:val="20"/>
              </w:rPr>
              <w:t xml:space="preserve"> </w:t>
            </w:r>
            <w:r>
              <w:rPr>
                <w:color w:val="000000"/>
                <w:sz w:val="20"/>
              </w:rPr>
              <w:t>Poland Project Centre)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47722CE"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97F161E"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B808293" w14:textId="77777777">
            <w:pPr>
              <w:spacing w:line="240" w:lineRule="auto"/>
              <w:jc w:val="center"/>
              <w:rPr>
                <w:b/>
                <w:bCs/>
                <w:color w:val="000000"/>
                <w:sz w:val="20"/>
              </w:rPr>
            </w:pPr>
            <w:r>
              <w:rPr>
                <w:b/>
                <w:color w:val="000000"/>
                <w:sz w:val="20"/>
              </w:rPr>
              <w:t> </w:t>
            </w:r>
          </w:p>
        </w:tc>
      </w:tr>
      <w:tr w:rsidRPr="00B47B36" w:rsidR="003130C2" w:rsidTr="00F32872" w14:paraId="10712B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48D2A4F" w14:textId="77777777">
            <w:pPr>
              <w:spacing w:line="240" w:lineRule="auto"/>
              <w:jc w:val="left"/>
              <w:rPr>
                <w:color w:val="000000"/>
                <w:sz w:val="20"/>
              </w:rPr>
            </w:pPr>
            <w:r>
              <w:rPr>
                <w:color w:val="000000"/>
                <w:sz w:val="20"/>
              </w:rPr>
              <w:t>Łódzka Specjalna Strefa Ekonomiczna (Łódź Special Economic Zone)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69CDBEA"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AAD50DC"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603F23E" w14:textId="77777777">
            <w:pPr>
              <w:spacing w:line="240" w:lineRule="auto"/>
              <w:jc w:val="center"/>
              <w:rPr>
                <w:b/>
                <w:bCs/>
                <w:color w:val="000000"/>
                <w:sz w:val="20"/>
              </w:rPr>
            </w:pPr>
            <w:r>
              <w:rPr>
                <w:b/>
                <w:color w:val="000000"/>
                <w:sz w:val="20"/>
              </w:rPr>
              <w:t> </w:t>
            </w:r>
          </w:p>
        </w:tc>
      </w:tr>
      <w:tr w:rsidRPr="00B47B36" w:rsidR="003130C2" w:rsidTr="00F32872" w14:paraId="5B08550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08DC613" w14:textId="77777777">
            <w:pPr>
              <w:spacing w:line="240" w:lineRule="auto"/>
              <w:jc w:val="left"/>
              <w:rPr>
                <w:color w:val="000000"/>
                <w:sz w:val="20"/>
              </w:rPr>
            </w:pPr>
            <w:r>
              <w:rPr>
                <w:color w:val="000000"/>
                <w:sz w:val="20"/>
              </w:rPr>
              <w:t>Polish IoT &amp; AI Cluster SINOTAIC</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9F4A8C2"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9FAFCD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CC34A5B" w14:textId="77777777">
            <w:pPr>
              <w:spacing w:line="240" w:lineRule="auto"/>
              <w:jc w:val="center"/>
              <w:rPr>
                <w:b/>
                <w:bCs/>
                <w:color w:val="000000"/>
                <w:sz w:val="20"/>
              </w:rPr>
            </w:pPr>
            <w:r>
              <w:rPr>
                <w:b/>
                <w:color w:val="000000"/>
                <w:sz w:val="20"/>
              </w:rPr>
              <w:t> </w:t>
            </w:r>
          </w:p>
        </w:tc>
      </w:tr>
      <w:tr w:rsidRPr="00B47B36" w:rsidR="003130C2" w:rsidTr="00F32872" w14:paraId="7B8CF82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9B2004C" w14:textId="77777777">
            <w:pPr>
              <w:spacing w:line="240" w:lineRule="auto"/>
              <w:jc w:val="left"/>
              <w:rPr>
                <w:color w:val="000000"/>
                <w:sz w:val="20"/>
              </w:rPr>
            </w:pPr>
            <w:r>
              <w:rPr>
                <w:color w:val="000000"/>
                <w:sz w:val="20"/>
              </w:rPr>
              <w:t>PIIT (The Polish Chamber of Information Technology and Telecommunications)</w:t>
            </w:r>
          </w:p>
          <w:p w:rsidRPr="009F3F65" w:rsidR="003130C2" w:rsidP="00F32872" w:rsidRDefault="003130C2" w14:paraId="6CC243E4" w14:textId="77777777">
            <w:pPr>
              <w:spacing w:line="240" w:lineRule="auto"/>
              <w:jc w:val="left"/>
              <w:rPr>
                <w:color w:val="000000"/>
                <w:sz w:val="20"/>
                <w:lang w:val="en-GB" w:eastAsia="en-GB"/>
              </w:rPr>
            </w:pP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3B36B53"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52945C4"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B66385C" w14:textId="77777777">
            <w:pPr>
              <w:spacing w:line="240" w:lineRule="auto"/>
              <w:jc w:val="center"/>
              <w:rPr>
                <w:b/>
                <w:bCs/>
                <w:color w:val="000000"/>
                <w:sz w:val="20"/>
              </w:rPr>
            </w:pPr>
            <w:r>
              <w:rPr>
                <w:b/>
                <w:color w:val="000000"/>
                <w:sz w:val="20"/>
              </w:rPr>
              <w:t>x</w:t>
            </w:r>
          </w:p>
        </w:tc>
      </w:tr>
      <w:tr w:rsidRPr="00B47B36" w:rsidR="003130C2" w:rsidTr="00F32872" w14:paraId="7CDB5F1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A1A3050" w14:textId="77777777">
            <w:pPr>
              <w:spacing w:line="240" w:lineRule="auto"/>
              <w:jc w:val="left"/>
              <w:rPr>
                <w:color w:val="000000"/>
                <w:sz w:val="20"/>
              </w:rPr>
            </w:pPr>
            <w:r>
              <w:rPr>
                <w:color w:val="000000"/>
                <w:sz w:val="20"/>
              </w:rPr>
              <w:t>NASK (national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9BC560A"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93D837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7E95128" w14:textId="77777777">
            <w:pPr>
              <w:spacing w:line="240" w:lineRule="auto"/>
              <w:jc w:val="center"/>
              <w:rPr>
                <w:b/>
                <w:bCs/>
                <w:color w:val="000000"/>
                <w:sz w:val="20"/>
              </w:rPr>
            </w:pPr>
            <w:r>
              <w:rPr>
                <w:b/>
                <w:color w:val="000000"/>
                <w:sz w:val="20"/>
              </w:rPr>
              <w:t>x</w:t>
            </w:r>
          </w:p>
        </w:tc>
      </w:tr>
      <w:tr w:rsidRPr="00B47B36" w:rsidR="003130C2" w:rsidTr="00F32872" w14:paraId="452EE71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6DB12D4" w14:textId="77777777">
            <w:pPr>
              <w:spacing w:line="240" w:lineRule="auto"/>
              <w:jc w:val="left"/>
              <w:rPr>
                <w:color w:val="000000"/>
                <w:sz w:val="20"/>
              </w:rPr>
            </w:pPr>
            <w:r>
              <w:rPr>
                <w:color w:val="000000"/>
                <w:sz w:val="20"/>
              </w:rPr>
              <w:t>Polska Agencja Rozowju Przedsiebiorczości (Polish government agency supporting SMEs)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D6E080A"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13723E1"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B6823B6" w14:textId="77777777">
            <w:pPr>
              <w:spacing w:line="240" w:lineRule="auto"/>
              <w:jc w:val="center"/>
              <w:rPr>
                <w:b/>
                <w:bCs/>
                <w:color w:val="000000"/>
                <w:sz w:val="20"/>
              </w:rPr>
            </w:pPr>
            <w:r>
              <w:rPr>
                <w:b/>
                <w:color w:val="000000"/>
                <w:sz w:val="20"/>
              </w:rPr>
              <w:t>x</w:t>
            </w:r>
          </w:p>
        </w:tc>
      </w:tr>
      <w:tr w:rsidRPr="00B47B36" w:rsidR="003130C2" w:rsidTr="00F32872" w14:paraId="4735EFA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3634ADF" w14:textId="77777777">
            <w:pPr>
              <w:spacing w:line="240" w:lineRule="auto"/>
              <w:jc w:val="left"/>
              <w:rPr>
                <w:b/>
                <w:bCs/>
                <w:color w:val="000000"/>
                <w:sz w:val="20"/>
              </w:rPr>
            </w:pPr>
            <w:r>
              <w:rPr>
                <w:color w:val="000000"/>
                <w:sz w:val="20"/>
              </w:rPr>
              <w:t>Łukasiewicz-PIAP (Łukasiewicz</w:t>
            </w:r>
            <w:r>
              <w:rPr>
                <w:b/>
                <w:color w:val="000000"/>
                <w:sz w:val="20"/>
              </w:rPr>
              <w:t xml:space="preserve"> </w:t>
            </w:r>
            <w:r>
              <w:rPr>
                <w:color w:val="000000"/>
                <w:sz w:val="20"/>
              </w:rPr>
              <w:t>Research Network –</w:t>
            </w:r>
            <w:r>
              <w:rPr>
                <w:b/>
                <w:color w:val="000000"/>
                <w:sz w:val="20"/>
              </w:rPr>
              <w:t> </w:t>
            </w:r>
          </w:p>
          <w:p w:rsidRPr="009F3F65" w:rsidR="003130C2" w:rsidP="00F32872" w:rsidRDefault="003130C2" w14:paraId="033C22BC" w14:textId="77777777">
            <w:pPr>
              <w:spacing w:line="240" w:lineRule="auto"/>
              <w:jc w:val="left"/>
              <w:rPr>
                <w:color w:val="000000"/>
                <w:sz w:val="20"/>
              </w:rPr>
            </w:pPr>
            <w:r>
              <w:rPr>
                <w:color w:val="000000"/>
                <w:sz w:val="20"/>
              </w:rPr>
              <w:t>Industrial Institute for Automation and Measurements)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50D31FB"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643400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CFD29B5" w14:textId="77777777">
            <w:pPr>
              <w:spacing w:line="240" w:lineRule="auto"/>
              <w:jc w:val="center"/>
              <w:rPr>
                <w:b/>
                <w:bCs/>
                <w:color w:val="000000"/>
                <w:sz w:val="20"/>
              </w:rPr>
            </w:pPr>
            <w:r>
              <w:rPr>
                <w:b/>
                <w:color w:val="000000"/>
                <w:sz w:val="20"/>
              </w:rPr>
              <w:t>x</w:t>
            </w:r>
          </w:p>
        </w:tc>
      </w:tr>
      <w:tr w:rsidRPr="00B47B36" w:rsidR="003130C2" w:rsidTr="00F32872" w14:paraId="1B43E98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B38A17A" w14:textId="77777777">
            <w:pPr>
              <w:spacing w:line="240" w:lineRule="auto"/>
              <w:jc w:val="left"/>
              <w:rPr>
                <w:color w:val="000000"/>
                <w:sz w:val="20"/>
              </w:rPr>
            </w:pPr>
            <w:r>
              <w:rPr>
                <w:color w:val="000000"/>
                <w:sz w:val="20"/>
              </w:rPr>
              <w:t>Union of Entrepreneurs and Employers – ZPP</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697B929"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5A72CD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97010DE" w14:textId="77777777">
            <w:pPr>
              <w:spacing w:line="240" w:lineRule="auto"/>
              <w:jc w:val="center"/>
              <w:rPr>
                <w:b/>
                <w:bCs/>
                <w:color w:val="000000"/>
                <w:sz w:val="20"/>
              </w:rPr>
            </w:pPr>
            <w:r>
              <w:rPr>
                <w:b/>
                <w:color w:val="000000"/>
                <w:sz w:val="20"/>
              </w:rPr>
              <w:t>x</w:t>
            </w:r>
          </w:p>
        </w:tc>
      </w:tr>
      <w:tr w:rsidRPr="00B47B36" w:rsidR="003130C2" w:rsidTr="00F32872" w14:paraId="29FC4AE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7634B9F" w14:textId="77777777">
            <w:pPr>
              <w:spacing w:line="240" w:lineRule="auto"/>
              <w:jc w:val="left"/>
              <w:rPr>
                <w:color w:val="000000"/>
                <w:sz w:val="20"/>
              </w:rPr>
            </w:pPr>
            <w:r>
              <w:rPr>
                <w:color w:val="000000"/>
                <w:sz w:val="20"/>
              </w:rPr>
              <w:t>National Chamber of Commerce for Electronics and Telecommunications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758C93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2CDEA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866C765" w14:textId="77777777">
            <w:pPr>
              <w:spacing w:line="240" w:lineRule="auto"/>
              <w:jc w:val="center"/>
              <w:rPr>
                <w:b/>
                <w:bCs/>
                <w:color w:val="000000"/>
                <w:sz w:val="20"/>
              </w:rPr>
            </w:pPr>
            <w:r>
              <w:rPr>
                <w:b/>
                <w:color w:val="000000"/>
                <w:sz w:val="20"/>
              </w:rPr>
              <w:t>x</w:t>
            </w:r>
          </w:p>
        </w:tc>
      </w:tr>
      <w:tr w:rsidRPr="00B47B36" w:rsidR="003130C2" w:rsidTr="00F32872" w14:paraId="60DEB09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ED25842" w14:textId="77777777">
            <w:pPr>
              <w:spacing w:line="240" w:lineRule="auto"/>
              <w:jc w:val="left"/>
              <w:rPr>
                <w:color w:val="000000"/>
                <w:sz w:val="20"/>
              </w:rPr>
            </w:pPr>
            <w:r>
              <w:rPr>
                <w:color w:val="000000"/>
                <w:sz w:val="20"/>
              </w:rPr>
              <w:t>NSZZ Solidarność (trade union)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690BBBB"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97EFA6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758486A" w14:textId="77777777">
            <w:pPr>
              <w:spacing w:line="240" w:lineRule="auto"/>
              <w:jc w:val="center"/>
              <w:rPr>
                <w:b/>
                <w:bCs/>
                <w:color w:val="000000"/>
                <w:sz w:val="20"/>
              </w:rPr>
            </w:pPr>
            <w:r>
              <w:rPr>
                <w:b/>
                <w:color w:val="000000"/>
                <w:sz w:val="20"/>
              </w:rPr>
              <w:t>x</w:t>
            </w:r>
          </w:p>
        </w:tc>
      </w:tr>
      <w:tr w:rsidRPr="00B47B36" w:rsidR="003130C2" w:rsidTr="00F32872" w14:paraId="1CDE1F0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A28B55E" w14:textId="77777777">
            <w:pPr>
              <w:spacing w:line="240" w:lineRule="auto"/>
              <w:jc w:val="left"/>
              <w:rPr>
                <w:color w:val="000000"/>
                <w:sz w:val="20"/>
              </w:rPr>
            </w:pPr>
            <w:r>
              <w:rPr>
                <w:color w:val="000000"/>
                <w:sz w:val="20"/>
              </w:rPr>
              <w:t>OPZZ National Alliance of Trade Unions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C2B94D"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74BBD3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FA73663" w14:textId="77777777">
            <w:pPr>
              <w:spacing w:line="240" w:lineRule="auto"/>
              <w:jc w:val="center"/>
              <w:rPr>
                <w:b/>
                <w:bCs/>
                <w:color w:val="000000"/>
                <w:sz w:val="20"/>
              </w:rPr>
            </w:pPr>
            <w:r>
              <w:rPr>
                <w:b/>
                <w:color w:val="000000"/>
                <w:sz w:val="20"/>
              </w:rPr>
              <w:t>x</w:t>
            </w:r>
          </w:p>
        </w:tc>
      </w:tr>
      <w:tr w:rsidRPr="00B47B36" w:rsidR="003130C2" w:rsidTr="00F32872" w14:paraId="0F0E2F1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059FA36" w14:textId="77777777">
            <w:pPr>
              <w:spacing w:line="240" w:lineRule="auto"/>
              <w:jc w:val="left"/>
              <w:rPr>
                <w:color w:val="000000"/>
                <w:sz w:val="20"/>
              </w:rPr>
            </w:pPr>
            <w:r>
              <w:rPr>
                <w:color w:val="000000"/>
                <w:sz w:val="20"/>
              </w:rPr>
              <w:t>Digital Poland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E09DD7"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2143219"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BD2BF9F" w14:textId="77777777">
            <w:pPr>
              <w:spacing w:line="240" w:lineRule="auto"/>
              <w:jc w:val="center"/>
              <w:rPr>
                <w:b/>
                <w:bCs/>
                <w:color w:val="000000"/>
                <w:sz w:val="20"/>
              </w:rPr>
            </w:pPr>
            <w:r>
              <w:rPr>
                <w:b/>
                <w:color w:val="000000"/>
                <w:sz w:val="20"/>
              </w:rPr>
              <w:t>x</w:t>
            </w:r>
          </w:p>
        </w:tc>
      </w:tr>
      <w:tr w:rsidRPr="00B47B36" w:rsidR="003130C2" w:rsidTr="00F32872" w14:paraId="2C14793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E31A122" w14:textId="77777777">
            <w:pPr>
              <w:spacing w:line="240" w:lineRule="auto"/>
              <w:jc w:val="left"/>
              <w:rPr>
                <w:color w:val="000000"/>
                <w:sz w:val="20"/>
              </w:rPr>
            </w:pPr>
            <w:r>
              <w:rPr>
                <w:color w:val="000000"/>
                <w:sz w:val="20"/>
              </w:rPr>
              <w:t>Ministry of Development and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0FF6108"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03A34E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40CDA02" w14:textId="77777777">
            <w:pPr>
              <w:spacing w:line="240" w:lineRule="auto"/>
              <w:jc w:val="center"/>
              <w:rPr>
                <w:b/>
                <w:bCs/>
                <w:color w:val="000000"/>
                <w:sz w:val="20"/>
              </w:rPr>
            </w:pPr>
            <w:r>
              <w:rPr>
                <w:b/>
                <w:color w:val="000000"/>
                <w:sz w:val="20"/>
              </w:rPr>
              <w:t>x</w:t>
            </w:r>
          </w:p>
        </w:tc>
      </w:tr>
      <w:tr w:rsidRPr="00B47B36" w:rsidR="003130C2" w:rsidTr="00F32872" w14:paraId="759539D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87BCC0A" w14:textId="77777777">
            <w:pPr>
              <w:spacing w:line="240" w:lineRule="auto"/>
              <w:jc w:val="left"/>
              <w:rPr>
                <w:color w:val="000000"/>
                <w:sz w:val="20"/>
              </w:rPr>
            </w:pPr>
            <w:r>
              <w:rPr>
                <w:color w:val="000000"/>
                <w:sz w:val="20"/>
              </w:rPr>
              <w:t>Ministry of Digital Affairs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04F5BE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F8640B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C6E112A" w14:textId="77777777">
            <w:pPr>
              <w:spacing w:line="240" w:lineRule="auto"/>
              <w:jc w:val="center"/>
              <w:rPr>
                <w:b/>
                <w:bCs/>
                <w:color w:val="000000"/>
                <w:sz w:val="20"/>
              </w:rPr>
            </w:pPr>
            <w:r>
              <w:rPr>
                <w:b/>
                <w:color w:val="000000"/>
                <w:sz w:val="20"/>
              </w:rPr>
              <w:t>x</w:t>
            </w:r>
          </w:p>
        </w:tc>
      </w:tr>
      <w:tr w:rsidRPr="00B47B36" w:rsidR="003130C2" w:rsidTr="00F32872" w14:paraId="5A53AEE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8D804A7" w14:textId="77777777">
            <w:pPr>
              <w:spacing w:line="240" w:lineRule="auto"/>
              <w:jc w:val="left"/>
              <w:rPr>
                <w:color w:val="000000"/>
                <w:sz w:val="20"/>
              </w:rPr>
            </w:pPr>
            <w:r>
              <w:rPr>
                <w:color w:val="000000"/>
                <w:sz w:val="20"/>
              </w:rPr>
              <w:t>WaMa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2377315"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4469C35"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3E38434" w14:textId="77777777">
            <w:pPr>
              <w:spacing w:line="240" w:lineRule="auto"/>
              <w:jc w:val="center"/>
              <w:rPr>
                <w:b/>
                <w:bCs/>
                <w:color w:val="000000"/>
                <w:sz w:val="20"/>
              </w:rPr>
            </w:pPr>
            <w:r>
              <w:rPr>
                <w:b/>
                <w:color w:val="000000"/>
                <w:sz w:val="20"/>
              </w:rPr>
              <w:t>x</w:t>
            </w:r>
          </w:p>
        </w:tc>
      </w:tr>
      <w:tr w:rsidRPr="00B47B36" w:rsidR="003130C2" w:rsidTr="00F32872" w14:paraId="61410A6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769E953" w14:textId="77777777">
            <w:pPr>
              <w:spacing w:line="240" w:lineRule="auto"/>
              <w:jc w:val="left"/>
              <w:rPr>
                <w:color w:val="000000"/>
                <w:sz w:val="20"/>
              </w:rPr>
            </w:pPr>
            <w:r>
              <w:rPr>
                <w:color w:val="000000"/>
                <w:sz w:val="20"/>
              </w:rPr>
              <w:t>WRO4digITal European Digital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528F656"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F7F0B45"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7E04197" w14:textId="77777777">
            <w:pPr>
              <w:spacing w:line="240" w:lineRule="auto"/>
              <w:jc w:val="center"/>
              <w:rPr>
                <w:b/>
                <w:bCs/>
                <w:color w:val="000000"/>
                <w:sz w:val="20"/>
              </w:rPr>
            </w:pPr>
            <w:r>
              <w:rPr>
                <w:b/>
                <w:color w:val="000000"/>
                <w:sz w:val="20"/>
              </w:rPr>
              <w:t>x</w:t>
            </w:r>
          </w:p>
        </w:tc>
      </w:tr>
      <w:tr w:rsidRPr="00B47B36" w:rsidR="003130C2" w:rsidTr="00F32872" w14:paraId="724D5A5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73A103B" w14:textId="77777777">
            <w:pPr>
              <w:spacing w:line="240" w:lineRule="auto"/>
              <w:jc w:val="left"/>
              <w:rPr>
                <w:color w:val="000000"/>
                <w:sz w:val="20"/>
              </w:rPr>
            </w:pPr>
            <w:r>
              <w:rPr>
                <w:color w:val="000000"/>
                <w:sz w:val="20"/>
              </w:rPr>
              <w:t>Polish Information Processing Society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98D5AF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EE84E30"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10C5CB5" w14:textId="77777777">
            <w:pPr>
              <w:spacing w:line="240" w:lineRule="auto"/>
              <w:jc w:val="center"/>
              <w:rPr>
                <w:b/>
                <w:bCs/>
                <w:color w:val="000000"/>
                <w:sz w:val="20"/>
              </w:rPr>
            </w:pPr>
            <w:r>
              <w:rPr>
                <w:b/>
                <w:color w:val="000000"/>
                <w:sz w:val="20"/>
              </w:rPr>
              <w:t>x</w:t>
            </w:r>
          </w:p>
        </w:tc>
      </w:tr>
      <w:tr w:rsidRPr="00B47B36" w:rsidR="003130C2" w:rsidTr="00F32872" w14:paraId="3F036ED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C901D4B" w14:textId="77777777">
            <w:pPr>
              <w:spacing w:line="240" w:lineRule="auto"/>
              <w:jc w:val="left"/>
              <w:rPr>
                <w:color w:val="000000"/>
                <w:sz w:val="20"/>
              </w:rPr>
            </w:pPr>
            <w:r>
              <w:rPr>
                <w:color w:val="000000"/>
                <w:sz w:val="20"/>
              </w:rPr>
              <w:t>European Digital Innovation Hub of Mazovia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FC07D9E"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69FF92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2263671" w14:textId="77777777">
            <w:pPr>
              <w:spacing w:line="240" w:lineRule="auto"/>
              <w:jc w:val="center"/>
              <w:rPr>
                <w:b/>
                <w:bCs/>
                <w:color w:val="000000"/>
                <w:sz w:val="20"/>
              </w:rPr>
            </w:pPr>
            <w:r>
              <w:rPr>
                <w:b/>
                <w:color w:val="000000"/>
                <w:sz w:val="20"/>
              </w:rPr>
              <w:t>x</w:t>
            </w:r>
          </w:p>
        </w:tc>
      </w:tr>
      <w:tr w:rsidRPr="00B47B36" w:rsidR="003130C2" w:rsidTr="00F32872" w14:paraId="0A74A9D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1BFBCDF" w14:textId="77777777">
            <w:pPr>
              <w:spacing w:line="240" w:lineRule="auto"/>
              <w:jc w:val="left"/>
              <w:rPr>
                <w:color w:val="000000"/>
                <w:sz w:val="20"/>
              </w:rPr>
            </w:pPr>
            <w:r>
              <w:rPr>
                <w:color w:val="000000"/>
                <w:sz w:val="20"/>
              </w:rPr>
              <w:t>Silesia Smart Systems DIH</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3BD622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36BFD7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0E69F28" w14:textId="77777777">
            <w:pPr>
              <w:spacing w:line="240" w:lineRule="auto"/>
              <w:jc w:val="center"/>
              <w:rPr>
                <w:b/>
                <w:bCs/>
                <w:color w:val="000000"/>
                <w:sz w:val="20"/>
              </w:rPr>
            </w:pPr>
            <w:r>
              <w:rPr>
                <w:b/>
                <w:color w:val="000000"/>
                <w:sz w:val="20"/>
              </w:rPr>
              <w:t>x</w:t>
            </w:r>
          </w:p>
        </w:tc>
      </w:tr>
      <w:tr w:rsidRPr="00B47B36" w:rsidR="003130C2" w:rsidTr="00F32872" w14:paraId="7C1400E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8A42439" w14:textId="77777777">
            <w:pPr>
              <w:spacing w:line="240" w:lineRule="auto"/>
              <w:jc w:val="left"/>
              <w:rPr>
                <w:color w:val="000000"/>
                <w:sz w:val="20"/>
              </w:rPr>
            </w:pPr>
            <w:r>
              <w:rPr>
                <w:color w:val="000000"/>
                <w:sz w:val="20"/>
              </w:rPr>
              <w:t>University of Warsaw</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C0E825D"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3ABF39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6ACBE7A" w14:textId="77777777">
            <w:pPr>
              <w:spacing w:line="240" w:lineRule="auto"/>
              <w:jc w:val="center"/>
              <w:rPr>
                <w:b/>
                <w:bCs/>
                <w:color w:val="000000"/>
                <w:sz w:val="20"/>
              </w:rPr>
            </w:pPr>
            <w:r>
              <w:rPr>
                <w:b/>
                <w:color w:val="000000"/>
                <w:sz w:val="20"/>
              </w:rPr>
              <w:t>x</w:t>
            </w:r>
          </w:p>
        </w:tc>
      </w:tr>
      <w:tr w:rsidRPr="00B47B36" w:rsidR="003130C2" w:rsidTr="00F32872" w14:paraId="13A8EC6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6734256" w14:textId="77777777">
            <w:pPr>
              <w:spacing w:line="240" w:lineRule="auto"/>
              <w:jc w:val="left"/>
              <w:rPr>
                <w:color w:val="000000"/>
                <w:sz w:val="20"/>
              </w:rPr>
            </w:pPr>
            <w:r>
              <w:rPr>
                <w:color w:val="000000"/>
                <w:sz w:val="20"/>
              </w:rPr>
              <w:t>Pomeranian Digital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C49B82"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78EA1E4"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5E59599" w14:textId="77777777">
            <w:pPr>
              <w:spacing w:line="240" w:lineRule="auto"/>
              <w:jc w:val="center"/>
              <w:rPr>
                <w:b/>
                <w:bCs/>
                <w:color w:val="000000"/>
                <w:sz w:val="20"/>
              </w:rPr>
            </w:pPr>
            <w:r>
              <w:rPr>
                <w:b/>
                <w:color w:val="000000"/>
                <w:sz w:val="20"/>
              </w:rPr>
              <w:t>x</w:t>
            </w:r>
          </w:p>
        </w:tc>
      </w:tr>
      <w:tr w:rsidRPr="00B47B36" w:rsidR="003130C2" w:rsidTr="00F32872" w14:paraId="7DFE4B0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281A20D" w14:textId="77777777">
            <w:pPr>
              <w:spacing w:line="240" w:lineRule="auto"/>
              <w:jc w:val="left"/>
              <w:rPr>
                <w:color w:val="000000"/>
                <w:sz w:val="20"/>
              </w:rPr>
            </w:pPr>
            <w:r>
              <w:rPr>
                <w:color w:val="000000"/>
                <w:sz w:val="20"/>
              </w:rPr>
              <w:t>EDIH Smart Secure Cities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232B1E0"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DDEC074"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58A196D" w14:textId="77777777">
            <w:pPr>
              <w:spacing w:line="240" w:lineRule="auto"/>
              <w:jc w:val="center"/>
              <w:rPr>
                <w:b/>
                <w:bCs/>
                <w:color w:val="000000"/>
                <w:sz w:val="20"/>
              </w:rPr>
            </w:pPr>
            <w:r>
              <w:rPr>
                <w:b/>
                <w:color w:val="000000"/>
                <w:sz w:val="20"/>
              </w:rPr>
              <w:t>x</w:t>
            </w:r>
          </w:p>
        </w:tc>
      </w:tr>
      <w:tr w:rsidRPr="00B47B36" w:rsidR="003130C2" w:rsidTr="00F32872" w14:paraId="19E330D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F9142FB" w14:textId="77777777">
            <w:pPr>
              <w:spacing w:line="240" w:lineRule="auto"/>
              <w:jc w:val="left"/>
              <w:rPr>
                <w:color w:val="000000"/>
                <w:sz w:val="20"/>
              </w:rPr>
            </w:pPr>
            <w:r>
              <w:rPr>
                <w:color w:val="000000"/>
                <w:sz w:val="20"/>
              </w:rPr>
              <w:t>re_d: rethink digital - Central Poland Digitalisation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2C35F57"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C2D635F"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44A1A64" w14:textId="77777777">
            <w:pPr>
              <w:spacing w:line="240" w:lineRule="auto"/>
              <w:jc w:val="center"/>
              <w:rPr>
                <w:b/>
                <w:bCs/>
                <w:color w:val="000000"/>
                <w:sz w:val="20"/>
              </w:rPr>
            </w:pPr>
            <w:r>
              <w:rPr>
                <w:b/>
                <w:color w:val="000000"/>
                <w:sz w:val="20"/>
              </w:rPr>
              <w:t>x</w:t>
            </w:r>
          </w:p>
        </w:tc>
      </w:tr>
      <w:tr w:rsidRPr="00B47B36" w:rsidR="003130C2" w:rsidTr="00F32872" w14:paraId="41C410E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BD67384" w14:textId="77777777">
            <w:pPr>
              <w:spacing w:line="240" w:lineRule="auto"/>
              <w:jc w:val="left"/>
              <w:rPr>
                <w:color w:val="000000"/>
                <w:sz w:val="20"/>
              </w:rPr>
            </w:pPr>
            <w:r>
              <w:rPr>
                <w:color w:val="000000"/>
                <w:sz w:val="20"/>
              </w:rPr>
              <w:t>Agência para a Modernização Administrativa (Agency for Administrative Modernisation)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D1A51A4"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5BACD61"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A65E30C" w14:textId="77777777">
            <w:pPr>
              <w:spacing w:line="240" w:lineRule="auto"/>
              <w:jc w:val="center"/>
              <w:rPr>
                <w:b/>
                <w:bCs/>
                <w:color w:val="000000"/>
                <w:sz w:val="20"/>
              </w:rPr>
            </w:pPr>
            <w:r>
              <w:rPr>
                <w:b/>
                <w:color w:val="000000"/>
                <w:sz w:val="20"/>
              </w:rPr>
              <w:t> </w:t>
            </w:r>
          </w:p>
        </w:tc>
      </w:tr>
      <w:tr w:rsidRPr="00B47B36" w:rsidR="003130C2" w:rsidTr="00F32872" w14:paraId="2F83949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9C99469" w14:textId="77777777">
            <w:pPr>
              <w:spacing w:line="240" w:lineRule="auto"/>
              <w:jc w:val="left"/>
              <w:rPr>
                <w:color w:val="000000"/>
                <w:sz w:val="20"/>
              </w:rPr>
            </w:pPr>
            <w:r>
              <w:rPr>
                <w:color w:val="000000"/>
                <w:sz w:val="20"/>
              </w:rPr>
              <w:t>Mobinov – Associação do Cluster Automóvel (Automotive Cluster Association</w:t>
            </w:r>
            <w:r>
              <w:rPr>
                <w:b/>
                <w:color w:val="000000"/>
                <w:sz w:val="20"/>
              </w:rPr>
              <w: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54F4AD9"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DF7445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205B1D3" w14:textId="77777777">
            <w:pPr>
              <w:spacing w:line="240" w:lineRule="auto"/>
              <w:jc w:val="center"/>
              <w:rPr>
                <w:b/>
                <w:bCs/>
                <w:color w:val="000000"/>
                <w:sz w:val="20"/>
              </w:rPr>
            </w:pPr>
            <w:r>
              <w:rPr>
                <w:b/>
                <w:color w:val="000000"/>
                <w:sz w:val="20"/>
              </w:rPr>
              <w:t>x</w:t>
            </w:r>
          </w:p>
        </w:tc>
      </w:tr>
      <w:tr w:rsidRPr="00B47B36" w:rsidR="003130C2" w:rsidTr="00F32872" w14:paraId="20B796D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5E738E5" w14:textId="77777777">
            <w:pPr>
              <w:spacing w:line="240" w:lineRule="auto"/>
              <w:jc w:val="left"/>
              <w:rPr>
                <w:color w:val="000000"/>
                <w:sz w:val="20"/>
              </w:rPr>
            </w:pPr>
            <w:r>
              <w:rPr>
                <w:color w:val="000000"/>
                <w:sz w:val="20"/>
              </w:rPr>
              <w:t>Nonagon – Parque de Ciência e Tecnologia de São Miguel (science and technology park)</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27E9F33"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EAE6AF3"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449DD33" w14:textId="77777777">
            <w:pPr>
              <w:spacing w:line="240" w:lineRule="auto"/>
              <w:jc w:val="center"/>
              <w:rPr>
                <w:b/>
                <w:bCs/>
                <w:color w:val="000000"/>
                <w:sz w:val="20"/>
              </w:rPr>
            </w:pPr>
            <w:r>
              <w:rPr>
                <w:b/>
                <w:color w:val="000000"/>
                <w:sz w:val="20"/>
              </w:rPr>
              <w:t>x</w:t>
            </w:r>
          </w:p>
        </w:tc>
      </w:tr>
      <w:tr w:rsidRPr="00B47B36" w:rsidR="003130C2" w:rsidTr="00F32872" w14:paraId="3AF333B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E2186A0" w14:textId="77777777">
            <w:pPr>
              <w:spacing w:line="240" w:lineRule="auto"/>
              <w:jc w:val="left"/>
              <w:rPr>
                <w:color w:val="000000"/>
                <w:sz w:val="20"/>
              </w:rPr>
            </w:pPr>
            <w:r>
              <w:rPr>
                <w:color w:val="000000"/>
                <w:sz w:val="20"/>
              </w:rPr>
              <w:t>Health Cluster Portugal</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7367288"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ED48D0A"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B33BD54" w14:textId="77777777">
            <w:pPr>
              <w:spacing w:line="240" w:lineRule="auto"/>
              <w:jc w:val="center"/>
              <w:rPr>
                <w:b/>
                <w:bCs/>
                <w:color w:val="000000"/>
                <w:sz w:val="20"/>
              </w:rPr>
            </w:pPr>
            <w:r>
              <w:rPr>
                <w:b/>
                <w:color w:val="000000"/>
                <w:sz w:val="20"/>
              </w:rPr>
              <w:t>x</w:t>
            </w:r>
          </w:p>
        </w:tc>
      </w:tr>
      <w:tr w:rsidRPr="00B47B36" w:rsidR="003130C2" w:rsidTr="00F32872" w14:paraId="6122F88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F145C49" w14:textId="77777777">
            <w:pPr>
              <w:spacing w:line="240" w:lineRule="auto"/>
              <w:jc w:val="left"/>
              <w:rPr>
                <w:color w:val="000000"/>
                <w:sz w:val="20"/>
              </w:rPr>
            </w:pPr>
            <w:r>
              <w:rPr>
                <w:color w:val="000000"/>
                <w:sz w:val="20"/>
              </w:rPr>
              <w:t>CNCS – Centro Nacional de Ciberseguranca Portugal (National Cybersecurity Centre)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B251DB4"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9F183A5"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1541128" w14:textId="77777777">
            <w:pPr>
              <w:spacing w:line="240" w:lineRule="auto"/>
              <w:jc w:val="center"/>
              <w:rPr>
                <w:b/>
                <w:bCs/>
                <w:color w:val="000000"/>
                <w:sz w:val="20"/>
              </w:rPr>
            </w:pPr>
            <w:r>
              <w:rPr>
                <w:b/>
                <w:color w:val="000000"/>
                <w:sz w:val="20"/>
              </w:rPr>
              <w:t>x</w:t>
            </w:r>
          </w:p>
        </w:tc>
      </w:tr>
      <w:tr w:rsidRPr="00B47B36" w:rsidR="003130C2" w:rsidTr="00F32872" w14:paraId="6BFD00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5A6554D" w14:textId="77777777">
            <w:pPr>
              <w:spacing w:line="240" w:lineRule="auto"/>
              <w:jc w:val="left"/>
              <w:rPr>
                <w:color w:val="000000"/>
                <w:sz w:val="20"/>
              </w:rPr>
            </w:pPr>
            <w:r>
              <w:rPr>
                <w:color w:val="000000"/>
                <w:sz w:val="20"/>
              </w:rPr>
              <w:t>ANI – Agência Nacional para a Inovação (National Innovation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9232C29"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561FBC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B050E28" w14:textId="77777777">
            <w:pPr>
              <w:spacing w:line="240" w:lineRule="auto"/>
              <w:jc w:val="center"/>
              <w:rPr>
                <w:b/>
                <w:bCs/>
                <w:color w:val="000000"/>
                <w:sz w:val="20"/>
              </w:rPr>
            </w:pPr>
            <w:r>
              <w:rPr>
                <w:b/>
                <w:color w:val="000000"/>
                <w:sz w:val="20"/>
              </w:rPr>
              <w:t>x</w:t>
            </w:r>
          </w:p>
        </w:tc>
      </w:tr>
      <w:tr w:rsidRPr="00B47B36" w:rsidR="003130C2" w:rsidTr="00F32872" w14:paraId="62CDD82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41A641C" w14:textId="77777777">
            <w:pPr>
              <w:spacing w:line="240" w:lineRule="auto"/>
              <w:jc w:val="left"/>
              <w:rPr>
                <w:color w:val="000000"/>
                <w:sz w:val="20"/>
              </w:rPr>
            </w:pPr>
            <w:r>
              <w:rPr>
                <w:color w:val="000000"/>
                <w:sz w:val="20"/>
              </w:rPr>
              <w:t>DGAE – Direção-Geral das Atividades Económicas (Directorate-General for Economic Activities), Ministry of Economy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37F6D7F"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A988D7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9789A8D" w14:textId="77777777">
            <w:pPr>
              <w:spacing w:line="240" w:lineRule="auto"/>
              <w:jc w:val="center"/>
              <w:rPr>
                <w:b/>
                <w:bCs/>
                <w:color w:val="000000"/>
                <w:sz w:val="20"/>
              </w:rPr>
            </w:pPr>
            <w:r>
              <w:rPr>
                <w:b/>
                <w:color w:val="000000"/>
                <w:sz w:val="20"/>
              </w:rPr>
              <w:t>x</w:t>
            </w:r>
          </w:p>
        </w:tc>
      </w:tr>
      <w:tr w:rsidRPr="00B47B36" w:rsidR="003130C2" w:rsidTr="00F32872" w14:paraId="598821C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DEA5492" w14:textId="77777777">
            <w:pPr>
              <w:spacing w:line="240" w:lineRule="auto"/>
              <w:jc w:val="left"/>
              <w:rPr>
                <w:color w:val="000000"/>
                <w:sz w:val="20"/>
              </w:rPr>
            </w:pPr>
            <w:r>
              <w:rPr>
                <w:color w:val="000000"/>
                <w:sz w:val="20"/>
              </w:rPr>
              <w:t>IEFP – Instituto do Emprego e Formação Profissional (Institute for Employment and Vocational Training)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1BB16F0"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16BF45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58990E3" w14:textId="77777777">
            <w:pPr>
              <w:spacing w:line="240" w:lineRule="auto"/>
              <w:jc w:val="center"/>
              <w:rPr>
                <w:b/>
                <w:bCs/>
                <w:color w:val="000000"/>
                <w:sz w:val="20"/>
              </w:rPr>
            </w:pPr>
            <w:r>
              <w:rPr>
                <w:b/>
                <w:color w:val="000000"/>
                <w:sz w:val="20"/>
              </w:rPr>
              <w:t>x</w:t>
            </w:r>
          </w:p>
        </w:tc>
      </w:tr>
      <w:tr w:rsidRPr="00B47B36" w:rsidR="003130C2" w:rsidTr="00F32872" w14:paraId="4EBE75D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6852D9B" w14:textId="77777777">
            <w:pPr>
              <w:spacing w:line="240" w:lineRule="auto"/>
              <w:jc w:val="left"/>
              <w:rPr>
                <w:color w:val="000000"/>
                <w:sz w:val="20"/>
              </w:rPr>
            </w:pPr>
            <w:r>
              <w:rPr>
                <w:color w:val="000000"/>
                <w:sz w:val="20"/>
              </w:rPr>
              <w:t>ACEPI – Associação do Comércio Eletrónico e Publicidade Interativa (E-commerce and Interactive Advertising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336A60"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584C143"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0F6FFC1" w14:textId="77777777">
            <w:pPr>
              <w:spacing w:line="240" w:lineRule="auto"/>
              <w:jc w:val="center"/>
              <w:rPr>
                <w:b/>
                <w:bCs/>
                <w:color w:val="000000"/>
                <w:sz w:val="20"/>
              </w:rPr>
            </w:pPr>
            <w:r>
              <w:rPr>
                <w:b/>
                <w:color w:val="000000"/>
                <w:sz w:val="20"/>
              </w:rPr>
              <w:t>x</w:t>
            </w:r>
          </w:p>
        </w:tc>
      </w:tr>
      <w:tr w:rsidRPr="00B47B36" w:rsidR="003130C2" w:rsidTr="00F32872" w14:paraId="6A70ED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BBB9424" w14:textId="77777777">
            <w:pPr>
              <w:spacing w:line="240" w:lineRule="auto"/>
              <w:jc w:val="left"/>
              <w:rPr>
                <w:color w:val="000000"/>
                <w:sz w:val="20"/>
              </w:rPr>
            </w:pPr>
            <w:r>
              <w:rPr>
                <w:color w:val="000000"/>
                <w:sz w:val="20"/>
              </w:rPr>
              <w:t>CCP – Confederação do Comércio e Serviços de Portugal (Commerce and Services Confederation)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2F1D84"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88C354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5E4ED4F" w14:textId="77777777">
            <w:pPr>
              <w:spacing w:line="240" w:lineRule="auto"/>
              <w:jc w:val="center"/>
              <w:rPr>
                <w:b/>
                <w:bCs/>
                <w:color w:val="000000"/>
                <w:sz w:val="20"/>
              </w:rPr>
            </w:pPr>
            <w:r>
              <w:rPr>
                <w:b/>
                <w:color w:val="000000"/>
                <w:sz w:val="20"/>
              </w:rPr>
              <w:t>x</w:t>
            </w:r>
          </w:p>
        </w:tc>
      </w:tr>
      <w:tr w:rsidRPr="00B47B36" w:rsidR="003130C2" w:rsidTr="00F32872" w14:paraId="3A57BDA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9658608" w14:textId="77777777">
            <w:pPr>
              <w:spacing w:line="240" w:lineRule="auto"/>
              <w:jc w:val="left"/>
              <w:rPr>
                <w:color w:val="000000"/>
                <w:sz w:val="20"/>
              </w:rPr>
            </w:pPr>
            <w:r>
              <w:rPr>
                <w:color w:val="000000"/>
                <w:sz w:val="20"/>
              </w:rPr>
              <w:lastRenderedPageBreak/>
              <w:t>UGT – União Geral dos Trabalhadores (General Union of Workers)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6D392F6"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DB9A7B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6648BE5" w14:textId="77777777">
            <w:pPr>
              <w:spacing w:line="240" w:lineRule="auto"/>
              <w:jc w:val="center"/>
              <w:rPr>
                <w:b/>
                <w:bCs/>
                <w:color w:val="000000"/>
                <w:sz w:val="20"/>
              </w:rPr>
            </w:pPr>
            <w:r>
              <w:rPr>
                <w:b/>
                <w:color w:val="000000"/>
                <w:sz w:val="20"/>
              </w:rPr>
              <w:t>x</w:t>
            </w:r>
          </w:p>
        </w:tc>
      </w:tr>
      <w:tr w:rsidRPr="00B47B36" w:rsidR="003130C2" w:rsidTr="00F32872" w14:paraId="737AB7E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313E4B2" w14:textId="77777777">
            <w:pPr>
              <w:spacing w:line="240" w:lineRule="auto"/>
              <w:jc w:val="left"/>
              <w:rPr>
                <w:color w:val="000000"/>
                <w:sz w:val="20"/>
              </w:rPr>
            </w:pPr>
            <w:r>
              <w:rPr>
                <w:color w:val="000000"/>
                <w:sz w:val="20"/>
              </w:rPr>
              <w:t>Smart Farm CoLab (Collaborative Laboratory for Digital Innovation in Agriculture</w:t>
            </w:r>
            <w:r>
              <w:rPr>
                <w:b/>
                <w:color w:val="000000"/>
                <w:sz w:val="20"/>
              </w:rPr>
              <w: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D395482"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B6BE2E1"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4EBC1E8" w14:textId="77777777">
            <w:pPr>
              <w:spacing w:line="240" w:lineRule="auto"/>
              <w:jc w:val="center"/>
              <w:rPr>
                <w:b/>
                <w:bCs/>
                <w:color w:val="000000"/>
                <w:sz w:val="20"/>
              </w:rPr>
            </w:pPr>
            <w:r>
              <w:rPr>
                <w:b/>
                <w:color w:val="000000"/>
                <w:sz w:val="20"/>
              </w:rPr>
              <w:t>x</w:t>
            </w:r>
          </w:p>
        </w:tc>
      </w:tr>
      <w:tr w:rsidRPr="00B47B36" w:rsidR="003130C2" w:rsidTr="00F32872" w14:paraId="4F9707E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5EDCB7F" w14:textId="77777777">
            <w:pPr>
              <w:spacing w:line="240" w:lineRule="auto"/>
              <w:jc w:val="left"/>
              <w:rPr>
                <w:color w:val="000000"/>
                <w:sz w:val="20"/>
              </w:rPr>
            </w:pPr>
            <w:r>
              <w:rPr>
                <w:color w:val="000000"/>
                <w:sz w:val="20"/>
              </w:rPr>
              <w:t>Instituto de Engenharia de Sistemas e Computadores, Tecnologia e Ciência – INESC TEC (R&amp;D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A491FD"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A81825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572C907" w14:textId="77777777">
            <w:pPr>
              <w:spacing w:line="240" w:lineRule="auto"/>
              <w:jc w:val="center"/>
              <w:rPr>
                <w:b/>
                <w:bCs/>
                <w:color w:val="000000"/>
                <w:sz w:val="20"/>
              </w:rPr>
            </w:pPr>
            <w:r>
              <w:rPr>
                <w:b/>
                <w:color w:val="000000"/>
                <w:sz w:val="20"/>
              </w:rPr>
              <w:t>x</w:t>
            </w:r>
          </w:p>
        </w:tc>
      </w:tr>
      <w:tr w:rsidRPr="00B47B36" w:rsidR="003130C2" w:rsidTr="00F32872" w14:paraId="5C4A3DD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0180EFF" w14:textId="77777777">
            <w:pPr>
              <w:spacing w:line="240" w:lineRule="auto"/>
              <w:jc w:val="left"/>
              <w:rPr>
                <w:color w:val="000000"/>
                <w:sz w:val="20"/>
              </w:rPr>
            </w:pPr>
            <w:r>
              <w:rPr>
                <w:color w:val="000000"/>
                <w:sz w:val="20"/>
              </w:rPr>
              <w:t>BUILT CoLAB (Collaborative Laboratory for the Built Environment of the Future)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044F29"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E5DC1E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DE52F08" w14:textId="77777777">
            <w:pPr>
              <w:spacing w:line="240" w:lineRule="auto"/>
              <w:jc w:val="center"/>
              <w:rPr>
                <w:b/>
                <w:bCs/>
                <w:color w:val="000000"/>
                <w:sz w:val="20"/>
              </w:rPr>
            </w:pPr>
            <w:r>
              <w:rPr>
                <w:b/>
                <w:color w:val="000000"/>
                <w:sz w:val="20"/>
              </w:rPr>
              <w:t>x</w:t>
            </w:r>
          </w:p>
        </w:tc>
      </w:tr>
      <w:tr w:rsidRPr="00B47B36" w:rsidR="003130C2" w:rsidTr="00F32872" w14:paraId="0753849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7344025" w14:textId="77777777">
            <w:pPr>
              <w:spacing w:line="240" w:lineRule="auto"/>
              <w:jc w:val="left"/>
              <w:rPr>
                <w:color w:val="000000"/>
                <w:sz w:val="20"/>
              </w:rPr>
            </w:pPr>
            <w:r>
              <w:rPr>
                <w:color w:val="000000"/>
                <w:sz w:val="20"/>
              </w:rPr>
              <w:t>BGI – Building Global Innovators (tech start-up accelerator)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A8DA4C2"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6F66DB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6DC952B" w14:textId="77777777">
            <w:pPr>
              <w:spacing w:line="240" w:lineRule="auto"/>
              <w:jc w:val="center"/>
              <w:rPr>
                <w:b/>
                <w:bCs/>
                <w:color w:val="000000"/>
                <w:sz w:val="20"/>
              </w:rPr>
            </w:pPr>
            <w:r>
              <w:rPr>
                <w:b/>
                <w:color w:val="000000"/>
                <w:sz w:val="20"/>
              </w:rPr>
              <w:t>x</w:t>
            </w:r>
          </w:p>
        </w:tc>
      </w:tr>
      <w:tr w:rsidRPr="00B47B36" w:rsidR="003130C2" w:rsidTr="00F32872" w14:paraId="2EB3057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A1252F9" w14:textId="77777777">
            <w:pPr>
              <w:spacing w:line="240" w:lineRule="auto"/>
              <w:jc w:val="left"/>
              <w:rPr>
                <w:color w:val="000000"/>
                <w:sz w:val="20"/>
              </w:rPr>
            </w:pPr>
            <w:r>
              <w:rPr>
                <w:color w:val="000000"/>
                <w:sz w:val="20"/>
              </w:rPr>
              <w:t>FCT – Fundação para a Ciência e a Tecnologia (Foundation for Science and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C05E430"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90FD51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F6E8A0D" w14:textId="77777777">
            <w:pPr>
              <w:spacing w:line="240" w:lineRule="auto"/>
              <w:jc w:val="center"/>
              <w:rPr>
                <w:b/>
                <w:bCs/>
                <w:color w:val="000000"/>
                <w:sz w:val="20"/>
              </w:rPr>
            </w:pPr>
            <w:r>
              <w:rPr>
                <w:b/>
                <w:color w:val="000000"/>
                <w:sz w:val="20"/>
              </w:rPr>
              <w:t>x</w:t>
            </w:r>
          </w:p>
        </w:tc>
      </w:tr>
      <w:tr w:rsidRPr="00B47B36" w:rsidR="003130C2" w:rsidTr="00F32872" w14:paraId="405089B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4E6746A" w14:textId="77777777">
            <w:pPr>
              <w:spacing w:line="240" w:lineRule="auto"/>
              <w:jc w:val="left"/>
              <w:rPr>
                <w:color w:val="000000"/>
                <w:sz w:val="20"/>
              </w:rPr>
            </w:pPr>
            <w:r>
              <w:rPr>
                <w:color w:val="000000"/>
                <w:sz w:val="20"/>
              </w:rPr>
              <w:t>PRODUTECH – Pólo das Tecnologias de Produção (production technologies cluster)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80CBE7B"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BF44275"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4A6712C" w14:textId="77777777">
            <w:pPr>
              <w:spacing w:line="240" w:lineRule="auto"/>
              <w:jc w:val="center"/>
              <w:rPr>
                <w:b/>
                <w:bCs/>
                <w:color w:val="000000"/>
                <w:sz w:val="20"/>
              </w:rPr>
            </w:pPr>
            <w:r>
              <w:rPr>
                <w:b/>
                <w:color w:val="000000"/>
                <w:sz w:val="20"/>
              </w:rPr>
              <w:t>x</w:t>
            </w:r>
          </w:p>
        </w:tc>
      </w:tr>
      <w:tr w:rsidRPr="00B47B36" w:rsidR="003130C2" w:rsidTr="00F32872" w14:paraId="29E9EB6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CBF0392" w14:textId="77777777">
            <w:pPr>
              <w:spacing w:line="240" w:lineRule="auto"/>
              <w:jc w:val="left"/>
              <w:rPr>
                <w:color w:val="000000"/>
                <w:sz w:val="20"/>
              </w:rPr>
            </w:pPr>
            <w:r>
              <w:rPr>
                <w:color w:val="000000"/>
                <w:sz w:val="20"/>
              </w:rPr>
              <w:t>KTH Royal Institute of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6F8E1AF"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4F6FB46"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2127A48" w14:textId="77777777">
            <w:pPr>
              <w:spacing w:line="240" w:lineRule="auto"/>
              <w:jc w:val="center"/>
              <w:rPr>
                <w:b/>
                <w:bCs/>
                <w:color w:val="000000"/>
                <w:sz w:val="20"/>
              </w:rPr>
            </w:pPr>
            <w:r>
              <w:rPr>
                <w:b/>
                <w:color w:val="000000"/>
                <w:sz w:val="20"/>
              </w:rPr>
              <w:t>x</w:t>
            </w:r>
          </w:p>
        </w:tc>
      </w:tr>
      <w:tr w:rsidRPr="00B47B36" w:rsidR="003130C2" w:rsidTr="00F32872" w14:paraId="0D9B1C4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DF9BB8C" w14:textId="77777777">
            <w:pPr>
              <w:spacing w:line="240" w:lineRule="auto"/>
              <w:jc w:val="left"/>
              <w:rPr>
                <w:color w:val="000000"/>
                <w:sz w:val="20"/>
              </w:rPr>
            </w:pPr>
            <w:r>
              <w:rPr>
                <w:color w:val="000000"/>
                <w:sz w:val="20"/>
              </w:rPr>
              <w:t>Vinnova (innovation (government)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09CA28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41314F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B191DDA" w14:textId="77777777">
            <w:pPr>
              <w:spacing w:line="240" w:lineRule="auto"/>
              <w:jc w:val="center"/>
              <w:rPr>
                <w:b/>
                <w:bCs/>
                <w:color w:val="000000"/>
                <w:sz w:val="20"/>
              </w:rPr>
            </w:pPr>
            <w:r>
              <w:rPr>
                <w:b/>
                <w:color w:val="000000"/>
                <w:sz w:val="20"/>
              </w:rPr>
              <w:t>x</w:t>
            </w:r>
          </w:p>
        </w:tc>
      </w:tr>
      <w:tr w:rsidRPr="00B47B36" w:rsidR="003130C2" w:rsidTr="00F32872" w14:paraId="69DDEEC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2986873" w14:textId="77777777">
            <w:pPr>
              <w:spacing w:line="240" w:lineRule="auto"/>
              <w:jc w:val="left"/>
              <w:rPr>
                <w:color w:val="000000"/>
                <w:sz w:val="20"/>
              </w:rPr>
            </w:pPr>
            <w:r>
              <w:rPr>
                <w:color w:val="000000"/>
                <w:sz w:val="20"/>
              </w:rPr>
              <w:t>Karolinska Institutet (research-led medical university)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BEBAE09"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B807A32"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ADC8B6F" w14:textId="77777777">
            <w:pPr>
              <w:spacing w:line="240" w:lineRule="auto"/>
              <w:jc w:val="center"/>
              <w:rPr>
                <w:b/>
                <w:bCs/>
                <w:color w:val="000000"/>
                <w:sz w:val="20"/>
              </w:rPr>
            </w:pPr>
            <w:r>
              <w:rPr>
                <w:b/>
                <w:color w:val="000000"/>
                <w:sz w:val="20"/>
              </w:rPr>
              <w:t>x</w:t>
            </w:r>
          </w:p>
        </w:tc>
      </w:tr>
      <w:tr w:rsidRPr="00B47B36" w:rsidR="003130C2" w:rsidTr="00F32872" w14:paraId="1E65ABA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21F0146" w14:textId="77777777">
            <w:pPr>
              <w:spacing w:line="240" w:lineRule="auto"/>
              <w:jc w:val="left"/>
              <w:rPr>
                <w:color w:val="000000"/>
                <w:sz w:val="20"/>
              </w:rPr>
            </w:pPr>
            <w:r>
              <w:rPr>
                <w:color w:val="000000"/>
                <w:sz w:val="20"/>
              </w:rPr>
              <w:t>Mediemyndigheten (The Swedish Agency for the Media)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A8082E3"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F2A41F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331891C" w14:textId="77777777">
            <w:pPr>
              <w:spacing w:line="240" w:lineRule="auto"/>
              <w:jc w:val="center"/>
              <w:rPr>
                <w:b/>
                <w:bCs/>
                <w:color w:val="000000"/>
                <w:sz w:val="20"/>
              </w:rPr>
            </w:pPr>
            <w:r>
              <w:rPr>
                <w:b/>
                <w:color w:val="000000"/>
                <w:sz w:val="20"/>
              </w:rPr>
              <w:t>x</w:t>
            </w:r>
          </w:p>
        </w:tc>
      </w:tr>
      <w:tr w:rsidRPr="00B47B36" w:rsidR="003130C2" w:rsidTr="00F32872" w14:paraId="6F566CC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D75D24C" w14:textId="77777777">
            <w:pPr>
              <w:spacing w:line="240" w:lineRule="auto"/>
              <w:jc w:val="left"/>
              <w:rPr>
                <w:color w:val="000000"/>
                <w:sz w:val="20"/>
              </w:rPr>
            </w:pPr>
            <w:r>
              <w:rPr>
                <w:color w:val="000000"/>
                <w:sz w:val="20"/>
              </w:rPr>
              <w:t>Försäkringskassan – Swedish social insurance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C118ECA"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89FCBC6"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5595674" w14:textId="77777777">
            <w:pPr>
              <w:spacing w:line="240" w:lineRule="auto"/>
              <w:jc w:val="center"/>
              <w:rPr>
                <w:b/>
                <w:bCs/>
                <w:color w:val="000000"/>
                <w:sz w:val="20"/>
              </w:rPr>
            </w:pPr>
            <w:r>
              <w:rPr>
                <w:b/>
                <w:color w:val="000000"/>
                <w:sz w:val="20"/>
              </w:rPr>
              <w:t> </w:t>
            </w:r>
          </w:p>
        </w:tc>
      </w:tr>
      <w:tr w:rsidRPr="00B47B36" w:rsidR="003130C2" w:rsidTr="00F32872" w14:paraId="55E3D73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1987A9D" w14:textId="77777777">
            <w:pPr>
              <w:spacing w:line="240" w:lineRule="auto"/>
              <w:jc w:val="left"/>
              <w:rPr>
                <w:color w:val="000000"/>
                <w:sz w:val="20"/>
              </w:rPr>
            </w:pPr>
            <w:r>
              <w:rPr>
                <w:color w:val="000000"/>
                <w:sz w:val="20"/>
              </w:rPr>
              <w:t>PropTech Sweden (property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1A4D558"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B99518F"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3DAA474" w14:textId="77777777">
            <w:pPr>
              <w:spacing w:line="240" w:lineRule="auto"/>
              <w:jc w:val="center"/>
              <w:rPr>
                <w:b/>
                <w:bCs/>
                <w:color w:val="000000"/>
                <w:sz w:val="20"/>
              </w:rPr>
            </w:pPr>
            <w:r>
              <w:rPr>
                <w:b/>
                <w:color w:val="000000"/>
                <w:sz w:val="20"/>
              </w:rPr>
              <w:t> </w:t>
            </w:r>
          </w:p>
        </w:tc>
      </w:tr>
      <w:tr w:rsidRPr="00B47B36" w:rsidR="003130C2" w:rsidTr="00F32872" w14:paraId="34592E4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0C57550" w14:textId="77777777">
            <w:pPr>
              <w:spacing w:line="240" w:lineRule="auto"/>
              <w:jc w:val="left"/>
              <w:rPr>
                <w:color w:val="000000"/>
                <w:sz w:val="20"/>
              </w:rPr>
            </w:pPr>
            <w:r>
              <w:rPr>
                <w:color w:val="000000"/>
                <w:sz w:val="20"/>
              </w:rPr>
              <w:t>Ifous (research institute – education)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2324757"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DE7C72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FD0B268" w14:textId="77777777">
            <w:pPr>
              <w:spacing w:line="240" w:lineRule="auto"/>
              <w:jc w:val="center"/>
              <w:rPr>
                <w:b/>
                <w:bCs/>
                <w:color w:val="000000"/>
                <w:sz w:val="20"/>
              </w:rPr>
            </w:pPr>
            <w:r>
              <w:rPr>
                <w:b/>
                <w:color w:val="000000"/>
                <w:sz w:val="20"/>
              </w:rPr>
              <w:t>x</w:t>
            </w:r>
          </w:p>
        </w:tc>
      </w:tr>
      <w:tr w:rsidRPr="00B47B36" w:rsidR="003130C2" w:rsidTr="00F32872" w14:paraId="209C6AC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C5216D0" w14:textId="77777777">
            <w:pPr>
              <w:spacing w:line="240" w:lineRule="auto"/>
              <w:jc w:val="left"/>
              <w:rPr>
                <w:color w:val="000000"/>
                <w:sz w:val="20"/>
              </w:rPr>
            </w:pPr>
            <w:r>
              <w:rPr>
                <w:color w:val="000000"/>
                <w:sz w:val="20"/>
              </w:rPr>
              <w:t>Teknikföretagen (Association of Swedish Engineering Industries)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4421768"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688D590"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A75B48D" w14:textId="77777777">
            <w:pPr>
              <w:spacing w:line="240" w:lineRule="auto"/>
              <w:jc w:val="center"/>
              <w:rPr>
                <w:b/>
                <w:bCs/>
                <w:color w:val="000000"/>
                <w:sz w:val="20"/>
              </w:rPr>
            </w:pPr>
            <w:r>
              <w:rPr>
                <w:b/>
                <w:color w:val="000000"/>
                <w:sz w:val="20"/>
              </w:rPr>
              <w:t> </w:t>
            </w:r>
          </w:p>
        </w:tc>
      </w:tr>
      <w:tr w:rsidRPr="00B47B36" w:rsidR="003130C2" w:rsidTr="00F32872" w14:paraId="2F207C3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BB82650" w14:textId="77777777">
            <w:pPr>
              <w:spacing w:line="240" w:lineRule="auto"/>
              <w:jc w:val="left"/>
              <w:rPr>
                <w:color w:val="000000"/>
                <w:sz w:val="20"/>
              </w:rPr>
            </w:pPr>
            <w:r>
              <w:rPr>
                <w:color w:val="000000"/>
                <w:sz w:val="20"/>
              </w:rPr>
              <w:t>TechSverige (tech sector organisation)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2A2876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030768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E409853" w14:textId="77777777">
            <w:pPr>
              <w:spacing w:line="240" w:lineRule="auto"/>
              <w:jc w:val="center"/>
              <w:rPr>
                <w:b/>
                <w:bCs/>
                <w:color w:val="000000"/>
                <w:sz w:val="20"/>
              </w:rPr>
            </w:pPr>
            <w:r>
              <w:rPr>
                <w:b/>
                <w:color w:val="000000"/>
                <w:sz w:val="20"/>
              </w:rPr>
              <w:t> </w:t>
            </w:r>
          </w:p>
        </w:tc>
      </w:tr>
      <w:tr w:rsidRPr="00B47B36" w:rsidR="003130C2" w:rsidTr="00F32872" w14:paraId="6FCCB55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C4A68E8" w14:textId="77777777">
            <w:pPr>
              <w:spacing w:line="240" w:lineRule="auto"/>
              <w:jc w:val="left"/>
              <w:rPr>
                <w:color w:val="000000"/>
                <w:sz w:val="20"/>
              </w:rPr>
            </w:pPr>
            <w:r>
              <w:rPr>
                <w:color w:val="000000"/>
                <w:sz w:val="20"/>
              </w:rPr>
              <w:t>Futurion (think tank for the working life of the future)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DA749BA"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5C415F3"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E8AD9A7" w14:textId="77777777">
            <w:pPr>
              <w:spacing w:line="240" w:lineRule="auto"/>
              <w:jc w:val="center"/>
              <w:rPr>
                <w:b/>
                <w:bCs/>
                <w:color w:val="000000"/>
                <w:sz w:val="20"/>
              </w:rPr>
            </w:pPr>
            <w:r>
              <w:rPr>
                <w:b/>
                <w:color w:val="000000"/>
                <w:sz w:val="20"/>
              </w:rPr>
              <w:t>x</w:t>
            </w:r>
          </w:p>
        </w:tc>
      </w:tr>
      <w:tr w:rsidRPr="00B47B36" w:rsidR="003130C2" w:rsidTr="00F32872" w14:paraId="02BAF08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B564E29" w14:textId="77777777">
            <w:pPr>
              <w:spacing w:line="240" w:lineRule="auto"/>
              <w:jc w:val="left"/>
              <w:rPr>
                <w:color w:val="000000"/>
                <w:sz w:val="20"/>
              </w:rPr>
            </w:pPr>
            <w:r>
              <w:rPr>
                <w:color w:val="000000"/>
                <w:sz w:val="20"/>
              </w:rPr>
              <w:t>Swedish National Coordination Centre for Cybersecurity research and innovation (NCC-SE), the Swedish Civil Contingencies Agency (MSB)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9013629"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E87B6B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77A1D17" w14:textId="77777777">
            <w:pPr>
              <w:spacing w:line="240" w:lineRule="auto"/>
              <w:jc w:val="center"/>
              <w:rPr>
                <w:b/>
                <w:bCs/>
                <w:color w:val="000000"/>
                <w:sz w:val="20"/>
              </w:rPr>
            </w:pPr>
            <w:r>
              <w:rPr>
                <w:b/>
                <w:color w:val="000000"/>
                <w:sz w:val="20"/>
              </w:rPr>
              <w:t>x</w:t>
            </w:r>
          </w:p>
        </w:tc>
      </w:tr>
      <w:tr w:rsidRPr="00B47B36" w:rsidR="003130C2" w:rsidTr="00F32872" w14:paraId="2B1E6D9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8AAE1A1" w14:textId="77777777">
            <w:pPr>
              <w:spacing w:line="240" w:lineRule="auto"/>
              <w:jc w:val="left"/>
              <w:rPr>
                <w:color w:val="000000"/>
                <w:sz w:val="20"/>
              </w:rPr>
            </w:pPr>
            <w:r>
              <w:rPr>
                <w:color w:val="000000"/>
                <w:sz w:val="20"/>
              </w:rPr>
              <w:t>City of Stockholm</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9ED53A"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E66E69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CA9047F" w14:textId="77777777">
            <w:pPr>
              <w:spacing w:line="240" w:lineRule="auto"/>
              <w:jc w:val="center"/>
              <w:rPr>
                <w:b/>
                <w:bCs/>
                <w:color w:val="000000"/>
                <w:sz w:val="20"/>
              </w:rPr>
            </w:pPr>
            <w:r>
              <w:rPr>
                <w:b/>
                <w:color w:val="000000"/>
                <w:sz w:val="20"/>
              </w:rPr>
              <w:t>x</w:t>
            </w:r>
          </w:p>
        </w:tc>
      </w:tr>
      <w:tr w:rsidRPr="00B47B36" w:rsidR="003130C2" w:rsidTr="00F32872" w14:paraId="1C9727B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95EA0E7" w14:textId="77777777">
            <w:pPr>
              <w:spacing w:line="240" w:lineRule="auto"/>
              <w:jc w:val="left"/>
              <w:rPr>
                <w:color w:val="000000"/>
                <w:sz w:val="20"/>
              </w:rPr>
            </w:pPr>
            <w:r>
              <w:rPr>
                <w:color w:val="000000"/>
                <w:sz w:val="20"/>
              </w:rPr>
              <w:t>Region Stockholm</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4FAB76"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171BD2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371B770" w14:textId="77777777">
            <w:pPr>
              <w:spacing w:line="240" w:lineRule="auto"/>
              <w:jc w:val="center"/>
              <w:rPr>
                <w:b/>
                <w:bCs/>
                <w:color w:val="000000"/>
                <w:sz w:val="20"/>
              </w:rPr>
            </w:pPr>
            <w:r>
              <w:rPr>
                <w:b/>
                <w:color w:val="000000"/>
                <w:sz w:val="20"/>
              </w:rPr>
              <w:t>x</w:t>
            </w:r>
          </w:p>
        </w:tc>
      </w:tr>
      <w:tr w:rsidRPr="00B47B36" w:rsidR="003130C2" w:rsidTr="00F32872" w14:paraId="0C4D642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DDB8420" w14:textId="77777777">
            <w:pPr>
              <w:spacing w:line="240" w:lineRule="auto"/>
              <w:jc w:val="left"/>
              <w:rPr>
                <w:color w:val="000000"/>
                <w:sz w:val="20"/>
              </w:rPr>
            </w:pPr>
            <w:r>
              <w:rPr>
                <w:color w:val="000000"/>
                <w:sz w:val="20"/>
              </w:rPr>
              <w:t>Swedish Association of Local Authorities and Regions (SALAR)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968A80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F01E2E3"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66A04F7" w14:textId="77777777">
            <w:pPr>
              <w:spacing w:line="240" w:lineRule="auto"/>
              <w:jc w:val="center"/>
              <w:rPr>
                <w:b/>
                <w:bCs/>
                <w:color w:val="000000"/>
                <w:sz w:val="20"/>
              </w:rPr>
            </w:pPr>
            <w:r>
              <w:rPr>
                <w:b/>
                <w:color w:val="000000"/>
                <w:sz w:val="20"/>
              </w:rPr>
              <w:t>x</w:t>
            </w:r>
          </w:p>
        </w:tc>
      </w:tr>
      <w:tr w:rsidRPr="00B47B36" w:rsidR="003130C2" w:rsidTr="00F32872" w14:paraId="2F2481F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007FFA4" w14:textId="77777777">
            <w:pPr>
              <w:spacing w:line="240" w:lineRule="auto"/>
              <w:jc w:val="left"/>
              <w:rPr>
                <w:color w:val="000000"/>
                <w:sz w:val="20"/>
              </w:rPr>
            </w:pPr>
            <w:r>
              <w:rPr>
                <w:color w:val="000000"/>
                <w:sz w:val="20"/>
              </w:rPr>
              <w:t>Stockholm School of Economics – University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DE6F765"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0AD95BD"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E564867" w14:textId="77777777">
            <w:pPr>
              <w:spacing w:line="240" w:lineRule="auto"/>
              <w:jc w:val="center"/>
              <w:rPr>
                <w:b/>
                <w:bCs/>
                <w:color w:val="000000"/>
                <w:sz w:val="20"/>
              </w:rPr>
            </w:pPr>
            <w:r>
              <w:rPr>
                <w:b/>
                <w:color w:val="000000"/>
                <w:sz w:val="20"/>
              </w:rPr>
              <w:t>x</w:t>
            </w:r>
          </w:p>
        </w:tc>
      </w:tr>
      <w:tr w:rsidRPr="00B47B36" w:rsidR="003130C2" w:rsidTr="00F32872" w14:paraId="13358F3F" w14:textId="77777777">
        <w:trPr>
          <w:trHeight w:val="270"/>
        </w:trPr>
        <w:tc>
          <w:tcPr>
            <w:tcW w:w="4810" w:type="dxa"/>
            <w:tcBorders>
              <w:top w:val="nil"/>
              <w:left w:val="single" w:color="auto" w:sz="8" w:space="0"/>
              <w:bottom w:val="single" w:color="auto" w:sz="4" w:space="0"/>
              <w:right w:val="single" w:color="BFBFBF" w:sz="8" w:space="0"/>
            </w:tcBorders>
            <w:shd w:val="clear" w:color="auto" w:fill="auto"/>
            <w:noWrap/>
            <w:vAlign w:val="center"/>
            <w:hideMark/>
          </w:tcPr>
          <w:p w:rsidRPr="009F3F65" w:rsidR="003130C2" w:rsidP="00F32872" w:rsidRDefault="003130C2" w14:paraId="269AC5D0" w14:textId="77777777">
            <w:pPr>
              <w:spacing w:line="240" w:lineRule="auto"/>
              <w:jc w:val="left"/>
              <w:rPr>
                <w:color w:val="000000"/>
                <w:sz w:val="20"/>
              </w:rPr>
            </w:pPr>
            <w:r>
              <w:rPr>
                <w:color w:val="000000"/>
                <w:sz w:val="20"/>
              </w:rPr>
              <w:t>BioExcel Centre of Excellence</w:t>
            </w:r>
          </w:p>
        </w:tc>
        <w:tc>
          <w:tcPr>
            <w:tcW w:w="1559" w:type="dxa"/>
            <w:tcBorders>
              <w:top w:val="nil"/>
              <w:left w:val="nil"/>
              <w:bottom w:val="single" w:color="auto" w:sz="4" w:space="0"/>
              <w:right w:val="single" w:color="BFBFBF" w:sz="8" w:space="0"/>
            </w:tcBorders>
            <w:shd w:val="clear" w:color="auto" w:fill="auto"/>
            <w:noWrap/>
            <w:vAlign w:val="center"/>
            <w:hideMark/>
          </w:tcPr>
          <w:p w:rsidRPr="009F3F65" w:rsidR="003130C2" w:rsidP="00F32872" w:rsidRDefault="003130C2" w14:paraId="1AA3715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auto" w:sz="4" w:space="0"/>
              <w:right w:val="single" w:color="BFBFBF" w:sz="8" w:space="0"/>
            </w:tcBorders>
            <w:shd w:val="clear" w:color="auto" w:fill="auto"/>
            <w:vAlign w:val="center"/>
            <w:hideMark/>
          </w:tcPr>
          <w:p w:rsidRPr="009F3F65" w:rsidR="003130C2" w:rsidP="00F32872" w:rsidRDefault="003130C2" w14:paraId="0B3EDF1C" w14:textId="77777777">
            <w:pPr>
              <w:spacing w:line="240" w:lineRule="auto"/>
              <w:jc w:val="center"/>
              <w:rPr>
                <w:b/>
                <w:bCs/>
                <w:color w:val="000000"/>
                <w:sz w:val="20"/>
              </w:rPr>
            </w:pPr>
            <w:r>
              <w:rPr>
                <w:b/>
                <w:color w:val="000000"/>
                <w:sz w:val="20"/>
              </w:rPr>
              <w:t> </w:t>
            </w:r>
          </w:p>
        </w:tc>
        <w:tc>
          <w:tcPr>
            <w:tcW w:w="1317" w:type="dxa"/>
            <w:tcBorders>
              <w:top w:val="nil"/>
              <w:left w:val="nil"/>
              <w:bottom w:val="single" w:color="auto" w:sz="4" w:space="0"/>
              <w:right w:val="single" w:color="auto" w:sz="8" w:space="0"/>
            </w:tcBorders>
            <w:shd w:val="clear" w:color="auto" w:fill="auto"/>
            <w:vAlign w:val="center"/>
            <w:hideMark/>
          </w:tcPr>
          <w:p w:rsidRPr="009F3F65" w:rsidR="003130C2" w:rsidP="00F32872" w:rsidRDefault="003130C2" w14:paraId="0601EEDF" w14:textId="77777777">
            <w:pPr>
              <w:spacing w:line="240" w:lineRule="auto"/>
              <w:jc w:val="center"/>
              <w:rPr>
                <w:b/>
                <w:bCs/>
                <w:color w:val="000000"/>
                <w:sz w:val="20"/>
              </w:rPr>
            </w:pPr>
            <w:r>
              <w:rPr>
                <w:b/>
                <w:color w:val="000000"/>
                <w:sz w:val="20"/>
              </w:rPr>
              <w:t>x</w:t>
            </w:r>
          </w:p>
        </w:tc>
      </w:tr>
      <w:tr w:rsidRPr="00B47B36" w:rsidR="003130C2" w:rsidTr="00F32872" w14:paraId="5D01ED46" w14:textId="77777777">
        <w:trPr>
          <w:trHeight w:val="270"/>
        </w:trPr>
        <w:tc>
          <w:tcPr>
            <w:tcW w:w="48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F65" w:rsidR="003130C2" w:rsidP="00F32872" w:rsidRDefault="003130C2" w14:paraId="08C51A23" w14:textId="77777777">
            <w:pPr>
              <w:spacing w:line="240" w:lineRule="auto"/>
              <w:jc w:val="left"/>
              <w:rPr>
                <w:color w:val="000000"/>
                <w:sz w:val="20"/>
              </w:rPr>
            </w:pPr>
            <w:r>
              <w:rPr>
                <w:color w:val="000000"/>
                <w:sz w:val="20"/>
              </w:rPr>
              <w:t>Swedish Edtech Industry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F65" w:rsidR="003130C2" w:rsidP="00F32872" w:rsidRDefault="003130C2" w14:paraId="0C8877AD" w14:textId="77777777">
            <w:pPr>
              <w:spacing w:line="240" w:lineRule="auto"/>
              <w:jc w:val="left"/>
              <w:rPr>
                <w:b/>
                <w:bCs/>
                <w:color w:val="000000"/>
                <w:sz w:val="20"/>
              </w:rPr>
            </w:pPr>
            <w:r>
              <w:rPr>
                <w:b/>
                <w:color w:val="000000"/>
                <w:sz w:val="20"/>
              </w:rPr>
              <w:t>Sweden</w:t>
            </w: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F3F65" w:rsidR="003130C2" w:rsidP="00F32872" w:rsidRDefault="003130C2" w14:paraId="6A63DBD8" w14:textId="77777777">
            <w:pPr>
              <w:spacing w:line="240" w:lineRule="auto"/>
              <w:jc w:val="center"/>
              <w:rPr>
                <w:b/>
                <w:bCs/>
                <w:color w:val="000000"/>
                <w:sz w:val="20"/>
              </w:rPr>
            </w:pPr>
            <w:r>
              <w:rPr>
                <w:b/>
                <w:color w:val="000000"/>
                <w:sz w:val="20"/>
              </w:rPr>
              <w:t>x</w:t>
            </w:r>
          </w:p>
        </w:tc>
        <w:tc>
          <w:tcPr>
            <w:tcW w:w="131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F3F65" w:rsidR="003130C2" w:rsidP="00F32872" w:rsidRDefault="003130C2" w14:paraId="13F5EFEC" w14:textId="77777777">
            <w:pPr>
              <w:spacing w:line="240" w:lineRule="auto"/>
              <w:jc w:val="center"/>
              <w:rPr>
                <w:b/>
                <w:bCs/>
                <w:color w:val="000000"/>
                <w:sz w:val="20"/>
              </w:rPr>
            </w:pPr>
            <w:r>
              <w:rPr>
                <w:b/>
                <w:color w:val="000000"/>
                <w:sz w:val="20"/>
              </w:rPr>
              <w:t>x</w:t>
            </w:r>
          </w:p>
        </w:tc>
      </w:tr>
      <w:tr w:rsidRPr="00B47B36" w:rsidR="003130C2" w:rsidTr="00F32872" w14:paraId="66BD82AD" w14:textId="77777777">
        <w:trPr>
          <w:trHeight w:val="270"/>
        </w:trPr>
        <w:tc>
          <w:tcPr>
            <w:tcW w:w="481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9F3F65" w:rsidR="003130C2" w:rsidP="00F32872" w:rsidRDefault="003130C2" w14:paraId="2DF88DA4" w14:textId="77777777">
            <w:pPr>
              <w:spacing w:line="240" w:lineRule="auto"/>
              <w:jc w:val="left"/>
              <w:rPr>
                <w:color w:val="000000"/>
                <w:sz w:val="20"/>
                <w:lang w:val="en-GB" w:eastAsia="fr-BE"/>
              </w:rPr>
            </w:pP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9F3F65" w:rsidR="003130C2" w:rsidP="00F32872" w:rsidRDefault="003130C2" w14:paraId="335EA60B" w14:textId="77777777">
            <w:pPr>
              <w:spacing w:line="240" w:lineRule="auto"/>
              <w:jc w:val="left"/>
              <w:rPr>
                <w:b/>
                <w:bCs/>
                <w:color w:val="000000"/>
                <w:sz w:val="20"/>
                <w:lang w:val="en-GB" w:eastAsia="fr-BE"/>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rsidRPr="009F3F65" w:rsidR="003130C2" w:rsidP="00F32872" w:rsidRDefault="003130C2" w14:paraId="5114C930" w14:textId="77777777">
            <w:pPr>
              <w:spacing w:line="240" w:lineRule="auto"/>
              <w:jc w:val="center"/>
              <w:rPr>
                <w:b/>
                <w:bCs/>
                <w:color w:val="000000"/>
                <w:sz w:val="20"/>
              </w:rPr>
            </w:pPr>
            <w:r>
              <w:rPr>
                <w:b/>
                <w:color w:val="000000"/>
                <w:sz w:val="20"/>
              </w:rPr>
              <w:t>40</w:t>
            </w:r>
          </w:p>
        </w:tc>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rsidRPr="009F3F65" w:rsidR="003130C2" w:rsidP="00F32872" w:rsidRDefault="003130C2" w14:paraId="2577246F" w14:textId="77777777">
            <w:pPr>
              <w:spacing w:line="240" w:lineRule="auto"/>
              <w:jc w:val="center"/>
              <w:rPr>
                <w:b/>
                <w:bCs/>
                <w:color w:val="000000"/>
                <w:sz w:val="20"/>
              </w:rPr>
            </w:pPr>
            <w:r>
              <w:rPr>
                <w:b/>
                <w:color w:val="000000"/>
                <w:sz w:val="20"/>
              </w:rPr>
              <w:t>76</w:t>
            </w:r>
          </w:p>
        </w:tc>
      </w:tr>
      <w:tr w:rsidRPr="00B47B36" w:rsidR="003130C2" w:rsidTr="00F32872" w14:paraId="6F5E38BA" w14:textId="77777777">
        <w:trPr>
          <w:trHeight w:val="270"/>
        </w:trPr>
        <w:tc>
          <w:tcPr>
            <w:tcW w:w="4810" w:type="dxa"/>
            <w:tcBorders>
              <w:top w:val="single" w:color="auto" w:sz="4" w:space="0"/>
              <w:left w:val="single" w:color="auto" w:sz="8" w:space="0"/>
              <w:bottom w:val="single" w:color="auto" w:sz="8" w:space="0"/>
              <w:right w:val="single" w:color="BFBFBF" w:sz="8" w:space="0"/>
            </w:tcBorders>
            <w:shd w:val="clear" w:color="auto" w:fill="auto"/>
            <w:noWrap/>
            <w:vAlign w:val="center"/>
          </w:tcPr>
          <w:p w:rsidRPr="009F3F65" w:rsidR="003130C2" w:rsidP="00F32872" w:rsidRDefault="003130C2" w14:paraId="0F4B0436" w14:textId="77777777">
            <w:pPr>
              <w:spacing w:line="240" w:lineRule="auto"/>
              <w:jc w:val="left"/>
              <w:rPr>
                <w:b/>
                <w:bCs/>
                <w:color w:val="000000"/>
                <w:sz w:val="20"/>
              </w:rPr>
            </w:pPr>
            <w:r>
              <w:rPr>
                <w:b/>
                <w:color w:val="000000"/>
                <w:sz w:val="20"/>
              </w:rPr>
              <w:t>TOTAL: 116</w:t>
            </w:r>
          </w:p>
        </w:tc>
        <w:tc>
          <w:tcPr>
            <w:tcW w:w="1559" w:type="dxa"/>
            <w:tcBorders>
              <w:top w:val="single" w:color="auto" w:sz="4" w:space="0"/>
              <w:left w:val="nil"/>
              <w:bottom w:val="single" w:color="auto" w:sz="8" w:space="0"/>
              <w:right w:val="single" w:color="BFBFBF" w:sz="8" w:space="0"/>
            </w:tcBorders>
            <w:shd w:val="clear" w:color="auto" w:fill="auto"/>
            <w:noWrap/>
            <w:vAlign w:val="center"/>
          </w:tcPr>
          <w:p w:rsidRPr="009F3F65" w:rsidR="003130C2" w:rsidP="00F32872" w:rsidRDefault="003130C2" w14:paraId="4BED4B88" w14:textId="77777777">
            <w:pPr>
              <w:spacing w:line="240" w:lineRule="auto"/>
              <w:jc w:val="left"/>
              <w:rPr>
                <w:b/>
                <w:bCs/>
                <w:color w:val="000000"/>
                <w:sz w:val="20"/>
                <w:lang w:val="en-GB" w:eastAsia="fr-BE"/>
              </w:rPr>
            </w:pPr>
          </w:p>
        </w:tc>
        <w:tc>
          <w:tcPr>
            <w:tcW w:w="1428" w:type="dxa"/>
            <w:tcBorders>
              <w:top w:val="single" w:color="auto" w:sz="4" w:space="0"/>
              <w:left w:val="nil"/>
              <w:bottom w:val="single" w:color="auto" w:sz="8" w:space="0"/>
              <w:right w:val="single" w:color="BFBFBF" w:sz="8" w:space="0"/>
            </w:tcBorders>
            <w:shd w:val="clear" w:color="auto" w:fill="auto"/>
            <w:vAlign w:val="center"/>
          </w:tcPr>
          <w:p w:rsidRPr="009F3F65" w:rsidR="003130C2" w:rsidP="00F32872" w:rsidRDefault="003130C2" w14:paraId="697777EC" w14:textId="77777777">
            <w:pPr>
              <w:spacing w:line="240" w:lineRule="auto"/>
              <w:jc w:val="center"/>
              <w:rPr>
                <w:b/>
                <w:bCs/>
                <w:color w:val="000000"/>
                <w:sz w:val="20"/>
                <w:lang w:val="en-GB" w:eastAsia="en-GB"/>
              </w:rPr>
            </w:pPr>
          </w:p>
        </w:tc>
        <w:tc>
          <w:tcPr>
            <w:tcW w:w="1317" w:type="dxa"/>
            <w:tcBorders>
              <w:top w:val="single" w:color="auto" w:sz="4" w:space="0"/>
              <w:left w:val="nil"/>
              <w:bottom w:val="single" w:color="auto" w:sz="8" w:space="0"/>
              <w:right w:val="single" w:color="auto" w:sz="8" w:space="0"/>
            </w:tcBorders>
            <w:shd w:val="clear" w:color="auto" w:fill="auto"/>
            <w:vAlign w:val="center"/>
          </w:tcPr>
          <w:p w:rsidRPr="009F3F65" w:rsidR="003130C2" w:rsidP="00F32872" w:rsidRDefault="003130C2" w14:paraId="27407892" w14:textId="77777777">
            <w:pPr>
              <w:spacing w:line="240" w:lineRule="auto"/>
              <w:jc w:val="center"/>
              <w:rPr>
                <w:b/>
                <w:bCs/>
                <w:color w:val="000000"/>
                <w:sz w:val="20"/>
                <w:lang w:val="en-GB" w:eastAsia="en-GB"/>
              </w:rPr>
            </w:pPr>
          </w:p>
        </w:tc>
      </w:tr>
    </w:tbl>
    <w:p w:rsidRPr="009F3F65" w:rsidR="003130C2" w:rsidP="003130C2" w:rsidRDefault="003130C2" w14:paraId="0CB3208C" w14:textId="77777777">
      <w:pPr>
        <w:rPr>
          <w:lang w:val="en-GB"/>
        </w:rPr>
      </w:pPr>
    </w:p>
    <w:p w:rsidRPr="009F3F65" w:rsidR="003130C2" w:rsidP="003130C2" w:rsidRDefault="003130C2" w14:paraId="4EF460C4" w14:textId="77777777">
      <w:pPr>
        <w:pStyle w:val="Footer"/>
        <w:rPr>
          <w:lang w:val="en-GB"/>
        </w:rPr>
      </w:pPr>
    </w:p>
    <w:p w:rsidRPr="009F3F65" w:rsidR="003130C2" w:rsidP="003130C2" w:rsidRDefault="003130C2" w14:paraId="10312B1A" w14:textId="77777777">
      <w:pPr>
        <w:jc w:val="center"/>
      </w:pPr>
      <w:r>
        <w:t>_____________</w:t>
      </w:r>
    </w:p>
    <w:p w:rsidRPr="009F3F65" w:rsidR="00F53370" w:rsidP="00046489" w:rsidRDefault="00F53370" w14:paraId="6BABC1C7" w14:textId="11AC3F6B">
      <w:pPr>
        <w:jc w:val="center"/>
        <w:rPr>
          <w:lang w:val="en-GB"/>
        </w:rPr>
      </w:pPr>
    </w:p>
    <w:sectPr w:rsidRPr="009F3F65" w:rsidR="00F53370" w:rsidSect="0005674E">
      <w:headerReference w:type="even" r:id="rId84"/>
      <w:headerReference w:type="default" r:id="rId85"/>
      <w:footerReference w:type="default" r:id="rId86"/>
      <w:headerReference w:type="first" r:id="rId87"/>
      <w:pgSz w:w="11907" w:h="16839" w:code="9"/>
      <w:pgMar w:top="1418" w:right="1418" w:bottom="1418"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EC67C" w14:textId="77777777" w:rsidR="00234674" w:rsidRDefault="00234674" w:rsidP="00F53370">
      <w:pPr>
        <w:spacing w:line="240" w:lineRule="auto"/>
      </w:pPr>
      <w:r>
        <w:separator/>
      </w:r>
    </w:p>
  </w:endnote>
  <w:endnote w:type="continuationSeparator" w:id="0">
    <w:p w14:paraId="5D736FD4" w14:textId="77777777" w:rsidR="00234674" w:rsidRDefault="00234674"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03E5" w14:textId="77777777" w:rsidR="008315EB" w:rsidRDefault="008315E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5985" w14:textId="77777777" w:rsidR="003130C2" w:rsidRPr="009342EE" w:rsidRDefault="003130C2" w:rsidP="009342E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CA67" w14:textId="16051B49" w:rsidR="00A051A1"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10</w:t>
    </w:r>
    <w:r>
      <w:fldChar w:fldCharType="end"/>
    </w:r>
    <w:r>
      <w:t>/</w:t>
    </w:r>
    <w:r>
      <w:fldChar w:fldCharType="begin"/>
    </w:r>
    <w:r>
      <w:instrText xml:space="preserve"> = </w:instrText>
    </w:r>
    <w:r w:rsidR="00BE2709">
      <w:fldChar w:fldCharType="begin"/>
    </w:r>
    <w:r w:rsidR="00BE2709">
      <w:instrText xml:space="preserve"> NUMPAGES </w:instrText>
    </w:r>
    <w:r w:rsidR="00BE2709">
      <w:fldChar w:fldCharType="separate"/>
    </w:r>
    <w:r w:rsidR="006272FD">
      <w:rPr>
        <w:noProof/>
      </w:rPr>
      <w:instrText>85</w:instrText>
    </w:r>
    <w:r w:rsidR="00BE2709">
      <w:rPr>
        <w:noProof/>
      </w:rPr>
      <w:fldChar w:fldCharType="end"/>
    </w:r>
    <w:r>
      <w:instrText xml:space="preserve"> - 2 </w:instrText>
    </w:r>
    <w:r>
      <w:fldChar w:fldCharType="separate"/>
    </w:r>
    <w:r w:rsidR="006272FD">
      <w:rPr>
        <w:noProof/>
      </w:rPr>
      <w:t>83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E5B0" w14:textId="77777777" w:rsidR="008315EB" w:rsidRDefault="008315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8AC1" w14:textId="77777777" w:rsidR="008315EB" w:rsidRDefault="008315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8393" w14:textId="77777777" w:rsidR="003130C2" w:rsidRPr="009342EE" w:rsidRDefault="003130C2" w:rsidP="009342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2D78" w14:textId="05803073" w:rsidR="003130C2" w:rsidRPr="009342EE"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6</w:t>
    </w:r>
    <w:r>
      <w:fldChar w:fldCharType="end"/>
    </w:r>
    <w:r>
      <w:t>/</w:t>
    </w:r>
    <w:r>
      <w:fldChar w:fldCharType="begin"/>
    </w:r>
    <w:r>
      <w:instrText xml:space="preserve"> = </w:instrText>
    </w:r>
    <w:r w:rsidR="00BE2709">
      <w:fldChar w:fldCharType="begin"/>
    </w:r>
    <w:r w:rsidR="00BE2709">
      <w:instrText xml:space="preserve"> NUMPAGES </w:instrText>
    </w:r>
    <w:r w:rsidR="00BE2709">
      <w:fldChar w:fldCharType="separate"/>
    </w:r>
    <w:r w:rsidR="006272FD">
      <w:rPr>
        <w:noProof/>
      </w:rPr>
      <w:instrText>85</w:instrText>
    </w:r>
    <w:r w:rsidR="00BE2709">
      <w:rPr>
        <w:noProof/>
      </w:rPr>
      <w:fldChar w:fldCharType="end"/>
    </w:r>
    <w:r>
      <w:instrText xml:space="preserve"> - 2 </w:instrText>
    </w:r>
    <w:r>
      <w:fldChar w:fldCharType="separate"/>
    </w:r>
    <w:r w:rsidR="006272FD">
      <w:rPr>
        <w:noProof/>
      </w:rPr>
      <w:t>83</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61FA" w14:textId="77777777" w:rsidR="003130C2" w:rsidRPr="009342EE" w:rsidRDefault="003130C2" w:rsidP="009342E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25C4" w14:textId="77777777" w:rsidR="003130C2" w:rsidRPr="009342EE" w:rsidRDefault="003130C2" w:rsidP="009342E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8A89" w14:textId="314677F8" w:rsidR="003130C2" w:rsidRPr="009342EE"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r w:rsidR="00BE2709">
      <w:fldChar w:fldCharType="begin"/>
    </w:r>
    <w:r w:rsidR="00BE2709">
      <w:instrText xml:space="preserve"> NUMPAGES </w:instrText>
    </w:r>
    <w:r w:rsidR="00BE2709">
      <w:fldChar w:fldCharType="separate"/>
    </w:r>
    <w:r w:rsidR="006272FD">
      <w:rPr>
        <w:noProof/>
      </w:rPr>
      <w:instrText>85</w:instrText>
    </w:r>
    <w:r w:rsidR="00BE2709">
      <w:rPr>
        <w:noProof/>
      </w:rPr>
      <w:fldChar w:fldCharType="end"/>
    </w:r>
    <w:r>
      <w:instrText xml:space="preserve"> - 2 </w:instrText>
    </w:r>
    <w:r>
      <w:fldChar w:fldCharType="separate"/>
    </w:r>
    <w:r w:rsidR="006272FD">
      <w:rPr>
        <w:noProof/>
      </w:rPr>
      <w:t>83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39027" w14:textId="77777777" w:rsidR="00234674" w:rsidRDefault="00234674" w:rsidP="00F53370">
      <w:pPr>
        <w:spacing w:line="240" w:lineRule="auto"/>
      </w:pPr>
      <w:r>
        <w:separator/>
      </w:r>
    </w:p>
  </w:footnote>
  <w:footnote w:type="continuationSeparator" w:id="0">
    <w:p w14:paraId="7E3BB50C" w14:textId="77777777" w:rsidR="00234674" w:rsidRDefault="00234674" w:rsidP="00F53370">
      <w:pPr>
        <w:spacing w:line="240" w:lineRule="auto"/>
      </w:pPr>
      <w:r>
        <w:continuationSeparator/>
      </w:r>
    </w:p>
  </w:footnote>
  <w:footnote w:id="1">
    <w:p w14:paraId="7EF2416B" w14:textId="77777777" w:rsidR="003130C2" w:rsidRPr="00FB0A24" w:rsidRDefault="003130C2" w:rsidP="003130C2">
      <w:pPr>
        <w:pStyle w:val="FootnoteText"/>
      </w:pPr>
      <w:r>
        <w:rPr>
          <w:rStyle w:val="FootnoteReference"/>
        </w:rPr>
        <w:footnoteRef/>
      </w:r>
      <w:r>
        <w:t xml:space="preserve"> </w:t>
      </w:r>
      <w:r>
        <w:tab/>
      </w:r>
      <w:hyperlink r:id="rId1" w:history="1">
        <w:r>
          <w:rPr>
            <w:rStyle w:val="Hyperlink"/>
          </w:rPr>
          <w:t>https://commission.europa.eu/funding-tenders/find-funding/eu-funding-programmes/digital-europe-programme_en</w:t>
        </w:r>
      </w:hyperlink>
      <w:r>
        <w:rPr>
          <w:rStyle w:val="Hyperlink"/>
          <w:color w:val="2E74B5" w:themeColor="accent1" w:themeShade="BF"/>
        </w:rPr>
        <w:t>.</w:t>
      </w:r>
    </w:p>
  </w:footnote>
  <w:footnote w:id="2">
    <w:p w14:paraId="2EC4A3AD" w14:textId="77777777" w:rsidR="003130C2" w:rsidRPr="00FB0A24" w:rsidRDefault="003130C2" w:rsidP="003130C2">
      <w:pPr>
        <w:pStyle w:val="FootnoteText"/>
      </w:pPr>
      <w:r>
        <w:rPr>
          <w:rStyle w:val="FootnoteReference"/>
        </w:rPr>
        <w:footnoteRef/>
      </w:r>
      <w:r>
        <w:t xml:space="preserve"> </w:t>
      </w:r>
      <w:r>
        <w:tab/>
      </w:r>
      <w:hyperlink r:id="rId2" w:history="1">
        <w:r>
          <w:rPr>
            <w:rStyle w:val="Hyperlink"/>
          </w:rPr>
          <w:t>https://digital-strategy.ec.europa.eu/en/activities/digital-programme</w:t>
        </w:r>
      </w:hyperlink>
      <w:r>
        <w:rPr>
          <w:rStyle w:val="Hyperlink"/>
          <w:color w:val="2E74B5" w:themeColor="accent1" w:themeShade="BF"/>
        </w:rPr>
        <w:t>.</w:t>
      </w:r>
    </w:p>
  </w:footnote>
  <w:footnote w:id="3">
    <w:p w14:paraId="48C7FCCA" w14:textId="77777777" w:rsidR="003130C2" w:rsidRPr="00FB0A24" w:rsidRDefault="003130C2" w:rsidP="003130C2">
      <w:pPr>
        <w:pStyle w:val="FootnoteText"/>
      </w:pPr>
      <w:r>
        <w:rPr>
          <w:rStyle w:val="FootnoteReference"/>
        </w:rPr>
        <w:footnoteRef/>
      </w:r>
      <w:r>
        <w:t xml:space="preserve"> </w:t>
      </w:r>
      <w:r>
        <w:tab/>
      </w:r>
      <w:hyperlink r:id="rId3" w:history="1">
        <w:r>
          <w:rPr>
            <w:rStyle w:val="Hyperlink"/>
          </w:rPr>
          <w:t>https://commission.europa.eu/funding-tenders/find-funding/eu-funding-programmes/digital-europe-programme_en</w:t>
        </w:r>
      </w:hyperlink>
      <w:r>
        <w:rPr>
          <w:rStyle w:val="Hyperlink"/>
          <w:color w:val="2E74B5" w:themeColor="accent1" w:themeShade="BF"/>
        </w:rPr>
        <w:t>.</w:t>
      </w:r>
    </w:p>
  </w:footnote>
  <w:footnote w:id="4">
    <w:p w14:paraId="3B399C29" w14:textId="77777777" w:rsidR="003130C2" w:rsidRPr="00FB0A24" w:rsidRDefault="003130C2" w:rsidP="003130C2">
      <w:pPr>
        <w:pStyle w:val="FootnoteText"/>
      </w:pPr>
      <w:r>
        <w:rPr>
          <w:rStyle w:val="FootnoteReference"/>
        </w:rPr>
        <w:footnoteRef/>
      </w:r>
      <w:r>
        <w:t xml:space="preserve"> </w:t>
      </w:r>
      <w:r>
        <w:tab/>
      </w:r>
      <w:hyperlink r:id="rId4" w:history="1">
        <w:r>
          <w:rPr>
            <w:rStyle w:val="Hyperlink"/>
          </w:rPr>
          <w:t>https://commission.europa.eu/strategy-and-policy/eu-budget/performance-and-reporting/programme-performance-statements/digital-europe-programme-performance_en</w:t>
        </w:r>
      </w:hyperlink>
      <w:r>
        <w:rPr>
          <w:rStyle w:val="Hyperlink"/>
          <w:color w:val="2E74B5" w:themeColor="accent1" w:themeShade="BF"/>
        </w:rPr>
        <w:t>.</w:t>
      </w:r>
    </w:p>
  </w:footnote>
  <w:footnote w:id="5">
    <w:p w14:paraId="2C28B560" w14:textId="77777777" w:rsidR="003130C2" w:rsidRPr="00C0531E" w:rsidRDefault="003130C2" w:rsidP="003130C2">
      <w:pPr>
        <w:pStyle w:val="FootnoteText"/>
      </w:pPr>
      <w:r>
        <w:rPr>
          <w:rStyle w:val="FootnoteReference"/>
        </w:rPr>
        <w:footnoteRef/>
      </w:r>
      <w:r>
        <w:t xml:space="preserve"> </w:t>
      </w:r>
      <w:r>
        <w:tab/>
      </w:r>
      <w:hyperlink r:id="rId5" w:history="1">
        <w:r>
          <w:rPr>
            <w:rStyle w:val="Hyperlink"/>
          </w:rPr>
          <w:t>https://ec.europa.eu/info/funding-tenders/opportunities/portal/screen/programmes/digital</w:t>
        </w:r>
      </w:hyperlink>
      <w:r>
        <w:rPr>
          <w:rStyle w:val="Hyperlink"/>
          <w:color w:val="2E74B5" w:themeColor="accent1" w:themeShade="BF"/>
        </w:rPr>
        <w:t>.</w:t>
      </w:r>
    </w:p>
  </w:footnote>
  <w:footnote w:id="6">
    <w:p w14:paraId="30C2ED9B" w14:textId="77777777" w:rsidR="003130C2" w:rsidRPr="00451C13" w:rsidRDefault="003130C2" w:rsidP="003130C2">
      <w:pPr>
        <w:pStyle w:val="FootnoteText"/>
      </w:pPr>
      <w:r>
        <w:rPr>
          <w:rStyle w:val="FootnoteReference"/>
        </w:rPr>
        <w:footnoteRef/>
      </w:r>
      <w:r>
        <w:t xml:space="preserve"> </w:t>
      </w:r>
      <w:r>
        <w:tab/>
      </w:r>
      <w:hyperlink r:id="rId6" w:history="1">
        <w:r>
          <w:rPr>
            <w:rStyle w:val="Hyperlink"/>
            <w:color w:val="2E74B5" w:themeColor="accent1" w:themeShade="BF"/>
          </w:rPr>
          <w:t>https://eur-lex.europa.eu/legal-content/EN/TXT/?uri=CELEX:52018SC0305</w:t>
        </w:r>
      </w:hyperlink>
      <w:r>
        <w:rPr>
          <w:rStyle w:val="Hyperlink"/>
          <w:color w:val="2E74B5" w:themeColor="accent1" w:themeShade="BF"/>
        </w:rPr>
        <w:t>.</w:t>
      </w:r>
    </w:p>
  </w:footnote>
  <w:footnote w:id="7">
    <w:p w14:paraId="412222F5" w14:textId="77777777" w:rsidR="003130C2" w:rsidRPr="00AE086E" w:rsidRDefault="003130C2" w:rsidP="003130C2">
      <w:pPr>
        <w:pStyle w:val="FootnoteText"/>
      </w:pPr>
      <w:r>
        <w:rPr>
          <w:rStyle w:val="FootnoteReference"/>
        </w:rPr>
        <w:footnoteRef/>
      </w:r>
      <w:r>
        <w:t xml:space="preserve"> </w:t>
      </w:r>
      <w:r>
        <w:tab/>
      </w:r>
      <w:hyperlink r:id="rId7" w:history="1">
        <w:r>
          <w:rPr>
            <w:rStyle w:val="Hyperlink"/>
            <w:color w:val="2E74B5" w:themeColor="accent1" w:themeShade="BF"/>
          </w:rPr>
          <w:t>C_2021_7914_1_EN_annexe_acte_autonome_cp_part1_v3_x3qnsqH6g4B4JabSGBy9UatCRc8_81099.pdf (europa.eu)</w:t>
        </w:r>
      </w:hyperlink>
      <w:r>
        <w:rPr>
          <w:rStyle w:val="Hyperlink"/>
          <w:color w:val="2E74B5" w:themeColor="accent1" w:themeShade="BF"/>
        </w:rPr>
        <w:t>.</w:t>
      </w:r>
    </w:p>
  </w:footnote>
  <w:footnote w:id="8">
    <w:p w14:paraId="55A3EE10" w14:textId="77777777" w:rsidR="003130C2" w:rsidRPr="00C73823" w:rsidRDefault="003130C2" w:rsidP="003130C2">
      <w:pPr>
        <w:pStyle w:val="FootnoteText"/>
        <w:spacing w:after="0"/>
      </w:pPr>
      <w:r>
        <w:rPr>
          <w:rStyle w:val="FootnoteReference"/>
        </w:rPr>
        <w:footnoteRef/>
      </w:r>
      <w:r>
        <w:t xml:space="preserve"> </w:t>
      </w:r>
      <w:r>
        <w:tab/>
      </w:r>
      <w:hyperlink r:id="rId8" w:history="1">
        <w:r>
          <w:rPr>
            <w:rStyle w:val="Hyperlink"/>
            <w:color w:val="2E74B5" w:themeColor="accent1" w:themeShade="BF"/>
          </w:rPr>
          <w:t>JUPITER – Exascale for Europe (fz-juelich.de)</w:t>
        </w:r>
      </w:hyperlink>
      <w:r>
        <w:rPr>
          <w:rStyle w:val="Hyperlink"/>
          <w:color w:val="2E74B5" w:themeColor="accent1" w:themeShade="BF"/>
        </w:rPr>
        <w:t>.</w:t>
      </w:r>
    </w:p>
  </w:footnote>
  <w:footnote w:id="9">
    <w:p w14:paraId="0CF0CC95" w14:textId="77777777" w:rsidR="003130C2" w:rsidRPr="00C73823" w:rsidRDefault="003130C2" w:rsidP="003130C2">
      <w:pPr>
        <w:pStyle w:val="FootnoteText"/>
        <w:spacing w:after="0"/>
      </w:pPr>
      <w:r>
        <w:rPr>
          <w:rStyle w:val="FootnoteReference"/>
        </w:rPr>
        <w:footnoteRef/>
      </w:r>
      <w:r>
        <w:t xml:space="preserve"> </w:t>
      </w:r>
      <w:r>
        <w:tab/>
      </w:r>
      <w:hyperlink r:id="rId9" w:history="1">
        <w:r>
          <w:rPr>
            <w:rStyle w:val="Hyperlink"/>
          </w:rPr>
          <w:t>C(2023) 1862 final – Annex I.</w:t>
        </w:r>
      </w:hyperlink>
    </w:p>
  </w:footnote>
  <w:footnote w:id="10">
    <w:p w14:paraId="0CE531C5" w14:textId="77777777" w:rsidR="003130C2" w:rsidRPr="00C73823" w:rsidRDefault="003130C2" w:rsidP="003130C2">
      <w:pPr>
        <w:pStyle w:val="FootnoteText"/>
        <w:spacing w:after="0"/>
      </w:pPr>
      <w:r>
        <w:rPr>
          <w:rStyle w:val="FootnoteReference"/>
        </w:rPr>
        <w:footnoteRef/>
      </w:r>
      <w:r>
        <w:t xml:space="preserve"> </w:t>
      </w:r>
      <w:r>
        <w:tab/>
      </w:r>
      <w:hyperlink r:id="rId10" w:history="1">
        <w:r>
          <w:rPr>
            <w:rStyle w:val="Hyperlink"/>
          </w:rPr>
          <w:t>C(2023) 1862 final – Annex I.</w:t>
        </w:r>
      </w:hyperlink>
    </w:p>
  </w:footnote>
  <w:footnote w:id="11">
    <w:p w14:paraId="4FB30A8A" w14:textId="77777777" w:rsidR="003130C2" w:rsidRPr="00E12BC9" w:rsidRDefault="003130C2" w:rsidP="003130C2">
      <w:pPr>
        <w:pStyle w:val="FootnoteText"/>
      </w:pPr>
      <w:r>
        <w:rPr>
          <w:rStyle w:val="FootnoteReference"/>
        </w:rPr>
        <w:footnoteRef/>
      </w:r>
      <w:r>
        <w:t xml:space="preserve"> </w:t>
      </w:r>
      <w:r>
        <w:tab/>
      </w:r>
      <w:hyperlink r:id="rId11" w:history="1">
        <w:r>
          <w:rPr>
            <w:rStyle w:val="Hyperlink"/>
          </w:rPr>
          <w:t>€60 million committed to establish AI and robotics in healthcare: Charité – Universitätsmedizin Berlin (charite.de)</w:t>
        </w:r>
      </w:hyperlink>
      <w:r>
        <w:t>.</w:t>
      </w:r>
    </w:p>
  </w:footnote>
  <w:footnote w:id="12">
    <w:p w14:paraId="22A81DE9" w14:textId="77777777" w:rsidR="003130C2" w:rsidRPr="00C73823" w:rsidRDefault="003130C2" w:rsidP="003130C2">
      <w:pPr>
        <w:pStyle w:val="FootnoteText"/>
        <w:spacing w:after="0"/>
      </w:pPr>
      <w:r>
        <w:rPr>
          <w:rStyle w:val="FootnoteReference"/>
        </w:rPr>
        <w:footnoteRef/>
      </w:r>
      <w:r>
        <w:t xml:space="preserve"> </w:t>
      </w:r>
      <w:r>
        <w:tab/>
      </w:r>
      <w:hyperlink r:id="rId12" w:history="1">
        <w:r>
          <w:rPr>
            <w:rStyle w:val="Hyperlink"/>
            <w:color w:val="2E74B5" w:themeColor="accent1" w:themeShade="BF"/>
          </w:rPr>
          <w:t>Germany Node – AI Matters (ai-matters.eu)</w:t>
        </w:r>
      </w:hyperlink>
      <w:r>
        <w:rPr>
          <w:rStyle w:val="Hyperlink"/>
          <w:color w:val="2E74B5" w:themeColor="accent1" w:themeShade="BF"/>
        </w:rPr>
        <w:t>.</w:t>
      </w:r>
    </w:p>
  </w:footnote>
  <w:footnote w:id="13">
    <w:p w14:paraId="26903BF4" w14:textId="77777777" w:rsidR="003130C2" w:rsidRPr="00C73823" w:rsidRDefault="003130C2" w:rsidP="003130C2">
      <w:pPr>
        <w:pStyle w:val="FootnoteText"/>
        <w:spacing w:after="0"/>
      </w:pPr>
      <w:r>
        <w:rPr>
          <w:rStyle w:val="FootnoteReference"/>
        </w:rPr>
        <w:footnoteRef/>
      </w:r>
      <w:r>
        <w:t xml:space="preserve"> </w:t>
      </w:r>
      <w:r>
        <w:tab/>
      </w:r>
      <w:hyperlink r:id="rId13" w:anchor="node-leaders" w:history="1">
        <w:r>
          <w:rPr>
            <w:rStyle w:val="Hyperlink"/>
            <w:color w:val="2E74B5" w:themeColor="accent1" w:themeShade="BF"/>
          </w:rPr>
          <w:t>agrifoodtef.eu/#node-leaders</w:t>
        </w:r>
      </w:hyperlink>
      <w:r>
        <w:rPr>
          <w:rStyle w:val="Hyperlink"/>
          <w:color w:val="2E74B5" w:themeColor="accent1" w:themeShade="BF"/>
        </w:rPr>
        <w:t>.</w:t>
      </w:r>
    </w:p>
  </w:footnote>
  <w:footnote w:id="14">
    <w:p w14:paraId="0658BDFC" w14:textId="77777777" w:rsidR="003130C2" w:rsidRPr="00C73823" w:rsidRDefault="003130C2" w:rsidP="003130C2">
      <w:pPr>
        <w:pStyle w:val="FootnoteText"/>
        <w:spacing w:after="0"/>
      </w:pPr>
      <w:r>
        <w:rPr>
          <w:rStyle w:val="FootnoteReference"/>
        </w:rPr>
        <w:footnoteRef/>
      </w:r>
      <w:r>
        <w:t xml:space="preserve"> </w:t>
      </w:r>
      <w:r>
        <w:tab/>
      </w:r>
      <w:hyperlink r:id="rId14" w:history="1">
        <w:r>
          <w:rPr>
            <w:rStyle w:val="Hyperlink"/>
            <w:color w:val="2E74B5" w:themeColor="accent1" w:themeShade="BF"/>
          </w:rPr>
          <w:t>Cloud – European Commission (europa.eu)</w:t>
        </w:r>
      </w:hyperlink>
      <w:r>
        <w:rPr>
          <w:rStyle w:val="Hyperlink"/>
          <w:color w:val="2E74B5" w:themeColor="accent1" w:themeShade="BF"/>
        </w:rPr>
        <w:t>.</w:t>
      </w:r>
    </w:p>
  </w:footnote>
  <w:footnote w:id="15">
    <w:p w14:paraId="157D24D2" w14:textId="77777777" w:rsidR="003130C2" w:rsidRPr="00C73823" w:rsidRDefault="003130C2" w:rsidP="003130C2">
      <w:pPr>
        <w:pStyle w:val="FootnoteText"/>
        <w:spacing w:after="0"/>
      </w:pPr>
      <w:r>
        <w:rPr>
          <w:rStyle w:val="FootnoteReference"/>
        </w:rPr>
        <w:footnoteRef/>
      </w:r>
      <w:r>
        <w:t xml:space="preserve"> </w:t>
      </w:r>
      <w:r>
        <w:tab/>
      </w:r>
      <w:hyperlink r:id="rId15" w:history="1">
        <w:r>
          <w:rPr>
            <w:rStyle w:val="Hyperlink"/>
          </w:rPr>
          <w:t>C(2023) 1862 final – Annex I.</w:t>
        </w:r>
      </w:hyperlink>
    </w:p>
  </w:footnote>
  <w:footnote w:id="16">
    <w:p w14:paraId="7CFA4F92" w14:textId="77777777" w:rsidR="003130C2" w:rsidRPr="00C73823" w:rsidRDefault="003130C2" w:rsidP="003130C2">
      <w:pPr>
        <w:pStyle w:val="FootnoteText"/>
        <w:spacing w:after="0"/>
      </w:pPr>
      <w:r>
        <w:rPr>
          <w:rStyle w:val="FootnoteReference"/>
        </w:rPr>
        <w:footnoteRef/>
      </w:r>
      <w:r>
        <w:t xml:space="preserve"> </w:t>
      </w:r>
      <w:r>
        <w:tab/>
      </w:r>
      <w:hyperlink r:id="rId16" w:history="1">
        <w:r>
          <w:rPr>
            <w:rStyle w:val="Hyperlink"/>
            <w:color w:val="2E74B5" w:themeColor="accent1" w:themeShade="BF"/>
          </w:rPr>
          <w:t>BMI – National Coordination Centre for Cybersecurity – National Coordination Centre for Cybersecurity (NCC-DE) (bund.de)</w:t>
        </w:r>
      </w:hyperlink>
      <w:r>
        <w:rPr>
          <w:rStyle w:val="Hyperlink"/>
          <w:color w:val="2E74B5" w:themeColor="accent1" w:themeShade="BF"/>
        </w:rPr>
        <w:t>.</w:t>
      </w:r>
    </w:p>
  </w:footnote>
  <w:footnote w:id="17">
    <w:p w14:paraId="29CB9897" w14:textId="77777777" w:rsidR="003130C2" w:rsidRPr="00C73823" w:rsidRDefault="003130C2" w:rsidP="003130C2">
      <w:pPr>
        <w:pStyle w:val="FootnoteText"/>
        <w:spacing w:after="0"/>
      </w:pPr>
      <w:r>
        <w:rPr>
          <w:rStyle w:val="FootnoteReference"/>
        </w:rPr>
        <w:footnoteRef/>
      </w:r>
      <w:r>
        <w:t xml:space="preserve"> </w:t>
      </w:r>
      <w:r>
        <w:tab/>
      </w:r>
      <w:hyperlink r:id="rId17" w:history="1">
        <w:r>
          <w:rPr>
            <w:rStyle w:val="Hyperlink"/>
            <w:color w:val="2E74B5" w:themeColor="accent1" w:themeShade="BF"/>
          </w:rPr>
          <w:t>Q-net-Q – Networking and Security of Digital Systems (forschung-it-sicherheit-kommunikationssysteme.de)</w:t>
        </w:r>
      </w:hyperlink>
      <w:r>
        <w:rPr>
          <w:rStyle w:val="Hyperlink"/>
          <w:color w:val="2E74B5" w:themeColor="accent1" w:themeShade="BF"/>
        </w:rPr>
        <w:t>.</w:t>
      </w:r>
    </w:p>
  </w:footnote>
  <w:footnote w:id="18">
    <w:p w14:paraId="02A998C6" w14:textId="77777777" w:rsidR="003130C2" w:rsidRPr="0044355F" w:rsidRDefault="003130C2" w:rsidP="003130C2">
      <w:pPr>
        <w:pStyle w:val="NoSpacing"/>
        <w:tabs>
          <w:tab w:val="left" w:pos="567"/>
        </w:tabs>
        <w:rPr>
          <w:color w:val="2E74B5" w:themeColor="accent1" w:themeShade="BF"/>
          <w:sz w:val="16"/>
          <w:szCs w:val="16"/>
        </w:rPr>
      </w:pPr>
      <w:r>
        <w:rPr>
          <w:rStyle w:val="FootnoteReference"/>
        </w:rPr>
        <w:footnoteRef/>
      </w:r>
      <w:r>
        <w:t xml:space="preserve"> </w:t>
      </w:r>
      <w:r>
        <w:rPr>
          <w:sz w:val="16"/>
        </w:rPr>
        <w:tab/>
      </w:r>
      <w:hyperlink r:id="rId18" w:history="1">
        <w:r>
          <w:rPr>
            <w:rStyle w:val="Hyperlink"/>
            <w:color w:val="2E74B5" w:themeColor="accent1" w:themeShade="BF"/>
            <w:sz w:val="16"/>
          </w:rPr>
          <w:t>Opening of first European Security Operations Centre in Germany | Arctic Wolf</w:t>
        </w:r>
      </w:hyperlink>
      <w:r>
        <w:rPr>
          <w:rStyle w:val="Hyperlink"/>
          <w:color w:val="2E74B5" w:themeColor="accent1" w:themeShade="BF"/>
          <w:sz w:val="16"/>
        </w:rPr>
        <w:t>.</w:t>
      </w:r>
    </w:p>
  </w:footnote>
  <w:footnote w:id="19">
    <w:p w14:paraId="3F569515" w14:textId="77777777" w:rsidR="003130C2" w:rsidRPr="00C73823" w:rsidRDefault="003130C2" w:rsidP="003130C2">
      <w:pPr>
        <w:pStyle w:val="FootnoteText"/>
        <w:spacing w:after="0"/>
      </w:pPr>
      <w:r>
        <w:rPr>
          <w:rStyle w:val="FootnoteReference"/>
        </w:rPr>
        <w:footnoteRef/>
      </w:r>
      <w:r>
        <w:t xml:space="preserve"> </w:t>
      </w:r>
      <w:r>
        <w:tab/>
      </w:r>
      <w:hyperlink r:id="rId19" w:history="1">
        <w:r>
          <w:rPr>
            <w:rStyle w:val="Hyperlink"/>
          </w:rPr>
          <w:t>C(2021) 7914 final</w:t>
        </w:r>
      </w:hyperlink>
      <w:r>
        <w:t>.</w:t>
      </w:r>
    </w:p>
  </w:footnote>
  <w:footnote w:id="20">
    <w:p w14:paraId="77A22676" w14:textId="77777777" w:rsidR="003130C2" w:rsidRPr="00C73823" w:rsidRDefault="003130C2" w:rsidP="003130C2">
      <w:pPr>
        <w:pStyle w:val="FootnoteText"/>
        <w:spacing w:after="0"/>
      </w:pPr>
      <w:r>
        <w:rPr>
          <w:rStyle w:val="FootnoteReference"/>
        </w:rPr>
        <w:footnoteRef/>
      </w:r>
      <w:r>
        <w:t xml:space="preserve"> </w:t>
      </w:r>
      <w:r>
        <w:tab/>
      </w:r>
      <w:hyperlink r:id="rId20" w:history="1">
        <w:r>
          <w:rPr>
            <w:rStyle w:val="Hyperlink"/>
          </w:rPr>
          <w:t>JRC Publications Repository - Academic Offer of Advanced Digital Skills in 2020-21.</w:t>
        </w:r>
      </w:hyperlink>
      <w:hyperlink r:id="rId21" w:history="1">
        <w:r>
          <w:rPr>
            <w:rStyle w:val="Hyperlink"/>
          </w:rPr>
          <w:t xml:space="preserve"> International Comparison (europa.eu)</w:t>
        </w:r>
      </w:hyperlink>
      <w:r>
        <w:t>.</w:t>
      </w:r>
    </w:p>
  </w:footnote>
  <w:footnote w:id="21">
    <w:p w14:paraId="22AA79ED" w14:textId="77777777" w:rsidR="003130C2" w:rsidRPr="00DA269E" w:rsidRDefault="003130C2" w:rsidP="003130C2">
      <w:pPr>
        <w:pStyle w:val="FootnoteText"/>
        <w:spacing w:after="0"/>
      </w:pPr>
      <w:r>
        <w:rPr>
          <w:rStyle w:val="FootnoteReference"/>
        </w:rPr>
        <w:footnoteRef/>
      </w:r>
      <w:r>
        <w:t xml:space="preserve"> </w:t>
      </w:r>
      <w:r>
        <w:tab/>
      </w:r>
      <w:hyperlink r:id="rId22" w:history="1">
        <w:r>
          <w:rPr>
            <w:rStyle w:val="Hyperlink"/>
          </w:rPr>
          <w:t>C(2021) 7914 final</w:t>
        </w:r>
      </w:hyperlink>
      <w:r>
        <w:t>.</w:t>
      </w:r>
    </w:p>
  </w:footnote>
  <w:footnote w:id="22">
    <w:p w14:paraId="011432B9" w14:textId="77777777" w:rsidR="003130C2" w:rsidRPr="00DA269E" w:rsidRDefault="003130C2" w:rsidP="003130C2">
      <w:pPr>
        <w:pStyle w:val="FootnoteText"/>
        <w:spacing w:after="0"/>
      </w:pPr>
      <w:r>
        <w:rPr>
          <w:rStyle w:val="FootnoteReference"/>
        </w:rPr>
        <w:footnoteRef/>
      </w:r>
      <w:r>
        <w:t xml:space="preserve"> </w:t>
      </w:r>
      <w:r>
        <w:tab/>
      </w:r>
      <w:hyperlink r:id="rId23" w:history="1">
        <w:r>
          <w:rPr>
            <w:rStyle w:val="Hyperlink"/>
          </w:rPr>
          <w:t>OJ L 166, 11.5.2021, p. 1</w:t>
        </w:r>
      </w:hyperlink>
      <w:r>
        <w:t>.</w:t>
      </w:r>
    </w:p>
  </w:footnote>
  <w:footnote w:id="23">
    <w:p w14:paraId="7EEA8A77" w14:textId="77777777" w:rsidR="003130C2" w:rsidRPr="00DA269E" w:rsidRDefault="003130C2" w:rsidP="003130C2">
      <w:pPr>
        <w:pStyle w:val="FootnoteText"/>
        <w:spacing w:after="0"/>
      </w:pPr>
      <w:r>
        <w:rPr>
          <w:rStyle w:val="FootnoteReference"/>
        </w:rPr>
        <w:footnoteRef/>
      </w:r>
      <w:r>
        <w:t xml:space="preserve"> </w:t>
      </w:r>
      <w:r>
        <w:tab/>
      </w:r>
      <w:hyperlink r:id="rId24" w:history="1">
        <w:r>
          <w:rPr>
            <w:rStyle w:val="Hyperlink"/>
            <w:color w:val="2E74B5" w:themeColor="accent1" w:themeShade="BF"/>
          </w:rPr>
          <w:t>Catalogue of GovTech initiatives | Joinup (europa.eu)</w:t>
        </w:r>
      </w:hyperlink>
      <w:r>
        <w:rPr>
          <w:rStyle w:val="Hyperlink"/>
          <w:color w:val="2E74B5" w:themeColor="accent1" w:themeShade="BF"/>
        </w:rPr>
        <w:t>.</w:t>
      </w:r>
    </w:p>
  </w:footnote>
  <w:footnote w:id="24">
    <w:p w14:paraId="06CEFE55" w14:textId="77777777" w:rsidR="003130C2" w:rsidRPr="00DA269E" w:rsidRDefault="003130C2" w:rsidP="003130C2">
      <w:pPr>
        <w:pStyle w:val="FootnoteText"/>
        <w:spacing w:after="0"/>
      </w:pPr>
      <w:r>
        <w:rPr>
          <w:rStyle w:val="FootnoteReference"/>
        </w:rPr>
        <w:footnoteRef/>
      </w:r>
      <w:r>
        <w:t xml:space="preserve"> </w:t>
      </w:r>
      <w:r>
        <w:tab/>
      </w:r>
      <w:hyperlink r:id="rId25" w:history="1">
        <w:r>
          <w:rPr>
            <w:rStyle w:val="Hyperlink"/>
            <w:color w:val="2E74B5" w:themeColor="accent1" w:themeShade="BF"/>
          </w:rPr>
          <w:t>Welcome | de:hub digital ecosystems (de-hub.de)</w:t>
        </w:r>
      </w:hyperlink>
      <w:r>
        <w:rPr>
          <w:rStyle w:val="Hyperlink"/>
          <w:color w:val="2E74B5" w:themeColor="accent1" w:themeShade="BF"/>
        </w:rPr>
        <w:t>.</w:t>
      </w:r>
    </w:p>
  </w:footnote>
  <w:footnote w:id="25">
    <w:p w14:paraId="4DFFAEB6" w14:textId="77777777" w:rsidR="003130C2" w:rsidRPr="00DA269E" w:rsidRDefault="003130C2" w:rsidP="003130C2">
      <w:pPr>
        <w:pStyle w:val="FootnoteText"/>
        <w:spacing w:after="0"/>
      </w:pPr>
      <w:r>
        <w:rPr>
          <w:rStyle w:val="FootnoteReference"/>
        </w:rPr>
        <w:footnoteRef/>
      </w:r>
      <w:r>
        <w:t xml:space="preserve"> </w:t>
      </w:r>
      <w:r>
        <w:tab/>
      </w:r>
      <w:hyperlink r:id="rId26" w:history="1">
        <w:r>
          <w:rPr>
            <w:rStyle w:val="Hyperlink"/>
          </w:rPr>
          <w:t>Digital Economy and Society Index (DESI) 2022 – Germany</w:t>
        </w:r>
      </w:hyperlink>
      <w:r>
        <w:t>.</w:t>
      </w:r>
    </w:p>
  </w:footnote>
  <w:footnote w:id="26">
    <w:p w14:paraId="64DE5FEB" w14:textId="77777777" w:rsidR="003130C2" w:rsidRPr="006C5F38" w:rsidRDefault="003130C2" w:rsidP="003130C2">
      <w:pPr>
        <w:pStyle w:val="FootnoteText"/>
        <w:spacing w:after="0"/>
        <w:rPr>
          <w:color w:val="0033CC"/>
        </w:rPr>
      </w:pPr>
      <w:r>
        <w:rPr>
          <w:rStyle w:val="FootnoteReference"/>
        </w:rPr>
        <w:footnoteRef/>
      </w:r>
      <w:r>
        <w:t xml:space="preserve"> </w:t>
      </w:r>
      <w:r>
        <w:tab/>
      </w:r>
      <w:hyperlink r:id="rId27" w:history="1">
        <w:r>
          <w:rPr>
            <w:rStyle w:val="Hyperlink"/>
            <w:color w:val="0033CC"/>
          </w:rPr>
          <w:t>Malta becomes the newest participant in the EuroHPC Joint Undertaking – European Commission (europa.eu)</w:t>
        </w:r>
      </w:hyperlink>
      <w:r>
        <w:rPr>
          <w:rStyle w:val="Hyperlink"/>
          <w:color w:val="0033CC"/>
        </w:rPr>
        <w:t>.</w:t>
      </w:r>
    </w:p>
  </w:footnote>
  <w:footnote w:id="27">
    <w:p w14:paraId="4212B87A" w14:textId="77777777" w:rsidR="003130C2" w:rsidRPr="006C5F38" w:rsidRDefault="003130C2" w:rsidP="003130C2">
      <w:pPr>
        <w:pStyle w:val="FootnoteText"/>
        <w:spacing w:after="0"/>
        <w:rPr>
          <w:color w:val="0033CC"/>
          <w:szCs w:val="16"/>
        </w:rPr>
      </w:pPr>
      <w:r>
        <w:rPr>
          <w:rStyle w:val="FootnoteReference"/>
        </w:rPr>
        <w:footnoteRef/>
      </w:r>
      <w:r>
        <w:t xml:space="preserve"> </w:t>
      </w:r>
      <w:r>
        <w:tab/>
      </w:r>
      <w:hyperlink r:id="rId28" w:history="1">
        <w:r>
          <w:rPr>
            <w:rStyle w:val="Hyperlink"/>
            <w:color w:val="0033CC"/>
          </w:rPr>
          <w:t>Coordinated Plan on Artificial Intelligence | Shaping Europe’s digital future (europa.eu)</w:t>
        </w:r>
      </w:hyperlink>
      <w:r>
        <w:rPr>
          <w:rStyle w:val="Hyperlink"/>
          <w:color w:val="0033CC"/>
        </w:rPr>
        <w:t>.</w:t>
      </w:r>
    </w:p>
  </w:footnote>
  <w:footnote w:id="28">
    <w:p w14:paraId="633BEEB2" w14:textId="77777777" w:rsidR="003130C2" w:rsidRPr="00D60649" w:rsidRDefault="003130C2" w:rsidP="003130C2">
      <w:pPr>
        <w:pStyle w:val="FootnoteText"/>
        <w:spacing w:after="0"/>
      </w:pPr>
      <w:r>
        <w:rPr>
          <w:rStyle w:val="FootnoteReference"/>
        </w:rPr>
        <w:footnoteRef/>
      </w:r>
      <w:r>
        <w:t xml:space="preserve"> </w:t>
      </w:r>
      <w:r>
        <w:tab/>
      </w:r>
      <w:hyperlink r:id="rId29" w:history="1">
        <w:r>
          <w:rPr>
            <w:rStyle w:val="Hyperlink"/>
            <w:color w:val="0033CC"/>
          </w:rPr>
          <w:t>NCC – Malta – European Union (europa.eu)</w:t>
        </w:r>
      </w:hyperlink>
      <w:r>
        <w:rPr>
          <w:rStyle w:val="Hyperlink"/>
          <w:color w:val="0033CC"/>
        </w:rPr>
        <w:t>.</w:t>
      </w:r>
    </w:p>
  </w:footnote>
  <w:footnote w:id="29">
    <w:p w14:paraId="0D40FC5B" w14:textId="77777777" w:rsidR="003130C2" w:rsidRPr="006C5F38" w:rsidRDefault="003130C2" w:rsidP="003130C2">
      <w:pPr>
        <w:pStyle w:val="FootnoteText"/>
        <w:spacing w:after="0"/>
        <w:rPr>
          <w:color w:val="0033CC"/>
          <w:szCs w:val="16"/>
        </w:rPr>
      </w:pPr>
      <w:r>
        <w:rPr>
          <w:rStyle w:val="FootnoteReference"/>
        </w:rPr>
        <w:footnoteRef/>
      </w:r>
      <w:r>
        <w:t xml:space="preserve"> </w:t>
      </w:r>
      <w:r>
        <w:tab/>
      </w:r>
      <w:hyperlink r:id="rId30" w:history="1">
        <w:r>
          <w:rPr>
            <w:rStyle w:val="Hyperlink"/>
            <w:color w:val="0033CC"/>
          </w:rPr>
          <w:t>Malta-EDIH | European Digital Innovation Hubs Network (europa.eu)</w:t>
        </w:r>
      </w:hyperlink>
      <w:r>
        <w:rPr>
          <w:rStyle w:val="Hyperlink"/>
          <w:color w:val="0033CC"/>
        </w:rPr>
        <w:t>.</w:t>
      </w:r>
    </w:p>
  </w:footnote>
  <w:footnote w:id="30">
    <w:p w14:paraId="111DF2CC" w14:textId="77777777" w:rsidR="003130C2" w:rsidRPr="00B06F6B" w:rsidRDefault="003130C2" w:rsidP="003130C2">
      <w:pPr>
        <w:pStyle w:val="FootnoteText"/>
        <w:spacing w:after="0"/>
      </w:pPr>
      <w:r>
        <w:rPr>
          <w:rStyle w:val="FootnoteReference"/>
        </w:rPr>
        <w:footnoteRef/>
      </w:r>
      <w:r>
        <w:rPr>
          <w:color w:val="0033CC"/>
        </w:rPr>
        <w:t xml:space="preserve"> </w:t>
      </w:r>
      <w:r>
        <w:rPr>
          <w:color w:val="0033CC"/>
        </w:rPr>
        <w:tab/>
      </w:r>
      <w:hyperlink r:id="rId31" w:history="1">
        <w:r>
          <w:rPr>
            <w:rStyle w:val="Hyperlink"/>
            <w:color w:val="0033CC"/>
          </w:rPr>
          <w:t>DiHubMT – Digital Innovation Hub</w:t>
        </w:r>
      </w:hyperlink>
      <w:r>
        <w:rPr>
          <w:rStyle w:val="Hyperlink"/>
          <w:color w:val="0033CC"/>
        </w:rPr>
        <w:t>.</w:t>
      </w:r>
    </w:p>
  </w:footnote>
  <w:footnote w:id="31">
    <w:p w14:paraId="44F83761" w14:textId="77777777" w:rsidR="003130C2" w:rsidRPr="00C20744" w:rsidRDefault="003130C2" w:rsidP="003130C2">
      <w:pPr>
        <w:pStyle w:val="FootnoteText"/>
        <w:spacing w:after="0"/>
        <w:rPr>
          <w:color w:val="0033CC"/>
          <w:szCs w:val="16"/>
        </w:rPr>
      </w:pPr>
      <w:r>
        <w:rPr>
          <w:rStyle w:val="FootnoteReference"/>
        </w:rPr>
        <w:footnoteRef/>
      </w:r>
      <w:r>
        <w:rPr>
          <w:color w:val="0033CC"/>
        </w:rPr>
        <w:t xml:space="preserve"> </w:t>
      </w:r>
      <w:r>
        <w:rPr>
          <w:color w:val="0033CC"/>
        </w:rPr>
        <w:tab/>
      </w:r>
      <w:hyperlink r:id="rId32" w:history="1">
        <w:r>
          <w:rPr>
            <w:rStyle w:val="Hyperlink"/>
            <w:color w:val="0033CC"/>
          </w:rPr>
          <w:t>Home – HPC4Poland</w:t>
        </w:r>
      </w:hyperlink>
      <w:r>
        <w:rPr>
          <w:rStyle w:val="Hyperlink"/>
          <w:color w:val="0033CC"/>
        </w:rPr>
        <w:t>.</w:t>
      </w:r>
    </w:p>
  </w:footnote>
  <w:footnote w:id="32">
    <w:p w14:paraId="017151B8" w14:textId="77777777" w:rsidR="003130C2" w:rsidRPr="00C20744" w:rsidRDefault="003130C2" w:rsidP="003130C2">
      <w:pPr>
        <w:pStyle w:val="FootnoteText"/>
        <w:spacing w:after="0"/>
        <w:rPr>
          <w:color w:val="0033CC"/>
          <w:szCs w:val="16"/>
        </w:rPr>
      </w:pPr>
      <w:r>
        <w:rPr>
          <w:rStyle w:val="FootnoteReference"/>
          <w:szCs w:val="16"/>
        </w:rPr>
        <w:footnoteRef/>
      </w:r>
      <w:r>
        <w:t xml:space="preserve"> </w:t>
      </w:r>
      <w:r>
        <w:tab/>
      </w:r>
      <w:hyperlink r:id="rId33" w:history="1">
        <w:r>
          <w:rPr>
            <w:rStyle w:val="Hyperlink"/>
          </w:rPr>
          <w:t>EDIH-SILESIA | European Digital Innovation Hubs Network (europa.eu)</w:t>
        </w:r>
      </w:hyperlink>
      <w:r>
        <w:rPr>
          <w:rStyle w:val="Hyperlink"/>
          <w:color w:val="0033CC"/>
        </w:rPr>
        <w:t>.</w:t>
      </w:r>
    </w:p>
  </w:footnote>
  <w:footnote w:id="33">
    <w:p w14:paraId="7358AC46" w14:textId="77777777" w:rsidR="003130C2" w:rsidRPr="00D65EE6" w:rsidRDefault="003130C2" w:rsidP="003130C2">
      <w:pPr>
        <w:pStyle w:val="FootnoteText"/>
        <w:spacing w:after="0"/>
      </w:pPr>
      <w:r>
        <w:rPr>
          <w:rStyle w:val="FootnoteReference"/>
          <w:szCs w:val="16"/>
        </w:rPr>
        <w:footnoteRef/>
      </w:r>
      <w:r>
        <w:t xml:space="preserve"> </w:t>
      </w:r>
      <w:r>
        <w:tab/>
      </w:r>
      <w:hyperlink r:id="rId34" w:history="1">
        <w:r>
          <w:rPr>
            <w:rStyle w:val="Hyperlink"/>
          </w:rPr>
          <w:t>PDIH | European Digital Innovation Hubs Network (europa.eu)</w:t>
        </w:r>
      </w:hyperlink>
      <w:r>
        <w:rPr>
          <w:rStyle w:val="Hyperlink"/>
          <w:color w:val="0033CC"/>
        </w:rPr>
        <w:t>.</w:t>
      </w:r>
    </w:p>
  </w:footnote>
  <w:footnote w:id="34">
    <w:p w14:paraId="2BD5EE9F" w14:textId="77777777" w:rsidR="003130C2" w:rsidRPr="00C20744" w:rsidRDefault="003130C2" w:rsidP="003130C2">
      <w:pPr>
        <w:pStyle w:val="FootnoteText"/>
        <w:spacing w:after="0"/>
        <w:rPr>
          <w:color w:val="0033CC"/>
          <w:szCs w:val="16"/>
        </w:rPr>
      </w:pPr>
      <w:r>
        <w:rPr>
          <w:rStyle w:val="FootnoteReference"/>
        </w:rPr>
        <w:footnoteRef/>
      </w:r>
      <w:r>
        <w:rPr>
          <w:color w:val="0033CC"/>
        </w:rPr>
        <w:t xml:space="preserve"> </w:t>
      </w:r>
      <w:r>
        <w:rPr>
          <w:color w:val="0033CC"/>
        </w:rPr>
        <w:tab/>
      </w:r>
      <w:hyperlink r:id="rId35" w:history="1">
        <w:r>
          <w:rPr>
            <w:rStyle w:val="Hyperlink"/>
            <w:color w:val="0033CC"/>
          </w:rPr>
          <w:t>CyberSec – National Centre of Secure Digital Transformation (cyber-sec.net.pl)</w:t>
        </w:r>
      </w:hyperlink>
      <w:r>
        <w:rPr>
          <w:rStyle w:val="Hyperlink"/>
          <w:color w:val="0033CC"/>
        </w:rPr>
        <w:t>.</w:t>
      </w:r>
    </w:p>
  </w:footnote>
  <w:footnote w:id="35">
    <w:p w14:paraId="49300C13" w14:textId="77777777" w:rsidR="003130C2" w:rsidRPr="004B473A" w:rsidRDefault="003130C2" w:rsidP="003130C2">
      <w:pPr>
        <w:pStyle w:val="FootnoteText"/>
        <w:spacing w:after="0"/>
      </w:pPr>
      <w:r>
        <w:rPr>
          <w:rStyle w:val="FootnoteReference"/>
          <w:szCs w:val="16"/>
        </w:rPr>
        <w:footnoteRef/>
      </w:r>
      <w:r>
        <w:t xml:space="preserve"> </w:t>
      </w:r>
      <w:r>
        <w:tab/>
      </w:r>
      <w:hyperlink r:id="rId36" w:history="1">
        <w:r>
          <w:rPr>
            <w:rStyle w:val="Hyperlink"/>
            <w:color w:val="0033CC"/>
          </w:rPr>
          <w:t>Smart Secure Cities | European Digital Innovation Hubs Network (europa.eu)</w:t>
        </w:r>
      </w:hyperlink>
      <w:r>
        <w:rPr>
          <w:rStyle w:val="Hyperlink"/>
          <w:color w:val="0033CC"/>
        </w:rPr>
        <w:t>.</w:t>
      </w:r>
    </w:p>
  </w:footnote>
  <w:footnote w:id="36">
    <w:p w14:paraId="534C053A" w14:textId="77777777" w:rsidR="003130C2" w:rsidRPr="00C20744" w:rsidRDefault="003130C2" w:rsidP="003130C2">
      <w:pPr>
        <w:pStyle w:val="FootnoteText"/>
        <w:spacing w:after="0"/>
        <w:rPr>
          <w:color w:val="0033CC"/>
          <w:szCs w:val="16"/>
        </w:rPr>
      </w:pPr>
      <w:r>
        <w:rPr>
          <w:rStyle w:val="FootnoteReference"/>
        </w:rPr>
        <w:footnoteRef/>
      </w:r>
      <w:r>
        <w:t xml:space="preserve"> </w:t>
      </w:r>
      <w:r>
        <w:tab/>
      </w:r>
      <w:hyperlink r:id="rId37" w:history="1">
        <w:r>
          <w:rPr>
            <w:rStyle w:val="Hyperlink"/>
            <w:color w:val="0033CC"/>
          </w:rPr>
          <w:t>re_d | European Digital Innovation Hubs Network (europa.eu)</w:t>
        </w:r>
      </w:hyperlink>
      <w:r>
        <w:rPr>
          <w:rStyle w:val="Hyperlink"/>
          <w:color w:val="0033CC"/>
        </w:rPr>
        <w:t>.</w:t>
      </w:r>
    </w:p>
  </w:footnote>
  <w:footnote w:id="37">
    <w:p w14:paraId="2671511F"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38" w:history="1">
        <w:r>
          <w:rPr>
            <w:rStyle w:val="Hyperlink"/>
            <w:color w:val="0033CC"/>
          </w:rPr>
          <w:t>WRO4digITal | European Digital Innovation Hubs Network (europa.eu)</w:t>
        </w:r>
      </w:hyperlink>
      <w:r>
        <w:rPr>
          <w:rStyle w:val="Hyperlink"/>
          <w:color w:val="0033CC"/>
        </w:rPr>
        <w:t>.</w:t>
      </w:r>
    </w:p>
  </w:footnote>
  <w:footnote w:id="38">
    <w:p w14:paraId="6441DDF0" w14:textId="77777777" w:rsidR="003130C2" w:rsidRPr="00C20744" w:rsidRDefault="003130C2" w:rsidP="003130C2">
      <w:pPr>
        <w:pStyle w:val="FootnoteText"/>
        <w:spacing w:after="0"/>
        <w:rPr>
          <w:color w:val="0033CC"/>
          <w:szCs w:val="16"/>
        </w:rPr>
      </w:pPr>
      <w:r>
        <w:rPr>
          <w:rStyle w:val="FootnoteReference"/>
        </w:rPr>
        <w:footnoteRef/>
      </w:r>
      <w:r>
        <w:t xml:space="preserve"> </w:t>
      </w:r>
      <w:r>
        <w:tab/>
      </w:r>
      <w:hyperlink r:id="rId39" w:history="1">
        <w:r>
          <w:rPr>
            <w:rStyle w:val="Hyperlink"/>
            <w:color w:val="0033CC"/>
          </w:rPr>
          <w:t>Mazovia EDIH | European Digital Innovation Hubs Network (europa.eu)</w:t>
        </w:r>
      </w:hyperlink>
      <w:r>
        <w:rPr>
          <w:rStyle w:val="Hyperlink"/>
          <w:color w:val="0033CC"/>
        </w:rPr>
        <w:t>.</w:t>
      </w:r>
    </w:p>
  </w:footnote>
  <w:footnote w:id="39">
    <w:p w14:paraId="4DEC2B8F"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0" w:history="1">
        <w:r>
          <w:rPr>
            <w:rStyle w:val="Hyperlink"/>
            <w:color w:val="0033CC"/>
          </w:rPr>
          <w:t>Mazovia EDIH – Mazovia EDIH (mazovia-edih.pl)</w:t>
        </w:r>
      </w:hyperlink>
      <w:r>
        <w:rPr>
          <w:rStyle w:val="Hyperlink"/>
          <w:color w:val="0033CC"/>
        </w:rPr>
        <w:t>.</w:t>
      </w:r>
    </w:p>
  </w:footnote>
  <w:footnote w:id="40">
    <w:p w14:paraId="784FF1F3"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1" w:history="1">
        <w:r>
          <w:rPr>
            <w:rStyle w:val="Hyperlink"/>
            <w:color w:val="0033CC"/>
          </w:rPr>
          <w:t>TKDIH | European Digital Innovation Hubs Network (europa.eu)</w:t>
        </w:r>
      </w:hyperlink>
      <w:r>
        <w:rPr>
          <w:rStyle w:val="Hyperlink"/>
          <w:color w:val="0033CC"/>
        </w:rPr>
        <w:t>.</w:t>
      </w:r>
    </w:p>
  </w:footnote>
  <w:footnote w:id="41">
    <w:p w14:paraId="2E01F1C9"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2" w:history="1">
        <w:r>
          <w:rPr>
            <w:rStyle w:val="Hyperlink"/>
            <w:color w:val="0033CC"/>
          </w:rPr>
          <w:t>WAMA EDIH | European Digital Innovation Hubs Network (europa.eu)</w:t>
        </w:r>
      </w:hyperlink>
      <w:r>
        <w:rPr>
          <w:rStyle w:val="Hyperlink"/>
          <w:color w:val="0033CC"/>
        </w:rPr>
        <w:t>.</w:t>
      </w:r>
    </w:p>
  </w:footnote>
  <w:footnote w:id="42">
    <w:p w14:paraId="1BA58543" w14:textId="77777777" w:rsidR="003130C2" w:rsidRPr="004B473A" w:rsidRDefault="003130C2" w:rsidP="003130C2">
      <w:pPr>
        <w:pStyle w:val="FootnoteText"/>
        <w:spacing w:after="0"/>
      </w:pPr>
      <w:r>
        <w:rPr>
          <w:rStyle w:val="FootnoteReference"/>
          <w:szCs w:val="16"/>
        </w:rPr>
        <w:footnoteRef/>
      </w:r>
      <w:r>
        <w:rPr>
          <w:color w:val="0033CC"/>
        </w:rPr>
        <w:t xml:space="preserve"> </w:t>
      </w:r>
      <w:r>
        <w:rPr>
          <w:color w:val="0033CC"/>
        </w:rPr>
        <w:tab/>
      </w:r>
      <w:hyperlink r:id="rId43" w:history="1">
        <w:r>
          <w:rPr>
            <w:rStyle w:val="Hyperlink"/>
            <w:color w:val="0033CC"/>
          </w:rPr>
          <w:t>h4i | European Digital Innovation Hubs Network (europa.eu)</w:t>
        </w:r>
      </w:hyperlink>
      <w:r>
        <w:rPr>
          <w:rStyle w:val="Hyperlink"/>
          <w:color w:val="0033CC"/>
        </w:rPr>
        <w:t>.</w:t>
      </w:r>
    </w:p>
  </w:footnote>
  <w:footnote w:id="43">
    <w:p w14:paraId="37F61BA1" w14:textId="77777777" w:rsidR="003130C2" w:rsidRPr="00905786" w:rsidRDefault="003130C2" w:rsidP="003130C2">
      <w:pPr>
        <w:pStyle w:val="FootnoteText"/>
      </w:pPr>
      <w:r>
        <w:rPr>
          <w:rStyle w:val="FootnoteReference"/>
        </w:rPr>
        <w:footnoteRef/>
      </w:r>
      <w:r>
        <w:t xml:space="preserve"> </w:t>
      </w:r>
      <w:r>
        <w:tab/>
      </w:r>
      <w:hyperlink r:id="rId44" w:history="1">
        <w:r>
          <w:rPr>
            <w:rStyle w:val="Hyperlink"/>
          </w:rPr>
          <w:t>C(2021) 7914 final</w:t>
        </w:r>
      </w:hyperlink>
      <w:r>
        <w:t>.</w:t>
      </w:r>
    </w:p>
  </w:footnote>
  <w:footnote w:id="44">
    <w:p w14:paraId="778EC37B" w14:textId="77777777" w:rsidR="003130C2" w:rsidRPr="002310B5" w:rsidRDefault="003130C2" w:rsidP="003130C2">
      <w:pPr>
        <w:pStyle w:val="FootnoteText"/>
      </w:pPr>
      <w:r>
        <w:rPr>
          <w:rStyle w:val="FootnoteReference"/>
        </w:rPr>
        <w:footnoteRef/>
      </w:r>
      <w:r>
        <w:t xml:space="preserve"> </w:t>
      </w:r>
      <w:r>
        <w:tab/>
      </w:r>
      <w:hyperlink r:id="rId45" w:history="1">
        <w:r>
          <w:rPr>
            <w:rStyle w:val="Hyperlink"/>
            <w:color w:val="2E74B5" w:themeColor="accent1" w:themeShade="BF"/>
          </w:rPr>
          <w:t>about – MACC (fccn.pt)</w:t>
        </w:r>
      </w:hyperlink>
      <w:r>
        <w:rPr>
          <w:rStyle w:val="Hyperlink"/>
          <w:color w:val="2E74B5" w:themeColor="accent1" w:themeShade="BF"/>
        </w:rPr>
        <w:t>.</w:t>
      </w:r>
    </w:p>
  </w:footnote>
  <w:footnote w:id="45">
    <w:p w14:paraId="3AEE3747" w14:textId="77777777" w:rsidR="003130C2" w:rsidRPr="002310B5" w:rsidRDefault="003130C2" w:rsidP="003130C2">
      <w:pPr>
        <w:pStyle w:val="FootnoteText"/>
      </w:pPr>
      <w:r>
        <w:rPr>
          <w:rStyle w:val="FootnoteReference"/>
        </w:rPr>
        <w:footnoteRef/>
      </w:r>
      <w:r>
        <w:t xml:space="preserve"> </w:t>
      </w:r>
      <w:r>
        <w:tab/>
      </w:r>
      <w:hyperlink r:id="rId46" w:history="1">
        <w:r>
          <w:rPr>
            <w:rStyle w:val="Hyperlink"/>
            <w:color w:val="2E74B5" w:themeColor="accent1" w:themeShade="BF"/>
          </w:rPr>
          <w:t>FCT – FCT</w:t>
        </w:r>
      </w:hyperlink>
      <w:r>
        <w:rPr>
          <w:rStyle w:val="Hyperlink"/>
          <w:color w:val="2E74B5" w:themeColor="accent1" w:themeShade="BF"/>
        </w:rPr>
        <w:t>.</w:t>
      </w:r>
    </w:p>
  </w:footnote>
  <w:footnote w:id="46">
    <w:p w14:paraId="5FCB605B" w14:textId="77777777" w:rsidR="003130C2" w:rsidRPr="002310B5" w:rsidRDefault="003130C2" w:rsidP="003130C2">
      <w:pPr>
        <w:pStyle w:val="FootnoteText"/>
      </w:pPr>
      <w:r>
        <w:rPr>
          <w:rStyle w:val="FootnoteReference"/>
        </w:rPr>
        <w:footnoteRef/>
      </w:r>
      <w:r>
        <w:t xml:space="preserve"> </w:t>
      </w:r>
      <w:r>
        <w:tab/>
      </w:r>
      <w:hyperlink r:id="rId47" w:history="1">
        <w:r>
          <w:rPr>
            <w:rStyle w:val="Hyperlink"/>
            <w:color w:val="2E74B5" w:themeColor="accent1" w:themeShade="BF"/>
          </w:rPr>
          <w:t>Coordinated Plan on Artificial Intelligence | Shaping Europe’s digital future (europa.eu)</w:t>
        </w:r>
      </w:hyperlink>
      <w:r>
        <w:rPr>
          <w:rStyle w:val="Hyperlink"/>
          <w:color w:val="2E74B5" w:themeColor="accent1" w:themeShade="BF"/>
        </w:rPr>
        <w:t>.</w:t>
      </w:r>
    </w:p>
  </w:footnote>
  <w:footnote w:id="47">
    <w:p w14:paraId="183C5A6E" w14:textId="77777777" w:rsidR="003130C2" w:rsidRPr="002310B5" w:rsidRDefault="003130C2" w:rsidP="003130C2">
      <w:pPr>
        <w:pStyle w:val="FootnoteText"/>
      </w:pPr>
      <w:r>
        <w:rPr>
          <w:rStyle w:val="FootnoteReference"/>
        </w:rPr>
        <w:footnoteRef/>
      </w:r>
      <w:r>
        <w:t xml:space="preserve"> </w:t>
      </w:r>
      <w:r>
        <w:tab/>
      </w:r>
      <w:hyperlink r:id="rId48" w:anchor="infrastructure" w:history="1">
        <w:r>
          <w:rPr>
            <w:rStyle w:val="Hyperlink"/>
            <w:color w:val="2E74B5" w:themeColor="accent1" w:themeShade="BF"/>
          </w:rPr>
          <w:t>Portugal AI Strategy Report – European Commission (europa.eu)</w:t>
        </w:r>
      </w:hyperlink>
      <w:r>
        <w:rPr>
          <w:rStyle w:val="Hyperlink"/>
          <w:color w:val="2E74B5" w:themeColor="accent1" w:themeShade="BF"/>
        </w:rPr>
        <w:t>.</w:t>
      </w:r>
    </w:p>
  </w:footnote>
  <w:footnote w:id="48">
    <w:p w14:paraId="5E65D97E" w14:textId="77777777" w:rsidR="003130C2" w:rsidRPr="002310B5" w:rsidRDefault="003130C2" w:rsidP="003130C2">
      <w:pPr>
        <w:pStyle w:val="FootnoteText"/>
      </w:pPr>
      <w:r>
        <w:rPr>
          <w:rStyle w:val="FootnoteReference"/>
        </w:rPr>
        <w:footnoteRef/>
      </w:r>
      <w:r>
        <w:t xml:space="preserve"> </w:t>
      </w:r>
      <w:r>
        <w:tab/>
      </w:r>
      <w:hyperlink r:id="rId49" w:history="1">
        <w:r>
          <w:rPr>
            <w:rStyle w:val="Hyperlink"/>
            <w:color w:val="2E74B5" w:themeColor="accent1" w:themeShade="BF"/>
          </w:rPr>
          <w:t>https://tefhealth.eu/home</w:t>
        </w:r>
      </w:hyperlink>
      <w:r>
        <w:rPr>
          <w:rStyle w:val="Hyperlink"/>
          <w:color w:val="2E74B5" w:themeColor="accent1" w:themeShade="BF"/>
        </w:rPr>
        <w:t>.</w:t>
      </w:r>
    </w:p>
  </w:footnote>
  <w:footnote w:id="49">
    <w:p w14:paraId="0455A512" w14:textId="77777777" w:rsidR="003130C2" w:rsidRPr="002310B5" w:rsidRDefault="003130C2" w:rsidP="003130C2">
      <w:pPr>
        <w:pStyle w:val="FootnoteText"/>
      </w:pPr>
      <w:r>
        <w:rPr>
          <w:rStyle w:val="FootnoteReference"/>
        </w:rPr>
        <w:footnoteRef/>
      </w:r>
      <w:r>
        <w:t xml:space="preserve"> </w:t>
      </w:r>
      <w:r>
        <w:tab/>
      </w:r>
      <w:hyperlink r:id="rId50" w:history="1">
        <w:r>
          <w:rPr>
            <w:rStyle w:val="Hyperlink"/>
            <w:color w:val="2E74B5" w:themeColor="accent1" w:themeShade="BF"/>
          </w:rPr>
          <w:t>https://competition-policy.ec.europa.eu/state-aid/ipcei/approved-ipceis_en</w:t>
        </w:r>
      </w:hyperlink>
      <w:r>
        <w:rPr>
          <w:rStyle w:val="Hyperlink"/>
          <w:color w:val="2E74B5" w:themeColor="accent1" w:themeShade="BF"/>
        </w:rPr>
        <w:t>.</w:t>
      </w:r>
    </w:p>
  </w:footnote>
  <w:footnote w:id="50">
    <w:p w14:paraId="64AA6566" w14:textId="77777777" w:rsidR="003130C2" w:rsidRPr="00CC4710" w:rsidRDefault="003130C2" w:rsidP="003130C2">
      <w:pPr>
        <w:pStyle w:val="FootnoteText"/>
      </w:pPr>
      <w:r>
        <w:rPr>
          <w:rStyle w:val="FootnoteReference"/>
        </w:rPr>
        <w:footnoteRef/>
      </w:r>
      <w:r>
        <w:t xml:space="preserve"> </w:t>
      </w:r>
      <w:r>
        <w:tab/>
      </w:r>
      <w:hyperlink r:id="rId51" w:history="1">
        <w:r>
          <w:rPr>
            <w:rStyle w:val="Hyperlink"/>
            <w:color w:val="2E74B5" w:themeColor="accent1" w:themeShade="BF"/>
          </w:rPr>
          <w:t>Portugal – NCC – European Union (europa.eu)</w:t>
        </w:r>
      </w:hyperlink>
      <w:r>
        <w:rPr>
          <w:rStyle w:val="Hyperlink"/>
          <w:color w:val="2E74B5" w:themeColor="accent1" w:themeShade="BF"/>
        </w:rPr>
        <w:t>.</w:t>
      </w:r>
    </w:p>
  </w:footnote>
  <w:footnote w:id="51">
    <w:p w14:paraId="7800ED4B" w14:textId="77777777" w:rsidR="003130C2" w:rsidRPr="00CC4710" w:rsidRDefault="003130C2" w:rsidP="003130C2">
      <w:pPr>
        <w:pStyle w:val="FootnoteText"/>
      </w:pPr>
      <w:r>
        <w:rPr>
          <w:rStyle w:val="FootnoteReference"/>
        </w:rPr>
        <w:footnoteRef/>
      </w:r>
      <w:r>
        <w:t xml:space="preserve"> </w:t>
      </w:r>
      <w:r>
        <w:tab/>
      </w:r>
      <w:hyperlink r:id="rId52" w:history="1">
        <w:r>
          <w:rPr>
            <w:rStyle w:val="Hyperlink"/>
          </w:rPr>
          <w:t>JRC Publications Repository - Academic Offer of Advanced Digital Skills in 2020-21.</w:t>
        </w:r>
      </w:hyperlink>
      <w:hyperlink r:id="rId53" w:history="1">
        <w:r>
          <w:rPr>
            <w:rStyle w:val="Hyperlink"/>
          </w:rPr>
          <w:t xml:space="preserve"> International Comparison (europa.eu)</w:t>
        </w:r>
      </w:hyperlink>
      <w:r>
        <w:t>.</w:t>
      </w:r>
    </w:p>
  </w:footnote>
  <w:footnote w:id="52">
    <w:p w14:paraId="569C3E05" w14:textId="77777777" w:rsidR="003130C2" w:rsidRPr="00CC4710" w:rsidRDefault="003130C2" w:rsidP="003130C2">
      <w:pPr>
        <w:pStyle w:val="FootnoteText"/>
      </w:pPr>
      <w:r>
        <w:rPr>
          <w:rStyle w:val="FootnoteReference"/>
        </w:rPr>
        <w:footnoteRef/>
      </w:r>
      <w:r>
        <w:t xml:space="preserve"> </w:t>
      </w:r>
      <w:r>
        <w:tab/>
      </w:r>
      <w:hyperlink r:id="rId54" w:history="1">
        <w:r>
          <w:rPr>
            <w:rStyle w:val="Hyperlink"/>
            <w:color w:val="2E74B5" w:themeColor="accent1" w:themeShade="BF"/>
          </w:rPr>
          <w:t>https://digital-strategy.ec.europa.eu/en/library/digital-economy-and-society-index-desi-2022</w:t>
        </w:r>
      </w:hyperlink>
      <w:r>
        <w:rPr>
          <w:rStyle w:val="Hyperlink"/>
          <w:color w:val="2E74B5" w:themeColor="accent1" w:themeShade="BF"/>
        </w:rPr>
        <w:t>.</w:t>
      </w:r>
    </w:p>
  </w:footnote>
  <w:footnote w:id="53">
    <w:p w14:paraId="430435AF" w14:textId="77777777" w:rsidR="003130C2" w:rsidRPr="00CC4710" w:rsidRDefault="003130C2" w:rsidP="003130C2">
      <w:pPr>
        <w:pStyle w:val="FootnoteText"/>
      </w:pPr>
      <w:r>
        <w:rPr>
          <w:rStyle w:val="FootnoteReference"/>
        </w:rPr>
        <w:footnoteRef/>
      </w:r>
      <w:r>
        <w:t xml:space="preserve"> </w:t>
      </w:r>
      <w:r>
        <w:tab/>
      </w:r>
      <w:hyperlink r:id="rId55" w:history="1">
        <w:r>
          <w:rPr>
            <w:rStyle w:val="Hyperlink"/>
            <w:color w:val="2E74B5" w:themeColor="accent1" w:themeShade="BF"/>
          </w:rPr>
          <w:t>Portugal | Digital Skills and Jobs Platform (europa.eu)</w:t>
        </w:r>
      </w:hyperlink>
      <w:r>
        <w:rPr>
          <w:rStyle w:val="Hyperlink"/>
          <w:color w:val="2E74B5" w:themeColor="accent1" w:themeShade="BF"/>
        </w:rPr>
        <w:t>.</w:t>
      </w:r>
    </w:p>
  </w:footnote>
  <w:footnote w:id="54">
    <w:p w14:paraId="138C5BAF" w14:textId="77777777" w:rsidR="003130C2" w:rsidRPr="001921D0" w:rsidRDefault="003130C2" w:rsidP="003130C2">
      <w:pPr>
        <w:pStyle w:val="FootnoteText"/>
      </w:pPr>
      <w:r>
        <w:rPr>
          <w:rStyle w:val="FootnoteReference"/>
        </w:rPr>
        <w:footnoteRef/>
      </w:r>
      <w:r>
        <w:t xml:space="preserve"> </w:t>
      </w:r>
      <w:r>
        <w:tab/>
      </w:r>
      <w:hyperlink r:id="rId56" w:history="1">
        <w:r>
          <w:rPr>
            <w:rStyle w:val="Hyperlink"/>
            <w:color w:val="2E74B5" w:themeColor="accent1" w:themeShade="BF"/>
          </w:rPr>
          <w:t>Country reports – Digital Decade report 2023 | Shaping Europe’s digital future (europa.eu)</w:t>
        </w:r>
      </w:hyperlink>
      <w:r>
        <w:rPr>
          <w:color w:val="2E74B5" w:themeColor="accent1" w:themeShade="BF"/>
        </w:rPr>
        <w:t>.</w:t>
      </w:r>
    </w:p>
  </w:footnote>
  <w:footnote w:id="55">
    <w:p w14:paraId="0AA60BA3" w14:textId="77777777" w:rsidR="003130C2" w:rsidRPr="001921D0" w:rsidRDefault="003130C2" w:rsidP="003130C2">
      <w:pPr>
        <w:pStyle w:val="FootnoteText"/>
      </w:pPr>
      <w:r>
        <w:rPr>
          <w:rStyle w:val="FootnoteReference"/>
        </w:rPr>
        <w:footnoteRef/>
      </w:r>
      <w:r>
        <w:t xml:space="preserve"> </w:t>
      </w:r>
      <w:r>
        <w:tab/>
      </w:r>
      <w:hyperlink r:id="rId57" w:history="1">
        <w:r>
          <w:rPr>
            <w:rStyle w:val="Hyperlink"/>
            <w:color w:val="2E74B5" w:themeColor="accent1" w:themeShade="BF"/>
          </w:rPr>
          <w:t>Digital Innovation Hubs | DIH – Portugal Digital</w:t>
        </w:r>
      </w:hyperlink>
      <w:r>
        <w:rPr>
          <w:rStyle w:val="Hyperlink"/>
          <w:color w:val="2E74B5" w:themeColor="accent1" w:themeShade="BF"/>
        </w:rPr>
        <w:t>.</w:t>
      </w:r>
    </w:p>
  </w:footnote>
  <w:footnote w:id="56">
    <w:p w14:paraId="1F19357F" w14:textId="77777777" w:rsidR="003130C2" w:rsidRPr="001921D0" w:rsidRDefault="003130C2" w:rsidP="003130C2">
      <w:pPr>
        <w:pStyle w:val="FootnoteText"/>
      </w:pPr>
      <w:r>
        <w:rPr>
          <w:rStyle w:val="FootnoteReference"/>
        </w:rPr>
        <w:footnoteRef/>
      </w:r>
      <w:r>
        <w:t xml:space="preserve"> </w:t>
      </w:r>
      <w:r>
        <w:tab/>
      </w:r>
      <w:hyperlink r:id="rId58" w:history="1">
        <w:r>
          <w:rPr>
            <w:rStyle w:val="Hyperlink"/>
            <w:color w:val="2E74B5" w:themeColor="accent1" w:themeShade="BF"/>
          </w:rPr>
          <w:t>https://eurohpc-ju.europa.eu/sweden-will-host-new-eurohpc-supercomputer-2023-06-19_en</w:t>
        </w:r>
      </w:hyperlink>
      <w:r>
        <w:rPr>
          <w:rStyle w:val="Hyperlink"/>
          <w:color w:val="2E74B5" w:themeColor="accent1" w:themeShade="BF"/>
        </w:rPr>
        <w:t>.</w:t>
      </w:r>
    </w:p>
  </w:footnote>
  <w:footnote w:id="57">
    <w:p w14:paraId="25261557"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59" w:history="1">
        <w:r>
          <w:rPr>
            <w:rStyle w:val="Hyperlink"/>
            <w:color w:val="2E74B5" w:themeColor="accent1" w:themeShade="BF"/>
            <w:sz w:val="16"/>
          </w:rPr>
          <w:t>Coordinated Plan on Artificial Intelligence | Shaping Europe’s digital future (europa.eu)</w:t>
        </w:r>
      </w:hyperlink>
      <w:r>
        <w:rPr>
          <w:rStyle w:val="Hyperlink"/>
          <w:color w:val="2E74B5" w:themeColor="accent1" w:themeShade="BF"/>
          <w:sz w:val="16"/>
        </w:rPr>
        <w:t>.</w:t>
      </w:r>
    </w:p>
  </w:footnote>
  <w:footnote w:id="58">
    <w:p w14:paraId="410D7A08"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0" w:history="1">
        <w:r>
          <w:rPr>
            <w:rStyle w:val="Hyperlink"/>
            <w:sz w:val="16"/>
          </w:rPr>
          <w:t>https://www.vinnova.se/contentassets/29cd313d690e4be3a8d861ad05a4ee48/vr_18_09.pdf</w:t>
        </w:r>
      </w:hyperlink>
      <w:r>
        <w:rPr>
          <w:rStyle w:val="Hyperlink"/>
          <w:color w:val="2E74B5" w:themeColor="accent1" w:themeShade="BF"/>
          <w:sz w:val="16"/>
        </w:rPr>
        <w:t>.</w:t>
      </w:r>
    </w:p>
  </w:footnote>
  <w:footnote w:id="59">
    <w:p w14:paraId="3D0F4D10"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1" w:history="1">
        <w:r>
          <w:rPr>
            <w:rStyle w:val="Hyperlink"/>
            <w:color w:val="2E74B5" w:themeColor="accent1" w:themeShade="BF"/>
            <w:sz w:val="16"/>
          </w:rPr>
          <w:t>All Member States now committed to building an EU quantum communication infrastructure | Shaping Europe’s digital future (europa.eu)</w:t>
        </w:r>
      </w:hyperlink>
      <w:r>
        <w:rPr>
          <w:rStyle w:val="Hyperlink"/>
          <w:color w:val="2E74B5" w:themeColor="accent1" w:themeShade="BF"/>
          <w:sz w:val="16"/>
        </w:rPr>
        <w:t>.</w:t>
      </w:r>
    </w:p>
  </w:footnote>
  <w:footnote w:id="60">
    <w:p w14:paraId="0F0C3595"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2" w:history="1">
        <w:r>
          <w:rPr>
            <w:rStyle w:val="Hyperlink"/>
            <w:color w:val="2E74B5" w:themeColor="accent1" w:themeShade="BF"/>
            <w:sz w:val="16"/>
          </w:rPr>
          <w:t>Sweden – NCC – European Union (europa.eu)</w:t>
        </w:r>
      </w:hyperlink>
      <w:r>
        <w:rPr>
          <w:rStyle w:val="Hyperlink"/>
          <w:color w:val="2E74B5" w:themeColor="accent1" w:themeShade="BF"/>
          <w:sz w:val="16"/>
        </w:rPr>
        <w:t>.</w:t>
      </w:r>
    </w:p>
  </w:footnote>
  <w:footnote w:id="61">
    <w:p w14:paraId="627055A4"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3" w:history="1">
        <w:r>
          <w:rPr>
            <w:rStyle w:val="Hyperlink"/>
            <w:sz w:val="16"/>
          </w:rPr>
          <w:t>https://www.ncsc.se/</w:t>
        </w:r>
      </w:hyperlink>
      <w:r>
        <w:rPr>
          <w:rStyle w:val="Hyperlink"/>
          <w:color w:val="2E74B5" w:themeColor="accent1" w:themeShade="BF"/>
          <w:sz w:val="16"/>
        </w:rPr>
        <w:t>.</w:t>
      </w:r>
    </w:p>
  </w:footnote>
  <w:footnote w:id="62">
    <w:p w14:paraId="0A925D7B" w14:textId="77777777" w:rsidR="003130C2" w:rsidRPr="0028632B" w:rsidRDefault="003130C2" w:rsidP="003130C2">
      <w:pPr>
        <w:pStyle w:val="NoSpacing"/>
        <w:ind w:left="567" w:hanging="567"/>
        <w:rPr>
          <w:rFonts w:eastAsiaTheme="majorEastAsia"/>
          <w:color w:val="2E74B5" w:themeColor="accent1" w:themeShade="BF"/>
          <w:sz w:val="16"/>
          <w:szCs w:val="16"/>
          <w:u w:val="single"/>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4" w:history="1">
        <w:r>
          <w:rPr>
            <w:rStyle w:val="Hyperlink"/>
            <w:sz w:val="16"/>
          </w:rPr>
          <w:t>JRC Publications Repository - Academic Offer of Advanced Digital Skills in 2020-21.</w:t>
        </w:r>
      </w:hyperlink>
      <w:hyperlink r:id="rId65" w:history="1">
        <w:r>
          <w:rPr>
            <w:rStyle w:val="Hyperlink"/>
            <w:sz w:val="16"/>
          </w:rPr>
          <w:t xml:space="preserve"> International Comparison (europa.eu)</w:t>
        </w:r>
      </w:hyperlink>
      <w:r>
        <w:rPr>
          <w:sz w:val="16"/>
        </w:rPr>
        <w:t>.</w:t>
      </w:r>
    </w:p>
  </w:footnote>
  <w:footnote w:id="63">
    <w:p w14:paraId="2C18F68D"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t xml:space="preserve"> </w:t>
      </w:r>
      <w:r>
        <w:tab/>
      </w:r>
      <w:hyperlink r:id="rId66" w:history="1">
        <w:r>
          <w:rPr>
            <w:rStyle w:val="Hyperlink"/>
            <w:sz w:val="16"/>
          </w:rPr>
          <w:t>Digital Economy and Society Index (DESI) 2022 – Sweden.</w:t>
        </w:r>
      </w:hyperlink>
    </w:p>
  </w:footnote>
  <w:footnote w:id="64">
    <w:p w14:paraId="54B741E8" w14:textId="77777777" w:rsidR="003130C2" w:rsidRPr="00EF780A"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7" w:history="1">
        <w:r>
          <w:rPr>
            <w:rStyle w:val="Hyperlink"/>
            <w:sz w:val="16"/>
          </w:rPr>
          <w:t>Report on the state of the digital decade 2023 – Annex Sweden</w:t>
        </w:r>
      </w:hyperlink>
      <w:r>
        <w:rPr>
          <w:sz w:val="16"/>
        </w:rPr>
        <w:t>.</w:t>
      </w:r>
    </w:p>
  </w:footnote>
  <w:footnote w:id="65">
    <w:p w14:paraId="15685473" w14:textId="77777777" w:rsidR="003130C2" w:rsidRPr="008A1AC5" w:rsidRDefault="003130C2" w:rsidP="003130C2">
      <w:pPr>
        <w:pStyle w:val="NoSpacing"/>
        <w:ind w:left="567" w:hanging="567"/>
      </w:pPr>
      <w:r>
        <w:rPr>
          <w:rStyle w:val="FootnoteReference"/>
          <w:szCs w:val="24"/>
        </w:rPr>
        <w:footnoteRef/>
      </w:r>
      <w:r>
        <w:t xml:space="preserve"> </w:t>
      </w:r>
      <w:r>
        <w:tab/>
      </w:r>
      <w:hyperlink r:id="rId68" w:history="1">
        <w:r>
          <w:rPr>
            <w:rStyle w:val="Hyperlink"/>
            <w:color w:val="2E74B5" w:themeColor="accent1" w:themeShade="BF"/>
            <w:sz w:val="16"/>
          </w:rPr>
          <w:t>Digital Skills and Jobs Platform Sweden – Digital Skills and Jobs Coalition Sweden (digitalskillsjobs.se)</w:t>
        </w:r>
      </w:hyperlink>
      <w:r>
        <w:rPr>
          <w:rStyle w:val="Hyperlink"/>
          <w:color w:val="2E74B5" w:themeColor="accent1" w:themeShade="BF"/>
          <w:sz w:val="16"/>
        </w:rPr>
        <w:t>.</w:t>
      </w:r>
    </w:p>
  </w:footnote>
  <w:footnote w:id="66">
    <w:p w14:paraId="5E7C7A38" w14:textId="77777777" w:rsidR="003130C2" w:rsidRPr="000A75F2" w:rsidRDefault="003130C2" w:rsidP="003130C2">
      <w:pPr>
        <w:pStyle w:val="NoSpacing"/>
        <w:ind w:left="567" w:hanging="567"/>
        <w:rPr>
          <w:sz w:val="18"/>
          <w:szCs w:val="18"/>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9" w:history="1">
        <w:r>
          <w:rPr>
            <w:rStyle w:val="Hyperlink"/>
            <w:color w:val="2E74B5" w:themeColor="accent1" w:themeShade="BF"/>
            <w:sz w:val="16"/>
          </w:rPr>
          <w:t>About us – Bron Innovation</w:t>
        </w:r>
      </w:hyperlink>
      <w:r>
        <w:rPr>
          <w:rStyle w:val="Hyperlink"/>
          <w:color w:val="2E74B5" w:themeColor="accent1" w:themeShade="BF"/>
          <w:sz w:val="16"/>
        </w:rPr>
        <w:t>.</w:t>
      </w:r>
    </w:p>
  </w:footnote>
  <w:footnote w:id="67">
    <w:p w14:paraId="6869AA41"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0" w:history="1">
        <w:r>
          <w:rPr>
            <w:rStyle w:val="Hyperlink"/>
            <w:sz w:val="16"/>
          </w:rPr>
          <w:t>https://european-digital-innovation-hubs.ec.europa.eu/edih-catalogue/digit-hub-sweden</w:t>
        </w:r>
      </w:hyperlink>
      <w:r>
        <w:rPr>
          <w:rStyle w:val="Hyperlink"/>
          <w:color w:val="2E74B5" w:themeColor="accent1" w:themeShade="BF"/>
          <w:sz w:val="16"/>
        </w:rPr>
        <w:t>.</w:t>
      </w:r>
    </w:p>
  </w:footnote>
  <w:footnote w:id="68">
    <w:p w14:paraId="38B57FBE"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1" w:history="1">
        <w:r>
          <w:rPr>
            <w:rStyle w:val="Hyperlink"/>
            <w:color w:val="2E74B5" w:themeColor="accent1" w:themeShade="BF"/>
            <w:sz w:val="16"/>
          </w:rPr>
          <w:t>CEEC – Centre of Excellence for Exascale CFD – European Commission (europa.eu)</w:t>
        </w:r>
      </w:hyperlink>
      <w:r>
        <w:rPr>
          <w:rStyle w:val="Hyperlink"/>
          <w:color w:val="2E74B5" w:themeColor="accent1" w:themeShade="BF"/>
          <w:sz w:val="16"/>
        </w:rPr>
        <w:t>.</w:t>
      </w:r>
    </w:p>
  </w:footnote>
  <w:footnote w:id="69">
    <w:p w14:paraId="25F266BB"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2" w:history="1">
        <w:r>
          <w:rPr>
            <w:rStyle w:val="Hyperlink"/>
            <w:color w:val="2E74B5" w:themeColor="accent1" w:themeShade="BF"/>
            <w:sz w:val="16"/>
          </w:rPr>
          <w:t>Plasma-PEPSC – Plasma Exascale-Performance Simulations Centre of Excellence – European Commission (europa.eu)</w:t>
        </w:r>
      </w:hyperlink>
      <w:r>
        <w:rPr>
          <w:rStyle w:val="Hyperlink"/>
          <w:color w:val="2E74B5" w:themeColor="accent1" w:themeShade="BF"/>
          <w:sz w:val="16"/>
        </w:rPr>
        <w:t>.</w:t>
      </w:r>
    </w:p>
  </w:footnote>
  <w:footnote w:id="70">
    <w:p w14:paraId="5F5BCB14" w14:textId="77777777" w:rsidR="003130C2" w:rsidRPr="000A75F2" w:rsidRDefault="003130C2" w:rsidP="003130C2">
      <w:pPr>
        <w:pStyle w:val="NoSpacing"/>
        <w:ind w:left="567" w:hanging="567"/>
        <w:rPr>
          <w:sz w:val="18"/>
          <w:szCs w:val="18"/>
        </w:rPr>
      </w:pPr>
      <w:r>
        <w:rPr>
          <w:rStyle w:val="FootnoteReference"/>
          <w:szCs w:val="24"/>
        </w:rPr>
        <w:footnoteRef/>
      </w:r>
      <w:r>
        <w:t xml:space="preserve"> </w:t>
      </w:r>
      <w:r>
        <w:tab/>
      </w:r>
      <w:hyperlink r:id="rId73" w:history="1">
        <w:r>
          <w:rPr>
            <w:rStyle w:val="Hyperlink"/>
            <w:sz w:val="16"/>
          </w:rPr>
          <w:t>Report on the state of the digital decade 2023 – Annex Sweden</w:t>
        </w:r>
      </w:hyperlink>
      <w:r>
        <w:rPr>
          <w:sz w:val="16"/>
        </w:rPr>
        <w:t>.</w:t>
      </w:r>
    </w:p>
  </w:footnote>
  <w:footnote w:id="71">
    <w:p w14:paraId="5F8AB27A" w14:textId="77777777" w:rsidR="003130C2" w:rsidRPr="007849AF" w:rsidRDefault="003130C2" w:rsidP="003130C2">
      <w:pPr>
        <w:pStyle w:val="FootnoteText"/>
        <w:spacing w:after="0"/>
        <w:rPr>
          <w:sz w:val="20"/>
        </w:rPr>
      </w:pPr>
      <w:r>
        <w:rPr>
          <w:rStyle w:val="FootnoteReference"/>
          <w:szCs w:val="24"/>
        </w:rPr>
        <w:footnoteRef/>
      </w:r>
      <w:r>
        <w:rPr>
          <w:sz w:val="20"/>
        </w:rPr>
        <w:t xml:space="preserve"> </w:t>
      </w:r>
      <w:r>
        <w:rPr>
          <w:sz w:val="20"/>
        </w:rPr>
        <w:tab/>
      </w:r>
      <w:hyperlink r:id="rId74" w:history="1">
        <w:r>
          <w:rPr>
            <w:rStyle w:val="Hyperlink"/>
          </w:rPr>
          <w:t>Better Regulation toolbox – July 2023</w:t>
        </w:r>
      </w:hyperlink>
      <w:r>
        <w:t>.</w:t>
      </w:r>
    </w:p>
  </w:footnote>
  <w:footnote w:id="72">
    <w:p w14:paraId="66EDE7F5" w14:textId="77777777" w:rsidR="003130C2" w:rsidRPr="00F00DE9" w:rsidRDefault="003130C2" w:rsidP="003130C2">
      <w:pPr>
        <w:pStyle w:val="FootnoteText"/>
      </w:pPr>
      <w:r>
        <w:rPr>
          <w:rStyle w:val="FootnoteReference"/>
        </w:rPr>
        <w:footnoteRef/>
      </w:r>
      <w:r>
        <w:t xml:space="preserve"> </w:t>
      </w:r>
      <w:r>
        <w:tab/>
      </w:r>
      <w:hyperlink r:id="rId75" w:history="1">
        <w:r>
          <w:rPr>
            <w:rStyle w:val="Hyperlink"/>
          </w:rPr>
          <w:t>https://commission.europa.eu/law/law-making-process/evaluating-and-improving-existing-laws/refit-making-eu-law-simpler-less-costly-and-future-proof/fit-future-platform-f4f_en</w:t>
        </w:r>
      </w:hyperlink>
      <w:r>
        <w:t xml:space="preserve">. </w:t>
      </w:r>
    </w:p>
  </w:footnote>
  <w:footnote w:id="73">
    <w:p w14:paraId="4FE88296" w14:textId="77777777" w:rsidR="003130C2" w:rsidRPr="00F00DE9" w:rsidRDefault="003130C2" w:rsidP="003130C2">
      <w:pPr>
        <w:pStyle w:val="FootnoteText"/>
      </w:pPr>
      <w:r>
        <w:rPr>
          <w:rStyle w:val="FootnoteReference"/>
        </w:rPr>
        <w:footnoteRef/>
      </w:r>
      <w:r>
        <w:t xml:space="preserve"> </w:t>
      </w:r>
      <w:r>
        <w:tab/>
      </w:r>
      <w:hyperlink r:id="rId76" w:history="1">
        <w:r>
          <w:rPr>
            <w:rStyle w:val="Hyperlink"/>
          </w:rPr>
          <w:t>https://commission.europa.eu/document/download/a3708108-68ec-4993-8817-1f228853ca88_en?filename=final_opinion_2023_2_digital_europe.pdf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BE2709">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60800;mso-position-horizontal:center;mso-position-horizontal-relative:margin;mso-position-vertical:center;mso-position-vertical-relative:margin" o:allowincell="f">
          <v:imagedata r:id="rId1" o:title="footer only"/>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9E46" w14:textId="77777777" w:rsidR="003130C2" w:rsidRPr="009342EE" w:rsidRDefault="003130C2" w:rsidP="009342E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C165" w14:textId="77777777" w:rsidR="003130C2" w:rsidRPr="009342EE" w:rsidRDefault="003130C2" w:rsidP="009342E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AD68" w14:textId="77777777" w:rsidR="003130C2" w:rsidRPr="009342EE" w:rsidRDefault="003130C2" w:rsidP="009342E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BE2709">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54656;mso-position-horizontal:center;mso-position-horizontal-relative:margin;mso-position-vertical:center;mso-position-vertical-relative:margin" o:allowincell="f">
          <v:imagedata r:id="rId1" o:title="footer only"/>
          <w10:wrap anchorx="margin" anchory="margin"/>
        </v:shape>
      </w:pict>
    </w:r>
  </w:p>
  <w:p w14:paraId="53BC28EE" w14:textId="77777777" w:rsidR="00A051A1" w:rsidRDefault="00A051A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BE2709">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53632;visibility:hidden;mso-position-horizontal:center;mso-position-horizontal-relative:margin;mso-position-vertical:center;mso-position-vertical-relative:margin" o:allowincell="f">
          <v:imagedata r:id="rId1" o:title="footer only"/>
          <w10:wrap anchorx="margin" anchory="margin"/>
        </v:shape>
      </w:pict>
    </w:r>
  </w:p>
  <w:p w14:paraId="679BAD94" w14:textId="77777777" w:rsidR="00A051A1" w:rsidRDefault="00A051A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BE2709">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55680;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1E5F" w14:textId="77777777" w:rsidR="006272FD" w:rsidRDefault="006272FD" w:rsidP="006272FD">
    <w:pPr>
      <w:pStyle w:val="Header"/>
    </w:pPr>
    <w:r>
      <w:rPr>
        <w:noProof/>
      </w:rPr>
      <w:drawing>
        <wp:anchor distT="0" distB="0" distL="114300" distR="114300" simplePos="0" relativeHeight="251664896" behindDoc="0" locked="0" layoutInCell="1" allowOverlap="1" wp14:anchorId="281AD936" wp14:editId="290BB706">
          <wp:simplePos x="898497" y="453224"/>
          <wp:positionH relativeFrom="page">
            <wp:align>center</wp:align>
          </wp:positionH>
          <wp:positionV relativeFrom="page">
            <wp:posOffset>288290</wp:posOffset>
          </wp:positionV>
          <wp:extent cx="6944360" cy="334391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944398" cy="3344275"/>
                  </a:xfrm>
                  <a:prstGeom prst="rect">
                    <a:avLst/>
                  </a:prstGeom>
                </pic:spPr>
              </pic:pic>
            </a:graphicData>
          </a:graphic>
          <wp14:sizeRelH relativeFrom="margin">
            <wp14:pctWidth>0</wp14:pctWidth>
          </wp14:sizeRelH>
          <wp14:sizeRelV relativeFrom="margin">
            <wp14:pctHeight>0</wp14:pctHeight>
          </wp14:sizeRelV>
        </wp:anchor>
      </w:drawing>
    </w:r>
    <w:r>
      <w:pict w14:anchorId="45343F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8" type="#_x0000_t75" style="position:absolute;left:0;text-align:left;margin-left:0;margin-top:0;width:595.2pt;height:841.9pt;z-index:-251650560;mso-position-horizontal:center;mso-position-horizontal-relative:page;mso-position-vertical:top;mso-position-vertical-relative:page" o:allowincell="f">
          <v:imagedata r:id="rId2" o:title="footer only"/>
          <w10:wrap anchorx="page" anchory="page"/>
        </v:shape>
      </w:pict>
    </w:r>
  </w:p>
  <w:p w14:paraId="20C95081" w14:textId="142B9091" w:rsidR="00574C9B" w:rsidRPr="006272FD" w:rsidRDefault="00574C9B" w:rsidP="00627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BE2709">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61824;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BE2709">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57728;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BE2709">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56704;visibility:hidden;mso-position-horizontal:center;mso-position-horizontal-relative:margin;mso-position-vertical:center;mso-position-vertical-relative:margin" o:allowincell="f">
          <v:imagedata r:id="rId1" o:title="footer only"/>
          <w10:wrap anchorx="margin" anchory="margin"/>
        </v:shape>
      </w:pict>
    </w:r>
    <w:r w:rsidR="00234674">
      <w:rPr>
        <w:noProof/>
      </w:rPr>
      <w:drawing>
        <wp:anchor distT="0" distB="0" distL="114300" distR="114300" simplePos="0" relativeHeight="251653632"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BE2709">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58752;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07F4" w14:textId="77777777" w:rsidR="003130C2" w:rsidRPr="009342EE" w:rsidRDefault="003130C2" w:rsidP="009342E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0136" w14:textId="77777777" w:rsidR="003130C2" w:rsidRPr="009342EE" w:rsidRDefault="003130C2" w:rsidP="009342E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665B" w14:textId="77777777" w:rsidR="003130C2" w:rsidRPr="009342EE" w:rsidRDefault="003130C2" w:rsidP="00934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B831C1"/>
    <w:multiLevelType w:val="hybridMultilevel"/>
    <w:tmpl w:val="47BA1F3C"/>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2372F1D"/>
    <w:multiLevelType w:val="hybridMultilevel"/>
    <w:tmpl w:val="690EACFE"/>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9F82718"/>
    <w:multiLevelType w:val="hybridMultilevel"/>
    <w:tmpl w:val="E6F87A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C106308"/>
    <w:multiLevelType w:val="hybridMultilevel"/>
    <w:tmpl w:val="E21021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F1A7942"/>
    <w:multiLevelType w:val="hybridMultilevel"/>
    <w:tmpl w:val="A782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168C2"/>
    <w:multiLevelType w:val="hybridMultilevel"/>
    <w:tmpl w:val="44AA9F54"/>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5333D3"/>
    <w:multiLevelType w:val="hybridMultilevel"/>
    <w:tmpl w:val="C2AA7B2A"/>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7A95788"/>
    <w:multiLevelType w:val="hybridMultilevel"/>
    <w:tmpl w:val="AAC01E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B2643D0"/>
    <w:multiLevelType w:val="hybridMultilevel"/>
    <w:tmpl w:val="8DF2F0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25C5507"/>
    <w:multiLevelType w:val="hybridMultilevel"/>
    <w:tmpl w:val="45B209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5445B47"/>
    <w:multiLevelType w:val="hybridMultilevel"/>
    <w:tmpl w:val="13CCCA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55263EB"/>
    <w:multiLevelType w:val="hybridMultilevel"/>
    <w:tmpl w:val="0930D9A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E594DA1"/>
    <w:multiLevelType w:val="multilevel"/>
    <w:tmpl w:val="EBE68BC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18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325A66CA"/>
    <w:multiLevelType w:val="hybridMultilevel"/>
    <w:tmpl w:val="224ADBBA"/>
    <w:lvl w:ilvl="0" w:tplc="0809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33AA4D45"/>
    <w:multiLevelType w:val="hybridMultilevel"/>
    <w:tmpl w:val="310C00BC"/>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8DB653B"/>
    <w:multiLevelType w:val="hybridMultilevel"/>
    <w:tmpl w:val="A05E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356B44"/>
    <w:multiLevelType w:val="hybridMultilevel"/>
    <w:tmpl w:val="C3F050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E713F1A"/>
    <w:multiLevelType w:val="hybridMultilevel"/>
    <w:tmpl w:val="10226E60"/>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6491FA4"/>
    <w:multiLevelType w:val="hybridMultilevel"/>
    <w:tmpl w:val="0492C98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78B5183"/>
    <w:multiLevelType w:val="hybridMultilevel"/>
    <w:tmpl w:val="93D25B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D016B95"/>
    <w:multiLevelType w:val="hybridMultilevel"/>
    <w:tmpl w:val="BB182248"/>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EA66FF8"/>
    <w:multiLevelType w:val="hybridMultilevel"/>
    <w:tmpl w:val="DF54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EB1F49"/>
    <w:multiLevelType w:val="hybridMultilevel"/>
    <w:tmpl w:val="F134F9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1EC0897"/>
    <w:multiLevelType w:val="hybridMultilevel"/>
    <w:tmpl w:val="61FC55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2B645F4"/>
    <w:multiLevelType w:val="hybridMultilevel"/>
    <w:tmpl w:val="A8AA2F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7BA46DB"/>
    <w:multiLevelType w:val="hybridMultilevel"/>
    <w:tmpl w:val="1B364C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5BE076CA"/>
    <w:multiLevelType w:val="hybridMultilevel"/>
    <w:tmpl w:val="F2286D26"/>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E8D2448"/>
    <w:multiLevelType w:val="hybridMultilevel"/>
    <w:tmpl w:val="19AAF3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6412219"/>
    <w:multiLevelType w:val="hybridMultilevel"/>
    <w:tmpl w:val="9E9C6A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74338EA"/>
    <w:multiLevelType w:val="hybridMultilevel"/>
    <w:tmpl w:val="64941294"/>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E68617C"/>
    <w:multiLevelType w:val="hybridMultilevel"/>
    <w:tmpl w:val="55B6AB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09835CD"/>
    <w:multiLevelType w:val="hybridMultilevel"/>
    <w:tmpl w:val="716257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1300E9E"/>
    <w:multiLevelType w:val="hybridMultilevel"/>
    <w:tmpl w:val="F806A8F0"/>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EA13950"/>
    <w:multiLevelType w:val="hybridMultilevel"/>
    <w:tmpl w:val="06949E7E"/>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6"/>
  </w:num>
  <w:num w:numId="5">
    <w:abstractNumId w:val="4"/>
  </w:num>
  <w:num w:numId="6">
    <w:abstractNumId w:val="5"/>
  </w:num>
  <w:num w:numId="7">
    <w:abstractNumId w:val="18"/>
  </w:num>
  <w:num w:numId="8">
    <w:abstractNumId w:val="33"/>
  </w:num>
  <w:num w:numId="9">
    <w:abstractNumId w:val="19"/>
  </w:num>
  <w:num w:numId="10">
    <w:abstractNumId w:val="14"/>
  </w:num>
  <w:num w:numId="11">
    <w:abstractNumId w:val="25"/>
  </w:num>
  <w:num w:numId="12">
    <w:abstractNumId w:val="27"/>
  </w:num>
  <w:num w:numId="13">
    <w:abstractNumId w:val="7"/>
  </w:num>
  <w:num w:numId="14">
    <w:abstractNumId w:val="21"/>
  </w:num>
  <w:num w:numId="15">
    <w:abstractNumId w:val="1"/>
  </w:num>
  <w:num w:numId="16">
    <w:abstractNumId w:val="11"/>
  </w:num>
  <w:num w:numId="17">
    <w:abstractNumId w:val="29"/>
  </w:num>
  <w:num w:numId="18">
    <w:abstractNumId w:val="8"/>
  </w:num>
  <w:num w:numId="19">
    <w:abstractNumId w:val="32"/>
  </w:num>
  <w:num w:numId="20">
    <w:abstractNumId w:val="28"/>
  </w:num>
  <w:num w:numId="21">
    <w:abstractNumId w:val="12"/>
  </w:num>
  <w:num w:numId="22">
    <w:abstractNumId w:val="17"/>
  </w:num>
  <w:num w:numId="23">
    <w:abstractNumId w:val="23"/>
  </w:num>
  <w:num w:numId="24">
    <w:abstractNumId w:val="10"/>
  </w:num>
  <w:num w:numId="25">
    <w:abstractNumId w:val="24"/>
  </w:num>
  <w:num w:numId="26">
    <w:abstractNumId w:val="26"/>
  </w:num>
  <w:num w:numId="27">
    <w:abstractNumId w:val="31"/>
  </w:num>
  <w:num w:numId="28">
    <w:abstractNumId w:val="9"/>
  </w:num>
  <w:num w:numId="29">
    <w:abstractNumId w:val="20"/>
  </w:num>
  <w:num w:numId="30">
    <w:abstractNumId w:val="3"/>
  </w:num>
  <w:num w:numId="31">
    <w:abstractNumId w:val="6"/>
  </w:num>
  <w:num w:numId="32">
    <w:abstractNumId w:val="2"/>
  </w:num>
  <w:num w:numId="33">
    <w:abstractNumId w:val="34"/>
  </w:num>
  <w:num w:numId="34">
    <w:abstractNumId w:val="15"/>
  </w:num>
  <w:num w:numId="35">
    <w:abstractNumId w:val="30"/>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0"/>
    <w:rsid w:val="00020389"/>
    <w:rsid w:val="000254D8"/>
    <w:rsid w:val="00030E2A"/>
    <w:rsid w:val="00046489"/>
    <w:rsid w:val="00053D00"/>
    <w:rsid w:val="0005674E"/>
    <w:rsid w:val="000A0F3B"/>
    <w:rsid w:val="000D3952"/>
    <w:rsid w:val="001345B4"/>
    <w:rsid w:val="001534B1"/>
    <w:rsid w:val="0019231D"/>
    <w:rsid w:val="001955B6"/>
    <w:rsid w:val="001D61AC"/>
    <w:rsid w:val="001E15AA"/>
    <w:rsid w:val="001E3FA1"/>
    <w:rsid w:val="00200E87"/>
    <w:rsid w:val="00206D14"/>
    <w:rsid w:val="00214BDC"/>
    <w:rsid w:val="00215E81"/>
    <w:rsid w:val="00234674"/>
    <w:rsid w:val="0024727F"/>
    <w:rsid w:val="0026073F"/>
    <w:rsid w:val="002B6A7B"/>
    <w:rsid w:val="002F03F9"/>
    <w:rsid w:val="003130C2"/>
    <w:rsid w:val="003353D7"/>
    <w:rsid w:val="00337567"/>
    <w:rsid w:val="003567D4"/>
    <w:rsid w:val="003659F9"/>
    <w:rsid w:val="003D3052"/>
    <w:rsid w:val="003D3869"/>
    <w:rsid w:val="00401DE5"/>
    <w:rsid w:val="00443182"/>
    <w:rsid w:val="00452CAF"/>
    <w:rsid w:val="004871B8"/>
    <w:rsid w:val="00496E6C"/>
    <w:rsid w:val="004A4BE2"/>
    <w:rsid w:val="004D1C7B"/>
    <w:rsid w:val="004D4156"/>
    <w:rsid w:val="00574C9B"/>
    <w:rsid w:val="0058411F"/>
    <w:rsid w:val="00584BE3"/>
    <w:rsid w:val="005E2695"/>
    <w:rsid w:val="005E3E37"/>
    <w:rsid w:val="006125A1"/>
    <w:rsid w:val="006272FD"/>
    <w:rsid w:val="00627409"/>
    <w:rsid w:val="00653E7D"/>
    <w:rsid w:val="00662207"/>
    <w:rsid w:val="00667F09"/>
    <w:rsid w:val="006A6B29"/>
    <w:rsid w:val="006B57A6"/>
    <w:rsid w:val="006C63CC"/>
    <w:rsid w:val="006D53A6"/>
    <w:rsid w:val="006E13EC"/>
    <w:rsid w:val="0071752C"/>
    <w:rsid w:val="00787837"/>
    <w:rsid w:val="00787ABB"/>
    <w:rsid w:val="00796490"/>
    <w:rsid w:val="007A785C"/>
    <w:rsid w:val="007B6C64"/>
    <w:rsid w:val="007B7786"/>
    <w:rsid w:val="00822952"/>
    <w:rsid w:val="008315EB"/>
    <w:rsid w:val="00836505"/>
    <w:rsid w:val="008420D9"/>
    <w:rsid w:val="00844B87"/>
    <w:rsid w:val="00853485"/>
    <w:rsid w:val="00870584"/>
    <w:rsid w:val="0089251B"/>
    <w:rsid w:val="008A6DD4"/>
    <w:rsid w:val="008A7731"/>
    <w:rsid w:val="008F74D7"/>
    <w:rsid w:val="00904C42"/>
    <w:rsid w:val="00913FA7"/>
    <w:rsid w:val="00914683"/>
    <w:rsid w:val="00924C05"/>
    <w:rsid w:val="00931C1C"/>
    <w:rsid w:val="00937CF2"/>
    <w:rsid w:val="00976645"/>
    <w:rsid w:val="00976F77"/>
    <w:rsid w:val="0098228C"/>
    <w:rsid w:val="009951F2"/>
    <w:rsid w:val="009E2100"/>
    <w:rsid w:val="009F3486"/>
    <w:rsid w:val="009F3F65"/>
    <w:rsid w:val="00A051A1"/>
    <w:rsid w:val="00A310E1"/>
    <w:rsid w:val="00A36AB0"/>
    <w:rsid w:val="00AB37A3"/>
    <w:rsid w:val="00AC5114"/>
    <w:rsid w:val="00AF6603"/>
    <w:rsid w:val="00B24518"/>
    <w:rsid w:val="00B25683"/>
    <w:rsid w:val="00B47B36"/>
    <w:rsid w:val="00B51901"/>
    <w:rsid w:val="00B91A33"/>
    <w:rsid w:val="00B970E8"/>
    <w:rsid w:val="00BD50F6"/>
    <w:rsid w:val="00BE2709"/>
    <w:rsid w:val="00C073E1"/>
    <w:rsid w:val="00C25647"/>
    <w:rsid w:val="00C6415D"/>
    <w:rsid w:val="00C65696"/>
    <w:rsid w:val="00C66AEA"/>
    <w:rsid w:val="00C9040A"/>
    <w:rsid w:val="00C91E4D"/>
    <w:rsid w:val="00CB110A"/>
    <w:rsid w:val="00CB26CF"/>
    <w:rsid w:val="00CB7CD0"/>
    <w:rsid w:val="00CD0E3A"/>
    <w:rsid w:val="00CD26C9"/>
    <w:rsid w:val="00CF34D6"/>
    <w:rsid w:val="00D039AF"/>
    <w:rsid w:val="00D31311"/>
    <w:rsid w:val="00D72198"/>
    <w:rsid w:val="00D7731A"/>
    <w:rsid w:val="00D95232"/>
    <w:rsid w:val="00DB7F50"/>
    <w:rsid w:val="00DE30C7"/>
    <w:rsid w:val="00DF400F"/>
    <w:rsid w:val="00E15BF4"/>
    <w:rsid w:val="00E2376B"/>
    <w:rsid w:val="00E26935"/>
    <w:rsid w:val="00E27707"/>
    <w:rsid w:val="00E35B8A"/>
    <w:rsid w:val="00E43CF2"/>
    <w:rsid w:val="00E52B04"/>
    <w:rsid w:val="00E54941"/>
    <w:rsid w:val="00E60496"/>
    <w:rsid w:val="00E661B7"/>
    <w:rsid w:val="00E938AF"/>
    <w:rsid w:val="00EF1C31"/>
    <w:rsid w:val="00F2069F"/>
    <w:rsid w:val="00F53370"/>
    <w:rsid w:val="00F90BE2"/>
    <w:rsid w:val="00FA5745"/>
    <w:rsid w:val="00FC0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uiPriority w:val="99"/>
    <w:qFormat/>
    <w:rsid w:val="00F53370"/>
  </w:style>
  <w:style w:type="character" w:customStyle="1" w:styleId="FooterChar">
    <w:name w:val="Footer Char"/>
    <w:basedOn w:val="DefaultParagraphFont"/>
    <w:link w:val="Footer"/>
    <w:uiPriority w:val="99"/>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uiPriority w:val="99"/>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uiPriority w:val="5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rsid w:val="003130C2"/>
    <w:rPr>
      <w:color w:val="800080"/>
      <w:u w:val="single"/>
    </w:rPr>
  </w:style>
  <w:style w:type="paragraph" w:customStyle="1" w:styleId="LOGO">
    <w:name w:val="LOGO"/>
    <w:basedOn w:val="Normal"/>
    <w:uiPriority w:val="99"/>
    <w:rsid w:val="003130C2"/>
    <w:pPr>
      <w:overflowPunct w:val="0"/>
      <w:autoSpaceDE w:val="0"/>
      <w:autoSpaceDN w:val="0"/>
      <w:adjustRightInd w:val="0"/>
      <w:jc w:val="center"/>
      <w:textAlignment w:val="baseline"/>
    </w:pPr>
    <w:rPr>
      <w:rFonts w:ascii="Arial" w:hAnsi="Arial" w:cs="Arial"/>
      <w:b/>
      <w:bCs/>
      <w:i/>
      <w:iCs/>
      <w:sz w:val="20"/>
      <w:szCs w:val="20"/>
    </w:rPr>
  </w:style>
  <w:style w:type="paragraph" w:styleId="TOCHeading">
    <w:name w:val="TOC Heading"/>
    <w:basedOn w:val="Heading1"/>
    <w:next w:val="Normal"/>
    <w:uiPriority w:val="39"/>
    <w:unhideWhenUsed/>
    <w:qFormat/>
    <w:rsid w:val="003130C2"/>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3130C2"/>
    <w:pPr>
      <w:tabs>
        <w:tab w:val="left" w:pos="440"/>
        <w:tab w:val="right" w:leader="dot" w:pos="9063"/>
      </w:tabs>
      <w:spacing w:after="100"/>
    </w:pPr>
    <w:rPr>
      <w:b/>
      <w:noProof/>
    </w:rPr>
  </w:style>
  <w:style w:type="paragraph" w:styleId="TOC2">
    <w:name w:val="toc 2"/>
    <w:basedOn w:val="Normal"/>
    <w:next w:val="Normal"/>
    <w:autoRedefine/>
    <w:uiPriority w:val="39"/>
    <w:unhideWhenUsed/>
    <w:rsid w:val="003130C2"/>
    <w:pPr>
      <w:spacing w:after="100"/>
      <w:ind w:left="220"/>
    </w:pPr>
  </w:style>
  <w:style w:type="paragraph" w:styleId="ListParagraph">
    <w:name w:val="List Paragraph"/>
    <w:basedOn w:val="Normal"/>
    <w:link w:val="ListParagraphChar"/>
    <w:uiPriority w:val="34"/>
    <w:qFormat/>
    <w:rsid w:val="003130C2"/>
    <w:pPr>
      <w:ind w:left="720"/>
      <w:contextualSpacing/>
    </w:pPr>
    <w:rPr>
      <w:lang w:eastAsia="en-GB" w:bidi="en-GB"/>
    </w:rPr>
  </w:style>
  <w:style w:type="character" w:customStyle="1" w:styleId="ListParagraphChar">
    <w:name w:val="List Paragraph Char"/>
    <w:link w:val="ListParagraph"/>
    <w:uiPriority w:val="34"/>
    <w:rsid w:val="003130C2"/>
    <w:rPr>
      <w:rFonts w:ascii="Times New Roman" w:eastAsia="Times New Roman" w:hAnsi="Times New Roman" w:cs="Times New Roman"/>
      <w:lang w:val="sv-SE" w:eastAsia="en-GB" w:bidi="en-GB"/>
    </w:rPr>
  </w:style>
  <w:style w:type="paragraph" w:styleId="NoSpacing">
    <w:name w:val="No Spacing"/>
    <w:uiPriority w:val="1"/>
    <w:qFormat/>
    <w:rsid w:val="003130C2"/>
    <w:pPr>
      <w:spacing w:after="0" w:line="240" w:lineRule="auto"/>
    </w:pPr>
    <w:rPr>
      <w:rFonts w:ascii="Times New Roman" w:hAnsi="Times New Roman"/>
    </w:rPr>
  </w:style>
  <w:style w:type="character" w:customStyle="1" w:styleId="nessuno">
    <w:name w:val="nessuno"/>
    <w:basedOn w:val="DefaultParagraphFont"/>
    <w:rsid w:val="003130C2"/>
  </w:style>
  <w:style w:type="paragraph" w:customStyle="1" w:styleId="paragraph">
    <w:name w:val="paragraph"/>
    <w:basedOn w:val="Normal"/>
    <w:rsid w:val="003130C2"/>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6.xml"/><Relationship Id="rId42" Type="http://schemas.openxmlformats.org/officeDocument/2006/relationships/hyperlink" Target="https://memberspage.eesc.europa.eu/members/2038862" TargetMode="External"/><Relationship Id="rId47" Type="http://schemas.openxmlformats.org/officeDocument/2006/relationships/chart" Target="charts/chart4.xml"/><Relationship Id="rId63" Type="http://schemas.openxmlformats.org/officeDocument/2006/relationships/chart" Target="charts/chart20.xml"/><Relationship Id="rId68" Type="http://schemas.openxmlformats.org/officeDocument/2006/relationships/chart" Target="charts/chart25.xml"/><Relationship Id="rId84" Type="http://schemas.openxmlformats.org/officeDocument/2006/relationships/header" Target="header13.xml"/><Relationship Id="rId89" Type="http://schemas.openxmlformats.org/officeDocument/2006/relationships/theme" Target="theme/theme1.xml"/><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header" Target="header12.xml"/><Relationship Id="rId37" Type="http://schemas.openxmlformats.org/officeDocument/2006/relationships/hyperlink" Target="https://memberspage.eesc.europa.eu/members/2038856" TargetMode="External"/><Relationship Id="rId53" Type="http://schemas.openxmlformats.org/officeDocument/2006/relationships/chart" Target="charts/chart10.xml"/><Relationship Id="rId58" Type="http://schemas.openxmlformats.org/officeDocument/2006/relationships/chart" Target="charts/chart15.xml"/><Relationship Id="rId74" Type="http://schemas.openxmlformats.org/officeDocument/2006/relationships/chart" Target="charts/chart31.xml"/><Relationship Id="rId79" Type="http://schemas.openxmlformats.org/officeDocument/2006/relationships/hyperlink" Target="https://www.eesc.europa.eu/en/our-work/opinions-information-reports/opinions/way-forward-deepening-single-market-through-digitalization" TargetMode="External"/><Relationship Id="rId90" Type="http://schemas.openxmlformats.org/officeDocument/2006/relationships/customXml" Target="../customXml/item1.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yperlink" Target="https://memberspage.eesc.europa.eu/members/2038850" TargetMode="External"/><Relationship Id="rId43" Type="http://schemas.openxmlformats.org/officeDocument/2006/relationships/chart" Target="charts/chart1.xml"/><Relationship Id="rId48" Type="http://schemas.openxmlformats.org/officeDocument/2006/relationships/chart" Target="charts/chart5.xml"/><Relationship Id="rId56" Type="http://schemas.openxmlformats.org/officeDocument/2006/relationships/chart" Target="charts/chart13.xml"/><Relationship Id="rId64" Type="http://schemas.openxmlformats.org/officeDocument/2006/relationships/chart" Target="charts/chart21.xml"/><Relationship Id="rId69" Type="http://schemas.openxmlformats.org/officeDocument/2006/relationships/chart" Target="charts/chart26.xml"/><Relationship Id="rId77" Type="http://schemas.openxmlformats.org/officeDocument/2006/relationships/chart" Target="charts/chart34.xml"/><Relationship Id="rId8" Type="http://schemas.openxmlformats.org/officeDocument/2006/relationships/settings" Target="settings.xml"/><Relationship Id="rId51" Type="http://schemas.openxmlformats.org/officeDocument/2006/relationships/chart" Target="charts/chart8.xml"/><Relationship Id="rId72" Type="http://schemas.openxmlformats.org/officeDocument/2006/relationships/chart" Target="charts/chart29.xml"/><Relationship Id="rId80" Type="http://schemas.openxmlformats.org/officeDocument/2006/relationships/hyperlink" Target="https://www.eesc.europa.eu/en/our-work/opinions-information-reports/opinions/new-european-innovation-agenda" TargetMode="External"/><Relationship Id="rId85" Type="http://schemas.openxmlformats.org/officeDocument/2006/relationships/header" Target="header14.xml"/><Relationship Id="rId93" Type="http://schemas.openxmlformats.org/officeDocument/2006/relationships/customXml" Target="../customXml/item4.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yperlink" Target="https://memberspage.eesc.europa.eu/members/2032975" TargetMode="External"/><Relationship Id="rId46" Type="http://schemas.openxmlformats.org/officeDocument/2006/relationships/chart" Target="charts/chart3.xml"/><Relationship Id="rId59" Type="http://schemas.openxmlformats.org/officeDocument/2006/relationships/chart" Target="charts/chart16.xml"/><Relationship Id="rId67" Type="http://schemas.openxmlformats.org/officeDocument/2006/relationships/chart" Target="charts/chart24.xml"/><Relationship Id="rId20" Type="http://schemas.openxmlformats.org/officeDocument/2006/relationships/footer" Target="footer4.xml"/><Relationship Id="rId41" Type="http://schemas.openxmlformats.org/officeDocument/2006/relationships/hyperlink" Target="https://memberspage.eesc.europa.eu/members/2038871" TargetMode="External"/><Relationship Id="rId54" Type="http://schemas.openxmlformats.org/officeDocument/2006/relationships/chart" Target="charts/chart11.xml"/><Relationship Id="rId62" Type="http://schemas.openxmlformats.org/officeDocument/2006/relationships/chart" Target="charts/chart19.xml"/><Relationship Id="rId70" Type="http://schemas.openxmlformats.org/officeDocument/2006/relationships/chart" Target="charts/chart27.xml"/><Relationship Id="rId75" Type="http://schemas.openxmlformats.org/officeDocument/2006/relationships/chart" Target="charts/chart32.xml"/><Relationship Id="rId83" Type="http://schemas.openxmlformats.org/officeDocument/2006/relationships/hyperlink" Target="https://www.eesc.europa.eu/en/our-work/opinions-information-reports/opinions/digital-europe-programme" TargetMode="External"/><Relationship Id="rId88" Type="http://schemas.openxmlformats.org/officeDocument/2006/relationships/fontTable" Target="fontTable.xml"/><Relationship Id="rId91" Type="http://schemas.openxmlformats.org/officeDocument/2006/relationships/customXml" Target="../customXml/item2.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yperlink" Target="https://memberspage.eesc.europa.eu/members/2038837" TargetMode="External"/><Relationship Id="rId49" Type="http://schemas.openxmlformats.org/officeDocument/2006/relationships/chart" Target="charts/chart6.xml"/><Relationship Id="rId57" Type="http://schemas.openxmlformats.org/officeDocument/2006/relationships/chart" Target="charts/chart14.xml"/><Relationship Id="rId10" Type="http://schemas.openxmlformats.org/officeDocument/2006/relationships/footnotes" Target="footnotes.xml"/><Relationship Id="rId31" Type="http://schemas.openxmlformats.org/officeDocument/2006/relationships/footer" Target="footer9.xml"/><Relationship Id="rId44" Type="http://schemas.openxmlformats.org/officeDocument/2006/relationships/chart" Target="charts/chart2.xml"/><Relationship Id="rId52" Type="http://schemas.openxmlformats.org/officeDocument/2006/relationships/chart" Target="charts/chart9.xml"/><Relationship Id="rId60" Type="http://schemas.openxmlformats.org/officeDocument/2006/relationships/chart" Target="charts/chart17.xml"/><Relationship Id="rId65" Type="http://schemas.openxmlformats.org/officeDocument/2006/relationships/chart" Target="charts/chart22.xml"/><Relationship Id="rId73" Type="http://schemas.openxmlformats.org/officeDocument/2006/relationships/chart" Target="charts/chart30.xml"/><Relationship Id="rId78" Type="http://schemas.openxmlformats.org/officeDocument/2006/relationships/hyperlink" Target="https://www.eesc.europa.eu/en/our-work/opinions-information-reports/opinions/digital-skills-and-education-package" TargetMode="External"/><Relationship Id="rId81" Type="http://schemas.openxmlformats.org/officeDocument/2006/relationships/hyperlink" Target="https://www.eesc.europa.eu/en/our-work/opinions-information-reports/opinions/cyber-resilience-act" TargetMode="External"/><Relationship Id="rId86" Type="http://schemas.openxmlformats.org/officeDocument/2006/relationships/footer" Target="footer11.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memberspage.eesc.europa.eu/members/2016201" TargetMode="External"/><Relationship Id="rId34" Type="http://schemas.openxmlformats.org/officeDocument/2006/relationships/hyperlink" Target="https://memberspage.eesc.europa.eu/members/2038813" TargetMode="External"/><Relationship Id="rId50" Type="http://schemas.openxmlformats.org/officeDocument/2006/relationships/chart" Target="charts/chart7.xml"/><Relationship Id="rId55" Type="http://schemas.openxmlformats.org/officeDocument/2006/relationships/chart" Target="charts/chart12.xml"/><Relationship Id="rId76" Type="http://schemas.openxmlformats.org/officeDocument/2006/relationships/chart" Target="charts/chart33.xml"/><Relationship Id="rId7" Type="http://schemas.openxmlformats.org/officeDocument/2006/relationships/styles" Target="styles.xml"/><Relationship Id="rId71" Type="http://schemas.openxmlformats.org/officeDocument/2006/relationships/chart" Target="charts/chart28.xml"/><Relationship Id="rId92" Type="http://schemas.openxmlformats.org/officeDocument/2006/relationships/customXml" Target="../customXml/item3.xml"/><Relationship Id="rId29" Type="http://schemas.openxmlformats.org/officeDocument/2006/relationships/header" Target="header11.xml"/><Relationship Id="rId24" Type="http://schemas.openxmlformats.org/officeDocument/2006/relationships/footer" Target="footer5.xml"/><Relationship Id="rId40" Type="http://schemas.openxmlformats.org/officeDocument/2006/relationships/hyperlink" Target="https://memberspage.eesc.europa.eu/members/2033056" TargetMode="External"/><Relationship Id="rId45" Type="http://schemas.openxmlformats.org/officeDocument/2006/relationships/image" Target="media/image4.png"/><Relationship Id="rId66" Type="http://schemas.openxmlformats.org/officeDocument/2006/relationships/chart" Target="charts/chart23.xml"/><Relationship Id="rId87" Type="http://schemas.openxmlformats.org/officeDocument/2006/relationships/header" Target="header15.xml"/><Relationship Id="rId61" Type="http://schemas.openxmlformats.org/officeDocument/2006/relationships/chart" Target="charts/chart18.xml"/><Relationship Id="rId82" Type="http://schemas.openxmlformats.org/officeDocument/2006/relationships/hyperlink" Target="https://www.eesc.europa.eu/en/our-work/opinions-information-reports/opinions/interoperability-europe-ac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agrifoodtef.eu/" TargetMode="External"/><Relationship Id="rId18" Type="http://schemas.openxmlformats.org/officeDocument/2006/relationships/hyperlink" Target="https://arcticwolf.com/resources/press-releases/arctic-wolf-opens-first-european-security-operations-center-in-germany/" TargetMode="External"/><Relationship Id="rId26" Type="http://schemas.openxmlformats.org/officeDocument/2006/relationships/hyperlink" Target="C://Users/ygra/Downloads/DESI_2022__Germany__eng_jLtWXlDS8j4ptxpiRJDQExt7os_88702%20(5).pdf" TargetMode="External"/><Relationship Id="rId39" Type="http://schemas.openxmlformats.org/officeDocument/2006/relationships/hyperlink" Target="https://european-digital-innovation-hubs.ec.europa.eu/edih-catalogue/mazovia-edih" TargetMode="External"/><Relationship Id="rId21" Type="http://schemas.openxmlformats.org/officeDocument/2006/relationships/hyperlink" Target="https://publications.jrc.ec.europa.eu/repository/handle/JRC128844" TargetMode="External"/><Relationship Id="rId34" Type="http://schemas.openxmlformats.org/officeDocument/2006/relationships/hyperlink" Target="https://european-digital-innovation-hubs.ec.europa.eu/edih-catalogue/pdih" TargetMode="External"/><Relationship Id="rId42" Type="http://schemas.openxmlformats.org/officeDocument/2006/relationships/hyperlink" Target="https://european-digital-innovation-hubs.ec.europa.eu/edih-catalogue/wama-edih" TargetMode="External"/><Relationship Id="rId47" Type="http://schemas.openxmlformats.org/officeDocument/2006/relationships/hyperlink" Target="https://digital-strategy.ec.europa.eu/en/policies/plan-ai" TargetMode="External"/><Relationship Id="rId50" Type="http://schemas.openxmlformats.org/officeDocument/2006/relationships/hyperlink" Target="https://competition-policy.ec.europa.eu/state-aid/ipcei/approved-ipceis_en" TargetMode="External"/><Relationship Id="rId55" Type="http://schemas.openxmlformats.org/officeDocument/2006/relationships/hyperlink" Target="https://digital-skills-jobs.europa.eu/en/european-interactive-map/portugal" TargetMode="External"/><Relationship Id="rId63" Type="http://schemas.openxmlformats.org/officeDocument/2006/relationships/hyperlink" Target="https://www.ncsc.se/" TargetMode="External"/><Relationship Id="rId68" Type="http://schemas.openxmlformats.org/officeDocument/2006/relationships/hyperlink" Target="https://digitalskillsjobs.se/" TargetMode="External"/><Relationship Id="rId76" Type="http://schemas.openxmlformats.org/officeDocument/2006/relationships/hyperlink" Target="https://commission.europa.eu/document/download/a3708108-68ec-4993-8817-1f228853ca88_en?filename=final_opinion_2023_2_digital_europe.pdf" TargetMode="External"/><Relationship Id="rId7" Type="http://schemas.openxmlformats.org/officeDocument/2006/relationships/hyperlink" Target="https://ec.europa.eu/newsroom/repository/document/2021-46/C_2021_7914_1_EN_annexe_acte_autonome_cp_part1_v3_x3qnsqH6g4B4JabSGBy9UatCRc8_81099.pdf" TargetMode="External"/><Relationship Id="rId71" Type="http://schemas.openxmlformats.org/officeDocument/2006/relationships/hyperlink" Target="https://eurohpc-ju.europa.eu/research-innovation/our-projects/ceec-center-excellence-exascale-cfd_en" TargetMode="External"/><Relationship Id="rId2" Type="http://schemas.openxmlformats.org/officeDocument/2006/relationships/hyperlink" Target="https://digital-strategy.ec.europa.eu/en/activities/digital-programme" TargetMode="External"/><Relationship Id="rId16" Type="http://schemas.openxmlformats.org/officeDocument/2006/relationships/hyperlink" Target="https://www.bmi.bund.de/EN/topics/it-internet-policy/ncc-de/ncc-de-artikel.html" TargetMode="External"/><Relationship Id="rId29" Type="http://schemas.openxmlformats.org/officeDocument/2006/relationships/hyperlink" Target="https://cybersecurity-centre.europa.eu/ncc-malta_en" TargetMode="External"/><Relationship Id="rId11" Type="http://schemas.openxmlformats.org/officeDocument/2006/relationships/hyperlink" Target="https://www.charite.de/en/research/themes_research/2023/eur60_million_committed_to_establish_ai_and_robotics_in_healthcare/" TargetMode="External"/><Relationship Id="rId24" Type="http://schemas.openxmlformats.org/officeDocument/2006/relationships/hyperlink" Target="https://joinup.ec.europa.eu/collection/govtechconnect/catalogue-govtech-initiatives" TargetMode="External"/><Relationship Id="rId32" Type="http://schemas.openxmlformats.org/officeDocument/2006/relationships/hyperlink" Target="https://www.hpc4poland.pl/" TargetMode="External"/><Relationship Id="rId37" Type="http://schemas.openxmlformats.org/officeDocument/2006/relationships/hyperlink" Target="https://european-digital-innovation-hubs.ec.europa.eu/edih-catalogue/red" TargetMode="External"/><Relationship Id="rId40" Type="http://schemas.openxmlformats.org/officeDocument/2006/relationships/hyperlink" Target="https://mazovia-edih.pl/" TargetMode="External"/><Relationship Id="rId45" Type="http://schemas.openxmlformats.org/officeDocument/2006/relationships/hyperlink" Target="https://macc.fccn.pt/about" TargetMode="External"/><Relationship Id="rId53" Type="http://schemas.openxmlformats.org/officeDocument/2006/relationships/hyperlink" Target="https://publications.jrc.ec.europa.eu/repository/handle/JRC128844" TargetMode="External"/><Relationship Id="rId58" Type="http://schemas.openxmlformats.org/officeDocument/2006/relationships/hyperlink" Target="https://eurohpc-ju.europa.eu/sweden-will-host-new-eurohpc-supercomputer-2023-06-19_en" TargetMode="External"/><Relationship Id="rId66" Type="http://schemas.openxmlformats.org/officeDocument/2006/relationships/hyperlink" Target="C://Users/ygra/Downloads/DESI_2022__Sweden__eng_ih4Yq8WTcB3hUPclHXa2PDcfU6M_88713%20(2).pdf" TargetMode="External"/><Relationship Id="rId74" Type="http://schemas.openxmlformats.org/officeDocument/2006/relationships/hyperlink" Target="https://commission.europa.eu/document/download/9c8d2189-8abd-4f29-84e9-abc843cc68e0_en?filename=BR%20toolbox%20-%20Jul%202023%20-%20FINAL.pdf" TargetMode="External"/><Relationship Id="rId5" Type="http://schemas.openxmlformats.org/officeDocument/2006/relationships/hyperlink" Target="https://ec.europa.eu/info/funding-tenders/opportunities/portal/screen/programmes/digital" TargetMode="External"/><Relationship Id="rId15"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23" Type="http://schemas.openxmlformats.org/officeDocument/2006/relationships/hyperlink" Target="https://eur-lex.europa.eu/legal-content/EN/TXT/?uri=CELEX:32021R0694" TargetMode="External"/><Relationship Id="rId28" Type="http://schemas.openxmlformats.org/officeDocument/2006/relationships/hyperlink" Target="https://digital-strategy.ec.europa.eu/en/policies/plan-ai" TargetMode="External"/><Relationship Id="rId36" Type="http://schemas.openxmlformats.org/officeDocument/2006/relationships/hyperlink" Target="https://european-digital-innovation-hubs.ec.europa.eu/edih-catalogue/smart-secure-cities" TargetMode="External"/><Relationship Id="rId49" Type="http://schemas.openxmlformats.org/officeDocument/2006/relationships/hyperlink" Target="https://tefhealth.eu/home" TargetMode="External"/><Relationship Id="rId57" Type="http://schemas.openxmlformats.org/officeDocument/2006/relationships/hyperlink" Target="https://portugaldigital.gov.pt/en/accelerating-digital-transition-in-portugal/testing-and-incorporating-new-technologies/digital-innovation-hubs-dih/" TargetMode="External"/><Relationship Id="rId61" Type="http://schemas.openxmlformats.org/officeDocument/2006/relationships/hyperlink" Target="https://digital-strategy.ec.europa.eu/en/news/all-member-states-now-committed-building-eu-quantum-communication-infrastructure" TargetMode="External"/><Relationship Id="rId10"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19" Type="http://schemas.openxmlformats.org/officeDocument/2006/relationships/hyperlink" Target="https://ec.europa.eu/newsroom/repository/document/2021-46/C_2021_7914_1_EN_annexe_acte_autonome_cp_part1_v3_x3qnsqH6g4B4JabSGBy9UatCRc8_81099.pdf" TargetMode="External"/><Relationship Id="rId31" Type="http://schemas.openxmlformats.org/officeDocument/2006/relationships/hyperlink" Target="https://dihubmt.eu/" TargetMode="External"/><Relationship Id="rId44" Type="http://schemas.openxmlformats.org/officeDocument/2006/relationships/hyperlink" Target="https://ec.europa.eu/newsroom/repository/document/2021-46/C_2021_7914_1_EN_annexe_acte_autonome_cp_part1_v3_x3qnsqH6g4B4JabSGBy9UatCRc8_81099.pdf" TargetMode="External"/><Relationship Id="rId52" Type="http://schemas.openxmlformats.org/officeDocument/2006/relationships/hyperlink" Target="https://publications.jrc.ec.europa.eu/repository/handle/JRC128844" TargetMode="External"/><Relationship Id="rId60" Type="http://schemas.openxmlformats.org/officeDocument/2006/relationships/hyperlink" Target="https://www.vinnova.se/contentassets/29cd313d690e4be3a8d861ad05a4ee48/vr_18_09.pdf" TargetMode="External"/><Relationship Id="rId65" Type="http://schemas.openxmlformats.org/officeDocument/2006/relationships/hyperlink" Target="https://publications.jrc.ec.europa.eu/repository/handle/JRC128844" TargetMode="External"/><Relationship Id="rId73" Type="http://schemas.openxmlformats.org/officeDocument/2006/relationships/hyperlink" Target="C://Users/ygra/Downloads/Sweden_hdMTlGIXuuLxLhVn9z2bJI1UrZE_98667%20(4).pdf" TargetMode="External"/><Relationship Id="rId4" Type="http://schemas.openxmlformats.org/officeDocument/2006/relationships/hyperlink" Target="https://commission.europa.eu/strategy-and-policy/eu-budget/performance-and-reporting/programme-performance-statements/digital-europe-programme-performance_en" TargetMode="External"/><Relationship Id="rId9"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14" Type="http://schemas.openxmlformats.org/officeDocument/2006/relationships/hyperlink" Target="https://competition-policy.ec.europa.eu/state-aid/ipcei/approved-ipceis/cloud_en" TargetMode="External"/><Relationship Id="rId22" Type="http://schemas.openxmlformats.org/officeDocument/2006/relationships/hyperlink" Target="https://ec.europa.eu/newsroom/repository/document/2021-46/C_2021_7914_1_EN_annexe_acte_autonome_cp_part1_v3_x3qnsqH6g4B4JabSGBy9UatCRc8_81099.pdf" TargetMode="External"/><Relationship Id="rId27" Type="http://schemas.openxmlformats.org/officeDocument/2006/relationships/hyperlink" Target="https://eurohpc-ju.europa.eu/malta-becomes-newest-participant-eurohpc-joint-undertaking-2021-05-31_en" TargetMode="External"/><Relationship Id="rId30" Type="http://schemas.openxmlformats.org/officeDocument/2006/relationships/hyperlink" Target="https://european-digital-innovation-hubs.ec.europa.eu/edih-catalogue/malta-edih" TargetMode="External"/><Relationship Id="rId35" Type="http://schemas.openxmlformats.org/officeDocument/2006/relationships/hyperlink" Target="https://cyber-sec.net.pl/" TargetMode="External"/><Relationship Id="rId43" Type="http://schemas.openxmlformats.org/officeDocument/2006/relationships/hyperlink" Target="https://european-digital-innovation-hubs.ec.europa.eu/edih-catalogue/h4i" TargetMode="External"/><Relationship Id="rId48" Type="http://schemas.openxmlformats.org/officeDocument/2006/relationships/hyperlink" Target="https://ai-watch.ec.europa.eu/countries/portugal/portugal-ai-strategy-report_en" TargetMode="External"/><Relationship Id="rId56" Type="http://schemas.openxmlformats.org/officeDocument/2006/relationships/hyperlink" Target="https://digital-strategy.ec.europa.eu/en/library/country-reports-digital-decade-report-2023" TargetMode="External"/><Relationship Id="rId64" Type="http://schemas.openxmlformats.org/officeDocument/2006/relationships/hyperlink" Target="https://publications.jrc.ec.europa.eu/repository/handle/JRC128844" TargetMode="External"/><Relationship Id="rId69" Type="http://schemas.openxmlformats.org/officeDocument/2006/relationships/hyperlink" Target="https://www.broninnovation.se/om-bron" TargetMode="External"/><Relationship Id="rId8" Type="http://schemas.openxmlformats.org/officeDocument/2006/relationships/hyperlink" Target="https://www.fz-juelich.de/en/ias/jsc/jupiter" TargetMode="External"/><Relationship Id="rId51" Type="http://schemas.openxmlformats.org/officeDocument/2006/relationships/hyperlink" Target="https://cybersecurity-centre.europa.eu/portugal-ncc_en" TargetMode="External"/><Relationship Id="rId72" Type="http://schemas.openxmlformats.org/officeDocument/2006/relationships/hyperlink" Target="https://eurohpc-ju.europa.eu/research-innovation/our-projects/plasma-pepsc-plasma-exascale-performance-simulations-centre-excellence_en" TargetMode="External"/><Relationship Id="rId3" Type="http://schemas.openxmlformats.org/officeDocument/2006/relationships/hyperlink" Target="https://commission.europa.eu/funding-tenders/find-funding/eu-funding-programmes/digital-europe-programme_en" TargetMode="External"/><Relationship Id="rId12" Type="http://schemas.openxmlformats.org/officeDocument/2006/relationships/hyperlink" Target="https://ai-matters.eu/germany-node/" TargetMode="External"/><Relationship Id="rId17" Type="http://schemas.openxmlformats.org/officeDocument/2006/relationships/hyperlink" Target="https://www.forschung-it-sicherheit-kommunikationssysteme.de/projekte/q-net-q" TargetMode="External"/><Relationship Id="rId25" Type="http://schemas.openxmlformats.org/officeDocument/2006/relationships/hyperlink" Target="https://www.de-hub.de/" TargetMode="External"/><Relationship Id="rId33" Type="http://schemas.openxmlformats.org/officeDocument/2006/relationships/hyperlink" Target="https://european-digital-innovation-hubs.ec.europa.eu/edih-catalogue/edih-silesia" TargetMode="External"/><Relationship Id="rId38" Type="http://schemas.openxmlformats.org/officeDocument/2006/relationships/hyperlink" Target="https://european-digital-innovation-hubs.ec.europa.eu/edih-catalogue/wro4digital" TargetMode="External"/><Relationship Id="rId46" Type="http://schemas.openxmlformats.org/officeDocument/2006/relationships/hyperlink" Target="https://www.fct.pt/en/sobre/a-fct/" TargetMode="External"/><Relationship Id="rId59" Type="http://schemas.openxmlformats.org/officeDocument/2006/relationships/hyperlink" Target="https://digital-strategy.ec.europa.eu/en/policies/plan-ai" TargetMode="External"/><Relationship Id="rId67" Type="http://schemas.openxmlformats.org/officeDocument/2006/relationships/hyperlink" Target="C://Users/ygra/Downloads/Sweden_hdMTlGIXuuLxLhVn9z2bJI1UrZE_98667%20(4).pdf" TargetMode="External"/><Relationship Id="rId20" Type="http://schemas.openxmlformats.org/officeDocument/2006/relationships/hyperlink" Target="https://publications.jrc.ec.europa.eu/repository/handle/JRC128844" TargetMode="External"/><Relationship Id="rId41" Type="http://schemas.openxmlformats.org/officeDocument/2006/relationships/hyperlink" Target="https://european-digital-innovation-hubs.ec.europa.eu/edih-catalogue/tkdih" TargetMode="External"/><Relationship Id="rId54" Type="http://schemas.openxmlformats.org/officeDocument/2006/relationships/hyperlink" Target="https://digital-strategy.ec.europa.eu/en/library/digital-economy-and-society-index-desi-2022" TargetMode="External"/><Relationship Id="rId62" Type="http://schemas.openxmlformats.org/officeDocument/2006/relationships/hyperlink" Target="https://cybersecurity-centre.europa.eu/sweden-ncc_en" TargetMode="External"/><Relationship Id="rId70" Type="http://schemas.openxmlformats.org/officeDocument/2006/relationships/hyperlink" Target="https://european-digital-innovation-hubs.ec.europa.eu/edih-catalogue/digit-hub-sweden" TargetMode="External"/><Relationship Id="rId75" Type="http://schemas.openxmlformats.org/officeDocument/2006/relationships/hyperlink" Target="https://commission.europa.eu/law/law-making-process/evaluating-and-improving-existing-laws/refit-making-eu-law-simpler-less-costly-and-future-proof/fit-future-platform-f4f_en" TargetMode="External"/><Relationship Id="rId1" Type="http://schemas.openxmlformats.org/officeDocument/2006/relationships/hyperlink" Target="https://commission.europa.eu/funding-tenders/find-funding/eu-funding-programmes/digital-europe-programme_en" TargetMode="External"/><Relationship Id="rId6" Type="http://schemas.openxmlformats.org/officeDocument/2006/relationships/hyperlink" Target="https://eur-lex.europa.eu/legal-content/EN/TXT/?uri=CELEX:52018SC03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GraphsDP.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CrossCountryDEP.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2.bin"/></Relationships>
</file>

<file path=word/charts/_rels/chart2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smiri\Desktop\Excel%20report\DEP\CrossCountryDEP.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34.xml"/><Relationship Id="rId1" Type="http://schemas.microsoft.com/office/2011/relationships/chartStyle" Target="style34.xml"/></Relationships>
</file>

<file path=word/charts/_rels/chart4.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CrossCountryDEP.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Whom does your organisation represent?</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strRef>
              <c:f>'Graphs Answer'!$A$3:$A$8</c:f>
              <c:strCache>
                <c:ptCount val="6"/>
                <c:pt idx="0">
                  <c:v>Business support organisations</c:v>
                </c:pt>
                <c:pt idx="1">
                  <c:v>Workers (e.g. national trade unions, confederations, sectoral federations)</c:v>
                </c:pt>
                <c:pt idx="2">
                  <c:v>A civil society organisation</c:v>
                </c:pt>
                <c:pt idx="3">
                  <c:v>Research and academia</c:v>
                </c:pt>
                <c:pt idx="4">
                  <c:v>Public authority</c:v>
                </c:pt>
                <c:pt idx="5">
                  <c:v>Other</c:v>
                </c:pt>
              </c:strCache>
            </c:strRef>
          </c:tx>
          <c:spPr>
            <a:solidFill>
              <a:schemeClr val="accent2"/>
            </a:solidFill>
            <a:ln w="19050">
              <a:solidFill>
                <a:schemeClr val="lt1"/>
              </a:solidFill>
            </a:ln>
            <a:effectLst>
              <a:outerShdw blurRad="50800" dist="38100" dir="5400000" algn="t" rotWithShape="0">
                <a:prstClr val="black">
                  <a:alpha val="40000"/>
                </a:prstClr>
              </a:outerShdw>
            </a:effectLst>
          </c:spPr>
          <c:invertIfNegative val="0"/>
          <c:dPt>
            <c:idx val="0"/>
            <c:invertIfNegative val="0"/>
            <c:bubble3D val="0"/>
            <c:spPr>
              <a:solidFill>
                <a:srgbClr val="FF0000"/>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1-3B7F-417C-A135-581E9306C7B4}"/>
              </c:ext>
            </c:extLst>
          </c:dPt>
          <c:dPt>
            <c:idx val="1"/>
            <c:invertIfNegative val="0"/>
            <c:bubble3D val="0"/>
            <c:spPr>
              <a:solidFill>
                <a:schemeClr val="accent2"/>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3-3B7F-417C-A135-581E9306C7B4}"/>
              </c:ext>
            </c:extLst>
          </c:dPt>
          <c:dPt>
            <c:idx val="2"/>
            <c:invertIfNegative val="0"/>
            <c:bubble3D val="0"/>
            <c:spPr>
              <a:solidFill>
                <a:srgbClr val="7030A0"/>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5-3B7F-417C-A135-581E9306C7B4}"/>
              </c:ext>
            </c:extLst>
          </c:dPt>
          <c:dPt>
            <c:idx val="3"/>
            <c:invertIfNegative val="0"/>
            <c:bubble3D val="0"/>
            <c:spPr>
              <a:solidFill>
                <a:schemeClr val="accent4"/>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7-3B7F-417C-A135-581E9306C7B4}"/>
              </c:ext>
            </c:extLst>
          </c:dPt>
          <c:dPt>
            <c:idx val="4"/>
            <c:invertIfNegative val="0"/>
            <c:bubble3D val="0"/>
            <c:spPr>
              <a:solidFill>
                <a:schemeClr val="accent5"/>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9-3B7F-417C-A135-581E9306C7B4}"/>
              </c:ext>
            </c:extLst>
          </c:dPt>
          <c:dPt>
            <c:idx val="5"/>
            <c:invertIfNegative val="0"/>
            <c:bubble3D val="0"/>
            <c:spPr>
              <a:solidFill>
                <a:schemeClr val="accent6"/>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B-3B7F-417C-A135-581E9306C7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Answer'!$A$3:$A$8</c:f>
              <c:strCache>
                <c:ptCount val="6"/>
                <c:pt idx="0">
                  <c:v>Business support organisations</c:v>
                </c:pt>
                <c:pt idx="1">
                  <c:v>Workers (e.g. national trade unions, confederations, sectoral federations)</c:v>
                </c:pt>
                <c:pt idx="2">
                  <c:v>A civil society organisation</c:v>
                </c:pt>
                <c:pt idx="3">
                  <c:v>Research and academia</c:v>
                </c:pt>
                <c:pt idx="4">
                  <c:v>Public authority</c:v>
                </c:pt>
                <c:pt idx="5">
                  <c:v>Other</c:v>
                </c:pt>
              </c:strCache>
            </c:strRef>
          </c:cat>
          <c:val>
            <c:numRef>
              <c:f>'Graphs Answer'!$C$3:$C$8</c:f>
              <c:numCache>
                <c:formatCode>General</c:formatCode>
                <c:ptCount val="6"/>
                <c:pt idx="0">
                  <c:v>11</c:v>
                </c:pt>
                <c:pt idx="1">
                  <c:v>0</c:v>
                </c:pt>
                <c:pt idx="2">
                  <c:v>0</c:v>
                </c:pt>
                <c:pt idx="3">
                  <c:v>17</c:v>
                </c:pt>
                <c:pt idx="4">
                  <c:v>11</c:v>
                </c:pt>
                <c:pt idx="5">
                  <c:v>4</c:v>
                </c:pt>
              </c:numCache>
            </c:numRef>
          </c:val>
          <c:extLst>
            <c:ext xmlns:c16="http://schemas.microsoft.com/office/drawing/2014/chart" uri="{C3380CC4-5D6E-409C-BE32-E72D297353CC}">
              <c16:uniqueId val="{0000000C-3B7F-417C-A135-581E9306C7B4}"/>
            </c:ext>
          </c:extLst>
        </c:ser>
        <c:dLbls>
          <c:showLegendKey val="0"/>
          <c:showVal val="0"/>
          <c:showCatName val="0"/>
          <c:showSerName val="0"/>
          <c:showPercent val="0"/>
          <c:showBubbleSize val="0"/>
        </c:dLbls>
        <c:gapWidth val="100"/>
        <c:axId val="821474256"/>
        <c:axId val="821475240"/>
      </c:barChart>
      <c:catAx>
        <c:axId val="821474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475240"/>
        <c:crosses val="autoZero"/>
        <c:auto val="1"/>
        <c:lblAlgn val="ctr"/>
        <c:lblOffset val="100"/>
        <c:noMultiLvlLbl val="0"/>
      </c:catAx>
      <c:valAx>
        <c:axId val="821475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4742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 </a:t>
            </a:r>
            <a:r>
              <a:rPr lang="sv-SE" sz="1400" b="0" i="0" u="none" strike="noStrike">
                <a:effectLst/>
              </a:rPr>
              <a:t>What progress has been made towards achieving the expected outcomes, results and impacts of the Digital Europe Programme in your country so far?</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Sheet2!$C$36</c:f>
              <c:strCache>
                <c:ptCount val="1"/>
                <c:pt idx="0">
                  <c:v>Very good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Sheet2!$C$37:$C$41</c:f>
              <c:numCache>
                <c:formatCode>0%</c:formatCode>
                <c:ptCount val="5"/>
                <c:pt idx="0">
                  <c:v>0</c:v>
                </c:pt>
                <c:pt idx="1">
                  <c:v>0.18</c:v>
                </c:pt>
                <c:pt idx="2">
                  <c:v>0.09</c:v>
                </c:pt>
                <c:pt idx="3">
                  <c:v>0</c:v>
                </c:pt>
              </c:numCache>
            </c:numRef>
          </c:val>
          <c:extLst>
            <c:ext xmlns:c16="http://schemas.microsoft.com/office/drawing/2014/chart" uri="{C3380CC4-5D6E-409C-BE32-E72D297353CC}">
              <c16:uniqueId val="{00000000-B6D8-4AB1-9916-BC1286EC8ADD}"/>
            </c:ext>
          </c:extLst>
        </c:ser>
        <c:ser>
          <c:idx val="1"/>
          <c:order val="1"/>
          <c:tx>
            <c:strRef>
              <c:f>Sheet2!$D$36</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Sheet2!$D$37:$D$41</c:f>
              <c:numCache>
                <c:formatCode>0%</c:formatCode>
                <c:ptCount val="5"/>
                <c:pt idx="0">
                  <c:v>0.18</c:v>
                </c:pt>
                <c:pt idx="1">
                  <c:v>0.65</c:v>
                </c:pt>
                <c:pt idx="2">
                  <c:v>0.55000000000000004</c:v>
                </c:pt>
                <c:pt idx="3">
                  <c:v>0.5</c:v>
                </c:pt>
              </c:numCache>
            </c:numRef>
          </c:val>
          <c:extLst>
            <c:ext xmlns:c16="http://schemas.microsoft.com/office/drawing/2014/chart" uri="{C3380CC4-5D6E-409C-BE32-E72D297353CC}">
              <c16:uniqueId val="{00000001-B6D8-4AB1-9916-BC1286EC8ADD}"/>
            </c:ext>
          </c:extLst>
        </c:ser>
        <c:ser>
          <c:idx val="2"/>
          <c:order val="2"/>
          <c:tx>
            <c:strRef>
              <c:f>Sheet2!$E$36</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Sheet2!$E$37:$E$41</c:f>
              <c:numCache>
                <c:formatCode>0%</c:formatCode>
                <c:ptCount val="5"/>
                <c:pt idx="0">
                  <c:v>0.36</c:v>
                </c:pt>
                <c:pt idx="1">
                  <c:v>0</c:v>
                </c:pt>
                <c:pt idx="2">
                  <c:v>0.18</c:v>
                </c:pt>
                <c:pt idx="3">
                  <c:v>0</c:v>
                </c:pt>
              </c:numCache>
            </c:numRef>
          </c:val>
          <c:extLst>
            <c:ext xmlns:c16="http://schemas.microsoft.com/office/drawing/2014/chart" uri="{C3380CC4-5D6E-409C-BE32-E72D297353CC}">
              <c16:uniqueId val="{00000002-B6D8-4AB1-9916-BC1286EC8ADD}"/>
            </c:ext>
          </c:extLst>
        </c:ser>
        <c:ser>
          <c:idx val="3"/>
          <c:order val="3"/>
          <c:tx>
            <c:strRef>
              <c:f>Sheet2!$F$36</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Sheet2!$F$37:$F$41</c:f>
              <c:numCache>
                <c:formatCode>0%</c:formatCode>
                <c:ptCount val="5"/>
                <c:pt idx="0">
                  <c:v>0.27</c:v>
                </c:pt>
                <c:pt idx="1">
                  <c:v>0</c:v>
                </c:pt>
                <c:pt idx="2">
                  <c:v>0</c:v>
                </c:pt>
                <c:pt idx="3">
                  <c:v>0</c:v>
                </c:pt>
              </c:numCache>
            </c:numRef>
          </c:val>
          <c:extLst>
            <c:ext xmlns:c16="http://schemas.microsoft.com/office/drawing/2014/chart" uri="{C3380CC4-5D6E-409C-BE32-E72D297353CC}">
              <c16:uniqueId val="{00000003-B6D8-4AB1-9916-BC1286EC8ADD}"/>
            </c:ext>
          </c:extLst>
        </c:ser>
        <c:ser>
          <c:idx val="4"/>
          <c:order val="4"/>
          <c:tx>
            <c:strRef>
              <c:f>Sheet2!$G$36</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Sheet2!$G$37:$G$41</c:f>
              <c:numCache>
                <c:formatCode>0%</c:formatCode>
                <c:ptCount val="5"/>
                <c:pt idx="0">
                  <c:v>0.18</c:v>
                </c:pt>
                <c:pt idx="1">
                  <c:v>0.18</c:v>
                </c:pt>
                <c:pt idx="2">
                  <c:v>0.18</c:v>
                </c:pt>
                <c:pt idx="3">
                  <c:v>0.5</c:v>
                </c:pt>
              </c:numCache>
            </c:numRef>
          </c:val>
          <c:extLst>
            <c:ext xmlns:c16="http://schemas.microsoft.com/office/drawing/2014/chart" uri="{C3380CC4-5D6E-409C-BE32-E72D297353CC}">
              <c16:uniqueId val="{00000004-B6D8-4AB1-9916-BC1286EC8ADD}"/>
            </c:ext>
          </c:extLst>
        </c:ser>
        <c:dLbls>
          <c:showLegendKey val="0"/>
          <c:showVal val="0"/>
          <c:showCatName val="0"/>
          <c:showSerName val="0"/>
          <c:showPercent val="0"/>
          <c:showBubbleSize val="0"/>
        </c:dLbls>
        <c:gapWidth val="150"/>
        <c:axId val="631614648"/>
        <c:axId val="700811304"/>
      </c:barChart>
      <c:catAx>
        <c:axId val="631614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811304"/>
        <c:crosses val="autoZero"/>
        <c:auto val="1"/>
        <c:lblAlgn val="ctr"/>
        <c:lblOffset val="100"/>
        <c:noMultiLvlLbl val="0"/>
      </c:catAx>
      <c:valAx>
        <c:axId val="700811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614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Please evaluate the following aspects of EDIH activities in your region: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Answer'!$B$232</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Answer'!$B$233:$B$237</c:f>
              <c:numCache>
                <c:formatCode>0%</c:formatCode>
                <c:ptCount val="5"/>
                <c:pt idx="0">
                  <c:v>0.16</c:v>
                </c:pt>
                <c:pt idx="1">
                  <c:v>0.33</c:v>
                </c:pt>
                <c:pt idx="2">
                  <c:v>0.26</c:v>
                </c:pt>
                <c:pt idx="3">
                  <c:v>0.21</c:v>
                </c:pt>
                <c:pt idx="4">
                  <c:v>0.09</c:v>
                </c:pt>
              </c:numCache>
            </c:numRef>
          </c:val>
          <c:extLst>
            <c:ext xmlns:c16="http://schemas.microsoft.com/office/drawing/2014/chart" uri="{C3380CC4-5D6E-409C-BE32-E72D297353CC}">
              <c16:uniqueId val="{00000000-D8EF-4AA3-8967-D0F7744D8FA5}"/>
            </c:ext>
          </c:extLst>
        </c:ser>
        <c:ser>
          <c:idx val="1"/>
          <c:order val="1"/>
          <c:tx>
            <c:strRef>
              <c:f>'Graphs Answer'!$C$232</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Answer'!$C$233:$C$237</c:f>
              <c:numCache>
                <c:formatCode>0%</c:formatCode>
                <c:ptCount val="5"/>
                <c:pt idx="0">
                  <c:v>0.44</c:v>
                </c:pt>
                <c:pt idx="1">
                  <c:v>0.26</c:v>
                </c:pt>
                <c:pt idx="2">
                  <c:v>0.35</c:v>
                </c:pt>
                <c:pt idx="3">
                  <c:v>0.33</c:v>
                </c:pt>
                <c:pt idx="4">
                  <c:v>0.3</c:v>
                </c:pt>
              </c:numCache>
            </c:numRef>
          </c:val>
          <c:extLst>
            <c:ext xmlns:c16="http://schemas.microsoft.com/office/drawing/2014/chart" uri="{C3380CC4-5D6E-409C-BE32-E72D297353CC}">
              <c16:uniqueId val="{00000001-D8EF-4AA3-8967-D0F7744D8FA5}"/>
            </c:ext>
          </c:extLst>
        </c:ser>
        <c:ser>
          <c:idx val="2"/>
          <c:order val="2"/>
          <c:tx>
            <c:strRef>
              <c:f>'Graphs Answer'!$D$232</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Answer'!$D$233:$D$237</c:f>
              <c:numCache>
                <c:formatCode>0%</c:formatCode>
                <c:ptCount val="5"/>
                <c:pt idx="0">
                  <c:v>0.05</c:v>
                </c:pt>
                <c:pt idx="1">
                  <c:v>0.02</c:v>
                </c:pt>
                <c:pt idx="2">
                  <c:v>0.02</c:v>
                </c:pt>
                <c:pt idx="3">
                  <c:v>0.09</c:v>
                </c:pt>
                <c:pt idx="4">
                  <c:v>0.16</c:v>
                </c:pt>
              </c:numCache>
            </c:numRef>
          </c:val>
          <c:extLst>
            <c:ext xmlns:c16="http://schemas.microsoft.com/office/drawing/2014/chart" uri="{C3380CC4-5D6E-409C-BE32-E72D297353CC}">
              <c16:uniqueId val="{00000002-D8EF-4AA3-8967-D0F7744D8FA5}"/>
            </c:ext>
          </c:extLst>
        </c:ser>
        <c:ser>
          <c:idx val="3"/>
          <c:order val="3"/>
          <c:tx>
            <c:strRef>
              <c:f>'Graphs Answer'!$E$232</c:f>
              <c:strCache>
                <c:ptCount val="1"/>
                <c:pt idx="0">
                  <c:v>Not at all good</c:v>
                </c:pt>
              </c:strCache>
            </c:strRef>
          </c:tx>
          <c:spPr>
            <a:solidFill>
              <a:srgbClr val="FF0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D8EF-4AA3-8967-D0F7744D8FA5}"/>
                </c:ext>
              </c:extLst>
            </c:dLbl>
            <c:dLbl>
              <c:idx val="2"/>
              <c:delete val="1"/>
              <c:extLst>
                <c:ext xmlns:c15="http://schemas.microsoft.com/office/drawing/2012/chart" uri="{CE6537A1-D6FC-4f65-9D91-7224C49458BB}"/>
                <c:ext xmlns:c16="http://schemas.microsoft.com/office/drawing/2014/chart" uri="{C3380CC4-5D6E-409C-BE32-E72D297353CC}">
                  <c16:uniqueId val="{00000004-D8EF-4AA3-8967-D0F7744D8FA5}"/>
                </c:ext>
              </c:extLst>
            </c:dLbl>
            <c:dLbl>
              <c:idx val="3"/>
              <c:delete val="1"/>
              <c:extLst>
                <c:ext xmlns:c15="http://schemas.microsoft.com/office/drawing/2012/chart" uri="{CE6537A1-D6FC-4f65-9D91-7224C49458BB}"/>
                <c:ext xmlns:c16="http://schemas.microsoft.com/office/drawing/2014/chart" uri="{C3380CC4-5D6E-409C-BE32-E72D297353CC}">
                  <c16:uniqueId val="{00000005-D8EF-4AA3-8967-D0F7744D8F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Answer'!$E$233:$E$237</c:f>
              <c:numCache>
                <c:formatCode>0%</c:formatCode>
                <c:ptCount val="5"/>
                <c:pt idx="0">
                  <c:v>0.05</c:v>
                </c:pt>
                <c:pt idx="1">
                  <c:v>0</c:v>
                </c:pt>
                <c:pt idx="2">
                  <c:v>0</c:v>
                </c:pt>
                <c:pt idx="3">
                  <c:v>0</c:v>
                </c:pt>
                <c:pt idx="4">
                  <c:v>0.12</c:v>
                </c:pt>
              </c:numCache>
            </c:numRef>
          </c:val>
          <c:extLst>
            <c:ext xmlns:c16="http://schemas.microsoft.com/office/drawing/2014/chart" uri="{C3380CC4-5D6E-409C-BE32-E72D297353CC}">
              <c16:uniqueId val="{00000006-D8EF-4AA3-8967-D0F7744D8FA5}"/>
            </c:ext>
          </c:extLst>
        </c:ser>
        <c:ser>
          <c:idx val="4"/>
          <c:order val="4"/>
          <c:tx>
            <c:strRef>
              <c:f>'Graphs Answer'!$F$232</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Answer'!$F$233:$F$237</c:f>
              <c:numCache>
                <c:formatCode>0%</c:formatCode>
                <c:ptCount val="5"/>
                <c:pt idx="0">
                  <c:v>0.3</c:v>
                </c:pt>
                <c:pt idx="1">
                  <c:v>0.4</c:v>
                </c:pt>
                <c:pt idx="2">
                  <c:v>0.37</c:v>
                </c:pt>
                <c:pt idx="3">
                  <c:v>0.37</c:v>
                </c:pt>
                <c:pt idx="4">
                  <c:v>0.33</c:v>
                </c:pt>
              </c:numCache>
            </c:numRef>
          </c:val>
          <c:extLst>
            <c:ext xmlns:c16="http://schemas.microsoft.com/office/drawing/2014/chart" uri="{C3380CC4-5D6E-409C-BE32-E72D297353CC}">
              <c16:uniqueId val="{00000007-D8EF-4AA3-8967-D0F7744D8FA5}"/>
            </c:ext>
          </c:extLst>
        </c:ser>
        <c:dLbls>
          <c:showLegendKey val="0"/>
          <c:showVal val="0"/>
          <c:showCatName val="0"/>
          <c:showSerName val="0"/>
          <c:showPercent val="0"/>
          <c:showBubbleSize val="0"/>
        </c:dLbls>
        <c:gapWidth val="150"/>
        <c:overlap val="100"/>
        <c:axId val="711125272"/>
        <c:axId val="711123304"/>
      </c:barChart>
      <c:catAx>
        <c:axId val="7111252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3304"/>
        <c:crosses val="autoZero"/>
        <c:auto val="1"/>
        <c:lblAlgn val="ctr"/>
        <c:lblOffset val="100"/>
        <c:noMultiLvlLbl val="0"/>
      </c:catAx>
      <c:valAx>
        <c:axId val="71112330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5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Have there been any unexpected outcomes (positive or negative) or results of Digital Europe Programme activities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spPr>
            <a:effectLst>
              <a:outerShdw blurRad="63500" sx="102000" sy="102000" algn="ctr" rotWithShape="0">
                <a:prstClr val="black">
                  <a:alpha val="40000"/>
                </a:prstClr>
              </a:outerShdw>
            </a:effectLst>
          </c:spPr>
          <c:explosion val="4"/>
          <c:dPt>
            <c:idx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702-4E73-89D0-4EEAF24820BD}"/>
              </c:ext>
            </c:extLst>
          </c:dPt>
          <c:dPt>
            <c:idx val="1"/>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702-4E73-89D0-4EEAF24820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Answer'!$A$248:$A$249</c:f>
              <c:strCache>
                <c:ptCount val="2"/>
                <c:pt idx="0">
                  <c:v>Yes</c:v>
                </c:pt>
                <c:pt idx="1">
                  <c:v>Not to my knowledge</c:v>
                </c:pt>
              </c:strCache>
            </c:strRef>
          </c:cat>
          <c:val>
            <c:numRef>
              <c:f>'Graphs Answer'!$B$248:$B$249</c:f>
              <c:numCache>
                <c:formatCode>0%</c:formatCode>
                <c:ptCount val="2"/>
                <c:pt idx="0">
                  <c:v>0.13953488372093023</c:v>
                </c:pt>
                <c:pt idx="1">
                  <c:v>0.86046511627906985</c:v>
                </c:pt>
              </c:numCache>
            </c:numRef>
          </c:val>
          <c:extLst>
            <c:ext xmlns:c16="http://schemas.microsoft.com/office/drawing/2014/chart" uri="{C3380CC4-5D6E-409C-BE32-E72D297353CC}">
              <c16:uniqueId val="{00000004-C702-4E73-89D0-4EEAF24820BD}"/>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Have there been any tangible results (benefits, outcomes) from implementing the Digital Europe Programme in your country so far?</a:t>
            </a:r>
          </a:p>
        </c:rich>
      </c:tx>
      <c:layout>
        <c:manualLayout>
          <c:xMode val="edge"/>
          <c:yMode val="edge"/>
          <c:x val="0.15645167353238384"/>
          <c:y val="3.01583312390047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spPr>
            <a:solidFill>
              <a:schemeClr val="accent5">
                <a:lumMod val="60000"/>
                <a:lumOff val="40000"/>
              </a:schemeClr>
            </a:solidFill>
            <a:effectLst>
              <a:outerShdw blurRad="63500" sx="102000" sy="102000" algn="ctr" rotWithShape="0">
                <a:prstClr val="black">
                  <a:alpha val="40000"/>
                </a:prstClr>
              </a:outerShdw>
            </a:effectLst>
          </c:spPr>
          <c:explosion val="4"/>
          <c:dPt>
            <c:idx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783F-42D6-8E37-A6A189AACB13}"/>
              </c:ext>
            </c:extLst>
          </c:dPt>
          <c:dPt>
            <c:idx val="1"/>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783F-42D6-8E37-A6A189AACB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Answer'!$A$263:$A$264</c:f>
              <c:strCache>
                <c:ptCount val="2"/>
                <c:pt idx="0">
                  <c:v>Yes</c:v>
                </c:pt>
                <c:pt idx="1">
                  <c:v>Not to my knowledge</c:v>
                </c:pt>
              </c:strCache>
            </c:strRef>
          </c:cat>
          <c:val>
            <c:numRef>
              <c:f>'Graphs Answer'!$B$263:$B$264</c:f>
              <c:numCache>
                <c:formatCode>0%</c:formatCode>
                <c:ptCount val="2"/>
                <c:pt idx="0">
                  <c:v>0.46511627906976744</c:v>
                </c:pt>
                <c:pt idx="1">
                  <c:v>0.53488372093023251</c:v>
                </c:pt>
              </c:numCache>
            </c:numRef>
          </c:val>
          <c:extLst>
            <c:ext xmlns:c16="http://schemas.microsoft.com/office/drawing/2014/chart" uri="{C3380CC4-5D6E-409C-BE32-E72D297353CC}">
              <c16:uniqueId val="{00000004-783F-42D6-8E37-A6A189AACB1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Have there been any tangible results (benefits, outcomes) from implementing the Digital Europe Programme in your country so far?</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Sheet2!$C$65</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Sheet2!$B$66:$B$70</c:f>
              <c:strCache>
                <c:ptCount val="5"/>
                <c:pt idx="0">
                  <c:v>Germany</c:v>
                </c:pt>
                <c:pt idx="1">
                  <c:v>Malta</c:v>
                </c:pt>
                <c:pt idx="2">
                  <c:v>Poland</c:v>
                </c:pt>
                <c:pt idx="3">
                  <c:v>Portugal</c:v>
                </c:pt>
                <c:pt idx="4">
                  <c:v>Sweden</c:v>
                </c:pt>
              </c:strCache>
            </c:strRef>
          </c:cat>
          <c:val>
            <c:numRef>
              <c:f>Sheet2!$C$66:$C$70</c:f>
              <c:numCache>
                <c:formatCode>0%</c:formatCode>
                <c:ptCount val="5"/>
                <c:pt idx="0">
                  <c:v>0.8</c:v>
                </c:pt>
                <c:pt idx="1">
                  <c:v>0.67</c:v>
                </c:pt>
                <c:pt idx="2">
                  <c:v>0.13</c:v>
                </c:pt>
                <c:pt idx="3">
                  <c:v>0.25</c:v>
                </c:pt>
                <c:pt idx="4">
                  <c:v>0.2</c:v>
                </c:pt>
              </c:numCache>
            </c:numRef>
          </c:val>
          <c:extLst>
            <c:ext xmlns:c16="http://schemas.microsoft.com/office/drawing/2014/chart" uri="{C3380CC4-5D6E-409C-BE32-E72D297353CC}">
              <c16:uniqueId val="{00000000-D864-405D-A53D-A0A6D48C882D}"/>
            </c:ext>
          </c:extLst>
        </c:ser>
        <c:ser>
          <c:idx val="1"/>
          <c:order val="1"/>
          <c:tx>
            <c:strRef>
              <c:f>Sheet2!$D$65</c:f>
              <c:strCache>
                <c:ptCount val="1"/>
                <c:pt idx="0">
                  <c:v>Not to my Knowledge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Sheet2!$B$66:$B$70</c:f>
              <c:strCache>
                <c:ptCount val="5"/>
                <c:pt idx="0">
                  <c:v>Germany</c:v>
                </c:pt>
                <c:pt idx="1">
                  <c:v>Malta</c:v>
                </c:pt>
                <c:pt idx="2">
                  <c:v>Poland</c:v>
                </c:pt>
                <c:pt idx="3">
                  <c:v>Portugal</c:v>
                </c:pt>
                <c:pt idx="4">
                  <c:v>Sweden</c:v>
                </c:pt>
              </c:strCache>
            </c:strRef>
          </c:cat>
          <c:val>
            <c:numRef>
              <c:f>Sheet2!$D$66:$D$70</c:f>
              <c:numCache>
                <c:formatCode>0%</c:formatCode>
                <c:ptCount val="5"/>
                <c:pt idx="0">
                  <c:v>0.2</c:v>
                </c:pt>
                <c:pt idx="1">
                  <c:v>0.33</c:v>
                </c:pt>
                <c:pt idx="2">
                  <c:v>0.88</c:v>
                </c:pt>
                <c:pt idx="3">
                  <c:v>0.75</c:v>
                </c:pt>
                <c:pt idx="4">
                  <c:v>0.8</c:v>
                </c:pt>
              </c:numCache>
            </c:numRef>
          </c:val>
          <c:extLst>
            <c:ext xmlns:c16="http://schemas.microsoft.com/office/drawing/2014/chart" uri="{C3380CC4-5D6E-409C-BE32-E72D297353CC}">
              <c16:uniqueId val="{00000001-D864-405D-A53D-A0A6D48C882D}"/>
            </c:ext>
          </c:extLst>
        </c:ser>
        <c:dLbls>
          <c:showLegendKey val="0"/>
          <c:showVal val="0"/>
          <c:showCatName val="0"/>
          <c:showSerName val="0"/>
          <c:showPercent val="0"/>
          <c:showBubbleSize val="0"/>
        </c:dLbls>
        <c:gapWidth val="150"/>
        <c:overlap val="100"/>
        <c:axId val="731254224"/>
        <c:axId val="731250616"/>
      </c:barChart>
      <c:catAx>
        <c:axId val="7312542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50616"/>
        <c:crosses val="autoZero"/>
        <c:auto val="1"/>
        <c:lblAlgn val="ctr"/>
        <c:lblOffset val="100"/>
        <c:noMultiLvlLbl val="0"/>
      </c:catAx>
      <c:valAx>
        <c:axId val="73125061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25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Have there been any tangible results (benefits, outcomes) from implementing the Digital Europe Programme in your country so far?</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Sheet2!$B$94</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Sheet2!$C$93:$F$93</c:f>
              <c:strCache>
                <c:ptCount val="4"/>
                <c:pt idx="0">
                  <c:v>Business</c:v>
                </c:pt>
                <c:pt idx="1">
                  <c:v>Academia</c:v>
                </c:pt>
                <c:pt idx="2">
                  <c:v>Public Authorities</c:v>
                </c:pt>
                <c:pt idx="3">
                  <c:v>Other</c:v>
                </c:pt>
              </c:strCache>
            </c:strRef>
          </c:cat>
          <c:val>
            <c:numRef>
              <c:f>Sheet2!$C$94:$F$94</c:f>
              <c:numCache>
                <c:formatCode>0%</c:formatCode>
                <c:ptCount val="4"/>
                <c:pt idx="0">
                  <c:v>0.09</c:v>
                </c:pt>
                <c:pt idx="1">
                  <c:v>0.71</c:v>
                </c:pt>
                <c:pt idx="2">
                  <c:v>0.55000000000000004</c:v>
                </c:pt>
                <c:pt idx="3">
                  <c:v>0.25</c:v>
                </c:pt>
              </c:numCache>
            </c:numRef>
          </c:val>
          <c:extLst>
            <c:ext xmlns:c16="http://schemas.microsoft.com/office/drawing/2014/chart" uri="{C3380CC4-5D6E-409C-BE32-E72D297353CC}">
              <c16:uniqueId val="{00000000-CCE1-4CFC-AAC3-705EC54D36D2}"/>
            </c:ext>
          </c:extLst>
        </c:ser>
        <c:ser>
          <c:idx val="1"/>
          <c:order val="1"/>
          <c:tx>
            <c:strRef>
              <c:f>Sheet2!$B$95</c:f>
              <c:strCache>
                <c:ptCount val="1"/>
                <c:pt idx="0">
                  <c:v>Not to my knowledge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Sheet2!$C$93:$F$93</c:f>
              <c:strCache>
                <c:ptCount val="4"/>
                <c:pt idx="0">
                  <c:v>Business</c:v>
                </c:pt>
                <c:pt idx="1">
                  <c:v>Academia</c:v>
                </c:pt>
                <c:pt idx="2">
                  <c:v>Public Authorities</c:v>
                </c:pt>
                <c:pt idx="3">
                  <c:v>Other</c:v>
                </c:pt>
              </c:strCache>
            </c:strRef>
          </c:cat>
          <c:val>
            <c:numRef>
              <c:f>Sheet2!$C$95:$F$95</c:f>
              <c:numCache>
                <c:formatCode>0%</c:formatCode>
                <c:ptCount val="4"/>
                <c:pt idx="0">
                  <c:v>0.91</c:v>
                </c:pt>
                <c:pt idx="1">
                  <c:v>0.28999999999999998</c:v>
                </c:pt>
                <c:pt idx="2">
                  <c:v>0.45</c:v>
                </c:pt>
                <c:pt idx="3">
                  <c:v>0.75</c:v>
                </c:pt>
              </c:numCache>
            </c:numRef>
          </c:val>
          <c:extLst>
            <c:ext xmlns:c16="http://schemas.microsoft.com/office/drawing/2014/chart" uri="{C3380CC4-5D6E-409C-BE32-E72D297353CC}">
              <c16:uniqueId val="{00000001-CCE1-4CFC-AAC3-705EC54D36D2}"/>
            </c:ext>
          </c:extLst>
        </c:ser>
        <c:dLbls>
          <c:showLegendKey val="0"/>
          <c:showVal val="0"/>
          <c:showCatName val="0"/>
          <c:showSerName val="0"/>
          <c:showPercent val="0"/>
          <c:showBubbleSize val="0"/>
        </c:dLbls>
        <c:gapWidth val="150"/>
        <c:overlap val="100"/>
        <c:axId val="849367600"/>
        <c:axId val="849368256"/>
      </c:barChart>
      <c:catAx>
        <c:axId val="849367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9368256"/>
        <c:crosses val="autoZero"/>
        <c:auto val="1"/>
        <c:lblAlgn val="ctr"/>
        <c:lblOffset val="100"/>
        <c:noMultiLvlLbl val="0"/>
      </c:catAx>
      <c:valAx>
        <c:axId val="8493682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936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To your knowledge, have there been any obstacles to effectively implementing EDIH and advanced digital skills activities in your country so far?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'Graphs Answer'!$B$284</c:f>
              <c:strCache>
                <c:ptCount val="1"/>
                <c:pt idx="0">
                  <c:v>EDIHs</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Answer'!$A$285:$A$290</c:f>
              <c:strCache>
                <c:ptCount val="6"/>
                <c:pt idx="0">
                  <c:v>The European Commission’s programme framework is too vague</c:v>
                </c:pt>
                <c:pt idx="1">
                  <c:v>The European Commission’s programme framework is too strict</c:v>
                </c:pt>
                <c:pt idx="2">
                  <c:v>Lack of support from national/regional stakeholders</c:v>
                </c:pt>
                <c:pt idx="3">
                  <c:v> Problems with co-financing</c:v>
                </c:pt>
                <c:pt idx="4">
                  <c:v>The selection of organisations that implement the programme was not appropriate</c:v>
                </c:pt>
                <c:pt idx="5">
                  <c:v>Inconsistency between national/regional and European Commission programme objectives and support mechanisms</c:v>
                </c:pt>
              </c:strCache>
            </c:strRef>
          </c:cat>
          <c:val>
            <c:numRef>
              <c:f>'Graphs Answer'!$B$285:$B$290</c:f>
              <c:numCache>
                <c:formatCode>0%</c:formatCode>
                <c:ptCount val="6"/>
                <c:pt idx="0">
                  <c:v>0.49</c:v>
                </c:pt>
                <c:pt idx="1">
                  <c:v>0.35</c:v>
                </c:pt>
                <c:pt idx="2">
                  <c:v>0.47</c:v>
                </c:pt>
                <c:pt idx="3">
                  <c:v>0.79</c:v>
                </c:pt>
                <c:pt idx="4">
                  <c:v>0.49</c:v>
                </c:pt>
                <c:pt idx="5">
                  <c:v>0.65</c:v>
                </c:pt>
              </c:numCache>
            </c:numRef>
          </c:val>
          <c:extLst>
            <c:ext xmlns:c16="http://schemas.microsoft.com/office/drawing/2014/chart" uri="{C3380CC4-5D6E-409C-BE32-E72D297353CC}">
              <c16:uniqueId val="{00000000-3933-4B93-84FE-4EF51094FB57}"/>
            </c:ext>
          </c:extLst>
        </c:ser>
        <c:ser>
          <c:idx val="1"/>
          <c:order val="1"/>
          <c:tx>
            <c:strRef>
              <c:f>'Graphs Answer'!$C$284</c:f>
              <c:strCache>
                <c:ptCount val="1"/>
                <c:pt idx="0">
                  <c:v>Digital skills advancement</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Answer'!$A$285:$A$290</c:f>
              <c:strCache>
                <c:ptCount val="6"/>
                <c:pt idx="0">
                  <c:v>The European Commission’s programme framework is too vague</c:v>
                </c:pt>
                <c:pt idx="1">
                  <c:v>The European Commission’s programme framework is too strict</c:v>
                </c:pt>
                <c:pt idx="2">
                  <c:v>Lack of support from national/regional stakeholders</c:v>
                </c:pt>
                <c:pt idx="3">
                  <c:v> Problems with co-financing</c:v>
                </c:pt>
                <c:pt idx="4">
                  <c:v>The selection of organisations that implement the programme was not appropriate</c:v>
                </c:pt>
                <c:pt idx="5">
                  <c:v>Inconsistency between national/regional and European Commission programme objectives and support mechanisms</c:v>
                </c:pt>
              </c:strCache>
            </c:strRef>
          </c:cat>
          <c:val>
            <c:numRef>
              <c:f>'Graphs Answer'!$C$285:$C$290</c:f>
              <c:numCache>
                <c:formatCode>0%</c:formatCode>
                <c:ptCount val="6"/>
                <c:pt idx="0">
                  <c:v>0.7</c:v>
                </c:pt>
                <c:pt idx="1">
                  <c:v>0.77</c:v>
                </c:pt>
                <c:pt idx="2">
                  <c:v>0.74</c:v>
                </c:pt>
                <c:pt idx="3">
                  <c:v>0.53</c:v>
                </c:pt>
                <c:pt idx="4">
                  <c:v>0.65</c:v>
                </c:pt>
                <c:pt idx="5">
                  <c:v>0.57999999999999996</c:v>
                </c:pt>
              </c:numCache>
            </c:numRef>
          </c:val>
          <c:extLst>
            <c:ext xmlns:c16="http://schemas.microsoft.com/office/drawing/2014/chart" uri="{C3380CC4-5D6E-409C-BE32-E72D297353CC}">
              <c16:uniqueId val="{00000001-3933-4B93-84FE-4EF51094FB57}"/>
            </c:ext>
          </c:extLst>
        </c:ser>
        <c:dLbls>
          <c:showLegendKey val="0"/>
          <c:showVal val="0"/>
          <c:showCatName val="0"/>
          <c:showSerName val="0"/>
          <c:showPercent val="0"/>
          <c:showBubbleSize val="0"/>
        </c:dLbls>
        <c:gapWidth val="182"/>
        <c:axId val="780256744"/>
        <c:axId val="780258056"/>
      </c:barChart>
      <c:catAx>
        <c:axId val="7802567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58056"/>
        <c:crosses val="autoZero"/>
        <c:auto val="1"/>
        <c:lblAlgn val="ctr"/>
        <c:lblOffset val="100"/>
        <c:noMultiLvlLbl val="0"/>
      </c:catAx>
      <c:valAx>
        <c:axId val="7802580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56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How relevant has the Digital Europe Programme been in shaping the digital transformation of your country's society and economy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744-4474-B6AD-7FE780B80851}"/>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744-4474-B6AD-7FE780B80851}"/>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744-4474-B6AD-7FE780B80851}"/>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744-4474-B6AD-7FE780B80851}"/>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744-4474-B6AD-7FE780B808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Answer'!$A$305:$A$309</c:f>
              <c:strCache>
                <c:ptCount val="5"/>
                <c:pt idx="0">
                  <c:v>Very relevant</c:v>
                </c:pt>
                <c:pt idx="1">
                  <c:v>Moderately relevant</c:v>
                </c:pt>
                <c:pt idx="2">
                  <c:v>Not very relevant</c:v>
                </c:pt>
                <c:pt idx="3">
                  <c:v>Not at all relevant</c:v>
                </c:pt>
                <c:pt idx="4">
                  <c:v>Unsure</c:v>
                </c:pt>
              </c:strCache>
            </c:strRef>
          </c:cat>
          <c:val>
            <c:numRef>
              <c:f>'Graphs Answer'!$B$305:$B$309</c:f>
              <c:numCache>
                <c:formatCode>0%</c:formatCode>
                <c:ptCount val="5"/>
                <c:pt idx="0">
                  <c:v>0.20930232558139536</c:v>
                </c:pt>
                <c:pt idx="1">
                  <c:v>0.27906976744186046</c:v>
                </c:pt>
                <c:pt idx="2">
                  <c:v>0.18604651162790697</c:v>
                </c:pt>
                <c:pt idx="3">
                  <c:v>4.6511627906976744E-2</c:v>
                </c:pt>
                <c:pt idx="4">
                  <c:v>0.27906976744186046</c:v>
                </c:pt>
              </c:numCache>
            </c:numRef>
          </c:val>
          <c:extLst>
            <c:ext xmlns:c16="http://schemas.microsoft.com/office/drawing/2014/chart" uri="{C3380CC4-5D6E-409C-BE32-E72D297353CC}">
              <c16:uniqueId val="{0000000A-C744-4474-B6AD-7FE780B80851}"/>
            </c:ext>
          </c:extLst>
        </c:ser>
        <c:dLbls>
          <c:showLegendKey val="0"/>
          <c:showVal val="0"/>
          <c:showCatName val="0"/>
          <c:showSerName val="0"/>
          <c:showPercent val="0"/>
          <c:showBubbleSize val="0"/>
        </c:dLbls>
        <c:gapWidth val="100"/>
        <c:axId val="832342848"/>
        <c:axId val="832340224"/>
      </c:barChart>
      <c:catAx>
        <c:axId val="8323428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340224"/>
        <c:crosses val="autoZero"/>
        <c:auto val="1"/>
        <c:lblAlgn val="ctr"/>
        <c:lblOffset val="100"/>
        <c:noMultiLvlLbl val="0"/>
      </c:catAx>
      <c:valAx>
        <c:axId val="832340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3428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How relevant has the Digital Europe Programme been in shaping the digital transformation of your country's society and economy so far?</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Sheet2!$C$164</c:f>
              <c:strCache>
                <c:ptCount val="1"/>
                <c:pt idx="0">
                  <c:v>Very relevant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Sheet2!$C$165:$C$169</c:f>
              <c:numCache>
                <c:formatCode>0%</c:formatCode>
                <c:ptCount val="5"/>
                <c:pt idx="0">
                  <c:v>0.4</c:v>
                </c:pt>
                <c:pt idx="1">
                  <c:v>0.17</c:v>
                </c:pt>
                <c:pt idx="2">
                  <c:v>0</c:v>
                </c:pt>
                <c:pt idx="3">
                  <c:v>0</c:v>
                </c:pt>
                <c:pt idx="4">
                  <c:v>0.2</c:v>
                </c:pt>
              </c:numCache>
            </c:numRef>
          </c:val>
          <c:extLst>
            <c:ext xmlns:c16="http://schemas.microsoft.com/office/drawing/2014/chart" uri="{C3380CC4-5D6E-409C-BE32-E72D297353CC}">
              <c16:uniqueId val="{00000000-8331-47F2-986D-C13A9D0303F5}"/>
            </c:ext>
          </c:extLst>
        </c:ser>
        <c:ser>
          <c:idx val="1"/>
          <c:order val="1"/>
          <c:tx>
            <c:strRef>
              <c:f>Sheet2!$D$164</c:f>
              <c:strCache>
                <c:ptCount val="1"/>
                <c:pt idx="0">
                  <c:v>Moderately relevant</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Sheet2!$D$165:$D$169</c:f>
              <c:numCache>
                <c:formatCode>0%</c:formatCode>
                <c:ptCount val="5"/>
                <c:pt idx="0">
                  <c:v>0.33</c:v>
                </c:pt>
                <c:pt idx="1">
                  <c:v>0.17</c:v>
                </c:pt>
                <c:pt idx="2">
                  <c:v>0.38</c:v>
                </c:pt>
                <c:pt idx="3">
                  <c:v>0.5</c:v>
                </c:pt>
                <c:pt idx="4">
                  <c:v>0.1</c:v>
                </c:pt>
              </c:numCache>
            </c:numRef>
          </c:val>
          <c:extLst>
            <c:ext xmlns:c16="http://schemas.microsoft.com/office/drawing/2014/chart" uri="{C3380CC4-5D6E-409C-BE32-E72D297353CC}">
              <c16:uniqueId val="{00000001-8331-47F2-986D-C13A9D0303F5}"/>
            </c:ext>
          </c:extLst>
        </c:ser>
        <c:ser>
          <c:idx val="2"/>
          <c:order val="2"/>
          <c:tx>
            <c:strRef>
              <c:f>Sheet2!$E$164</c:f>
              <c:strCache>
                <c:ptCount val="1"/>
                <c:pt idx="0">
                  <c:v>Not very relevant</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Sheet2!$E$165:$E$169</c:f>
              <c:numCache>
                <c:formatCode>0%</c:formatCode>
                <c:ptCount val="5"/>
                <c:pt idx="0">
                  <c:v>7.0000000000000007E-2</c:v>
                </c:pt>
                <c:pt idx="1">
                  <c:v>0.17</c:v>
                </c:pt>
                <c:pt idx="2">
                  <c:v>0.38</c:v>
                </c:pt>
                <c:pt idx="3">
                  <c:v>0.25</c:v>
                </c:pt>
                <c:pt idx="4">
                  <c:v>0.2</c:v>
                </c:pt>
              </c:numCache>
            </c:numRef>
          </c:val>
          <c:extLst>
            <c:ext xmlns:c16="http://schemas.microsoft.com/office/drawing/2014/chart" uri="{C3380CC4-5D6E-409C-BE32-E72D297353CC}">
              <c16:uniqueId val="{00000002-8331-47F2-986D-C13A9D0303F5}"/>
            </c:ext>
          </c:extLst>
        </c:ser>
        <c:ser>
          <c:idx val="3"/>
          <c:order val="3"/>
          <c:tx>
            <c:strRef>
              <c:f>Sheet2!$F$164</c:f>
              <c:strCache>
                <c:ptCount val="1"/>
                <c:pt idx="0">
                  <c:v>Not at all relevant</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Sheet2!$F$165:$F$169</c:f>
              <c:numCache>
                <c:formatCode>0%</c:formatCode>
                <c:ptCount val="5"/>
                <c:pt idx="0">
                  <c:v>0</c:v>
                </c:pt>
                <c:pt idx="1">
                  <c:v>0.17</c:v>
                </c:pt>
                <c:pt idx="2">
                  <c:v>0</c:v>
                </c:pt>
                <c:pt idx="3">
                  <c:v>0.25</c:v>
                </c:pt>
                <c:pt idx="4">
                  <c:v>0</c:v>
                </c:pt>
              </c:numCache>
            </c:numRef>
          </c:val>
          <c:extLst>
            <c:ext xmlns:c16="http://schemas.microsoft.com/office/drawing/2014/chart" uri="{C3380CC4-5D6E-409C-BE32-E72D297353CC}">
              <c16:uniqueId val="{00000003-8331-47F2-986D-C13A9D0303F5}"/>
            </c:ext>
          </c:extLst>
        </c:ser>
        <c:ser>
          <c:idx val="4"/>
          <c:order val="4"/>
          <c:tx>
            <c:strRef>
              <c:f>Sheet2!$G$164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Sheet2!$G$165:$G$169</c:f>
              <c:numCache>
                <c:formatCode>0%</c:formatCode>
                <c:ptCount val="5"/>
                <c:pt idx="0">
                  <c:v>0.2</c:v>
                </c:pt>
                <c:pt idx="1">
                  <c:v>0.33</c:v>
                </c:pt>
                <c:pt idx="2">
                  <c:v>0.25</c:v>
                </c:pt>
                <c:pt idx="3">
                  <c:v>0</c:v>
                </c:pt>
                <c:pt idx="4">
                  <c:v>0.5</c:v>
                </c:pt>
              </c:numCache>
            </c:numRef>
          </c:val>
          <c:extLst>
            <c:ext xmlns:c16="http://schemas.microsoft.com/office/drawing/2014/chart" uri="{C3380CC4-5D6E-409C-BE32-E72D297353CC}">
              <c16:uniqueId val="{00000004-8331-47F2-986D-C13A9D0303F5}"/>
            </c:ext>
          </c:extLst>
        </c:ser>
        <c:dLbls>
          <c:showLegendKey val="0"/>
          <c:showVal val="0"/>
          <c:showCatName val="0"/>
          <c:showSerName val="0"/>
          <c:showPercent val="0"/>
          <c:showBubbleSize val="0"/>
        </c:dLbls>
        <c:gapWidth val="150"/>
        <c:overlap val="100"/>
        <c:axId val="878269456"/>
        <c:axId val="878271752"/>
      </c:barChart>
      <c:catAx>
        <c:axId val="8782694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8271752"/>
        <c:crosses val="autoZero"/>
        <c:auto val="1"/>
        <c:lblAlgn val="ctr"/>
        <c:lblOffset val="100"/>
        <c:noMultiLvlLbl val="0"/>
      </c:catAx>
      <c:valAx>
        <c:axId val="8782717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826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How relevant are the Digital Europe Programme's objectives in terms of the EDIHs, considering Europe's current and emerging needs?</a:t>
            </a:r>
          </a:p>
        </c:rich>
      </c:tx>
      <c:layout>
        <c:manualLayout>
          <c:xMode val="edge"/>
          <c:yMode val="edge"/>
          <c:x val="0.1167277856135401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B240-4F8D-967A-1F0B5AA72A3E}"/>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B240-4F8D-967A-1F0B5AA72A3E}"/>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B240-4F8D-967A-1F0B5AA72A3E}"/>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B240-4F8D-967A-1F0B5AA72A3E}"/>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B240-4F8D-967A-1F0B5AA72A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Answer'!$A$326:$A$330</c:f>
              <c:strCache>
                <c:ptCount val="5"/>
                <c:pt idx="0">
                  <c:v>Very relevant</c:v>
                </c:pt>
                <c:pt idx="1">
                  <c:v>Moderately relevant</c:v>
                </c:pt>
                <c:pt idx="2">
                  <c:v>Not very relevant</c:v>
                </c:pt>
                <c:pt idx="3">
                  <c:v>Not at all relevant</c:v>
                </c:pt>
                <c:pt idx="4">
                  <c:v>Unsure</c:v>
                </c:pt>
              </c:strCache>
            </c:strRef>
          </c:cat>
          <c:val>
            <c:numRef>
              <c:f>'Graphs Answer'!$B$326:$B$330</c:f>
              <c:numCache>
                <c:formatCode>0%</c:formatCode>
                <c:ptCount val="5"/>
                <c:pt idx="0">
                  <c:v>0.67441860465116277</c:v>
                </c:pt>
                <c:pt idx="1">
                  <c:v>9.3023255813953487E-2</c:v>
                </c:pt>
                <c:pt idx="2">
                  <c:v>2.3255813953488372E-2</c:v>
                </c:pt>
                <c:pt idx="3">
                  <c:v>0</c:v>
                </c:pt>
                <c:pt idx="4">
                  <c:v>0.20930232558139536</c:v>
                </c:pt>
              </c:numCache>
            </c:numRef>
          </c:val>
          <c:extLst>
            <c:ext xmlns:c16="http://schemas.microsoft.com/office/drawing/2014/chart" uri="{C3380CC4-5D6E-409C-BE32-E72D297353CC}">
              <c16:uniqueId val="{0000000A-B240-4F8D-967A-1F0B5AA72A3E}"/>
            </c:ext>
          </c:extLst>
        </c:ser>
        <c:dLbls>
          <c:showLegendKey val="0"/>
          <c:showVal val="0"/>
          <c:showCatName val="0"/>
          <c:showSerName val="0"/>
          <c:showPercent val="0"/>
          <c:showBubbleSize val="0"/>
        </c:dLbls>
        <c:gapWidth val="100"/>
        <c:axId val="781539328"/>
        <c:axId val="781541952"/>
      </c:barChart>
      <c:valAx>
        <c:axId val="7815419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539328"/>
        <c:crosses val="autoZero"/>
        <c:crossBetween val="between"/>
      </c:valAx>
      <c:catAx>
        <c:axId val="781539328"/>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541952"/>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In which EU Member State is your organisation based?</a:t>
            </a:r>
            <a:r>
              <a:rPr lang="sv-SE" sz="1400" b="0" i="0" u="none" strike="noStrike"/>
              <a:t> </a:t>
            </a:r>
          </a:p>
        </c:rich>
      </c:tx>
      <c:layout>
        <c:manualLayout>
          <c:xMode val="edge"/>
          <c:yMode val="edge"/>
          <c:x val="0.12473762336428895"/>
          <c:y val="3.0729833546734954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spPr>
            <a:solidFill>
              <a:schemeClr val="accent2"/>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7883-4B9C-8FDE-B16800DD1552}"/>
              </c:ext>
            </c:extLst>
          </c:dPt>
          <c:dPt>
            <c:idx val="1"/>
            <c:invertIfNegative val="0"/>
            <c:bubble3D val="0"/>
            <c:spPr>
              <a:solidFill>
                <a:schemeClr val="accent4"/>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7883-4B9C-8FDE-B16800DD1552}"/>
              </c:ext>
            </c:extLst>
          </c:dPt>
          <c:dPt>
            <c:idx val="2"/>
            <c:invertIfNegative val="0"/>
            <c:bubble3D val="0"/>
            <c:spPr>
              <a:solidFill>
                <a:schemeClr val="accent2"/>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7883-4B9C-8FDE-B16800DD1552}"/>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7883-4B9C-8FDE-B16800DD1552}"/>
              </c:ext>
            </c:extLst>
          </c:dPt>
          <c:dPt>
            <c:idx val="4"/>
            <c:invertIfNegative val="0"/>
            <c:bubble3D val="0"/>
            <c:spPr>
              <a:solidFill>
                <a:schemeClr val="accent5"/>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7883-4B9C-8FDE-B16800DD155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Answer'!$A$26:$A$30</c:f>
              <c:strCache>
                <c:ptCount val="5"/>
                <c:pt idx="0">
                  <c:v>Germany</c:v>
                </c:pt>
                <c:pt idx="1">
                  <c:v>Malta</c:v>
                </c:pt>
                <c:pt idx="2">
                  <c:v>Poland</c:v>
                </c:pt>
                <c:pt idx="3">
                  <c:v>Portugal</c:v>
                </c:pt>
                <c:pt idx="4">
                  <c:v>Sweden</c:v>
                </c:pt>
              </c:strCache>
            </c:strRef>
          </c:cat>
          <c:val>
            <c:numRef>
              <c:f>'Graphs Answer'!$C$26:$C$30</c:f>
              <c:numCache>
                <c:formatCode>General</c:formatCode>
                <c:ptCount val="5"/>
                <c:pt idx="0">
                  <c:v>15</c:v>
                </c:pt>
                <c:pt idx="1">
                  <c:v>6</c:v>
                </c:pt>
                <c:pt idx="2">
                  <c:v>8</c:v>
                </c:pt>
                <c:pt idx="3">
                  <c:v>4</c:v>
                </c:pt>
                <c:pt idx="4">
                  <c:v>10</c:v>
                </c:pt>
              </c:numCache>
            </c:numRef>
          </c:val>
          <c:extLst>
            <c:ext xmlns:c16="http://schemas.microsoft.com/office/drawing/2014/chart" uri="{C3380CC4-5D6E-409C-BE32-E72D297353CC}">
              <c16:uniqueId val="{0000000A-7883-4B9C-8FDE-B16800DD1552}"/>
            </c:ext>
          </c:extLst>
        </c:ser>
        <c:dLbls>
          <c:showLegendKey val="0"/>
          <c:showVal val="0"/>
          <c:showCatName val="0"/>
          <c:showSerName val="0"/>
          <c:showPercent val="0"/>
          <c:showBubbleSize val="0"/>
        </c:dLbls>
        <c:gapWidth val="100"/>
        <c:axId val="713667632"/>
        <c:axId val="713668288"/>
      </c:barChart>
      <c:catAx>
        <c:axId val="7136676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68288"/>
        <c:crosses val="autoZero"/>
        <c:auto val="1"/>
        <c:lblAlgn val="ctr"/>
        <c:lblOffset val="100"/>
        <c:noMultiLvlLbl val="0"/>
      </c:catAx>
      <c:valAx>
        <c:axId val="713668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676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How relevant are the Digital Europe Programme’s objectives in terms of advanced digital skills?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5C22-473E-87BC-E18D3C38B7C1}"/>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5C22-473E-87BC-E18D3C38B7C1}"/>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5C22-473E-87BC-E18D3C38B7C1}"/>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5C22-473E-87BC-E18D3C38B7C1}"/>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5C22-473E-87BC-E18D3C38B7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Answer'!$A$347:$A$351</c:f>
              <c:strCache>
                <c:ptCount val="5"/>
                <c:pt idx="0">
                  <c:v>Very relevant</c:v>
                </c:pt>
                <c:pt idx="1">
                  <c:v>Moderately relevant</c:v>
                </c:pt>
                <c:pt idx="2">
                  <c:v>Not very relevant</c:v>
                </c:pt>
                <c:pt idx="3">
                  <c:v>Not at all relevant</c:v>
                </c:pt>
                <c:pt idx="4">
                  <c:v>Unsure</c:v>
                </c:pt>
              </c:strCache>
            </c:strRef>
          </c:cat>
          <c:val>
            <c:numRef>
              <c:f>'Graphs Answer'!$B$347:$B$351</c:f>
              <c:numCache>
                <c:formatCode>0%</c:formatCode>
                <c:ptCount val="5"/>
                <c:pt idx="0">
                  <c:v>0.48837209302325574</c:v>
                </c:pt>
                <c:pt idx="1">
                  <c:v>0.16279069767441862</c:v>
                </c:pt>
                <c:pt idx="2">
                  <c:v>6.9767441860465115E-2</c:v>
                </c:pt>
                <c:pt idx="3">
                  <c:v>0</c:v>
                </c:pt>
                <c:pt idx="4">
                  <c:v>0.27906976744186046</c:v>
                </c:pt>
              </c:numCache>
            </c:numRef>
          </c:val>
          <c:extLst>
            <c:ext xmlns:c16="http://schemas.microsoft.com/office/drawing/2014/chart" uri="{C3380CC4-5D6E-409C-BE32-E72D297353CC}">
              <c16:uniqueId val="{0000000A-5C22-473E-87BC-E18D3C38B7C1}"/>
            </c:ext>
          </c:extLst>
        </c:ser>
        <c:dLbls>
          <c:showLegendKey val="0"/>
          <c:showVal val="0"/>
          <c:showCatName val="0"/>
          <c:showSerName val="0"/>
          <c:showPercent val="0"/>
          <c:showBubbleSize val="0"/>
        </c:dLbls>
        <c:gapWidth val="100"/>
        <c:axId val="705157080"/>
        <c:axId val="705156752"/>
      </c:barChart>
      <c:valAx>
        <c:axId val="7051567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157080"/>
        <c:crosses val="autoZero"/>
        <c:crossBetween val="between"/>
      </c:valAx>
      <c:catAx>
        <c:axId val="705157080"/>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156752"/>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 </a:t>
            </a:r>
            <a:r>
              <a:rPr lang="sv-SE" sz="1200"/>
              <a:t>Does the advanced digital skills training meet the current emerging skills gap in Europe?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60A-4774-8655-D7CBDD4769D6}"/>
              </c:ext>
            </c:extLst>
          </c:dPt>
          <c:dPt>
            <c:idx val="1"/>
            <c:invertIfNegative val="0"/>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60A-4774-8655-D7CBDD4769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Answer'!$A$367:$A$368</c:f>
              <c:strCache>
                <c:ptCount val="2"/>
                <c:pt idx="0">
                  <c:v>Yes</c:v>
                </c:pt>
                <c:pt idx="1">
                  <c:v>Not to my knowledge</c:v>
                </c:pt>
              </c:strCache>
            </c:strRef>
          </c:cat>
          <c:val>
            <c:numRef>
              <c:f>'Graphs Answer'!$B$367:$B$368</c:f>
              <c:numCache>
                <c:formatCode>0%</c:formatCode>
                <c:ptCount val="2"/>
                <c:pt idx="0">
                  <c:v>0.37209302325581395</c:v>
                </c:pt>
                <c:pt idx="1">
                  <c:v>0.62790697674418605</c:v>
                </c:pt>
              </c:numCache>
            </c:numRef>
          </c:val>
          <c:extLst>
            <c:ext xmlns:c16="http://schemas.microsoft.com/office/drawing/2014/chart" uri="{C3380CC4-5D6E-409C-BE32-E72D297353CC}">
              <c16:uniqueId val="{00000004-C60A-4774-8655-D7CBDD4769D6}"/>
            </c:ext>
          </c:extLst>
        </c:ser>
        <c:dLbls>
          <c:showLegendKey val="0"/>
          <c:showVal val="0"/>
          <c:showCatName val="0"/>
          <c:showSerName val="0"/>
          <c:showPercent val="0"/>
          <c:showBubbleSize val="0"/>
        </c:dLbls>
        <c:gapWidth val="100"/>
        <c:axId val="645611440"/>
        <c:axId val="645615048"/>
      </c:barChart>
      <c:catAx>
        <c:axId val="645611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615048"/>
        <c:crosses val="autoZero"/>
        <c:auto val="1"/>
        <c:lblAlgn val="ctr"/>
        <c:lblOffset val="100"/>
        <c:noMultiLvlLbl val="0"/>
      </c:catAx>
      <c:valAx>
        <c:axId val="645615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5611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Does the advanced digital skills training meet the current emerging skills gap in Europe?</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Sheet2!$B$211</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Sheet2!$C$210:$F$210</c:f>
              <c:strCache>
                <c:ptCount val="4"/>
                <c:pt idx="0">
                  <c:v>Business</c:v>
                </c:pt>
                <c:pt idx="1">
                  <c:v>Academia</c:v>
                </c:pt>
                <c:pt idx="2">
                  <c:v>Public Autorities</c:v>
                </c:pt>
                <c:pt idx="3">
                  <c:v>Other</c:v>
                </c:pt>
              </c:strCache>
            </c:strRef>
          </c:cat>
          <c:val>
            <c:numRef>
              <c:f>Sheet2!$C$211:$F$211</c:f>
              <c:numCache>
                <c:formatCode>0%</c:formatCode>
                <c:ptCount val="4"/>
                <c:pt idx="0">
                  <c:v>0.09</c:v>
                </c:pt>
                <c:pt idx="1">
                  <c:v>0.59</c:v>
                </c:pt>
                <c:pt idx="2">
                  <c:v>0.36</c:v>
                </c:pt>
                <c:pt idx="3">
                  <c:v>0.25</c:v>
                </c:pt>
              </c:numCache>
            </c:numRef>
          </c:val>
          <c:extLst>
            <c:ext xmlns:c16="http://schemas.microsoft.com/office/drawing/2014/chart" uri="{C3380CC4-5D6E-409C-BE32-E72D297353CC}">
              <c16:uniqueId val="{00000000-EC17-4F76-BAF0-9DAFFBE3053C}"/>
            </c:ext>
          </c:extLst>
        </c:ser>
        <c:ser>
          <c:idx val="1"/>
          <c:order val="1"/>
          <c:tx>
            <c:strRef>
              <c:f>Sheet2!$B$212</c:f>
              <c:strCache>
                <c:ptCount val="1"/>
                <c:pt idx="0">
                  <c:v>Not to my knowledge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Sheet2!$C$210:$F$210</c:f>
              <c:strCache>
                <c:ptCount val="4"/>
                <c:pt idx="0">
                  <c:v>Business</c:v>
                </c:pt>
                <c:pt idx="1">
                  <c:v>Academia</c:v>
                </c:pt>
                <c:pt idx="2">
                  <c:v>Public Autorities</c:v>
                </c:pt>
                <c:pt idx="3">
                  <c:v>Other</c:v>
                </c:pt>
              </c:strCache>
            </c:strRef>
          </c:cat>
          <c:val>
            <c:numRef>
              <c:f>Sheet2!$C$212:$F$212</c:f>
              <c:numCache>
                <c:formatCode>0%</c:formatCode>
                <c:ptCount val="4"/>
                <c:pt idx="0">
                  <c:v>0.91</c:v>
                </c:pt>
                <c:pt idx="1">
                  <c:v>0.41</c:v>
                </c:pt>
                <c:pt idx="2">
                  <c:v>0.64</c:v>
                </c:pt>
                <c:pt idx="3">
                  <c:v>0.75</c:v>
                </c:pt>
              </c:numCache>
            </c:numRef>
          </c:val>
          <c:extLst>
            <c:ext xmlns:c16="http://schemas.microsoft.com/office/drawing/2014/chart" uri="{C3380CC4-5D6E-409C-BE32-E72D297353CC}">
              <c16:uniqueId val="{00000001-EC17-4F76-BAF0-9DAFFBE3053C}"/>
            </c:ext>
          </c:extLst>
        </c:ser>
        <c:dLbls>
          <c:showLegendKey val="0"/>
          <c:showVal val="0"/>
          <c:showCatName val="0"/>
          <c:showSerName val="0"/>
          <c:showPercent val="0"/>
          <c:showBubbleSize val="0"/>
        </c:dLbls>
        <c:gapWidth val="219"/>
        <c:overlap val="-27"/>
        <c:axId val="873727784"/>
        <c:axId val="873725816"/>
      </c:barChart>
      <c:catAx>
        <c:axId val="873727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725816"/>
        <c:crosses val="autoZero"/>
        <c:auto val="1"/>
        <c:lblAlgn val="ctr"/>
        <c:lblOffset val="100"/>
        <c:noMultiLvlLbl val="0"/>
      </c:catAx>
      <c:valAx>
        <c:axId val="873725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3727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Does the advanced digital skills training meet the current emerging skills gap in Europe?</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Sheet2!$C$186</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Sheet2!$B$187:$B$191</c:f>
              <c:strCache>
                <c:ptCount val="5"/>
                <c:pt idx="0">
                  <c:v>Germany</c:v>
                </c:pt>
                <c:pt idx="1">
                  <c:v>Malta</c:v>
                </c:pt>
                <c:pt idx="2">
                  <c:v>Poland</c:v>
                </c:pt>
                <c:pt idx="3">
                  <c:v>Portugal</c:v>
                </c:pt>
                <c:pt idx="4">
                  <c:v>Sweden</c:v>
                </c:pt>
              </c:strCache>
            </c:strRef>
          </c:cat>
          <c:val>
            <c:numRef>
              <c:f>Sheet2!$C$187:$C$191</c:f>
              <c:numCache>
                <c:formatCode>0%</c:formatCode>
                <c:ptCount val="5"/>
                <c:pt idx="0">
                  <c:v>0.6</c:v>
                </c:pt>
                <c:pt idx="1">
                  <c:v>0.67</c:v>
                </c:pt>
                <c:pt idx="2">
                  <c:v>0.25</c:v>
                </c:pt>
                <c:pt idx="3">
                  <c:v>0.25</c:v>
                </c:pt>
                <c:pt idx="4">
                  <c:v>0</c:v>
                </c:pt>
              </c:numCache>
            </c:numRef>
          </c:val>
          <c:extLst>
            <c:ext xmlns:c16="http://schemas.microsoft.com/office/drawing/2014/chart" uri="{C3380CC4-5D6E-409C-BE32-E72D297353CC}">
              <c16:uniqueId val="{00000000-7C10-4C8C-818A-0D1B5F7A3362}"/>
            </c:ext>
          </c:extLst>
        </c:ser>
        <c:ser>
          <c:idx val="1"/>
          <c:order val="1"/>
          <c:tx>
            <c:strRef>
              <c:f>Sheet2!$D$186</c:f>
              <c:strCache>
                <c:ptCount val="1"/>
                <c:pt idx="0">
                  <c:v>Not to my Knowledge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Sheet2!$B$187:$B$191</c:f>
              <c:strCache>
                <c:ptCount val="5"/>
                <c:pt idx="0">
                  <c:v>Germany</c:v>
                </c:pt>
                <c:pt idx="1">
                  <c:v>Malta</c:v>
                </c:pt>
                <c:pt idx="2">
                  <c:v>Poland</c:v>
                </c:pt>
                <c:pt idx="3">
                  <c:v>Portugal</c:v>
                </c:pt>
                <c:pt idx="4">
                  <c:v>Sweden</c:v>
                </c:pt>
              </c:strCache>
            </c:strRef>
          </c:cat>
          <c:val>
            <c:numRef>
              <c:f>Sheet2!$D$187:$D$191</c:f>
              <c:numCache>
                <c:formatCode>0%</c:formatCode>
                <c:ptCount val="5"/>
                <c:pt idx="0">
                  <c:v>0.4</c:v>
                </c:pt>
                <c:pt idx="1">
                  <c:v>0.33</c:v>
                </c:pt>
                <c:pt idx="2">
                  <c:v>0.75</c:v>
                </c:pt>
                <c:pt idx="3">
                  <c:v>0.75</c:v>
                </c:pt>
                <c:pt idx="4">
                  <c:v>1</c:v>
                </c:pt>
              </c:numCache>
            </c:numRef>
          </c:val>
          <c:extLst>
            <c:ext xmlns:c16="http://schemas.microsoft.com/office/drawing/2014/chart" uri="{C3380CC4-5D6E-409C-BE32-E72D297353CC}">
              <c16:uniqueId val="{00000001-7C10-4C8C-818A-0D1B5F7A3362}"/>
            </c:ext>
          </c:extLst>
        </c:ser>
        <c:dLbls>
          <c:showLegendKey val="0"/>
          <c:showVal val="0"/>
          <c:showCatName val="0"/>
          <c:showSerName val="0"/>
          <c:showPercent val="0"/>
          <c:showBubbleSize val="0"/>
        </c:dLbls>
        <c:gapWidth val="219"/>
        <c:overlap val="-27"/>
        <c:axId val="836151976"/>
        <c:axId val="836154928"/>
      </c:barChart>
      <c:catAx>
        <c:axId val="83615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154928"/>
        <c:crosses val="autoZero"/>
        <c:auto val="1"/>
        <c:lblAlgn val="ctr"/>
        <c:lblOffset val="100"/>
        <c:noMultiLvlLbl val="0"/>
      </c:catAx>
      <c:valAx>
        <c:axId val="836154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151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To what extent has the Digital Europe Programme developed consistent synergies with other EU funding programmes?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Answer'!$B$385</c:f>
              <c:strCache>
                <c:ptCount val="1"/>
                <c:pt idx="0">
                  <c:v>Very well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Answer'!$B$386:$B$390</c:f>
              <c:numCache>
                <c:formatCode>0%</c:formatCode>
                <c:ptCount val="5"/>
                <c:pt idx="0">
                  <c:v>0.26</c:v>
                </c:pt>
                <c:pt idx="1">
                  <c:v>0.02</c:v>
                </c:pt>
                <c:pt idx="2">
                  <c:v>0.05</c:v>
                </c:pt>
                <c:pt idx="3">
                  <c:v>7.0000000000000007E-2</c:v>
                </c:pt>
                <c:pt idx="4">
                  <c:v>0.02</c:v>
                </c:pt>
              </c:numCache>
            </c:numRef>
          </c:val>
          <c:extLst>
            <c:ext xmlns:c16="http://schemas.microsoft.com/office/drawing/2014/chart" uri="{C3380CC4-5D6E-409C-BE32-E72D297353CC}">
              <c16:uniqueId val="{00000000-671E-4E11-8E8F-D1B586B14909}"/>
            </c:ext>
          </c:extLst>
        </c:ser>
        <c:ser>
          <c:idx val="1"/>
          <c:order val="1"/>
          <c:tx>
            <c:strRef>
              <c:f>'Graphs Answer'!$C$385</c:f>
              <c:strCache>
                <c:ptCount val="1"/>
                <c:pt idx="0">
                  <c:v>Moderately well</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Answer'!$C$386:$C$390</c:f>
              <c:numCache>
                <c:formatCode>0%</c:formatCode>
                <c:ptCount val="5"/>
                <c:pt idx="0">
                  <c:v>0.33</c:v>
                </c:pt>
                <c:pt idx="1">
                  <c:v>0.12</c:v>
                </c:pt>
                <c:pt idx="2">
                  <c:v>0.16</c:v>
                </c:pt>
                <c:pt idx="3">
                  <c:v>0.35</c:v>
                </c:pt>
                <c:pt idx="4">
                  <c:v>7.0000000000000007E-2</c:v>
                </c:pt>
              </c:numCache>
            </c:numRef>
          </c:val>
          <c:extLst>
            <c:ext xmlns:c16="http://schemas.microsoft.com/office/drawing/2014/chart" uri="{C3380CC4-5D6E-409C-BE32-E72D297353CC}">
              <c16:uniqueId val="{00000001-671E-4E11-8E8F-D1B586B14909}"/>
            </c:ext>
          </c:extLst>
        </c:ser>
        <c:ser>
          <c:idx val="2"/>
          <c:order val="2"/>
          <c:tx>
            <c:strRef>
              <c:f>'Graphs Answer'!$D$385</c:f>
              <c:strCache>
                <c:ptCount val="1"/>
                <c:pt idx="0">
                  <c:v>Not very well</c:v>
                </c:pt>
              </c:strCache>
            </c:strRef>
          </c:tx>
          <c:spPr>
            <a:solidFill>
              <a:srgbClr val="FD9A7F"/>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2-671E-4E11-8E8F-D1B586B149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Answer'!$D$386:$D$390</c:f>
              <c:numCache>
                <c:formatCode>0%</c:formatCode>
                <c:ptCount val="5"/>
                <c:pt idx="0">
                  <c:v>7.0000000000000007E-2</c:v>
                </c:pt>
                <c:pt idx="1">
                  <c:v>0.12</c:v>
                </c:pt>
                <c:pt idx="2">
                  <c:v>0.14000000000000001</c:v>
                </c:pt>
                <c:pt idx="3">
                  <c:v>0.14000000000000001</c:v>
                </c:pt>
                <c:pt idx="4">
                  <c:v>0</c:v>
                </c:pt>
              </c:numCache>
            </c:numRef>
          </c:val>
          <c:extLst>
            <c:ext xmlns:c16="http://schemas.microsoft.com/office/drawing/2014/chart" uri="{C3380CC4-5D6E-409C-BE32-E72D297353CC}">
              <c16:uniqueId val="{00000003-671E-4E11-8E8F-D1B586B14909}"/>
            </c:ext>
          </c:extLst>
        </c:ser>
        <c:ser>
          <c:idx val="3"/>
          <c:order val="3"/>
          <c:tx>
            <c:strRef>
              <c:f>'Graphs Answer'!$E$385</c:f>
              <c:strCache>
                <c:ptCount val="1"/>
                <c:pt idx="0">
                  <c:v>Not at all well</c:v>
                </c:pt>
              </c:strCache>
            </c:strRef>
          </c:tx>
          <c:spPr>
            <a:solidFill>
              <a:srgbClr val="FF0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671E-4E11-8E8F-D1B586B14909}"/>
                </c:ext>
              </c:extLst>
            </c:dLbl>
            <c:dLbl>
              <c:idx val="4"/>
              <c:delete val="1"/>
              <c:extLst>
                <c:ext xmlns:c15="http://schemas.microsoft.com/office/drawing/2012/chart" uri="{CE6537A1-D6FC-4f65-9D91-7224C49458BB}"/>
                <c:ext xmlns:c16="http://schemas.microsoft.com/office/drawing/2014/chart" uri="{C3380CC4-5D6E-409C-BE32-E72D297353CC}">
                  <c16:uniqueId val="{00000005-671E-4E11-8E8F-D1B586B149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Answer'!$E$386:$E$390</c:f>
              <c:numCache>
                <c:formatCode>0%</c:formatCode>
                <c:ptCount val="5"/>
                <c:pt idx="0">
                  <c:v>0</c:v>
                </c:pt>
                <c:pt idx="1">
                  <c:v>0.02</c:v>
                </c:pt>
                <c:pt idx="2">
                  <c:v>0.12</c:v>
                </c:pt>
                <c:pt idx="3">
                  <c:v>0.05</c:v>
                </c:pt>
                <c:pt idx="4">
                  <c:v>0</c:v>
                </c:pt>
              </c:numCache>
            </c:numRef>
          </c:val>
          <c:extLst>
            <c:ext xmlns:c16="http://schemas.microsoft.com/office/drawing/2014/chart" uri="{C3380CC4-5D6E-409C-BE32-E72D297353CC}">
              <c16:uniqueId val="{00000006-671E-4E11-8E8F-D1B586B14909}"/>
            </c:ext>
          </c:extLst>
        </c:ser>
        <c:ser>
          <c:idx val="4"/>
          <c:order val="4"/>
          <c:tx>
            <c:strRef>
              <c:f>'Graphs Answer'!$F$385</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Answer'!$F$386:$F$390</c:f>
              <c:numCache>
                <c:formatCode>0%</c:formatCode>
                <c:ptCount val="5"/>
                <c:pt idx="0">
                  <c:v>0.35</c:v>
                </c:pt>
                <c:pt idx="1">
                  <c:v>0.72</c:v>
                </c:pt>
                <c:pt idx="2">
                  <c:v>0.53</c:v>
                </c:pt>
                <c:pt idx="3">
                  <c:v>0.4</c:v>
                </c:pt>
                <c:pt idx="4">
                  <c:v>0.91</c:v>
                </c:pt>
              </c:numCache>
            </c:numRef>
          </c:val>
          <c:extLst>
            <c:ext xmlns:c16="http://schemas.microsoft.com/office/drawing/2014/chart" uri="{C3380CC4-5D6E-409C-BE32-E72D297353CC}">
              <c16:uniqueId val="{00000007-671E-4E11-8E8F-D1B586B14909}"/>
            </c:ext>
          </c:extLst>
        </c:ser>
        <c:dLbls>
          <c:showLegendKey val="0"/>
          <c:showVal val="0"/>
          <c:showCatName val="0"/>
          <c:showSerName val="0"/>
          <c:showPercent val="0"/>
          <c:showBubbleSize val="0"/>
        </c:dLbls>
        <c:gapWidth val="150"/>
        <c:overlap val="100"/>
        <c:axId val="863181120"/>
        <c:axId val="863182104"/>
      </c:barChart>
      <c:catAx>
        <c:axId val="863181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182104"/>
        <c:crosses val="autoZero"/>
        <c:auto val="1"/>
        <c:lblAlgn val="ctr"/>
        <c:lblOffset val="100"/>
        <c:noMultiLvlLbl val="0"/>
      </c:catAx>
      <c:valAx>
        <c:axId val="86318210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1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To what extent has the Digital Europe Programme developed consistent synergies with other EU funding programmes?</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Sheet2!$D$230</c:f>
              <c:strCache>
                <c:ptCount val="1"/>
                <c:pt idx="0">
                  <c:v>Very well</c:v>
                </c:pt>
              </c:strCache>
            </c:strRef>
          </c:tx>
          <c:spPr>
            <a:solidFill>
              <a:schemeClr val="accent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9C92-436D-87A0-FC2D01E2570A}"/>
                </c:ext>
              </c:extLst>
            </c:dLbl>
            <c:dLbl>
              <c:idx val="2"/>
              <c:delete val="1"/>
              <c:extLst>
                <c:ext xmlns:c15="http://schemas.microsoft.com/office/drawing/2012/chart" uri="{CE6537A1-D6FC-4f65-9D91-7224C49458BB}"/>
                <c:ext xmlns:c16="http://schemas.microsoft.com/office/drawing/2014/chart" uri="{C3380CC4-5D6E-409C-BE32-E72D297353CC}">
                  <c16:uniqueId val="{00000001-9C92-436D-87A0-FC2D01E2570A}"/>
                </c:ext>
              </c:extLst>
            </c:dLbl>
            <c:dLbl>
              <c:idx val="3"/>
              <c:delete val="1"/>
              <c:extLst>
                <c:ext xmlns:c15="http://schemas.microsoft.com/office/drawing/2012/chart" uri="{CE6537A1-D6FC-4f65-9D91-7224C49458BB}"/>
                <c:ext xmlns:c16="http://schemas.microsoft.com/office/drawing/2014/chart" uri="{C3380CC4-5D6E-409C-BE32-E72D297353CC}">
                  <c16:uniqueId val="{00000002-9C92-436D-87A0-FC2D01E2570A}"/>
                </c:ext>
              </c:extLst>
            </c:dLbl>
            <c:dLbl>
              <c:idx val="8"/>
              <c:delete val="1"/>
              <c:extLst>
                <c:ext xmlns:c15="http://schemas.microsoft.com/office/drawing/2012/chart" uri="{CE6537A1-D6FC-4f65-9D91-7224C49458BB}"/>
                <c:ext xmlns:c16="http://schemas.microsoft.com/office/drawing/2014/chart" uri="{C3380CC4-5D6E-409C-BE32-E72D297353CC}">
                  <c16:uniqueId val="{00000003-9C92-436D-87A0-FC2D01E2570A}"/>
                </c:ext>
              </c:extLst>
            </c:dLbl>
            <c:dLbl>
              <c:idx val="16"/>
              <c:delete val="1"/>
              <c:extLst>
                <c:ext xmlns:c15="http://schemas.microsoft.com/office/drawing/2012/chart" uri="{CE6537A1-D6FC-4f65-9D91-7224C49458BB}"/>
                <c:ext xmlns:c16="http://schemas.microsoft.com/office/drawing/2014/chart" uri="{C3380CC4-5D6E-409C-BE32-E72D297353CC}">
                  <c16:uniqueId val="{00000004-9C92-436D-87A0-FC2D01E2570A}"/>
                </c:ext>
              </c:extLst>
            </c:dLbl>
            <c:dLbl>
              <c:idx val="18"/>
              <c:delete val="1"/>
              <c:extLst>
                <c:ext xmlns:c15="http://schemas.microsoft.com/office/drawing/2012/chart" uri="{CE6537A1-D6FC-4f65-9D91-7224C49458BB}"/>
                <c:ext xmlns:c16="http://schemas.microsoft.com/office/drawing/2014/chart" uri="{C3380CC4-5D6E-409C-BE32-E72D297353CC}">
                  <c16:uniqueId val="{00000005-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06-9C92-436D-87A0-FC2D01E2570A}"/>
                </c:ext>
              </c:extLst>
            </c:dLbl>
            <c:dLbl>
              <c:idx val="24"/>
              <c:delete val="1"/>
              <c:extLst>
                <c:ext xmlns:c15="http://schemas.microsoft.com/office/drawing/2012/chart" uri="{CE6537A1-D6FC-4f65-9D91-7224C49458BB}"/>
                <c:ext xmlns:c16="http://schemas.microsoft.com/office/drawing/2014/chart" uri="{C3380CC4-5D6E-409C-BE32-E72D297353CC}">
                  <c16:uniqueId val="{00000007-9C92-436D-87A0-FC2D01E2570A}"/>
                </c:ext>
              </c:extLst>
            </c:dLbl>
            <c:dLbl>
              <c:idx val="28"/>
              <c:delete val="1"/>
              <c:extLst>
                <c:ext xmlns:c15="http://schemas.microsoft.com/office/drawing/2012/chart" uri="{CE6537A1-D6FC-4f65-9D91-7224C49458BB}"/>
                <c:ext xmlns:c16="http://schemas.microsoft.com/office/drawing/2014/chart" uri="{C3380CC4-5D6E-409C-BE32-E72D297353CC}">
                  <c16:uniqueId val="{00000008-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09-9C92-436D-87A0-FC2D01E2570A}"/>
                </c:ext>
              </c:extLst>
            </c:dLbl>
            <c:dLbl>
              <c:idx val="30"/>
              <c:delete val="1"/>
              <c:extLst>
                <c:ext xmlns:c15="http://schemas.microsoft.com/office/drawing/2012/chart" uri="{CE6537A1-D6FC-4f65-9D91-7224C49458BB}"/>
                <c:ext xmlns:c16="http://schemas.microsoft.com/office/drawing/2014/chart" uri="{C3380CC4-5D6E-409C-BE32-E72D297353CC}">
                  <c16:uniqueId val="{0000000A-9C92-436D-87A0-FC2D01E2570A}"/>
                </c:ext>
              </c:extLst>
            </c:dLbl>
            <c:dLbl>
              <c:idx val="31"/>
              <c:delete val="1"/>
              <c:extLst>
                <c:ext xmlns:c15="http://schemas.microsoft.com/office/drawing/2012/chart" uri="{CE6537A1-D6FC-4f65-9D91-7224C49458BB}"/>
                <c:ext xmlns:c16="http://schemas.microsoft.com/office/drawing/2014/chart" uri="{C3380CC4-5D6E-409C-BE32-E72D297353CC}">
                  <c16:uniqueId val="{0000000B-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0C-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Sheet2!$D$231:$D$263</c:f>
              <c:numCache>
                <c:formatCode>0%</c:formatCode>
                <c:ptCount val="33"/>
                <c:pt idx="0">
                  <c:v>0.2</c:v>
                </c:pt>
                <c:pt idx="1">
                  <c:v>0</c:v>
                </c:pt>
                <c:pt idx="2">
                  <c:v>0</c:v>
                </c:pt>
                <c:pt idx="3">
                  <c:v>0</c:v>
                </c:pt>
                <c:pt idx="4">
                  <c:v>7.0000000000000007E-2</c:v>
                </c:pt>
                <c:pt idx="6" formatCode="General">
                  <c:v>0</c:v>
                </c:pt>
                <c:pt idx="7">
                  <c:v>0.5</c:v>
                </c:pt>
                <c:pt idx="8">
                  <c:v>0</c:v>
                </c:pt>
                <c:pt idx="9">
                  <c:v>0.17</c:v>
                </c:pt>
                <c:pt idx="10">
                  <c:v>0.33</c:v>
                </c:pt>
                <c:pt idx="11">
                  <c:v>0</c:v>
                </c:pt>
                <c:pt idx="13" formatCode="General">
                  <c:v>0</c:v>
                </c:pt>
                <c:pt idx="14">
                  <c:v>0.5</c:v>
                </c:pt>
                <c:pt idx="15">
                  <c:v>0.12</c:v>
                </c:pt>
                <c:pt idx="16">
                  <c:v>0</c:v>
                </c:pt>
                <c:pt idx="17">
                  <c:v>0.13</c:v>
                </c:pt>
                <c:pt idx="18">
                  <c:v>0</c:v>
                </c:pt>
                <c:pt idx="20" formatCode="General">
                  <c:v>0</c:v>
                </c:pt>
                <c:pt idx="21">
                  <c:v>0.25</c:v>
                </c:pt>
                <c:pt idx="22">
                  <c:v>0</c:v>
                </c:pt>
                <c:pt idx="23">
                  <c:v>0.25</c:v>
                </c:pt>
                <c:pt idx="24">
                  <c:v>0</c:v>
                </c:pt>
                <c:pt idx="25">
                  <c:v>0</c:v>
                </c:pt>
                <c:pt idx="27" formatCode="General">
                  <c:v>0</c:v>
                </c:pt>
                <c:pt idx="28">
                  <c:v>0</c:v>
                </c:pt>
                <c:pt idx="29">
                  <c:v>0</c:v>
                </c:pt>
                <c:pt idx="30">
                  <c:v>0</c:v>
                </c:pt>
                <c:pt idx="31">
                  <c:v>0</c:v>
                </c:pt>
                <c:pt idx="32">
                  <c:v>0</c:v>
                </c:pt>
              </c:numCache>
            </c:numRef>
          </c:val>
          <c:extLst>
            <c:ext xmlns:c16="http://schemas.microsoft.com/office/drawing/2014/chart" uri="{C3380CC4-5D6E-409C-BE32-E72D297353CC}">
              <c16:uniqueId val="{0000000D-9C92-436D-87A0-FC2D01E2570A}"/>
            </c:ext>
          </c:extLst>
        </c:ser>
        <c:ser>
          <c:idx val="1"/>
          <c:order val="1"/>
          <c:tx>
            <c:strRef>
              <c:f>Sheet2!$E$230</c:f>
              <c:strCache>
                <c:ptCount val="1"/>
                <c:pt idx="0">
                  <c:v>Moderately well</c:v>
                </c:pt>
              </c:strCache>
            </c:strRef>
          </c:tx>
          <c:spPr>
            <a:solidFill>
              <a:schemeClr val="accent6">
                <a:lumMod val="60000"/>
                <a:lumOff val="40000"/>
              </a:schemeClr>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E-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0F-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0-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1-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12-9C92-436D-87A0-FC2D01E2570A}"/>
                </c:ext>
              </c:extLst>
            </c:dLbl>
            <c:dLbl>
              <c:idx val="30"/>
              <c:delete val="1"/>
              <c:extLst>
                <c:ext xmlns:c15="http://schemas.microsoft.com/office/drawing/2012/chart" uri="{CE6537A1-D6FC-4f65-9D91-7224C49458BB}"/>
                <c:ext xmlns:c16="http://schemas.microsoft.com/office/drawing/2014/chart" uri="{C3380CC4-5D6E-409C-BE32-E72D297353CC}">
                  <c16:uniqueId val="{00000013-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Sheet2!$E$231:$E$263</c:f>
              <c:numCache>
                <c:formatCode>0%</c:formatCode>
                <c:ptCount val="33"/>
                <c:pt idx="0">
                  <c:v>0.47</c:v>
                </c:pt>
                <c:pt idx="1">
                  <c:v>0.13</c:v>
                </c:pt>
                <c:pt idx="2">
                  <c:v>0.2</c:v>
                </c:pt>
                <c:pt idx="3">
                  <c:v>0.47</c:v>
                </c:pt>
                <c:pt idx="4">
                  <c:v>0</c:v>
                </c:pt>
                <c:pt idx="6" formatCode="General">
                  <c:v>0</c:v>
                </c:pt>
                <c:pt idx="7">
                  <c:v>0.17</c:v>
                </c:pt>
                <c:pt idx="8">
                  <c:v>0.17</c:v>
                </c:pt>
                <c:pt idx="9">
                  <c:v>0.33</c:v>
                </c:pt>
                <c:pt idx="10">
                  <c:v>0.33</c:v>
                </c:pt>
                <c:pt idx="11">
                  <c:v>0</c:v>
                </c:pt>
                <c:pt idx="13" formatCode="General">
                  <c:v>0</c:v>
                </c:pt>
                <c:pt idx="14">
                  <c:v>0.25</c:v>
                </c:pt>
                <c:pt idx="15">
                  <c:v>0.25</c:v>
                </c:pt>
                <c:pt idx="16">
                  <c:v>0.25</c:v>
                </c:pt>
                <c:pt idx="17">
                  <c:v>0.25</c:v>
                </c:pt>
                <c:pt idx="18">
                  <c:v>0.25</c:v>
                </c:pt>
                <c:pt idx="20" formatCode="General">
                  <c:v>0</c:v>
                </c:pt>
                <c:pt idx="21">
                  <c:v>0.25</c:v>
                </c:pt>
                <c:pt idx="22">
                  <c:v>0</c:v>
                </c:pt>
                <c:pt idx="23">
                  <c:v>0</c:v>
                </c:pt>
                <c:pt idx="24">
                  <c:v>0.25</c:v>
                </c:pt>
                <c:pt idx="25">
                  <c:v>0</c:v>
                </c:pt>
                <c:pt idx="27" formatCode="General">
                  <c:v>0</c:v>
                </c:pt>
                <c:pt idx="28">
                  <c:v>0.3</c:v>
                </c:pt>
                <c:pt idx="29">
                  <c:v>0</c:v>
                </c:pt>
                <c:pt idx="30">
                  <c:v>0</c:v>
                </c:pt>
                <c:pt idx="31">
                  <c:v>0.3</c:v>
                </c:pt>
                <c:pt idx="32">
                  <c:v>0.1</c:v>
                </c:pt>
              </c:numCache>
            </c:numRef>
          </c:val>
          <c:extLst>
            <c:ext xmlns:c16="http://schemas.microsoft.com/office/drawing/2014/chart" uri="{C3380CC4-5D6E-409C-BE32-E72D297353CC}">
              <c16:uniqueId val="{00000014-9C92-436D-87A0-FC2D01E2570A}"/>
            </c:ext>
          </c:extLst>
        </c:ser>
        <c:ser>
          <c:idx val="2"/>
          <c:order val="2"/>
          <c:tx>
            <c:strRef>
              <c:f>Sheet2!$F$230</c:f>
              <c:strCache>
                <c:ptCount val="1"/>
                <c:pt idx="0">
                  <c:v>Not very well</c:v>
                </c:pt>
              </c:strCache>
            </c:strRef>
          </c:tx>
          <c:spPr>
            <a:solidFill>
              <a:srgbClr val="FC6F6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15-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16-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7-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8-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19-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1A-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Sheet2!$F$231:$F$263</c:f>
              <c:numCache>
                <c:formatCode>0%</c:formatCode>
                <c:ptCount val="33"/>
                <c:pt idx="0">
                  <c:v>0.13</c:v>
                </c:pt>
                <c:pt idx="1">
                  <c:v>0.33</c:v>
                </c:pt>
                <c:pt idx="2">
                  <c:v>0.2</c:v>
                </c:pt>
                <c:pt idx="3">
                  <c:v>0.2</c:v>
                </c:pt>
                <c:pt idx="4">
                  <c:v>0</c:v>
                </c:pt>
                <c:pt idx="6" formatCode="General">
                  <c:v>0</c:v>
                </c:pt>
                <c:pt idx="7">
                  <c:v>0</c:v>
                </c:pt>
                <c:pt idx="8">
                  <c:v>0</c:v>
                </c:pt>
                <c:pt idx="9">
                  <c:v>0.17</c:v>
                </c:pt>
                <c:pt idx="10">
                  <c:v>0</c:v>
                </c:pt>
                <c:pt idx="11">
                  <c:v>0</c:v>
                </c:pt>
                <c:pt idx="13" formatCode="General">
                  <c:v>0</c:v>
                </c:pt>
                <c:pt idx="14">
                  <c:v>0</c:v>
                </c:pt>
                <c:pt idx="15">
                  <c:v>0</c:v>
                </c:pt>
                <c:pt idx="16">
                  <c:v>0</c:v>
                </c:pt>
                <c:pt idx="17">
                  <c:v>0.13</c:v>
                </c:pt>
                <c:pt idx="18">
                  <c:v>0</c:v>
                </c:pt>
                <c:pt idx="20" formatCode="General">
                  <c:v>0</c:v>
                </c:pt>
                <c:pt idx="21">
                  <c:v>0.25</c:v>
                </c:pt>
                <c:pt idx="22">
                  <c:v>0</c:v>
                </c:pt>
                <c:pt idx="23">
                  <c:v>0.25</c:v>
                </c:pt>
                <c:pt idx="24">
                  <c:v>0.25</c:v>
                </c:pt>
                <c:pt idx="25">
                  <c:v>0</c:v>
                </c:pt>
                <c:pt idx="27" formatCode="General">
                  <c:v>0</c:v>
                </c:pt>
                <c:pt idx="28">
                  <c:v>0</c:v>
                </c:pt>
                <c:pt idx="29">
                  <c:v>0</c:v>
                </c:pt>
                <c:pt idx="30">
                  <c:v>0.1</c:v>
                </c:pt>
                <c:pt idx="31">
                  <c:v>0.1</c:v>
                </c:pt>
                <c:pt idx="32">
                  <c:v>0</c:v>
                </c:pt>
              </c:numCache>
            </c:numRef>
          </c:val>
          <c:extLst>
            <c:ext xmlns:c16="http://schemas.microsoft.com/office/drawing/2014/chart" uri="{C3380CC4-5D6E-409C-BE32-E72D297353CC}">
              <c16:uniqueId val="{0000001B-9C92-436D-87A0-FC2D01E2570A}"/>
            </c:ext>
          </c:extLst>
        </c:ser>
        <c:ser>
          <c:idx val="3"/>
          <c:order val="3"/>
          <c:tx>
            <c:strRef>
              <c:f>Sheet2!$G$230</c:f>
              <c:strCache>
                <c:ptCount val="1"/>
                <c:pt idx="0">
                  <c:v>Not at all well</c:v>
                </c:pt>
              </c:strCache>
            </c:strRef>
          </c:tx>
          <c:spPr>
            <a:solidFill>
              <a:srgbClr val="FF000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1C-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1D-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E-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F-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20-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21-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Sheet2!$G$231:$G$263</c:f>
              <c:numCache>
                <c:formatCode>0%</c:formatCode>
                <c:ptCount val="33"/>
                <c:pt idx="0">
                  <c:v>0</c:v>
                </c:pt>
                <c:pt idx="1">
                  <c:v>7.0000000000000007E-2</c:v>
                </c:pt>
                <c:pt idx="2">
                  <c:v>7.0000000000000007E-2</c:v>
                </c:pt>
                <c:pt idx="3">
                  <c:v>7.0000000000000007E-2</c:v>
                </c:pt>
                <c:pt idx="4">
                  <c:v>0</c:v>
                </c:pt>
                <c:pt idx="6" formatCode="General">
                  <c:v>0</c:v>
                </c:pt>
                <c:pt idx="7">
                  <c:v>0</c:v>
                </c:pt>
                <c:pt idx="8">
                  <c:v>0</c:v>
                </c:pt>
                <c:pt idx="9">
                  <c:v>0</c:v>
                </c:pt>
                <c:pt idx="10">
                  <c:v>0</c:v>
                </c:pt>
                <c:pt idx="11">
                  <c:v>0</c:v>
                </c:pt>
                <c:pt idx="13" formatCode="General">
                  <c:v>0</c:v>
                </c:pt>
                <c:pt idx="14">
                  <c:v>0</c:v>
                </c:pt>
                <c:pt idx="15">
                  <c:v>0</c:v>
                </c:pt>
                <c:pt idx="16">
                  <c:v>0.25</c:v>
                </c:pt>
                <c:pt idx="17">
                  <c:v>0.13</c:v>
                </c:pt>
                <c:pt idx="18">
                  <c:v>0</c:v>
                </c:pt>
                <c:pt idx="20" formatCode="General">
                  <c:v>0</c:v>
                </c:pt>
                <c:pt idx="21">
                  <c:v>0</c:v>
                </c:pt>
                <c:pt idx="22">
                  <c:v>0</c:v>
                </c:pt>
                <c:pt idx="23">
                  <c:v>0.25</c:v>
                </c:pt>
                <c:pt idx="24">
                  <c:v>0</c:v>
                </c:pt>
                <c:pt idx="25">
                  <c:v>0</c:v>
                </c:pt>
                <c:pt idx="27" formatCode="General">
                  <c:v>0</c:v>
                </c:pt>
                <c:pt idx="28">
                  <c:v>0</c:v>
                </c:pt>
                <c:pt idx="29">
                  <c:v>0</c:v>
                </c:pt>
                <c:pt idx="30">
                  <c:v>0.1</c:v>
                </c:pt>
                <c:pt idx="31">
                  <c:v>0</c:v>
                </c:pt>
                <c:pt idx="32">
                  <c:v>0</c:v>
                </c:pt>
              </c:numCache>
            </c:numRef>
          </c:val>
          <c:extLst>
            <c:ext xmlns:c16="http://schemas.microsoft.com/office/drawing/2014/chart" uri="{C3380CC4-5D6E-409C-BE32-E72D297353CC}">
              <c16:uniqueId val="{00000022-9C92-436D-87A0-FC2D01E2570A}"/>
            </c:ext>
          </c:extLst>
        </c:ser>
        <c:ser>
          <c:idx val="4"/>
          <c:order val="4"/>
          <c:tx>
            <c:strRef>
              <c:f>Sheet2!$H$230</c:f>
              <c:strCache>
                <c:ptCount val="1"/>
                <c:pt idx="0">
                  <c:v>Unsure</c:v>
                </c:pt>
              </c:strCache>
            </c:strRef>
          </c:tx>
          <c:spPr>
            <a:solidFill>
              <a:schemeClr val="accent5"/>
            </a:solidFill>
            <a:ln>
              <a:noFill/>
            </a:ln>
            <a:effectLst/>
          </c:spPr>
          <c:invertIfNegative val="0"/>
          <c:dLbls>
            <c:dLbl>
              <c:idx val="13"/>
              <c:delete val="1"/>
              <c:extLst>
                <c:ext xmlns:c15="http://schemas.microsoft.com/office/drawing/2012/chart" uri="{CE6537A1-D6FC-4f65-9D91-7224C49458BB}"/>
                <c:ext xmlns:c16="http://schemas.microsoft.com/office/drawing/2014/chart" uri="{C3380CC4-5D6E-409C-BE32-E72D297353CC}">
                  <c16:uniqueId val="{00000023-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Sheet2!$H$231:$H$263</c:f>
              <c:numCache>
                <c:formatCode>0%</c:formatCode>
                <c:ptCount val="33"/>
                <c:pt idx="0">
                  <c:v>0.2</c:v>
                </c:pt>
                <c:pt idx="1">
                  <c:v>0.47</c:v>
                </c:pt>
                <c:pt idx="2">
                  <c:v>0.53</c:v>
                </c:pt>
                <c:pt idx="3">
                  <c:v>0.27</c:v>
                </c:pt>
                <c:pt idx="4">
                  <c:v>0.93</c:v>
                </c:pt>
                <c:pt idx="6" formatCode="General">
                  <c:v>0</c:v>
                </c:pt>
                <c:pt idx="7">
                  <c:v>0.33</c:v>
                </c:pt>
                <c:pt idx="8">
                  <c:v>0.83</c:v>
                </c:pt>
                <c:pt idx="9">
                  <c:v>0.33</c:v>
                </c:pt>
                <c:pt idx="10">
                  <c:v>0.33</c:v>
                </c:pt>
                <c:pt idx="11">
                  <c:v>1</c:v>
                </c:pt>
                <c:pt idx="13" formatCode="General">
                  <c:v>0</c:v>
                </c:pt>
                <c:pt idx="14">
                  <c:v>0.25</c:v>
                </c:pt>
                <c:pt idx="15">
                  <c:v>0.62</c:v>
                </c:pt>
                <c:pt idx="16">
                  <c:v>0.5</c:v>
                </c:pt>
                <c:pt idx="17">
                  <c:v>0.38</c:v>
                </c:pt>
                <c:pt idx="18">
                  <c:v>0.75</c:v>
                </c:pt>
                <c:pt idx="20" formatCode="General">
                  <c:v>0</c:v>
                </c:pt>
                <c:pt idx="21">
                  <c:v>0.25</c:v>
                </c:pt>
                <c:pt idx="22">
                  <c:v>1</c:v>
                </c:pt>
                <c:pt idx="23">
                  <c:v>0.25</c:v>
                </c:pt>
                <c:pt idx="24">
                  <c:v>0.5</c:v>
                </c:pt>
                <c:pt idx="25">
                  <c:v>1</c:v>
                </c:pt>
                <c:pt idx="27" formatCode="General">
                  <c:v>0</c:v>
                </c:pt>
                <c:pt idx="28">
                  <c:v>0.7</c:v>
                </c:pt>
                <c:pt idx="29">
                  <c:v>1</c:v>
                </c:pt>
                <c:pt idx="30">
                  <c:v>0.8</c:v>
                </c:pt>
                <c:pt idx="31">
                  <c:v>0.6</c:v>
                </c:pt>
                <c:pt idx="32">
                  <c:v>0.9</c:v>
                </c:pt>
              </c:numCache>
            </c:numRef>
          </c:val>
          <c:extLst>
            <c:ext xmlns:c16="http://schemas.microsoft.com/office/drawing/2014/chart" uri="{C3380CC4-5D6E-409C-BE32-E72D297353CC}">
              <c16:uniqueId val="{00000024-9C92-436D-87A0-FC2D01E2570A}"/>
            </c:ext>
          </c:extLst>
        </c:ser>
        <c:dLbls>
          <c:showLegendKey val="0"/>
          <c:showVal val="0"/>
          <c:showCatName val="0"/>
          <c:showSerName val="0"/>
          <c:showPercent val="0"/>
          <c:showBubbleSize val="0"/>
        </c:dLbls>
        <c:gapWidth val="182"/>
        <c:overlap val="100"/>
        <c:axId val="634205264"/>
        <c:axId val="634204936"/>
      </c:barChart>
      <c:catAx>
        <c:axId val="6342052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204936"/>
        <c:crosses val="autoZero"/>
        <c:auto val="1"/>
        <c:lblAlgn val="ctr"/>
        <c:lblOffset val="100"/>
        <c:noMultiLvlLbl val="0"/>
      </c:catAx>
      <c:valAx>
        <c:axId val="63420493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20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In your opinion, how relevant have National Contact Points (NCPs) been in facilitating networking and cooperation between stakeholders and NCPs in other countries?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15AF-453C-8805-B4027C13B7B2}"/>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15AF-453C-8805-B4027C13B7B2}"/>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15AF-453C-8805-B4027C13B7B2}"/>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15AF-453C-8805-B4027C13B7B2}"/>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15AF-453C-8805-B4027C13B7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Answer'!$A$408:$A$412</c:f>
              <c:strCache>
                <c:ptCount val="5"/>
                <c:pt idx="0">
                  <c:v>Very relevant</c:v>
                </c:pt>
                <c:pt idx="1">
                  <c:v>Moderately relevant</c:v>
                </c:pt>
                <c:pt idx="2">
                  <c:v>Not very relevant</c:v>
                </c:pt>
                <c:pt idx="3">
                  <c:v>Not at all relevant</c:v>
                </c:pt>
                <c:pt idx="4">
                  <c:v>Unsure</c:v>
                </c:pt>
              </c:strCache>
            </c:strRef>
          </c:cat>
          <c:val>
            <c:numRef>
              <c:f>'Graphs Answer'!$B$408:$B$412</c:f>
              <c:numCache>
                <c:formatCode>0%</c:formatCode>
                <c:ptCount val="5"/>
                <c:pt idx="0">
                  <c:v>0.18604651162790697</c:v>
                </c:pt>
                <c:pt idx="1">
                  <c:v>0.23255813953488372</c:v>
                </c:pt>
                <c:pt idx="2">
                  <c:v>0.2558139534883721</c:v>
                </c:pt>
                <c:pt idx="3">
                  <c:v>0.11627906976744186</c:v>
                </c:pt>
                <c:pt idx="4">
                  <c:v>0.20930232558139536</c:v>
                </c:pt>
              </c:numCache>
            </c:numRef>
          </c:val>
          <c:extLst>
            <c:ext xmlns:c16="http://schemas.microsoft.com/office/drawing/2014/chart" uri="{C3380CC4-5D6E-409C-BE32-E72D297353CC}">
              <c16:uniqueId val="{0000000A-15AF-453C-8805-B4027C13B7B2}"/>
            </c:ext>
          </c:extLst>
        </c:ser>
        <c:dLbls>
          <c:showLegendKey val="0"/>
          <c:showVal val="0"/>
          <c:showCatName val="0"/>
          <c:showSerName val="0"/>
          <c:showPercent val="0"/>
          <c:showBubbleSize val="0"/>
        </c:dLbls>
        <c:gapWidth val="100"/>
        <c:axId val="713644016"/>
        <c:axId val="713642048"/>
      </c:barChart>
      <c:catAx>
        <c:axId val="713644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42048"/>
        <c:crosses val="autoZero"/>
        <c:auto val="1"/>
        <c:lblAlgn val="ctr"/>
        <c:lblOffset val="100"/>
        <c:noMultiLvlLbl val="0"/>
      </c:catAx>
      <c:valAx>
        <c:axId val="713642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6440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How good has the general communication and information on the Digital Europe Programme been?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Answer'!$B$427</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Answer'!$B$428:$B$429</c:f>
              <c:numCache>
                <c:formatCode>0%</c:formatCode>
                <c:ptCount val="2"/>
                <c:pt idx="0">
                  <c:v>0.21</c:v>
                </c:pt>
                <c:pt idx="1">
                  <c:v>0.12</c:v>
                </c:pt>
              </c:numCache>
            </c:numRef>
          </c:val>
          <c:extLst>
            <c:ext xmlns:c16="http://schemas.microsoft.com/office/drawing/2014/chart" uri="{C3380CC4-5D6E-409C-BE32-E72D297353CC}">
              <c16:uniqueId val="{00000000-55B7-4B5A-8F35-5018A0C17BF5}"/>
            </c:ext>
          </c:extLst>
        </c:ser>
        <c:ser>
          <c:idx val="1"/>
          <c:order val="1"/>
          <c:tx>
            <c:strRef>
              <c:f>'Graphs Answer'!$C$427</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Answer'!$C$428:$C$429</c:f>
              <c:numCache>
                <c:formatCode>0%</c:formatCode>
                <c:ptCount val="2"/>
                <c:pt idx="0">
                  <c:v>0.49</c:v>
                </c:pt>
                <c:pt idx="1">
                  <c:v>0.28000000000000003</c:v>
                </c:pt>
              </c:numCache>
            </c:numRef>
          </c:val>
          <c:extLst>
            <c:ext xmlns:c16="http://schemas.microsoft.com/office/drawing/2014/chart" uri="{C3380CC4-5D6E-409C-BE32-E72D297353CC}">
              <c16:uniqueId val="{00000001-55B7-4B5A-8F35-5018A0C17BF5}"/>
            </c:ext>
          </c:extLst>
        </c:ser>
        <c:ser>
          <c:idx val="2"/>
          <c:order val="2"/>
          <c:tx>
            <c:strRef>
              <c:f>'Graphs Answer'!$D$427</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Answer'!$D$428:$D$429</c:f>
              <c:numCache>
                <c:formatCode>0%</c:formatCode>
                <c:ptCount val="2"/>
                <c:pt idx="0">
                  <c:v>0.09</c:v>
                </c:pt>
                <c:pt idx="1">
                  <c:v>0.35</c:v>
                </c:pt>
              </c:numCache>
            </c:numRef>
          </c:val>
          <c:extLst>
            <c:ext xmlns:c16="http://schemas.microsoft.com/office/drawing/2014/chart" uri="{C3380CC4-5D6E-409C-BE32-E72D297353CC}">
              <c16:uniqueId val="{00000002-55B7-4B5A-8F35-5018A0C17BF5}"/>
            </c:ext>
          </c:extLst>
        </c:ser>
        <c:ser>
          <c:idx val="3"/>
          <c:order val="3"/>
          <c:tx>
            <c:strRef>
              <c:f>'Graphs Answer'!$E$427</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Answer'!$E$428:$E$429</c:f>
              <c:numCache>
                <c:formatCode>0%</c:formatCode>
                <c:ptCount val="2"/>
                <c:pt idx="0">
                  <c:v>0.02</c:v>
                </c:pt>
                <c:pt idx="1">
                  <c:v>0.19</c:v>
                </c:pt>
              </c:numCache>
            </c:numRef>
          </c:val>
          <c:extLst>
            <c:ext xmlns:c16="http://schemas.microsoft.com/office/drawing/2014/chart" uri="{C3380CC4-5D6E-409C-BE32-E72D297353CC}">
              <c16:uniqueId val="{00000003-55B7-4B5A-8F35-5018A0C17BF5}"/>
            </c:ext>
          </c:extLst>
        </c:ser>
        <c:ser>
          <c:idx val="4"/>
          <c:order val="4"/>
          <c:tx>
            <c:strRef>
              <c:f>'Graphs Answer'!$F$427</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Answer'!$F$428:$F$429</c:f>
              <c:numCache>
                <c:formatCode>0%</c:formatCode>
                <c:ptCount val="2"/>
                <c:pt idx="0">
                  <c:v>0.19</c:v>
                </c:pt>
                <c:pt idx="1">
                  <c:v>7.0000000000000007E-2</c:v>
                </c:pt>
              </c:numCache>
            </c:numRef>
          </c:val>
          <c:extLst>
            <c:ext xmlns:c16="http://schemas.microsoft.com/office/drawing/2014/chart" uri="{C3380CC4-5D6E-409C-BE32-E72D297353CC}">
              <c16:uniqueId val="{00000004-55B7-4B5A-8F35-5018A0C17BF5}"/>
            </c:ext>
          </c:extLst>
        </c:ser>
        <c:dLbls>
          <c:showLegendKey val="0"/>
          <c:showVal val="0"/>
          <c:showCatName val="0"/>
          <c:showSerName val="0"/>
          <c:showPercent val="0"/>
          <c:showBubbleSize val="0"/>
        </c:dLbls>
        <c:gapWidth val="150"/>
        <c:overlap val="100"/>
        <c:axId val="785097672"/>
        <c:axId val="785098328"/>
      </c:barChart>
      <c:catAx>
        <c:axId val="785097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098328"/>
        <c:crosses val="autoZero"/>
        <c:auto val="1"/>
        <c:lblAlgn val="ctr"/>
        <c:lblOffset val="100"/>
        <c:noMultiLvlLbl val="0"/>
      </c:catAx>
      <c:valAx>
        <c:axId val="785098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097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How good has the general communication and information on the Digital Europe Programme been?</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Sheet2!$D$271</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Sheet2!$D$272:$D$289</c:f>
              <c:numCache>
                <c:formatCode>0%</c:formatCode>
                <c:ptCount val="18"/>
                <c:pt idx="0">
                  <c:v>0.13</c:v>
                </c:pt>
                <c:pt idx="1">
                  <c:v>0.2</c:v>
                </c:pt>
                <c:pt idx="3" formatCode="General">
                  <c:v>0</c:v>
                </c:pt>
                <c:pt idx="4">
                  <c:v>0.33</c:v>
                </c:pt>
                <c:pt idx="5">
                  <c:v>0</c:v>
                </c:pt>
                <c:pt idx="7" formatCode="General">
                  <c:v>0</c:v>
                </c:pt>
                <c:pt idx="8">
                  <c:v>0.25</c:v>
                </c:pt>
                <c:pt idx="9">
                  <c:v>0.13</c:v>
                </c:pt>
                <c:pt idx="11" formatCode="General">
                  <c:v>0</c:v>
                </c:pt>
                <c:pt idx="12">
                  <c:v>0</c:v>
                </c:pt>
                <c:pt idx="13">
                  <c:v>0</c:v>
                </c:pt>
                <c:pt idx="15" formatCode="General">
                  <c:v>0</c:v>
                </c:pt>
                <c:pt idx="16">
                  <c:v>0.3</c:v>
                </c:pt>
                <c:pt idx="17">
                  <c:v>0.1</c:v>
                </c:pt>
              </c:numCache>
            </c:numRef>
          </c:val>
          <c:extLst>
            <c:ext xmlns:c16="http://schemas.microsoft.com/office/drawing/2014/chart" uri="{C3380CC4-5D6E-409C-BE32-E72D297353CC}">
              <c16:uniqueId val="{00000000-F35F-4EB9-9286-DE7B0E56CED1}"/>
            </c:ext>
          </c:extLst>
        </c:ser>
        <c:ser>
          <c:idx val="1"/>
          <c:order val="1"/>
          <c:tx>
            <c:strRef>
              <c:f>Sheet2!$E$271</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Sheet2!$E$272:$E$289</c:f>
              <c:numCache>
                <c:formatCode>0%</c:formatCode>
                <c:ptCount val="18"/>
                <c:pt idx="0">
                  <c:v>0.67</c:v>
                </c:pt>
                <c:pt idx="1">
                  <c:v>0.33</c:v>
                </c:pt>
                <c:pt idx="3" formatCode="General">
                  <c:v>0</c:v>
                </c:pt>
                <c:pt idx="4">
                  <c:v>0.33</c:v>
                </c:pt>
                <c:pt idx="5">
                  <c:v>0.33</c:v>
                </c:pt>
                <c:pt idx="7" formatCode="General">
                  <c:v>0</c:v>
                </c:pt>
                <c:pt idx="8">
                  <c:v>0.62</c:v>
                </c:pt>
                <c:pt idx="9">
                  <c:v>0.25</c:v>
                </c:pt>
                <c:pt idx="11" formatCode="General">
                  <c:v>0</c:v>
                </c:pt>
                <c:pt idx="12">
                  <c:v>0.5</c:v>
                </c:pt>
                <c:pt idx="13">
                  <c:v>0</c:v>
                </c:pt>
                <c:pt idx="15" formatCode="General">
                  <c:v>0</c:v>
                </c:pt>
                <c:pt idx="16">
                  <c:v>0.2</c:v>
                </c:pt>
                <c:pt idx="17">
                  <c:v>0.3</c:v>
                </c:pt>
              </c:numCache>
            </c:numRef>
          </c:val>
          <c:extLst>
            <c:ext xmlns:c16="http://schemas.microsoft.com/office/drawing/2014/chart" uri="{C3380CC4-5D6E-409C-BE32-E72D297353CC}">
              <c16:uniqueId val="{00000001-F35F-4EB9-9286-DE7B0E56CED1}"/>
            </c:ext>
          </c:extLst>
        </c:ser>
        <c:ser>
          <c:idx val="2"/>
          <c:order val="2"/>
          <c:tx>
            <c:strRef>
              <c:f>Sheet2!$F$271</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Sheet2!$F$272:$F$289</c:f>
              <c:numCache>
                <c:formatCode>0%</c:formatCode>
                <c:ptCount val="18"/>
                <c:pt idx="0">
                  <c:v>0</c:v>
                </c:pt>
                <c:pt idx="1">
                  <c:v>0.4</c:v>
                </c:pt>
                <c:pt idx="3" formatCode="General">
                  <c:v>0</c:v>
                </c:pt>
                <c:pt idx="4">
                  <c:v>0.17</c:v>
                </c:pt>
                <c:pt idx="5">
                  <c:v>0.17</c:v>
                </c:pt>
                <c:pt idx="7" formatCode="General">
                  <c:v>0</c:v>
                </c:pt>
                <c:pt idx="8">
                  <c:v>0.13</c:v>
                </c:pt>
                <c:pt idx="9">
                  <c:v>0.5</c:v>
                </c:pt>
                <c:pt idx="11" formatCode="General">
                  <c:v>0</c:v>
                </c:pt>
                <c:pt idx="12">
                  <c:v>0.25</c:v>
                </c:pt>
                <c:pt idx="13">
                  <c:v>0.75</c:v>
                </c:pt>
                <c:pt idx="15" formatCode="General">
                  <c:v>0</c:v>
                </c:pt>
                <c:pt idx="16">
                  <c:v>0.1</c:v>
                </c:pt>
                <c:pt idx="17">
                  <c:v>0.1</c:v>
                </c:pt>
              </c:numCache>
            </c:numRef>
          </c:val>
          <c:extLst>
            <c:ext xmlns:c16="http://schemas.microsoft.com/office/drawing/2014/chart" uri="{C3380CC4-5D6E-409C-BE32-E72D297353CC}">
              <c16:uniqueId val="{00000002-F35F-4EB9-9286-DE7B0E56CED1}"/>
            </c:ext>
          </c:extLst>
        </c:ser>
        <c:ser>
          <c:idx val="3"/>
          <c:order val="3"/>
          <c:tx>
            <c:strRef>
              <c:f>Sheet2!$G$271</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Sheet2!$G$272:$G$289</c:f>
              <c:numCache>
                <c:formatCode>0%</c:formatCode>
                <c:ptCount val="18"/>
                <c:pt idx="0">
                  <c:v>0</c:v>
                </c:pt>
                <c:pt idx="1">
                  <c:v>7.0000000000000007E-2</c:v>
                </c:pt>
                <c:pt idx="3" formatCode="General">
                  <c:v>0</c:v>
                </c:pt>
                <c:pt idx="4">
                  <c:v>0</c:v>
                </c:pt>
                <c:pt idx="5">
                  <c:v>0.33</c:v>
                </c:pt>
                <c:pt idx="7" formatCode="General">
                  <c:v>0</c:v>
                </c:pt>
                <c:pt idx="8">
                  <c:v>0</c:v>
                </c:pt>
                <c:pt idx="9">
                  <c:v>0.13</c:v>
                </c:pt>
                <c:pt idx="11" formatCode="General">
                  <c:v>0</c:v>
                </c:pt>
                <c:pt idx="12">
                  <c:v>0</c:v>
                </c:pt>
                <c:pt idx="13">
                  <c:v>0.25</c:v>
                </c:pt>
                <c:pt idx="15" formatCode="General">
                  <c:v>0</c:v>
                </c:pt>
                <c:pt idx="16">
                  <c:v>0.1</c:v>
                </c:pt>
                <c:pt idx="17">
                  <c:v>0.3</c:v>
                </c:pt>
              </c:numCache>
            </c:numRef>
          </c:val>
          <c:extLst>
            <c:ext xmlns:c16="http://schemas.microsoft.com/office/drawing/2014/chart" uri="{C3380CC4-5D6E-409C-BE32-E72D297353CC}">
              <c16:uniqueId val="{00000003-F35F-4EB9-9286-DE7B0E56CED1}"/>
            </c:ext>
          </c:extLst>
        </c:ser>
        <c:ser>
          <c:idx val="4"/>
          <c:order val="4"/>
          <c:tx>
            <c:strRef>
              <c:f>Sheet2!$H$271</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Sheet2!$H$272:$H$289</c:f>
              <c:numCache>
                <c:formatCode>0%</c:formatCode>
                <c:ptCount val="18"/>
                <c:pt idx="0">
                  <c:v>0.2</c:v>
                </c:pt>
                <c:pt idx="1">
                  <c:v>0</c:v>
                </c:pt>
                <c:pt idx="3" formatCode="General">
                  <c:v>0</c:v>
                </c:pt>
                <c:pt idx="4">
                  <c:v>0.17</c:v>
                </c:pt>
                <c:pt idx="5">
                  <c:v>0.17</c:v>
                </c:pt>
                <c:pt idx="7" formatCode="General">
                  <c:v>0</c:v>
                </c:pt>
                <c:pt idx="8">
                  <c:v>0</c:v>
                </c:pt>
                <c:pt idx="9">
                  <c:v>0</c:v>
                </c:pt>
                <c:pt idx="11" formatCode="General">
                  <c:v>0</c:v>
                </c:pt>
                <c:pt idx="12">
                  <c:v>0.25</c:v>
                </c:pt>
                <c:pt idx="13">
                  <c:v>0</c:v>
                </c:pt>
                <c:pt idx="15" formatCode="General">
                  <c:v>0</c:v>
                </c:pt>
                <c:pt idx="16">
                  <c:v>0.3</c:v>
                </c:pt>
                <c:pt idx="17">
                  <c:v>0.2</c:v>
                </c:pt>
              </c:numCache>
            </c:numRef>
          </c:val>
          <c:extLst>
            <c:ext xmlns:c16="http://schemas.microsoft.com/office/drawing/2014/chart" uri="{C3380CC4-5D6E-409C-BE32-E72D297353CC}">
              <c16:uniqueId val="{00000004-F35F-4EB9-9286-DE7B0E56CED1}"/>
            </c:ext>
          </c:extLst>
        </c:ser>
        <c:dLbls>
          <c:showLegendKey val="0"/>
          <c:showVal val="0"/>
          <c:showCatName val="0"/>
          <c:showSerName val="0"/>
          <c:showPercent val="0"/>
          <c:showBubbleSize val="0"/>
        </c:dLbls>
        <c:gapWidth val="55"/>
        <c:overlap val="100"/>
        <c:axId val="889131416"/>
        <c:axId val="889133712"/>
      </c:barChart>
      <c:catAx>
        <c:axId val="8891314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133712"/>
        <c:crosses val="autoZero"/>
        <c:auto val="1"/>
        <c:lblAlgn val="ctr"/>
        <c:lblOffset val="100"/>
        <c:noMultiLvlLbl val="0"/>
      </c:catAx>
      <c:valAx>
        <c:axId val="88913371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131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How do you rate communication and information on the Digital Europe Programme's key capacity areas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Answer'!$B$445</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Answer'!$B$446:$B$450</c:f>
              <c:numCache>
                <c:formatCode>0%</c:formatCode>
                <c:ptCount val="5"/>
                <c:pt idx="0">
                  <c:v>0.02</c:v>
                </c:pt>
                <c:pt idx="1">
                  <c:v>0.14000000000000001</c:v>
                </c:pt>
                <c:pt idx="2">
                  <c:v>0.16</c:v>
                </c:pt>
                <c:pt idx="3">
                  <c:v>0.05</c:v>
                </c:pt>
                <c:pt idx="4">
                  <c:v>0.14000000000000001</c:v>
                </c:pt>
              </c:numCache>
            </c:numRef>
          </c:val>
          <c:extLst>
            <c:ext xmlns:c16="http://schemas.microsoft.com/office/drawing/2014/chart" uri="{C3380CC4-5D6E-409C-BE32-E72D297353CC}">
              <c16:uniqueId val="{00000000-4F13-44AB-90FA-DA7A2136D32D}"/>
            </c:ext>
          </c:extLst>
        </c:ser>
        <c:ser>
          <c:idx val="1"/>
          <c:order val="1"/>
          <c:tx>
            <c:strRef>
              <c:f>'Graphs Answer'!$C$445</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Answer'!$C$446:$C$450</c:f>
              <c:numCache>
                <c:formatCode>0%</c:formatCode>
                <c:ptCount val="5"/>
                <c:pt idx="0">
                  <c:v>0.35</c:v>
                </c:pt>
                <c:pt idx="1">
                  <c:v>0.33</c:v>
                </c:pt>
                <c:pt idx="2">
                  <c:v>0.33</c:v>
                </c:pt>
                <c:pt idx="3">
                  <c:v>0.35</c:v>
                </c:pt>
                <c:pt idx="4">
                  <c:v>0.33</c:v>
                </c:pt>
              </c:numCache>
            </c:numRef>
          </c:val>
          <c:extLst>
            <c:ext xmlns:c16="http://schemas.microsoft.com/office/drawing/2014/chart" uri="{C3380CC4-5D6E-409C-BE32-E72D297353CC}">
              <c16:uniqueId val="{00000001-4F13-44AB-90FA-DA7A2136D32D}"/>
            </c:ext>
          </c:extLst>
        </c:ser>
        <c:ser>
          <c:idx val="2"/>
          <c:order val="2"/>
          <c:tx>
            <c:strRef>
              <c:f>'Graphs Answer'!$D$445</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Answer'!$D$446:$D$450</c:f>
              <c:numCache>
                <c:formatCode>0%</c:formatCode>
                <c:ptCount val="5"/>
                <c:pt idx="0">
                  <c:v>0.21</c:v>
                </c:pt>
                <c:pt idx="1">
                  <c:v>0.26</c:v>
                </c:pt>
                <c:pt idx="2">
                  <c:v>0.28000000000000003</c:v>
                </c:pt>
                <c:pt idx="3">
                  <c:v>0.28000000000000003</c:v>
                </c:pt>
                <c:pt idx="4">
                  <c:v>0.21</c:v>
                </c:pt>
              </c:numCache>
            </c:numRef>
          </c:val>
          <c:extLst>
            <c:ext xmlns:c16="http://schemas.microsoft.com/office/drawing/2014/chart" uri="{C3380CC4-5D6E-409C-BE32-E72D297353CC}">
              <c16:uniqueId val="{00000002-4F13-44AB-90FA-DA7A2136D32D}"/>
            </c:ext>
          </c:extLst>
        </c:ser>
        <c:ser>
          <c:idx val="3"/>
          <c:order val="3"/>
          <c:tx>
            <c:strRef>
              <c:f>'Graphs Answer'!$E$445</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Answer'!$E$446:$E$450</c:f>
              <c:numCache>
                <c:formatCode>0%</c:formatCode>
                <c:ptCount val="5"/>
                <c:pt idx="0">
                  <c:v>0.19</c:v>
                </c:pt>
                <c:pt idx="1">
                  <c:v>0.12</c:v>
                </c:pt>
                <c:pt idx="2">
                  <c:v>0.09</c:v>
                </c:pt>
                <c:pt idx="3">
                  <c:v>0.14000000000000001</c:v>
                </c:pt>
                <c:pt idx="4">
                  <c:v>0.19</c:v>
                </c:pt>
              </c:numCache>
            </c:numRef>
          </c:val>
          <c:extLst>
            <c:ext xmlns:c16="http://schemas.microsoft.com/office/drawing/2014/chart" uri="{C3380CC4-5D6E-409C-BE32-E72D297353CC}">
              <c16:uniqueId val="{00000003-4F13-44AB-90FA-DA7A2136D32D}"/>
            </c:ext>
          </c:extLst>
        </c:ser>
        <c:ser>
          <c:idx val="4"/>
          <c:order val="4"/>
          <c:tx>
            <c:strRef>
              <c:f>'Graphs Answer'!$F$445</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Answer'!$F$446:$F$450</c:f>
              <c:numCache>
                <c:formatCode>0%</c:formatCode>
                <c:ptCount val="5"/>
                <c:pt idx="0">
                  <c:v>0.23</c:v>
                </c:pt>
                <c:pt idx="1">
                  <c:v>0.16</c:v>
                </c:pt>
                <c:pt idx="2">
                  <c:v>0.14000000000000001</c:v>
                </c:pt>
                <c:pt idx="3">
                  <c:v>0.19</c:v>
                </c:pt>
                <c:pt idx="4">
                  <c:v>0.14000000000000001</c:v>
                </c:pt>
              </c:numCache>
            </c:numRef>
          </c:val>
          <c:extLst>
            <c:ext xmlns:c16="http://schemas.microsoft.com/office/drawing/2014/chart" uri="{C3380CC4-5D6E-409C-BE32-E72D297353CC}">
              <c16:uniqueId val="{00000004-4F13-44AB-90FA-DA7A2136D32D}"/>
            </c:ext>
          </c:extLst>
        </c:ser>
        <c:dLbls>
          <c:showLegendKey val="0"/>
          <c:showVal val="0"/>
          <c:showCatName val="0"/>
          <c:showSerName val="0"/>
          <c:showPercent val="0"/>
          <c:showBubbleSize val="0"/>
        </c:dLbls>
        <c:gapWidth val="150"/>
        <c:overlap val="100"/>
        <c:axId val="780222000"/>
        <c:axId val="780220688"/>
      </c:barChart>
      <c:catAx>
        <c:axId val="780222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20688"/>
        <c:crosses val="autoZero"/>
        <c:auto val="1"/>
        <c:lblAlgn val="ctr"/>
        <c:lblOffset val="100"/>
        <c:noMultiLvlLbl val="0"/>
      </c:catAx>
      <c:valAx>
        <c:axId val="78022068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2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In your opinion, how effective have the Digital Europe Programme activities been in shaping the digital transformation of Europe’s society and economy so far?</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Sheet2!$C$4</c:f>
              <c:strCache>
                <c:ptCount val="1"/>
                <c:pt idx="0">
                  <c:v>Very effective</c:v>
                </c:pt>
              </c:strCache>
            </c:strRef>
          </c:tx>
          <c:spPr>
            <a:solidFill>
              <a:schemeClr val="accent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49A7-4344-9BAB-052F72E818F7}"/>
                </c:ext>
              </c:extLst>
            </c:dLbl>
            <c:dLbl>
              <c:idx val="2"/>
              <c:delete val="1"/>
              <c:extLst>
                <c:ext xmlns:c15="http://schemas.microsoft.com/office/drawing/2012/chart" uri="{CE6537A1-D6FC-4f65-9D91-7224C49458BB}"/>
                <c:ext xmlns:c16="http://schemas.microsoft.com/office/drawing/2014/chart" uri="{C3380CC4-5D6E-409C-BE32-E72D297353CC}">
                  <c16:uniqueId val="{00000001-49A7-4344-9BAB-052F72E818F7}"/>
                </c:ext>
              </c:extLst>
            </c:dLbl>
            <c:dLbl>
              <c:idx val="3"/>
              <c:delete val="1"/>
              <c:extLst>
                <c:ext xmlns:c15="http://schemas.microsoft.com/office/drawing/2012/chart" uri="{CE6537A1-D6FC-4f65-9D91-7224C49458BB}"/>
                <c:ext xmlns:c16="http://schemas.microsoft.com/office/drawing/2014/chart" uri="{C3380CC4-5D6E-409C-BE32-E72D297353CC}">
                  <c16:uniqueId val="{00000002-49A7-4344-9BAB-052F72E818F7}"/>
                </c:ext>
              </c:extLst>
            </c:dLbl>
            <c:dLbl>
              <c:idx val="4"/>
              <c:delete val="1"/>
              <c:extLst>
                <c:ext xmlns:c15="http://schemas.microsoft.com/office/drawing/2012/chart" uri="{CE6537A1-D6FC-4f65-9D91-7224C49458BB}"/>
                <c:ext xmlns:c16="http://schemas.microsoft.com/office/drawing/2014/chart" uri="{C3380CC4-5D6E-409C-BE32-E72D297353CC}">
                  <c16:uniqueId val="{00000003-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Sheet2!$C$5:$C$9</c:f>
              <c:numCache>
                <c:formatCode>0%</c:formatCode>
                <c:ptCount val="5"/>
                <c:pt idx="0">
                  <c:v>0.13</c:v>
                </c:pt>
                <c:pt idx="1">
                  <c:v>0</c:v>
                </c:pt>
                <c:pt idx="2">
                  <c:v>0</c:v>
                </c:pt>
                <c:pt idx="3">
                  <c:v>0</c:v>
                </c:pt>
                <c:pt idx="4">
                  <c:v>0</c:v>
                </c:pt>
              </c:numCache>
            </c:numRef>
          </c:val>
          <c:extLst>
            <c:ext xmlns:c16="http://schemas.microsoft.com/office/drawing/2014/chart" uri="{C3380CC4-5D6E-409C-BE32-E72D297353CC}">
              <c16:uniqueId val="{00000004-49A7-4344-9BAB-052F72E818F7}"/>
            </c:ext>
          </c:extLst>
        </c:ser>
        <c:ser>
          <c:idx val="1"/>
          <c:order val="1"/>
          <c:tx>
            <c:strRef>
              <c:f>Sheet2!$D$4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Sheet2!$D$5:$D$9</c:f>
              <c:numCache>
                <c:formatCode>0%</c:formatCode>
                <c:ptCount val="5"/>
                <c:pt idx="0">
                  <c:v>0.73</c:v>
                </c:pt>
                <c:pt idx="1">
                  <c:v>0.33</c:v>
                </c:pt>
                <c:pt idx="2">
                  <c:v>0.63</c:v>
                </c:pt>
                <c:pt idx="3">
                  <c:v>0.5</c:v>
                </c:pt>
                <c:pt idx="4">
                  <c:v>0.5</c:v>
                </c:pt>
              </c:numCache>
            </c:numRef>
          </c:val>
          <c:extLst>
            <c:ext xmlns:c16="http://schemas.microsoft.com/office/drawing/2014/chart" uri="{C3380CC4-5D6E-409C-BE32-E72D297353CC}">
              <c16:uniqueId val="{00000005-49A7-4344-9BAB-052F72E818F7}"/>
            </c:ext>
          </c:extLst>
        </c:ser>
        <c:ser>
          <c:idx val="2"/>
          <c:order val="2"/>
          <c:tx>
            <c:strRef>
              <c:f>Sheet2!$E$4</c:f>
              <c:strCache>
                <c:ptCount val="1"/>
                <c:pt idx="0">
                  <c:v>Not very effective</c:v>
                </c:pt>
              </c:strCache>
            </c:strRef>
          </c:tx>
          <c:spPr>
            <a:solidFill>
              <a:srgbClr val="FC6F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49A7-4344-9BAB-052F72E818F7}"/>
                </c:ext>
              </c:extLst>
            </c:dLbl>
            <c:dLbl>
              <c:idx val="1"/>
              <c:delete val="1"/>
              <c:extLst>
                <c:ext xmlns:c15="http://schemas.microsoft.com/office/drawing/2012/chart" uri="{CE6537A1-D6FC-4f65-9D91-7224C49458BB}"/>
                <c:ext xmlns:c16="http://schemas.microsoft.com/office/drawing/2014/chart" uri="{C3380CC4-5D6E-409C-BE32-E72D297353CC}">
                  <c16:uniqueId val="{00000007-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Sheet2!$E$5:$E$9</c:f>
              <c:numCache>
                <c:formatCode>0%</c:formatCode>
                <c:ptCount val="5"/>
                <c:pt idx="0">
                  <c:v>0</c:v>
                </c:pt>
                <c:pt idx="1">
                  <c:v>0</c:v>
                </c:pt>
                <c:pt idx="2">
                  <c:v>0.13</c:v>
                </c:pt>
                <c:pt idx="3">
                  <c:v>0.5</c:v>
                </c:pt>
                <c:pt idx="4">
                  <c:v>0.1</c:v>
                </c:pt>
              </c:numCache>
            </c:numRef>
          </c:val>
          <c:extLst>
            <c:ext xmlns:c16="http://schemas.microsoft.com/office/drawing/2014/chart" uri="{C3380CC4-5D6E-409C-BE32-E72D297353CC}">
              <c16:uniqueId val="{00000008-49A7-4344-9BAB-052F72E818F7}"/>
            </c:ext>
          </c:extLst>
        </c:ser>
        <c:ser>
          <c:idx val="3"/>
          <c:order val="3"/>
          <c:tx>
            <c:strRef>
              <c:f>Sheet2!$F$4</c:f>
              <c:strCache>
                <c:ptCount val="1"/>
                <c:pt idx="0">
                  <c:v>Not at all effective</c:v>
                </c:pt>
              </c:strCache>
            </c:strRef>
          </c:tx>
          <c:spPr>
            <a:solidFill>
              <a:schemeClr val="accent4"/>
            </a:solidFill>
            <a:ln>
              <a:noFill/>
            </a:ln>
            <a:effectLst/>
          </c:spPr>
          <c:invertIfNegative val="0"/>
          <c:cat>
            <c:strRef>
              <c:f>Sheet2!$B$5:$B$9</c:f>
              <c:strCache>
                <c:ptCount val="5"/>
                <c:pt idx="0">
                  <c:v>Germany</c:v>
                </c:pt>
                <c:pt idx="1">
                  <c:v>Malta</c:v>
                </c:pt>
                <c:pt idx="2">
                  <c:v>Poland</c:v>
                </c:pt>
                <c:pt idx="3">
                  <c:v>Portugal</c:v>
                </c:pt>
                <c:pt idx="4">
                  <c:v>Sweden</c:v>
                </c:pt>
              </c:strCache>
            </c:strRef>
          </c:cat>
          <c:val>
            <c:numRef>
              <c:f>Sheet2!$F$5:$F$9</c:f>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09-49A7-4344-9BAB-052F72E818F7}"/>
            </c:ext>
          </c:extLst>
        </c:ser>
        <c:ser>
          <c:idx val="4"/>
          <c:order val="4"/>
          <c:tx>
            <c:strRef>
              <c:f>Sheet2!$G$4</c:f>
              <c:strCache>
                <c:ptCount val="1"/>
                <c:pt idx="0">
                  <c:v>Unsure</c:v>
                </c:pt>
              </c:strCache>
            </c:strRef>
          </c:tx>
          <c:spPr>
            <a:solidFill>
              <a:schemeClr val="accent5"/>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A-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Sheet2!$G$5:$G$9</c:f>
              <c:numCache>
                <c:formatCode>0%</c:formatCode>
                <c:ptCount val="5"/>
                <c:pt idx="0">
                  <c:v>0.13</c:v>
                </c:pt>
                <c:pt idx="1">
                  <c:v>0.67</c:v>
                </c:pt>
                <c:pt idx="2">
                  <c:v>0.25</c:v>
                </c:pt>
                <c:pt idx="3">
                  <c:v>0</c:v>
                </c:pt>
                <c:pt idx="4">
                  <c:v>0.4</c:v>
                </c:pt>
              </c:numCache>
            </c:numRef>
          </c:val>
          <c:extLst>
            <c:ext xmlns:c16="http://schemas.microsoft.com/office/drawing/2014/chart" uri="{C3380CC4-5D6E-409C-BE32-E72D297353CC}">
              <c16:uniqueId val="{0000000B-49A7-4344-9BAB-052F72E818F7}"/>
            </c:ext>
          </c:extLst>
        </c:ser>
        <c:dLbls>
          <c:showLegendKey val="0"/>
          <c:showVal val="0"/>
          <c:showCatName val="0"/>
          <c:showSerName val="0"/>
          <c:showPercent val="0"/>
          <c:showBubbleSize val="0"/>
        </c:dLbls>
        <c:gapWidth val="150"/>
        <c:overlap val="100"/>
        <c:axId val="637061440"/>
        <c:axId val="634327232"/>
      </c:barChart>
      <c:catAx>
        <c:axId val="6370614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327232"/>
        <c:crosses val="autoZero"/>
        <c:auto val="1"/>
        <c:lblAlgn val="ctr"/>
        <c:lblOffset val="100"/>
        <c:noMultiLvlLbl val="0"/>
      </c:catAx>
      <c:valAx>
        <c:axId val="63432723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06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 How good has the involvement and consultation of the social partners and civil society been during the planning and implementation of Digital Europe Programme activities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500D-4E41-BF33-C73ABBF08043}"/>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500D-4E41-BF33-C73ABBF08043}"/>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500D-4E41-BF33-C73ABBF08043}"/>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500D-4E41-BF33-C73ABBF08043}"/>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500D-4E41-BF33-C73ABBF0804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Answer'!$A$469:$A$473</c:f>
              <c:strCache>
                <c:ptCount val="5"/>
                <c:pt idx="0">
                  <c:v>Very good</c:v>
                </c:pt>
                <c:pt idx="1">
                  <c:v>Moderately good</c:v>
                </c:pt>
                <c:pt idx="2">
                  <c:v>Not very good</c:v>
                </c:pt>
                <c:pt idx="3">
                  <c:v>Not at all good</c:v>
                </c:pt>
                <c:pt idx="4">
                  <c:v>Unsure</c:v>
                </c:pt>
              </c:strCache>
            </c:strRef>
          </c:cat>
          <c:val>
            <c:numRef>
              <c:f>'Graphs Answer'!$B$469:$B$473</c:f>
              <c:numCache>
                <c:formatCode>0%</c:formatCode>
                <c:ptCount val="5"/>
                <c:pt idx="0">
                  <c:v>0.11627906976744186</c:v>
                </c:pt>
                <c:pt idx="1">
                  <c:v>0.16279069767441862</c:v>
                </c:pt>
                <c:pt idx="2">
                  <c:v>0.23255813953488372</c:v>
                </c:pt>
                <c:pt idx="3">
                  <c:v>9.3023255813953487E-2</c:v>
                </c:pt>
                <c:pt idx="4">
                  <c:v>0.39534883720930231</c:v>
                </c:pt>
              </c:numCache>
            </c:numRef>
          </c:val>
          <c:extLst>
            <c:ext xmlns:c16="http://schemas.microsoft.com/office/drawing/2014/chart" uri="{C3380CC4-5D6E-409C-BE32-E72D297353CC}">
              <c16:uniqueId val="{0000000A-500D-4E41-BF33-C73ABBF08043}"/>
            </c:ext>
          </c:extLst>
        </c:ser>
        <c:dLbls>
          <c:showLegendKey val="0"/>
          <c:showVal val="0"/>
          <c:showCatName val="0"/>
          <c:showSerName val="0"/>
          <c:showPercent val="0"/>
          <c:showBubbleSize val="0"/>
        </c:dLbls>
        <c:gapWidth val="100"/>
        <c:axId val="784055216"/>
        <c:axId val="784050624"/>
      </c:barChart>
      <c:catAx>
        <c:axId val="784055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050624"/>
        <c:crosses val="autoZero"/>
        <c:auto val="1"/>
        <c:lblAlgn val="ctr"/>
        <c:lblOffset val="100"/>
        <c:noMultiLvlLbl val="0"/>
      </c:catAx>
      <c:valAx>
        <c:axId val="784050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055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How good has the involvement and consultation of the social partners and civil society been during the planning and implementation of Digital Europe Programme activities in your country?</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Sheet2!$C$306</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Sheet2!$C$307:$C$311</c:f>
              <c:numCache>
                <c:formatCode>0%</c:formatCode>
                <c:ptCount val="5"/>
                <c:pt idx="0">
                  <c:v>0.27</c:v>
                </c:pt>
                <c:pt idx="1">
                  <c:v>0</c:v>
                </c:pt>
                <c:pt idx="2">
                  <c:v>0</c:v>
                </c:pt>
                <c:pt idx="3">
                  <c:v>0</c:v>
                </c:pt>
                <c:pt idx="4">
                  <c:v>0.1</c:v>
                </c:pt>
              </c:numCache>
            </c:numRef>
          </c:val>
          <c:extLst>
            <c:ext xmlns:c16="http://schemas.microsoft.com/office/drawing/2014/chart" uri="{C3380CC4-5D6E-409C-BE32-E72D297353CC}">
              <c16:uniqueId val="{00000000-FE2B-478A-A901-160E8840E3FB}"/>
            </c:ext>
          </c:extLst>
        </c:ser>
        <c:ser>
          <c:idx val="1"/>
          <c:order val="1"/>
          <c:tx>
            <c:strRef>
              <c:f>Sheet2!$D$306</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Sheet2!$D$307:$D$311</c:f>
              <c:numCache>
                <c:formatCode>0%</c:formatCode>
                <c:ptCount val="5"/>
                <c:pt idx="0">
                  <c:v>0.27</c:v>
                </c:pt>
                <c:pt idx="1">
                  <c:v>0</c:v>
                </c:pt>
                <c:pt idx="2">
                  <c:v>0.13</c:v>
                </c:pt>
                <c:pt idx="3">
                  <c:v>0.25</c:v>
                </c:pt>
                <c:pt idx="4">
                  <c:v>0.1</c:v>
                </c:pt>
              </c:numCache>
            </c:numRef>
          </c:val>
          <c:extLst>
            <c:ext xmlns:c16="http://schemas.microsoft.com/office/drawing/2014/chart" uri="{C3380CC4-5D6E-409C-BE32-E72D297353CC}">
              <c16:uniqueId val="{00000001-FE2B-478A-A901-160E8840E3FB}"/>
            </c:ext>
          </c:extLst>
        </c:ser>
        <c:ser>
          <c:idx val="2"/>
          <c:order val="2"/>
          <c:tx>
            <c:strRef>
              <c:f>Sheet2!$E$306</c:f>
              <c:strCache>
                <c:ptCount val="1"/>
                <c:pt idx="0">
                  <c:v>Not very good</c:v>
                </c:pt>
              </c:strCache>
            </c:strRef>
          </c:tx>
          <c:spPr>
            <a:solidFill>
              <a:srgbClr val="FC6F6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2-FE2B-478A-A901-160E8840E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Sheet2!$E$307:$E$311</c:f>
              <c:numCache>
                <c:formatCode>0%</c:formatCode>
                <c:ptCount val="5"/>
                <c:pt idx="0">
                  <c:v>0.2</c:v>
                </c:pt>
                <c:pt idx="1">
                  <c:v>0.17</c:v>
                </c:pt>
                <c:pt idx="2">
                  <c:v>0.5</c:v>
                </c:pt>
                <c:pt idx="3">
                  <c:v>0.5</c:v>
                </c:pt>
                <c:pt idx="4">
                  <c:v>0</c:v>
                </c:pt>
              </c:numCache>
            </c:numRef>
          </c:val>
          <c:extLst>
            <c:ext xmlns:c16="http://schemas.microsoft.com/office/drawing/2014/chart" uri="{C3380CC4-5D6E-409C-BE32-E72D297353CC}">
              <c16:uniqueId val="{00000003-FE2B-478A-A901-160E8840E3FB}"/>
            </c:ext>
          </c:extLst>
        </c:ser>
        <c:ser>
          <c:idx val="3"/>
          <c:order val="3"/>
          <c:tx>
            <c:strRef>
              <c:f>Sheet2!$F$306</c:f>
              <c:strCache>
                <c:ptCount val="1"/>
                <c:pt idx="0">
                  <c:v>Not at all good</c:v>
                </c:pt>
              </c:strCache>
            </c:strRef>
          </c:tx>
          <c:spPr>
            <a:solidFill>
              <a:srgbClr val="FF0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FE2B-478A-A901-160E8840E3FB}"/>
                </c:ext>
              </c:extLst>
            </c:dLbl>
            <c:dLbl>
              <c:idx val="3"/>
              <c:delete val="1"/>
              <c:extLst>
                <c:ext xmlns:c15="http://schemas.microsoft.com/office/drawing/2012/chart" uri="{CE6537A1-D6FC-4f65-9D91-7224C49458BB}"/>
                <c:ext xmlns:c16="http://schemas.microsoft.com/office/drawing/2014/chart" uri="{C3380CC4-5D6E-409C-BE32-E72D297353CC}">
                  <c16:uniqueId val="{00000005-FE2B-478A-A901-160E8840E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Sheet2!$F$307:$F$311</c:f>
              <c:numCache>
                <c:formatCode>0%</c:formatCode>
                <c:ptCount val="5"/>
                <c:pt idx="0">
                  <c:v>7.0000000000000007E-2</c:v>
                </c:pt>
                <c:pt idx="1">
                  <c:v>0</c:v>
                </c:pt>
                <c:pt idx="2">
                  <c:v>0.25</c:v>
                </c:pt>
                <c:pt idx="3">
                  <c:v>0</c:v>
                </c:pt>
                <c:pt idx="4">
                  <c:v>0.1</c:v>
                </c:pt>
              </c:numCache>
            </c:numRef>
          </c:val>
          <c:extLst>
            <c:ext xmlns:c16="http://schemas.microsoft.com/office/drawing/2014/chart" uri="{C3380CC4-5D6E-409C-BE32-E72D297353CC}">
              <c16:uniqueId val="{00000006-FE2B-478A-A901-160E8840E3FB}"/>
            </c:ext>
          </c:extLst>
        </c:ser>
        <c:ser>
          <c:idx val="4"/>
          <c:order val="4"/>
          <c:tx>
            <c:strRef>
              <c:f>Sheet2!$G$306</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Sheet2!$G$307:$G$311</c:f>
              <c:numCache>
                <c:formatCode>0%</c:formatCode>
                <c:ptCount val="5"/>
                <c:pt idx="0">
                  <c:v>0.2</c:v>
                </c:pt>
                <c:pt idx="1">
                  <c:v>0.83</c:v>
                </c:pt>
                <c:pt idx="2">
                  <c:v>0.13</c:v>
                </c:pt>
                <c:pt idx="3">
                  <c:v>0.25</c:v>
                </c:pt>
                <c:pt idx="4">
                  <c:v>0.7</c:v>
                </c:pt>
              </c:numCache>
            </c:numRef>
          </c:val>
          <c:extLst>
            <c:ext xmlns:c16="http://schemas.microsoft.com/office/drawing/2014/chart" uri="{C3380CC4-5D6E-409C-BE32-E72D297353CC}">
              <c16:uniqueId val="{00000007-FE2B-478A-A901-160E8840E3FB}"/>
            </c:ext>
          </c:extLst>
        </c:ser>
        <c:dLbls>
          <c:showLegendKey val="0"/>
          <c:showVal val="0"/>
          <c:showCatName val="0"/>
          <c:showSerName val="0"/>
          <c:showPercent val="0"/>
          <c:showBubbleSize val="0"/>
        </c:dLbls>
        <c:gapWidth val="150"/>
        <c:overlap val="100"/>
        <c:axId val="888017480"/>
        <c:axId val="888009280"/>
      </c:barChart>
      <c:catAx>
        <c:axId val="888017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009280"/>
        <c:crosses val="autoZero"/>
        <c:auto val="1"/>
        <c:lblAlgn val="ctr"/>
        <c:lblOffset val="100"/>
        <c:noMultiLvlLbl val="0"/>
      </c:catAx>
      <c:valAx>
        <c:axId val="8880092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017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 </a:t>
            </a:r>
            <a:r>
              <a:rPr lang="sv-SE" sz="1200"/>
              <a:t>How good was the inclusion of the social partners and civil society organisations in co-designing the measures and activities of the Digital Europe Programme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DEA9-4732-8F10-4DEE883FEF60}"/>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DEA9-4732-8F10-4DEE883FEF60}"/>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DEA9-4732-8F10-4DEE883FEF60}"/>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DEA9-4732-8F10-4DEE883FEF60}"/>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DEA9-4732-8F10-4DEE883FEF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Answer'!$A$490:$A$494</c:f>
              <c:strCache>
                <c:ptCount val="5"/>
                <c:pt idx="0">
                  <c:v>Very good</c:v>
                </c:pt>
                <c:pt idx="1">
                  <c:v>Moderately good</c:v>
                </c:pt>
                <c:pt idx="2">
                  <c:v>Not very good</c:v>
                </c:pt>
                <c:pt idx="3">
                  <c:v>Not at all good</c:v>
                </c:pt>
                <c:pt idx="4">
                  <c:v>Unsure</c:v>
                </c:pt>
              </c:strCache>
            </c:strRef>
          </c:cat>
          <c:val>
            <c:numRef>
              <c:f>'Graphs Answer'!$B$490:$B$494</c:f>
              <c:numCache>
                <c:formatCode>0%</c:formatCode>
                <c:ptCount val="5"/>
                <c:pt idx="0">
                  <c:v>6.9767441860465115E-2</c:v>
                </c:pt>
                <c:pt idx="1">
                  <c:v>0.13953488372093023</c:v>
                </c:pt>
                <c:pt idx="2">
                  <c:v>0.30232558139534882</c:v>
                </c:pt>
                <c:pt idx="3">
                  <c:v>6.9767441860465115E-2</c:v>
                </c:pt>
                <c:pt idx="4">
                  <c:v>0.41860465116279072</c:v>
                </c:pt>
              </c:numCache>
            </c:numRef>
          </c:val>
          <c:extLst>
            <c:ext xmlns:c16="http://schemas.microsoft.com/office/drawing/2014/chart" uri="{C3380CC4-5D6E-409C-BE32-E72D297353CC}">
              <c16:uniqueId val="{0000000A-DEA9-4732-8F10-4DEE883FEF60}"/>
            </c:ext>
          </c:extLst>
        </c:ser>
        <c:dLbls>
          <c:showLegendKey val="0"/>
          <c:showVal val="0"/>
          <c:showCatName val="0"/>
          <c:showSerName val="0"/>
          <c:showPercent val="0"/>
          <c:showBubbleSize val="0"/>
        </c:dLbls>
        <c:gapWidth val="100"/>
        <c:axId val="789240272"/>
        <c:axId val="789234696"/>
      </c:barChart>
      <c:catAx>
        <c:axId val="789240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234696"/>
        <c:crosses val="autoZero"/>
        <c:auto val="1"/>
        <c:lblAlgn val="ctr"/>
        <c:lblOffset val="100"/>
        <c:noMultiLvlLbl val="0"/>
      </c:catAx>
      <c:valAx>
        <c:axId val="789234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240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How good was the information provided to potential and final beneficiaries of actions funded under the Digital Europe Programme?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1DA3-4EE9-8877-E4EDD49C336C}"/>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1DA3-4EE9-8877-E4EDD49C336C}"/>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1DA3-4EE9-8877-E4EDD49C336C}"/>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1DA3-4EE9-8877-E4EDD49C336C}"/>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1DA3-4EE9-8877-E4EDD49C33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Answer'!$A$512:$A$516</c:f>
              <c:strCache>
                <c:ptCount val="5"/>
                <c:pt idx="0">
                  <c:v>Very good</c:v>
                </c:pt>
                <c:pt idx="1">
                  <c:v>Moderately good</c:v>
                </c:pt>
                <c:pt idx="2">
                  <c:v>Not very good</c:v>
                </c:pt>
                <c:pt idx="3">
                  <c:v>Not at all good</c:v>
                </c:pt>
                <c:pt idx="4">
                  <c:v>Unsure</c:v>
                </c:pt>
              </c:strCache>
            </c:strRef>
          </c:cat>
          <c:val>
            <c:numRef>
              <c:f>'Graphs Answer'!$B$512:$B$516</c:f>
              <c:numCache>
                <c:formatCode>0%</c:formatCode>
                <c:ptCount val="5"/>
                <c:pt idx="0">
                  <c:v>9.3023255813953487E-2</c:v>
                </c:pt>
                <c:pt idx="1">
                  <c:v>0.37209302325581395</c:v>
                </c:pt>
                <c:pt idx="2">
                  <c:v>0.23255813953488372</c:v>
                </c:pt>
                <c:pt idx="3">
                  <c:v>0.11627906976744186</c:v>
                </c:pt>
                <c:pt idx="4">
                  <c:v>0.18604651162790697</c:v>
                </c:pt>
              </c:numCache>
            </c:numRef>
          </c:val>
          <c:extLst>
            <c:ext xmlns:c16="http://schemas.microsoft.com/office/drawing/2014/chart" uri="{C3380CC4-5D6E-409C-BE32-E72D297353CC}">
              <c16:uniqueId val="{0000000A-1DA3-4EE9-8877-E4EDD49C336C}"/>
            </c:ext>
          </c:extLst>
        </c:ser>
        <c:dLbls>
          <c:showLegendKey val="0"/>
          <c:showVal val="0"/>
          <c:showCatName val="0"/>
          <c:showSerName val="0"/>
          <c:showPercent val="0"/>
          <c:showBubbleSize val="0"/>
        </c:dLbls>
        <c:gapWidth val="100"/>
        <c:axId val="908115552"/>
        <c:axId val="908114568"/>
      </c:barChart>
      <c:catAx>
        <c:axId val="908115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114568"/>
        <c:crosses val="autoZero"/>
        <c:auto val="1"/>
        <c:lblAlgn val="ctr"/>
        <c:lblOffset val="100"/>
        <c:noMultiLvlLbl val="0"/>
      </c:catAx>
      <c:valAx>
        <c:axId val="908114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81155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400" b="0" i="0" u="none" strike="noStrike">
                <a:effectLst/>
              </a:rPr>
              <a:t>How good was the information provided to potential and final beneficiaries of actions funded under the Digital Europe Programme?</a:t>
            </a:r>
            <a:r>
              <a:rPr lang="sv-SE"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Sheet2!$C$329</c:f>
              <c:strCache>
                <c:ptCount val="1"/>
                <c:pt idx="0">
                  <c:v>Very good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Sheet2!$C$330:$C$333</c:f>
              <c:numCache>
                <c:formatCode>0%</c:formatCode>
                <c:ptCount val="4"/>
                <c:pt idx="0">
                  <c:v>0</c:v>
                </c:pt>
                <c:pt idx="1">
                  <c:v>0.12</c:v>
                </c:pt>
                <c:pt idx="2">
                  <c:v>0.18</c:v>
                </c:pt>
                <c:pt idx="3">
                  <c:v>0</c:v>
                </c:pt>
              </c:numCache>
            </c:numRef>
          </c:val>
          <c:extLst>
            <c:ext xmlns:c16="http://schemas.microsoft.com/office/drawing/2014/chart" uri="{C3380CC4-5D6E-409C-BE32-E72D297353CC}">
              <c16:uniqueId val="{00000000-EC5B-4475-A922-669C10798D72}"/>
            </c:ext>
          </c:extLst>
        </c:ser>
        <c:ser>
          <c:idx val="1"/>
          <c:order val="1"/>
          <c:tx>
            <c:strRef>
              <c:f>Sheet2!$D$329</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Sheet2!$D$330:$D$333</c:f>
              <c:numCache>
                <c:formatCode>0%</c:formatCode>
                <c:ptCount val="4"/>
                <c:pt idx="0">
                  <c:v>0.09</c:v>
                </c:pt>
                <c:pt idx="1">
                  <c:v>0.24</c:v>
                </c:pt>
                <c:pt idx="2">
                  <c:v>0.72</c:v>
                </c:pt>
                <c:pt idx="3">
                  <c:v>0.75</c:v>
                </c:pt>
              </c:numCache>
            </c:numRef>
          </c:val>
          <c:extLst>
            <c:ext xmlns:c16="http://schemas.microsoft.com/office/drawing/2014/chart" uri="{C3380CC4-5D6E-409C-BE32-E72D297353CC}">
              <c16:uniqueId val="{00000001-EC5B-4475-A922-669C10798D72}"/>
            </c:ext>
          </c:extLst>
        </c:ser>
        <c:ser>
          <c:idx val="2"/>
          <c:order val="2"/>
          <c:tx>
            <c:strRef>
              <c:f>Sheet2!$E$329</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Sheet2!$E$330:$E$333</c:f>
              <c:numCache>
                <c:formatCode>0%</c:formatCode>
                <c:ptCount val="4"/>
                <c:pt idx="0">
                  <c:v>0.18</c:v>
                </c:pt>
                <c:pt idx="1">
                  <c:v>0.41</c:v>
                </c:pt>
                <c:pt idx="2">
                  <c:v>0.09</c:v>
                </c:pt>
                <c:pt idx="3">
                  <c:v>0</c:v>
                </c:pt>
              </c:numCache>
            </c:numRef>
          </c:val>
          <c:extLst>
            <c:ext xmlns:c16="http://schemas.microsoft.com/office/drawing/2014/chart" uri="{C3380CC4-5D6E-409C-BE32-E72D297353CC}">
              <c16:uniqueId val="{00000002-EC5B-4475-A922-669C10798D72}"/>
            </c:ext>
          </c:extLst>
        </c:ser>
        <c:ser>
          <c:idx val="3"/>
          <c:order val="3"/>
          <c:tx>
            <c:strRef>
              <c:f>Sheet2!$F$329</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Sheet2!$F$330:$F$333</c:f>
              <c:numCache>
                <c:formatCode>0%</c:formatCode>
                <c:ptCount val="4"/>
                <c:pt idx="0">
                  <c:v>0.36</c:v>
                </c:pt>
                <c:pt idx="1">
                  <c:v>0.06</c:v>
                </c:pt>
                <c:pt idx="2">
                  <c:v>0</c:v>
                </c:pt>
                <c:pt idx="3">
                  <c:v>0</c:v>
                </c:pt>
              </c:numCache>
            </c:numRef>
          </c:val>
          <c:extLst>
            <c:ext xmlns:c16="http://schemas.microsoft.com/office/drawing/2014/chart" uri="{C3380CC4-5D6E-409C-BE32-E72D297353CC}">
              <c16:uniqueId val="{00000003-EC5B-4475-A922-669C10798D72}"/>
            </c:ext>
          </c:extLst>
        </c:ser>
        <c:ser>
          <c:idx val="4"/>
          <c:order val="4"/>
          <c:tx>
            <c:strRef>
              <c:f>Sheet2!$G$329</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Sheet2!$G$330:$G$333</c:f>
              <c:numCache>
                <c:formatCode>0%</c:formatCode>
                <c:ptCount val="4"/>
                <c:pt idx="0">
                  <c:v>0.36</c:v>
                </c:pt>
                <c:pt idx="1">
                  <c:v>0.18</c:v>
                </c:pt>
                <c:pt idx="2">
                  <c:v>0</c:v>
                </c:pt>
                <c:pt idx="3">
                  <c:v>0.25</c:v>
                </c:pt>
              </c:numCache>
            </c:numRef>
          </c:val>
          <c:extLst>
            <c:ext xmlns:c16="http://schemas.microsoft.com/office/drawing/2014/chart" uri="{C3380CC4-5D6E-409C-BE32-E72D297353CC}">
              <c16:uniqueId val="{00000004-EC5B-4475-A922-669C10798D72}"/>
            </c:ext>
          </c:extLst>
        </c:ser>
        <c:dLbls>
          <c:showLegendKey val="0"/>
          <c:showVal val="0"/>
          <c:showCatName val="0"/>
          <c:showSerName val="0"/>
          <c:showPercent val="0"/>
          <c:showBubbleSize val="0"/>
        </c:dLbls>
        <c:gapWidth val="150"/>
        <c:overlap val="100"/>
        <c:axId val="888698840"/>
        <c:axId val="888690640"/>
      </c:barChart>
      <c:catAx>
        <c:axId val="888698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690640"/>
        <c:crosses val="autoZero"/>
        <c:auto val="1"/>
        <c:lblAlgn val="ctr"/>
        <c:lblOffset val="100"/>
        <c:noMultiLvlLbl val="0"/>
      </c:catAx>
      <c:valAx>
        <c:axId val="88869064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698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In your opinion, how effective have the key capacity areas of the Digital Europe Programme been in contributing to the programme’s objectives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Answer'!$B$124</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Answer'!$B$125:$B$129</c:f>
              <c:numCache>
                <c:formatCode>0%</c:formatCode>
                <c:ptCount val="5"/>
                <c:pt idx="0">
                  <c:v>0.09</c:v>
                </c:pt>
                <c:pt idx="1">
                  <c:v>0.12</c:v>
                </c:pt>
                <c:pt idx="2">
                  <c:v>0.09</c:v>
                </c:pt>
                <c:pt idx="3">
                  <c:v>0.12</c:v>
                </c:pt>
                <c:pt idx="4">
                  <c:v>0.3</c:v>
                </c:pt>
              </c:numCache>
            </c:numRef>
          </c:val>
          <c:extLst>
            <c:ext xmlns:c16="http://schemas.microsoft.com/office/drawing/2014/chart" uri="{C3380CC4-5D6E-409C-BE32-E72D297353CC}">
              <c16:uniqueId val="{00000000-6650-45C3-922C-F15205B858A0}"/>
            </c:ext>
          </c:extLst>
        </c:ser>
        <c:ser>
          <c:idx val="1"/>
          <c:order val="1"/>
          <c:tx>
            <c:strRef>
              <c:f>'Graphs Answer'!$C$124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Answer'!$C$125:$C$129</c:f>
              <c:numCache>
                <c:formatCode>0%</c:formatCode>
                <c:ptCount val="5"/>
                <c:pt idx="0">
                  <c:v>0.21</c:v>
                </c:pt>
                <c:pt idx="1">
                  <c:v>0.4</c:v>
                </c:pt>
                <c:pt idx="2">
                  <c:v>0.42</c:v>
                </c:pt>
                <c:pt idx="3">
                  <c:v>0.35</c:v>
                </c:pt>
                <c:pt idx="4">
                  <c:v>0.26</c:v>
                </c:pt>
              </c:numCache>
            </c:numRef>
          </c:val>
          <c:extLst>
            <c:ext xmlns:c16="http://schemas.microsoft.com/office/drawing/2014/chart" uri="{C3380CC4-5D6E-409C-BE32-E72D297353CC}">
              <c16:uniqueId val="{00000001-6650-45C3-922C-F15205B858A0}"/>
            </c:ext>
          </c:extLst>
        </c:ser>
        <c:ser>
          <c:idx val="2"/>
          <c:order val="2"/>
          <c:tx>
            <c:strRef>
              <c:f>'Graphs Answer'!$D$124</c:f>
              <c:strCache>
                <c:ptCount val="1"/>
                <c:pt idx="0">
                  <c:v>Not very effective</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Answer'!$D$125:$D$129</c:f>
              <c:numCache>
                <c:formatCode>0%</c:formatCode>
                <c:ptCount val="5"/>
                <c:pt idx="0">
                  <c:v>0.12</c:v>
                </c:pt>
                <c:pt idx="1">
                  <c:v>7.0000000000000007E-2</c:v>
                </c:pt>
                <c:pt idx="2">
                  <c:v>0.09</c:v>
                </c:pt>
                <c:pt idx="3">
                  <c:v>0.12</c:v>
                </c:pt>
                <c:pt idx="4">
                  <c:v>0.12</c:v>
                </c:pt>
              </c:numCache>
            </c:numRef>
          </c:val>
          <c:extLst>
            <c:ext xmlns:c16="http://schemas.microsoft.com/office/drawing/2014/chart" uri="{C3380CC4-5D6E-409C-BE32-E72D297353CC}">
              <c16:uniqueId val="{00000002-6650-45C3-922C-F15205B858A0}"/>
            </c:ext>
          </c:extLst>
        </c:ser>
        <c:ser>
          <c:idx val="3"/>
          <c:order val="3"/>
          <c:tx>
            <c:strRef>
              <c:f>'Graphs Answer'!$E$124</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Answer'!$E$125:$E$129</c:f>
              <c:numCache>
                <c:formatCode>0%</c:formatCode>
                <c:ptCount val="5"/>
                <c:pt idx="0">
                  <c:v>0.12</c:v>
                </c:pt>
                <c:pt idx="1">
                  <c:v>0.05</c:v>
                </c:pt>
                <c:pt idx="2">
                  <c:v>0.05</c:v>
                </c:pt>
                <c:pt idx="3">
                  <c:v>0.02</c:v>
                </c:pt>
                <c:pt idx="4">
                  <c:v>0.05</c:v>
                </c:pt>
              </c:numCache>
            </c:numRef>
          </c:val>
          <c:extLst>
            <c:ext xmlns:c16="http://schemas.microsoft.com/office/drawing/2014/chart" uri="{C3380CC4-5D6E-409C-BE32-E72D297353CC}">
              <c16:uniqueId val="{00000003-6650-45C3-922C-F15205B858A0}"/>
            </c:ext>
          </c:extLst>
        </c:ser>
        <c:ser>
          <c:idx val="4"/>
          <c:order val="4"/>
          <c:tx>
            <c:strRef>
              <c:f>'Graphs Answer'!$F$124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Answer'!$F$125:$F$129</c:f>
              <c:numCache>
                <c:formatCode>0%</c:formatCode>
                <c:ptCount val="5"/>
                <c:pt idx="0">
                  <c:v>0.47</c:v>
                </c:pt>
                <c:pt idx="1">
                  <c:v>0.37</c:v>
                </c:pt>
                <c:pt idx="2">
                  <c:v>0.35</c:v>
                </c:pt>
                <c:pt idx="3">
                  <c:v>0.4</c:v>
                </c:pt>
                <c:pt idx="4">
                  <c:v>0.28000000000000003</c:v>
                </c:pt>
              </c:numCache>
            </c:numRef>
          </c:val>
          <c:extLst>
            <c:ext xmlns:c16="http://schemas.microsoft.com/office/drawing/2014/chart" uri="{C3380CC4-5D6E-409C-BE32-E72D297353CC}">
              <c16:uniqueId val="{00000004-6650-45C3-922C-F15205B858A0}"/>
            </c:ext>
          </c:extLst>
        </c:ser>
        <c:dLbls>
          <c:showLegendKey val="0"/>
          <c:showVal val="0"/>
          <c:showCatName val="0"/>
          <c:showSerName val="0"/>
          <c:showPercent val="0"/>
          <c:showBubbleSize val="0"/>
        </c:dLbls>
        <c:gapWidth val="150"/>
        <c:overlap val="100"/>
        <c:axId val="711116416"/>
        <c:axId val="711114448"/>
      </c:barChart>
      <c:catAx>
        <c:axId val="7111164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14448"/>
        <c:crosses val="autoZero"/>
        <c:auto val="1"/>
        <c:lblAlgn val="ctr"/>
        <c:lblOffset val="100"/>
        <c:noMultiLvlLbl val="0"/>
      </c:catAx>
      <c:valAx>
        <c:axId val="71111444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1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In your opinion, how effective have EDIH activities been in supporting micro, small and medium-sized companies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4CC-4083-8F3A-376D0781417E}"/>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4CC-4083-8F3A-376D0781417E}"/>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4CC-4083-8F3A-376D0781417E}"/>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4CC-4083-8F3A-376D0781417E}"/>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4CC-4083-8F3A-376D078141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Answer'!$A$144:$A$148</c:f>
              <c:strCache>
                <c:ptCount val="5"/>
                <c:pt idx="0">
                  <c:v>Very effective</c:v>
                </c:pt>
                <c:pt idx="1">
                  <c:v>Moderately effective</c:v>
                </c:pt>
                <c:pt idx="2">
                  <c:v>Not very effective</c:v>
                </c:pt>
                <c:pt idx="3">
                  <c:v>Not at all effective</c:v>
                </c:pt>
                <c:pt idx="4">
                  <c:v>Unsure</c:v>
                </c:pt>
              </c:strCache>
            </c:strRef>
          </c:cat>
          <c:val>
            <c:numRef>
              <c:f>'Graphs Answer'!$B$144:$B$148</c:f>
              <c:numCache>
                <c:formatCode>0%</c:formatCode>
                <c:ptCount val="5"/>
                <c:pt idx="0">
                  <c:v>0.18604651162790697</c:v>
                </c:pt>
                <c:pt idx="1">
                  <c:v>0.30232558139534882</c:v>
                </c:pt>
                <c:pt idx="2">
                  <c:v>0.18604651162790697</c:v>
                </c:pt>
                <c:pt idx="3">
                  <c:v>4.6511627906976744E-2</c:v>
                </c:pt>
                <c:pt idx="4">
                  <c:v>0.27906976744186046</c:v>
                </c:pt>
              </c:numCache>
            </c:numRef>
          </c:val>
          <c:extLst>
            <c:ext xmlns:c16="http://schemas.microsoft.com/office/drawing/2014/chart" uri="{C3380CC4-5D6E-409C-BE32-E72D297353CC}">
              <c16:uniqueId val="{0000000A-C4CC-4083-8F3A-376D0781417E}"/>
            </c:ext>
          </c:extLst>
        </c:ser>
        <c:dLbls>
          <c:showLegendKey val="0"/>
          <c:showVal val="0"/>
          <c:showCatName val="0"/>
          <c:showSerName val="0"/>
          <c:showPercent val="0"/>
          <c:showBubbleSize val="0"/>
        </c:dLbls>
        <c:gapWidth val="100"/>
        <c:axId val="648673136"/>
        <c:axId val="648674448"/>
      </c:barChart>
      <c:catAx>
        <c:axId val="648673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74448"/>
        <c:crosses val="autoZero"/>
        <c:auto val="1"/>
        <c:lblAlgn val="ctr"/>
        <c:lblOffset val="100"/>
        <c:noMultiLvlLbl val="0"/>
      </c:catAx>
      <c:valAx>
        <c:axId val="648674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673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 In your opinion, how effective have EDIH activities been in supporting micro, small and medium-sized companies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Sheet2!$C$4</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Sheet2!$C$5:$C$9</c:f>
              <c:numCache>
                <c:formatCode>0%</c:formatCode>
                <c:ptCount val="5"/>
                <c:pt idx="0">
                  <c:v>0.4</c:v>
                </c:pt>
                <c:pt idx="1">
                  <c:v>0.17</c:v>
                </c:pt>
                <c:pt idx="2">
                  <c:v>0</c:v>
                </c:pt>
                <c:pt idx="3">
                  <c:v>0</c:v>
                </c:pt>
                <c:pt idx="4">
                  <c:v>0.1</c:v>
                </c:pt>
              </c:numCache>
            </c:numRef>
          </c:val>
          <c:extLst>
            <c:ext xmlns:c16="http://schemas.microsoft.com/office/drawing/2014/chart" uri="{C3380CC4-5D6E-409C-BE32-E72D297353CC}">
              <c16:uniqueId val="{00000000-EF55-4D3A-B1CC-C2C02398F8E2}"/>
            </c:ext>
          </c:extLst>
        </c:ser>
        <c:ser>
          <c:idx val="1"/>
          <c:order val="1"/>
          <c:tx>
            <c:strRef>
              <c:f>Sheet2!$D$4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Sheet2!$D$5:$D$9</c:f>
              <c:numCache>
                <c:formatCode>0%</c:formatCode>
                <c:ptCount val="5"/>
                <c:pt idx="0">
                  <c:v>0.27</c:v>
                </c:pt>
                <c:pt idx="1">
                  <c:v>0.67</c:v>
                </c:pt>
                <c:pt idx="2">
                  <c:v>0.38</c:v>
                </c:pt>
                <c:pt idx="3">
                  <c:v>0.25</c:v>
                </c:pt>
                <c:pt idx="4">
                  <c:v>0.1</c:v>
                </c:pt>
              </c:numCache>
            </c:numRef>
          </c:val>
          <c:extLst>
            <c:ext xmlns:c16="http://schemas.microsoft.com/office/drawing/2014/chart" uri="{C3380CC4-5D6E-409C-BE32-E72D297353CC}">
              <c16:uniqueId val="{00000001-EF55-4D3A-B1CC-C2C02398F8E2}"/>
            </c:ext>
          </c:extLst>
        </c:ser>
        <c:ser>
          <c:idx val="2"/>
          <c:order val="2"/>
          <c:tx>
            <c:strRef>
              <c:f>Sheet2!$E$4</c:f>
              <c:strCache>
                <c:ptCount val="1"/>
                <c:pt idx="0">
                  <c:v>Not very effective</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Sheet2!$E$5:$E$9</c:f>
              <c:numCache>
                <c:formatCode>0%</c:formatCode>
                <c:ptCount val="5"/>
                <c:pt idx="0">
                  <c:v>0.2</c:v>
                </c:pt>
                <c:pt idx="1">
                  <c:v>0</c:v>
                </c:pt>
                <c:pt idx="2">
                  <c:v>0.25</c:v>
                </c:pt>
                <c:pt idx="3">
                  <c:v>0.75</c:v>
                </c:pt>
                <c:pt idx="4">
                  <c:v>0</c:v>
                </c:pt>
              </c:numCache>
            </c:numRef>
          </c:val>
          <c:extLst>
            <c:ext xmlns:c16="http://schemas.microsoft.com/office/drawing/2014/chart" uri="{C3380CC4-5D6E-409C-BE32-E72D297353CC}">
              <c16:uniqueId val="{00000002-EF55-4D3A-B1CC-C2C02398F8E2}"/>
            </c:ext>
          </c:extLst>
        </c:ser>
        <c:ser>
          <c:idx val="3"/>
          <c:order val="3"/>
          <c:tx>
            <c:strRef>
              <c:f>Sheet2!$F$4</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Sheet2!$F$5:$F$9</c:f>
              <c:numCache>
                <c:formatCode>0%</c:formatCode>
                <c:ptCount val="5"/>
                <c:pt idx="0">
                  <c:v>0</c:v>
                </c:pt>
                <c:pt idx="1">
                  <c:v>0</c:v>
                </c:pt>
                <c:pt idx="2">
                  <c:v>0.13</c:v>
                </c:pt>
                <c:pt idx="3">
                  <c:v>0</c:v>
                </c:pt>
                <c:pt idx="4">
                  <c:v>0.1</c:v>
                </c:pt>
              </c:numCache>
            </c:numRef>
          </c:val>
          <c:extLst>
            <c:ext xmlns:c16="http://schemas.microsoft.com/office/drawing/2014/chart" uri="{C3380CC4-5D6E-409C-BE32-E72D297353CC}">
              <c16:uniqueId val="{00000003-EF55-4D3A-B1CC-C2C02398F8E2}"/>
            </c:ext>
          </c:extLst>
        </c:ser>
        <c:ser>
          <c:idx val="4"/>
          <c:order val="4"/>
          <c:tx>
            <c:strRef>
              <c:f>Sheet2!$G$4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Sheet2!$G$5:$G$9</c:f>
              <c:numCache>
                <c:formatCode>0%</c:formatCode>
                <c:ptCount val="5"/>
                <c:pt idx="0">
                  <c:v>0.13</c:v>
                </c:pt>
                <c:pt idx="1">
                  <c:v>0.17</c:v>
                </c:pt>
                <c:pt idx="2">
                  <c:v>0.25</c:v>
                </c:pt>
                <c:pt idx="3">
                  <c:v>0</c:v>
                </c:pt>
                <c:pt idx="4">
                  <c:v>0.7</c:v>
                </c:pt>
              </c:numCache>
            </c:numRef>
          </c:val>
          <c:extLst>
            <c:ext xmlns:c16="http://schemas.microsoft.com/office/drawing/2014/chart" uri="{C3380CC4-5D6E-409C-BE32-E72D297353CC}">
              <c16:uniqueId val="{00000004-EF55-4D3A-B1CC-C2C02398F8E2}"/>
            </c:ext>
          </c:extLst>
        </c:ser>
        <c:dLbls>
          <c:showLegendKey val="0"/>
          <c:showVal val="0"/>
          <c:showCatName val="0"/>
          <c:showSerName val="0"/>
          <c:showPercent val="0"/>
          <c:showBubbleSize val="0"/>
        </c:dLbls>
        <c:gapWidth val="182"/>
        <c:axId val="632535128"/>
        <c:axId val="632535456"/>
      </c:barChart>
      <c:catAx>
        <c:axId val="632535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535456"/>
        <c:crosses val="autoZero"/>
        <c:auto val="1"/>
        <c:lblAlgn val="ctr"/>
        <c:lblOffset val="100"/>
        <c:noMultiLvlLbl val="0"/>
      </c:catAx>
      <c:valAx>
        <c:axId val="632535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535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In your opinion, how effective have Digital Europe Programme activities been in advancing digital skills (master’s, bachelor’s, doctorate programmes in key capacity areas, short-term training, highly specialised skills academies, etc.) in your country so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84BC-4E21-A1B2-D77C73EB5136}"/>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84BC-4E21-A1B2-D77C73EB5136}"/>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84BC-4E21-A1B2-D77C73EB5136}"/>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84BC-4E21-A1B2-D77C73EB5136}"/>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84BC-4E21-A1B2-D77C73EB51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Answer'!$A$164:$A$168</c:f>
              <c:strCache>
                <c:ptCount val="5"/>
                <c:pt idx="0">
                  <c:v>Very effective</c:v>
                </c:pt>
                <c:pt idx="1">
                  <c:v>Moderately effective</c:v>
                </c:pt>
                <c:pt idx="2">
                  <c:v>Not very effective</c:v>
                </c:pt>
                <c:pt idx="3">
                  <c:v>Not at all effective</c:v>
                </c:pt>
                <c:pt idx="4">
                  <c:v>Unsure</c:v>
                </c:pt>
              </c:strCache>
            </c:strRef>
          </c:cat>
          <c:val>
            <c:numRef>
              <c:f>'Graphs Answer'!$B$164:$B$168</c:f>
              <c:numCache>
                <c:formatCode>0%</c:formatCode>
                <c:ptCount val="5"/>
                <c:pt idx="0">
                  <c:v>0</c:v>
                </c:pt>
                <c:pt idx="1">
                  <c:v>0.2558139534883721</c:v>
                </c:pt>
                <c:pt idx="2">
                  <c:v>0.13953488372093023</c:v>
                </c:pt>
                <c:pt idx="3">
                  <c:v>4.6511627906976744E-2</c:v>
                </c:pt>
                <c:pt idx="4">
                  <c:v>0.55813953488372092</c:v>
                </c:pt>
              </c:numCache>
            </c:numRef>
          </c:val>
          <c:extLst>
            <c:ext xmlns:c16="http://schemas.microsoft.com/office/drawing/2014/chart" uri="{C3380CC4-5D6E-409C-BE32-E72D297353CC}">
              <c16:uniqueId val="{0000000A-84BC-4E21-A1B2-D77C73EB5136}"/>
            </c:ext>
          </c:extLst>
        </c:ser>
        <c:dLbls>
          <c:showLegendKey val="0"/>
          <c:showVal val="0"/>
          <c:showCatName val="0"/>
          <c:showSerName val="0"/>
          <c:showPercent val="0"/>
          <c:showBubbleSize val="0"/>
        </c:dLbls>
        <c:gapWidth val="100"/>
        <c:axId val="608295984"/>
        <c:axId val="608296968"/>
      </c:barChart>
      <c:catAx>
        <c:axId val="608295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296968"/>
        <c:crosses val="autoZero"/>
        <c:auto val="1"/>
        <c:lblAlgn val="ctr"/>
        <c:lblOffset val="100"/>
        <c:noMultiLvlLbl val="0"/>
      </c:catAx>
      <c:valAx>
        <c:axId val="608296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2959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In your opinion, how effective have Digital Europe Programme activities been in involving girls and women in the digital technologies sector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'Graphs Answer'!$B$189</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Answer'!$B$190:$B$194</c:f>
              <c:numCache>
                <c:formatCode>0%</c:formatCode>
                <c:ptCount val="5"/>
                <c:pt idx="0">
                  <c:v>0</c:v>
                </c:pt>
                <c:pt idx="1">
                  <c:v>0</c:v>
                </c:pt>
                <c:pt idx="2">
                  <c:v>0.02</c:v>
                </c:pt>
                <c:pt idx="3">
                  <c:v>0</c:v>
                </c:pt>
                <c:pt idx="4">
                  <c:v>0.02</c:v>
                </c:pt>
              </c:numCache>
            </c:numRef>
          </c:val>
          <c:extLst>
            <c:ext xmlns:c16="http://schemas.microsoft.com/office/drawing/2014/chart" uri="{C3380CC4-5D6E-409C-BE32-E72D297353CC}">
              <c16:uniqueId val="{00000000-45A2-40F1-B3F3-9BD8D6E0DDF9}"/>
            </c:ext>
          </c:extLst>
        </c:ser>
        <c:ser>
          <c:idx val="1"/>
          <c:order val="1"/>
          <c:tx>
            <c:strRef>
              <c:f>'Graphs Answer'!$C$189</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Answer'!$C$190:$C$194</c:f>
              <c:numCache>
                <c:formatCode>0%</c:formatCode>
                <c:ptCount val="5"/>
                <c:pt idx="0">
                  <c:v>0.16</c:v>
                </c:pt>
                <c:pt idx="1">
                  <c:v>0.19</c:v>
                </c:pt>
                <c:pt idx="2">
                  <c:v>0.26</c:v>
                </c:pt>
                <c:pt idx="3">
                  <c:v>0.19</c:v>
                </c:pt>
                <c:pt idx="4">
                  <c:v>0.23</c:v>
                </c:pt>
              </c:numCache>
            </c:numRef>
          </c:val>
          <c:extLst>
            <c:ext xmlns:c16="http://schemas.microsoft.com/office/drawing/2014/chart" uri="{C3380CC4-5D6E-409C-BE32-E72D297353CC}">
              <c16:uniqueId val="{00000001-45A2-40F1-B3F3-9BD8D6E0DDF9}"/>
            </c:ext>
          </c:extLst>
        </c:ser>
        <c:ser>
          <c:idx val="2"/>
          <c:order val="2"/>
          <c:tx>
            <c:strRef>
              <c:f>'Graphs Answer'!$D$189</c:f>
              <c:strCache>
                <c:ptCount val="1"/>
                <c:pt idx="0">
                  <c:v>Not very effective</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Answer'!$D$190:$D$194</c:f>
              <c:numCache>
                <c:formatCode>0%</c:formatCode>
                <c:ptCount val="5"/>
                <c:pt idx="0">
                  <c:v>0.16</c:v>
                </c:pt>
                <c:pt idx="1">
                  <c:v>0.21</c:v>
                </c:pt>
                <c:pt idx="2">
                  <c:v>0.12</c:v>
                </c:pt>
                <c:pt idx="3">
                  <c:v>0.19</c:v>
                </c:pt>
                <c:pt idx="4">
                  <c:v>0.14000000000000001</c:v>
                </c:pt>
              </c:numCache>
            </c:numRef>
          </c:val>
          <c:extLst>
            <c:ext xmlns:c16="http://schemas.microsoft.com/office/drawing/2014/chart" uri="{C3380CC4-5D6E-409C-BE32-E72D297353CC}">
              <c16:uniqueId val="{00000002-45A2-40F1-B3F3-9BD8D6E0DDF9}"/>
            </c:ext>
          </c:extLst>
        </c:ser>
        <c:ser>
          <c:idx val="3"/>
          <c:order val="3"/>
          <c:tx>
            <c:strRef>
              <c:f>'Graphs Answer'!$E$189</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Answer'!$E$190:$E$194</c:f>
              <c:numCache>
                <c:formatCode>0%</c:formatCode>
                <c:ptCount val="5"/>
                <c:pt idx="0">
                  <c:v>0.12</c:v>
                </c:pt>
                <c:pt idx="1">
                  <c:v>0.09</c:v>
                </c:pt>
                <c:pt idx="2">
                  <c:v>0.09</c:v>
                </c:pt>
                <c:pt idx="3">
                  <c:v>7.0000000000000007E-2</c:v>
                </c:pt>
                <c:pt idx="4">
                  <c:v>7.0000000000000007E-2</c:v>
                </c:pt>
              </c:numCache>
            </c:numRef>
          </c:val>
          <c:extLst>
            <c:ext xmlns:c16="http://schemas.microsoft.com/office/drawing/2014/chart" uri="{C3380CC4-5D6E-409C-BE32-E72D297353CC}">
              <c16:uniqueId val="{00000003-45A2-40F1-B3F3-9BD8D6E0DDF9}"/>
            </c:ext>
          </c:extLst>
        </c:ser>
        <c:ser>
          <c:idx val="4"/>
          <c:order val="4"/>
          <c:tx>
            <c:strRef>
              <c:f>'Graphs Answer'!$F$189</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Answer'!$F$190:$F$194</c:f>
              <c:numCache>
                <c:formatCode>0%</c:formatCode>
                <c:ptCount val="5"/>
                <c:pt idx="0">
                  <c:v>0.56000000000000005</c:v>
                </c:pt>
                <c:pt idx="1">
                  <c:v>0.51</c:v>
                </c:pt>
                <c:pt idx="2">
                  <c:v>0.51</c:v>
                </c:pt>
                <c:pt idx="3">
                  <c:v>0.56000000000000005</c:v>
                </c:pt>
                <c:pt idx="4">
                  <c:v>0.53</c:v>
                </c:pt>
              </c:numCache>
            </c:numRef>
          </c:val>
          <c:extLst>
            <c:ext xmlns:c16="http://schemas.microsoft.com/office/drawing/2014/chart" uri="{C3380CC4-5D6E-409C-BE32-E72D297353CC}">
              <c16:uniqueId val="{00000004-45A2-40F1-B3F3-9BD8D6E0DDF9}"/>
            </c:ext>
          </c:extLst>
        </c:ser>
        <c:dLbls>
          <c:showLegendKey val="0"/>
          <c:showVal val="0"/>
          <c:showCatName val="0"/>
          <c:showSerName val="0"/>
          <c:showPercent val="0"/>
          <c:showBubbleSize val="0"/>
        </c:dLbls>
        <c:gapWidth val="150"/>
        <c:overlap val="100"/>
        <c:axId val="830360192"/>
        <c:axId val="830364456"/>
      </c:barChart>
      <c:catAx>
        <c:axId val="830360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364456"/>
        <c:crosses val="autoZero"/>
        <c:auto val="1"/>
        <c:lblAlgn val="ctr"/>
        <c:lblOffset val="100"/>
        <c:noMultiLvlLbl val="0"/>
      </c:catAx>
      <c:valAx>
        <c:axId val="8303644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36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t>What progress has been made towards achieving the expected outcomes, results and impacts of the Digital Europe Programme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CD8-4053-A15E-B5B23D4FB849}"/>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CD8-4053-A15E-B5B23D4FB849}"/>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CD8-4053-A15E-B5B23D4FB849}"/>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CD8-4053-A15E-B5B23D4FB849}"/>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CD8-4053-A15E-B5B23D4FB8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Answer'!$A$209:$A$213</c:f>
              <c:strCache>
                <c:ptCount val="5"/>
                <c:pt idx="0">
                  <c:v>Very good</c:v>
                </c:pt>
                <c:pt idx="1">
                  <c:v>Moderately good</c:v>
                </c:pt>
                <c:pt idx="2">
                  <c:v>Not very good</c:v>
                </c:pt>
                <c:pt idx="3">
                  <c:v>Not at all good</c:v>
                </c:pt>
                <c:pt idx="4">
                  <c:v>Unsure</c:v>
                </c:pt>
              </c:strCache>
            </c:strRef>
          </c:cat>
          <c:val>
            <c:numRef>
              <c:f>'Graphs Answer'!$B$209:$B$213</c:f>
              <c:numCache>
                <c:formatCode>0%</c:formatCode>
                <c:ptCount val="5"/>
                <c:pt idx="0">
                  <c:v>9.3023255813953487E-2</c:v>
                </c:pt>
                <c:pt idx="1">
                  <c:v>0.48837209302325574</c:v>
                </c:pt>
                <c:pt idx="2">
                  <c:v>0.13953488372093023</c:v>
                </c:pt>
                <c:pt idx="3">
                  <c:v>6.9767441860465115E-2</c:v>
                </c:pt>
                <c:pt idx="4">
                  <c:v>0.20930232558139536</c:v>
                </c:pt>
              </c:numCache>
            </c:numRef>
          </c:val>
          <c:extLst>
            <c:ext xmlns:c16="http://schemas.microsoft.com/office/drawing/2014/chart" uri="{C3380CC4-5D6E-409C-BE32-E72D297353CC}">
              <c16:uniqueId val="{0000000A-CCD8-4053-A15E-B5B23D4FB849}"/>
            </c:ext>
          </c:extLst>
        </c:ser>
        <c:dLbls>
          <c:showLegendKey val="0"/>
          <c:showVal val="0"/>
          <c:showCatName val="0"/>
          <c:showSerName val="0"/>
          <c:showPercent val="0"/>
          <c:showBubbleSize val="0"/>
        </c:dLbls>
        <c:gapWidth val="100"/>
        <c:axId val="711120680"/>
        <c:axId val="711121008"/>
      </c:barChart>
      <c:catAx>
        <c:axId val="7111206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1008"/>
        <c:crosses val="autoZero"/>
        <c:auto val="1"/>
        <c:lblAlgn val="ctr"/>
        <c:lblOffset val="100"/>
        <c:noMultiLvlLbl val="0"/>
      </c:catAx>
      <c:valAx>
        <c:axId val="711121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120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F7M6YNZUATRX-416430479-15296</_dlc_DocId>
    <_dlc_DocIdUrl xmlns="59ace41b-6786-4ce3-be71-52c27066c6ef">
      <Url>http://dm/eesc/2024/_layouts/15/DocIdRedir.aspx?ID=F7M6YNZUATRX-416430479-15296</Url>
      <Description>F7M6YNZUATRX-416430479-15296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RE</TermName>
          <TermId xmlns="http://schemas.microsoft.com/office/infopath/2007/PartnerControls">2e31ab9a-38d8-4b15-bf54-b076b749ef85</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2024-10-25T12:00:00+00:00</ProductionDate>
    <DocumentNumber xmlns="1178e5e2-058a-41a1-9851-331c7b3fffb8">492</DocumentNumber>
    <FicheYear xmlns="59ace41b-6786-4ce3-be71-52c27066c6ef"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82</Value>
      <Value>36</Value>
      <Value>43</Value>
      <Value>37</Value>
      <Value>273</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SV</TermName>
          <TermId xmlns="http://schemas.microsoft.com/office/infopath/2007/PartnerControls">c2ed69e7-a339-43d7-8f22-d93680a92aa0</TermId>
        </TermInfo>
      </Terms>
    </DocumentLanguage_0>
    <Rapporteur xmlns="59ace41b-6786-4ce3-be71-52c27066c6ef">ZARIŅA</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10384</FicheNumber>
    <OriginalSender xmlns="59ace41b-6786-4ce3-be71-52c27066c6ef">
      <UserInfo>
        <DisplayName>Eklund Lisa</DisplayName>
        <AccountId>1512</AccountId>
        <AccountType/>
      </UserInfo>
    </OriginalSender>
    <DocumentPart xmlns="59ace41b-6786-4ce3-be71-52c27066c6ef">0</DocumentPart>
    <AdoptionDate xmlns="59ace41b-6786-4ce3-be71-52c27066c6ef">2024-10-23T12:00:00+00:00</AdoptionDate>
    <RequestingService xmlns="59ace41b-6786-4ce3-be71-52c27066c6ef">Marché unique, production, consommation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178e5e2-058a-41a1-9851-331c7b3fffb8"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INT</TermName>
          <TermId xmlns="http://schemas.microsoft.com/office/infopath/2007/PartnerControls">e1edfecb-ed43-427b-bb02-d45fe6645386</TermId>
        </TermInfo>
      </Terms>
    </DossierName_0>
    <DocumentVersion xmlns="59ace41b-6786-4ce3-be71-52c27066c6ef">0</DocumentVersion>
    <DossierNumber xmlns="59ace41b-6786-4ce3-be71-52c27066c6ef">1054</Dossier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E20A70424F8EF14D84929FAE9E34774B" ma:contentTypeVersion="4" ma:contentTypeDescription="Defines the documents for Document Manager V2" ma:contentTypeScope="" ma:versionID="3c88e340e370a402dfed352137800822">
  <xsd:schema xmlns:xsd="http://www.w3.org/2001/XMLSchema" xmlns:xs="http://www.w3.org/2001/XMLSchema" xmlns:p="http://schemas.microsoft.com/office/2006/metadata/properties" xmlns:ns2="59ace41b-6786-4ce3-be71-52c27066c6ef" xmlns:ns3="http://schemas.microsoft.com/sharepoint/v3/fields" xmlns:ns4="1178e5e2-058a-41a1-9851-331c7b3fffb8" targetNamespace="http://schemas.microsoft.com/office/2006/metadata/properties" ma:root="true" ma:fieldsID="cff03e2a422031f7afb63180aa455c21" ns2:_="" ns3:_="" ns4:_="">
    <xsd:import namespace="59ace41b-6786-4ce3-be71-52c27066c6ef"/>
    <xsd:import namespace="http://schemas.microsoft.com/sharepoint/v3/fields"/>
    <xsd:import namespace="1178e5e2-058a-41a1-9851-331c7b3fffb8"/>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78e5e2-058a-41a1-9851-331c7b3fffb8"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9003D0-1F4B-4267-B6F0-58C58AC2A168}"/>
</file>

<file path=customXml/itemProps2.xml><?xml version="1.0" encoding="utf-8"?>
<ds:datastoreItem xmlns:ds="http://schemas.openxmlformats.org/officeDocument/2006/customXml" ds:itemID="{4B4F05D2-F4D7-4454-AF5A-68828CEAE19B}"/>
</file>

<file path=customXml/itemProps3.xml><?xml version="1.0" encoding="utf-8"?>
<ds:datastoreItem xmlns:ds="http://schemas.openxmlformats.org/officeDocument/2006/customXml" ds:itemID="{CDA18AC7-829A-4939-B3A1-83E619054F2D}"/>
</file>

<file path=customXml/itemProps4.xml><?xml version="1.0" encoding="utf-8"?>
<ds:datastoreItem xmlns:ds="http://schemas.openxmlformats.org/officeDocument/2006/customXml" ds:itemID="{FB552EFE-AB6D-4A0A-AB85-171703453072}"/>
</file>

<file path=docProps/app.xml><?xml version="1.0" encoding="utf-8"?>
<Properties xmlns="http://schemas.openxmlformats.org/officeDocument/2006/extended-properties" xmlns:vt="http://schemas.openxmlformats.org/officeDocument/2006/docPropsVTypes">
  <Template>Normal.dotm</Template>
  <TotalTime>0</TotalTime>
  <Pages>85</Pages>
  <Words>29932</Words>
  <Characters>170613</Characters>
  <Application>Microsoft Office Word</Application>
  <DocSecurity>0</DocSecurity>
  <Lines>1421</Lines>
  <Paragraphs>400</Paragraphs>
  <ScaleCrop>false</ScaleCrop>
  <HeadingPairs>
    <vt:vector size="2" baseType="variant">
      <vt:variant>
        <vt:lpstr>Title</vt:lpstr>
      </vt:variant>
      <vt:variant>
        <vt:i4>1</vt:i4>
      </vt:variant>
    </vt:vector>
  </HeadingPairs>
  <TitlesOfParts>
    <vt:vector size="1" baseType="lpstr">
      <vt:lpstr>EESC RE - Model</vt:lpstr>
    </vt:vector>
  </TitlesOfParts>
  <Company>CESE-CdR</Company>
  <LinksUpToDate>false</LinksUpToDate>
  <CharactersWithSpaces>200145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Programmet för ett digitalt Europa</dc:title>
  <dc:subject>RE</dc:subject>
  <dc:creator>Francois Aude</dc:creator>
  <cp:keywords>EESC-2024-00492-00-00-RE-TRA-EN</cp:keywords>
  <dc:description>Rapporteur: ZARIŅA - Original language: EN - Date of document: 25/10/2024 - Date of meeting:  - External documents:  - Administrator:  MANFRONI MARCO</dc:description>
  <cp:lastModifiedBy>Eklund Lisa</cp:lastModifiedBy>
  <cp:revision>9</cp:revision>
  <dcterms:created xsi:type="dcterms:W3CDTF">2024-10-25T08:03:00Z</dcterms:created>
  <dcterms:modified xsi:type="dcterms:W3CDTF">2024-10-25T09:27:00Z</dcterms:modified>
  <cp:category>INT/1054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25/10/2024, 25/10/2024, 12/04/2024, 17/05/2022</vt:lpwstr>
  </property>
  <property fmtid="{D5CDD505-2E9C-101B-9397-08002B2CF9AE}" pid="4" name="Pref_Time">
    <vt:lpwstr>09:58:55, 09:57:41, 12:03:55, 14:58:36</vt:lpwstr>
  </property>
  <property fmtid="{D5CDD505-2E9C-101B-9397-08002B2CF9AE}" pid="5" name="Pref_User">
    <vt:lpwstr>amett, amett, enied, enied</vt:lpwstr>
  </property>
  <property fmtid="{D5CDD505-2E9C-101B-9397-08002B2CF9AE}" pid="6" name="Pref_FileName">
    <vt:lpwstr>EESC-2024-00492-00-00-RE-TRA.docx, EESC-2024-00492-00-00-RE-CRR-EN.docx, COR-EESC-2024-01326-22-00-ADMIN-ORI.docx, COR-EESC-2022-02592-00-00-ADMIN-ORI.docx</vt:lpwstr>
  </property>
  <property fmtid="{D5CDD505-2E9C-101B-9397-08002B2CF9AE}" pid="7" name="ContentTypeId">
    <vt:lpwstr>0x010100EA97B91038054C99906057A708A1480A00E20A70424F8EF14D84929FAE9E34774B</vt:lpwstr>
  </property>
  <property fmtid="{D5CDD505-2E9C-101B-9397-08002B2CF9AE}" pid="8" name="_dlc_DocIdItemGuid">
    <vt:lpwstr>7e276d3d-be63-420e-b096-737c8a1cdfff</vt:lpwstr>
  </property>
  <property fmtid="{D5CDD505-2E9C-101B-9397-08002B2CF9AE}" pid="9" name="AvailableTranslations">
    <vt:lpwstr>43;#CS|72f9705b-0217-4fd3-bea2-cbc7ed80e26e;#28;#LV|46f7e311-5d9f-4663-b433-18aeccb7ace7;#31;#NL|55c6556c-b4f4-441d-9acf-c498d4f838bd;#34;#LT|a7ff5ce7-6123-4f68-865a-a57c31810414;#5;#EN|f2175f21-25d7-44a3-96da-d6a61b075e1b;#18;#GA|762d2456-c427-4ecb-b312-af3dad8e258c;#29;#EL|6d4f4d51-af9b-4650-94b4-4276bee85c91;#12;#IT|0774613c-01ed-4e5d-a25d-11d2388de825;#26;#SK|46d9fce0-ef79-4f71-b89b-cd6aa82426b8;#32;#HU|6b229040-c589-4408-b4c1-4285663d20a8;#21;#SV|c2ed69e7-a339-43d7-8f22-d93680a92aa0;#37;#RO|feb747a2-64cd-4299-af12-4833ddc30497;#17;#PL|1e03da61-4678-4e07-b136-b5024ca9197b;#35;#FI|87606a43-d45f-42d6-b8c9-e1a3457db5b7;#36;#PT|50ccc04a-eadd-42ae-a0cb-acaf45f812ba;#27;#SL|98a412ae-eb01-49e9-ae3d-585a81724cfc;#25;#DE|f6b31e5a-26fa-4935-b661-318e46daf27e;#24;#ES|e7a6b05b-ae16-40c8-add9-68b64b03aeba;#30;#HR|2f555653-ed1a-4fe6-8362-9082d95989e5;#16;#DA|5d49c027-8956-412b-aa16-e85a0f96ad0e;#33;#ET|ff6c3f4c-b02c-4c3c-ab07-2c37995a7a0a;#23;#MT|7df99101-6854-4a26-b53a-b88c0da02c26;#22;#BG|1a1b3951-7821-4e6a-85f5-5673fc08bd2c;#14;#FR|d2afafd3-4c81-4f60-8f52-ee33f2f54ff3</vt:lpwstr>
  </property>
  <property fmtid="{D5CDD505-2E9C-101B-9397-08002B2CF9AE}" pid="10" name="DocumentType_0">
    <vt:lpwstr>RE|2e31ab9a-38d8-4b15-bf54-b076b749ef85</vt:lpwstr>
  </property>
  <property fmtid="{D5CDD505-2E9C-101B-9397-08002B2CF9AE}" pid="12" name="DocumentSource_0">
    <vt:lpwstr>EESC|422833ec-8d7e-4e65-8e4e-8bed07ffb729</vt:lpwstr>
  </property>
  <property fmtid="{D5CDD505-2E9C-101B-9397-08002B2CF9AE}" pid="13" name="ProductionDate">
    <vt:filetime>2024-10-25T12:00:00Z</vt:filetime>
  </property>
  <property fmtid="{D5CDD505-2E9C-101B-9397-08002B2CF9AE}" pid="14" name="DocumentNumber">
    <vt:i4>492</vt:i4>
  </property>
  <property fmtid="{D5CDD505-2E9C-101B-9397-08002B2CF9AE}" pid="16" name="DossierName">
    <vt:lpwstr>82;#INT|e1edfecb-ed43-427b-bb02-d45fe6645386</vt:lpwstr>
  </property>
  <property fmtid="{D5CDD505-2E9C-101B-9397-08002B2CF9AE}" pid="17" name="Confidentiality_0">
    <vt:lpwstr>Unrestricted|826e22d7-d029-4ec0-a450-0c28ff673572</vt:lpwstr>
  </property>
  <property fmtid="{D5CDD505-2E9C-101B-9397-08002B2CF9AE}" pid="18" name="Confidentiality">
    <vt:lpwstr>6;#Unrestricted|826e22d7-d029-4ec0-a450-0c28ff673572</vt:lpwstr>
  </property>
  <property fmtid="{D5CDD505-2E9C-101B-9397-08002B2CF9AE}" pid="19" name="OriginalLanguage">
    <vt:lpwstr>5;#EN|f2175f21-25d7-44a3-96da-d6a61b075e1b</vt:lpwstr>
  </property>
  <property fmtid="{D5CDD505-2E9C-101B-9397-08002B2CF9AE}" pid="20" name="MeetingName">
    <vt:lpwstr/>
  </property>
  <property fmtid="{D5CDD505-2E9C-101B-9397-08002B2CF9AE}" pid="22" name="TaxCatchAll">
    <vt:lpwstr>82;#INT|e1edfecb-ed43-427b-bb02-d45fe6645386;#37;#RO|feb747a2-64cd-4299-af12-4833ddc30497;#8;#Final|ea5e6674-7b27-4bac-b091-73adbb394efe;#1;#EESC|422833ec-8d7e-4e65-8e4e-8bed07ffb729;#6;#Unrestricted|826e22d7-d029-4ec0-a450-0c28ff673572;#5;#EN|f2175f21-25d7-44a3-96da-d6a61b075e1b;#21;#SV|c2ed69e7-a339-43d7-8f22-d93680a92aa0;#3;#TRA|150d2a88-1431-44e6-a8ca-0bb753ab8672;#273;#RE|2e31ab9a-38d8-4b15-bf54-b076b749ef85</vt:lpwstr>
  </property>
  <property fmtid="{D5CDD505-2E9C-101B-9397-08002B2CF9AE}" pid="23" name="DocumentLanguage_0">
    <vt:lpwstr>SV|c2ed69e7-a339-43d7-8f22-d93680a92aa0</vt:lpwstr>
  </property>
  <property fmtid="{D5CDD505-2E9C-101B-9397-08002B2CF9AE}" pid="24" name="Rapporteur">
    <vt:lpwstr>ZARIŅA</vt:lpwstr>
  </property>
  <property fmtid="{D5CDD505-2E9C-101B-9397-08002B2CF9AE}" pid="25" name="VersionStatus_0">
    <vt:lpwstr>Final|ea5e6674-7b27-4bac-b091-73adbb394efe</vt:lpwstr>
  </property>
  <property fmtid="{D5CDD505-2E9C-101B-9397-08002B2CF9AE}" pid="26" name="VersionStatus">
    <vt:lpwstr>8;#Final|ea5e6674-7b27-4bac-b091-73adbb394efe</vt:lpwstr>
  </property>
  <property fmtid="{D5CDD505-2E9C-101B-9397-08002B2CF9AE}" pid="27" name="DocumentYear">
    <vt:i4>2024</vt:i4>
  </property>
  <property fmtid="{D5CDD505-2E9C-101B-9397-08002B2CF9AE}" pid="28" name="FicheNumber">
    <vt:i4>10384</vt:i4>
  </property>
  <property fmtid="{D5CDD505-2E9C-101B-9397-08002B2CF9AE}" pid="29" name="OriginalSender">
    <vt:lpwstr>1512;#Eklund Lisa</vt:lpwstr>
  </property>
  <property fmtid="{D5CDD505-2E9C-101B-9397-08002B2CF9AE}" pid="30" name="DocumentPart">
    <vt:i4>0</vt:i4>
  </property>
  <property fmtid="{D5CDD505-2E9C-101B-9397-08002B2CF9AE}" pid="31" name="DocumentSource">
    <vt:lpwstr>1;#EESC|422833ec-8d7e-4e65-8e4e-8bed07ffb729</vt:lpwstr>
  </property>
  <property fmtid="{D5CDD505-2E9C-101B-9397-08002B2CF9AE}" pid="32" name="AdoptionDate">
    <vt:filetime>2024-10-23T12:00:00Z</vt:filetime>
  </property>
  <property fmtid="{D5CDD505-2E9C-101B-9397-08002B2CF9AE}" pid="33" name="DocumentType">
    <vt:lpwstr>273;#RE|2e31ab9a-38d8-4b15-bf54-b076b749ef85</vt:lpwstr>
  </property>
  <property fmtid="{D5CDD505-2E9C-101B-9397-08002B2CF9AE}" pid="34" name="RequestingService">
    <vt:lpwstr>Marché unique, production, consommation</vt:lpwstr>
  </property>
  <property fmtid="{D5CDD505-2E9C-101B-9397-08002B2CF9AE}" pid="36" name="DocumentLanguage">
    <vt:lpwstr>21;#SV|c2ed69e7-a339-43d7-8f22-d93680a92aa0</vt:lpwstr>
  </property>
  <property fmtid="{D5CDD505-2E9C-101B-9397-08002B2CF9AE}" pid="37" name="AvailableTranslations_0">
    <vt:lpwstr>EN|f2175f21-25d7-44a3-96da-d6a61b075e1b;SV|c2ed69e7-a339-43d7-8f22-d93680a92aa0;RO|feb747a2-64cd-4299-af12-4833ddc30497</vt:lpwstr>
  </property>
  <property fmtid="{D5CDD505-2E9C-101B-9397-08002B2CF9AE}" pid="38" name="DocumentStatus_0">
    <vt:lpwstr>TRA|150d2a88-1431-44e6-a8ca-0bb753ab8672</vt:lpwstr>
  </property>
  <property fmtid="{D5CDD505-2E9C-101B-9397-08002B2CF9AE}" pid="39" name="OriginalLanguage_0">
    <vt:lpwstr>EN|f2175f21-25d7-44a3-96da-d6a61b075e1b</vt:lpwstr>
  </property>
  <property fmtid="{D5CDD505-2E9C-101B-9397-08002B2CF9AE}" pid="40" name="_docset_NoMedatataSyncRequired">
    <vt:lpwstr>False</vt:lpwstr>
  </property>
  <property fmtid="{D5CDD505-2E9C-101B-9397-08002B2CF9AE}" pid="42" name="DossierName_0">
    <vt:lpwstr>INT|e1edfecb-ed43-427b-bb02-d45fe6645386</vt:lpwstr>
  </property>
  <property fmtid="{D5CDD505-2E9C-101B-9397-08002B2CF9AE}" pid="43" name="DocumentVersion">
    <vt:i4>0</vt:i4>
  </property>
  <property fmtid="{D5CDD505-2E9C-101B-9397-08002B2CF9AE}" pid="44" name="DossierNumber">
    <vt:i4>1054</vt:i4>
  </property>
  <property fmtid="{D5CDD505-2E9C-101B-9397-08002B2CF9AE}" pid="45" name="DocumentStatus">
    <vt:lpwstr>3;#TRA|150d2a88-1431-44e6-a8ca-0bb753ab8672</vt:lpwstr>
  </property>
  <property fmtid="{D5CDD505-2E9C-101B-9397-08002B2CF9AE}" pid="49" name="MeetingName_0">
    <vt:lpwstr/>
  </property>
</Properties>
</file>