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3"/>
      </w:tblGrid>
      <w:tr w:rsidRPr="00C4223D" w:rsidR="00CD26C9" w:rsidTr="00695F57" w14:paraId="0C1266F7" w14:textId="77777777">
        <w:trPr>
          <w:jc w:val="center"/>
        </w:trPr>
        <w:tc>
          <w:tcPr>
            <w:tcW w:w="5000" w:type="pct"/>
            <w:vAlign w:val="center"/>
          </w:tcPr>
          <w:p w:rsidRPr="00C4223D" w:rsidR="00CD26C9" w:rsidP="00695F57" w:rsidRDefault="00CD26C9" w14:paraId="6B1B2975" w14:textId="77777777">
            <w:pPr>
              <w:jc w:val="center"/>
              <w:rPr>
                <w:b/>
                <w:bCs/>
                <w:sz w:val="72"/>
                <w:szCs w:val="72"/>
              </w:rPr>
            </w:pPr>
            <w:r>
              <w:rPr>
                <w:b/>
                <w:sz w:val="72"/>
              </w:rPr>
              <w:t>ДОКЛАД ЗА ОЦЕНКА</w:t>
            </w:r>
          </w:p>
        </w:tc>
      </w:tr>
      <w:tr w:rsidRPr="00C4223D" w:rsidR="00CD26C9" w:rsidTr="00695F57" w14:paraId="0997F6B4" w14:textId="77777777">
        <w:trPr>
          <w:trHeight w:val="567"/>
          <w:jc w:val="center"/>
        </w:trPr>
        <w:tc>
          <w:tcPr>
            <w:tcW w:w="5000" w:type="pct"/>
            <w:vAlign w:val="center"/>
          </w:tcPr>
          <w:p w:rsidRPr="00C4223D" w:rsidR="00CD26C9" w:rsidP="00695F57" w:rsidRDefault="00CD26C9" w14:paraId="3904D624" w14:textId="77777777">
            <w:pPr>
              <w:jc w:val="center"/>
              <w:rPr>
                <w:sz w:val="24"/>
                <w:szCs w:val="24"/>
              </w:rPr>
            </w:pPr>
            <w:r>
              <w:rPr>
                <w:sz w:val="24"/>
              </w:rPr>
              <w:t>Европейски икономически и социален комитет</w:t>
            </w:r>
          </w:p>
        </w:tc>
      </w:tr>
      <w:tr w:rsidRPr="00C4223D" w:rsidR="00CD26C9" w:rsidTr="00695F57" w14:paraId="1D644B77" w14:textId="77777777">
        <w:trPr>
          <w:jc w:val="center"/>
        </w:trPr>
        <w:tc>
          <w:tcPr>
            <w:tcW w:w="5000" w:type="pct"/>
            <w:vAlign w:val="center"/>
          </w:tcPr>
          <w:p w:rsidRPr="00C4223D" w:rsidR="00CD26C9" w:rsidP="00695F57" w:rsidRDefault="00F37E78" w14:paraId="25DFFFC7" w14:textId="5A414329">
            <w:pPr>
              <w:jc w:val="center"/>
              <w:rPr>
                <w:b/>
                <w:bCs/>
                <w:sz w:val="44"/>
                <w:szCs w:val="44"/>
              </w:rPr>
            </w:pPr>
            <w:r>
              <w:rPr>
                <w:b/>
                <w:sz w:val="44"/>
              </w:rPr>
              <w:t>Нелоялни търговски практики в отношенията между стопанските субекти във веригата за доставки на селскостопански и хранителни продукти</w:t>
            </w:r>
          </w:p>
        </w:tc>
      </w:tr>
      <w:tr w:rsidRPr="00C4223D" w:rsidR="00CD26C9" w:rsidTr="00695F57" w14:paraId="10E683EE" w14:textId="77777777">
        <w:trPr>
          <w:jc w:val="center"/>
        </w:trPr>
        <w:tc>
          <w:tcPr>
            <w:tcW w:w="5000" w:type="pct"/>
            <w:vAlign w:val="center"/>
          </w:tcPr>
          <w:p w:rsidRPr="00C4223D" w:rsidR="00CD26C9" w:rsidP="00695F57" w:rsidRDefault="00CD26C9" w14:paraId="2BAFC35D" w14:textId="77777777">
            <w:pPr>
              <w:overflowPunct w:val="0"/>
              <w:autoSpaceDE w:val="0"/>
              <w:autoSpaceDN w:val="0"/>
              <w:adjustRightInd w:val="0"/>
              <w:jc w:val="center"/>
              <w:textAlignment w:val="baseline"/>
              <w:rPr>
                <w:b/>
                <w:bCs/>
                <w:sz w:val="24"/>
                <w:szCs w:val="24"/>
              </w:rPr>
            </w:pPr>
            <w:r>
              <w:rPr>
                <w:sz w:val="24"/>
              </w:rPr>
              <w:t>________________</w:t>
            </w:r>
          </w:p>
        </w:tc>
      </w:tr>
      <w:tr w:rsidRPr="00C4223D" w:rsidR="00CD26C9" w:rsidTr="00695F57" w14:paraId="5B865E60" w14:textId="77777777">
        <w:trPr>
          <w:jc w:val="center"/>
        </w:trPr>
        <w:tc>
          <w:tcPr>
            <w:tcW w:w="5000" w:type="pct"/>
            <w:vAlign w:val="center"/>
          </w:tcPr>
          <w:p w:rsidRPr="00C4223D" w:rsidR="00CD26C9" w:rsidP="00695F57" w:rsidRDefault="00F37E78" w14:paraId="765FFD53" w14:textId="630C75FB">
            <w:pPr>
              <w:jc w:val="center"/>
              <w:rPr>
                <w:sz w:val="24"/>
                <w:szCs w:val="24"/>
              </w:rPr>
            </w:pPr>
            <w:r>
              <w:rPr>
                <w:sz w:val="24"/>
              </w:rPr>
              <w:t>Оценка на Директива (ЕС) 2019/633 от 17 април 2019 г. относно нелоялните търговски практики в отношенията между стопанските субекти във веригата за доставки на селскостопански и хранителни продукти</w:t>
            </w:r>
            <w:r w:rsidR="000D7AAD">
              <w:rPr>
                <w:sz w:val="24"/>
              </w:rPr>
              <w:br/>
            </w:r>
            <w:r>
              <w:rPr>
                <w:sz w:val="24"/>
              </w:rPr>
              <w:t>(вкл. картографиране на националното законодателство относно нелоялните търговски практики)</w:t>
            </w:r>
          </w:p>
        </w:tc>
      </w:tr>
      <w:tr w:rsidRPr="00C4223D" w:rsidR="00CD26C9" w:rsidTr="00695F57" w14:paraId="30A15ABD" w14:textId="77777777">
        <w:trPr>
          <w:jc w:val="center"/>
        </w:trPr>
        <w:tc>
          <w:tcPr>
            <w:tcW w:w="5000" w:type="pct"/>
            <w:vAlign w:val="center"/>
          </w:tcPr>
          <w:p w:rsidRPr="00F95AC9" w:rsidR="00CD26C9" w:rsidP="00695F57" w:rsidRDefault="00CD26C9" w14:paraId="4CDF6137" w14:textId="77777777">
            <w:pPr>
              <w:jc w:val="center"/>
              <w:rPr>
                <w:sz w:val="24"/>
                <w:szCs w:val="24"/>
              </w:rPr>
            </w:pPr>
          </w:p>
        </w:tc>
      </w:tr>
      <w:tr w:rsidRPr="00C4223D" w:rsidR="00CD26C9" w:rsidTr="00695F57" w14:paraId="0A87DD1F" w14:textId="77777777">
        <w:trPr>
          <w:jc w:val="center"/>
        </w:trPr>
        <w:tc>
          <w:tcPr>
            <w:tcW w:w="5000" w:type="pct"/>
            <w:vAlign w:val="center"/>
          </w:tcPr>
          <w:p w:rsidRPr="00C4223D" w:rsidR="00CD26C9" w:rsidP="00695F57" w:rsidRDefault="00F37E78" w14:paraId="3922E3BF" w14:textId="0FBE3774">
            <w:pPr>
              <w:jc w:val="center"/>
              <w:rPr>
                <w:b/>
                <w:bCs/>
                <w:sz w:val="24"/>
                <w:szCs w:val="24"/>
              </w:rPr>
            </w:pPr>
            <w:r>
              <w:rPr>
                <w:b/>
                <w:sz w:val="24"/>
              </w:rPr>
              <w:t>NAT/930</w:t>
            </w:r>
          </w:p>
        </w:tc>
      </w:tr>
      <w:tr w:rsidRPr="00C4223D" w:rsidR="00CD26C9" w:rsidTr="00695F57" w14:paraId="7C0D824A" w14:textId="77777777">
        <w:trPr>
          <w:jc w:val="center"/>
        </w:trPr>
        <w:tc>
          <w:tcPr>
            <w:tcW w:w="5000" w:type="pct"/>
            <w:vAlign w:val="center"/>
          </w:tcPr>
          <w:p w:rsidRPr="00C4223D" w:rsidR="00CD26C9" w:rsidP="00695F57" w:rsidRDefault="00CD26C9" w14:paraId="193AB3B9" w14:textId="77777777">
            <w:pPr>
              <w:jc w:val="center"/>
              <w:rPr>
                <w:sz w:val="24"/>
                <w:szCs w:val="24"/>
                <w:lang w:val="en-GB"/>
              </w:rPr>
            </w:pPr>
          </w:p>
        </w:tc>
      </w:tr>
      <w:tr w:rsidRPr="00C4223D" w:rsidR="00CD26C9" w:rsidTr="00695F57" w14:paraId="65003D07" w14:textId="77777777">
        <w:trPr>
          <w:jc w:val="center"/>
        </w:trPr>
        <w:tc>
          <w:tcPr>
            <w:tcW w:w="5000" w:type="pct"/>
            <w:vAlign w:val="center"/>
          </w:tcPr>
          <w:p w:rsidRPr="00C4223D" w:rsidR="00CD26C9" w:rsidP="00695F57" w:rsidRDefault="00CD26C9" w14:paraId="2D4C5907" w14:textId="0F6224A0">
            <w:pPr>
              <w:jc w:val="center"/>
              <w:rPr>
                <w:sz w:val="24"/>
                <w:szCs w:val="24"/>
              </w:rPr>
            </w:pPr>
            <w:r>
              <w:rPr>
                <w:sz w:val="24"/>
              </w:rPr>
              <w:t xml:space="preserve">Докладчик: </w:t>
            </w:r>
            <w:proofErr w:type="spellStart"/>
            <w:r>
              <w:rPr>
                <w:b/>
                <w:sz w:val="24"/>
              </w:rPr>
              <w:t>Antje</w:t>
            </w:r>
            <w:proofErr w:type="spellEnd"/>
            <w:r>
              <w:rPr>
                <w:b/>
                <w:sz w:val="24"/>
              </w:rPr>
              <w:t xml:space="preserve"> GERSTEIN</w:t>
            </w:r>
          </w:p>
        </w:tc>
      </w:tr>
      <w:tr w:rsidRPr="00C4223D" w:rsidR="00CD26C9" w:rsidTr="00695F57" w14:paraId="0105A06B" w14:textId="77777777">
        <w:trPr>
          <w:jc w:val="center"/>
        </w:trPr>
        <w:tc>
          <w:tcPr>
            <w:tcW w:w="5000" w:type="pct"/>
            <w:vAlign w:val="center"/>
          </w:tcPr>
          <w:p w:rsidRPr="00C4223D" w:rsidR="00CD26C9" w:rsidP="00695F57" w:rsidRDefault="00CD26C9" w14:paraId="55322D6D" w14:textId="4323CC8A">
            <w:pPr>
              <w:jc w:val="center"/>
              <w:rPr>
                <w:sz w:val="24"/>
                <w:szCs w:val="24"/>
              </w:rPr>
            </w:pPr>
            <w:r>
              <w:rPr>
                <w:sz w:val="24"/>
              </w:rPr>
              <w:t xml:space="preserve">Съдокладчик: </w:t>
            </w:r>
            <w:proofErr w:type="spellStart"/>
            <w:r>
              <w:rPr>
                <w:b/>
                <w:sz w:val="24"/>
              </w:rPr>
              <w:t>Branko</w:t>
            </w:r>
            <w:proofErr w:type="spellEnd"/>
            <w:r>
              <w:rPr>
                <w:b/>
                <w:sz w:val="24"/>
              </w:rPr>
              <w:t xml:space="preserve"> RAVNIK</w:t>
            </w:r>
          </w:p>
        </w:tc>
      </w:tr>
    </w:tbl>
    <w:p w:rsidRPr="00C4223D" w:rsidR="00574C9B" w:rsidP="00574C9B" w:rsidRDefault="00574C9B" w14:paraId="0B225863" w14:textId="77777777">
      <w:r>
        <w:rPr>
          <w:noProof/>
          <w:sz w:val="20"/>
        </w:rPr>
        <mc:AlternateContent>
          <mc:Choice Requires="wps">
            <w:drawing>
              <wp:anchor distT="0" distB="0" distL="114300" distR="114300" simplePos="0" relativeHeight="251659264"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3B00903" w14:textId="77777777">
                      <w:pPr>
                        <w:jc w:val="center"/>
                      </w:pPr>
                      <w:r>
                        <w:rPr>
                          <w:rFonts w:ascii="Arial" w:hAnsi="Arial"/>
                          <w:b/>
                          <w:sz w:val="48"/>
                        </w:rPr>
                        <w:t>BG</w:t>
                      </w:r>
                    </w:p>
                  </w:txbxContent>
                </v:textbox>
                <w10:wrap anchorx="margin" anchory="page"/>
              </v:shape>
            </w:pict>
          </mc:Fallback>
        </mc:AlternateContent>
      </w:r>
    </w:p>
    <w:p w:rsidRPr="00C4223D" w:rsidR="00574C9B" w:rsidP="00574C9B" w:rsidRDefault="00574C9B" w14:paraId="3FA5826A" w14:textId="77777777">
      <w:pPr>
        <w:rPr>
          <w:lang w:val="en-GB"/>
        </w:rPr>
      </w:pPr>
    </w:p>
    <w:p w:rsidRPr="00C4223D" w:rsidR="00574C9B" w:rsidP="00574C9B" w:rsidRDefault="00574C9B" w14:paraId="4B88FC0A" w14:textId="77777777">
      <w:pPr>
        <w:rPr>
          <w:lang w:val="en-GB"/>
        </w:rPr>
        <w:sectPr w:rsidRPr="00C4223D" w:rsidR="00574C9B" w:rsidSect="00FD7D48">
          <w:headerReference w:type="even" r:id="rId12"/>
          <w:headerReference w:type="default" r:id="rId13"/>
          <w:headerReference w:type="first" r:id="rId14"/>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C4223D" w:rsidR="00914683" w:rsidTr="00E15BF4" w14:paraId="64074C63" w14:textId="77777777">
        <w:tc>
          <w:tcPr>
            <w:tcW w:w="3085" w:type="dxa"/>
          </w:tcPr>
          <w:p w:rsidRPr="00C4223D" w:rsidR="00914683" w:rsidP="0058411F" w:rsidRDefault="009F3486" w14:paraId="51393BC8" w14:textId="242D439D">
            <w:pPr>
              <w:autoSpaceDE w:val="0"/>
              <w:autoSpaceDN w:val="0"/>
              <w:jc w:val="left"/>
              <w:rPr>
                <w:szCs w:val="20"/>
              </w:rPr>
            </w:pPr>
            <w:r>
              <w:lastRenderedPageBreak/>
              <w:t>Съветници</w:t>
            </w:r>
          </w:p>
        </w:tc>
        <w:tc>
          <w:tcPr>
            <w:tcW w:w="6204" w:type="dxa"/>
            <w:vAlign w:val="bottom"/>
          </w:tcPr>
          <w:p w:rsidRPr="00C4223D" w:rsidR="00F37E78" w:rsidP="00F37E78" w:rsidRDefault="00F37E78" w14:paraId="43244F25" w14:textId="77777777">
            <w:pPr>
              <w:autoSpaceDE w:val="0"/>
              <w:autoSpaceDN w:val="0"/>
              <w:jc w:val="left"/>
            </w:pPr>
            <w:proofErr w:type="spellStart"/>
            <w:r>
              <w:t>Philipp</w:t>
            </w:r>
            <w:proofErr w:type="spellEnd"/>
            <w:r>
              <w:t xml:space="preserve"> </w:t>
            </w:r>
            <w:proofErr w:type="spellStart"/>
            <w:r>
              <w:t>Pichler</w:t>
            </w:r>
            <w:proofErr w:type="spellEnd"/>
            <w:r>
              <w:t xml:space="preserve"> на докладчика</w:t>
            </w:r>
          </w:p>
          <w:p w:rsidRPr="00C4223D" w:rsidR="00914683" w:rsidP="00F37E78" w:rsidRDefault="00F37E78" w14:paraId="1BB75A13" w14:textId="40941136">
            <w:pPr>
              <w:autoSpaceDE w:val="0"/>
              <w:autoSpaceDN w:val="0"/>
              <w:jc w:val="left"/>
            </w:pPr>
            <w:proofErr w:type="spellStart"/>
            <w:r>
              <w:t>Jorge</w:t>
            </w:r>
            <w:proofErr w:type="spellEnd"/>
            <w:r>
              <w:t xml:space="preserve"> </w:t>
            </w:r>
            <w:proofErr w:type="spellStart"/>
            <w:r>
              <w:t>Conesa</w:t>
            </w:r>
            <w:proofErr w:type="spellEnd"/>
            <w:r>
              <w:t xml:space="preserve"> на съдокладчика</w:t>
            </w:r>
          </w:p>
        </w:tc>
      </w:tr>
      <w:tr w:rsidRPr="00C4223D" w:rsidR="009F3486" w:rsidTr="00E15BF4" w14:paraId="439F01E3" w14:textId="77777777">
        <w:tc>
          <w:tcPr>
            <w:tcW w:w="3085" w:type="dxa"/>
          </w:tcPr>
          <w:p w:rsidRPr="00F95AC9" w:rsidR="009F3486" w:rsidP="0058411F" w:rsidRDefault="009F3486" w14:paraId="3BA47B6B" w14:textId="77777777">
            <w:pPr>
              <w:autoSpaceDE w:val="0"/>
              <w:autoSpaceDN w:val="0"/>
              <w:jc w:val="left"/>
              <w:rPr>
                <w:szCs w:val="20"/>
              </w:rPr>
            </w:pPr>
          </w:p>
        </w:tc>
        <w:tc>
          <w:tcPr>
            <w:tcW w:w="6204" w:type="dxa"/>
            <w:vAlign w:val="bottom"/>
          </w:tcPr>
          <w:p w:rsidRPr="00F95AC9" w:rsidR="009F3486" w:rsidP="0058411F" w:rsidRDefault="009F3486" w14:paraId="301F80DA" w14:textId="77777777">
            <w:pPr>
              <w:autoSpaceDE w:val="0"/>
              <w:autoSpaceDN w:val="0"/>
              <w:jc w:val="left"/>
            </w:pPr>
          </w:p>
        </w:tc>
      </w:tr>
      <w:tr w:rsidRPr="00C4223D" w:rsidR="009F3486" w:rsidTr="00E15BF4" w14:paraId="139D4058" w14:textId="77777777">
        <w:tc>
          <w:tcPr>
            <w:tcW w:w="3085" w:type="dxa"/>
          </w:tcPr>
          <w:p w:rsidRPr="00C4223D" w:rsidR="009F3486" w:rsidP="0058411F" w:rsidRDefault="009F3486" w14:paraId="6C1D3442" w14:textId="0BBD6945">
            <w:pPr>
              <w:autoSpaceDE w:val="0"/>
              <w:autoSpaceDN w:val="0"/>
              <w:jc w:val="left"/>
              <w:rPr>
                <w:szCs w:val="20"/>
              </w:rPr>
            </w:pPr>
            <w:r>
              <w:t>Искане за консултация от Комитета</w:t>
            </w:r>
          </w:p>
        </w:tc>
        <w:tc>
          <w:tcPr>
            <w:tcW w:w="6204" w:type="dxa"/>
            <w:vAlign w:val="bottom"/>
          </w:tcPr>
          <w:p w:rsidRPr="00C4223D" w:rsidR="009F3486" w:rsidP="0058411F" w:rsidRDefault="00F37E78" w14:paraId="376AB48C" w14:textId="0B65274D">
            <w:pPr>
              <w:autoSpaceDE w:val="0"/>
              <w:autoSpaceDN w:val="0"/>
              <w:jc w:val="left"/>
            </w:pPr>
            <w:r>
              <w:t>Европейската комисия, 12.12.2023 г.</w:t>
            </w:r>
          </w:p>
        </w:tc>
      </w:tr>
      <w:tr w:rsidRPr="00C4223D" w:rsidR="00AC5114" w:rsidTr="00E15BF4" w14:paraId="46C189AE" w14:textId="77777777">
        <w:tc>
          <w:tcPr>
            <w:tcW w:w="3085" w:type="dxa"/>
          </w:tcPr>
          <w:p w:rsidRPr="00C4223D" w:rsidR="00AC5114" w:rsidP="0058411F" w:rsidRDefault="00AC5114" w14:paraId="2DA32C67" w14:textId="77777777">
            <w:pPr>
              <w:autoSpaceDE w:val="0"/>
              <w:autoSpaceDN w:val="0"/>
              <w:jc w:val="left"/>
              <w:rPr>
                <w:szCs w:val="20"/>
              </w:rPr>
            </w:pPr>
            <w:r>
              <w:t>Правно основание</w:t>
            </w:r>
          </w:p>
        </w:tc>
        <w:tc>
          <w:tcPr>
            <w:tcW w:w="6204" w:type="dxa"/>
            <w:vAlign w:val="bottom"/>
          </w:tcPr>
          <w:p w:rsidRPr="00C4223D" w:rsidR="00AC5114" w:rsidP="0058411F" w:rsidRDefault="00AC5114" w14:paraId="67EB3E4A" w14:textId="2E2815FD">
            <w:pPr>
              <w:autoSpaceDE w:val="0"/>
              <w:autoSpaceDN w:val="0"/>
              <w:jc w:val="left"/>
              <w:rPr>
                <w:szCs w:val="20"/>
              </w:rPr>
            </w:pPr>
            <w:r>
              <w:t>член 304 от Договора за функционирането на Европейския съюз,</w:t>
            </w:r>
          </w:p>
        </w:tc>
      </w:tr>
      <w:tr w:rsidRPr="00C4223D" w:rsidR="00AC5114" w:rsidTr="00E15BF4" w14:paraId="0E2099A6" w14:textId="77777777">
        <w:tc>
          <w:tcPr>
            <w:tcW w:w="3085" w:type="dxa"/>
          </w:tcPr>
          <w:p w:rsidRPr="00C4223D" w:rsidR="00AC5114" w:rsidP="0058411F" w:rsidRDefault="00AC5114" w14:paraId="0BC68BA5" w14:textId="77777777">
            <w:pPr>
              <w:autoSpaceDE w:val="0"/>
              <w:autoSpaceDN w:val="0"/>
              <w:jc w:val="left"/>
            </w:pPr>
            <w:r>
              <w:t>Компетентна секция</w:t>
            </w:r>
          </w:p>
        </w:tc>
        <w:tc>
          <w:tcPr>
            <w:tcW w:w="6204" w:type="dxa"/>
            <w:vAlign w:val="bottom"/>
          </w:tcPr>
          <w:p w:rsidRPr="00C4223D" w:rsidR="00AC5114" w:rsidP="0058411F" w:rsidRDefault="00F37E78" w14:paraId="5AE7EA9E" w14:textId="42A170EA">
            <w:pPr>
              <w:autoSpaceDE w:val="0"/>
              <w:autoSpaceDN w:val="0"/>
              <w:jc w:val="left"/>
            </w:pPr>
            <w:r>
              <w:t>„Земеделие, развитие на селските райони, околна среда“</w:t>
            </w:r>
          </w:p>
        </w:tc>
      </w:tr>
      <w:tr w:rsidRPr="00C4223D" w:rsidR="00AC5114" w:rsidTr="00E15BF4" w14:paraId="53972E32" w14:textId="77777777">
        <w:tc>
          <w:tcPr>
            <w:tcW w:w="3085" w:type="dxa"/>
          </w:tcPr>
          <w:p w:rsidRPr="00C4223D" w:rsidR="00AC5114" w:rsidP="0058411F" w:rsidRDefault="00AC5114" w14:paraId="13B33E83" w14:textId="77777777">
            <w:pPr>
              <w:autoSpaceDE w:val="0"/>
              <w:autoSpaceDN w:val="0"/>
              <w:jc w:val="left"/>
            </w:pPr>
            <w:r>
              <w:t>Приемане от секцията</w:t>
            </w:r>
          </w:p>
        </w:tc>
        <w:tc>
          <w:tcPr>
            <w:tcW w:w="6204" w:type="dxa"/>
            <w:vAlign w:val="bottom"/>
          </w:tcPr>
          <w:p w:rsidRPr="00C4223D" w:rsidR="00AC5114" w:rsidP="0058411F" w:rsidRDefault="00F37E78" w14:paraId="5E71ECD2" w14:textId="2C6684C3">
            <w:pPr>
              <w:autoSpaceDE w:val="0"/>
              <w:autoSpaceDN w:val="0"/>
              <w:jc w:val="left"/>
            </w:pPr>
            <w:r>
              <w:t>12.3.2025 г.</w:t>
            </w:r>
          </w:p>
        </w:tc>
      </w:tr>
      <w:tr w:rsidRPr="00C4223D" w:rsidR="0058411F" w:rsidTr="00E15BF4" w14:paraId="7AE47B93" w14:textId="77777777">
        <w:tc>
          <w:tcPr>
            <w:tcW w:w="3085" w:type="dxa"/>
          </w:tcPr>
          <w:p w:rsidRPr="00C4223D" w:rsidR="0058411F" w:rsidP="0058411F" w:rsidRDefault="0058411F" w14:paraId="26DE3092" w14:textId="2975B5A0">
            <w:pPr>
              <w:autoSpaceDE w:val="0"/>
              <w:autoSpaceDN w:val="0"/>
              <w:jc w:val="left"/>
            </w:pPr>
            <w:r>
              <w:t>Приемане на пленарна сесия</w:t>
            </w:r>
          </w:p>
        </w:tc>
        <w:tc>
          <w:tcPr>
            <w:tcW w:w="6204" w:type="dxa"/>
            <w:vAlign w:val="bottom"/>
          </w:tcPr>
          <w:p w:rsidRPr="00C4223D" w:rsidR="0058411F" w:rsidP="0058411F" w:rsidRDefault="00054592" w14:paraId="34FA2183" w14:textId="0E5B7D02">
            <w:pPr>
              <w:autoSpaceDE w:val="0"/>
              <w:autoSpaceDN w:val="0"/>
              <w:jc w:val="left"/>
            </w:pPr>
            <w:r>
              <w:t>26.3.2025 г</w:t>
            </w:r>
          </w:p>
        </w:tc>
      </w:tr>
      <w:tr w:rsidRPr="00C4223D" w:rsidR="0058411F" w:rsidTr="00E15BF4" w14:paraId="2FE8AE44" w14:textId="77777777">
        <w:tc>
          <w:tcPr>
            <w:tcW w:w="3085" w:type="dxa"/>
          </w:tcPr>
          <w:p w:rsidRPr="00C4223D" w:rsidR="0058411F" w:rsidP="0058411F" w:rsidRDefault="0058411F" w14:paraId="2A65A034" w14:textId="77777777">
            <w:pPr>
              <w:autoSpaceDE w:val="0"/>
              <w:autoSpaceDN w:val="0"/>
              <w:jc w:val="left"/>
            </w:pPr>
            <w:r>
              <w:t>Пленарна сесия №</w:t>
            </w:r>
          </w:p>
        </w:tc>
        <w:tc>
          <w:tcPr>
            <w:tcW w:w="6204" w:type="dxa"/>
            <w:vAlign w:val="bottom"/>
          </w:tcPr>
          <w:p w:rsidRPr="00C4223D" w:rsidR="0058411F" w:rsidP="0058411F" w:rsidRDefault="00054592" w14:paraId="17BFB0A7" w14:textId="66D77005">
            <w:pPr>
              <w:autoSpaceDE w:val="0"/>
              <w:autoSpaceDN w:val="0"/>
              <w:jc w:val="left"/>
            </w:pPr>
            <w:r>
              <w:t>595</w:t>
            </w:r>
          </w:p>
        </w:tc>
      </w:tr>
      <w:tr w:rsidRPr="00C4223D" w:rsidR="0058411F" w:rsidTr="00E15BF4" w14:paraId="3889B17A" w14:textId="77777777">
        <w:tc>
          <w:tcPr>
            <w:tcW w:w="3085" w:type="dxa"/>
          </w:tcPr>
          <w:p w:rsidRPr="00C4223D" w:rsidR="0058411F" w:rsidP="0058411F" w:rsidRDefault="0058411F" w14:paraId="0C723801" w14:textId="2C40723A">
            <w:pPr>
              <w:autoSpaceDE w:val="0"/>
              <w:autoSpaceDN w:val="0"/>
              <w:jc w:val="left"/>
            </w:pPr>
            <w:r>
              <w:t>Резултат от гласуването</w:t>
            </w:r>
            <w:r>
              <w:br/>
              <w:t>(„за“/„против“/„въздържал се“)</w:t>
            </w:r>
          </w:p>
        </w:tc>
        <w:tc>
          <w:tcPr>
            <w:tcW w:w="6204" w:type="dxa"/>
            <w:vAlign w:val="bottom"/>
          </w:tcPr>
          <w:p w:rsidRPr="00C4223D" w:rsidR="0058411F" w:rsidP="0058411F" w:rsidRDefault="00054592" w14:paraId="14DB34EA" w14:textId="748F6C11">
            <w:pPr>
              <w:autoSpaceDE w:val="0"/>
              <w:autoSpaceDN w:val="0"/>
              <w:jc w:val="left"/>
            </w:pPr>
            <w:r>
              <w:t>214/2/3</w:t>
            </w:r>
          </w:p>
        </w:tc>
      </w:tr>
    </w:tbl>
    <w:p w:rsidRPr="00C4223D" w:rsidR="00AC5114" w:rsidP="00574C9B" w:rsidRDefault="00AC5114" w14:paraId="156A5F34" w14:textId="77777777">
      <w:pPr>
        <w:rPr>
          <w:lang w:val="en-GB"/>
        </w:rPr>
      </w:pPr>
    </w:p>
    <w:p w:rsidRPr="00C4223D" w:rsidR="00AC5114" w:rsidP="00574C9B" w:rsidRDefault="00AC5114" w14:paraId="2CD3051D" w14:textId="77777777">
      <w:pPr>
        <w:rPr>
          <w:lang w:val="en-GB"/>
        </w:rPr>
        <w:sectPr w:rsidRPr="00C4223D" w:rsidR="00AC5114" w:rsidSect="00FD7D48">
          <w:headerReference w:type="even" r:id="rId15"/>
          <w:headerReference w:type="default" r:id="rId16"/>
          <w:footerReference w:type="default" r:id="rId17"/>
          <w:headerReference w:type="first" r:id="rId18"/>
          <w:pgSz w:w="11907" w:h="16839" w:code="9"/>
          <w:pgMar w:top="5669" w:right="1418" w:bottom="1418" w:left="1418" w:header="709" w:footer="709" w:gutter="0"/>
          <w:cols w:space="720"/>
          <w:docGrid w:linePitch="360"/>
        </w:sectPr>
      </w:pPr>
    </w:p>
    <w:p w:rsidRPr="00C4223D" w:rsidR="00054592" w:rsidP="00054592" w:rsidRDefault="00054592" w14:paraId="5918D24D" w14:textId="77777777">
      <w:pPr>
        <w:keepNext/>
        <w:numPr>
          <w:ilvl w:val="0"/>
          <w:numId w:val="1"/>
        </w:numPr>
        <w:ind w:left="567" w:hanging="567"/>
        <w:outlineLvl w:val="0"/>
        <w:rPr>
          <w:b/>
          <w:kern w:val="28"/>
        </w:rPr>
      </w:pPr>
      <w:r>
        <w:rPr>
          <w:b/>
        </w:rPr>
        <w:lastRenderedPageBreak/>
        <w:t>Въведение</w:t>
      </w:r>
    </w:p>
    <w:p w:rsidRPr="00C4223D" w:rsidR="00054592" w:rsidP="00054592" w:rsidRDefault="00054592" w14:paraId="2848B66E" w14:textId="77777777">
      <w:pPr>
        <w:rPr>
          <w:lang w:val="en-GB"/>
        </w:rPr>
      </w:pPr>
    </w:p>
    <w:p w:rsidRPr="00C4223D" w:rsidR="00054592" w:rsidP="00054592" w:rsidRDefault="00054592" w14:paraId="088B675E" w14:textId="77777777">
      <w:pPr>
        <w:numPr>
          <w:ilvl w:val="1"/>
          <w:numId w:val="1"/>
        </w:numPr>
        <w:ind w:left="567" w:hanging="567"/>
        <w:outlineLvl w:val="1"/>
      </w:pPr>
      <w:r>
        <w:t>Настоящият доклад за оценка на прилагането на Директива (ЕС) 2019/633 от 17 април 2019 г. относно нелоялните търговски практики в отношенията между стопанските субекти във веригата за доставки на селскостопански и хранителни продукти през периода 2019—2024 г. е приносът на ЕИСК към текущата последваща оценка на Европейската комисия на тази директива. В него се вземат предвид основните цели на ОСП за периода 2023—2027 г., по-специално подобряването на конкурентоспособността и преговорната позиция на първичните производители във веригата на доставки с цел увеличаване на техните доходи.</w:t>
      </w:r>
      <w:r w:rsidRPr="00C4223D">
        <w:rPr>
          <w:sz w:val="24"/>
          <w:vertAlign w:val="superscript"/>
          <w:lang w:val="en-GB"/>
        </w:rPr>
        <w:footnoteReference w:id="1"/>
      </w:r>
      <w:r>
        <w:t xml:space="preserve"> Докладът на ЕИСК за оценка се съсредоточава върху събирането и анализа на вижданията за прилагането на Директивата относно НТП в избрани държави — членки на ЕС.</w:t>
      </w:r>
    </w:p>
    <w:p w:rsidRPr="00F95AC9" w:rsidR="00054592" w:rsidP="00054592" w:rsidRDefault="00054592" w14:paraId="6709269C" w14:textId="77777777"/>
    <w:p w:rsidRPr="00C4223D" w:rsidR="00054592" w:rsidP="00054592" w:rsidRDefault="00054592" w14:paraId="651B27FB" w14:textId="77777777">
      <w:pPr>
        <w:numPr>
          <w:ilvl w:val="1"/>
          <w:numId w:val="1"/>
        </w:numPr>
        <w:ind w:left="567" w:hanging="567"/>
        <w:outlineLvl w:val="1"/>
      </w:pPr>
      <w:r>
        <w:t>Директива 2019/633 относно НТП е правен инструмент, с който се цели да се защитят доставчиците на селскостопански и хранителни продукти от използването на нелоялни търговски практики (НТП) на купувачите във веригата за доставки на храни. Общата цел на директивата е да се гарантира по-справедливо третиране на земеделските стопани и на малките и средните доставчици, да се засилят техните преговорни позиции и да се подобри начинът, по който функционира вътрешният пазар. Нелоялните търговски практики (НТП) са практики, които са в разрез с принципите за добросъвестност и почтеност при сключването на сделки, драстично се отклоняват от нормите на етичното търговско поведение и се налагат едностранно от единия на другия търговски партньор. В Директивата относно НТП се определят ясно десет забранени практики („черни“ практики) и шест разрешени практики, при условие че те са предварително и ясно договорени и отговарят на някои допълнителни формални изисквания („сиви“ практики).</w:t>
      </w:r>
    </w:p>
    <w:p w:rsidRPr="00F95AC9" w:rsidR="00054592" w:rsidP="00054592" w:rsidRDefault="00054592" w14:paraId="5DD9A4F1" w14:textId="77777777"/>
    <w:p w:rsidRPr="00C4223D" w:rsidR="00054592" w:rsidP="00054592" w:rsidRDefault="00054592" w14:paraId="0199ACD0" w14:textId="498D0B1E">
      <w:pPr>
        <w:numPr>
          <w:ilvl w:val="1"/>
          <w:numId w:val="1"/>
        </w:numPr>
        <w:ind w:left="567" w:hanging="567"/>
        <w:outlineLvl w:val="1"/>
      </w:pPr>
      <w:r>
        <w:t>В съответствие с методологията на ЕИСК за оценка, настоящият доклад беше изготвен въз основа на резултатите от направените посещения за установяване на фактите и онлайн анкетата в пет държави — членки на ЕС: България, Германия, Естония, Словения и Унгария. Националното законодателство в тези държави се различава значително по отношение на забраните, които излизат извън обхвата на Директивата относно НТП, и на разглежданите стопански отношения. Техническото приложение към настоящия доклад съдържа подробна информация относно констатациите от онлайн въпросника и проведените срещи със заинтересовани страни от горепосочените държави.</w:t>
      </w:r>
    </w:p>
    <w:p w:rsidRPr="00F95AC9" w:rsidR="00054592" w:rsidP="00054592" w:rsidRDefault="00054592" w14:paraId="7F875351" w14:textId="77777777"/>
    <w:p w:rsidRPr="00C4223D" w:rsidR="00054592" w:rsidP="00054592" w:rsidRDefault="00054592" w14:paraId="05944DA1" w14:textId="77777777">
      <w:pPr>
        <w:numPr>
          <w:ilvl w:val="1"/>
          <w:numId w:val="1"/>
        </w:numPr>
        <w:ind w:left="567" w:hanging="567"/>
        <w:outlineLvl w:val="1"/>
      </w:pPr>
      <w:r>
        <w:t>С цел да се допълни оценката на Европейската комисия, в оценката на ЕИСК се поставя специален акцент върху това дали Директивата относно НТП е променила преговорните позиции на по-слабите оператори във веригата за доставки на храни, дали е постигнала баланс между предотвратяването и възпирането на НТП от една страна и избягването на прекомерна тежест от друга, дали е осигурила ефективни и пропорционални механизми за правоприлагане на национално равнище и дали спомага за насърчаването на култура на диалог и сътрудничество по веригата на доставки в избраните държави.</w:t>
      </w:r>
    </w:p>
    <w:p w:rsidRPr="00F95AC9" w:rsidR="00054592" w:rsidP="00054592" w:rsidRDefault="00054592" w14:paraId="2572DA9A" w14:textId="77777777"/>
    <w:p w:rsidRPr="00C4223D" w:rsidR="00054592" w:rsidP="00054592" w:rsidRDefault="00054592" w14:paraId="423919DD" w14:textId="77777777">
      <w:pPr>
        <w:keepNext/>
        <w:numPr>
          <w:ilvl w:val="0"/>
          <w:numId w:val="1"/>
        </w:numPr>
        <w:ind w:left="567" w:hanging="567"/>
        <w:outlineLvl w:val="0"/>
        <w:rPr>
          <w:b/>
          <w:kern w:val="28"/>
        </w:rPr>
      </w:pPr>
      <w:r>
        <w:rPr>
          <w:b/>
        </w:rPr>
        <w:lastRenderedPageBreak/>
        <w:t>Заключения относно ефективността</w:t>
      </w:r>
    </w:p>
    <w:p w:rsidRPr="00C4223D" w:rsidR="00054592" w:rsidP="00054592" w:rsidRDefault="00054592" w14:paraId="23A21DE9" w14:textId="77777777">
      <w:pPr>
        <w:keepNext/>
        <w:ind w:left="142" w:hanging="142"/>
        <w:jc w:val="left"/>
        <w:rPr>
          <w:lang w:val="en-GB"/>
        </w:rPr>
      </w:pPr>
    </w:p>
    <w:p w:rsidRPr="00C4223D" w:rsidR="00054592" w:rsidP="00054592" w:rsidRDefault="00054592" w14:paraId="1D623955" w14:textId="77777777">
      <w:pPr>
        <w:numPr>
          <w:ilvl w:val="1"/>
          <w:numId w:val="1"/>
        </w:numPr>
        <w:ind w:left="567" w:hanging="567"/>
        <w:outlineLvl w:val="1"/>
      </w:pPr>
      <w:r>
        <w:t xml:space="preserve">Според респондентите Директивата относно НТП допринася до известна степен за правната сигурност и предвидимостта на правните въпроси. 43 % от респондентите, отговорили на онлайн въпросника, считат, че той е допринесъл ефективно за постигането на тази цел на равнището на ЕС, докато 56 % смятат, че това е така на национално равнище. 32 % от респондентите считат, че това е неефективно на равнище ЕС, а 41 % — на национално равнище. 22 % от респондентите на равнище ЕС и 3 % от респондентите на национално равнище отговориха „Не знам“. По-специално стандартизираният и структуриран подход на Директивата относно НТП беше счетен за положителен от гледна точка на правната сигурност. </w:t>
      </w:r>
    </w:p>
    <w:p w:rsidRPr="00F95AC9" w:rsidR="00054592" w:rsidP="00054592" w:rsidRDefault="00054592" w14:paraId="5C3E2282" w14:textId="77777777"/>
    <w:p w:rsidRPr="00C4223D" w:rsidR="00054592" w:rsidP="00054592" w:rsidRDefault="00054592" w14:paraId="56BEAAA5" w14:textId="77777777">
      <w:pPr>
        <w:numPr>
          <w:ilvl w:val="1"/>
          <w:numId w:val="1"/>
        </w:numPr>
        <w:ind w:left="567" w:hanging="567"/>
        <w:outlineLvl w:val="1"/>
      </w:pPr>
      <w:r>
        <w:t xml:space="preserve">Що се отнася до ефективността на веригата за доставки на селскостопански хранителни продукти, респондентите, отговорили онлайн, считат, че Директивата относно НТП, и по-специално националното законодателство за прилагане, не са били ефективни по отношение на защитата и повишаването на ефективността на веригата за доставки на селскостопански хранителни продукти. Нито един респондент не счита, че Директивата относно НТП е много ефективна по отношение на защитата и повишаването на ефективността на веригата за доставки на селскостопански хранителни продукти, а само 32 % от респондентите считат, че Директивата относно НТП е умерено ефективна както на равнището на ЕС, така и на национално равнище. В Германия само 17 % от респондентите считат, че Директивата относно НТП е ефективна по отношение на защитата и повишаването на ефективността на веригата за доставки на селскостопански хранителни продукти. 35 % от респондентите считат, че тя е неефективна на равнище ЕС, а 54 % — на национално равнище, докато 16 % считат, че тя изобщо не е ефективна на равнището на ЕС, а 27 % имат същата гледна точка по отношение на националното равнище. 32 % от респондентите на равнище ЕС и 14 % от респондентите на национално равнище отговориха „Не знам“. </w:t>
      </w:r>
    </w:p>
    <w:p w:rsidRPr="00F95AC9" w:rsidR="00054592" w:rsidP="00054592" w:rsidRDefault="00054592" w14:paraId="6BA5587A" w14:textId="77777777"/>
    <w:p w:rsidRPr="00C4223D" w:rsidR="00054592" w:rsidP="00054592" w:rsidRDefault="00054592" w14:paraId="414026AC" w14:textId="77777777">
      <w:pPr>
        <w:numPr>
          <w:ilvl w:val="1"/>
          <w:numId w:val="1"/>
        </w:numPr>
        <w:ind w:left="567" w:hanging="567"/>
        <w:outlineLvl w:val="1"/>
      </w:pPr>
      <w:r>
        <w:t xml:space="preserve">Що се отнася до подобряването на икономическото и социалното положение на първичните селскостопански производители, респондентите, отговорили онлайн, намират Директивата относно НТП за доста неефективна. Само 25 % от респондентите са установили, че тя е ефективна на равнището на ЕС, а само 38 % — на национално равнище. Съгласно разбивката по държави, 75 % от респондентите в Словения, 67 % в Германия, 63 % в Естония, 50 % в България и 43 % в Унгария са на мнение, че Директивата относно НТП като цяло е неефективна с оглед на подобряването на икономическото и социалното положение на първичните селскостопански производители. Въпреки че националното законодателство за прилагане в Словения, Германия, Естония и Унгария предвижда значително по-строги правила за НТП по отношение на организациите, за които тези правила и каталогът на забранените практики са в сила, България е страната, която е приложила Директивата относно НТП почти 1:1 и която заема второ място по положително въздействие на тази директива върху икономическото и социалното положение на земеделските стопани, нареждайки се непосредствено зад лидера Унгария. Бяха изразени някои критични мнения относно позицията на дребните земеделски стопани. Въпреки че те са по-добре запознати с правата си, дисбалансите в пазарната мощ си остават тяхно основно безпокойство (EE). Имало е желание да се установи истински диалог между </w:t>
      </w:r>
      <w:r>
        <w:lastRenderedPageBreak/>
        <w:t xml:space="preserve">всички заинтересовани страни във веригата на доставки, но директивата не е довела до промяна в преговорните позиции на земеделските стопани (Словения). </w:t>
      </w:r>
    </w:p>
    <w:p w:rsidRPr="00F95AC9" w:rsidR="00054592" w:rsidP="00054592" w:rsidRDefault="00054592" w14:paraId="5518731E" w14:textId="77777777"/>
    <w:p w:rsidRPr="00C4223D" w:rsidR="00054592" w:rsidP="00054592" w:rsidRDefault="00054592" w14:paraId="26052F8D" w14:textId="77777777">
      <w:pPr>
        <w:numPr>
          <w:ilvl w:val="1"/>
          <w:numId w:val="1"/>
        </w:numPr>
        <w:ind w:left="567" w:hanging="567"/>
        <w:outlineLvl w:val="1"/>
      </w:pPr>
      <w:r>
        <w:t xml:space="preserve">По-специално националното законодателство относно НТП, което защитава и големите преработватели на храни, се счита за проблематично, тъй като е малко вероятно тези дружества да прехвърлят ползите от законодателството относно НТП на своите преки и непреки доставчици и в крайна сметка на малките и средните първични селскостопански производители. Поради тази причина концентрацията на пазарна мощ сред преработвателите на храни беше определена като потенциален фактор, оказващ отрицателно въздействие върху ефективността на Директивата относно НТП. От друга страна, по-малките преработватели на храни имат значително по-малка пазарна мощ и може да се нуждаят от регулаторна защита. Други гласове критикуваха неравномерното въздействие на Директивата относно НТП в полза на големите дружества. </w:t>
      </w:r>
    </w:p>
    <w:p w:rsidRPr="00F95AC9" w:rsidR="00054592" w:rsidP="00054592" w:rsidRDefault="00054592" w14:paraId="2FFDEC0C" w14:textId="77777777"/>
    <w:p w:rsidRPr="00C4223D" w:rsidR="00054592" w:rsidP="00054592" w:rsidRDefault="00054592" w14:paraId="3B554833" w14:textId="77777777">
      <w:pPr>
        <w:numPr>
          <w:ilvl w:val="1"/>
          <w:numId w:val="1"/>
        </w:numPr>
        <w:ind w:left="567" w:hanging="567"/>
        <w:outlineLvl w:val="1"/>
      </w:pPr>
      <w:r>
        <w:t>Цикличният характер на селскостопанския сектор, както и трудностите, породени от икономическите спадове, бяха посочени като ключови фактори, оказващи въздействие върху ефективността на директивата (HU). Бяха поискани допълнителни клаузи за справяне със ситуации, при които недостигът на суровини възпрепятства изпълнението на споразуменията за доставка и създава непропорционално голям риск и непропорционално голяма тежест за производителите.</w:t>
      </w:r>
    </w:p>
    <w:p w:rsidRPr="00F95AC9" w:rsidR="00054592" w:rsidP="00054592" w:rsidRDefault="00054592" w14:paraId="51BF9D13" w14:textId="77777777"/>
    <w:p w:rsidRPr="00C4223D" w:rsidR="00054592" w:rsidP="00054592" w:rsidRDefault="00054592" w14:paraId="3EF9C5DB" w14:textId="77777777">
      <w:pPr>
        <w:numPr>
          <w:ilvl w:val="1"/>
          <w:numId w:val="1"/>
        </w:numPr>
        <w:ind w:left="567" w:hanging="567"/>
        <w:outlineLvl w:val="1"/>
      </w:pPr>
      <w:r>
        <w:t xml:space="preserve">Респондентите считат, че най-ефективната част от директивата се отнася до назначаването и правомощията на компетентните органи (59 %). От друга страна повечето респонденти са установили, че наличието на анонимни механизми за подаване на жалби е неефективно, или не са могли да дадат отговор на този въпрос. </w:t>
      </w:r>
    </w:p>
    <w:p w:rsidRPr="00F95AC9" w:rsidR="00054592" w:rsidP="00054592" w:rsidRDefault="00054592" w14:paraId="0F28483D" w14:textId="77777777"/>
    <w:p w:rsidRPr="00C4223D" w:rsidR="00054592" w:rsidP="00054592" w:rsidRDefault="00054592" w14:paraId="1768124C" w14:textId="77777777">
      <w:pPr>
        <w:numPr>
          <w:ilvl w:val="1"/>
          <w:numId w:val="1"/>
        </w:numPr>
        <w:ind w:left="567" w:hanging="567"/>
        <w:outlineLvl w:val="1"/>
      </w:pPr>
      <w:r>
        <w:rPr>
          <w:color w:val="000000"/>
        </w:rPr>
        <w:t xml:space="preserve">В повечето държави страхът от ответни действия с цел отмъщение беше изтъкнат като значителна пречка пред докладването на НТП. </w:t>
      </w:r>
      <w:r>
        <w:t>Мнозинството от респондентите (56 % ), отговорили на онлайн въпросника, са на мнение, че наличието и достъпността на процедурите, отговарящи на изискванията, са ефективни, докато 35 % не са съгласни с това твърдение, а 8 % са избрали отговора „Не знам“.</w:t>
      </w:r>
    </w:p>
    <w:p w:rsidRPr="00F95AC9" w:rsidR="00054592" w:rsidP="00054592" w:rsidRDefault="00054592" w14:paraId="0E92A1B0" w14:textId="77777777"/>
    <w:p w:rsidRPr="00C4223D" w:rsidR="00054592" w:rsidP="00054592" w:rsidRDefault="00054592" w14:paraId="2A5199A2" w14:textId="5FB300F9">
      <w:pPr>
        <w:numPr>
          <w:ilvl w:val="1"/>
          <w:numId w:val="1"/>
        </w:numPr>
        <w:ind w:left="567" w:hanging="567"/>
        <w:outlineLvl w:val="1"/>
      </w:pPr>
      <w:r>
        <w:t xml:space="preserve">Що се отнася до наличието на анонимни механизми за подаване на жалби, общата картина е неясна. 46 % от респондентите, отговорили на онлайн въпросника, считат, че Директивата относно НТП и нейното прилагане са ефективни, докато 41 % не са съгласни с това, а 14 % са избрали отговора „Не знам“. В България (33 %) и Естония (26 %) само малка част от респондентите считат анонимното подаване на сигнали за НТП за ефективно, докато мнозинството в България (66 %) и голямо малцинство в Естония (38 %) са на друго мнение. 71 % от анкетираните в Унгария и 50 % от анкетираните в Германия и Словения смятат, че анонимното подаване на сигнали за НТП е ефективно, докато 29 % от анкетираните в Унгария, 41% в Германия и 25% в Словения са на друго мнение. Механизмите за анонимно подаване на сигнали и страхът от ответни действия с цел отмъщение често бяха споменавани по време на посещенията в страните. По-специално беше изтъкнато опасението, че въпреки анонимността самоличността на доставчика ще бъде разкрита на определен етап от процедурата. По отношение на България бяха повдигнати въпроси относно факта, че дори при наличието на анонимни канали за </w:t>
      </w:r>
      <w:r>
        <w:lastRenderedPageBreak/>
        <w:t xml:space="preserve">подаване на сигнали съществува (предполагаем) риск самоличността на подателя на сигнала да бъде разкрита рано или късно, официално или неофициално, и че ще последват ответни действия с цел отмъщение. </w:t>
      </w:r>
    </w:p>
    <w:p w:rsidRPr="00F95AC9" w:rsidR="00054592" w:rsidP="00054592" w:rsidRDefault="00054592" w14:paraId="177F9446" w14:textId="77777777"/>
    <w:p w:rsidRPr="00C4223D" w:rsidR="00054592" w:rsidP="00054592" w:rsidRDefault="00054592" w14:paraId="146812A8" w14:textId="77777777">
      <w:pPr>
        <w:numPr>
          <w:ilvl w:val="1"/>
          <w:numId w:val="1"/>
        </w:numPr>
        <w:ind w:left="567" w:hanging="567"/>
        <w:outlineLvl w:val="1"/>
      </w:pPr>
      <w:r>
        <w:t xml:space="preserve">Само 27 % от респондентите, отговорили на онлайн въпросника, смятат, че санкциите за нарушения на НТП са ефективни, докато 49 % не са съгласни, а 24 % са избрали отговора „Не знам“. В Естония само 13 % от анкетираните смятат, че санкциите за нарушения на НТП са ефективни, като само 17 % в Германия и 25 % в Словения са на същото мнение. Следва България с 33 %. Унгария е единствената държава, в която мнозинството от 57 % смята, че съществуващите санкции срещу НТП са ефективни, което беше потвърдено при посещенията в страната. По отношение на Германия обаче посещенията в страната показаха, че германското антитръстово законодателство вече включва разпоредби, приложими за повечето ситуации, които понастоящем са регулирани и от германското законодателство за прилагане на Директивата относно НТП. </w:t>
      </w:r>
    </w:p>
    <w:p w:rsidRPr="00F95AC9" w:rsidR="00054592" w:rsidP="00054592" w:rsidRDefault="00054592" w14:paraId="77A0669C" w14:textId="77777777"/>
    <w:p w:rsidRPr="00C4223D" w:rsidR="00054592" w:rsidP="00054592" w:rsidRDefault="00054592" w14:paraId="5F8D559F" w14:textId="77777777">
      <w:pPr>
        <w:numPr>
          <w:ilvl w:val="1"/>
          <w:numId w:val="1"/>
        </w:numPr>
        <w:ind w:left="567" w:hanging="567"/>
        <w:outlineLvl w:val="1"/>
      </w:pPr>
      <w:r>
        <w:t>На алтернативното разрешаване на спорове се гледа по-скоро скептично. Наличието на механизми за алтернативно разрешаване на спорове се счита за ефективно само от 22 % от респондентите, отговорили на онлайн въпросника, докато мнозинството от 52 % не са съгласни с това, а 27 % са избрали отговора „Не знам“. В България половината от респондентите са съгласни, че алтернативните механизми за разрешаване на спорове са ефективни, а другата половина не са съгласни. В Словения 25 % са съгласни, че алтернативното разрешаване на спорове е ефективно, докато 25 % не са съгласни, а 50 % са избрали отговора „Не знам“. В Естония нито един респондент не е установил, че алтернативното разрешаване на спорове е ефективно, докато в Германия 58 %, а в Унгария 57 % от респондентите са на мнение, че алтернативното разрешаване на спорове е неефективно.</w:t>
      </w:r>
    </w:p>
    <w:p w:rsidRPr="00F95AC9" w:rsidR="00054592" w:rsidP="00054592" w:rsidRDefault="00054592" w14:paraId="4C1AA4C7" w14:textId="77777777"/>
    <w:p w:rsidRPr="00C4223D" w:rsidR="00054592" w:rsidP="00054592" w:rsidRDefault="00054592" w14:paraId="35305556" w14:textId="3F6093FF">
      <w:pPr>
        <w:numPr>
          <w:ilvl w:val="1"/>
          <w:numId w:val="1"/>
        </w:numPr>
        <w:ind w:left="567" w:hanging="567"/>
        <w:outlineLvl w:val="1"/>
        <w:rPr>
          <w:iCs/>
        </w:rPr>
      </w:pPr>
      <w:r>
        <w:t>89</w:t>
      </w:r>
      <w:r w:rsidR="00B43259">
        <w:rPr>
          <w:lang w:val="en-GB"/>
        </w:rPr>
        <w:t> </w:t>
      </w:r>
      <w:r>
        <w:t xml:space="preserve">% от респондентите знаят кой е техният национален правоприлагащ орган, как да се свържете с него и да подадат сигнал и какви механизми за защита на поверителността съществуват? В България някои доставчици се затрудняват да определят основния правоприлагащ орган, да се свържат с отговорните органи и лица и да следят за правата на различните стопански субекти във веригата на доставки. </w:t>
      </w:r>
    </w:p>
    <w:p w:rsidRPr="00F95AC9" w:rsidR="00054592" w:rsidP="00054592" w:rsidRDefault="00054592" w14:paraId="1A46A56D" w14:textId="77777777">
      <w:pPr>
        <w:ind w:left="567"/>
        <w:outlineLvl w:val="1"/>
      </w:pPr>
    </w:p>
    <w:p w:rsidRPr="00C4223D" w:rsidR="00054592" w:rsidP="00054592" w:rsidRDefault="00054592" w14:paraId="234510A1" w14:textId="77777777">
      <w:pPr>
        <w:ind w:left="567"/>
        <w:outlineLvl w:val="1"/>
      </w:pPr>
      <w:r>
        <w:t>Идеите за подобряване на националните режими за правоприлагане включваха предоставяне на повече ресурси и правомощия на правоприлагащите органи, по-голяма защита на поверителността и механизми за анонимно подаване на сигнали, по-голяма специализация на правоприлагащите органи, по-строги санкции, проактивно публично правоприлагане и мониторинг, обучение за служителите на правоприлагащите органи, както и за участниците на пазара, и информационни кампании, които не се съсредоточават само върху забраните, но включват и информация за добри практики.</w:t>
      </w:r>
    </w:p>
    <w:p w:rsidRPr="00F95AC9" w:rsidR="00054592" w:rsidP="00054592" w:rsidRDefault="00054592" w14:paraId="2B9BB5A6" w14:textId="77777777"/>
    <w:p w:rsidRPr="00C4223D" w:rsidR="00054592" w:rsidP="00054592" w:rsidRDefault="00054592" w14:paraId="0F946DE2" w14:textId="77777777">
      <w:pPr>
        <w:numPr>
          <w:ilvl w:val="1"/>
          <w:numId w:val="1"/>
        </w:numPr>
        <w:ind w:left="567" w:hanging="567"/>
        <w:outlineLvl w:val="1"/>
      </w:pPr>
      <w:r>
        <w:t xml:space="preserve">На въпроса дали законодателството е постигнало добър баланс между предотвратяването и възпирането на НТП от една страна и избягването на прекомерната административна тежест и разходи от друга, отговорите бяха разнородни и ясно показаха колко е трудно да се създаде законодателство относно НТП, което да е добре балансирано. Въпреки че 22 % от респондентите са на мнение, че в законодателството е постигнат баланс между </w:t>
      </w:r>
      <w:r>
        <w:lastRenderedPageBreak/>
        <w:t xml:space="preserve">предотвратяване на НТП и избягване на прекомерната тежест, 35 % смятат, че то е твърде снизходително и позволява твърде много НТП, докато 30 % твърдят, че то налага прекомерна тежест и не успява да предотвратят основни проблеми. За отбелязване е, че въпреки допълнителните забрани и разпоредби и по-широкия обхват националното законодателство на Словения и Естония, от една страна, и Директивата относно НТП, от друга страна, са оценени по еднакъв начин от респондентите в тези две държави. По-специално в случая със Словения 50 % от респондентите критикуват факта, че обхватът на законодателството относно НТП не е достатъчно широк и че броят на забранените или регулирани НТП трябва да бъде по-голям. Същевременно те считат, че действащото законодателство вече е прекалено скъпо и обременяващо. Що се отнася до защитата на по-широк кръг доставчици, подходите си противоречат. Въпреки че респондентите от Унгария и Германия подкрепят защитата на по-широк кръг доставчици, респондентите от Естония, където законодателството вече защитава всички доставчици, независимо от техния размер, определено предпочитат големите преработватели на храни да бъдат изключени от обхвата на законодателството относно НТП. Тези големи преработватели на храни не следва да се ползват от него, тъй като по този начин ще се увеличи неравнопоставеността на пазара в ущърб на по-малките участници на пазара. Националната нормативна уредба, която обхваща доставчици с различни размери, възпрепятства еднаквите условия на конкуренция. По време на посещенията в страната унгарските участници също повдигнаха този въпрос, както и представителите на немските власти. Пример за прекалено широк обхват на директивата беше представен по време на посещението в Германия. Забраната за връщане на непродадени селскостопански и хранителни продукти е преместена от списъка на сивите НТП в националния черен списък. Участниците на пазара заявиха, че този черен списък възпрепятства ефективните бизнес модели, които също са от полза за доставчиците. </w:t>
      </w:r>
    </w:p>
    <w:p w:rsidRPr="004C1EC5" w:rsidR="00054592" w:rsidP="00054592" w:rsidRDefault="00054592" w14:paraId="4C484301" w14:textId="77777777">
      <w:pPr>
        <w:rPr>
          <w:highlight w:val="yellow"/>
        </w:rPr>
      </w:pPr>
    </w:p>
    <w:p w:rsidRPr="00C4223D" w:rsidR="00054592" w:rsidP="00054592" w:rsidRDefault="00054592" w14:paraId="0B3F5748" w14:textId="77777777">
      <w:pPr>
        <w:keepNext/>
        <w:keepLines/>
        <w:numPr>
          <w:ilvl w:val="0"/>
          <w:numId w:val="1"/>
        </w:numPr>
        <w:ind w:left="567" w:hanging="567"/>
        <w:outlineLvl w:val="0"/>
        <w:rPr>
          <w:b/>
          <w:kern w:val="28"/>
        </w:rPr>
      </w:pPr>
      <w:r>
        <w:rPr>
          <w:b/>
        </w:rPr>
        <w:t>Заключения относно целесъобразността</w:t>
      </w:r>
    </w:p>
    <w:p w:rsidRPr="00C4223D" w:rsidR="00054592" w:rsidP="00054592" w:rsidRDefault="00054592" w14:paraId="18041770" w14:textId="77777777">
      <w:pPr>
        <w:keepNext/>
        <w:rPr>
          <w:lang w:val="en-GB"/>
        </w:rPr>
      </w:pPr>
    </w:p>
    <w:p w:rsidRPr="00C4223D" w:rsidR="00054592" w:rsidP="00054592" w:rsidRDefault="00054592" w14:paraId="7003D297" w14:textId="77777777">
      <w:pPr>
        <w:numPr>
          <w:ilvl w:val="1"/>
          <w:numId w:val="1"/>
        </w:numPr>
        <w:ind w:left="567" w:hanging="567"/>
        <w:outlineLvl w:val="1"/>
      </w:pPr>
      <w:r>
        <w:t>Счита се, че директивата е от голямо значение в контекста на политиката в областта на конкуренцията, като гарантира лоялна конкуренция на единния пазар (71 % са съгласни с това твърдение). Що се отнася до създаването на еднакви условия на конкуренция, с оглед на гарантирането на лоялна конкуренция на единния пазар, бяха отправени критики относно различията в националното законодателство и проблемите, които тези различия пораждат за еднаквите условия на конкуренция и търговията между държавите членки. Тези критики бяха отправени във връзка с въпрос 6а от унгарски респондент. Същият въпрос беше повдигнат от естонските участници и представителите на немските власти в друг контекст. Значението на въпроса за продоволствената независимост на ЕС и изискванията на потребителите е беше оценено по-ниско, като повече от половината (59 %) го считат за „не особено важен“ или „изобщо без значение“. Беше отбелязано напрежение между растящите цени на храните и поддържането на достъпни цени за потребителите; тази ситуация е усложнена поради разходите за устойчивост и натиска върху ценообразуване на продуктите от страна на търговците на дребно (HU, SI, EE, BG). Това е особено важно, за да се поддържат ниски темпове на инфлация, особено за икономически най-</w:t>
      </w:r>
      <w:proofErr w:type="spellStart"/>
      <w:r>
        <w:t>необлагодетелстваните</w:t>
      </w:r>
      <w:proofErr w:type="spellEnd"/>
      <w:r>
        <w:t xml:space="preserve"> слоеве от населението на ЕС.</w:t>
      </w:r>
    </w:p>
    <w:p w:rsidRPr="004C1EC5" w:rsidR="00054592" w:rsidP="00054592" w:rsidRDefault="00054592" w14:paraId="5DB2DFD1" w14:textId="77777777">
      <w:pPr>
        <w:pBdr>
          <w:top w:val="nil"/>
          <w:left w:val="nil"/>
          <w:bottom w:val="nil"/>
          <w:right w:val="nil"/>
          <w:between w:val="nil"/>
        </w:pBdr>
      </w:pPr>
    </w:p>
    <w:p w:rsidRPr="00C4223D" w:rsidR="00054592" w:rsidP="00054592" w:rsidRDefault="00054592" w14:paraId="32414399" w14:textId="77777777">
      <w:pPr>
        <w:numPr>
          <w:ilvl w:val="1"/>
          <w:numId w:val="1"/>
        </w:numPr>
        <w:ind w:left="567" w:hanging="567"/>
        <w:outlineLvl w:val="1"/>
      </w:pPr>
      <w:r>
        <w:lastRenderedPageBreak/>
        <w:t>Що се отнася до подкрепата за икономиките на селските райони и дребните производители, потенциалът на директивата обхваща запазването на икономиката в селските райони и създаването на по-справедлив достъп до пазара за малките производители посредством справяне с НТП (HU, EE). Тя осигурява стабилна рамка за МСП, като предоставя по-добри условия за плащане и подобрява финансовото планиране (HU). Въпреки това по време на посещенията в държавите заинтересованите страни обясниха, че значението за дребните селскостопански производители е ограничено, тъй като те обикновено нямат преки договори с търговците на дребно. От гледна точка на дребните селскостопански производители Директивата относно НТП е подобрила условията за плащане, а оттам и финансовата сигурност и стабилност. Що се отнася до ценообразуването на продуктите, това си остава проблем. Създаването на кооперации и премахването на правните пречки пред създаването им, например данъчните политики в България, се разглеждат като ефективно средство за правна защита извън Директивата относно НТП. Това може да помогне на малките производители да станат по-ефективни, т.е. да се възползват от ефективността на мащаба и да им помогне да отговорят на продуктовите спецификации на търговците на дребно. Обсъдени бяха и механизми за справедливо ценообразуване и по-голяма прозрачност на договорните задължения под надзора на национални органи или орган на ЕС. По този начин би трябвало да се възпрепятства предлагането на хранителни продукти с големи отстъпки или под справедливите цени и да не се допуска първичните селскостопански производители да бъдат задължавани да продават на цени под производствените разходи. Освен това прехвърлянето на разходите за по-устойчиво производство представлява проблем за дребните първични селскостопански производители. Въпреки че производствените им разходи се увеличават, цените, на които успяват да продават, остават същите или намаляват.</w:t>
      </w:r>
    </w:p>
    <w:p w:rsidRPr="004C1EC5" w:rsidR="00054592" w:rsidP="00054592" w:rsidRDefault="00054592" w14:paraId="0CCB02ED" w14:textId="77777777"/>
    <w:p w:rsidRPr="00C4223D" w:rsidR="00054592" w:rsidP="00054592" w:rsidRDefault="00054592" w14:paraId="633BF65E" w14:textId="77777777">
      <w:pPr>
        <w:numPr>
          <w:ilvl w:val="1"/>
          <w:numId w:val="1"/>
        </w:numPr>
        <w:ind w:left="567" w:hanging="567"/>
        <w:outlineLvl w:val="1"/>
      </w:pPr>
      <w:r>
        <w:t>Най-голямо значение сред „черните практики“ беше отдадено на предотвратяването на забавени плащания за нетрайни стоки (81 %) и на едностранните промени в договорите. Критиките по време на посещенията в държавите включваха факта, че срокът за плащане все още е твърде дълъг, особено за стоки, които трябва да бъдат продадени в рамките на 2</w:t>
      </w:r>
      <w:r>
        <w:noBreakHyphen/>
        <w:t>4 дни. Респондентите критикуваха „сивия списък“ за това, че позволяват несправедливо договорени практики, като предложиха той да бъде премахнат и да бъдат дадени по-строги определения на регулираните практики (DE, EE, HU, SI). Предложенията включваха забрана на ценообразуването под себестойността и добавяне на общи клаузи, за да се предотврати заобикалянето на правилата.</w:t>
      </w:r>
    </w:p>
    <w:p w:rsidRPr="004C1EC5" w:rsidR="00054592" w:rsidP="00054592" w:rsidRDefault="00054592" w14:paraId="0E675DCD" w14:textId="77777777"/>
    <w:p w:rsidRPr="00C4223D" w:rsidR="00054592" w:rsidP="00054592" w:rsidRDefault="00054592" w14:paraId="2E86394C" w14:textId="77777777">
      <w:pPr>
        <w:numPr>
          <w:ilvl w:val="1"/>
          <w:numId w:val="1"/>
        </w:numPr>
        <w:ind w:left="567" w:hanging="567"/>
        <w:outlineLvl w:val="1"/>
      </w:pPr>
      <w:r>
        <w:t xml:space="preserve">Мнозинството от 54 % от респондентите считат, че Директивата относно НТП е от значение за политиката в областта на конкуренцията в селското стопанство и за насърчаване на благосъстоянието на потребителите, докато 36 % не са съгласни с това твърдение, а 4 % от респондентите са отговорили „Не знам“. По време на посещенията в държавите бяха обсъдени трудно съвместимите цели: подобряване на доходите на земеделските стопани, от една страна, и поддържане на достъпни потребителски цени в супермаркетите, от друга. Това показва, че има повишаване на ефективността на другите междинни етапи от веригата за доставки на храни, но това не се предава нататък. Преодоляването на напрежението между подходящото разпределение на доходите на производителите, липсата на въздействие надолу по веригата на междинните етапи и ценовата чувствителност на потребителите си остава предизвикателство. </w:t>
      </w:r>
    </w:p>
    <w:p w:rsidRPr="004C1EC5" w:rsidR="00054592" w:rsidP="00054592" w:rsidRDefault="00054592" w14:paraId="6E50D872" w14:textId="77777777">
      <w:pPr>
        <w:ind w:left="567"/>
        <w:outlineLvl w:val="1"/>
      </w:pPr>
    </w:p>
    <w:p w:rsidRPr="00C4223D" w:rsidR="00054592" w:rsidP="00054592" w:rsidRDefault="00054592" w14:paraId="2E8C8454" w14:textId="77777777">
      <w:pPr>
        <w:ind w:left="567"/>
        <w:outlineLvl w:val="1"/>
      </w:pPr>
      <w:r>
        <w:t>Тъй като потребителите са чувствителни към цените и желаят да плащат (само) за продукти с по-високо качество, това изисква предоставянето на надеждна и изчерпателна информация за продуктите.</w:t>
      </w:r>
    </w:p>
    <w:p w:rsidRPr="004C1EC5" w:rsidR="00054592" w:rsidP="00054592" w:rsidRDefault="00054592" w14:paraId="5FBD482E" w14:textId="77777777"/>
    <w:p w:rsidRPr="00C4223D" w:rsidR="00054592" w:rsidP="00054592" w:rsidRDefault="00054592" w14:paraId="7B86F95B" w14:textId="77777777">
      <w:pPr>
        <w:numPr>
          <w:ilvl w:val="1"/>
          <w:numId w:val="1"/>
        </w:numPr>
        <w:ind w:left="567" w:hanging="567"/>
        <w:outlineLvl w:val="1"/>
      </w:pPr>
      <w:r>
        <w:t>Само 24 % от респондентите считат, че настоящият обхват на директивата е подходящ. Силно се препоръчва той да бъде разширен, за да се обърне внимание на концентрацията на власт, да се подобрят насоките и да се въведат ясни договорни задължения (DE). Концепцията за списък на „белите практики“ срещна отпор поради опасения за злоупотреба и сложност, като се предпочита съсредоточаване върху ефективното прилагане и по-широката защита, докато тези практики могат да създадат възможности за прехвърляне на ползите за устойчивото производство от търговците на дребно към земеделските стопани или да позволят споразумения за запазване на складово пространство за местни продукти с ясна „защитена област“ от гледна точка на антитръстовото законодателство. Това са добри практики, които следва да се популяризират (HU), като се включат в бял списък.</w:t>
      </w:r>
    </w:p>
    <w:p w:rsidRPr="004C1EC5" w:rsidR="00054592" w:rsidP="00054592" w:rsidRDefault="00054592" w14:paraId="04190070" w14:textId="77777777"/>
    <w:p w:rsidRPr="00C4223D" w:rsidR="00054592" w:rsidP="00054592" w:rsidRDefault="00054592" w14:paraId="4E327D36" w14:textId="77777777">
      <w:pPr>
        <w:keepNext/>
        <w:keepLines/>
        <w:numPr>
          <w:ilvl w:val="0"/>
          <w:numId w:val="1"/>
        </w:numPr>
        <w:ind w:left="567" w:hanging="567"/>
        <w:jc w:val="left"/>
        <w:outlineLvl w:val="0"/>
        <w:rPr>
          <w:b/>
          <w:kern w:val="28"/>
        </w:rPr>
      </w:pPr>
      <w:r>
        <w:rPr>
          <w:b/>
        </w:rPr>
        <w:t>Заключения относно участието на гражданското общество</w:t>
      </w:r>
    </w:p>
    <w:p w:rsidRPr="004C1EC5" w:rsidR="00054592" w:rsidP="00054592" w:rsidRDefault="00054592" w14:paraId="01FA6720" w14:textId="77777777">
      <w:pPr>
        <w:keepNext/>
        <w:keepLines/>
        <w:jc w:val="left"/>
        <w:outlineLvl w:val="0"/>
        <w:rPr>
          <w:kern w:val="28"/>
        </w:rPr>
      </w:pPr>
    </w:p>
    <w:p w:rsidRPr="00C4223D" w:rsidR="00054592" w:rsidP="00054592" w:rsidRDefault="00054592" w14:paraId="7E52D651" w14:textId="77777777">
      <w:pPr>
        <w:numPr>
          <w:ilvl w:val="1"/>
          <w:numId w:val="1"/>
        </w:numPr>
        <w:ind w:left="567" w:hanging="567"/>
        <w:outlineLvl w:val="1"/>
      </w:pPr>
      <w:r>
        <w:t>По отношение и на трите дейности (разработване, изпълнение, мониторинг) средно половината от респондентите (51 %) считат, че с целевите групи и организациите на гражданското общество „в повечето не са били провеждани консултации“ или „изобщо не са били провеждани консултации“. Гражданското общество може да играе решаваща роля за повишаване на осведомеността, осигуряване на образование и насърчаване на реформи, които да отговорят на опасенията на по-малките производители и потребители (SI).</w:t>
      </w:r>
    </w:p>
    <w:p w:rsidRPr="004C1EC5" w:rsidR="00054592" w:rsidP="00054592" w:rsidRDefault="00054592" w14:paraId="4AF4DB43" w14:textId="77777777"/>
    <w:p w:rsidRPr="00C4223D" w:rsidR="00054592" w:rsidP="00054592" w:rsidRDefault="00054592" w14:paraId="2E8C713B" w14:textId="77777777">
      <w:pPr>
        <w:numPr>
          <w:ilvl w:val="1"/>
          <w:numId w:val="1"/>
        </w:numPr>
        <w:ind w:left="567" w:hanging="567"/>
        <w:outlineLvl w:val="1"/>
      </w:pPr>
      <w:r>
        <w:t xml:space="preserve">Отправен беше призив за по-добро образоване на обществеността, открит диалог и ангажираност (HU), необходимо е по-добро образование и повишаване на осведомеността, а доставчиците се нуждаят от помощ при изчисляването на справедливите цени на своите продукти и избягването на занижени плащания (SI). Беше подчертана липсата на силни потребителски организации, осведомеността за ценовите структури и НТП сред организациите на гражданското общество е ниска (EE), а в търговията и хранително-вкусовата промишленост (SI) има недостиг на квалифициран персонал. Въпреки кампаниите за правата, с които разполагат, страхът от ответни действия с цел отмъщение е попречил на субектите да упражняват правата си (BG). </w:t>
      </w:r>
    </w:p>
    <w:p w:rsidRPr="004C1EC5" w:rsidR="00054592" w:rsidP="00054592" w:rsidRDefault="00054592" w14:paraId="5CE0C0BE" w14:textId="77777777"/>
    <w:p w:rsidRPr="00C4223D" w:rsidR="00054592" w:rsidP="00054592" w:rsidRDefault="00054592" w14:paraId="354F30D6" w14:textId="77777777">
      <w:pPr>
        <w:numPr>
          <w:ilvl w:val="1"/>
          <w:numId w:val="1"/>
        </w:numPr>
        <w:ind w:left="567" w:hanging="567"/>
        <w:outlineLvl w:val="1"/>
      </w:pPr>
      <w:r>
        <w:t>По време на посещенията в държавите няколко пъти беше отправен призив за създаване на форуми за насърчаване на диалога както на национално равнище, така и на равнище ЕС. Диалогът следва да се насърчава и да се изтъкват примери за добри практики (DE, SI, EE). Бяха предложени задължителни форуми на заинтересованите страни, посветени на справедливостта във веригата на доставки (HU). Обща тема беше необходимостта от включване на гражданското общество в дискусиите относно законодателството, неговото разработване и прилагане.</w:t>
      </w:r>
    </w:p>
    <w:p w:rsidRPr="004C1EC5" w:rsidR="00054592" w:rsidP="00054592" w:rsidRDefault="00054592" w14:paraId="3A11463A" w14:textId="77777777"/>
    <w:p w:rsidRPr="00C4223D" w:rsidR="00054592" w:rsidP="00054592" w:rsidRDefault="00054592" w14:paraId="43BFF9A9" w14:textId="77777777">
      <w:pPr>
        <w:keepNext/>
        <w:keepLines/>
        <w:numPr>
          <w:ilvl w:val="0"/>
          <w:numId w:val="1"/>
        </w:numPr>
        <w:ind w:left="567" w:hanging="567"/>
        <w:outlineLvl w:val="0"/>
        <w:rPr>
          <w:b/>
          <w:kern w:val="28"/>
        </w:rPr>
      </w:pPr>
      <w:r>
        <w:rPr>
          <w:b/>
        </w:rPr>
        <w:lastRenderedPageBreak/>
        <w:t>Препоръки</w:t>
      </w:r>
    </w:p>
    <w:p w:rsidRPr="00C4223D" w:rsidR="00054592" w:rsidP="00054592" w:rsidRDefault="00054592" w14:paraId="36D99306" w14:textId="77777777">
      <w:pPr>
        <w:keepNext/>
        <w:rPr>
          <w:lang w:val="en-GB"/>
        </w:rPr>
      </w:pPr>
    </w:p>
    <w:p w:rsidRPr="00C4223D" w:rsidR="00054592" w:rsidP="00054592" w:rsidRDefault="00B43259" w14:paraId="53EA23B9" w14:textId="3BDE4764">
      <w:pPr>
        <w:numPr>
          <w:ilvl w:val="1"/>
          <w:numId w:val="1"/>
        </w:numPr>
        <w:ind w:left="567" w:hanging="567"/>
        <w:outlineLvl w:val="1"/>
      </w:pPr>
      <w:r>
        <w:t>Д</w:t>
      </w:r>
      <w:r w:rsidR="00054592">
        <w:t>а се подобрят механизмите за правоприлагане на равнището на ЕС, за да се осигури по-голяма правна сигурност, еднакви условия на конкуренция в целия ЕС и по-силна защита, специално насочена към по-слабите участници във веригата на доставки;</w:t>
      </w:r>
    </w:p>
    <w:p w:rsidRPr="00C4223D" w:rsidR="00054592" w:rsidP="00054592" w:rsidRDefault="00054592" w14:paraId="5869422D" w14:textId="77777777">
      <w:pPr>
        <w:rPr>
          <w:lang w:val="en-GB"/>
        </w:rPr>
      </w:pPr>
    </w:p>
    <w:p w:rsidRPr="00C4223D" w:rsidR="00054592" w:rsidP="00054592" w:rsidRDefault="00054592" w14:paraId="591CAD9C" w14:textId="77777777">
      <w:pPr>
        <w:numPr>
          <w:ilvl w:val="1"/>
          <w:numId w:val="1"/>
        </w:numPr>
        <w:ind w:left="567" w:hanging="567"/>
        <w:outlineLvl w:val="1"/>
      </w:pPr>
      <w:r>
        <w:t>да се работи за хармонизиране на директивата, така че тя да бъде подходяща за единния пазар;</w:t>
      </w:r>
    </w:p>
    <w:p w:rsidRPr="00C4223D" w:rsidR="00054592" w:rsidP="00054592" w:rsidRDefault="00054592" w14:paraId="3C3D1DC7" w14:textId="77777777">
      <w:pPr>
        <w:rPr>
          <w:lang w:val="en-GB"/>
        </w:rPr>
      </w:pPr>
    </w:p>
    <w:p w:rsidRPr="00C4223D" w:rsidR="00054592" w:rsidP="00054592" w:rsidRDefault="00054592" w14:paraId="0FAC288C" w14:textId="77777777">
      <w:pPr>
        <w:numPr>
          <w:ilvl w:val="1"/>
          <w:numId w:val="1"/>
        </w:numPr>
        <w:ind w:left="567" w:hanging="567"/>
        <w:outlineLvl w:val="1"/>
      </w:pPr>
      <w:r>
        <w:t>да се популяризират устойчивите продоволствени системи чрез насърчаване на ангажиментите на заинтересованите страни, които гарантират надеждни, достъпни и качествени храни за потребителите;</w:t>
      </w:r>
    </w:p>
    <w:p w:rsidRPr="00C4223D" w:rsidR="00054592" w:rsidP="00054592" w:rsidRDefault="00054592" w14:paraId="5A9C40C0" w14:textId="77777777">
      <w:pPr>
        <w:rPr>
          <w:lang w:val="en-GB"/>
        </w:rPr>
      </w:pPr>
    </w:p>
    <w:p w:rsidRPr="00C4223D" w:rsidR="00054592" w:rsidP="00054592" w:rsidRDefault="00054592" w14:paraId="376CE0F0" w14:textId="77777777">
      <w:pPr>
        <w:numPr>
          <w:ilvl w:val="1"/>
          <w:numId w:val="1"/>
        </w:numPr>
        <w:ind w:left="567" w:hanging="567"/>
        <w:outlineLvl w:val="1"/>
      </w:pPr>
      <w:r>
        <w:t>да се гарантира, че разходите за устойчиво развитие се поделят между всички заинтересовани страни, включително потребителите, за да се изгради по-справедлива система;</w:t>
      </w:r>
    </w:p>
    <w:p w:rsidRPr="00C4223D" w:rsidR="00054592" w:rsidP="00054592" w:rsidRDefault="00054592" w14:paraId="66FE3333" w14:textId="77777777">
      <w:pPr>
        <w:rPr>
          <w:lang w:val="en-GB"/>
        </w:rPr>
      </w:pPr>
    </w:p>
    <w:p w:rsidRPr="00C4223D" w:rsidR="00054592" w:rsidP="00054592" w:rsidRDefault="00054592" w14:paraId="40FF0777" w14:textId="77777777">
      <w:pPr>
        <w:numPr>
          <w:ilvl w:val="1"/>
          <w:numId w:val="1"/>
        </w:numPr>
        <w:ind w:left="567" w:hanging="567"/>
        <w:outlineLvl w:val="1"/>
      </w:pPr>
      <w:r>
        <w:t>да се пристъпи към справяне с предизвикателства като нестабилността на цените, сезонния недостиг и административната тежест, като се подобри управлението на риска и се осигури по-добра подкрепа за производителите;</w:t>
      </w:r>
    </w:p>
    <w:p w:rsidRPr="00C4223D" w:rsidR="00054592" w:rsidP="00054592" w:rsidRDefault="00054592" w14:paraId="12CE3534" w14:textId="77777777">
      <w:pPr>
        <w:rPr>
          <w:lang w:val="en-GB"/>
        </w:rPr>
      </w:pPr>
    </w:p>
    <w:p w:rsidRPr="00C4223D" w:rsidR="00054592" w:rsidP="00054592" w:rsidRDefault="00054592" w14:paraId="0BDBBE9F" w14:textId="77777777">
      <w:pPr>
        <w:numPr>
          <w:ilvl w:val="1"/>
          <w:numId w:val="1"/>
        </w:numPr>
        <w:ind w:left="567" w:hanging="567"/>
        <w:outlineLvl w:val="1"/>
      </w:pPr>
      <w:r>
        <w:t xml:space="preserve">да се разшири защитата на производителите, така че да включва по-строги забрани за логистични такси, </w:t>
      </w:r>
      <w:proofErr w:type="spellStart"/>
      <w:r>
        <w:t>неоповестени</w:t>
      </w:r>
      <w:proofErr w:type="spellEnd"/>
      <w:r>
        <w:t xml:space="preserve"> отстъпки и премии за продажба;</w:t>
      </w:r>
    </w:p>
    <w:p w:rsidRPr="00C4223D" w:rsidR="00054592" w:rsidP="00054592" w:rsidRDefault="00054592" w14:paraId="082C8C1E" w14:textId="77777777">
      <w:pPr>
        <w:rPr>
          <w:lang w:val="en-GB"/>
        </w:rPr>
      </w:pPr>
    </w:p>
    <w:p w:rsidRPr="00C4223D" w:rsidR="00054592" w:rsidP="00054592" w:rsidRDefault="00054592" w14:paraId="300810C6" w14:textId="77777777">
      <w:pPr>
        <w:numPr>
          <w:ilvl w:val="1"/>
          <w:numId w:val="1"/>
        </w:numPr>
        <w:ind w:left="567" w:hanging="567"/>
        <w:outlineLvl w:val="1"/>
      </w:pPr>
      <w:r>
        <w:t>да се засилят мерките за опазване на малките стопанства и те да бъдат насърчени да се модернизират и да са ефективни и жизнеспособни във веригата за доставки на храни;</w:t>
      </w:r>
    </w:p>
    <w:p w:rsidRPr="00C4223D" w:rsidR="00054592" w:rsidP="00054592" w:rsidRDefault="00054592" w14:paraId="40784669" w14:textId="77777777">
      <w:pPr>
        <w:rPr>
          <w:lang w:val="en-GB"/>
        </w:rPr>
      </w:pPr>
    </w:p>
    <w:p w:rsidRPr="00C4223D" w:rsidR="00054592" w:rsidP="00054592" w:rsidRDefault="00054592" w14:paraId="6131F2C0" w14:textId="77777777">
      <w:pPr>
        <w:numPr>
          <w:ilvl w:val="1"/>
          <w:numId w:val="1"/>
        </w:numPr>
        <w:ind w:left="567" w:hanging="567"/>
        <w:outlineLvl w:val="1"/>
      </w:pPr>
      <w:r>
        <w:t xml:space="preserve">да се подобрят информационните кампании, така че заинтересованите страни да са запознати със своите права и задължения, с процедурите за защита и с начина, по който функционират органите; </w:t>
      </w:r>
    </w:p>
    <w:p w:rsidRPr="00C4223D" w:rsidR="00054592" w:rsidP="00054592" w:rsidRDefault="00054592" w14:paraId="543A89F6" w14:textId="77777777">
      <w:pPr>
        <w:rPr>
          <w:lang w:val="en-GB"/>
        </w:rPr>
      </w:pPr>
    </w:p>
    <w:p w:rsidRPr="00C4223D" w:rsidR="00054592" w:rsidP="00054592" w:rsidRDefault="00054592" w14:paraId="64CB96E1" w14:textId="77777777">
      <w:pPr>
        <w:numPr>
          <w:ilvl w:val="1"/>
          <w:numId w:val="1"/>
        </w:numPr>
        <w:ind w:left="567" w:hanging="567"/>
        <w:outlineLvl w:val="1"/>
      </w:pPr>
      <w:r>
        <w:t>да се налагат подходящи санкции за нарушения, за да се гарантира възпиращият ефект на директивата и да се подобри спазването на изискванията;</w:t>
      </w:r>
    </w:p>
    <w:p w:rsidRPr="00C4223D" w:rsidR="00054592" w:rsidP="00054592" w:rsidRDefault="00054592" w14:paraId="716820E2" w14:textId="77777777">
      <w:pPr>
        <w:rPr>
          <w:lang w:val="en-GB"/>
        </w:rPr>
      </w:pPr>
    </w:p>
    <w:p w:rsidRPr="00C4223D" w:rsidR="00054592" w:rsidP="00054592" w:rsidRDefault="00054592" w14:paraId="42C27490" w14:textId="77777777">
      <w:pPr>
        <w:numPr>
          <w:ilvl w:val="1"/>
          <w:numId w:val="1"/>
        </w:numPr>
        <w:ind w:left="567" w:hanging="567"/>
        <w:outlineLvl w:val="1"/>
      </w:pPr>
      <w:r>
        <w:t>да се създаде общоевропейски портал за докладване на НТП, за да се отговори на опасенията от ответни действия и да се подобрят механизмите за подаване на сигнали;</w:t>
      </w:r>
    </w:p>
    <w:p w:rsidRPr="00C4223D" w:rsidR="00054592" w:rsidP="00054592" w:rsidRDefault="00054592" w14:paraId="38FE98E5" w14:textId="77777777">
      <w:pPr>
        <w:rPr>
          <w:lang w:val="en-GB"/>
        </w:rPr>
      </w:pPr>
    </w:p>
    <w:p w:rsidRPr="00C4223D" w:rsidR="00054592" w:rsidP="00054592" w:rsidRDefault="00054592" w14:paraId="1A3C6834" w14:textId="77777777">
      <w:pPr>
        <w:numPr>
          <w:ilvl w:val="1"/>
          <w:numId w:val="1"/>
        </w:numPr>
        <w:ind w:left="567" w:hanging="567"/>
        <w:outlineLvl w:val="1"/>
      </w:pPr>
      <w:r>
        <w:t>да се създадат форуми както на национално равнище, така и на равнище ЕС, за насърчаване на диалога и сътрудничеството между заинтересованите страни във веригата за доставки на храни; създаването на Европейски съвет за селското стопанство и храните като последващо действие във връзка с открития диалог, започнат от стратегическия диалог относно бъдещето на селското стопанство в ЕС, е съществена стъпка напред;</w:t>
      </w:r>
    </w:p>
    <w:p w:rsidRPr="00C4223D" w:rsidR="00054592" w:rsidP="00054592" w:rsidRDefault="00054592" w14:paraId="1A7652A8" w14:textId="77777777">
      <w:pPr>
        <w:rPr>
          <w:lang w:val="en-GB"/>
        </w:rPr>
      </w:pPr>
    </w:p>
    <w:p w:rsidRPr="00C4223D" w:rsidR="00054592" w:rsidP="00054592" w:rsidRDefault="00054592" w14:paraId="484DC09C" w14:textId="77777777">
      <w:pPr>
        <w:numPr>
          <w:ilvl w:val="1"/>
          <w:numId w:val="1"/>
        </w:numPr>
        <w:ind w:left="567" w:hanging="567"/>
        <w:outlineLvl w:val="1"/>
      </w:pPr>
      <w:r>
        <w:t>да се подкрепи и насърчи изпълнението на заключенията от стратегическия диалог;</w:t>
      </w:r>
    </w:p>
    <w:p w:rsidRPr="00C4223D" w:rsidR="00054592" w:rsidP="00054592" w:rsidRDefault="00054592" w14:paraId="69E308BF" w14:textId="77777777">
      <w:pPr>
        <w:rPr>
          <w:lang w:val="en-GB"/>
        </w:rPr>
      </w:pPr>
    </w:p>
    <w:p w:rsidRPr="00C4223D" w:rsidR="00054592" w:rsidP="00054592" w:rsidRDefault="00054592" w14:paraId="45D36CB1" w14:textId="77777777">
      <w:pPr>
        <w:numPr>
          <w:ilvl w:val="1"/>
          <w:numId w:val="1"/>
        </w:numPr>
        <w:ind w:left="567" w:hanging="567"/>
        <w:outlineLvl w:val="1"/>
      </w:pPr>
      <w:r>
        <w:lastRenderedPageBreak/>
        <w:t>да се подкрепят усилията за по-голяма прозрачност на цените и да се разгледа проучването на Генерална дирекция „Земеделие и развитие на селските райони“ относно възнагражденията на земеделските стопани като обща основа, която да гарантира, че по-нататъшната работа се извършва въз основа на обща база данни;</w:t>
      </w:r>
    </w:p>
    <w:p w:rsidRPr="00C4223D" w:rsidR="00054592" w:rsidP="00054592" w:rsidRDefault="00054592" w14:paraId="5AFD8BF4" w14:textId="77777777">
      <w:pPr>
        <w:rPr>
          <w:lang w:val="en-GB"/>
        </w:rPr>
      </w:pPr>
    </w:p>
    <w:p w:rsidRPr="00C4223D" w:rsidR="00054592" w:rsidP="00054592" w:rsidRDefault="00054592" w14:paraId="4BEEFEAF" w14:textId="77777777">
      <w:pPr>
        <w:numPr>
          <w:ilvl w:val="1"/>
          <w:numId w:val="1"/>
        </w:numPr>
        <w:ind w:left="567" w:hanging="567"/>
        <w:outlineLvl w:val="1"/>
      </w:pPr>
      <w:r>
        <w:t>да се насърчи Комисията да представи своя проект за преразглеждане на Регламента за предоставянето на информация за храните на потребителите, като подобри информацията за произхода на продуктите с цел по-добра проследимостта;</w:t>
      </w:r>
    </w:p>
    <w:p w:rsidRPr="00C4223D" w:rsidR="00054592" w:rsidP="00054592" w:rsidRDefault="00054592" w14:paraId="2AAD60C2" w14:textId="77777777">
      <w:pPr>
        <w:rPr>
          <w:lang w:val="en-GB"/>
        </w:rPr>
      </w:pPr>
    </w:p>
    <w:p w:rsidRPr="00C4223D" w:rsidR="00054592" w:rsidP="00054592" w:rsidRDefault="00054592" w14:paraId="5865BC81" w14:textId="77777777">
      <w:pPr>
        <w:numPr>
          <w:ilvl w:val="1"/>
          <w:numId w:val="1"/>
        </w:numPr>
        <w:ind w:left="567" w:hanging="567"/>
        <w:outlineLvl w:val="1"/>
      </w:pPr>
      <w:r>
        <w:t>да бъдат призовани държавите членки да приложат предвидената в Директивата диференцираща мярка, за да се укрепи позицията на операторите, които наистина се нуждаят от нея;</w:t>
      </w:r>
    </w:p>
    <w:p w:rsidRPr="00C4223D" w:rsidR="00054592" w:rsidP="00054592" w:rsidRDefault="00054592" w14:paraId="51FD8C62" w14:textId="77777777">
      <w:pPr>
        <w:rPr>
          <w:lang w:val="en-GB"/>
        </w:rPr>
      </w:pPr>
    </w:p>
    <w:p w:rsidRPr="00C4223D" w:rsidR="00054592" w:rsidP="00054592" w:rsidRDefault="00054592" w14:paraId="06FF7E8C" w14:textId="77777777">
      <w:pPr>
        <w:numPr>
          <w:ilvl w:val="1"/>
          <w:numId w:val="1"/>
        </w:numPr>
        <w:ind w:left="567" w:hanging="567"/>
        <w:outlineLvl w:val="1"/>
      </w:pPr>
      <w:r>
        <w:t>да се разгледа обхвата на директивата за преодоляване на дисбалансите на силите, да се насърчи ефективността по веригата на доставки и да се гарантира справедливост, включително подходящо разпределение на рисковете и печалбите, в отношенията с доставчиците, а също така да се подобри спазването на забраните за определени практики с цел ефективна защита на всички участници на пазара.</w:t>
      </w:r>
    </w:p>
    <w:p w:rsidRPr="00C4223D" w:rsidR="00054592" w:rsidP="00054592" w:rsidRDefault="00054592" w14:paraId="12A66667" w14:textId="77777777">
      <w:pPr>
        <w:outlineLvl w:val="1"/>
        <w:rPr>
          <w:lang w:val="en-GB"/>
        </w:rPr>
      </w:pPr>
    </w:p>
    <w:p w:rsidRPr="00C4223D" w:rsidR="00EF1C31" w:rsidP="00EA0944" w:rsidRDefault="00EF1C31" w14:paraId="4D3F36CA" w14:textId="77777777">
      <w:pPr>
        <w:overflowPunct w:val="0"/>
        <w:autoSpaceDE w:val="0"/>
        <w:autoSpaceDN w:val="0"/>
        <w:adjustRightInd w:val="0"/>
        <w:textAlignment w:val="baseline"/>
        <w:rPr>
          <w:lang w:val="en-GB"/>
        </w:rPr>
      </w:pPr>
    </w:p>
    <w:p w:rsidRPr="00C4223D" w:rsidR="009F3486" w:rsidP="009F3486" w:rsidRDefault="009F3486" w14:paraId="390DA777" w14:textId="3BF31871">
      <w:r>
        <w:t>Брюксел, 2</w:t>
      </w:r>
      <w:r w:rsidR="000D7AAD">
        <w:rPr>
          <w:lang w:val="en-GB"/>
        </w:rPr>
        <w:t>6</w:t>
      </w:r>
      <w:r>
        <w:t xml:space="preserve"> март 2025 г.</w:t>
      </w:r>
    </w:p>
    <w:p w:rsidR="009F3486" w:rsidP="009F3486" w:rsidRDefault="009F3486" w14:paraId="79FECF8E" w14:textId="5CB04697">
      <w:pPr>
        <w:rPr>
          <w:lang w:val="en-GB"/>
        </w:rPr>
      </w:pPr>
    </w:p>
    <w:p w:rsidRPr="00C4223D" w:rsidR="006A4143" w:rsidP="009F3486" w:rsidRDefault="006A4143" w14:paraId="7190F2CF" w14:textId="77777777">
      <w:pPr>
        <w:rPr>
          <w:lang w:val="en-GB"/>
        </w:rPr>
      </w:pPr>
    </w:p>
    <w:p w:rsidRPr="00C4223D" w:rsidR="009F3486" w:rsidP="009F3486" w:rsidRDefault="009F3486" w14:paraId="3F6D7C70" w14:textId="77777777">
      <w:pPr>
        <w:rPr>
          <w:lang w:val="en-GB"/>
        </w:rPr>
      </w:pPr>
    </w:p>
    <w:p w:rsidRPr="00C4223D" w:rsidR="009F3486" w:rsidP="00EA0944" w:rsidRDefault="009F3486" w14:paraId="6BEFBEC4" w14:textId="29A33432">
      <w:pPr>
        <w:jc w:val="left"/>
        <w:rPr>
          <w:i/>
          <w:iCs/>
        </w:rPr>
      </w:pPr>
      <w:r>
        <w:rPr>
          <w:i/>
        </w:rPr>
        <w:t>Председател на Европейския икономически и социален комитет</w:t>
      </w:r>
    </w:p>
    <w:p w:rsidRPr="00C4223D" w:rsidR="00D72198" w:rsidP="00EA0944" w:rsidRDefault="00054592" w14:paraId="1660F356" w14:textId="2524FA71">
      <w:proofErr w:type="spellStart"/>
      <w:r>
        <w:t>Oliver</w:t>
      </w:r>
      <w:proofErr w:type="spellEnd"/>
      <w:r>
        <w:t xml:space="preserve"> RÖPKE </w:t>
      </w:r>
    </w:p>
    <w:p w:rsidRPr="00C4223D" w:rsidR="00F53370" w:rsidP="00DB7F50" w:rsidRDefault="00E2376B" w14:paraId="6BABC1C7" w14:textId="27D7A1A5">
      <w:pPr>
        <w:jc w:val="center"/>
      </w:pPr>
      <w:r>
        <w:t>_____________</w:t>
      </w:r>
    </w:p>
    <w:sectPr w:rsidRPr="00C4223D" w:rsidR="00F53370" w:rsidSect="001E74A1">
      <w:headerReference w:type="even" r:id="rId19"/>
      <w:headerReference w:type="default" r:id="rId20"/>
      <w:footerReference w:type="default" r:id="rId21"/>
      <w:headerReference w:type="firs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6997" w14:textId="77777777" w:rsidR="00337567" w:rsidRDefault="00337567" w:rsidP="00F53370">
      <w:pPr>
        <w:spacing w:line="240" w:lineRule="auto"/>
      </w:pPr>
      <w:r>
        <w:separator/>
      </w:r>
    </w:p>
  </w:endnote>
  <w:endnote w:type="continuationSeparator" w:id="0">
    <w:p w14:paraId="49778081" w14:textId="77777777" w:rsidR="00337567" w:rsidRDefault="00337567"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781521E9" w:rsidR="0084105C" w:rsidRPr="003065C9" w:rsidRDefault="00FD7D48" w:rsidP="00FD7D48">
    <w:pPr>
      <w:pStyle w:val="Footer"/>
      <w:jc w:val="left"/>
    </w:pPr>
    <w:r>
      <w:t>NAT/930 – EESC-2024-02156-00-0</w:t>
    </w:r>
    <w:r w:rsidR="00F95AC9">
      <w:rPr>
        <w:lang w:val="en-GB"/>
      </w:rPr>
      <w:t>2</w:t>
    </w:r>
    <w:r>
      <w:t xml:space="preserve">-RE-TRA (EN) </w:t>
    </w:r>
    <w:r>
      <w:fldChar w:fldCharType="begin"/>
    </w:r>
    <w:r>
      <w:instrText xml:space="preserve"> PAGE  \* Arabic  \* MERGEFORMAT </w:instrText>
    </w:r>
    <w:r>
      <w:fldChar w:fldCharType="separate"/>
    </w:r>
    <w:r>
      <w:t>7</w:t>
    </w:r>
    <w:r>
      <w:fldChar w:fldCharType="end"/>
    </w:r>
    <w:r>
      <w:t>/</w:t>
    </w:r>
    <w:r>
      <w:fldChar w:fldCharType="begin"/>
    </w:r>
    <w:r>
      <w:instrText xml:space="preserve"> = </w:instrText>
    </w:r>
    <w:fldSimple w:instr=" NUMPAGES ">
      <w:r w:rsidR="009913B6">
        <w:rPr>
          <w:noProof/>
        </w:rPr>
        <w:instrText>11</w:instrText>
      </w:r>
    </w:fldSimple>
    <w:r>
      <w:instrText xml:space="preserve"> - 2 </w:instrText>
    </w:r>
    <w:r>
      <w:fldChar w:fldCharType="separate"/>
    </w:r>
    <w:r w:rsidR="009913B6">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CBE0" w14:textId="77777777" w:rsidR="00337567" w:rsidRDefault="00337567" w:rsidP="00F53370">
      <w:pPr>
        <w:spacing w:line="240" w:lineRule="auto"/>
      </w:pPr>
      <w:r>
        <w:separator/>
      </w:r>
    </w:p>
  </w:footnote>
  <w:footnote w:type="continuationSeparator" w:id="0">
    <w:p w14:paraId="77FC8FD7" w14:textId="77777777" w:rsidR="00337567" w:rsidRDefault="00337567" w:rsidP="00F53370">
      <w:pPr>
        <w:spacing w:line="240" w:lineRule="auto"/>
      </w:pPr>
      <w:r>
        <w:continuationSeparator/>
      </w:r>
    </w:p>
  </w:footnote>
  <w:footnote w:id="1">
    <w:p w14:paraId="271A9EC4" w14:textId="77777777" w:rsidR="00054592" w:rsidRDefault="00054592" w:rsidP="00054592">
      <w:pPr>
        <w:pStyle w:val="FootnoteText"/>
      </w:pPr>
      <w:r>
        <w:rPr>
          <w:rStyle w:val="FootnoteReference"/>
        </w:rPr>
        <w:footnoteRef/>
      </w:r>
      <w:r>
        <w:tab/>
        <w:t xml:space="preserve">Вж. </w:t>
      </w:r>
      <w:hyperlink r:id="rId1" w:history="1">
        <w:r>
          <w:rPr>
            <w:rStyle w:val="Hyperlink"/>
          </w:rPr>
          <w:t>Основни цели на ОСП за периода 2023—2027 г. — Европейска комисия</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F66F38">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5DA3" w14:textId="77777777" w:rsidR="0062782D" w:rsidRDefault="00F66F38" w:rsidP="0062782D">
    <w:pPr>
      <w:pStyle w:val="Header"/>
    </w:pPr>
    <w:r>
      <w:rPr>
        <w:noProof/>
      </w:rPr>
      <w:pict w14:anchorId="1365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8" type="#_x0000_t75" style="position:absolute;left:0;text-align:left;margin-left:11.9pt;margin-top:12pt;width:595.2pt;height:841.9pt;z-index:-251638784;mso-position-horizontal-relative:page;mso-position-vertical-relative:page" o:allowincell="f">
          <v:imagedata r:id="rId1" o:title="footer only"/>
          <w10:wrap anchorx="page" anchory="page"/>
        </v:shape>
      </w:pict>
    </w:r>
    <w:r w:rsidR="0062782D">
      <w:rPr>
        <w:noProof/>
        <w:lang w:val="en-US"/>
      </w:rPr>
      <w:drawing>
        <wp:anchor distT="0" distB="0" distL="114300" distR="114300" simplePos="0" relativeHeight="251676672" behindDoc="0" locked="0" layoutInCell="1" allowOverlap="1" wp14:anchorId="646FF35B" wp14:editId="35D7CA7E">
          <wp:simplePos x="898497" y="453224"/>
          <wp:positionH relativeFrom="page">
            <wp:align>center</wp:align>
          </wp:positionH>
          <wp:positionV relativeFrom="page">
            <wp:posOffset>288290</wp:posOffset>
          </wp:positionV>
          <wp:extent cx="6944398" cy="3344275"/>
          <wp:effectExtent l="0" t="0" r="0" b="8890"/>
          <wp:wrapNone/>
          <wp:docPr id="6" name="Picture 6" title="EESCLogo2021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2">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p>
  <w:p w14:paraId="55EA1B5E" w14:textId="77777777" w:rsidR="0062782D" w:rsidRPr="007F116C" w:rsidRDefault="0062782D" w:rsidP="0062782D">
    <w:pPr>
      <w:pStyle w:val="Header"/>
    </w:pPr>
  </w:p>
  <w:p w14:paraId="1128C73C" w14:textId="77777777" w:rsidR="0062782D" w:rsidRPr="00836683" w:rsidRDefault="0062782D" w:rsidP="0062782D">
    <w:pPr>
      <w:pStyle w:val="Header"/>
    </w:pPr>
  </w:p>
  <w:p w14:paraId="20C95081" w14:textId="03BC0F84" w:rsidR="00574C9B" w:rsidRPr="0062782D" w:rsidRDefault="00574C9B" w:rsidP="00627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F66F38">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F66F38">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F66F38">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6E7FD6">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F66F38">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F66F38">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FA08F8" w:rsidRDefault="00F66F38">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F66F38">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20389"/>
    <w:rsid w:val="00030E2A"/>
    <w:rsid w:val="00037E92"/>
    <w:rsid w:val="00053D00"/>
    <w:rsid w:val="00054592"/>
    <w:rsid w:val="00074745"/>
    <w:rsid w:val="000A0F3B"/>
    <w:rsid w:val="000D7AAD"/>
    <w:rsid w:val="001534B1"/>
    <w:rsid w:val="0019231D"/>
    <w:rsid w:val="001955B6"/>
    <w:rsid w:val="001D61AC"/>
    <w:rsid w:val="001E15AA"/>
    <w:rsid w:val="001E3FA1"/>
    <w:rsid w:val="00200E87"/>
    <w:rsid w:val="00206D14"/>
    <w:rsid w:val="00214BDC"/>
    <w:rsid w:val="00215E81"/>
    <w:rsid w:val="00217490"/>
    <w:rsid w:val="00231AE8"/>
    <w:rsid w:val="0024727F"/>
    <w:rsid w:val="002B6A7B"/>
    <w:rsid w:val="002D20DD"/>
    <w:rsid w:val="002F03F9"/>
    <w:rsid w:val="003353D7"/>
    <w:rsid w:val="00337567"/>
    <w:rsid w:val="003567D4"/>
    <w:rsid w:val="003659F9"/>
    <w:rsid w:val="003D3052"/>
    <w:rsid w:val="003E6B2A"/>
    <w:rsid w:val="00401DE5"/>
    <w:rsid w:val="00452CAF"/>
    <w:rsid w:val="004871B8"/>
    <w:rsid w:val="004C1EC5"/>
    <w:rsid w:val="00512C74"/>
    <w:rsid w:val="00574C9B"/>
    <w:rsid w:val="0058411F"/>
    <w:rsid w:val="005E2695"/>
    <w:rsid w:val="006125A1"/>
    <w:rsid w:val="00627409"/>
    <w:rsid w:val="0062782D"/>
    <w:rsid w:val="00653E7D"/>
    <w:rsid w:val="00662207"/>
    <w:rsid w:val="00667F09"/>
    <w:rsid w:val="006A4143"/>
    <w:rsid w:val="006B57A6"/>
    <w:rsid w:val="006D53A6"/>
    <w:rsid w:val="006E7FD6"/>
    <w:rsid w:val="0072545A"/>
    <w:rsid w:val="00751339"/>
    <w:rsid w:val="00787837"/>
    <w:rsid w:val="00787ABB"/>
    <w:rsid w:val="007B6C64"/>
    <w:rsid w:val="007F418B"/>
    <w:rsid w:val="00822952"/>
    <w:rsid w:val="00836505"/>
    <w:rsid w:val="00844B87"/>
    <w:rsid w:val="00870584"/>
    <w:rsid w:val="0089251B"/>
    <w:rsid w:val="008A6DD4"/>
    <w:rsid w:val="008A7731"/>
    <w:rsid w:val="008F74D7"/>
    <w:rsid w:val="00904C42"/>
    <w:rsid w:val="00913FA7"/>
    <w:rsid w:val="00914683"/>
    <w:rsid w:val="00924C05"/>
    <w:rsid w:val="00931C1C"/>
    <w:rsid w:val="00937CF2"/>
    <w:rsid w:val="00976645"/>
    <w:rsid w:val="00976F77"/>
    <w:rsid w:val="0098228C"/>
    <w:rsid w:val="009913B6"/>
    <w:rsid w:val="009C14AA"/>
    <w:rsid w:val="009E2100"/>
    <w:rsid w:val="009F3486"/>
    <w:rsid w:val="00A310E1"/>
    <w:rsid w:val="00A36AB0"/>
    <w:rsid w:val="00AB37A3"/>
    <w:rsid w:val="00AC5114"/>
    <w:rsid w:val="00AF5BDC"/>
    <w:rsid w:val="00AF6603"/>
    <w:rsid w:val="00B24518"/>
    <w:rsid w:val="00B25683"/>
    <w:rsid w:val="00B43259"/>
    <w:rsid w:val="00B51901"/>
    <w:rsid w:val="00B970E8"/>
    <w:rsid w:val="00BC2B64"/>
    <w:rsid w:val="00BD50F6"/>
    <w:rsid w:val="00C073E1"/>
    <w:rsid w:val="00C25647"/>
    <w:rsid w:val="00C4223D"/>
    <w:rsid w:val="00C648E2"/>
    <w:rsid w:val="00C65696"/>
    <w:rsid w:val="00C66AEA"/>
    <w:rsid w:val="00C9040A"/>
    <w:rsid w:val="00C91E4D"/>
    <w:rsid w:val="00CB110A"/>
    <w:rsid w:val="00CB7CD0"/>
    <w:rsid w:val="00CD0E3A"/>
    <w:rsid w:val="00CD26C9"/>
    <w:rsid w:val="00CF34D6"/>
    <w:rsid w:val="00D039AF"/>
    <w:rsid w:val="00D72198"/>
    <w:rsid w:val="00D95232"/>
    <w:rsid w:val="00DB7F50"/>
    <w:rsid w:val="00DE30C7"/>
    <w:rsid w:val="00DF400F"/>
    <w:rsid w:val="00E15BF4"/>
    <w:rsid w:val="00E2376B"/>
    <w:rsid w:val="00E26935"/>
    <w:rsid w:val="00E27707"/>
    <w:rsid w:val="00E52B04"/>
    <w:rsid w:val="00E57FC0"/>
    <w:rsid w:val="00E60496"/>
    <w:rsid w:val="00E661B7"/>
    <w:rsid w:val="00E938AF"/>
    <w:rsid w:val="00EA0944"/>
    <w:rsid w:val="00EB1C0F"/>
    <w:rsid w:val="00EF1C31"/>
    <w:rsid w:val="00F2069F"/>
    <w:rsid w:val="00F37E78"/>
    <w:rsid w:val="00F53370"/>
    <w:rsid w:val="00F66F38"/>
    <w:rsid w:val="00F81A95"/>
    <w:rsid w:val="00F90BE2"/>
    <w:rsid w:val="00F95AC9"/>
    <w:rsid w:val="00FC0CEA"/>
    <w:rsid w:val="00FD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semiHidden/>
    <w:unhideWhenUsed/>
    <w:rsid w:val="00231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header" Target="header8.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15" Type="http://schemas.openxmlformats.org/officeDocument/2006/relationships/header" Target="header4.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7.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common-agricultural-policy/cap-overview/cap-2023-27/key-policy-objectives-cap-2023-27_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F7M6YNZUATRX-789077548-8447</_dlc_DocId>
    <_dlc_DocIdUrl xmlns="59ace41b-6786-4ce3-be71-52c27066c6ef">
      <Url>http://dm/eesc/2024/_layouts/15/DocIdRedir.aspx?ID=F7M6YNZUATRX-789077548-8447</Url>
      <Description>F7M6YNZUATRX-789077548-8447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2025-04-09T12:00:00+00:00</ProductionDate>
    <DocumentNumber xmlns="36007a90-28ab-40da-967b-595e4ec83007">2156</DocumentNumber>
    <FicheYear xmlns="59ace41b-6786-4ce3-be71-52c27066c6ef" xsi:nil="true"/>
    <DossierNumber xmlns="59ace41b-6786-4ce3-be71-52c27066c6ef">930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36</Value>
      <Value>43</Value>
      <Value>37</Value>
      <Value>273</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Rapporteur xmlns="59ace41b-6786-4ce3-be71-52c27066c6ef">RAVNIK &amp; GERSTEIN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3842</FicheNumber>
    <OriginalSender xmlns="59ace41b-6786-4ce3-be71-52c27066c6ef">
      <UserInfo>
        <DisplayName>Toskov Ventsislav</DisplayName>
        <AccountId>1571</AccountId>
        <AccountType/>
      </UserInfo>
    </OriginalSender>
    <DocumentPart xmlns="59ace41b-6786-4ce3-be71-52c27066c6ef">0</DocumentPart>
    <AdoptionDate xmlns="59ace41b-6786-4ce3-be71-52c27066c6ef">2025-03-26T12:00:00+00:00</AdoptionDate>
    <RequestingService xmlns="59ace41b-6786-4ce3-be71-52c27066c6ef">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59ace41b-6786-4ce3-be71-52c27066c6ef">2</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F5646-B93E-447F-91F7-FA4C7164A6C2}"/>
</file>

<file path=customXml/itemProps2.xml><?xml version="1.0" encoding="utf-8"?>
<ds:datastoreItem xmlns:ds="http://schemas.openxmlformats.org/officeDocument/2006/customXml" ds:itemID="{3764B898-A44E-44A4-8279-B33CAAB8DE86}"/>
</file>

<file path=customXml/itemProps3.xml><?xml version="1.0" encoding="utf-8"?>
<ds:datastoreItem xmlns:ds="http://schemas.openxmlformats.org/officeDocument/2006/customXml" ds:itemID="{CB95D8B9-432E-4A19-8640-3742742AD19E}"/>
</file>

<file path=customXml/itemProps4.xml><?xml version="1.0" encoding="utf-8"?>
<ds:datastoreItem xmlns:ds="http://schemas.openxmlformats.org/officeDocument/2006/customXml" ds:itemID="{E560CC77-E245-472C-9B71-2FE8B80BE2B4}"/>
</file>

<file path=docProps/app.xml><?xml version="1.0" encoding="utf-8"?>
<Properties xmlns="http://schemas.openxmlformats.org/officeDocument/2006/extended-properties" xmlns:vt="http://schemas.openxmlformats.org/officeDocument/2006/docPropsVTypes">
  <Template>Normal.dotm</Template>
  <TotalTime>0</TotalTime>
  <Pages>11</Pages>
  <Words>3949</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EESC RE - Model</vt:lpstr>
    </vt:vector>
  </TitlesOfParts>
  <Company>CESE-CdR</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Нелоялни търговски практики в отношенията между стопанските субекти във веригата за доставки на селскостопански и хранителни продукти</dc:title>
  <dc:subject>RE</dc:subject>
  <dc:creator>Francois Aude</dc:creator>
  <cp:keywords>EESC-2024-02156-00-02-RE-TRA-EN</cp:keywords>
  <dc:description>Rapporteur: RAVNIK &amp; GERSTEIN - Original language: EN - Date of document: 09/04/2025 - Date of meeting:  - External documents:  - Administrator:  KOLYVA Myrto</dc:description>
  <cp:lastModifiedBy>Toskov Ventsislav</cp:lastModifiedBy>
  <cp:revision>7</cp:revision>
  <dcterms:created xsi:type="dcterms:W3CDTF">2025-04-09T09:30:00Z</dcterms:created>
  <dcterms:modified xsi:type="dcterms:W3CDTF">2025-04-09T10:10:00Z</dcterms:modified>
  <cp:category>NAT/930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28/03/2025, 12/04/2024, 17/05/2022</vt:lpwstr>
  </property>
  <property fmtid="{D5CDD505-2E9C-101B-9397-08002B2CF9AE}" pid="4" name="Pref_Time">
    <vt:lpwstr>15:06:22, 12:03:55, 14:58:36</vt:lpwstr>
  </property>
  <property fmtid="{D5CDD505-2E9C-101B-9397-08002B2CF9AE}" pid="5" name="Pref_User">
    <vt:lpwstr>jhvi, enied, enied</vt:lpwstr>
  </property>
  <property fmtid="{D5CDD505-2E9C-101B-9397-08002B2CF9AE}" pid="6" name="Pref_FileName">
    <vt:lpwstr>EESC-2024-02156-00-00-RE-TRA-EN-CRR.docx, COR-EESC-2024-01326-22-00-ADMIN-ORI.docx, COR-EESC-2022-02592-00-00-ADMIN-ORI.docx</vt:lpwstr>
  </property>
  <property fmtid="{D5CDD505-2E9C-101B-9397-08002B2CF9AE}" pid="7" name="ContentTypeId">
    <vt:lpwstr>0x010100EA97B91038054C99906057A708A1480A00C9C698F2971CE54890F427AFE3EB568F</vt:lpwstr>
  </property>
  <property fmtid="{D5CDD505-2E9C-101B-9397-08002B2CF9AE}" pid="8" name="_dlc_DocIdItemGuid">
    <vt:lpwstr>7a9367f2-6968-44bc-99ce-a2730ab8af09</vt:lpwstr>
  </property>
  <property fmtid="{D5CDD505-2E9C-101B-9397-08002B2CF9AE}" pid="9" name="AvailableTranslations">
    <vt:lpwstr>28;#LV|46f7e311-5d9f-4663-b433-18aeccb7ace7;#36;#PT|50ccc04a-eadd-42ae-a0cb-acaf45f812ba;#23;#MT|7df99101-6854-4a26-b53a-b88c0da02c26;#25;#DE|f6b31e5a-26fa-4935-b661-318e46daf27e;#16;#DA|5d49c027-8956-412b-aa16-e85a0f96ad0e;#5;#EN|f2175f21-25d7-44a3-96da-d6a61b075e1b;#21;#SV|c2ed69e7-a339-43d7-8f22-d93680a92aa0;#12;#IT|0774613c-01ed-4e5d-a25d-11d2388de825;#43;#CS|72f9705b-0217-4fd3-bea2-cbc7ed80e26e;#17;#PL|1e03da61-4678-4e07-b136-b5024ca9197b;#30;#HR|2f555653-ed1a-4fe6-8362-9082d95989e5;#26;#SK|46d9fce0-ef79-4f71-b89b-cd6aa82426b8;#37;#RO|feb747a2-64cd-4299-af12-4833ddc30497;#14;#FR|d2afafd3-4c81-4f60-8f52-ee33f2f54ff3;#18;#GA|762d2456-c427-4ecb-b312-af3dad8e258c;#31;#NL|55c6556c-b4f4-441d-9acf-c498d4f838bd;#22;#BG|1a1b3951-7821-4e6a-85f5-5673fc08bd2c;#27;#SL|98a412ae-eb01-49e9-ae3d-585a81724cfc;#29;#EL|6d4f4d51-af9b-4650-94b4-4276bee85c91;#34;#LT|a7ff5ce7-6123-4f68-865a-a57c31810414;#33;#ET|ff6c3f4c-b02c-4c3c-ab07-2c37995a7a0a;#24;#ES|e7a6b05b-ae16-40c8-add9-68b64b03aeba;#35;#FI|87606a43-d45f-42d6-b8c9-e1a3457db5b7;#32;#HU|6b229040-c589-4408-b4c1-4285663d20a8</vt:lpwstr>
  </property>
  <property fmtid="{D5CDD505-2E9C-101B-9397-08002B2CF9AE}" pid="10" name="DocumentType_0">
    <vt:lpwstr>RE|2e31ab9a-38d8-4b15-bf54-b076b749ef85</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2156</vt:i4>
  </property>
  <property fmtid="{D5CDD505-2E9C-101B-9397-08002B2CF9AE}" pid="14" name="DocumentVersion">
    <vt:i4>2</vt:i4>
  </property>
  <property fmtid="{D5CDD505-2E9C-101B-9397-08002B2CF9AE}" pid="15" name="DossierNumber">
    <vt:i4>930</vt:i4>
  </property>
  <property fmtid="{D5CDD505-2E9C-101B-9397-08002B2CF9AE}" pid="16" name="DocumentStatus">
    <vt:lpwstr>3;#TRA|150d2a88-1431-44e6-a8ca-0bb753ab8672</vt:lpwstr>
  </property>
  <property fmtid="{D5CDD505-2E9C-101B-9397-08002B2CF9AE}" pid="17" name="DossierName">
    <vt:lpwstr>2;#NAT|b263ab5d-0564-42a8-87bf-1cc57d938922</vt:lpwstr>
  </property>
  <property fmtid="{D5CDD505-2E9C-101B-9397-08002B2CF9AE}" pid="18" name="RequestingService">
    <vt:lpwstr>Agriculture, développement rural et environnement</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PT|50ccc04a-eadd-42ae-a0cb-acaf45f812ba;DE|f6b31e5a-26fa-4935-b661-318e46daf27e;DA|5d49c027-8956-412b-aa16-e85a0f96ad0e;EN|f2175f21-25d7-44a3-96da-d6a61b075e1b;SV|c2ed69e7-a339-43d7-8f22-d93680a92aa0;IT|0774613c-01ed-4e5d-a25d-11d2388de825;CS|72f9705b-0217-4fd3-bea2-cbc7ed80e26e;HR|2f555653-ed1a-4fe6-8362-9082d95989e5;SK|46d9fce0-ef79-4f71-b89b-cd6aa82426b8;RO|feb747a2-64cd-4299-af12-4833ddc30497;LT|a7ff5ce7-6123-4f68-865a-a57c31810414;FI|87606a43-d45f-42d6-b8c9-e1a3457db5b7;HU|6b229040-c589-4408-b4c1-4285663d20a8</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36;#PT|50ccc04a-eadd-42ae-a0cb-acaf45f812ba;#35;#FI|87606a43-d45f-42d6-b8c9-e1a3457db5b7;#34;#LT|a7ff5ce7-6123-4f68-865a-a57c31810414;#32;#HU|6b229040-c589-4408-b4c1-4285663d20a8;#43;#CS|72f9705b-0217-4fd3-bea2-cbc7ed80e26e;#26;#SK|46d9fce0-ef79-4f71-b89b-cd6aa82426b8;#25;#DE|f6b31e5a-26fa-4935-b661-318e46daf27e;#37;#RO|feb747a2-64cd-4299-af12-4833ddc30497;#21;#SV|c2ed69e7-a339-43d7-8f22-d93680a92aa0;#16;#DA|5d49c027-8956-412b-aa16-e85a0f96ad0e;#273;#RE|2e31ab9a-38d8-4b15-bf54-b076b749ef85;#12;#IT|0774613c-01ed-4e5d-a25d-11d2388de825;#8;#Final|ea5e6674-7b27-4bac-b091-73adbb394efe;#6;#Unrestricted|826e22d7-d029-4ec0-a450-0c28ff673572;#5;#EN|f2175f21-25d7-44a3-96da-d6a61b075e1b;#3;#TRA|150d2a88-1431-44e6-a8ca-0bb753ab8672;#2;#NAT|b263ab5d-0564-42a8-87bf-1cc57d938922;#1;#EESC|422833ec-8d7e-4e65-8e4e-8bed07ffb729;#30;#HR|2f555653-ed1a-4fe6-8362-9082d95989e5</vt:lpwstr>
  </property>
  <property fmtid="{D5CDD505-2E9C-101B-9397-08002B2CF9AE}" pid="29" name="Rapporteur">
    <vt:lpwstr>RAVNIK &amp; GERSTEIN</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3842</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2025-03-26T12:00:00Z</vt:filetime>
  </property>
  <property fmtid="{D5CDD505-2E9C-101B-9397-08002B2CF9AE}" pid="37" name="DocumentType">
    <vt:lpwstr>273;#RE|2e31ab9a-38d8-4b15-bf54-b076b749ef85</vt:lpwstr>
  </property>
  <property fmtid="{D5CDD505-2E9C-101B-9397-08002B2CF9AE}" pid="38" name="DocumentLanguage">
    <vt:lpwstr>22;#BG|1a1b3951-7821-4e6a-85f5-5673fc08bd2c</vt:lpwstr>
  </property>
</Properties>
</file>