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C4223D" w:rsidR="00CD26C9" w:rsidTr="00695F57" w14:paraId="0C1266F7" w14:textId="77777777">
        <w:trPr>
          <w:jc w:val="center"/>
        </w:trPr>
        <w:tc>
          <w:tcPr>
            <w:tcW w:w="5000" w:type="pct"/>
            <w:vAlign w:val="center"/>
          </w:tcPr>
          <w:p w:rsidRPr="00C4223D" w:rsidR="00CD26C9" w:rsidP="00695F57" w:rsidRDefault="00CD26C9" w14:paraId="6B1B2975" w14:textId="77777777">
            <w:pPr>
              <w:jc w:val="center"/>
              <w:rPr>
                <w:b/>
                <w:bCs/>
                <w:sz w:val="72"/>
                <w:szCs w:val="72"/>
                <w:lang w:val="en-GB"/>
              </w:rPr>
            </w:pPr>
            <w:bookmarkStart w:name="_GoBack" w:id="0"/>
            <w:bookmarkEnd w:id="0"/>
            <w:r w:rsidRPr="00C4223D">
              <w:rPr>
                <w:b/>
                <w:bCs/>
                <w:sz w:val="72"/>
                <w:szCs w:val="72"/>
                <w:lang w:val="en-GB"/>
              </w:rPr>
              <w:t>EVALUATION REPORT</w:t>
            </w:r>
          </w:p>
        </w:tc>
      </w:tr>
      <w:tr w:rsidRPr="00C4223D" w:rsidR="00CD26C9" w:rsidTr="00695F57" w14:paraId="0997F6B4" w14:textId="77777777">
        <w:trPr>
          <w:trHeight w:val="567"/>
          <w:jc w:val="center"/>
        </w:trPr>
        <w:tc>
          <w:tcPr>
            <w:tcW w:w="5000" w:type="pct"/>
            <w:vAlign w:val="center"/>
          </w:tcPr>
          <w:p w:rsidRPr="00C4223D" w:rsidR="00CD26C9" w:rsidP="00695F57" w:rsidRDefault="00CD26C9" w14:paraId="3904D624" w14:textId="77777777">
            <w:pPr>
              <w:jc w:val="center"/>
              <w:rPr>
                <w:sz w:val="24"/>
                <w:szCs w:val="24"/>
                <w:lang w:val="en-GB"/>
              </w:rPr>
            </w:pPr>
            <w:r w:rsidRPr="00C4223D">
              <w:rPr>
                <w:sz w:val="24"/>
                <w:szCs w:val="24"/>
                <w:lang w:val="en-GB"/>
              </w:rPr>
              <w:t>European Economic and Social Committee</w:t>
            </w:r>
          </w:p>
        </w:tc>
      </w:tr>
      <w:tr w:rsidRPr="00C4223D" w:rsidR="00CD26C9" w:rsidTr="00695F57" w14:paraId="1D644B77" w14:textId="77777777">
        <w:trPr>
          <w:jc w:val="center"/>
        </w:trPr>
        <w:tc>
          <w:tcPr>
            <w:tcW w:w="5000" w:type="pct"/>
            <w:vAlign w:val="center"/>
          </w:tcPr>
          <w:p w:rsidRPr="00C4223D" w:rsidR="00CD26C9" w:rsidP="00695F57" w:rsidRDefault="00F37E78" w14:paraId="25DFFFC7" w14:textId="65D63C18">
            <w:pPr>
              <w:jc w:val="center"/>
              <w:rPr>
                <w:b/>
                <w:bCs/>
                <w:sz w:val="44"/>
                <w:szCs w:val="44"/>
                <w:lang w:val="en-GB"/>
              </w:rPr>
            </w:pPr>
            <w:r w:rsidRPr="00C4223D">
              <w:rPr>
                <w:b/>
                <w:bCs/>
                <w:sz w:val="44"/>
                <w:szCs w:val="44"/>
                <w:lang w:val="en-GB"/>
              </w:rPr>
              <w:t>Unfair trading practices in B2B relationships in the agricultural and food supply chain</w:t>
            </w:r>
          </w:p>
        </w:tc>
      </w:tr>
      <w:tr w:rsidRPr="00C4223D" w:rsidR="00CD26C9" w:rsidTr="00695F57" w14:paraId="10E683EE" w14:textId="77777777">
        <w:trPr>
          <w:jc w:val="center"/>
        </w:trPr>
        <w:tc>
          <w:tcPr>
            <w:tcW w:w="5000" w:type="pct"/>
            <w:vAlign w:val="center"/>
          </w:tcPr>
          <w:p w:rsidRPr="00C4223D" w:rsidR="00CD26C9" w:rsidP="00695F57" w:rsidRDefault="00CD26C9" w14:paraId="2BAFC35D" w14:textId="77777777">
            <w:pPr>
              <w:overflowPunct w:val="0"/>
              <w:autoSpaceDE w:val="0"/>
              <w:autoSpaceDN w:val="0"/>
              <w:adjustRightInd w:val="0"/>
              <w:jc w:val="center"/>
              <w:textAlignment w:val="baseline"/>
              <w:rPr>
                <w:b/>
                <w:bCs/>
                <w:sz w:val="24"/>
                <w:szCs w:val="24"/>
                <w:lang w:val="en-GB"/>
              </w:rPr>
            </w:pPr>
            <w:r w:rsidRPr="00C4223D">
              <w:rPr>
                <w:position w:val="24"/>
                <w:sz w:val="24"/>
                <w:szCs w:val="24"/>
                <w:lang w:val="en-GB"/>
              </w:rPr>
              <w:t>_____________</w:t>
            </w:r>
          </w:p>
        </w:tc>
      </w:tr>
      <w:tr w:rsidRPr="00C4223D" w:rsidR="00CD26C9" w:rsidTr="00695F57" w14:paraId="5B865E60" w14:textId="77777777">
        <w:trPr>
          <w:jc w:val="center"/>
        </w:trPr>
        <w:tc>
          <w:tcPr>
            <w:tcW w:w="5000" w:type="pct"/>
            <w:vAlign w:val="center"/>
          </w:tcPr>
          <w:p w:rsidRPr="00C4223D" w:rsidR="00CD26C9" w:rsidP="00695F57" w:rsidRDefault="00F37E78" w14:paraId="765FFD53" w14:textId="3897D249">
            <w:pPr>
              <w:jc w:val="center"/>
              <w:rPr>
                <w:sz w:val="24"/>
                <w:szCs w:val="24"/>
                <w:lang w:val="en-GB"/>
              </w:rPr>
            </w:pPr>
            <w:r w:rsidRPr="00C4223D">
              <w:rPr>
                <w:sz w:val="24"/>
                <w:szCs w:val="24"/>
                <w:lang w:val="en-GB"/>
              </w:rPr>
              <w:t xml:space="preserve">Evaluation of Directive (EU) 2019/633 of 17 April 2019 on unfair trading practices in B2B relationships in the agricultural and food supply chain </w:t>
            </w:r>
            <w:r w:rsidR="00C234BA">
              <w:rPr>
                <w:sz w:val="24"/>
                <w:szCs w:val="24"/>
                <w:lang w:val="en-GB"/>
              </w:rPr>
              <w:br/>
            </w:r>
            <w:r w:rsidRPr="00C4223D">
              <w:rPr>
                <w:sz w:val="24"/>
                <w:szCs w:val="24"/>
                <w:lang w:val="en-GB"/>
              </w:rPr>
              <w:t>(incl. mapping of national UTP legislation)</w:t>
            </w:r>
          </w:p>
        </w:tc>
      </w:tr>
      <w:tr w:rsidRPr="00C4223D" w:rsidR="00CD26C9" w:rsidTr="00695F57" w14:paraId="30A15ABD" w14:textId="77777777">
        <w:trPr>
          <w:jc w:val="center"/>
        </w:trPr>
        <w:tc>
          <w:tcPr>
            <w:tcW w:w="5000" w:type="pct"/>
            <w:vAlign w:val="center"/>
          </w:tcPr>
          <w:p w:rsidRPr="00C4223D" w:rsidR="00CD26C9" w:rsidP="00695F57" w:rsidRDefault="00CD26C9" w14:paraId="4CDF6137" w14:textId="77777777">
            <w:pPr>
              <w:jc w:val="center"/>
              <w:rPr>
                <w:sz w:val="24"/>
                <w:szCs w:val="24"/>
                <w:lang w:val="en-GB"/>
              </w:rPr>
            </w:pPr>
          </w:p>
        </w:tc>
      </w:tr>
      <w:tr w:rsidRPr="00C4223D" w:rsidR="00CD26C9" w:rsidTr="00695F57" w14:paraId="0A87DD1F" w14:textId="77777777">
        <w:trPr>
          <w:jc w:val="center"/>
        </w:trPr>
        <w:tc>
          <w:tcPr>
            <w:tcW w:w="5000" w:type="pct"/>
            <w:vAlign w:val="center"/>
          </w:tcPr>
          <w:p w:rsidRPr="00C4223D" w:rsidR="00CD26C9" w:rsidP="00695F57" w:rsidRDefault="00F37E78" w14:paraId="3922E3BF" w14:textId="5F4F5FD5">
            <w:pPr>
              <w:jc w:val="center"/>
              <w:rPr>
                <w:b/>
                <w:bCs/>
                <w:sz w:val="24"/>
                <w:szCs w:val="24"/>
                <w:lang w:val="en-GB"/>
              </w:rPr>
            </w:pPr>
            <w:r w:rsidRPr="00C4223D">
              <w:rPr>
                <w:b/>
                <w:bCs/>
                <w:sz w:val="24"/>
                <w:szCs w:val="24"/>
                <w:lang w:val="en-GB"/>
              </w:rPr>
              <w:t>NAT/930</w:t>
            </w:r>
          </w:p>
        </w:tc>
      </w:tr>
      <w:tr w:rsidRPr="00C4223D" w:rsidR="00CD26C9" w:rsidTr="00695F57" w14:paraId="7C0D824A" w14:textId="77777777">
        <w:trPr>
          <w:jc w:val="center"/>
        </w:trPr>
        <w:tc>
          <w:tcPr>
            <w:tcW w:w="5000" w:type="pct"/>
            <w:vAlign w:val="center"/>
          </w:tcPr>
          <w:p w:rsidRPr="00C4223D" w:rsidR="00CD26C9" w:rsidP="00695F57" w:rsidRDefault="00CD26C9" w14:paraId="193AB3B9" w14:textId="77777777">
            <w:pPr>
              <w:jc w:val="center"/>
              <w:rPr>
                <w:sz w:val="24"/>
                <w:szCs w:val="24"/>
                <w:lang w:val="en-GB"/>
              </w:rPr>
            </w:pPr>
          </w:p>
        </w:tc>
      </w:tr>
      <w:tr w:rsidRPr="00C4223D" w:rsidR="00CD26C9" w:rsidTr="00695F57" w14:paraId="65003D07" w14:textId="77777777">
        <w:trPr>
          <w:jc w:val="center"/>
        </w:trPr>
        <w:tc>
          <w:tcPr>
            <w:tcW w:w="5000" w:type="pct"/>
            <w:vAlign w:val="center"/>
          </w:tcPr>
          <w:p w:rsidRPr="00C4223D" w:rsidR="00CD26C9" w:rsidP="00695F57" w:rsidRDefault="00CD26C9" w14:paraId="2D4C5907" w14:textId="031C50EA">
            <w:pPr>
              <w:jc w:val="center"/>
              <w:rPr>
                <w:sz w:val="24"/>
                <w:szCs w:val="24"/>
                <w:lang w:val="en-GB"/>
              </w:rPr>
            </w:pPr>
            <w:r w:rsidRPr="00C4223D">
              <w:rPr>
                <w:sz w:val="24"/>
                <w:szCs w:val="24"/>
                <w:lang w:val="en-GB"/>
              </w:rPr>
              <w:t xml:space="preserve">Rapporteur: </w:t>
            </w:r>
            <w:r w:rsidRPr="00C4223D" w:rsidR="00F37E78">
              <w:rPr>
                <w:b/>
                <w:bCs/>
                <w:sz w:val="24"/>
                <w:szCs w:val="24"/>
                <w:lang w:val="en-GB"/>
              </w:rPr>
              <w:t>Antje GERSTEIN</w:t>
            </w:r>
          </w:p>
        </w:tc>
      </w:tr>
      <w:tr w:rsidRPr="00C4223D" w:rsidR="00CD26C9" w:rsidTr="00695F57" w14:paraId="0105A06B" w14:textId="77777777">
        <w:trPr>
          <w:jc w:val="center"/>
        </w:trPr>
        <w:tc>
          <w:tcPr>
            <w:tcW w:w="5000" w:type="pct"/>
            <w:vAlign w:val="center"/>
          </w:tcPr>
          <w:p w:rsidRPr="00C4223D" w:rsidR="00CD26C9" w:rsidP="00695F57" w:rsidRDefault="00CD26C9" w14:paraId="55322D6D" w14:textId="7058CF03">
            <w:pPr>
              <w:jc w:val="center"/>
              <w:rPr>
                <w:sz w:val="24"/>
                <w:szCs w:val="24"/>
                <w:lang w:val="en-GB"/>
              </w:rPr>
            </w:pPr>
            <w:r w:rsidRPr="00C4223D">
              <w:rPr>
                <w:sz w:val="24"/>
                <w:szCs w:val="24"/>
                <w:lang w:val="en-GB"/>
              </w:rPr>
              <w:t xml:space="preserve">Co-rapporteur: </w:t>
            </w:r>
            <w:r w:rsidRPr="00C4223D" w:rsidR="00F37E78">
              <w:rPr>
                <w:b/>
                <w:sz w:val="24"/>
                <w:szCs w:val="24"/>
                <w:lang w:val="en-GB"/>
              </w:rPr>
              <w:t>Branko RAVNIK</w:t>
            </w:r>
          </w:p>
        </w:tc>
      </w:tr>
    </w:tbl>
    <w:p w:rsidRPr="00C4223D" w:rsidR="00574C9B" w:rsidP="00574C9B" w:rsidRDefault="00574C9B" w14:paraId="0B225863" w14:textId="77777777">
      <w:pPr>
        <w:rPr>
          <w:lang w:val="en-GB"/>
        </w:rPr>
      </w:pPr>
      <w:r w:rsidRPr="00C4223D">
        <w:rPr>
          <w:noProof/>
          <w:sz w:val="20"/>
        </w:rPr>
        <mc:AlternateContent>
          <mc:Choice Requires="wps">
            <w:drawing>
              <wp:anchor distT="0" distB="0" distL="114300" distR="114300" simplePos="0" relativeHeight="251659264" behindDoc="1" locked="0" layoutInCell="0" allowOverlap="1" wp14:editId="3357AC0E"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14:paraId="03B00903" w14:textId="77777777">
                      <w:pPr>
                        <w:jc w:val="center"/>
                      </w:pPr>
                      <w:r>
                        <w:rPr>
                          <w:rFonts w:ascii="Arial" w:hAnsi="Arial" w:cs="Arial"/>
                          <w:b/>
                          <w:bCs/>
                          <w:sz w:val="48"/>
                          <w:lang w:val="nl-BE"/>
                        </w:rPr>
                        <w:t>EN</w:t>
                      </w:r>
                    </w:p>
                  </w:txbxContent>
                </v:textbox>
                <w10:wrap anchorx="margin" anchory="page"/>
              </v:shape>
            </w:pict>
          </mc:Fallback>
        </mc:AlternateContent>
      </w:r>
    </w:p>
    <w:p w:rsidRPr="00C4223D" w:rsidR="00574C9B" w:rsidP="00574C9B" w:rsidRDefault="00574C9B" w14:paraId="3FA5826A" w14:textId="77777777">
      <w:pPr>
        <w:rPr>
          <w:lang w:val="en-GB"/>
        </w:rPr>
      </w:pPr>
    </w:p>
    <w:p w:rsidRPr="00C4223D" w:rsidR="00574C9B" w:rsidP="00574C9B" w:rsidRDefault="00574C9B" w14:paraId="4B88FC0A" w14:textId="77777777">
      <w:pPr>
        <w:rPr>
          <w:lang w:val="en-GB"/>
        </w:rPr>
        <w:sectPr w:rsidRPr="00C4223D" w:rsidR="00574C9B" w:rsidSect="009F7AD2">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9F7AD2" w:rsidR="00914683" w:rsidTr="00E15BF4" w14:paraId="64074C63" w14:textId="77777777">
        <w:tc>
          <w:tcPr>
            <w:tcW w:w="3085" w:type="dxa"/>
          </w:tcPr>
          <w:p w:rsidRPr="00C4223D" w:rsidR="00914683" w:rsidP="0058411F" w:rsidRDefault="009F3486" w14:paraId="51393BC8" w14:textId="242D439D">
            <w:pPr>
              <w:autoSpaceDE w:val="0"/>
              <w:autoSpaceDN w:val="0"/>
              <w:jc w:val="left"/>
              <w:rPr>
                <w:szCs w:val="20"/>
                <w:lang w:val="en-GB"/>
              </w:rPr>
            </w:pPr>
            <w:r w:rsidRPr="00C4223D">
              <w:rPr>
                <w:szCs w:val="20"/>
                <w:lang w:val="en-GB"/>
              </w:rPr>
              <w:lastRenderedPageBreak/>
              <w:t>Advisor</w:t>
            </w:r>
            <w:r w:rsidRPr="00C4223D" w:rsidR="00F37E78">
              <w:rPr>
                <w:szCs w:val="20"/>
                <w:lang w:val="en-GB"/>
              </w:rPr>
              <w:t>s</w:t>
            </w:r>
          </w:p>
        </w:tc>
        <w:tc>
          <w:tcPr>
            <w:tcW w:w="6204" w:type="dxa"/>
            <w:vAlign w:val="bottom"/>
          </w:tcPr>
          <w:p w:rsidRPr="00A30B4F" w:rsidR="00F37E78" w:rsidP="00F37E78" w:rsidRDefault="00F37E78" w14:paraId="43244F25" w14:textId="77777777">
            <w:pPr>
              <w:autoSpaceDE w:val="0"/>
              <w:autoSpaceDN w:val="0"/>
              <w:jc w:val="left"/>
              <w:rPr>
                <w:lang w:val="fr-BE"/>
              </w:rPr>
            </w:pPr>
            <w:r w:rsidRPr="00A30B4F">
              <w:rPr>
                <w:lang w:val="fr-BE"/>
              </w:rPr>
              <w:t>Philipp Pichler for rapporteur</w:t>
            </w:r>
          </w:p>
          <w:p w:rsidRPr="00A30B4F" w:rsidR="00914683" w:rsidP="00F37E78" w:rsidRDefault="00F37E78" w14:paraId="1BB75A13" w14:textId="72CDDB84">
            <w:pPr>
              <w:autoSpaceDE w:val="0"/>
              <w:autoSpaceDN w:val="0"/>
              <w:jc w:val="left"/>
              <w:rPr>
                <w:lang w:val="fr-BE"/>
              </w:rPr>
            </w:pPr>
            <w:r w:rsidRPr="00A30B4F">
              <w:rPr>
                <w:lang w:val="fr-BE"/>
              </w:rPr>
              <w:t>Jorge Conesa for co-rapporteur</w:t>
            </w:r>
          </w:p>
        </w:tc>
      </w:tr>
      <w:tr w:rsidRPr="009F7AD2" w:rsidR="009F3486" w:rsidTr="00E15BF4" w14:paraId="439F01E3" w14:textId="77777777">
        <w:tc>
          <w:tcPr>
            <w:tcW w:w="3085" w:type="dxa"/>
          </w:tcPr>
          <w:p w:rsidRPr="00A30B4F" w:rsidR="009F3486" w:rsidP="0058411F" w:rsidRDefault="009F3486" w14:paraId="3BA47B6B" w14:textId="77777777">
            <w:pPr>
              <w:autoSpaceDE w:val="0"/>
              <w:autoSpaceDN w:val="0"/>
              <w:jc w:val="left"/>
              <w:rPr>
                <w:szCs w:val="20"/>
                <w:lang w:val="fr-BE"/>
              </w:rPr>
            </w:pPr>
          </w:p>
        </w:tc>
        <w:tc>
          <w:tcPr>
            <w:tcW w:w="6204" w:type="dxa"/>
            <w:vAlign w:val="bottom"/>
          </w:tcPr>
          <w:p w:rsidRPr="00A30B4F" w:rsidR="009F3486" w:rsidP="0058411F" w:rsidRDefault="009F3486" w14:paraId="301F80DA" w14:textId="77777777">
            <w:pPr>
              <w:autoSpaceDE w:val="0"/>
              <w:autoSpaceDN w:val="0"/>
              <w:jc w:val="left"/>
              <w:rPr>
                <w:lang w:val="fr-BE"/>
              </w:rPr>
            </w:pPr>
          </w:p>
        </w:tc>
      </w:tr>
      <w:tr w:rsidRPr="00C4223D" w:rsidR="009F3486" w:rsidTr="00E15BF4" w14:paraId="139D4058" w14:textId="77777777">
        <w:tc>
          <w:tcPr>
            <w:tcW w:w="3085" w:type="dxa"/>
          </w:tcPr>
          <w:p w:rsidRPr="00C4223D" w:rsidR="009F3486" w:rsidP="0058411F" w:rsidRDefault="009F3486" w14:paraId="6C1D3442" w14:textId="0BBD6945">
            <w:pPr>
              <w:autoSpaceDE w:val="0"/>
              <w:autoSpaceDN w:val="0"/>
              <w:jc w:val="left"/>
              <w:rPr>
                <w:szCs w:val="20"/>
                <w:lang w:val="en-GB"/>
              </w:rPr>
            </w:pPr>
            <w:r w:rsidRPr="00C4223D">
              <w:rPr>
                <w:lang w:val="en-GB"/>
              </w:rPr>
              <w:t>Referral</w:t>
            </w:r>
          </w:p>
        </w:tc>
        <w:tc>
          <w:tcPr>
            <w:tcW w:w="6204" w:type="dxa"/>
            <w:vAlign w:val="bottom"/>
          </w:tcPr>
          <w:p w:rsidRPr="00C4223D" w:rsidR="009F3486" w:rsidP="0058411F" w:rsidRDefault="00F37E78" w14:paraId="376AB48C" w14:textId="5E6B3E6D">
            <w:pPr>
              <w:autoSpaceDE w:val="0"/>
              <w:autoSpaceDN w:val="0"/>
              <w:jc w:val="left"/>
              <w:rPr>
                <w:lang w:val="en-GB"/>
              </w:rPr>
            </w:pPr>
            <w:r w:rsidRPr="00C4223D">
              <w:rPr>
                <w:lang w:val="en-GB"/>
              </w:rPr>
              <w:t>European Commission, 12/12/2023</w:t>
            </w:r>
          </w:p>
        </w:tc>
      </w:tr>
      <w:tr w:rsidRPr="00C4223D" w:rsidR="00AC5114" w:rsidTr="00E15BF4" w14:paraId="46C189AE" w14:textId="77777777">
        <w:tc>
          <w:tcPr>
            <w:tcW w:w="3085" w:type="dxa"/>
          </w:tcPr>
          <w:p w:rsidRPr="00C4223D" w:rsidR="00AC5114" w:rsidP="0058411F" w:rsidRDefault="00AC5114" w14:paraId="2DA32C67" w14:textId="77777777">
            <w:pPr>
              <w:autoSpaceDE w:val="0"/>
              <w:autoSpaceDN w:val="0"/>
              <w:jc w:val="left"/>
              <w:rPr>
                <w:szCs w:val="20"/>
                <w:lang w:val="en-GB"/>
              </w:rPr>
            </w:pPr>
            <w:r w:rsidRPr="00C4223D">
              <w:rPr>
                <w:szCs w:val="20"/>
                <w:lang w:val="en-GB"/>
              </w:rPr>
              <w:t>Legal basis</w:t>
            </w:r>
          </w:p>
        </w:tc>
        <w:tc>
          <w:tcPr>
            <w:tcW w:w="6204" w:type="dxa"/>
            <w:vAlign w:val="bottom"/>
          </w:tcPr>
          <w:p w:rsidRPr="00C4223D" w:rsidR="00AC5114" w:rsidP="0058411F" w:rsidRDefault="00AC5114" w14:paraId="67EB3E4A" w14:textId="2E2815FD">
            <w:pPr>
              <w:autoSpaceDE w:val="0"/>
              <w:autoSpaceDN w:val="0"/>
              <w:jc w:val="left"/>
              <w:rPr>
                <w:szCs w:val="20"/>
                <w:lang w:val="en-GB"/>
              </w:rPr>
            </w:pPr>
            <w:r w:rsidRPr="00C4223D">
              <w:rPr>
                <w:lang w:val="en-GB"/>
              </w:rPr>
              <w:t>Article</w:t>
            </w:r>
            <w:r w:rsidRPr="00C4223D" w:rsidR="00914683">
              <w:rPr>
                <w:lang w:val="en-GB"/>
              </w:rPr>
              <w:t xml:space="preserve"> 304</w:t>
            </w:r>
            <w:r w:rsidRPr="00C4223D" w:rsidR="007B6C64">
              <w:rPr>
                <w:lang w:val="en-GB"/>
              </w:rPr>
              <w:t xml:space="preserve"> </w:t>
            </w:r>
            <w:r w:rsidRPr="00C4223D">
              <w:rPr>
                <w:lang w:val="en-GB"/>
              </w:rPr>
              <w:t>of the Treaty on the Functioning of the European Union</w:t>
            </w:r>
          </w:p>
        </w:tc>
      </w:tr>
      <w:tr w:rsidRPr="00C4223D" w:rsidR="00AC5114" w:rsidTr="00E15BF4" w14:paraId="0E2099A6" w14:textId="77777777">
        <w:tc>
          <w:tcPr>
            <w:tcW w:w="3085" w:type="dxa"/>
          </w:tcPr>
          <w:p w:rsidRPr="00C4223D" w:rsidR="00AC5114" w:rsidP="0058411F" w:rsidRDefault="00AC5114" w14:paraId="0BC68BA5" w14:textId="77777777">
            <w:pPr>
              <w:autoSpaceDE w:val="0"/>
              <w:autoSpaceDN w:val="0"/>
              <w:jc w:val="left"/>
              <w:rPr>
                <w:lang w:val="en-GB"/>
              </w:rPr>
            </w:pPr>
            <w:r w:rsidRPr="00C4223D">
              <w:rPr>
                <w:lang w:val="en-GB"/>
              </w:rPr>
              <w:t>Section responsible</w:t>
            </w:r>
          </w:p>
        </w:tc>
        <w:tc>
          <w:tcPr>
            <w:tcW w:w="6204" w:type="dxa"/>
            <w:vAlign w:val="bottom"/>
          </w:tcPr>
          <w:p w:rsidRPr="00C4223D" w:rsidR="00AC5114" w:rsidP="0058411F" w:rsidRDefault="00F37E78" w14:paraId="5AE7EA9E" w14:textId="5346D5F4">
            <w:pPr>
              <w:autoSpaceDE w:val="0"/>
              <w:autoSpaceDN w:val="0"/>
              <w:jc w:val="left"/>
              <w:rPr>
                <w:lang w:val="en-GB"/>
              </w:rPr>
            </w:pPr>
            <w:r w:rsidRPr="00C4223D">
              <w:rPr>
                <w:lang w:val="en-GB"/>
              </w:rPr>
              <w:t>Agriculture, Rural Development and the Environment</w:t>
            </w:r>
          </w:p>
        </w:tc>
      </w:tr>
      <w:tr w:rsidRPr="00C4223D" w:rsidR="00AC5114" w:rsidTr="00E15BF4" w14:paraId="53972E32" w14:textId="77777777">
        <w:tc>
          <w:tcPr>
            <w:tcW w:w="3085" w:type="dxa"/>
          </w:tcPr>
          <w:p w:rsidRPr="00C4223D" w:rsidR="00AC5114" w:rsidP="0058411F" w:rsidRDefault="00AC5114" w14:paraId="13B33E83" w14:textId="77777777">
            <w:pPr>
              <w:autoSpaceDE w:val="0"/>
              <w:autoSpaceDN w:val="0"/>
              <w:jc w:val="left"/>
              <w:rPr>
                <w:lang w:val="en-GB"/>
              </w:rPr>
            </w:pPr>
            <w:r w:rsidRPr="00C4223D">
              <w:rPr>
                <w:lang w:val="en-GB"/>
              </w:rPr>
              <w:t>Adopted in section</w:t>
            </w:r>
          </w:p>
        </w:tc>
        <w:tc>
          <w:tcPr>
            <w:tcW w:w="6204" w:type="dxa"/>
            <w:vAlign w:val="bottom"/>
          </w:tcPr>
          <w:p w:rsidRPr="00C4223D" w:rsidR="00AC5114" w:rsidP="0058411F" w:rsidRDefault="00F37E78" w14:paraId="5E71ECD2" w14:textId="16FE3ECB">
            <w:pPr>
              <w:autoSpaceDE w:val="0"/>
              <w:autoSpaceDN w:val="0"/>
              <w:jc w:val="left"/>
              <w:rPr>
                <w:lang w:val="en-GB"/>
              </w:rPr>
            </w:pPr>
            <w:r w:rsidRPr="00C4223D">
              <w:rPr>
                <w:lang w:val="en-GB"/>
              </w:rPr>
              <w:t>12</w:t>
            </w:r>
            <w:r w:rsidRPr="00C4223D" w:rsidR="009F3486">
              <w:rPr>
                <w:lang w:val="en-GB"/>
              </w:rPr>
              <w:t>/</w:t>
            </w:r>
            <w:r w:rsidRPr="00C4223D">
              <w:rPr>
                <w:lang w:val="en-GB"/>
              </w:rPr>
              <w:t>3</w:t>
            </w:r>
            <w:r w:rsidRPr="00C4223D" w:rsidR="009F3486">
              <w:rPr>
                <w:lang w:val="en-GB"/>
              </w:rPr>
              <w:t>/</w:t>
            </w:r>
            <w:r w:rsidRPr="00C4223D">
              <w:rPr>
                <w:lang w:val="en-GB"/>
              </w:rPr>
              <w:t>2025</w:t>
            </w:r>
          </w:p>
        </w:tc>
      </w:tr>
      <w:tr w:rsidRPr="00C4223D" w:rsidR="0058411F" w:rsidTr="00E15BF4" w14:paraId="7AE47B93" w14:textId="77777777">
        <w:tc>
          <w:tcPr>
            <w:tcW w:w="3085" w:type="dxa"/>
          </w:tcPr>
          <w:p w:rsidRPr="00C4223D" w:rsidR="0058411F" w:rsidP="0058411F" w:rsidRDefault="0058411F" w14:paraId="26DE3092" w14:textId="2975B5A0">
            <w:pPr>
              <w:autoSpaceDE w:val="0"/>
              <w:autoSpaceDN w:val="0"/>
              <w:jc w:val="left"/>
              <w:rPr>
                <w:lang w:val="en-GB"/>
              </w:rPr>
            </w:pPr>
            <w:r w:rsidRPr="00C4223D">
              <w:rPr>
                <w:lang w:val="en-GB"/>
              </w:rPr>
              <w:t>Adopted at plenary</w:t>
            </w:r>
            <w:r w:rsidRPr="00C4223D" w:rsidR="00CD26C9">
              <w:rPr>
                <w:lang w:val="en-GB"/>
              </w:rPr>
              <w:t xml:space="preserve"> session</w:t>
            </w:r>
          </w:p>
        </w:tc>
        <w:tc>
          <w:tcPr>
            <w:tcW w:w="6204" w:type="dxa"/>
            <w:vAlign w:val="bottom"/>
          </w:tcPr>
          <w:p w:rsidRPr="00C4223D" w:rsidR="0058411F" w:rsidP="0058411F" w:rsidRDefault="00054592" w14:paraId="34FA2183" w14:textId="4A105700">
            <w:pPr>
              <w:autoSpaceDE w:val="0"/>
              <w:autoSpaceDN w:val="0"/>
              <w:jc w:val="left"/>
              <w:rPr>
                <w:lang w:val="en-GB"/>
              </w:rPr>
            </w:pPr>
            <w:r w:rsidRPr="00C4223D">
              <w:rPr>
                <w:lang w:val="en-GB"/>
              </w:rPr>
              <w:t>26</w:t>
            </w:r>
            <w:r w:rsidRPr="00C4223D" w:rsidR="009F3486">
              <w:rPr>
                <w:lang w:val="en-GB"/>
              </w:rPr>
              <w:t>/</w:t>
            </w:r>
            <w:r w:rsidRPr="00C4223D">
              <w:rPr>
                <w:lang w:val="en-GB"/>
              </w:rPr>
              <w:t>3</w:t>
            </w:r>
            <w:r w:rsidRPr="00C4223D" w:rsidR="009F3486">
              <w:rPr>
                <w:lang w:val="en-GB"/>
              </w:rPr>
              <w:t>/</w:t>
            </w:r>
            <w:r w:rsidRPr="00C4223D">
              <w:rPr>
                <w:lang w:val="en-GB"/>
              </w:rPr>
              <w:t>2025</w:t>
            </w:r>
          </w:p>
        </w:tc>
      </w:tr>
      <w:tr w:rsidRPr="00C4223D" w:rsidR="0058411F" w:rsidTr="00E15BF4" w14:paraId="2FE8AE44" w14:textId="77777777">
        <w:tc>
          <w:tcPr>
            <w:tcW w:w="3085" w:type="dxa"/>
          </w:tcPr>
          <w:p w:rsidRPr="00C4223D" w:rsidR="0058411F" w:rsidP="0058411F" w:rsidRDefault="0058411F" w14:paraId="2A65A034" w14:textId="77777777">
            <w:pPr>
              <w:autoSpaceDE w:val="0"/>
              <w:autoSpaceDN w:val="0"/>
              <w:jc w:val="left"/>
              <w:rPr>
                <w:lang w:val="en-GB"/>
              </w:rPr>
            </w:pPr>
            <w:r w:rsidRPr="00C4223D">
              <w:rPr>
                <w:lang w:val="en-GB"/>
              </w:rPr>
              <w:t>Plenary session No</w:t>
            </w:r>
          </w:p>
        </w:tc>
        <w:tc>
          <w:tcPr>
            <w:tcW w:w="6204" w:type="dxa"/>
            <w:vAlign w:val="bottom"/>
          </w:tcPr>
          <w:p w:rsidRPr="00C4223D" w:rsidR="0058411F" w:rsidP="0058411F" w:rsidRDefault="00054592" w14:paraId="17BFB0A7" w14:textId="6FE668A0">
            <w:pPr>
              <w:autoSpaceDE w:val="0"/>
              <w:autoSpaceDN w:val="0"/>
              <w:jc w:val="left"/>
              <w:rPr>
                <w:lang w:val="en-GB"/>
              </w:rPr>
            </w:pPr>
            <w:r w:rsidRPr="00C4223D">
              <w:rPr>
                <w:lang w:val="en-GB"/>
              </w:rPr>
              <w:t>595</w:t>
            </w:r>
          </w:p>
        </w:tc>
      </w:tr>
      <w:tr w:rsidRPr="00C4223D" w:rsidR="0058411F" w:rsidTr="00E15BF4" w14:paraId="3889B17A" w14:textId="77777777">
        <w:tc>
          <w:tcPr>
            <w:tcW w:w="3085" w:type="dxa"/>
          </w:tcPr>
          <w:p w:rsidRPr="00C4223D" w:rsidR="0058411F" w:rsidP="0058411F" w:rsidRDefault="0058411F" w14:paraId="0C723801" w14:textId="77777777">
            <w:pPr>
              <w:autoSpaceDE w:val="0"/>
              <w:autoSpaceDN w:val="0"/>
              <w:jc w:val="left"/>
              <w:rPr>
                <w:lang w:val="en-GB"/>
              </w:rPr>
            </w:pPr>
            <w:r w:rsidRPr="00C4223D">
              <w:rPr>
                <w:lang w:val="en-GB"/>
              </w:rPr>
              <w:t>Outcome of vote</w:t>
            </w:r>
            <w:r w:rsidRPr="00C4223D">
              <w:rPr>
                <w:lang w:val="en-GB"/>
              </w:rPr>
              <w:br/>
              <w:t>(for/against/abstentions)</w:t>
            </w:r>
          </w:p>
        </w:tc>
        <w:tc>
          <w:tcPr>
            <w:tcW w:w="6204" w:type="dxa"/>
            <w:vAlign w:val="bottom"/>
          </w:tcPr>
          <w:p w:rsidRPr="00C4223D" w:rsidR="0058411F" w:rsidP="0058411F" w:rsidRDefault="00054592" w14:paraId="14DB34EA" w14:textId="58964AB1">
            <w:pPr>
              <w:autoSpaceDE w:val="0"/>
              <w:autoSpaceDN w:val="0"/>
              <w:jc w:val="left"/>
              <w:rPr>
                <w:lang w:val="en-GB"/>
              </w:rPr>
            </w:pPr>
            <w:r w:rsidRPr="00C4223D">
              <w:rPr>
                <w:lang w:val="en-GB"/>
              </w:rPr>
              <w:t>214</w:t>
            </w:r>
            <w:r w:rsidRPr="00C4223D" w:rsidR="0058411F">
              <w:rPr>
                <w:lang w:val="en-GB"/>
              </w:rPr>
              <w:t>/</w:t>
            </w:r>
            <w:r w:rsidRPr="00C4223D">
              <w:rPr>
                <w:lang w:val="en-GB"/>
              </w:rPr>
              <w:t>2</w:t>
            </w:r>
            <w:r w:rsidRPr="00C4223D" w:rsidR="0058411F">
              <w:rPr>
                <w:lang w:val="en-GB"/>
              </w:rPr>
              <w:t>/</w:t>
            </w:r>
            <w:r w:rsidRPr="00C4223D">
              <w:rPr>
                <w:lang w:val="en-GB"/>
              </w:rPr>
              <w:t>3</w:t>
            </w:r>
          </w:p>
        </w:tc>
      </w:tr>
    </w:tbl>
    <w:p w:rsidRPr="00C4223D" w:rsidR="00AC5114" w:rsidP="00574C9B" w:rsidRDefault="00AC5114" w14:paraId="156A5F34" w14:textId="77777777">
      <w:pPr>
        <w:rPr>
          <w:lang w:val="en-GB"/>
        </w:rPr>
      </w:pPr>
    </w:p>
    <w:p w:rsidRPr="00C4223D" w:rsidR="00AC5114" w:rsidP="00574C9B" w:rsidRDefault="00AC5114" w14:paraId="2CD3051D" w14:textId="77777777">
      <w:pPr>
        <w:rPr>
          <w:lang w:val="en-GB"/>
        </w:rPr>
        <w:sectPr w:rsidRPr="00C4223D" w:rsidR="00AC5114" w:rsidSect="009F7AD2">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C4223D" w:rsidR="00054592" w:rsidP="00054592" w:rsidRDefault="00054592" w14:paraId="5918D24D" w14:textId="77777777">
      <w:pPr>
        <w:keepNext/>
        <w:numPr>
          <w:ilvl w:val="0"/>
          <w:numId w:val="1"/>
        </w:numPr>
        <w:ind w:left="567" w:hanging="567"/>
        <w:outlineLvl w:val="0"/>
        <w:rPr>
          <w:b/>
          <w:kern w:val="28"/>
          <w:lang w:val="en-GB"/>
        </w:rPr>
      </w:pPr>
      <w:r w:rsidRPr="00C4223D">
        <w:rPr>
          <w:b/>
          <w:kern w:val="28"/>
          <w:lang w:val="en-GB"/>
        </w:rPr>
        <w:t>Introduction</w:t>
      </w:r>
    </w:p>
    <w:p w:rsidRPr="00C4223D" w:rsidR="00054592" w:rsidP="00054592" w:rsidRDefault="00054592" w14:paraId="2848B66E" w14:textId="77777777">
      <w:pPr>
        <w:rPr>
          <w:lang w:val="en-GB"/>
        </w:rPr>
      </w:pPr>
    </w:p>
    <w:p w:rsidRPr="00C4223D" w:rsidR="00054592" w:rsidP="00054592" w:rsidRDefault="00054592" w14:paraId="088B675E" w14:textId="77777777">
      <w:pPr>
        <w:numPr>
          <w:ilvl w:val="1"/>
          <w:numId w:val="1"/>
        </w:numPr>
        <w:ind w:left="567" w:hanging="567"/>
        <w:outlineLvl w:val="1"/>
        <w:rPr>
          <w:lang w:val="en-GB"/>
        </w:rPr>
      </w:pPr>
      <w:r w:rsidRPr="00C4223D">
        <w:rPr>
          <w:lang w:val="en-GB"/>
        </w:rPr>
        <w:t>This evaluation report on the implementation of Directive (EU) 2019/633 of 17 April 2019 on unfair trading practices in B2B relationships in the agricultural and food supply chain (UTP Directive) in the 2019-2024 period is the EESC’s contribution to the European Commission’s ongoing ex-post evaluation on that Directive. It takes into account the key objectives of the 2023-2027 CAP, especially improving competitiveness and the negotiation position of primary producers in the supply chain to increase their income</w:t>
      </w:r>
      <w:r w:rsidRPr="00C4223D">
        <w:rPr>
          <w:sz w:val="24"/>
          <w:vertAlign w:val="superscript"/>
          <w:lang w:val="en-GB"/>
        </w:rPr>
        <w:footnoteReference w:id="1"/>
      </w:r>
      <w:r w:rsidRPr="00C4223D">
        <w:rPr>
          <w:lang w:val="en-GB"/>
        </w:rPr>
        <w:t>. The EESC’s evaluation report focuses on gathering and analysing the views on how the UTP Directive has been implemented in selected EU Member States.</w:t>
      </w:r>
    </w:p>
    <w:p w:rsidRPr="00C4223D" w:rsidR="00054592" w:rsidP="00054592" w:rsidRDefault="00054592" w14:paraId="6709269C" w14:textId="77777777">
      <w:pPr>
        <w:rPr>
          <w:lang w:val="en-GB"/>
        </w:rPr>
      </w:pPr>
    </w:p>
    <w:p w:rsidRPr="00C4223D" w:rsidR="00054592" w:rsidP="00054592" w:rsidRDefault="00054592" w14:paraId="651B27FB" w14:textId="77777777">
      <w:pPr>
        <w:numPr>
          <w:ilvl w:val="1"/>
          <w:numId w:val="1"/>
        </w:numPr>
        <w:ind w:left="567" w:hanging="567"/>
        <w:outlineLvl w:val="1"/>
        <w:rPr>
          <w:lang w:val="en-GB"/>
        </w:rPr>
      </w:pPr>
      <w:r w:rsidRPr="00C4223D">
        <w:rPr>
          <w:lang w:val="en-GB"/>
        </w:rPr>
        <w:t>The UTP Directive 2019/633 is a legal instrument aimed at protecting agricultural and food suppliers from the use of unfair trading practices (UTPs) by buyers in the food supply chain. The overall objective of the Directive is to ensure fairer treatment for farmers and small and medium-sized suppliers, to increase their bargaining power and to improve how the internal market operates. Unfair trading practices (UTPs) are practices that grossly deviate from good commercial conduct, are contrary to good faith and fair dealing and are unilaterally imposed by one trading partner on another. The UTP Directive clearly defines ten banned practices (black practices) and six practices that are allowed, provided they are previously and clearly agreed upon and comply with some additional formal requirements (grey practices).</w:t>
      </w:r>
    </w:p>
    <w:p w:rsidRPr="00C4223D" w:rsidR="00054592" w:rsidP="00054592" w:rsidRDefault="00054592" w14:paraId="5DD9A4F1" w14:textId="77777777">
      <w:pPr>
        <w:rPr>
          <w:lang w:val="en-GB"/>
        </w:rPr>
      </w:pPr>
    </w:p>
    <w:p w:rsidRPr="00C4223D" w:rsidR="00054592" w:rsidP="00054592" w:rsidRDefault="00054592" w14:paraId="0199ACD0" w14:textId="77777777">
      <w:pPr>
        <w:numPr>
          <w:ilvl w:val="1"/>
          <w:numId w:val="1"/>
        </w:numPr>
        <w:ind w:left="567" w:hanging="567"/>
        <w:outlineLvl w:val="1"/>
        <w:rPr>
          <w:lang w:val="en-GB"/>
        </w:rPr>
      </w:pPr>
      <w:r w:rsidRPr="00C4223D">
        <w:rPr>
          <w:lang w:val="en-GB"/>
        </w:rPr>
        <w:t>In line with the EESC’s evaluation methodology, this report has been drafted on the basis of the results of in-person fact-finding country visits and an online questionnaire carried out in five EU Member States: Bulgaria, Estonia, Germany, Hungary and Slovenia. The national legislation in these countries differs significantly when it comes to prohibitions that go beyond the scope of the UTP Directive and the scope of business relationships covered. A technical annex to this report includes detailed information on the findings of the online questionnaire and the meetings held with stakeholders from the above countries.</w:t>
      </w:r>
    </w:p>
    <w:p w:rsidRPr="00C4223D" w:rsidR="00054592" w:rsidP="00054592" w:rsidRDefault="00054592" w14:paraId="7F875351" w14:textId="77777777">
      <w:pPr>
        <w:rPr>
          <w:lang w:val="en-GB"/>
        </w:rPr>
      </w:pPr>
    </w:p>
    <w:p w:rsidRPr="00C4223D" w:rsidR="00054592" w:rsidP="00054592" w:rsidRDefault="00054592" w14:paraId="05944DA1" w14:textId="77777777">
      <w:pPr>
        <w:numPr>
          <w:ilvl w:val="1"/>
          <w:numId w:val="1"/>
        </w:numPr>
        <w:ind w:left="567" w:hanging="567"/>
        <w:outlineLvl w:val="1"/>
        <w:rPr>
          <w:lang w:val="en-GB"/>
        </w:rPr>
      </w:pPr>
      <w:r w:rsidRPr="00C4223D">
        <w:rPr>
          <w:lang w:val="en-GB"/>
        </w:rPr>
        <w:t>With a view to complementing the European Commission’s evaluation, the EESC’s evaluation focuses specifically on whether the UTP Directive has changed the bargaining power of weaker operators in the food chain, achieved a balance between preventing and deterring UTPs and avoiding excessive burdens, provided effective and proportionate enforcement mechanisms at national level and helped foster a culture of dialogue and cooperation along the supply chain in the selected countries.</w:t>
      </w:r>
    </w:p>
    <w:p w:rsidRPr="00C4223D" w:rsidR="00054592" w:rsidP="00054592" w:rsidRDefault="00054592" w14:paraId="2572DA9A" w14:textId="77777777">
      <w:pPr>
        <w:rPr>
          <w:lang w:val="en-GB"/>
        </w:rPr>
      </w:pPr>
    </w:p>
    <w:p w:rsidRPr="00C4223D" w:rsidR="00054592" w:rsidP="00054592" w:rsidRDefault="00054592" w14:paraId="423919DD" w14:textId="77777777">
      <w:pPr>
        <w:keepNext/>
        <w:numPr>
          <w:ilvl w:val="0"/>
          <w:numId w:val="1"/>
        </w:numPr>
        <w:ind w:left="567" w:hanging="567"/>
        <w:outlineLvl w:val="0"/>
        <w:rPr>
          <w:b/>
          <w:kern w:val="28"/>
          <w:lang w:val="en-GB"/>
        </w:rPr>
      </w:pPr>
      <w:r w:rsidRPr="00C4223D">
        <w:rPr>
          <w:b/>
          <w:kern w:val="28"/>
          <w:lang w:val="en-GB"/>
        </w:rPr>
        <w:t>Conclusions on effectiveness</w:t>
      </w:r>
    </w:p>
    <w:p w:rsidRPr="00C4223D" w:rsidR="00054592" w:rsidP="00054592" w:rsidRDefault="00054592" w14:paraId="23A21DE9" w14:textId="77777777">
      <w:pPr>
        <w:keepNext/>
        <w:ind w:left="142" w:hanging="142"/>
        <w:jc w:val="left"/>
        <w:rPr>
          <w:lang w:val="en-GB"/>
        </w:rPr>
      </w:pPr>
    </w:p>
    <w:p w:rsidRPr="00C4223D" w:rsidR="00054592" w:rsidP="00054592" w:rsidRDefault="00054592" w14:paraId="1D623955" w14:textId="77777777">
      <w:pPr>
        <w:numPr>
          <w:ilvl w:val="1"/>
          <w:numId w:val="1"/>
        </w:numPr>
        <w:ind w:left="567" w:hanging="567"/>
        <w:outlineLvl w:val="1"/>
        <w:rPr>
          <w:lang w:val="en-GB"/>
        </w:rPr>
      </w:pPr>
      <w:r w:rsidRPr="00C4223D">
        <w:rPr>
          <w:lang w:val="en-GB"/>
        </w:rPr>
        <w:t xml:space="preserve">According to the respondents, the UTP Directive contributes, to some extent, to legal certainty and predictability of legal issues. 43% of respondents to the online questionnaire believed that it contributed effectively to this goal at EU level, while 56% felt that it did so at national level. 32% of respondents considered it ineffective at EU level and 41% at national level. 22% of respondents at EU level and 3% at national level answered ‘I do not know’. In particular, the standardised and structured approach of the UTP Directive was considered positive in terms of legal certainty. </w:t>
      </w:r>
    </w:p>
    <w:p w:rsidRPr="00C4223D" w:rsidR="00054592" w:rsidP="00054592" w:rsidRDefault="00054592" w14:paraId="5C3E2282" w14:textId="77777777">
      <w:pPr>
        <w:rPr>
          <w:lang w:val="en-GB"/>
        </w:rPr>
      </w:pPr>
    </w:p>
    <w:p w:rsidRPr="00C4223D" w:rsidR="00054592" w:rsidP="00054592" w:rsidRDefault="00054592" w14:paraId="56BEAAA5" w14:textId="77777777">
      <w:pPr>
        <w:numPr>
          <w:ilvl w:val="1"/>
          <w:numId w:val="1"/>
        </w:numPr>
        <w:ind w:left="567" w:hanging="567"/>
        <w:outlineLvl w:val="1"/>
        <w:rPr>
          <w:lang w:val="en-GB"/>
        </w:rPr>
      </w:pPr>
      <w:r w:rsidRPr="00C4223D">
        <w:rPr>
          <w:lang w:val="en-GB"/>
        </w:rPr>
        <w:t xml:space="preserve">As regards the efficiency of the agri-food supply chain, online respondents felt that the UTP Directive, and especially the national implementing legislation, had not been effective in protecting and enhancing the efficiency of the agri-food supply chain. No respondent considered the UTP Directive to be very effective in protecting and enhancing the efficiency of the agri-food supply chain and only 32% of respondents considered the UTP Directive to be moderately effective at EU level as well as national level. In Germany, only 17% of respondents considered the UTP Directive to be effective in protecting and enhancing efficiency of the agri-food supply chain. 35% of respondents considered it to be ineffective at EU level and 54% at national level, with 16% considering it not effective at all at EU level and 27% holding the same view with regards to the national level. 32% of respondents at EU level and 14% at national answered ‘I do not know’. </w:t>
      </w:r>
    </w:p>
    <w:p w:rsidRPr="00C4223D" w:rsidR="00054592" w:rsidP="00054592" w:rsidRDefault="00054592" w14:paraId="6BA5587A" w14:textId="77777777">
      <w:pPr>
        <w:rPr>
          <w:lang w:val="en-GB"/>
        </w:rPr>
      </w:pPr>
    </w:p>
    <w:p w:rsidRPr="00C4223D" w:rsidR="00054592" w:rsidP="00054592" w:rsidRDefault="00054592" w14:paraId="414026AC" w14:textId="77777777">
      <w:pPr>
        <w:numPr>
          <w:ilvl w:val="1"/>
          <w:numId w:val="1"/>
        </w:numPr>
        <w:ind w:left="567" w:hanging="567"/>
        <w:outlineLvl w:val="1"/>
        <w:rPr>
          <w:lang w:val="en-GB"/>
        </w:rPr>
      </w:pPr>
      <w:r w:rsidRPr="00C4223D">
        <w:rPr>
          <w:lang w:val="en-GB"/>
        </w:rPr>
        <w:t xml:space="preserve">As regards the improvement of the economic and social position of the primary agricultural producers, the online respondents found the UTP Directive to be rather ineffective. Only 25% of respondents found it to be effective at EU level and only 38% at national level. Broken down by country, 75% of respondents in Slovenia, 67% in Germany, 63% in Estonia, 50% in Bulgaria and 43% in Hungary believed the UTP Directive was not effective overall in improving the economic and social position of the primary agricultural producers. While the national implementing legislation in Slovenia, Germany, Estonia and Hungary provides for significantly stricter UTP-rules in terms of the organisations subject to those rules and the catalogue of prohibited practices, it is Bulgaria that almost implemented the UTP Directive 1:1, where it has had the second most positive effect on farmers’ economic and social position, closely behind the leader Hungary. Some critical views were voiced regarding the position of small farmers. Even though they are more aware of their rights, imbalances in market power remains their main concern (EE). There was a desire to establish a genuine dialogue between all stakeholders in the supply chain, but the Directive had not resulted in a change in the bargaining power of farmers (SI). </w:t>
      </w:r>
    </w:p>
    <w:p w:rsidRPr="00C4223D" w:rsidR="00054592" w:rsidP="00054592" w:rsidRDefault="00054592" w14:paraId="5518731E" w14:textId="77777777">
      <w:pPr>
        <w:rPr>
          <w:lang w:val="en-GB"/>
        </w:rPr>
      </w:pPr>
    </w:p>
    <w:p w:rsidRPr="00C4223D" w:rsidR="00054592" w:rsidP="00054592" w:rsidRDefault="00054592" w14:paraId="26052F8D" w14:textId="77777777">
      <w:pPr>
        <w:numPr>
          <w:ilvl w:val="1"/>
          <w:numId w:val="1"/>
        </w:numPr>
        <w:ind w:left="567" w:hanging="567"/>
        <w:outlineLvl w:val="1"/>
        <w:rPr>
          <w:lang w:val="en-GB"/>
        </w:rPr>
      </w:pPr>
      <w:r w:rsidRPr="00C4223D">
        <w:rPr>
          <w:lang w:val="en-GB"/>
        </w:rPr>
        <w:t xml:space="preserve">In particular, national UTP legislation that also protects large food processors was seen as problematic, since it is unlikely that these companies pass on the benefits of UTP legislation to their direct and indirect suppliers and ultimately small and mid-sized primary agricultural producers. For that reason, concentration of market power among food processors was identified as a potential factor having a negative impact on the UTP Directive’s effectiveness. On the other hand, smaller food processors enjoy significantly less market power and may need regulatory protection. Other voices criticised the uneven impact of the UTP Directive in favour of large companies. </w:t>
      </w:r>
    </w:p>
    <w:p w:rsidRPr="00C4223D" w:rsidR="00054592" w:rsidP="00054592" w:rsidRDefault="00054592" w14:paraId="2FFDEC0C" w14:textId="77777777">
      <w:pPr>
        <w:rPr>
          <w:lang w:val="en-GB"/>
        </w:rPr>
      </w:pPr>
    </w:p>
    <w:p w:rsidRPr="00C4223D" w:rsidR="00054592" w:rsidP="00054592" w:rsidRDefault="00054592" w14:paraId="3B554833" w14:textId="77777777">
      <w:pPr>
        <w:numPr>
          <w:ilvl w:val="1"/>
          <w:numId w:val="1"/>
        </w:numPr>
        <w:ind w:left="567" w:hanging="567"/>
        <w:outlineLvl w:val="1"/>
        <w:rPr>
          <w:lang w:val="en-GB"/>
        </w:rPr>
      </w:pPr>
      <w:r w:rsidRPr="00C4223D">
        <w:rPr>
          <w:lang w:val="en-GB"/>
        </w:rPr>
        <w:t>The cyclical nature of the agricultural sector as well as the difficulty brought by economic downturns were mentioned as key factors impacting the effectiveness of the Directive (HU). Additional clauses were requested to address situations where shortages of raw materials prevent supply agreements from being met, and place a disproportionate level of risk and burden on producers.</w:t>
      </w:r>
    </w:p>
    <w:p w:rsidRPr="00C4223D" w:rsidR="00054592" w:rsidP="00054592" w:rsidRDefault="00054592" w14:paraId="51BF9D13" w14:textId="77777777">
      <w:pPr>
        <w:rPr>
          <w:lang w:val="en-GB"/>
        </w:rPr>
      </w:pPr>
    </w:p>
    <w:p w:rsidRPr="00C4223D" w:rsidR="00054592" w:rsidP="00054592" w:rsidRDefault="00054592" w14:paraId="3EF9C5DB" w14:textId="77777777">
      <w:pPr>
        <w:numPr>
          <w:ilvl w:val="1"/>
          <w:numId w:val="1"/>
        </w:numPr>
        <w:ind w:left="567" w:hanging="567"/>
        <w:outlineLvl w:val="1"/>
        <w:rPr>
          <w:lang w:val="en-GB"/>
        </w:rPr>
      </w:pPr>
      <w:r w:rsidRPr="00C4223D">
        <w:rPr>
          <w:lang w:val="en-GB"/>
        </w:rPr>
        <w:t xml:space="preserve">Respondents believed that the most effective part of the Directive concerned the appointment and powers of the competent authorities (59%). By contrast, most respondents found the availability of anonymous complaint mechanisms to be ineffective, or were unable to provide an answer to the question on that matter. </w:t>
      </w:r>
    </w:p>
    <w:p w:rsidRPr="00C4223D" w:rsidR="00054592" w:rsidP="00054592" w:rsidRDefault="00054592" w14:paraId="0F28483D" w14:textId="77777777">
      <w:pPr>
        <w:rPr>
          <w:lang w:val="en-GB"/>
        </w:rPr>
      </w:pPr>
    </w:p>
    <w:p w:rsidRPr="00C4223D" w:rsidR="00054592" w:rsidP="00054592" w:rsidRDefault="00054592" w14:paraId="1768124C" w14:textId="77777777">
      <w:pPr>
        <w:numPr>
          <w:ilvl w:val="1"/>
          <w:numId w:val="1"/>
        </w:numPr>
        <w:ind w:left="567" w:hanging="567"/>
        <w:outlineLvl w:val="1"/>
        <w:rPr>
          <w:lang w:val="en-GB"/>
        </w:rPr>
      </w:pPr>
      <w:r w:rsidRPr="00C4223D">
        <w:rPr>
          <w:color w:val="000000"/>
          <w:lang w:val="en-GB"/>
        </w:rPr>
        <w:t xml:space="preserve">In most countries, fear of retaliation was highlighted as a significant barrier to reporting UTPs. </w:t>
      </w:r>
      <w:r w:rsidRPr="00C4223D">
        <w:rPr>
          <w:lang w:val="en-GB"/>
        </w:rPr>
        <w:t>A majority of 56% of respondents to the online questionnaire were of the opinion that availability and accessibility of the compliant procedures are effective, while 35% disagreed and 8% selected ‘I do not know’.</w:t>
      </w:r>
    </w:p>
    <w:p w:rsidRPr="00C4223D" w:rsidR="00054592" w:rsidP="00054592" w:rsidRDefault="00054592" w14:paraId="0E92A1B0" w14:textId="77777777">
      <w:pPr>
        <w:rPr>
          <w:lang w:val="en-GB"/>
        </w:rPr>
      </w:pPr>
    </w:p>
    <w:p w:rsidRPr="00C4223D" w:rsidR="00054592" w:rsidP="00054592" w:rsidRDefault="00054592" w14:paraId="2A5199A2" w14:textId="77777777">
      <w:pPr>
        <w:numPr>
          <w:ilvl w:val="1"/>
          <w:numId w:val="1"/>
        </w:numPr>
        <w:ind w:left="567" w:hanging="567"/>
        <w:outlineLvl w:val="1"/>
        <w:rPr>
          <w:lang w:val="en-GB"/>
        </w:rPr>
      </w:pPr>
      <w:r w:rsidRPr="00C4223D">
        <w:rPr>
          <w:lang w:val="en-GB"/>
        </w:rPr>
        <w:t xml:space="preserve">As regards the availability of anonymous complaint mechanisms, the overall picture is unclear. 46% of the respondents to the online questionnaire believe that the UTP Directive and its implementation are effective while 41% disagree and 14% chose ‘I do not know’. In Bulgaria (33%) and Estonia (26%) only a minority of respondents find anonymous UTP reporting effective while the majority in Bulgaria (66%) and a large minority in Estonia (38%) disagree. 71% of respondents in Hungary, and 50% in Germany and Slovenia think anonymous UTP reporting is effective while in 29% in Hungary, 41% in Germany and 25% in Slovenia disagree. Anonymous compliant mechanisms and the fear of retaliation often came up during the country visits. In particular, the fear was stressed that, despite anonymity, the supplier’s identity would be revealed at a certain stage of the procedure. As regards Bulgaria, issues were raised about the fact that, even under anonymous reporting channels, there is the (perceived) risk that the complainant’s identity would be revealed sooner or later, either formally or informally, and that the consequences will be retaliation against the complainant. </w:t>
      </w:r>
    </w:p>
    <w:p w:rsidRPr="00C4223D" w:rsidR="00054592" w:rsidP="00054592" w:rsidRDefault="00054592" w14:paraId="177F9446" w14:textId="77777777">
      <w:pPr>
        <w:rPr>
          <w:lang w:val="en-GB"/>
        </w:rPr>
      </w:pPr>
    </w:p>
    <w:p w:rsidRPr="00C4223D" w:rsidR="00054592" w:rsidP="00054592" w:rsidRDefault="00054592" w14:paraId="146812A8" w14:textId="77777777">
      <w:pPr>
        <w:numPr>
          <w:ilvl w:val="1"/>
          <w:numId w:val="1"/>
        </w:numPr>
        <w:ind w:left="567" w:hanging="567"/>
        <w:outlineLvl w:val="1"/>
        <w:rPr>
          <w:lang w:val="en-GB"/>
        </w:rPr>
      </w:pPr>
      <w:r w:rsidRPr="00C4223D">
        <w:rPr>
          <w:lang w:val="en-GB"/>
        </w:rPr>
        <w:t xml:space="preserve">Only 27% of respondents to the online questionnaire think that sanctions for UTP violations are effective while 49% disagree and 24% selected ‘I do not know’. In Estonia only 13% of respondents think sanctions for UTP violations are effective, with only 17% in Germany and 25% in Slovenia holding the same view. Bulgaria follows with 33%. Hungary is the only country where a majority of 57% finds the UTP sanctions available are effective, which was confirmed in the country visits. However, as regards Germany, the country visits showed that German antitrust law already includes provisions that address most situations now regulated in parallel by the German legislation implementing the UTP Directive. </w:t>
      </w:r>
    </w:p>
    <w:p w:rsidRPr="00C4223D" w:rsidR="00054592" w:rsidP="00054592" w:rsidRDefault="00054592" w14:paraId="77A0669C" w14:textId="77777777">
      <w:pPr>
        <w:rPr>
          <w:lang w:val="en-GB"/>
        </w:rPr>
      </w:pPr>
    </w:p>
    <w:p w:rsidRPr="00C4223D" w:rsidR="00054592" w:rsidP="00054592" w:rsidRDefault="00054592" w14:paraId="5F8D559F" w14:textId="77777777">
      <w:pPr>
        <w:numPr>
          <w:ilvl w:val="1"/>
          <w:numId w:val="1"/>
        </w:numPr>
        <w:ind w:left="567" w:hanging="567"/>
        <w:outlineLvl w:val="1"/>
        <w:rPr>
          <w:lang w:val="en-GB"/>
        </w:rPr>
      </w:pPr>
      <w:r w:rsidRPr="00C4223D">
        <w:rPr>
          <w:lang w:val="en-GB"/>
        </w:rPr>
        <w:t>Alternative dispute resolution is viewed rather sceptically. The availability of alternative dispute resolution mechanisms is found effective by only 22% of respondents to the online questionnaire while a majority of 52% disagrees and 27% selected ‘I do not know’. In Bulgaria half of the respondents agree that alternative dispute resolution mechanisms are effective while the other half disagrees. In Slovenia, 25% agree that alternative dispute resolution is effective while 25% disagree and 50% selected ‘I do not know’. In Estonia no respondent found alternative dispute resolution to be effective while in Germany 58% and in Hungary 57% of respondents found alternative dispute resolution ineffective.</w:t>
      </w:r>
    </w:p>
    <w:p w:rsidRPr="00C4223D" w:rsidR="00054592" w:rsidP="00054592" w:rsidRDefault="00054592" w14:paraId="4C1AA4C7" w14:textId="77777777">
      <w:pPr>
        <w:rPr>
          <w:lang w:val="en-GB"/>
        </w:rPr>
      </w:pPr>
    </w:p>
    <w:p w:rsidRPr="00C4223D" w:rsidR="00054592" w:rsidP="00054592" w:rsidRDefault="00054592" w14:paraId="35305556" w14:textId="77777777">
      <w:pPr>
        <w:numPr>
          <w:ilvl w:val="1"/>
          <w:numId w:val="1"/>
        </w:numPr>
        <w:ind w:left="567" w:hanging="567"/>
        <w:outlineLvl w:val="1"/>
        <w:rPr>
          <w:iCs/>
          <w:lang w:val="en-GB"/>
        </w:rPr>
      </w:pPr>
      <w:r w:rsidRPr="00C4223D">
        <w:rPr>
          <w:lang w:val="en-GB"/>
        </w:rPr>
        <w:t xml:space="preserve">89% of respondents are aware of who their national enforcement authority is, how to contact and complain to their national enforcement authority and what mechanisms for protecting confidentiality exist. In Bulgaria, some suppliers </w:t>
      </w:r>
      <w:r w:rsidRPr="00C4223D">
        <w:rPr>
          <w:iCs/>
          <w:lang w:val="en-GB"/>
        </w:rPr>
        <w:t xml:space="preserve">have difficulties to identify their main enforcement authority, to get in touch with the authorities and people responsible, and to keep abreast of the rights of the different business operators in the supply chain. </w:t>
      </w:r>
    </w:p>
    <w:p w:rsidRPr="00C4223D" w:rsidR="00054592" w:rsidP="00054592" w:rsidRDefault="00054592" w14:paraId="1A46A56D" w14:textId="77777777">
      <w:pPr>
        <w:ind w:left="567"/>
        <w:outlineLvl w:val="1"/>
        <w:rPr>
          <w:lang w:val="en-GB"/>
        </w:rPr>
      </w:pPr>
    </w:p>
    <w:p w:rsidRPr="00C4223D" w:rsidR="00054592" w:rsidP="00054592" w:rsidRDefault="00054592" w14:paraId="234510A1" w14:textId="77777777">
      <w:pPr>
        <w:ind w:left="567"/>
        <w:outlineLvl w:val="1"/>
        <w:rPr>
          <w:lang w:val="en-GB"/>
        </w:rPr>
      </w:pPr>
      <w:r w:rsidRPr="00C4223D">
        <w:rPr>
          <w:lang w:val="en-GB"/>
        </w:rPr>
        <w:t>Ideas for improving national enforcement regimes included providing the enforcement authorities with more resources and powers, stronger confidentiality protections and anonymous complaint mechanisms, stronger specialisation of enforcement bodies, stronger sanctions, proactive public enforcement and monitoring, training for enforcement authority staff as well as for market participants, and information campaigns that do not just focus on prohibitions but also include information on good practices.</w:t>
      </w:r>
    </w:p>
    <w:p w:rsidRPr="00C4223D" w:rsidR="00054592" w:rsidP="00054592" w:rsidRDefault="00054592" w14:paraId="2B9BB5A6" w14:textId="77777777">
      <w:pPr>
        <w:rPr>
          <w:lang w:val="en-GB"/>
        </w:rPr>
      </w:pPr>
    </w:p>
    <w:p w:rsidRPr="00C4223D" w:rsidR="00054592" w:rsidP="00054592" w:rsidRDefault="00054592" w14:paraId="0F946DE2" w14:textId="77777777">
      <w:pPr>
        <w:numPr>
          <w:ilvl w:val="1"/>
          <w:numId w:val="1"/>
        </w:numPr>
        <w:ind w:left="567" w:hanging="567"/>
        <w:outlineLvl w:val="1"/>
        <w:rPr>
          <w:lang w:val="en-GB"/>
        </w:rPr>
      </w:pPr>
      <w:r w:rsidRPr="00C4223D">
        <w:rPr>
          <w:lang w:val="en-GB"/>
        </w:rPr>
        <w:t xml:space="preserve">When asked whether the legislation has achieved a good balance between preventing and deterring UTPs and avoiding excessive administrative burdens and costs, the responses were mixed and clearly show how difficult it is to create UTP legislation that is a well-balanced. While 22% of respondents believed the legislation balances preventing UTPs and avoiding excessive burdens, 35% felt it is too lenient and permits too many UTPs, while 30% argued it imposes excessive burdens and fails to prevent key issues. It is remarkable that despite additional prohibitions and regulation and a broader scope, national legislation in Slovenia and Estonia, on the one hand, and the UTP Directive, on the other, are rated identically by the respondents in these two countries. Especially as regards Slovenia, 50% of respondents criticize the fact that the scope of the UTP legislation is not broad enough and that more UTPs should be prohibited or regulated. At the same time, they believe that the current legislation is already overly costly and burdensome. As regards protection for more suppliers, the approaches were at odds with one another. While respondents from Hungary and Germany are in favour of protecting more suppliers, respondents from Estonia, where legislation already protects all suppliers irrespective of their size, clearly favoured eliminating large food processors from the scope of UTP legislation. Larger food processors should not benefit, since that will widen market inequalities to the detriment of smaller market participants. National regulation that covers different sizes of suppliers prevents a level playing field. During the country visits, Hungarian participants raised that issue as well, as did German authority representatives. An example of the Directive’s scope being excessively broad was brought up during the country visit to Germany. The prohibition on returning unsold agricultural and food products has been moved from the UTPs’ grey list to the national blacklist. Market participants claimed that this blacklisting hinders efficient business models that also benefitted suppliers. </w:t>
      </w:r>
    </w:p>
    <w:p w:rsidRPr="00C4223D" w:rsidR="00054592" w:rsidP="00054592" w:rsidRDefault="00054592" w14:paraId="4C484301" w14:textId="77777777">
      <w:pPr>
        <w:rPr>
          <w:highlight w:val="yellow"/>
          <w:lang w:val="en-GB"/>
        </w:rPr>
      </w:pPr>
    </w:p>
    <w:p w:rsidRPr="00C4223D" w:rsidR="00054592" w:rsidP="00054592" w:rsidRDefault="00054592" w14:paraId="0B3F5748" w14:textId="77777777">
      <w:pPr>
        <w:keepNext/>
        <w:keepLines/>
        <w:numPr>
          <w:ilvl w:val="0"/>
          <w:numId w:val="1"/>
        </w:numPr>
        <w:ind w:left="567" w:hanging="567"/>
        <w:outlineLvl w:val="0"/>
        <w:rPr>
          <w:b/>
          <w:kern w:val="28"/>
          <w:lang w:val="en-GB"/>
        </w:rPr>
      </w:pPr>
      <w:r w:rsidRPr="00C4223D">
        <w:rPr>
          <w:b/>
          <w:kern w:val="28"/>
          <w:lang w:val="en-GB"/>
        </w:rPr>
        <w:t>Conclusions on relevance</w:t>
      </w:r>
    </w:p>
    <w:p w:rsidRPr="00C4223D" w:rsidR="00054592" w:rsidP="00054592" w:rsidRDefault="00054592" w14:paraId="18041770" w14:textId="77777777">
      <w:pPr>
        <w:keepNext/>
        <w:rPr>
          <w:lang w:val="en-GB"/>
        </w:rPr>
      </w:pPr>
    </w:p>
    <w:p w:rsidRPr="00C4223D" w:rsidR="00054592" w:rsidP="00054592" w:rsidRDefault="00054592" w14:paraId="7003D297" w14:textId="77777777">
      <w:pPr>
        <w:numPr>
          <w:ilvl w:val="1"/>
          <w:numId w:val="1"/>
        </w:numPr>
        <w:ind w:left="567" w:hanging="567"/>
        <w:outlineLvl w:val="1"/>
        <w:rPr>
          <w:lang w:val="en-GB"/>
        </w:rPr>
      </w:pPr>
      <w:r w:rsidRPr="00C4223D">
        <w:rPr>
          <w:lang w:val="en-GB"/>
        </w:rPr>
        <w:t>The Directive is considered highly relevant in the context of competition policy, ensuring fair competition in the single market (71% agree). As regards the creation of a level playing field to ensure fair competition in the single market, criticisms were made about the differences in national legislation and the problems they cause for a level playing field and trade between Member States. These criticisms were made under Question 6a by a Hungarian respondent. The same issue was brought up by Estonian participants and German authority representatives in other contexts. The relevance to the issue of EU food sovereignty and consumer requirements was rated lower, with over half (59%) finding it ‘not very’ or ‘not at all relevant’. A tension was noted between increasing food prices and maintaining affordable consumer prices, compounded by sustainability costs and product pricing pressures from retailers (HU, SI, EE, BG). This is especially important in order to keep inflation rates low, particularly for the economically most disadvantaged parts of the EU’s population.</w:t>
      </w:r>
    </w:p>
    <w:p w:rsidRPr="00C4223D" w:rsidR="00054592" w:rsidP="00054592" w:rsidRDefault="00054592" w14:paraId="5DB2DFD1" w14:textId="77777777">
      <w:pPr>
        <w:pBdr>
          <w:top w:val="nil"/>
          <w:left w:val="nil"/>
          <w:bottom w:val="nil"/>
          <w:right w:val="nil"/>
          <w:between w:val="nil"/>
        </w:pBdr>
        <w:rPr>
          <w:lang w:val="en-GB"/>
        </w:rPr>
      </w:pPr>
    </w:p>
    <w:p w:rsidRPr="00C4223D" w:rsidR="00054592" w:rsidP="00054592" w:rsidRDefault="00054592" w14:paraId="32414399" w14:textId="77777777">
      <w:pPr>
        <w:numPr>
          <w:ilvl w:val="1"/>
          <w:numId w:val="1"/>
        </w:numPr>
        <w:ind w:left="567" w:hanging="567"/>
        <w:outlineLvl w:val="1"/>
        <w:rPr>
          <w:lang w:val="en-GB"/>
        </w:rPr>
      </w:pPr>
      <w:r w:rsidRPr="00C4223D">
        <w:rPr>
          <w:lang w:val="en-GB"/>
        </w:rPr>
        <w:t>Regarding support for rural economies and small producers, the Directive’s potential extends to preserving rural economies and creating fairer market access for small producers by tackling UTPs (HU, EE). It provides a stable framework for SMEs, securing better payment terms and improving financial planning (HU). Nevertheless, during the country visits stakeholders explained that the relevance for small agricultural producers was limited, since they usually do not have direct contracts with retailers. From the small agricultural producers’ perspective, the UTP Directive has improved the payment terms and thereby financial security and stability. As regards product pricing, this remains a problem. The formation of cooperatives and the elimination of legal barriers to setting them up, e.g., taxation policies in Bulgaria, were seen as an effective remedy outside the UTP Directive. This can help small producers to become more efficient, i.e., benefit from efficiencies of scale, and help them to meet the retailers’ product specifications. Fair pricing mechanisms and more transparency in contractual obligations under the supervision of national bodies or an EU body were discussed as well. This should hinder food product offers with extensive rebates or below fair prices and primary agricultural producers from being required to sell below production costs. Furthermore, passing on the costs of more sustainable production poses a problem for small primary agricultural producers. While their production costs increase, the prices they achieve remain the same or decrease.</w:t>
      </w:r>
    </w:p>
    <w:p w:rsidRPr="00C4223D" w:rsidR="00054592" w:rsidP="00054592" w:rsidRDefault="00054592" w14:paraId="0CCB02ED" w14:textId="77777777">
      <w:pPr>
        <w:rPr>
          <w:lang w:val="en-GB"/>
        </w:rPr>
      </w:pPr>
    </w:p>
    <w:p w:rsidRPr="00C4223D" w:rsidR="00054592" w:rsidP="00054592" w:rsidRDefault="00054592" w14:paraId="633BF65E" w14:textId="77777777">
      <w:pPr>
        <w:numPr>
          <w:ilvl w:val="1"/>
          <w:numId w:val="1"/>
        </w:numPr>
        <w:ind w:left="567" w:hanging="567"/>
        <w:outlineLvl w:val="1"/>
        <w:rPr>
          <w:lang w:val="en-GB"/>
        </w:rPr>
      </w:pPr>
      <w:r w:rsidRPr="00C4223D">
        <w:rPr>
          <w:lang w:val="en-GB"/>
        </w:rPr>
        <w:t>The highest relevance among ‘black practices’ was assigned to preventing late payments for perishable goods (81%) and unilateral contract changes. Criticism during the country visits included that the payment term is still too long, especially for goods that must be sold within 2</w:t>
      </w:r>
      <w:r w:rsidRPr="00C4223D">
        <w:rPr>
          <w:lang w:val="en-GB"/>
        </w:rPr>
        <w:noBreakHyphen/>
        <w:t>4 days. Respondents criticised the ‘grey list’ for allowing unfairly negotiated practices, proposing that it be removed and that stricter definitions of regulated practices be set (DE, EE, HU, SI). Suggestions included banning below-cost pricing and adding general clauses to prevent rules from being circumvented.</w:t>
      </w:r>
    </w:p>
    <w:p w:rsidRPr="00C4223D" w:rsidR="00054592" w:rsidP="00054592" w:rsidRDefault="00054592" w14:paraId="0E675DCD" w14:textId="77777777">
      <w:pPr>
        <w:rPr>
          <w:lang w:val="en-GB"/>
        </w:rPr>
      </w:pPr>
    </w:p>
    <w:p w:rsidRPr="00C4223D" w:rsidR="00054592" w:rsidP="00054592" w:rsidRDefault="00054592" w14:paraId="2E86394C" w14:textId="77777777">
      <w:pPr>
        <w:numPr>
          <w:ilvl w:val="1"/>
          <w:numId w:val="1"/>
        </w:numPr>
        <w:ind w:left="567" w:hanging="567"/>
        <w:outlineLvl w:val="1"/>
        <w:rPr>
          <w:lang w:val="en-GB"/>
        </w:rPr>
      </w:pPr>
      <w:r w:rsidRPr="00C4223D">
        <w:rPr>
          <w:lang w:val="en-GB"/>
        </w:rPr>
        <w:t xml:space="preserve">A majority of 54% of respondents found the UTP Directive relevant for agricultural competition policy and for promoting consumer welfare, while 36% disagreed and 4% of respondents answered ‘I do not know’. During the country visits, the conflicting goals of improving farmers’ incomes on the one hand and maintaining affordable consumer prices in supermarkets on the other were discussed. This indicates that there are efficiency gains at the other intermediate stages of the food supply chain that are not passed on. Overcoming the tension between an appropriate distribution of income to producers, the lack of a trickle-down effect at the intermediate stages and the price sensitivity of consumers remains a challenge. </w:t>
      </w:r>
    </w:p>
    <w:p w:rsidRPr="00C4223D" w:rsidR="00054592" w:rsidP="00054592" w:rsidRDefault="00054592" w14:paraId="6E50D872" w14:textId="77777777">
      <w:pPr>
        <w:ind w:left="567"/>
        <w:outlineLvl w:val="1"/>
        <w:rPr>
          <w:lang w:val="en-GB"/>
        </w:rPr>
      </w:pPr>
    </w:p>
    <w:p w:rsidRPr="00C4223D" w:rsidR="00054592" w:rsidP="00054592" w:rsidRDefault="00054592" w14:paraId="2E8C8454" w14:textId="77777777">
      <w:pPr>
        <w:ind w:left="567"/>
        <w:outlineLvl w:val="1"/>
        <w:rPr>
          <w:lang w:val="en-GB"/>
        </w:rPr>
      </w:pPr>
      <w:r w:rsidRPr="00C4223D">
        <w:rPr>
          <w:lang w:val="en-GB"/>
        </w:rPr>
        <w:t>As consumers are price-sensitive and (only) willing to pay for better quality products, this requires reliable and comprehensive information on products to be provided.</w:t>
      </w:r>
    </w:p>
    <w:p w:rsidRPr="00C4223D" w:rsidR="00054592" w:rsidP="00054592" w:rsidRDefault="00054592" w14:paraId="5FBD482E" w14:textId="77777777">
      <w:pPr>
        <w:rPr>
          <w:lang w:val="en-GB"/>
        </w:rPr>
      </w:pPr>
    </w:p>
    <w:p w:rsidRPr="00C4223D" w:rsidR="00054592" w:rsidP="00054592" w:rsidRDefault="00054592" w14:paraId="7B86F95B" w14:textId="77777777">
      <w:pPr>
        <w:numPr>
          <w:ilvl w:val="1"/>
          <w:numId w:val="1"/>
        </w:numPr>
        <w:ind w:left="567" w:hanging="567"/>
        <w:outlineLvl w:val="1"/>
        <w:rPr>
          <w:lang w:val="en-GB"/>
        </w:rPr>
      </w:pPr>
      <w:r w:rsidRPr="00C4223D">
        <w:rPr>
          <w:lang w:val="en-GB"/>
        </w:rPr>
        <w:t>Only 24% of respondents found the Directive’s current scope adequate. Expanding it to address power concentration, improve guidelines, and introduce clear contractual obligations was strongly advocated (DE). The concept of a ‘white practices’ list was opposed due to concerns over misuse and complexity, with a preference for focusing on effective enforcement and broader protections, while such practices may create opportunities to pass on benefits for sustainable production from retailer to farmer or allow for agreements to reserve shelf space for local products with a clear ‘safe harbour’ from an antitrust law perspective. These are good practices that should be promoted (HU) by ‘whitelisting’ them.</w:t>
      </w:r>
    </w:p>
    <w:p w:rsidRPr="00C4223D" w:rsidR="00054592" w:rsidP="00054592" w:rsidRDefault="00054592" w14:paraId="04190070" w14:textId="77777777">
      <w:pPr>
        <w:rPr>
          <w:lang w:val="en-GB"/>
        </w:rPr>
      </w:pPr>
    </w:p>
    <w:p w:rsidRPr="00C4223D" w:rsidR="00054592" w:rsidP="00054592" w:rsidRDefault="00054592" w14:paraId="4E327D36" w14:textId="77777777">
      <w:pPr>
        <w:keepNext/>
        <w:keepLines/>
        <w:numPr>
          <w:ilvl w:val="0"/>
          <w:numId w:val="1"/>
        </w:numPr>
        <w:ind w:left="567" w:hanging="567"/>
        <w:jc w:val="left"/>
        <w:outlineLvl w:val="0"/>
        <w:rPr>
          <w:b/>
          <w:kern w:val="28"/>
          <w:lang w:val="en-GB"/>
        </w:rPr>
      </w:pPr>
      <w:r w:rsidRPr="00C4223D">
        <w:rPr>
          <w:b/>
          <w:kern w:val="28"/>
          <w:lang w:val="en-GB"/>
        </w:rPr>
        <w:t>Conclusions on civil society involvement</w:t>
      </w:r>
    </w:p>
    <w:p w:rsidRPr="00C4223D" w:rsidR="00054592" w:rsidP="00054592" w:rsidRDefault="00054592" w14:paraId="01FA6720" w14:textId="77777777">
      <w:pPr>
        <w:keepNext/>
        <w:keepLines/>
        <w:jc w:val="left"/>
        <w:outlineLvl w:val="0"/>
        <w:rPr>
          <w:kern w:val="28"/>
          <w:lang w:val="en-GB"/>
        </w:rPr>
      </w:pPr>
    </w:p>
    <w:p w:rsidRPr="00C4223D" w:rsidR="00054592" w:rsidP="00054592" w:rsidRDefault="00054592" w14:paraId="7E52D651" w14:textId="77777777">
      <w:pPr>
        <w:numPr>
          <w:ilvl w:val="1"/>
          <w:numId w:val="1"/>
        </w:numPr>
        <w:ind w:left="567" w:hanging="567"/>
        <w:outlineLvl w:val="1"/>
        <w:rPr>
          <w:lang w:val="en-GB"/>
        </w:rPr>
      </w:pPr>
      <w:r w:rsidRPr="00C4223D">
        <w:rPr>
          <w:lang w:val="en-GB"/>
        </w:rPr>
        <w:t>Across all three activities (design, implementation, monitoring), on average half of the respondents (51%) believed that the target groups and civil society organisations were ‘mostly not’ or ‘not at all’ consulted. Civil society can play a crucial role in raising awareness, providing education, and pushing for reforms that address the concerns of smaller producers and consumers (SI).</w:t>
      </w:r>
    </w:p>
    <w:p w:rsidRPr="00C4223D" w:rsidR="00054592" w:rsidP="00054592" w:rsidRDefault="00054592" w14:paraId="4AF4DB43" w14:textId="77777777">
      <w:pPr>
        <w:rPr>
          <w:lang w:val="en-GB"/>
        </w:rPr>
      </w:pPr>
    </w:p>
    <w:p w:rsidRPr="00C4223D" w:rsidR="00054592" w:rsidP="00054592" w:rsidRDefault="00054592" w14:paraId="2E8C713B" w14:textId="77777777">
      <w:pPr>
        <w:numPr>
          <w:ilvl w:val="1"/>
          <w:numId w:val="1"/>
        </w:numPr>
        <w:ind w:left="567" w:hanging="567"/>
        <w:outlineLvl w:val="1"/>
        <w:rPr>
          <w:lang w:val="en-GB"/>
        </w:rPr>
      </w:pPr>
      <w:r w:rsidRPr="00C4223D">
        <w:rPr>
          <w:lang w:val="en-GB"/>
        </w:rPr>
        <w:t xml:space="preserve">There was a call for increased public education, open dialogue and engagement (HU), more education and awareness-raising are needed and suppliers require assistance in calculating fair prices for their products and avoiding underpayment (SI). Absence of robust consumer organisations was highlighted, awareness of pricing structures and UTPs among civil society organisations is low (EE), and there is a shortage of skilled personnel in the commerce and food industry (SI). Despite campaigns about the rights they have, the fear of retaliation has prevented entities from exercising their rights (BG). </w:t>
      </w:r>
    </w:p>
    <w:p w:rsidRPr="00C4223D" w:rsidR="00054592" w:rsidP="00054592" w:rsidRDefault="00054592" w14:paraId="5CE0C0BE" w14:textId="77777777">
      <w:pPr>
        <w:rPr>
          <w:lang w:val="en-GB"/>
        </w:rPr>
      </w:pPr>
    </w:p>
    <w:p w:rsidRPr="00C4223D" w:rsidR="00054592" w:rsidP="00054592" w:rsidRDefault="00054592" w14:paraId="354F30D6" w14:textId="77777777">
      <w:pPr>
        <w:numPr>
          <w:ilvl w:val="1"/>
          <w:numId w:val="1"/>
        </w:numPr>
        <w:ind w:left="567" w:hanging="567"/>
        <w:outlineLvl w:val="1"/>
        <w:rPr>
          <w:lang w:val="en-GB"/>
        </w:rPr>
      </w:pPr>
      <w:r w:rsidRPr="00C4223D">
        <w:rPr>
          <w:lang w:val="en-GB"/>
        </w:rPr>
        <w:t>During the country visits, a call to establish forums to foster dialogue at both national and EU-level was made on several occasions. Dialogue should be fostered and highlight examples of good practices (DE, SI, EE). Mandatory stakeholder forums on fairness in the supply chain were proposed (HU). A common theme was the need to involve civil society in discussions about legislation, its development and implementation.</w:t>
      </w:r>
    </w:p>
    <w:p w:rsidRPr="00C4223D" w:rsidR="00054592" w:rsidP="00054592" w:rsidRDefault="00054592" w14:paraId="3A11463A" w14:textId="77777777">
      <w:pPr>
        <w:rPr>
          <w:lang w:val="en-GB"/>
        </w:rPr>
      </w:pPr>
    </w:p>
    <w:p w:rsidRPr="00C4223D" w:rsidR="00054592" w:rsidP="00054592" w:rsidRDefault="00054592" w14:paraId="43BFF9A9" w14:textId="77777777">
      <w:pPr>
        <w:keepNext/>
        <w:keepLines/>
        <w:numPr>
          <w:ilvl w:val="0"/>
          <w:numId w:val="1"/>
        </w:numPr>
        <w:ind w:left="567" w:hanging="567"/>
        <w:outlineLvl w:val="0"/>
        <w:rPr>
          <w:b/>
          <w:kern w:val="28"/>
          <w:lang w:val="en-GB"/>
        </w:rPr>
      </w:pPr>
      <w:r w:rsidRPr="00C4223D">
        <w:rPr>
          <w:b/>
          <w:kern w:val="28"/>
          <w:lang w:val="en-GB"/>
        </w:rPr>
        <w:t>Recommendations</w:t>
      </w:r>
    </w:p>
    <w:p w:rsidRPr="00C4223D" w:rsidR="00054592" w:rsidP="00054592" w:rsidRDefault="00054592" w14:paraId="36D99306" w14:textId="77777777">
      <w:pPr>
        <w:keepNext/>
        <w:rPr>
          <w:lang w:val="en-GB"/>
        </w:rPr>
      </w:pPr>
    </w:p>
    <w:p w:rsidRPr="00C4223D" w:rsidR="00054592" w:rsidP="00054592" w:rsidRDefault="00054592" w14:paraId="53EA23B9" w14:textId="77777777">
      <w:pPr>
        <w:numPr>
          <w:ilvl w:val="1"/>
          <w:numId w:val="1"/>
        </w:numPr>
        <w:ind w:left="567" w:hanging="567"/>
        <w:outlineLvl w:val="1"/>
        <w:rPr>
          <w:lang w:val="en-GB"/>
        </w:rPr>
      </w:pPr>
      <w:r w:rsidRPr="00C4223D">
        <w:rPr>
          <w:lang w:val="en-GB"/>
        </w:rPr>
        <w:t>enhance enforcement mechanisms at EU level to provide greater legal certainty, a level playing field across the EU and stronger protections specifically targeted at the weaker actors in the supply chain;</w:t>
      </w:r>
    </w:p>
    <w:p w:rsidRPr="00C4223D" w:rsidR="00054592" w:rsidP="00054592" w:rsidRDefault="00054592" w14:paraId="5869422D" w14:textId="77777777">
      <w:pPr>
        <w:rPr>
          <w:lang w:val="en-GB"/>
        </w:rPr>
      </w:pPr>
    </w:p>
    <w:p w:rsidRPr="00C4223D" w:rsidR="00054592" w:rsidP="00054592" w:rsidRDefault="00054592" w14:paraId="591CAD9C" w14:textId="77777777">
      <w:pPr>
        <w:numPr>
          <w:ilvl w:val="1"/>
          <w:numId w:val="1"/>
        </w:numPr>
        <w:ind w:left="567" w:hanging="567"/>
        <w:outlineLvl w:val="1"/>
        <w:rPr>
          <w:lang w:val="en-GB"/>
        </w:rPr>
      </w:pPr>
      <w:r w:rsidRPr="00C4223D">
        <w:rPr>
          <w:lang w:val="en-GB"/>
        </w:rPr>
        <w:t>work towards harmonising the Directive so that it is suitable for the single market;</w:t>
      </w:r>
    </w:p>
    <w:p w:rsidRPr="00C4223D" w:rsidR="00054592" w:rsidP="00054592" w:rsidRDefault="00054592" w14:paraId="3C3D1DC7" w14:textId="77777777">
      <w:pPr>
        <w:rPr>
          <w:lang w:val="en-GB"/>
        </w:rPr>
      </w:pPr>
    </w:p>
    <w:p w:rsidRPr="00C4223D" w:rsidR="00054592" w:rsidP="00054592" w:rsidRDefault="00054592" w14:paraId="0FAC288C" w14:textId="77777777">
      <w:pPr>
        <w:numPr>
          <w:ilvl w:val="1"/>
          <w:numId w:val="1"/>
        </w:numPr>
        <w:ind w:left="567" w:hanging="567"/>
        <w:outlineLvl w:val="1"/>
        <w:rPr>
          <w:lang w:val="en-GB"/>
        </w:rPr>
      </w:pPr>
      <w:r w:rsidRPr="00C4223D">
        <w:rPr>
          <w:lang w:val="en-GB"/>
        </w:rPr>
        <w:t>promote sustainable food systems by encouraging stakeholder commitments that ensure reliable, affordable and quality food for consumers;</w:t>
      </w:r>
    </w:p>
    <w:p w:rsidRPr="00C4223D" w:rsidR="00054592" w:rsidP="00054592" w:rsidRDefault="00054592" w14:paraId="5A9C40C0" w14:textId="77777777">
      <w:pPr>
        <w:rPr>
          <w:lang w:val="en-GB"/>
        </w:rPr>
      </w:pPr>
    </w:p>
    <w:p w:rsidRPr="00C4223D" w:rsidR="00054592" w:rsidP="00054592" w:rsidRDefault="00054592" w14:paraId="376CE0F0" w14:textId="77777777">
      <w:pPr>
        <w:numPr>
          <w:ilvl w:val="1"/>
          <w:numId w:val="1"/>
        </w:numPr>
        <w:ind w:left="567" w:hanging="567"/>
        <w:outlineLvl w:val="1"/>
        <w:rPr>
          <w:lang w:val="en-GB"/>
        </w:rPr>
      </w:pPr>
      <w:r w:rsidRPr="00C4223D">
        <w:rPr>
          <w:lang w:val="en-GB"/>
        </w:rPr>
        <w:t>ensure that the costs of sustainable development are shared across all stakeholders, including consumers, to build a more equitable system;</w:t>
      </w:r>
    </w:p>
    <w:p w:rsidRPr="00C4223D" w:rsidR="00054592" w:rsidP="00054592" w:rsidRDefault="00054592" w14:paraId="66FE3333" w14:textId="77777777">
      <w:pPr>
        <w:rPr>
          <w:lang w:val="en-GB"/>
        </w:rPr>
      </w:pPr>
    </w:p>
    <w:p w:rsidRPr="00C4223D" w:rsidR="00054592" w:rsidP="00054592" w:rsidRDefault="00054592" w14:paraId="40FF0777" w14:textId="77777777">
      <w:pPr>
        <w:numPr>
          <w:ilvl w:val="1"/>
          <w:numId w:val="1"/>
        </w:numPr>
        <w:ind w:left="567" w:hanging="567"/>
        <w:outlineLvl w:val="1"/>
        <w:rPr>
          <w:lang w:val="en-GB"/>
        </w:rPr>
      </w:pPr>
      <w:r w:rsidRPr="00C4223D">
        <w:rPr>
          <w:lang w:val="en-GB"/>
        </w:rPr>
        <w:t>address challenges like price volatility, seasonal shortages and administrative burdens by improving risk management and providing better support for producers;</w:t>
      </w:r>
    </w:p>
    <w:p w:rsidRPr="00C4223D" w:rsidR="00054592" w:rsidP="00054592" w:rsidRDefault="00054592" w14:paraId="12CE3534" w14:textId="77777777">
      <w:pPr>
        <w:rPr>
          <w:lang w:val="en-GB"/>
        </w:rPr>
      </w:pPr>
    </w:p>
    <w:p w:rsidRPr="00C4223D" w:rsidR="00054592" w:rsidP="00054592" w:rsidRDefault="00054592" w14:paraId="0BDBBE9F" w14:textId="77777777">
      <w:pPr>
        <w:numPr>
          <w:ilvl w:val="1"/>
          <w:numId w:val="1"/>
        </w:numPr>
        <w:ind w:left="567" w:hanging="567"/>
        <w:outlineLvl w:val="1"/>
        <w:rPr>
          <w:lang w:val="en-GB"/>
        </w:rPr>
      </w:pPr>
      <w:r w:rsidRPr="00C4223D">
        <w:rPr>
          <w:lang w:val="en-GB"/>
        </w:rPr>
        <w:t>broaden protections for producers, including stricter prohibitions on logistics fees, undisclosed rebates, and sales bonuses;</w:t>
      </w:r>
    </w:p>
    <w:p w:rsidRPr="00C4223D" w:rsidR="00054592" w:rsidP="00054592" w:rsidRDefault="00054592" w14:paraId="082C8C1E" w14:textId="77777777">
      <w:pPr>
        <w:rPr>
          <w:lang w:val="en-GB"/>
        </w:rPr>
      </w:pPr>
    </w:p>
    <w:p w:rsidRPr="00C4223D" w:rsidR="00054592" w:rsidP="00054592" w:rsidRDefault="00054592" w14:paraId="300810C6" w14:textId="77777777">
      <w:pPr>
        <w:numPr>
          <w:ilvl w:val="1"/>
          <w:numId w:val="1"/>
        </w:numPr>
        <w:ind w:left="567" w:hanging="567"/>
        <w:outlineLvl w:val="1"/>
        <w:rPr>
          <w:lang w:val="en-GB"/>
        </w:rPr>
      </w:pPr>
      <w:r w:rsidRPr="00C4223D">
        <w:rPr>
          <w:lang w:val="en-GB"/>
        </w:rPr>
        <w:t>strengthen measures to preserve small farms, encouraging them to modernise and be efficient and viable in the food supply chain;</w:t>
      </w:r>
    </w:p>
    <w:p w:rsidRPr="00C4223D" w:rsidR="00054592" w:rsidP="00054592" w:rsidRDefault="00054592" w14:paraId="40784669" w14:textId="77777777">
      <w:pPr>
        <w:rPr>
          <w:lang w:val="en-GB"/>
        </w:rPr>
      </w:pPr>
    </w:p>
    <w:p w:rsidRPr="00C4223D" w:rsidR="00054592" w:rsidP="00054592" w:rsidRDefault="00054592" w14:paraId="6131F2C0" w14:textId="77777777">
      <w:pPr>
        <w:numPr>
          <w:ilvl w:val="1"/>
          <w:numId w:val="1"/>
        </w:numPr>
        <w:ind w:left="567" w:hanging="567"/>
        <w:outlineLvl w:val="1"/>
        <w:rPr>
          <w:lang w:val="en-GB"/>
        </w:rPr>
      </w:pPr>
      <w:r w:rsidRPr="00C4223D">
        <w:rPr>
          <w:lang w:val="en-GB"/>
        </w:rPr>
        <w:t xml:space="preserve">improve information campaigns so that stakeholders are aware of their rights and obligations, of protection procedures and of how the authorities operate; </w:t>
      </w:r>
    </w:p>
    <w:p w:rsidRPr="00C4223D" w:rsidR="00054592" w:rsidP="00054592" w:rsidRDefault="00054592" w14:paraId="543A89F6" w14:textId="77777777">
      <w:pPr>
        <w:rPr>
          <w:lang w:val="en-GB"/>
        </w:rPr>
      </w:pPr>
    </w:p>
    <w:p w:rsidRPr="00C4223D" w:rsidR="00054592" w:rsidP="00054592" w:rsidRDefault="00054592" w14:paraId="64CB96E1" w14:textId="77777777">
      <w:pPr>
        <w:numPr>
          <w:ilvl w:val="1"/>
          <w:numId w:val="1"/>
        </w:numPr>
        <w:ind w:left="567" w:hanging="567"/>
        <w:outlineLvl w:val="1"/>
        <w:rPr>
          <w:lang w:val="en-GB"/>
        </w:rPr>
      </w:pPr>
      <w:r w:rsidRPr="00C4223D">
        <w:rPr>
          <w:lang w:val="en-GB"/>
        </w:rPr>
        <w:t>implement appropriate penalties for violations to ensure the Directive’s deterrent effect and enhance compliance;</w:t>
      </w:r>
    </w:p>
    <w:p w:rsidRPr="00C4223D" w:rsidR="00054592" w:rsidP="00054592" w:rsidRDefault="00054592" w14:paraId="716820E2" w14:textId="77777777">
      <w:pPr>
        <w:rPr>
          <w:lang w:val="en-GB"/>
        </w:rPr>
      </w:pPr>
    </w:p>
    <w:p w:rsidRPr="00C4223D" w:rsidR="00054592" w:rsidP="00054592" w:rsidRDefault="00054592" w14:paraId="42C27490" w14:textId="77777777">
      <w:pPr>
        <w:numPr>
          <w:ilvl w:val="1"/>
          <w:numId w:val="1"/>
        </w:numPr>
        <w:ind w:left="567" w:hanging="567"/>
        <w:outlineLvl w:val="1"/>
        <w:rPr>
          <w:lang w:val="en-GB"/>
        </w:rPr>
      </w:pPr>
      <w:r w:rsidRPr="00C4223D">
        <w:rPr>
          <w:lang w:val="en-GB"/>
        </w:rPr>
        <w:t>establish an EU-wide portal for reporting UTPs in order to address fears of retaliation and improve complaint mechanisms;</w:t>
      </w:r>
    </w:p>
    <w:p w:rsidRPr="00C4223D" w:rsidR="00054592" w:rsidP="00054592" w:rsidRDefault="00054592" w14:paraId="38FE98E5" w14:textId="77777777">
      <w:pPr>
        <w:rPr>
          <w:lang w:val="en-GB"/>
        </w:rPr>
      </w:pPr>
    </w:p>
    <w:p w:rsidRPr="00C4223D" w:rsidR="00054592" w:rsidP="00054592" w:rsidRDefault="00054592" w14:paraId="1A3C6834" w14:textId="77777777">
      <w:pPr>
        <w:numPr>
          <w:ilvl w:val="1"/>
          <w:numId w:val="1"/>
        </w:numPr>
        <w:ind w:left="567" w:hanging="567"/>
        <w:outlineLvl w:val="1"/>
        <w:rPr>
          <w:lang w:val="en-GB"/>
        </w:rPr>
      </w:pPr>
      <w:r w:rsidRPr="00C4223D">
        <w:rPr>
          <w:lang w:val="en-GB"/>
        </w:rPr>
        <w:t>establish forums at both national and EU levels to foster dialogue and collaboration among stakeholders in the food supply chain; the creation of the European Board on the Agriculture and Food as a follow-up to the open dialogue launched by the Strategic Dialogue on the Future of EU Agriculture is a significant step forward;</w:t>
      </w:r>
    </w:p>
    <w:p w:rsidRPr="00C4223D" w:rsidR="00054592" w:rsidP="00054592" w:rsidRDefault="00054592" w14:paraId="1A7652A8" w14:textId="77777777">
      <w:pPr>
        <w:rPr>
          <w:lang w:val="en-GB"/>
        </w:rPr>
      </w:pPr>
    </w:p>
    <w:p w:rsidRPr="00C4223D" w:rsidR="00054592" w:rsidP="00054592" w:rsidRDefault="00054592" w14:paraId="484DC09C" w14:textId="77777777">
      <w:pPr>
        <w:numPr>
          <w:ilvl w:val="1"/>
          <w:numId w:val="1"/>
        </w:numPr>
        <w:ind w:left="567" w:hanging="567"/>
        <w:outlineLvl w:val="1"/>
        <w:rPr>
          <w:lang w:val="en-GB"/>
        </w:rPr>
      </w:pPr>
      <w:r w:rsidRPr="00C4223D">
        <w:rPr>
          <w:lang w:val="en-GB"/>
        </w:rPr>
        <w:t>support and foster the implementation of the conclusions of the strategic dialogue;</w:t>
      </w:r>
    </w:p>
    <w:p w:rsidRPr="00C4223D" w:rsidR="00054592" w:rsidP="00054592" w:rsidRDefault="00054592" w14:paraId="69E308BF" w14:textId="77777777">
      <w:pPr>
        <w:rPr>
          <w:lang w:val="en-GB"/>
        </w:rPr>
      </w:pPr>
    </w:p>
    <w:p w:rsidRPr="00C4223D" w:rsidR="00054592" w:rsidP="00054592" w:rsidRDefault="00054592" w14:paraId="45D36CB1" w14:textId="77777777">
      <w:pPr>
        <w:numPr>
          <w:ilvl w:val="1"/>
          <w:numId w:val="1"/>
        </w:numPr>
        <w:ind w:left="567" w:hanging="567"/>
        <w:outlineLvl w:val="1"/>
        <w:rPr>
          <w:lang w:val="en-GB"/>
        </w:rPr>
      </w:pPr>
      <w:r w:rsidRPr="00C4223D">
        <w:rPr>
          <w:lang w:val="en-GB"/>
        </w:rPr>
        <w:t>support endeavours for more price transparency and take the Directorate-General for Agriculture and Rural Development’s study on farmers’ remuneration as a common basis, to ensure that further work is carried out using a common database;</w:t>
      </w:r>
    </w:p>
    <w:p w:rsidRPr="00C4223D" w:rsidR="00054592" w:rsidP="00054592" w:rsidRDefault="00054592" w14:paraId="5AFD8BF4" w14:textId="77777777">
      <w:pPr>
        <w:rPr>
          <w:lang w:val="en-GB"/>
        </w:rPr>
      </w:pPr>
    </w:p>
    <w:p w:rsidRPr="00C4223D" w:rsidR="00054592" w:rsidP="00054592" w:rsidRDefault="00054592" w14:paraId="4BEEFEAF" w14:textId="77777777">
      <w:pPr>
        <w:numPr>
          <w:ilvl w:val="1"/>
          <w:numId w:val="1"/>
        </w:numPr>
        <w:ind w:left="567" w:hanging="567"/>
        <w:outlineLvl w:val="1"/>
        <w:rPr>
          <w:lang w:val="en-GB"/>
        </w:rPr>
      </w:pPr>
      <w:r w:rsidRPr="00C4223D">
        <w:rPr>
          <w:lang w:val="en-GB"/>
        </w:rPr>
        <w:t>encourage the Commission to present its draft revision of the Food Information to Consumers Regulation, improving information on the origin of products to increase traceability;</w:t>
      </w:r>
    </w:p>
    <w:p w:rsidRPr="00C4223D" w:rsidR="00054592" w:rsidP="00054592" w:rsidRDefault="00054592" w14:paraId="2AAD60C2" w14:textId="77777777">
      <w:pPr>
        <w:rPr>
          <w:lang w:val="en-GB"/>
        </w:rPr>
      </w:pPr>
    </w:p>
    <w:p w:rsidRPr="00C4223D" w:rsidR="00054592" w:rsidP="00054592" w:rsidRDefault="00054592" w14:paraId="5865BC81" w14:textId="77777777">
      <w:pPr>
        <w:numPr>
          <w:ilvl w:val="1"/>
          <w:numId w:val="1"/>
        </w:numPr>
        <w:ind w:left="567" w:hanging="567"/>
        <w:outlineLvl w:val="1"/>
        <w:rPr>
          <w:lang w:val="en-GB"/>
        </w:rPr>
      </w:pPr>
      <w:r w:rsidRPr="00C4223D">
        <w:rPr>
          <w:lang w:val="en-GB"/>
        </w:rPr>
        <w:t>call for the Directive’s differentiation measure to be taken up by the Member States, so as to strengthen the position of operators who really need it;</w:t>
      </w:r>
    </w:p>
    <w:p w:rsidRPr="00C4223D" w:rsidR="00054592" w:rsidP="00054592" w:rsidRDefault="00054592" w14:paraId="51FD8C62" w14:textId="77777777">
      <w:pPr>
        <w:rPr>
          <w:lang w:val="en-GB"/>
        </w:rPr>
      </w:pPr>
    </w:p>
    <w:p w:rsidRPr="00C4223D" w:rsidR="00054592" w:rsidP="00054592" w:rsidRDefault="00054592" w14:paraId="06FF7E8C" w14:textId="77777777">
      <w:pPr>
        <w:numPr>
          <w:ilvl w:val="1"/>
          <w:numId w:val="1"/>
        </w:numPr>
        <w:ind w:left="567" w:hanging="567"/>
        <w:outlineLvl w:val="1"/>
        <w:rPr>
          <w:lang w:val="en-GB"/>
        </w:rPr>
      </w:pPr>
      <w:r w:rsidRPr="00C4223D">
        <w:rPr>
          <w:lang w:val="en-GB"/>
        </w:rPr>
        <w:t>examine the Directive’s scope to address power imbalances, foster efficiency along the supply chain and ensure fairness, including an appropriate allocation of risks and profits, in supplier relationships, and increase compliance with bans on certain practices to protect all market participants effectively.</w:t>
      </w:r>
    </w:p>
    <w:p w:rsidRPr="00C4223D" w:rsidR="00054592" w:rsidP="00054592" w:rsidRDefault="00054592" w14:paraId="12A66667" w14:textId="77777777">
      <w:pPr>
        <w:outlineLvl w:val="1"/>
        <w:rPr>
          <w:lang w:val="en-GB"/>
        </w:rPr>
      </w:pPr>
    </w:p>
    <w:p w:rsidRPr="00C4223D" w:rsidR="00EF1C31" w:rsidP="000166F7" w:rsidRDefault="00EF1C31" w14:paraId="4D3F36CA" w14:textId="77777777">
      <w:pPr>
        <w:overflowPunct w:val="0"/>
        <w:autoSpaceDE w:val="0"/>
        <w:autoSpaceDN w:val="0"/>
        <w:adjustRightInd w:val="0"/>
        <w:textAlignment w:val="baseline"/>
        <w:rPr>
          <w:lang w:val="en-GB"/>
        </w:rPr>
      </w:pPr>
    </w:p>
    <w:p w:rsidRPr="00C4223D" w:rsidR="009F3486" w:rsidP="009F3486" w:rsidRDefault="009F3486" w14:paraId="390DA777" w14:textId="65C7E806">
      <w:pPr>
        <w:rPr>
          <w:lang w:val="en-GB"/>
        </w:rPr>
      </w:pPr>
      <w:r w:rsidRPr="00C4223D">
        <w:rPr>
          <w:lang w:val="en-GB"/>
        </w:rPr>
        <w:t xml:space="preserve">Brussels, </w:t>
      </w:r>
      <w:r w:rsidRPr="00C4223D" w:rsidR="003C49F3">
        <w:rPr>
          <w:lang w:val="en-GB"/>
        </w:rPr>
        <w:t>2</w:t>
      </w:r>
      <w:r w:rsidR="003C49F3">
        <w:rPr>
          <w:lang w:val="en-GB"/>
        </w:rPr>
        <w:t>6</w:t>
      </w:r>
      <w:r w:rsidRPr="00C4223D" w:rsidR="003C49F3">
        <w:rPr>
          <w:lang w:val="en-GB"/>
        </w:rPr>
        <w:t xml:space="preserve"> </w:t>
      </w:r>
      <w:r w:rsidRPr="00C4223D" w:rsidR="00054592">
        <w:rPr>
          <w:lang w:val="en-GB"/>
        </w:rPr>
        <w:t>March 2025</w:t>
      </w:r>
      <w:r w:rsidRPr="00C4223D">
        <w:rPr>
          <w:lang w:val="en-GB"/>
        </w:rPr>
        <w:t>.</w:t>
      </w:r>
    </w:p>
    <w:p w:rsidR="009F3486" w:rsidP="009F3486" w:rsidRDefault="009F3486" w14:paraId="79FECF8E" w14:textId="5CB04697">
      <w:pPr>
        <w:rPr>
          <w:lang w:val="en-GB"/>
        </w:rPr>
      </w:pPr>
    </w:p>
    <w:p w:rsidRPr="00C4223D" w:rsidR="006A4143" w:rsidP="009F3486" w:rsidRDefault="006A4143" w14:paraId="7190F2CF" w14:textId="77777777">
      <w:pPr>
        <w:rPr>
          <w:lang w:val="en-GB"/>
        </w:rPr>
      </w:pPr>
    </w:p>
    <w:p w:rsidRPr="00C4223D" w:rsidR="009F3486" w:rsidP="009F3486" w:rsidRDefault="009F3486" w14:paraId="3F6D7C70" w14:textId="77777777">
      <w:pPr>
        <w:rPr>
          <w:lang w:val="en-GB"/>
        </w:rPr>
      </w:pPr>
    </w:p>
    <w:p w:rsidRPr="00C4223D" w:rsidR="009F3486" w:rsidP="000166F7" w:rsidRDefault="009F3486" w14:paraId="6BEFBEC4" w14:textId="29A33432">
      <w:pPr>
        <w:jc w:val="left"/>
        <w:rPr>
          <w:i/>
          <w:iCs/>
          <w:lang w:val="en-GB"/>
        </w:rPr>
      </w:pPr>
      <w:r w:rsidRPr="00C4223D">
        <w:rPr>
          <w:i/>
          <w:iCs/>
          <w:lang w:val="en-GB"/>
        </w:rPr>
        <w:t xml:space="preserve">The </w:t>
      </w:r>
      <w:r w:rsidRPr="00C4223D" w:rsidR="003567D4">
        <w:rPr>
          <w:i/>
          <w:iCs/>
          <w:lang w:val="en-GB"/>
        </w:rPr>
        <w:t>P</w:t>
      </w:r>
      <w:r w:rsidRPr="00C4223D">
        <w:rPr>
          <w:i/>
          <w:iCs/>
          <w:lang w:val="en-GB"/>
        </w:rPr>
        <w:t>resident of the European Economic and Social Committee</w:t>
      </w:r>
    </w:p>
    <w:p w:rsidRPr="00C4223D" w:rsidR="00D72198" w:rsidP="000166F7" w:rsidRDefault="00054592" w14:paraId="1660F356" w14:textId="4A79A6E7">
      <w:pPr>
        <w:rPr>
          <w:lang w:val="en-GB"/>
        </w:rPr>
      </w:pPr>
      <w:r w:rsidRPr="00C4223D">
        <w:rPr>
          <w:lang w:val="en-GB"/>
        </w:rPr>
        <w:t>Oliver RÖPKE</w:t>
      </w:r>
      <w:r w:rsidRPr="00C4223D" w:rsidDel="00054592">
        <w:rPr>
          <w:lang w:val="en-GB"/>
        </w:rPr>
        <w:t xml:space="preserve"> </w:t>
      </w:r>
    </w:p>
    <w:p w:rsidRPr="00C4223D" w:rsidR="00F53370" w:rsidP="00DB7F50" w:rsidRDefault="00E2376B" w14:paraId="6BABC1C7" w14:textId="27D7A1A5">
      <w:pPr>
        <w:jc w:val="center"/>
        <w:rPr>
          <w:lang w:val="en-GB"/>
        </w:rPr>
      </w:pPr>
      <w:r w:rsidRPr="00C4223D">
        <w:rPr>
          <w:lang w:val="en-GB"/>
        </w:rPr>
        <w:t>_____________</w:t>
      </w:r>
    </w:p>
    <w:sectPr w:rsidRPr="00C4223D" w:rsidR="00F53370"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DF0" w:rsidP="00F53370" w:rsidRDefault="00313DF0" w14:paraId="38781E61" w14:textId="77777777">
      <w:pPr>
        <w:spacing w:line="240" w:lineRule="auto"/>
      </w:pPr>
      <w:r>
        <w:separator/>
      </w:r>
    </w:p>
  </w:endnote>
  <w:endnote w:type="continuationSeparator" w:id="0">
    <w:p w:rsidR="00313DF0" w:rsidP="00F53370" w:rsidRDefault="00313DF0" w14:paraId="67F88AC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8D" w:rsidRDefault="00CF3A8D" w14:paraId="5C9181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8D" w:rsidRDefault="00CF3A8D" w14:paraId="3423257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8D" w:rsidRDefault="00CF3A8D" w14:paraId="654D98C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14:paraId="3C2FD4B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65C9" w:rsidR="0084105C" w:rsidP="009F7AD2" w:rsidRDefault="009F7AD2" w14:paraId="4583217E" w14:textId="46B3025E">
    <w:pPr>
      <w:pStyle w:val="Footer"/>
      <w:jc w:val="left"/>
    </w:pPr>
    <w:r>
      <w:t xml:space="preserve">NAT/930 – EESC-2024-02156-00-02-RE-TRA (EN) </w:t>
    </w:r>
    <w:r>
      <w:fldChar w:fldCharType="begin"/>
    </w:r>
    <w:r>
      <w:instrText xml:space="preserve"> PAGE  \* Arabic  \* MERGEFORMAT </w:instrText>
    </w:r>
    <w:r>
      <w:fldChar w:fldCharType="separate"/>
    </w:r>
    <w:r>
      <w:rPr>
        <w:noProof/>
      </w:rPr>
      <w:t>3</w:t>
    </w:r>
    <w:r>
      <w:fldChar w:fldCharType="end"/>
    </w:r>
    <w:r>
      <w:t>/</w:t>
    </w:r>
    <w:r>
      <w:fldChar w:fldCharType="begin"/>
    </w:r>
    <w:r>
      <w:instrText xml:space="preserve"> = </w:instrText>
    </w:r>
    <w:r w:rsidR="004754C7">
      <w:fldChar w:fldCharType="begin"/>
    </w:r>
    <w:r w:rsidR="004754C7">
      <w:instrText xml:space="preserve"> NUMPAGES </w:instrText>
    </w:r>
    <w:r w:rsidR="004754C7">
      <w:fldChar w:fldCharType="separate"/>
    </w:r>
    <w:r>
      <w:rPr>
        <w:noProof/>
      </w:rPr>
      <w:instrText>9</w:instrText>
    </w:r>
    <w:r w:rsidR="004754C7">
      <w:rPr>
        <w:noProof/>
      </w:rPr>
      <w:fldChar w:fldCharType="end"/>
    </w:r>
    <w:r>
      <w:instrText xml:space="preserve"> - 2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DF0" w:rsidP="00F53370" w:rsidRDefault="00313DF0" w14:paraId="559AAAAF" w14:textId="77777777">
      <w:pPr>
        <w:spacing w:line="240" w:lineRule="auto"/>
      </w:pPr>
      <w:r>
        <w:separator/>
      </w:r>
    </w:p>
  </w:footnote>
  <w:footnote w:type="continuationSeparator" w:id="0">
    <w:p w:rsidR="00313DF0" w:rsidP="00F53370" w:rsidRDefault="00313DF0" w14:paraId="017F5045" w14:textId="77777777">
      <w:pPr>
        <w:spacing w:line="240" w:lineRule="auto"/>
      </w:pPr>
      <w:r>
        <w:continuationSeparator/>
      </w:r>
    </w:p>
  </w:footnote>
  <w:footnote w:id="1">
    <w:p w:rsidR="00054592" w:rsidP="00054592" w:rsidRDefault="00054592" w14:paraId="271A9EC4" w14:textId="77777777">
      <w:pPr>
        <w:pStyle w:val="FootnoteText"/>
      </w:pPr>
      <w:r>
        <w:rPr>
          <w:rStyle w:val="FootnoteReference"/>
        </w:rPr>
        <w:footnoteRef/>
      </w:r>
      <w:r>
        <w:t xml:space="preserve"> </w:t>
      </w:r>
      <w:r>
        <w:tab/>
        <w:t xml:space="preserve">See </w:t>
      </w:r>
      <w:hyperlink w:history="1" r:id="rId1">
        <w:r>
          <w:rPr>
            <w:rStyle w:val="Hyperlink"/>
          </w:rPr>
          <w:t>Key policy objectives of the CAP 2023-27 - European Commission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CB3644" w14:paraId="1154A669" w14:textId="252CAFAF">
    <w:pPr>
      <w:pStyle w:val="Header"/>
    </w:pPr>
    <w:r>
      <w:rPr>
        <w:noProof/>
      </w:rPr>
      <w:pict w14:anchorId="3E5C97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6" style="position:absolute;left:0;text-align:left;margin-left:0;margin-top:0;width:595.2pt;height:841.9pt;z-index:-251649024;mso-position-horizontal:center;mso-position-horizontal-relative:margin;mso-position-vertical:center;mso-position-vertical-relative:margin" o:spid="_x0000_s2060" o:allowincell="f" type="#_x0000_t75">
          <v:imagedata o:title="footer only" r:id="rId1"/>
          <w10:wrap anchorx="margin" anchory="margin"/>
        </v:shape>
      </w:pic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CB3644" w14:paraId="20C95081" w14:textId="013FAB14">
    <w:pPr>
      <w:pStyle w:val="Header"/>
    </w:pPr>
    <w:r>
      <w:rPr>
        <w:noProof/>
      </w:rPr>
      <w:pict w14:anchorId="0292D81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7" style="position:absolute;left:0;text-align:left;margin-left:0;margin-top:0;width:595.2pt;height:841.9pt;z-index:-251648000;mso-position-horizontal:center;mso-position-horizontal-relative:page;mso-position-vertical:top;mso-position-vertical-relative:page" o:spid="_x0000_s2061" o:allowincell="f" type="#_x0000_t75">
          <v:imagedata o:title="footer only" r:id="rId1"/>
          <w10:wrap anchorx="page" anchory="page"/>
        </v:shape>
      </w:pict>
    </w:r>
    <w:r w:rsidR="00E27707">
      <w:rPr>
        <w:noProof/>
      </w:rPr>
      <w:drawing>
        <wp:anchor distT="0" distB="0" distL="114300" distR="114300" simplePos="0" relativeHeight="251658240" behindDoc="0" locked="0" layoutInCell="1" allowOverlap="1" wp14:editId="3BEFD26D" wp14:anchorId="32A48528">
          <wp:simplePos x="898497" y="453224"/>
          <wp:positionH relativeFrom="page">
            <wp:align>center</wp:align>
          </wp:positionH>
          <wp:positionV relativeFrom="page">
            <wp:posOffset>288290</wp:posOffset>
          </wp:positionV>
          <wp:extent cx="6944398" cy="3344276"/>
          <wp:effectExtent l="0" t="0" r="0" b="8890"/>
          <wp:wrapNone/>
          <wp:docPr id="9" name="Picture 9"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title="EESCLogo2021_EN"/>
                  <pic:cNvPicPr/>
                </pic:nvPicPr>
                <pic:blipFill>
                  <a:blip r:embed="rId2">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CB3644" w14:paraId="0855837F" w14:textId="007EBCA1">
    <w:pPr>
      <w:pStyle w:val="Header"/>
    </w:pPr>
    <w:r>
      <w:rPr>
        <w:noProof/>
      </w:rPr>
      <w:pict w14:anchorId="1917127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5" style="position:absolute;left:0;text-align:left;margin-left:0;margin-top:0;width:595.2pt;height:841.9pt;z-index:-251650048;mso-position-horizontal:center;mso-position-horizontal-relative:margin;mso-position-vertical:center;mso-position-vertical-relative:margin" o:spid="_x0000_s2059" o:allowincell="f" type="#_x0000_t75">
          <v:imagedata o:title="footer only"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CB3644" w14:paraId="73BB9C34" w14:textId="7FEF32E3">
    <w:pPr>
      <w:pStyle w:val="Header"/>
    </w:pPr>
    <w:r>
      <w:rPr>
        <w:noProof/>
      </w:rPr>
      <w:pict w14:anchorId="16802F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9" style="position:absolute;left:0;text-align:left;margin-left:0;margin-top:0;width:595.2pt;height:841.9pt;z-index:-251645952;mso-position-horizontal:center;mso-position-horizontal-relative:margin;mso-position-vertical:center;mso-position-vertical-relative:margin" o:spid="_x0000_s2063" o:allowincell="f" type="#_x0000_t75">
          <v:imagedata o:title="footer only" r:id="rId1"/>
          <w10:wrap anchorx="margin" anchory="margin"/>
        </v:shape>
      </w:pict>
    </w: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CB3644" w14:paraId="4A39FC7C" w14:textId="308D261F">
    <w:pPr>
      <w:pStyle w:val="Header"/>
    </w:pPr>
    <w:r>
      <w:rPr>
        <w:noProof/>
      </w:rPr>
      <w:pict w14:anchorId="31FC4AD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20" style="position:absolute;left:0;text-align:left;margin-left:0;margin-top:0;width:595.2pt;height:841.9pt;z-index:-251644928;visibility:hidden;mso-position-horizontal:center;mso-position-horizontal-relative:margin;mso-position-vertical:center;mso-position-vertical-relative:margin" o:spid="_x0000_s2064" o:allowincell="f" type="#_x0000_t75">
          <v:imagedata o:title="footer only" r:id="rId1"/>
          <w10:wrap anchorx="margin" anchory="margin"/>
        </v:shape>
      </w:pict>
    </w:r>
    <w:r w:rsidR="00574C9B">
      <w:rPr>
        <w:noProof/>
      </w:rPr>
      <w:drawing>
        <wp:anchor distT="0" distB="0" distL="114300" distR="114300" simplePos="0" relativeHeight="251659264" behindDoc="1" locked="0" layoutInCell="1" allowOverlap="1" wp14:editId="13AEE0F5" wp14:anchorId="5FA9E479">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CB3644" w14:paraId="51F67873" w14:textId="56798CB4">
    <w:pPr>
      <w:pStyle w:val="Header"/>
    </w:pPr>
    <w:r>
      <w:rPr>
        <w:noProof/>
      </w:rPr>
      <w:pict w14:anchorId="1017B54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8" style="position:absolute;left:0;text-align:left;margin-left:0;margin-top:0;width:595.2pt;height:841.9pt;z-index:-251646976;mso-position-horizontal:center;mso-position-horizontal-relative:margin;mso-position-vertical:center;mso-position-vertical-relative:margin" o:spid="_x0000_s2062" o:allowincell="f" type="#_x0000_t75">
          <v:imagedata o:title="footer only" r:id="rId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B8" w:rsidRDefault="00CB3644" w14:paraId="192FFAD5" w14:textId="60B66FCE">
    <w:pPr>
      <w:pStyle w:val="Header"/>
    </w:pPr>
    <w:r>
      <w:rPr>
        <w:noProof/>
      </w:rPr>
      <w:pict w14:anchorId="51EC150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22" style="position:absolute;left:0;text-align:left;margin-left:0;margin-top:0;width:595.2pt;height:841.9pt;z-index:-251642880;mso-position-horizontal:center;mso-position-horizontal-relative:margin;mso-position-vertical:center;mso-position-vertical-relative:margin" o:spid="_x0000_s2066" o:allowincell="f" type="#_x0000_t75">
          <v:imagedata o:title="footer only" r:id="rId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F8" w:rsidRDefault="00CB3644" w14:paraId="44832120" w14:textId="43FA7B78">
    <w:pPr>
      <w:pStyle w:val="Header"/>
    </w:pPr>
    <w:r>
      <w:rPr>
        <w:noProof/>
      </w:rPr>
      <w:pict w14:anchorId="7B5F8F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23" style="position:absolute;left:0;text-align:left;margin-left:0;margin-top:0;width:595.2pt;height:841.9pt;z-index:-251641856;visibility:hidden;mso-position-horizontal:center;mso-position-horizontal-relative:margin;mso-position-vertical:center;mso-position-vertical-relative:margin" o:spid="_x0000_s2067" o:allowincell="f" type="#_x0000_t75">
          <v:imagedata o:title="footer only" r:id="rId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B8" w:rsidRDefault="00CB3644" w14:paraId="75FEDF91" w14:textId="4DD3A706">
    <w:pPr>
      <w:pStyle w:val="Header"/>
    </w:pPr>
    <w:r>
      <w:rPr>
        <w:noProof/>
      </w:rPr>
      <w:pict w14:anchorId="4BBB7A0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21" style="position:absolute;left:0;text-align:left;margin-left:0;margin-top:0;width:595.2pt;height:841.9pt;z-index:-251643904;mso-position-horizontal:center;mso-position-horizontal-relative:margin;mso-position-vertical:center;mso-position-vertical-relative:margin" o:spid="_x0000_s2065" o:allowincell="f" type="#_x0000_t75">
          <v:imagedata o:title="footer only"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166F7"/>
    <w:rsid w:val="00020389"/>
    <w:rsid w:val="00030E2A"/>
    <w:rsid w:val="00053D00"/>
    <w:rsid w:val="00054592"/>
    <w:rsid w:val="000572E3"/>
    <w:rsid w:val="000A0F3B"/>
    <w:rsid w:val="001534B1"/>
    <w:rsid w:val="0019231D"/>
    <w:rsid w:val="001955B6"/>
    <w:rsid w:val="001D61AC"/>
    <w:rsid w:val="001E15AA"/>
    <w:rsid w:val="001E3FA1"/>
    <w:rsid w:val="00200E87"/>
    <w:rsid w:val="00206D14"/>
    <w:rsid w:val="00214BDC"/>
    <w:rsid w:val="00215E81"/>
    <w:rsid w:val="0024727F"/>
    <w:rsid w:val="002B6A7B"/>
    <w:rsid w:val="002F03F9"/>
    <w:rsid w:val="00313DF0"/>
    <w:rsid w:val="003353D7"/>
    <w:rsid w:val="00337567"/>
    <w:rsid w:val="003567D4"/>
    <w:rsid w:val="003659F9"/>
    <w:rsid w:val="003C49F3"/>
    <w:rsid w:val="003D3052"/>
    <w:rsid w:val="003E6B2A"/>
    <w:rsid w:val="00401DE5"/>
    <w:rsid w:val="00452CAF"/>
    <w:rsid w:val="004754C7"/>
    <w:rsid w:val="004871B8"/>
    <w:rsid w:val="00574C9B"/>
    <w:rsid w:val="0058411F"/>
    <w:rsid w:val="005E2695"/>
    <w:rsid w:val="006125A1"/>
    <w:rsid w:val="00627409"/>
    <w:rsid w:val="006376F1"/>
    <w:rsid w:val="00653E7D"/>
    <w:rsid w:val="00661982"/>
    <w:rsid w:val="00662207"/>
    <w:rsid w:val="00667F09"/>
    <w:rsid w:val="006A4143"/>
    <w:rsid w:val="006B57A6"/>
    <w:rsid w:val="006D2AC1"/>
    <w:rsid w:val="006D53A6"/>
    <w:rsid w:val="0072545A"/>
    <w:rsid w:val="00751339"/>
    <w:rsid w:val="00787837"/>
    <w:rsid w:val="00787ABB"/>
    <w:rsid w:val="007B6C64"/>
    <w:rsid w:val="00822952"/>
    <w:rsid w:val="00836505"/>
    <w:rsid w:val="00844B87"/>
    <w:rsid w:val="0084796C"/>
    <w:rsid w:val="00870584"/>
    <w:rsid w:val="008851FB"/>
    <w:rsid w:val="0089251B"/>
    <w:rsid w:val="008A6DD4"/>
    <w:rsid w:val="008A7731"/>
    <w:rsid w:val="008E2A12"/>
    <w:rsid w:val="008F74D7"/>
    <w:rsid w:val="00904C42"/>
    <w:rsid w:val="00913FA7"/>
    <w:rsid w:val="00914683"/>
    <w:rsid w:val="00920031"/>
    <w:rsid w:val="00924C05"/>
    <w:rsid w:val="00931C1C"/>
    <w:rsid w:val="00937CF2"/>
    <w:rsid w:val="00976645"/>
    <w:rsid w:val="00976F77"/>
    <w:rsid w:val="0098228C"/>
    <w:rsid w:val="009E2100"/>
    <w:rsid w:val="009F3486"/>
    <w:rsid w:val="009F7AD2"/>
    <w:rsid w:val="00A30B4F"/>
    <w:rsid w:val="00A310E1"/>
    <w:rsid w:val="00A36AB0"/>
    <w:rsid w:val="00AB37A3"/>
    <w:rsid w:val="00AC5114"/>
    <w:rsid w:val="00AF6603"/>
    <w:rsid w:val="00B24518"/>
    <w:rsid w:val="00B25683"/>
    <w:rsid w:val="00B51901"/>
    <w:rsid w:val="00B970E8"/>
    <w:rsid w:val="00BD50F6"/>
    <w:rsid w:val="00C073E1"/>
    <w:rsid w:val="00C234BA"/>
    <w:rsid w:val="00C25647"/>
    <w:rsid w:val="00C4223D"/>
    <w:rsid w:val="00C65696"/>
    <w:rsid w:val="00C66AEA"/>
    <w:rsid w:val="00C9040A"/>
    <w:rsid w:val="00C91E4D"/>
    <w:rsid w:val="00CB110A"/>
    <w:rsid w:val="00CB7CD0"/>
    <w:rsid w:val="00CD0E3A"/>
    <w:rsid w:val="00CD26C9"/>
    <w:rsid w:val="00CF34D6"/>
    <w:rsid w:val="00CF3A8D"/>
    <w:rsid w:val="00D039AF"/>
    <w:rsid w:val="00D550DB"/>
    <w:rsid w:val="00D72198"/>
    <w:rsid w:val="00D95232"/>
    <w:rsid w:val="00DB7F50"/>
    <w:rsid w:val="00DE30C7"/>
    <w:rsid w:val="00DF400F"/>
    <w:rsid w:val="00E15BF4"/>
    <w:rsid w:val="00E2376B"/>
    <w:rsid w:val="00E26935"/>
    <w:rsid w:val="00E27707"/>
    <w:rsid w:val="00E52B04"/>
    <w:rsid w:val="00E60496"/>
    <w:rsid w:val="00E661B7"/>
    <w:rsid w:val="00E743AE"/>
    <w:rsid w:val="00E938AF"/>
    <w:rsid w:val="00EF1C31"/>
    <w:rsid w:val="00F2069F"/>
    <w:rsid w:val="00F37E78"/>
    <w:rsid w:val="00F53370"/>
    <w:rsid w:val="00F6599A"/>
    <w:rsid w:val="00F81A95"/>
    <w:rsid w:val="00F90BE2"/>
    <w:rsid w:val="00FC0CEA"/>
    <w:rsid w:val="00FD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ec.europa.eu/common-agricultural-policy/cap-overview/cap-2023-27/key-policy-objectives-cap-2023-27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F7M6YNZUATRX-789077548-8434</_dlc_DocId>
    <_dlc_DocIdUrl xmlns="59ace41b-6786-4ce3-be71-52c27066c6ef">
      <Url>http://dm/eesc/2024/_layouts/15/DocIdRedir.aspx?ID=F7M6YNZUATRX-789077548-8434</Url>
      <Description>F7M6YNZUATRX-789077548-8434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2025-04-09T12:00:00+00:00</ProductionDate>
    <FicheYear xmlns="59ace41b-6786-4ce3-be71-52c27066c6ef" xsi:nil="true"/>
    <DocumentNumber xmlns="36007a90-28ab-40da-967b-595e4ec83007">2156</DocumentNumber>
    <DossierNumber xmlns="59ace41b-6786-4ce3-be71-52c27066c6ef">930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36</Value>
      <Value>43</Value>
      <Value>37</Value>
      <Value>273</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6</Value>
      <Value>5</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9ace41b-6786-4ce3-be71-52c27066c6ef">RAVNIK &amp; GERSTEIN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3842</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2025-03-26T12:00:00+00:00</AdoptionDate>
    <RequestingService xmlns="59ace41b-6786-4ce3-be71-52c27066c6ef">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59ace41b-6786-4ce3-be71-52c27066c6ef">2</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783B3-A7CF-432F-84CC-675A913D0120}"/>
</file>

<file path=customXml/itemProps2.xml><?xml version="1.0" encoding="utf-8"?>
<ds:datastoreItem xmlns:ds="http://schemas.openxmlformats.org/officeDocument/2006/customXml" ds:itemID="{3C2C42DB-B566-4CE8-A3D5-9A5868ACD8A1}"/>
</file>

<file path=customXml/itemProps3.xml><?xml version="1.0" encoding="utf-8"?>
<ds:datastoreItem xmlns:ds="http://schemas.openxmlformats.org/officeDocument/2006/customXml" ds:itemID="{019E7728-20B2-4F10-BFDA-32D5E0F81763}"/>
</file>

<file path=customXml/itemProps4.xml><?xml version="1.0" encoding="utf-8"?>
<ds:datastoreItem xmlns:ds="http://schemas.openxmlformats.org/officeDocument/2006/customXml" ds:itemID="{6FC846B2-D738-4A42-BD89-631D09719E68}"/>
</file>

<file path=docProps/app.xml><?xml version="1.0" encoding="utf-8"?>
<Properties xmlns="http://schemas.openxmlformats.org/officeDocument/2006/extended-properties" xmlns:vt="http://schemas.openxmlformats.org/officeDocument/2006/docPropsVTypes">
  <Template>Normal</Template>
  <TotalTime>0</TotalTime>
  <Pages>2</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EESC RE - Model</vt:lpstr>
    </vt:vector>
  </TitlesOfParts>
  <Company>CESE-CdR</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Unfair trading practices in B2B relationships in the agricultural and food supply chain</dc:title>
  <dc:creator>Francois Aude</dc:creator>
  <cp:keywords>EESC-2024-02156-00-02-RE-TRA-EN</cp:keywords>
  <dc:description>Rapporteur: - RAVNIK &amp; GERSTEIN Original language: - EN Date of document: - 09/04/2025 Date of meeting: -  External documents: -  Administrator responsible: -  KOLYVA Myrto</dc:description>
  <cp:lastModifiedBy>TDriveSVCUserProd</cp:lastModifiedBy>
  <cp:revision>8</cp:revision>
  <dcterms:created xsi:type="dcterms:W3CDTF">2025-04-09T09:03:00Z</dcterms:created>
  <dcterms:modified xsi:type="dcterms:W3CDTF">2025-04-09T09:11:00Z</dcterms:modified>
  <cp:category>NAT/930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09/04/2025, 02/04/2025, 28/03/2025, 12/04/2024, 17/05/2022</vt:lpwstr>
  </property>
  <property fmtid="{D5CDD505-2E9C-101B-9397-08002B2CF9AE}" pid="4" name="Pref_Time">
    <vt:lpwstr>11:03:13, 18:18:01, 15:06:22, 12:03:55, 14:58:36</vt:lpwstr>
  </property>
  <property fmtid="{D5CDD505-2E9C-101B-9397-08002B2CF9AE}" pid="5" name="Pref_User">
    <vt:lpwstr>jhvi, pacup, jhvi, enied, enied</vt:lpwstr>
  </property>
  <property fmtid="{D5CDD505-2E9C-101B-9397-08002B2CF9AE}" pid="6" name="Pref_FileName">
    <vt:lpwstr>EESC-2024-02156-00-02-RE-ORI.docx, EESC-2024-02156-00-01-RE-ORI.docx, EESC-2024-02156-00-00-RE-TRA-EN-CRR.docx, COR-EESC-2024-01326-22-00-ADMIN-ORI.docx, COR-EESC-2022-02592-00-00-ADMIN-ORI.docx</vt:lpwstr>
  </property>
  <property fmtid="{D5CDD505-2E9C-101B-9397-08002B2CF9AE}" pid="7" name="ContentTypeId">
    <vt:lpwstr>0x010100EA97B91038054C99906057A708A1480A00C9C698F2971CE54890F427AFE3EB568F</vt:lpwstr>
  </property>
  <property fmtid="{D5CDD505-2E9C-101B-9397-08002B2CF9AE}" pid="8" name="_dlc_DocIdItemGuid">
    <vt:lpwstr>182a23ac-b878-4b2e-a300-42c7d249a7e9</vt:lpwstr>
  </property>
  <property fmtid="{D5CDD505-2E9C-101B-9397-08002B2CF9AE}" pid="9" name="AvailableTranslations">
    <vt:lpwstr>28;#LV|46f7e311-5d9f-4663-b433-18aeccb7ace7;#36;#PT|50ccc04a-eadd-42ae-a0cb-acaf45f812ba;#23;#MT|7df99101-6854-4a26-b53a-b88c0da02c26;#25;#DE|f6b31e5a-26fa-4935-b661-318e46daf27e;#16;#DA|5d49c027-8956-412b-aa16-e85a0f96ad0e;#5;#EN|f2175f21-25d7-44a3-96da-d6a61b075e1b;#21;#SV|c2ed69e7-a339-43d7-8f22-d93680a92aa0;#12;#IT|0774613c-01ed-4e5d-a25d-11d2388de825;#43;#CS|72f9705b-0217-4fd3-bea2-cbc7ed80e26e;#17;#PL|1e03da61-4678-4e07-b136-b5024ca9197b;#30;#HR|2f555653-ed1a-4fe6-8362-9082d95989e5;#26;#SK|46d9fce0-ef79-4f71-b89b-cd6aa82426b8;#37;#RO|feb747a2-64cd-4299-af12-4833ddc30497;#14;#FR|d2afafd3-4c81-4f60-8f52-ee33f2f54ff3;#18;#GA|762d2456-c427-4ecb-b312-af3dad8e258c;#31;#NL|55c6556c-b4f4-441d-9acf-c498d4f838bd;#22;#BG|1a1b3951-7821-4e6a-85f5-5673fc08bd2c;#27;#SL|98a412ae-eb01-49e9-ae3d-585a81724cfc;#29;#EL|6d4f4d51-af9b-4650-94b4-4276bee85c91;#34;#LT|a7ff5ce7-6123-4f68-865a-a57c31810414;#33;#ET|ff6c3f4c-b02c-4c3c-ab07-2c37995a7a0a;#24;#ES|e7a6b05b-ae16-40c8-add9-68b64b03aeba;#35;#FI|87606a43-d45f-42d6-b8c9-e1a3457db5b7;#32;#HU|6b229040-c589-4408-b4c1-4285663d20a8</vt:lpwstr>
  </property>
  <property fmtid="{D5CDD505-2E9C-101B-9397-08002B2CF9AE}" pid="10" name="DocumentType_0">
    <vt:lpwstr>RE|2e31ab9a-38d8-4b15-bf54-b076b749ef85</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2156</vt:i4>
  </property>
  <property fmtid="{D5CDD505-2E9C-101B-9397-08002B2CF9AE}" pid="14" name="FicheYear">
    <vt:i4>2024</vt:i4>
  </property>
  <property fmtid="{D5CDD505-2E9C-101B-9397-08002B2CF9AE}" pid="15" name="DocumentVersion">
    <vt:i4>2</vt:i4>
  </property>
  <property fmtid="{D5CDD505-2E9C-101B-9397-08002B2CF9AE}" pid="16" name="DossierNumber">
    <vt:i4>930</vt:i4>
  </property>
  <property fmtid="{D5CDD505-2E9C-101B-9397-08002B2CF9AE}" pid="17" name="DocumentStatus">
    <vt:lpwstr>3;#TRA|150d2a88-1431-44e6-a8ca-0bb753ab8672</vt:lpwstr>
  </property>
  <property fmtid="{D5CDD505-2E9C-101B-9397-08002B2CF9AE}" pid="18" name="DossierName">
    <vt:lpwstr>2;#NAT|b263ab5d-0564-42a8-87bf-1cc57d938922</vt:lpwstr>
  </property>
  <property fmtid="{D5CDD505-2E9C-101B-9397-08002B2CF9AE}" pid="19" name="RequestingService">
    <vt:lpwstr>Agriculture, développement rural et environnement</vt:lpwstr>
  </property>
  <property fmtid="{D5CDD505-2E9C-101B-9397-08002B2CF9AE}" pid="20" name="Confidentiality">
    <vt:lpwstr>6;#Unrestricted|826e22d7-d029-4ec0-a450-0c28ff673572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8;#Final|ea5e6674-7b27-4bac-b091-73adbb394efe;#1;#EESC|422833ec-8d7e-4e65-8e4e-8bed07ffb729;#6;#Unrestricted|826e22d7-d029-4ec0-a450-0c28ff673572;#5;#EN|f2175f21-25d7-44a3-96da-d6a61b075e1b;#3;#TRA|150d2a88-1431-44e6-a8ca-0bb753ab8672;#2;#NAT|b263ab5d-0564-42a8-87bf-1cc57d938922;#273;#RE|2e31ab9a-38d8-4b15-bf54-b076b749ef85</vt:lpwstr>
  </property>
  <property fmtid="{D5CDD505-2E9C-101B-9397-08002B2CF9AE}" pid="30" name="Rapporteur">
    <vt:lpwstr>RAVNIK &amp; GERSTEIN</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3842</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2025-03-26T12:00:00Z</vt:filetime>
  </property>
  <property fmtid="{D5CDD505-2E9C-101B-9397-08002B2CF9AE}" pid="38" name="DocumentType">
    <vt:lpwstr>273;#RE|2e31ab9a-38d8-4b15-bf54-b076b749ef85</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