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9.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Pr="0004017E" w:rsidR="00CD26C9" w:rsidTr="00695F57" w14:paraId="0C1266F7" w14:textId="77777777">
        <w:trPr>
          <w:jc w:val="center"/>
        </w:trPr>
        <w:tc>
          <w:tcPr>
            <w:tcW w:w="5000" w:type="pct"/>
            <w:vAlign w:val="center"/>
          </w:tcPr>
          <w:p w:rsidRPr="0004017E" w:rsidR="00CD26C9" w:rsidP="00695F57" w:rsidRDefault="00CD26C9" w14:paraId="6B1B2975" w14:textId="77777777">
            <w:pPr>
              <w:jc w:val="center"/>
              <w:rPr>
                <w:b/>
                <w:bCs/>
                <w:sz w:val="72"/>
                <w:szCs w:val="72"/>
              </w:rPr>
            </w:pPr>
            <w:r w:rsidRPr="0004017E">
              <w:rPr>
                <w:b/>
                <w:sz w:val="72"/>
              </w:rPr>
              <w:t>RELAZIONE DI VALUTAZIONE</w:t>
            </w:r>
          </w:p>
        </w:tc>
      </w:tr>
      <w:tr w:rsidRPr="0004017E" w:rsidR="00CD26C9" w:rsidTr="00695F57" w14:paraId="0997F6B4" w14:textId="77777777">
        <w:trPr>
          <w:trHeight w:val="567"/>
          <w:jc w:val="center"/>
        </w:trPr>
        <w:tc>
          <w:tcPr>
            <w:tcW w:w="5000" w:type="pct"/>
            <w:vAlign w:val="center"/>
          </w:tcPr>
          <w:p w:rsidRPr="0004017E" w:rsidR="00CD26C9" w:rsidP="00695F57" w:rsidRDefault="00CD26C9" w14:paraId="3904D624" w14:textId="77777777">
            <w:pPr>
              <w:jc w:val="center"/>
              <w:rPr>
                <w:sz w:val="24"/>
                <w:szCs w:val="24"/>
              </w:rPr>
            </w:pPr>
            <w:r w:rsidRPr="0004017E">
              <w:rPr>
                <w:sz w:val="24"/>
              </w:rPr>
              <w:t>Comitato economico e sociale europeo</w:t>
            </w:r>
          </w:p>
        </w:tc>
      </w:tr>
      <w:tr w:rsidRPr="0004017E" w:rsidR="00CD26C9" w:rsidTr="00695F57" w14:paraId="1D644B77" w14:textId="77777777">
        <w:trPr>
          <w:jc w:val="center"/>
        </w:trPr>
        <w:tc>
          <w:tcPr>
            <w:tcW w:w="5000" w:type="pct"/>
            <w:vAlign w:val="center"/>
          </w:tcPr>
          <w:p w:rsidRPr="0004017E" w:rsidR="00CD26C9" w:rsidP="00695F57" w:rsidRDefault="00F37E78" w14:paraId="25DFFFC7" w14:textId="5A414329">
            <w:pPr>
              <w:jc w:val="center"/>
              <w:rPr>
                <w:b/>
                <w:bCs/>
                <w:sz w:val="44"/>
                <w:szCs w:val="44"/>
              </w:rPr>
            </w:pPr>
            <w:r w:rsidRPr="0004017E">
              <w:rPr>
                <w:b/>
                <w:sz w:val="44"/>
              </w:rPr>
              <w:t>Pratiche commerciali sleali nei rapporti tra imprese nella filiera agricola e alimentare</w:t>
            </w:r>
          </w:p>
        </w:tc>
      </w:tr>
      <w:tr w:rsidRPr="0004017E" w:rsidR="00CD26C9" w:rsidTr="00695F57" w14:paraId="10E683EE" w14:textId="77777777">
        <w:trPr>
          <w:jc w:val="center"/>
        </w:trPr>
        <w:tc>
          <w:tcPr>
            <w:tcW w:w="5000" w:type="pct"/>
            <w:vAlign w:val="center"/>
          </w:tcPr>
          <w:p w:rsidRPr="0004017E" w:rsidR="00CD26C9" w:rsidP="00695F57" w:rsidRDefault="00CD26C9" w14:paraId="2BAFC35D" w14:textId="77777777">
            <w:pPr>
              <w:overflowPunct w:val="0"/>
              <w:autoSpaceDE w:val="0"/>
              <w:autoSpaceDN w:val="0"/>
              <w:adjustRightInd w:val="0"/>
              <w:jc w:val="center"/>
              <w:textAlignment w:val="baseline"/>
              <w:rPr>
                <w:b/>
                <w:bCs/>
                <w:sz w:val="24"/>
                <w:szCs w:val="24"/>
              </w:rPr>
            </w:pPr>
            <w:r w:rsidRPr="0004017E">
              <w:rPr>
                <w:sz w:val="24"/>
              </w:rPr>
              <w:t>_____________</w:t>
            </w:r>
          </w:p>
        </w:tc>
      </w:tr>
      <w:tr w:rsidRPr="0004017E" w:rsidR="00CD26C9" w:rsidTr="00695F57" w14:paraId="5B865E60" w14:textId="77777777">
        <w:trPr>
          <w:jc w:val="center"/>
        </w:trPr>
        <w:tc>
          <w:tcPr>
            <w:tcW w:w="5000" w:type="pct"/>
            <w:vAlign w:val="center"/>
          </w:tcPr>
          <w:p w:rsidRPr="0004017E" w:rsidR="00CD26C9" w:rsidP="0004017E" w:rsidRDefault="00F37E78" w14:paraId="765FFD53" w14:textId="6AC6FB9C">
            <w:pPr>
              <w:spacing w:before="120"/>
              <w:jc w:val="center"/>
              <w:rPr>
                <w:sz w:val="24"/>
                <w:szCs w:val="24"/>
              </w:rPr>
            </w:pPr>
            <w:r w:rsidRPr="0004017E">
              <w:rPr>
                <w:sz w:val="24"/>
              </w:rPr>
              <w:t>Valutazione della direttiva (UE) 2019/633 del Parlamento europeo e del Consiglio, del 17</w:t>
            </w:r>
            <w:r w:rsidR="0004017E">
              <w:rPr>
                <w:sz w:val="24"/>
              </w:rPr>
              <w:t> </w:t>
            </w:r>
            <w:r w:rsidRPr="0004017E">
              <w:rPr>
                <w:sz w:val="24"/>
              </w:rPr>
              <w:t>aprile</w:t>
            </w:r>
            <w:r w:rsidR="0004017E">
              <w:rPr>
                <w:sz w:val="24"/>
              </w:rPr>
              <w:t> </w:t>
            </w:r>
            <w:r w:rsidRPr="0004017E">
              <w:rPr>
                <w:sz w:val="24"/>
              </w:rPr>
              <w:t>2019, in materia di pratiche commerciali sleali nei rapporti tra imprese nella filiera agricola e alimentare (compresa una mappatura della legislazione degli Stati membri in materia di pratiche commerciali sleali)</w:t>
            </w:r>
          </w:p>
        </w:tc>
      </w:tr>
      <w:tr w:rsidRPr="0004017E" w:rsidR="00CD26C9" w:rsidTr="00695F57" w14:paraId="30A15ABD" w14:textId="77777777">
        <w:trPr>
          <w:jc w:val="center"/>
        </w:trPr>
        <w:tc>
          <w:tcPr>
            <w:tcW w:w="5000" w:type="pct"/>
            <w:vAlign w:val="center"/>
          </w:tcPr>
          <w:p w:rsidRPr="007C3B4C" w:rsidR="00CD26C9" w:rsidP="00695F57" w:rsidRDefault="00CD26C9" w14:paraId="4CDF6137" w14:textId="77777777">
            <w:pPr>
              <w:jc w:val="center"/>
              <w:rPr>
                <w:sz w:val="24"/>
                <w:szCs w:val="24"/>
              </w:rPr>
            </w:pPr>
          </w:p>
        </w:tc>
      </w:tr>
      <w:tr w:rsidRPr="0004017E" w:rsidR="00CD26C9" w:rsidTr="00695F57" w14:paraId="0A87DD1F" w14:textId="77777777">
        <w:trPr>
          <w:jc w:val="center"/>
        </w:trPr>
        <w:tc>
          <w:tcPr>
            <w:tcW w:w="5000" w:type="pct"/>
            <w:vAlign w:val="center"/>
          </w:tcPr>
          <w:p w:rsidRPr="0004017E" w:rsidR="00CD26C9" w:rsidP="00695F57" w:rsidRDefault="00F37E78" w14:paraId="3922E3BF" w14:textId="0FBE3774">
            <w:pPr>
              <w:jc w:val="center"/>
              <w:rPr>
                <w:b/>
                <w:bCs/>
                <w:sz w:val="24"/>
                <w:szCs w:val="24"/>
              </w:rPr>
            </w:pPr>
            <w:r w:rsidRPr="0004017E">
              <w:rPr>
                <w:b/>
                <w:sz w:val="24"/>
              </w:rPr>
              <w:t>NAT/930</w:t>
            </w:r>
          </w:p>
        </w:tc>
      </w:tr>
      <w:tr w:rsidRPr="0004017E" w:rsidR="00CD26C9" w:rsidTr="00695F57" w14:paraId="7C0D824A" w14:textId="77777777">
        <w:trPr>
          <w:jc w:val="center"/>
        </w:trPr>
        <w:tc>
          <w:tcPr>
            <w:tcW w:w="5000" w:type="pct"/>
            <w:vAlign w:val="center"/>
          </w:tcPr>
          <w:p w:rsidRPr="0004017E" w:rsidR="00CD26C9" w:rsidP="00695F57" w:rsidRDefault="00CD26C9" w14:paraId="193AB3B9" w14:textId="77777777">
            <w:pPr>
              <w:jc w:val="center"/>
              <w:rPr>
                <w:sz w:val="24"/>
                <w:szCs w:val="24"/>
                <w:lang w:val="en-GB"/>
              </w:rPr>
            </w:pPr>
          </w:p>
        </w:tc>
      </w:tr>
      <w:tr w:rsidRPr="0004017E" w:rsidR="00CD26C9" w:rsidTr="00695F57" w14:paraId="65003D07" w14:textId="77777777">
        <w:trPr>
          <w:jc w:val="center"/>
        </w:trPr>
        <w:tc>
          <w:tcPr>
            <w:tcW w:w="5000" w:type="pct"/>
            <w:vAlign w:val="center"/>
          </w:tcPr>
          <w:p w:rsidRPr="0004017E" w:rsidR="00CD26C9" w:rsidP="00695F57" w:rsidRDefault="0004017E" w14:paraId="2D4C5907" w14:textId="2B83B181">
            <w:pPr>
              <w:jc w:val="center"/>
              <w:rPr>
                <w:sz w:val="24"/>
                <w:szCs w:val="24"/>
              </w:rPr>
            </w:pPr>
            <w:r w:rsidRPr="0004017E">
              <w:rPr>
                <w:sz w:val="24"/>
              </w:rPr>
              <w:t>Relatrice</w:t>
            </w:r>
            <w:r w:rsidRPr="0004017E" w:rsidR="00CD26C9">
              <w:rPr>
                <w:sz w:val="24"/>
              </w:rPr>
              <w:t xml:space="preserve">: </w:t>
            </w:r>
            <w:r w:rsidRPr="0004017E" w:rsidR="00CD26C9">
              <w:rPr>
                <w:b/>
                <w:sz w:val="24"/>
              </w:rPr>
              <w:t>Antje GERSTEIN</w:t>
            </w:r>
          </w:p>
        </w:tc>
      </w:tr>
      <w:tr w:rsidRPr="0004017E" w:rsidR="00CD26C9" w:rsidTr="00695F57" w14:paraId="0105A06B" w14:textId="77777777">
        <w:trPr>
          <w:jc w:val="center"/>
        </w:trPr>
        <w:tc>
          <w:tcPr>
            <w:tcW w:w="5000" w:type="pct"/>
            <w:vAlign w:val="center"/>
          </w:tcPr>
          <w:p w:rsidRPr="0004017E" w:rsidR="00CD26C9" w:rsidP="00695F57" w:rsidRDefault="0004017E" w14:paraId="55322D6D" w14:textId="164CFB43">
            <w:pPr>
              <w:jc w:val="center"/>
              <w:rPr>
                <w:sz w:val="24"/>
                <w:szCs w:val="24"/>
              </w:rPr>
            </w:pPr>
            <w:r w:rsidRPr="0004017E">
              <w:rPr>
                <w:sz w:val="24"/>
              </w:rPr>
              <w:t>Correlatore</w:t>
            </w:r>
            <w:r w:rsidRPr="0004017E" w:rsidR="00CD26C9">
              <w:rPr>
                <w:sz w:val="24"/>
              </w:rPr>
              <w:t xml:space="preserve">: </w:t>
            </w:r>
            <w:r w:rsidRPr="0004017E" w:rsidR="00CD26C9">
              <w:rPr>
                <w:b/>
                <w:sz w:val="24"/>
              </w:rPr>
              <w:t>Branko RAVNIK</w:t>
            </w:r>
          </w:p>
        </w:tc>
      </w:tr>
    </w:tbl>
    <w:p w:rsidRPr="0004017E" w:rsidR="00574C9B" w:rsidP="00574C9B" w:rsidRDefault="00574C9B" w14:paraId="0B225863" w14:textId="77777777">
      <w:r w:rsidRPr="0004017E">
        <w:rPr>
          <w:noProof/>
          <w:sz w:val="20"/>
        </w:rPr>
        <mc:AlternateContent>
          <mc:Choice Requires="wps">
            <w:drawing>
              <wp:anchor distT="0" distB="0" distL="114300" distR="114300" simplePos="0" relativeHeight="251659264"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IT</w:t>
                      </w:r>
                    </w:p>
                  </w:txbxContent>
                </v:textbox>
                <w10:wrap anchorx="margin" anchory="page"/>
              </v:shape>
            </w:pict>
          </mc:Fallback>
        </mc:AlternateContent>
      </w:r>
    </w:p>
    <w:p w:rsidRPr="0004017E" w:rsidR="00574C9B" w:rsidP="00574C9B" w:rsidRDefault="00574C9B" w14:paraId="3FA5826A" w14:textId="77777777">
      <w:pPr>
        <w:rPr>
          <w:lang w:val="en-GB"/>
        </w:rPr>
      </w:pPr>
    </w:p>
    <w:p w:rsidRPr="0004017E" w:rsidR="00574C9B" w:rsidP="00574C9B" w:rsidRDefault="00574C9B" w14:paraId="4B88FC0A" w14:textId="77777777">
      <w:pPr>
        <w:rPr>
          <w:lang w:val="en-GB"/>
        </w:rPr>
        <w:sectPr w:rsidRPr="0004017E" w:rsidR="00574C9B" w:rsidSect="00FD7D48">
          <w:headerReference w:type="even" r:id="rId11"/>
          <w:headerReference w:type="default" r:id="rId12"/>
          <w:headerReference w:type="first" r:id="rId13"/>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04017E" w:rsidR="00914683" w:rsidTr="00E15BF4" w14:paraId="64074C63" w14:textId="77777777">
        <w:tc>
          <w:tcPr>
            <w:tcW w:w="3085" w:type="dxa"/>
          </w:tcPr>
          <w:p w:rsidRPr="0004017E" w:rsidR="00914683" w:rsidP="0058411F" w:rsidRDefault="009F3486" w14:paraId="51393BC8" w14:textId="242D439D">
            <w:pPr>
              <w:autoSpaceDE w:val="0"/>
              <w:autoSpaceDN w:val="0"/>
              <w:jc w:val="left"/>
              <w:rPr>
                <w:szCs w:val="20"/>
              </w:rPr>
            </w:pPr>
            <w:r w:rsidRPr="0004017E">
              <w:lastRenderedPageBreak/>
              <w:t>Consiglieri</w:t>
            </w:r>
          </w:p>
        </w:tc>
        <w:tc>
          <w:tcPr>
            <w:tcW w:w="6204" w:type="dxa"/>
            <w:vAlign w:val="bottom"/>
          </w:tcPr>
          <w:p w:rsidRPr="0004017E" w:rsidR="00F37E78" w:rsidP="00F37E78" w:rsidRDefault="00F37E78" w14:paraId="43244F25" w14:textId="77777777">
            <w:pPr>
              <w:autoSpaceDE w:val="0"/>
              <w:autoSpaceDN w:val="0"/>
              <w:jc w:val="left"/>
            </w:pPr>
            <w:r w:rsidRPr="0004017E">
              <w:t>Philipp PICHLER per la relatrice</w:t>
            </w:r>
          </w:p>
          <w:p w:rsidRPr="0004017E" w:rsidR="00914683" w:rsidP="00F37E78" w:rsidRDefault="00F37E78" w14:paraId="1BB75A13" w14:textId="40941136">
            <w:pPr>
              <w:autoSpaceDE w:val="0"/>
              <w:autoSpaceDN w:val="0"/>
              <w:jc w:val="left"/>
            </w:pPr>
            <w:r w:rsidRPr="0004017E">
              <w:t>Jorge CONESA per il correlatore</w:t>
            </w:r>
          </w:p>
        </w:tc>
      </w:tr>
      <w:tr w:rsidRPr="0004017E" w:rsidR="009F3486" w:rsidTr="00E15BF4" w14:paraId="139D4058" w14:textId="77777777">
        <w:tc>
          <w:tcPr>
            <w:tcW w:w="3085" w:type="dxa"/>
          </w:tcPr>
          <w:p w:rsidRPr="0004017E" w:rsidR="009F3486" w:rsidP="0058411F" w:rsidRDefault="009F3486" w14:paraId="6C1D3442" w14:textId="0BBD6945">
            <w:pPr>
              <w:autoSpaceDE w:val="0"/>
              <w:autoSpaceDN w:val="0"/>
              <w:jc w:val="left"/>
              <w:rPr>
                <w:szCs w:val="20"/>
              </w:rPr>
            </w:pPr>
            <w:r w:rsidRPr="0004017E">
              <w:t>Consultazione</w:t>
            </w:r>
          </w:p>
        </w:tc>
        <w:tc>
          <w:tcPr>
            <w:tcW w:w="6204" w:type="dxa"/>
            <w:vAlign w:val="bottom"/>
          </w:tcPr>
          <w:p w:rsidRPr="0004017E" w:rsidR="009F3486" w:rsidP="0058411F" w:rsidRDefault="00F37E78" w14:paraId="376AB48C" w14:textId="0B65274D">
            <w:pPr>
              <w:autoSpaceDE w:val="0"/>
              <w:autoSpaceDN w:val="0"/>
              <w:jc w:val="left"/>
            </w:pPr>
            <w:r w:rsidRPr="0004017E">
              <w:t>Commissione europea, 12/12/2023</w:t>
            </w:r>
          </w:p>
        </w:tc>
      </w:tr>
      <w:tr w:rsidRPr="0004017E" w:rsidR="00AC5114" w:rsidTr="00E15BF4" w14:paraId="46C189AE" w14:textId="77777777">
        <w:tc>
          <w:tcPr>
            <w:tcW w:w="3085" w:type="dxa"/>
          </w:tcPr>
          <w:p w:rsidRPr="0004017E" w:rsidR="00AC5114" w:rsidP="0058411F" w:rsidRDefault="00AC5114" w14:paraId="2DA32C67" w14:textId="77777777">
            <w:pPr>
              <w:autoSpaceDE w:val="0"/>
              <w:autoSpaceDN w:val="0"/>
              <w:jc w:val="left"/>
              <w:rPr>
                <w:szCs w:val="20"/>
              </w:rPr>
            </w:pPr>
            <w:r w:rsidRPr="0004017E">
              <w:t>Base giuridica</w:t>
            </w:r>
          </w:p>
        </w:tc>
        <w:tc>
          <w:tcPr>
            <w:tcW w:w="6204" w:type="dxa"/>
            <w:vAlign w:val="bottom"/>
          </w:tcPr>
          <w:p w:rsidRPr="0004017E" w:rsidR="00AC5114" w:rsidP="0058411F" w:rsidRDefault="00AC5114" w14:paraId="67EB3E4A" w14:textId="2E2815FD">
            <w:pPr>
              <w:autoSpaceDE w:val="0"/>
              <w:autoSpaceDN w:val="0"/>
              <w:jc w:val="left"/>
              <w:rPr>
                <w:szCs w:val="20"/>
              </w:rPr>
            </w:pPr>
            <w:r w:rsidRPr="0004017E">
              <w:t>Articolo 304 del Trattato sul funzionamento dell'Unione europea</w:t>
            </w:r>
          </w:p>
        </w:tc>
      </w:tr>
      <w:tr w:rsidRPr="0004017E" w:rsidR="00AC5114" w:rsidTr="00E15BF4" w14:paraId="0E2099A6" w14:textId="77777777">
        <w:tc>
          <w:tcPr>
            <w:tcW w:w="3085" w:type="dxa"/>
          </w:tcPr>
          <w:p w:rsidRPr="0004017E" w:rsidR="00AC5114" w:rsidP="0058411F" w:rsidRDefault="0004017E" w14:paraId="0BC68BA5" w14:textId="69FD22EE">
            <w:pPr>
              <w:autoSpaceDE w:val="0"/>
              <w:autoSpaceDN w:val="0"/>
              <w:jc w:val="left"/>
            </w:pPr>
            <w:r w:rsidRPr="0004017E">
              <w:t>Sezione</w:t>
            </w:r>
            <w:r w:rsidRPr="0004017E" w:rsidR="00AC5114">
              <w:t xml:space="preserve"> competente</w:t>
            </w:r>
          </w:p>
        </w:tc>
        <w:tc>
          <w:tcPr>
            <w:tcW w:w="6204" w:type="dxa"/>
            <w:vAlign w:val="bottom"/>
          </w:tcPr>
          <w:p w:rsidRPr="0004017E" w:rsidR="00AC5114" w:rsidP="0058411F" w:rsidRDefault="00F37E78" w14:paraId="5AE7EA9E" w14:textId="42A170EA">
            <w:pPr>
              <w:autoSpaceDE w:val="0"/>
              <w:autoSpaceDN w:val="0"/>
              <w:jc w:val="left"/>
            </w:pPr>
            <w:r w:rsidRPr="0004017E">
              <w:t>Agricoltura, sviluppo rurale e ambiente</w:t>
            </w:r>
          </w:p>
        </w:tc>
      </w:tr>
      <w:tr w:rsidRPr="0004017E" w:rsidR="00AC5114" w:rsidTr="00E15BF4" w14:paraId="53972E32" w14:textId="77777777">
        <w:tc>
          <w:tcPr>
            <w:tcW w:w="3085" w:type="dxa"/>
          </w:tcPr>
          <w:p w:rsidRPr="0004017E" w:rsidR="00AC5114" w:rsidP="0058411F" w:rsidRDefault="00AC5114" w14:paraId="13B33E83" w14:textId="77777777">
            <w:pPr>
              <w:autoSpaceDE w:val="0"/>
              <w:autoSpaceDN w:val="0"/>
              <w:jc w:val="left"/>
            </w:pPr>
            <w:r w:rsidRPr="0004017E">
              <w:t>Adozione in sezione</w:t>
            </w:r>
          </w:p>
        </w:tc>
        <w:tc>
          <w:tcPr>
            <w:tcW w:w="6204" w:type="dxa"/>
            <w:vAlign w:val="bottom"/>
          </w:tcPr>
          <w:p w:rsidRPr="0004017E" w:rsidR="00AC5114" w:rsidP="0058411F" w:rsidRDefault="00F37E78" w14:paraId="5E71ECD2" w14:textId="2C6684C3">
            <w:pPr>
              <w:autoSpaceDE w:val="0"/>
              <w:autoSpaceDN w:val="0"/>
              <w:jc w:val="left"/>
            </w:pPr>
            <w:r w:rsidRPr="0004017E">
              <w:t>12/3/2025</w:t>
            </w:r>
          </w:p>
        </w:tc>
      </w:tr>
      <w:tr w:rsidRPr="0004017E" w:rsidR="0058411F" w:rsidTr="00E15BF4" w14:paraId="7AE47B93" w14:textId="77777777">
        <w:tc>
          <w:tcPr>
            <w:tcW w:w="3085" w:type="dxa"/>
          </w:tcPr>
          <w:p w:rsidRPr="0004017E" w:rsidR="0058411F" w:rsidP="0058411F" w:rsidRDefault="0058411F" w14:paraId="26DE3092" w14:textId="2975B5A0">
            <w:pPr>
              <w:autoSpaceDE w:val="0"/>
              <w:autoSpaceDN w:val="0"/>
              <w:jc w:val="left"/>
            </w:pPr>
            <w:r w:rsidRPr="0004017E">
              <w:t>Adozione in sessione plenaria</w:t>
            </w:r>
          </w:p>
        </w:tc>
        <w:tc>
          <w:tcPr>
            <w:tcW w:w="6204" w:type="dxa"/>
            <w:vAlign w:val="bottom"/>
          </w:tcPr>
          <w:p w:rsidRPr="0004017E" w:rsidR="0058411F" w:rsidP="0058411F" w:rsidRDefault="00054592" w14:paraId="34FA2183" w14:textId="0E5B7D02">
            <w:pPr>
              <w:autoSpaceDE w:val="0"/>
              <w:autoSpaceDN w:val="0"/>
              <w:jc w:val="left"/>
            </w:pPr>
            <w:r w:rsidRPr="0004017E">
              <w:t>26/3/2025</w:t>
            </w:r>
          </w:p>
        </w:tc>
      </w:tr>
      <w:tr w:rsidRPr="0004017E" w:rsidR="0058411F" w:rsidTr="00E15BF4" w14:paraId="2FE8AE44" w14:textId="77777777">
        <w:tc>
          <w:tcPr>
            <w:tcW w:w="3085" w:type="dxa"/>
          </w:tcPr>
          <w:p w:rsidRPr="0004017E" w:rsidR="0058411F" w:rsidP="0058411F" w:rsidRDefault="0004017E" w14:paraId="2A65A034" w14:textId="0CBB7378">
            <w:pPr>
              <w:autoSpaceDE w:val="0"/>
              <w:autoSpaceDN w:val="0"/>
              <w:jc w:val="left"/>
            </w:pPr>
            <w:r w:rsidRPr="0004017E">
              <w:t>Sessione</w:t>
            </w:r>
            <w:r w:rsidRPr="0004017E" w:rsidR="0058411F">
              <w:t xml:space="preserve"> plenaria n.</w:t>
            </w:r>
          </w:p>
        </w:tc>
        <w:tc>
          <w:tcPr>
            <w:tcW w:w="6204" w:type="dxa"/>
            <w:vAlign w:val="bottom"/>
          </w:tcPr>
          <w:p w:rsidRPr="0004017E" w:rsidR="0058411F" w:rsidP="0058411F" w:rsidRDefault="00054592" w14:paraId="17BFB0A7" w14:textId="66D77005">
            <w:pPr>
              <w:autoSpaceDE w:val="0"/>
              <w:autoSpaceDN w:val="0"/>
              <w:jc w:val="left"/>
            </w:pPr>
            <w:r w:rsidRPr="0004017E">
              <w:t>595</w:t>
            </w:r>
          </w:p>
        </w:tc>
      </w:tr>
      <w:tr w:rsidRPr="0004017E" w:rsidR="0058411F" w:rsidTr="00E15BF4" w14:paraId="3889B17A" w14:textId="77777777">
        <w:tc>
          <w:tcPr>
            <w:tcW w:w="3085" w:type="dxa"/>
          </w:tcPr>
          <w:p w:rsidRPr="0004017E" w:rsidR="0058411F" w:rsidP="0058411F" w:rsidRDefault="0058411F" w14:paraId="0C723801" w14:textId="77777777">
            <w:pPr>
              <w:autoSpaceDE w:val="0"/>
              <w:autoSpaceDN w:val="0"/>
              <w:jc w:val="left"/>
            </w:pPr>
            <w:r w:rsidRPr="0004017E">
              <w:t xml:space="preserve">Esito della votazione </w:t>
            </w:r>
            <w:r w:rsidRPr="0004017E">
              <w:br/>
              <w:t>(favorevoli/contrari/astenuti)</w:t>
            </w:r>
          </w:p>
        </w:tc>
        <w:tc>
          <w:tcPr>
            <w:tcW w:w="6204" w:type="dxa"/>
            <w:vAlign w:val="bottom"/>
          </w:tcPr>
          <w:p w:rsidRPr="0004017E" w:rsidR="0058411F" w:rsidP="0058411F" w:rsidRDefault="00054592" w14:paraId="14DB34EA" w14:textId="748F6C11">
            <w:pPr>
              <w:autoSpaceDE w:val="0"/>
              <w:autoSpaceDN w:val="0"/>
              <w:jc w:val="left"/>
            </w:pPr>
            <w:r w:rsidRPr="0004017E">
              <w:t>214/2/3</w:t>
            </w:r>
          </w:p>
        </w:tc>
      </w:tr>
    </w:tbl>
    <w:p w:rsidRPr="0004017E" w:rsidR="00AC5114" w:rsidP="00574C9B" w:rsidRDefault="00AC5114" w14:paraId="156A5F34" w14:textId="77777777">
      <w:pPr>
        <w:rPr>
          <w:lang w:val="en-GB"/>
        </w:rPr>
      </w:pPr>
    </w:p>
    <w:p w:rsidRPr="0004017E" w:rsidR="00AC5114" w:rsidP="00574C9B" w:rsidRDefault="00AC5114" w14:paraId="2CD3051D" w14:textId="77777777">
      <w:pPr>
        <w:rPr>
          <w:lang w:val="en-GB"/>
        </w:rPr>
        <w:sectPr w:rsidRPr="0004017E" w:rsidR="00AC5114" w:rsidSect="00FD7D48">
          <w:headerReference w:type="even" r:id="rId14"/>
          <w:headerReference w:type="default" r:id="rId15"/>
          <w:footerReference w:type="default" r:id="rId16"/>
          <w:headerReference w:type="first" r:id="rId17"/>
          <w:pgSz w:w="11907" w:h="16839" w:code="9"/>
          <w:pgMar w:top="5669" w:right="1418" w:bottom="1418" w:left="1418" w:header="709" w:footer="709" w:gutter="0"/>
          <w:cols w:space="720"/>
          <w:docGrid w:linePitch="360"/>
        </w:sectPr>
      </w:pPr>
    </w:p>
    <w:p w:rsidRPr="0004017E" w:rsidR="00054592" w:rsidP="00054592" w:rsidRDefault="00054592" w14:paraId="5918D24D" w14:textId="77777777">
      <w:pPr>
        <w:keepNext/>
        <w:numPr>
          <w:ilvl w:val="0"/>
          <w:numId w:val="1"/>
        </w:numPr>
        <w:ind w:left="567" w:hanging="567"/>
        <w:outlineLvl w:val="0"/>
        <w:rPr>
          <w:b/>
          <w:kern w:val="28"/>
        </w:rPr>
      </w:pPr>
      <w:r w:rsidRPr="0004017E">
        <w:rPr>
          <w:b/>
        </w:rPr>
        <w:lastRenderedPageBreak/>
        <w:t>Introduzione</w:t>
      </w:r>
    </w:p>
    <w:p w:rsidRPr="0004017E" w:rsidR="00054592" w:rsidP="00054592" w:rsidRDefault="00054592" w14:paraId="2848B66E" w14:textId="77777777">
      <w:pPr>
        <w:rPr>
          <w:sz w:val="28"/>
          <w:szCs w:val="28"/>
          <w:lang w:val="en-GB"/>
        </w:rPr>
      </w:pPr>
    </w:p>
    <w:p w:rsidRPr="0004017E" w:rsidR="00054592" w:rsidP="00054592" w:rsidRDefault="00054592" w14:paraId="088B675E" w14:textId="104988B6">
      <w:pPr>
        <w:numPr>
          <w:ilvl w:val="1"/>
          <w:numId w:val="1"/>
        </w:numPr>
        <w:ind w:left="567" w:hanging="567"/>
        <w:outlineLvl w:val="1"/>
      </w:pPr>
      <w:r w:rsidRPr="0004017E">
        <w:t>La presente relazione di valutazione sull'attuazione della direttiva (UE) 2019/633, del 17 aprile 2019, in materia di pratiche commerciali sleali nei rapporti tra imprese nella filiera agricola e alimentare (nel prosieguo, la direttiva sulle pratiche commerciali sleali) nel periodo 2019-2024 rappresenta il contributo del CESE alla valutazione ex post di tale direttiva che la Commissione europea sta attualmente conducendo. La valutazione tiene conto degli obiettivi chiave della PAC 2023-2027, in particolare il miglioramento della competitività e della posizione negoziale dei produttori primari nella filiera affinché il loro reddito aumenti</w:t>
      </w:r>
      <w:r w:rsidRPr="0004017E">
        <w:rPr>
          <w:sz w:val="24"/>
          <w:vertAlign w:val="superscript"/>
          <w:lang w:val="en-GB"/>
        </w:rPr>
        <w:footnoteReference w:id="1"/>
      </w:r>
      <w:r w:rsidRPr="0004017E">
        <w:t xml:space="preserve">. La relazione di valutazione del CESE verte sulla raccolta e sull'analisi dei punti di vista </w:t>
      </w:r>
      <w:r w:rsidRPr="0004017E" w:rsidR="0004017E">
        <w:t>in merito al</w:t>
      </w:r>
      <w:r w:rsidRPr="0004017E">
        <w:t>l'attuazione della direttiva sulle pratiche sleali in alcuni Stati membri dell'UE selezionati a tal fine.</w:t>
      </w:r>
    </w:p>
    <w:p w:rsidRPr="007C3B4C" w:rsidR="00054592" w:rsidP="00054592" w:rsidRDefault="00054592" w14:paraId="6709269C" w14:textId="77777777">
      <w:pPr>
        <w:rPr>
          <w:sz w:val="28"/>
          <w:szCs w:val="28"/>
        </w:rPr>
      </w:pPr>
    </w:p>
    <w:p w:rsidRPr="0004017E" w:rsidR="00054592" w:rsidP="00054592" w:rsidRDefault="00054592" w14:paraId="651B27FB" w14:textId="77777777">
      <w:pPr>
        <w:numPr>
          <w:ilvl w:val="1"/>
          <w:numId w:val="1"/>
        </w:numPr>
        <w:ind w:left="567" w:hanging="567"/>
        <w:outlineLvl w:val="1"/>
      </w:pPr>
      <w:r w:rsidRPr="0004017E">
        <w:t>La direttiva (UE) 2019/633 sulle pratiche commerciali sleali è uno strumento giuridico volto a proteggere i fornitori di prodotti agricoli e alimentari dalle pratiche commerciali sleali che potrebbero essere messe in atto dagli acquirenti nella filiera alimentare. L'obiettivo generale della direttiva consiste nell'assicurare un trattamento più equo agli agricoltori e ai fornitori di piccole e medie dimensioni, nell'aumentare il loro potere contrattuale e nel migliorare il funzionamento del mercato interno. Le pratiche commerciali sleali rappresentano comportamenti che si discostano nettamente dalle buone pratiche commerciali, sono in contrasto con i principi di buona fede e correttezza, e sono imposte unilateralmente da un partner commerciale alla sua controparte. La direttiva sulle pratiche commerciali sleali definisce chiaramente 10 pratiche vietate (elencate in una "black list") e sei pratiche consentite ("grey list"), a condizione che siano preventivamente e chiaramente concordate dalle parti e che rispettino alcuni requisiti formali aggiuntivi.</w:t>
      </w:r>
    </w:p>
    <w:p w:rsidRPr="007C3B4C" w:rsidR="00054592" w:rsidP="00054592" w:rsidRDefault="00054592" w14:paraId="5DD9A4F1" w14:textId="77777777">
      <w:pPr>
        <w:rPr>
          <w:sz w:val="28"/>
          <w:szCs w:val="28"/>
        </w:rPr>
      </w:pPr>
    </w:p>
    <w:p w:rsidRPr="0004017E" w:rsidR="00054592" w:rsidP="00054592" w:rsidRDefault="00054592" w14:paraId="0199ACD0" w14:textId="77777777">
      <w:pPr>
        <w:numPr>
          <w:ilvl w:val="1"/>
          <w:numId w:val="1"/>
        </w:numPr>
        <w:ind w:left="567" w:hanging="567"/>
        <w:outlineLvl w:val="1"/>
      </w:pPr>
      <w:r w:rsidRPr="0004017E">
        <w:t>Conformemente alla metodologia di valutazione del CESE, la presente relazione è stata elaborata sulla base dei risultati ottenuti con missioni informative in presenza condotte in cinque Stati membri dell'UE (Bulgaria, Estonia, Germania, Ungheria e Slovenia) e di un questionario online inviato negli stessi paesi. Le normative nazionali di questi paesi presentano notevoli differenze per quanto riguarda i divieti che vanno al di là dell'ambito di applicazione della direttiva sulle pratiche commerciali sleali e della sfera dei rapporti tra imprese trattati. Un allegato tecnico alla presente relazione contiene informazioni dettagliate sui risultati del questionario online e sulle riunioni che si sono tenute con le parti interessate di questi Stati membri.</w:t>
      </w:r>
    </w:p>
    <w:p w:rsidRPr="007C3B4C" w:rsidR="00054592" w:rsidP="00054592" w:rsidRDefault="00054592" w14:paraId="7F875351" w14:textId="77777777">
      <w:pPr>
        <w:rPr>
          <w:sz w:val="28"/>
          <w:szCs w:val="28"/>
        </w:rPr>
      </w:pPr>
    </w:p>
    <w:p w:rsidRPr="0004017E" w:rsidR="00054592" w:rsidP="00054592" w:rsidRDefault="00054592" w14:paraId="05944DA1" w14:textId="77777777">
      <w:pPr>
        <w:numPr>
          <w:ilvl w:val="1"/>
          <w:numId w:val="1"/>
        </w:numPr>
        <w:ind w:left="567" w:hanging="567"/>
        <w:outlineLvl w:val="1"/>
      </w:pPr>
      <w:r w:rsidRPr="0004017E">
        <w:t>Al fine di completare la valutazione della Commissione europea, il CESE punta in particolare a valutare se la direttiva sulle pratiche commerciali sleali abbia modificato il potere contrattuale degli operatori più deboli della filiera alimentare, se abbia prodotto un equilibrio tra prevenzione e dissuasione delle pratiche commerciali sleali evitando oneri eccessivi, se abbia stabilito meccanismi di applicazione efficaci e proporzionati a livello nazionale, e se abbia contribuito a promuovere una cultura del dialogo e della cooperazione lungo la filiera agroalimentare dei paesi considerati.</w:t>
      </w:r>
    </w:p>
    <w:p w:rsidRPr="007C3B4C" w:rsidR="00054592" w:rsidP="00054592" w:rsidRDefault="00054592" w14:paraId="2572DA9A" w14:textId="77777777"/>
    <w:p w:rsidRPr="0004017E" w:rsidR="00054592" w:rsidP="00054592" w:rsidRDefault="00054592" w14:paraId="423919DD" w14:textId="77777777">
      <w:pPr>
        <w:keepNext/>
        <w:numPr>
          <w:ilvl w:val="0"/>
          <w:numId w:val="1"/>
        </w:numPr>
        <w:ind w:left="567" w:hanging="567"/>
        <w:outlineLvl w:val="0"/>
        <w:rPr>
          <w:b/>
          <w:kern w:val="28"/>
        </w:rPr>
      </w:pPr>
      <w:r w:rsidRPr="0004017E">
        <w:rPr>
          <w:b/>
        </w:rPr>
        <w:t>Conclusioni sull'efficacia</w:t>
      </w:r>
    </w:p>
    <w:p w:rsidRPr="0004017E" w:rsidR="00054592" w:rsidP="00054592" w:rsidRDefault="00054592" w14:paraId="23A21DE9" w14:textId="77777777">
      <w:pPr>
        <w:keepNext/>
        <w:ind w:left="142" w:hanging="142"/>
        <w:jc w:val="left"/>
        <w:rPr>
          <w:lang w:val="en-GB"/>
        </w:rPr>
      </w:pPr>
    </w:p>
    <w:p w:rsidRPr="0004017E" w:rsidR="00054592" w:rsidP="00054592" w:rsidRDefault="00054592" w14:paraId="1D623955" w14:textId="77777777">
      <w:pPr>
        <w:numPr>
          <w:ilvl w:val="1"/>
          <w:numId w:val="1"/>
        </w:numPr>
        <w:ind w:left="567" w:hanging="567"/>
        <w:outlineLvl w:val="1"/>
      </w:pPr>
      <w:r w:rsidRPr="0004017E">
        <w:t xml:space="preserve">Secondo le persone interpellate, la direttiva sulle pratiche commerciali sleali contribuisce in certa misura ad assicurare certezza del diritto e prevedibilità nelle questioni giuridiche. Il 43 % dei partecipanti al questionario online ritiene che la direttiva abbia contribuito efficacemente a questo obiettivo a livello dell'UE, mentre il 56 % ritiene che abbia contribuito a livello nazionale. Il 32 % degli interpellati ritiene la direttiva inefficace a livello dell'UE e il 41 % a livello nazionale. Il 22 % degli interpellati a livello dell'UE e il 3 % a livello nazionale hanno risposto "Non so". In particolare, l'approccio standardizzato e strutturato della direttiva sulle pratiche commerciali sleali è stato considerato positivo in termini di certezza del diritto. </w:t>
      </w:r>
    </w:p>
    <w:p w:rsidRPr="007C3B4C" w:rsidR="00054592" w:rsidP="00054592" w:rsidRDefault="00054592" w14:paraId="5C3E2282" w14:textId="77777777"/>
    <w:p w:rsidRPr="0004017E" w:rsidR="00054592" w:rsidP="00054592" w:rsidRDefault="00054592" w14:paraId="56BEAAA5" w14:textId="77777777">
      <w:pPr>
        <w:numPr>
          <w:ilvl w:val="1"/>
          <w:numId w:val="1"/>
        </w:numPr>
        <w:ind w:left="567" w:hanging="567"/>
        <w:outlineLvl w:val="1"/>
      </w:pPr>
      <w:r w:rsidRPr="0004017E">
        <w:t xml:space="preserve">Per quanto riguarda l'efficienza della filiera agroalimentare, chi ha risposto al questionario online ritiene che la direttiva sulle pratiche commerciali sleali – e specialmente la normativa nazionale di recepimento – non sia stata efficace nel proteggere e migliorare l'efficienza della filiera agroalimentare. Nessuno degli interpellati ritiene che la direttiva sulle pratiche commerciali sleali sia molto efficace nel proteggere e migliorare l'efficienza della filiera agroalimentare, e solo il 32 % degli interpellati ritiene che la direttiva sulle pratiche commerciali sleali sia moderatamente efficace sia a livello dell'UE che a livello nazionale. In Germania solo il 17 % degli interpellati ritiene che la direttiva sulle pratiche commerciali sleali sia efficace nel proteggere e migliorare l'efficienza della filiera agroalimentare. Il 35 % degli interpellati ritiene che sia inefficace a livello dell'UE e il 54 % a livello nazionale, mentre il 16 % ritiene che sia assolutamente inefficace a livello dell'UE e il 27 % ha espresso lo stesso parere per quanto riguarda il livello nazionale. Il 32 % degli interpellati a livello dell'UE e il 14 % a livello nazionale hanno risposto "Non so". </w:t>
      </w:r>
    </w:p>
    <w:p w:rsidRPr="007C3B4C" w:rsidR="00054592" w:rsidP="00054592" w:rsidRDefault="00054592" w14:paraId="6BA5587A" w14:textId="77777777"/>
    <w:p w:rsidRPr="0004017E" w:rsidR="00054592" w:rsidP="00054592" w:rsidRDefault="00054592" w14:paraId="414026AC" w14:textId="42DCF0C0">
      <w:pPr>
        <w:numPr>
          <w:ilvl w:val="1"/>
          <w:numId w:val="1"/>
        </w:numPr>
        <w:ind w:left="567" w:hanging="567"/>
        <w:outlineLvl w:val="1"/>
      </w:pPr>
      <w:r w:rsidRPr="0004017E">
        <w:t xml:space="preserve">Per quanto riguarda il miglioramento della situazione </w:t>
      </w:r>
      <w:r w:rsidRPr="0004017E" w:rsidR="0004017E">
        <w:t>socio-economica</w:t>
      </w:r>
      <w:r w:rsidRPr="0004017E">
        <w:t xml:space="preserve"> dei produttori agricoli primari, le persone che hanno risposto al questionario online ritengono che la direttiva sulle pratiche commerciali sleali sia piuttosto inefficace. Soltanto il 25 % degli interpellati ritiene che la direttiva sia efficace a livello dell'UE, e solo il 38 % a livello nazionale. Se si analizzano le risposte con una ripartizione per paese, per il 75 % degli interpellati in Slovenia, il 67 % in Germania, il 63 % in Estonia, il 50 % in Bulgaria e il 43 % in Ungheria la direttiva sulle pratiche commerciali sleali non è stata generalmente efficace nel migliorare la situazione </w:t>
      </w:r>
      <w:r w:rsidRPr="0004017E" w:rsidR="0004017E">
        <w:t>socio-economica</w:t>
      </w:r>
      <w:r w:rsidRPr="0004017E">
        <w:t xml:space="preserve"> dei produttori agricoli primari. Anche se la normativa nazionale di recepimento varata in Slovenia, Germania, Estonia e Ungheria introduce norme ben più rigorose contro le pratiche commerciali sleali per quanto riguarda le organizzazioni soggette a tali norme e l'elenco delle pratiche vietate, è in Bulgaria che la direttiva è stata recepita in modo quasi letterale ed è in questo paese che – subito dopo l'Ungheria, che si posiziona al primo posto – si sono registrati gli effetti più positivi per la situazione </w:t>
      </w:r>
      <w:r w:rsidRPr="0004017E" w:rsidR="0004017E">
        <w:t>socio-economica</w:t>
      </w:r>
      <w:r w:rsidRPr="0004017E">
        <w:t xml:space="preserve"> degli agricoltori. Sono state espresse alcune valutazioni critiche </w:t>
      </w:r>
      <w:r w:rsidRPr="0004017E" w:rsidR="0004017E">
        <w:t>in merito alla</w:t>
      </w:r>
      <w:r w:rsidRPr="0004017E">
        <w:t xml:space="preserve"> situazione dei piccoli agricoltori. Sebbene siano più consapevoli dei loro diritti, gli squilibri nel potere di mercato rimangono la loro principale preoccupazione (EE). Malgrado l'aspirazione a instaurare un dialogo autentico tra tutte le parti interessate della filiera agroalimentare, la direttiva non ha prodotto alcun cambiamento nel potere contrattuale degli agricoltori (SI). </w:t>
      </w:r>
    </w:p>
    <w:p w:rsidRPr="007C3B4C" w:rsidR="00054592" w:rsidP="00054592" w:rsidRDefault="00054592" w14:paraId="5518731E" w14:textId="77777777"/>
    <w:p w:rsidRPr="0004017E" w:rsidR="00054592" w:rsidP="00054592" w:rsidRDefault="00054592" w14:paraId="26052F8D" w14:textId="77777777">
      <w:pPr>
        <w:numPr>
          <w:ilvl w:val="1"/>
          <w:numId w:val="1"/>
        </w:numPr>
        <w:ind w:left="567" w:hanging="567"/>
        <w:outlineLvl w:val="1"/>
      </w:pPr>
      <w:r w:rsidRPr="0004017E">
        <w:t xml:space="preserve">In particolare, è stata considerata problematica la normativa nazionale in materia di pratiche commerciali sleali che protegge anche i grandi operatori del settore della trasformazione agroalimentare, in quanto è improbabile che queste imprese trasmettano i benefici derivanti dalla normativa ai loro fornitori diretti e indiretti e, sostanzialmente, ai produttori agricoli primari di piccole o medie dimensioni. Per tale motivo, gli interpellati ritengono che la concentrazione del potere di mercato negli operatori del settore della trasformazione agroalimentare sia un fattore che potrebbe avere un'incidenza negativa sull'efficacia della direttiva in materia di pratiche commerciali sleali. D'altro canto, gli operatori di dimensioni minori godono di un potere di mercato notevolmente inferiore e possono aver bisogno di una protezione normativa. Altri hanno criticato l'impatto disomogeneo della direttiva sulle pratiche commerciali sleali che favorirebbe le grandi imprese. </w:t>
      </w:r>
    </w:p>
    <w:p w:rsidRPr="007C3B4C" w:rsidR="00054592" w:rsidP="00054592" w:rsidRDefault="00054592" w14:paraId="2FFDEC0C" w14:textId="77777777"/>
    <w:p w:rsidRPr="0004017E" w:rsidR="00054592" w:rsidP="00054592" w:rsidRDefault="00054592" w14:paraId="3B554833" w14:textId="77777777">
      <w:pPr>
        <w:numPr>
          <w:ilvl w:val="1"/>
          <w:numId w:val="1"/>
        </w:numPr>
        <w:ind w:left="567" w:hanging="567"/>
        <w:outlineLvl w:val="1"/>
      </w:pPr>
      <w:r w:rsidRPr="0004017E">
        <w:t>La ciclicità delle attività agricole e le difficoltà generate dalle flessioni dell'economia sono state additate come fattori chiave che incidono sull'efficacia della direttiva (HU). Sono state richieste norme aggiuntive per tener conto delle situazioni in cui la carenza di materie prime impedisce il rispetto degli accordi di filiera, con la conseguenza di rischi e oneri oltremisura per i produttori.</w:t>
      </w:r>
    </w:p>
    <w:p w:rsidRPr="007C3B4C" w:rsidR="00054592" w:rsidP="00054592" w:rsidRDefault="00054592" w14:paraId="51BF9D13" w14:textId="77777777"/>
    <w:p w:rsidRPr="0004017E" w:rsidR="00054592" w:rsidP="00054592" w:rsidRDefault="00054592" w14:paraId="3EF9C5DB" w14:textId="77777777">
      <w:pPr>
        <w:numPr>
          <w:ilvl w:val="1"/>
          <w:numId w:val="1"/>
        </w:numPr>
        <w:ind w:left="567" w:hanging="567"/>
        <w:outlineLvl w:val="1"/>
      </w:pPr>
      <w:r w:rsidRPr="0004017E">
        <w:t xml:space="preserve">Secondo gli interpellati (59 %), la parte più efficace della direttiva riguarda la designazione di autorità competenti in materia e i poteri loro conferiti. Per contro, la maggior parte dei partecipanti considera inefficaci i meccanismi per le denunce anonime messi a disposizione, oppure non è in grado di fornire una risposta al riguardo. </w:t>
      </w:r>
    </w:p>
    <w:p w:rsidRPr="007C3B4C" w:rsidR="00054592" w:rsidP="00054592" w:rsidRDefault="00054592" w14:paraId="0F28483D" w14:textId="77777777"/>
    <w:p w:rsidRPr="0004017E" w:rsidR="00054592" w:rsidP="00054592" w:rsidRDefault="00054592" w14:paraId="1768124C" w14:textId="77777777">
      <w:pPr>
        <w:numPr>
          <w:ilvl w:val="1"/>
          <w:numId w:val="1"/>
        </w:numPr>
        <w:ind w:left="567" w:hanging="567"/>
        <w:outlineLvl w:val="1"/>
      </w:pPr>
      <w:r w:rsidRPr="0004017E">
        <w:rPr>
          <w:color w:val="000000"/>
        </w:rPr>
        <w:t xml:space="preserve">Nella maggior parte dei paesi il timore di ritorsioni è stato indicato come un ostacolo significativo alla segnalazione delle pratiche commerciali sleali. </w:t>
      </w:r>
      <w:r w:rsidRPr="0004017E">
        <w:t>La maggioranza dei partecipanti al questionario online (56 %) è del parere che le procedure di denuncia messe a disposizione siano accessibili ed efficaci, mentre il 35 % ha espresso un parere contrario e l'8 % ha risposto "Non so".</w:t>
      </w:r>
    </w:p>
    <w:p w:rsidRPr="007C3B4C" w:rsidR="00054592" w:rsidP="00054592" w:rsidRDefault="00054592" w14:paraId="0E92A1B0" w14:textId="77777777"/>
    <w:p w:rsidRPr="0004017E" w:rsidR="00054592" w:rsidP="00054592" w:rsidRDefault="00054592" w14:paraId="2A5199A2" w14:textId="77777777">
      <w:pPr>
        <w:numPr>
          <w:ilvl w:val="1"/>
          <w:numId w:val="1"/>
        </w:numPr>
        <w:ind w:left="567" w:hanging="567"/>
        <w:outlineLvl w:val="1"/>
      </w:pPr>
      <w:r w:rsidRPr="0004017E">
        <w:t xml:space="preserve">Per quanto riguarda la disponibilità di meccanismi per le denunce anonime, il quadro generale non è chiaro. Il 46 % dei partecipanti al questionario online ritiene che la direttiva sulle pratiche commerciali sleali sia adeguata e la sua attuazione efficace, mentre il 41 % ha espresso un parere contrario e il 14 % ha scelto di rispondere "Non so". In Bulgaria (33 %) e in Estonia (26 %) solo una minoranza degli interpellati ritiene che la segnalazione anonima delle pratiche commerciali sleali abbia efficacia, mentre la maggior parte degli interpellati in Bulgaria (66 %) e una nutrita minoranza in Estonia (38 %) ha espresso un parere contrario. Il 71 % degli interpellati in Ungheria e il 50 % in Germania e Slovenia ritengono che la segnalazione anonima delle pratiche commerciali sleali sia efficace, mentre è stato espresso parere contrario dal 29 % degli interpellati in Ungheria, dal 41 % in Germania e dal 25 % in Slovenia. Durante le missioni conoscitive in loco si è spesso fatto menzione dei meccanismi per le denunce anonime e del timore di ritorsioni. In particolare è stato sottolineato il timore che, sebbene la denuncia sia anonima, l'identità del fornitore che ha sporto denuncia potrebbe venir rivelata lungo l'iter della procedura. Per quanto riguarda la Bulgaria, è stato fatto presente che, pur esistendo canali per le segnalazioni anonime, c'è (o si percepisce) il rischio che l'identità del denunciante venga prima o poi rivelata, in modo ufficiale o ufficioso, con la conseguenza di ritorsioni nei suoi confronti. </w:t>
      </w:r>
    </w:p>
    <w:p w:rsidRPr="007C3B4C" w:rsidR="00054592" w:rsidP="00054592" w:rsidRDefault="00054592" w14:paraId="177F9446" w14:textId="77777777"/>
    <w:p w:rsidRPr="0004017E" w:rsidR="00054592" w:rsidP="00054592" w:rsidRDefault="00054592" w14:paraId="146812A8" w14:textId="77777777">
      <w:pPr>
        <w:numPr>
          <w:ilvl w:val="1"/>
          <w:numId w:val="1"/>
        </w:numPr>
        <w:ind w:left="567" w:hanging="567"/>
        <w:outlineLvl w:val="1"/>
      </w:pPr>
      <w:r w:rsidRPr="0004017E">
        <w:t xml:space="preserve">Solo il 27 % dei partecipanti al questionario online ritiene che le sanzioni per la violazione delle norme sulle pratiche commerciali sleali siano efficaci, mentre il 49 % è di parere contrario e il 24 % ha scelto di rispondere "Non so". In Estonia solo il 13 % dei partecipanti ritiene che le sanzioni per la violazione delle norme sulle pratiche commerciali sleali siano efficaci, e sono dello stesso parere il 17 % dei partecipanti in Germania e il 25 % in Slovenia. Segue la Bulgaria con il 33 %. L'Ungheria è l'unico paese in cui la maggior parte dei partecipanti al questionario online (57 %) ritiene che le sanzioni contro le pratiche commerciali sleali siano efficaci, e questo parere positivo è stato confermato nella missione conoscitiva in loco. Tuttavia, per quanto riguarda la Germania, durante la missione conoscitiva in loco è emerso che la legislazione antimonopolistica tedesca contiene già disposizioni per tenere conto della maggior parte delle situazioni attualmente disciplinate, in modo parallelo, dalla normativa tedesca che recepisce la direttiva sulle pratiche commerciali sleali. </w:t>
      </w:r>
    </w:p>
    <w:p w:rsidRPr="007C3B4C" w:rsidR="00054592" w:rsidP="00054592" w:rsidRDefault="00054592" w14:paraId="77A0669C" w14:textId="77777777"/>
    <w:p w:rsidRPr="0004017E" w:rsidR="00054592" w:rsidP="00054592" w:rsidRDefault="00054592" w14:paraId="5F8D559F" w14:textId="77777777">
      <w:pPr>
        <w:numPr>
          <w:ilvl w:val="1"/>
          <w:numId w:val="1"/>
        </w:numPr>
        <w:ind w:left="567" w:hanging="567"/>
        <w:outlineLvl w:val="1"/>
      </w:pPr>
      <w:r w:rsidRPr="0004017E">
        <w:t>Per quanto riguarda la risoluzione alternativa delle controversie, è emerso un certo scetticismo. Solo il 22 % dei partecipanti al questionario online ritiene efficaci i meccanismi alternativi di risoluzione delle controversie messi a disposizione, mentre la maggior parte dei partecipanti (52 %) ha espresso un parere contrario e il 27 % ha scelto di rispondere "Non so". In Bulgaria i pareri sono polarizzati: la metà degli interpellati ritiene che i meccanismi alternativi di risoluzione delle controversie siano efficaci, mentre l'altra metà è di parere contrario. In Slovenia, il 25 % degli interpellati ritiene che la risoluzione alternativa delle controversie sia efficace, mentre il 25 % è del parere opposto e il 50 % ha scelto di rispondere "Non so". In Estonia nessuno degli interpellati considera efficace la risoluzione alternativa delle controversie, e identico giudizio a tal riguardo è stato espresso dal 58 % degli interpellati in Germania e dal 57 % in Ungheria.</w:t>
      </w:r>
    </w:p>
    <w:p w:rsidRPr="007C3B4C" w:rsidR="00054592" w:rsidP="00054592" w:rsidRDefault="00054592" w14:paraId="4C1AA4C7" w14:textId="77777777"/>
    <w:p w:rsidRPr="0004017E" w:rsidR="00054592" w:rsidP="00054592" w:rsidRDefault="00054592" w14:paraId="35305556" w14:textId="77777777">
      <w:pPr>
        <w:numPr>
          <w:ilvl w:val="1"/>
          <w:numId w:val="1"/>
        </w:numPr>
        <w:ind w:left="567" w:hanging="567"/>
        <w:outlineLvl w:val="1"/>
        <w:rPr>
          <w:iCs/>
        </w:rPr>
      </w:pPr>
      <w:r w:rsidRPr="0004017E">
        <w:t xml:space="preserve">L'89 % degli interpellati sa qual è la propria autorità nazionale di contrasto, come contattarla per sporgervi denuncia e quali meccanismi sono previsti per proteggere la riservatezza delle informazioni trasmesse. In Bulgaria alcuni fornitori hanno affermato di incontrare difficoltà nell'individuare la loro principale autorità di contrasto, nel contattare le autorità e le persone competenti, e nel rimanere informati sui diritti dei diversi operatori economici lungo la filiera agroalimentare. </w:t>
      </w:r>
    </w:p>
    <w:p w:rsidRPr="007C3B4C" w:rsidR="00054592" w:rsidP="00054592" w:rsidRDefault="00054592" w14:paraId="1A46A56D" w14:textId="77777777">
      <w:pPr>
        <w:ind w:left="567"/>
        <w:outlineLvl w:val="1"/>
      </w:pPr>
    </w:p>
    <w:p w:rsidRPr="0004017E" w:rsidR="00054592" w:rsidP="00054592" w:rsidRDefault="00054592" w14:paraId="234510A1" w14:textId="77777777">
      <w:pPr>
        <w:ind w:left="567"/>
        <w:outlineLvl w:val="1"/>
      </w:pPr>
      <w:r w:rsidRPr="0004017E">
        <w:t>Sono state proposte idee per migliorare i regimi nazionali di applicazione, in particolare assicurando maggiori risorse e poteri alle autorità di contrasto, più tutele in materia di riservatezza anche in rapporto ai meccanismi per le denunce anonime, una maggiore specializzazione degli organismi preposti all'applicazione della legge, sanzioni più severe, proattività nell'esecuzione della normativa da parte delle autorità pubbliche e nel suo monitoraggio, la formazione del personale delle autorità di contrasto e degli operatori del mercato, nonché campagne informative che non consistano semplicemente nel porre l'accento sui divieti ma includano anche informazioni sulle buone pratiche.</w:t>
      </w:r>
    </w:p>
    <w:p w:rsidRPr="007C3B4C" w:rsidR="00054592" w:rsidP="00054592" w:rsidRDefault="00054592" w14:paraId="2B9BB5A6" w14:textId="77777777"/>
    <w:p w:rsidRPr="0004017E" w:rsidR="00054592" w:rsidP="00054592" w:rsidRDefault="00054592" w14:paraId="0F946DE2" w14:textId="77777777">
      <w:pPr>
        <w:numPr>
          <w:ilvl w:val="1"/>
          <w:numId w:val="1"/>
        </w:numPr>
        <w:ind w:left="567" w:hanging="567"/>
        <w:outlineLvl w:val="1"/>
      </w:pPr>
      <w:r w:rsidRPr="0004017E">
        <w:t xml:space="preserve">Per la domanda se la legislazione abbia raggiunto un buon equilibrio tra prevenzione e dissuasione delle pratiche commerciali sleali e se abbia evitato oneri e costi amministrativi eccessivi, le risposte ricevute sono state eterogenee, il che dimostra chiaramente quanto sia difficile creare una legislazione in materia di pratiche commerciali sleali che sia ben equilibrata. Il 22 % degli interpellati ritiene che la legislazione sia equilibrata e riesca quindi a prevenire le pratiche commerciali sleali e a evitare oneri eccessivi, il 35 % reputa che sia troppo permissiva e consenta troppe pratiche commerciali sleali, mentre per il 30 % degli interpellati la legislazione impone oneri eccessivi e non riesce a evitare l'insorgere dei problemi principali. È degno di nota il fatto che, malgrado l'introduzione di ulteriori divieti e norme e l'allargamento dell'ambito di applicazione per le normative adottate in Slovenia e in Estonia, gli interpellati di questi due paesi hanno espresso una valutazione identica sulla loro normativa nazionale e sulla direttiva in materia di pratiche commerciali sleali. In particolare, per quanto riguarda la Slovenia, la metà degli interpellati ha espresso un parere critico, perché reputa che l'ambito di applicazione della legislazione in materia non sia sufficientemente ampio e che occorra vietare o regolamentare un numero maggiore di pratiche commerciali sleali. Allo stesso tempo, queste persone ritengono che la legislazione vigente sia già eccessivamente costosa e onerosa. Per quanto riguarda l'estensione della protezione in modo da tutelare un numero maggiore di fornitori, gli approcci proposti sono contrastanti. Mentre le persone interpellate in Ungheria e in Germania sono favorevoli a proteggere un numero maggiore di fornitori, gli interpellati in Estonia, la cui legislazione tutela già tutti i fornitori indipendentemente dalle loro dimensioni, sono nettamente favorevoli a escludere i grandi operatori del settore della trasformazione agroalimentare dall'ambito di applicazione della legislazione sulle pratiche commerciali sleali. A loro avviso, le grandi imprese di trasformazione alimentare non dovrebbero trarne beneficio, in quanto ne risulterebbe un aumento delle disuguaglianze di mercato a scapito degli operatori più piccoli. Se la regolamentazione nazionale è applicabile ai fornitori di ogni dimensione, si ostacola la parità di trattamento. Durante le missioni conoscitive in loco, tale questione è stata sollevata sia dalle persone intervistate in Ungheria che dai rappresentanti delle autorità tedesche. Un esempio di allargamento eccessivo dell'ambito di applicazione originario della direttiva è stato evidenziato durante la missione in Germania, in quanto il divieto di restituire i prodotti agricoli e alimentari invenduti, che nella direttiva figurava nella "grey list", nella regolamentazione nazionale è stato spostato nella "black list". Gli operatori del mercato hanno osservato che questo inserimento in una "black list" ostacola modelli commerciali efficienti che avvantaggerebbero anche i fornitori. </w:t>
      </w:r>
    </w:p>
    <w:p w:rsidRPr="007C3B4C" w:rsidR="00054592" w:rsidP="00054592" w:rsidRDefault="00054592" w14:paraId="4C484301" w14:textId="77777777"/>
    <w:p w:rsidRPr="0004017E" w:rsidR="00054592" w:rsidP="00054592" w:rsidRDefault="00054592" w14:paraId="0B3F5748" w14:textId="77777777">
      <w:pPr>
        <w:keepNext/>
        <w:keepLines/>
        <w:numPr>
          <w:ilvl w:val="0"/>
          <w:numId w:val="1"/>
        </w:numPr>
        <w:ind w:left="567" w:hanging="567"/>
        <w:outlineLvl w:val="0"/>
        <w:rPr>
          <w:b/>
          <w:kern w:val="28"/>
        </w:rPr>
      </w:pPr>
      <w:r w:rsidRPr="0004017E">
        <w:rPr>
          <w:b/>
        </w:rPr>
        <w:t>Conclusioni sulla pertinenza</w:t>
      </w:r>
    </w:p>
    <w:p w:rsidRPr="0004017E" w:rsidR="00054592" w:rsidP="00054592" w:rsidRDefault="00054592" w14:paraId="18041770" w14:textId="77777777">
      <w:pPr>
        <w:keepNext/>
        <w:rPr>
          <w:lang w:val="en-GB"/>
        </w:rPr>
      </w:pPr>
    </w:p>
    <w:p w:rsidRPr="0004017E" w:rsidR="00054592" w:rsidP="00054592" w:rsidRDefault="00054592" w14:paraId="7003D297" w14:textId="68ACC22B">
      <w:pPr>
        <w:numPr>
          <w:ilvl w:val="1"/>
          <w:numId w:val="1"/>
        </w:numPr>
        <w:ind w:left="567" w:hanging="567"/>
        <w:outlineLvl w:val="1"/>
      </w:pPr>
      <w:r w:rsidRPr="0004017E">
        <w:t xml:space="preserve">La direttiva è considerata altamente pertinente nel contesto della politica in materia di concorrenza, in quanto assicura una concorrenza leale nel mercato unico (secondo il 71 % degli interpellati). Per quanto riguarda la creazione di condizioni di parità al fine di assicurare una concorrenza leale nel mercato unico, le critiche formulate vertono sulle differenze tra le legislazioni nazionali e sui problemi che ne derivano per la parità di trattamento e gli scambi commerciali tra gli Stati membri. Tali critiche sono state formulate nella risposta alla domanda </w:t>
      </w:r>
      <w:r w:rsidRPr="0004017E" w:rsidR="0004017E">
        <w:t>6a</w:t>
      </w:r>
      <w:r w:rsidRPr="0004017E">
        <w:t xml:space="preserve"> data da un interpellato ungherese. Lo stesso problema è stato menzionato da persone interpellate in Estonia e dai rappresentanti delle autorità tedesche in altri contesti. Il giudizio sulla pertinenza della direttiva con la questione della sovranità alimentare dell'UE e le esigenze dei consumatori è stato meno positivo, dato che oltre la metà degli interpellati (59 %) considera la direttiva "non molto pertinente" o "per nulla pertinente". È stato rilevato un contrasto tra – da un lato – l'aumento dei prezzi dei prodotti alimentati e – dall'altro – il mantenimento di prezzi accessibili per i consumatori, in un contesto in cui occorre tenere conto anche dei costi per la sostenibilità e delle pressioni esercitate dai dettaglianti sui prezzi dei prodotti (HU, SI, EE, BG). Si tratta di un aspetto particolarmente importante per mantenere bassi i tassi di inflazione, specialmente per le fasce economicamente più svantaggiate della popolazione dell'UE.</w:t>
      </w:r>
    </w:p>
    <w:p w:rsidRPr="007C3B4C" w:rsidR="00054592" w:rsidP="00054592" w:rsidRDefault="00054592" w14:paraId="5DB2DFD1" w14:textId="77777777">
      <w:pPr>
        <w:pBdr>
          <w:top w:val="nil"/>
          <w:left w:val="nil"/>
          <w:bottom w:val="nil"/>
          <w:right w:val="nil"/>
          <w:between w:val="nil"/>
        </w:pBdr>
      </w:pPr>
    </w:p>
    <w:p w:rsidRPr="0004017E" w:rsidR="00054592" w:rsidP="00054592" w:rsidRDefault="00054592" w14:paraId="32414399" w14:textId="77777777">
      <w:pPr>
        <w:numPr>
          <w:ilvl w:val="1"/>
          <w:numId w:val="1"/>
        </w:numPr>
        <w:ind w:left="567" w:hanging="567"/>
        <w:outlineLvl w:val="1"/>
      </w:pPr>
      <w:r w:rsidRPr="0004017E">
        <w:t>Per quanto riguarda il sostegno all'economia rurale e ai piccoli produttori, la direttiva ha il potenziale per preservare le economie rurali e assicurare ai piccoli produttori un accesso più equo al mercato contrastando le pratiche commerciali sleali (HU, EE). Essa fornisce un quadro stabile per le PMI, garantendo condizioni di pagamento più favorevoli e una pianificazione finanziaria migliore (HU). Ciononostante, durante le missioni conoscitive in loco i portatori di interessi hanno spiegato che, per i piccoli produttori agricoli, la pertinenza della direttiva è limitata, in quanto di solito essi non hanno contratti diretti con i dettaglianti. Dal punto di vista dei piccoli produttori agricoli, la direttiva sulle pratiche commerciali sleali ha migliorato le condizioni di pagamento e, quindi, la sicurezza e la stabilità sul piano finanziario. La fissazione del prezzo di vendita dei prodotti continua però a rappresentare un problema. La costituzione di cooperative e l'eliminazione degli ostacoli giuridici alla loro creazione – ad esempio, certe politiche fiscali in Bulgaria – sono considerate un rimedio efficace che non richiede l'applicazione della direttiva sulle pratiche commerciali sleali. Questa soluzione può aiutare i piccoli produttori a diventare più efficienti – ossia, a beneficiare di efficienze di scala – e a soddisfare le richieste dei rivenditori riguardanti i disciplinari di produzione. Si è anche discusso dell'equità nei meccanismi di fissazione dei prezzi e dell'aumento della trasparenza negli obblighi contrattuali sotto la supervisione di organismi nazionali o di un organismo dell'UE. In questo modo verrebbe messo un freno ai prodotti alimentari offerti in vendita con ampi sconti o a un prezzo inferiore a quello equo, evitando quindi che i produttori agricoli primari siano costretti a vendere sottocosto. Inoltre, la traslazione dei costi connessi a una produzione più sostenibile rappresenta un problema per i piccoli produttori agricoli primari: mentre i loro costi di produzione aumentano, il prezzo di vendita che ottengono rimane invariato o addirittura cala.</w:t>
      </w:r>
    </w:p>
    <w:p w:rsidRPr="007C3B4C" w:rsidR="00054592" w:rsidP="00054592" w:rsidRDefault="00054592" w14:paraId="0CCB02ED" w14:textId="77777777"/>
    <w:p w:rsidRPr="0004017E" w:rsidR="00054592" w:rsidP="00054592" w:rsidRDefault="00054592" w14:paraId="633BF65E" w14:textId="77777777">
      <w:pPr>
        <w:numPr>
          <w:ilvl w:val="1"/>
          <w:numId w:val="1"/>
        </w:numPr>
        <w:ind w:left="567" w:hanging="567"/>
        <w:outlineLvl w:val="1"/>
      </w:pPr>
      <w:r w:rsidRPr="0004017E">
        <w:t>La prevenzione dei ritardi di pagamento per le merci deperibili (81 %) e le modifiche contrattuali unilaterali sono state indicate come le pratiche incluse nella "black list" per le quali la direttiva mostra la massima pertinenza. Le critiche formulate nel corso delle missioni conoscitive riguardavano i termini di pagamento considerati ancora troppo lunghi, specialmente nel caso delle merci che devono essere vendute entro due</w:t>
      </w:r>
      <w:r w:rsidRPr="0004017E">
        <w:noBreakHyphen/>
        <w:t>quattro giorni. Le persone interpellate hanno contestato la "grey list", che permetterebbe pratiche negoziate in modo sleale, e hanno proposto di eliminarla e di stabilire definizioni più rigorose delle pratiche regolamentate (DE, EE, HU, SI). Tra le proposte figurano anche il divieto di praticare prezzi sottocosto e l'introduzione di clausole generali che rendano impossibile eludere le norme.</w:t>
      </w:r>
    </w:p>
    <w:p w:rsidRPr="007C3B4C" w:rsidR="00054592" w:rsidP="00054592" w:rsidRDefault="00054592" w14:paraId="0E675DCD" w14:textId="77777777"/>
    <w:p w:rsidRPr="0004017E" w:rsidR="00054592" w:rsidP="00054592" w:rsidRDefault="00054592" w14:paraId="2E86394C" w14:textId="77777777">
      <w:pPr>
        <w:numPr>
          <w:ilvl w:val="1"/>
          <w:numId w:val="1"/>
        </w:numPr>
        <w:ind w:left="567" w:hanging="567"/>
        <w:outlineLvl w:val="1"/>
      </w:pPr>
      <w:r w:rsidRPr="0004017E">
        <w:t>La maggior parte degli interpellati (54 %) ritiene che la direttiva sulle pratiche commerciali sleali sia pertinente per la politica di concorrenza nel settore agricolo e per la promozione del benessere dei consumatori, mentre il 36 % è di parere contrario e il 4 % ha risposto "Non so". Durante le missioni conoscitive in loco sono stati discussi gli obiettivi – in contrasto tra loro – di migliorare i redditi degli agricoltori e di mantenere accessibili i prezzi al consumo applicati nei supermercati. L'esistenza di questo contrasto indica che gli incrementi di efficienza lungo la filiera alimentare non vengono trasferiti da un anello all'altro. Rimane una sfida superare il contrasto esistente tra un'adeguata remunerazione dei produttori, la mancanza di un effetto a cascata (</w:t>
      </w:r>
      <w:r w:rsidRPr="0004017E">
        <w:rPr>
          <w:i/>
        </w:rPr>
        <w:t>trickle-down</w:t>
      </w:r>
      <w:r w:rsidRPr="0004017E">
        <w:t xml:space="preserve">) tra gli anelli intermedi e la sensibilità dei consumatori al prezzo finale di vendita. </w:t>
      </w:r>
    </w:p>
    <w:p w:rsidRPr="007C3B4C" w:rsidR="00054592" w:rsidP="00054592" w:rsidRDefault="00054592" w14:paraId="6E50D872" w14:textId="77777777">
      <w:pPr>
        <w:ind w:left="567"/>
        <w:outlineLvl w:val="1"/>
      </w:pPr>
    </w:p>
    <w:p w:rsidRPr="0004017E" w:rsidR="00054592" w:rsidP="00054592" w:rsidRDefault="00054592" w14:paraId="2E8C8454" w14:textId="77777777">
      <w:pPr>
        <w:ind w:left="567"/>
        <w:outlineLvl w:val="1"/>
      </w:pPr>
      <w:r w:rsidRPr="0004017E">
        <w:t>Poiché i consumatori sono sensibili agli aumenti di prezzo e sono disposti a pagare di più (solo) per prodotti di qualità migliore, è necessario fornire informazioni affidabili e complete sui prodotti offerti.</w:t>
      </w:r>
    </w:p>
    <w:p w:rsidRPr="007C3B4C" w:rsidR="00054592" w:rsidP="00054592" w:rsidRDefault="00054592" w14:paraId="5FBD482E" w14:textId="77777777"/>
    <w:p w:rsidRPr="0004017E" w:rsidR="00054592" w:rsidP="00054592" w:rsidRDefault="00054592" w14:paraId="7B86F95B" w14:textId="77777777">
      <w:pPr>
        <w:numPr>
          <w:ilvl w:val="1"/>
          <w:numId w:val="1"/>
        </w:numPr>
        <w:ind w:left="567" w:hanging="567"/>
        <w:outlineLvl w:val="1"/>
      </w:pPr>
      <w:r w:rsidRPr="0004017E">
        <w:t>Per quanto riguarda l'ambito attuale di applicazione della direttiva, solo il 24 % degli interpellati ritiene che sia adeguato. È stato vivamente raccomandato di ampliarlo per contrastare la concentrazione del potere di mercato, di migliorare gli orientamenti e di introdurre obblighi contrattuali chiari (DE). L'idea che certe pratiche possano essere incluse in una "white list" è stata osteggiata, per timore di un uso scorretto di questo elenco e per la sua complessità, dovendosi invece privilegiare un'effettiva applicazione della normativa e protezioni più estese; tuttavia, le pratiche da inserire in una "white list" possono creare opportunità per trasferire i benefici della produzione sostenibile dal rivenditore al dettaglio all'agricoltore, oppure per siglare accordi che prevedano scaffali dedicati ai prodotti locali nei punti vendita, stabilendo chiare norme del tipo "safe harbour" dal punto di vista del diritto antitrust. Si tratta di buone pratiche che andrebbero promosse (HU) inserendole in una "white list".</w:t>
      </w:r>
    </w:p>
    <w:p w:rsidRPr="007C3B4C" w:rsidR="00054592" w:rsidP="00054592" w:rsidRDefault="00054592" w14:paraId="04190070" w14:textId="77777777"/>
    <w:p w:rsidRPr="0004017E" w:rsidR="00054592" w:rsidP="00054592" w:rsidRDefault="00054592" w14:paraId="4E327D36" w14:textId="77777777">
      <w:pPr>
        <w:keepNext/>
        <w:keepLines/>
        <w:numPr>
          <w:ilvl w:val="0"/>
          <w:numId w:val="1"/>
        </w:numPr>
        <w:ind w:left="567" w:hanging="567"/>
        <w:jc w:val="left"/>
        <w:outlineLvl w:val="0"/>
        <w:rPr>
          <w:b/>
          <w:kern w:val="28"/>
        </w:rPr>
      </w:pPr>
      <w:r w:rsidRPr="0004017E">
        <w:rPr>
          <w:b/>
        </w:rPr>
        <w:t>Conclusioni sul coinvolgimento della società civile</w:t>
      </w:r>
    </w:p>
    <w:p w:rsidRPr="007C3B4C" w:rsidR="00054592" w:rsidP="00054592" w:rsidRDefault="00054592" w14:paraId="01FA6720" w14:textId="77777777">
      <w:pPr>
        <w:keepNext/>
        <w:keepLines/>
        <w:jc w:val="left"/>
        <w:outlineLvl w:val="0"/>
        <w:rPr>
          <w:kern w:val="28"/>
        </w:rPr>
      </w:pPr>
    </w:p>
    <w:p w:rsidRPr="0004017E" w:rsidR="00054592" w:rsidP="00054592" w:rsidRDefault="00054592" w14:paraId="7E52D651" w14:textId="77777777">
      <w:pPr>
        <w:numPr>
          <w:ilvl w:val="1"/>
          <w:numId w:val="1"/>
        </w:numPr>
        <w:ind w:left="567" w:hanging="567"/>
        <w:outlineLvl w:val="1"/>
      </w:pPr>
      <w:r w:rsidRPr="0004017E">
        <w:t>Per tutte e tre le attività considerate (elaborazione, attuazione, monitoraggio), in media la metà dei partecipanti (51 %) ritiene che i gruppi destinatari delle norme e le organizzazioni della società civile siano stati "quasi per niente" o "per niente" consultati. La società civile può svolgere un ruolo cruciale sensibilizzando i cittadini, fornendo informazioni e sollecitando riforme che vengano incontro alle preoccupazioni dei piccoli produttori e dei consumatori (SI).</w:t>
      </w:r>
    </w:p>
    <w:p w:rsidRPr="007C3B4C" w:rsidR="00054592" w:rsidP="00054592" w:rsidRDefault="00054592" w14:paraId="4AF4DB43" w14:textId="77777777"/>
    <w:p w:rsidRPr="0004017E" w:rsidR="00054592" w:rsidP="00054592" w:rsidRDefault="00054592" w14:paraId="2E8C713B" w14:textId="77777777">
      <w:pPr>
        <w:numPr>
          <w:ilvl w:val="1"/>
          <w:numId w:val="1"/>
        </w:numPr>
        <w:ind w:left="567" w:hanging="567"/>
        <w:outlineLvl w:val="1"/>
      </w:pPr>
      <w:r w:rsidRPr="0004017E">
        <w:t xml:space="preserve">È stato chiesto di intensificare le attività per la formazione dei cittadini, il dialogo aperto e il coinvolgimento (HU); si ritiene inoltre che siano necessarie maggiori attività di formazione e sensibilizzazione, e che i fornitori abbiano bisogno di aiuto per calcolare prezzi equi per i prodotti messi in vendita, in modo da evitare retribuzioni inadeguate (SI). È stato posto l'accento sull'assenza di organizzazioni dei consumatori dotate di forza negoziale e sul fatto che le organizzazioni della società civile hanno scarsa conoscenza delle strutture per la fissazione dei prezzi e delle pratiche commerciali sleali (EE); si osserva inoltre una carenza di personale qualificato nel settore del commercio di alimenti (SI). Malgrado le campagne di sensibilizzazione, il timore di ritorsioni ha impedito ai soggetti interessati di far valere i loro diritti (BG). </w:t>
      </w:r>
    </w:p>
    <w:p w:rsidRPr="007C3B4C" w:rsidR="00054592" w:rsidP="00054592" w:rsidRDefault="00054592" w14:paraId="5CE0C0BE" w14:textId="77777777"/>
    <w:p w:rsidRPr="0004017E" w:rsidR="00054592" w:rsidP="00054592" w:rsidRDefault="00054592" w14:paraId="354F30D6" w14:textId="77777777">
      <w:pPr>
        <w:numPr>
          <w:ilvl w:val="1"/>
          <w:numId w:val="1"/>
        </w:numPr>
        <w:ind w:left="567" w:hanging="567"/>
        <w:outlineLvl w:val="1"/>
      </w:pPr>
      <w:r w:rsidRPr="0004017E">
        <w:t>Durante le missioni conoscitive in loco, in diverse occasioni è stato formulato l'invito a istituire forum tesi a favorire il dialogo sia a livello nazionale che a livello dell'UE. Bisognerebbe promuovere il dialogo e mettere in evidenza esempi di buone pratiche (DE, SI, EE). È stata proposta l'istituzione obbligatoria di forum per le parti interessate che vertano sull'equità nella filiera agroalimentare (HU). Una questione sollevata frequentemente è stata la necessità di coinvolgere la società civile nelle discussioni riguardanti gli atti normativi, il loro sviluppo e la loro attuazione.</w:t>
      </w:r>
    </w:p>
    <w:p w:rsidRPr="007C3B4C" w:rsidR="00054592" w:rsidP="00054592" w:rsidRDefault="00054592" w14:paraId="3A11463A" w14:textId="77777777"/>
    <w:p w:rsidRPr="0004017E" w:rsidR="00054592" w:rsidP="00054592" w:rsidRDefault="00054592" w14:paraId="43BFF9A9" w14:textId="77777777">
      <w:pPr>
        <w:keepNext/>
        <w:keepLines/>
        <w:numPr>
          <w:ilvl w:val="0"/>
          <w:numId w:val="1"/>
        </w:numPr>
        <w:ind w:left="567" w:hanging="567"/>
        <w:outlineLvl w:val="0"/>
        <w:rPr>
          <w:b/>
          <w:kern w:val="28"/>
        </w:rPr>
      </w:pPr>
      <w:r w:rsidRPr="0004017E">
        <w:rPr>
          <w:b/>
        </w:rPr>
        <w:t>Raccomandazioni:</w:t>
      </w:r>
    </w:p>
    <w:p w:rsidRPr="0004017E" w:rsidR="00054592" w:rsidP="00054592" w:rsidRDefault="00054592" w14:paraId="36D99306" w14:textId="77777777">
      <w:pPr>
        <w:keepNext/>
        <w:rPr>
          <w:lang w:val="en-GB"/>
        </w:rPr>
      </w:pPr>
    </w:p>
    <w:p w:rsidRPr="0004017E" w:rsidR="00054592" w:rsidP="00054592" w:rsidRDefault="00054592" w14:paraId="53EA23B9" w14:textId="77777777">
      <w:pPr>
        <w:numPr>
          <w:ilvl w:val="1"/>
          <w:numId w:val="1"/>
        </w:numPr>
        <w:ind w:left="567" w:hanging="567"/>
        <w:outlineLvl w:val="1"/>
      </w:pPr>
      <w:r w:rsidRPr="0004017E">
        <w:t>potenziare i meccanismi di applicazione a livello dell'UE per assicurare una maggiore certezza del diritto, condizioni di parità in tutta l'UE e tutele rafforzate specificamente destinate ai soggetti più deboli della filiera agroalimentare;</w:t>
      </w:r>
    </w:p>
    <w:p w:rsidRPr="007C3B4C" w:rsidR="00054592" w:rsidP="00054592" w:rsidRDefault="00054592" w14:paraId="5869422D" w14:textId="77777777"/>
    <w:p w:rsidRPr="0004017E" w:rsidR="00054592" w:rsidP="00054592" w:rsidRDefault="00054592" w14:paraId="591CAD9C" w14:textId="77777777">
      <w:pPr>
        <w:numPr>
          <w:ilvl w:val="1"/>
          <w:numId w:val="1"/>
        </w:numPr>
        <w:ind w:left="567" w:hanging="567"/>
        <w:outlineLvl w:val="1"/>
      </w:pPr>
      <w:r w:rsidRPr="0004017E">
        <w:t>adoperarsi per armonizzare l'applicazione della direttiva in modo che sia adeguata al mercato unico;</w:t>
      </w:r>
    </w:p>
    <w:p w:rsidRPr="007C3B4C" w:rsidR="00054592" w:rsidP="00054592" w:rsidRDefault="00054592" w14:paraId="3C3D1DC7" w14:textId="77777777"/>
    <w:p w:rsidRPr="0004017E" w:rsidR="00054592" w:rsidP="00054592" w:rsidRDefault="00054592" w14:paraId="0FAC288C" w14:textId="77777777">
      <w:pPr>
        <w:numPr>
          <w:ilvl w:val="1"/>
          <w:numId w:val="1"/>
        </w:numPr>
        <w:ind w:left="567" w:hanging="567"/>
        <w:outlineLvl w:val="1"/>
      </w:pPr>
      <w:r w:rsidRPr="0004017E">
        <w:t>promuovere sistemi alimentari sostenibili incoraggiando le parti interessate ad assumersi l'impegno di fornire ai consumatori alimenti sicuri, a prezzi accessibili e di qualità;</w:t>
      </w:r>
    </w:p>
    <w:p w:rsidRPr="007C3B4C" w:rsidR="00054592" w:rsidP="00054592" w:rsidRDefault="00054592" w14:paraId="5A9C40C0" w14:textId="77777777"/>
    <w:p w:rsidRPr="0004017E" w:rsidR="00054592" w:rsidP="00054592" w:rsidRDefault="00054592" w14:paraId="376CE0F0" w14:textId="77777777">
      <w:pPr>
        <w:numPr>
          <w:ilvl w:val="1"/>
          <w:numId w:val="1"/>
        </w:numPr>
        <w:ind w:left="567" w:hanging="567"/>
        <w:outlineLvl w:val="1"/>
      </w:pPr>
      <w:r w:rsidRPr="0004017E">
        <w:t>garantire che i costi dello sviluppo sostenibile siano ripartiti tra tutte le parti interessate, compresi i consumatori, al fine di costruire un sistema più equo;</w:t>
      </w:r>
    </w:p>
    <w:p w:rsidRPr="007C3B4C" w:rsidR="00054592" w:rsidP="00054592" w:rsidRDefault="00054592" w14:paraId="66FE3333" w14:textId="77777777"/>
    <w:p w:rsidRPr="0004017E" w:rsidR="00054592" w:rsidP="00054592" w:rsidRDefault="00054592" w14:paraId="40FF0777" w14:textId="77777777">
      <w:pPr>
        <w:numPr>
          <w:ilvl w:val="1"/>
          <w:numId w:val="1"/>
        </w:numPr>
        <w:ind w:left="567" w:hanging="567"/>
        <w:outlineLvl w:val="1"/>
      </w:pPr>
      <w:r w:rsidRPr="0004017E">
        <w:t>affrontare sfide quali la volatilità dei prezzi, le carenze stagionali e gli oneri amministrativi migliorando la gestione dei rischi e il sostegno fornito ai produttori;</w:t>
      </w:r>
    </w:p>
    <w:p w:rsidRPr="007C3B4C" w:rsidR="00054592" w:rsidP="00054592" w:rsidRDefault="00054592" w14:paraId="12CE3534" w14:textId="77777777"/>
    <w:p w:rsidRPr="0004017E" w:rsidR="00054592" w:rsidP="00054592" w:rsidRDefault="00054592" w14:paraId="0BDBBE9F" w14:textId="77777777">
      <w:pPr>
        <w:numPr>
          <w:ilvl w:val="1"/>
          <w:numId w:val="1"/>
        </w:numPr>
        <w:ind w:left="567" w:hanging="567"/>
        <w:outlineLvl w:val="1"/>
      </w:pPr>
      <w:r w:rsidRPr="0004017E">
        <w:t>ampliare le tutele per i produttori, anche prevedendo divieti più rigorosi riguardo alle spese logistiche, agli sconti non comunicati e ai bonus sulle vendite;</w:t>
      </w:r>
    </w:p>
    <w:p w:rsidRPr="007C3B4C" w:rsidR="00054592" w:rsidP="00054592" w:rsidRDefault="00054592" w14:paraId="082C8C1E" w14:textId="77777777"/>
    <w:p w:rsidRPr="0004017E" w:rsidR="00054592" w:rsidP="00054592" w:rsidRDefault="00054592" w14:paraId="300810C6" w14:textId="77777777">
      <w:pPr>
        <w:numPr>
          <w:ilvl w:val="1"/>
          <w:numId w:val="1"/>
        </w:numPr>
        <w:ind w:left="567" w:hanging="567"/>
        <w:outlineLvl w:val="1"/>
      </w:pPr>
      <w:r w:rsidRPr="0004017E">
        <w:t>rafforzare le misure volte a preservare le piccole aziende agricole, incoraggiandole a modernizzarsi e a essere efficienti e sostenibili nella filiera alimentare;</w:t>
      </w:r>
    </w:p>
    <w:p w:rsidRPr="007C3B4C" w:rsidR="00054592" w:rsidP="00054592" w:rsidRDefault="00054592" w14:paraId="40784669" w14:textId="77777777"/>
    <w:p w:rsidRPr="0004017E" w:rsidR="00054592" w:rsidP="00054592" w:rsidRDefault="00054592" w14:paraId="6131F2C0" w14:textId="77777777">
      <w:pPr>
        <w:numPr>
          <w:ilvl w:val="1"/>
          <w:numId w:val="1"/>
        </w:numPr>
        <w:ind w:left="567" w:hanging="567"/>
        <w:outlineLvl w:val="1"/>
      </w:pPr>
      <w:r w:rsidRPr="0004017E">
        <w:t xml:space="preserve">migliorare le campagne di informazione affinché le parti interessate siano consapevoli dei loro diritti e obblighi, delle procedure a loro tutela e delle modalità operative delle autorità; </w:t>
      </w:r>
    </w:p>
    <w:p w:rsidRPr="007C3B4C" w:rsidR="00054592" w:rsidP="00054592" w:rsidRDefault="00054592" w14:paraId="543A89F6" w14:textId="77777777"/>
    <w:p w:rsidRPr="0004017E" w:rsidR="00054592" w:rsidP="00054592" w:rsidRDefault="00054592" w14:paraId="64CB96E1" w14:textId="77777777">
      <w:pPr>
        <w:numPr>
          <w:ilvl w:val="1"/>
          <w:numId w:val="1"/>
        </w:numPr>
        <w:ind w:left="567" w:hanging="567"/>
        <w:outlineLvl w:val="1"/>
      </w:pPr>
      <w:r w:rsidRPr="0004017E">
        <w:t>applicare sanzioni adeguate per le violazioni commesse, al fine di garantire che la direttiva abbia un effetto deterrente e faccia aumentare l'osservanza delle disposizioni;</w:t>
      </w:r>
    </w:p>
    <w:p w:rsidRPr="007C3B4C" w:rsidR="00054592" w:rsidP="00054592" w:rsidRDefault="00054592" w14:paraId="716820E2" w14:textId="77777777"/>
    <w:p w:rsidRPr="0004017E" w:rsidR="00054592" w:rsidP="00054592" w:rsidRDefault="00054592" w14:paraId="42C27490" w14:textId="77777777">
      <w:pPr>
        <w:numPr>
          <w:ilvl w:val="1"/>
          <w:numId w:val="1"/>
        </w:numPr>
        <w:ind w:left="567" w:hanging="567"/>
        <w:outlineLvl w:val="1"/>
      </w:pPr>
      <w:r w:rsidRPr="0004017E">
        <w:t>istituire un portale a livello dell'UE per la segnalazione delle pratiche commerciali sleali, in modo da tenere conto dei timori di ritorsioni e migliorare i meccanismi di denuncia;</w:t>
      </w:r>
    </w:p>
    <w:p w:rsidRPr="007C3B4C" w:rsidR="00054592" w:rsidP="00054592" w:rsidRDefault="00054592" w14:paraId="38FE98E5" w14:textId="77777777"/>
    <w:p w:rsidRPr="0004017E" w:rsidR="00054592" w:rsidP="00054592" w:rsidRDefault="00054592" w14:paraId="1A3C6834" w14:textId="77777777">
      <w:pPr>
        <w:numPr>
          <w:ilvl w:val="1"/>
          <w:numId w:val="1"/>
        </w:numPr>
        <w:ind w:left="567" w:hanging="567"/>
        <w:outlineLvl w:val="1"/>
      </w:pPr>
      <w:r w:rsidRPr="0004017E">
        <w:t>istituire forum a livello sia nazionale che dell'UE per favorire il dialogo e la collaborazione tra le parti interessate della filiera alimentare; la creazione del Comitato europeo per l'agricoltura e l'alimentazione quale seguito del franco confronto avviato con il dialogo strategico sul futuro dell'agricoltura nell'UE rappresenta un passo in avanti significativo;</w:t>
      </w:r>
    </w:p>
    <w:p w:rsidRPr="007C3B4C" w:rsidR="00054592" w:rsidP="00054592" w:rsidRDefault="00054592" w14:paraId="1A7652A8" w14:textId="77777777"/>
    <w:p w:rsidRPr="0004017E" w:rsidR="00054592" w:rsidP="00054592" w:rsidRDefault="00054592" w14:paraId="484DC09C" w14:textId="77777777">
      <w:pPr>
        <w:numPr>
          <w:ilvl w:val="1"/>
          <w:numId w:val="1"/>
        </w:numPr>
        <w:ind w:left="567" w:hanging="567"/>
        <w:outlineLvl w:val="1"/>
      </w:pPr>
      <w:r w:rsidRPr="0004017E">
        <w:t>sostenere e promuovere la messa in atto delle conclusioni del dialogo strategico;</w:t>
      </w:r>
    </w:p>
    <w:p w:rsidRPr="007C3B4C" w:rsidR="00054592" w:rsidP="00054592" w:rsidRDefault="00054592" w14:paraId="69E308BF" w14:textId="77777777"/>
    <w:p w:rsidRPr="0004017E" w:rsidR="00054592" w:rsidP="00054592" w:rsidRDefault="00054592" w14:paraId="45D36CB1" w14:textId="77777777">
      <w:pPr>
        <w:numPr>
          <w:ilvl w:val="1"/>
          <w:numId w:val="1"/>
        </w:numPr>
        <w:ind w:left="567" w:hanging="567"/>
        <w:outlineLvl w:val="1"/>
      </w:pPr>
      <w:r w:rsidRPr="0004017E">
        <w:t>appoggiare gli sforzi a favore di una maggiore trasparenza dei prezzi e considerare lo studio della DG Agricoltura e sviluppo rurale sulla remunerazione degli agricoltori come un punto di partenza comune, al fine di garantire che i lavori successivi siano condotti utilizzando una base di dati comune;</w:t>
      </w:r>
    </w:p>
    <w:p w:rsidRPr="007C3B4C" w:rsidR="00054592" w:rsidP="00054592" w:rsidRDefault="00054592" w14:paraId="5AFD8BF4" w14:textId="77777777"/>
    <w:p w:rsidRPr="0004017E" w:rsidR="00054592" w:rsidP="00054592" w:rsidRDefault="00054592" w14:paraId="4BEEFEAF" w14:textId="77777777">
      <w:pPr>
        <w:numPr>
          <w:ilvl w:val="1"/>
          <w:numId w:val="1"/>
        </w:numPr>
        <w:ind w:left="567" w:hanging="567"/>
        <w:outlineLvl w:val="1"/>
      </w:pPr>
      <w:r w:rsidRPr="0004017E">
        <w:t>incoraggiare la Commissione a presentare il suo progetto di revisione del regolamento relativo alla fornitura di informazioni sugli alimenti ai consumatori, migliorando le informazioni sull'origine dei prodotti per aumentare la tracciabilità;</w:t>
      </w:r>
    </w:p>
    <w:p w:rsidRPr="007C3B4C" w:rsidR="00054592" w:rsidP="00054592" w:rsidRDefault="00054592" w14:paraId="2AAD60C2" w14:textId="77777777"/>
    <w:p w:rsidRPr="0004017E" w:rsidR="00054592" w:rsidP="00054592" w:rsidRDefault="00054592" w14:paraId="5865BC81" w14:textId="77777777">
      <w:pPr>
        <w:numPr>
          <w:ilvl w:val="1"/>
          <w:numId w:val="1"/>
        </w:numPr>
        <w:ind w:left="567" w:hanging="567"/>
        <w:outlineLvl w:val="1"/>
      </w:pPr>
      <w:r w:rsidRPr="0004017E">
        <w:t>invitare gli Stati membri ad applicare la misura di differenziazione prevista nella direttiva, al fine di rafforzare la posizione degli operatori che ne hanno realmente bisogno;</w:t>
      </w:r>
    </w:p>
    <w:p w:rsidRPr="007C3B4C" w:rsidR="00054592" w:rsidP="00054592" w:rsidRDefault="00054592" w14:paraId="51FD8C62" w14:textId="77777777"/>
    <w:p w:rsidRPr="0004017E" w:rsidR="00054592" w:rsidP="00054592" w:rsidRDefault="00054592" w14:paraId="06FF7E8C" w14:textId="77777777">
      <w:pPr>
        <w:numPr>
          <w:ilvl w:val="1"/>
          <w:numId w:val="1"/>
        </w:numPr>
        <w:ind w:left="567" w:hanging="567"/>
        <w:outlineLvl w:val="1"/>
      </w:pPr>
      <w:r w:rsidRPr="0004017E">
        <w:t>valutare l'ambito di applicazione della direttiva; per contrastare gli squilibri di potere nel mercato, promuovere l'efficienza lungo la filiera e garantire l'equità nei rapporti con i fornitori, anche con un'adeguata ripartizione dei rischi e dei profitti; far aumentare l'osservanza dei divieti riguardanti determinate pratiche per proteggere efficacemente tutti i partecipanti al mercato.</w:t>
      </w:r>
    </w:p>
    <w:p w:rsidRPr="007C3B4C" w:rsidR="00EF1C31" w:rsidP="00EA0944" w:rsidRDefault="00EF1C31" w14:paraId="4D3F36CA" w14:textId="77777777">
      <w:pPr>
        <w:overflowPunct w:val="0"/>
        <w:autoSpaceDE w:val="0"/>
        <w:autoSpaceDN w:val="0"/>
        <w:adjustRightInd w:val="0"/>
        <w:textAlignment w:val="baseline"/>
      </w:pPr>
    </w:p>
    <w:p w:rsidRPr="0004017E" w:rsidR="009F3486" w:rsidP="009F3486" w:rsidRDefault="009F3486" w14:paraId="390DA777" w14:textId="133F2B38">
      <w:r w:rsidRPr="0004017E">
        <w:t>Bruxelles, 2</w:t>
      </w:r>
      <w:r w:rsidR="004B3EFD">
        <w:t>6</w:t>
      </w:r>
      <w:r w:rsidRPr="0004017E">
        <w:t xml:space="preserve"> marzo 2025</w:t>
      </w:r>
    </w:p>
    <w:p w:rsidRPr="007C3B4C" w:rsidR="009F3486" w:rsidP="009F3486" w:rsidRDefault="009F3486" w14:paraId="79FECF8E" w14:textId="5CB04697"/>
    <w:p w:rsidRPr="007C3B4C" w:rsidR="006A4143" w:rsidP="009F3486" w:rsidRDefault="006A4143" w14:paraId="7190F2CF" w14:textId="77777777"/>
    <w:p w:rsidRPr="007C3B4C" w:rsidR="009F3486" w:rsidP="009F3486" w:rsidRDefault="009F3486" w14:paraId="3F6D7C70" w14:textId="77777777"/>
    <w:p w:rsidRPr="0004017E" w:rsidR="009F3486" w:rsidP="00EA0944" w:rsidRDefault="009F3486" w14:paraId="6BEFBEC4" w14:textId="29A33432">
      <w:pPr>
        <w:jc w:val="left"/>
        <w:rPr>
          <w:i/>
          <w:iCs/>
        </w:rPr>
      </w:pPr>
      <w:r w:rsidRPr="0004017E">
        <w:rPr>
          <w:i/>
        </w:rPr>
        <w:t>Il Presidente del Comitato economico e sociale europeo</w:t>
      </w:r>
    </w:p>
    <w:p w:rsidRPr="0004017E" w:rsidR="00D72198" w:rsidP="00EA0944" w:rsidRDefault="00054592" w14:paraId="1660F356" w14:textId="2524FA71">
      <w:r w:rsidRPr="0004017E">
        <w:t xml:space="preserve">Oliver RÖPKE </w:t>
      </w:r>
    </w:p>
    <w:p w:rsidR="0004017E" w:rsidP="00DB7F50" w:rsidRDefault="0004017E" w14:paraId="5D0A58F9" w14:textId="77777777">
      <w:pPr>
        <w:jc w:val="center"/>
      </w:pPr>
    </w:p>
    <w:p w:rsidRPr="0004017E" w:rsidR="00F53370" w:rsidP="00DB7F50" w:rsidRDefault="00E2376B" w14:paraId="6BABC1C7" w14:textId="3437D59B">
      <w:pPr>
        <w:jc w:val="center"/>
      </w:pPr>
      <w:r w:rsidRPr="0004017E">
        <w:t>_____________</w:t>
      </w:r>
    </w:p>
    <w:sectPr w:rsidRPr="0004017E" w:rsidR="00F53370" w:rsidSect="001E74A1">
      <w:headerReference w:type="even" r:id="rId18"/>
      <w:headerReference w:type="default" r:id="rId19"/>
      <w:footerReference w:type="default" r:id="rId20"/>
      <w:headerReference w:type="first" r:id="rId21"/>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6997" w14:textId="77777777" w:rsidR="00337567" w:rsidRDefault="00337567" w:rsidP="00F53370">
      <w:pPr>
        <w:spacing w:line="240" w:lineRule="auto"/>
      </w:pPr>
      <w:r>
        <w:separator/>
      </w:r>
    </w:p>
  </w:endnote>
  <w:endnote w:type="continuationSeparator" w:id="0">
    <w:p w14:paraId="49778081" w14:textId="77777777" w:rsidR="00337567" w:rsidRDefault="0033756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217E" w14:textId="7A10B019" w:rsidR="0084105C" w:rsidRPr="003065C9" w:rsidRDefault="00FD7D48" w:rsidP="00FD7D48">
    <w:pPr>
      <w:pStyle w:val="Footer"/>
      <w:jc w:val="left"/>
    </w:pPr>
    <w:r>
      <w:t>NAT/930 – EESC-2024-02156-00-0</w:t>
    </w:r>
    <w:r w:rsidR="007C3B4C">
      <w:t>2</w:t>
    </w:r>
    <w:r>
      <w:t xml:space="preserve">-RE-TRA (EN) </w:t>
    </w:r>
    <w:r>
      <w:fldChar w:fldCharType="begin"/>
    </w:r>
    <w:r>
      <w:instrText xml:space="preserve"> PAGE  \* Arabic  \* MERGEFORMAT </w:instrText>
    </w:r>
    <w:r>
      <w:fldChar w:fldCharType="separate"/>
    </w:r>
    <w:r>
      <w:t>7</w:t>
    </w:r>
    <w:r>
      <w:fldChar w:fldCharType="end"/>
    </w:r>
    <w:r>
      <w:t>/</w:t>
    </w:r>
    <w:r>
      <w:fldChar w:fldCharType="begin"/>
    </w:r>
    <w:r>
      <w:instrText xml:space="preserve"> = </w:instrText>
    </w:r>
    <w:r w:rsidR="005D0226">
      <w:fldChar w:fldCharType="begin"/>
    </w:r>
    <w:r w:rsidR="005D0226">
      <w:instrText xml:space="preserve"> NUMPAGES </w:instrText>
    </w:r>
    <w:r w:rsidR="005D0226">
      <w:fldChar w:fldCharType="separate"/>
    </w:r>
    <w:r w:rsidR="005C5324">
      <w:rPr>
        <w:noProof/>
      </w:rPr>
      <w:instrText>11</w:instrText>
    </w:r>
    <w:r w:rsidR="005D0226">
      <w:rPr>
        <w:noProof/>
      </w:rPr>
      <w:fldChar w:fldCharType="end"/>
    </w:r>
    <w:r>
      <w:instrText xml:space="preserve"> - 2 </w:instrText>
    </w:r>
    <w:r>
      <w:fldChar w:fldCharType="separate"/>
    </w:r>
    <w:r w:rsidR="005C5324">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BE0" w14:textId="77777777" w:rsidR="00337567" w:rsidRDefault="00337567" w:rsidP="00F53370">
      <w:pPr>
        <w:spacing w:line="240" w:lineRule="auto"/>
      </w:pPr>
      <w:r>
        <w:separator/>
      </w:r>
    </w:p>
  </w:footnote>
  <w:footnote w:type="continuationSeparator" w:id="0">
    <w:p w14:paraId="77FC8FD7" w14:textId="77777777" w:rsidR="00337567" w:rsidRDefault="00337567" w:rsidP="00F53370">
      <w:pPr>
        <w:spacing w:line="240" w:lineRule="auto"/>
      </w:pPr>
      <w:r>
        <w:continuationSeparator/>
      </w:r>
    </w:p>
  </w:footnote>
  <w:footnote w:id="1">
    <w:p w14:paraId="271A9EC4" w14:textId="77777777" w:rsidR="00054592" w:rsidRDefault="00054592" w:rsidP="0004017E">
      <w:pPr>
        <w:pStyle w:val="FootnoteText"/>
        <w:spacing w:after="120"/>
      </w:pPr>
      <w:r>
        <w:rPr>
          <w:rStyle w:val="FootnoteReference"/>
        </w:rPr>
        <w:footnoteRef/>
      </w:r>
      <w:r>
        <w:tab/>
        <w:t xml:space="preserve">Cfr. i </w:t>
      </w:r>
      <w:hyperlink r:id="rId1" w:history="1">
        <w:r>
          <w:rPr>
            <w:rStyle w:val="Hyperlink"/>
          </w:rPr>
          <w:t>principali obiettivi strategici della PAC 2023-2027</w:t>
        </w:r>
      </w:hyperlink>
      <w:r>
        <w:t>, Commissione europea.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5D0226">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73EE6D7D" w:rsidR="00574C9B" w:rsidRDefault="00847D6D">
    <w:pPr>
      <w:pStyle w:val="Header"/>
    </w:pPr>
    <w:r>
      <w:rPr>
        <w:noProof/>
      </w:rPr>
      <w:drawing>
        <wp:anchor distT="0" distB="0" distL="114300" distR="114300" simplePos="0" relativeHeight="251676672" behindDoc="0" locked="0" layoutInCell="1" allowOverlap="1" wp14:anchorId="38597DBD" wp14:editId="3C73E74A">
          <wp:simplePos x="0" y="0"/>
          <wp:positionH relativeFrom="page">
            <wp:posOffset>358775</wp:posOffset>
          </wp:positionH>
          <wp:positionV relativeFrom="page">
            <wp:posOffset>281940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910"/>
                  </a:xfrm>
                  <a:prstGeom prst="rect">
                    <a:avLst/>
                  </a:prstGeom>
                </pic:spPr>
              </pic:pic>
            </a:graphicData>
          </a:graphic>
          <wp14:sizeRelH relativeFrom="margin">
            <wp14:pctWidth>0</wp14:pctWidth>
          </wp14:sizeRelH>
          <wp14:sizeRelV relativeFrom="margin">
            <wp14:pctHeight>0</wp14:pctHeight>
          </wp14:sizeRelV>
        </wp:anchor>
      </w:drawing>
    </w:r>
    <w:r w:rsidR="005D0226">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5D0226">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5D0226">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5D0226">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D224B4">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5D0226">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5D0226">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5D0226">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5D0226">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20389"/>
    <w:rsid w:val="00030E2A"/>
    <w:rsid w:val="0004017E"/>
    <w:rsid w:val="00053D00"/>
    <w:rsid w:val="00054592"/>
    <w:rsid w:val="000A0F3B"/>
    <w:rsid w:val="001534B1"/>
    <w:rsid w:val="0019231D"/>
    <w:rsid w:val="001955B6"/>
    <w:rsid w:val="001D61AC"/>
    <w:rsid w:val="001E15AA"/>
    <w:rsid w:val="001E3FA1"/>
    <w:rsid w:val="00200E87"/>
    <w:rsid w:val="00206D14"/>
    <w:rsid w:val="00214BDC"/>
    <w:rsid w:val="00215E81"/>
    <w:rsid w:val="0024727F"/>
    <w:rsid w:val="002B6A7B"/>
    <w:rsid w:val="002F03F9"/>
    <w:rsid w:val="003353D7"/>
    <w:rsid w:val="00337567"/>
    <w:rsid w:val="003567D4"/>
    <w:rsid w:val="003659F9"/>
    <w:rsid w:val="003D3052"/>
    <w:rsid w:val="003E6B2A"/>
    <w:rsid w:val="00401DE5"/>
    <w:rsid w:val="00447758"/>
    <w:rsid w:val="00452CAF"/>
    <w:rsid w:val="004871B8"/>
    <w:rsid w:val="004B3EFD"/>
    <w:rsid w:val="00574C9B"/>
    <w:rsid w:val="005820E9"/>
    <w:rsid w:val="0058411F"/>
    <w:rsid w:val="005C5324"/>
    <w:rsid w:val="005D0226"/>
    <w:rsid w:val="005E2695"/>
    <w:rsid w:val="006125A1"/>
    <w:rsid w:val="00627409"/>
    <w:rsid w:val="00653E7D"/>
    <w:rsid w:val="00662207"/>
    <w:rsid w:val="00667F09"/>
    <w:rsid w:val="006A4143"/>
    <w:rsid w:val="006B57A6"/>
    <w:rsid w:val="006D53A6"/>
    <w:rsid w:val="0072545A"/>
    <w:rsid w:val="00751339"/>
    <w:rsid w:val="00787837"/>
    <w:rsid w:val="00787ABB"/>
    <w:rsid w:val="007B6C64"/>
    <w:rsid w:val="007C3B4C"/>
    <w:rsid w:val="00822952"/>
    <w:rsid w:val="00836505"/>
    <w:rsid w:val="00844B87"/>
    <w:rsid w:val="00847D6D"/>
    <w:rsid w:val="00870584"/>
    <w:rsid w:val="0089251B"/>
    <w:rsid w:val="008A6DD4"/>
    <w:rsid w:val="008A7731"/>
    <w:rsid w:val="008C725F"/>
    <w:rsid w:val="008F74D7"/>
    <w:rsid w:val="00904C42"/>
    <w:rsid w:val="00913FA7"/>
    <w:rsid w:val="00914683"/>
    <w:rsid w:val="00924C05"/>
    <w:rsid w:val="00931C1C"/>
    <w:rsid w:val="00937CF2"/>
    <w:rsid w:val="00976645"/>
    <w:rsid w:val="00976F77"/>
    <w:rsid w:val="0098228C"/>
    <w:rsid w:val="009E2100"/>
    <w:rsid w:val="009F3486"/>
    <w:rsid w:val="00A2289D"/>
    <w:rsid w:val="00A310E1"/>
    <w:rsid w:val="00A36AB0"/>
    <w:rsid w:val="00A4389E"/>
    <w:rsid w:val="00AA23E0"/>
    <w:rsid w:val="00AB37A3"/>
    <w:rsid w:val="00AC5114"/>
    <w:rsid w:val="00AF6603"/>
    <w:rsid w:val="00B24518"/>
    <w:rsid w:val="00B25683"/>
    <w:rsid w:val="00B51901"/>
    <w:rsid w:val="00B970E8"/>
    <w:rsid w:val="00BD50F6"/>
    <w:rsid w:val="00C073E1"/>
    <w:rsid w:val="00C25647"/>
    <w:rsid w:val="00C4223D"/>
    <w:rsid w:val="00C65696"/>
    <w:rsid w:val="00C66AEA"/>
    <w:rsid w:val="00C9040A"/>
    <w:rsid w:val="00C91E4D"/>
    <w:rsid w:val="00CB110A"/>
    <w:rsid w:val="00CB7CD0"/>
    <w:rsid w:val="00CD0E3A"/>
    <w:rsid w:val="00CD26C9"/>
    <w:rsid w:val="00CF34D6"/>
    <w:rsid w:val="00D039AF"/>
    <w:rsid w:val="00D224B4"/>
    <w:rsid w:val="00D72198"/>
    <w:rsid w:val="00D95232"/>
    <w:rsid w:val="00DB7F50"/>
    <w:rsid w:val="00DE30C7"/>
    <w:rsid w:val="00DF400F"/>
    <w:rsid w:val="00E15BF4"/>
    <w:rsid w:val="00E2376B"/>
    <w:rsid w:val="00E26935"/>
    <w:rsid w:val="00E27707"/>
    <w:rsid w:val="00E52B04"/>
    <w:rsid w:val="00E60496"/>
    <w:rsid w:val="00E661B7"/>
    <w:rsid w:val="00E938AF"/>
    <w:rsid w:val="00EA0944"/>
    <w:rsid w:val="00EF1C31"/>
    <w:rsid w:val="00F2069F"/>
    <w:rsid w:val="00F37E78"/>
    <w:rsid w:val="00F53370"/>
    <w:rsid w:val="00F65CE5"/>
    <w:rsid w:val="00F81A95"/>
    <w:rsid w:val="00F90BE2"/>
    <w:rsid w:val="00FA7BC9"/>
    <w:rsid w:val="00FC0CEA"/>
    <w:rsid w:val="00FD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ustomXml" Target="../customXml/item1.xml"/><Relationship Id="rId5" Type="http://schemas.openxmlformats.org/officeDocument/2006/relationships/numbering" Target="numbering.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fontTable" Target="fontTable.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agriculture.ec.europa.eu/common-agricultural-policy/cap-overview/cap-2023-27/key-policy-objectives-cap-2023-27_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F7M6YNZUATRX-789077548-8435</_dlc_DocId>
    <_dlc_DocIdUrl xmlns="59ace41b-6786-4ce3-be71-52c27066c6ef">
      <Url>http://dm/eesc/2024/_layouts/15/DocIdRedir.aspx?ID=F7M6YNZUATRX-789077548-8435</Url>
      <Description>F7M6YNZUATRX-789077548-8435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2025-04-09T12:00:00+00:00</ProductionDate>
    <DocumentNumber xmlns="36007a90-28ab-40da-967b-595e4ec83007">2156</DocumentNumber>
    <FicheYear xmlns="59ace41b-6786-4ce3-be71-52c27066c6ef" xsi:nil="true"/>
    <DossierNumber xmlns="59ace41b-6786-4ce3-be71-52c27066c6ef">930</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36</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0774613c-01ed-4e5d-a25d-11d2388de825</TermId>
        </TermInfo>
      </Terms>
    </DocumentLanguage_0>
    <Rapporteur xmlns="59ace41b-6786-4ce3-be71-52c27066c6ef">RAVNIK &amp; GERSTEIN</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3842</FicheNumber>
    <OriginalSender xmlns="59ace41b-6786-4ce3-be71-52c27066c6ef">
      <UserInfo>
        <DisplayName>Boi Marta</DisplayName>
        <AccountId>1505</AccountId>
        <AccountType/>
      </UserInfo>
    </OriginalSender>
    <DocumentPart xmlns="59ace41b-6786-4ce3-be71-52c27066c6ef">0</DocumentPart>
    <AdoptionDate xmlns="59ace41b-6786-4ce3-be71-52c27066c6ef">2025-03-26T12:00:00+00:00</AdoptionDate>
    <RequestingService xmlns="59ace41b-6786-4ce3-be71-52c27066c6ef">Agriculture, développement rural et environnement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6007a90-28ab-40da-967b-595e4ec83007"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59ace41b-6786-4ce3-be71-52c27066c6ef">2</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C9C698F2971CE54890F427AFE3EB568F" ma:contentTypeVersion="4" ma:contentTypeDescription="Defines the documents for Document Manager V2" ma:contentTypeScope="" ma:versionID="1ede4366cc334d81186bb4f7d46e0bfd">
  <xsd:schema xmlns:xsd="http://www.w3.org/2001/XMLSchema" xmlns:xs="http://www.w3.org/2001/XMLSchema" xmlns:p="http://schemas.microsoft.com/office/2006/metadata/properties" xmlns:ns2="59ace41b-6786-4ce3-be71-52c27066c6ef" xmlns:ns3="http://schemas.microsoft.com/sharepoint/v3/fields" xmlns:ns4="36007a90-28ab-40da-967b-595e4ec83007" targetNamespace="http://schemas.microsoft.com/office/2006/metadata/properties" ma:root="true" ma:fieldsID="793bace539ab1b60d443041a34a09cc2" ns2:_="" ns3:_="" ns4:_="">
    <xsd:import namespace="59ace41b-6786-4ce3-be71-52c27066c6ef"/>
    <xsd:import namespace="http://schemas.microsoft.com/sharepoint/v3/fields"/>
    <xsd:import namespace="36007a90-28ab-40da-967b-595e4ec83007"/>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007a90-28ab-40da-967b-595e4ec83007"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6B59A-980B-42DD-ACE6-08DDFA1FDB38}"/>
</file>

<file path=customXml/itemProps2.xml><?xml version="1.0" encoding="utf-8"?>
<ds:datastoreItem xmlns:ds="http://schemas.openxmlformats.org/officeDocument/2006/customXml" ds:itemID="{15001258-1862-4B00-8823-BD747DBD997D}"/>
</file>

<file path=customXml/itemProps3.xml><?xml version="1.0" encoding="utf-8"?>
<ds:datastoreItem xmlns:ds="http://schemas.openxmlformats.org/officeDocument/2006/customXml" ds:itemID="{E5F6B4C5-077B-45B8-A7C2-2C166AA8343B}"/>
</file>

<file path=customXml/itemProps4.xml><?xml version="1.0" encoding="utf-8"?>
<ds:datastoreItem xmlns:ds="http://schemas.openxmlformats.org/officeDocument/2006/customXml" ds:itemID="{7E8C972C-8365-4C0A-A5F0-BFC9B118A3E0}"/>
</file>

<file path=docProps/app.xml><?xml version="1.0" encoding="utf-8"?>
<Properties xmlns="http://schemas.openxmlformats.org/officeDocument/2006/extended-properties" xmlns:vt="http://schemas.openxmlformats.org/officeDocument/2006/docPropsVTypes">
  <Template>Normal.dotm</Template>
  <TotalTime>0</TotalTime>
  <Pages>11</Pages>
  <Words>4487</Words>
  <Characters>25578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30005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Pratiche commerciali sleali nei rapporti tra imprese nella filiera agricola e alimentare</dc:title>
  <dc:subject>RE</dc:subject>
  <dc:creator>Francois Aude</dc:creator>
  <cp:keywords>EESC-2024-02156-00-02-RE-TRA-EN</cp:keywords>
  <dc:description>Rapporteur: RAVNIK &amp; GERSTEIN - Original language: EN - Date of document: 09/04/2025 - Date of meeting:  - External documents:  - Administrator:  KOLYVA Myrto</dc:description>
  <cp:lastModifiedBy>Boi Marta</cp:lastModifiedBy>
  <cp:revision>15</cp:revision>
  <dcterms:created xsi:type="dcterms:W3CDTF">2025-03-31T15:22:00Z</dcterms:created>
  <dcterms:modified xsi:type="dcterms:W3CDTF">2025-04-09T09:19:00Z</dcterms:modified>
  <cp:category>NAT/930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28/03/2025, 12/04/2024, 17/05/2022</vt:lpwstr>
  </property>
  <property fmtid="{D5CDD505-2E9C-101B-9397-08002B2CF9AE}" pid="4" name="Pref_Time">
    <vt:lpwstr>15:06:22, 12:03:55, 14:58:36</vt:lpwstr>
  </property>
  <property fmtid="{D5CDD505-2E9C-101B-9397-08002B2CF9AE}" pid="5" name="Pref_User">
    <vt:lpwstr>jhvi, enied, enied</vt:lpwstr>
  </property>
  <property fmtid="{D5CDD505-2E9C-101B-9397-08002B2CF9AE}" pid="6" name="Pref_FileName">
    <vt:lpwstr>EESC-2024-02156-00-00-RE-TRA-EN-CRR.docx, COR-EESC-2024-01326-22-00-ADMIN-ORI.docx, COR-EESC-2022-02592-00-00-ADMIN-ORI.docx</vt:lpwstr>
  </property>
  <property fmtid="{D5CDD505-2E9C-101B-9397-08002B2CF9AE}" pid="7" name="ContentTypeId">
    <vt:lpwstr>0x010100EA97B91038054C99906057A708A1480A00C9C698F2971CE54890F427AFE3EB568F</vt:lpwstr>
  </property>
  <property fmtid="{D5CDD505-2E9C-101B-9397-08002B2CF9AE}" pid="8" name="_dlc_DocIdItemGuid">
    <vt:lpwstr>693f4f1c-47e4-4792-b244-53ef27f1c30e</vt:lpwstr>
  </property>
  <property fmtid="{D5CDD505-2E9C-101B-9397-08002B2CF9AE}" pid="9" name="AvailableTranslations">
    <vt:lpwstr>28;#LV|46f7e311-5d9f-4663-b433-18aeccb7ace7;#36;#PT|50ccc04a-eadd-42ae-a0cb-acaf45f812ba;#23;#MT|7df99101-6854-4a26-b53a-b88c0da02c26;#25;#DE|f6b31e5a-26fa-4935-b661-318e46daf27e;#16;#DA|5d49c027-8956-412b-aa16-e85a0f96ad0e;#5;#EN|f2175f21-25d7-44a3-96da-d6a61b075e1b;#21;#SV|c2ed69e7-a339-43d7-8f22-d93680a92aa0;#12;#IT|0774613c-01ed-4e5d-a25d-11d2388de825;#43;#CS|72f9705b-0217-4fd3-bea2-cbc7ed80e26e;#17;#PL|1e03da61-4678-4e07-b136-b5024ca9197b;#30;#HR|2f555653-ed1a-4fe6-8362-9082d95989e5;#26;#SK|46d9fce0-ef79-4f71-b89b-cd6aa82426b8;#37;#RO|feb747a2-64cd-4299-af12-4833ddc30497;#14;#FR|d2afafd3-4c81-4f60-8f52-ee33f2f54ff3;#18;#GA|762d2456-c427-4ecb-b312-af3dad8e258c;#31;#NL|55c6556c-b4f4-441d-9acf-c498d4f838bd;#22;#BG|1a1b3951-7821-4e6a-85f5-5673fc08bd2c;#27;#SL|98a412ae-eb01-49e9-ae3d-585a81724cfc;#29;#EL|6d4f4d51-af9b-4650-94b4-4276bee85c91;#34;#LT|a7ff5ce7-6123-4f68-865a-a57c31810414;#33;#ET|ff6c3f4c-b02c-4c3c-ab07-2c37995a7a0a;#24;#ES|e7a6b05b-ae16-40c8-add9-68b64b03aeba;#35;#FI|87606a43-d45f-42d6-b8c9-e1a3457db5b7;#32;#HU|6b229040-c589-4408-b4c1-4285663d20a8</vt:lpwstr>
  </property>
  <property fmtid="{D5CDD505-2E9C-101B-9397-08002B2CF9AE}" pid="10" name="DocumentType_0">
    <vt:lpwstr>RE|2e31ab9a-38d8-4b15-bf54-b076b749ef85</vt:lpwstr>
  </property>
  <property fmtid="{D5CDD505-2E9C-101B-9397-08002B2CF9AE}" pid="11" name="DossierName_0">
    <vt:lpwstr>NAT|b263ab5d-0564-42a8-87bf-1cc57d938922</vt:lpwstr>
  </property>
  <property fmtid="{D5CDD505-2E9C-101B-9397-08002B2CF9AE}" pid="12" name="DocumentSource_0">
    <vt:lpwstr>EESC|422833ec-8d7e-4e65-8e4e-8bed07ffb729</vt:lpwstr>
  </property>
  <property fmtid="{D5CDD505-2E9C-101B-9397-08002B2CF9AE}" pid="13" name="DocumentNumber">
    <vt:i4>2156</vt:i4>
  </property>
  <property fmtid="{D5CDD505-2E9C-101B-9397-08002B2CF9AE}" pid="14" name="DocumentVersion">
    <vt:i4>2</vt:i4>
  </property>
  <property fmtid="{D5CDD505-2E9C-101B-9397-08002B2CF9AE}" pid="15" name="DossierNumber">
    <vt:i4>930</vt:i4>
  </property>
  <property fmtid="{D5CDD505-2E9C-101B-9397-08002B2CF9AE}" pid="16" name="DocumentStatus">
    <vt:lpwstr>3;#TRA|150d2a88-1431-44e6-a8ca-0bb753ab8672</vt:lpwstr>
  </property>
  <property fmtid="{D5CDD505-2E9C-101B-9397-08002B2CF9AE}" pid="17" name="DossierName">
    <vt:lpwstr>2;#NAT|b263ab5d-0564-42a8-87bf-1cc57d938922</vt:lpwstr>
  </property>
  <property fmtid="{D5CDD505-2E9C-101B-9397-08002B2CF9AE}" pid="18" name="RequestingService">
    <vt:lpwstr>Agriculture, développement rural et environnement</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EN|f2175f21-25d7-44a3-96da-d6a61b075e1b</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8;#Final|ea5e6674-7b27-4bac-b091-73adbb394efe;#1;#EESC|422833ec-8d7e-4e65-8e4e-8bed07ffb729;#6;#Unrestricted|826e22d7-d029-4ec0-a450-0c28ff673572;#5;#EN|f2175f21-25d7-44a3-96da-d6a61b075e1b;#3;#TRA|150d2a88-1431-44e6-a8ca-0bb753ab8672;#2;#NAT|b263ab5d-0564-42a8-87bf-1cc57d938922;#273;#RE|2e31ab9a-38d8-4b15-bf54-b076b749ef85</vt:lpwstr>
  </property>
  <property fmtid="{D5CDD505-2E9C-101B-9397-08002B2CF9AE}" pid="29" name="Rapporteur">
    <vt:lpwstr>RAVNIK &amp; GERSTEIN</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3842</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2025-03-26T12:00:00Z</vt:filetime>
  </property>
  <property fmtid="{D5CDD505-2E9C-101B-9397-08002B2CF9AE}" pid="37" name="DocumentType">
    <vt:lpwstr>273;#RE|2e31ab9a-38d8-4b15-bf54-b076b749ef85</vt:lpwstr>
  </property>
  <property fmtid="{D5CDD505-2E9C-101B-9397-08002B2CF9AE}" pid="38" name="DocumentLanguage">
    <vt:lpwstr>12;#IT|0774613c-01ed-4e5d-a25d-11d2388de825</vt:lpwstr>
  </property>
  <property fmtid="{D5CDD505-2E9C-101B-9397-08002B2CF9AE}" pid="39" name="_docset_NoMedatataSyncRequired">
    <vt:lpwstr>False</vt:lpwstr>
  </property>
</Properties>
</file>