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C7AFD" w:rsidR="008141A0" w14:paraId="07977D36" w14:textId="77777777">
        <w:trPr>
          <w:jc w:val="center"/>
        </w:trPr>
        <w:tc>
          <w:tcPr>
            <w:tcW w:w="5000" w:type="pct"/>
            <w:vAlign w:val="center"/>
          </w:tcPr>
          <w:p w:rsidRPr="002C7AFD" w:rsidR="00574C9B" w:rsidP="006125A1" w:rsidRDefault="00574C9B" w14:paraId="49456DF0" w14:textId="77777777">
            <w:pPr>
              <w:jc w:val="center"/>
              <w:rPr>
                <w:b/>
                <w:sz w:val="72"/>
                <w:szCs w:val="72"/>
              </w:rPr>
            </w:pPr>
            <w:r>
              <w:rPr>
                <w:b/>
                <w:sz w:val="72"/>
              </w:rPr>
              <w:t>ΓΝΩΜΟΔΟΤΗΣΗ</w:t>
            </w:r>
          </w:p>
        </w:tc>
      </w:tr>
      <w:tr w:rsidRPr="002C7AFD" w:rsidR="008141A0" w14:paraId="19A0DB62" w14:textId="77777777">
        <w:trPr>
          <w:trHeight w:val="567"/>
          <w:jc w:val="center"/>
        </w:trPr>
        <w:tc>
          <w:tcPr>
            <w:tcW w:w="5000" w:type="pct"/>
            <w:vAlign w:val="center"/>
          </w:tcPr>
          <w:p w:rsidRPr="002C7AFD" w:rsidR="00574C9B" w:rsidP="006125A1" w:rsidRDefault="00574C9B" w14:paraId="59AB3F1B" w14:textId="77777777">
            <w:pPr>
              <w:jc w:val="center"/>
              <w:rPr>
                <w:sz w:val="24"/>
                <w:szCs w:val="24"/>
              </w:rPr>
            </w:pPr>
            <w:r>
              <w:rPr>
                <w:sz w:val="24"/>
              </w:rPr>
              <w:t>Ευρωπαϊκή Οικονομική και Κοινωνικής Επιτροπή</w:t>
            </w:r>
          </w:p>
        </w:tc>
      </w:tr>
      <w:tr w:rsidRPr="002C7AFD" w:rsidR="008141A0" w14:paraId="4BD20DE0" w14:textId="77777777">
        <w:trPr>
          <w:jc w:val="center"/>
        </w:trPr>
        <w:tc>
          <w:tcPr>
            <w:tcW w:w="5000" w:type="pct"/>
            <w:vAlign w:val="center"/>
          </w:tcPr>
          <w:p w:rsidRPr="002C7AFD" w:rsidR="00574C9B" w:rsidP="00D34C76" w:rsidRDefault="00264F03" w14:paraId="4B0CF9A5" w14:textId="71AA3B99">
            <w:pPr>
              <w:jc w:val="center"/>
              <w:rPr>
                <w:b/>
                <w:sz w:val="44"/>
                <w:szCs w:val="44"/>
              </w:rPr>
            </w:pPr>
            <w:r>
              <w:rPr>
                <w:b/>
                <w:sz w:val="44"/>
              </w:rPr>
              <w:t>Αυξήσεις τιμών στους τομείς των μεταφορών, της ενέργειας και της στέγασης: ο ρόλος των ποιοτικών δημόσιων υπηρεσιών στην αντιμετώπιση του υψηλού κόστους ζωής</w:t>
            </w:r>
          </w:p>
        </w:tc>
      </w:tr>
      <w:tr w:rsidRPr="002C7AFD" w:rsidR="008141A0" w14:paraId="2E253A79" w14:textId="77777777">
        <w:trPr>
          <w:jc w:val="center"/>
        </w:trPr>
        <w:tc>
          <w:tcPr>
            <w:tcW w:w="5000" w:type="pct"/>
            <w:vAlign w:val="center"/>
          </w:tcPr>
          <w:p w:rsidRPr="00A04328" w:rsidR="00574C9B" w:rsidP="006125A1" w:rsidRDefault="00574C9B" w14:paraId="546B2988" w14:textId="77777777">
            <w:pPr>
              <w:overflowPunct w:val="0"/>
              <w:autoSpaceDE w:val="0"/>
              <w:autoSpaceDN w:val="0"/>
              <w:adjustRightInd w:val="0"/>
              <w:jc w:val="center"/>
              <w:textAlignment w:val="baseline"/>
              <w:rPr>
                <w:b/>
                <w:position w:val="24"/>
                <w:sz w:val="24"/>
                <w:szCs w:val="24"/>
              </w:rPr>
            </w:pPr>
            <w:r>
              <w:rPr>
                <w:sz w:val="24"/>
              </w:rPr>
              <w:t>_____________</w:t>
            </w:r>
          </w:p>
        </w:tc>
      </w:tr>
      <w:tr w:rsidRPr="002C7AFD" w:rsidR="008141A0" w14:paraId="485ABBCC" w14:textId="77777777">
        <w:trPr>
          <w:jc w:val="center"/>
        </w:trPr>
        <w:tc>
          <w:tcPr>
            <w:tcW w:w="5000" w:type="pct"/>
            <w:vAlign w:val="center"/>
          </w:tcPr>
          <w:p w:rsidRPr="002C7AFD" w:rsidR="00264F03" w:rsidP="00264F03" w:rsidRDefault="00264F03" w14:paraId="6809D59A" w14:textId="2ABD452F">
            <w:pPr>
              <w:jc w:val="center"/>
              <w:rPr>
                <w:sz w:val="24"/>
                <w:szCs w:val="24"/>
              </w:rPr>
            </w:pPr>
            <w:r>
              <w:rPr>
                <w:sz w:val="24"/>
              </w:rPr>
              <w:t>Αυξήσεις τιμών στους τομείς των μεταφορών, της ενέργειας και της στέγασης: ο ρόλος των ποιοτικών δημόσιων υπηρεσιών στην αντιμετώπιση του υψηλού κόστους ζωής</w:t>
            </w:r>
          </w:p>
          <w:p w:rsidRPr="00BE1BA6" w:rsidR="00574C9B" w:rsidP="00264F03" w:rsidRDefault="00264F03" w14:paraId="080F2713" w14:textId="5C5456F3">
            <w:pPr>
              <w:jc w:val="center"/>
              <w:rPr>
                <w:b/>
                <w:bCs/>
                <w:sz w:val="24"/>
                <w:szCs w:val="24"/>
              </w:rPr>
            </w:pPr>
            <w:r>
              <w:rPr>
                <w:b/>
                <w:sz w:val="24"/>
              </w:rPr>
              <w:t>(γνωμοδότηση πρωτοβουλίας)</w:t>
            </w:r>
          </w:p>
        </w:tc>
      </w:tr>
      <w:tr w:rsidRPr="002C7AFD" w:rsidR="008141A0" w14:paraId="3F0A8C95" w14:textId="77777777">
        <w:trPr>
          <w:jc w:val="center"/>
        </w:trPr>
        <w:tc>
          <w:tcPr>
            <w:tcW w:w="5000" w:type="pct"/>
            <w:vAlign w:val="center"/>
          </w:tcPr>
          <w:p w:rsidRPr="002C7AFD" w:rsidR="00574C9B" w:rsidP="006125A1" w:rsidRDefault="00574C9B" w14:paraId="5BE36E47" w14:textId="77777777">
            <w:pPr>
              <w:jc w:val="center"/>
              <w:rPr>
                <w:sz w:val="24"/>
                <w:szCs w:val="24"/>
                <w:lang w:val="en-GB"/>
              </w:rPr>
            </w:pPr>
          </w:p>
        </w:tc>
      </w:tr>
      <w:tr w:rsidRPr="002C7AFD" w:rsidR="008141A0" w14:paraId="6DDDAEA8" w14:textId="77777777">
        <w:trPr>
          <w:jc w:val="center"/>
        </w:trPr>
        <w:tc>
          <w:tcPr>
            <w:tcW w:w="5000" w:type="pct"/>
            <w:vAlign w:val="center"/>
          </w:tcPr>
          <w:p w:rsidRPr="002C7AFD" w:rsidR="00574C9B" w:rsidP="006125A1" w:rsidRDefault="0031056E" w14:paraId="12C01476" w14:textId="79DEBC05">
            <w:pPr>
              <w:jc w:val="center"/>
              <w:rPr>
                <w:b/>
                <w:sz w:val="24"/>
                <w:szCs w:val="24"/>
              </w:rPr>
            </w:pPr>
            <w:r>
              <w:rPr>
                <w:b/>
                <w:sz w:val="24"/>
              </w:rPr>
              <w:t>TEN/846</w:t>
            </w:r>
          </w:p>
        </w:tc>
      </w:tr>
      <w:tr w:rsidRPr="002C7AFD" w:rsidR="008141A0" w14:paraId="60DB09E8" w14:textId="77777777">
        <w:trPr>
          <w:jc w:val="center"/>
        </w:trPr>
        <w:tc>
          <w:tcPr>
            <w:tcW w:w="5000" w:type="pct"/>
            <w:vAlign w:val="center"/>
          </w:tcPr>
          <w:p w:rsidRPr="002C7AFD" w:rsidR="00574C9B" w:rsidP="006125A1" w:rsidRDefault="00574C9B" w14:paraId="6C826148" w14:textId="77777777">
            <w:pPr>
              <w:jc w:val="center"/>
              <w:rPr>
                <w:sz w:val="24"/>
                <w:szCs w:val="24"/>
                <w:lang w:val="en-GB"/>
              </w:rPr>
            </w:pPr>
          </w:p>
        </w:tc>
      </w:tr>
      <w:tr w:rsidRPr="002C7AFD" w:rsidR="008141A0" w14:paraId="1771512F" w14:textId="77777777">
        <w:trPr>
          <w:jc w:val="center"/>
        </w:trPr>
        <w:tc>
          <w:tcPr>
            <w:tcW w:w="5000" w:type="pct"/>
            <w:vAlign w:val="center"/>
          </w:tcPr>
          <w:p w:rsidRPr="002C7AFD" w:rsidR="006D1B0C" w:rsidP="006D1B0C" w:rsidRDefault="006D1B0C" w14:paraId="4E17E1C5" w14:textId="6CC8EE5C">
            <w:pPr>
              <w:jc w:val="center"/>
              <w:rPr>
                <w:b/>
                <w:sz w:val="24"/>
                <w:szCs w:val="24"/>
              </w:rPr>
            </w:pPr>
            <w:r>
              <w:rPr>
                <w:sz w:val="24"/>
              </w:rPr>
              <w:t xml:space="preserve">Εισηγητής: </w:t>
            </w:r>
            <w:proofErr w:type="spellStart"/>
            <w:r>
              <w:rPr>
                <w:b/>
                <w:sz w:val="24"/>
              </w:rPr>
              <w:t>Thomas</w:t>
            </w:r>
            <w:proofErr w:type="spellEnd"/>
            <w:r>
              <w:rPr>
                <w:b/>
                <w:sz w:val="24"/>
              </w:rPr>
              <w:t xml:space="preserve"> KATTNIG</w:t>
            </w:r>
          </w:p>
          <w:p w:rsidRPr="002C7AFD" w:rsidR="00CB7CD0" w:rsidP="006D1B0C" w:rsidRDefault="00CB7CD0" w14:paraId="053D3044" w14:textId="3F7DA1B8">
            <w:pPr>
              <w:jc w:val="center"/>
              <w:rPr>
                <w:sz w:val="24"/>
                <w:szCs w:val="24"/>
                <w:lang w:val="en-GB"/>
              </w:rPr>
            </w:pPr>
          </w:p>
        </w:tc>
      </w:tr>
    </w:tbl>
    <w:p w:rsidRPr="002C7AFD" w:rsidR="00574C9B" w:rsidP="00574C9B" w:rsidRDefault="00574C9B" w14:paraId="71443F8E" w14:textId="77777777">
      <w:r>
        <w:rPr>
          <w:noProof/>
          <w:sz w:val="20"/>
        </w:rPr>
        <mc:AlternateContent>
          <mc:Choice Requires="wps">
            <w:drawing>
              <wp:anchor distT="0" distB="0" distL="114300" distR="114300" simplePos="0" relativeHeight="251656704" behindDoc="1" locked="0" layoutInCell="0" allowOverlap="1" wp14:editId="2B369DC1" wp14:anchorId="7E58AECB">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C9B" w:rsidP="00574C9B" w:rsidRDefault="00574C9B" w14:paraId="2477019C" w14:textId="77777777">
                            <w:pPr>
                              <w:jc w:val="center"/>
                            </w:pPr>
                            <w:r>
                              <w:rPr>
                                <w:rFonts w:ascii="Arial" w:hAnsi="Arial"/>
                                <w:b/>
                                <w:sz w:val="48"/>
                              </w:rPr>
                              <w:t>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7E58AECB">
                <v:stroke joinstyle="miter"/>
                <v:path gradientshapeok="t" o:connecttype="rect"/>
              </v:shapetype>
              <v:shape id="Text Box 17" style="position:absolute;left:0;text-align:left;margin-left:-15.9pt;margin-top:747pt;width:58.4pt;height:34pt;z-index:-251659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">
                <v:textbox>
                  <w:txbxContent>
                    <w:p w:rsidR="00574C9B" w:rsidP="00574C9B" w:rsidRDefault="00574C9B" w14:paraId="2477019C" w14:textId="77777777">
                      <w:pPr>
                        <w:jc w:val="center"/>
                      </w:pPr>
                      <w:r>
                        <w:rPr>
                          <w:b/>
                          <w:sz w:val="48"/>
                          <w:rFonts w:ascii="Arial" w:hAnsi="Arial"/>
                        </w:rPr>
                        <w:t xml:space="preserve">EL</w:t>
                      </w:r>
                    </w:p>
                  </w:txbxContent>
                </v:textbox>
                <w10:wrap anchorx="margin" anchory="page"/>
              </v:shape>
            </w:pict>
          </mc:Fallback>
        </mc:AlternateContent>
      </w:r>
    </w:p>
    <w:p w:rsidRPr="002C7AFD" w:rsidR="00574C9B" w:rsidP="00574C9B" w:rsidRDefault="00574C9B" w14:paraId="62470F5D" w14:textId="77777777">
      <w:pPr>
        <w:rPr>
          <w:lang w:val="en-GB"/>
        </w:rPr>
      </w:pPr>
    </w:p>
    <w:p w:rsidRPr="002C7AFD" w:rsidR="00574C9B" w:rsidP="00574C9B" w:rsidRDefault="00574C9B" w14:paraId="5B254876" w14:textId="77777777">
      <w:pPr>
        <w:rPr>
          <w:lang w:val="en-GB"/>
        </w:rPr>
        <w:sectPr w:rsidRPr="002C7AFD" w:rsidR="00574C9B" w:rsidSect="000720FE">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Pr="002C7AFD" w:rsidR="00264F03" w:rsidTr="00475E00" w14:paraId="006419A1" w14:textId="77777777">
        <w:tc>
          <w:tcPr>
            <w:tcW w:w="3085" w:type="dxa"/>
          </w:tcPr>
          <w:p w:rsidRPr="002C7AFD" w:rsidR="00264F03" w:rsidP="00264F03" w:rsidRDefault="00264F03" w14:paraId="4059C35D" w14:textId="6A4BFD3E">
            <w:pPr>
              <w:autoSpaceDE w:val="0"/>
              <w:autoSpaceDN w:val="0"/>
              <w:jc w:val="left"/>
            </w:pPr>
            <w:r>
              <w:lastRenderedPageBreak/>
              <w:t>Απόφαση της συνόδου ολομέλειας</w:t>
            </w:r>
          </w:p>
        </w:tc>
        <w:tc>
          <w:tcPr>
            <w:tcW w:w="6204" w:type="dxa"/>
          </w:tcPr>
          <w:p w:rsidRPr="002C7AFD" w:rsidR="00264F03" w:rsidP="00264F03" w:rsidRDefault="00264F03" w14:paraId="363DEAC3" w14:textId="0EB6D189">
            <w:pPr>
              <w:autoSpaceDE w:val="0"/>
              <w:autoSpaceDN w:val="0"/>
              <w:jc w:val="left"/>
            </w:pPr>
            <w:r>
              <w:t>5/12/2024</w:t>
            </w:r>
          </w:p>
        </w:tc>
      </w:tr>
      <w:tr w:rsidRPr="002C7AFD" w:rsidR="00264F03" w:rsidTr="00475E00" w14:paraId="15604EC5" w14:textId="77777777">
        <w:tc>
          <w:tcPr>
            <w:tcW w:w="3085" w:type="dxa"/>
          </w:tcPr>
          <w:p w:rsidRPr="00A04328" w:rsidR="00264F03" w:rsidP="00264F03" w:rsidRDefault="00264F03" w14:paraId="1B37E05A" w14:textId="5D11D2C6">
            <w:pPr>
              <w:autoSpaceDE w:val="0"/>
              <w:autoSpaceDN w:val="0"/>
              <w:jc w:val="left"/>
              <w:rPr>
                <w:szCs w:val="20"/>
              </w:rPr>
            </w:pPr>
            <w:r>
              <w:t>Νομική βάση</w:t>
            </w:r>
          </w:p>
        </w:tc>
        <w:tc>
          <w:tcPr>
            <w:tcW w:w="6204" w:type="dxa"/>
          </w:tcPr>
          <w:p w:rsidRPr="002C7AFD" w:rsidR="00264F03" w:rsidP="00264F03" w:rsidRDefault="00264F03" w14:paraId="49A68C47" w14:textId="348F7933">
            <w:pPr>
              <w:autoSpaceDE w:val="0"/>
              <w:autoSpaceDN w:val="0"/>
              <w:jc w:val="left"/>
              <w:rPr>
                <w:szCs w:val="20"/>
              </w:rPr>
            </w:pPr>
            <w:r>
              <w:t>Άρθρο 52 παράγραφος 2 του Εσωτερικού Κανονισμού</w:t>
            </w:r>
          </w:p>
        </w:tc>
      </w:tr>
      <w:tr w:rsidRPr="002C7AFD" w:rsidR="00634E76" w:rsidTr="00475E00" w14:paraId="21621E5E" w14:textId="77777777">
        <w:tc>
          <w:tcPr>
            <w:tcW w:w="3085" w:type="dxa"/>
          </w:tcPr>
          <w:p w:rsidRPr="00A04328" w:rsidR="00634E76" w:rsidP="00634E76" w:rsidRDefault="00634E76" w14:paraId="2ABAA047" w14:textId="77777777">
            <w:pPr>
              <w:autoSpaceDE w:val="0"/>
              <w:autoSpaceDN w:val="0"/>
              <w:jc w:val="left"/>
            </w:pPr>
            <w:r>
              <w:t>Αρμόδιο όργανο</w:t>
            </w:r>
          </w:p>
        </w:tc>
        <w:tc>
          <w:tcPr>
            <w:tcW w:w="6204" w:type="dxa"/>
          </w:tcPr>
          <w:p w:rsidRPr="002C7AFD" w:rsidR="00634E76" w:rsidP="00634E76" w:rsidRDefault="00634E76" w14:paraId="54A38CEC" w14:textId="2724A25B">
            <w:pPr>
              <w:autoSpaceDE w:val="0"/>
              <w:autoSpaceDN w:val="0"/>
              <w:jc w:val="left"/>
            </w:pPr>
            <w:r>
              <w:t>Τμήμα «Μεταφορές, ενέργεια, υποδομές, κοινωνία των πληροφοριών»</w:t>
            </w:r>
          </w:p>
        </w:tc>
      </w:tr>
      <w:tr w:rsidRPr="002C7AFD" w:rsidR="00634E76" w:rsidTr="00475E00" w14:paraId="7D7892AB" w14:textId="77777777">
        <w:tc>
          <w:tcPr>
            <w:tcW w:w="3085" w:type="dxa"/>
          </w:tcPr>
          <w:p w:rsidRPr="00A04328" w:rsidR="00634E76" w:rsidP="00634E76" w:rsidRDefault="00634E76" w14:paraId="4C33AD73" w14:textId="77777777">
            <w:pPr>
              <w:autoSpaceDE w:val="0"/>
              <w:autoSpaceDN w:val="0"/>
              <w:jc w:val="left"/>
            </w:pPr>
            <w:r>
              <w:t>Έγκριση από το τμήμα</w:t>
            </w:r>
          </w:p>
        </w:tc>
        <w:tc>
          <w:tcPr>
            <w:tcW w:w="6204" w:type="dxa"/>
          </w:tcPr>
          <w:p w:rsidRPr="002C7AFD" w:rsidR="00634E76" w:rsidP="00634E76" w:rsidRDefault="00264F03" w14:paraId="7592028B" w14:textId="709E5CA1">
            <w:pPr>
              <w:autoSpaceDE w:val="0"/>
              <w:autoSpaceDN w:val="0"/>
              <w:jc w:val="left"/>
            </w:pPr>
            <w:r>
              <w:t>7/4/2025</w:t>
            </w:r>
          </w:p>
        </w:tc>
      </w:tr>
      <w:tr w:rsidRPr="002C7AFD" w:rsidR="00634E76" w:rsidTr="008E5CC7" w14:paraId="295C57B7" w14:textId="77777777">
        <w:tc>
          <w:tcPr>
            <w:tcW w:w="3085" w:type="dxa"/>
          </w:tcPr>
          <w:p w:rsidRPr="00A04328" w:rsidR="00634E76" w:rsidP="00634E76" w:rsidRDefault="00634E76" w14:paraId="159F93D9" w14:textId="77777777">
            <w:pPr>
              <w:autoSpaceDE w:val="0"/>
              <w:autoSpaceDN w:val="0"/>
              <w:jc w:val="left"/>
            </w:pPr>
            <w:r>
              <w:t>Έγκριση από την Ολομέλεια</w:t>
            </w:r>
          </w:p>
        </w:tc>
        <w:tc>
          <w:tcPr>
            <w:tcW w:w="6204" w:type="dxa"/>
          </w:tcPr>
          <w:p w:rsidRPr="002C7AFD" w:rsidR="00634E76" w:rsidP="00634E76" w:rsidRDefault="00491249" w14:paraId="25F7AAB3" w14:textId="732163A7">
            <w:pPr>
              <w:autoSpaceDE w:val="0"/>
              <w:autoSpaceDN w:val="0"/>
              <w:jc w:val="left"/>
            </w:pPr>
            <w:r>
              <w:t>30/4/2025</w:t>
            </w:r>
          </w:p>
        </w:tc>
      </w:tr>
      <w:tr w:rsidRPr="002C7AFD" w:rsidR="00634E76" w:rsidTr="008E5CC7" w14:paraId="29760748" w14:textId="77777777">
        <w:tc>
          <w:tcPr>
            <w:tcW w:w="3085" w:type="dxa"/>
          </w:tcPr>
          <w:p w:rsidRPr="00A04328" w:rsidR="00634E76" w:rsidP="00634E76" w:rsidRDefault="00634E76" w14:paraId="569DD448" w14:textId="77777777">
            <w:pPr>
              <w:autoSpaceDE w:val="0"/>
              <w:autoSpaceDN w:val="0"/>
              <w:jc w:val="left"/>
            </w:pPr>
            <w:r>
              <w:t>Σύνοδος ολομέλειας αριθ.</w:t>
            </w:r>
          </w:p>
        </w:tc>
        <w:tc>
          <w:tcPr>
            <w:tcW w:w="6204" w:type="dxa"/>
          </w:tcPr>
          <w:p w:rsidRPr="002C7AFD" w:rsidR="00634E76" w:rsidP="00634E76" w:rsidRDefault="00491249" w14:paraId="7FE5AEF6" w14:textId="62F8EC8F">
            <w:pPr>
              <w:autoSpaceDE w:val="0"/>
              <w:autoSpaceDN w:val="0"/>
              <w:jc w:val="left"/>
            </w:pPr>
            <w:r>
              <w:t>596</w:t>
            </w:r>
          </w:p>
        </w:tc>
      </w:tr>
      <w:tr w:rsidRPr="002C7AFD" w:rsidR="00634E76" w14:paraId="2F7EB617" w14:textId="77777777">
        <w:tc>
          <w:tcPr>
            <w:tcW w:w="3085" w:type="dxa"/>
          </w:tcPr>
          <w:p w:rsidRPr="002C7AFD" w:rsidR="00634E76" w:rsidP="00634E76" w:rsidRDefault="00634E76" w14:paraId="30022EFF" w14:textId="77777777">
            <w:pPr>
              <w:autoSpaceDE w:val="0"/>
              <w:autoSpaceDN w:val="0"/>
              <w:jc w:val="left"/>
            </w:pPr>
            <w:r>
              <w:t>Αποτέλεσμα της ψηφοφορίας</w:t>
            </w:r>
            <w:r>
              <w:br/>
              <w:t>(υπέρ/κατά/αποχές)</w:t>
            </w:r>
          </w:p>
        </w:tc>
        <w:tc>
          <w:tcPr>
            <w:tcW w:w="6204" w:type="dxa"/>
            <w:vAlign w:val="bottom"/>
          </w:tcPr>
          <w:p w:rsidRPr="002C7AFD" w:rsidR="00634E76" w:rsidP="00634E76" w:rsidRDefault="007553F0" w14:paraId="5ED1BE4F" w14:textId="02982390">
            <w:pPr>
              <w:autoSpaceDE w:val="0"/>
              <w:autoSpaceDN w:val="0"/>
              <w:jc w:val="left"/>
            </w:pPr>
            <w:r>
              <w:t>154/13/26</w:t>
            </w:r>
          </w:p>
        </w:tc>
      </w:tr>
    </w:tbl>
    <w:p w:rsidRPr="002C7AFD" w:rsidR="00AC5114" w:rsidP="00574C9B" w:rsidRDefault="00AC5114" w14:paraId="2B1C5E95" w14:textId="77777777">
      <w:pPr>
        <w:rPr>
          <w:lang w:val="en-GB"/>
        </w:rPr>
      </w:pPr>
    </w:p>
    <w:p w:rsidRPr="002C7AFD" w:rsidR="00AC5114" w:rsidP="00574C9B" w:rsidRDefault="00AC5114" w14:paraId="7A6545E1" w14:textId="77777777">
      <w:pPr>
        <w:rPr>
          <w:lang w:val="en-GB"/>
        </w:rPr>
        <w:sectPr w:rsidRPr="002C7AFD" w:rsidR="00AC5114" w:rsidSect="000720FE">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rsidRPr="002C7AFD" w:rsidR="00491249" w:rsidP="00491249" w:rsidRDefault="00491249" w14:paraId="7F9E7F3D" w14:textId="77777777">
      <w:pPr>
        <w:rPr>
          <w:b/>
          <w:i/>
        </w:rPr>
      </w:pPr>
      <w:r>
        <w:rPr>
          <w:b/>
          <w:i/>
        </w:rPr>
        <w:lastRenderedPageBreak/>
        <w:t>Προοίμιο</w:t>
      </w:r>
    </w:p>
    <w:p w:rsidRPr="002C7AFD" w:rsidR="00491249" w:rsidP="00491249" w:rsidRDefault="00491249" w14:paraId="7E844C4E" w14:textId="77777777">
      <w:pPr>
        <w:rPr>
          <w:i/>
          <w:lang w:val="en-GB"/>
        </w:rPr>
      </w:pPr>
    </w:p>
    <w:p w:rsidRPr="002C7AFD" w:rsidR="00491249" w:rsidP="00491249" w:rsidRDefault="00491249" w14:paraId="347043FF" w14:textId="77777777">
      <w:pPr>
        <w:spacing w:line="240" w:lineRule="auto"/>
        <w:rPr>
          <w:sz w:val="24"/>
          <w:szCs w:val="24"/>
        </w:rPr>
      </w:pPr>
      <w:r>
        <w:rPr>
          <w:i/>
        </w:rPr>
        <w:t>Η παρούσα γνωμοδότηση αποτελεί μέρος μιας ευρύτερης δέσμης γνωμοδοτήσεων της ΕΟΚΕ σχετικά με την κρίση του κόστους ζωής. Με τη δέσμη αυτή, η ΕΟΚΕ εξετάζει τις διάφορες πτυχές της εν λόγω πρόκλησης πολιτικής και παρουσιάζει μια ολοκληρωμένη και ευρεία σειρά συστάσεων προς τους ευρωπαϊκούς και τους εθνικούς φορείς χάραξης πολιτικής, τις οργανώσεις της κοινωνίας των πολιτών και άλλους ενδιαφερόμενους φορείς.  Η δέσμη περιλαμβάνει επτά «τομεακές γνωμοδοτήσεις»</w:t>
      </w:r>
      <w:r w:rsidRPr="002C7AFD">
        <w:rPr>
          <w:rStyle w:val="FootnoteReference"/>
          <w:i/>
          <w:iCs/>
          <w:lang w:val="en-GB"/>
        </w:rPr>
        <w:footnoteReference w:id="1"/>
      </w:r>
      <w:r>
        <w:rPr>
          <w:i/>
        </w:rPr>
        <w:t>, καθεμία από τις οποίες είναι αφιερωμένη σε θέματα που εμπίπτουν σε έναν συγκεκριμένο σχετικό τομέα πολιτικής. Επιπλέον, μια «γενική γνωμοδότηση»</w:t>
      </w:r>
      <w:r w:rsidRPr="002C7AFD">
        <w:rPr>
          <w:rStyle w:val="FootnoteReference"/>
          <w:i/>
          <w:iCs/>
          <w:lang w:val="en-GB"/>
        </w:rPr>
        <w:footnoteReference w:id="2"/>
      </w:r>
      <w:r>
        <w:rPr>
          <w:i/>
        </w:rPr>
        <w:t xml:space="preserve"> παρουσιάζει τις γενικές συστάσεις πολιτικής για την αντιμετώπιση της κρίσης του κόστους ζωής στο σύνολό της και την οικοδόμηση ανθεκτικότητας έναντι μελλοντικών κρίσεων.</w:t>
      </w:r>
    </w:p>
    <w:p w:rsidRPr="002C7AFD" w:rsidR="00491249" w:rsidP="00491249" w:rsidRDefault="00491249" w14:paraId="51ED6A9F" w14:textId="77777777">
      <w:pPr>
        <w:rPr>
          <w:sz w:val="24"/>
          <w:szCs w:val="24"/>
          <w:lang w:val="en-GB" w:eastAsia="fr-BE"/>
        </w:rPr>
      </w:pPr>
    </w:p>
    <w:p w:rsidRPr="002C7AFD" w:rsidR="00491249" w:rsidP="00491249" w:rsidRDefault="00491249" w14:paraId="1C203F90" w14:textId="77777777">
      <w:pPr>
        <w:pStyle w:val="Heading1"/>
        <w:rPr>
          <w:b/>
        </w:rPr>
      </w:pPr>
      <w:r>
        <w:rPr>
          <w:b/>
        </w:rPr>
        <w:t>Συμπεράσματα και συστάσεις</w:t>
      </w:r>
    </w:p>
    <w:p w:rsidRPr="002C7AFD" w:rsidR="00491249" w:rsidP="00491249" w:rsidRDefault="00491249" w14:paraId="1C333D13" w14:textId="77777777">
      <w:pPr>
        <w:rPr>
          <w:lang w:val="en-GB"/>
        </w:rPr>
      </w:pPr>
    </w:p>
    <w:p w:rsidRPr="002C7AFD" w:rsidR="00491249" w:rsidP="00491249" w:rsidRDefault="00491249" w14:paraId="74BAB97F" w14:textId="77777777">
      <w:pPr>
        <w:pStyle w:val="Heading2"/>
      </w:pPr>
      <w:r>
        <w:t>Η αύξηση των τιμών της ενέργειας και ο σχετικός υψηλός πληθωρισμός έχουν οδηγήσει από το 2021 σε σημαντικές αυξήσεις του κόστους σε πολλούς τομείς της οικονομίας. Ως αποτέλεσμα, το κόστος ζωής για τους πολίτες και τις εταιρείες έχει αυξηθεί δραματικά, γεγονός που έχει αντίστοιχο αντίκτυπο στην ανταγωνιστικότητα και στο κοινωνικό κόστος.</w:t>
      </w:r>
    </w:p>
    <w:p w:rsidRPr="002C7AFD" w:rsidR="00491249" w:rsidP="00491249" w:rsidRDefault="00491249" w14:paraId="3A6B34CC" w14:textId="77777777">
      <w:pPr>
        <w:rPr>
          <w:lang w:val="en-GB"/>
        </w:rPr>
      </w:pPr>
    </w:p>
    <w:p w:rsidRPr="002C7AFD" w:rsidR="00491249" w:rsidP="00491249" w:rsidRDefault="00491249" w14:paraId="3DD55319" w14:textId="77777777">
      <w:pPr>
        <w:pStyle w:val="Heading2"/>
      </w:pPr>
      <w:r>
        <w:t xml:space="preserve">Οι υπηρεσίες κοινής ωφέλειας (ΥΚΩ) μπορούν να διασφαλίσουν ότι όλα τα άτομα και τα ενδιαφερόμενα μέρη έχουν πρόσβαση στις βασικές υπηρεσίες που αποτελούν τη βάση μιας αξιοπρεπούς ζωής σήμερα και στο μέλλον. Επιπλέον, μπορούν να μετριάσουν τον αντίκτυπο του πληθωρισμού και των κρίσεων, λόγο του μη κερδοσκοπικού τους χαρακτήρα. Η ΕΟΚΕ πιστεύει ότι τα κράτη μέλη χρειάζονται ευελιξία, αυτονομία και ελευθερία επιλογής για την οργάνωση των δημόσιων υπηρεσιών σύμφωνα με τις δικές τους επιλογές, ανάγκες και παραδόσεις, διασφαλίζοντας παράλληλα υψηλά πρότυπα, όπως η ποιότητα, η ασφάλεια, η οικονομική </w:t>
      </w:r>
      <w:proofErr w:type="spellStart"/>
      <w:r>
        <w:t>προσιτότητα</w:t>
      </w:r>
      <w:proofErr w:type="spellEnd"/>
      <w:r>
        <w:t xml:space="preserve"> και η καθολική πρόσβαση.</w:t>
      </w:r>
    </w:p>
    <w:p w:rsidRPr="002C7AFD" w:rsidR="00491249" w:rsidP="00491249" w:rsidRDefault="00491249" w14:paraId="3BE1A985" w14:textId="77777777">
      <w:pPr>
        <w:rPr>
          <w:lang w:val="en-GB"/>
        </w:rPr>
      </w:pPr>
    </w:p>
    <w:p w:rsidRPr="002C7AFD" w:rsidR="00491249" w:rsidP="00491249" w:rsidRDefault="00642AAB" w14:paraId="5B311913" w14:textId="683BD72D">
      <w:pPr>
        <w:pStyle w:val="Heading2"/>
      </w:pPr>
      <w:r>
        <w:t xml:space="preserve">Υπό το πρίσμα των πρόσφατων δραματικών γεωπολιτικών αναταραχών, η ΕΟΚΕ επικροτεί τις προσπάθειες της Επιτροπής να καταστήσει το δημοσιονομικό πλαίσιο της ΕΕ πιο ευέλικτο. Ταυτόχρονα, απαιτείται μια ευρύτερη προσέγγιση όσον αφορά τα μέτρα ασφάλειας και άμυνας, καθώς και τις ΥΚΩ, προκειμένου να δοθεί προτεραιότητα στις δημόσιες επενδύσεις που προσανατολίζονται στην ανάπτυξη και να αποφευχθεί ο συμβιβασμός μεταξύ αμυντικών και κοινωνικών δαπανών, ιδίως για χώρες με περιορισμένα δημοσιονομικά περιθώρια. Η μείωση των επιδοτήσεων στα ορυκτά καύσιμα μπορεί να παράσχει βραχυπρόθεσμη στήριξη στα ευάλωτα νοικοκυριά και πιο βιώσιμες λύσεις για </w:t>
      </w:r>
      <w:proofErr w:type="spellStart"/>
      <w:r>
        <w:t>απανθρακοποιημένα</w:t>
      </w:r>
      <w:proofErr w:type="spellEnd"/>
      <w:r>
        <w:t xml:space="preserve"> συστήματα ηλεκτρικής ενέργειας και θέρμανσης, ανακαινίσεις και πρόσβαση σε οικονομικά προσιτές ΥΚΩ. Οι ειδικοί </w:t>
      </w:r>
      <w:r>
        <w:lastRenderedPageBreak/>
        <w:t>κανόνες για τις ΥΚΩ και τις ΥΓΟΣ όσον αφορά τις κρατικές ενισχύσεις και τις δημόσιες συμβάσεις πρέπει να αναθεωρηθούν διεξοδικά.</w:t>
      </w:r>
    </w:p>
    <w:p w:rsidRPr="002C7AFD" w:rsidR="00491249" w:rsidP="00491249" w:rsidRDefault="00491249" w14:paraId="059BCBDE" w14:textId="77777777">
      <w:pPr>
        <w:rPr>
          <w:lang w:val="en-GB"/>
        </w:rPr>
      </w:pPr>
    </w:p>
    <w:p w:rsidRPr="002C7AFD" w:rsidR="00491249" w:rsidP="00491249" w:rsidRDefault="00491249" w14:paraId="44E8AE95" w14:textId="77777777">
      <w:pPr>
        <w:pStyle w:val="Heading2"/>
      </w:pPr>
      <w:r>
        <w:t xml:space="preserve">Οι δημόσιες μεταφορές διαδραματίζουν κρίσιμο ρόλο στη διασφάλιση καθολικής και οικονομικά προσιτής κινητικότητας υψηλής ποιότητας. Ως εκ τούτου, απαιτούνται κοινωνικές και οικολογικές επενδύσεις στις </w:t>
      </w:r>
      <w:proofErr w:type="spellStart"/>
      <w:r>
        <w:t>πολυτροπικές</w:t>
      </w:r>
      <w:proofErr w:type="spellEnd"/>
      <w:r>
        <w:t xml:space="preserve"> και διασυνδεδεμένες δημόσιες μεταφορές. Επιπλέον, υπερβολικά πολλοί πολίτες πλήττονται από ενεργειακή φτώχεια, καθώς και από οικονομική αδυναμία μετακινήσεων. Για την καταπολέμηση της οικονομικής αδυναμίας μετακινήσεων απαιτούνται σαφής ορισμός, δεσμευτικοί στόχοι και ανταλλαγή βέλτιστων πρακτικών. Το Κοινωνικό Ταμείο για το Κλίμα και τα κοινωνικά σχέδια για το κλίμα αποτελούν επίσης σημαντικά εργαλεία για την καταπολέμηση της ενεργειακής φτώχειας και της οικονομικής αδυναμίας μετακινήσεων.</w:t>
      </w:r>
    </w:p>
    <w:p w:rsidRPr="002C7AFD" w:rsidR="00CA24BC" w:rsidP="00491249" w:rsidRDefault="00CA24BC" w14:paraId="23109D53" w14:textId="77777777">
      <w:pPr>
        <w:rPr>
          <w:lang w:val="en-GB"/>
        </w:rPr>
      </w:pPr>
    </w:p>
    <w:p w:rsidRPr="002C7AFD" w:rsidR="00491249" w:rsidP="00491249" w:rsidRDefault="00491249" w14:paraId="6543CD76" w14:textId="77777777">
      <w:pPr>
        <w:pStyle w:val="Heading2"/>
      </w:pPr>
      <w:r>
        <w:t xml:space="preserve">Η ΕΟΚΕ στηρίζει την επιτάχυνση της επέκτασης των δικτύων και της ενέργειας από ανανεώσιμες πηγές μέσω ταχύτερων και απλουστευμένων διαδικασιών </w:t>
      </w:r>
      <w:proofErr w:type="spellStart"/>
      <w:r>
        <w:t>αδειοδότησης</w:t>
      </w:r>
      <w:proofErr w:type="spellEnd"/>
      <w:r>
        <w:t>, τις προσπάθειες ενθάρρυνσης των μεγάλων καταναλωτών να παράγουν τη δική τους ενέργεια από ανανεώσιμες πηγές, καθώς και την ανάπτυξη διευρωπαϊκών δικτύων ως κρίσιμων υποδομών. Η μεταρρύθμιση της αγοράς ηλεκτρικής ενέργειας που θεσπίστηκε πέρυσι μπορεί να αποτελέσει μόνο το πρώτο βήμα προς τον διαχωρισμό των τιμών ηλεκτρικής ενέργειας και αερίου.</w:t>
      </w:r>
    </w:p>
    <w:p w:rsidRPr="002C7AFD" w:rsidR="00491249" w:rsidP="00491249" w:rsidRDefault="00491249" w14:paraId="752E181B" w14:textId="77777777">
      <w:pPr>
        <w:rPr>
          <w:lang w:val="en-GB"/>
        </w:rPr>
      </w:pPr>
    </w:p>
    <w:p w:rsidRPr="002C7AFD" w:rsidR="00491249" w:rsidP="00491249" w:rsidRDefault="00491249" w14:paraId="045FC7C3" w14:textId="77777777">
      <w:pPr>
        <w:pStyle w:val="Heading2"/>
      </w:pPr>
      <w:r>
        <w:t xml:space="preserve">Κατά τις τελευταίες δύο δεκαετίες, οι τιμές των ενοικίων και των κατοικιών αυξήθηκαν σημαντικά πάνω από το μέσο διαθέσιμο εισόδημα σε ολόκληρη την ΕΕ, γεγονός που συνιστά δυσλειτουργία της αγοράς. Η ΕΟΚΕ πιστεύει ότι οι δημόσιες επενδύσεις σε </w:t>
      </w:r>
      <w:proofErr w:type="spellStart"/>
      <w:r>
        <w:t>προσβάσιμη</w:t>
      </w:r>
      <w:proofErr w:type="spellEnd"/>
      <w:r>
        <w:t xml:space="preserve"> και οικονομικά προσιτή στέγαση θα πρέπει να αποτελέσουν προτεραιότητα για το νέο πολυετές δημοσιονομικό πλαίσιο (ΠΔΠ). Η απλούστευση των κανόνων, καθώς και η έρευνα και η καινοτομία μπορούν να επιταχύνουν την κατασκευή και την ανακαίνιση και να μειώσουν το κόστος τους. Ιδιαίτερη προσοχή θα πρέπει να δοθεί στην κοινωνική στέγη και την οικονομικά προσιτή στέγη για τους νέους, καθώς πλήττονται σε μεγάλο βαθμό από το υψηλό κόστος στέγασης.</w:t>
      </w:r>
    </w:p>
    <w:p w:rsidRPr="002C7AFD" w:rsidR="00491249" w:rsidP="00491249" w:rsidRDefault="00491249" w14:paraId="697F325E" w14:textId="77777777">
      <w:pPr>
        <w:rPr>
          <w:lang w:val="en-GB"/>
        </w:rPr>
      </w:pPr>
    </w:p>
    <w:p w:rsidRPr="002C7AFD" w:rsidR="00491249" w:rsidP="00491249" w:rsidRDefault="00491249" w14:paraId="4FBC38A2" w14:textId="77777777">
      <w:pPr>
        <w:pStyle w:val="ListParagraph"/>
        <w:keepNext/>
        <w:keepLines/>
        <w:numPr>
          <w:ilvl w:val="0"/>
          <w:numId w:val="1"/>
        </w:numPr>
        <w:ind w:left="567" w:hanging="567"/>
        <w:jc w:val="left"/>
        <w:rPr>
          <w:b/>
          <w:bCs/>
        </w:rPr>
      </w:pPr>
      <w:r>
        <w:rPr>
          <w:b/>
        </w:rPr>
        <w:t>Ιστορικό</w:t>
      </w:r>
    </w:p>
    <w:p w:rsidRPr="002C7AFD" w:rsidR="00491249" w:rsidP="00491249" w:rsidRDefault="00491249" w14:paraId="02D57BB1" w14:textId="77777777">
      <w:pPr>
        <w:keepNext/>
        <w:rPr>
          <w:lang w:val="en-GB"/>
        </w:rPr>
      </w:pPr>
    </w:p>
    <w:p w:rsidRPr="002C7AFD" w:rsidR="00491249" w:rsidP="00491249" w:rsidRDefault="00491249" w14:paraId="52F6EACC" w14:textId="77777777">
      <w:pPr>
        <w:pStyle w:val="Heading2"/>
      </w:pPr>
      <w:r>
        <w:t>Ο πληθωρισμός στα κράτη μέλη της ΕΕ άρχισε να αυξάνεται απότομα κατά το δεύτερο εξάμηνο του 2021. Ο εναρμονισμένος δείκτης τιμών καταναλωτή (</w:t>
      </w:r>
      <w:proofErr w:type="spellStart"/>
      <w:r>
        <w:t>ΕνΔΤΚ</w:t>
      </w:r>
      <w:proofErr w:type="spellEnd"/>
      <w:r>
        <w:t xml:space="preserve">) κορυφώθηκε στο 11,5 % στην ΕΕ τον Οκτώβριο του 2022. Το 2023, ο </w:t>
      </w:r>
      <w:proofErr w:type="spellStart"/>
      <w:r>
        <w:t>ΕνΔΤΚ</w:t>
      </w:r>
      <w:proofErr w:type="spellEnd"/>
      <w:r>
        <w:t xml:space="preserve"> της ΕΕ μειώθηκε από 10 % σε 3,4 %, ενώ σταθεροποιήθηκε γύρω στο 2,5 % το 2024</w:t>
      </w:r>
      <w:r w:rsidRPr="002C7AFD">
        <w:rPr>
          <w:sz w:val="24"/>
          <w:szCs w:val="24"/>
          <w:vertAlign w:val="superscript"/>
          <w:lang w:val="en-GB"/>
        </w:rPr>
        <w:footnoteReference w:id="3"/>
      </w:r>
      <w:r>
        <w:t>. Ωστόσο, ο πληθωρισμός παραμένει πάνω από τον στόχο του 2%, αν και ποικίλλει μεταξύ των κρατών μελών.</w:t>
      </w:r>
    </w:p>
    <w:p w:rsidRPr="002C7AFD" w:rsidR="00491249" w:rsidP="00491249" w:rsidRDefault="00491249" w14:paraId="659A8879" w14:textId="77777777">
      <w:pPr>
        <w:rPr>
          <w:lang w:val="en-GB"/>
        </w:rPr>
      </w:pPr>
    </w:p>
    <w:p w:rsidRPr="00A04328" w:rsidR="00491249" w:rsidP="00491249" w:rsidRDefault="00491249" w14:paraId="74727E2B" w14:textId="77777777">
      <w:pPr>
        <w:pStyle w:val="Heading2"/>
      </w:pPr>
      <w:r>
        <w:t xml:space="preserve">Η τεράστια αύξηση του πληθωρισμού προήλθε από την αυξημένη ζήτηση μετά την πανδημία COVID-19 και την αύξηση των τιμών της ενέργειας από το δεύτερο εξάμηνο του 2021, η οποία προκλήθηκε από τις προετοιμασίες της Ρωσίας για τον επιθετικό της πόλεμο κατά της Ουκρανίας. Η αύξηση των τιμών της ενέργειας οδήγησε σε σημαντικές αυξήσεις του κόστους σε πολλούς οικονομικούς τομείς, με αντίστοιχο αντίκτυπο στην ανταγωνιστικότητα. Επιπλέον, το κόστος αυξήθηκε δραματικά για τα νοικοκυριά και τις επιχειρήσεις. Η αγοραστική δύναμη </w:t>
      </w:r>
      <w:r>
        <w:lastRenderedPageBreak/>
        <w:t xml:space="preserve">μειώθηκε λόγω της </w:t>
      </w:r>
      <w:proofErr w:type="spellStart"/>
      <w:r>
        <w:t>μετακύλισης</w:t>
      </w:r>
      <w:proofErr w:type="spellEnd"/>
      <w:r>
        <w:t xml:space="preserve"> του βάρους στους καταναλωτές. Από το δεύτερο εξάμηνο του 2023, το κόστος στέγασης αποτελεί επίσης σημαντικό παράγοντα του πληθωρισμού</w:t>
      </w:r>
      <w:r w:rsidRPr="002C7AFD">
        <w:rPr>
          <w:sz w:val="24"/>
          <w:szCs w:val="24"/>
          <w:vertAlign w:val="superscript"/>
          <w:lang w:val="en-GB"/>
        </w:rPr>
        <w:footnoteReference w:id="4"/>
      </w:r>
      <w:r>
        <w:t>. Διάφορες γεωπολιτικές και κοινωνικές προκλήσεις σε συνδυασμό με αυστηρούς δημοσιονομικούς κανόνες, καθώς και τα άνισα ανακατανεμημένα έκτακτα κέρδη (κυρίως στους τομείς της ενέργειας και των τραπεζών), η ανεπαρκής κοινωνική προστασία και οι άδικες εθνικές φορολογικές πολιτικές έχουν συμβάλει στην εμβάθυνση των κοινωνικών ανισοτήτων σε ορισμένα κράτη μέλη</w:t>
      </w:r>
      <w:r w:rsidRPr="002C7AFD">
        <w:rPr>
          <w:sz w:val="24"/>
          <w:szCs w:val="24"/>
          <w:vertAlign w:val="superscript"/>
          <w:lang w:val="en-GB"/>
        </w:rPr>
        <w:footnoteReference w:id="5"/>
      </w:r>
      <w:r>
        <w:t>.</w:t>
      </w:r>
    </w:p>
    <w:p w:rsidRPr="002C7AFD" w:rsidR="00491249" w:rsidP="00491249" w:rsidRDefault="00491249" w14:paraId="675F2D42" w14:textId="77777777">
      <w:pPr>
        <w:rPr>
          <w:lang w:val="en-GB"/>
        </w:rPr>
      </w:pPr>
    </w:p>
    <w:p w:rsidRPr="00A04328" w:rsidR="00491249" w:rsidP="00491249" w:rsidRDefault="00491249" w14:paraId="49581DB5" w14:textId="77777777">
      <w:pPr>
        <w:pStyle w:val="Heading2"/>
      </w:pPr>
      <w:r>
        <w:t>Ο πληθωρισμός οδηγεί σε απώλεια αγοραστικής δύναμης, όταν οι μισθοί δεν αυξάνονται στον ίδιο βαθμό, κάτι που επηρεάζει ιδιαίτερα τα ευάλωτα άτομα. Συνολικά, ποσοστό μεταξύ 8 % και 16 % των ατόμων στην ΕΕ (35-72 εκατ. άτομα) αντιμετωπίζει ενεργειακή φτώχεια</w:t>
      </w:r>
      <w:r w:rsidRPr="002C7AFD">
        <w:rPr>
          <w:rStyle w:val="FootnoteReference"/>
          <w:lang w:val="en-GB"/>
        </w:rPr>
        <w:footnoteReference w:id="6"/>
      </w:r>
      <w:r>
        <w:t>. Ιδιαίτερα πλήττονται οι γυναίκες με χαμηλά εισοδήματα, οι μονογονεϊκές οικογένειες, τα άτομα με αναπηρία, οι νέοι και οι συνταξιούχοι που ζουν μόνοι τους. Ταυτόχρονα, η παιδική φτώχεια αυξήθηκε σημαντικά στο 24,8 % το 2023</w:t>
      </w:r>
      <w:r w:rsidRPr="002C7AFD">
        <w:rPr>
          <w:rStyle w:val="FootnoteReference"/>
          <w:szCs w:val="24"/>
          <w:lang w:val="en-GB"/>
        </w:rPr>
        <w:footnoteReference w:id="7"/>
      </w:r>
      <w:r>
        <w:t>.</w:t>
      </w:r>
    </w:p>
    <w:p w:rsidRPr="002C7AFD" w:rsidR="00491249" w:rsidP="00491249" w:rsidRDefault="00491249" w14:paraId="547895B3" w14:textId="77777777">
      <w:pPr>
        <w:rPr>
          <w:lang w:val="en-GB"/>
        </w:rPr>
      </w:pPr>
    </w:p>
    <w:p w:rsidRPr="002C7AFD" w:rsidR="00491249" w:rsidP="00491249" w:rsidRDefault="00491249" w14:paraId="3113D1EA" w14:textId="77777777">
      <w:pPr>
        <w:pStyle w:val="Heading2"/>
      </w:pPr>
      <w:r>
        <w:t>Οι νέοι κανόνες της ΕΕ για την εμπορία δικαιωμάτων εκπομπών επεκτείνουν το σύστημα εμπορίας δικαιωμάτων εκπομπών (ΣΕΔΕ) στους τομείς των κτιρίων και των οδικών μεταφορών. Στο μέλλον, οι τιμές για τα πιστοποιητικά εκπομπών θα αυξηθούν. Η ΕΟΚΕ επισημαίνει ότι αυτές οι αυξήσεις τιμών πρέπει να μετριαστούν με υψηλότερα κονδύλια προς το Κοινωνικό Ταμείο για το Κλίμα και πρόσθετα μέτρα στα κράτη μέλη για τα ευάλωτα νοικοκυριά και εταιρείες μέσω των κοινωνικών σχεδίων για το κλίμα, τα οποία θα πρέπει να υποβάλλονται γρήγορα, να παρακολουθούνται και να αξιολογούνται στενά.</w:t>
      </w:r>
    </w:p>
    <w:p w:rsidRPr="002C7AFD" w:rsidR="00491249" w:rsidP="00491249" w:rsidRDefault="00491249" w14:paraId="6068C856" w14:textId="77777777">
      <w:pPr>
        <w:rPr>
          <w:lang w:val="en-GB"/>
        </w:rPr>
      </w:pPr>
    </w:p>
    <w:p w:rsidRPr="00A04328" w:rsidR="00491249" w:rsidP="00491249" w:rsidRDefault="00491249" w14:paraId="2EDA6C47" w14:textId="77777777">
      <w:pPr>
        <w:pStyle w:val="Heading2"/>
      </w:pPr>
      <w:r>
        <w:t>Ο υψηλός πληθωρισμός, που οφείλεται πρωτίστως στις αυξανόμενες τιμές των εισαγωγών ορυκτών καυσίμων (604 δισ. το 2022)</w:t>
      </w:r>
      <w:r w:rsidRPr="002C7AFD">
        <w:rPr>
          <w:rStyle w:val="FootnoteReference"/>
          <w:lang w:val="en-GB"/>
        </w:rPr>
        <w:footnoteReference w:id="8"/>
      </w:r>
      <w:r>
        <w:t>, οδηγεί στην εκτροπή κεφαλαίων προς ξένες εταιρείες και προς την κερδοφορία μεγάλων εταιρειών. Η κατάσταση διαφέρει όσον αφορά τις μισθολογικές αυξήσεις που σχετίζονται με τον πληθωρισμό, καθώς το πρόσθετο εισόδημα παραμένει κατά κύριο λόγο στην ίδια χώρα</w:t>
      </w:r>
      <w:r w:rsidRPr="002C7AFD">
        <w:rPr>
          <w:rStyle w:val="FootnoteReference"/>
          <w:szCs w:val="24"/>
          <w:lang w:val="en-GB"/>
        </w:rPr>
        <w:footnoteReference w:id="9"/>
      </w:r>
      <w:r>
        <w:t>.</w:t>
      </w:r>
    </w:p>
    <w:p w:rsidRPr="002C7AFD" w:rsidR="00491249" w:rsidP="00491249" w:rsidRDefault="00491249" w14:paraId="0C789BE4" w14:textId="77777777">
      <w:pPr>
        <w:rPr>
          <w:lang w:val="en-GB"/>
        </w:rPr>
      </w:pPr>
    </w:p>
    <w:p w:rsidRPr="002C7AFD" w:rsidR="00491249" w:rsidP="00491249" w:rsidRDefault="00491249" w14:paraId="0A0120DF" w14:textId="77777777">
      <w:pPr>
        <w:pStyle w:val="Heading2"/>
      </w:pPr>
      <w:r>
        <w:t xml:space="preserve">Δεδομένης της οικονομικής κατάστασης και των γεωπολιτικών εξελίξεων, το ζήτημα της ανταγωνιστικότητας καθίσταται βασική πρόκληση για την Ευρώπη. Μέσω των εκθέσεων </w:t>
      </w:r>
      <w:proofErr w:type="spellStart"/>
      <w:r>
        <w:t>Letta</w:t>
      </w:r>
      <w:proofErr w:type="spellEnd"/>
      <w:r>
        <w:t xml:space="preserve"> και </w:t>
      </w:r>
      <w:proofErr w:type="spellStart"/>
      <w:r>
        <w:t>Draghi</w:t>
      </w:r>
      <w:proofErr w:type="spellEnd"/>
      <w:r>
        <w:t>, η Επιτροπή επιδιώκει να καταστήσει την οικονομία της ΕΕ πιο ανταγωνιστική. Η ΕΟΚΕ πιστεύει ότι τα μέτρα για την αύξηση της ανταγωνιστικότητας πρέπει επίσης να συμβάλλουν στην προώθηση της ευημερίας και της ευεξίας για όλους και της κοινωνικής ανθεκτικότητας.</w:t>
      </w:r>
    </w:p>
    <w:p w:rsidRPr="002C7AFD" w:rsidR="00491249" w:rsidP="00491249" w:rsidRDefault="00491249" w14:paraId="6856B079" w14:textId="77777777">
      <w:pPr>
        <w:rPr>
          <w:lang w:val="en-GB"/>
        </w:rPr>
      </w:pPr>
    </w:p>
    <w:p w:rsidRPr="002C7AFD" w:rsidR="00491249" w:rsidP="00491249" w:rsidRDefault="00491249" w14:paraId="60BD0B44" w14:textId="77777777">
      <w:pPr>
        <w:pStyle w:val="Heading2"/>
      </w:pPr>
      <w:r>
        <w:lastRenderedPageBreak/>
        <w:t>Ο κ. </w:t>
      </w:r>
      <w:proofErr w:type="spellStart"/>
      <w:r>
        <w:t>Draghi</w:t>
      </w:r>
      <w:proofErr w:type="spellEnd"/>
      <w:r>
        <w:t xml:space="preserve">, στην έκθεσή του με θέμα «The </w:t>
      </w:r>
      <w:proofErr w:type="spellStart"/>
      <w:r>
        <w:t>future</w:t>
      </w:r>
      <w:proofErr w:type="spellEnd"/>
      <w:r>
        <w:t xml:space="preserve"> of European </w:t>
      </w:r>
      <w:proofErr w:type="spellStart"/>
      <w:r>
        <w:t>competitiveness</w:t>
      </w:r>
      <w:proofErr w:type="spellEnd"/>
      <w:r>
        <w:t xml:space="preserve">» (Το μέλλον της ευρωπαϊκής ανταγωνιστικότητας), τονίζει τη σημασία των ΥΚΩ για την καινοτομία, τη βιώσιμη ανάπτυξη, την οικονομική ασφάλεια της ΕΕ και την κοινωνική ετοιμότητα σε διάφορους τομείς, όπως ο ενεργειακός εφοδιασμός, οι υποδομές, η εκπαίδευση και η κατάρτιση. Οι δεξιότητες και οι γνώσεις των εργαζομένων αποτελούν ιδιαίτερα σημαντικό παράγοντα για τη διασφάλιση μακροχρόνιας ανταγωνιστικότητας. Η έκθεση </w:t>
      </w:r>
      <w:proofErr w:type="spellStart"/>
      <w:r>
        <w:t>Letta</w:t>
      </w:r>
      <w:proofErr w:type="spellEnd"/>
      <w:r>
        <w:t xml:space="preserve"> ζητεί ένα σχέδιο δράσης για ΥΚΩ υψηλής ποιότητας, οι οποίες χρειάζονται σταθερά φορολογικά έσοδα για τη διατήρηση και την ανάπτυξή τους.</w:t>
      </w:r>
    </w:p>
    <w:p w:rsidRPr="002C7AFD" w:rsidR="00491249" w:rsidP="00491249" w:rsidRDefault="00491249" w14:paraId="4F660C77" w14:textId="77777777">
      <w:pPr>
        <w:rPr>
          <w:lang w:val="en-GB"/>
        </w:rPr>
      </w:pPr>
    </w:p>
    <w:p w:rsidRPr="002C7AFD" w:rsidR="00491249" w:rsidP="00491249" w:rsidRDefault="00491249" w14:paraId="18F90620" w14:textId="77777777">
      <w:pPr>
        <w:pStyle w:val="Heading2"/>
      </w:pPr>
      <w:r>
        <w:t>Η παροχή δημόσιων υπηρεσιών έχει διάφορες οργανωτικές και νομικές μορφές σε ολόκληρη την Ευρώπη. Το φάσμα εκτείνεται από μορφές οργανισμών ιδιωτικού δικαίου έως την ανάθεση σε τρίτους μέσω διοικητικής συνεργασίας. Μπορούν να παρέχονται σε πλαίσια ΥΚΩ, είτε σε ανταγωνιστικές αγορές ως υπηρεσίες γενικού οικονομικού συμφέροντος (ΥΓΟΣ) είτε ως μη οικονομικές υπηρεσίες γενικού συμφέροντος που εξαιρούνται από τις εν λόγω αγορές.</w:t>
      </w:r>
    </w:p>
    <w:p w:rsidRPr="002C7AFD" w:rsidR="00491249" w:rsidP="00491249" w:rsidRDefault="00491249" w14:paraId="246CCBC0" w14:textId="77777777">
      <w:pPr>
        <w:rPr>
          <w:lang w:val="en-GB"/>
        </w:rPr>
      </w:pPr>
    </w:p>
    <w:p w:rsidRPr="00A04328" w:rsidR="00491249" w:rsidP="00491249" w:rsidRDefault="00491249" w14:paraId="7CD13B38" w14:textId="77777777">
      <w:pPr>
        <w:pStyle w:val="Heading2"/>
      </w:pPr>
      <w:r>
        <w:t>Οι ΥΚΩ συμβάλλουν σημαντικά στη δημιουργία αξίας και στην απασχόληση, ενώ ενισχύουν την ανθεκτικότητα της ΕΕ, ιδίως σε περιόδους κρίσης, όπως η πανδημία COVID-19 και η ενεργειακή κρίση. Το 2021, οι ΥΓΟΣ παρήγαγαν το 28,4% της συνολικής προστιθέμενης αξίας στην ΕΕ</w:t>
      </w:r>
      <w:r w:rsidRPr="002C7AFD">
        <w:rPr>
          <w:sz w:val="24"/>
          <w:szCs w:val="24"/>
          <w:vertAlign w:val="superscript"/>
          <w:lang w:val="en-GB"/>
        </w:rPr>
        <w:footnoteReference w:id="10"/>
      </w:r>
      <w:r>
        <w:t>. Η τόνωση των επενδύσεων σε βασικούς τομείς όπως η ενέργεια και η υγεία βελτιώνει επίσης την ποιότητα των ΥΚΩ. Καθώς εστιάζουν στο γενικό συμφέρον, μπορούν να περιορίσουν τον πληθωρισμό.</w:t>
      </w:r>
    </w:p>
    <w:p w:rsidRPr="002C7AFD" w:rsidR="00491249" w:rsidP="00491249" w:rsidRDefault="00491249" w14:paraId="01D9D593" w14:textId="77777777">
      <w:pPr>
        <w:rPr>
          <w:lang w:val="en-GB"/>
        </w:rPr>
      </w:pPr>
    </w:p>
    <w:p w:rsidRPr="002C7AFD" w:rsidR="00491249" w:rsidP="00491249" w:rsidRDefault="00491249" w14:paraId="1CE31031" w14:textId="77777777">
      <w:pPr>
        <w:pStyle w:val="Heading2"/>
      </w:pPr>
      <w:r>
        <w:t>Η πρόσβαση στις ΥΓΟΣ συνιστά θεμελιώδες δικαίωμα και περιλαμβάνεται στον ευρωπαϊκό πυλώνα κοινωνικών δικαιωμάτων. Ενώ η αρχή 20 του πυλώνα αναφέρεται ρητά σε «βασικές» ΥΚΩ, άλλες αρχές του πυλώνα καλύπτουν σημαντικές ΥΚΩ, όπως η εκπαίδευση, η στέγαση και η βοήθεια προς τους αστέγους, η μακροχρόνια φροντίδα, η ένταξη των ατόμων με αναπηρία και η υγειονομική περίθαλψη. Οι ΥΚΩ εντάσσονται στις κοινές αξίες της ΕΕ κατά την έννοια του άρθρου 14 ΣΛΕΕ, όπως ορίζεται στο Πρωτόκολλο (αριθ. 26) σχετικά με τις υπηρεσίες γενικού συμφέροντος, που προσαρτάται στη ΣΕΕ και στη ΣΛΕΕ, καθώς και στο άρθρο 36 του Χάρτη των Θεμελιωδών Δικαιωμάτων της ΕΕ.</w:t>
      </w:r>
    </w:p>
    <w:p w:rsidRPr="002C7AFD" w:rsidR="00491249" w:rsidP="00491249" w:rsidRDefault="00491249" w14:paraId="4DF0EC96" w14:textId="77777777">
      <w:pPr>
        <w:rPr>
          <w:lang w:val="en-GB"/>
        </w:rPr>
      </w:pPr>
    </w:p>
    <w:p w:rsidRPr="002C7AFD" w:rsidR="00491249" w:rsidP="00491249" w:rsidRDefault="00491249" w14:paraId="2EB11D98" w14:textId="77777777">
      <w:pPr>
        <w:pStyle w:val="Heading2"/>
      </w:pPr>
      <w:r>
        <w:t>Οι ΥΚΩ διαδραματίζουν σημαντικό ρόλο στην υλοποίηση της πράσινης και της ψηφιακής μετάβασης και στη διασφάλιση μιας κοινωνικά δίκαιης μετάβασης που δεν αφήνει κανέναν στο περιθώριο, καθώς και της κοινωνικής και οικονομικής συνοχής. Ωστόσο, αυτό θα επιτύχει μόνο εάν οι πολίτες διαπιστώσουν ότι ο μετασχηματισμός αυτός δημιουργεί οφέλη για τους ανθρώπους, τη φύση και την οικονομία και δεν αποβαίνει εις βάρος των εργαζομένων και των χώρων εργασίας τους, της κοινωνικής ασφάλισης και της ποιότητας των ΥΚΩ.</w:t>
      </w:r>
    </w:p>
    <w:p w:rsidRPr="002C7AFD" w:rsidR="00491249" w:rsidP="00491249" w:rsidRDefault="00491249" w14:paraId="5BC927A9" w14:textId="77777777">
      <w:pPr>
        <w:rPr>
          <w:lang w:val="en-GB"/>
        </w:rPr>
      </w:pPr>
    </w:p>
    <w:p w:rsidRPr="002C7AFD" w:rsidR="00491249" w:rsidP="00491249" w:rsidRDefault="00491249" w14:paraId="4F035742" w14:textId="77777777">
      <w:pPr>
        <w:pStyle w:val="Heading1"/>
        <w:keepNext/>
        <w:keepLines/>
        <w:rPr>
          <w:b/>
        </w:rPr>
      </w:pPr>
      <w:r>
        <w:rPr>
          <w:b/>
        </w:rPr>
        <w:t>Γενικές παρατηρήσεις</w:t>
      </w:r>
    </w:p>
    <w:p w:rsidRPr="002C7AFD" w:rsidR="00491249" w:rsidP="00491249" w:rsidRDefault="00491249" w14:paraId="4E376926" w14:textId="77777777">
      <w:pPr>
        <w:keepNext/>
        <w:rPr>
          <w:lang w:val="en-GB"/>
        </w:rPr>
      </w:pPr>
    </w:p>
    <w:p w:rsidRPr="002C7AFD" w:rsidR="00491249" w:rsidP="00491249" w:rsidRDefault="00491249" w14:paraId="3EC9BF68" w14:textId="77777777">
      <w:pPr>
        <w:pStyle w:val="Heading2"/>
      </w:pPr>
      <w:r>
        <w:t xml:space="preserve">Οι ΥΚΩ μπορούν να διασφαλίσουν ότι όλοι οι πολίτες και οι επιχειρήσεις έχουν πρόσβαση στις βασικές υπηρεσίες που αποτελούν τη βάση μιας αξιοπρεπούς ζωής σήμερα και στο μέλλον. Το ευρωπαϊκό κοινωνικό μοντέλο με οικονομικά προσιτές ΥΚΩ υψηλής ποιότητας είναι </w:t>
      </w:r>
      <w:r>
        <w:lastRenderedPageBreak/>
        <w:t xml:space="preserve">ουσιαστικό για την ευρωπαϊκή κοινωνική ανθεκτικότητα, ασφάλεια και άμυνα και αποτελεί τη βάση για τη δράση για το κλίμα, για μια ανθεκτική και ανταγωνιστική οικονομία και για την κοινωνική συνοχή στην ΕΕ. Επιπλέον, οι ΥΚΩ μπορούν να μετριάσουν τον αντίκτυπο του πληθωρισμού και των κρίσεων, καθώς είναι προσανατολισμένες στο γενικό δημόσιο συμφέρον. Τα κράτη μέλη χρειάζονται ευελιξία και αυτονομία για την οργάνωση των δημόσιων υπηρεσιών σύμφωνα με τις δικές τους ανάγκες και παραδόσεις, διασφαλίζοντας παράλληλα υψηλά πρότυπα, όπως η ποιότητα, η ασφάλεια, η οικονομική </w:t>
      </w:r>
      <w:proofErr w:type="spellStart"/>
      <w:r>
        <w:t>προσιτότητα</w:t>
      </w:r>
      <w:proofErr w:type="spellEnd"/>
      <w:r>
        <w:t xml:space="preserve"> και η καθολική πρόσβαση.</w:t>
      </w:r>
    </w:p>
    <w:p w:rsidRPr="002C7AFD" w:rsidR="00491249" w:rsidP="00491249" w:rsidRDefault="00491249" w14:paraId="5CC0C222" w14:textId="77777777">
      <w:pPr>
        <w:rPr>
          <w:lang w:val="en-GB"/>
        </w:rPr>
      </w:pPr>
    </w:p>
    <w:p w:rsidRPr="002C7AFD" w:rsidR="00491249" w:rsidP="00491249" w:rsidRDefault="00491249" w14:paraId="69E48BE2" w14:textId="77777777">
      <w:pPr>
        <w:pStyle w:val="Heading2"/>
      </w:pPr>
      <w:r>
        <w:t xml:space="preserve">Οι εργαζόμενοι σε δημόσιες ΥΚΩ και ΥΓΟΣ καλούνται να διαδραματίσουν καίριο ρόλο στην εκπλήρωση αυτών των καθηκόντων. Χρειάζονται επειγόντως επενδύσεις σε ΥΚΩ και ΥΓΟΣ για τη βελτίωση της ποιότητας και της οικονομικής </w:t>
      </w:r>
      <w:proofErr w:type="spellStart"/>
      <w:r>
        <w:t>προσιτότητάς</w:t>
      </w:r>
      <w:proofErr w:type="spellEnd"/>
      <w:r>
        <w:t xml:space="preserve"> τους, τη διασφάλιση της καθολικής πρόσβασης του κοινού και την τόνωση της οικονομίας. Οι επαρκώς αναπτυγμένες ΥΚΩ και ΥΓΟΣ βοηθούν τους πολίτες και την οικονομία να αντεπεξέρχονται καλύτερα σε κρίσεις και διαφυλάσσουν πολλές θέσεις εργασίας. Θα πρέπει να εξασφαλιστούν οικονομικοί και ανθρώπινοι πόροι, οι συνθήκες εργασίας να καταστούν ελκυστικότερες, να διασφαλιστεί η δίκαιη αμοιβή και να προωθηθούν εκστρατείες κατάρτισης. Θα πρέπει να διευρυνθεί η συμμετοχή της κοινωνίας των πολιτών και των κοινωνικών εταίρων, ιδίως ο κοινωνικός διάλογος.</w:t>
      </w:r>
    </w:p>
    <w:p w:rsidRPr="002C7AFD" w:rsidR="00491249" w:rsidP="00491249" w:rsidRDefault="00491249" w14:paraId="7FD74EC4" w14:textId="77777777">
      <w:pPr>
        <w:rPr>
          <w:lang w:val="en-GB"/>
        </w:rPr>
      </w:pPr>
    </w:p>
    <w:p w:rsidRPr="002C7AFD" w:rsidR="00491249" w:rsidP="00491249" w:rsidRDefault="00491249" w14:paraId="01F5A41A" w14:textId="0D1F0078">
      <w:pPr>
        <w:pStyle w:val="Heading2"/>
      </w:pPr>
      <w:r>
        <w:t>Η υιοθέτηση μιας προσέγγισης με γνώμονα το κέρδος όσον αφορά την παροχή ΥΓΟΣ χωρίς ικανή ρύθμιση και παρακολούθηση συχνά αυξάνει την ευπάθεια σε κρίσεις και μειώνει τις επιλογές διαχείρισης. Συνεπώς, θα πρέπει να δοθεί μεγαλύτερη έμφαση στο κοινό καλό και το δημόσιο όφελος. Η επαρκής χρηματοδότηση και επένδυση στις ΥΚΩ είναι καίριας σημασίας. Ενόψει των αυξανόμενων απειλών, η ΕΕ πρέπει να επιδιώξει την ασφάλεια, την ειρήνη, το κράτος δικαίου, τα ανθρώπινα δικαιώματα και την κοινωνική πρόοδο μέσω μιας ολοκληρωμένης πολιτικής ασφάλειας. Ως πρώτο βήμα, η ΕΟΚΕ στηρίζει τις προσπάθειες της Ευρωπαϊκής Επιτροπής να καταστήσει το δημοσιονομικό πλαίσιο της ΕΕ πιο ευέλικτο εν προκειμένω. Η ΕΟΚΕ τάσσεται υπέρ της εφαρμογής αυτού του κανόνα σε μια ευρύτερη προσέγγιση όσον αφορά τα μέτρα ασφάλειας και άμυνας, καθώς και τις ΥΚΩ, προκειμένου να δοθεί προτεραιότητα στις δημόσιες επενδύσεις που προσανατολίζονται στην ανάπτυξη και να αποφευχθεί ο συμβιβασμός μεταξύ αμυντικών και κοινωνικών δαπανών. Δεδομένης της οικονομικής ύφεσης στη ζώνη του ευρώ, καθώς και στην Ένωση στο σύνολό της, η ευελιξία είναι απαραίτητη για τη διασφάλιση της παραγωγικότητας και των κοινωνικών και περιβαλλοντικών θεμελίων προκειμένου να διασφαλιστεί η ευημερία των μελλοντικών γενεών και παράλληλα η δημοσιονομική βιωσιμότητα.</w:t>
      </w:r>
    </w:p>
    <w:p w:rsidRPr="002C7AFD" w:rsidR="00491249" w:rsidP="00BE1BA6" w:rsidRDefault="00491249" w14:paraId="47A52654" w14:textId="77777777">
      <w:pPr>
        <w:rPr>
          <w:lang w:val="en-GB"/>
        </w:rPr>
      </w:pPr>
    </w:p>
    <w:p w:rsidRPr="002C7AFD" w:rsidR="00491249" w:rsidP="00491249" w:rsidRDefault="00491249" w14:paraId="25BC36CB" w14:textId="77777777">
      <w:pPr>
        <w:pStyle w:val="Heading2"/>
      </w:pPr>
      <w:r>
        <w:t xml:space="preserve">Οι επιδοτήσεις ορυκτών καυσίμων εξακολουθούν να μειώνουν τα δημοσιονομικά περιθώρια των κρατών μελών για τη χρηματοδότηση άλλων προτεραιοτήτων, όπως οι ΥΚΩ υψηλής ποιότητας και τα μακροπρόθεσμα βιώσιμα μέτρα για την άμβλυνση της κρίσης του κόστους ζωής και την αύξηση της ανταγωνιστικότητας των επιχειρήσεων. Η μείωση των επιδοτήσεων αυτών με βάση ανάλυση κόστους-οφέλους μπορεί να παράσχει βραχυπρόθεσμη στήριξη στα ευάλωτα νοικοκυριά και πιο βιώσιμες λύσεις για την </w:t>
      </w:r>
      <w:proofErr w:type="spellStart"/>
      <w:r>
        <w:t>απανθρακοποιημένη</w:t>
      </w:r>
      <w:proofErr w:type="spellEnd"/>
      <w:r>
        <w:t xml:space="preserve"> ηλεκτρική ενέργεια και θέρμανση, καθώς και για την ανακαίνιση του αποθέματος κατοικιών, τη μείωση της φτώχειας στον τομέα των μεταφορών και την παροχή ΥΚΩ υψηλής ποιότητας για τη μείωση των τιμών.</w:t>
      </w:r>
    </w:p>
    <w:p w:rsidRPr="002C7AFD" w:rsidR="00491249" w:rsidP="00491249" w:rsidRDefault="00491249" w14:paraId="408EBECC" w14:textId="77777777">
      <w:pPr>
        <w:rPr>
          <w:lang w:val="en-GB"/>
        </w:rPr>
      </w:pPr>
    </w:p>
    <w:p w:rsidRPr="002C7AFD" w:rsidR="00491249" w:rsidP="00491249" w:rsidRDefault="00491249" w14:paraId="3F3A62AA" w14:textId="77777777">
      <w:pPr>
        <w:pStyle w:val="Heading2"/>
      </w:pPr>
      <w:r>
        <w:t>Το δίκαιο του ανταγωνισμού, ιδίως η νομοθεσία για τις κρατικές ενισχύσεις και η νομοθεσία για τις δημόσιες συμβάσεις, περιορίζει τον τρόπο οργάνωσης και χρηματοδότησης των ΥΚΩ και των ΥΓΟΣ. Οι ειδικοί κανόνες στη δέσμη για τις ΥΓΟΣ</w:t>
      </w:r>
      <w:r w:rsidRPr="002C7AFD">
        <w:rPr>
          <w:sz w:val="24"/>
          <w:szCs w:val="24"/>
          <w:vertAlign w:val="superscript"/>
          <w:lang w:val="en-GB"/>
        </w:rPr>
        <w:footnoteReference w:id="11"/>
      </w:r>
      <w:r>
        <w:t xml:space="preserve"> πρέπει να αναθεωρηθούν διεξοδικά. Πρέπει να προσδιοριστεί σαφώς ποιες ΥΚΩ εξαιρούνται από τη νομοθεσία για τις κρατικές ενισχύσεις. Για ορισμένες ΥΓΟΣ, όπως η στέγαση, η υγειονομική περίθαλψη και οι κοινωνικές υπηρεσίες, η ΕΟΚΕ προτείνει επίσης την παροχή περισσότερων κρατικών ενισχύσεων και μεγαλύτερων προθεσμιών για την αντιστάθμιση της παροχής υπηρεσιών. Για την προώθηση της περιφερειακής και της ευρωπαϊκής προστιθέμενης αξίας, οι απευθείας αναθέσεις θα πρέπει να διαφυλαχθούν και να επεκταθούν με την αύξηση των κατώτατων ορίων. Θα πρέπει να καταργηθούν οι προσεγγίσεις που βασίζονται αποκλειστικά στην τιμή και να ενθαρρύνεται ο καλύτερος και αποτελεσματικότερος τρόπος παροχής υπηρεσιών, καθώς και να μειωθούν οι αλυσίδες υπεργολαβίας ή να επιβληθεί η ευθύνη των γενικών αναδόχων, πράγμα που θα εναρμονίσει σημαντικά στοιχεία σε επίπεδο ΕΕ. Επιπλέον, η διάρκεια των συμβάσεων για κοινωνικές υπηρεσίες που περιορίζονται σε τρία έτη θα πρέπει να παραταθεί ώστε να διασφαλιστεί η σταθερότητα του σχεδιασμού τόσο για τους </w:t>
      </w:r>
      <w:proofErr w:type="spellStart"/>
      <w:r>
        <w:t>παρόχους</w:t>
      </w:r>
      <w:proofErr w:type="spellEnd"/>
      <w:r>
        <w:t xml:space="preserve"> όσο και για τους πελάτες.</w:t>
      </w:r>
    </w:p>
    <w:p w:rsidRPr="002C7AFD" w:rsidR="00491249" w:rsidP="00491249" w:rsidRDefault="00491249" w14:paraId="3DE7E355" w14:textId="77777777">
      <w:pPr>
        <w:rPr>
          <w:lang w:val="en-GB"/>
        </w:rPr>
      </w:pPr>
    </w:p>
    <w:p w:rsidRPr="002C7AFD" w:rsidR="00491249" w:rsidP="00491249" w:rsidRDefault="00491249" w14:paraId="040909FA" w14:textId="77777777">
      <w:pPr>
        <w:pStyle w:val="Heading2"/>
      </w:pPr>
      <w:r>
        <w:t>Το τοπικό επίπεδο βασίζεται σε επαρκείς ΥΚΩ, συνεπώς είναι ουσιαστικό να διαφυλάσσονται διαρκώς, επίσης σε επίπεδο ΕΕ. Ο μετριασμός της κλιματικής αλλαγής και η δράση για το κλίμα μπορούν να υλοποιηθούν ρεαλιστικά μόνο, εάν διασφαλιστεί η κοινωνική ασφάλιση. Μόνο σε ένα κοινωνικά και οικονομικά ασφαλές περιβάλλον θα αποδεχθούν και θα στηρίξουν μεγάλα τμήματα του πληθυσμού τη δράση για το κλίμα.</w:t>
      </w:r>
    </w:p>
    <w:p w:rsidRPr="002C7AFD" w:rsidR="00491249" w:rsidP="00491249" w:rsidRDefault="00491249" w14:paraId="69D063FB" w14:textId="77777777">
      <w:pPr>
        <w:rPr>
          <w:lang w:val="en-GB"/>
        </w:rPr>
      </w:pPr>
    </w:p>
    <w:p w:rsidRPr="002C7AFD" w:rsidR="00491249" w:rsidP="00491249" w:rsidRDefault="00491249" w14:paraId="7A987BCE" w14:textId="77777777">
      <w:pPr>
        <w:pStyle w:val="Heading2"/>
      </w:pPr>
      <w:r>
        <w:t xml:space="preserve">Η ΕΟΚΕ επικροτεί την εξαγγελία, από την Πρόεδρο της Επιτροπής </w:t>
      </w:r>
      <w:proofErr w:type="spellStart"/>
      <w:r>
        <w:t>Ursula</w:t>
      </w:r>
      <w:proofErr w:type="spellEnd"/>
      <w:r>
        <w:t xml:space="preserve"> </w:t>
      </w:r>
      <w:proofErr w:type="spellStart"/>
      <w:r>
        <w:t>von</w:t>
      </w:r>
      <w:proofErr w:type="spellEnd"/>
      <w:r>
        <w:t xml:space="preserve"> </w:t>
      </w:r>
      <w:proofErr w:type="spellStart"/>
      <w:r>
        <w:t>der</w:t>
      </w:r>
      <w:proofErr w:type="spellEnd"/>
      <w:r>
        <w:t xml:space="preserve"> </w:t>
      </w:r>
      <w:proofErr w:type="spellStart"/>
      <w:r>
        <w:t>Leyen</w:t>
      </w:r>
      <w:proofErr w:type="spellEnd"/>
      <w:r>
        <w:t>, σχεδίου δράσης για την εφαρμογή του ευρωπαϊκού πυλώνα κοινωνικών δικαιωμάτων, αναμένει δε ότι αυτό θα συμβάλλει στην ενίσχυση των ΥΚΩ.</w:t>
      </w:r>
    </w:p>
    <w:p w:rsidRPr="002C7AFD" w:rsidR="00491249" w:rsidP="00491249" w:rsidRDefault="00491249" w14:paraId="46D2960E" w14:textId="77777777">
      <w:pPr>
        <w:rPr>
          <w:lang w:val="en-GB"/>
        </w:rPr>
      </w:pPr>
    </w:p>
    <w:p w:rsidRPr="002C7AFD" w:rsidR="00491249" w:rsidP="00491249" w:rsidRDefault="00491249" w14:paraId="17D3799F" w14:textId="77777777">
      <w:pPr>
        <w:numPr>
          <w:ilvl w:val="1"/>
          <w:numId w:val="1"/>
        </w:numPr>
        <w:ind w:left="567" w:hanging="567"/>
        <w:outlineLvl w:val="1"/>
      </w:pPr>
      <w:r>
        <w:t xml:space="preserve">Η ΕΟΚΕ πιστεύει ότι τα ορθά δεδομένα είναι ουσιαστικά ώστε οι ΥΚΩ να πληρούν τα τέσσερα βασικά κριτήρια – διαθεσιμότητα, προσβασιμότητα, οικονομική </w:t>
      </w:r>
      <w:proofErr w:type="spellStart"/>
      <w:r>
        <w:t>προσιτότητα</w:t>
      </w:r>
      <w:proofErr w:type="spellEnd"/>
      <w:r>
        <w:t xml:space="preserve"> και επάρκεια. Η διαθεσιμότητα δεδομένων είναι ουσιαστική, για παράδειγμα, στον στεγαστικό τομέα, καθώς και στις ανταλλαγές μεταξύ ΥΚΩ, δημόσιων αρχών και επιστημόνων.</w:t>
      </w:r>
    </w:p>
    <w:p w:rsidRPr="002C7AFD" w:rsidR="00491249" w:rsidP="00491249" w:rsidRDefault="00491249" w14:paraId="26ED76C5" w14:textId="77777777">
      <w:pPr>
        <w:rPr>
          <w:lang w:val="en-GB"/>
        </w:rPr>
      </w:pPr>
    </w:p>
    <w:p w:rsidRPr="002C7AFD" w:rsidR="00491249" w:rsidP="00491249" w:rsidRDefault="00491249" w14:paraId="7EF22B45" w14:textId="77777777">
      <w:pPr>
        <w:pStyle w:val="Heading1"/>
        <w:keepNext/>
        <w:keepLines/>
        <w:rPr>
          <w:b/>
        </w:rPr>
      </w:pPr>
      <w:r>
        <w:rPr>
          <w:b/>
        </w:rPr>
        <w:t>Ειδικές παρατηρήσεις</w:t>
      </w:r>
    </w:p>
    <w:p w:rsidRPr="002C7AFD" w:rsidR="00491249" w:rsidP="00491249" w:rsidRDefault="00491249" w14:paraId="2B72EFC0" w14:textId="77777777">
      <w:pPr>
        <w:keepNext/>
        <w:rPr>
          <w:lang w:val="en-GB"/>
        </w:rPr>
      </w:pPr>
    </w:p>
    <w:p w:rsidRPr="002C7AFD" w:rsidR="00491249" w:rsidP="00491249" w:rsidRDefault="00491249" w14:paraId="736471FD" w14:textId="77777777">
      <w:pPr>
        <w:keepNext/>
        <w:keepLines/>
        <w:ind w:left="567" w:hanging="567"/>
        <w:rPr>
          <w:i/>
        </w:rPr>
      </w:pPr>
      <w:r>
        <w:rPr>
          <w:i/>
        </w:rPr>
        <w:t>Μεταφορές</w:t>
      </w:r>
    </w:p>
    <w:p w:rsidRPr="002C7AFD" w:rsidR="00491249" w:rsidP="00491249" w:rsidRDefault="00491249" w14:paraId="6F75DD8F" w14:textId="77777777">
      <w:pPr>
        <w:keepNext/>
        <w:keepLines/>
        <w:ind w:left="567" w:hanging="567"/>
        <w:rPr>
          <w:i/>
          <w:lang w:val="en-GB"/>
        </w:rPr>
      </w:pPr>
    </w:p>
    <w:p w:rsidRPr="002C7AFD" w:rsidR="00491249" w:rsidP="00491249" w:rsidRDefault="00491249" w14:paraId="17C1B176" w14:textId="77777777">
      <w:pPr>
        <w:pStyle w:val="Heading2"/>
      </w:pPr>
      <w:r>
        <w:t>Οι δημόσιες μεταφορές διαδραματίζουν κρίσιμο ρόλο στη διασφάλιση καθολικής και οικονομικά προσιτής κινητικότητας υψηλής ποιότητας. Από αυτές εξαρτώνται ιδίως τα άτομα μεγαλύτερης ηλικίας, οι νεότεροι και οι λιγότερο εύποροι πολίτες. Επιπλέον, οι αυξανόμενες τιμές των καυσίμων λόγω της ενεργειακής κρίσης έχουν οδηγήσει σε απότομη αύξηση του κόστους για την οικονομία και τους μετακινούμενους εργαζομένους. Ως αποτέλεσμα, όλο και περισσότεροι πολίτες πλήττονται από οικονομική αδυναμία μετακινήσεων</w:t>
      </w:r>
      <w:r w:rsidRPr="002C7AFD">
        <w:rPr>
          <w:rStyle w:val="FootnoteReference"/>
          <w:szCs w:val="24"/>
          <w:lang w:val="en-GB"/>
        </w:rPr>
        <w:footnoteReference w:id="12"/>
      </w:r>
      <w:r>
        <w:t xml:space="preserve">. Για την </w:t>
      </w:r>
      <w:r>
        <w:lastRenderedPageBreak/>
        <w:t>καταπολέμηση της οικονομικής αδυναμίας μετακινήσεων απαιτείται σαφής ορισμός, δεσμευτικοί στόχοι και ανταλλαγή βέλτιστων πρακτικών.</w:t>
      </w:r>
    </w:p>
    <w:p w:rsidRPr="002C7AFD" w:rsidR="00491249" w:rsidP="00491249" w:rsidRDefault="00491249" w14:paraId="7CC1AEBD" w14:textId="77777777">
      <w:pPr>
        <w:rPr>
          <w:lang w:val="en-GB"/>
        </w:rPr>
      </w:pPr>
    </w:p>
    <w:p w:rsidRPr="002C7AFD" w:rsidR="00491249" w:rsidP="00491249" w:rsidRDefault="00491249" w14:paraId="2D5995AD" w14:textId="77777777">
      <w:pPr>
        <w:pStyle w:val="Heading2"/>
      </w:pPr>
      <w:r>
        <w:t xml:space="preserve">Τόσο οι αστικές και οι περιφερειακές δημόσιες συγκοινωνίες όσο και οι διασυνοριακές μεταφορές μεγάλων αποστάσεων πρέπει να αναπτυχθούν, ώστε να παρέχουν στους μετακινούμενους εργαζομένους και στους ταξιδιώτες εναλλακτικές επιλογές αντί της οδήγησης και της πτήσης. Συνεπώς, οι </w:t>
      </w:r>
      <w:proofErr w:type="spellStart"/>
      <w:r>
        <w:t>κοινωνικοοικολογικές</w:t>
      </w:r>
      <w:proofErr w:type="spellEnd"/>
      <w:r>
        <w:t xml:space="preserve"> επενδύσεις σε </w:t>
      </w:r>
      <w:proofErr w:type="spellStart"/>
      <w:r>
        <w:t>πολυτροπικές</w:t>
      </w:r>
      <w:proofErr w:type="spellEnd"/>
      <w:r>
        <w:t xml:space="preserve"> και διασυνδεδεμένες δημόσιες μεταφορές πρέπει να εξαιρεθούν από τους δημοσιονομικούς κανόνες της ΕΕ. Επιπλέον, από το 2026 θα χρειαστεί διάδοχος του μηχανισμού ανάκαμψης και ανθεκτικότητας για την παροχή πρόσθετης </w:t>
      </w:r>
      <w:proofErr w:type="spellStart"/>
      <w:r>
        <w:t>ενωσιακής</w:t>
      </w:r>
      <w:proofErr w:type="spellEnd"/>
      <w:r>
        <w:t xml:space="preserve"> χρηματοδότησης, συμπεριλαμβανομένης μιας αποτελεσματικής διαδικασίας διακυβέρνησης, ιδίως για την επέκταση, τη σύνδεση και τον εκσυγχρονισμό του σιδηροδρομικού δικτύου. Η πρόσθετη χρηματοδότηση και η επέκταση της δυναμικότητας των δημόσιων μεταφορών και των </w:t>
      </w:r>
      <w:proofErr w:type="spellStart"/>
      <w:r>
        <w:t>πολυτροπικών</w:t>
      </w:r>
      <w:proofErr w:type="spellEnd"/>
      <w:r>
        <w:t xml:space="preserve"> σιδηροδρομικών μεταφορών θα μπορούσαν να μετριάσουν τις απώλειες θέσεων εργασίας σε άλλους τομείς λόγω της σχετικής αναδιάρθρωσης της οικονομίας.</w:t>
      </w:r>
    </w:p>
    <w:p w:rsidRPr="002C7AFD" w:rsidR="00491249" w:rsidP="00491249" w:rsidRDefault="00491249" w14:paraId="60CFE1FE" w14:textId="77777777">
      <w:pPr>
        <w:rPr>
          <w:lang w:val="en-GB"/>
        </w:rPr>
      </w:pPr>
    </w:p>
    <w:p w:rsidRPr="002C7AFD" w:rsidR="00491249" w:rsidP="00491249" w:rsidRDefault="00491249" w14:paraId="221DA671" w14:textId="77777777">
      <w:pPr>
        <w:pStyle w:val="Heading2"/>
      </w:pPr>
      <w:r>
        <w:t xml:space="preserve">Προκειμένου οι σιδηροδρομικές εμπορευματικές μεταφορές να καταστούν ελκυστικότερες, απαιτείται συνδυασμός μέτρων υποδομής, </w:t>
      </w:r>
      <w:proofErr w:type="spellStart"/>
      <w:r>
        <w:t>διαλειτουργικότητας</w:t>
      </w:r>
      <w:proofErr w:type="spellEnd"/>
      <w:r>
        <w:t>, ρυθμιστικών προσαρμογών, οικονομικών κινήτρων και τεχνολογικής καινοτομίας. Οι σιδηρόδρομοι πρέπει να γίνουν πιο αξιόπιστοι, φθηνότεροι και πιο ευέλικτοι. Ταυτόχρονα, οι εταιρείες θα πρέπει να ενθαρρυνθούν να μεταφέρουν περισσότερα εμπορεύματα σιδηροδρομικώς.</w:t>
      </w:r>
    </w:p>
    <w:p w:rsidRPr="002C7AFD" w:rsidR="00491249" w:rsidP="00491249" w:rsidRDefault="00491249" w14:paraId="6686F65E" w14:textId="77777777">
      <w:pPr>
        <w:rPr>
          <w:lang w:val="en-GB"/>
        </w:rPr>
      </w:pPr>
    </w:p>
    <w:p w:rsidRPr="002C7AFD" w:rsidR="00491249" w:rsidP="00491249" w:rsidRDefault="00491249" w14:paraId="62A672A0" w14:textId="77777777">
      <w:pPr>
        <w:pStyle w:val="Heading2"/>
      </w:pPr>
      <w:r>
        <w:t>Η ελευθέρωση των υπηρεσιών μεταφορών στην ΕΕ δεν είχε σε πολλά κράτη μέλη το επιθυμητό αποτέλεσμα. Δεν υπάρχει σχέση μεταξύ της ποιότητας των δημόσιων μεταφορών και του κατά πόσον η σχετική υπηρεσία αποτέλεσε αντικείμενο διαγωνισμού. Συνεπώς, πρέπει να προστατευθεί η ελευθερία των κρατών μελών να επιλέγουν μεταξύ απευθείας ανάθεσης και πρόσκλησης υποβολής προσφορών. Είναι σημαντικό οι υψηλής ποιότητας υπηρεσίες μεταφοράς να είναι ευρέως διαθέσιμες ως ΥΚΩ, τόσο στις τοπικές και τις περιφερειακές συγκοινωνίες όσο και στις μεταφορές μεγάλων αποστάσεων.</w:t>
      </w:r>
    </w:p>
    <w:p w:rsidRPr="002C7AFD" w:rsidR="00491249" w:rsidP="00491249" w:rsidRDefault="00491249" w14:paraId="26885558" w14:textId="77777777">
      <w:pPr>
        <w:rPr>
          <w:lang w:val="en-GB"/>
        </w:rPr>
      </w:pPr>
    </w:p>
    <w:p w:rsidRPr="002C7AFD" w:rsidR="00491249" w:rsidP="00491249" w:rsidRDefault="00491249" w14:paraId="573ED60D" w14:textId="77777777">
      <w:pPr>
        <w:keepNext/>
        <w:keepLines/>
        <w:ind w:left="567" w:hanging="567"/>
        <w:rPr>
          <w:i/>
        </w:rPr>
      </w:pPr>
      <w:r>
        <w:rPr>
          <w:i/>
        </w:rPr>
        <w:t>Ενέργεια</w:t>
      </w:r>
    </w:p>
    <w:p w:rsidRPr="002C7AFD" w:rsidR="00491249" w:rsidP="00491249" w:rsidRDefault="00491249" w14:paraId="20A69CB2" w14:textId="77777777">
      <w:pPr>
        <w:keepNext/>
        <w:keepLines/>
        <w:ind w:left="567" w:hanging="567"/>
        <w:rPr>
          <w:i/>
          <w:lang w:val="en-GB"/>
        </w:rPr>
      </w:pPr>
    </w:p>
    <w:p w:rsidRPr="00A04328" w:rsidR="00491249" w:rsidP="00491249" w:rsidRDefault="00491249" w14:paraId="32D628B0" w14:textId="77777777">
      <w:pPr>
        <w:pStyle w:val="Heading2"/>
      </w:pPr>
      <w:r>
        <w:t xml:space="preserve">Η έκθεση </w:t>
      </w:r>
      <w:proofErr w:type="spellStart"/>
      <w:r>
        <w:t>Draghi</w:t>
      </w:r>
      <w:proofErr w:type="spellEnd"/>
      <w:r>
        <w:t xml:space="preserve"> τονίζει ότι οι υψηλές τιμές της ενέργειας στην ΕΕ αποτελούν σοβαρό ανταγωνιστικό μειονέκτημα. Η ΕΟΚΕ στηρίζει την επιτάχυνση της επέκτασης των δικτύων και της ενέργειας από ανανεώσιμες πηγές μέσω ταχύτερων και απλουστευμένων διαδικασιών </w:t>
      </w:r>
      <w:proofErr w:type="spellStart"/>
      <w:r>
        <w:t>αδειοδότησης</w:t>
      </w:r>
      <w:proofErr w:type="spellEnd"/>
      <w:r>
        <w:t>, των προσπαθειών ενθάρρυνσης των καταναλωτών να παράγουν τη δική τους ηλεκτρική ενέργεια, της δημιουργίας και προώθησης ενεργειακών κοινοτήτων, καθώς και της ανάπτυξης διευρωπαϊκών δικτύων ως κρίσιμων υποδομών</w:t>
      </w:r>
      <w:r w:rsidRPr="002C7AFD">
        <w:rPr>
          <w:sz w:val="24"/>
          <w:szCs w:val="24"/>
          <w:vertAlign w:val="superscript"/>
          <w:lang w:val="en-GB"/>
        </w:rPr>
        <w:footnoteReference w:id="13"/>
      </w:r>
      <w:r>
        <w:t>.</w:t>
      </w:r>
    </w:p>
    <w:p w:rsidRPr="002C7AFD" w:rsidR="00491249" w:rsidP="00491249" w:rsidRDefault="00491249" w14:paraId="5CE3C17A" w14:textId="77777777">
      <w:pPr>
        <w:rPr>
          <w:lang w:val="en-GB"/>
        </w:rPr>
      </w:pPr>
    </w:p>
    <w:p w:rsidRPr="002C7AFD" w:rsidR="00491249" w:rsidP="00491249" w:rsidRDefault="00491249" w14:paraId="2882417C" w14:textId="77777777">
      <w:pPr>
        <w:pStyle w:val="Heading2"/>
      </w:pPr>
      <w:r>
        <w:t xml:space="preserve">Καθ' όλη τη διάρκεια της ενεργειακής κρίσης, η σύνδεση των τιμών της ηλεκτρικής ενέργειας και του αερίου οδήγησε σε υψηλότερες τιμές ηλεκτρικής ενέργειας, ακόμα και για σταθμούς ηλεκτροπαραγωγής που δεν χρειάστηκε να επωμιστούν καμία αύξηση του κόστους. Συνεπώς, η προσωρινή εισφορά επί των αποτελεσμάτων που θέσπισε η ΕΕ αποδείχθηκε σημαντική. Οι εταιρείες ενέργειας θα πρέπει να επικεντρωθούν περισσότερο στο δημόσιο συμφέρον και να </w:t>
      </w:r>
      <w:r>
        <w:lastRenderedPageBreak/>
        <w:t>διασφαλίσουν ότι το χαμηλό κόστος παραγωγής αποτυπώνεται στους λογαριασμούς των καταναλωτών. Η μεταρρύθμιση της αγοράς ηλεκτρικής ενέργειας που θεσπίστηκε πέρυσι μπορεί να αποτελέσει μόνο το πρώτο βήμα προς τον διαχωρισμό των τιμών ηλεκτρικής ενέργειας και αερίου.</w:t>
      </w:r>
    </w:p>
    <w:p w:rsidRPr="002C7AFD" w:rsidR="00491249" w:rsidP="00491249" w:rsidRDefault="00491249" w14:paraId="2816F58F" w14:textId="77777777">
      <w:pPr>
        <w:rPr>
          <w:lang w:val="en-GB"/>
        </w:rPr>
      </w:pPr>
    </w:p>
    <w:p w:rsidRPr="002C7AFD" w:rsidR="00491249" w:rsidP="00491249" w:rsidRDefault="00491249" w14:paraId="13D73BAE" w14:textId="77777777">
      <w:pPr>
        <w:pStyle w:val="Heading2"/>
      </w:pPr>
      <w:r>
        <w:t>Η ΕΟΚΕ επισημαίνει ότι η αγορά ηλεκτρικής ενέργειας δεν θα πρέπει μόνο να μεταρρυθμιστεί με σκοπό την επίτευξη του στόχου της κλιματικής ουδετερότητας έως το 2050 το αργότερο, αλλά και ότι ο στόχος αυτός πρέπει να συνδεθεί με τους στόχους της ασφάλειας του εφοδιασμού και της προσφοράς σταθερών και προσιτών τιμών</w:t>
      </w:r>
      <w:r w:rsidRPr="002C7AFD">
        <w:rPr>
          <w:rStyle w:val="FootnoteReference"/>
          <w:lang w:val="en-GB"/>
        </w:rPr>
        <w:footnoteReference w:id="14"/>
      </w:r>
      <w:r>
        <w:t>. Η ενεργειακή απόδοση εξακολουθεί να διαδραματίζει καίριο ρόλο και είναι ιδιαίτερα σημαντική για τα ευάλωτα νοικοκυριά.</w:t>
      </w:r>
    </w:p>
    <w:p w:rsidRPr="002C7AFD" w:rsidR="00491249" w:rsidP="00491249" w:rsidRDefault="00491249" w14:paraId="431935B0" w14:textId="77777777">
      <w:pPr>
        <w:rPr>
          <w:lang w:val="en-GB"/>
        </w:rPr>
      </w:pPr>
    </w:p>
    <w:p w:rsidRPr="002C7AFD" w:rsidR="00491249" w:rsidP="00491249" w:rsidRDefault="00491249" w14:paraId="392D729C" w14:textId="7961A4F3">
      <w:pPr>
        <w:pStyle w:val="Heading2"/>
      </w:pPr>
      <w:r>
        <w:t xml:space="preserve">35 έως 72 εκατομμύρια άτομα στην ΕΕ αντιμετωπίζουν ενεργειακή φτώχεια. Τα κράτη μέλη πρέπει να εκπληρώσουν τις υφιστάμενες υποχρεώσεις και να αντιμετωπίσουν την ενεργειακή φτώχεια στο πλαίσιο των κοινωνικών σχεδίων για το κλίμα. Τα σχέδια αυτά θα πρέπει να υποβάλλονται γρήγορα, να αξιολογούνται και να παρακολουθούνται στενά, ενώ το Κοινωνικό Ταμείο για το Κλίμα θα πρέπει να χρηματοδοτείται καλύτερα. Στο πλαίσιο αυτό, η ΕΟΚΕ </w:t>
      </w:r>
      <w:proofErr w:type="spellStart"/>
      <w:r>
        <w:t>εφιστά</w:t>
      </w:r>
      <w:proofErr w:type="spellEnd"/>
      <w:r>
        <w:t xml:space="preserve"> την προσοχή στη γνωμοδότησή της</w:t>
      </w:r>
      <w:r w:rsidRPr="002C7AFD" w:rsidR="009F5A50">
        <w:rPr>
          <w:rStyle w:val="FootnoteReference"/>
          <w:lang w:val="en-GB"/>
        </w:rPr>
        <w:footnoteReference w:id="15"/>
      </w:r>
      <w:r>
        <w:t>.</w:t>
      </w:r>
    </w:p>
    <w:p w:rsidRPr="002C7AFD" w:rsidR="00491249" w:rsidP="00491249" w:rsidRDefault="00491249" w14:paraId="1F92A410" w14:textId="77777777">
      <w:pPr>
        <w:rPr>
          <w:lang w:val="en-GB"/>
        </w:rPr>
      </w:pPr>
    </w:p>
    <w:p w:rsidRPr="002C7AFD" w:rsidR="00491249" w:rsidP="00491249" w:rsidRDefault="00491249" w14:paraId="57ACC809" w14:textId="77777777">
      <w:pPr>
        <w:pStyle w:val="Heading2"/>
      </w:pPr>
      <w:r>
        <w:t>Η ΕΟΚΕ επικροτεί την πρωτοβουλία της Ευρωπαϊκής Επιτροπής για ένα ευρωπαϊκό σχέδιο οικονομικά προσιτής στέγασης. Ενώ η στεγαστική πολιτική παραμένει αρμοδιότητα των κρατών μελών, η ΕΟΚΕ επισημαίνει ότι υπάρχει επείγουσα ανάγκη για συντονισμένη αντίδραση της ΕΕ για την αντιμετώπιση της έλλειψης οικονομικά προσιτής και βιώσιμης στέγασης.</w:t>
      </w:r>
    </w:p>
    <w:p w:rsidRPr="002C7AFD" w:rsidR="00491249" w:rsidP="00491249" w:rsidRDefault="00491249" w14:paraId="1A82F363" w14:textId="77777777">
      <w:pPr>
        <w:rPr>
          <w:lang w:val="en-GB"/>
        </w:rPr>
      </w:pPr>
    </w:p>
    <w:p w:rsidRPr="002C7AFD" w:rsidR="00491249" w:rsidP="00491249" w:rsidRDefault="00491249" w14:paraId="2CBFE8F2" w14:textId="77777777">
      <w:pPr>
        <w:keepNext/>
        <w:keepLines/>
        <w:ind w:left="567" w:hanging="567"/>
        <w:rPr>
          <w:i/>
        </w:rPr>
      </w:pPr>
      <w:r>
        <w:rPr>
          <w:i/>
        </w:rPr>
        <w:t>Στέγαση</w:t>
      </w:r>
    </w:p>
    <w:p w:rsidRPr="002C7AFD" w:rsidR="00491249" w:rsidP="00491249" w:rsidRDefault="00491249" w14:paraId="5958466F" w14:textId="77777777">
      <w:pPr>
        <w:keepNext/>
        <w:keepLines/>
        <w:ind w:left="567" w:hanging="567"/>
        <w:rPr>
          <w:i/>
          <w:lang w:val="en-GB"/>
        </w:rPr>
      </w:pPr>
    </w:p>
    <w:p w:rsidRPr="00A04328" w:rsidR="00491249" w:rsidP="00491249" w:rsidRDefault="00491249" w14:paraId="2A92E4D8" w14:textId="320208AC">
      <w:pPr>
        <w:pStyle w:val="ListParagraph"/>
        <w:numPr>
          <w:ilvl w:val="1"/>
          <w:numId w:val="1"/>
        </w:numPr>
        <w:ind w:left="567" w:hanging="567"/>
      </w:pPr>
      <w:r>
        <w:t>Κατά τις τελευταίες δύο δεκαετίες, οι τιμές των ενοικίων και των κατοικιών αυξήθηκαν σημαντικά πάνω από το μέσο διαθέσιμο εισόδημα σε ολόκληρη την ΕΕ, γεγονός που συνιστά δυσλειτουργία της αγοράς. Οι συντονισμένες ευρωπαϊκές πολιτικές λιτότητας μετά τη χρηματοπιστωτική και οικονομική κρίση του 2008 περιόρισαν σημαντικά την ικανότητα των εθνικών, περιφερειακών και τοπικών αρχών να παρέχουν οικονομικά προσιτή και αξιοπρεπή στέγαση. Αυτοί οι δύο παράγοντες οδήγησαν σε μείωση του αποθέματος κατοικιών στην Ευρώπη</w:t>
      </w:r>
      <w:r w:rsidRPr="002C7AFD">
        <w:rPr>
          <w:sz w:val="24"/>
          <w:szCs w:val="24"/>
          <w:vertAlign w:val="superscript"/>
          <w:lang w:val="en-GB"/>
        </w:rPr>
        <w:footnoteReference w:id="16"/>
      </w:r>
      <w:r>
        <w:t xml:space="preserve">. Ο αστικός εξευγενισμός και η παραοικονομία, π.χ. η αδήλωτη μίσθωση, καθώς και οι χρυσές βίζες, οι βραχυχρόνιες μισθώσεις και οι μαζικές εξαγορές από μεγάλα επενδυτικά ταμεία, έχουν επιδεινώσει περαιτέρω την κατάσταση σε ορισμένες χώρες και πόλεις. Στο πλαίσιο αυτό, η ΕΟΚΕ </w:t>
      </w:r>
      <w:proofErr w:type="spellStart"/>
      <w:r>
        <w:t>εφιστά</w:t>
      </w:r>
      <w:proofErr w:type="spellEnd"/>
      <w:r>
        <w:t xml:space="preserve"> την προσοχή σε άλλα αιτήματα που διατυπώθηκαν στη γνωμοδότησή της</w:t>
      </w:r>
      <w:r w:rsidRPr="002C7AFD">
        <w:rPr>
          <w:rStyle w:val="FootnoteReference"/>
          <w:szCs w:val="24"/>
          <w:lang w:val="en-GB"/>
        </w:rPr>
        <w:footnoteReference w:id="17"/>
      </w:r>
      <w:r>
        <w:t>.</w:t>
      </w:r>
    </w:p>
    <w:p w:rsidRPr="002C7AFD" w:rsidR="00491249" w:rsidP="00491249" w:rsidRDefault="00491249" w14:paraId="6062081C" w14:textId="77777777">
      <w:pPr>
        <w:pStyle w:val="ListParagraph"/>
        <w:ind w:left="567"/>
        <w:rPr>
          <w:lang w:val="en-GB"/>
        </w:rPr>
      </w:pPr>
    </w:p>
    <w:p w:rsidRPr="002C7AFD" w:rsidR="00491249" w:rsidP="00491249" w:rsidRDefault="00491249" w14:paraId="2BDE0B9D" w14:textId="77777777">
      <w:pPr>
        <w:pStyle w:val="Heading2"/>
        <w:jc w:val="thaiDistribute"/>
      </w:pPr>
      <w:r>
        <w:lastRenderedPageBreak/>
        <w:t>Η ΕΟΚΕ καλεί την Επιτροπή να στηρίξει τα κράτη μέλη με την έκδοση, κατά περίπτωση, συστάσεων προς αυτά, και να δημιουργήσει εργαλειοθήκη για τον περιορισμό των ανεξέλεγκτων αυξήσεων ενοικίων, μεταξύ άλλων μέσω της κανονιστικής ρύθμισης των ενοικίων, ενός φόρου για τις κενές κατοικίες με στόχο την ενοικίασή τους, εργαλείων χωροταξικού σχεδιασμού όπως η φορολόγηση των κερδών από χωροταξική αναδιαμόρφωση και η ειδική χωροταξική οριοθέτηση για την κοινωνική στέγη, φορολογικών κινήτρων για την ανακαίνιση κατοικιών, της αύξησης της κοινωνικής στέγης και της επιβολής ορίων στις άδειες βραχυχρόνιας μίσθωσης. Στο πλαίσιο αυτό, η ΕΟΚΕ ενθαρρύνει την Επιτροπή να παρουσιάσει το ευρωπαϊκό σχέδιο οικονομικά προσιτής στέγασης το συντομότερο δυνατόν, με ιδιαίτερη έμφαση στη βελτίωση της πρόσβασης των νέων, των ηλικιωμένων και των ατόμων με αναπηρία σε οικονομικά προσιτή στέγαση. Τα μέτρα που απαιτούνται βραχυπρόθεσμα, όπως η δημιουργία μιας πανευρωπαϊκής επενδυτικής πλατφόρμας για οικονομικά προσιτή και βιώσιμη στέγαση ή οι αλλαγές στη νομοθεσία περί επιδοτήσεων όσον αφορά την ευρύτερη πρόσβαση στην κοινωνική στέγαση, θα πρέπει να υλοποιηθούν πριν από τη δημοσίευση του εν λόγω σχεδίου.</w:t>
      </w:r>
    </w:p>
    <w:p w:rsidRPr="002C7AFD" w:rsidR="00491249" w:rsidP="00491249" w:rsidRDefault="00491249" w14:paraId="00706007" w14:textId="77777777">
      <w:pPr>
        <w:rPr>
          <w:lang w:val="en-GB"/>
        </w:rPr>
      </w:pPr>
    </w:p>
    <w:p w:rsidRPr="002C7AFD" w:rsidR="00491249" w:rsidP="00491249" w:rsidRDefault="00491249" w14:paraId="7220A5C9" w14:textId="77777777">
      <w:pPr>
        <w:pStyle w:val="Heading2"/>
      </w:pPr>
      <w:r>
        <w:t xml:space="preserve">Η ΕΟΚΕ υποστηρίζει ότι πρέπει να δοθούν περισσότερα κονδύλια για μακροπρόθεσμες επενδύσεις στην κοινωνική στέγαση, ενώ πιστεύει ότι οι δημόσιες επενδύσεις σε </w:t>
      </w:r>
      <w:proofErr w:type="spellStart"/>
      <w:r>
        <w:t>προσβάσιμη</w:t>
      </w:r>
      <w:proofErr w:type="spellEnd"/>
      <w:r>
        <w:t xml:space="preserve"> και οικονομικά προσιτή στέγαση θα πρέπει να αποτελέσουν προτεραιότητα για το νέο ΠΔΠ και να μην υπόκεινται στα καθεστώτα ρύθμισης χρέους που ορίζονται στους δημοσιονομικούς κανόνες του ΣΣΑ. Οι συμπράξεις δημόσιου και ιδιωτικού τομέα μπορούν επίσης να συμβάλουν στη χρηματοδότηση οικονομικά προσιτής στέγασης, εφόσον διασφαλίζεται ότι τα κέρδη και οι ζημίες κατανέμονται δίκαια μεταξύ των επενδυτών. Η μεικτή χρηματοδότηση που περιλαμβάνει ιδιώτες επενδυτές αποτελεί επιλογή μόνο εάν μπορεί να διασφαλιστεί ότι η χορήγηση πραγματοποιείται με διαφανή τρόπο, και ότι η εν λόγω μεικτή χρηματοδότηση δεν δημιουργεί αδικαιολόγητο πρόσθετο κόστος για τις δημόσιες αρχές σε σύγκριση με τη δημόσια χρηματοδότηση. Είναι ακόμη πιο σημαντικό στα εν λόγω μοντέλα μεικτής χρηματοδότησης να καθορίζονται με σαφήνεια τα δικαιώματα και οι υποχρεώσεις, να αποσαφηνίζονται τα ζητήματα ευθύνης και να προβλέπεται ένα αποδοτικό και ταχύ σύστημα επίλυσης διαφορών, ώστε να αποφεύγεται πρόσθετο μακροπρόθεσμο κόστος και δυσμενή ζητήματα ευθύνης.</w:t>
      </w:r>
    </w:p>
    <w:p w:rsidRPr="0044249B" w:rsidR="00491249" w:rsidP="00491249" w:rsidRDefault="00491249" w14:paraId="69850787" w14:textId="77777777">
      <w:pPr>
        <w:rPr>
          <w:sz w:val="16"/>
          <w:szCs w:val="16"/>
          <w:lang w:val="en-GB"/>
        </w:rPr>
      </w:pPr>
    </w:p>
    <w:p w:rsidRPr="002C7AFD" w:rsidR="00491249" w:rsidP="00491249" w:rsidRDefault="00491249" w14:paraId="2F7EC6FF" w14:textId="77777777">
      <w:pPr>
        <w:pStyle w:val="Heading2"/>
      </w:pPr>
      <w:r>
        <w:t xml:space="preserve">Η χρηματοδότηση οικονομικά προσιτής και βιώσιμης στέγασης απαιτεί σημαντικά κονδύλια. Είναι σημαντικό να απλουστευθούν τα χρηματοδοτικά μέσα και να καταστούν πιο συνεκτικά. Στο πλαίσιο αυτό, τα κονδύλια της πολιτικής συνοχής θα πρέπει να είναι </w:t>
      </w:r>
      <w:proofErr w:type="spellStart"/>
      <w:r>
        <w:t>στοχευμένα</w:t>
      </w:r>
      <w:proofErr w:type="spellEnd"/>
      <w:r>
        <w:t xml:space="preserve"> αποτελεσματικά, ώστε να αντιμετωπιστεί το ζήτημα της οικονομικά προσιτής στέγασης. Η ΕΟΚΕ προτείνει τη συστηματική και εντατικότερη εφαρμογή του Ευρωπαϊκού Ταμείου Περιφερειακής Ανάπτυξης και του Ταμείου Συνοχής για τις στεγαστικές ανάγκες.</w:t>
      </w:r>
    </w:p>
    <w:p w:rsidRPr="0044249B" w:rsidR="00491249" w:rsidP="00491249" w:rsidRDefault="00491249" w14:paraId="2DA4EF44" w14:textId="77777777">
      <w:pPr>
        <w:rPr>
          <w:sz w:val="16"/>
          <w:szCs w:val="16"/>
          <w:lang w:val="en-GB"/>
        </w:rPr>
      </w:pPr>
    </w:p>
    <w:p w:rsidRPr="002C7AFD" w:rsidR="00491249" w:rsidP="00491249" w:rsidRDefault="00491249" w14:paraId="2B7BDA3F" w14:textId="77777777">
      <w:pPr>
        <w:pStyle w:val="Heading2"/>
      </w:pPr>
      <w:r>
        <w:t>Πρέπει να τεθεί ένας ρεαλιστικός στόχος της ΕΕ για την κοινωνική στέγαση όσον αφορά την κατασκευή νέων κατοικιών, την ανακαίνιση ή τις κενές κατοικίες κατά την περίοδο 2024-2029. Προς τούτο, τα κράτη μέλη πρέπει, μεταξύ άλλων, να διαθέσουν επαρκές ποσοστό γης για μη κερδοσκοπική στέγαση. Η απλούστευση των κανόνων, καθώς και η έρευνα και η καινοτομία μπορούν να επιταχύνουν την κατασκευή και την ανακαίνιση και να μειώσουν το κόστος. Η νομική ασφάλεια είναι καίριας σημασίας για τους επενδυτές.</w:t>
      </w:r>
    </w:p>
    <w:p w:rsidRPr="0044249B" w:rsidR="00491249" w:rsidP="00491249" w:rsidRDefault="00491249" w14:paraId="497074DC" w14:textId="77777777">
      <w:pPr>
        <w:rPr>
          <w:sz w:val="16"/>
          <w:szCs w:val="16"/>
          <w:lang w:val="en-GB"/>
        </w:rPr>
      </w:pPr>
    </w:p>
    <w:p w:rsidRPr="002C7AFD" w:rsidR="00491249" w:rsidP="00491249" w:rsidRDefault="00491249" w14:paraId="7A3FEAD1" w14:textId="77777777">
      <w:pPr>
        <w:pStyle w:val="Heading2"/>
        <w:keepNext/>
      </w:pPr>
      <w:r>
        <w:lastRenderedPageBreak/>
        <w:t>Η ΕΟΚΕ ζητεί:</w:t>
      </w:r>
    </w:p>
    <w:p w:rsidRPr="0044249B" w:rsidR="00491249" w:rsidP="00491249" w:rsidRDefault="00491249" w14:paraId="01205E66" w14:textId="77777777">
      <w:pPr>
        <w:keepNext/>
        <w:rPr>
          <w:sz w:val="16"/>
          <w:szCs w:val="16"/>
          <w:lang w:val="en-GB"/>
        </w:rPr>
      </w:pPr>
    </w:p>
    <w:p w:rsidRPr="002C7AFD" w:rsidR="00491249" w:rsidP="00491249" w:rsidRDefault="00491249" w14:paraId="51D215F1" w14:textId="77777777">
      <w:pPr>
        <w:pStyle w:val="ListParagraph"/>
        <w:numPr>
          <w:ilvl w:val="0"/>
          <w:numId w:val="7"/>
        </w:numPr>
        <w:spacing w:line="276" w:lineRule="auto"/>
        <w:ind w:left="993"/>
      </w:pPr>
      <w:r>
        <w:t>κινητοποίηση τόσο ιδιωτικών όσο και δημόσιων επενδύσεων·</w:t>
      </w:r>
    </w:p>
    <w:p w:rsidRPr="002C7AFD" w:rsidR="00491249" w:rsidP="00491249" w:rsidRDefault="00491249" w14:paraId="03A0A2CF" w14:textId="77777777">
      <w:pPr>
        <w:pStyle w:val="ListParagraph"/>
        <w:numPr>
          <w:ilvl w:val="0"/>
          <w:numId w:val="7"/>
        </w:numPr>
        <w:spacing w:line="276" w:lineRule="auto"/>
        <w:ind w:left="993"/>
      </w:pPr>
      <w:r>
        <w:t>βελτίωση της πρόσβασης των νοικοκυριών και των νέων σε ενυπόθηκα δάνεια και συμπερίληψη ασφαλιστικών δικλείδων για την πρόληψη της αύξησης των ιδιωτικών πτωχεύσεων·</w:t>
      </w:r>
    </w:p>
    <w:p w:rsidRPr="002C7AFD" w:rsidR="00491249" w:rsidP="00491249" w:rsidRDefault="00491249" w14:paraId="44929F7D" w14:textId="77777777">
      <w:pPr>
        <w:pStyle w:val="ListParagraph"/>
        <w:numPr>
          <w:ilvl w:val="0"/>
          <w:numId w:val="7"/>
        </w:numPr>
        <w:spacing w:line="276" w:lineRule="auto"/>
        <w:ind w:left="993"/>
      </w:pPr>
      <w:proofErr w:type="spellStart"/>
      <w:r>
        <w:t>εξορθολογισμένο</w:t>
      </w:r>
      <w:proofErr w:type="spellEnd"/>
      <w:r>
        <w:t xml:space="preserve"> κανονιστικό και διοικητικό εργασιακό περιβάλλον για τις κατασκευαστικές εταιρείες, με σαφείς κανόνες που μπορούν να επιταχύνουν τις κατασκευαστικές διαδικασίες, να μειώσουν το κόστος κατασκευής, να βελτιώσουν τις συνθήκες εργασίας, να ενισχύσουν την ανταγωνιστικότητα και τους ικανούς μισθούς και να δημιουργήσουν συνολική οικονομική </w:t>
      </w:r>
      <w:proofErr w:type="spellStart"/>
      <w:r>
        <w:t>προσιτότητα</w:t>
      </w:r>
      <w:proofErr w:type="spellEnd"/>
      <w:r>
        <w:t>·</w:t>
      </w:r>
    </w:p>
    <w:p w:rsidRPr="002C7AFD" w:rsidR="00491249" w:rsidP="00491249" w:rsidRDefault="00491249" w14:paraId="47FD5268" w14:textId="77777777">
      <w:pPr>
        <w:pStyle w:val="ListParagraph"/>
        <w:numPr>
          <w:ilvl w:val="0"/>
          <w:numId w:val="7"/>
        </w:numPr>
        <w:spacing w:line="276" w:lineRule="auto"/>
        <w:ind w:left="993"/>
      </w:pPr>
      <w:r>
        <w:t xml:space="preserve">μεγαλύτερη στήριξη της έρευνας και της καινοτομίας, καθώς και της </w:t>
      </w:r>
      <w:proofErr w:type="spellStart"/>
      <w:r>
        <w:t>ψηφιοποίησης</w:t>
      </w:r>
      <w:proofErr w:type="spellEnd"/>
      <w:r>
        <w:t xml:space="preserve">, μέσω των </w:t>
      </w:r>
      <w:proofErr w:type="spellStart"/>
      <w:r>
        <w:t>ενωσιακών</w:t>
      </w:r>
      <w:proofErr w:type="spellEnd"/>
      <w:r>
        <w:t xml:space="preserve"> ταμείων, για την αύξηση της παραγωγικότητας του κατασκευαστικού κλάδου·</w:t>
      </w:r>
    </w:p>
    <w:p w:rsidRPr="002C7AFD" w:rsidR="00491249" w:rsidP="00491249" w:rsidRDefault="00491249" w14:paraId="5C4F2B02" w14:textId="77777777">
      <w:pPr>
        <w:pStyle w:val="ListParagraph"/>
        <w:numPr>
          <w:ilvl w:val="0"/>
          <w:numId w:val="7"/>
        </w:numPr>
        <w:spacing w:line="276" w:lineRule="auto"/>
        <w:ind w:left="993"/>
      </w:pPr>
      <w:r>
        <w:t>καταβολή μεγαλύτερων προσπαθειών από όλους τους συναρμόδιους φορείς για την αύξηση της ελκυστικότητας του τομέα με σκοπό την αντιμετώπιση της έλλειψης ειδικευμένου εργατικού δυναμικού μέσω της βελτίωσης των συνθηκών εργασίας, των μισθών κλπ.</w:t>
      </w:r>
    </w:p>
    <w:p w:rsidRPr="0044249B" w:rsidR="00491249" w:rsidP="00491249" w:rsidRDefault="00491249" w14:paraId="6431D3A6" w14:textId="77777777">
      <w:pPr>
        <w:rPr>
          <w:sz w:val="16"/>
          <w:szCs w:val="16"/>
          <w:lang w:val="en-GB"/>
        </w:rPr>
      </w:pPr>
    </w:p>
    <w:p w:rsidRPr="002C7AFD" w:rsidR="00491249" w:rsidP="00491249" w:rsidRDefault="00491249" w14:paraId="66918508" w14:textId="77777777">
      <w:pPr>
        <w:pStyle w:val="Heading2"/>
      </w:pPr>
      <w:r>
        <w:t xml:space="preserve">Η ΕΟΚΕ καλεί την Επιτροπή να αναγνωρίσει την κοινωνική στέγαση ως βασικό και ελπιδοφόρο εργαλείο ενεργών πολιτικών στέγασης. Το θεμελιώδες δικαίωμα σε οικονομικά προσιτή, </w:t>
      </w:r>
      <w:proofErr w:type="spellStart"/>
      <w:r>
        <w:t>προσβάσιμη</w:t>
      </w:r>
      <w:proofErr w:type="spellEnd"/>
      <w:r>
        <w:t xml:space="preserve"> και αξιοπρεπή στέγαση για όλους θα πρέπει να κατοχυρώνεται στο πρωτογενές δίκαιο της ΕΕ. Επιπλέον, οι δείκτες στέγασης θα πρέπει να συμπεριληφθούν στα εθνικά προγράμματα μεταρρυθμίσεων και στα προγράμματα σταθερότητας/σύγκλισης.</w:t>
      </w:r>
    </w:p>
    <w:p w:rsidRPr="0044249B" w:rsidR="00491249" w:rsidP="00491249" w:rsidRDefault="00491249" w14:paraId="77A97C2A" w14:textId="77777777">
      <w:pPr>
        <w:rPr>
          <w:sz w:val="16"/>
          <w:szCs w:val="16"/>
          <w:lang w:val="en-GB"/>
        </w:rPr>
      </w:pPr>
    </w:p>
    <w:p w:rsidRPr="002C7AFD" w:rsidR="00491249" w:rsidP="00491249" w:rsidRDefault="00491249" w14:paraId="3C0D458E" w14:textId="77777777">
      <w:pPr>
        <w:pStyle w:val="Heading2"/>
      </w:pPr>
      <w:r>
        <w:t>Προκειμένου να διατηρηθεί η ελευθερία επιλογής, θα πρέπει επίσης να διατίθεται οικονομικά προσιτή στέγαση κοντά στους χώρους εργασίας των ανθρώπων. Η δυνατότητα μετάβασης στην εργασία με δημόσιες συγκοινωνίες είναι καλύτερη για το περιβάλλον και την οικονομία. Ο χωροταξικός σχεδιασμός είναι καίριας σημασίας για τον συνυπολογισμό των κοινωνικών αναγκών, τη μείωση της ανάγκης μετακίνησης και τη βελτίωση της ποιότητας ζωής.</w:t>
      </w:r>
    </w:p>
    <w:p w:rsidRPr="0044249B" w:rsidR="00491249" w:rsidP="00491249" w:rsidRDefault="00491249" w14:paraId="64321A72" w14:textId="77777777">
      <w:pPr>
        <w:rPr>
          <w:sz w:val="16"/>
          <w:szCs w:val="16"/>
          <w:lang w:val="en-GB"/>
        </w:rPr>
      </w:pPr>
    </w:p>
    <w:p w:rsidRPr="002C7AFD" w:rsidR="00491249" w:rsidP="00491249" w:rsidRDefault="00491249" w14:paraId="712D7AA7" w14:textId="77777777">
      <w:pPr>
        <w:numPr>
          <w:ilvl w:val="1"/>
          <w:numId w:val="1"/>
        </w:numPr>
        <w:ind w:left="567" w:hanging="567"/>
        <w:outlineLvl w:val="1"/>
      </w:pPr>
      <w:r>
        <w:t>Η ΕΟΚΕ καλεί όλα τα κράτη μέλη, με τη στήριξη της Επιτροπής, να εφαρμόσουν την αρχή «Προτεραιότητα στη στέγαση των νέων» και να καταρτίσουν ειδικά προγράμματα, όπως για τη διεύρυνση της διαθεσιμότητας οικονομικά προσιτής στέγασης σπουδαστών στις πόλεις με πανεπιστήμια, με σκοπό τη διάθεση πιο οικονομικά προσιτής στέγασης στους νέους γενικότερα.</w:t>
      </w:r>
    </w:p>
    <w:p w:rsidRPr="0044249B" w:rsidR="00491249" w:rsidP="00491249" w:rsidRDefault="00491249" w14:paraId="78C74071" w14:textId="77777777">
      <w:pPr>
        <w:rPr>
          <w:sz w:val="16"/>
          <w:szCs w:val="16"/>
          <w:lang w:val="en-GB"/>
        </w:rPr>
      </w:pPr>
    </w:p>
    <w:p w:rsidRPr="002C7AFD" w:rsidR="00491249" w:rsidP="00491249" w:rsidRDefault="00491249" w14:paraId="63F60D8E" w14:textId="6C764B72">
      <w:r>
        <w:t>Βρυξέλλες, 30 Απριλίου 2025.</w:t>
      </w:r>
    </w:p>
    <w:p w:rsidRPr="0044249B" w:rsidR="00491249" w:rsidP="00491249" w:rsidRDefault="00491249" w14:paraId="7172F386" w14:textId="77777777">
      <w:pPr>
        <w:rPr>
          <w:sz w:val="16"/>
          <w:szCs w:val="16"/>
          <w:lang w:val="en-GB"/>
        </w:rPr>
      </w:pPr>
    </w:p>
    <w:p w:rsidRPr="0044249B" w:rsidR="00491249" w:rsidP="00491249" w:rsidRDefault="00491249" w14:paraId="61F54DF2" w14:textId="77777777">
      <w:pPr>
        <w:rPr>
          <w:sz w:val="16"/>
          <w:szCs w:val="16"/>
          <w:lang w:val="en-GB"/>
        </w:rPr>
      </w:pPr>
    </w:p>
    <w:p w:rsidRPr="002C7AFD" w:rsidR="00491249" w:rsidP="00491249" w:rsidRDefault="00491249" w14:paraId="1ABC16E8" w14:textId="5EF74893">
      <w:pPr>
        <w:rPr>
          <w:i/>
          <w:iCs/>
        </w:rPr>
      </w:pPr>
      <w:r>
        <w:rPr>
          <w:i/>
        </w:rPr>
        <w:t>O Πρόεδρος της Ευρωπαϊκής Οικονομικής και Κοινωνικής Επιτροπής</w:t>
      </w:r>
    </w:p>
    <w:p w:rsidRPr="00BE1BA6" w:rsidR="00491249" w:rsidP="00491249" w:rsidRDefault="00491249" w14:paraId="3CC77B87" w14:textId="4FA82364">
      <w:pPr>
        <w:rPr>
          <w:i/>
          <w:iCs/>
        </w:rPr>
      </w:pPr>
      <w:proofErr w:type="spellStart"/>
      <w:r>
        <w:t>Oliver</w:t>
      </w:r>
      <w:proofErr w:type="spellEnd"/>
      <w:r>
        <w:t xml:space="preserve"> RÖPKE</w:t>
      </w:r>
    </w:p>
    <w:p w:rsidRPr="0044249B" w:rsidR="00491249" w:rsidP="00BE1BA6" w:rsidRDefault="00491249" w14:paraId="237EAD4B" w14:textId="77777777">
      <w:pPr>
        <w:rPr>
          <w:sz w:val="16"/>
          <w:szCs w:val="16"/>
          <w:lang w:val="en-GB"/>
        </w:rPr>
      </w:pPr>
    </w:p>
    <w:p w:rsidRPr="002C7AFD" w:rsidR="00F53370" w:rsidP="0044249B" w:rsidRDefault="00491249" w14:paraId="606E30F2" w14:textId="47C4F723">
      <w:pPr>
        <w:jc w:val="center"/>
        <w:outlineLvl w:val="1"/>
      </w:pPr>
      <w:r>
        <w:t>_____________</w:t>
      </w:r>
    </w:p>
    <w:sectPr w:rsidRPr="002C7AFD" w:rsidR="00F53370" w:rsidSect="001E74A1">
      <w:headerReference w:type="default" r:id="rId21"/>
      <w:footerReference w:type="default" r:id="rId22"/>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A282" w14:textId="77777777" w:rsidR="00402AF7" w:rsidRDefault="00402AF7" w:rsidP="00F53370">
      <w:pPr>
        <w:spacing w:line="240" w:lineRule="auto"/>
      </w:pPr>
      <w:r>
        <w:separator/>
      </w:r>
    </w:p>
  </w:endnote>
  <w:endnote w:type="continuationSeparator" w:id="0">
    <w:p w14:paraId="6C928EBC" w14:textId="77777777" w:rsidR="00402AF7" w:rsidRDefault="00402AF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C9F53" w14:textId="77777777" w:rsidR="000720FE" w:rsidRDefault="00072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20CE" w14:textId="77777777" w:rsidR="000720FE" w:rsidRDefault="000720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F3BC" w14:textId="77777777" w:rsidR="000720FE" w:rsidRDefault="00072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74B7"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3177E" w14:textId="39D8004A" w:rsidR="0084105C" w:rsidRPr="003065C9" w:rsidRDefault="000720FE" w:rsidP="000720FE">
    <w:pPr>
      <w:pStyle w:val="Footer"/>
      <w:jc w:val="left"/>
    </w:pPr>
    <w:r>
      <w:t xml:space="preserve">TEN/846 – EESC-2024-04532-00-01-AC-TRA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7D122E">
      <w:fldChar w:fldCharType="begin"/>
    </w:r>
    <w:r w:rsidR="007D122E">
      <w:instrText xml:space="preserve"> NUMPAGES </w:instrText>
    </w:r>
    <w:r w:rsidR="007D122E">
      <w:fldChar w:fldCharType="separate"/>
    </w:r>
    <w:r w:rsidR="006B6AB8">
      <w:rPr>
        <w:noProof/>
      </w:rPr>
      <w:instrText>12</w:instrText>
    </w:r>
    <w:r w:rsidR="007D122E">
      <w:fldChar w:fldCharType="end"/>
    </w:r>
    <w:r>
      <w:instrText xml:space="preserve"> - 2 </w:instrText>
    </w:r>
    <w:r>
      <w:fldChar w:fldCharType="separate"/>
    </w:r>
    <w:r w:rsidR="006B6AB8">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F8855" w14:textId="77777777" w:rsidR="00402AF7" w:rsidRDefault="00402AF7" w:rsidP="00F53370">
      <w:pPr>
        <w:spacing w:line="240" w:lineRule="auto"/>
      </w:pPr>
      <w:r>
        <w:separator/>
      </w:r>
    </w:p>
  </w:footnote>
  <w:footnote w:type="continuationSeparator" w:id="0">
    <w:p w14:paraId="67230AD8" w14:textId="77777777" w:rsidR="00402AF7" w:rsidRDefault="00402AF7" w:rsidP="00F53370">
      <w:pPr>
        <w:spacing w:line="240" w:lineRule="auto"/>
      </w:pPr>
      <w:r>
        <w:continuationSeparator/>
      </w:r>
    </w:p>
  </w:footnote>
  <w:footnote w:id="1">
    <w:p w14:paraId="7A2D72E8" w14:textId="78030CCE" w:rsidR="00491249" w:rsidRDefault="00491249" w:rsidP="00491249">
      <w:pPr>
        <w:pStyle w:val="FootnoteText"/>
      </w:pPr>
      <w:r>
        <w:rPr>
          <w:rStyle w:val="FootnoteReference"/>
          <w:lang w:val="en-GB"/>
        </w:rPr>
        <w:footnoteRef/>
      </w:r>
      <w:r>
        <w:tab/>
        <w:t xml:space="preserve">Γνωμοδότηση CCMI/239 με θέμα </w:t>
      </w:r>
      <w:hyperlink r:id="rId1" w:history="1">
        <w:proofErr w:type="spellStart"/>
        <w:r>
          <w:rPr>
            <w:rStyle w:val="Hyperlink"/>
            <w:i/>
          </w:rPr>
          <w:t>Επανεκβιομηχάνιση</w:t>
        </w:r>
        <w:proofErr w:type="spellEnd"/>
        <w:r>
          <w:rPr>
            <w:rStyle w:val="Hyperlink"/>
            <w:i/>
          </w:rPr>
          <w:t xml:space="preserve"> της Ευρώπης – Μια ευκαιρία για τις επιχειρήσεις, τους εργαζομένους και τους πολίτες ενώπιον της κρίσης του κόστους ζωής</w:t>
        </w:r>
      </w:hyperlink>
      <w:r>
        <w:t xml:space="preserve"> (υπό κατάρτιση), γνωμοδότηση της ΕΟΚΕ με θέμα </w:t>
      </w:r>
      <w:hyperlink r:id="rId2" w:history="1">
        <w:r>
          <w:rPr>
            <w:rStyle w:val="Hyperlink"/>
            <w:i/>
          </w:rPr>
          <w:t>Υπέρβαση των κρίσεων – Μέτρα για μια ανθεκτική, συνεκτική και συμπεριληπτική ευρωπαϊκή οικονομία</w:t>
        </w:r>
      </w:hyperlink>
      <w:r>
        <w:t xml:space="preserve"> (δεν έχει ακόμη δημοσιευθεί στην Επίσημη Εφημερίδα), γνωμοδότηση της ΕΟΚΕ με θέμα </w:t>
      </w:r>
      <w:hyperlink r:id="rId3" w:history="1">
        <w:r>
          <w:rPr>
            <w:rStyle w:val="Hyperlink"/>
            <w:i/>
          </w:rPr>
          <w:t>Πώς οι δυσλειτουργίες της ενιαίας αγοράς συντείνουν στο αυξανόμενο κόστος ζωής</w:t>
        </w:r>
      </w:hyperlink>
      <w:r>
        <w:t xml:space="preserve"> (δεν έχει ακόμη δημοσιευθεί στην Επίσημη Εφημερίδα), γνωμοδότηση της ΕΟΚΕ με θέμα </w:t>
      </w:r>
      <w:hyperlink r:id="rId4" w:history="1">
        <w:r>
          <w:rPr>
            <w:rStyle w:val="Hyperlink"/>
            <w:i/>
          </w:rPr>
          <w:t>Σταδιακή κατάργηση των επιδοτήσεων για τα ορυκτά καύσιμα, παράλληλα με τη διασφάλιση της ευρωπαϊκής ανταγωνιστικότητας, τον μετριασμό της κρίσης του κόστους ζωής και την προώθηση μιας δίκαιης μετάβασης</w:t>
        </w:r>
      </w:hyperlink>
      <w:r>
        <w:t xml:space="preserve"> (δεν έχει ακόμη δημοσιευθεί στην Επίσημη Εφημερίδα), γνωμοδότηση REX/596 με θέμα </w:t>
      </w:r>
      <w:hyperlink r:id="rId5" w:history="1">
        <w:r>
          <w:rPr>
            <w:rStyle w:val="Hyperlink"/>
            <w:i/>
          </w:rPr>
          <w:t>Κατακερματισμός των αλυσίδων εφοδιασμού και αντίκτυπος στο κόστος ζωής</w:t>
        </w:r>
      </w:hyperlink>
      <w:r>
        <w:t xml:space="preserve"> (υπό κατάρτιση), γνωμοδότηση SOC/823 με θέμα </w:t>
      </w:r>
      <w:hyperlink r:id="rId6" w:history="1">
        <w:r>
          <w:rPr>
            <w:rStyle w:val="Hyperlink"/>
            <w:i/>
          </w:rPr>
          <w:t>Τρόποι αντιμετώπισης της απώλειας αγοραστικής δύναμης και του κινδύνου αύξησης των ανισοτήτων, του αποκλεισμού και της περιθωριοποίησης</w:t>
        </w:r>
      </w:hyperlink>
      <w:r>
        <w:t xml:space="preserve"> (υπό κατάρτιση), γνωμοδότηση της ΕΟΚΕ με θέμα </w:t>
      </w:r>
      <w:hyperlink r:id="rId7" w:history="1">
        <w:r>
          <w:rPr>
            <w:rStyle w:val="Hyperlink"/>
            <w:i/>
          </w:rPr>
          <w:t>Αυξήσεις τιμών στους τομείς των μεταφορών, της ενέργειας και της στέγασης: ο ρόλος των ποιοτικών δημόσιων υπηρεσιών στην αντιμετώπιση του υψηλού κόστους ζωής</w:t>
        </w:r>
      </w:hyperlink>
      <w:r>
        <w:t xml:space="preserve"> (δεν έχει ακόμη δημοσιευθεί στην Επίσημη Εφημερίδα).</w:t>
      </w:r>
    </w:p>
  </w:footnote>
  <w:footnote w:id="2">
    <w:p w14:paraId="3C9E2BA3" w14:textId="280F2204" w:rsidR="00491249" w:rsidRDefault="00491249" w:rsidP="00491249">
      <w:pPr>
        <w:pStyle w:val="FootnoteText"/>
      </w:pPr>
      <w:r>
        <w:rPr>
          <w:rStyle w:val="FootnoteReference"/>
          <w:lang w:val="en-GB"/>
        </w:rPr>
        <w:footnoteRef/>
      </w:r>
      <w:r>
        <w:tab/>
        <w:t xml:space="preserve">Γνωμοδότηση ECO/660 με θέμα </w:t>
      </w:r>
      <w:hyperlink r:id="rId8" w:history="1">
        <w:r>
          <w:rPr>
            <w:rStyle w:val="Hyperlink"/>
            <w:i/>
          </w:rPr>
          <w:t>Συστάσεις της οργανωμένης κοινωνίας των πολιτών για την αντιμετώπιση της κρίσης του κόστους ζωής</w:t>
        </w:r>
      </w:hyperlink>
      <w:r>
        <w:t xml:space="preserve"> (υπό κατάρτιση).</w:t>
      </w:r>
    </w:p>
  </w:footnote>
  <w:footnote w:id="3">
    <w:p w14:paraId="1AFCE1B6" w14:textId="77777777" w:rsidR="00491249" w:rsidRPr="00E46A62" w:rsidRDefault="00491249" w:rsidP="00491249">
      <w:pPr>
        <w:pStyle w:val="FootnoteText"/>
      </w:pPr>
      <w:r>
        <w:rPr>
          <w:rStyle w:val="FootnoteReference"/>
          <w:lang w:val="en-GB"/>
        </w:rPr>
        <w:footnoteRef/>
      </w:r>
      <w:r>
        <w:tab/>
      </w:r>
      <w:proofErr w:type="spellStart"/>
      <w:r>
        <w:t>Eurostat</w:t>
      </w:r>
      <w:proofErr w:type="spellEnd"/>
      <w:r>
        <w:t xml:space="preserve">: </w:t>
      </w:r>
      <w:hyperlink r:id="rId9" w:history="1">
        <w:r>
          <w:rPr>
            <w:rStyle w:val="Hyperlink"/>
          </w:rPr>
          <w:t xml:space="preserve">HICP - </w:t>
        </w:r>
        <w:proofErr w:type="spellStart"/>
        <w:r>
          <w:rPr>
            <w:rStyle w:val="Hyperlink"/>
          </w:rPr>
          <w:t>monthly</w:t>
        </w:r>
        <w:proofErr w:type="spellEnd"/>
        <w:r>
          <w:rPr>
            <w:rStyle w:val="Hyperlink"/>
          </w:rPr>
          <w:t xml:space="preserve"> </w:t>
        </w:r>
        <w:proofErr w:type="spellStart"/>
        <w:r>
          <w:rPr>
            <w:rStyle w:val="Hyperlink"/>
          </w:rPr>
          <w:t>data</w:t>
        </w:r>
        <w:proofErr w:type="spellEnd"/>
        <w:r>
          <w:rPr>
            <w:rStyle w:val="Hyperlink"/>
          </w:rPr>
          <w:t xml:space="preserve"> (</w:t>
        </w:r>
        <w:proofErr w:type="spellStart"/>
        <w:r>
          <w:rPr>
            <w:rStyle w:val="Hyperlink"/>
          </w:rPr>
          <w:t>annual</w:t>
        </w:r>
        <w:proofErr w:type="spellEnd"/>
        <w:r>
          <w:rPr>
            <w:rStyle w:val="Hyperlink"/>
          </w:rPr>
          <w:t xml:space="preserve"> </w:t>
        </w:r>
        <w:proofErr w:type="spellStart"/>
        <w:r>
          <w:rPr>
            <w:rStyle w:val="Hyperlink"/>
          </w:rPr>
          <w:t>rate</w:t>
        </w:r>
        <w:proofErr w:type="spellEnd"/>
        <w:r>
          <w:rPr>
            <w:rStyle w:val="Hyperlink"/>
          </w:rPr>
          <w:t xml:space="preserve"> of </w:t>
        </w:r>
        <w:proofErr w:type="spellStart"/>
        <w:r>
          <w:rPr>
            <w:rStyle w:val="Hyperlink"/>
          </w:rPr>
          <w:t>change</w:t>
        </w:r>
        <w:proofErr w:type="spellEnd"/>
        <w:r>
          <w:rPr>
            <w:rStyle w:val="Hyperlink"/>
          </w:rPr>
          <w:t>)</w:t>
        </w:r>
      </w:hyperlink>
      <w:r>
        <w:t xml:space="preserve"> [</w:t>
      </w:r>
      <w:proofErr w:type="spellStart"/>
      <w:r>
        <w:t>ΕνΔΤΚ</w:t>
      </w:r>
      <w:proofErr w:type="spellEnd"/>
      <w:r>
        <w:t xml:space="preserve"> - μηνιαία στοιχεία (ετήσιος ρυθμός μεταβολής)].</w:t>
      </w:r>
    </w:p>
  </w:footnote>
  <w:footnote w:id="4">
    <w:p w14:paraId="726BC042" w14:textId="77777777" w:rsidR="00491249" w:rsidRPr="00E46A62" w:rsidRDefault="00491249" w:rsidP="00491249">
      <w:pPr>
        <w:pStyle w:val="FootnoteText"/>
      </w:pPr>
      <w:r>
        <w:rPr>
          <w:rStyle w:val="FootnoteReference"/>
          <w:lang w:val="en-GB"/>
        </w:rPr>
        <w:footnoteRef/>
      </w:r>
      <w:r>
        <w:tab/>
      </w:r>
      <w:proofErr w:type="spellStart"/>
      <w:r>
        <w:t>Eurostat</w:t>
      </w:r>
      <w:proofErr w:type="spellEnd"/>
      <w:r>
        <w:t xml:space="preserve">: </w:t>
      </w:r>
      <w:hyperlink r:id="rId10" w:history="1">
        <w:r>
          <w:rPr>
            <w:rStyle w:val="Hyperlink"/>
          </w:rPr>
          <w:t xml:space="preserve">HICP - </w:t>
        </w:r>
        <w:proofErr w:type="spellStart"/>
        <w:r>
          <w:rPr>
            <w:rStyle w:val="Hyperlink"/>
          </w:rPr>
          <w:t>monthly</w:t>
        </w:r>
        <w:proofErr w:type="spellEnd"/>
        <w:r>
          <w:rPr>
            <w:rStyle w:val="Hyperlink"/>
          </w:rPr>
          <w:t xml:space="preserve"> </w:t>
        </w:r>
        <w:proofErr w:type="spellStart"/>
        <w:r>
          <w:rPr>
            <w:rStyle w:val="Hyperlink"/>
          </w:rPr>
          <w:t>data</w:t>
        </w:r>
        <w:proofErr w:type="spellEnd"/>
        <w:r>
          <w:rPr>
            <w:rStyle w:val="Hyperlink"/>
          </w:rPr>
          <w:t xml:space="preserve"> (</w:t>
        </w:r>
        <w:proofErr w:type="spellStart"/>
        <w:r>
          <w:rPr>
            <w:rStyle w:val="Hyperlink"/>
          </w:rPr>
          <w:t>annual</w:t>
        </w:r>
        <w:proofErr w:type="spellEnd"/>
        <w:r>
          <w:rPr>
            <w:rStyle w:val="Hyperlink"/>
          </w:rPr>
          <w:t xml:space="preserve"> </w:t>
        </w:r>
        <w:proofErr w:type="spellStart"/>
        <w:r>
          <w:rPr>
            <w:rStyle w:val="Hyperlink"/>
          </w:rPr>
          <w:t>rate</w:t>
        </w:r>
        <w:proofErr w:type="spellEnd"/>
        <w:r>
          <w:rPr>
            <w:rStyle w:val="Hyperlink"/>
          </w:rPr>
          <w:t xml:space="preserve"> of </w:t>
        </w:r>
        <w:proofErr w:type="spellStart"/>
        <w:r>
          <w:rPr>
            <w:rStyle w:val="Hyperlink"/>
          </w:rPr>
          <w:t>change</w:t>
        </w:r>
        <w:proofErr w:type="spellEnd"/>
        <w:r>
          <w:rPr>
            <w:rStyle w:val="Hyperlink"/>
          </w:rPr>
          <w:t>)</w:t>
        </w:r>
      </w:hyperlink>
      <w:r>
        <w:t xml:space="preserve"> [</w:t>
      </w:r>
      <w:proofErr w:type="spellStart"/>
      <w:r>
        <w:t>ΕνΔΤΚ</w:t>
      </w:r>
      <w:proofErr w:type="spellEnd"/>
      <w:r>
        <w:t xml:space="preserve"> - μηνιαία στοιχεία (ετήσιος ρυθμός μεταβολής)].</w:t>
      </w:r>
    </w:p>
  </w:footnote>
  <w:footnote w:id="5">
    <w:p w14:paraId="2ABB8636" w14:textId="77777777" w:rsidR="00491249" w:rsidRPr="00E46A62" w:rsidRDefault="00491249" w:rsidP="00491249">
      <w:pPr>
        <w:pStyle w:val="FootnoteText"/>
      </w:pPr>
      <w:r>
        <w:rPr>
          <w:rStyle w:val="FootnoteReference"/>
          <w:lang w:val="en-GB"/>
        </w:rPr>
        <w:footnoteRef/>
      </w:r>
      <w:r>
        <w:tab/>
      </w:r>
      <w:proofErr w:type="spellStart"/>
      <w:r>
        <w:t>Eurostat</w:t>
      </w:r>
      <w:proofErr w:type="spellEnd"/>
      <w:r>
        <w:t xml:space="preserve">: </w:t>
      </w:r>
      <w:hyperlink r:id="rId11" w:history="1">
        <w:proofErr w:type="spellStart"/>
        <w:r>
          <w:rPr>
            <w:rStyle w:val="Hyperlink"/>
          </w:rPr>
          <w:t>Income</w:t>
        </w:r>
        <w:proofErr w:type="spellEnd"/>
        <w:r>
          <w:rPr>
            <w:rStyle w:val="Hyperlink"/>
          </w:rPr>
          <w:t xml:space="preserve"> </w:t>
        </w:r>
        <w:proofErr w:type="spellStart"/>
        <w:r>
          <w:rPr>
            <w:rStyle w:val="Hyperlink"/>
          </w:rPr>
          <w:t>quintile</w:t>
        </w:r>
        <w:proofErr w:type="spellEnd"/>
        <w:r>
          <w:rPr>
            <w:rStyle w:val="Hyperlink"/>
          </w:rPr>
          <w:t xml:space="preserve"> </w:t>
        </w:r>
        <w:proofErr w:type="spellStart"/>
        <w:r>
          <w:rPr>
            <w:rStyle w:val="Hyperlink"/>
          </w:rPr>
          <w:t>share</w:t>
        </w:r>
        <w:proofErr w:type="spellEnd"/>
        <w:r>
          <w:rPr>
            <w:rStyle w:val="Hyperlink"/>
          </w:rPr>
          <w:t xml:space="preserve"> </w:t>
        </w:r>
        <w:proofErr w:type="spellStart"/>
        <w:r>
          <w:rPr>
            <w:rStyle w:val="Hyperlink"/>
          </w:rPr>
          <w:t>ratio</w:t>
        </w:r>
        <w:proofErr w:type="spellEnd"/>
        <w:r>
          <w:rPr>
            <w:rStyle w:val="Hyperlink"/>
          </w:rPr>
          <w:t xml:space="preserve"> S80/S20 for </w:t>
        </w:r>
        <w:proofErr w:type="spellStart"/>
        <w:r>
          <w:rPr>
            <w:rStyle w:val="Hyperlink"/>
          </w:rPr>
          <w:t>disposable</w:t>
        </w:r>
        <w:proofErr w:type="spellEnd"/>
        <w:r>
          <w:rPr>
            <w:rStyle w:val="Hyperlink"/>
          </w:rPr>
          <w:t xml:space="preserve"> </w:t>
        </w:r>
        <w:proofErr w:type="spellStart"/>
        <w:r>
          <w:rPr>
            <w:rStyle w:val="Hyperlink"/>
          </w:rPr>
          <w:t>income</w:t>
        </w:r>
        <w:proofErr w:type="spellEnd"/>
        <w:r>
          <w:rPr>
            <w:rStyle w:val="Hyperlink"/>
          </w:rPr>
          <w:t xml:space="preserve"> </w:t>
        </w:r>
        <w:proofErr w:type="spellStart"/>
        <w:r>
          <w:rPr>
            <w:rStyle w:val="Hyperlink"/>
          </w:rPr>
          <w:t>by</w:t>
        </w:r>
        <w:proofErr w:type="spellEnd"/>
        <w:r>
          <w:rPr>
            <w:rStyle w:val="Hyperlink"/>
          </w:rPr>
          <w:t xml:space="preserve"> </w:t>
        </w:r>
        <w:proofErr w:type="spellStart"/>
        <w:r>
          <w:rPr>
            <w:rStyle w:val="Hyperlink"/>
          </w:rPr>
          <w:t>sex</w:t>
        </w:r>
        <w:proofErr w:type="spellEnd"/>
        <w:r>
          <w:rPr>
            <w:rStyle w:val="Hyperlink"/>
          </w:rPr>
          <w:t xml:space="preserve"> and </w:t>
        </w:r>
        <w:proofErr w:type="spellStart"/>
        <w:r>
          <w:rPr>
            <w:rStyle w:val="Hyperlink"/>
          </w:rPr>
          <w:t>age</w:t>
        </w:r>
        <w:proofErr w:type="spellEnd"/>
        <w:r>
          <w:rPr>
            <w:rStyle w:val="Hyperlink"/>
          </w:rPr>
          <w:t xml:space="preserve"> </w:t>
        </w:r>
        <w:proofErr w:type="spellStart"/>
        <w:r>
          <w:rPr>
            <w:rStyle w:val="Hyperlink"/>
          </w:rPr>
          <w:t>group</w:t>
        </w:r>
        <w:proofErr w:type="spellEnd"/>
      </w:hyperlink>
      <w:r>
        <w:t xml:space="preserve"> (Λόγος πεμπτημορίων εισοδήματος S80/S20 για το διαθέσιμο εισόδημα κατά φύλο και ηλικιακή ομάδα).</w:t>
      </w:r>
    </w:p>
  </w:footnote>
  <w:footnote w:id="6">
    <w:p w14:paraId="77187E2F" w14:textId="77777777" w:rsidR="00491249" w:rsidRPr="00E46A62" w:rsidRDefault="00491249" w:rsidP="00491249">
      <w:pPr>
        <w:pStyle w:val="FootnoteText"/>
      </w:pPr>
      <w:r>
        <w:rPr>
          <w:rStyle w:val="FootnoteReference"/>
          <w:lang w:val="en-GB"/>
        </w:rPr>
        <w:footnoteRef/>
      </w:r>
      <w:r>
        <w:tab/>
        <w:t xml:space="preserve">Κοινό Κέντρο Ερευνών: </w:t>
      </w:r>
      <w:hyperlink r:id="rId12" w:anchor=":~:text=in%20the%20EU%3F-,It's%20more%20complex%20than%20it%20seems,the%20main%20energy%20poverty%20indicators" w:history="1">
        <w:proofErr w:type="spellStart"/>
        <w:r>
          <w:rPr>
            <w:rStyle w:val="Hyperlink"/>
          </w:rPr>
          <w:t>Who’s</w:t>
        </w:r>
        <w:proofErr w:type="spellEnd"/>
        <w:r>
          <w:rPr>
            <w:rStyle w:val="Hyperlink"/>
          </w:rPr>
          <w:t xml:space="preserve"> </w:t>
        </w:r>
        <w:proofErr w:type="spellStart"/>
        <w:r>
          <w:rPr>
            <w:rStyle w:val="Hyperlink"/>
          </w:rPr>
          <w:t>energy</w:t>
        </w:r>
        <w:proofErr w:type="spellEnd"/>
        <w:r>
          <w:rPr>
            <w:rStyle w:val="Hyperlink"/>
          </w:rPr>
          <w:t xml:space="preserve"> </w:t>
        </w:r>
        <w:proofErr w:type="spellStart"/>
        <w:r>
          <w:rPr>
            <w:rStyle w:val="Hyperlink"/>
          </w:rPr>
          <w:t>poor</w:t>
        </w:r>
        <w:proofErr w:type="spellEnd"/>
        <w:r>
          <w:rPr>
            <w:rStyle w:val="Hyperlink"/>
          </w:rPr>
          <w:t xml:space="preserve"> in the EU? </w:t>
        </w:r>
        <w:proofErr w:type="spellStart"/>
        <w:r>
          <w:rPr>
            <w:rStyle w:val="Hyperlink"/>
          </w:rPr>
          <w:t>It’s</w:t>
        </w:r>
        <w:proofErr w:type="spellEnd"/>
        <w:r>
          <w:rPr>
            <w:rStyle w:val="Hyperlink"/>
          </w:rPr>
          <w:t xml:space="preserve"> </w:t>
        </w:r>
        <w:proofErr w:type="spellStart"/>
        <w:r>
          <w:rPr>
            <w:rStyle w:val="Hyperlink"/>
          </w:rPr>
          <w:t>more</w:t>
        </w:r>
        <w:proofErr w:type="spellEnd"/>
        <w:r>
          <w:rPr>
            <w:rStyle w:val="Hyperlink"/>
          </w:rPr>
          <w:t xml:space="preserve"> </w:t>
        </w:r>
        <w:proofErr w:type="spellStart"/>
        <w:r>
          <w:rPr>
            <w:rStyle w:val="Hyperlink"/>
          </w:rPr>
          <w:t>complex</w:t>
        </w:r>
        <w:proofErr w:type="spellEnd"/>
        <w:r>
          <w:rPr>
            <w:rStyle w:val="Hyperlink"/>
          </w:rPr>
          <w:t xml:space="preserve"> </w:t>
        </w:r>
        <w:proofErr w:type="spellStart"/>
        <w:r>
          <w:rPr>
            <w:rStyle w:val="Hyperlink"/>
          </w:rPr>
          <w:t>than</w:t>
        </w:r>
        <w:proofErr w:type="spellEnd"/>
        <w:r>
          <w:rPr>
            <w:rStyle w:val="Hyperlink"/>
          </w:rPr>
          <w:t xml:space="preserve"> </w:t>
        </w:r>
        <w:proofErr w:type="spellStart"/>
        <w:r>
          <w:rPr>
            <w:rStyle w:val="Hyperlink"/>
          </w:rPr>
          <w:t>it</w:t>
        </w:r>
        <w:proofErr w:type="spellEnd"/>
        <w:r>
          <w:rPr>
            <w:rStyle w:val="Hyperlink"/>
          </w:rPr>
          <w:t xml:space="preserve"> </w:t>
        </w:r>
        <w:proofErr w:type="spellStart"/>
        <w:r>
          <w:rPr>
            <w:rStyle w:val="Hyperlink"/>
          </w:rPr>
          <w:t>seems</w:t>
        </w:r>
        <w:proofErr w:type="spellEnd"/>
      </w:hyperlink>
      <w:r>
        <w:t xml:space="preserve"> (Ποιοι πλήττονται από ενεργειακή φτώχεια στην ΕΕ; Η κατάσταση είναι πιο περίπλοκη από όσο φαίνεται).</w:t>
      </w:r>
    </w:p>
  </w:footnote>
  <w:footnote w:id="7">
    <w:p w14:paraId="01ADD69A" w14:textId="77777777" w:rsidR="00491249" w:rsidRPr="00E46A62" w:rsidRDefault="00491249" w:rsidP="00491249">
      <w:pPr>
        <w:pStyle w:val="FootnoteText"/>
      </w:pPr>
      <w:r>
        <w:rPr>
          <w:rStyle w:val="FootnoteReference"/>
          <w:lang w:val="en-GB"/>
        </w:rPr>
        <w:footnoteRef/>
      </w:r>
      <w:r>
        <w:tab/>
      </w:r>
      <w:proofErr w:type="spellStart"/>
      <w:r>
        <w:t>Eurostat</w:t>
      </w:r>
      <w:proofErr w:type="spellEnd"/>
      <w:r>
        <w:t xml:space="preserve">: </w:t>
      </w:r>
      <w:hyperlink r:id="rId13" w:history="1">
        <w:r>
          <w:rPr>
            <w:rStyle w:val="Hyperlink"/>
          </w:rPr>
          <w:t xml:space="preserve">Children </w:t>
        </w:r>
        <w:proofErr w:type="spellStart"/>
        <w:r>
          <w:rPr>
            <w:rStyle w:val="Hyperlink"/>
          </w:rPr>
          <w:t>at</w:t>
        </w:r>
        <w:proofErr w:type="spellEnd"/>
        <w:r>
          <w:rPr>
            <w:rStyle w:val="Hyperlink"/>
          </w:rPr>
          <w:t xml:space="preserve"> </w:t>
        </w:r>
        <w:proofErr w:type="spellStart"/>
        <w:r>
          <w:rPr>
            <w:rStyle w:val="Hyperlink"/>
          </w:rPr>
          <w:t>risk</w:t>
        </w:r>
        <w:proofErr w:type="spellEnd"/>
        <w:r>
          <w:rPr>
            <w:rStyle w:val="Hyperlink"/>
          </w:rPr>
          <w:t xml:space="preserve"> of </w:t>
        </w:r>
        <w:proofErr w:type="spellStart"/>
        <w:r>
          <w:rPr>
            <w:rStyle w:val="Hyperlink"/>
          </w:rPr>
          <w:t>poverty</w:t>
        </w:r>
        <w:proofErr w:type="spellEnd"/>
        <w:r>
          <w:rPr>
            <w:rStyle w:val="Hyperlink"/>
          </w:rPr>
          <w:t xml:space="preserve"> </w:t>
        </w:r>
        <w:proofErr w:type="spellStart"/>
        <w:r>
          <w:rPr>
            <w:rStyle w:val="Hyperlink"/>
          </w:rPr>
          <w:t>or</w:t>
        </w:r>
        <w:proofErr w:type="spellEnd"/>
        <w:r>
          <w:rPr>
            <w:rStyle w:val="Hyperlink"/>
          </w:rPr>
          <w:t xml:space="preserve"> </w:t>
        </w:r>
        <w:proofErr w:type="spellStart"/>
        <w:r>
          <w:rPr>
            <w:rStyle w:val="Hyperlink"/>
          </w:rPr>
          <w:t>social</w:t>
        </w:r>
        <w:proofErr w:type="spellEnd"/>
        <w:r>
          <w:rPr>
            <w:rStyle w:val="Hyperlink"/>
          </w:rPr>
          <w:t xml:space="preserve"> </w:t>
        </w:r>
        <w:proofErr w:type="spellStart"/>
        <w:r>
          <w:rPr>
            <w:rStyle w:val="Hyperlink"/>
          </w:rPr>
          <w:t>exclusion</w:t>
        </w:r>
        <w:proofErr w:type="spellEnd"/>
      </w:hyperlink>
      <w:r>
        <w:t xml:space="preserve"> (Παιδιά που διατρέχουν κίνδυνο φτώχειας ή κοινωνικού αποκλεισμού).</w:t>
      </w:r>
    </w:p>
  </w:footnote>
  <w:footnote w:id="8">
    <w:p w14:paraId="050E7970" w14:textId="77777777" w:rsidR="00491249" w:rsidRPr="00B3023A" w:rsidRDefault="00491249" w:rsidP="00491249">
      <w:pPr>
        <w:pStyle w:val="FootnoteText"/>
      </w:pPr>
      <w:r>
        <w:rPr>
          <w:rStyle w:val="FootnoteReference"/>
          <w:lang w:val="en-GB"/>
        </w:rPr>
        <w:footnoteRef/>
      </w:r>
      <w:r>
        <w:tab/>
        <w:t xml:space="preserve">Ευρωπαϊκή Επιτροπή, </w:t>
      </w:r>
      <w:hyperlink r:id="rId14" w:history="1">
        <w:r>
          <w:rPr>
            <w:rStyle w:val="Hyperlink"/>
          </w:rPr>
          <w:t>Σχέδιο δράσης για προσιτή ενέργεια</w:t>
        </w:r>
      </w:hyperlink>
      <w:r>
        <w:t>.</w:t>
      </w:r>
    </w:p>
  </w:footnote>
  <w:footnote w:id="9">
    <w:p w14:paraId="1755669A" w14:textId="77777777" w:rsidR="00491249" w:rsidRPr="00B3023A" w:rsidRDefault="00491249" w:rsidP="00491249">
      <w:pPr>
        <w:pStyle w:val="FootnoteText"/>
      </w:pPr>
      <w:r>
        <w:rPr>
          <w:rStyle w:val="FootnoteReference"/>
          <w:lang w:val="en-GB"/>
        </w:rPr>
        <w:footnoteRef/>
      </w:r>
      <w:r>
        <w:tab/>
      </w:r>
      <w:hyperlink r:id="rId15" w:history="1">
        <w:proofErr w:type="spellStart"/>
        <w:r>
          <w:rPr>
            <w:rStyle w:val="Hyperlink"/>
          </w:rPr>
          <w:t>Kollektivvertragsverhandlungen</w:t>
        </w:r>
        <w:proofErr w:type="spellEnd"/>
        <w:r>
          <w:rPr>
            <w:rStyle w:val="Hyperlink"/>
          </w:rPr>
          <w:t xml:space="preserve"> in </w:t>
        </w:r>
        <w:proofErr w:type="spellStart"/>
        <w:r>
          <w:rPr>
            <w:rStyle w:val="Hyperlink"/>
          </w:rPr>
          <w:t>Zeiten</w:t>
        </w:r>
        <w:proofErr w:type="spellEnd"/>
        <w:r>
          <w:rPr>
            <w:rStyle w:val="Hyperlink"/>
          </w:rPr>
          <w:t xml:space="preserve"> </w:t>
        </w:r>
        <w:proofErr w:type="spellStart"/>
        <w:r>
          <w:rPr>
            <w:rStyle w:val="Hyperlink"/>
          </w:rPr>
          <w:t>hoher</w:t>
        </w:r>
        <w:proofErr w:type="spellEnd"/>
        <w:r>
          <w:rPr>
            <w:rStyle w:val="Hyperlink"/>
          </w:rPr>
          <w:t xml:space="preserve"> </w:t>
        </w:r>
        <w:proofErr w:type="spellStart"/>
        <w:r>
          <w:rPr>
            <w:rStyle w:val="Hyperlink"/>
          </w:rPr>
          <w:t>Inflation</w:t>
        </w:r>
        <w:proofErr w:type="spellEnd"/>
      </w:hyperlink>
      <w:r>
        <w:t xml:space="preserve"> (Διαπραγματεύσεις για συλλογικές συμβάσεις εργασίας σε καιρούς υψηλού πληθωρισμού).</w:t>
      </w:r>
    </w:p>
  </w:footnote>
  <w:footnote w:id="10">
    <w:p w14:paraId="424DF329" w14:textId="77777777" w:rsidR="00491249" w:rsidRPr="0044249B" w:rsidRDefault="00491249" w:rsidP="00491249">
      <w:pPr>
        <w:pStyle w:val="FootnoteText"/>
      </w:pPr>
      <w:r>
        <w:rPr>
          <w:rStyle w:val="FootnoteReference"/>
          <w:lang w:val="en-GB"/>
        </w:rPr>
        <w:footnoteRef/>
      </w:r>
      <w:r>
        <w:tab/>
        <w:t xml:space="preserve">Στατιστική </w:t>
      </w:r>
      <w:proofErr w:type="spellStart"/>
      <w:r>
        <w:t>επικαιροποίηση</w:t>
      </w:r>
      <w:proofErr w:type="spellEnd"/>
      <w:r>
        <w:t xml:space="preserve"> σχετικά με τις υπηρεσίες κοινής ωφέλειας (ΥΚΩ), Ομοσπονδιακό Γραφείο Προγραμματισμού, βελγική κυβέρνηση, Μάιος 2024.</w:t>
      </w:r>
    </w:p>
  </w:footnote>
  <w:footnote w:id="11">
    <w:p w14:paraId="43763297" w14:textId="77777777" w:rsidR="00491249" w:rsidRPr="00E46A62" w:rsidRDefault="00491249" w:rsidP="00491249">
      <w:pPr>
        <w:pStyle w:val="FootnoteText"/>
      </w:pPr>
      <w:r>
        <w:rPr>
          <w:rStyle w:val="FootnoteReference"/>
          <w:lang w:val="en-GB"/>
        </w:rPr>
        <w:footnoteRef/>
      </w:r>
      <w:r>
        <w:tab/>
        <w:t xml:space="preserve">Ευρωπαϊκή Επιτροπή: </w:t>
      </w:r>
      <w:hyperlink r:id="rId16" w:history="1">
        <w:r>
          <w:rPr>
            <w:rStyle w:val="Hyperlink"/>
          </w:rPr>
          <w:t>Δέσμη ΥΓΟΣ</w:t>
        </w:r>
      </w:hyperlink>
      <w:r>
        <w:t>.</w:t>
      </w:r>
    </w:p>
  </w:footnote>
  <w:footnote w:id="12">
    <w:p w14:paraId="287F9FFA" w14:textId="77777777" w:rsidR="00491249" w:rsidRPr="00E46A62" w:rsidRDefault="00491249" w:rsidP="00491249">
      <w:pPr>
        <w:pStyle w:val="FootnoteText"/>
      </w:pPr>
      <w:r>
        <w:rPr>
          <w:rStyle w:val="FootnoteReference"/>
          <w:lang w:val="en-GB"/>
        </w:rPr>
        <w:footnoteRef/>
      </w:r>
      <w:r>
        <w:tab/>
        <w:t xml:space="preserve">Ευρωπαϊκή Επιτροπή: </w:t>
      </w:r>
      <w:hyperlink r:id="rId17" w:history="1">
        <w:r>
          <w:rPr>
            <w:rStyle w:val="Hyperlink"/>
          </w:rPr>
          <w:t xml:space="preserve">Transport </w:t>
        </w:r>
        <w:proofErr w:type="spellStart"/>
        <w:r>
          <w:rPr>
            <w:rStyle w:val="Hyperlink"/>
          </w:rPr>
          <w:t>poverty</w:t>
        </w:r>
        <w:proofErr w:type="spellEnd"/>
        <w:r>
          <w:rPr>
            <w:rStyle w:val="Hyperlink"/>
          </w:rPr>
          <w:t xml:space="preserve">: </w:t>
        </w:r>
        <w:proofErr w:type="spellStart"/>
        <w:r>
          <w:rPr>
            <w:rStyle w:val="Hyperlink"/>
          </w:rPr>
          <w:t>definitions</w:t>
        </w:r>
        <w:proofErr w:type="spellEnd"/>
        <w:r>
          <w:rPr>
            <w:rStyle w:val="Hyperlink"/>
          </w:rPr>
          <w:t xml:space="preserve">, </w:t>
        </w:r>
        <w:proofErr w:type="spellStart"/>
        <w:r>
          <w:rPr>
            <w:rStyle w:val="Hyperlink"/>
          </w:rPr>
          <w:t>indicators</w:t>
        </w:r>
        <w:proofErr w:type="spellEnd"/>
        <w:r>
          <w:rPr>
            <w:rStyle w:val="Hyperlink"/>
          </w:rPr>
          <w:t xml:space="preserve">, </w:t>
        </w:r>
        <w:proofErr w:type="spellStart"/>
        <w:r>
          <w:rPr>
            <w:rStyle w:val="Hyperlink"/>
          </w:rPr>
          <w:t>determinants</w:t>
        </w:r>
        <w:proofErr w:type="spellEnd"/>
        <w:r>
          <w:rPr>
            <w:rStyle w:val="Hyperlink"/>
          </w:rPr>
          <w:t xml:space="preserve">, and </w:t>
        </w:r>
        <w:proofErr w:type="spellStart"/>
        <w:r>
          <w:rPr>
            <w:rStyle w:val="Hyperlink"/>
          </w:rPr>
          <w:t>mitigation</w:t>
        </w:r>
        <w:proofErr w:type="spellEnd"/>
        <w:r>
          <w:rPr>
            <w:rStyle w:val="Hyperlink"/>
          </w:rPr>
          <w:t xml:space="preserve"> </w:t>
        </w:r>
        <w:proofErr w:type="spellStart"/>
        <w:r>
          <w:rPr>
            <w:rStyle w:val="Hyperlink"/>
          </w:rPr>
          <w:t>strategies</w:t>
        </w:r>
        <w:proofErr w:type="spellEnd"/>
      </w:hyperlink>
      <w:r>
        <w:t xml:space="preserve"> (Φτώχεια στον τομέα των μεταφορών: ορισμοί, δείκτες, καθοριστικοί παράγοντες και στρατηγικές μετριασμού).</w:t>
      </w:r>
    </w:p>
  </w:footnote>
  <w:footnote w:id="13">
    <w:p w14:paraId="4328FA7C" w14:textId="6798AB93" w:rsidR="00491249" w:rsidRPr="00CF1B23" w:rsidRDefault="00491249" w:rsidP="00491249">
      <w:pPr>
        <w:pStyle w:val="FootnoteText"/>
      </w:pPr>
      <w:r>
        <w:rPr>
          <w:rStyle w:val="FootnoteReference"/>
          <w:lang w:val="en-GB"/>
        </w:rPr>
        <w:footnoteRef/>
      </w:r>
      <w:r>
        <w:tab/>
        <w:t>EE C, C/2024/2100 της 26.3.2024, ELI: </w:t>
      </w:r>
      <w:hyperlink r:id="rId18" w:tgtFrame="_blank" w:tooltip="Gives access to this document through its ELI URI." w:history="1">
        <w:r>
          <w:rPr>
            <w:rStyle w:val="Hyperlink"/>
          </w:rPr>
          <w:t>http://data.europa.eu/eli/C/2024/2100/oj</w:t>
        </w:r>
      </w:hyperlink>
      <w:r>
        <w:t>.</w:t>
      </w:r>
    </w:p>
  </w:footnote>
  <w:footnote w:id="14">
    <w:p w14:paraId="161E3786" w14:textId="468CF8F6" w:rsidR="00491249" w:rsidRPr="00BE1BA6" w:rsidRDefault="00491249" w:rsidP="00491249">
      <w:pPr>
        <w:pStyle w:val="FootnoteText"/>
      </w:pPr>
      <w:r>
        <w:rPr>
          <w:rStyle w:val="FootnoteReference"/>
          <w:lang w:val="en-GB"/>
        </w:rPr>
        <w:footnoteRef/>
      </w:r>
      <w:r>
        <w:tab/>
        <w:t>ΕΕ C, C/2025/1187 της 21.3.2025, ELI: </w:t>
      </w:r>
      <w:hyperlink r:id="rId19" w:tgtFrame="_blank" w:tooltip="Gives access to this document through its ELI URI." w:history="1">
        <w:r>
          <w:rPr>
            <w:rStyle w:val="Hyperlink"/>
            <w:shd w:val="clear" w:color="auto" w:fill="FFFFFF"/>
          </w:rPr>
          <w:t>http://data.europa.eu/eli/C/2025/1187/oj</w:t>
        </w:r>
      </w:hyperlink>
      <w:r>
        <w:t>.</w:t>
      </w:r>
    </w:p>
  </w:footnote>
  <w:footnote w:id="15">
    <w:p w14:paraId="02991F3F" w14:textId="5ED281E1" w:rsidR="009F5A50" w:rsidRPr="00BE1BA6" w:rsidRDefault="009F5A50">
      <w:pPr>
        <w:pStyle w:val="FootnoteText"/>
      </w:pPr>
      <w:r>
        <w:rPr>
          <w:rStyle w:val="FootnoteReference"/>
        </w:rPr>
        <w:footnoteRef/>
      </w:r>
      <w:r>
        <w:tab/>
      </w:r>
      <w:hyperlink r:id="rId20" w:history="1">
        <w:r>
          <w:rPr>
            <w:rStyle w:val="Hyperlink"/>
            <w:shd w:val="clear" w:color="auto" w:fill="FFFFFF"/>
          </w:rPr>
          <w:t>ΕΕ C 486 της 21.12.2022, σ. 88</w:t>
        </w:r>
      </w:hyperlink>
      <w:r>
        <w:t>.</w:t>
      </w:r>
    </w:p>
  </w:footnote>
  <w:footnote w:id="16">
    <w:p w14:paraId="2044C64E" w14:textId="77777777" w:rsidR="00491249" w:rsidRPr="00E46A62" w:rsidRDefault="00491249" w:rsidP="00491249">
      <w:pPr>
        <w:pStyle w:val="FootnoteText"/>
      </w:pPr>
      <w:r>
        <w:rPr>
          <w:rStyle w:val="FootnoteReference"/>
          <w:lang w:val="en-GB"/>
        </w:rPr>
        <w:footnoteRef/>
      </w:r>
      <w:r>
        <w:tab/>
        <w:t xml:space="preserve">Ευρωπαϊκή Επιτροπή: </w:t>
      </w:r>
      <w:hyperlink r:id="rId21" w:history="1">
        <w:proofErr w:type="spellStart"/>
        <w:r>
          <w:rPr>
            <w:rStyle w:val="Hyperlink"/>
          </w:rPr>
          <w:t>Boosting</w:t>
        </w:r>
        <w:proofErr w:type="spellEnd"/>
        <w:r>
          <w:rPr>
            <w:rStyle w:val="Hyperlink"/>
          </w:rPr>
          <w:t xml:space="preserve"> Investment in Social </w:t>
        </w:r>
        <w:proofErr w:type="spellStart"/>
        <w:r>
          <w:rPr>
            <w:rStyle w:val="Hyperlink"/>
          </w:rPr>
          <w:t>Infrastructure</w:t>
        </w:r>
        <w:proofErr w:type="spellEnd"/>
        <w:r>
          <w:rPr>
            <w:rStyle w:val="Hyperlink"/>
          </w:rPr>
          <w:t xml:space="preserve"> in Europe</w:t>
        </w:r>
      </w:hyperlink>
      <w:r>
        <w:t xml:space="preserve"> (Τόνωση των επενδύσεων σε κοινωνικές υποδομές στην Ευρώπη).</w:t>
      </w:r>
    </w:p>
  </w:footnote>
  <w:footnote w:id="17">
    <w:p w14:paraId="097861C6" w14:textId="02093F11" w:rsidR="00491249" w:rsidRPr="0044249B" w:rsidRDefault="00491249" w:rsidP="00491249">
      <w:pPr>
        <w:pStyle w:val="FootnoteText"/>
      </w:pPr>
      <w:r>
        <w:rPr>
          <w:rStyle w:val="FootnoteReference"/>
          <w:lang w:val="en-GB"/>
        </w:rPr>
        <w:footnoteRef/>
      </w:r>
      <w:r>
        <w:tab/>
        <w:t>ΕΕ C, C/2025/771 της 11.2.2025, ELI: </w:t>
      </w:r>
      <w:hyperlink r:id="rId22" w:tgtFrame="_blank" w:tooltip="Gives access to this document through its ELI URI." w:history="1">
        <w:r>
          <w:rPr>
            <w:rStyle w:val="Hyperlink"/>
            <w:shd w:val="clear" w:color="auto" w:fill="FFFFFF"/>
          </w:rPr>
          <w:t>http://data.europa.eu/eli/C/2025/771/oj</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7577" w14:textId="77777777" w:rsidR="00574C9B" w:rsidRDefault="007D122E">
    <w:pPr>
      <w:pStyle w:val="Header"/>
    </w:pPr>
    <w:r>
      <w:pict w14:anchorId="6D692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4" o:spid="_x0000_s2055" type="#_x0000_t75" style="position:absolute;left:0;text-align:left;margin-left:0;margin-top:0;width:598.15pt;height:843.9pt;z-index:-251655168;mso-position-horizontal:center;mso-position-horizontal-relative:margin;mso-position-vertical:center;mso-position-vertical-relative:margin" o:allowincell="f">
          <v:imagedata r:id="rId1" o:title="background watermark with foo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0E43" w14:textId="48E0973E" w:rsidR="00574C9B" w:rsidRDefault="00032AF5">
    <w:pPr>
      <w:pStyle w:val="Header"/>
    </w:pPr>
    <w:r>
      <w:rPr>
        <w:noProof/>
      </w:rPr>
      <w:drawing>
        <wp:anchor distT="0" distB="0" distL="114300" distR="114300" simplePos="0" relativeHeight="251665408" behindDoc="0" locked="0" layoutInCell="1" allowOverlap="1" wp14:anchorId="70F1A6F2" wp14:editId="0C9EF318">
          <wp:simplePos x="0" y="0"/>
          <wp:positionH relativeFrom="page">
            <wp:align>center</wp:align>
          </wp:positionH>
          <wp:positionV relativeFrom="page">
            <wp:posOffset>288290</wp:posOffset>
          </wp:positionV>
          <wp:extent cx="6944360" cy="3343275"/>
          <wp:effectExtent l="0" t="0" r="8890" b="9525"/>
          <wp:wrapNone/>
          <wp:docPr id="2" name="Picture 2" title="EESCLogo2021_EL"/>
          <wp:cNvGraphicFramePr/>
          <a:graphic xmlns:a="http://schemas.openxmlformats.org/drawingml/2006/main">
            <a:graphicData uri="http://schemas.openxmlformats.org/drawingml/2006/picture">
              <pic:pic xmlns:pic="http://schemas.openxmlformats.org/drawingml/2006/picture">
                <pic:nvPicPr>
                  <pic:cNvPr id="2" name="Picture 2" title="EESCLogo2021_EL"/>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7D122E">
      <w:pict w14:anchorId="1C8E68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5" o:spid="_x0000_s2056" type="#_x0000_t75" style="position:absolute;left:0;text-align:left;margin-left:0;margin-top:0;width:598.15pt;height:843.9pt;z-index:-251654144;mso-position-horizontal:center;mso-position-horizontal-relative:page;mso-position-vertical:center;mso-position-vertical-relative:page" o:allowincell="f">
          <v:imagedata r:id="rId2" o:title="background watermark with footer"/>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54A3" w14:textId="77777777" w:rsidR="00574C9B" w:rsidRDefault="007D122E">
    <w:pPr>
      <w:pStyle w:val="Header"/>
    </w:pPr>
    <w:r>
      <w:pict w14:anchorId="1E5465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3" o:spid="_x0000_s2054" type="#_x0000_t75" style="position:absolute;left:0;text-align:left;margin-left:0;margin-top:0;width:598.15pt;height:843.9pt;z-index:-251656192;mso-position-horizontal:center;mso-position-horizontal-relative:margin;mso-position-vertical:center;mso-position-vertical-relative:margin" o:allowincell="f">
          <v:imagedata r:id="rId1" o:title="background watermark with footer"/>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1368" w14:textId="77777777" w:rsidR="00574C9B" w:rsidRDefault="007D122E">
    <w:pPr>
      <w:pStyle w:val="Header"/>
    </w:pPr>
    <w:r>
      <w:pict w14:anchorId="26C25B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7" o:spid="_x0000_s2058" type="#_x0000_t75" style="position:absolute;left:0;text-align:left;margin-left:0;margin-top:0;width:598.15pt;height:843.9pt;z-index:-251652096;mso-position-horizontal:center;mso-position-horizontal-relative:margin;mso-position-vertical:center;mso-position-vertical-relative:margin" o:allowincell="f">
          <v:imagedata r:id="rId1" o:title="background watermark with footer"/>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44B32" w14:textId="77777777" w:rsidR="00574C9B" w:rsidRDefault="00574C9B">
    <w:pPr>
      <w:pStyle w:val="Header"/>
    </w:pPr>
    <w:r>
      <w:rPr>
        <w:noProof/>
      </w:rPr>
      <w:drawing>
        <wp:anchor distT="0" distB="0" distL="114300" distR="114300" simplePos="0" relativeHeight="251661824" behindDoc="1" locked="0" layoutInCell="1" allowOverlap="1" wp14:anchorId="0930FA36" wp14:editId="36FB9ED1">
          <wp:simplePos x="0" y="0"/>
          <wp:positionH relativeFrom="page">
            <wp:posOffset>-10571</wp:posOffset>
          </wp:positionH>
          <wp:positionV relativeFrom="page">
            <wp:posOffset>-221993</wp:posOffset>
          </wp:positionV>
          <wp:extent cx="7581265" cy="10898802"/>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1">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E3FD" w14:textId="77777777" w:rsidR="00574C9B" w:rsidRDefault="007D122E">
    <w:pPr>
      <w:pStyle w:val="Header"/>
    </w:pPr>
    <w:r>
      <w:pict w14:anchorId="6E089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6638596" o:spid="_x0000_s2057" type="#_x0000_t75" style="position:absolute;left:0;text-align:left;margin-left:0;margin-top:0;width:598.15pt;height:843.9pt;z-index:-251653120;mso-position-horizontal:center;mso-position-horizontal-relative:margin;mso-position-vertical:center;mso-position-vertical-relative:margin" o:allowincell="f">
          <v:imagedata r:id="rId1" o:title="background watermark with footer"/>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A1727" w14:textId="77777777" w:rsidR="00FA08F8" w:rsidRDefault="007D1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DDCE010"/>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3C6105A7"/>
    <w:multiLevelType w:val="hybridMultilevel"/>
    <w:tmpl w:val="2BAA7A2C"/>
    <w:lvl w:ilvl="0" w:tplc="0409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DCF63D1"/>
    <w:multiLevelType w:val="hybridMultilevel"/>
    <w:tmpl w:val="05340AD4"/>
    <w:lvl w:ilvl="0" w:tplc="0409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3F0553A8"/>
    <w:multiLevelType w:val="multilevel"/>
    <w:tmpl w:val="8FDA3B10"/>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82B4413"/>
    <w:multiLevelType w:val="hybridMultilevel"/>
    <w:tmpl w:val="A378C6E6"/>
    <w:lvl w:ilvl="0" w:tplc="7504BAA4">
      <w:start w:val="1"/>
      <w:numFmt w:val="bullet"/>
      <w:lvlText w:val=""/>
      <w:lvlJc w:val="left"/>
      <w:pPr>
        <w:ind w:left="720" w:hanging="360"/>
      </w:pPr>
      <w:rPr>
        <w:rFonts w:ascii="Symbol" w:eastAsia="Symbol" w:hAnsi="Symbol" w:cs="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C2A3347"/>
    <w:multiLevelType w:val="multilevel"/>
    <w:tmpl w:val="0E6493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20389"/>
    <w:rsid w:val="00032AF5"/>
    <w:rsid w:val="00053D00"/>
    <w:rsid w:val="000720FE"/>
    <w:rsid w:val="000763C3"/>
    <w:rsid w:val="00076EF1"/>
    <w:rsid w:val="0008223F"/>
    <w:rsid w:val="00082BAF"/>
    <w:rsid w:val="000A0F3B"/>
    <w:rsid w:val="000C54F5"/>
    <w:rsid w:val="00102B2D"/>
    <w:rsid w:val="001448C6"/>
    <w:rsid w:val="0019231D"/>
    <w:rsid w:val="001D61AC"/>
    <w:rsid w:val="001E15AA"/>
    <w:rsid w:val="001E3FA1"/>
    <w:rsid w:val="00200E87"/>
    <w:rsid w:val="00202F2B"/>
    <w:rsid w:val="00214515"/>
    <w:rsid w:val="00214BDC"/>
    <w:rsid w:val="00215E81"/>
    <w:rsid w:val="0024727F"/>
    <w:rsid w:val="00255209"/>
    <w:rsid w:val="002559E7"/>
    <w:rsid w:val="00264F03"/>
    <w:rsid w:val="002672B6"/>
    <w:rsid w:val="00284108"/>
    <w:rsid w:val="002B5DCD"/>
    <w:rsid w:val="002B6A7B"/>
    <w:rsid w:val="002C64AC"/>
    <w:rsid w:val="002C7AFD"/>
    <w:rsid w:val="002F377A"/>
    <w:rsid w:val="0031056E"/>
    <w:rsid w:val="003167A9"/>
    <w:rsid w:val="003353D7"/>
    <w:rsid w:val="003463A6"/>
    <w:rsid w:val="003659F9"/>
    <w:rsid w:val="00376E36"/>
    <w:rsid w:val="003943E5"/>
    <w:rsid w:val="003C7A13"/>
    <w:rsid w:val="003D3E51"/>
    <w:rsid w:val="00402AF7"/>
    <w:rsid w:val="0044249B"/>
    <w:rsid w:val="00491249"/>
    <w:rsid w:val="004931B0"/>
    <w:rsid w:val="005004E7"/>
    <w:rsid w:val="00574C9B"/>
    <w:rsid w:val="0058411F"/>
    <w:rsid w:val="005A5F26"/>
    <w:rsid w:val="005B6467"/>
    <w:rsid w:val="006125A1"/>
    <w:rsid w:val="00634E76"/>
    <w:rsid w:val="00642AAB"/>
    <w:rsid w:val="00650E7F"/>
    <w:rsid w:val="00653E7D"/>
    <w:rsid w:val="00660C0A"/>
    <w:rsid w:val="00662207"/>
    <w:rsid w:val="00667F09"/>
    <w:rsid w:val="006B57A6"/>
    <w:rsid w:val="006B6AB8"/>
    <w:rsid w:val="006D1B0C"/>
    <w:rsid w:val="006D53A6"/>
    <w:rsid w:val="00701577"/>
    <w:rsid w:val="0070760F"/>
    <w:rsid w:val="007553F0"/>
    <w:rsid w:val="007727D0"/>
    <w:rsid w:val="0078392A"/>
    <w:rsid w:val="00787837"/>
    <w:rsid w:val="00787ABB"/>
    <w:rsid w:val="007B6C64"/>
    <w:rsid w:val="007D122E"/>
    <w:rsid w:val="007E46CF"/>
    <w:rsid w:val="008141A0"/>
    <w:rsid w:val="00822952"/>
    <w:rsid w:val="00823A7B"/>
    <w:rsid w:val="008241CF"/>
    <w:rsid w:val="00836505"/>
    <w:rsid w:val="008405BD"/>
    <w:rsid w:val="00844B87"/>
    <w:rsid w:val="00853EEB"/>
    <w:rsid w:val="0089251B"/>
    <w:rsid w:val="008A6DD4"/>
    <w:rsid w:val="008F74D7"/>
    <w:rsid w:val="00904C42"/>
    <w:rsid w:val="00924C05"/>
    <w:rsid w:val="00937CF2"/>
    <w:rsid w:val="00976645"/>
    <w:rsid w:val="00976F77"/>
    <w:rsid w:val="0098228C"/>
    <w:rsid w:val="009C2D64"/>
    <w:rsid w:val="009D0052"/>
    <w:rsid w:val="009D1DF4"/>
    <w:rsid w:val="009E2100"/>
    <w:rsid w:val="009F5A50"/>
    <w:rsid w:val="00A04328"/>
    <w:rsid w:val="00A27676"/>
    <w:rsid w:val="00A36AB0"/>
    <w:rsid w:val="00A62761"/>
    <w:rsid w:val="00AA3722"/>
    <w:rsid w:val="00AB37A3"/>
    <w:rsid w:val="00AC5114"/>
    <w:rsid w:val="00AE1EE5"/>
    <w:rsid w:val="00B024E1"/>
    <w:rsid w:val="00B25683"/>
    <w:rsid w:val="00B51901"/>
    <w:rsid w:val="00B86415"/>
    <w:rsid w:val="00BD50F6"/>
    <w:rsid w:val="00BE1BA6"/>
    <w:rsid w:val="00C073E1"/>
    <w:rsid w:val="00C25647"/>
    <w:rsid w:val="00C66AEA"/>
    <w:rsid w:val="00C71DDC"/>
    <w:rsid w:val="00C7534C"/>
    <w:rsid w:val="00C9040A"/>
    <w:rsid w:val="00C91E4D"/>
    <w:rsid w:val="00CA24BC"/>
    <w:rsid w:val="00CB110A"/>
    <w:rsid w:val="00CB7CD0"/>
    <w:rsid w:val="00CF1B23"/>
    <w:rsid w:val="00D039AF"/>
    <w:rsid w:val="00D34C76"/>
    <w:rsid w:val="00D724CC"/>
    <w:rsid w:val="00D86DCC"/>
    <w:rsid w:val="00D95232"/>
    <w:rsid w:val="00DA24A9"/>
    <w:rsid w:val="00DB7F50"/>
    <w:rsid w:val="00DE30C7"/>
    <w:rsid w:val="00DF400F"/>
    <w:rsid w:val="00E15BF4"/>
    <w:rsid w:val="00E2376B"/>
    <w:rsid w:val="00E25602"/>
    <w:rsid w:val="00E26935"/>
    <w:rsid w:val="00E27707"/>
    <w:rsid w:val="00E52B04"/>
    <w:rsid w:val="00E60FCB"/>
    <w:rsid w:val="00E661B7"/>
    <w:rsid w:val="00ED3061"/>
    <w:rsid w:val="00EF74D6"/>
    <w:rsid w:val="00F2069F"/>
    <w:rsid w:val="00F50BA9"/>
    <w:rsid w:val="00F53370"/>
    <w:rsid w:val="00F5778F"/>
    <w:rsid w:val="00F734B2"/>
    <w:rsid w:val="00F90BE2"/>
    <w:rsid w:val="00FC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0747DE1F"/>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uiPriority w:val="99"/>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uiPriority w:val="99"/>
    <w:qForma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iPriority w:val="99"/>
    <w:unhideWhenUsed/>
    <w:qFormat/>
    <w:rsid w:val="00F53370"/>
    <w:rPr>
      <w:sz w:val="24"/>
      <w:vertAlign w:val="superscript"/>
    </w:rPr>
  </w:style>
  <w:style w:type="table" w:styleId="TableGrid">
    <w:name w:val="Table Grid"/>
    <w:basedOn w:val="TableNormal"/>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table" w:customStyle="1" w:styleId="TableGrid1">
    <w:name w:val="Table Grid1"/>
    <w:basedOn w:val="TableNormal"/>
    <w:next w:val="TableGrid"/>
    <w:rsid w:val="00F50BA9"/>
    <w:pPr>
      <w:spacing w:after="0" w:line="288" w:lineRule="auto"/>
      <w:jc w:val="both"/>
    </w:pPr>
    <w:rPr>
      <w:rFonts w:ascii="Times New Roman" w:eastAsia="Times New Roman" w:hAnsi="Times New Roman" w:cs="Times New Roman"/>
      <w:sz w:val="20"/>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BA9"/>
    <w:pPr>
      <w:ind w:left="720"/>
      <w:contextualSpacing/>
    </w:pPr>
  </w:style>
  <w:style w:type="character" w:styleId="FollowedHyperlink">
    <w:name w:val="FollowedHyperlink"/>
    <w:basedOn w:val="DefaultParagraphFont"/>
    <w:uiPriority w:val="99"/>
    <w:semiHidden/>
    <w:unhideWhenUsed/>
    <w:rsid w:val="006D1B0C"/>
    <w:rPr>
      <w:color w:val="954F72" w:themeColor="followedHyperlink"/>
      <w:u w:val="single"/>
    </w:rPr>
  </w:style>
  <w:style w:type="character" w:customStyle="1" w:styleId="UnresolvedMention1">
    <w:name w:val="Unresolved Mention1"/>
    <w:basedOn w:val="DefaultParagraphFont"/>
    <w:uiPriority w:val="99"/>
    <w:semiHidden/>
    <w:unhideWhenUsed/>
    <w:rsid w:val="00491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customXml" Target="../customXml/item2.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header" Target="header6.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endnotes" Target="endnotes.xml"/><Relationship Id="rId19" Type="http://schemas.openxmlformats.org/officeDocument/2006/relationships/footer" Target="footer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eesc.europa.eu/el/our-work/opinions-information-reports/opinions/recommendations-organised-civil-society-address-cost-living-crisis" TargetMode="External"/><Relationship Id="rId13" Type="http://schemas.openxmlformats.org/officeDocument/2006/relationships/hyperlink" Target="https://ec.europa.eu/eurostat/statistics-explained/index.php?title=Children_at_risk_of_poverty_or_social_exclusion" TargetMode="External"/><Relationship Id="rId18" Type="http://schemas.openxmlformats.org/officeDocument/2006/relationships/hyperlink" Target="http://data.europa.eu/eli/C/2024/2100/oj" TargetMode="External"/><Relationship Id="rId3" Type="http://schemas.openxmlformats.org/officeDocument/2006/relationships/hyperlink" Target="https://www.eesc.europa.eu/el/our-work/opinions-information-reports/opinions/how-single-market-dysfunctionalities-contribute-rising-cost-living" TargetMode="External"/><Relationship Id="rId21" Type="http://schemas.openxmlformats.org/officeDocument/2006/relationships/hyperlink" Target="https://economy-finance.ec.europa.eu/publications/boosting-investment-social-infrastructure-europe_en" TargetMode="External"/><Relationship Id="rId7" Type="http://schemas.openxmlformats.org/officeDocument/2006/relationships/hyperlink" Target="https://www.eesc.europa.eu/el/our-work/opinions-information-reports/opinions/price-hikes-transport-energy-and-housing-role-quality-public-services-tackling-high-cost-living" TargetMode="External"/><Relationship Id="rId12" Type="http://schemas.openxmlformats.org/officeDocument/2006/relationships/hyperlink" Target="https://joint-research-centre.ec.europa.eu/jrc-news-and-updates/whos-energy-poor-eu-its-more-complex-it-seems-2024-09-25_en" TargetMode="External"/><Relationship Id="rId17" Type="http://schemas.openxmlformats.org/officeDocument/2006/relationships/hyperlink" Target="https://employment-social-affairs.ec.europa.eu/transport-poverty-definitions-indicators-determinants-and-mitigation-strategies-final-report_en" TargetMode="External"/><Relationship Id="rId2" Type="http://schemas.openxmlformats.org/officeDocument/2006/relationships/hyperlink" Target="https://www.eesc.europa.eu/el/our-work/opinions-information-reports/opinions/leaving-crises-behind-measures-resilient-cohesive-and-inclusive-european-economy" TargetMode="External"/><Relationship Id="rId16" Type="http://schemas.openxmlformats.org/officeDocument/2006/relationships/hyperlink" Target="https://competition-policy.ec.europa.eu/state-aid/legislation/sgei_en?prefLang=el" TargetMode="External"/><Relationship Id="rId20" Type="http://schemas.openxmlformats.org/officeDocument/2006/relationships/hyperlink" Target="https://eur-lex.europa.eu/legal-content/EL/TXT/?uri=OJ:JOC_2022_486_R_0013" TargetMode="External"/><Relationship Id="rId1" Type="http://schemas.openxmlformats.org/officeDocument/2006/relationships/hyperlink" Target="https://www.eesc.europa.eu/el/our-work/opinions-information-reports/opinions/reindustrialisation-europe-opportunity-businesses-employees-and-citizens-context-cost-living-crisis" TargetMode="External"/><Relationship Id="rId6" Type="http://schemas.openxmlformats.org/officeDocument/2006/relationships/hyperlink" Target="https://www.eesc.europa.eu/el/our-work/opinions-information-reports/opinions/how-address-loss-purchasing-power-and-risk-rising-inequalities-exclusion-and-marginalization" TargetMode="External"/><Relationship Id="rId11" Type="http://schemas.openxmlformats.org/officeDocument/2006/relationships/hyperlink" Target="https://ec.europa.eu/eurostat/databrowser/view/ilc_di11/default/table?lang=en" TargetMode="External"/><Relationship Id="rId5" Type="http://schemas.openxmlformats.org/officeDocument/2006/relationships/hyperlink" Target="https://www.eesc.europa.eu/el/our-work/opinions-information-reports/opinions/fragmentation-supply-chains-and-impact-cost-living" TargetMode="External"/><Relationship Id="rId15" Type="http://schemas.openxmlformats.org/officeDocument/2006/relationships/hyperlink" Target="https://www.wifo.ac.at/wp-content/uploads/upload-1894/mb_2023_09_04_kollektivvertragsverhandlungen_.pdf" TargetMode="External"/><Relationship Id="rId10" Type="http://schemas.openxmlformats.org/officeDocument/2006/relationships/hyperlink" Target="https://ec.europa.eu/eurostat/databrowser/view/prc_hicp_manr/default/table" TargetMode="External"/><Relationship Id="rId19" Type="http://schemas.openxmlformats.org/officeDocument/2006/relationships/hyperlink" Target="http://data.europa.eu/eli/C/2025/1187/oj" TargetMode="External"/><Relationship Id="rId4" Type="http://schemas.openxmlformats.org/officeDocument/2006/relationships/hyperlink" Target="https://www.eesc.europa.eu/el/our-work/opinions-information-reports/opinions/phasing-out-fossil-fuel-subsidies-while-ensuring-european-competitiveness-mitigating-cost-living-crisis-and-promoting" TargetMode="External"/><Relationship Id="rId9" Type="http://schemas.openxmlformats.org/officeDocument/2006/relationships/hyperlink" Target="https://ec.europa.eu/eurostat/databrowser/view/prc_hicp_manr/default/table" TargetMode="External"/><Relationship Id="rId14" Type="http://schemas.openxmlformats.org/officeDocument/2006/relationships/hyperlink" Target="https://eur-lex.europa.eu/legal-content/EL/TXT/?uri=CELEX%3A52025DC0079&amp;qid=1741773857602" TargetMode="External"/><Relationship Id="rId22" Type="http://schemas.openxmlformats.org/officeDocument/2006/relationships/hyperlink" Target="http://data.europa.eu/eli/C/2025/771/o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F7M6YNZUATRX-1659962339-6970</_dlc_DocId>
    <_dlc_DocIdUrl xmlns="59ace41b-6786-4ce3-be71-52c27066c6ef">
      <Url>http://dm/eesc/2024/_layouts/15/DocIdRedir.aspx?ID=F7M6YNZUATRX-1659962339-6970</Url>
      <Description>F7M6YNZUATRX-1659962339-6970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2025-05-05T12:00:00+00:00</ProductionDate>
    <DocumentNumber xmlns="91e51ac0-4aa1-4d5e-9a67-017d481be00b">4532</DocumentNumber>
    <FicheYear xmlns="59ace41b-6786-4ce3-be71-52c27066c6ef" xsi:nil="true"/>
    <DossierNumber xmlns="59ace41b-6786-4ce3-be71-52c27066c6ef">846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59ace41b-6786-4ce3-be71-52c27066c6ef" xsi:nil="true"/>
    <TaxCatchAll xmlns="59ace41b-6786-4ce3-be71-52c27066c6ef">
      <Value>76</Value>
      <Value>72</Value>
      <Value>43</Value>
      <Value>37</Value>
      <Value>36</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EL</TermName>
          <TermId xmlns="http://schemas.microsoft.com/office/infopath/2007/PartnerControls">6d4f4d51-af9b-4650-94b4-4276bee85c91</TermId>
        </TermInfo>
      </Terms>
    </DocumentLanguage_0>
    <Rapporteur xmlns="59ace41b-6786-4ce3-be71-52c27066c6ef">KATTNIG</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4663</FicheNumber>
    <OriginalSender xmlns="59ace41b-6786-4ce3-be71-52c27066c6ef">
      <UserInfo>
        <DisplayName>Kavousanou Marilena</DisplayName>
        <AccountId>2175</AccountId>
        <AccountType/>
      </UserInfo>
    </OriginalSender>
    <DocumentPart xmlns="59ace41b-6786-4ce3-be71-52c27066c6ef">0</DocumentPart>
    <AdoptionDate xmlns="59ace41b-6786-4ce3-be71-52c27066c6ef">2025-04-30T12:00:00+00:00</AdoptionDate>
    <RequestingService xmlns="59ace41b-6786-4ce3-be71-52c27066c6ef">Transports, énergie, infrastructures et société de l'information</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91e51ac0-4aa1-4d5e-9a67-017d481be00b"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TEN</TermName>
          <TermId xmlns="http://schemas.microsoft.com/office/infopath/2007/PartnerControls">5e12260d-3aca-41f8-baf2-ad3d18475f10</TermId>
        </TermInfo>
      </Terms>
    </DossierName_0>
    <DocumentVersion xmlns="59ace41b-6786-4ce3-be71-52c27066c6ef">1</DocumentVer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34DD74551733C243A24AB255EE6A94DB" ma:contentTypeVersion="4" ma:contentTypeDescription="Defines the documents for Document Manager V2" ma:contentTypeScope="" ma:versionID="6dc1781ba7fab92d7d66b168e0cae93f">
  <xsd:schema xmlns:xsd="http://www.w3.org/2001/XMLSchema" xmlns:xs="http://www.w3.org/2001/XMLSchema" xmlns:p="http://schemas.microsoft.com/office/2006/metadata/properties" xmlns:ns2="59ace41b-6786-4ce3-be71-52c27066c6ef" xmlns:ns3="http://schemas.microsoft.com/sharepoint/v3/fields" xmlns:ns4="91e51ac0-4aa1-4d5e-9a67-017d481be00b" targetNamespace="http://schemas.microsoft.com/office/2006/metadata/properties" ma:root="true" ma:fieldsID="f33a43edcf383b76f4f66ff8ebd76d7b" ns2:_="" ns3:_="" ns4:_="">
    <xsd:import namespace="59ace41b-6786-4ce3-be71-52c27066c6ef"/>
    <xsd:import namespace="http://schemas.microsoft.com/sharepoint/v3/fields"/>
    <xsd:import namespace="91e51ac0-4aa1-4d5e-9a67-017d481be00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e51ac0-4aa1-4d5e-9a67-017d481be00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794D6-9E59-4FDC-8C3A-81999879C30E}"/>
</file>

<file path=customXml/itemProps2.xml><?xml version="1.0" encoding="utf-8"?>
<ds:datastoreItem xmlns:ds="http://schemas.openxmlformats.org/officeDocument/2006/customXml" ds:itemID="{181EEED8-8FD9-4B2F-92EC-D0E80B1FD307}"/>
</file>

<file path=customXml/itemProps3.xml><?xml version="1.0" encoding="utf-8"?>
<ds:datastoreItem xmlns:ds="http://schemas.openxmlformats.org/officeDocument/2006/customXml" ds:itemID="{1C531CF8-2E24-47E8-B72B-DFDEDDB23A55}"/>
</file>

<file path=customXml/itemProps4.xml><?xml version="1.0" encoding="utf-8"?>
<ds:datastoreItem xmlns:ds="http://schemas.openxmlformats.org/officeDocument/2006/customXml" ds:itemID="{F7F4AF1B-8FD3-4D28-8ABB-F68DCE8FAFB3}"/>
</file>

<file path=docProps/app.xml><?xml version="1.0" encoding="utf-8"?>
<Properties xmlns="http://schemas.openxmlformats.org/officeDocument/2006/extended-properties" xmlns:vt="http://schemas.openxmlformats.org/officeDocument/2006/docPropsVTypes">
  <Template>Normal.dotm</Template>
  <TotalTime>0</TotalTime>
  <Pages>12</Pages>
  <Words>4316</Words>
  <Characters>24605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Posting of drivers in the European transport sector - challenges and opportunities</vt:lpstr>
    </vt:vector>
  </TitlesOfParts>
  <Company>CESE-CdR</Company>
  <LinksUpToDate>false</LinksUpToDate>
  <CharactersWithSpaces>28864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ρόλος των ποιοτικών δημόσιων υπηρεσιών στην αντιμετώπιση του υψηλού κόστους ζωής</dc:title>
  <dc:subject>AC</dc:subject>
  <dc:creator>Francois Aude</dc:creator>
  <cp:keywords>EESC-2024-04532-00-01-AC-TRA-EN</cp:keywords>
  <dc:description>Rapporteur: KATTNIG - Original language: EN - Date of document: 05/05/2025 - Date of meeting:  - External documents:  - Administrator: Mme JANICAUDNÉ BAZSIK Agota</dc:description>
  <cp:lastModifiedBy>Kavousanou Marilena</cp:lastModifiedBy>
  <cp:revision>9</cp:revision>
  <dcterms:created xsi:type="dcterms:W3CDTF">2025-05-02T11:48:00Z</dcterms:created>
  <dcterms:modified xsi:type="dcterms:W3CDTF">2025-05-05T09:18:00Z</dcterms:modified>
  <cp:category>TEN/846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02/05/2025, 30/04/2025, 14/12/2023, 17/05/2022</vt:lpwstr>
  </property>
  <property fmtid="{D5CDD505-2E9C-101B-9397-08002B2CF9AE}" pid="4" name="Pref_Time">
    <vt:lpwstr>13:42:29, 17:13:45, 09:17:22, 14:58:36</vt:lpwstr>
  </property>
  <property fmtid="{D5CDD505-2E9C-101B-9397-08002B2CF9AE}" pid="5" name="Pref_User">
    <vt:lpwstr>pacup, pacup, enied, enied</vt:lpwstr>
  </property>
  <property fmtid="{D5CDD505-2E9C-101B-9397-08002B2CF9AE}" pid="6" name="Pref_FileName">
    <vt:lpwstr>EESC-2024-04532-00-01-AC-ORI.docx, EESC-2024-04532-00-00-AC-TRA-EN-CRR.docx, EESC-2023-03702-00-00-AC-TRA-EN-CRR.docx, COR-EESC-2022-02592-00-00-ADMIN-ORI.docx</vt:lpwstr>
  </property>
  <property fmtid="{D5CDD505-2E9C-101B-9397-08002B2CF9AE}" pid="7" name="ContentTypeId">
    <vt:lpwstr>0x010100EA97B91038054C99906057A708A1480A0034DD74551733C243A24AB255EE6A94DB</vt:lpwstr>
  </property>
  <property fmtid="{D5CDD505-2E9C-101B-9397-08002B2CF9AE}" pid="8" name="_dlc_DocIdItemGuid">
    <vt:lpwstr>ffa1ee6b-d4b6-4576-8689-4f67a531eaeb</vt:lpwstr>
  </property>
  <property fmtid="{D5CDD505-2E9C-101B-9397-08002B2CF9AE}" pid="9" name="AvailableTranslations">
    <vt:lpwstr>5;#EN|f2175f21-25d7-44a3-96da-d6a61b075e1b;#32;#HU|6b229040-c589-4408-b4c1-4285663d20a8;#27;#SL|98a412ae-eb01-49e9-ae3d-585a81724cfc;#17;#PL|1e03da61-4678-4e07-b136-b5024ca9197b;#28;#LV|46f7e311-5d9f-4663-b433-18aeccb7ace7;#22;#BG|1a1b3951-7821-4e6a-85f5-5673fc08bd2c;#29;#EL|6d4f4d51-af9b-4650-94b4-4276bee85c91;#16;#DA|5d49c027-8956-412b-aa16-e85a0f96ad0e;#36;#PT|50ccc04a-eadd-42ae-a0cb-acaf45f812ba;#34;#LT|a7ff5ce7-6123-4f68-865a-a57c31810414;#25;#DE|f6b31e5a-26fa-4935-b661-318e46daf27e;#12;#IT|0774613c-01ed-4e5d-a25d-11d2388de825;#24;#ES|e7a6b05b-ae16-40c8-add9-68b64b03aeba;#21;#SV|c2ed69e7-a339-43d7-8f22-d93680a92aa0;#43;#CS|72f9705b-0217-4fd3-bea2-cbc7ed80e26e;#30;#HR|2f555653-ed1a-4fe6-8362-9082d95989e5;#26;#SK|46d9fce0-ef79-4f71-b89b-cd6aa82426b8;#31;#NL|55c6556c-b4f4-441d-9acf-c498d4f838bd;#18;#GA|762d2456-c427-4ecb-b312-af3dad8e258c;#33;#ET|ff6c3f4c-b02c-4c3c-ab07-2c37995a7a0a;#37;#RO|feb747a2-64cd-4299-af12-4833ddc30497;#35;#FI|87606a43-d45f-42d6-b8c9-e1a3457db5b7;#23;#MT|7df99101-6854-4a26-b53a-b88c0da02c26;#14;#FR|d2afafd3-4c81-4f60-8f52-ee33f2f54ff3</vt:lpwstr>
  </property>
  <property fmtid="{D5CDD505-2E9C-101B-9397-08002B2CF9AE}" pid="10" name="DocumentType_0">
    <vt:lpwstr>AC|a4cc1d15-fb08-4679-ad46-e4e0cba5fe92</vt:lpwstr>
  </property>
  <property fmtid="{D5CDD505-2E9C-101B-9397-08002B2CF9AE}" pid="11" name="DossierName_0">
    <vt:lpwstr>TEN|5e12260d-3aca-41f8-baf2-ad3d18475f10</vt:lpwstr>
  </property>
  <property fmtid="{D5CDD505-2E9C-101B-9397-08002B2CF9AE}" pid="12" name="DocumentSource_0">
    <vt:lpwstr>EESC|422833ec-8d7e-4e65-8e4e-8bed07ffb729</vt:lpwstr>
  </property>
  <property fmtid="{D5CDD505-2E9C-101B-9397-08002B2CF9AE}" pid="13" name="DocumentNumber">
    <vt:i4>4532</vt:i4>
  </property>
  <property fmtid="{D5CDD505-2E9C-101B-9397-08002B2CF9AE}" pid="14" name="DocumentVersion">
    <vt:i4>1</vt:i4>
  </property>
  <property fmtid="{D5CDD505-2E9C-101B-9397-08002B2CF9AE}" pid="15" name="DossierNumber">
    <vt:i4>846</vt:i4>
  </property>
  <property fmtid="{D5CDD505-2E9C-101B-9397-08002B2CF9AE}" pid="16" name="DocumentStatus">
    <vt:lpwstr>3;#TRA|150d2a88-1431-44e6-a8ca-0bb753ab8672</vt:lpwstr>
  </property>
  <property fmtid="{D5CDD505-2E9C-101B-9397-08002B2CF9AE}" pid="17" name="DossierName">
    <vt:lpwstr>76;#TEN|5e12260d-3aca-41f8-baf2-ad3d18475f10</vt:lpwstr>
  </property>
  <property fmtid="{D5CDD505-2E9C-101B-9397-08002B2CF9AE}" pid="18" name="RequestingService">
    <vt:lpwstr>Transports, énergie, infrastructures et société de l'information</vt:lpwstr>
  </property>
  <property fmtid="{D5CDD505-2E9C-101B-9397-08002B2CF9AE}" pid="19" name="Confidentiality">
    <vt:lpwstr>6;#Unrestricted|826e22d7-d029-4ec0-a450-0c28ff673572</vt:lpwstr>
  </property>
  <property fmtid="{D5CDD505-2E9C-101B-9397-08002B2CF9AE}" pid="20" name="MeetingName_0">
    <vt:lpwstr/>
  </property>
  <property fmtid="{D5CDD505-2E9C-101B-9397-08002B2CF9AE}" pid="21" name="Confidentiality_0">
    <vt:lpwstr>Unrestricted|826e22d7-d029-4ec0-a450-0c28ff673572</vt:lpwstr>
  </property>
  <property fmtid="{D5CDD505-2E9C-101B-9397-08002B2CF9AE}" pid="22" name="OriginalLanguage">
    <vt:lpwstr>5;#EN|f2175f21-25d7-44a3-96da-d6a61b075e1b</vt:lpwstr>
  </property>
  <property fmtid="{D5CDD505-2E9C-101B-9397-08002B2CF9AE}" pid="23" name="MeetingName">
    <vt:lpwstr/>
  </property>
  <property fmtid="{D5CDD505-2E9C-101B-9397-08002B2CF9AE}" pid="25" name="AvailableTranslations_0">
    <vt:lpwstr>EN|f2175f21-25d7-44a3-96da-d6a61b075e1b;SL|98a412ae-eb01-49e9-ae3d-585a81724cfc;PL|1e03da61-4678-4e07-b136-b5024ca9197b;BG|1a1b3951-7821-4e6a-85f5-5673fc08bd2c;LT|a7ff5ce7-6123-4f68-865a-a57c31810414;DE|f6b31e5a-26fa-4935-b661-318e46daf27e;IT|0774613c-01ed-4e5d-a25d-11d2388de825;SK|46d9fce0-ef79-4f71-b89b-cd6aa82426b8;NL|55c6556c-b4f4-441d-9acf-c498d4f838bd;ET|ff6c3f4c-b02c-4c3c-ab07-2c37995a7a0a;MT|7df99101-6854-4a26-b53a-b88c0da02c26</vt:lpwstr>
  </property>
  <property fmtid="{D5CDD505-2E9C-101B-9397-08002B2CF9AE}" pid="26" name="DocumentStatus_0">
    <vt:lpwstr>TRA|150d2a88-1431-44e6-a8ca-0bb753ab8672</vt:lpwstr>
  </property>
  <property fmtid="{D5CDD505-2E9C-101B-9397-08002B2CF9AE}" pid="27" name="OriginalLanguage_0">
    <vt:lpwstr>EN|f2175f21-25d7-44a3-96da-d6a61b075e1b</vt:lpwstr>
  </property>
  <property fmtid="{D5CDD505-2E9C-101B-9397-08002B2CF9AE}" pid="28" name="TaxCatchAll">
    <vt:lpwstr>72;#AC|a4cc1d15-fb08-4679-ad46-e4e0cba5fe92;#34;#LT|a7ff5ce7-6123-4f68-865a-a57c31810414;#33;#ET|ff6c3f4c-b02c-4c3c-ab07-2c37995a7a0a;#31;#NL|55c6556c-b4f4-441d-9acf-c498d4f838bd;#27;#SL|98a412ae-eb01-49e9-ae3d-585a81724cfc;#26;#SK|46d9fce0-ef79-4f71-b89b-cd6aa82426b8;#25;#DE|f6b31e5a-26fa-4935-b661-318e46daf27e;#23;#MT|7df99101-6854-4a26-b53a-b88c0da02c26;#22;#BG|1a1b3951-7821-4e6a-85f5-5673fc08bd2c;#17;#PL|1e03da61-4678-4e07-b136-b5024ca9197b;#12;#IT|0774613c-01ed-4e5d-a25d-11d2388de825;#8;#Final|ea5e6674-7b27-4bac-b091-73adbb394efe;#6;#Unrestricted|826e22d7-d029-4ec0-a450-0c28ff673572;#5;#EN|f2175f21-25d7-44a3-96da-d6a61b075e1b;#3;#TRA|150d2a88-1431-44e6-a8ca-0bb753ab8672;#76;#TEN|5e12260d-3aca-41f8-baf2-ad3d18475f10;#1;#EESC|422833ec-8d7e-4e65-8e4e-8bed07ffb729</vt:lpwstr>
  </property>
  <property fmtid="{D5CDD505-2E9C-101B-9397-08002B2CF9AE}" pid="29" name="Rapporteur">
    <vt:lpwstr>KATTNIG</vt:lpwstr>
  </property>
  <property fmtid="{D5CDD505-2E9C-101B-9397-08002B2CF9AE}" pid="30" name="VersionStatus_0">
    <vt:lpwstr>Final|ea5e6674-7b27-4bac-b091-73adbb394efe</vt:lpwstr>
  </property>
  <property fmtid="{D5CDD505-2E9C-101B-9397-08002B2CF9AE}" pid="31" name="VersionStatus">
    <vt:lpwstr>8;#Final|ea5e6674-7b27-4bac-b091-73adbb394efe</vt:lpwstr>
  </property>
  <property fmtid="{D5CDD505-2E9C-101B-9397-08002B2CF9AE}" pid="32" name="DocumentYear">
    <vt:i4>2024</vt:i4>
  </property>
  <property fmtid="{D5CDD505-2E9C-101B-9397-08002B2CF9AE}" pid="33" name="FicheNumber">
    <vt:i4>4663</vt:i4>
  </property>
  <property fmtid="{D5CDD505-2E9C-101B-9397-08002B2CF9AE}" pid="34" name="DocumentPart">
    <vt:i4>0</vt:i4>
  </property>
  <property fmtid="{D5CDD505-2E9C-101B-9397-08002B2CF9AE}" pid="35" name="DocumentSource">
    <vt:lpwstr>1;#EESC|422833ec-8d7e-4e65-8e4e-8bed07ffb729</vt:lpwstr>
  </property>
  <property fmtid="{D5CDD505-2E9C-101B-9397-08002B2CF9AE}" pid="36" name="AdoptionDate">
    <vt:filetime>2025-04-30T12:00:00Z</vt:filetime>
  </property>
  <property fmtid="{D5CDD505-2E9C-101B-9397-08002B2CF9AE}" pid="37" name="DocumentType">
    <vt:lpwstr>72;#AC|a4cc1d15-fb08-4679-ad46-e4e0cba5fe92</vt:lpwstr>
  </property>
  <property fmtid="{D5CDD505-2E9C-101B-9397-08002B2CF9AE}" pid="38" name="DocumentLanguage">
    <vt:lpwstr>29;#EL|6d4f4d51-af9b-4650-94b4-4276bee85c91</vt:lpwstr>
  </property>
</Properties>
</file>