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7.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89"/>
      </w:tblGrid>
      <w:tr w:rsidRPr="002C7AFD" w:rsidR="008141A0" w14:paraId="07977D36" w14:textId="77777777">
        <w:trPr>
          <w:jc w:val="center"/>
        </w:trPr>
        <w:tc>
          <w:tcPr>
            <w:tcW w:w="5000" w:type="pct"/>
            <w:vAlign w:val="center"/>
          </w:tcPr>
          <w:p w:rsidRPr="002C7AFD" w:rsidR="00574C9B" w:rsidP="006125A1" w:rsidRDefault="00574C9B" w14:paraId="49456DF0" w14:textId="77777777">
            <w:pPr>
              <w:jc w:val="center"/>
              <w:rPr>
                <w:b/>
                <w:sz w:val="72"/>
                <w:szCs w:val="72"/>
              </w:rPr>
            </w:pPr>
            <w:r>
              <w:rPr>
                <w:b/>
                <w:sz w:val="72"/>
              </w:rPr>
              <w:t>YTTRANDE</w:t>
            </w:r>
          </w:p>
        </w:tc>
      </w:tr>
      <w:tr w:rsidRPr="002C7AFD" w:rsidR="008141A0" w14:paraId="19A0DB62" w14:textId="77777777">
        <w:trPr>
          <w:trHeight w:val="567"/>
          <w:jc w:val="center"/>
        </w:trPr>
        <w:tc>
          <w:tcPr>
            <w:tcW w:w="5000" w:type="pct"/>
            <w:vAlign w:val="center"/>
          </w:tcPr>
          <w:p w:rsidRPr="002C7AFD" w:rsidR="00574C9B" w:rsidP="006125A1" w:rsidRDefault="00574C9B" w14:paraId="59AB3F1B" w14:textId="77777777">
            <w:pPr>
              <w:jc w:val="center"/>
              <w:rPr>
                <w:sz w:val="24"/>
                <w:szCs w:val="24"/>
              </w:rPr>
            </w:pPr>
            <w:r>
              <w:rPr>
                <w:sz w:val="24"/>
              </w:rPr>
              <w:t>Europeiska ekonomiska och sociala kommittén</w:t>
            </w:r>
          </w:p>
        </w:tc>
      </w:tr>
      <w:tr w:rsidRPr="002C7AFD" w:rsidR="008141A0" w14:paraId="4BD20DE0" w14:textId="77777777">
        <w:trPr>
          <w:jc w:val="center"/>
        </w:trPr>
        <w:tc>
          <w:tcPr>
            <w:tcW w:w="5000" w:type="pct"/>
            <w:vAlign w:val="center"/>
          </w:tcPr>
          <w:p w:rsidRPr="002C7AFD" w:rsidR="00574C9B" w:rsidP="00D34C76" w:rsidRDefault="00264F03" w14:paraId="4B0CF9A5" w14:textId="71AA3B99">
            <w:pPr>
              <w:jc w:val="center"/>
              <w:rPr>
                <w:b/>
                <w:sz w:val="44"/>
                <w:szCs w:val="44"/>
              </w:rPr>
            </w:pPr>
            <w:r>
              <w:rPr>
                <w:b/>
                <w:sz w:val="44"/>
              </w:rPr>
              <w:t>Höjda priser på transporter, energi och boende: vilken roll kan offentliga tjänster av hög kvalitet spela för att komma till rätta med de höga levnadskostnaderna?</w:t>
            </w:r>
          </w:p>
        </w:tc>
      </w:tr>
      <w:tr w:rsidRPr="002C7AFD" w:rsidR="008141A0" w14:paraId="2E253A79" w14:textId="77777777">
        <w:trPr>
          <w:jc w:val="center"/>
        </w:trPr>
        <w:tc>
          <w:tcPr>
            <w:tcW w:w="5000" w:type="pct"/>
            <w:vAlign w:val="center"/>
          </w:tcPr>
          <w:p w:rsidRPr="00A04328" w:rsidR="00574C9B" w:rsidP="006125A1" w:rsidRDefault="00574C9B" w14:paraId="546B2988" w14:textId="77777777">
            <w:pPr>
              <w:overflowPunct w:val="0"/>
              <w:autoSpaceDE w:val="0"/>
              <w:autoSpaceDN w:val="0"/>
              <w:adjustRightInd w:val="0"/>
              <w:jc w:val="center"/>
              <w:textAlignment w:val="baseline"/>
              <w:rPr>
                <w:b/>
                <w:position w:val="24"/>
                <w:sz w:val="24"/>
                <w:szCs w:val="24"/>
              </w:rPr>
            </w:pPr>
            <w:r>
              <w:rPr>
                <w:sz w:val="24"/>
              </w:rPr>
              <w:t>_____________</w:t>
            </w:r>
          </w:p>
        </w:tc>
      </w:tr>
      <w:tr w:rsidRPr="002C7AFD" w:rsidR="008141A0" w14:paraId="485ABBCC" w14:textId="77777777">
        <w:trPr>
          <w:jc w:val="center"/>
        </w:trPr>
        <w:tc>
          <w:tcPr>
            <w:tcW w:w="5000" w:type="pct"/>
            <w:vAlign w:val="center"/>
          </w:tcPr>
          <w:p w:rsidRPr="002C7AFD" w:rsidR="00264F03" w:rsidP="00264F03" w:rsidRDefault="00264F03" w14:paraId="6809D59A" w14:textId="2ABD452F">
            <w:pPr>
              <w:jc w:val="center"/>
              <w:rPr>
                <w:sz w:val="24"/>
                <w:szCs w:val="24"/>
              </w:rPr>
            </w:pPr>
            <w:r>
              <w:rPr>
                <w:sz w:val="24"/>
              </w:rPr>
              <w:t>Höjda priser på transporter, energi och boende:</w:t>
            </w:r>
            <w:r>
              <w:rPr>
                <w:sz w:val="24"/>
              </w:rPr>
              <w:br/>
              <w:t>vilken roll kan offentliga tjänster av hög kvalitet spela för att komma till rätta med de höga levnadskostnaderna?</w:t>
            </w:r>
          </w:p>
          <w:p w:rsidRPr="00BE1BA6" w:rsidR="00574C9B" w:rsidP="00264F03" w:rsidRDefault="00264F03" w14:paraId="080F2713" w14:textId="5C5456F3">
            <w:pPr>
              <w:jc w:val="center"/>
              <w:rPr>
                <w:b/>
                <w:bCs/>
                <w:sz w:val="24"/>
                <w:szCs w:val="24"/>
              </w:rPr>
            </w:pPr>
            <w:r>
              <w:rPr>
                <w:b/>
                <w:sz w:val="24"/>
              </w:rPr>
              <w:t>(yttrande på eget initiativ)</w:t>
            </w:r>
          </w:p>
        </w:tc>
      </w:tr>
      <w:tr w:rsidRPr="002C7AFD" w:rsidR="008141A0" w14:paraId="3F0A8C95" w14:textId="77777777">
        <w:trPr>
          <w:jc w:val="center"/>
        </w:trPr>
        <w:tc>
          <w:tcPr>
            <w:tcW w:w="5000" w:type="pct"/>
            <w:vAlign w:val="center"/>
          </w:tcPr>
          <w:p w:rsidRPr="002C7AFD" w:rsidR="00574C9B" w:rsidP="006125A1" w:rsidRDefault="00574C9B" w14:paraId="5BE36E47" w14:textId="77777777">
            <w:pPr>
              <w:jc w:val="center"/>
              <w:rPr>
                <w:sz w:val="24"/>
                <w:szCs w:val="24"/>
                <w:lang w:val="en-GB"/>
              </w:rPr>
            </w:pPr>
          </w:p>
        </w:tc>
      </w:tr>
      <w:tr w:rsidRPr="002C7AFD" w:rsidR="008141A0" w14:paraId="6DDDAEA8" w14:textId="77777777">
        <w:trPr>
          <w:jc w:val="center"/>
        </w:trPr>
        <w:tc>
          <w:tcPr>
            <w:tcW w:w="5000" w:type="pct"/>
            <w:vAlign w:val="center"/>
          </w:tcPr>
          <w:p w:rsidRPr="002C7AFD" w:rsidR="00574C9B" w:rsidP="006125A1" w:rsidRDefault="0031056E" w14:paraId="12C01476" w14:textId="79DEBC05">
            <w:pPr>
              <w:jc w:val="center"/>
              <w:rPr>
                <w:b/>
                <w:sz w:val="24"/>
                <w:szCs w:val="24"/>
              </w:rPr>
            </w:pPr>
            <w:r>
              <w:rPr>
                <w:b/>
                <w:sz w:val="24"/>
              </w:rPr>
              <w:t>TEN/846</w:t>
            </w:r>
          </w:p>
        </w:tc>
      </w:tr>
      <w:tr w:rsidRPr="002C7AFD" w:rsidR="008141A0" w14:paraId="60DB09E8" w14:textId="77777777">
        <w:trPr>
          <w:jc w:val="center"/>
        </w:trPr>
        <w:tc>
          <w:tcPr>
            <w:tcW w:w="5000" w:type="pct"/>
            <w:vAlign w:val="center"/>
          </w:tcPr>
          <w:p w:rsidRPr="002C7AFD" w:rsidR="00574C9B" w:rsidP="006125A1" w:rsidRDefault="00574C9B" w14:paraId="6C826148" w14:textId="77777777">
            <w:pPr>
              <w:jc w:val="center"/>
              <w:rPr>
                <w:sz w:val="24"/>
                <w:szCs w:val="24"/>
                <w:lang w:val="en-GB"/>
              </w:rPr>
            </w:pPr>
          </w:p>
        </w:tc>
      </w:tr>
      <w:tr w:rsidRPr="002C7AFD" w:rsidR="008141A0" w14:paraId="1771512F" w14:textId="77777777">
        <w:trPr>
          <w:jc w:val="center"/>
        </w:trPr>
        <w:tc>
          <w:tcPr>
            <w:tcW w:w="5000" w:type="pct"/>
            <w:vAlign w:val="center"/>
          </w:tcPr>
          <w:p w:rsidRPr="002C7AFD" w:rsidR="006D1B0C" w:rsidP="006D1B0C" w:rsidRDefault="006D1B0C" w14:paraId="4E17E1C5" w14:textId="6CC8EE5C">
            <w:pPr>
              <w:jc w:val="center"/>
              <w:rPr>
                <w:b/>
                <w:sz w:val="24"/>
                <w:szCs w:val="24"/>
              </w:rPr>
            </w:pPr>
            <w:r>
              <w:rPr>
                <w:sz w:val="24"/>
              </w:rPr>
              <w:t xml:space="preserve">Föredragande: </w:t>
            </w:r>
            <w:r>
              <w:rPr>
                <w:b/>
                <w:sz w:val="24"/>
              </w:rPr>
              <w:t xml:space="preserve">Thomas </w:t>
            </w:r>
            <w:proofErr w:type="spellStart"/>
            <w:r>
              <w:rPr>
                <w:b/>
                <w:sz w:val="24"/>
              </w:rPr>
              <w:t>Kattnig</w:t>
            </w:r>
            <w:proofErr w:type="spellEnd"/>
          </w:p>
          <w:p w:rsidRPr="002C7AFD" w:rsidR="00CB7CD0" w:rsidP="006D1B0C" w:rsidRDefault="00CB7CD0" w14:paraId="053D3044" w14:textId="3F7DA1B8">
            <w:pPr>
              <w:jc w:val="center"/>
              <w:rPr>
                <w:sz w:val="24"/>
                <w:szCs w:val="24"/>
                <w:lang w:val="en-GB"/>
              </w:rPr>
            </w:pPr>
          </w:p>
        </w:tc>
      </w:tr>
    </w:tbl>
    <w:p w:rsidRPr="002C7AFD" w:rsidR="00574C9B" w:rsidP="00574C9B" w:rsidRDefault="00574C9B" w14:paraId="71443F8E" w14:textId="77777777">
      <w:r>
        <w:rPr>
          <w:noProof/>
          <w:sz w:val="20"/>
        </w:rPr>
        <mc:AlternateContent>
          <mc:Choice Requires="wps">
            <w:drawing>
              <wp:anchor distT="0" distB="0" distL="114300" distR="114300" simplePos="0" relativeHeight="251656704" behindDoc="1" locked="0" layoutInCell="0" allowOverlap="1" wp14:editId="2B369DC1" wp14:anchorId="7E58AECB">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2477019C" w14:textId="77777777">
                            <w:pPr>
                              <w:jc w:val="center"/>
                            </w:pPr>
                            <w:r>
                              <w:rPr>
                                <w:rFonts w:ascii="Arial" w:hAnsi="Arial"/>
                                <w:b/>
                                <w:sz w:val="48"/>
                              </w:rPr>
                              <w:t>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E58AECB">
                <v:stroke joinstyle="miter"/>
                <v:path gradientshapeok="t" o:connecttype="rect"/>
              </v:shapetype>
              <v:shape id="Text Box 17" style="position:absolute;left:0;text-align:left;margin-left:-15.9pt;margin-top:747pt;width:58.4pt;height:34pt;z-index:-251659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2477019C" w14:textId="77777777">
                      <w:pPr>
                        <w:jc w:val="center"/>
                      </w:pPr>
                      <w:r>
                        <w:rPr>
                          <w:rFonts w:ascii="Arial" w:hAnsi="Arial"/>
                          <w:b/>
                          <w:sz w:val="48"/>
                        </w:rPr>
                        <w:t>SV</w:t>
                      </w:r>
                    </w:p>
                  </w:txbxContent>
                </v:textbox>
                <w10:wrap anchorx="margin" anchory="page"/>
              </v:shape>
            </w:pict>
          </mc:Fallback>
        </mc:AlternateContent>
      </w:r>
    </w:p>
    <w:p w:rsidRPr="002C7AFD" w:rsidR="00574C9B" w:rsidP="00574C9B" w:rsidRDefault="00574C9B" w14:paraId="62470F5D" w14:textId="77777777">
      <w:pPr>
        <w:rPr>
          <w:lang w:val="en-GB"/>
        </w:rPr>
      </w:pPr>
    </w:p>
    <w:p w:rsidRPr="002C7AFD" w:rsidR="00574C9B" w:rsidP="00574C9B" w:rsidRDefault="00574C9B" w14:paraId="5B254876" w14:textId="77777777">
      <w:pPr>
        <w:rPr>
          <w:lang w:val="en-GB"/>
        </w:rPr>
        <w:sectPr w:rsidRPr="002C7AFD" w:rsidR="00574C9B" w:rsidSect="000720FE">
          <w:headerReference w:type="even" r:id="rId11"/>
          <w:headerReference w:type="default" r:id="rId12"/>
          <w:footerReference w:type="even" r:id="rId13"/>
          <w:footerReference w:type="default" r:id="rId14"/>
          <w:headerReference w:type="first" r:id="rId15"/>
          <w:footerReference w:type="first" r:id="rId16"/>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2C7AFD" w:rsidR="00264F03" w:rsidTr="00475E00" w14:paraId="006419A1" w14:textId="77777777">
        <w:tc>
          <w:tcPr>
            <w:tcW w:w="3085" w:type="dxa"/>
          </w:tcPr>
          <w:p w:rsidRPr="002C7AFD" w:rsidR="00264F03" w:rsidP="00264F03" w:rsidRDefault="00264F03" w14:paraId="4059C35D" w14:textId="6A4BFD3E">
            <w:pPr>
              <w:autoSpaceDE w:val="0"/>
              <w:autoSpaceDN w:val="0"/>
              <w:jc w:val="left"/>
            </w:pPr>
            <w:r>
              <w:lastRenderedPageBreak/>
              <w:t>Beslut av plenarförsamlingen</w:t>
            </w:r>
          </w:p>
        </w:tc>
        <w:tc>
          <w:tcPr>
            <w:tcW w:w="6204" w:type="dxa"/>
          </w:tcPr>
          <w:p w:rsidRPr="002C7AFD" w:rsidR="00264F03" w:rsidP="00264F03" w:rsidRDefault="00264F03" w14:paraId="363DEAC3" w14:textId="0EB6D189">
            <w:pPr>
              <w:autoSpaceDE w:val="0"/>
              <w:autoSpaceDN w:val="0"/>
              <w:jc w:val="left"/>
            </w:pPr>
            <w:r>
              <w:t>5/12/2024</w:t>
            </w:r>
          </w:p>
        </w:tc>
      </w:tr>
      <w:tr w:rsidRPr="002C7AFD" w:rsidR="00264F03" w:rsidTr="00475E00" w14:paraId="15604EC5" w14:textId="77777777">
        <w:tc>
          <w:tcPr>
            <w:tcW w:w="3085" w:type="dxa"/>
          </w:tcPr>
          <w:p w:rsidRPr="00A04328" w:rsidR="00264F03" w:rsidP="00264F03" w:rsidRDefault="00264F03" w14:paraId="1B37E05A" w14:textId="5D11D2C6">
            <w:pPr>
              <w:autoSpaceDE w:val="0"/>
              <w:autoSpaceDN w:val="0"/>
              <w:jc w:val="left"/>
              <w:rPr>
                <w:szCs w:val="20"/>
              </w:rPr>
            </w:pPr>
            <w:r>
              <w:t>Rättslig grund</w:t>
            </w:r>
          </w:p>
        </w:tc>
        <w:tc>
          <w:tcPr>
            <w:tcW w:w="6204" w:type="dxa"/>
          </w:tcPr>
          <w:p w:rsidRPr="002C7AFD" w:rsidR="00264F03" w:rsidP="00264F03" w:rsidRDefault="00264F03" w14:paraId="49A68C47" w14:textId="348F7933">
            <w:pPr>
              <w:autoSpaceDE w:val="0"/>
              <w:autoSpaceDN w:val="0"/>
              <w:jc w:val="left"/>
              <w:rPr>
                <w:szCs w:val="20"/>
              </w:rPr>
            </w:pPr>
            <w:r>
              <w:t>Artikel 52.2 i arbetsordningen</w:t>
            </w:r>
          </w:p>
        </w:tc>
      </w:tr>
      <w:tr w:rsidRPr="002C7AFD" w:rsidR="00634E76" w:rsidTr="00475E00" w14:paraId="21621E5E" w14:textId="77777777">
        <w:tc>
          <w:tcPr>
            <w:tcW w:w="3085" w:type="dxa"/>
          </w:tcPr>
          <w:p w:rsidRPr="00A04328" w:rsidR="00634E76" w:rsidP="00634E76" w:rsidRDefault="00634E76" w14:paraId="2ABAA047" w14:textId="77777777">
            <w:pPr>
              <w:autoSpaceDE w:val="0"/>
              <w:autoSpaceDN w:val="0"/>
              <w:jc w:val="left"/>
            </w:pPr>
            <w:r>
              <w:t>Ansvarig sektion</w:t>
            </w:r>
          </w:p>
        </w:tc>
        <w:tc>
          <w:tcPr>
            <w:tcW w:w="6204" w:type="dxa"/>
          </w:tcPr>
          <w:p w:rsidRPr="002C7AFD" w:rsidR="00634E76" w:rsidP="00634E76" w:rsidRDefault="00634E76" w14:paraId="54A38CEC" w14:textId="2724A25B">
            <w:pPr>
              <w:autoSpaceDE w:val="0"/>
              <w:autoSpaceDN w:val="0"/>
              <w:jc w:val="left"/>
            </w:pPr>
            <w:r>
              <w:t>Sektionen för transporter, energi, infrastruktur och informationssamhället</w:t>
            </w:r>
          </w:p>
        </w:tc>
      </w:tr>
      <w:tr w:rsidRPr="002C7AFD" w:rsidR="00634E76" w:rsidTr="00475E00" w14:paraId="7D7892AB" w14:textId="77777777">
        <w:tc>
          <w:tcPr>
            <w:tcW w:w="3085" w:type="dxa"/>
          </w:tcPr>
          <w:p w:rsidRPr="00A04328" w:rsidR="00634E76" w:rsidP="00634E76" w:rsidRDefault="00634E76" w14:paraId="4C33AD73" w14:textId="77777777">
            <w:pPr>
              <w:autoSpaceDE w:val="0"/>
              <w:autoSpaceDN w:val="0"/>
              <w:jc w:val="left"/>
            </w:pPr>
            <w:r>
              <w:t>Antagande av sektionen</w:t>
            </w:r>
          </w:p>
        </w:tc>
        <w:tc>
          <w:tcPr>
            <w:tcW w:w="6204" w:type="dxa"/>
          </w:tcPr>
          <w:p w:rsidRPr="002C7AFD" w:rsidR="00634E76" w:rsidP="00634E76" w:rsidRDefault="00264F03" w14:paraId="7592028B" w14:textId="709E5CA1">
            <w:pPr>
              <w:autoSpaceDE w:val="0"/>
              <w:autoSpaceDN w:val="0"/>
              <w:jc w:val="left"/>
            </w:pPr>
            <w:r>
              <w:t>7/4/2025</w:t>
            </w:r>
          </w:p>
        </w:tc>
      </w:tr>
      <w:tr w:rsidRPr="002C7AFD" w:rsidR="00634E76" w:rsidTr="008E5CC7" w14:paraId="295C57B7" w14:textId="77777777">
        <w:tc>
          <w:tcPr>
            <w:tcW w:w="3085" w:type="dxa"/>
          </w:tcPr>
          <w:p w:rsidRPr="00A04328" w:rsidR="00634E76" w:rsidP="00634E76" w:rsidRDefault="00634E76" w14:paraId="159F93D9" w14:textId="77777777">
            <w:pPr>
              <w:autoSpaceDE w:val="0"/>
              <w:autoSpaceDN w:val="0"/>
              <w:jc w:val="left"/>
            </w:pPr>
            <w:r>
              <w:t>Antagande vid plenarsessionen</w:t>
            </w:r>
          </w:p>
        </w:tc>
        <w:tc>
          <w:tcPr>
            <w:tcW w:w="6204" w:type="dxa"/>
          </w:tcPr>
          <w:p w:rsidRPr="002C7AFD" w:rsidR="00634E76" w:rsidP="00634E76" w:rsidRDefault="00491249" w14:paraId="25F7AAB3" w14:textId="732163A7">
            <w:pPr>
              <w:autoSpaceDE w:val="0"/>
              <w:autoSpaceDN w:val="0"/>
              <w:jc w:val="left"/>
            </w:pPr>
            <w:r>
              <w:t>30/4/2025</w:t>
            </w:r>
          </w:p>
        </w:tc>
      </w:tr>
      <w:tr w:rsidRPr="002C7AFD" w:rsidR="00634E76" w:rsidTr="008E5CC7" w14:paraId="29760748" w14:textId="77777777">
        <w:tc>
          <w:tcPr>
            <w:tcW w:w="3085" w:type="dxa"/>
          </w:tcPr>
          <w:p w:rsidRPr="00A04328" w:rsidR="00634E76" w:rsidP="00634E76" w:rsidRDefault="00634E76" w14:paraId="569DD448" w14:textId="77777777">
            <w:pPr>
              <w:autoSpaceDE w:val="0"/>
              <w:autoSpaceDN w:val="0"/>
              <w:jc w:val="left"/>
            </w:pPr>
            <w:r>
              <w:t>Plenarsession nr</w:t>
            </w:r>
          </w:p>
        </w:tc>
        <w:tc>
          <w:tcPr>
            <w:tcW w:w="6204" w:type="dxa"/>
          </w:tcPr>
          <w:p w:rsidRPr="002C7AFD" w:rsidR="00634E76" w:rsidP="00634E76" w:rsidRDefault="00491249" w14:paraId="7FE5AEF6" w14:textId="62F8EC8F">
            <w:pPr>
              <w:autoSpaceDE w:val="0"/>
              <w:autoSpaceDN w:val="0"/>
              <w:jc w:val="left"/>
            </w:pPr>
            <w:r>
              <w:t>596</w:t>
            </w:r>
          </w:p>
        </w:tc>
      </w:tr>
      <w:tr w:rsidRPr="002C7AFD" w:rsidR="00634E76" w14:paraId="2F7EB617" w14:textId="77777777">
        <w:tc>
          <w:tcPr>
            <w:tcW w:w="3085" w:type="dxa"/>
          </w:tcPr>
          <w:p w:rsidRPr="002C7AFD" w:rsidR="00634E76" w:rsidP="00634E76" w:rsidRDefault="00634E76" w14:paraId="30022EFF" w14:textId="77777777">
            <w:pPr>
              <w:autoSpaceDE w:val="0"/>
              <w:autoSpaceDN w:val="0"/>
              <w:jc w:val="left"/>
            </w:pPr>
            <w:r>
              <w:t>Resultat av omröstningen</w:t>
            </w:r>
            <w:r>
              <w:br/>
              <w:t>(för/emot/nedlagda röster)</w:t>
            </w:r>
          </w:p>
        </w:tc>
        <w:tc>
          <w:tcPr>
            <w:tcW w:w="6204" w:type="dxa"/>
            <w:vAlign w:val="bottom"/>
          </w:tcPr>
          <w:p w:rsidRPr="002C7AFD" w:rsidR="00634E76" w:rsidP="00634E76" w:rsidRDefault="007553F0" w14:paraId="5ED1BE4F" w14:textId="02982390">
            <w:pPr>
              <w:autoSpaceDE w:val="0"/>
              <w:autoSpaceDN w:val="0"/>
              <w:jc w:val="left"/>
            </w:pPr>
            <w:r>
              <w:t>154/13/26</w:t>
            </w:r>
          </w:p>
        </w:tc>
      </w:tr>
    </w:tbl>
    <w:p w:rsidRPr="002C7AFD" w:rsidR="00AC5114" w:rsidP="00574C9B" w:rsidRDefault="00AC5114" w14:paraId="2B1C5E95" w14:textId="77777777">
      <w:pPr>
        <w:rPr>
          <w:lang w:val="en-GB"/>
        </w:rPr>
      </w:pPr>
    </w:p>
    <w:p w:rsidRPr="002C7AFD" w:rsidR="00AC5114" w:rsidP="00574C9B" w:rsidRDefault="00AC5114" w14:paraId="7A6545E1" w14:textId="77777777">
      <w:pPr>
        <w:rPr>
          <w:lang w:val="en-GB"/>
        </w:rPr>
        <w:sectPr w:rsidRPr="002C7AFD" w:rsidR="00AC5114" w:rsidSect="000720FE">
          <w:headerReference w:type="even" r:id="rId17"/>
          <w:headerReference w:type="default" r:id="rId18"/>
          <w:footerReference w:type="default" r:id="rId19"/>
          <w:headerReference w:type="first" r:id="rId20"/>
          <w:pgSz w:w="11907" w:h="16839" w:code="9"/>
          <w:pgMar w:top="5669" w:right="1418" w:bottom="1418" w:left="1418" w:header="709" w:footer="709" w:gutter="0"/>
          <w:cols w:space="720"/>
          <w:docGrid w:linePitch="360"/>
        </w:sectPr>
      </w:pPr>
    </w:p>
    <w:p w:rsidRPr="002C7AFD" w:rsidR="00491249" w:rsidP="00491249" w:rsidRDefault="00491249" w14:paraId="7F9E7F3D" w14:textId="77777777">
      <w:pPr>
        <w:rPr>
          <w:b/>
          <w:i/>
        </w:rPr>
      </w:pPr>
      <w:r>
        <w:rPr>
          <w:b/>
          <w:i/>
        </w:rPr>
        <w:lastRenderedPageBreak/>
        <w:t>Ingress</w:t>
      </w:r>
    </w:p>
    <w:p w:rsidRPr="002C7AFD" w:rsidR="00491249" w:rsidP="00491249" w:rsidRDefault="00491249" w14:paraId="7E844C4E" w14:textId="77777777">
      <w:pPr>
        <w:rPr>
          <w:i/>
          <w:lang w:val="en-GB"/>
        </w:rPr>
      </w:pPr>
    </w:p>
    <w:p w:rsidRPr="002C7AFD" w:rsidR="00491249" w:rsidP="00491249" w:rsidRDefault="00491249" w14:paraId="347043FF" w14:textId="77777777">
      <w:pPr>
        <w:spacing w:line="240" w:lineRule="auto"/>
        <w:rPr>
          <w:sz w:val="24"/>
          <w:szCs w:val="24"/>
        </w:rPr>
      </w:pPr>
      <w:r>
        <w:rPr>
          <w:i/>
        </w:rPr>
        <w:t>Detta yttrande ingår i ett större paket av EESK-yttranden om levnadskostnadskrisen. Med detta paket granskar EESK de olika aspekterna av denna politiska utmaning och lägger fram en omfattande och bred uppsättning rekommendationer till beslutsfattare på EU-nivå och nationell nivå samt till organisationerna i det civila samhället och andra intressenter. Paketet innehåller sju sektorsspecifika yttranden</w:t>
      </w:r>
      <w:r w:rsidRPr="002C7AFD">
        <w:rPr>
          <w:rStyle w:val="FootnoteReference"/>
          <w:i/>
          <w:iCs/>
          <w:lang w:val="en-GB"/>
        </w:rPr>
        <w:footnoteReference w:id="1"/>
      </w:r>
      <w:r>
        <w:rPr>
          <w:i/>
        </w:rPr>
        <w:t>, vart och ett inriktat på frågor inom ett visst relevant politikområde. I ett övergripande yttrande</w:t>
      </w:r>
      <w:r w:rsidRPr="002C7AFD">
        <w:rPr>
          <w:rStyle w:val="FootnoteReference"/>
          <w:i/>
          <w:iCs/>
          <w:lang w:val="en-GB"/>
        </w:rPr>
        <w:footnoteReference w:id="2"/>
      </w:r>
      <w:r>
        <w:rPr>
          <w:i/>
        </w:rPr>
        <w:t xml:space="preserve"> presenteras dessutom de övergripande politiska rekommendationerna för att hantera levnadskostnadskrisen som helhet och bygga upp </w:t>
      </w:r>
      <w:proofErr w:type="spellStart"/>
      <w:r>
        <w:rPr>
          <w:i/>
        </w:rPr>
        <w:t>resiliens</w:t>
      </w:r>
      <w:proofErr w:type="spellEnd"/>
      <w:r>
        <w:rPr>
          <w:i/>
        </w:rPr>
        <w:t xml:space="preserve"> mot framtida kriser.</w:t>
      </w:r>
    </w:p>
    <w:p w:rsidRPr="00AE34B7" w:rsidR="00491249" w:rsidP="00491249" w:rsidRDefault="00491249" w14:paraId="51ED6A9F" w14:textId="77777777">
      <w:pPr>
        <w:rPr>
          <w:sz w:val="24"/>
          <w:szCs w:val="24"/>
          <w:lang w:eastAsia="fr-BE"/>
        </w:rPr>
      </w:pPr>
    </w:p>
    <w:p w:rsidRPr="002C7AFD" w:rsidR="00491249" w:rsidP="00491249" w:rsidRDefault="00491249" w14:paraId="1C203F90" w14:textId="77777777">
      <w:pPr>
        <w:pStyle w:val="Heading1"/>
        <w:rPr>
          <w:b/>
        </w:rPr>
      </w:pPr>
      <w:r>
        <w:rPr>
          <w:b/>
        </w:rPr>
        <w:t>Slutsatser och rekommendationer</w:t>
      </w:r>
    </w:p>
    <w:p w:rsidRPr="002C7AFD" w:rsidR="00491249" w:rsidP="00491249" w:rsidRDefault="00491249" w14:paraId="1C333D13" w14:textId="77777777">
      <w:pPr>
        <w:rPr>
          <w:lang w:val="en-GB"/>
        </w:rPr>
      </w:pPr>
    </w:p>
    <w:p w:rsidRPr="002C7AFD" w:rsidR="00491249" w:rsidP="00491249" w:rsidRDefault="00491249" w14:paraId="74BAB97F" w14:textId="77777777">
      <w:pPr>
        <w:pStyle w:val="Heading2"/>
      </w:pPr>
      <w:r>
        <w:t>De stigande energipriserna och den därmed sammanhängande höga inflationen har sedan 2021 lett till betydande kostnadsökningar i många av ekonomins sektorer. Detta har lett till att levnadskostnaderna för medborgare och företag stigit dramatiskt, vilket har haft en motsvarande påverkan på konkurrenskraften samt på de sociala kostnaderna.</w:t>
      </w:r>
    </w:p>
    <w:p w:rsidRPr="00AE34B7" w:rsidR="00491249" w:rsidP="00491249" w:rsidRDefault="00491249" w14:paraId="3A6B34CC" w14:textId="77777777"/>
    <w:p w:rsidRPr="002C7AFD" w:rsidR="00491249" w:rsidP="00491249" w:rsidRDefault="00491249" w14:paraId="3DD55319" w14:textId="77777777">
      <w:pPr>
        <w:pStyle w:val="Heading2"/>
      </w:pPr>
      <w:r>
        <w:t>Genom tjänster av allmänt intresse kan alla individers och intressenters tillgång till de grundläggande tjänster som utgör grunden för ett anständigt liv nu och i framtiden säkerställas. Dessutom kan de bidra till att effekterna av inflation och kriser mildras tack vare sin icke vinstdrivande anda. Europeiska ekonomiska och sociala kommittén (EESK) anser att medlemsstaterna behöver flexibilitet, självbestämmande och valfrihet för att kunna organisera offentliga tjänster i enlighet med sina egna val, behov och traditioner, samtidigt som man säkerställer höga standarder för kvalitet, säkerhet, överkomliga priser och allmän tillgång.</w:t>
      </w:r>
    </w:p>
    <w:p w:rsidRPr="00AE34B7" w:rsidR="00491249" w:rsidP="00491249" w:rsidRDefault="00491249" w14:paraId="3BE1A985" w14:textId="77777777"/>
    <w:p w:rsidRPr="002C7AFD" w:rsidR="00491249" w:rsidP="00491249" w:rsidRDefault="00642AAB" w14:paraId="5B311913" w14:textId="683BD72D">
      <w:pPr>
        <w:pStyle w:val="Heading2"/>
      </w:pPr>
      <w:r>
        <w:t>Mot bakgrund av den senaste tidens dramatiska geopolitiska omvälvningar välkomnar EESK kommissionens insatser för att göra EU:s budgetram mer flexibel. Samtidigt behövs en bredare strategi för säkerhets- och försvarsåtgärder samt tjänster av allmänt intresse för att prioritera tillväxtinriktade offentliga investeringar och undvika att försvarsutgifter och sociala utgifter ställs mot varandra, särskilt när det gäller länder med begränsat finanspolitiskt utrymme. En minskning av subventioner till fossila bränslen kan ge kortsiktigt stöd till utsatta hushåll och mer hållbara lösningar för koldioxidfria el- och värmesystem, renoveringar och tillgång till prisvärda tjänster av allmänt intresse. De särskilda reglerna för tjänster av allmänt intresse och tjänster av allmänt ekonomiskt intresse när det gäller statligt stöd och offentlig upphandling måste ses över i grunden.</w:t>
      </w:r>
    </w:p>
    <w:p w:rsidRPr="00AE34B7" w:rsidR="00AE34B7" w:rsidRDefault="00AE34B7" w14:paraId="059BCBDE" w14:textId="52099D8E">
      <w:pPr>
        <w:spacing w:after="160" w:line="259" w:lineRule="auto"/>
        <w:jc w:val="left"/>
      </w:pPr>
      <w:r w:rsidRPr="00AE34B7">
        <w:br w:type="page"/>
      </w:r>
    </w:p>
    <w:p w:rsidRPr="002C7AFD" w:rsidR="00491249" w:rsidP="00491249" w:rsidRDefault="00491249" w14:paraId="44E8AE95" w14:textId="77777777">
      <w:pPr>
        <w:pStyle w:val="Heading2"/>
      </w:pPr>
      <w:r>
        <w:lastRenderedPageBreak/>
        <w:t>Kollektivtrafiken spelar en avgörande roll för att säkerställa en högkvalitativ och universell mobilitet till ett överkomligt pris. Det behövs därför sociala och ekologiska investeringar i multimodal och sammanlänkad kollektivtrafik. Dessutom lider alltför många medborgare av energifattigdom och transportfattigdom. Det krävs en tydlig definition, bindande mål och utbyte av bästa praxis för att bekämpa transportfattigdom. Sociala klimatfonden och de sociala klimatplanerna är också viktiga verktyg för att bekämpa energi- och transportfattigdom.</w:t>
      </w:r>
    </w:p>
    <w:p w:rsidRPr="00AE34B7" w:rsidR="00CA24BC" w:rsidP="00491249" w:rsidRDefault="00CA24BC" w14:paraId="23109D53" w14:textId="77777777"/>
    <w:p w:rsidRPr="002C7AFD" w:rsidR="00491249" w:rsidP="00491249" w:rsidRDefault="00491249" w14:paraId="6543CD76" w14:textId="77777777">
      <w:pPr>
        <w:pStyle w:val="Heading2"/>
      </w:pPr>
      <w:r>
        <w:t>EESK stöder en påskyndad utbyggnad av nät och förnybar energi genom snabbare och enklare tillståndsförfaranden, insatser för att uppmuntra storkonsumenter att producera egen förnybar energi och utveckling av transeuropeiska nät som kritisk infrastruktur. Den elmarknadsreform som infördes förra året får bara vara ett första steg mot att separera el- och gaspriserna.</w:t>
      </w:r>
    </w:p>
    <w:p w:rsidRPr="00AE34B7" w:rsidR="00491249" w:rsidP="00491249" w:rsidRDefault="00491249" w14:paraId="752E181B" w14:textId="77777777"/>
    <w:p w:rsidRPr="002C7AFD" w:rsidR="00491249" w:rsidP="00491249" w:rsidRDefault="00491249" w14:paraId="045FC7C3" w14:textId="77777777">
      <w:pPr>
        <w:pStyle w:val="Heading2"/>
      </w:pPr>
      <w:r>
        <w:t>Under de senaste två decennierna har hyror och bostadspriser stigit betydligt mer än den genomsnittliga disponibla inkomsten i hela EU, vilket utgör ett marknadsmisslyckande. EESK anser att offentliga investeringar i tillgängliga bostäder till överkomliga priser bör prioriteras i den nya fleråriga budgetramen. Genom att förenkla reglerna och genom forskning och innovation kan man påskynda byggande och renovering samt reducera kostnaderna. Särskild uppmärksamhet bör ägnas åt subventionerade bostäder och bostäder till överkomliga priser för ungdomar, eftersom de i hög grad påverkas av höga bostadskostnader.</w:t>
      </w:r>
    </w:p>
    <w:p w:rsidRPr="00AE34B7" w:rsidR="00491249" w:rsidP="00491249" w:rsidRDefault="00491249" w14:paraId="697F325E" w14:textId="77777777"/>
    <w:p w:rsidRPr="002C7AFD" w:rsidR="00491249" w:rsidP="00491249" w:rsidRDefault="00491249" w14:paraId="4FBC38A2" w14:textId="77777777">
      <w:pPr>
        <w:pStyle w:val="ListParagraph"/>
        <w:keepNext/>
        <w:keepLines/>
        <w:numPr>
          <w:ilvl w:val="0"/>
          <w:numId w:val="1"/>
        </w:numPr>
        <w:ind w:left="567" w:hanging="567"/>
        <w:jc w:val="left"/>
        <w:rPr>
          <w:b/>
          <w:bCs/>
        </w:rPr>
      </w:pPr>
      <w:r>
        <w:rPr>
          <w:b/>
        </w:rPr>
        <w:t>Bakgrund till yttrandet</w:t>
      </w:r>
    </w:p>
    <w:p w:rsidRPr="002C7AFD" w:rsidR="00491249" w:rsidP="00491249" w:rsidRDefault="00491249" w14:paraId="02D57BB1" w14:textId="77777777">
      <w:pPr>
        <w:keepNext/>
        <w:rPr>
          <w:lang w:val="en-GB"/>
        </w:rPr>
      </w:pPr>
    </w:p>
    <w:p w:rsidRPr="002C7AFD" w:rsidR="00491249" w:rsidP="00491249" w:rsidRDefault="00491249" w14:paraId="52F6EACC" w14:textId="77777777">
      <w:pPr>
        <w:pStyle w:val="Heading2"/>
      </w:pPr>
      <w:r>
        <w:t>Inflationen i EU:s medlemsstater började öka kraftigt under andra halvåret 2021. Det harmoniserade konsumentprisindexet (HIKP) nådde en topp på 11,5 % i EU i oktober 2022. Under 2023 sjönk EU:s HIKP från 10 % till 3,4 % för att stabiliseras på cirka 2,5 % 2024</w:t>
      </w:r>
      <w:r w:rsidRPr="002C7AFD">
        <w:rPr>
          <w:sz w:val="24"/>
          <w:szCs w:val="24"/>
          <w:vertAlign w:val="superscript"/>
          <w:lang w:val="en-GB"/>
        </w:rPr>
        <w:footnoteReference w:id="3"/>
      </w:r>
      <w:r>
        <w:t>. Inflationen ligger dock kvar över målet på 2 %, även om den varierar mellan medlemsstaterna.</w:t>
      </w:r>
    </w:p>
    <w:p w:rsidRPr="00AE34B7" w:rsidR="00491249" w:rsidP="00491249" w:rsidRDefault="00491249" w14:paraId="659A8879" w14:textId="77777777"/>
    <w:p w:rsidRPr="00A04328" w:rsidR="00491249" w:rsidP="00491249" w:rsidRDefault="00491249" w14:paraId="74727E2B" w14:textId="77777777">
      <w:pPr>
        <w:pStyle w:val="Heading2"/>
      </w:pPr>
      <w:r>
        <w:t>Den kraftiga inflationsökningen berodde på den ökade efterfrågan efter covid-19-pandemin och de höjda energipriserna från och med andra halvåret 2021, som utlöstes av Rysslands förberedelser för anfallskrig mot Ukraina. De stigande energipriserna ledde till betydande kostnadsökningar i många ekonomiska sektorer, och hade en motsvarande påverkan på konkurrenskraften. Dessutom ökade kostnaderna dramatiskt för hushåll och företag. Köpkraften minskade eftersom bördan lades över på konsumenterna. Sedan andra halvåret 2023 har även bostadskostnaderna varit en betydande faktor i inflationen</w:t>
      </w:r>
      <w:r w:rsidRPr="002C7AFD">
        <w:rPr>
          <w:sz w:val="24"/>
          <w:szCs w:val="24"/>
          <w:vertAlign w:val="superscript"/>
          <w:lang w:val="en-GB"/>
        </w:rPr>
        <w:footnoteReference w:id="4"/>
      </w:r>
      <w:r>
        <w:t>. Olika geopolitiska och sociala utmaningar i kombination med stränga budgetregler samt ojämnt omfördelade exceptionella vinster (främst inom energi- och banksektorerna), otillräckligt socialt skydd och orättvis skattepolitik har bidragit till att fördjupa sociala ojämlikheter i vissa medlemsstater</w:t>
      </w:r>
      <w:r w:rsidRPr="002C7AFD">
        <w:rPr>
          <w:sz w:val="24"/>
          <w:szCs w:val="24"/>
          <w:vertAlign w:val="superscript"/>
          <w:lang w:val="en-GB"/>
        </w:rPr>
        <w:footnoteReference w:id="5"/>
      </w:r>
      <w:r>
        <w:t>.</w:t>
      </w:r>
    </w:p>
    <w:p w:rsidR="00AE34B7" w:rsidRDefault="00AE34B7" w14:paraId="675F2D42" w14:textId="266CC1A6">
      <w:pPr>
        <w:spacing w:after="160" w:line="259" w:lineRule="auto"/>
        <w:jc w:val="left"/>
      </w:pPr>
      <w:r>
        <w:br w:type="page"/>
      </w:r>
    </w:p>
    <w:p w:rsidRPr="00A04328" w:rsidR="00491249" w:rsidP="00491249" w:rsidRDefault="00491249" w14:paraId="49581DB5" w14:textId="77777777">
      <w:pPr>
        <w:pStyle w:val="Heading2"/>
      </w:pPr>
      <w:r>
        <w:lastRenderedPageBreak/>
        <w:t>Inflation leder till minskad köpkraft när lönerna inte ökar i samma utsträckning. Detta drabbar utsatta människor oproportionerligt hårt. Totalt sett är mellan 8 % och 16 % (35–72 miljoner) av EU:s befolkning drabbade av energifattigdom</w:t>
      </w:r>
      <w:r w:rsidRPr="002C7AFD">
        <w:rPr>
          <w:rStyle w:val="FootnoteReference"/>
          <w:lang w:val="en-GB"/>
        </w:rPr>
        <w:footnoteReference w:id="6"/>
      </w:r>
      <w:r>
        <w:t>. Kvinnor med låg inkomst, ensamstående föräldrar, personer med funktionsnedsättning, ungdomar och ensamboende pensionärer drabbas särskilt hårt. Samtidigt ökade barnfattigdomen markant till 24,8 % 2023</w:t>
      </w:r>
      <w:r w:rsidRPr="002C7AFD">
        <w:rPr>
          <w:rStyle w:val="FootnoteReference"/>
          <w:szCs w:val="24"/>
          <w:lang w:val="en-GB"/>
        </w:rPr>
        <w:footnoteReference w:id="7"/>
      </w:r>
      <w:r>
        <w:t>.</w:t>
      </w:r>
    </w:p>
    <w:p w:rsidRPr="002C7AFD" w:rsidR="00491249" w:rsidP="00491249" w:rsidRDefault="00491249" w14:paraId="547895B3" w14:textId="77777777">
      <w:pPr>
        <w:rPr>
          <w:lang w:val="en-GB"/>
        </w:rPr>
      </w:pPr>
    </w:p>
    <w:p w:rsidRPr="002C7AFD" w:rsidR="00491249" w:rsidP="00491249" w:rsidRDefault="00491249" w14:paraId="3113D1EA" w14:textId="77777777">
      <w:pPr>
        <w:pStyle w:val="Heading2"/>
      </w:pPr>
      <w:r>
        <w:t>EU:s nya regler för handel med utsläppsrätter utvidgar utsläppshandelssystemet till byggnads- och vägtransportsektorerna. I framtiden kommer priserna på utsläppsrätter att stiga. EESK påpekar att dessa prisökningar måste dämpas genom högre anslag till Sociala klimatfonden och ytterligare åtgärder i medlemsstaterna för utsatta hushåll och företag genom de sociala klimatplanerna, som bör läggas fram snabbt samt övervakas och utvärderas noggrant.</w:t>
      </w:r>
    </w:p>
    <w:p w:rsidRPr="00AE34B7" w:rsidR="00491249" w:rsidP="00491249" w:rsidRDefault="00491249" w14:paraId="6068C856" w14:textId="77777777"/>
    <w:p w:rsidRPr="00A04328" w:rsidR="00491249" w:rsidP="00491249" w:rsidRDefault="00491249" w14:paraId="2EDA6C47" w14:textId="6F2B66A6">
      <w:pPr>
        <w:pStyle w:val="Heading2"/>
      </w:pPr>
      <w:r>
        <w:t>Den höga inflationen, som främst drivs av stigande priser på importerade fossila bränslen (604</w:t>
      </w:r>
      <w:r w:rsidR="00AE34B7">
        <w:t> </w:t>
      </w:r>
      <w:r>
        <w:t>miljarder euro 2022)</w:t>
      </w:r>
      <w:r w:rsidRPr="002C7AFD">
        <w:rPr>
          <w:rStyle w:val="FootnoteReference"/>
          <w:lang w:val="en-GB"/>
        </w:rPr>
        <w:footnoteReference w:id="8"/>
      </w:r>
      <w:r>
        <w:t>, leder till att kapital flödar till utländska företag och till storföretagens vinster. Situationen är annorlunda för inflationsrelaterade löneökningar, eftersom den extra inkomsten till övervägande del stannar i samma land</w:t>
      </w:r>
      <w:r w:rsidRPr="002C7AFD">
        <w:rPr>
          <w:rStyle w:val="FootnoteReference"/>
          <w:szCs w:val="24"/>
          <w:lang w:val="en-GB"/>
        </w:rPr>
        <w:footnoteReference w:id="9"/>
      </w:r>
      <w:r>
        <w:t>.</w:t>
      </w:r>
    </w:p>
    <w:p w:rsidRPr="00AE34B7" w:rsidR="00491249" w:rsidP="00491249" w:rsidRDefault="00491249" w14:paraId="0C789BE4" w14:textId="77777777"/>
    <w:p w:rsidRPr="002C7AFD" w:rsidR="00491249" w:rsidP="00491249" w:rsidRDefault="00491249" w14:paraId="0A0120DF" w14:textId="77777777">
      <w:pPr>
        <w:pStyle w:val="Heading2"/>
      </w:pPr>
      <w:r>
        <w:t xml:space="preserve">Mot bakgrund av den ekonomiska situationen och den geopolitiska utvecklingen håller frågan om konkurrenskraft på att bli en viktig utmaning för EU. Genom </w:t>
      </w:r>
      <w:proofErr w:type="spellStart"/>
      <w:r>
        <w:t>Letta</w:t>
      </w:r>
      <w:proofErr w:type="spellEnd"/>
      <w:r>
        <w:t xml:space="preserve">- och </w:t>
      </w:r>
      <w:proofErr w:type="spellStart"/>
      <w:r>
        <w:t>Draghi</w:t>
      </w:r>
      <w:proofErr w:type="spellEnd"/>
      <w:r>
        <w:t xml:space="preserve">-rapporterna strävar kommissionen efter att göra EU:s ekonomi mer konkurrenskraftig. EESK anser att åtgärder för att öka konkurrenskraften också måste bidra till att främja välstånd, välbefinnande för alla samt social </w:t>
      </w:r>
      <w:proofErr w:type="spellStart"/>
      <w:r>
        <w:t>resiliens</w:t>
      </w:r>
      <w:proofErr w:type="spellEnd"/>
      <w:r>
        <w:t>.</w:t>
      </w:r>
    </w:p>
    <w:p w:rsidRPr="00AE34B7" w:rsidR="00491249" w:rsidP="00491249" w:rsidRDefault="00491249" w14:paraId="6856B079" w14:textId="77777777"/>
    <w:p w:rsidRPr="002C7AFD" w:rsidR="00491249" w:rsidP="00491249" w:rsidRDefault="00491249" w14:paraId="60BD0B44" w14:textId="77777777">
      <w:pPr>
        <w:pStyle w:val="Heading2"/>
      </w:pPr>
      <w:r>
        <w:t xml:space="preserve">I rapporten om EU:s framtida konkurrenskraft betonar </w:t>
      </w:r>
      <w:proofErr w:type="spellStart"/>
      <w:r>
        <w:t>Draghi</w:t>
      </w:r>
      <w:proofErr w:type="spellEnd"/>
      <w:r>
        <w:t xml:space="preserve"> hur viktiga tjänster av allmänt intresse är för innovation, hållbar tillväxt, EU:s ekonomiska säkerhet och den sociala beredskapen på flera områden, t.ex. energiförsörjning, infrastruktur och utbildning. Arbetstagarnas färdigheter och kunskaper är särskilt viktiga faktorer för att säkerställa varaktig konkurrenskraft. I </w:t>
      </w:r>
      <w:proofErr w:type="spellStart"/>
      <w:r>
        <w:t>Letta</w:t>
      </w:r>
      <w:proofErr w:type="spellEnd"/>
      <w:r>
        <w:t>-rapporten efterfrågas en handlingsplan för högkvalitativa tjänster av allmänt intresse, som kräver stabila skatteintäkter om de ska kunna upprätthållas och utvecklas.</w:t>
      </w:r>
    </w:p>
    <w:p w:rsidRPr="00AE34B7" w:rsidR="00491249" w:rsidP="00491249" w:rsidRDefault="00491249" w14:paraId="4F660C77" w14:textId="77777777"/>
    <w:p w:rsidRPr="002C7AFD" w:rsidR="00491249" w:rsidP="00491249" w:rsidRDefault="00491249" w14:paraId="18F90620" w14:textId="77777777">
      <w:pPr>
        <w:pStyle w:val="Heading2"/>
      </w:pPr>
      <w:r>
        <w:t>Tillhandahållandet av offentliga tjänster sker i olika organisatoriska och juridiska former runt om i Europa. Spannet sträcker sig från privaträttsliga organisationsformer till anlitande av tredje parter genom administrativt samarbete. De kan organiseras på områden som tjänster av allmänt intresse, antingen på konkurrensutsatta marknader som ekonomiska tjänster av allmänt intresse eller som icke-ekonomiska tjänster av allmänt intresse, som är uteslutna från dessa marknader.</w:t>
      </w:r>
    </w:p>
    <w:p w:rsidR="00AE34B7" w:rsidRDefault="00AE34B7" w14:paraId="246CCBC0" w14:textId="5D6DE120">
      <w:pPr>
        <w:spacing w:after="160" w:line="259" w:lineRule="auto"/>
        <w:jc w:val="left"/>
      </w:pPr>
      <w:r>
        <w:br w:type="page"/>
      </w:r>
    </w:p>
    <w:p w:rsidRPr="00A04328" w:rsidR="00491249" w:rsidP="00491249" w:rsidRDefault="00491249" w14:paraId="7CD13B38" w14:textId="77777777">
      <w:pPr>
        <w:pStyle w:val="Heading2"/>
      </w:pPr>
      <w:r>
        <w:lastRenderedPageBreak/>
        <w:t xml:space="preserve">Tjänster av allmänt intresse bidrar i hög grad till värdeskapande och sysselsättning samt stärker EU:s </w:t>
      </w:r>
      <w:proofErr w:type="spellStart"/>
      <w:r>
        <w:t>resiliens</w:t>
      </w:r>
      <w:proofErr w:type="spellEnd"/>
      <w:r>
        <w:t>, särskilt i kristider som covid-19-pandemin och energikrisen. År 2021 genererade tjänster av allmänt intresse 28,4 % av det totala mervärdet i EU</w:t>
      </w:r>
      <w:r w:rsidRPr="002C7AFD">
        <w:rPr>
          <w:sz w:val="24"/>
          <w:szCs w:val="24"/>
          <w:vertAlign w:val="superscript"/>
          <w:lang w:val="en-GB"/>
        </w:rPr>
        <w:footnoteReference w:id="10"/>
      </w:r>
      <w:r>
        <w:t>. Ökade investeringar inom nyckelområden som energi och hälsa höjer också kvaliteten på tjänsterna av allmänt intresse. Eftersom fokus ligger på allmänintresset kan de bidra till att dämpa inflationen.</w:t>
      </w:r>
    </w:p>
    <w:p w:rsidRPr="00AE34B7" w:rsidR="00491249" w:rsidP="00491249" w:rsidRDefault="00491249" w14:paraId="01D9D593" w14:textId="77777777">
      <w:pPr>
        <w:rPr>
          <w:sz w:val="16"/>
          <w:szCs w:val="16"/>
        </w:rPr>
      </w:pPr>
    </w:p>
    <w:p w:rsidRPr="002C7AFD" w:rsidR="00491249" w:rsidP="00491249" w:rsidRDefault="00491249" w14:paraId="1CE31031" w14:textId="77777777">
      <w:pPr>
        <w:pStyle w:val="Heading2"/>
      </w:pPr>
      <w:r>
        <w:t>Tillgången till tjänster av allmänt ekonomiskt intresse är en grundläggande rättighet och ingår i den europeiska pelaren för sociala rättigheter. I princip 20 i pelaren nämns uttryckligen väsentliga tjänster av allmänt intresse, medan andra principer i pelaren omfattar viktiga tjänster av allmänt intresse, såsom utbildning, boende och stöd för hemlösa, långvarig vård och omsorg, inkludering av personer med funktionsnedsättning samt hälso- och sjukvård. Tjänster av allmänt intresse är en del av EU:s gemensamma värden i den mening som avses i artikel 14 i EUF-fördraget, i enlighet med protokoll (nr 26) om tjänster av allmänt intresse som fogats till EU-fördraget och EUF-fördraget och i enlighet med artikel 36 i EU:s stadga om de grundläggande rättigheterna.</w:t>
      </w:r>
    </w:p>
    <w:p w:rsidRPr="00AE34B7" w:rsidR="00491249" w:rsidP="00491249" w:rsidRDefault="00491249" w14:paraId="4DF0EC96" w14:textId="77777777">
      <w:pPr>
        <w:rPr>
          <w:sz w:val="16"/>
          <w:szCs w:val="16"/>
        </w:rPr>
      </w:pPr>
    </w:p>
    <w:p w:rsidRPr="002C7AFD" w:rsidR="00491249" w:rsidP="00491249" w:rsidRDefault="00491249" w14:paraId="2EB11D98" w14:textId="77777777">
      <w:pPr>
        <w:pStyle w:val="Heading2"/>
      </w:pPr>
      <w:r>
        <w:t>Tjänster av allmänt intresse spelar en viktig roll för att genomföra den dubbla gröna och digitala omställningen, för att säkerställa en socialt rättvis omställning som inte lämnar någon utanför samt för social och ekonomisk sammanhållning. Detta kommer dock bara att lyckas om människor ser att denna omvandling skapar fördelar för människorna, naturen och ekonomin och inte sker på bekostnad av arbetstagarna och deras arbetsplatser, den sociala tryggheten och kvaliteten på tjänsterna av allmänt intresse.</w:t>
      </w:r>
    </w:p>
    <w:p w:rsidRPr="00AE34B7" w:rsidR="00491249" w:rsidP="00491249" w:rsidRDefault="00491249" w14:paraId="5BC927A9" w14:textId="77777777">
      <w:pPr>
        <w:rPr>
          <w:sz w:val="16"/>
          <w:szCs w:val="16"/>
        </w:rPr>
      </w:pPr>
    </w:p>
    <w:p w:rsidRPr="002C7AFD" w:rsidR="00491249" w:rsidP="00491249" w:rsidRDefault="00491249" w14:paraId="4F035742" w14:textId="77777777">
      <w:pPr>
        <w:pStyle w:val="Heading1"/>
        <w:keepNext/>
        <w:keepLines/>
        <w:rPr>
          <w:b/>
        </w:rPr>
      </w:pPr>
      <w:r>
        <w:rPr>
          <w:b/>
        </w:rPr>
        <w:t>Allmänna kommentarer</w:t>
      </w:r>
    </w:p>
    <w:p w:rsidRPr="00AE34B7" w:rsidR="00491249" w:rsidP="00491249" w:rsidRDefault="00491249" w14:paraId="4E376926" w14:textId="77777777">
      <w:pPr>
        <w:keepNext/>
        <w:rPr>
          <w:sz w:val="16"/>
          <w:szCs w:val="16"/>
          <w:lang w:val="en-GB"/>
        </w:rPr>
      </w:pPr>
    </w:p>
    <w:p w:rsidRPr="002C7AFD" w:rsidR="00491249" w:rsidP="00491249" w:rsidRDefault="00491249" w14:paraId="3EC9BF68" w14:textId="77777777">
      <w:pPr>
        <w:pStyle w:val="Heading2"/>
      </w:pPr>
      <w:r>
        <w:t xml:space="preserve">Genom tjänster av allmänt intresse kan alla medborgares och företags tillgång till de grundläggande tjänster som utgör grunden för ett anständigt liv nu och i framtiden säkerställas. Den europeiska sociala modellen med högkvalitativa tjänster av allmänt intresse till en överkomlig kostnad är avgörande för EU:s sociala </w:t>
      </w:r>
      <w:proofErr w:type="spellStart"/>
      <w:r>
        <w:t>resiliens</w:t>
      </w:r>
      <w:proofErr w:type="spellEnd"/>
      <w:r>
        <w:t xml:space="preserve">, säkerhet och försvar och utgör grunden för klimatåtgärder, en </w:t>
      </w:r>
      <w:proofErr w:type="spellStart"/>
      <w:r>
        <w:t>resilient</w:t>
      </w:r>
      <w:proofErr w:type="spellEnd"/>
      <w:r>
        <w:t xml:space="preserve"> och konkurrenskraftig ekonomi samt social sammanhållning i EU. Dessutom kan tjänsterna av allmänt intresse bidra till att effekterna av inflation och kriser mildras eftersom de är inriktade på det allmänna samhällsintresset. Medlemsstaterna behöver flexibilitet och självbestämmande för att kunna organisera offentliga tjänster i enlighet med sina egna behov och traditioner, samtidigt som man säkerställer höga standarder för kvalitet, säkerhet, överkomliga priser och allmän tillgång.</w:t>
      </w:r>
    </w:p>
    <w:p w:rsidRPr="00AE34B7" w:rsidR="00491249" w:rsidP="00491249" w:rsidRDefault="00491249" w14:paraId="5CC0C222" w14:textId="77777777">
      <w:pPr>
        <w:rPr>
          <w:sz w:val="16"/>
          <w:szCs w:val="16"/>
        </w:rPr>
      </w:pPr>
    </w:p>
    <w:p w:rsidRPr="00AE34B7" w:rsidR="00491249" w:rsidP="00491249" w:rsidRDefault="00491249" w14:paraId="69E48BE2" w14:textId="77777777">
      <w:pPr>
        <w:pStyle w:val="Heading2"/>
        <w:rPr>
          <w:spacing w:val="-2"/>
        </w:rPr>
      </w:pPr>
      <w:r w:rsidRPr="00AE34B7">
        <w:rPr>
          <w:spacing w:val="-2"/>
        </w:rPr>
        <w:t>Anställda inom offentliga tjänster av allmänt intresse och tjänster av allmänt ekonomiskt intresse har en nyckelroll när det gäller att fullgöra dessa uppgifter. Det finns ett brådskande behov av investeringar i tjänster av allmänt intresse och tjänster av allmänt ekonomiskt intresse för att förbättra deras kvalitet och prisvärdhet, säkerställa att alla har tillgång till dem och stimulera ekonomin. Välutvecklade tjänster av allmänt intresse och tjänster av allmänt ekonomiskt intresse hjälper människor och ekonomin att bättre kunna ta sig igenom kriser och bidrar till att trygga många arbetstillfällen. Finansiella och mänskliga resurser bör säkras, arbetsvillkoren göras mer attraktiva, skäliga löner säkerställas och utbildningsinsatser främjas. Det civila samhällets och arbetsmarknadsparternas deltagande, i synnerhet i den sociala dialogen, bör utökas.</w:t>
      </w:r>
    </w:p>
    <w:p w:rsidRPr="00AE34B7" w:rsidR="00491249" w:rsidP="00491249" w:rsidRDefault="00491249" w14:paraId="7FD74EC4" w14:textId="77777777"/>
    <w:p w:rsidRPr="002C7AFD" w:rsidR="00491249" w:rsidP="00491249" w:rsidRDefault="00491249" w14:paraId="01F5A41A" w14:textId="5AC0704D">
      <w:pPr>
        <w:pStyle w:val="Heading2"/>
      </w:pPr>
      <w:r>
        <w:t>Ett vinstdrivande förhållningssätt till tjänster av allmänt ekonomiskt intresse utan ett tillräckligt regelverk och lämplig övervakning ökar ofta sårbarheten för kriser och minskar möjligheterna att hantera dem. Större vikt bör därför läggas vid det allmänna bästa och allmänintresset. Tillräcklig finansiering av och tillräckliga investeringar i tjänster av allmänt intresse är avgörande. Inför de ökande hoten måste EU värna säkerhet, fred, rättsstatsprincipen, mänskliga rättigheter och sociala framsteg inom ramen för en övergripande säkerhetspolitik. Som ett första steg stöder EESK kommissionens insatser för att göra EU:s budgetram mer flexibel i detta sammanhang. EESK förespråkar att denna regel tillämpas som ett led i en bredare strategi för säkerhets- och försvarsåtgärder samt tjänster av allmänt intresse för att prioritera tillväxtinriktade offentliga investeringar och undvika att försvarsutgifter och sociala utgifter ställs mot varandra. Mot bakgrund av den ekonomiska nedgången i euroområdet och i EU som helhet är flexibilitet nödvändig för att skydda produktiviteten och de sociala och miljömässiga förutsättningarna för framtida generationers välbefinnande och samtidigt garantera finans</w:t>
      </w:r>
      <w:r w:rsidR="00AE34B7">
        <w:softHyphen/>
      </w:r>
      <w:r>
        <w:t>politisk hållbarhet.</w:t>
      </w:r>
    </w:p>
    <w:p w:rsidRPr="00AE34B7" w:rsidR="00491249" w:rsidP="00BE1BA6" w:rsidRDefault="00491249" w14:paraId="47A52654" w14:textId="77777777"/>
    <w:p w:rsidRPr="002C7AFD" w:rsidR="00491249" w:rsidP="00491249" w:rsidRDefault="00491249" w14:paraId="25BC36CB" w14:textId="402D1451">
      <w:pPr>
        <w:pStyle w:val="Heading2"/>
      </w:pPr>
      <w:r>
        <w:t>Subventioner till fossila bränslen fortsätter att minska medlemsstaternas finanspolitiska utrymme att finansiera andra prioriteringar, t.ex. högkvalitativa tjänster av allmänt intresse och långvariga hållbara åtgärder för att lindra levnadskostnadskrisen och öka företagens konkurrenskraft. En minskning av subventioner till fossila bränslen baserat på en kostnads-nyttoanalys kan ge kortsiktigt stöd till utsatta hushåll och mer hållbara lösningar för koldioxidfri el och uppvärmning, tillsammans med renovering av bostadsbeståndet, minskad transport</w:t>
      </w:r>
      <w:r w:rsidR="00AE34B7">
        <w:softHyphen/>
      </w:r>
      <w:r>
        <w:t>fattigdom och tillhandahållande av högkvalitativa tjänster av allmänt intresse för att sänka priserna.</w:t>
      </w:r>
    </w:p>
    <w:p w:rsidRPr="00AE34B7" w:rsidR="00491249" w:rsidP="00491249" w:rsidRDefault="00491249" w14:paraId="408EBECC" w14:textId="77777777"/>
    <w:p w:rsidRPr="002C7AFD" w:rsidR="00491249" w:rsidP="00491249" w:rsidRDefault="00491249" w14:paraId="3F3A62AA" w14:textId="77777777">
      <w:pPr>
        <w:pStyle w:val="Heading2"/>
      </w:pPr>
      <w:r>
        <w:t>Konkurrenslagstiftningen, i synnerhet lagstiftningen om statligt stöd och offentlig upphandling, begränsar hur tjänster av allmänt intresse och tjänster av allmänt ekonomiskt intresse kan organiseras och finansieras. De särskilda reglerna i paketet om tjänster av allmänt ekonomiskt intresse</w:t>
      </w:r>
      <w:r w:rsidRPr="002C7AFD">
        <w:rPr>
          <w:sz w:val="24"/>
          <w:szCs w:val="24"/>
          <w:vertAlign w:val="superscript"/>
          <w:lang w:val="en-GB"/>
        </w:rPr>
        <w:footnoteReference w:id="11"/>
      </w:r>
      <w:r>
        <w:t xml:space="preserve"> måste ses över grundligt. Det måste tydligt fastställas vilka tjänster av allmänt intresse som inte omfattas av lagstiftningen om statligt stöd. För vissa tjänster av allmänt ekonomiskt intresse, t.ex. bostäder, hälso- och sjukvård och sociala tjänster, föreslår EESK också att man sörjer för mer statligt stöd och längre varaktighet för ersättning för tillhandahållande av tjänster. För att främja ett regionalt och europeiskt mervärde bör direktupphandlingar säkras och utökas genom höjda tröskelvärden. Rent prisbaserade metoder bör avskaffas och det bästa och mest priseffektiva sättet att tillhandahålla tjänster samt minska underleverantörskedjorna eller införa ett allmänt entreprenörsansvar och därigenom harmonisera viktiga delar på EU-nivå bör uppmuntras. Dessutom bör löptiden för avtal om sociala tjänster som är begränsade till tre år förlängas för att säkerställa en stabil planering för både leverantörer och kunder.</w:t>
      </w:r>
    </w:p>
    <w:p w:rsidRPr="00AE34B7" w:rsidR="00491249" w:rsidP="00491249" w:rsidRDefault="00491249" w14:paraId="3DE7E355" w14:textId="77777777"/>
    <w:p w:rsidRPr="002C7AFD" w:rsidR="00491249" w:rsidP="00491249" w:rsidRDefault="00491249" w14:paraId="040909FA" w14:textId="77777777">
      <w:pPr>
        <w:pStyle w:val="Heading2"/>
      </w:pPr>
      <w:r>
        <w:t>Den lokala nivån bygger på tjänster av allmänt intresse av god kvalitet, varför det är viktigt att värna om dessa på ett varaktigt sätt även på EU-nivå. Åtgärder för att begränsa klimatförändringarna kan realistiskt sett bara genomföras om social trygghet garanteras. Det är bara i en socialt och ekonomiskt trygg miljö som stora delar av befolkningen kommer att acceptera och stödja klimatåtgärder.</w:t>
      </w:r>
    </w:p>
    <w:p w:rsidRPr="00AE34B7" w:rsidR="00491249" w:rsidP="00491249" w:rsidRDefault="00491249" w14:paraId="69D063FB" w14:textId="77777777"/>
    <w:p w:rsidRPr="002C7AFD" w:rsidR="00491249" w:rsidP="00491249" w:rsidRDefault="00491249" w14:paraId="7A987BCE" w14:textId="77777777">
      <w:pPr>
        <w:pStyle w:val="Heading2"/>
      </w:pPr>
      <w:r>
        <w:t xml:space="preserve">Kommittén välkomnar kommissionsordförande Ursula von </w:t>
      </w:r>
      <w:proofErr w:type="spellStart"/>
      <w:r>
        <w:t>der</w:t>
      </w:r>
      <w:proofErr w:type="spellEnd"/>
      <w:r>
        <w:t xml:space="preserve"> </w:t>
      </w:r>
      <w:proofErr w:type="spellStart"/>
      <w:r>
        <w:t>Leyens</w:t>
      </w:r>
      <w:proofErr w:type="spellEnd"/>
      <w:r>
        <w:t xml:space="preserve"> tillkännagivande av en handlingsplan för att genomföra den europeiska pelaren för sociala rättigheter och förväntar sig att den kommer att bidra till att stärka tjänsterna av allmänt intresse.</w:t>
      </w:r>
    </w:p>
    <w:p w:rsidRPr="00AE34B7" w:rsidR="00491249" w:rsidP="00491249" w:rsidRDefault="00491249" w14:paraId="46D2960E" w14:textId="77777777"/>
    <w:p w:rsidRPr="002C7AFD" w:rsidR="00491249" w:rsidP="00491249" w:rsidRDefault="00491249" w14:paraId="17D3799F" w14:textId="77777777">
      <w:pPr>
        <w:numPr>
          <w:ilvl w:val="1"/>
          <w:numId w:val="1"/>
        </w:numPr>
        <w:ind w:left="567" w:hanging="567"/>
        <w:outlineLvl w:val="1"/>
      </w:pPr>
      <w:r>
        <w:t>EESK anser att korrekta data är avgörande för att tjänster av allmänt intresse ska uppfylla de fyra huvudkriterierna – tillgänglighet, åtkomlighet, överkomliga priser och tillräcklighet. Tillgången till data är avgörande, till exempel inom bostadssektorn och i utbytet mellan tjänster av allmänt intresse, offentliga myndigheter och forskare.</w:t>
      </w:r>
    </w:p>
    <w:p w:rsidRPr="00AE34B7" w:rsidR="00491249" w:rsidP="00491249" w:rsidRDefault="00491249" w14:paraId="26ED76C5" w14:textId="77777777"/>
    <w:p w:rsidRPr="002C7AFD" w:rsidR="00491249" w:rsidP="00491249" w:rsidRDefault="00491249" w14:paraId="7EF22B45" w14:textId="77777777">
      <w:pPr>
        <w:pStyle w:val="Heading1"/>
        <w:keepNext/>
        <w:keepLines/>
        <w:rPr>
          <w:b/>
        </w:rPr>
      </w:pPr>
      <w:r>
        <w:rPr>
          <w:b/>
        </w:rPr>
        <w:t>Särskilda kommentarer</w:t>
      </w:r>
    </w:p>
    <w:p w:rsidRPr="002C7AFD" w:rsidR="00491249" w:rsidP="00491249" w:rsidRDefault="00491249" w14:paraId="2B72EFC0" w14:textId="77777777">
      <w:pPr>
        <w:keepNext/>
        <w:rPr>
          <w:lang w:val="en-GB"/>
        </w:rPr>
      </w:pPr>
    </w:p>
    <w:p w:rsidRPr="002C7AFD" w:rsidR="00491249" w:rsidP="00491249" w:rsidRDefault="00491249" w14:paraId="736471FD" w14:textId="77777777">
      <w:pPr>
        <w:keepNext/>
        <w:keepLines/>
        <w:ind w:left="567" w:hanging="567"/>
        <w:rPr>
          <w:i/>
        </w:rPr>
      </w:pPr>
      <w:r>
        <w:rPr>
          <w:i/>
        </w:rPr>
        <w:t>Transport</w:t>
      </w:r>
    </w:p>
    <w:p w:rsidRPr="002C7AFD" w:rsidR="00491249" w:rsidP="00491249" w:rsidRDefault="00491249" w14:paraId="6F75DD8F" w14:textId="77777777">
      <w:pPr>
        <w:keepNext/>
        <w:keepLines/>
        <w:ind w:left="567" w:hanging="567"/>
        <w:rPr>
          <w:i/>
          <w:lang w:val="en-GB"/>
        </w:rPr>
      </w:pPr>
    </w:p>
    <w:p w:rsidRPr="002C7AFD" w:rsidR="00491249" w:rsidP="00491249" w:rsidRDefault="00491249" w14:paraId="17C1B176" w14:textId="77777777">
      <w:pPr>
        <w:pStyle w:val="Heading2"/>
      </w:pPr>
      <w:r>
        <w:t>Kollektivtrafiken spelar en avgörande roll för att säkerställa en högkvalitativ och universell mobilitet till ett överkomligt pris. Särskilt äldre, yngre och mindre välbeställda människor är beroende av den. Dessutom har stigande bränslepriser på grund av energikrisen lett till en kraftig ökning av kostnaderna för ekonomin och dem som pendlar. Som ett resultat av detta drabbas allt fler människor av transportfattigdom</w:t>
      </w:r>
      <w:r w:rsidRPr="002C7AFD">
        <w:rPr>
          <w:rStyle w:val="FootnoteReference"/>
          <w:szCs w:val="24"/>
          <w:lang w:val="en-GB"/>
        </w:rPr>
        <w:footnoteReference w:id="12"/>
      </w:r>
      <w:r>
        <w:t xml:space="preserve"> Det krävs en tydlig definition, bindande mål och utbyte av bästa praxis för att bekämpa transportfattigdom.</w:t>
      </w:r>
    </w:p>
    <w:p w:rsidRPr="00AE34B7" w:rsidR="00491249" w:rsidP="00491249" w:rsidRDefault="00491249" w14:paraId="7CC1AEBD" w14:textId="77777777"/>
    <w:p w:rsidRPr="002C7AFD" w:rsidR="00491249" w:rsidP="00491249" w:rsidRDefault="00491249" w14:paraId="2D5995AD" w14:textId="77777777">
      <w:pPr>
        <w:pStyle w:val="Heading2"/>
      </w:pPr>
      <w:r>
        <w:t xml:space="preserve">Både den lokala och regionala kollektivtrafiken och den långväga gränsöverskridande trafiken behöver utvecklas för att ge pendlare och resenärer alternativ till bil och flyg. Socialekologiska investeringar i multimodal och sammanlänkad kollektivtrafik måste därför undantas från EU:s finanspolitiska regler. Från och med 2026 kommer det dessutom att behövas en efterföljare till faciliteten för återhämtning och </w:t>
      </w:r>
      <w:proofErr w:type="spellStart"/>
      <w:r>
        <w:t>resiliens</w:t>
      </w:r>
      <w:proofErr w:type="spellEnd"/>
      <w:r>
        <w:t xml:space="preserve"> för att tillhandahålla ytterligare EU-finansiering, inbegripet ett effektivt styrningsförfarande för i synnerhet utbyggnad, anslutning och modernisering av järnvägsnätet. Ytterligare finansiering och utbyggnad av kollektivtrafiken och den multimodala järnvägstransportkapaciteten skulle kunna mildra förlusten av arbetstillfällen inom andra sektorer till följd av den därmed sammanhängande omstruktureringen av ekonomin.</w:t>
      </w:r>
    </w:p>
    <w:p w:rsidRPr="00AE34B7" w:rsidR="00491249" w:rsidP="00491249" w:rsidRDefault="00491249" w14:paraId="60CFE1FE" w14:textId="77777777"/>
    <w:p w:rsidRPr="002C7AFD" w:rsidR="00491249" w:rsidP="00491249" w:rsidRDefault="00491249" w14:paraId="221DA671" w14:textId="77777777">
      <w:pPr>
        <w:pStyle w:val="Heading2"/>
      </w:pPr>
      <w:r>
        <w:t xml:space="preserve">För att göra godstransporter på järnväg mer attraktiva krävs en kombination av infrastrukturåtgärder, </w:t>
      </w:r>
      <w:proofErr w:type="spellStart"/>
      <w:r>
        <w:t>interoperabilitet</w:t>
      </w:r>
      <w:proofErr w:type="spellEnd"/>
      <w:r>
        <w:t>, anpassningar av lagstiftningen, ekonomiska incitament och teknisk innovation. Järnvägen måste bli tillförlitligare, billigare och flexiblare. Samtidigt bör företag uppmuntras att transportera mer gods på järnväg.</w:t>
      </w:r>
    </w:p>
    <w:p w:rsidRPr="00AE34B7" w:rsidR="00491249" w:rsidP="00491249" w:rsidRDefault="00491249" w14:paraId="6686F65E" w14:textId="77777777"/>
    <w:p w:rsidRPr="002C7AFD" w:rsidR="00491249" w:rsidP="00491249" w:rsidRDefault="00491249" w14:paraId="62A672A0" w14:textId="77777777">
      <w:pPr>
        <w:pStyle w:val="Heading2"/>
      </w:pPr>
      <w:r>
        <w:t>I flera medlemsstater har EU:s liberalisering av transporttjänster inte haft önskad effekt. Det finns inget samband mellan kollektivtrafikens kvalitet och om tjänsten upphandlats. Medlemsstaternas frihet att välja mellan direktupphandling och anbudsinfordran måste därför skyddas. Det är viktigt att transporttjänster av hög kvalitet är brett tillgängliga som tjänster av allmänt intresse, både inom lokal och regional transport och inom långväga transport.</w:t>
      </w:r>
    </w:p>
    <w:p w:rsidRPr="00AE34B7" w:rsidR="00491249" w:rsidP="00491249" w:rsidRDefault="00491249" w14:paraId="26885558" w14:textId="77777777"/>
    <w:p w:rsidRPr="00AE34B7" w:rsidR="00491249" w:rsidP="00491249" w:rsidRDefault="00491249" w14:paraId="573ED60D" w14:textId="77777777">
      <w:pPr>
        <w:keepNext/>
        <w:keepLines/>
        <w:ind w:left="567" w:hanging="567"/>
        <w:rPr>
          <w:i/>
          <w:spacing w:val="-2"/>
        </w:rPr>
      </w:pPr>
      <w:r w:rsidRPr="00AE34B7">
        <w:rPr>
          <w:i/>
          <w:spacing w:val="-2"/>
        </w:rPr>
        <w:lastRenderedPageBreak/>
        <w:t>Energi</w:t>
      </w:r>
    </w:p>
    <w:p w:rsidRPr="00AE34B7" w:rsidR="00491249" w:rsidP="00491249" w:rsidRDefault="00491249" w14:paraId="20A69CB2" w14:textId="77777777">
      <w:pPr>
        <w:keepNext/>
        <w:keepLines/>
        <w:ind w:left="567" w:hanging="567"/>
        <w:rPr>
          <w:i/>
          <w:spacing w:val="-2"/>
          <w:sz w:val="16"/>
          <w:szCs w:val="16"/>
          <w:lang w:val="en-GB"/>
        </w:rPr>
      </w:pPr>
    </w:p>
    <w:p w:rsidRPr="00AE34B7" w:rsidR="00491249" w:rsidP="00491249" w:rsidRDefault="00491249" w14:paraId="32D628B0" w14:textId="77777777">
      <w:pPr>
        <w:pStyle w:val="Heading2"/>
        <w:rPr>
          <w:spacing w:val="-2"/>
        </w:rPr>
      </w:pPr>
      <w:r w:rsidRPr="00AE34B7">
        <w:rPr>
          <w:spacing w:val="-2"/>
        </w:rPr>
        <w:t xml:space="preserve">I </w:t>
      </w:r>
      <w:proofErr w:type="spellStart"/>
      <w:r w:rsidRPr="00AE34B7">
        <w:rPr>
          <w:spacing w:val="-2"/>
        </w:rPr>
        <w:t>Draghi</w:t>
      </w:r>
      <w:proofErr w:type="spellEnd"/>
      <w:r w:rsidRPr="00AE34B7">
        <w:rPr>
          <w:spacing w:val="-2"/>
        </w:rPr>
        <w:t>-rapporten betonas att höga energipriser i EU utgör en stor konkurrensnackdel. EESK stöder en påskyndad utbyggnad av nät och förnybar energi genom snabbare och enklare tillståndsförfaranden, insatser för att uppmuntra konsumenter att producera sin egen energi, skapande och främjande av energigemenskaper samt utveckling av transeuropeiska nät som kritisk infrastruktur</w:t>
      </w:r>
      <w:r w:rsidRPr="00AE34B7">
        <w:rPr>
          <w:spacing w:val="-2"/>
          <w:sz w:val="24"/>
          <w:szCs w:val="24"/>
          <w:vertAlign w:val="superscript"/>
          <w:lang w:val="en-GB"/>
        </w:rPr>
        <w:footnoteReference w:id="13"/>
      </w:r>
      <w:r w:rsidRPr="00AE34B7">
        <w:rPr>
          <w:spacing w:val="-2"/>
        </w:rPr>
        <w:t>.</w:t>
      </w:r>
    </w:p>
    <w:p w:rsidRPr="00AE34B7" w:rsidR="00491249" w:rsidP="00491249" w:rsidRDefault="00491249" w14:paraId="5CE3C17A" w14:textId="77777777">
      <w:pPr>
        <w:rPr>
          <w:spacing w:val="-2"/>
          <w:sz w:val="16"/>
          <w:szCs w:val="16"/>
        </w:rPr>
      </w:pPr>
    </w:p>
    <w:p w:rsidRPr="00AE34B7" w:rsidR="00491249" w:rsidP="00491249" w:rsidRDefault="00491249" w14:paraId="2882417C" w14:textId="77777777">
      <w:pPr>
        <w:pStyle w:val="Heading2"/>
        <w:rPr>
          <w:spacing w:val="-2"/>
        </w:rPr>
      </w:pPr>
      <w:r w:rsidRPr="00AE34B7">
        <w:rPr>
          <w:spacing w:val="-2"/>
        </w:rPr>
        <w:t>Under hela energikrisen ledde kopplingen mellan el- och gaspriserna till högre elpriser, även i kraftverk som inte upplevde några kostnadsökningar alls. Den tillfälliga vinstskatt som EU införde visade sig därför vara viktig. Energiföretagen bör ha större fokus på det allmänna bästa och låta låga produktionskostnader återspeglas i konsumenternas räkningar. Den elmarknadsreform som infördes förra året får bara vara ett första steg mot att separera el- och gaspriserna.</w:t>
      </w:r>
    </w:p>
    <w:p w:rsidRPr="00AE34B7" w:rsidR="00491249" w:rsidP="00491249" w:rsidRDefault="00491249" w14:paraId="2816F58F" w14:textId="77777777">
      <w:pPr>
        <w:rPr>
          <w:spacing w:val="-2"/>
          <w:sz w:val="16"/>
          <w:szCs w:val="16"/>
        </w:rPr>
      </w:pPr>
    </w:p>
    <w:p w:rsidRPr="00AE34B7" w:rsidR="00491249" w:rsidP="00491249" w:rsidRDefault="00491249" w14:paraId="13D73BAE" w14:textId="77777777">
      <w:pPr>
        <w:pStyle w:val="Heading2"/>
        <w:rPr>
          <w:spacing w:val="-2"/>
        </w:rPr>
      </w:pPr>
      <w:r w:rsidRPr="00AE34B7">
        <w:rPr>
          <w:spacing w:val="-2"/>
        </w:rPr>
        <w:t>EESK påpekar att elmarknaden inte bara bör reformeras på ett sätt som gör att den kan uppfylla målet om klimatneutralitet senast 2050 utan att detta måste kopplas till uppfyllandet av målen om försörjningstrygghet och stabila och överkomliga priser</w:t>
      </w:r>
      <w:r w:rsidRPr="00AE34B7">
        <w:rPr>
          <w:rStyle w:val="FootnoteReference"/>
          <w:spacing w:val="-2"/>
          <w:lang w:val="en-GB"/>
        </w:rPr>
        <w:footnoteReference w:id="14"/>
      </w:r>
      <w:r w:rsidRPr="00AE34B7">
        <w:rPr>
          <w:spacing w:val="-2"/>
        </w:rPr>
        <w:t>. Energieffektivitet fortsätter att spela en nyckelroll och är särskilt viktigt för utsatta hushåll.</w:t>
      </w:r>
    </w:p>
    <w:p w:rsidRPr="00AE34B7" w:rsidR="00491249" w:rsidP="00491249" w:rsidRDefault="00491249" w14:paraId="431935B0" w14:textId="77777777">
      <w:pPr>
        <w:rPr>
          <w:spacing w:val="-2"/>
          <w:sz w:val="16"/>
          <w:szCs w:val="16"/>
        </w:rPr>
      </w:pPr>
    </w:p>
    <w:p w:rsidRPr="00AE34B7" w:rsidR="00491249" w:rsidP="00491249" w:rsidRDefault="00491249" w14:paraId="392D729C" w14:textId="7961A4F3">
      <w:pPr>
        <w:pStyle w:val="Heading2"/>
        <w:rPr>
          <w:spacing w:val="-2"/>
        </w:rPr>
      </w:pPr>
      <w:r w:rsidRPr="00AE34B7">
        <w:rPr>
          <w:spacing w:val="-2"/>
        </w:rPr>
        <w:t>Mellan 35 och 72 miljoner människor i EU är drabbade av energifattigdom. Medlemsstaterna måste fullgöra befintliga skyldigheter och ta itu med energifattigdomen inom ramen för de sociala klimatplanerna. Dessa planer bör läggas fram snabbt samt utvärderas och övervakas noggrant, och Sociala klimatfonden bör få bättre finansiering. EESK vill i detta sammanhang hänvisa till sitt yttrande</w:t>
      </w:r>
      <w:r w:rsidRPr="00AE34B7" w:rsidR="009F5A50">
        <w:rPr>
          <w:rStyle w:val="FootnoteReference"/>
          <w:spacing w:val="-2"/>
          <w:lang w:val="en-GB"/>
        </w:rPr>
        <w:footnoteReference w:id="15"/>
      </w:r>
      <w:r w:rsidRPr="00AE34B7">
        <w:rPr>
          <w:spacing w:val="-2"/>
        </w:rPr>
        <w:t>.</w:t>
      </w:r>
    </w:p>
    <w:p w:rsidRPr="00AE34B7" w:rsidR="00491249" w:rsidP="00491249" w:rsidRDefault="00491249" w14:paraId="1F92A410" w14:textId="77777777">
      <w:pPr>
        <w:rPr>
          <w:spacing w:val="-2"/>
          <w:sz w:val="16"/>
          <w:szCs w:val="16"/>
          <w:lang w:val="en-GB"/>
        </w:rPr>
      </w:pPr>
    </w:p>
    <w:p w:rsidRPr="00AE34B7" w:rsidR="00491249" w:rsidP="00491249" w:rsidRDefault="00491249" w14:paraId="57ACC809" w14:textId="77777777">
      <w:pPr>
        <w:pStyle w:val="Heading2"/>
        <w:rPr>
          <w:spacing w:val="-2"/>
        </w:rPr>
      </w:pPr>
      <w:r w:rsidRPr="00AE34B7">
        <w:rPr>
          <w:spacing w:val="-2"/>
        </w:rPr>
        <w:t>EESK välkomnar kommissionens initiativ till en EU-plan för bostäder till överkomlig kostnad. Även om bostadspolitiken fortfarande omfattas av medlemsstaternas behörighet påpekar EESK att det finns ett akut behov av samordnade EU-åtgärder för att ta itu med bristen på hållbara bostäder till överkomlig kostnad.</w:t>
      </w:r>
    </w:p>
    <w:p w:rsidRPr="00AE34B7" w:rsidR="00491249" w:rsidP="00491249" w:rsidRDefault="00491249" w14:paraId="1A82F363" w14:textId="77777777">
      <w:pPr>
        <w:rPr>
          <w:spacing w:val="-2"/>
          <w:sz w:val="16"/>
          <w:szCs w:val="16"/>
        </w:rPr>
      </w:pPr>
    </w:p>
    <w:p w:rsidRPr="00AE34B7" w:rsidR="00491249" w:rsidP="00491249" w:rsidRDefault="00491249" w14:paraId="2CBFE8F2" w14:textId="77777777">
      <w:pPr>
        <w:keepNext/>
        <w:keepLines/>
        <w:ind w:left="567" w:hanging="567"/>
        <w:rPr>
          <w:i/>
          <w:spacing w:val="-2"/>
        </w:rPr>
      </w:pPr>
      <w:r w:rsidRPr="00AE34B7">
        <w:rPr>
          <w:i/>
          <w:spacing w:val="-2"/>
        </w:rPr>
        <w:t>Bostäder</w:t>
      </w:r>
    </w:p>
    <w:p w:rsidRPr="00AE34B7" w:rsidR="00491249" w:rsidP="00491249" w:rsidRDefault="00491249" w14:paraId="5958466F" w14:textId="77777777">
      <w:pPr>
        <w:keepNext/>
        <w:keepLines/>
        <w:ind w:left="567" w:hanging="567"/>
        <w:rPr>
          <w:i/>
          <w:spacing w:val="-2"/>
          <w:sz w:val="16"/>
          <w:szCs w:val="16"/>
          <w:lang w:val="en-GB"/>
        </w:rPr>
      </w:pPr>
    </w:p>
    <w:p w:rsidRPr="00AE34B7" w:rsidR="00491249" w:rsidP="00491249" w:rsidRDefault="00491249" w14:paraId="2A92E4D8" w14:textId="320208AC">
      <w:pPr>
        <w:pStyle w:val="ListParagraph"/>
        <w:numPr>
          <w:ilvl w:val="1"/>
          <w:numId w:val="1"/>
        </w:numPr>
        <w:ind w:left="567" w:hanging="567"/>
        <w:rPr>
          <w:spacing w:val="-2"/>
        </w:rPr>
      </w:pPr>
      <w:r w:rsidRPr="00AE34B7">
        <w:rPr>
          <w:spacing w:val="-2"/>
        </w:rPr>
        <w:t>Under de senaste två decennierna har hyror och bostadspriser stigit betydligt mer än den genomsnittliga disponibla inkomsten i hela EU, vilket utgör ett marknadsmisslyckande. EU:s samlade åtstramningspolitik efter den finansiella och ekonomiska krisen 2008 begränsade kraftigt de nationella, regionala och lokala myndigheternas förmåga att tillhandahålla anständiga bostäder till överkomliga priser. Detta ledde till en minskning av beståndet av bostäder i Europa</w:t>
      </w:r>
      <w:r w:rsidRPr="00AE34B7">
        <w:rPr>
          <w:spacing w:val="-2"/>
          <w:sz w:val="24"/>
          <w:szCs w:val="24"/>
          <w:vertAlign w:val="superscript"/>
          <w:lang w:val="en-GB"/>
        </w:rPr>
        <w:footnoteReference w:id="16"/>
      </w:r>
      <w:r w:rsidRPr="00AE34B7">
        <w:rPr>
          <w:spacing w:val="-2"/>
        </w:rPr>
        <w:t xml:space="preserve">. </w:t>
      </w:r>
      <w:proofErr w:type="spellStart"/>
      <w:r w:rsidRPr="00AE34B7">
        <w:rPr>
          <w:spacing w:val="-2"/>
        </w:rPr>
        <w:t>Gentrifiering</w:t>
      </w:r>
      <w:proofErr w:type="spellEnd"/>
      <w:r w:rsidRPr="00AE34B7">
        <w:rPr>
          <w:spacing w:val="-2"/>
        </w:rPr>
        <w:t xml:space="preserve"> och den grå ekonomin, t.ex. svart uthyrning, samt guldvisum, korttidsuthyrning och enorma uppköp av stora investeringsfonder har förvärrat situationen ytterligare i vissa länder och städer. EESK vill i detta avseende fästa uppmärksamheten på andra krav i sitt yttrande</w:t>
      </w:r>
      <w:r w:rsidRPr="00AE34B7">
        <w:rPr>
          <w:rStyle w:val="FootnoteReference"/>
          <w:spacing w:val="-2"/>
          <w:szCs w:val="24"/>
          <w:lang w:val="en-GB"/>
        </w:rPr>
        <w:footnoteReference w:id="17"/>
      </w:r>
      <w:r w:rsidRPr="00AE34B7">
        <w:rPr>
          <w:spacing w:val="-2"/>
        </w:rPr>
        <w:t>.</w:t>
      </w:r>
    </w:p>
    <w:p w:rsidRPr="00AE34B7" w:rsidR="00491249" w:rsidP="00491249" w:rsidRDefault="00491249" w14:paraId="6062081C" w14:textId="77777777">
      <w:pPr>
        <w:pStyle w:val="ListParagraph"/>
        <w:ind w:left="567"/>
      </w:pPr>
    </w:p>
    <w:p w:rsidRPr="002C7AFD" w:rsidR="00491249" w:rsidP="00491249" w:rsidRDefault="00491249" w14:paraId="2BDE0B9D" w14:textId="77777777">
      <w:pPr>
        <w:pStyle w:val="Heading2"/>
        <w:jc w:val="thaiDistribute"/>
      </w:pPr>
      <w:r>
        <w:lastRenderedPageBreak/>
        <w:t>EESK uppmanar kommissionen att stödja medlemsstaterna genom att vid behov utfärda rekommendationer till dem om att inrätta en verktygslåda för att stävja okontrollerade hyreshöjningar, inbegripet lagstadgad hyresreglering, en avgift på lediga bostäder för uthyrning, verktyg för fysisk planering såsom beskattning av vinster vid ändrad markanvändning och särskild zonindelning för subventionerade bostäder, skatteincitament för renovering av bostäder, fler subventionerade bostäder och begränsningar av tillstånd för korttidsuthyrning. I detta sammanhang uppmanar EESK kommissionen att så snart som möjligt lägga fram EU-planen för bostäder till överkomlig kostnad, med särskilt fokus på att förbättra tillgången till bostäder till rimligt pris för ungdomar, äldre och personer med funktionsnedsättning. Åtgärder som krävs på kort sikt, såsom inrättandet av en europeisk plattform för investeringar i hållbara bostäder till överkomlig kostnad eller ändringar i subventionslagstiftningen avseende bredare tillgång till subventionerat boende, bör vidtas innan planen offentliggörs.</w:t>
      </w:r>
    </w:p>
    <w:p w:rsidRPr="00AE34B7" w:rsidR="00491249" w:rsidP="00491249" w:rsidRDefault="00491249" w14:paraId="00706007" w14:textId="77777777"/>
    <w:p w:rsidRPr="002C7AFD" w:rsidR="00491249" w:rsidP="00491249" w:rsidRDefault="00491249" w14:paraId="7220A5C9" w14:textId="77777777">
      <w:pPr>
        <w:pStyle w:val="Heading2"/>
      </w:pPr>
      <w:r>
        <w:t>EESK förespråkar utvidgade möjligheter för långsiktiga investeringar i subventionerade bostäder och anser att offentliga investeringar i tillgängliga bostäder till överkomligt pris bör prioriteras i den nya fleråriga budgetramen och inte bör omfattas av skuldreglerna i stabilitets- och tillväxtpaktens finanspolitiska regler. Offentlig-privata partnerskap kan också bidra till att finansiera bostäder till överkomliga priser så länge som det säkerställs att vinster och förluster fördelas rättvist mellan investerarna. Blandfinansiering som involverar privata investerare är ett alternativ enbart om det säkerställs att tilldelningen är transparent och att det inte uppstår några omotiverade merkostnader för det offentliga jämfört med offentlig finansiering. Det är ännu viktigare att man i sådana blandfinansieringsmodeller tydligt fastställer rättigheter och skyldigheter, klargör ansvarsfrågor och tillhandahåller ett effektivt och snabbt system för konfliktlösning för att undvika långsiktiga merkostnader och ogynnsamma ansvarsfrågor.</w:t>
      </w:r>
    </w:p>
    <w:p w:rsidRPr="00AE34B7" w:rsidR="00491249" w:rsidP="00491249" w:rsidRDefault="00491249" w14:paraId="69850787" w14:textId="77777777">
      <w:pPr>
        <w:rPr>
          <w:sz w:val="16"/>
          <w:szCs w:val="16"/>
        </w:rPr>
      </w:pPr>
    </w:p>
    <w:p w:rsidRPr="002C7AFD" w:rsidR="00491249" w:rsidP="00491249" w:rsidRDefault="00491249" w14:paraId="2F7EC6FF" w14:textId="77777777">
      <w:pPr>
        <w:pStyle w:val="Heading2"/>
      </w:pPr>
      <w:r>
        <w:t>Finansiering av hållbara bostäder till överkomliga priser kräver betydande medel. Det är viktigt att förenkla finansieringsinstrumenten och göra dem mer samstämmiga. I detta avseende bör medlen från sammanhållningspolitiken målinriktas på ett effektivt sätt så att problemet med bostäder till överkomliga priser åtgärdas. EESK föreslår att Europeiska regionala utvecklingsfonden och Sammanhållningsfonden används systematiskt och mer intensivt för bostadsbehov.</w:t>
      </w:r>
    </w:p>
    <w:p w:rsidRPr="00AE34B7" w:rsidR="00491249" w:rsidP="00491249" w:rsidRDefault="00491249" w14:paraId="2DA4EF44" w14:textId="77777777">
      <w:pPr>
        <w:rPr>
          <w:sz w:val="16"/>
          <w:szCs w:val="16"/>
        </w:rPr>
      </w:pPr>
    </w:p>
    <w:p w:rsidRPr="002C7AFD" w:rsidR="00491249" w:rsidP="00491249" w:rsidRDefault="00491249" w14:paraId="2B7BDA3F" w14:textId="77777777">
      <w:pPr>
        <w:pStyle w:val="Heading2"/>
      </w:pPr>
      <w:r>
        <w:t>Ett realistiskt EU-mål för subventionerade bostäder måste fastställas för byggande av nya bostäder, renovering och lediga bostäder 2024–2029. I detta syfte måste medlemsstaterna bland annat ställa en tillräcklig andel mark till förfogande för bostäder utan vinstintresse. Genom att förenkla reglerna och genom forskning och innovation kan man påskynda byggande och renovering samt reducera kostnaderna. Rättssäkerhet är avgörande för investerare.</w:t>
      </w:r>
    </w:p>
    <w:p w:rsidRPr="0044249B" w:rsidR="00491249" w:rsidP="00491249" w:rsidRDefault="00491249" w14:paraId="497074DC" w14:textId="77777777">
      <w:pPr>
        <w:rPr>
          <w:sz w:val="16"/>
          <w:szCs w:val="16"/>
          <w:lang w:val="en-GB"/>
        </w:rPr>
      </w:pPr>
    </w:p>
    <w:p w:rsidRPr="002C7AFD" w:rsidR="00491249" w:rsidP="00491249" w:rsidRDefault="00491249" w14:paraId="7A3FEAD1" w14:textId="77777777">
      <w:pPr>
        <w:pStyle w:val="Heading2"/>
        <w:keepNext/>
      </w:pPr>
      <w:r>
        <w:t>EESK efterlyser följande:</w:t>
      </w:r>
    </w:p>
    <w:p w:rsidRPr="0044249B" w:rsidR="00491249" w:rsidP="00491249" w:rsidRDefault="00491249" w14:paraId="01205E66" w14:textId="77777777">
      <w:pPr>
        <w:keepNext/>
        <w:rPr>
          <w:sz w:val="16"/>
          <w:szCs w:val="16"/>
          <w:lang w:val="en-GB"/>
        </w:rPr>
      </w:pPr>
    </w:p>
    <w:p w:rsidRPr="002C7AFD" w:rsidR="00491249" w:rsidP="00491249" w:rsidRDefault="00491249" w14:paraId="51D215F1" w14:textId="77777777">
      <w:pPr>
        <w:pStyle w:val="ListParagraph"/>
        <w:numPr>
          <w:ilvl w:val="0"/>
          <w:numId w:val="7"/>
        </w:numPr>
        <w:spacing w:line="276" w:lineRule="auto"/>
        <w:ind w:left="993"/>
      </w:pPr>
      <w:r>
        <w:t>Mobilisering av både privata och offentliga investeringar.</w:t>
      </w:r>
    </w:p>
    <w:p w:rsidRPr="002C7AFD" w:rsidR="00491249" w:rsidP="00491249" w:rsidRDefault="00491249" w14:paraId="03A0A2CF" w14:textId="77777777">
      <w:pPr>
        <w:pStyle w:val="ListParagraph"/>
        <w:numPr>
          <w:ilvl w:val="0"/>
          <w:numId w:val="7"/>
        </w:numPr>
        <w:spacing w:line="276" w:lineRule="auto"/>
        <w:ind w:left="993"/>
      </w:pPr>
      <w:r>
        <w:t>Förbättrad tillgång till hypotekslån för hushåll och ungdomar, inbegripet skyddsåtgärder för att förhindra en ökning av antalet privata konkurser.</w:t>
      </w:r>
    </w:p>
    <w:p w:rsidRPr="002C7AFD" w:rsidR="00491249" w:rsidP="00491249" w:rsidRDefault="00491249" w14:paraId="44929F7D" w14:textId="77777777">
      <w:pPr>
        <w:pStyle w:val="ListParagraph"/>
        <w:numPr>
          <w:ilvl w:val="0"/>
          <w:numId w:val="7"/>
        </w:numPr>
        <w:spacing w:line="276" w:lineRule="auto"/>
        <w:ind w:left="993"/>
      </w:pPr>
      <w:r>
        <w:t>En effektiviserad rättslig och administrativ arbetsmiljö för byggföretag, med tydliga regler som kan påskynda byggprocesser, sänka byggnadskostnaderna, förbättra arbetsvillkoren, öka hållbarheten, säkerställa skäliga löner och skapa övergripande kostnadsmässig överkomlighet.</w:t>
      </w:r>
    </w:p>
    <w:p w:rsidRPr="002C7AFD" w:rsidR="00491249" w:rsidP="00491249" w:rsidRDefault="00491249" w14:paraId="47FD5268" w14:textId="77777777">
      <w:pPr>
        <w:pStyle w:val="ListParagraph"/>
        <w:numPr>
          <w:ilvl w:val="0"/>
          <w:numId w:val="7"/>
        </w:numPr>
        <w:spacing w:line="276" w:lineRule="auto"/>
        <w:ind w:left="993"/>
      </w:pPr>
      <w:r>
        <w:lastRenderedPageBreak/>
        <w:t>Ökat stöd till forskning och innovation samt digitalisering genom EU-fonder för att öka byggsektorns produktivitet.</w:t>
      </w:r>
    </w:p>
    <w:p w:rsidRPr="002C7AFD" w:rsidR="00491249" w:rsidP="00491249" w:rsidRDefault="00491249" w14:paraId="5C4F2B02" w14:textId="77777777">
      <w:pPr>
        <w:pStyle w:val="ListParagraph"/>
        <w:numPr>
          <w:ilvl w:val="0"/>
          <w:numId w:val="7"/>
        </w:numPr>
        <w:spacing w:line="276" w:lineRule="auto"/>
        <w:ind w:left="993"/>
      </w:pPr>
      <w:r>
        <w:t>Fortsatt arbete från alla berörda aktörers sida med att öka sektorns attraktionskraft i syfte att ta itu med bristen på kvalificerad arbetskraft bland annat genom att förbättra arbetsvillkor och löner.</w:t>
      </w:r>
    </w:p>
    <w:p w:rsidRPr="00AE34B7" w:rsidR="00491249" w:rsidP="00491249" w:rsidRDefault="00491249" w14:paraId="6431D3A6" w14:textId="77777777">
      <w:pPr>
        <w:rPr>
          <w:sz w:val="16"/>
          <w:szCs w:val="16"/>
        </w:rPr>
      </w:pPr>
    </w:p>
    <w:p w:rsidRPr="002C7AFD" w:rsidR="00491249" w:rsidP="00491249" w:rsidRDefault="00491249" w14:paraId="66918508" w14:textId="77777777">
      <w:pPr>
        <w:pStyle w:val="Heading2"/>
      </w:pPr>
      <w:r>
        <w:t>EESK uppmanar kommissionen att fastställa att subventionerade bostäder är ett viktigt och lovande verktyg för en aktiv bostadspolitik. Den grundläggande rätten till kostnadsmässigt överkomliga, tillgängliga och anständiga bostäder för alla bör fastställas i EU:s primärrätt. Dessutom bör bostadsindikatorer ingå i de nationella reformprogrammen och stabilitets- och konvergensprogrammen.</w:t>
      </w:r>
    </w:p>
    <w:p w:rsidRPr="00AE34B7" w:rsidR="00491249" w:rsidP="00491249" w:rsidRDefault="00491249" w14:paraId="77A97C2A" w14:textId="77777777">
      <w:pPr>
        <w:rPr>
          <w:sz w:val="16"/>
          <w:szCs w:val="16"/>
        </w:rPr>
      </w:pPr>
    </w:p>
    <w:p w:rsidRPr="002C7AFD" w:rsidR="00491249" w:rsidP="00491249" w:rsidRDefault="00491249" w14:paraId="3C0D458E" w14:textId="77777777">
      <w:pPr>
        <w:pStyle w:val="Heading2"/>
      </w:pPr>
      <w:r>
        <w:t>För att behålla valfriheten bör det också finnas bostäder till överkomliga priser nära människors arbetsplatser. Att kunna pendla till jobbet med kollektivtrafik är bäst för miljön och ekonomin. Fysisk planering är nyckeln till att ta hänsyn till sociala behov, minska behovet av att resa och förbättra livskvaliteten.</w:t>
      </w:r>
    </w:p>
    <w:p w:rsidRPr="00AE34B7" w:rsidR="00491249" w:rsidP="00491249" w:rsidRDefault="00491249" w14:paraId="64321A72" w14:textId="77777777">
      <w:pPr>
        <w:rPr>
          <w:sz w:val="16"/>
          <w:szCs w:val="16"/>
        </w:rPr>
      </w:pPr>
    </w:p>
    <w:p w:rsidRPr="002C7AFD" w:rsidR="00491249" w:rsidP="00491249" w:rsidRDefault="00491249" w14:paraId="712D7AA7" w14:textId="77777777">
      <w:pPr>
        <w:numPr>
          <w:ilvl w:val="1"/>
          <w:numId w:val="1"/>
        </w:numPr>
        <w:ind w:left="567" w:hanging="567"/>
        <w:outlineLvl w:val="1"/>
      </w:pPr>
      <w:r>
        <w:t>EESK uppmanar alla medlemsstater att med stöd av kommissionen anamma principen ”Bostad först” för ungdomar (HF4Y) och att utarbeta särskilda program såsom att utöka tillgången till bostäder till överkomliga priser i studentstäder i syfte att göra fler bostäder till ett överkomligt pris tillgängliga för ungdomar.</w:t>
      </w:r>
    </w:p>
    <w:p w:rsidRPr="00AE34B7" w:rsidR="00491249" w:rsidP="00491249" w:rsidRDefault="00491249" w14:paraId="78C74071" w14:textId="77777777"/>
    <w:p w:rsidRPr="002C7AFD" w:rsidR="00491249" w:rsidP="00491249" w:rsidRDefault="00491249" w14:paraId="63F60D8E" w14:textId="6C764B72">
      <w:r>
        <w:t>Bryssel den 30 april 2025.</w:t>
      </w:r>
    </w:p>
    <w:p w:rsidRPr="00AE34B7" w:rsidR="00491249" w:rsidP="00491249" w:rsidRDefault="00491249" w14:paraId="7172F386" w14:textId="7904C547"/>
    <w:p w:rsidRPr="00AE34B7" w:rsidR="00AE34B7" w:rsidP="00491249" w:rsidRDefault="00AE34B7" w14:paraId="4711337F" w14:textId="4AB7BA40"/>
    <w:p w:rsidRPr="00AE34B7" w:rsidR="00AE34B7" w:rsidP="00491249" w:rsidRDefault="00AE34B7" w14:paraId="0571051E" w14:textId="78AEA3A4"/>
    <w:p w:rsidRPr="00AE34B7" w:rsidR="00AE34B7" w:rsidP="00491249" w:rsidRDefault="00AE34B7" w14:paraId="5EC8B38D" w14:textId="77777777"/>
    <w:p w:rsidRPr="00AE34B7" w:rsidR="00491249" w:rsidP="00491249" w:rsidRDefault="00AE34B7" w14:paraId="61F54DF2" w14:textId="040E6251">
      <w:pPr>
        <w:rPr>
          <w:sz w:val="16"/>
          <w:szCs w:val="16"/>
        </w:rPr>
      </w:pPr>
      <w:r>
        <w:t>Oliver RÖPKE</w:t>
      </w:r>
    </w:p>
    <w:p w:rsidRPr="002C7AFD" w:rsidR="00491249" w:rsidP="00491249" w:rsidRDefault="00491249" w14:paraId="1ABC16E8" w14:textId="5EF74893">
      <w:pPr>
        <w:rPr>
          <w:i/>
          <w:iCs/>
        </w:rPr>
      </w:pPr>
      <w:r>
        <w:rPr>
          <w:i/>
        </w:rPr>
        <w:t>Europeiska ekonomiska och sociala kommitténs ordförande</w:t>
      </w:r>
    </w:p>
    <w:p w:rsidRPr="002C7AFD" w:rsidR="00F53370" w:rsidP="0044249B" w:rsidRDefault="00491249" w14:paraId="606E30F2" w14:textId="47C4F723">
      <w:pPr>
        <w:jc w:val="center"/>
        <w:outlineLvl w:val="1"/>
      </w:pPr>
      <w:r>
        <w:t>_____________</w:t>
      </w:r>
    </w:p>
    <w:sectPr w:rsidRPr="002C7AFD" w:rsidR="00F53370" w:rsidSect="001E74A1">
      <w:headerReference w:type="default" r:id="rId21"/>
      <w:footerReference w:type="default" r:id="rId22"/>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4A282" w14:textId="77777777" w:rsidR="00402AF7" w:rsidRDefault="00402AF7" w:rsidP="00F53370">
      <w:pPr>
        <w:spacing w:line="240" w:lineRule="auto"/>
      </w:pPr>
      <w:r>
        <w:separator/>
      </w:r>
    </w:p>
  </w:endnote>
  <w:endnote w:type="continuationSeparator" w:id="0">
    <w:p w14:paraId="6C928EBC" w14:textId="77777777" w:rsidR="00402AF7" w:rsidRDefault="00402AF7"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9F53" w14:textId="77777777" w:rsidR="000720FE" w:rsidRDefault="000720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620CE" w14:textId="77777777" w:rsidR="000720FE" w:rsidRDefault="000720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CF3BC" w14:textId="77777777" w:rsidR="000720FE" w:rsidRDefault="000720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74B7"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3177E" w14:textId="2BC6DC51" w:rsidR="0084105C" w:rsidRPr="003065C9" w:rsidRDefault="000720FE" w:rsidP="000720FE">
    <w:pPr>
      <w:pStyle w:val="Footer"/>
      <w:jc w:val="left"/>
    </w:pPr>
    <w:r>
      <w:t xml:space="preserve">TEN/846 – EESC-2024-04532-00-01-AC-TRA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r w:rsidR="005B4F46">
      <w:fldChar w:fldCharType="begin"/>
    </w:r>
    <w:r w:rsidR="005B4F46">
      <w:instrText xml:space="preserve"> NUMPAGES </w:instrText>
    </w:r>
    <w:r w:rsidR="005B4F46">
      <w:fldChar w:fldCharType="separate"/>
    </w:r>
    <w:r w:rsidR="006C4F50">
      <w:rPr>
        <w:noProof/>
      </w:rPr>
      <w:instrText>11</w:instrText>
    </w:r>
    <w:r w:rsidR="005B4F46">
      <w:fldChar w:fldCharType="end"/>
    </w:r>
    <w:r>
      <w:instrText xml:space="preserve"> - 2 </w:instrText>
    </w:r>
    <w:r>
      <w:fldChar w:fldCharType="separate"/>
    </w:r>
    <w:r w:rsidR="006C4F50">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F8855" w14:textId="77777777" w:rsidR="00402AF7" w:rsidRDefault="00402AF7" w:rsidP="00F53370">
      <w:pPr>
        <w:spacing w:line="240" w:lineRule="auto"/>
      </w:pPr>
      <w:r>
        <w:separator/>
      </w:r>
    </w:p>
  </w:footnote>
  <w:footnote w:type="continuationSeparator" w:id="0">
    <w:p w14:paraId="67230AD8" w14:textId="77777777" w:rsidR="00402AF7" w:rsidRDefault="00402AF7" w:rsidP="00F53370">
      <w:pPr>
        <w:spacing w:line="240" w:lineRule="auto"/>
      </w:pPr>
      <w:r>
        <w:continuationSeparator/>
      </w:r>
    </w:p>
  </w:footnote>
  <w:footnote w:id="1">
    <w:p w14:paraId="7A2D72E8" w14:textId="78030CCE" w:rsidR="00491249" w:rsidRDefault="00491249" w:rsidP="00491249">
      <w:pPr>
        <w:pStyle w:val="FootnoteText"/>
      </w:pPr>
      <w:r>
        <w:rPr>
          <w:rStyle w:val="FootnoteReference"/>
          <w:lang w:val="en-GB"/>
        </w:rPr>
        <w:footnoteRef/>
      </w:r>
      <w:r>
        <w:tab/>
        <w:t>CCMI/239 ”</w:t>
      </w:r>
      <w:hyperlink r:id="rId1" w:history="1">
        <w:r>
          <w:rPr>
            <w:rStyle w:val="Hyperlink"/>
            <w:i/>
          </w:rPr>
          <w:t>Återindustrialisering av EU – en möjlighet för företag, anställda och medborgare mot bakgrund av krisen med ökade levnadskostnader</w:t>
        </w:r>
      </w:hyperlink>
      <w:r>
        <w:t xml:space="preserve">” (pågående), </w:t>
      </w:r>
      <w:proofErr w:type="spellStart"/>
      <w:r>
        <w:t>EESK:s</w:t>
      </w:r>
      <w:proofErr w:type="spellEnd"/>
      <w:r>
        <w:t xml:space="preserve"> yttrande ”</w:t>
      </w:r>
      <w:hyperlink r:id="rId2" w:history="1">
        <w:r>
          <w:rPr>
            <w:rStyle w:val="Hyperlink"/>
            <w:i/>
          </w:rPr>
          <w:t xml:space="preserve">Så lämnar vi kriserna bakom oss – åtgärder för en EU-ekonomi som kännetecknas av </w:t>
        </w:r>
        <w:proofErr w:type="spellStart"/>
        <w:r>
          <w:rPr>
            <w:rStyle w:val="Hyperlink"/>
            <w:i/>
          </w:rPr>
          <w:t>resiliens</w:t>
        </w:r>
        <w:proofErr w:type="spellEnd"/>
        <w:r>
          <w:rPr>
            <w:rStyle w:val="Hyperlink"/>
            <w:i/>
          </w:rPr>
          <w:t>, sammanhållning och inkludering</w:t>
        </w:r>
      </w:hyperlink>
      <w:r>
        <w:t xml:space="preserve">” (ännu inte offentliggjort i EUT), </w:t>
      </w:r>
      <w:proofErr w:type="spellStart"/>
      <w:r>
        <w:t>EESK:s</w:t>
      </w:r>
      <w:proofErr w:type="spellEnd"/>
      <w:r>
        <w:t xml:space="preserve"> yttrande ”</w:t>
      </w:r>
      <w:hyperlink r:id="rId3" w:history="1">
        <w:r>
          <w:rPr>
            <w:rStyle w:val="Hyperlink"/>
            <w:i/>
          </w:rPr>
          <w:t>Hur bidrar brister på den inre marknaden till stigande levnadskostnader?</w:t>
        </w:r>
      </w:hyperlink>
      <w:r>
        <w:t xml:space="preserve">” (ännu inte offentliggjort i EUT), </w:t>
      </w:r>
      <w:proofErr w:type="spellStart"/>
      <w:r>
        <w:t>EESK:s</w:t>
      </w:r>
      <w:proofErr w:type="spellEnd"/>
      <w:r>
        <w:t xml:space="preserve"> yttrande ”</w:t>
      </w:r>
      <w:hyperlink r:id="rId4" w:history="1">
        <w:r>
          <w:rPr>
            <w:rStyle w:val="Hyperlink"/>
            <w:i/>
          </w:rPr>
          <w:t>Så kan subventioner till fossila bränslen fasas ut samtidigt som vi säkerställer EU:s konkurrenskraft, lindrar krisen med höga levnadskostnader och främjar en rättvis omställning</w:t>
        </w:r>
      </w:hyperlink>
      <w:r>
        <w:t>” (ännu inte offentliggjort i EUT), REX/596 ”</w:t>
      </w:r>
      <w:hyperlink r:id="rId5" w:history="1">
        <w:r>
          <w:rPr>
            <w:rStyle w:val="Hyperlink"/>
            <w:i/>
          </w:rPr>
          <w:t>Fragmentering av försörjningskedjorna och konsekvenserna för levnadskostnaderna</w:t>
        </w:r>
      </w:hyperlink>
      <w:r>
        <w:t>” (pågående), SOC/823 ”</w:t>
      </w:r>
      <w:hyperlink r:id="rId6" w:history="1">
        <w:r>
          <w:rPr>
            <w:rStyle w:val="Hyperlink"/>
            <w:i/>
          </w:rPr>
          <w:t>Hur hanterar vi förlusten av köpkraft och risken för ökad ojämlikhet, utestängning och marginalisering?</w:t>
        </w:r>
      </w:hyperlink>
      <w:r>
        <w:t xml:space="preserve">” (pågående), </w:t>
      </w:r>
      <w:proofErr w:type="spellStart"/>
      <w:r>
        <w:t>EESK:s</w:t>
      </w:r>
      <w:proofErr w:type="spellEnd"/>
      <w:r>
        <w:t xml:space="preserve"> yttrande ”</w:t>
      </w:r>
      <w:hyperlink r:id="rId7" w:history="1">
        <w:r>
          <w:rPr>
            <w:rStyle w:val="Hyperlink"/>
            <w:i/>
          </w:rPr>
          <w:t>Höjda priser på transporter, energi och boende: vilken roll kan offentliga tjänster av hög kvalitet spela för att komma till rätta med de höga levnadskostnaderna?</w:t>
        </w:r>
      </w:hyperlink>
      <w:r>
        <w:t>”(ännu inte offentliggjort i EUT).</w:t>
      </w:r>
    </w:p>
  </w:footnote>
  <w:footnote w:id="2">
    <w:p w14:paraId="3C9E2BA3" w14:textId="280F2204" w:rsidR="00491249" w:rsidRDefault="00491249" w:rsidP="00491249">
      <w:pPr>
        <w:pStyle w:val="FootnoteText"/>
      </w:pPr>
      <w:r>
        <w:rPr>
          <w:rStyle w:val="FootnoteReference"/>
          <w:lang w:val="en-GB"/>
        </w:rPr>
        <w:footnoteRef/>
      </w:r>
      <w:r>
        <w:tab/>
        <w:t>ECO/660 – ”</w:t>
      </w:r>
      <w:hyperlink r:id="rId8" w:history="1">
        <w:r>
          <w:rPr>
            <w:rStyle w:val="Hyperlink"/>
            <w:i/>
          </w:rPr>
          <w:t>Det organiserade civila samhällets rekommendationer för att hantera krisen med ökade levnadskostnader</w:t>
        </w:r>
      </w:hyperlink>
      <w:r>
        <w:t>” (pågående)</w:t>
      </w:r>
    </w:p>
  </w:footnote>
  <w:footnote w:id="3">
    <w:p w14:paraId="1AFCE1B6" w14:textId="77777777" w:rsidR="00491249" w:rsidRPr="00AE34B7" w:rsidRDefault="00491249" w:rsidP="00491249">
      <w:pPr>
        <w:pStyle w:val="FootnoteText"/>
        <w:rPr>
          <w:lang w:val="en-US"/>
        </w:rPr>
      </w:pPr>
      <w:r>
        <w:rPr>
          <w:rStyle w:val="FootnoteReference"/>
          <w:lang w:val="en-GB"/>
        </w:rPr>
        <w:footnoteRef/>
      </w:r>
      <w:r w:rsidRPr="00AE34B7">
        <w:rPr>
          <w:lang w:val="en-US"/>
        </w:rPr>
        <w:tab/>
        <w:t>Eurostat: ”</w:t>
      </w:r>
      <w:r w:rsidR="005B4F46">
        <w:fldChar w:fldCharType="begin"/>
      </w:r>
      <w:r w:rsidR="005B4F46" w:rsidRPr="00AE34B7">
        <w:rPr>
          <w:lang w:val="en-US"/>
        </w:rPr>
        <w:instrText xml:space="preserve"> HYPERLINK </w:instrText>
      </w:r>
      <w:r w:rsidR="005B4F46">
        <w:fldChar w:fldCharType="separate"/>
      </w:r>
      <w:r w:rsidRPr="00AE34B7">
        <w:rPr>
          <w:rStyle w:val="Hyperlink"/>
          <w:lang w:val="en-US"/>
        </w:rPr>
        <w:t>HICP - monthly data (annual rate of change)</w:t>
      </w:r>
      <w:r w:rsidR="005B4F46">
        <w:rPr>
          <w:rStyle w:val="Hyperlink"/>
        </w:rPr>
        <w:fldChar w:fldCharType="end"/>
      </w:r>
      <w:r w:rsidRPr="00AE34B7">
        <w:rPr>
          <w:lang w:val="en-US"/>
        </w:rPr>
        <w:t>”.</w:t>
      </w:r>
    </w:p>
  </w:footnote>
  <w:footnote w:id="4">
    <w:p w14:paraId="726BC042" w14:textId="77777777" w:rsidR="00491249" w:rsidRPr="00AE34B7" w:rsidRDefault="00491249" w:rsidP="00491249">
      <w:pPr>
        <w:pStyle w:val="FootnoteText"/>
        <w:rPr>
          <w:lang w:val="en-US"/>
        </w:rPr>
      </w:pPr>
      <w:r>
        <w:rPr>
          <w:rStyle w:val="FootnoteReference"/>
          <w:lang w:val="en-GB"/>
        </w:rPr>
        <w:footnoteRef/>
      </w:r>
      <w:r w:rsidRPr="00AE34B7">
        <w:rPr>
          <w:lang w:val="en-US"/>
        </w:rPr>
        <w:tab/>
        <w:t>Eurostat: ”</w:t>
      </w:r>
      <w:r w:rsidR="005B4F46">
        <w:fldChar w:fldCharType="begin"/>
      </w:r>
      <w:r w:rsidR="005B4F46" w:rsidRPr="00AE34B7">
        <w:rPr>
          <w:lang w:val="en-US"/>
        </w:rPr>
        <w:instrText xml:space="preserve"> HYPERLINK "https://ec.europa.eu/eurostat/databrowser/view/prc_hicp_m</w:instrText>
      </w:r>
      <w:r w:rsidR="005B4F46" w:rsidRPr="00AE34B7">
        <w:rPr>
          <w:lang w:val="en-US"/>
        </w:rPr>
        <w:instrText xml:space="preserve">anr/default/table" </w:instrText>
      </w:r>
      <w:r w:rsidR="005B4F46">
        <w:fldChar w:fldCharType="separate"/>
      </w:r>
      <w:r w:rsidRPr="00AE34B7">
        <w:rPr>
          <w:rStyle w:val="Hyperlink"/>
          <w:lang w:val="en-US"/>
        </w:rPr>
        <w:t>HICP - monthly data (annual rate of change)</w:t>
      </w:r>
      <w:r w:rsidR="005B4F46">
        <w:rPr>
          <w:rStyle w:val="Hyperlink"/>
        </w:rPr>
        <w:fldChar w:fldCharType="end"/>
      </w:r>
      <w:r w:rsidRPr="00AE34B7">
        <w:rPr>
          <w:lang w:val="en-US"/>
        </w:rPr>
        <w:t>”.</w:t>
      </w:r>
    </w:p>
  </w:footnote>
  <w:footnote w:id="5">
    <w:p w14:paraId="2ABB8636" w14:textId="77777777" w:rsidR="00491249" w:rsidRPr="00AE34B7" w:rsidRDefault="00491249" w:rsidP="00491249">
      <w:pPr>
        <w:pStyle w:val="FootnoteText"/>
        <w:rPr>
          <w:lang w:val="en-US"/>
        </w:rPr>
      </w:pPr>
      <w:r>
        <w:rPr>
          <w:rStyle w:val="FootnoteReference"/>
          <w:lang w:val="en-GB"/>
        </w:rPr>
        <w:footnoteRef/>
      </w:r>
      <w:r w:rsidRPr="00AE34B7">
        <w:rPr>
          <w:lang w:val="en-US"/>
        </w:rPr>
        <w:tab/>
        <w:t>Eurostat: ”</w:t>
      </w:r>
      <w:proofErr w:type="spellStart"/>
      <w:r w:rsidR="005B4F46">
        <w:fldChar w:fldCharType="begin"/>
      </w:r>
      <w:proofErr w:type="spellEnd"/>
      <w:r w:rsidR="005B4F46" w:rsidRPr="00AE34B7">
        <w:rPr>
          <w:lang w:val="en-US"/>
        </w:rPr>
        <w:instrText xml:space="preserve"> HYPERLINK "https://ec.europa.eu/eurostat/databrowser/view/ilc_di11/default/table?lang=en" </w:instrText>
      </w:r>
      <w:proofErr w:type="spellStart"/>
      <w:r w:rsidR="005B4F46">
        <w:fldChar w:fldCharType="separate"/>
      </w:r>
      <w:proofErr w:type="spellEnd"/>
      <w:r w:rsidRPr="00AE34B7">
        <w:rPr>
          <w:rStyle w:val="Hyperlink"/>
          <w:lang w:val="en-US"/>
        </w:rPr>
        <w:t>Income quintile share ratio S80/S20 for disposable income by sex and age group</w:t>
      </w:r>
      <w:r w:rsidR="005B4F46">
        <w:rPr>
          <w:rStyle w:val="Hyperlink"/>
        </w:rPr>
        <w:fldChar w:fldCharType="end"/>
      </w:r>
      <w:r w:rsidRPr="00AE34B7">
        <w:rPr>
          <w:lang w:val="en-US"/>
        </w:rPr>
        <w:t>”.</w:t>
      </w:r>
    </w:p>
  </w:footnote>
  <w:footnote w:id="6">
    <w:p w14:paraId="77187E2F" w14:textId="77777777" w:rsidR="00491249" w:rsidRPr="00AE34B7" w:rsidRDefault="00491249" w:rsidP="00491249">
      <w:pPr>
        <w:pStyle w:val="FootnoteText"/>
        <w:rPr>
          <w:lang w:val="en-US"/>
        </w:rPr>
      </w:pPr>
      <w:r>
        <w:rPr>
          <w:rStyle w:val="FootnoteReference"/>
          <w:lang w:val="en-GB"/>
        </w:rPr>
        <w:footnoteRef/>
      </w:r>
      <w:r>
        <w:tab/>
        <w:t>Gemensamma forskningscentrumet: ”</w:t>
      </w:r>
      <w:proofErr w:type="spellStart"/>
      <w:r w:rsidR="005B4F46">
        <w:fldChar w:fldCharType="begin"/>
      </w:r>
      <w:r w:rsidR="005B4F46">
        <w:instrText xml:space="preserve"> HYPERLINK "https://joint-research-centre.ec.europa.eu/jrc-news-and-updates/whos-energy-poor-eu-its-more-complex-it-seems-2024-09-25_en?prefLang=sv" \l ":~:text=in%20the%20EU%3F-,It's%20more%20complex%20than%20it%20seems,</w:instrText>
      </w:r>
      <w:r w:rsidR="005B4F46">
        <w:instrText xml:space="preserve">the%20main%20energy%20poverty%20indicators" </w:instrText>
      </w:r>
      <w:r w:rsidR="005B4F46">
        <w:fldChar w:fldCharType="separate"/>
      </w:r>
      <w:r>
        <w:rPr>
          <w:rStyle w:val="Hyperlink"/>
        </w:rPr>
        <w:t>Who’s</w:t>
      </w:r>
      <w:proofErr w:type="spellEnd"/>
      <w:r>
        <w:rPr>
          <w:rStyle w:val="Hyperlink"/>
        </w:rPr>
        <w:t xml:space="preserve"> </w:t>
      </w:r>
      <w:proofErr w:type="spellStart"/>
      <w:r>
        <w:rPr>
          <w:rStyle w:val="Hyperlink"/>
        </w:rPr>
        <w:t>energy</w:t>
      </w:r>
      <w:proofErr w:type="spellEnd"/>
      <w:r>
        <w:rPr>
          <w:rStyle w:val="Hyperlink"/>
        </w:rPr>
        <w:t xml:space="preserve"> </w:t>
      </w:r>
      <w:proofErr w:type="spellStart"/>
      <w:r>
        <w:rPr>
          <w:rStyle w:val="Hyperlink"/>
        </w:rPr>
        <w:t>poor</w:t>
      </w:r>
      <w:proofErr w:type="spellEnd"/>
      <w:r>
        <w:rPr>
          <w:rStyle w:val="Hyperlink"/>
        </w:rPr>
        <w:t xml:space="preserve"> in the EU?</w:t>
      </w:r>
      <w:r w:rsidR="005B4F46">
        <w:rPr>
          <w:rStyle w:val="Hyperlink"/>
        </w:rPr>
        <w:fldChar w:fldCharType="end"/>
      </w:r>
      <w:hyperlink r:id="rId9" w:anchor=":~:text=in%20the%20EU%3F-,It's%20more%20complex%20than%20it%20seems,the%20main%20energy%20poverty%20indicators" w:history="1">
        <w:r>
          <w:rPr>
            <w:rStyle w:val="Hyperlink"/>
          </w:rPr>
          <w:t xml:space="preserve"> </w:t>
        </w:r>
        <w:r w:rsidRPr="00AE34B7">
          <w:rPr>
            <w:rStyle w:val="Hyperlink"/>
            <w:lang w:val="en-US"/>
          </w:rPr>
          <w:t>It’s more complex than it seems</w:t>
        </w:r>
      </w:hyperlink>
      <w:r w:rsidRPr="00AE34B7">
        <w:rPr>
          <w:lang w:val="en-US"/>
        </w:rPr>
        <w:t>”.</w:t>
      </w:r>
    </w:p>
  </w:footnote>
  <w:footnote w:id="7">
    <w:p w14:paraId="01ADD69A" w14:textId="77777777" w:rsidR="00491249" w:rsidRPr="00AE34B7" w:rsidRDefault="00491249" w:rsidP="00491249">
      <w:pPr>
        <w:pStyle w:val="FootnoteText"/>
        <w:rPr>
          <w:lang w:val="en-US"/>
        </w:rPr>
      </w:pPr>
      <w:r>
        <w:rPr>
          <w:rStyle w:val="FootnoteReference"/>
          <w:lang w:val="en-GB"/>
        </w:rPr>
        <w:footnoteRef/>
      </w:r>
      <w:r w:rsidRPr="00AE34B7">
        <w:rPr>
          <w:lang w:val="en-US"/>
        </w:rPr>
        <w:tab/>
        <w:t>Eurostat: ”</w:t>
      </w:r>
      <w:r w:rsidR="005B4F46">
        <w:fldChar w:fldCharType="begin"/>
      </w:r>
      <w:r w:rsidR="005B4F46" w:rsidRPr="00AE34B7">
        <w:rPr>
          <w:lang w:val="en-US"/>
        </w:rPr>
        <w:instrText xml:space="preserve"> HYPERLINK "https://ec.europa.eu/eurostat/statistics-explained/index.php?title=Children_at_risk_of_poverty_or_social_exclusion" </w:instrText>
      </w:r>
      <w:r w:rsidR="005B4F46">
        <w:fldChar w:fldCharType="separate"/>
      </w:r>
      <w:r w:rsidRPr="00AE34B7">
        <w:rPr>
          <w:rStyle w:val="Hyperlink"/>
          <w:lang w:val="en-US"/>
        </w:rPr>
        <w:t>Children at risk of poverty or social exclusion</w:t>
      </w:r>
      <w:r w:rsidR="005B4F46">
        <w:rPr>
          <w:rStyle w:val="Hyperlink"/>
        </w:rPr>
        <w:fldChar w:fldCharType="end"/>
      </w:r>
      <w:r w:rsidRPr="00AE34B7">
        <w:rPr>
          <w:lang w:val="en-US"/>
        </w:rPr>
        <w:t>”.</w:t>
      </w:r>
    </w:p>
  </w:footnote>
  <w:footnote w:id="8">
    <w:p w14:paraId="050E7970" w14:textId="77777777" w:rsidR="00491249" w:rsidRPr="00B3023A" w:rsidRDefault="00491249" w:rsidP="00491249">
      <w:pPr>
        <w:pStyle w:val="FootnoteText"/>
      </w:pPr>
      <w:r>
        <w:rPr>
          <w:rStyle w:val="FootnoteReference"/>
          <w:lang w:val="en-GB"/>
        </w:rPr>
        <w:footnoteRef/>
      </w:r>
      <w:r>
        <w:tab/>
        <w:t xml:space="preserve">Europeiska kommissionen: </w:t>
      </w:r>
      <w:hyperlink r:id="rId10" w:history="1">
        <w:r>
          <w:rPr>
            <w:rStyle w:val="Hyperlink"/>
          </w:rPr>
          <w:t>Handlingsplan för överkomliga energipriser</w:t>
        </w:r>
      </w:hyperlink>
      <w:r>
        <w:t>.</w:t>
      </w:r>
    </w:p>
  </w:footnote>
  <w:footnote w:id="9">
    <w:p w14:paraId="1755669A" w14:textId="77777777" w:rsidR="00491249" w:rsidRPr="00AE34B7" w:rsidRDefault="00491249" w:rsidP="00491249">
      <w:pPr>
        <w:pStyle w:val="FootnoteText"/>
        <w:rPr>
          <w:lang w:val="de-DE"/>
        </w:rPr>
      </w:pPr>
      <w:r>
        <w:rPr>
          <w:rStyle w:val="FootnoteReference"/>
          <w:lang w:val="en-GB"/>
        </w:rPr>
        <w:footnoteRef/>
      </w:r>
      <w:r w:rsidRPr="00AE34B7">
        <w:rPr>
          <w:lang w:val="de-DE"/>
        </w:rPr>
        <w:tab/>
        <w:t>”</w:t>
      </w:r>
      <w:proofErr w:type="spellStart"/>
      <w:r w:rsidR="005B4F46">
        <w:fldChar w:fldCharType="begin"/>
      </w:r>
      <w:proofErr w:type="spellEnd"/>
      <w:r w:rsidR="005B4F46" w:rsidRPr="00AE34B7">
        <w:rPr>
          <w:lang w:val="de-DE"/>
        </w:rPr>
        <w:instrText xml:space="preserve"> HYPERLINK "https://www.wifo.ac.at/wp-content/uploads/upload-1894/mb_2023_09_04_kollektivvertragsverhandlungen_.pdf" </w:instrText>
      </w:r>
      <w:proofErr w:type="spellStart"/>
      <w:r w:rsidR="005B4F46">
        <w:fldChar w:fldCharType="separate"/>
      </w:r>
      <w:proofErr w:type="spellEnd"/>
      <w:r w:rsidRPr="00AE34B7">
        <w:rPr>
          <w:rStyle w:val="Hyperlink"/>
          <w:lang w:val="de-DE"/>
        </w:rPr>
        <w:t>Kollektivvertragsverhandlungen in Zeiten hoher Inflation</w:t>
      </w:r>
      <w:r w:rsidR="005B4F46">
        <w:rPr>
          <w:rStyle w:val="Hyperlink"/>
        </w:rPr>
        <w:fldChar w:fldCharType="end"/>
      </w:r>
      <w:r w:rsidRPr="00AE34B7">
        <w:rPr>
          <w:lang w:val="de-DE"/>
        </w:rPr>
        <w:t>”.</w:t>
      </w:r>
    </w:p>
  </w:footnote>
  <w:footnote w:id="10">
    <w:p w14:paraId="424DF329" w14:textId="77777777" w:rsidR="00491249" w:rsidRPr="0044249B" w:rsidRDefault="00491249" w:rsidP="00491249">
      <w:pPr>
        <w:pStyle w:val="FootnoteText"/>
      </w:pPr>
      <w:r>
        <w:rPr>
          <w:rStyle w:val="FootnoteReference"/>
          <w:lang w:val="en-GB"/>
        </w:rPr>
        <w:footnoteRef/>
      </w:r>
      <w:r>
        <w:tab/>
        <w:t>”</w:t>
      </w:r>
      <w:proofErr w:type="spellStart"/>
      <w:r>
        <w:t>Statistical</w:t>
      </w:r>
      <w:proofErr w:type="spellEnd"/>
      <w:r>
        <w:t xml:space="preserve"> </w:t>
      </w:r>
      <w:proofErr w:type="spellStart"/>
      <w:r>
        <w:t>update</w:t>
      </w:r>
      <w:proofErr w:type="spellEnd"/>
      <w:r>
        <w:t xml:space="preserve"> on Services </w:t>
      </w:r>
      <w:proofErr w:type="spellStart"/>
      <w:r>
        <w:t>of</w:t>
      </w:r>
      <w:proofErr w:type="spellEnd"/>
      <w:r>
        <w:t xml:space="preserve"> General </w:t>
      </w:r>
      <w:proofErr w:type="spellStart"/>
      <w:r>
        <w:t>Interest</w:t>
      </w:r>
      <w:proofErr w:type="spellEnd"/>
      <w:r>
        <w:t xml:space="preserve"> (SGIs)”, federala planeringsmyndigheten, belgiska regeringen, maj 2024.</w:t>
      </w:r>
    </w:p>
  </w:footnote>
  <w:footnote w:id="11">
    <w:p w14:paraId="43763297" w14:textId="77777777" w:rsidR="00491249" w:rsidRPr="00E46A62" w:rsidRDefault="00491249" w:rsidP="00491249">
      <w:pPr>
        <w:pStyle w:val="FootnoteText"/>
      </w:pPr>
      <w:r>
        <w:rPr>
          <w:rStyle w:val="FootnoteReference"/>
          <w:lang w:val="en-GB"/>
        </w:rPr>
        <w:footnoteRef/>
      </w:r>
      <w:r>
        <w:tab/>
        <w:t xml:space="preserve">Europeiska kommissionen: </w:t>
      </w:r>
      <w:hyperlink r:id="rId11" w:history="1">
        <w:r>
          <w:rPr>
            <w:rStyle w:val="Hyperlink"/>
          </w:rPr>
          <w:t>paketet om tjänster av allmänt ekonomiskt intresse</w:t>
        </w:r>
      </w:hyperlink>
      <w:r>
        <w:t>.</w:t>
      </w:r>
    </w:p>
  </w:footnote>
  <w:footnote w:id="12">
    <w:p w14:paraId="287F9FFA" w14:textId="77777777" w:rsidR="00491249" w:rsidRPr="00E46A62" w:rsidRDefault="00491249" w:rsidP="00491249">
      <w:pPr>
        <w:pStyle w:val="FootnoteText"/>
      </w:pPr>
      <w:r>
        <w:rPr>
          <w:rStyle w:val="FootnoteReference"/>
          <w:lang w:val="en-GB"/>
        </w:rPr>
        <w:footnoteRef/>
      </w:r>
      <w:r>
        <w:tab/>
        <w:t>Europeiska kommissionen: ”</w:t>
      </w:r>
      <w:hyperlink r:id="rId12" w:history="1">
        <w:r>
          <w:rPr>
            <w:rStyle w:val="Hyperlink"/>
          </w:rPr>
          <w:t xml:space="preserve">Transport </w:t>
        </w:r>
        <w:proofErr w:type="spellStart"/>
        <w:r>
          <w:rPr>
            <w:rStyle w:val="Hyperlink"/>
          </w:rPr>
          <w:t>poverty</w:t>
        </w:r>
        <w:proofErr w:type="spellEnd"/>
        <w:r>
          <w:rPr>
            <w:rStyle w:val="Hyperlink"/>
          </w:rPr>
          <w:t xml:space="preserve">: definitions, </w:t>
        </w:r>
        <w:proofErr w:type="spellStart"/>
        <w:r>
          <w:rPr>
            <w:rStyle w:val="Hyperlink"/>
          </w:rPr>
          <w:t>indicators</w:t>
        </w:r>
        <w:proofErr w:type="spellEnd"/>
        <w:r>
          <w:rPr>
            <w:rStyle w:val="Hyperlink"/>
          </w:rPr>
          <w:t xml:space="preserve">, determinants, and </w:t>
        </w:r>
        <w:proofErr w:type="spellStart"/>
        <w:r>
          <w:rPr>
            <w:rStyle w:val="Hyperlink"/>
          </w:rPr>
          <w:t>mitigation</w:t>
        </w:r>
        <w:proofErr w:type="spellEnd"/>
        <w:r>
          <w:rPr>
            <w:rStyle w:val="Hyperlink"/>
          </w:rPr>
          <w:t xml:space="preserve"> </w:t>
        </w:r>
        <w:proofErr w:type="spellStart"/>
        <w:r>
          <w:rPr>
            <w:rStyle w:val="Hyperlink"/>
          </w:rPr>
          <w:t>strategies</w:t>
        </w:r>
        <w:proofErr w:type="spellEnd"/>
      </w:hyperlink>
      <w:r>
        <w:t>”.</w:t>
      </w:r>
    </w:p>
  </w:footnote>
  <w:footnote w:id="13">
    <w:p w14:paraId="4328FA7C" w14:textId="6798AB93" w:rsidR="00491249" w:rsidRPr="00CF1B23" w:rsidRDefault="00491249" w:rsidP="00491249">
      <w:pPr>
        <w:pStyle w:val="FootnoteText"/>
      </w:pPr>
      <w:r>
        <w:rPr>
          <w:rStyle w:val="FootnoteReference"/>
          <w:lang w:val="en-GB"/>
        </w:rPr>
        <w:footnoteRef/>
      </w:r>
      <w:r>
        <w:tab/>
        <w:t>EUT C, C/2024/2100, 26.3.2024, ELI: </w:t>
      </w:r>
      <w:hyperlink r:id="rId13" w:tgtFrame="_blank" w:tooltip="Ger tillgång till detta dokument via dess ELI URI." w:history="1">
        <w:r>
          <w:rPr>
            <w:rStyle w:val="Hyperlink"/>
          </w:rPr>
          <w:t>https://data.europa.eu/eli/C/2024/2100/oj</w:t>
        </w:r>
      </w:hyperlink>
      <w:r>
        <w:t>.</w:t>
      </w:r>
    </w:p>
  </w:footnote>
  <w:footnote w:id="14">
    <w:p w14:paraId="161E3786" w14:textId="468CF8F6" w:rsidR="00491249" w:rsidRPr="00AE34B7" w:rsidRDefault="00491249" w:rsidP="00491249">
      <w:pPr>
        <w:pStyle w:val="FootnoteText"/>
        <w:rPr>
          <w:lang w:val="fr-FR"/>
        </w:rPr>
      </w:pPr>
      <w:r>
        <w:rPr>
          <w:rStyle w:val="FootnoteReference"/>
          <w:lang w:val="en-GB"/>
        </w:rPr>
        <w:footnoteRef/>
      </w:r>
      <w:r w:rsidRPr="00AE34B7">
        <w:rPr>
          <w:lang w:val="fr-FR"/>
        </w:rPr>
        <w:tab/>
        <w:t>EUT C, C/2025/1187, 21.3.2025, ELI: </w:t>
      </w:r>
      <w:hyperlink r:id="rId14" w:tgtFrame="_blank" w:tooltip="Ger tillgång till detta dokument via dess ELI URI." w:history="1">
        <w:r w:rsidRPr="00AE34B7">
          <w:rPr>
            <w:rStyle w:val="Hyperlink"/>
            <w:shd w:val="clear" w:color="auto" w:fill="FFFFFF"/>
            <w:lang w:val="fr-FR"/>
          </w:rPr>
          <w:t>https://data.europa.eu/eli/C/2025/1187/oj</w:t>
        </w:r>
      </w:hyperlink>
      <w:r w:rsidRPr="00AE34B7">
        <w:rPr>
          <w:lang w:val="fr-FR"/>
        </w:rPr>
        <w:t>.</w:t>
      </w:r>
    </w:p>
  </w:footnote>
  <w:footnote w:id="15">
    <w:p w14:paraId="02991F3F" w14:textId="5ED281E1" w:rsidR="009F5A50" w:rsidRPr="00AE34B7" w:rsidRDefault="009F5A50">
      <w:pPr>
        <w:pStyle w:val="FootnoteText"/>
        <w:rPr>
          <w:lang w:val="fr-FR"/>
        </w:rPr>
      </w:pPr>
      <w:r>
        <w:rPr>
          <w:rStyle w:val="FootnoteReference"/>
        </w:rPr>
        <w:footnoteRef/>
      </w:r>
      <w:r w:rsidRPr="00AE34B7">
        <w:rPr>
          <w:lang w:val="fr-FR"/>
        </w:rPr>
        <w:tab/>
      </w:r>
      <w:hyperlink r:id="rId15" w:history="1">
        <w:r w:rsidRPr="00AE34B7">
          <w:rPr>
            <w:rStyle w:val="Hyperlink"/>
            <w:shd w:val="clear" w:color="auto" w:fill="FFFFFF"/>
            <w:lang w:val="fr-FR"/>
          </w:rPr>
          <w:t>EUT C 486, 21.12.2022, s. 88</w:t>
        </w:r>
      </w:hyperlink>
    </w:p>
  </w:footnote>
  <w:footnote w:id="16">
    <w:p w14:paraId="2044C64E" w14:textId="77777777" w:rsidR="00491249" w:rsidRPr="00AE34B7" w:rsidRDefault="00491249" w:rsidP="00491249">
      <w:pPr>
        <w:pStyle w:val="FootnoteText"/>
        <w:rPr>
          <w:lang w:val="fr-FR"/>
        </w:rPr>
      </w:pPr>
      <w:r>
        <w:rPr>
          <w:rStyle w:val="FootnoteReference"/>
          <w:lang w:val="en-GB"/>
        </w:rPr>
        <w:footnoteRef/>
      </w:r>
      <w:r w:rsidRPr="00AE34B7">
        <w:rPr>
          <w:lang w:val="fr-FR"/>
        </w:rPr>
        <w:tab/>
        <w:t>Europeiska kommissionen: ”</w:t>
      </w:r>
      <w:hyperlink r:id="rId16" w:history="1">
        <w:r w:rsidRPr="00AE34B7">
          <w:rPr>
            <w:rStyle w:val="Hyperlink"/>
            <w:lang w:val="fr-FR"/>
          </w:rPr>
          <w:t>Boosting Investment in Social Infrastructure in Europe</w:t>
        </w:r>
      </w:hyperlink>
      <w:r w:rsidRPr="00AE34B7">
        <w:rPr>
          <w:lang w:val="fr-FR"/>
        </w:rPr>
        <w:t>”.</w:t>
      </w:r>
    </w:p>
  </w:footnote>
  <w:footnote w:id="17">
    <w:p w14:paraId="097861C6" w14:textId="02093F11" w:rsidR="00491249" w:rsidRPr="00AE34B7" w:rsidRDefault="00491249" w:rsidP="00491249">
      <w:pPr>
        <w:pStyle w:val="FootnoteText"/>
        <w:rPr>
          <w:lang w:val="fr-FR"/>
        </w:rPr>
      </w:pPr>
      <w:r>
        <w:rPr>
          <w:rStyle w:val="FootnoteReference"/>
          <w:lang w:val="en-GB"/>
        </w:rPr>
        <w:footnoteRef/>
      </w:r>
      <w:r w:rsidRPr="00AE34B7">
        <w:rPr>
          <w:lang w:val="fr-FR"/>
        </w:rPr>
        <w:tab/>
        <w:t>EUT C, C/2025/771, 11.2.2025, ELI: </w:t>
      </w:r>
      <w:hyperlink r:id="rId17" w:tgtFrame="_blank" w:tooltip="Ger tillgång till detta dokument via dess ELI URI." w:history="1">
        <w:r w:rsidRPr="00AE34B7">
          <w:rPr>
            <w:rStyle w:val="Hyperlink"/>
            <w:shd w:val="clear" w:color="auto" w:fill="FFFFFF"/>
            <w:lang w:val="fr-FR"/>
          </w:rPr>
          <w:t>https://data.europa.eu/eli/C/2025/771/oj</w:t>
        </w:r>
      </w:hyperlink>
      <w:r w:rsidRPr="00AE34B7">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7577" w14:textId="77777777" w:rsidR="00574C9B" w:rsidRDefault="005B4F46">
    <w:pPr>
      <w:pStyle w:val="Header"/>
    </w:pPr>
    <w:r>
      <w:pict w14:anchorId="6D692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638594" o:spid="_x0000_s2055" type="#_x0000_t75" style="position:absolute;left:0;text-align:left;margin-left:0;margin-top:0;width:598.15pt;height:843.9pt;z-index:-251655168;mso-position-horizontal:center;mso-position-horizontal-relative:margin;mso-position-vertical:center;mso-position-vertical-relative:margin" o:allowincell="f">
          <v:imagedata r:id="rId1" o:title="background watermark with foo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0E43" w14:textId="090651DD" w:rsidR="00574C9B" w:rsidRDefault="00E21442">
    <w:pPr>
      <w:pStyle w:val="Header"/>
    </w:pPr>
    <w:r>
      <w:rPr>
        <w:noProof/>
      </w:rPr>
      <w:drawing>
        <wp:anchor distT="0" distB="0" distL="114300" distR="114300" simplePos="0" relativeHeight="251665408" behindDoc="0" locked="0" layoutInCell="1" allowOverlap="1" wp14:anchorId="23366308" wp14:editId="11B28789">
          <wp:simplePos x="0" y="0"/>
          <wp:positionH relativeFrom="page">
            <wp:align>center</wp:align>
          </wp:positionH>
          <wp:positionV relativeFrom="page">
            <wp:posOffset>288290</wp:posOffset>
          </wp:positionV>
          <wp:extent cx="6944360" cy="3343275"/>
          <wp:effectExtent l="0" t="0" r="8890" b="9525"/>
          <wp:wrapNone/>
          <wp:docPr id="2" name="Picture 2" title="EESCLogo2021_SV"/>
          <wp:cNvGraphicFramePr/>
          <a:graphic xmlns:a="http://schemas.openxmlformats.org/drawingml/2006/main">
            <a:graphicData uri="http://schemas.openxmlformats.org/drawingml/2006/picture">
              <pic:pic xmlns:pic="http://schemas.openxmlformats.org/drawingml/2006/picture">
                <pic:nvPicPr>
                  <pic:cNvPr id="2" name="Picture 2" title="EESCLogo2021_SV"/>
                  <pic:cNvPicPr/>
                </pic:nvPicPr>
                <pic:blipFill>
                  <a:blip r:embed="rId1">
                    <a:extLst>
                      <a:ext uri="{28A0092B-C50C-407E-A947-70E740481C1C}">
                        <a14:useLocalDpi xmlns:a14="http://schemas.microsoft.com/office/drawing/2010/main" val="0"/>
                      </a:ext>
                    </a:extLst>
                  </a:blip>
                  <a:stretch>
                    <a:fillRect/>
                  </a:stretch>
                </pic:blipFill>
                <pic:spPr>
                  <a:xfrm>
                    <a:off x="0" y="0"/>
                    <a:ext cx="6944360" cy="3343275"/>
                  </a:xfrm>
                  <a:prstGeom prst="rect">
                    <a:avLst/>
                  </a:prstGeom>
                </pic:spPr>
              </pic:pic>
            </a:graphicData>
          </a:graphic>
          <wp14:sizeRelH relativeFrom="margin">
            <wp14:pctWidth>0</wp14:pctWidth>
          </wp14:sizeRelH>
          <wp14:sizeRelV relativeFrom="margin">
            <wp14:pctHeight>0</wp14:pctHeight>
          </wp14:sizeRelV>
        </wp:anchor>
      </w:drawing>
    </w:r>
    <w:r w:rsidR="005B4F46">
      <w:pict w14:anchorId="1C8E68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638595" o:spid="_x0000_s2056" type="#_x0000_t75" style="position:absolute;left:0;text-align:left;margin-left:0;margin-top:0;width:598.15pt;height:843.9pt;z-index:-251654144;mso-position-horizontal:center;mso-position-horizontal-relative:page;mso-position-vertical:center;mso-position-vertical-relative:page" o:allowincell="f">
          <v:imagedata r:id="rId2" o:title="background watermark with footer"/>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54A3" w14:textId="77777777" w:rsidR="00574C9B" w:rsidRDefault="005B4F46">
    <w:pPr>
      <w:pStyle w:val="Header"/>
    </w:pPr>
    <w:r>
      <w:pict w14:anchorId="1E5465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638593" o:spid="_x0000_s2054" type="#_x0000_t75" style="position:absolute;left:0;text-align:left;margin-left:0;margin-top:0;width:598.15pt;height:843.9pt;z-index:-251656192;mso-position-horizontal:center;mso-position-horizontal-relative:margin;mso-position-vertical:center;mso-position-vertical-relative:margin" o:allowincell="f">
          <v:imagedata r:id="rId1" o:title="background watermark with footer"/>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1368" w14:textId="77777777" w:rsidR="00574C9B" w:rsidRDefault="005B4F46">
    <w:pPr>
      <w:pStyle w:val="Header"/>
    </w:pPr>
    <w:r>
      <w:pict w14:anchorId="26C25B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638597" o:spid="_x0000_s2058" type="#_x0000_t75" style="position:absolute;left:0;text-align:left;margin-left:0;margin-top:0;width:598.15pt;height:843.9pt;z-index:-251652096;mso-position-horizontal:center;mso-position-horizontal-relative:margin;mso-position-vertical:center;mso-position-vertical-relative:margin" o:allowincell="f">
          <v:imagedata r:id="rId1" o:title="background watermark with foote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44B32" w14:textId="77777777" w:rsidR="00574C9B" w:rsidRDefault="00574C9B">
    <w:pPr>
      <w:pStyle w:val="Header"/>
    </w:pPr>
    <w:r>
      <w:rPr>
        <w:noProof/>
      </w:rPr>
      <w:drawing>
        <wp:anchor distT="0" distB="0" distL="114300" distR="114300" simplePos="0" relativeHeight="251661824" behindDoc="1" locked="0" layoutInCell="1" allowOverlap="1" wp14:anchorId="0930FA36" wp14:editId="36FB9ED1">
          <wp:simplePos x="0" y="0"/>
          <wp:positionH relativeFrom="page">
            <wp:posOffset>-10571</wp:posOffset>
          </wp:positionH>
          <wp:positionV relativeFrom="page">
            <wp:posOffset>-221993</wp:posOffset>
          </wp:positionV>
          <wp:extent cx="7581265" cy="10898802"/>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1">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E3FD" w14:textId="77777777" w:rsidR="00574C9B" w:rsidRDefault="005B4F46">
    <w:pPr>
      <w:pStyle w:val="Header"/>
    </w:pPr>
    <w:r>
      <w:pict w14:anchorId="6E0890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638596" o:spid="_x0000_s2057" type="#_x0000_t75" style="position:absolute;left:0;text-align:left;margin-left:0;margin-top:0;width:598.15pt;height:843.9pt;z-index:-251653120;mso-position-horizontal:center;mso-position-horizontal-relative:margin;mso-position-vertical:center;mso-position-vertical-relative:margin" o:allowincell="f">
          <v:imagedata r:id="rId1" o:title="background watermark with footer"/>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1727" w14:textId="77777777" w:rsidR="00FA08F8" w:rsidRDefault="005B4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3C6105A7"/>
    <w:multiLevelType w:val="hybridMultilevel"/>
    <w:tmpl w:val="2BAA7A2C"/>
    <w:lvl w:ilvl="0" w:tplc="0409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3DCF63D1"/>
    <w:multiLevelType w:val="hybridMultilevel"/>
    <w:tmpl w:val="05340AD4"/>
    <w:lvl w:ilvl="0" w:tplc="0409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3F0553A8"/>
    <w:multiLevelType w:val="multilevel"/>
    <w:tmpl w:val="8FDA3B10"/>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82B4413"/>
    <w:multiLevelType w:val="hybridMultilevel"/>
    <w:tmpl w:val="A378C6E6"/>
    <w:lvl w:ilvl="0" w:tplc="7504BAA4">
      <w:start w:val="1"/>
      <w:numFmt w:val="bullet"/>
      <w:lvlText w:val=""/>
      <w:lvlJc w:val="left"/>
      <w:pPr>
        <w:ind w:left="720" w:hanging="360"/>
      </w:pPr>
      <w:rPr>
        <w:rFonts w:ascii="Symbol" w:eastAsia="Symbol" w:hAnsi="Symbol" w:cs="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C2A3347"/>
    <w:multiLevelType w:val="multilevel"/>
    <w:tmpl w:val="0E6493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20389"/>
    <w:rsid w:val="00053D00"/>
    <w:rsid w:val="000720FE"/>
    <w:rsid w:val="00076EF1"/>
    <w:rsid w:val="0008223F"/>
    <w:rsid w:val="00082BAF"/>
    <w:rsid w:val="000A0F3B"/>
    <w:rsid w:val="000C54F5"/>
    <w:rsid w:val="00102B2D"/>
    <w:rsid w:val="001448C6"/>
    <w:rsid w:val="0019231D"/>
    <w:rsid w:val="001D61AC"/>
    <w:rsid w:val="001E15AA"/>
    <w:rsid w:val="001E3FA1"/>
    <w:rsid w:val="00200E87"/>
    <w:rsid w:val="00202F2B"/>
    <w:rsid w:val="00214515"/>
    <w:rsid w:val="00214BDC"/>
    <w:rsid w:val="00215E81"/>
    <w:rsid w:val="0024727F"/>
    <w:rsid w:val="00255209"/>
    <w:rsid w:val="00264F03"/>
    <w:rsid w:val="002672B6"/>
    <w:rsid w:val="00284108"/>
    <w:rsid w:val="002B5DCD"/>
    <w:rsid w:val="002B6A7B"/>
    <w:rsid w:val="002C64AC"/>
    <w:rsid w:val="002C7AFD"/>
    <w:rsid w:val="002F377A"/>
    <w:rsid w:val="0031056E"/>
    <w:rsid w:val="003167A9"/>
    <w:rsid w:val="003353D7"/>
    <w:rsid w:val="003463A6"/>
    <w:rsid w:val="003659F9"/>
    <w:rsid w:val="00376E36"/>
    <w:rsid w:val="003943E5"/>
    <w:rsid w:val="003C7A13"/>
    <w:rsid w:val="003D3E51"/>
    <w:rsid w:val="00402AF7"/>
    <w:rsid w:val="0044249B"/>
    <w:rsid w:val="00491249"/>
    <w:rsid w:val="004931B0"/>
    <w:rsid w:val="005004E7"/>
    <w:rsid w:val="00574C9B"/>
    <w:rsid w:val="0058411F"/>
    <w:rsid w:val="005A5F26"/>
    <w:rsid w:val="005B4F46"/>
    <w:rsid w:val="005B6467"/>
    <w:rsid w:val="006125A1"/>
    <w:rsid w:val="00634E76"/>
    <w:rsid w:val="00642AAB"/>
    <w:rsid w:val="00650E7F"/>
    <w:rsid w:val="00653E7D"/>
    <w:rsid w:val="00660C0A"/>
    <w:rsid w:val="00662207"/>
    <w:rsid w:val="00667F09"/>
    <w:rsid w:val="006B57A6"/>
    <w:rsid w:val="006C4F50"/>
    <w:rsid w:val="006D1B0C"/>
    <w:rsid w:val="006D53A6"/>
    <w:rsid w:val="00701577"/>
    <w:rsid w:val="0070760F"/>
    <w:rsid w:val="007553F0"/>
    <w:rsid w:val="007727D0"/>
    <w:rsid w:val="007826C1"/>
    <w:rsid w:val="0078392A"/>
    <w:rsid w:val="00787837"/>
    <w:rsid w:val="00787ABB"/>
    <w:rsid w:val="007B6C64"/>
    <w:rsid w:val="007E46CF"/>
    <w:rsid w:val="008141A0"/>
    <w:rsid w:val="00822952"/>
    <w:rsid w:val="00823A7B"/>
    <w:rsid w:val="008241CF"/>
    <w:rsid w:val="00836505"/>
    <w:rsid w:val="008405BD"/>
    <w:rsid w:val="00844B87"/>
    <w:rsid w:val="00853EEB"/>
    <w:rsid w:val="0089251B"/>
    <w:rsid w:val="008A6DD4"/>
    <w:rsid w:val="008F74D7"/>
    <w:rsid w:val="00904C42"/>
    <w:rsid w:val="00924C05"/>
    <w:rsid w:val="00937CF2"/>
    <w:rsid w:val="00976645"/>
    <w:rsid w:val="00976F77"/>
    <w:rsid w:val="0098228C"/>
    <w:rsid w:val="009C2D64"/>
    <w:rsid w:val="009D0052"/>
    <w:rsid w:val="009D1DF4"/>
    <w:rsid w:val="009E2100"/>
    <w:rsid w:val="009F5A50"/>
    <w:rsid w:val="00A04328"/>
    <w:rsid w:val="00A27676"/>
    <w:rsid w:val="00A36AB0"/>
    <w:rsid w:val="00A62761"/>
    <w:rsid w:val="00AA3722"/>
    <w:rsid w:val="00AB37A3"/>
    <w:rsid w:val="00AC5114"/>
    <w:rsid w:val="00AE1EE5"/>
    <w:rsid w:val="00AE34B7"/>
    <w:rsid w:val="00B024E1"/>
    <w:rsid w:val="00B25683"/>
    <w:rsid w:val="00B51901"/>
    <w:rsid w:val="00B86415"/>
    <w:rsid w:val="00BD50F6"/>
    <w:rsid w:val="00BE1BA6"/>
    <w:rsid w:val="00C073E1"/>
    <w:rsid w:val="00C25647"/>
    <w:rsid w:val="00C66AEA"/>
    <w:rsid w:val="00C71DDC"/>
    <w:rsid w:val="00C7534C"/>
    <w:rsid w:val="00C9040A"/>
    <w:rsid w:val="00C91E4D"/>
    <w:rsid w:val="00CA24BC"/>
    <w:rsid w:val="00CB110A"/>
    <w:rsid w:val="00CB7CD0"/>
    <w:rsid w:val="00CF1B23"/>
    <w:rsid w:val="00D039AF"/>
    <w:rsid w:val="00D34C76"/>
    <w:rsid w:val="00D724CC"/>
    <w:rsid w:val="00D86DCC"/>
    <w:rsid w:val="00D95232"/>
    <w:rsid w:val="00DA24A9"/>
    <w:rsid w:val="00DB7F50"/>
    <w:rsid w:val="00DE30C7"/>
    <w:rsid w:val="00DF400F"/>
    <w:rsid w:val="00E15BF4"/>
    <w:rsid w:val="00E21442"/>
    <w:rsid w:val="00E2376B"/>
    <w:rsid w:val="00E25602"/>
    <w:rsid w:val="00E26935"/>
    <w:rsid w:val="00E27707"/>
    <w:rsid w:val="00E52B04"/>
    <w:rsid w:val="00E60FCB"/>
    <w:rsid w:val="00E661B7"/>
    <w:rsid w:val="00ED3061"/>
    <w:rsid w:val="00EF74D6"/>
    <w:rsid w:val="00F2069F"/>
    <w:rsid w:val="00F50BA9"/>
    <w:rsid w:val="00F53370"/>
    <w:rsid w:val="00F5778F"/>
    <w:rsid w:val="00F734B2"/>
    <w:rsid w:val="00F90BE2"/>
    <w:rsid w:val="00FC0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0747DE1F"/>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basedOn w:val="Normal"/>
    <w:link w:val="FootnoteTextChar"/>
    <w:uiPriority w:val="99"/>
    <w:qFormat/>
    <w:rsid w:val="00F53370"/>
    <w:pPr>
      <w:keepLines/>
      <w:spacing w:after="60" w:line="240" w:lineRule="auto"/>
      <w:ind w:left="567" w:hanging="567"/>
    </w:pPr>
    <w:rPr>
      <w:sz w:val="16"/>
    </w:rPr>
  </w:style>
  <w:style w:type="character" w:customStyle="1" w:styleId="FootnoteTextChar">
    <w:name w:val="Footnote Text Char"/>
    <w:basedOn w:val="DefaultParagraphFont"/>
    <w:link w:val="FootnoteText"/>
    <w:uiPriority w:val="99"/>
    <w:qForma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semiHidden/>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semiHidden/>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table" w:customStyle="1" w:styleId="TableGrid1">
    <w:name w:val="Table Grid1"/>
    <w:basedOn w:val="TableNormal"/>
    <w:next w:val="TableGrid"/>
    <w:rsid w:val="00F50BA9"/>
    <w:pPr>
      <w:spacing w:after="0" w:line="288" w:lineRule="auto"/>
      <w:jc w:val="both"/>
    </w:pPr>
    <w:rPr>
      <w:rFonts w:ascii="Times New Roman" w:eastAsia="Times New Roman" w:hAnsi="Times New Roman" w:cs="Times New Roman"/>
      <w:sz w:val="20"/>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BA9"/>
    <w:pPr>
      <w:ind w:left="720"/>
      <w:contextualSpacing/>
    </w:pPr>
  </w:style>
  <w:style w:type="character" w:styleId="FollowedHyperlink">
    <w:name w:val="FollowedHyperlink"/>
    <w:basedOn w:val="DefaultParagraphFont"/>
    <w:uiPriority w:val="99"/>
    <w:semiHidden/>
    <w:unhideWhenUsed/>
    <w:rsid w:val="006D1B0C"/>
    <w:rPr>
      <w:color w:val="954F72" w:themeColor="followedHyperlink"/>
      <w:u w:val="single"/>
    </w:rPr>
  </w:style>
  <w:style w:type="character" w:customStyle="1" w:styleId="UnresolvedMention1">
    <w:name w:val="Unresolved Mention1"/>
    <w:basedOn w:val="DefaultParagraphFont"/>
    <w:uiPriority w:val="99"/>
    <w:semiHidden/>
    <w:unhideWhenUsed/>
    <w:rsid w:val="00491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customXml" Target="../customXml/item2.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eader" Target="header6.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endnotes" Target="endnotes.xml"/><Relationship Id="rId19" Type="http://schemas.openxmlformats.org/officeDocument/2006/relationships/footer" Target="footer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eesc.europa.eu/sv/our-work/opinions-information-reports/opinions/recommendations-organised-civil-society-address-cost-living-crisis" TargetMode="External"/><Relationship Id="rId13" Type="http://schemas.openxmlformats.org/officeDocument/2006/relationships/hyperlink" Target="http://data.europa.eu/eli/C/2024/2100/oj?locale=sv" TargetMode="External"/><Relationship Id="rId3" Type="http://schemas.openxmlformats.org/officeDocument/2006/relationships/hyperlink" Target="https://www.eesc.europa.eu/sv/our-work/opinions-information-reports/opinions/how-single-market-dysfunctionalities-contribute-rising-cost-living" TargetMode="External"/><Relationship Id="rId7" Type="http://schemas.openxmlformats.org/officeDocument/2006/relationships/hyperlink" Target="https://www.eesc.europa.eu/sv/our-work/opinions-information-reports/opinions/price-hikes-transport-energy-and-housing-role-quality-public-services-tackling-high-cost-living" TargetMode="External"/><Relationship Id="rId12" Type="http://schemas.openxmlformats.org/officeDocument/2006/relationships/hyperlink" Target="https://employment-social-affairs.ec.europa.eu/transport-poverty-definitions-indicators-determinants-and-mitigation-strategies-final-report_en?prefLang=sv" TargetMode="External"/><Relationship Id="rId17" Type="http://schemas.openxmlformats.org/officeDocument/2006/relationships/hyperlink" Target="http://data.europa.eu/eli/C/2025/771/oj?locale=sv" TargetMode="External"/><Relationship Id="rId2" Type="http://schemas.openxmlformats.org/officeDocument/2006/relationships/hyperlink" Target="https://www.eesc.europa.eu/sv/our-work/opinions-information-reports/opinions/leaving-crises-behind-measures-resilient-cohesive-and-inclusive-european-economy" TargetMode="External"/><Relationship Id="rId16" Type="http://schemas.openxmlformats.org/officeDocument/2006/relationships/hyperlink" Target="https://economy-finance.ec.europa.eu/publications/boosting-investment-social-infrastructure-europe_en" TargetMode="External"/><Relationship Id="rId1" Type="http://schemas.openxmlformats.org/officeDocument/2006/relationships/hyperlink" Target="https://www.eesc.europa.eu/sv/our-work/opinions-information-reports/opinions/reindustrialisation-europe-opportunity-businesses-employees-and-citizens-context-cost-living-crisis" TargetMode="External"/><Relationship Id="rId6" Type="http://schemas.openxmlformats.org/officeDocument/2006/relationships/hyperlink" Target="https://www.eesc.europa.eu/sv/our-work/opinions-information-reports/opinions/how-address-loss-purchasing-power-and-risk-rising-inequalities-exclusion-and-marginalization" TargetMode="External"/><Relationship Id="rId11" Type="http://schemas.openxmlformats.org/officeDocument/2006/relationships/hyperlink" Target="https://competition-policy.ec.europa.eu/state-aid/legislation/sgei_sv" TargetMode="External"/><Relationship Id="rId5" Type="http://schemas.openxmlformats.org/officeDocument/2006/relationships/hyperlink" Target="https://www.eesc.europa.eu/sv/our-work/opinions-information-reports/opinions/fragmentation-supply-chains-and-impact-cost-living" TargetMode="External"/><Relationship Id="rId15" Type="http://schemas.openxmlformats.org/officeDocument/2006/relationships/hyperlink" Target="https://eur-lex.europa.eu/legal-content/SV/TXT/?uri=OJ:JOC_2022_486_R_0013" TargetMode="External"/><Relationship Id="rId10" Type="http://schemas.openxmlformats.org/officeDocument/2006/relationships/hyperlink" Target="https://eur-lex.europa.eu/legal-content/SV/TXT/?uri=CELEX%3A52025DC0079&amp;qid=1741773857602" TargetMode="External"/><Relationship Id="rId4" Type="http://schemas.openxmlformats.org/officeDocument/2006/relationships/hyperlink" Target="https://www.eesc.europa.eu/sv/our-work/opinions-information-reports/opinions/phasing-out-fossil-fuel-subsidies-while-ensuring-european-competitiveness-mitigating-cost-living-crisis-and-promoting" TargetMode="External"/><Relationship Id="rId9" Type="http://schemas.openxmlformats.org/officeDocument/2006/relationships/hyperlink" Target="https://joint-research-centre.ec.europa.eu/jrc-news-and-updates/whos-energy-poor-eu-its-more-complex-it-seems-2024-09-25_en?prefLang=sv" TargetMode="External"/><Relationship Id="rId14" Type="http://schemas.openxmlformats.org/officeDocument/2006/relationships/hyperlink" Target="http://data.europa.eu/eli/C/2025/1187/oj?locale=s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F7M6YNZUATRX-1659962339-7001</_dlc_DocId>
    <_dlc_DocIdUrl xmlns="59ace41b-6786-4ce3-be71-52c27066c6ef">
      <Url>http://dm/eesc/2024/_layouts/15/DocIdRedir.aspx?ID=F7M6YNZUATRX-1659962339-7001</Url>
      <Description>F7M6YNZUATRX-1659962339-7001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59ace41b-6786-4ce3-be71-52c27066c6e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2025-05-05T12:00:00+00:00</ProductionDate>
    <DocumentNumber xmlns="91e51ac0-4aa1-4d5e-9a67-017d481be00b">4532</DocumentNumber>
    <FicheYear xmlns="59ace41b-6786-4ce3-be71-52c27066c6ef" xsi:nil="true"/>
    <DossierNumber xmlns="59ace41b-6786-4ce3-be71-52c27066c6ef">846</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59ace41b-6786-4ce3-be71-52c27066c6ef" xsi:nil="true"/>
    <TaxCatchAll xmlns="59ace41b-6786-4ce3-be71-52c27066c6ef">
      <Value>76</Value>
      <Value>72</Value>
      <Value>43</Value>
      <Value>37</Value>
      <Value>36</Value>
      <Value>35</Value>
      <Value>34</Value>
      <Value>33</Value>
      <Value>32</Value>
      <Value>31</Value>
      <Value>30</Value>
      <Value>29</Value>
      <Value>28</Value>
      <Value>27</Value>
      <Value>26</Value>
      <Value>25</Value>
      <Value>24</Value>
      <Value>23</Value>
      <Value>22</Value>
      <Value>21</Value>
      <Value>18</Value>
      <Value>17</Value>
      <Value>16</Value>
      <Value>14</Value>
      <Value>12</Value>
      <Value>8</Value>
      <Value>6</Value>
      <Value>5</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SV</TermName>
          <TermId xmlns="http://schemas.microsoft.com/office/infopath/2007/PartnerControls">c2ed69e7-a339-43d7-8f22-d93680a92aa0</TermId>
        </TermInfo>
      </Terms>
    </DocumentLanguage_0>
    <Rapporteur xmlns="59ace41b-6786-4ce3-be71-52c27066c6ef">KATTNIG</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4663</FicheNumber>
    <OriginalSender xmlns="59ace41b-6786-4ce3-be71-52c27066c6ef">
      <UserInfo>
        <DisplayName>Eklund Lisa</DisplayName>
        <AccountId>1512</AccountId>
        <AccountType/>
      </UserInfo>
    </OriginalSender>
    <DocumentPart xmlns="59ace41b-6786-4ce3-be71-52c27066c6ef">0</DocumentPart>
    <AdoptionDate xmlns="59ace41b-6786-4ce3-be71-52c27066c6ef">2025-04-30T12:00:00+00:00</AdoptionDate>
    <RequestingService xmlns="59ace41b-6786-4ce3-be71-52c27066c6ef">Transports, énergie, infrastructures et société de l'information</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91e51ac0-4aa1-4d5e-9a67-017d481be00b"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TEN</TermName>
          <TermId xmlns="http://schemas.microsoft.com/office/infopath/2007/PartnerControls">5e12260d-3aca-41f8-baf2-ad3d18475f10</TermId>
        </TermInfo>
      </Terms>
    </DossierName_0>
    <DocumentVersion xmlns="59ace41b-6786-4ce3-be71-52c27066c6ef">1</DocumentVer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34DD74551733C243A24AB255EE6A94DB" ma:contentTypeVersion="4" ma:contentTypeDescription="Defines the documents for Document Manager V2" ma:contentTypeScope="" ma:versionID="6dc1781ba7fab92d7d66b168e0cae93f">
  <xsd:schema xmlns:xsd="http://www.w3.org/2001/XMLSchema" xmlns:xs="http://www.w3.org/2001/XMLSchema" xmlns:p="http://schemas.microsoft.com/office/2006/metadata/properties" xmlns:ns2="59ace41b-6786-4ce3-be71-52c27066c6ef" xmlns:ns3="http://schemas.microsoft.com/sharepoint/v3/fields" xmlns:ns4="91e51ac0-4aa1-4d5e-9a67-017d481be00b" targetNamespace="http://schemas.microsoft.com/office/2006/metadata/properties" ma:root="true" ma:fieldsID="f33a43edcf383b76f4f66ff8ebd76d7b" ns2:_="" ns3:_="" ns4:_="">
    <xsd:import namespace="59ace41b-6786-4ce3-be71-52c27066c6ef"/>
    <xsd:import namespace="http://schemas.microsoft.com/sharepoint/v3/fields"/>
    <xsd:import namespace="91e51ac0-4aa1-4d5e-9a67-017d481be00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e51ac0-4aa1-4d5e-9a67-017d481be00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377183-CBAA-4788-A4D7-7808A0A3F88D}"/>
</file>

<file path=customXml/itemProps2.xml><?xml version="1.0" encoding="utf-8"?>
<ds:datastoreItem xmlns:ds="http://schemas.openxmlformats.org/officeDocument/2006/customXml" ds:itemID="{74EC5786-E4B7-41E8-964F-AD768538B5CD}"/>
</file>

<file path=customXml/itemProps3.xml><?xml version="1.0" encoding="utf-8"?>
<ds:datastoreItem xmlns:ds="http://schemas.openxmlformats.org/officeDocument/2006/customXml" ds:itemID="{7CCB2A21-7363-4AC4-A76C-BF15A608DAFD}"/>
</file>

<file path=customXml/itemProps4.xml><?xml version="1.0" encoding="utf-8"?>
<ds:datastoreItem xmlns:ds="http://schemas.openxmlformats.org/officeDocument/2006/customXml" ds:itemID="{2D44E928-081A-4ACB-9944-09C3D0CE20CC}"/>
</file>

<file path=docProps/app.xml><?xml version="1.0" encoding="utf-8"?>
<Properties xmlns="http://schemas.openxmlformats.org/officeDocument/2006/extended-properties" xmlns:vt="http://schemas.openxmlformats.org/officeDocument/2006/docPropsVTypes">
  <Template>Normal.dotm</Template>
  <TotalTime>0</TotalTime>
  <Pages>11</Pages>
  <Words>3938</Words>
  <Characters>22448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Posting of drivers in the European transport sector - challenges and opportunities</vt:lpstr>
    </vt:vector>
  </TitlesOfParts>
  <Company>CESE-CdR</Company>
  <LinksUpToDate>false</LinksUpToDate>
  <CharactersWithSpaces>26334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Höjda priser på transporter, energi och boende: vilken roll kan offentliga tjänster av hög kvalitet spela för att komma till rätta med de höga levnadskostnaderna?</dc:title>
  <dc:subject>AC</dc:subject>
  <dc:creator>Francois Aude</dc:creator>
  <cp:keywords>EESC-2024-04532-00-01-AC-TRA-EN</cp:keywords>
  <dc:description>Rapporteur: KATTNIG - Original language: EN - Date of document: 05/05/2025 - Date of meeting:  - External documents:  - Administrator: Mme JANICAUDNÉ BAZSIK Agota</dc:description>
  <cp:lastModifiedBy>Eklund Lisa</cp:lastModifiedBy>
  <cp:revision>9</cp:revision>
  <dcterms:created xsi:type="dcterms:W3CDTF">2025-05-02T11:48:00Z</dcterms:created>
  <dcterms:modified xsi:type="dcterms:W3CDTF">2025-05-05T15:09:00Z</dcterms:modified>
  <cp:category>TEN/846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02/05/2025, 30/04/2025, 14/12/2023, 17/05/2022</vt:lpwstr>
  </property>
  <property fmtid="{D5CDD505-2E9C-101B-9397-08002B2CF9AE}" pid="4" name="Pref_Time">
    <vt:lpwstr>13:42:29, 17:13:45, 09:17:22, 14:58:36</vt:lpwstr>
  </property>
  <property fmtid="{D5CDD505-2E9C-101B-9397-08002B2CF9AE}" pid="5" name="Pref_User">
    <vt:lpwstr>pacup, pacup, enied, enied</vt:lpwstr>
  </property>
  <property fmtid="{D5CDD505-2E9C-101B-9397-08002B2CF9AE}" pid="6" name="Pref_FileName">
    <vt:lpwstr>EESC-2024-04532-00-01-AC-ORI.docx, EESC-2024-04532-00-00-AC-TRA-EN-CRR.docx, EESC-2023-03702-00-00-AC-TRA-EN-CRR.docx, COR-EESC-2022-02592-00-00-ADMIN-ORI.docx</vt:lpwstr>
  </property>
  <property fmtid="{D5CDD505-2E9C-101B-9397-08002B2CF9AE}" pid="7" name="ContentTypeId">
    <vt:lpwstr>0x010100EA97B91038054C99906057A708A1480A0034DD74551733C243A24AB255EE6A94DB</vt:lpwstr>
  </property>
  <property fmtid="{D5CDD505-2E9C-101B-9397-08002B2CF9AE}" pid="8" name="_dlc_DocIdItemGuid">
    <vt:lpwstr>d61ea8f0-4bca-4e34-8a2e-b7e1271be3fe</vt:lpwstr>
  </property>
  <property fmtid="{D5CDD505-2E9C-101B-9397-08002B2CF9AE}" pid="9" name="AvailableTranslations">
    <vt:lpwstr>5;#EN|f2175f21-25d7-44a3-96da-d6a61b075e1b;#32;#HU|6b229040-c589-4408-b4c1-4285663d20a8;#27;#SL|98a412ae-eb01-49e9-ae3d-585a81724cfc;#17;#PL|1e03da61-4678-4e07-b136-b5024ca9197b;#28;#LV|46f7e311-5d9f-4663-b433-18aeccb7ace7;#22;#BG|1a1b3951-7821-4e6a-85f5-5673fc08bd2c;#29;#EL|6d4f4d51-af9b-4650-94b4-4276bee85c91;#16;#DA|5d49c027-8956-412b-aa16-e85a0f96ad0e;#36;#PT|50ccc04a-eadd-42ae-a0cb-acaf45f812ba;#34;#LT|a7ff5ce7-6123-4f68-865a-a57c31810414;#25;#DE|f6b31e5a-26fa-4935-b661-318e46daf27e;#12;#IT|0774613c-01ed-4e5d-a25d-11d2388de825;#24;#ES|e7a6b05b-ae16-40c8-add9-68b64b03aeba;#21;#SV|c2ed69e7-a339-43d7-8f22-d93680a92aa0;#43;#CS|72f9705b-0217-4fd3-bea2-cbc7ed80e26e;#30;#HR|2f555653-ed1a-4fe6-8362-9082d95989e5;#26;#SK|46d9fce0-ef79-4f71-b89b-cd6aa82426b8;#31;#NL|55c6556c-b4f4-441d-9acf-c498d4f838bd;#18;#GA|762d2456-c427-4ecb-b312-af3dad8e258c;#33;#ET|ff6c3f4c-b02c-4c3c-ab07-2c37995a7a0a;#37;#RO|feb747a2-64cd-4299-af12-4833ddc30497;#35;#FI|87606a43-d45f-42d6-b8c9-e1a3457db5b7;#23;#MT|7df99101-6854-4a26-b53a-b88c0da02c26;#14;#FR|d2afafd3-4c81-4f60-8f52-ee33f2f54ff3</vt:lpwstr>
  </property>
  <property fmtid="{D5CDD505-2E9C-101B-9397-08002B2CF9AE}" pid="10" name="DocumentType_0">
    <vt:lpwstr>AC|a4cc1d15-fb08-4679-ad46-e4e0cba5fe92</vt:lpwstr>
  </property>
  <property fmtid="{D5CDD505-2E9C-101B-9397-08002B2CF9AE}" pid="11" name="DossierName_0">
    <vt:lpwstr>TEN|5e12260d-3aca-41f8-baf2-ad3d18475f10</vt:lpwstr>
  </property>
  <property fmtid="{D5CDD505-2E9C-101B-9397-08002B2CF9AE}" pid="12" name="DocumentSource_0">
    <vt:lpwstr>EESC|422833ec-8d7e-4e65-8e4e-8bed07ffb729</vt:lpwstr>
  </property>
  <property fmtid="{D5CDD505-2E9C-101B-9397-08002B2CF9AE}" pid="13" name="DocumentNumber">
    <vt:i4>4532</vt:i4>
  </property>
  <property fmtid="{D5CDD505-2E9C-101B-9397-08002B2CF9AE}" pid="14" name="DocumentVersion">
    <vt:i4>1</vt:i4>
  </property>
  <property fmtid="{D5CDD505-2E9C-101B-9397-08002B2CF9AE}" pid="15" name="DossierNumber">
    <vt:i4>846</vt:i4>
  </property>
  <property fmtid="{D5CDD505-2E9C-101B-9397-08002B2CF9AE}" pid="16" name="DocumentStatus">
    <vt:lpwstr>3;#TRA|150d2a88-1431-44e6-a8ca-0bb753ab8672</vt:lpwstr>
  </property>
  <property fmtid="{D5CDD505-2E9C-101B-9397-08002B2CF9AE}" pid="17" name="DossierName">
    <vt:lpwstr>76;#TEN|5e12260d-3aca-41f8-baf2-ad3d18475f10</vt:lpwstr>
  </property>
  <property fmtid="{D5CDD505-2E9C-101B-9397-08002B2CF9AE}" pid="18" name="RequestingService">
    <vt:lpwstr>Transports, énergie, infrastructures et société de l'information</vt:lpwstr>
  </property>
  <property fmtid="{D5CDD505-2E9C-101B-9397-08002B2CF9AE}" pid="19" name="Confidentiality">
    <vt:lpwstr>6;#Unrestricted|826e22d7-d029-4ec0-a450-0c28ff673572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EN|f2175f21-25d7-44a3-96da-d6a61b075e1b;HU|6b229040-c589-4408-b4c1-4285663d20a8;SL|98a412ae-eb01-49e9-ae3d-585a81724cfc;PL|1e03da61-4678-4e07-b136-b5024ca9197b;LV|46f7e311-5d9f-4663-b433-18aeccb7ace7;BG|1a1b3951-7821-4e6a-85f5-5673fc08bd2c;EL|6d4f4d51-af9b-4650-94b4-4276bee85c91;DA|5d49c027-8956-412b-aa16-e85a0f96ad0e;PT|50ccc04a-eadd-42ae-a0cb-acaf45f812ba;LT|a7ff5ce7-6123-4f68-865a-a57c31810414;DE|f6b31e5a-26fa-4935-b661-318e46daf27e;IT|0774613c-01ed-4e5d-a25d-11d2388de825;ES|e7a6b05b-ae16-40c8-add9-68b64b03aeba;HR|2f555653-ed1a-4fe6-8362-9082d95989e5;SK|46d9fce0-ef79-4f71-b89b-cd6aa82426b8;NL|55c6556c-b4f4-441d-9acf-c498d4f838bd;GA|762d2456-c427-4ecb-b312-af3dad8e258c;ET|ff6c3f4c-b02c-4c3c-ab07-2c37995a7a0a;RO|feb747a2-64cd-4299-af12-4833ddc30497;FI|87606a43-d45f-42d6-b8c9-e1a3457db5b7;MT|7df99101-6854-4a26-b53a-b88c0da02c26;FR|d2afafd3-4c81-4f60-8f52-ee33f2f54ff3</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76;#TEN|5e12260d-3aca-41f8-baf2-ad3d18475f10;#72;#AC|a4cc1d15-fb08-4679-ad46-e4e0cba5fe92;#37;#RO|feb747a2-64cd-4299-af12-4833ddc30497;#36;#PT|50ccc04a-eadd-42ae-a0cb-acaf45f812ba;#35;#FI|87606a43-d45f-42d6-b8c9-e1a3457db5b7;#34;#LT|a7ff5ce7-6123-4f68-865a-a57c31810414;#33;#ET|ff6c3f4c-b02c-4c3c-ab07-2c37995a7a0a;#32;#HU|6b229040-c589-4408-b4c1-4285663d20a8;#31;#NL|55c6556c-b4f4-441d-9acf-c498d4f838bd;#30;#HR|2f555653-ed1a-4fe6-8362-9082d95989e5;#29;#EL|6d4f4d51-af9b-4650-94b4-4276bee85c91;#28;#LV|46f7e311-5d9f-4663-b433-18aeccb7ace7;#27;#SL|98a412ae-eb01-49e9-ae3d-585a81724cfc;#26;#SK|46d9fce0-ef79-4f71-b89b-cd6aa82426b8;#25;#DE|f6b31e5a-26fa-4935-b661-318e46daf27e;#24;#ES|e7a6b05b-ae16-40c8-add9-68b64b03aeba;#23;#MT|7df99101-6854-4a26-b53a-b88c0da02c26;#22;#BG|1a1b3951-7821-4e6a-85f5-5673fc08bd2c;#18;#GA|762d2456-c427-4ecb-b312-af3dad8e258c;#17;#PL|1e03da61-4678-4e07-b136-b5024ca9197b;#16;#DA|5d49c027-8956-412b-aa16-e85a0f96ad0e;#14;#FR|d2afafd3-4c81-4f60-8f52-ee33f2f54ff3;#12;#IT|0774613c-01ed-4e5d-a25d-11d2388de825;#8;#Final|ea5e6674-7b27-4bac-b091-73adbb394efe;#6;#Unrestricted|826e22d7-d029-4ec0-a450-0c28ff673572;#5;#EN|f2175f21-25d7-44a3-96da-d6a61b075e1b;#3;#TRA|150d2a88-1431-44e6-a8ca-0bb753ab8672;#1;#EESC|422833ec-8d7e-4e65-8e4e-8bed07ffb729</vt:lpwstr>
  </property>
  <property fmtid="{D5CDD505-2E9C-101B-9397-08002B2CF9AE}" pid="29" name="Rapporteur">
    <vt:lpwstr>KATTNIG</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2024</vt:i4>
  </property>
  <property fmtid="{D5CDD505-2E9C-101B-9397-08002B2CF9AE}" pid="33" name="FicheNumber">
    <vt:i4>4663</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2025-04-30T12:00:00Z</vt:filetime>
  </property>
  <property fmtid="{D5CDD505-2E9C-101B-9397-08002B2CF9AE}" pid="37" name="DocumentType">
    <vt:lpwstr>72;#AC|a4cc1d15-fb08-4679-ad46-e4e0cba5fe92</vt:lpwstr>
  </property>
  <property fmtid="{D5CDD505-2E9C-101B-9397-08002B2CF9AE}" pid="38" name="DocumentLanguage">
    <vt:lpwstr>21;#SV|c2ed69e7-a339-43d7-8f22-d93680a92aa0</vt:lpwstr>
  </property>
</Properties>
</file>