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73"/>
      </w:tblGrid>
      <w:tr w:rsidRPr="002B4F9E" w:rsidR="00574C9B" w:rsidTr="008E4CC5" w14:paraId="4B18B74B" w14:textId="77777777">
        <w:trPr>
          <w:jc w:val="center"/>
        </w:trPr>
        <w:tc>
          <w:tcPr>
            <w:tcW w:w="5000" w:type="pct"/>
            <w:vAlign w:val="center"/>
          </w:tcPr>
          <w:p w:rsidRPr="002B4F9E" w:rsidR="00574C9B" w:rsidP="006125A1" w:rsidRDefault="00574C9B" w14:paraId="4B8F14AB" w14:textId="77777777">
            <w:pPr>
              <w:jc w:val="center"/>
              <w:rPr>
                <w:b/>
                <w:sz w:val="72"/>
                <w:szCs w:val="72"/>
              </w:rPr>
            </w:pPr>
            <w:r>
              <w:rPr>
                <w:b/>
                <w:sz w:val="72"/>
              </w:rPr>
              <w:t>NUOMONĖ</w:t>
            </w:r>
          </w:p>
        </w:tc>
      </w:tr>
      <w:tr w:rsidRPr="002B4F9E" w:rsidR="00574C9B" w:rsidTr="008E4CC5" w14:paraId="428F80C1" w14:textId="77777777">
        <w:trPr>
          <w:trHeight w:val="567"/>
          <w:jc w:val="center"/>
        </w:trPr>
        <w:tc>
          <w:tcPr>
            <w:tcW w:w="5000" w:type="pct"/>
            <w:vAlign w:val="center"/>
          </w:tcPr>
          <w:p w:rsidRPr="002B4F9E" w:rsidR="00574C9B" w:rsidP="006125A1" w:rsidRDefault="00574C9B" w14:paraId="0E3C838D" w14:textId="2E0F4618">
            <w:pPr>
              <w:jc w:val="center"/>
              <w:rPr>
                <w:sz w:val="24"/>
                <w:szCs w:val="24"/>
              </w:rPr>
            </w:pPr>
            <w:r>
              <w:rPr>
                <w:sz w:val="24"/>
              </w:rPr>
              <w:t>Europos ekonomikos ir socialinių reikalų komitetas</w:t>
            </w:r>
          </w:p>
        </w:tc>
      </w:tr>
      <w:tr w:rsidRPr="002B4F9E" w:rsidR="00574C9B" w:rsidTr="008E4CC5" w14:paraId="5FCA7EB1" w14:textId="77777777">
        <w:trPr>
          <w:jc w:val="center"/>
        </w:trPr>
        <w:tc>
          <w:tcPr>
            <w:tcW w:w="5000" w:type="pct"/>
            <w:vAlign w:val="center"/>
          </w:tcPr>
          <w:p w:rsidRPr="00C073E1" w:rsidR="00574C9B" w:rsidP="006125A1" w:rsidRDefault="0056181D" w14:paraId="164B3F5D" w14:textId="7725A5C1">
            <w:pPr>
              <w:jc w:val="center"/>
              <w:rPr>
                <w:b/>
                <w:sz w:val="44"/>
                <w:szCs w:val="44"/>
              </w:rPr>
            </w:pPr>
            <w:r>
              <w:rPr>
                <w:b/>
                <w:sz w:val="44"/>
              </w:rPr>
              <w:t xml:space="preserve">Perkamosios galios praradimas ir nelygybė, atskirtis, </w:t>
            </w:r>
            <w:proofErr w:type="spellStart"/>
            <w:r>
              <w:rPr>
                <w:b/>
                <w:sz w:val="44"/>
              </w:rPr>
              <w:t>marginalizacija</w:t>
            </w:r>
            <w:proofErr w:type="spellEnd"/>
          </w:p>
        </w:tc>
      </w:tr>
      <w:tr w:rsidRPr="002B4F9E" w:rsidR="00574C9B" w:rsidTr="008E4CC5" w14:paraId="0A2CA787" w14:textId="77777777">
        <w:trPr>
          <w:jc w:val="center"/>
        </w:trPr>
        <w:tc>
          <w:tcPr>
            <w:tcW w:w="5000" w:type="pct"/>
            <w:vAlign w:val="center"/>
          </w:tcPr>
          <w:p w:rsidRPr="00667F09" w:rsidR="00574C9B" w:rsidP="006125A1" w:rsidRDefault="00574C9B" w14:paraId="766B3712" w14:textId="77777777">
            <w:pPr>
              <w:overflowPunct w:val="0"/>
              <w:autoSpaceDE w:val="0"/>
              <w:autoSpaceDN w:val="0"/>
              <w:adjustRightInd w:val="0"/>
              <w:jc w:val="center"/>
              <w:textAlignment w:val="baseline"/>
              <w:rPr>
                <w:b/>
                <w:position w:val="24"/>
                <w:sz w:val="24"/>
                <w:szCs w:val="24"/>
              </w:rPr>
            </w:pPr>
            <w:r>
              <w:rPr>
                <w:sz w:val="24"/>
              </w:rPr>
              <w:t>___________</w:t>
            </w:r>
          </w:p>
        </w:tc>
      </w:tr>
      <w:tr w:rsidRPr="002B4F9E" w:rsidR="00574C9B" w:rsidTr="008E4CC5" w14:paraId="651BE820" w14:textId="77777777">
        <w:trPr>
          <w:jc w:val="center"/>
        </w:trPr>
        <w:tc>
          <w:tcPr>
            <w:tcW w:w="5000" w:type="pct"/>
            <w:vAlign w:val="center"/>
          </w:tcPr>
          <w:p w:rsidR="0056181D" w:rsidP="0056181D" w:rsidRDefault="0056181D" w14:paraId="46360502" w14:textId="77777777">
            <w:pPr>
              <w:ind w:left="567" w:right="567"/>
              <w:jc w:val="center"/>
              <w:rPr>
                <w:sz w:val="24"/>
                <w:szCs w:val="24"/>
              </w:rPr>
            </w:pPr>
            <w:r>
              <w:rPr>
                <w:sz w:val="24"/>
              </w:rPr>
              <w:t xml:space="preserve">Kaip spręsti perkamosios galios praradimo ir didėjančios nelygybės, atskirties ir </w:t>
            </w:r>
            <w:proofErr w:type="spellStart"/>
            <w:r>
              <w:rPr>
                <w:sz w:val="24"/>
              </w:rPr>
              <w:t>marginalizacijos</w:t>
            </w:r>
            <w:proofErr w:type="spellEnd"/>
            <w:r>
              <w:rPr>
                <w:sz w:val="24"/>
              </w:rPr>
              <w:t xml:space="preserve"> rizikos problemas?</w:t>
            </w:r>
          </w:p>
          <w:p w:rsidRPr="00787837" w:rsidR="00574C9B" w:rsidP="0056181D" w:rsidRDefault="0056181D" w14:paraId="6E238E6D" w14:textId="216AEA75">
            <w:pPr>
              <w:jc w:val="center"/>
              <w:rPr>
                <w:sz w:val="24"/>
                <w:szCs w:val="24"/>
              </w:rPr>
            </w:pPr>
            <w:r>
              <w:rPr>
                <w:b/>
              </w:rPr>
              <w:t>(nuomonė savo iniciatyva)</w:t>
            </w:r>
          </w:p>
        </w:tc>
      </w:tr>
      <w:tr w:rsidRPr="002B4F9E" w:rsidR="00574C9B" w:rsidTr="008E4CC5" w14:paraId="295584EE" w14:textId="77777777">
        <w:trPr>
          <w:jc w:val="center"/>
        </w:trPr>
        <w:tc>
          <w:tcPr>
            <w:tcW w:w="5000" w:type="pct"/>
            <w:vAlign w:val="center"/>
          </w:tcPr>
          <w:p w:rsidRPr="00C073E1" w:rsidR="00574C9B" w:rsidP="006125A1" w:rsidRDefault="00574C9B" w14:paraId="7AA50FA1" w14:textId="77777777">
            <w:pPr>
              <w:jc w:val="center"/>
              <w:rPr>
                <w:sz w:val="24"/>
                <w:szCs w:val="24"/>
                <w:lang w:val="en-GB"/>
              </w:rPr>
            </w:pPr>
          </w:p>
        </w:tc>
      </w:tr>
      <w:tr w:rsidRPr="002B4F9E" w:rsidR="00574C9B" w:rsidTr="008E4CC5" w14:paraId="41F47321" w14:textId="77777777">
        <w:trPr>
          <w:jc w:val="center"/>
        </w:trPr>
        <w:tc>
          <w:tcPr>
            <w:tcW w:w="5000" w:type="pct"/>
            <w:vAlign w:val="center"/>
          </w:tcPr>
          <w:p w:rsidRPr="00C073E1" w:rsidR="00574C9B" w:rsidP="006125A1" w:rsidRDefault="0056181D" w14:paraId="50D97899" w14:textId="5F90AA60">
            <w:pPr>
              <w:jc w:val="center"/>
              <w:rPr>
                <w:b/>
                <w:sz w:val="24"/>
                <w:szCs w:val="24"/>
              </w:rPr>
            </w:pPr>
            <w:r>
              <w:rPr>
                <w:b/>
                <w:sz w:val="24"/>
              </w:rPr>
              <w:t>SOC/823</w:t>
            </w:r>
          </w:p>
        </w:tc>
      </w:tr>
      <w:tr w:rsidRPr="002B4F9E" w:rsidR="00574C9B" w:rsidTr="008E4CC5" w14:paraId="2110FDEB" w14:textId="77777777">
        <w:trPr>
          <w:jc w:val="center"/>
        </w:trPr>
        <w:tc>
          <w:tcPr>
            <w:tcW w:w="5000" w:type="pct"/>
            <w:vAlign w:val="center"/>
          </w:tcPr>
          <w:p w:rsidRPr="00C073E1" w:rsidR="00574C9B" w:rsidP="006125A1" w:rsidRDefault="00574C9B" w14:paraId="59F181E4" w14:textId="77777777">
            <w:pPr>
              <w:jc w:val="center"/>
              <w:rPr>
                <w:sz w:val="24"/>
                <w:szCs w:val="24"/>
                <w:lang w:val="en-GB"/>
              </w:rPr>
            </w:pPr>
          </w:p>
        </w:tc>
      </w:tr>
      <w:tr w:rsidRPr="004F60A3" w:rsidR="00574C9B" w:rsidTr="008E4CC5" w14:paraId="5DF7EBEA" w14:textId="77777777">
        <w:trPr>
          <w:jc w:val="center"/>
        </w:trPr>
        <w:tc>
          <w:tcPr>
            <w:tcW w:w="5000" w:type="pct"/>
            <w:vAlign w:val="center"/>
          </w:tcPr>
          <w:p w:rsidRPr="0056181D" w:rsidR="00574C9B" w:rsidP="006125A1" w:rsidRDefault="0056181D" w14:paraId="23E9DE0A" w14:textId="09253F85">
            <w:pPr>
              <w:jc w:val="center"/>
              <w:rPr>
                <w:sz w:val="24"/>
                <w:szCs w:val="24"/>
              </w:rPr>
            </w:pPr>
            <w:r>
              <w:rPr>
                <w:sz w:val="24"/>
              </w:rPr>
              <w:t xml:space="preserve">Pranešėja </w:t>
            </w:r>
            <w:r>
              <w:rPr>
                <w:b/>
                <w:sz w:val="24"/>
              </w:rPr>
              <w:t xml:space="preserve">Maria </w:t>
            </w:r>
            <w:proofErr w:type="spellStart"/>
            <w:r>
              <w:rPr>
                <w:b/>
                <w:sz w:val="24"/>
              </w:rPr>
              <w:t>del</w:t>
            </w:r>
            <w:proofErr w:type="spellEnd"/>
            <w:r>
              <w:rPr>
                <w:b/>
                <w:sz w:val="24"/>
              </w:rPr>
              <w:t xml:space="preserve"> </w:t>
            </w:r>
            <w:proofErr w:type="spellStart"/>
            <w:r>
              <w:rPr>
                <w:b/>
                <w:sz w:val="24"/>
              </w:rPr>
              <w:t>Carmen</w:t>
            </w:r>
            <w:proofErr w:type="spellEnd"/>
            <w:r>
              <w:rPr>
                <w:b/>
                <w:sz w:val="24"/>
              </w:rPr>
              <w:t xml:space="preserve"> BARRERA CHAMORRO</w:t>
            </w:r>
          </w:p>
        </w:tc>
      </w:tr>
    </w:tbl>
    <w:p w:rsidRPr="0056181D" w:rsidR="00574C9B" w:rsidP="00574C9B" w:rsidRDefault="00574C9B" w14:paraId="0B225863" w14:textId="3AD2BF12">
      <w:r>
        <w:rPr>
          <w:noProof/>
          <w:sz w:val="20"/>
        </w:rPr>
        <mc:AlternateContent>
          <mc:Choice Requires="wps">
            <w:drawing>
              <wp:anchor distT="0" distB="0" distL="114300" distR="114300" simplePos="0" relativeHeight="251659264"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LT</w:t>
                      </w:r>
                    </w:p>
                  </w:txbxContent>
                </v:textbox>
                <w10:wrap anchorx="margin" anchory="page"/>
              </v:shape>
            </w:pict>
          </mc:Fallback>
        </mc:AlternateContent>
      </w:r>
    </w:p>
    <w:p w:rsidRPr="0056181D" w:rsidR="00574C9B" w:rsidP="00574C9B" w:rsidRDefault="00574C9B" w14:paraId="3FA5826A" w14:textId="77777777">
      <w:pPr>
        <w:rPr>
          <w:lang w:val="it-IT"/>
        </w:rPr>
      </w:pPr>
    </w:p>
    <w:p w:rsidRPr="0056181D" w:rsidR="00574C9B" w:rsidP="00574C9B" w:rsidRDefault="00574C9B" w14:paraId="4B88FC0A" w14:textId="77777777">
      <w:pPr>
        <w:rPr>
          <w:lang w:val="it-IT"/>
        </w:rPr>
        <w:sectPr w:rsidRPr="0056181D" w:rsidR="00574C9B" w:rsidSect="004F60A3">
          <w:headerReference w:type="even" r:id="rId11"/>
          <w:headerReference w:type="default" r:id="rId12"/>
          <w:footerReference w:type="even" r:id="rId13"/>
          <w:footerReference w:type="default" r:id="rId14"/>
          <w:headerReference w:type="first" r:id="rId15"/>
          <w:footerReference w:type="first" r:id="rId16"/>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AC5114" w:rsidR="00914683" w:rsidTr="00E15BF4" w14:paraId="3380D050" w14:textId="77777777">
        <w:tc>
          <w:tcPr>
            <w:tcW w:w="3085" w:type="dxa"/>
          </w:tcPr>
          <w:p w:rsidR="00914683" w:rsidP="0058411F" w:rsidRDefault="00914683" w14:paraId="51BED169" w14:textId="1C94EADD">
            <w:pPr>
              <w:autoSpaceDE w:val="0"/>
              <w:autoSpaceDN w:val="0"/>
              <w:jc w:val="left"/>
              <w:rPr>
                <w:szCs w:val="20"/>
              </w:rPr>
            </w:pPr>
            <w:r>
              <w:lastRenderedPageBreak/>
              <w:t>Patarėjai:</w:t>
            </w:r>
          </w:p>
        </w:tc>
        <w:tc>
          <w:tcPr>
            <w:tcW w:w="6204" w:type="dxa"/>
            <w:vAlign w:val="bottom"/>
          </w:tcPr>
          <w:p w:rsidRPr="00EF37C7" w:rsidR="0056181D" w:rsidP="0056181D" w:rsidRDefault="0056181D" w14:paraId="144E6B38" w14:textId="451E941C">
            <w:pPr>
              <w:autoSpaceDE w:val="0"/>
              <w:autoSpaceDN w:val="0"/>
              <w:jc w:val="left"/>
            </w:pPr>
            <w:proofErr w:type="spellStart"/>
            <w:r>
              <w:t>Ioannis</w:t>
            </w:r>
            <w:proofErr w:type="spellEnd"/>
            <w:r>
              <w:t xml:space="preserve"> GRIGORIADIS (II grupės pranešėjos)</w:t>
            </w:r>
          </w:p>
          <w:p w:rsidRPr="002B4F9E" w:rsidR="00914683" w:rsidP="0056181D" w:rsidRDefault="0056181D" w14:paraId="207494E5" w14:textId="1F73ECDB">
            <w:pPr>
              <w:autoSpaceDE w:val="0"/>
              <w:autoSpaceDN w:val="0"/>
              <w:jc w:val="left"/>
            </w:pPr>
            <w:proofErr w:type="spellStart"/>
            <w:r>
              <w:t>Tellervo</w:t>
            </w:r>
            <w:proofErr w:type="spellEnd"/>
            <w:r>
              <w:t xml:space="preserve"> KYLÄ-HARAKKA-RUONALA (I grupės)</w:t>
            </w:r>
          </w:p>
        </w:tc>
      </w:tr>
      <w:tr w:rsidRPr="00AC5114" w:rsidR="0056181D" w:rsidTr="00E15BF4" w14:paraId="61980C31" w14:textId="77777777">
        <w:tc>
          <w:tcPr>
            <w:tcW w:w="3085" w:type="dxa"/>
          </w:tcPr>
          <w:p w:rsidR="0056181D" w:rsidP="0058411F" w:rsidRDefault="0056181D" w14:paraId="6B2967C7" w14:textId="77777777">
            <w:pPr>
              <w:autoSpaceDE w:val="0"/>
              <w:autoSpaceDN w:val="0"/>
              <w:jc w:val="left"/>
              <w:rPr>
                <w:szCs w:val="20"/>
                <w:lang w:val="en-GB"/>
              </w:rPr>
            </w:pPr>
          </w:p>
        </w:tc>
        <w:tc>
          <w:tcPr>
            <w:tcW w:w="6204" w:type="dxa"/>
            <w:vAlign w:val="bottom"/>
          </w:tcPr>
          <w:p w:rsidRPr="008C6A00" w:rsidR="0056181D" w:rsidP="0056181D" w:rsidRDefault="0056181D" w14:paraId="2E7F381A" w14:textId="77777777">
            <w:pPr>
              <w:autoSpaceDE w:val="0"/>
              <w:autoSpaceDN w:val="0"/>
              <w:jc w:val="left"/>
              <w:rPr>
                <w:lang w:val="en-GB" w:eastAsia="en-GB" w:bidi="en-GB"/>
              </w:rPr>
            </w:pPr>
          </w:p>
        </w:tc>
      </w:tr>
      <w:tr w:rsidRPr="00AC5114" w:rsidR="00914683" w:rsidTr="00E15BF4" w14:paraId="21AF33F1" w14:textId="77777777">
        <w:tc>
          <w:tcPr>
            <w:tcW w:w="3085" w:type="dxa"/>
          </w:tcPr>
          <w:p w:rsidR="00914683" w:rsidP="0058411F" w:rsidRDefault="00914683" w14:paraId="7B26A8E7" w14:textId="568CF9D2">
            <w:pPr>
              <w:autoSpaceDE w:val="0"/>
              <w:autoSpaceDN w:val="0"/>
              <w:jc w:val="left"/>
              <w:rPr>
                <w:szCs w:val="20"/>
              </w:rPr>
            </w:pPr>
            <w:r>
              <w:t>Plenarinės asamblėjos sprendimas</w:t>
            </w:r>
          </w:p>
        </w:tc>
        <w:tc>
          <w:tcPr>
            <w:tcW w:w="6204" w:type="dxa"/>
            <w:vAlign w:val="bottom"/>
          </w:tcPr>
          <w:p w:rsidRPr="002B4F9E" w:rsidR="00914683" w:rsidP="0058411F" w:rsidRDefault="0056181D" w14:paraId="152AB004" w14:textId="40EB9E30">
            <w:pPr>
              <w:autoSpaceDE w:val="0"/>
              <w:autoSpaceDN w:val="0"/>
              <w:jc w:val="left"/>
            </w:pPr>
            <w:r>
              <w:t>5/12/2024</w:t>
            </w:r>
          </w:p>
        </w:tc>
      </w:tr>
      <w:tr w:rsidRPr="00AC5114" w:rsidR="00914683" w:rsidTr="00E15BF4" w14:paraId="3E385435" w14:textId="77777777">
        <w:tc>
          <w:tcPr>
            <w:tcW w:w="3085" w:type="dxa"/>
          </w:tcPr>
          <w:p w:rsidR="00914683" w:rsidP="0058411F" w:rsidRDefault="00914683" w14:paraId="3054D729" w14:textId="5D5B5FF6">
            <w:pPr>
              <w:autoSpaceDE w:val="0"/>
              <w:autoSpaceDN w:val="0"/>
              <w:jc w:val="left"/>
              <w:rPr>
                <w:szCs w:val="20"/>
              </w:rPr>
            </w:pPr>
            <w:r>
              <w:t>Teisinis pagrindas</w:t>
            </w:r>
          </w:p>
        </w:tc>
        <w:tc>
          <w:tcPr>
            <w:tcW w:w="6204" w:type="dxa"/>
            <w:vAlign w:val="bottom"/>
          </w:tcPr>
          <w:p w:rsidRPr="002B4F9E" w:rsidR="00914683" w:rsidP="0058411F" w:rsidRDefault="0056181D" w14:paraId="41CF067A" w14:textId="01D302EE">
            <w:pPr>
              <w:autoSpaceDE w:val="0"/>
              <w:autoSpaceDN w:val="0"/>
              <w:jc w:val="left"/>
            </w:pPr>
            <w:r>
              <w:t>Darbo tvarkos taisyklių 52 straipsnis 2 dalis</w:t>
            </w:r>
          </w:p>
        </w:tc>
      </w:tr>
      <w:tr w:rsidRPr="00AC5114" w:rsidR="00AC5114" w:rsidTr="00E15BF4" w14:paraId="0E2099A6" w14:textId="77777777">
        <w:tc>
          <w:tcPr>
            <w:tcW w:w="3085" w:type="dxa"/>
          </w:tcPr>
          <w:p w:rsidRPr="00AC5114" w:rsidR="00AC5114" w:rsidP="0058411F" w:rsidRDefault="00AC5114" w14:paraId="0BC68BA5" w14:textId="77777777">
            <w:pPr>
              <w:autoSpaceDE w:val="0"/>
              <w:autoSpaceDN w:val="0"/>
              <w:jc w:val="left"/>
            </w:pPr>
            <w:r>
              <w:t>Atsakingas skyrius</w:t>
            </w:r>
          </w:p>
        </w:tc>
        <w:tc>
          <w:tcPr>
            <w:tcW w:w="6204" w:type="dxa"/>
            <w:vAlign w:val="bottom"/>
          </w:tcPr>
          <w:p w:rsidRPr="00AC5114" w:rsidR="00AC5114" w:rsidP="0058411F" w:rsidRDefault="0056181D" w14:paraId="5AE7EA9E" w14:textId="74192BC9">
            <w:pPr>
              <w:autoSpaceDE w:val="0"/>
              <w:autoSpaceDN w:val="0"/>
              <w:jc w:val="left"/>
            </w:pPr>
            <w:r>
              <w:t>Užimtumo, socialinių reikalų ir pilietybės skyrius</w:t>
            </w:r>
          </w:p>
        </w:tc>
      </w:tr>
      <w:tr w:rsidRPr="00AC5114" w:rsidR="00AC5114" w:rsidTr="00E15BF4" w14:paraId="53972E32" w14:textId="77777777">
        <w:tc>
          <w:tcPr>
            <w:tcW w:w="3085" w:type="dxa"/>
          </w:tcPr>
          <w:p w:rsidRPr="002B4F9E" w:rsidR="00AC5114" w:rsidP="0058411F" w:rsidRDefault="00AC5114" w14:paraId="13B33E83" w14:textId="77777777">
            <w:pPr>
              <w:autoSpaceDE w:val="0"/>
              <w:autoSpaceDN w:val="0"/>
              <w:jc w:val="left"/>
            </w:pPr>
            <w:r>
              <w:t>Priimta skyriuje</w:t>
            </w:r>
          </w:p>
        </w:tc>
        <w:tc>
          <w:tcPr>
            <w:tcW w:w="6204" w:type="dxa"/>
            <w:vAlign w:val="bottom"/>
          </w:tcPr>
          <w:p w:rsidR="00AC5114" w:rsidP="0058411F" w:rsidRDefault="0056181D" w14:paraId="5E71ECD2" w14:textId="0F812DB0">
            <w:pPr>
              <w:autoSpaceDE w:val="0"/>
              <w:autoSpaceDN w:val="0"/>
              <w:jc w:val="left"/>
            </w:pPr>
            <w:r>
              <w:t>22/5/2025</w:t>
            </w:r>
          </w:p>
        </w:tc>
      </w:tr>
      <w:tr w:rsidRPr="00AC5114" w:rsidR="0058411F" w:rsidTr="00E15BF4" w14:paraId="7AE47B93" w14:textId="77777777">
        <w:tc>
          <w:tcPr>
            <w:tcW w:w="3085" w:type="dxa"/>
          </w:tcPr>
          <w:p w:rsidRPr="002B4F9E" w:rsidR="0058411F" w:rsidP="0058411F" w:rsidRDefault="0058411F" w14:paraId="26DE3092" w14:textId="5B7F7C13">
            <w:pPr>
              <w:autoSpaceDE w:val="0"/>
              <w:autoSpaceDN w:val="0"/>
              <w:jc w:val="left"/>
            </w:pPr>
            <w:r>
              <w:t>Priimta plenarinėje sesijoje</w:t>
            </w:r>
          </w:p>
        </w:tc>
        <w:tc>
          <w:tcPr>
            <w:tcW w:w="6204" w:type="dxa"/>
            <w:vAlign w:val="bottom"/>
          </w:tcPr>
          <w:p w:rsidR="0058411F" w:rsidP="0058411F" w:rsidRDefault="0056181D" w14:paraId="34FA2183" w14:textId="1AC7AE05">
            <w:pPr>
              <w:autoSpaceDE w:val="0"/>
              <w:autoSpaceDN w:val="0"/>
              <w:jc w:val="left"/>
            </w:pPr>
            <w:r>
              <w:t>19/6/2025</w:t>
            </w:r>
          </w:p>
        </w:tc>
      </w:tr>
      <w:tr w:rsidRPr="00AC5114" w:rsidR="0058411F" w:rsidTr="00E15BF4" w14:paraId="2FE8AE44" w14:textId="77777777">
        <w:tc>
          <w:tcPr>
            <w:tcW w:w="3085" w:type="dxa"/>
          </w:tcPr>
          <w:p w:rsidR="0058411F" w:rsidP="0058411F" w:rsidRDefault="0058411F" w14:paraId="2A65A034" w14:textId="77777777">
            <w:pPr>
              <w:autoSpaceDE w:val="0"/>
              <w:autoSpaceDN w:val="0"/>
              <w:jc w:val="left"/>
            </w:pPr>
            <w:r>
              <w:t>Plenarinės sesijos Nr.</w:t>
            </w:r>
          </w:p>
        </w:tc>
        <w:tc>
          <w:tcPr>
            <w:tcW w:w="6204" w:type="dxa"/>
            <w:vAlign w:val="bottom"/>
          </w:tcPr>
          <w:p w:rsidRPr="002B4F9E" w:rsidR="0058411F" w:rsidP="0058411F" w:rsidRDefault="0056181D" w14:paraId="17BFB0A7" w14:textId="54917F52">
            <w:pPr>
              <w:autoSpaceDE w:val="0"/>
              <w:autoSpaceDN w:val="0"/>
              <w:jc w:val="left"/>
            </w:pPr>
            <w:r>
              <w:t>597</w:t>
            </w:r>
          </w:p>
        </w:tc>
      </w:tr>
      <w:tr w:rsidRPr="00AC5114" w:rsidR="0058411F" w:rsidTr="00E15BF4" w14:paraId="3889B17A" w14:textId="77777777">
        <w:tc>
          <w:tcPr>
            <w:tcW w:w="3085" w:type="dxa"/>
          </w:tcPr>
          <w:p w:rsidRPr="002B4F9E" w:rsidR="0058411F" w:rsidP="0058411F" w:rsidRDefault="0058411F" w14:paraId="0C723801" w14:textId="77777777">
            <w:pPr>
              <w:autoSpaceDE w:val="0"/>
              <w:autoSpaceDN w:val="0"/>
              <w:jc w:val="left"/>
            </w:pPr>
            <w:r>
              <w:t>Balsavimo rezultatai</w:t>
            </w:r>
            <w:r>
              <w:br/>
              <w:t>(už / prieš / susilaikė)</w:t>
            </w:r>
          </w:p>
        </w:tc>
        <w:tc>
          <w:tcPr>
            <w:tcW w:w="6204" w:type="dxa"/>
            <w:vAlign w:val="bottom"/>
          </w:tcPr>
          <w:p w:rsidR="0058411F" w:rsidP="0058411F" w:rsidRDefault="0056181D" w14:paraId="14DB34EA" w14:textId="105087D8">
            <w:pPr>
              <w:autoSpaceDE w:val="0"/>
              <w:autoSpaceDN w:val="0"/>
              <w:jc w:val="left"/>
            </w:pPr>
            <w:r>
              <w:t>140 / 74 / 15</w:t>
            </w:r>
          </w:p>
        </w:tc>
      </w:tr>
    </w:tbl>
    <w:p w:rsidRPr="002B4F9E" w:rsidR="00AC5114" w:rsidP="00574C9B" w:rsidRDefault="00AC5114" w14:paraId="2CD3051D" w14:textId="77777777">
      <w:pPr>
        <w:rPr>
          <w:lang w:val="en-GB"/>
        </w:rPr>
        <w:sectPr w:rsidRPr="002B4F9E" w:rsidR="00AC5114" w:rsidSect="004F60A3">
          <w:headerReference w:type="even" r:id="rId17"/>
          <w:headerReference w:type="default" r:id="rId18"/>
          <w:footerReference w:type="default" r:id="rId19"/>
          <w:headerReference w:type="first" r:id="rId20"/>
          <w:pgSz w:w="11907" w:h="16839" w:code="9"/>
          <w:pgMar w:top="5669" w:right="1418" w:bottom="1418" w:left="1418" w:header="709" w:footer="709" w:gutter="0"/>
          <w:cols w:space="720"/>
          <w:docGrid w:linePitch="360"/>
        </w:sectPr>
      </w:pPr>
    </w:p>
    <w:p w:rsidRPr="00EF37C7" w:rsidR="0056181D" w:rsidP="0056181D" w:rsidRDefault="0056181D" w14:paraId="3AEFD515" w14:textId="77777777">
      <w:pPr>
        <w:rPr>
          <w:b/>
          <w:bCs/>
          <w:i/>
          <w:iCs/>
        </w:rPr>
      </w:pPr>
      <w:r>
        <w:rPr>
          <w:b/>
          <w:i/>
        </w:rPr>
        <w:lastRenderedPageBreak/>
        <w:t>Preambulė</w:t>
      </w:r>
    </w:p>
    <w:p w:rsidRPr="00EF37C7" w:rsidR="0056181D" w:rsidP="0056181D" w:rsidRDefault="0056181D" w14:paraId="1DCE6AA9" w14:textId="77777777">
      <w:pPr>
        <w:rPr>
          <w:lang w:val="en-GB"/>
        </w:rPr>
      </w:pPr>
    </w:p>
    <w:p w:rsidRPr="00EF37C7" w:rsidR="0056181D" w:rsidRDefault="0056181D" w14:paraId="12DE9BAE" w14:textId="77777777">
      <w:pPr>
        <w:rPr>
          <w:i/>
          <w:iCs/>
        </w:rPr>
      </w:pPr>
      <w:r>
        <w:rPr>
          <w:i/>
        </w:rPr>
        <w:t>Ši nuomonė yra platesnio EESRK nuomonių dėl pragyvenimo išlaidų krizės rinkinio dalis. Į rinkinį įtrauktose nuomonėse EESRK nagrinėja įvairius šio politinio iššūkio aspektus ir pateikia išsamias ir plačios aprėpties rekomendacijas Europos ir nacionalinės politikos formuotojams, pilietinės visuomenės organizacijoms ir kitiems suinteresuotiesiems subjektams. Rinkinį sudaro septynios sektorinės nuomonės</w:t>
      </w:r>
      <w:r w:rsidRPr="00EF37C7">
        <w:rPr>
          <w:rStyle w:val="FootnoteReference"/>
          <w:i/>
          <w:iCs/>
          <w:lang w:val="en-GB"/>
        </w:rPr>
        <w:footnoteReference w:id="1"/>
      </w:r>
      <w:r>
        <w:rPr>
          <w:i/>
        </w:rPr>
        <w:t>, kurių kiekviena skirta konkretiems nagrinėjamos politikos srities klausimams. Be to, bendrojoje nuomonėje</w:t>
      </w:r>
      <w:r w:rsidRPr="00EF37C7">
        <w:rPr>
          <w:rStyle w:val="FootnoteReference"/>
          <w:i/>
          <w:iCs/>
          <w:lang w:val="en-GB"/>
        </w:rPr>
        <w:footnoteReference w:id="2"/>
      </w:r>
      <w:r>
        <w:rPr>
          <w:i/>
        </w:rPr>
        <w:t xml:space="preserve"> pateikiamos visa apimančios politikos rekomendacijos, kaip apskritai šalinti pragyvenimo išlaidų krizę ir didinti atsparumą būsimoms krizėms.</w:t>
      </w:r>
    </w:p>
    <w:p w:rsidRPr="00EF37C7" w:rsidR="0056181D" w:rsidP="0056181D" w:rsidRDefault="0056181D" w14:paraId="0107243A" w14:textId="77777777">
      <w:pPr>
        <w:rPr>
          <w:i/>
          <w:iCs/>
          <w:lang w:val="en-GB"/>
        </w:rPr>
      </w:pPr>
    </w:p>
    <w:p w:rsidRPr="00EF37C7" w:rsidR="0056181D" w:rsidP="0056181D" w:rsidRDefault="0056181D" w14:paraId="0A057986" w14:textId="77777777">
      <w:pPr>
        <w:pStyle w:val="Heading1"/>
      </w:pPr>
      <w:r>
        <w:rPr>
          <w:b/>
        </w:rPr>
        <w:t>Išvados ir rekomendacijos</w:t>
      </w:r>
    </w:p>
    <w:p w:rsidRPr="00EF37C7" w:rsidR="0056181D" w:rsidP="0056181D" w:rsidRDefault="0056181D" w14:paraId="0F13C2DB" w14:textId="77777777">
      <w:pPr>
        <w:ind w:left="567" w:hanging="567"/>
        <w:rPr>
          <w:lang w:val="en-GB"/>
        </w:rPr>
      </w:pPr>
    </w:p>
    <w:p w:rsidRPr="00EF37C7" w:rsidR="0056181D" w:rsidP="0056181D" w:rsidRDefault="0056181D" w14:paraId="0426FAE1" w14:textId="77777777">
      <w:pPr>
        <w:pStyle w:val="Heading2"/>
        <w:rPr>
          <w:color w:val="000000"/>
        </w:rPr>
      </w:pPr>
      <w:r>
        <w:t xml:space="preserve">EESRK pažymi, kad pragyvenimo išlaidų krizę sukėlė ir dar labiau paaštrino pandemija ir pastarojo meto konfliktai visame pasaulyje, darydami poveikį Europos piliečiams ir įmonėms. Dėl to smuko gyvenimo lygis ir kilo didelių ekonominių sunkumų. </w:t>
      </w:r>
      <w:r>
        <w:rPr>
          <w:color w:val="000000"/>
        </w:rPr>
        <w:t xml:space="preserve">Nepaisant politikos atsakomųjų veiksmų, socialinės atskirties, nelygybės ir </w:t>
      </w:r>
      <w:proofErr w:type="spellStart"/>
      <w:r>
        <w:rPr>
          <w:color w:val="000000"/>
        </w:rPr>
        <w:t>marginalizacijos</w:t>
      </w:r>
      <w:proofErr w:type="spellEnd"/>
      <w:r>
        <w:rPr>
          <w:color w:val="000000"/>
        </w:rPr>
        <w:t xml:space="preserve"> rizika išlieka didelė, kaip ir problemos, kylančios visų pirma MVĮ. Būtina ryžtingai įgyvendinti politikos priemones.</w:t>
      </w:r>
    </w:p>
    <w:p w:rsidRPr="00EF37C7" w:rsidR="0056181D" w:rsidP="0056181D" w:rsidRDefault="0056181D" w14:paraId="6673451E" w14:textId="77777777">
      <w:pPr>
        <w:ind w:left="567" w:hanging="567"/>
        <w:rPr>
          <w:lang w:val="en-GB" w:eastAsia="zh-CN"/>
        </w:rPr>
      </w:pPr>
    </w:p>
    <w:p w:rsidRPr="00EF37C7" w:rsidR="0056181D" w:rsidP="0056181D" w:rsidRDefault="0056181D" w14:paraId="6F2F7B02" w14:textId="77777777">
      <w:pPr>
        <w:pStyle w:val="Heading2"/>
      </w:pPr>
      <w:r>
        <w:t>Stipresnė, teisingesnė ir konkurencingesnė ES ekonomika ir daugiau deramo darbo vietų, padidins ES atsparumą krizėms. Ypač svarbu sudaryti palankias sąlygas įmonėms, visų pirma MVĮ, ir išlaikyti verslo struktūrą.</w:t>
      </w:r>
    </w:p>
    <w:p w:rsidRPr="00EF37C7" w:rsidR="0056181D" w:rsidP="0056181D" w:rsidRDefault="0056181D" w14:paraId="0B8EDB7D" w14:textId="77777777">
      <w:pPr>
        <w:ind w:left="567" w:hanging="567"/>
        <w:rPr>
          <w:lang w:val="en-GB"/>
        </w:rPr>
      </w:pPr>
    </w:p>
    <w:p w:rsidRPr="00EF37C7" w:rsidR="0056181D" w:rsidP="0056181D" w:rsidRDefault="0056181D" w14:paraId="02870349" w14:textId="4F2A9941">
      <w:pPr>
        <w:pStyle w:val="Heading2"/>
      </w:pPr>
      <w:r>
        <w:t xml:space="preserve">EESRK mano, kad investicijos į žmones ir ekonomiką, progresinis apmokestinimas, kokybiškos ir įperkamos viešosios paslaugos, taip pat tikslinė parama </w:t>
      </w:r>
      <w:proofErr w:type="spellStart"/>
      <w:r>
        <w:t>pažeidžiamiausiems</w:t>
      </w:r>
      <w:proofErr w:type="spellEnd"/>
      <w:r>
        <w:t xml:space="preserve"> asmenims, kartu su trumpalaike ir ilgalaike pramonės politika ir pastangomis didinti konkurencingumą, yra labai svarbūs aspektai siekiant sušvelninti pragyvenimo išlaidų krizę ir apsaugoti nuo būsimų sukrėtimų.</w:t>
      </w:r>
    </w:p>
    <w:p w:rsidRPr="00EF37C7" w:rsidR="0056181D" w:rsidP="0056181D" w:rsidRDefault="0056181D" w14:paraId="1095B5D4" w14:textId="77777777">
      <w:pPr>
        <w:ind w:left="567" w:hanging="567"/>
        <w:rPr>
          <w:lang w:val="en-GB"/>
        </w:rPr>
      </w:pPr>
    </w:p>
    <w:p w:rsidRPr="00EF37C7" w:rsidR="0056181D" w:rsidP="0056181D" w:rsidRDefault="0056181D" w14:paraId="5A6D433C" w14:textId="77777777">
      <w:pPr>
        <w:pStyle w:val="Heading2"/>
      </w:pPr>
      <w:r>
        <w:t xml:space="preserve">EESRK atkreipia dėmesį į tai, kad socialinis dialogas tebėra svarbi, tačiau nepakankamai naudojama politikos priemonė sprendžiant problemas darbo rinkoje ir šalinant dėl krizės kylančią perkamosios galios praradimo riziką. Kolektyvinių derybų stiprinimas siekiant padidinti darbuotojų darbo užmokestį ir pagerinti socialinę apsaugą išlaikant pusiausvyrą su našumo pokyčiais, gali padėti sumažinti nelygybę ir pašalinti atskirties ir </w:t>
      </w:r>
      <w:proofErr w:type="spellStart"/>
      <w:r>
        <w:t>marginalizacijos</w:t>
      </w:r>
      <w:proofErr w:type="spellEnd"/>
      <w:r>
        <w:t xml:space="preserve"> riziką.</w:t>
      </w:r>
    </w:p>
    <w:p w:rsidRPr="00EF37C7" w:rsidR="0056181D" w:rsidP="0056181D" w:rsidRDefault="0056181D" w14:paraId="2CB92EA3" w14:textId="77777777">
      <w:pPr>
        <w:ind w:left="567" w:hanging="567"/>
        <w:rPr>
          <w:lang w:val="en-GB"/>
        </w:rPr>
      </w:pPr>
    </w:p>
    <w:p w:rsidRPr="00EF37C7" w:rsidR="0056181D" w:rsidP="0056181D" w:rsidRDefault="0056181D" w14:paraId="573EF4E3" w14:textId="77777777">
      <w:pPr>
        <w:pStyle w:val="Heading2"/>
      </w:pPr>
      <w:r>
        <w:t xml:space="preserve">Tuo pat metu reikia stiprinti dialogą su pilietinės visuomenės organizacijomis, nes jos atlieka labai svarbų vaidmenį šalinant nelygybės, ypač </w:t>
      </w:r>
      <w:proofErr w:type="spellStart"/>
      <w:r>
        <w:t>pažeidžiamiausių</w:t>
      </w:r>
      <w:proofErr w:type="spellEnd"/>
      <w:r>
        <w:t xml:space="preserve"> asmenų, problemą.</w:t>
      </w:r>
    </w:p>
    <w:p w:rsidRPr="00EF37C7" w:rsidR="0056181D" w:rsidP="0056181D" w:rsidRDefault="0056181D" w14:paraId="254581DB" w14:textId="77777777">
      <w:pPr>
        <w:pStyle w:val="Heading2"/>
        <w:numPr>
          <w:ilvl w:val="0"/>
          <w:numId w:val="0"/>
        </w:numPr>
        <w:ind w:left="567" w:hanging="567"/>
        <w:rPr>
          <w:lang w:val="en-GB"/>
        </w:rPr>
      </w:pPr>
    </w:p>
    <w:p w:rsidRPr="00EF37C7" w:rsidR="0056181D" w:rsidP="0056181D" w:rsidRDefault="0056181D" w14:paraId="76937CC8" w14:textId="77777777">
      <w:pPr>
        <w:pStyle w:val="Heading2"/>
      </w:pPr>
      <w:r>
        <w:lastRenderedPageBreak/>
        <w:t xml:space="preserve">EESRK pripažįsta, kad darbo užmokesčio ir minimaliojo darbo užmokesčio didinimas yra labai svarbūs kovojant su perkamosios galios mažėjimu ir jo poveikiu nelygybei, atskirčiai ir </w:t>
      </w:r>
      <w:proofErr w:type="spellStart"/>
      <w:r>
        <w:t>marginalizacijai</w:t>
      </w:r>
      <w:proofErr w:type="spellEnd"/>
      <w:r>
        <w:t>, taip pat užtikrinant turto perskirstymą. EESRK pabrėžia teigiamą Direktyvos dėl deramo minimaliojo darbo užmokesčio poveikį darbo užmokesčio didėjimui. Komitetas ragina valstybes nares dėti daugiau pastangų ir toliau įgyvendinti direktyvos tikslus, be kita ko, pateikti nacionalinius veiksmų planus, kuriais siekiama padidinti kolektyvinių derybų aprėptį, kai ji nesiekia 80 proc. ribos.</w:t>
      </w:r>
    </w:p>
    <w:p w:rsidRPr="00EF37C7" w:rsidR="0056181D" w:rsidP="0056181D" w:rsidRDefault="0056181D" w14:paraId="1326F6C6" w14:textId="77777777">
      <w:pPr>
        <w:pStyle w:val="Heading2"/>
        <w:numPr>
          <w:ilvl w:val="0"/>
          <w:numId w:val="0"/>
        </w:numPr>
        <w:ind w:left="567" w:hanging="567"/>
        <w:rPr>
          <w:lang w:val="en-GB" w:eastAsia="es-ES"/>
        </w:rPr>
      </w:pPr>
    </w:p>
    <w:p w:rsidRPr="00EF37C7" w:rsidR="0056181D" w:rsidP="0056181D" w:rsidRDefault="0056181D" w14:paraId="58D5D5FB" w14:textId="77777777">
      <w:pPr>
        <w:pStyle w:val="Heading2"/>
      </w:pPr>
      <w:r>
        <w:t>EESRK pripažįsta, kad reikia stiprinti ES gebėjimą numatyti būsimas krizes. Šiuo tikslu EESRK atkreipia dėmesį į tai, kad socialiniai partneriai ir pilietinės visuomenės veikėjai visais lygmenimis – nacionaliniu ir Europos – atlieka svarbų vaidmenį šiame procese ir yra įrodę gebėjimą prisitaikyti prie sudėtingiausių situacijų ir į jas reaguoti, taip pat prisidėti prie kovos su krize priemonių.</w:t>
      </w:r>
    </w:p>
    <w:p w:rsidRPr="00EF37C7" w:rsidR="0056181D" w:rsidP="0056181D" w:rsidRDefault="0056181D" w14:paraId="1E7EE609" w14:textId="77777777">
      <w:pPr>
        <w:ind w:left="567" w:hanging="567"/>
        <w:rPr>
          <w:lang w:val="en-GB"/>
        </w:rPr>
      </w:pPr>
    </w:p>
    <w:p w:rsidRPr="00EF37C7" w:rsidR="0056181D" w:rsidP="0056181D" w:rsidRDefault="0056181D" w14:paraId="054BB7AC" w14:textId="77777777">
      <w:pPr>
        <w:pStyle w:val="Heading2"/>
      </w:pPr>
      <w:r>
        <w:t xml:space="preserve">EESRK rekomenduoja, siekiant sumažinti nelygybės, socialinės atskirties ir </w:t>
      </w:r>
      <w:proofErr w:type="spellStart"/>
      <w:r>
        <w:t>marginalizacijos</w:t>
      </w:r>
      <w:proofErr w:type="spellEnd"/>
      <w:r>
        <w:t xml:space="preserve"> riziką, kylančią dėl perkamosios galios sumažėjimo, kai kuriose srityse atitinkamu lygmeniu taikyti tinkamą kainodaros politiką, pavyzdžiui, nustatyti energijos kainų, visų pirma sąskaitose už energiją, viršutines ribas, kad būtų užkirstas kelias spekuliacijai šiuo pagrindiniu ištekliumi, atsižvelgiant į šių veiksnių poveikį kitoms būtiniausioms prekėms (pvz., maistui) ir jų kainoms. Šiuo atžvilgiu būtų tikslinga reformuoti ES energijos rinkos veikimą, kad būtų sukurta veiksminga energetikos sistema, užtikrinanti įperkamą energijos tiekimą.</w:t>
      </w:r>
    </w:p>
    <w:p w:rsidRPr="00EF37C7" w:rsidR="0056181D" w:rsidP="0056181D" w:rsidRDefault="0056181D" w14:paraId="44D1F124" w14:textId="77777777">
      <w:pPr>
        <w:ind w:left="567" w:hanging="567"/>
        <w:rPr>
          <w:lang w:val="en-GB"/>
        </w:rPr>
      </w:pPr>
    </w:p>
    <w:p w:rsidRPr="00EF37C7" w:rsidR="0056181D" w:rsidP="0056181D" w:rsidRDefault="0056181D" w14:paraId="451CB9A2" w14:textId="77777777">
      <w:pPr>
        <w:pStyle w:val="Heading2"/>
      </w:pPr>
      <w:r>
        <w:t>EESRK pripažįsta, kad perkamosios galios sumažėjimo krizė yra neatsiejama nuo precedento neturinčios būsto krizės. Komitetas rekomenduojama skubiai įgyvendinti įperkamo būsto politiką, kartu visapusiškai atsižvelgiant į valstybių narių kompetenciją šioje srityje, ir Europos kovos su benamyste, nuo kurios taip pat vis dažniau kenčia dirbantys žmonės, strategiją.</w:t>
      </w:r>
    </w:p>
    <w:p w:rsidRPr="00EF37C7" w:rsidR="0056181D" w:rsidP="0056181D" w:rsidRDefault="0056181D" w14:paraId="7A0A6798" w14:textId="77777777">
      <w:pPr>
        <w:ind w:left="567" w:hanging="567"/>
        <w:rPr>
          <w:lang w:val="en-GB"/>
        </w:rPr>
      </w:pPr>
    </w:p>
    <w:p w:rsidRPr="00EF37C7" w:rsidR="0056181D" w:rsidP="0056181D" w:rsidRDefault="0056181D" w14:paraId="7C353A0F" w14:textId="77777777">
      <w:pPr>
        <w:pStyle w:val="Heading2"/>
      </w:pPr>
      <w:r>
        <w:t>EESRK mano, kad yra nepaprastai svarbu mokytis iš krizių ir plėtoti prevencinę politiką. Komitetas neseniai pareiškė, kad ES institucijos, remdamosi programos SURE patirtimi, turėtų įvertinti, ar reikia nuolatinės finansinės priemonės siekiant stabilizuoti valstybių narių socialines išlaidas išorės ekonominių sukrėtimų atveju ir paremti tų pramonės sektorių ir regionų, kuriuos labiausiai paveikė skaitmeninės ir žaliosios pertvarkos procesai, darbuotojus ir įmones</w:t>
      </w:r>
      <w:r w:rsidRPr="00EF37C7">
        <w:rPr>
          <w:sz w:val="24"/>
          <w:szCs w:val="24"/>
          <w:vertAlign w:val="superscript"/>
          <w:lang w:val="en-GB"/>
        </w:rPr>
        <w:footnoteReference w:id="3"/>
      </w:r>
      <w:r>
        <w:t>. EESRK taip pat mano, kad siekiant konkrečių rezultatų ES valstybėse narėse turi būti toliau daroma pažanga įgyvendinant Rekomendaciją dėl minimalių pajamų.</w:t>
      </w:r>
    </w:p>
    <w:p w:rsidRPr="00EF37C7" w:rsidR="0056181D" w:rsidP="0056181D" w:rsidRDefault="0056181D" w14:paraId="21015DCB" w14:textId="77777777">
      <w:pPr>
        <w:ind w:left="567" w:hanging="567"/>
        <w:rPr>
          <w:lang w:val="en-GB"/>
        </w:rPr>
      </w:pPr>
    </w:p>
    <w:p w:rsidRPr="00EF37C7" w:rsidR="0056181D" w:rsidP="0056181D" w:rsidRDefault="0056181D" w14:paraId="4C77F077" w14:textId="77777777">
      <w:pPr>
        <w:pStyle w:val="Heading2"/>
      </w:pPr>
      <w:r>
        <w:t xml:space="preserve">EESRK pabrėžia švietimo, kaip tvirto prevencinio veiksnio, mažinančio atskirtį, </w:t>
      </w:r>
      <w:proofErr w:type="spellStart"/>
      <w:r>
        <w:t>marginalizaciją</w:t>
      </w:r>
      <w:proofErr w:type="spellEnd"/>
      <w:r>
        <w:t xml:space="preserve"> ir nelygybę, vaidmenį. Didesnės investicijos į švietimą ir įgūdžius yra stiprus svertas didinant pajamas ir kuriant kokybiškas darbo vietas, todėl ragina ES ir valstybes nares didinti investicijas į švietimą. EESRK pabrėžia gerai parengtos politikos svarbą siekiant pašalinti įgūdžių ir darbo jėgos trūkumą, kurį įmonės nurodo kaip vieną pagrindinių kliūčių įmonių investicijoms ir augimui.</w:t>
      </w:r>
    </w:p>
    <w:p w:rsidRPr="00EF37C7" w:rsidR="0056181D" w:rsidP="0056181D" w:rsidRDefault="0056181D" w14:paraId="3050D628" w14:textId="77777777">
      <w:pPr>
        <w:ind w:left="567" w:hanging="567"/>
        <w:rPr>
          <w:lang w:val="en-GB"/>
        </w:rPr>
      </w:pPr>
    </w:p>
    <w:p w:rsidRPr="00EF37C7" w:rsidR="0056181D" w:rsidP="0056181D" w:rsidRDefault="0056181D" w14:paraId="2834769A" w14:textId="77777777">
      <w:pPr>
        <w:pStyle w:val="Heading2"/>
        <w:rPr>
          <w:color w:val="000000"/>
        </w:rPr>
      </w:pPr>
      <w:r>
        <w:t xml:space="preserve">EESRK mano, kad, norint sušvelninti perkamosios galios sumažėjimą Europoje, būtiniausios ir socialinės paslaugos, įskaitant socialinės ekonomikos subjektų teikiamas paslaugas, turėtų būti </w:t>
      </w:r>
      <w:r>
        <w:lastRenderedPageBreak/>
        <w:t>plėtojamos taip, kad būtų pašalintos kliūtys, trukdančios jomis naudotis.</w:t>
      </w:r>
      <w:r>
        <w:rPr>
          <w:color w:val="000000"/>
        </w:rPr>
        <w:t xml:space="preserve"> Komitetas pažymi, kad Europos socialinių teisių ramsčio (ESTR) 20 principe pateikiamas nebaigtinis esminių paslaugų sąrašas. EESRK mano, kad jos yra pagrindinė </w:t>
      </w:r>
      <w:proofErr w:type="spellStart"/>
      <w:r>
        <w:rPr>
          <w:color w:val="000000"/>
        </w:rPr>
        <w:t>transformatyvių</w:t>
      </w:r>
      <w:proofErr w:type="spellEnd"/>
      <w:r>
        <w:rPr>
          <w:color w:val="000000"/>
        </w:rPr>
        <w:t xml:space="preserve"> socialinės apsaugos sistemų, kuriomis padedama labiausiai pažeidžiamiems asmenims ir kartu užtikrinamos prevencinės paslaugos, sudedamoji dalis.</w:t>
      </w:r>
    </w:p>
    <w:p w:rsidRPr="00EF37C7" w:rsidR="0056181D" w:rsidP="0056181D" w:rsidRDefault="0056181D" w14:paraId="7FB6C304" w14:textId="77777777">
      <w:pPr>
        <w:ind w:left="567" w:hanging="567"/>
        <w:rPr>
          <w:lang w:val="en-GB" w:eastAsia="en-GB"/>
        </w:rPr>
      </w:pPr>
    </w:p>
    <w:p w:rsidRPr="00EF37C7" w:rsidR="0056181D" w:rsidP="0056181D" w:rsidRDefault="0056181D" w14:paraId="21645ED3" w14:textId="77777777">
      <w:pPr>
        <w:pStyle w:val="Heading2"/>
      </w:pPr>
      <w:r>
        <w:t>EESRK nuomone, Europos semestras ir jo socialinės konvergencijos sistema tebėra vienos svarbiausių priemonių stebėti politiką ir veiksmus, kurių valstybės narės ėmėsi siekdamos įveikti krizę, kylančią dėl perkamosios galios mažėjimo ir jo poveikio nelygybei bei socialinei atskirčiai, ir išspręsti visus su tuo susijusius Europos ekonomikos ir visuomenės klausimus. EESRK pabrėžia, kad svarbu aktyviau naudoti paskirstomojo poveikio vertinimus, siekiant užtikrinti, kad visų sričių politikos priemonės nepadidintų skurdo ar nelygybės, ir kartu įvertinti lyčių ir jaunimo perspektyvas. Visose socialinės politikos srityse turėtų būti atsižvelgiama į atitinkamą suskirstytų duomenų naudojimą. EESRK pakartoja, kad rengiant priemones ir politiką svarbu socialinius rodiklius vertinti tuo pačiu lygmeniu kaip ir ekonominius rodiklius.</w:t>
      </w:r>
    </w:p>
    <w:p w:rsidRPr="00EF37C7" w:rsidR="0056181D" w:rsidP="0056181D" w:rsidRDefault="0056181D" w14:paraId="22968D8F" w14:textId="77777777">
      <w:pPr>
        <w:ind w:left="567" w:hanging="567"/>
        <w:rPr>
          <w:lang w:val="en-GB"/>
        </w:rPr>
      </w:pPr>
    </w:p>
    <w:p w:rsidRPr="00EF37C7" w:rsidR="0056181D" w:rsidP="0056181D" w:rsidRDefault="0056181D" w14:paraId="04C176AD" w14:textId="77777777">
      <w:pPr>
        <w:pStyle w:val="Heading2"/>
      </w:pPr>
      <w:r>
        <w:t>Europos socialinių teisių ramsčio įgyvendinimo politika turi būti vertinama platesniame ES teisingos pertvarkos kontekste. Turi būti sprendžiami struktūrinės nelygybės klausimai ir visų pirma apsaugotos pažeidžiamos grupės, kurias labiausiai paveikė vykstanti pertvarka ir perkamosios galios sumažėjimas. Valstybės narės turi išlaikyti tvirtas socialinės apsaugos sistemas, todėl EESRK ragina ES skatinti valstybes nares jas tobulinti, kad ligos, nedarbo ar išėjimo į pensiją atveju būtų užtikrinta tinkama pajamų apsauga. Taip pat būtina išlaikyti ir didinti investicijas į švietimą, mokymą ir aktyvesnį dalyvavimą darbo rinkoje. Šiose srityse turėtų būti užtikrintos tinkamos viešosios išlaidos</w:t>
      </w:r>
      <w:r w:rsidRPr="00EF37C7">
        <w:rPr>
          <w:rStyle w:val="FootnoteReference"/>
          <w:lang w:val="en-GB" w:eastAsia="en-GB"/>
        </w:rPr>
        <w:footnoteReference w:id="4"/>
      </w:r>
      <w:r>
        <w:t>.</w:t>
      </w:r>
    </w:p>
    <w:p w:rsidRPr="00EF37C7" w:rsidR="0056181D" w:rsidP="0056181D" w:rsidRDefault="0056181D" w14:paraId="0CF28884" w14:textId="77777777">
      <w:pPr>
        <w:ind w:left="567" w:hanging="567"/>
        <w:rPr>
          <w:lang w:val="en-GB"/>
        </w:rPr>
      </w:pPr>
    </w:p>
    <w:p w:rsidRPr="00EF37C7" w:rsidR="0056181D" w:rsidP="0056181D" w:rsidRDefault="0056181D" w14:paraId="4F6BF63C" w14:textId="77777777">
      <w:pPr>
        <w:pStyle w:val="Heading2"/>
      </w:pPr>
      <w:r>
        <w:t xml:space="preserve">EESRK nuomone, nepaprastai svarbu, kad valstybės narės ieškotų būdų, kaip sušvelninti perkamosios galios mažėjimo poveikį nelygybei ir daugiau dėmesio skirtų atskirčiai ir </w:t>
      </w:r>
      <w:proofErr w:type="spellStart"/>
      <w:r>
        <w:t>marginalizacijai</w:t>
      </w:r>
      <w:proofErr w:type="spellEnd"/>
      <w:r>
        <w:t xml:space="preserve">, numatydamos veiksmus ir investicijas į sveikatą, socialinę </w:t>
      </w:r>
      <w:proofErr w:type="spellStart"/>
      <w:r>
        <w:t>įtrauktį</w:t>
      </w:r>
      <w:proofErr w:type="spellEnd"/>
      <w:r>
        <w:t xml:space="preserve"> ir priežiūros paslaugų bendruomenes, taip didinant gerovę ir atsparumą teikiant priežiūros paslaugas. </w:t>
      </w:r>
    </w:p>
    <w:p w:rsidRPr="00EF37C7" w:rsidR="0056181D" w:rsidP="0056181D" w:rsidRDefault="0056181D" w14:paraId="7BD2442B" w14:textId="77777777">
      <w:pPr>
        <w:ind w:left="567" w:hanging="567"/>
        <w:rPr>
          <w:lang w:val="en-GB" w:eastAsia="en-GB"/>
        </w:rPr>
      </w:pPr>
    </w:p>
    <w:p w:rsidRPr="00EF37C7" w:rsidR="0056181D" w:rsidP="0056181D" w:rsidRDefault="0056181D" w14:paraId="4C8E26CC" w14:textId="04081500">
      <w:pPr>
        <w:pStyle w:val="Heading2"/>
      </w:pPr>
      <w:r>
        <w:t>EESRK palankiai vertina naujausią Europos Tarybos Europos socialinių teisių komiteto ataskaitą dėl pragyvenimo išlaidų krizės poveikio socialinėms teisėms ir ragina valstybes nares laikytis jo rekomendacijų</w:t>
      </w:r>
      <w:r w:rsidRPr="00EF37C7">
        <w:rPr>
          <w:rStyle w:val="FootnoteReference"/>
          <w:lang w:val="en-GB" w:eastAsia="en-GB"/>
        </w:rPr>
        <w:footnoteReference w:id="5"/>
      </w:r>
      <w:r>
        <w:t>.</w:t>
      </w:r>
    </w:p>
    <w:p w:rsidRPr="00EF37C7" w:rsidR="0056181D" w:rsidP="0056181D" w:rsidRDefault="0056181D" w14:paraId="04733FA6" w14:textId="77777777">
      <w:pPr>
        <w:ind w:left="567" w:hanging="567"/>
        <w:rPr>
          <w:lang w:val="en-GB"/>
        </w:rPr>
      </w:pPr>
    </w:p>
    <w:p w:rsidRPr="00EF37C7" w:rsidR="0056181D" w:rsidP="0056181D" w:rsidRDefault="0056181D" w14:paraId="545D671F" w14:textId="77777777">
      <w:pPr>
        <w:pStyle w:val="Heading1"/>
        <w:keepNext/>
        <w:keepLines/>
        <w:rPr>
          <w:b/>
          <w:bCs/>
        </w:rPr>
      </w:pPr>
      <w:r>
        <w:rPr>
          <w:b/>
        </w:rPr>
        <w:t>Bendrosios pastabos</w:t>
      </w:r>
    </w:p>
    <w:p w:rsidRPr="00EF37C7" w:rsidR="0056181D" w:rsidP="00C43C7D" w:rsidRDefault="0056181D" w14:paraId="1E49E35C" w14:textId="77777777">
      <w:pPr>
        <w:keepNext/>
        <w:keepLines/>
        <w:tabs>
          <w:tab w:val="left" w:pos="2905"/>
        </w:tabs>
        <w:ind w:left="567" w:hanging="567"/>
        <w:rPr>
          <w:lang w:val="en-GB"/>
        </w:rPr>
      </w:pPr>
    </w:p>
    <w:p w:rsidRPr="00EF37C7" w:rsidR="0056181D" w:rsidP="0056181D" w:rsidRDefault="0056181D" w14:paraId="13A404C2" w14:textId="77777777">
      <w:pPr>
        <w:pStyle w:val="Heading2"/>
      </w:pPr>
      <w:r>
        <w:t xml:space="preserve">EESRK su susirūpinimu atkreipia dėmesį į Europos namų ūkių perkamosios galios sumažėjimą ir pragyvenimo išlaidų augimą, kuriuos lėmė COVID-19 pandemijos, Rusijos karo prieš Ukrainą, dėl to kilusios energetikos krizės ir precedento neturinčio infliacijos šuolio padariniai. Pasaulinių tiekimo grandinių sutrikimai labai prisidėjo prie didesnių kainų ir dar labiau </w:t>
      </w:r>
      <w:r>
        <w:lastRenderedPageBreak/>
        <w:t>išaugusių pragyvenimo išlaidų. Dėl visuotinio atšilimo ir klimato krizės taip pat padidėjo pagrindinių žemės ūkio produktų kainos</w:t>
      </w:r>
      <w:r w:rsidRPr="00EF37C7">
        <w:rPr>
          <w:sz w:val="24"/>
          <w:vertAlign w:val="superscript"/>
          <w:lang w:val="en-GB"/>
        </w:rPr>
        <w:footnoteReference w:id="6"/>
      </w:r>
      <w:r>
        <w:t>.</w:t>
      </w:r>
    </w:p>
    <w:p w:rsidRPr="00EF37C7" w:rsidR="0056181D" w:rsidP="0056181D" w:rsidRDefault="0056181D" w14:paraId="16575322" w14:textId="77777777">
      <w:pPr>
        <w:pStyle w:val="Heading2"/>
        <w:numPr>
          <w:ilvl w:val="0"/>
          <w:numId w:val="0"/>
        </w:numPr>
        <w:ind w:left="567" w:hanging="567"/>
        <w:rPr>
          <w:lang w:val="en-GB"/>
        </w:rPr>
      </w:pPr>
    </w:p>
    <w:p w:rsidRPr="00EF37C7" w:rsidR="0056181D" w:rsidP="0056181D" w:rsidRDefault="0056181D" w14:paraId="2F1CEBDC" w14:textId="77777777">
      <w:pPr>
        <w:pStyle w:val="Heading2"/>
      </w:pPr>
      <w:r>
        <w:t xml:space="preserve">2023 m. skurdas arba socialinė atskirtis visoje </w:t>
      </w:r>
      <w:hyperlink w:history="1" r:id="rId21">
        <w:r>
          <w:t>ES</w:t>
        </w:r>
      </w:hyperlink>
      <w:r>
        <w:t xml:space="preserve"> grėsė daugiau kaip 94,6 mln. žmonių (21 proc. visų gyventojų)</w:t>
      </w:r>
      <w:r w:rsidRPr="00EF37C7">
        <w:rPr>
          <w:rStyle w:val="FootnoteReference"/>
          <w:szCs w:val="24"/>
          <w:lang w:val="en-GB"/>
        </w:rPr>
        <w:footnoteReference w:id="7"/>
      </w:r>
      <w:r>
        <w:t>, o 10,6 proc. gyventojų negalėjo tinkamai šildyti savo namų. 2023 m. 10,6 proc. namų ūkių miestuose ir 7 proc. namų ūkių kaimo vietovėse išlaidos būstui viršijo 40 proc. disponuojamųjų pajamų</w:t>
      </w:r>
      <w:r w:rsidRPr="00EF37C7">
        <w:rPr>
          <w:rStyle w:val="FootnoteReference"/>
          <w:lang w:val="en-GB"/>
        </w:rPr>
        <w:footnoteReference w:id="8"/>
      </w:r>
      <w:r>
        <w:t>.</w:t>
      </w:r>
    </w:p>
    <w:p w:rsidRPr="00EF37C7" w:rsidR="0056181D" w:rsidP="0056181D" w:rsidRDefault="0056181D" w14:paraId="03912CB8" w14:textId="77777777">
      <w:pPr>
        <w:ind w:left="567" w:hanging="567"/>
        <w:rPr>
          <w:lang w:val="en-GB"/>
        </w:rPr>
      </w:pPr>
    </w:p>
    <w:p w:rsidRPr="00EF37C7" w:rsidR="0056181D" w:rsidP="0056181D" w:rsidRDefault="0056181D" w14:paraId="736D417E" w14:textId="77777777">
      <w:pPr>
        <w:pStyle w:val="Heading2"/>
      </w:pPr>
      <w:r>
        <w:t>Nepaisant sumažėjusios infliacijos, piliečiams vis dar kyla problemų dėl didesnių pragyvenimo išlaidų. Augančios kainos, pragyvenimo išlaidos ir ekonominė padėtis buvo pagrindiniai rinkimuose balsavusių piliečių</w:t>
      </w:r>
      <w:r w:rsidRPr="00EF37C7">
        <w:rPr>
          <w:sz w:val="24"/>
          <w:szCs w:val="24"/>
          <w:vertAlign w:val="superscript"/>
          <w:lang w:val="en-GB"/>
        </w:rPr>
        <w:footnoteReference w:id="9"/>
      </w:r>
      <w:r>
        <w:t>, įskaitant 40 proc. 16–30 metų amžiaus asmenų, rūpesčiai</w:t>
      </w:r>
      <w:r w:rsidRPr="00EF37C7">
        <w:rPr>
          <w:sz w:val="24"/>
          <w:szCs w:val="24"/>
          <w:vertAlign w:val="superscript"/>
          <w:lang w:val="en-GB"/>
        </w:rPr>
        <w:footnoteReference w:id="10"/>
      </w:r>
      <w:r>
        <w:t>.</w:t>
      </w:r>
    </w:p>
    <w:p w:rsidRPr="00EF37C7" w:rsidR="0056181D" w:rsidP="0056181D" w:rsidRDefault="0056181D" w14:paraId="417676E2" w14:textId="77777777">
      <w:pPr>
        <w:ind w:left="567" w:hanging="567"/>
        <w:rPr>
          <w:lang w:val="en-GB"/>
        </w:rPr>
      </w:pPr>
    </w:p>
    <w:p w:rsidRPr="00EF37C7" w:rsidR="0056181D" w:rsidP="0056181D" w:rsidRDefault="0056181D" w14:paraId="78BB9C88" w14:textId="77777777">
      <w:pPr>
        <w:pStyle w:val="Heading2"/>
      </w:pPr>
      <w:r>
        <w:t>Didelės energijos kainos labai kenkia Europos pramonės įmonių, bendrovių ir ypač MVĮ konkurencingumui, dėl to didėja jų gaminamų produktų ir teikiamų paslaugų kainos.</w:t>
      </w:r>
    </w:p>
    <w:p w:rsidRPr="00EF37C7" w:rsidR="0056181D" w:rsidP="0056181D" w:rsidRDefault="0056181D" w14:paraId="507104D7" w14:textId="77777777">
      <w:pPr>
        <w:pStyle w:val="Heading2"/>
        <w:numPr>
          <w:ilvl w:val="0"/>
          <w:numId w:val="0"/>
        </w:numPr>
        <w:ind w:left="567" w:hanging="567"/>
        <w:rPr>
          <w:lang w:val="en-GB" w:eastAsia="zh-CN"/>
        </w:rPr>
      </w:pPr>
    </w:p>
    <w:p w:rsidRPr="00EF37C7" w:rsidR="0056181D" w:rsidRDefault="0056181D" w14:paraId="1AD39AA1" w14:textId="77777777">
      <w:pPr>
        <w:pStyle w:val="Heading2"/>
        <w:rPr>
          <w:sz w:val="16"/>
          <w:szCs w:val="16"/>
        </w:rPr>
      </w:pPr>
      <w:r>
        <w:t>Nors perkamosios galios sumažėjimo poveikį jaučia dauguma namų ūkių, daugelyje valstybių narių labiausiai nukenčia mažas ir mažesnes nei vidutines pajamas gaunantys namų ūkiai</w:t>
      </w:r>
      <w:r w:rsidRPr="00EF37C7">
        <w:rPr>
          <w:sz w:val="24"/>
          <w:vertAlign w:val="superscript"/>
          <w:lang w:val="en-GB"/>
        </w:rPr>
        <w:footnoteReference w:id="11"/>
      </w:r>
      <w:r>
        <w:t>. Lytis, amžius, negalia, etninė kilmė, pajamų lygis ir būsto nuosavybės statusas taip pat gali neproporcingai paveikti žmonių gebėjimą patenkinti būtiniausius poreikius.</w:t>
      </w:r>
    </w:p>
    <w:p w:rsidRPr="00EF37C7" w:rsidR="0056181D" w:rsidP="0056181D" w:rsidRDefault="0056181D" w14:paraId="42DFC2E4" w14:textId="77777777">
      <w:pPr>
        <w:ind w:left="567" w:hanging="567"/>
        <w:rPr>
          <w:lang w:val="en-GB"/>
        </w:rPr>
      </w:pPr>
    </w:p>
    <w:p w:rsidRPr="00EF37C7" w:rsidR="0056181D" w:rsidP="0056181D" w:rsidRDefault="0056181D" w14:paraId="1D448BB5" w14:textId="77777777">
      <w:pPr>
        <w:pStyle w:val="Heading2"/>
      </w:pPr>
      <w:r>
        <w:t>2023 m. 24,8 proc. Europos Sąjungos vaikų grėsė skurdas ar socialinė atskirtis (AROPE) ir tai rodo, kad viename iš turtingiausių pasaulio regionų išlieka aukštas vaikų skurdo lygis. Vaikų skurdo lygis padidėjo 16 ES šalių, nors bendra skurdo rizika visoje ES sumažėjo</w:t>
      </w:r>
      <w:r w:rsidRPr="00EF37C7">
        <w:rPr>
          <w:rStyle w:val="FootnoteReference"/>
          <w:lang w:val="en-GB"/>
        </w:rPr>
        <w:footnoteReference w:id="12"/>
      </w:r>
      <w:r>
        <w:t>. Ypač pažeidžiamos yra moterys ir šeimos su vaikais: beveik pusė (48 proc.) tėvų, norėdami pamaitinti vaikus, sumažino savo maisto kiekį</w:t>
      </w:r>
      <w:r w:rsidRPr="00EF37C7">
        <w:rPr>
          <w:sz w:val="24"/>
          <w:vertAlign w:val="superscript"/>
          <w:lang w:val="en-GB"/>
        </w:rPr>
        <w:footnoteReference w:id="13"/>
      </w:r>
      <w:r>
        <w:t>. Dirbančiųjų skurdas sumažėjo tik nežymiai – iki 8,3 proc. 2023 m. (0,2 proc. punkto). Nepaisant apsaugos, kurią suteikia darbas, daugeliui darbuotojų vis dar gresia skurdas (AROPE)</w:t>
      </w:r>
      <w:r w:rsidRPr="00EF37C7">
        <w:rPr>
          <w:sz w:val="24"/>
          <w:vertAlign w:val="superscript"/>
          <w:lang w:val="en-GB"/>
        </w:rPr>
        <w:footnoteReference w:id="14"/>
      </w:r>
      <w:r>
        <w:t>.</w:t>
      </w:r>
    </w:p>
    <w:p w:rsidRPr="00EF37C7" w:rsidR="0056181D" w:rsidP="0056181D" w:rsidRDefault="0056181D" w14:paraId="69B0614A" w14:textId="77777777">
      <w:pPr>
        <w:ind w:left="567" w:hanging="567"/>
        <w:rPr>
          <w:lang w:val="en-GB"/>
        </w:rPr>
      </w:pPr>
    </w:p>
    <w:p w:rsidRPr="00EF37C7" w:rsidR="0056181D" w:rsidP="0056181D" w:rsidRDefault="0056181D" w14:paraId="2E91391D" w14:textId="77777777">
      <w:pPr>
        <w:pStyle w:val="Heading2"/>
      </w:pPr>
      <w:r>
        <w:t>EESRK pabrėžia, kad išsilavinimas yra labai svarbus skurdo lygį lemiantis požymis. 2023 m. beveik trečdalis (28,8 proc.) ES gyventojų, turinčių žemą išsilavinimą, laiko save neturtingais.</w:t>
      </w:r>
    </w:p>
    <w:p w:rsidRPr="00EF37C7" w:rsidR="0056181D" w:rsidP="0056181D" w:rsidRDefault="0056181D" w14:paraId="1448D039" w14:textId="77777777">
      <w:pPr>
        <w:ind w:left="567" w:hanging="567"/>
        <w:rPr>
          <w:lang w:val="en-GB"/>
        </w:rPr>
      </w:pPr>
    </w:p>
    <w:p w:rsidRPr="00EF37C7" w:rsidR="0056181D" w:rsidP="0056181D" w:rsidRDefault="0056181D" w14:paraId="4868E782" w14:textId="77777777">
      <w:pPr>
        <w:pStyle w:val="Heading2"/>
      </w:pPr>
      <w:r>
        <w:t xml:space="preserve">Viešosiomis paslaugomis tenkinami pagrindiniai piliečių poreikiai, prisidedama prie jų gerovės ir socialinės sanglaudos bei užtikrinamas ekonomikos stabilumas. Kokybiškos, įperkamos ir prieinamos viešosios paslaugos taip pat yra labai svarbios siekiant padėti sušvelninti didėjančių </w:t>
      </w:r>
      <w:r>
        <w:lastRenderedPageBreak/>
        <w:t xml:space="preserve">pragyvenimo išlaidų poveikį, visų pirma tiems, kurie patenka į apatinį pajamų paskirstymo </w:t>
      </w:r>
      <w:proofErr w:type="spellStart"/>
      <w:r>
        <w:t>kvintilį</w:t>
      </w:r>
      <w:proofErr w:type="spellEnd"/>
      <w:r>
        <w:t xml:space="preserve"> ir kuriems neproporcingai didelį poveikį daro padidėjusios pragyvenimo išlaidos.</w:t>
      </w:r>
    </w:p>
    <w:p w:rsidRPr="00EF37C7" w:rsidR="0056181D" w:rsidP="0056181D" w:rsidRDefault="0056181D" w14:paraId="7B864708" w14:textId="77777777">
      <w:pPr>
        <w:pStyle w:val="Heading2"/>
        <w:numPr>
          <w:ilvl w:val="0"/>
          <w:numId w:val="0"/>
        </w:numPr>
        <w:ind w:left="567" w:hanging="567"/>
        <w:rPr>
          <w:highlight w:val="yellow"/>
          <w:lang w:val="en-GB"/>
        </w:rPr>
      </w:pPr>
    </w:p>
    <w:p w:rsidRPr="00EF37C7" w:rsidR="0056181D" w:rsidP="0056181D" w:rsidRDefault="0056181D" w14:paraId="695FF1D1" w14:textId="77777777">
      <w:pPr>
        <w:pStyle w:val="Heading2"/>
      </w:pPr>
      <w:r>
        <w:t xml:space="preserve">EESRK taip pat yra susirūpinęs dėl JAV ir ES prekybos karo poveikio infliacijai, ES ekonomikai, įmonėms ir piliečių, ypač </w:t>
      </w:r>
      <w:proofErr w:type="spellStart"/>
      <w:r>
        <w:t>pažeidžiamiausių</w:t>
      </w:r>
      <w:proofErr w:type="spellEnd"/>
      <w:r>
        <w:t>, perkamajai galiai. Komitetas pabrėžia, kad ES ir valstybės narės turi imtis tinkamų priemonių šiam galimam poveikiui neutralizuoti.</w:t>
      </w:r>
    </w:p>
    <w:p w:rsidRPr="00EF37C7" w:rsidR="0056181D" w:rsidP="0056181D" w:rsidRDefault="0056181D" w14:paraId="20CCDF21" w14:textId="77777777">
      <w:pPr>
        <w:pStyle w:val="Heading2"/>
        <w:numPr>
          <w:ilvl w:val="0"/>
          <w:numId w:val="0"/>
        </w:numPr>
        <w:ind w:left="567" w:hanging="567"/>
        <w:rPr>
          <w:lang w:val="en-GB"/>
        </w:rPr>
      </w:pPr>
    </w:p>
    <w:p w:rsidRPr="00EF37C7" w:rsidR="0056181D" w:rsidP="0056181D" w:rsidRDefault="0056181D" w14:paraId="6E98C6A8" w14:textId="77777777">
      <w:pPr>
        <w:pStyle w:val="Heading2"/>
      </w:pPr>
      <w:r>
        <w:rPr>
          <w:shd w:val="clear" w:color="auto" w:fill="FFFFFF"/>
        </w:rPr>
        <w:t>EESRK pažymi, kad, nepaisant pastarojo meto ekonomikos padėties pagerėjimo</w:t>
      </w:r>
      <w:r w:rsidRPr="00EF37C7">
        <w:rPr>
          <w:rStyle w:val="FootnoteReference"/>
          <w:shd w:val="clear" w:color="auto" w:fill="FFFFFF"/>
          <w:lang w:val="en-GB"/>
        </w:rPr>
        <w:footnoteReference w:id="15"/>
      </w:r>
      <w:r>
        <w:rPr>
          <w:shd w:val="clear" w:color="auto" w:fill="FFFFFF"/>
        </w:rPr>
        <w:t>, dėl naujų neaiškumų vėl lėtėja augimas, o infliacija tebekelia susirūpinimą. Realusis darbo užmokestis tebėra mažesnis nei 2019 m., o vidutinis darbo užmokestis vis dar labai skiriasi visoje Europoje</w:t>
      </w:r>
      <w:r w:rsidRPr="00EF37C7">
        <w:rPr>
          <w:color w:val="000000"/>
          <w:sz w:val="24"/>
          <w:shd w:val="clear" w:color="auto" w:fill="FFFFFF"/>
          <w:vertAlign w:val="superscript"/>
          <w:lang w:val="en-GB"/>
        </w:rPr>
        <w:footnoteReference w:id="16"/>
      </w:r>
      <w:r>
        <w:rPr>
          <w:shd w:val="clear" w:color="auto" w:fill="FFFFFF"/>
        </w:rPr>
        <w:t>.</w:t>
      </w:r>
      <w:r>
        <w:rPr>
          <w:color w:val="000000"/>
          <w:shd w:val="clear" w:color="auto" w:fill="FFFFFF"/>
        </w:rPr>
        <w:t xml:space="preserve"> </w:t>
      </w:r>
      <w:r>
        <w:t>Turtinė nelygybė išlieka didelė ES problema: 10 proc. turtingiausių gyventojų priklausė net 56 proc. viso turto, o skurdžiausiai pusei gyventojų – tik 5 proc.</w:t>
      </w:r>
      <w:r w:rsidRPr="00EF37C7">
        <w:rPr>
          <w:rStyle w:val="FootnoteReference"/>
          <w:lang w:val="en-GB"/>
        </w:rPr>
        <w:footnoteReference w:id="17"/>
      </w:r>
    </w:p>
    <w:p w:rsidRPr="00EF37C7" w:rsidR="0056181D" w:rsidP="0056181D" w:rsidRDefault="0056181D" w14:paraId="760A1AC8" w14:textId="77777777">
      <w:pPr>
        <w:ind w:left="567" w:hanging="567"/>
        <w:rPr>
          <w:lang w:val="en-GB" w:eastAsia="zh-CN"/>
        </w:rPr>
      </w:pPr>
    </w:p>
    <w:p w:rsidRPr="00EF37C7" w:rsidR="0056181D" w:rsidP="0056181D" w:rsidRDefault="0056181D" w14:paraId="7CB25F51" w14:textId="77777777">
      <w:pPr>
        <w:pStyle w:val="Heading2"/>
      </w:pPr>
      <w:r>
        <w:t>Europos namų ūkių perkamosios galios sumažėjimas gali tapti rimta visuomenės sveikatos problema. Neprievalgis arba netinkama mityba yra reali grėsmė didelėms gyventojų grupėms</w:t>
      </w:r>
      <w:r w:rsidRPr="00EF37C7">
        <w:rPr>
          <w:rStyle w:val="FootnoteReference"/>
          <w:color w:val="000000"/>
          <w:szCs w:val="24"/>
          <w:lang w:val="en-GB" w:eastAsia="zh-CN"/>
        </w:rPr>
        <w:footnoteReference w:id="18"/>
      </w:r>
      <w:r>
        <w:t>. Maždaug dešimtadalis namų ūkių patiria labai didelių sveikatos priežiūros išlaidų, pavyzdžiui, savo lėšomis padengiamos sveikatos priežiūros paslaugos viršija jų turimus išteklius sveikatos priežiūrai apmokėti</w:t>
      </w:r>
      <w:r w:rsidRPr="00EF37C7">
        <w:rPr>
          <w:sz w:val="24"/>
          <w:vertAlign w:val="superscript"/>
          <w:lang w:val="en-GB" w:eastAsia="zh-CN"/>
        </w:rPr>
        <w:footnoteReference w:id="19"/>
      </w:r>
      <w:r>
        <w:t>. Tai gali turėti įtakos profilaktinei priežiūrai ir pavėlinti diagnostiką, o tai gali turėti didelį poveikį asmenims ir sveikatos priežiūros sistemoms.</w:t>
      </w:r>
    </w:p>
    <w:p w:rsidRPr="00EF37C7" w:rsidR="0056181D" w:rsidP="0056181D" w:rsidRDefault="0056181D" w14:paraId="61FF9F95" w14:textId="77777777">
      <w:pPr>
        <w:pStyle w:val="Heading2"/>
        <w:numPr>
          <w:ilvl w:val="0"/>
          <w:numId w:val="0"/>
        </w:numPr>
        <w:ind w:left="567" w:hanging="567"/>
        <w:rPr>
          <w:lang w:val="en-GB" w:eastAsia="zh-CN"/>
        </w:rPr>
      </w:pPr>
    </w:p>
    <w:p w:rsidRPr="00EF37C7" w:rsidR="0056181D" w:rsidP="0056181D" w:rsidRDefault="0056181D" w14:paraId="269A0C65" w14:textId="77777777">
      <w:pPr>
        <w:pStyle w:val="Heading1"/>
        <w:keepNext/>
        <w:keepLines/>
        <w:rPr>
          <w:b/>
          <w:bCs/>
        </w:rPr>
      </w:pPr>
      <w:r>
        <w:rPr>
          <w:b/>
        </w:rPr>
        <w:t>Konkrečios pastabos</w:t>
      </w:r>
    </w:p>
    <w:p w:rsidRPr="00EF37C7" w:rsidR="0056181D" w:rsidP="0056181D" w:rsidRDefault="0056181D" w14:paraId="7EDA3C6E" w14:textId="77777777">
      <w:pPr>
        <w:keepNext/>
        <w:keepLines/>
        <w:ind w:left="567" w:hanging="567"/>
        <w:rPr>
          <w:lang w:val="en-GB"/>
        </w:rPr>
      </w:pPr>
    </w:p>
    <w:p w:rsidRPr="00EF37C7" w:rsidR="0056181D" w:rsidP="0056181D" w:rsidRDefault="0056181D" w14:paraId="154D3B94" w14:textId="77777777">
      <w:pPr>
        <w:pStyle w:val="Heading2"/>
      </w:pPr>
      <w:r>
        <w:rPr>
          <w:rStyle w:val="Heading1Char"/>
        </w:rPr>
        <w:t>Nors dėl pragyvenimo išlaidų krizės visoje Europoje didėja sunkumai ir finansinis nesaugumas, jos poveikis įvairiose šalyse yra skirtingas</w:t>
      </w:r>
      <w:r w:rsidRPr="00EF37C7">
        <w:rPr>
          <w:rStyle w:val="Heading1Char"/>
          <w:sz w:val="24"/>
          <w:szCs w:val="24"/>
          <w:vertAlign w:val="superscript"/>
          <w:lang w:val="en-GB"/>
        </w:rPr>
        <w:footnoteReference w:id="20"/>
      </w:r>
      <w:r>
        <w:rPr>
          <w:rStyle w:val="Heading1Char"/>
        </w:rPr>
        <w:t xml:space="preserve">. Yra nemažai sutapimų valstybių narių vyriausybių pasirinkimuose, kaip kompensuoti pajamų lygio skirtumus, ir kurioms pagalbos rūšims teikti pirmenybę. </w:t>
      </w:r>
    </w:p>
    <w:p w:rsidRPr="00EF37C7" w:rsidR="0056181D" w:rsidP="0056181D" w:rsidRDefault="0056181D" w14:paraId="4EF35ABB" w14:textId="77777777">
      <w:pPr>
        <w:ind w:left="567"/>
        <w:rPr>
          <w:lang w:val="en-GB"/>
        </w:rPr>
      </w:pPr>
    </w:p>
    <w:p w:rsidRPr="00EF37C7" w:rsidR="0056181D" w:rsidP="0056181D" w:rsidRDefault="0056181D" w14:paraId="68EC9A16" w14:textId="77777777">
      <w:pPr>
        <w:pStyle w:val="Heading2"/>
        <w:numPr>
          <w:ilvl w:val="0"/>
          <w:numId w:val="0"/>
        </w:numPr>
        <w:ind w:left="567"/>
      </w:pPr>
      <w:r>
        <w:t>Nors pragyvenimo išlaidų krizės įveikimas iš esmės priklauso nacionalinei kompetencijai, yra daug galimybių imtis priemonių Europos lygmeniu siekiant užkirsti kelią naujoms krizėms, didinti atsparumą krizėms ir abipusiu mokymusi paremti nacionalines priemones gerąja patirtimi, kuri turėtų būti ištirta ir pritaikoma.</w:t>
      </w:r>
    </w:p>
    <w:p w:rsidRPr="00EF37C7" w:rsidR="0056181D" w:rsidP="0056181D" w:rsidRDefault="0056181D" w14:paraId="57E03C3F" w14:textId="77777777">
      <w:pPr>
        <w:ind w:left="567" w:hanging="567"/>
        <w:rPr>
          <w:lang w:val="en-GB"/>
        </w:rPr>
      </w:pPr>
    </w:p>
    <w:p w:rsidRPr="00EF37C7" w:rsidR="0056181D" w:rsidP="0056181D" w:rsidRDefault="0056181D" w14:paraId="50741933" w14:textId="77777777">
      <w:pPr>
        <w:pStyle w:val="Heading2"/>
      </w:pPr>
      <w:r>
        <w:t>EESRK mano, kad tvirtesnis ir gerai veikiantis socialinis dialogas ir kolektyvinės derybos, atsižvelgiant į kiekvienos valstybės narės darbo santykių praktiką ir visapusiškai gerbiant socialinių partnerių savarankiškumą, yra vertingi sprendžiant perkamosios galios sumažėjimo problemas ir įveikiant su tuo susijusius iššūkius.</w:t>
      </w:r>
    </w:p>
    <w:p w:rsidRPr="00EF37C7" w:rsidR="0056181D" w:rsidP="0056181D" w:rsidRDefault="0056181D" w14:paraId="10F78AFA" w14:textId="77777777">
      <w:pPr>
        <w:ind w:left="567" w:hanging="567"/>
        <w:rPr>
          <w:lang w:val="en-GB"/>
        </w:rPr>
      </w:pPr>
    </w:p>
    <w:p w:rsidRPr="00EF37C7" w:rsidR="0056181D" w:rsidP="0056181D" w:rsidRDefault="0056181D" w14:paraId="039B5D4F" w14:textId="77777777">
      <w:pPr>
        <w:pStyle w:val="Heading2"/>
      </w:pPr>
      <w:r>
        <w:lastRenderedPageBreak/>
        <w:t xml:space="preserve">EESRK pažymi, kad didelės infliacijos laikotarpiai kelia ypatingų sunkumų socialiniams partneriams ir kad didėjančios infliacijos klausimas gali būti nesvarstomas kolektyvinėse derybose ir neįtraukiamas į po jų sudaromas sutartis. Tačiau Komitetas taip pat atkreipia dėmesį į įvairius mechanizmus, kuriais kolektyvinėmis sutartimis bandoma susieti darbo užmokestį su infliacijos tendencijomis, kad būtų išvengta netikėto perkamosios galios sumažėjimo, ir kad socialiniai partneriai taip pat gali priimti </w:t>
      </w:r>
      <w:r>
        <w:rPr>
          <w:i/>
        </w:rPr>
        <w:t>ad hoc</w:t>
      </w:r>
      <w:r>
        <w:t xml:space="preserve"> mechanizmus infliacijos krizei suvaldyti. Įgūdžių ir darbo jėgos trūkumas ES vis dar išlieka ir apie tai pranešama kaip apie vieną iš pagrindinių kliūčių įmonių investicijoms ir augimui. Be to, beveik 25 proc. darbingo amžiaus žmonių ES tebėra neaktyvūs</w:t>
      </w:r>
      <w:r w:rsidRPr="00EF37C7">
        <w:rPr>
          <w:rStyle w:val="FootnoteReference"/>
          <w:lang w:val="en-GB" w:eastAsia="en-GB"/>
        </w:rPr>
        <w:footnoteReference w:id="21"/>
      </w:r>
      <w:r>
        <w:t>. Tai rodo, kaip svarbu gerai parengti aktyvios darbo rinkos politiką. Reikia keistis geriausia valstybinių užimtumo tarnybų reformų patirtimi, siekiant pagerinti jų veiksmingumą ir valstybinių bei privačių užimtumo tarnybų bendradarbiavimą.</w:t>
      </w:r>
    </w:p>
    <w:p w:rsidRPr="00EF37C7" w:rsidR="0056181D" w:rsidP="0056181D" w:rsidRDefault="0056181D" w14:paraId="7A5753EC" w14:textId="77777777">
      <w:pPr>
        <w:ind w:left="567" w:hanging="567"/>
        <w:rPr>
          <w:lang w:val="en-GB" w:eastAsia="zh-CN"/>
        </w:rPr>
      </w:pPr>
    </w:p>
    <w:p w:rsidRPr="00EF37C7" w:rsidR="0056181D" w:rsidP="0056181D" w:rsidRDefault="0056181D" w14:paraId="033B75BB" w14:textId="77777777">
      <w:pPr>
        <w:pStyle w:val="Heading2"/>
        <w:rPr>
          <w:color w:val="000000"/>
        </w:rPr>
      </w:pPr>
      <w:r>
        <w:t>Kaip reikalaujama pagal Direktyvą dėl deramo minimaliojo darbo užmokesčio ES, valstybės narės, kurių kolektyvinių derybų aprėpties lygis yra mažesnis nei 80 proc. riba, turėtų nedelsdamos sukurti kolektyvinių derybų sąlygų sistemą ir, konsultuodamosi su socialiniais partneriais, parengti savo nacionalinius veiksmų planus kolektyvinėms deryboms skatinti. Komisija turėtų teikti atitinkamą paramą, be kita ko, nuolat stiprinti gebėjimus, ir imtis atitinkamų vykdymo užtikrinimo veiksmų.</w:t>
      </w:r>
    </w:p>
    <w:p w:rsidRPr="00EF37C7" w:rsidR="0056181D" w:rsidP="0056181D" w:rsidRDefault="0056181D" w14:paraId="1B20371D" w14:textId="77777777">
      <w:pPr>
        <w:ind w:left="567" w:hanging="567"/>
        <w:rPr>
          <w:lang w:val="en-GB" w:eastAsia="zh-CN"/>
        </w:rPr>
      </w:pPr>
    </w:p>
    <w:p w:rsidRPr="00EF37C7" w:rsidR="0056181D" w:rsidP="0056181D" w:rsidRDefault="0056181D" w14:paraId="3DEF2582" w14:textId="77777777">
      <w:pPr>
        <w:pStyle w:val="Heading2"/>
      </w:pPr>
      <w:r>
        <w:t xml:space="preserve">Reikia visapusiškai pripažinti ir gerbti ypatingą socialinio dialogo vaidmenį, kartu pripažinti išskirtinį ir papildomą pilietinio dialogo vaidmenį. Pilietinės visuomenės organizacijos gali būti labai svarbios dalyvės formuojant dalyvaujamąją politiką su darbu nesusijusiais klausimais, atstovaudamos oficialiai darbo rinkai nepriklausantiems asmenims, ir prisidėti sprendžiant nelygybės, ypač </w:t>
      </w:r>
      <w:proofErr w:type="spellStart"/>
      <w:r>
        <w:t>pažeidžiamiausių</w:t>
      </w:r>
      <w:proofErr w:type="spellEnd"/>
      <w:r>
        <w:t xml:space="preserve"> grupių, problemą.</w:t>
      </w:r>
    </w:p>
    <w:p w:rsidRPr="00EF37C7" w:rsidR="0056181D" w:rsidP="0056181D" w:rsidRDefault="0056181D" w14:paraId="1A7ED222" w14:textId="77777777">
      <w:pPr>
        <w:ind w:left="567" w:hanging="567"/>
        <w:rPr>
          <w:lang w:val="en-GB" w:eastAsia="zh-CN"/>
        </w:rPr>
      </w:pPr>
    </w:p>
    <w:p w:rsidRPr="00EF37C7" w:rsidR="0056181D" w:rsidP="0056181D" w:rsidRDefault="0056181D" w14:paraId="0E501708" w14:textId="77777777">
      <w:pPr>
        <w:pStyle w:val="Heading2"/>
      </w:pPr>
      <w:r>
        <w:t>Vienas iš kriterijų, į kuriuos taip pat reikėtų atsižvelgti koreguojant minimalųjį darbo užmokestį, turėtų būti perkamosios galios išsaugojimas. EESRK palankiai vertina paskelbtą 2025 m. nacionalinio minimaliojo darbo užmokesčio didinimą, visų pirma reikšmingą jo padidinimą daugumoje Vidurio ir Rytų Europos valstybių narių</w:t>
      </w:r>
      <w:r w:rsidRPr="00EF37C7">
        <w:rPr>
          <w:rStyle w:val="FootnoteReference"/>
          <w:color w:val="000000"/>
          <w:shd w:val="clear" w:color="auto" w:fill="FFFFFF"/>
          <w:lang w:val="en-GB"/>
        </w:rPr>
        <w:footnoteReference w:id="22"/>
      </w:r>
      <w:r>
        <w:t>. Kalbant apie naujus 2025 m. minimaliojo darbo užmokesčio tarifus, Komitetas pažymi, kad pastebimas struktūrinis padidėjimas, glaudžiai susijęs su Direktyvos dėl deramo minimaliojo darbo užmokesčio ES nuostatomis</w:t>
      </w:r>
      <w:r w:rsidRPr="00EF37C7">
        <w:rPr>
          <w:rStyle w:val="FootnoteReference"/>
          <w:color w:val="000000"/>
          <w:shd w:val="clear" w:color="auto" w:fill="FFFFFF"/>
          <w:lang w:val="en-GB"/>
        </w:rPr>
        <w:footnoteReference w:id="23"/>
      </w:r>
      <w:r>
        <w:t>.</w:t>
      </w:r>
    </w:p>
    <w:p w:rsidRPr="00EF37C7" w:rsidR="0056181D" w:rsidP="0056181D" w:rsidRDefault="0056181D" w14:paraId="3190359F" w14:textId="77777777">
      <w:pPr>
        <w:ind w:left="567" w:hanging="567"/>
        <w:rPr>
          <w:lang w:val="en-GB" w:eastAsia="zh-CN"/>
        </w:rPr>
      </w:pPr>
    </w:p>
    <w:p w:rsidRPr="00EF37C7" w:rsidR="0056181D" w:rsidP="0056181D" w:rsidRDefault="0056181D" w14:paraId="0465D295" w14:textId="77777777">
      <w:pPr>
        <w:pStyle w:val="Heading2"/>
      </w:pPr>
      <w:r>
        <w:t xml:space="preserve">Šiomis aplinkybėmis taip pat reikėtų atkreipti dėmesį į bendrą stabilizuojantį minimalių pajamų sistemų poveikį ekonomikai. EESRK primygtinai tvirtina, kad minimalios pajamos turi būti nustatomos atsižvelgiant į infliaciją, ypač augant pragyvenimo išlaidoms, ir tai turėtų būti daroma reguliariai. Be to, labai svarbu stiprinti </w:t>
      </w:r>
      <w:r>
        <w:rPr>
          <w:color w:val="000000"/>
        </w:rPr>
        <w:t>2023 m. sausio mėn.</w:t>
      </w:r>
      <w:r>
        <w:t xml:space="preserve"> </w:t>
      </w:r>
      <w:r>
        <w:rPr>
          <w:color w:val="000000"/>
        </w:rPr>
        <w:t>Tarybos</w:t>
      </w:r>
      <w:r>
        <w:t xml:space="preserve"> rekomendacijos </w:t>
      </w:r>
      <w:r>
        <w:rPr>
          <w:color w:val="000000"/>
        </w:rPr>
        <w:t xml:space="preserve">dėl pakankamų minimalių pajamų, kuriomis užtikrinama aktyvi </w:t>
      </w:r>
      <w:proofErr w:type="spellStart"/>
      <w:r>
        <w:rPr>
          <w:color w:val="000000"/>
        </w:rPr>
        <w:t>įtrauktis</w:t>
      </w:r>
      <w:proofErr w:type="spellEnd"/>
      <w:r>
        <w:rPr>
          <w:color w:val="000000"/>
        </w:rPr>
        <w:t>, įgyvendinimą</w:t>
      </w:r>
      <w:r w:rsidRPr="00EF37C7">
        <w:rPr>
          <w:rStyle w:val="FootnoteReference"/>
          <w:color w:val="000000"/>
          <w:szCs w:val="24"/>
          <w:lang w:val="en-GB" w:eastAsia="en-GB"/>
        </w:rPr>
        <w:footnoteReference w:id="24"/>
      </w:r>
      <w:r>
        <w:rPr>
          <w:color w:val="000000"/>
        </w:rPr>
        <w:t>.</w:t>
      </w:r>
    </w:p>
    <w:p w:rsidRPr="00EF37C7" w:rsidR="0056181D" w:rsidP="0056181D" w:rsidRDefault="0056181D" w14:paraId="514C4BFC" w14:textId="77777777">
      <w:pPr>
        <w:pStyle w:val="Heading2"/>
        <w:numPr>
          <w:ilvl w:val="0"/>
          <w:numId w:val="0"/>
        </w:numPr>
        <w:ind w:left="567" w:hanging="567"/>
        <w:rPr>
          <w:lang w:val="en-GB" w:eastAsia="en-GB"/>
        </w:rPr>
      </w:pPr>
    </w:p>
    <w:p w:rsidRPr="00EF37C7" w:rsidR="0056181D" w:rsidP="0056181D" w:rsidRDefault="0056181D" w14:paraId="770BE2AD" w14:textId="77777777">
      <w:pPr>
        <w:pStyle w:val="Heading2"/>
      </w:pPr>
      <w:r>
        <w:t xml:space="preserve">EESRK nuomone, būtina užtikrinti tinkamas darbo sąlygas įgyvendinant ir taikant galiojančias ES ir nacionalines taisykles, apimančias, be kita ko, nediskriminavimą, socialinę apsaugą, </w:t>
      </w:r>
      <w:r>
        <w:lastRenderedPageBreak/>
        <w:t>sveikatos apsaugą ir saugą, darbuotojų perkvalifikavimą ir kvalifikacijos kėlimą, socialinį dialogą ir profesinių sąjungų atstovavimą, deramą darbo užmokestį, taip pat lyčių lygybę ir, ypač, vienodą darbo užmokestį už vienodos vertės darbą.</w:t>
      </w:r>
    </w:p>
    <w:p w:rsidRPr="00EF37C7" w:rsidR="0056181D" w:rsidP="0056181D" w:rsidRDefault="0056181D" w14:paraId="1E0408C7" w14:textId="77777777">
      <w:pPr>
        <w:ind w:left="567" w:hanging="567"/>
        <w:rPr>
          <w:lang w:val="en-GB" w:eastAsia="en-GB"/>
        </w:rPr>
      </w:pPr>
    </w:p>
    <w:p w:rsidRPr="00EF37C7" w:rsidR="0056181D" w:rsidP="0056181D" w:rsidRDefault="0056181D" w14:paraId="1BD16C93" w14:textId="77777777">
      <w:pPr>
        <w:pStyle w:val="Heading2"/>
      </w:pPr>
      <w:r>
        <w:t>Skaitmeninis skurdas ir atskirtis ES turėtų būti stebimi ir vertinami pagal galimybes naudotis esminėmis paslaugomis</w:t>
      </w:r>
      <w:r w:rsidRPr="00EF37C7">
        <w:rPr>
          <w:rStyle w:val="FootnoteReference"/>
          <w:szCs w:val="24"/>
          <w:lang w:val="en-GB"/>
        </w:rPr>
        <w:footnoteReference w:id="25"/>
      </w:r>
      <w:r>
        <w:t>.</w:t>
      </w:r>
    </w:p>
    <w:p w:rsidRPr="00EF37C7" w:rsidR="0056181D" w:rsidP="0056181D" w:rsidRDefault="0056181D" w14:paraId="4C3EF24F" w14:textId="77777777">
      <w:pPr>
        <w:ind w:left="567" w:hanging="567"/>
        <w:rPr>
          <w:lang w:val="en-GB" w:eastAsia="en-GB"/>
        </w:rPr>
      </w:pPr>
    </w:p>
    <w:p w:rsidRPr="00EF37C7" w:rsidR="0056181D" w:rsidP="0056181D" w:rsidRDefault="0056181D" w14:paraId="25E28F4D" w14:textId="77777777">
      <w:pPr>
        <w:pStyle w:val="Heading2"/>
      </w:pPr>
      <w:r>
        <w:t>Galimybė įsigyti įperkamo ir sveiko maisto turi būti įtraukta į būtiniausių prekių ir esminių paslaugų sistemą, susietą su sveikų žmonių ir sveikos planetos tikslais pagal Europos žaliąjį kursą</w:t>
      </w:r>
      <w:r w:rsidRPr="00EF37C7">
        <w:rPr>
          <w:rStyle w:val="FootnoteReference"/>
          <w:szCs w:val="24"/>
          <w:lang w:val="en-GB"/>
        </w:rPr>
        <w:footnoteReference w:id="26"/>
      </w:r>
      <w:r>
        <w:t>.</w:t>
      </w:r>
    </w:p>
    <w:p w:rsidRPr="00EF37C7" w:rsidR="0056181D" w:rsidP="0056181D" w:rsidRDefault="0056181D" w14:paraId="7FA04533" w14:textId="77777777">
      <w:pPr>
        <w:ind w:left="567" w:hanging="567"/>
        <w:rPr>
          <w:lang w:val="en-GB" w:eastAsia="zh-CN"/>
        </w:rPr>
      </w:pPr>
    </w:p>
    <w:p w:rsidRPr="00EF37C7" w:rsidR="0056181D" w:rsidP="0056181D" w:rsidRDefault="0056181D" w14:paraId="428BB9A0" w14:textId="77777777">
      <w:pPr>
        <w:pStyle w:val="Heading2"/>
      </w:pPr>
      <w:r>
        <w:t>EESRK pabrėžia, kad reikia veiksmingiau investuoti į viešąsias paslaugas ir infrastruktūrą, įskaitant sveikatos priežiūros ir švietimo sektorius, ir kartu skirti dėmesį sveikatos apsaugai ir būstui, kad būtų užtikrintas tinkamas ir įperkamas socialinis būstas, kartu su kitomis socialinėmis investicijomis. Tikslinė parama socialinės ekonomikos organizacijoms gali padėti stiprinti socialinę infrastruktūrą, kurti kokybiškas darbo vietas ir sudaryti galimybę naudotis įperkamomis pagrindinėmis paslaugomis. Komitetas įspėja, kad didesnės investicijos į gynybos pramonę neturėtų kelti pavojaus pirmiau minėtoms sritims, ypač kai daugelis valstybių narių patiria fiskalinių suvaržymų ir vėl pradeda mažinti pagrindinių viešųjų paslaugų finansavimą. Jis taip pat ragina imtis priemonių, kuriomis būtų skatinamas ekonomikos augimas ir našumas, kad būtų sudarytos sąlygos investuoti į bendrą gerovę.</w:t>
      </w:r>
    </w:p>
    <w:p w:rsidRPr="00C43C7D" w:rsidR="0056181D" w:rsidP="0056181D" w:rsidRDefault="0056181D" w14:paraId="055D11F6" w14:textId="77777777">
      <w:pPr>
        <w:pStyle w:val="Heading2"/>
        <w:numPr>
          <w:ilvl w:val="0"/>
          <w:numId w:val="0"/>
        </w:numPr>
        <w:ind w:left="567" w:hanging="567"/>
        <w:rPr>
          <w:lang w:val="en-GB" w:eastAsia="en-GB"/>
        </w:rPr>
      </w:pPr>
    </w:p>
    <w:p w:rsidRPr="00EF37C7" w:rsidR="0056181D" w:rsidP="0056181D" w:rsidRDefault="0056181D" w14:paraId="5E86ADE2" w14:textId="77777777">
      <w:pPr>
        <w:pStyle w:val="Heading2"/>
      </w:pPr>
      <w:r>
        <w:t xml:space="preserve">EESRK pabrėžia, kad teisės į maistą, deramą būstą, vandenį ir sanitarijos paslaugas yra žmogaus teisės ir kad visi Europos piliečiai turėtų turėti galimybę veiksmingai jomis naudotis. Deramas būstas reiškia ir </w:t>
      </w:r>
      <w:proofErr w:type="spellStart"/>
      <w:r>
        <w:t>įperkamumą</w:t>
      </w:r>
      <w:proofErr w:type="spellEnd"/>
      <w:r w:rsidRPr="00EF37C7">
        <w:rPr>
          <w:rStyle w:val="FootnoteReference"/>
          <w:lang w:val="en-GB" w:eastAsia="en-GB"/>
        </w:rPr>
        <w:footnoteReference w:id="27"/>
      </w:r>
      <w:r>
        <w:t>, ir gebėjimą šildyti būstą, įskaitant atsisakymą visam laikui nutraukti energijos tiekimą pažeidžiamoje padėtyje esantiems asmenims, kaip garantijos priemonę prireikus siekiant užkirsti kelią atskirčiai ir skurdui.</w:t>
      </w:r>
    </w:p>
    <w:p w:rsidRPr="00EF37C7" w:rsidR="0056181D" w:rsidP="0056181D" w:rsidRDefault="0056181D" w14:paraId="6FC994AF" w14:textId="77777777">
      <w:pPr>
        <w:rPr>
          <w:lang w:val="en-GB" w:eastAsia="en-GB"/>
        </w:rPr>
      </w:pPr>
    </w:p>
    <w:p w:rsidRPr="00EF37C7" w:rsidR="0056181D" w:rsidP="0056181D" w:rsidRDefault="0056181D" w14:paraId="2359F8C2" w14:textId="77777777">
      <w:pPr>
        <w:pStyle w:val="Heading2"/>
      </w:pPr>
      <w:r>
        <w:t>EESRK mano, kad labai svarbu taikant ES vidaus rinkos ir konkurencijos taisykles numatyti išimtis esminių paslaugų teikimui siekiant apsaugoti piliečių galimybes naudotis paslaugomis, net ir tais atvejais, kai galioja viešųjų paslaugų įsipareigojimas</w:t>
      </w:r>
      <w:r w:rsidRPr="00EF37C7">
        <w:rPr>
          <w:rStyle w:val="FootnoteReference"/>
          <w:szCs w:val="24"/>
          <w:lang w:val="en-GB"/>
        </w:rPr>
        <w:footnoteReference w:id="28"/>
      </w:r>
      <w:r>
        <w:t>.</w:t>
      </w:r>
    </w:p>
    <w:p w:rsidRPr="00EF37C7" w:rsidR="0056181D" w:rsidP="0056181D" w:rsidRDefault="0056181D" w14:paraId="4DA8F5A1" w14:textId="77777777">
      <w:pPr>
        <w:ind w:left="567" w:hanging="567"/>
        <w:rPr>
          <w:lang w:val="en-GB" w:eastAsia="en-GB"/>
        </w:rPr>
      </w:pPr>
    </w:p>
    <w:p w:rsidRPr="00EF37C7" w:rsidR="0056181D" w:rsidP="0056181D" w:rsidRDefault="0056181D" w14:paraId="65E40272" w14:textId="77777777">
      <w:pPr>
        <w:pStyle w:val="Heading2"/>
      </w:pPr>
      <w:r>
        <w:t>EESRK rekomenduoja užtikrinti, kad būtų laikomasi teisės aktų, susijusių su bendrojo intereso paslaugomis ir kitų teisės aktų, įskaitant reglamentą dėl su vidaus rinka suderinamų pagalbos kategorijų, Paslaugų direktyvą, vartotojų apsaugos priemones ir Visuotinės svarbos paslaugų Europoje kokybės sistemą</w:t>
      </w:r>
      <w:r w:rsidRPr="00EF37C7">
        <w:rPr>
          <w:rStyle w:val="FootnoteReference"/>
          <w:szCs w:val="24"/>
          <w:lang w:val="en-GB"/>
        </w:rPr>
        <w:footnoteReference w:id="29"/>
      </w:r>
      <w:r>
        <w:t>.</w:t>
      </w:r>
    </w:p>
    <w:p w:rsidRPr="00EF37C7" w:rsidR="0056181D" w:rsidP="0056181D" w:rsidRDefault="0056181D" w14:paraId="773EAAE6" w14:textId="77777777">
      <w:pPr>
        <w:ind w:left="567" w:hanging="567"/>
        <w:rPr>
          <w:lang w:val="en-GB" w:eastAsia="en-GB"/>
        </w:rPr>
      </w:pPr>
    </w:p>
    <w:p w:rsidRPr="00EF37C7" w:rsidR="0056181D" w:rsidP="0056181D" w:rsidRDefault="0056181D" w14:paraId="3A2F3171" w14:textId="77777777">
      <w:pPr>
        <w:pStyle w:val="Heading2"/>
      </w:pPr>
      <w:r>
        <w:t xml:space="preserve">EESRK mano, kad, siekiant kompensuoti sumažėjusią perkamąja galią Europoje, reikėtų toliau plėtoti esmines ir socialines paslaugas, kad būtų pašalintos kliūtys, trukdančios jomis naudotis. </w:t>
      </w:r>
      <w:r>
        <w:lastRenderedPageBreak/>
        <w:t>Komitetas pažymi, kad Europos socialinių teisių 20 principe pateikiamas nebaigtinis esminių paslaugų sąrašas.</w:t>
      </w:r>
    </w:p>
    <w:p w:rsidRPr="00EF37C7" w:rsidR="0056181D" w:rsidP="0056181D" w:rsidRDefault="0056181D" w14:paraId="3F888781" w14:textId="77777777">
      <w:pPr>
        <w:rPr>
          <w:lang w:val="en-GB"/>
        </w:rPr>
      </w:pPr>
    </w:p>
    <w:p w:rsidRPr="00EF37C7" w:rsidR="0056181D" w:rsidP="0056181D" w:rsidRDefault="0056181D" w14:paraId="73C33654" w14:textId="77777777">
      <w:pPr>
        <w:pStyle w:val="Heading2"/>
      </w:pPr>
      <w:r>
        <w:t>Kova su energijos nepritekliumi ir atskirtimi turi tapti pagrindiniu prioritetu. Europos socialinių teisių ramsčio skurdo mažinimo tikslui pasiekti valstybės narės turi politikos priemonių rinkinį, kuriuo nustatomi aiškūs tikslai, įvertinami ir tenkinami pažeidžiamų namų ūkių poreikiai</w:t>
      </w:r>
      <w:r w:rsidRPr="00EF37C7">
        <w:rPr>
          <w:rStyle w:val="FootnoteReference"/>
          <w:color w:val="000000"/>
          <w:lang w:val="en-GB" w:eastAsia="en-GB"/>
        </w:rPr>
        <w:footnoteReference w:id="30"/>
      </w:r>
      <w:r>
        <w:t>.</w:t>
      </w:r>
    </w:p>
    <w:p w:rsidRPr="00EF37C7" w:rsidR="0056181D" w:rsidP="0056181D" w:rsidRDefault="0056181D" w14:paraId="230825E2" w14:textId="77777777">
      <w:pPr>
        <w:ind w:left="567" w:hanging="567"/>
        <w:rPr>
          <w:lang w:val="en-GB"/>
        </w:rPr>
      </w:pPr>
    </w:p>
    <w:p w:rsidRPr="00EF37C7" w:rsidR="0056181D" w:rsidP="0056181D" w:rsidRDefault="0056181D" w14:paraId="0AA22233" w14:textId="77777777">
      <w:pPr>
        <w:pStyle w:val="Heading2"/>
        <w:rPr>
          <w:color w:val="000000"/>
        </w:rPr>
      </w:pPr>
      <w:r>
        <w:t>EESRK mano, kad Europos semestras ir jo socialinės konvergencijos sistema tebėra vienos svarbiausių priemonių stebėti politiką ir veiksmus, kurių valstybės narės ėmėsi siekdamos įveikti krizę, kylančią dėl perkamosios galios mažėjimo ir jo poveikio nelygybei bei socialinei atskirčiai, ir išspręsti visus su tuo susijusius Europos ekonomikos ir visuomenės klausimus. EESRK pabrėžia, kad svarbu aktyviau naudoti paskirstomojo poveikio vertinimus, siekiant užtikrinti, kad visų sričių politikos priemonės nepadidintų skurdo ar nelygybės</w:t>
      </w:r>
      <w:r w:rsidRPr="00EF37C7">
        <w:rPr>
          <w:sz w:val="24"/>
          <w:szCs w:val="24"/>
          <w:vertAlign w:val="superscript"/>
          <w:lang w:val="en-GB"/>
        </w:rPr>
        <w:footnoteReference w:id="31"/>
      </w:r>
      <w:r>
        <w:t xml:space="preserve">, ir kartu įvertinti lyčių ir jaunimo perspektyvas. Kai aktualu, visose socialinės politikos srityse turėtų būti atsižvelgiama į atitinkamą suskirstytų duomenų naudojimą. </w:t>
      </w:r>
      <w:r>
        <w:rPr>
          <w:color w:val="000000"/>
        </w:rPr>
        <w:t>EESRK pakartoja, kad rengiant priemones ir politiką svarbu socialinius rodiklius vertinti tuo pačiu lygmeniu kaip ir ekonominius rodiklius.</w:t>
      </w:r>
    </w:p>
    <w:p w:rsidRPr="00EF37C7" w:rsidR="0056181D" w:rsidP="0056181D" w:rsidRDefault="0056181D" w14:paraId="0906C2DE" w14:textId="77777777">
      <w:pPr>
        <w:ind w:left="567" w:hanging="567"/>
        <w:rPr>
          <w:lang w:val="en-GB" w:eastAsia="en-GB"/>
        </w:rPr>
      </w:pPr>
    </w:p>
    <w:p w:rsidRPr="00EF37C7" w:rsidR="0056181D" w:rsidP="0056181D" w:rsidRDefault="0056181D" w14:paraId="636E64EF" w14:textId="77777777">
      <w:pPr>
        <w:pStyle w:val="Heading2"/>
      </w:pPr>
      <w:r>
        <w:t>EESRK mano, kad reikėtų atidžiai išnagrinėti ir įvertinti per COVID-19 krizę – dėl kurios buvo įteisintas švelnesnės fiskalinės politikos įgyvendinimas taikant bendrąją apsaugos sąlygą – įgytą patirtį ir numatyti mechanizmus, kurie paskatintų būtinas vidaus investicijas ir reformas bei leistų išvengti socialinių investicijų mažinimo ilguoju laikotarpiu</w:t>
      </w:r>
      <w:r w:rsidRPr="00EF37C7">
        <w:rPr>
          <w:rStyle w:val="FootnoteReference"/>
          <w:szCs w:val="24"/>
          <w:lang w:val="en-GB"/>
        </w:rPr>
        <w:footnoteReference w:id="32"/>
      </w:r>
      <w:r>
        <w:t>.</w:t>
      </w:r>
    </w:p>
    <w:p w:rsidRPr="00EF37C7" w:rsidR="0056181D" w:rsidP="0056181D" w:rsidRDefault="0056181D" w14:paraId="1D231E10" w14:textId="77777777">
      <w:pPr>
        <w:rPr>
          <w:lang w:val="en-GB" w:eastAsia="en-GB"/>
        </w:rPr>
      </w:pPr>
    </w:p>
    <w:p w:rsidRPr="00EF37C7" w:rsidR="0056181D" w:rsidP="0056181D" w:rsidRDefault="0056181D" w14:paraId="6744FB3D" w14:textId="77777777">
      <w:r>
        <w:t>2025 m. birželio 19 d., Briuselis.</w:t>
      </w:r>
    </w:p>
    <w:p w:rsidRPr="00EF37C7" w:rsidR="0056181D" w:rsidP="0056181D" w:rsidRDefault="0056181D" w14:paraId="5C675289" w14:textId="77777777">
      <w:pPr>
        <w:rPr>
          <w:lang w:val="en-GB" w:eastAsia="en-GB"/>
        </w:rPr>
      </w:pPr>
    </w:p>
    <w:p w:rsidRPr="00EF37C7" w:rsidR="0056181D" w:rsidP="0056181D" w:rsidRDefault="0056181D" w14:paraId="02D649E2" w14:textId="77777777">
      <w:pPr>
        <w:rPr>
          <w:lang w:val="en-GB" w:eastAsia="en-GB"/>
        </w:rPr>
      </w:pPr>
    </w:p>
    <w:p w:rsidRPr="00EF37C7" w:rsidR="0056181D" w:rsidP="0056181D" w:rsidRDefault="0056181D" w14:paraId="71DD1D18" w14:textId="77777777">
      <w:pPr>
        <w:keepNext/>
        <w:keepLines/>
        <w:jc w:val="left"/>
        <w:rPr>
          <w:i/>
          <w:iCs/>
        </w:rPr>
      </w:pPr>
      <w:r>
        <w:rPr>
          <w:i/>
        </w:rPr>
        <w:t>Europos ekonomikos ir socialinių reikalų komiteto pirmininkas</w:t>
      </w:r>
    </w:p>
    <w:p w:rsidRPr="00026B2B" w:rsidR="0056181D" w:rsidP="0056181D" w:rsidRDefault="0056181D" w14:paraId="4AB21230" w14:textId="3E6960F3">
      <w:r>
        <w:t>Oliver RÖPKE</w:t>
      </w:r>
    </w:p>
    <w:p w:rsidRPr="00026B2B" w:rsidR="00D86124" w:rsidP="00D86124" w:rsidRDefault="00D86124" w14:paraId="3E7F9164" w14:textId="77777777">
      <w:pPr>
        <w:jc w:val="center"/>
        <w:rPr>
          <w:lang w:val="da-DK"/>
        </w:rPr>
      </w:pPr>
    </w:p>
    <w:p w:rsidRPr="00026B2B" w:rsidR="00D86124" w:rsidP="00D86124" w:rsidRDefault="00D86124" w14:paraId="3EF97BD4" w14:textId="77777777">
      <w:pPr>
        <w:jc w:val="center"/>
        <w:rPr>
          <w:lang w:val="da-DK"/>
        </w:rPr>
      </w:pPr>
    </w:p>
    <w:p w:rsidRPr="00026B2B" w:rsidR="00D86124" w:rsidP="00D86124" w:rsidRDefault="00D86124" w14:paraId="04103DF9" w14:textId="77777777">
      <w:pPr>
        <w:jc w:val="center"/>
      </w:pPr>
      <w:r>
        <w:t>*</w:t>
      </w:r>
    </w:p>
    <w:p w:rsidRPr="00026B2B" w:rsidR="00D86124" w:rsidP="00D86124" w:rsidRDefault="00D86124" w14:paraId="7E2637A5" w14:textId="77777777">
      <w:pPr>
        <w:jc w:val="center"/>
        <w:rPr>
          <w:lang w:val="da-DK"/>
        </w:rPr>
      </w:pPr>
    </w:p>
    <w:p w:rsidRPr="00026B2B" w:rsidR="00D86124" w:rsidP="00D86124" w:rsidRDefault="00D86124" w14:paraId="1B31AC01" w14:textId="77777777">
      <w:pPr>
        <w:jc w:val="center"/>
      </w:pPr>
      <w:r>
        <w:t>*</w:t>
      </w:r>
      <w:r>
        <w:tab/>
        <w:t>*</w:t>
      </w:r>
    </w:p>
    <w:p w:rsidRPr="00026B2B" w:rsidR="00D86124" w:rsidP="00D86124" w:rsidRDefault="00D86124" w14:paraId="5BA06DF7" w14:textId="77777777">
      <w:pPr>
        <w:rPr>
          <w:lang w:val="da-DK"/>
        </w:rPr>
      </w:pPr>
    </w:p>
    <w:p w:rsidRPr="00026B2B" w:rsidR="00D86124" w:rsidP="00D86124" w:rsidRDefault="00D86124" w14:paraId="34A78123" w14:textId="77777777">
      <w:pPr>
        <w:keepNext/>
        <w:jc w:val="left"/>
      </w:pPr>
      <w:r>
        <w:rPr>
          <w:b/>
        </w:rPr>
        <w:t>NB.</w:t>
      </w:r>
      <w:r>
        <w:t xml:space="preserve"> Priedas kitame lape.</w:t>
      </w:r>
    </w:p>
    <w:p w:rsidRPr="00026B2B" w:rsidR="00D86124" w:rsidRDefault="00D86124" w14:paraId="6BB9289C" w14:textId="44F81F7C">
      <w:pPr>
        <w:spacing w:after="160" w:line="259" w:lineRule="auto"/>
        <w:jc w:val="left"/>
      </w:pPr>
      <w:r>
        <w:br w:type="page"/>
      </w:r>
    </w:p>
    <w:p w:rsidRPr="005A3C9D" w:rsidR="00D86124" w:rsidP="00D86124" w:rsidRDefault="00D86124" w14:paraId="24B7056D" w14:textId="77777777">
      <w:pPr>
        <w:spacing w:line="240" w:lineRule="auto"/>
        <w:jc w:val="center"/>
      </w:pPr>
      <w:r>
        <w:lastRenderedPageBreak/>
        <w:t>Europos ekonomikos ir socialinių reikalų komiteto</w:t>
      </w:r>
      <w:r>
        <w:br/>
      </w:r>
      <w:r>
        <w:rPr>
          <w:b/>
        </w:rPr>
        <w:t>NUOMONĖS PRIEDAS</w:t>
      </w:r>
      <w:r>
        <w:t xml:space="preserve"> </w:t>
      </w:r>
    </w:p>
    <w:p w:rsidRPr="005A3C9D" w:rsidR="00D86124" w:rsidP="00D86124" w:rsidRDefault="00D86124" w14:paraId="1C57DDE6" w14:textId="77777777">
      <w:pPr>
        <w:jc w:val="left"/>
        <w:rPr>
          <w:lang w:val="en-GB"/>
        </w:rPr>
      </w:pPr>
    </w:p>
    <w:p w:rsidR="00D86124" w:rsidP="00D86124" w:rsidRDefault="00D86124" w14:paraId="71E875FA" w14:textId="213C8E73">
      <w:r>
        <w:t>Šie pakeitimai, už kuriuos buvo atiduota ne mažiau kaip ketvirtadalis balsų, svarstymo metu buvo atmesti (Darbo tvarkos taisyklių 74 straipsnio 3 dalis:</w:t>
      </w:r>
    </w:p>
    <w:p w:rsidR="00D86124" w:rsidP="0056181D" w:rsidRDefault="00D86124" w14:paraId="7DDC9FC0" w14:textId="03F3C7F2">
      <w:pPr>
        <w:rPr>
          <w:lang w:val="en-GB" w:eastAsia="en-GB"/>
        </w:rPr>
      </w:pPr>
    </w:p>
    <w:tbl>
      <w:tblPr>
        <w:tblW w:w="5001" w:type="pct"/>
        <w:tblBorders>
          <w:insideH w:val="nil"/>
          <w:insideV w:val="nil"/>
        </w:tblBorders>
        <w:tblLook w:val="01E0" w:firstRow="1" w:lastRow="1" w:firstColumn="1" w:lastColumn="1" w:noHBand="0" w:noVBand="0"/>
      </w:tblPr>
      <w:tblGrid>
        <w:gridCol w:w="5128"/>
        <w:gridCol w:w="3945"/>
      </w:tblGrid>
      <w:tr w:rsidRPr="00D504AB" w:rsidR="00D86124" w:rsidTr="00026B2B" w14:paraId="719766C1" w14:textId="77777777">
        <w:tc>
          <w:tcPr>
            <w:tcW w:w="2826" w:type="pct"/>
            <w:tcBorders>
              <w:top w:val="nil"/>
              <w:left w:val="nil"/>
              <w:bottom w:val="nil"/>
              <w:right w:val="nil"/>
            </w:tcBorders>
          </w:tcPr>
          <w:p w:rsidRPr="00026B2B" w:rsidR="00D86124" w:rsidRDefault="00D86124" w14:paraId="41D197C8" w14:textId="77777777">
            <w:pPr>
              <w:rPr>
                <w:b/>
                <w:bCs/>
                <w:sz w:val="32"/>
                <w:szCs w:val="32"/>
              </w:rPr>
            </w:pPr>
            <w:r>
              <w:rPr>
                <w:b/>
                <w:sz w:val="32"/>
              </w:rPr>
              <w:t>5</w:t>
            </w:r>
            <w:r>
              <w:rPr>
                <w:b/>
                <w:bCs/>
                <w:sz w:val="32"/>
              </w:rPr>
              <w:t> PAKEITIMAS</w:t>
            </w:r>
          </w:p>
          <w:p w:rsidRPr="00B337D8" w:rsidR="00D86124" w:rsidRDefault="00D86124" w14:paraId="20B899DE" w14:textId="77777777">
            <w:pPr>
              <w:rPr>
                <w:b/>
                <w:bCs/>
                <w:sz w:val="18"/>
                <w:szCs w:val="18"/>
                <w:lang w:val="en-GB"/>
              </w:rPr>
            </w:pPr>
          </w:p>
          <w:p w:rsidRPr="00026B2B" w:rsidR="00D86124" w:rsidRDefault="00D86124" w14:paraId="64F3ABB1" w14:textId="77777777">
            <w:pPr>
              <w:rPr>
                <w:b/>
                <w:bCs/>
              </w:rPr>
            </w:pPr>
            <w:r>
              <w:rPr>
                <w:b/>
              </w:rPr>
              <w:t>SOC/823</w:t>
            </w:r>
          </w:p>
          <w:p w:rsidRPr="00026B2B" w:rsidR="00D86124" w:rsidRDefault="00D86124" w14:paraId="730EA187" w14:textId="77777777">
            <w:pPr>
              <w:jc w:val="left"/>
              <w:rPr>
                <w:b/>
                <w:bCs/>
              </w:rPr>
            </w:pPr>
            <w:r>
              <w:rPr>
                <w:b/>
              </w:rPr>
              <w:t xml:space="preserve">Perkamosios galios praradimas ir nelygybė, atskirtis, </w:t>
            </w:r>
            <w:proofErr w:type="spellStart"/>
            <w:r>
              <w:rPr>
                <w:b/>
              </w:rPr>
              <w:t>marginalizacija</w:t>
            </w:r>
            <w:proofErr w:type="spellEnd"/>
          </w:p>
          <w:p w:rsidRPr="00B337D8" w:rsidR="00D86124" w:rsidRDefault="00D86124" w14:paraId="1357BE64" w14:textId="77777777">
            <w:pPr>
              <w:rPr>
                <w:b/>
                <w:bCs/>
                <w:sz w:val="18"/>
                <w:szCs w:val="18"/>
                <w:lang w:val="en-GB"/>
              </w:rPr>
            </w:pPr>
          </w:p>
          <w:p w:rsidR="00D86124" w:rsidRDefault="00D86124" w14:paraId="282FD008" w14:textId="77777777">
            <w:pPr>
              <w:rPr>
                <w:b/>
                <w:bCs/>
              </w:rPr>
            </w:pPr>
            <w:r>
              <w:rPr>
                <w:b/>
              </w:rPr>
              <w:t>3.3 punktas</w:t>
            </w:r>
          </w:p>
          <w:p w:rsidRPr="00B337D8" w:rsidR="00D86124" w:rsidRDefault="00D86124" w14:paraId="4D4C843E" w14:textId="77777777">
            <w:pPr>
              <w:rPr>
                <w:b/>
                <w:bCs/>
                <w:sz w:val="18"/>
                <w:szCs w:val="18"/>
                <w:lang w:val="fr-BE"/>
              </w:rPr>
            </w:pPr>
          </w:p>
          <w:p w:rsidR="00D86124" w:rsidRDefault="00D86124" w14:paraId="0B7A275A" w14:textId="77777777">
            <w:pPr>
              <w:rPr>
                <w:b/>
                <w:bCs/>
              </w:rPr>
            </w:pPr>
            <w:r>
              <w:rPr>
                <w:b/>
              </w:rPr>
              <w:t>Iš dalies pakeisti taip:</w:t>
            </w:r>
          </w:p>
        </w:tc>
        <w:tc>
          <w:tcPr>
            <w:tcW w:w="2174" w:type="pct"/>
            <w:tcBorders>
              <w:top w:val="nil"/>
              <w:left w:val="nil"/>
              <w:bottom w:val="nil"/>
              <w:right w:val="nil"/>
            </w:tcBorders>
          </w:tcPr>
          <w:p w:rsidR="00D86124" w:rsidRDefault="00D86124" w14:paraId="1E7E628C" w14:textId="445304D5">
            <w:pPr>
              <w:jc w:val="left"/>
              <w:rPr>
                <w:lang w:val="fr-BE"/>
              </w:rPr>
            </w:pPr>
          </w:p>
        </w:tc>
      </w:tr>
    </w:tbl>
    <w:p w:rsidRPr="00B337D8" w:rsidR="00D86124" w:rsidP="00D86124" w:rsidRDefault="00D86124" w14:paraId="584DE868" w14:textId="77777777">
      <w:pPr>
        <w:jc w:val="center"/>
        <w:rPr>
          <w:sz w:val="18"/>
          <w:szCs w:val="18"/>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D86124" w:rsidTr="00D86124" w14:paraId="03C686BA"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FD9C602"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08E079B" w14:textId="77777777">
            <w:pPr>
              <w:jc w:val="center"/>
              <w:rPr>
                <w:b/>
                <w:bCs/>
                <w:i/>
              </w:rPr>
            </w:pPr>
            <w:r>
              <w:rPr>
                <w:b/>
                <w:i/>
              </w:rPr>
              <w:t>Pakeitimas</w:t>
            </w:r>
          </w:p>
        </w:tc>
      </w:tr>
      <w:tr w:rsidR="00D86124" w:rsidTr="00D86124" w14:paraId="47014972"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722B30A2" w14:textId="77777777">
            <w:pPr>
              <w:spacing w:before="80" w:after="40"/>
              <w:ind w:left="80" w:right="80"/>
            </w:pPr>
            <w:r>
              <w:t>EESRK pažymi, kad didelės infliacijos laikotarpiai kelia konkrečių iššūkių socialiniams partneriams, o didėjanti infliacija gali būti neįtraukta į kolektyvines derybas ir darbo sutartis. Tačiau Komitetas taip pat atkreipia dėmesį į įvairius mechanizmus, kuriais kolektyvinėmis sutartimis bandoma susieti darbo užmokestį su infliacijos tendencijomis, kad būtų išvengta netikėto perkamosios galios sumažėjimo</w:t>
            </w:r>
            <w:r>
              <w:rPr>
                <w:b/>
                <w:i/>
              </w:rPr>
              <w:t>, ir kad socialiniai partneriai taip pat gali priimti ad hoc mechanizmus infliacijos krizei įveikti</w:t>
            </w:r>
            <w:r>
              <w:t>. Įgūdžių spragos ir darbo jėgos trūkumas ES vis dar išlieka ir apie tai pranešama kaip apie vieną iš pagrindinių kliūčių įmonių investicijoms ir augimui. Be to, beveik 25 proc. darbingo amžiaus žmonių ES tebėra neaktyvūs[1]. Tai rodo gerai parengtos aktyvios darbo rinkos politikos svarbą. Reikia keistis geriausia valstybinių užimtumo tarnybų reformų patirtimi, siekiant pagerinti jų veiksmingumą ir valstybinių bei privačių užimtumo tarnybų bendradarbiavimą.</w:t>
            </w:r>
          </w:p>
          <w:p w:rsidRPr="00026B2B" w:rsidR="00D86124" w:rsidRDefault="00D86124" w14:paraId="7DF5B75A" w14:textId="77777777">
            <w:pPr>
              <w:spacing w:before="40" w:after="80"/>
              <w:ind w:left="80" w:right="80"/>
            </w:pPr>
            <w:r>
              <w:t>[1] Neaktyvūs Europos gyventojai pagal šalis STATISTA (Ekonomiškai neaktyvūs gyventojai Europoje pagal šalis).</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5687E550" w14:textId="77777777">
            <w:pPr>
              <w:spacing w:before="80" w:after="40"/>
              <w:ind w:left="80" w:right="80"/>
            </w:pPr>
            <w:r>
              <w:t>EESRK pažymi, kad didelės infliacijos laikotarpiai kelia konkrečių iššūkių socialiniams partneriams, o didėjanti infliacija gali būti neįtraukta į kolektyvines derybas ir darbo sutartis. Tačiau Komitetas taip pat atkreipia dėmesį į įvairius</w:t>
            </w:r>
            <w:r>
              <w:rPr>
                <w:b/>
                <w:i/>
              </w:rPr>
              <w:t xml:space="preserve"> konkrečių šalių</w:t>
            </w:r>
            <w:r>
              <w:t xml:space="preserve"> mechanizmus, kuriais kolektyvinėmis sutartimis bandoma susieti darbo užmokestį su infliacijos tendencijomis, kad būtų išvengta netikėto perkamosios galios sumažėjimo. Įgūdžių spragos ir darbo jėgos trūkumas ES vis dar išlieka ir apie tai pranešama kaip apie vieną iš pagrindinių kliūčių įmonių investicijoms ir augimui. Be to, beveik 25 proc. darbingo amžiaus žmonių ES tebėra neaktyvūs[1]. Tai rodo gerai parengtos aktyvios darbo rinkos politikos svarbą. Reikia keistis geriausia valstybinių užimtumo tarnybų reformų patirtimi, siekiant pagerinti jų veiksmingumą ir valstybinių bei privačių užimtumo tarnybų bendradarbiavimą.</w:t>
            </w:r>
          </w:p>
          <w:p w:rsidRPr="00026B2B" w:rsidR="00D86124" w:rsidRDefault="00D86124" w14:paraId="36752460" w14:textId="77777777">
            <w:pPr>
              <w:spacing w:before="40" w:after="80"/>
              <w:ind w:left="80" w:right="80"/>
            </w:pPr>
            <w:r>
              <w:t>[1] Neaktyvūs Europos gyventojai pagal šalis STATISTA (Ekonomiškai neaktyvūs gyventojai Europoje pagal šalis).</w:t>
            </w:r>
          </w:p>
        </w:tc>
      </w:tr>
    </w:tbl>
    <w:p w:rsidRPr="00B337D8" w:rsidR="00D86124" w:rsidP="00D86124" w:rsidRDefault="00D86124" w14:paraId="176B7AB3" w14:textId="77777777">
      <w:pPr>
        <w:jc w:val="center"/>
        <w:rPr>
          <w:sz w:val="16"/>
          <w:szCs w:val="16"/>
        </w:rPr>
      </w:pPr>
    </w:p>
    <w:tbl>
      <w:tblPr>
        <w:tblStyle w:val="TableGrid"/>
        <w:tblW w:w="5000" w:type="pct"/>
        <w:tblLook w:val="01E0" w:firstRow="1" w:lastRow="1" w:firstColumn="1" w:lastColumn="1" w:noHBand="0" w:noVBand="0"/>
      </w:tblPr>
      <w:tblGrid>
        <w:gridCol w:w="9061"/>
      </w:tblGrid>
      <w:tr w:rsidR="00D86124" w:rsidTr="00D86124" w14:paraId="1B2D6382"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114EE82B" w14:textId="77777777">
            <w:pPr>
              <w:jc w:val="center"/>
            </w:pPr>
            <w:r>
              <w:rPr>
                <w:b/>
              </w:rPr>
              <w:t>Paaiškinimas</w:t>
            </w:r>
          </w:p>
        </w:tc>
      </w:tr>
      <w:tr w:rsidR="00D86124" w:rsidTr="00D86124" w14:paraId="757CB87F"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374F3A4F" w14:textId="77777777">
            <w:r>
              <w:t>Geriau aiškiai nurodyti įvairius kai kurių valstybių narių mechanizmus.</w:t>
            </w:r>
          </w:p>
        </w:tc>
      </w:tr>
    </w:tbl>
    <w:p w:rsidRPr="00B337D8" w:rsidR="00D86124" w:rsidP="00D86124" w:rsidRDefault="00D86124" w14:paraId="4CBECB22" w14:textId="77777777">
      <w:pPr>
        <w:rPr>
          <w:b/>
          <w:bCs/>
          <w:sz w:val="20"/>
          <w:szCs w:val="20"/>
          <w:lang w:val="en-GB"/>
        </w:rPr>
      </w:pPr>
    </w:p>
    <w:tbl>
      <w:tblPr>
        <w:tblStyle w:val="TableGrid"/>
        <w:tblW w:w="5000" w:type="pct"/>
        <w:tblLook w:val="01E0" w:firstRow="1" w:lastRow="1" w:firstColumn="1" w:lastColumn="1" w:noHBand="0" w:noVBand="0"/>
      </w:tblPr>
      <w:tblGrid>
        <w:gridCol w:w="9061"/>
      </w:tblGrid>
      <w:tr w:rsidRPr="005A3C9D" w:rsidR="00D86124" w:rsidTr="00963130" w14:paraId="449C9956" w14:textId="77777777">
        <w:tc>
          <w:tcPr>
            <w:tcW w:w="5000" w:type="pct"/>
          </w:tcPr>
          <w:p w:rsidRPr="005A3C9D" w:rsidR="00D86124" w:rsidP="00963130" w:rsidRDefault="00D86124" w14:paraId="49545DBB" w14:textId="77777777">
            <w:pPr>
              <w:jc w:val="left"/>
            </w:pPr>
            <w:r>
              <w:rPr>
                <w:b/>
              </w:rPr>
              <w:t>Balsavimo rezultatai</w:t>
            </w:r>
          </w:p>
        </w:tc>
      </w:tr>
      <w:tr w:rsidRPr="005A3C9D" w:rsidR="00D86124" w:rsidTr="00963130" w14:paraId="62747455" w14:textId="77777777">
        <w:tc>
          <w:tcPr>
            <w:tcW w:w="5000" w:type="pct"/>
            <w:hideMark/>
          </w:tcPr>
          <w:p w:rsidRPr="005A3C9D" w:rsidR="00D86124" w:rsidP="00963130" w:rsidRDefault="00D86124" w14:paraId="46B3603E" w14:textId="77777777">
            <w:pPr>
              <w:tabs>
                <w:tab w:val="right" w:pos="1701"/>
              </w:tabs>
            </w:pPr>
            <w:r>
              <w:t>Už:</w:t>
            </w:r>
            <w:r>
              <w:tab/>
              <w:t>82</w:t>
            </w:r>
          </w:p>
          <w:p w:rsidRPr="005A3C9D" w:rsidR="00D86124" w:rsidP="00963130" w:rsidRDefault="00D86124" w14:paraId="6A8008DB" w14:textId="325E34C9">
            <w:pPr>
              <w:tabs>
                <w:tab w:val="right" w:pos="1701"/>
              </w:tabs>
            </w:pPr>
            <w:r>
              <w:t>Prieš:</w:t>
            </w:r>
            <w:r>
              <w:tab/>
              <w:t>111</w:t>
            </w:r>
          </w:p>
          <w:p w:rsidRPr="005A3C9D" w:rsidR="00D86124" w:rsidP="00963130" w:rsidRDefault="00D86124" w14:paraId="4CE0ADB2" w14:textId="0C0B91FA">
            <w:r>
              <w:t>Susilaikė:</w:t>
            </w:r>
            <w:r>
              <w:tab/>
              <w:t xml:space="preserve"> 7</w:t>
            </w:r>
          </w:p>
        </w:tc>
      </w:tr>
    </w:tbl>
    <w:tbl>
      <w:tblPr>
        <w:tblW w:w="5040" w:type="pct"/>
        <w:tblInd w:w="108" w:type="dxa"/>
        <w:tblBorders>
          <w:insideH w:val="nil"/>
          <w:insideV w:val="nil"/>
        </w:tblBorders>
        <w:tblLook w:val="01E0" w:firstRow="1" w:lastRow="1" w:firstColumn="1" w:lastColumn="1" w:noHBand="0" w:noVBand="0"/>
      </w:tblPr>
      <w:tblGrid>
        <w:gridCol w:w="5168"/>
        <w:gridCol w:w="3976"/>
      </w:tblGrid>
      <w:tr w:rsidRPr="00D504AB" w:rsidR="00D86124" w:rsidTr="00026B2B" w14:paraId="25725F16" w14:textId="77777777">
        <w:tc>
          <w:tcPr>
            <w:tcW w:w="2826" w:type="pct"/>
            <w:tcBorders>
              <w:top w:val="nil"/>
              <w:left w:val="nil"/>
              <w:bottom w:val="nil"/>
              <w:right w:val="nil"/>
            </w:tcBorders>
          </w:tcPr>
          <w:p w:rsidRPr="00026B2B" w:rsidR="00D86124" w:rsidRDefault="00D86124" w14:paraId="3D0A9583" w14:textId="77777777">
            <w:pPr>
              <w:rPr>
                <w:b/>
                <w:bCs/>
                <w:sz w:val="32"/>
                <w:szCs w:val="32"/>
              </w:rPr>
            </w:pPr>
            <w:r>
              <w:rPr>
                <w:b/>
                <w:sz w:val="32"/>
              </w:rPr>
              <w:lastRenderedPageBreak/>
              <w:t>6</w:t>
            </w:r>
            <w:r>
              <w:rPr>
                <w:b/>
                <w:bCs/>
                <w:sz w:val="32"/>
              </w:rPr>
              <w:t> PAKEITIMAS</w:t>
            </w:r>
          </w:p>
          <w:p w:rsidRPr="00026B2B" w:rsidR="00D86124" w:rsidRDefault="00D86124" w14:paraId="5A168C05" w14:textId="77777777">
            <w:pPr>
              <w:rPr>
                <w:b/>
                <w:bCs/>
                <w:lang w:val="en-GB"/>
              </w:rPr>
            </w:pPr>
          </w:p>
          <w:p w:rsidRPr="00026B2B" w:rsidR="00D86124" w:rsidRDefault="00D86124" w14:paraId="2E0675F5" w14:textId="77777777">
            <w:pPr>
              <w:rPr>
                <w:b/>
                <w:bCs/>
              </w:rPr>
            </w:pPr>
            <w:r>
              <w:rPr>
                <w:b/>
              </w:rPr>
              <w:t>SOC/823</w:t>
            </w:r>
          </w:p>
          <w:p w:rsidRPr="00026B2B" w:rsidR="00D86124" w:rsidRDefault="00D86124" w14:paraId="48E7FF30" w14:textId="77777777">
            <w:pPr>
              <w:jc w:val="left"/>
              <w:rPr>
                <w:b/>
                <w:bCs/>
              </w:rPr>
            </w:pPr>
            <w:r>
              <w:rPr>
                <w:b/>
              </w:rPr>
              <w:t xml:space="preserve">Perkamosios galios praradimas ir nelygybė, atskirtis, </w:t>
            </w:r>
            <w:proofErr w:type="spellStart"/>
            <w:r>
              <w:rPr>
                <w:b/>
              </w:rPr>
              <w:t>marginalizacija</w:t>
            </w:r>
            <w:proofErr w:type="spellEnd"/>
          </w:p>
          <w:p w:rsidRPr="00026B2B" w:rsidR="00D86124" w:rsidRDefault="00D86124" w14:paraId="07359D59" w14:textId="77777777">
            <w:pPr>
              <w:rPr>
                <w:b/>
                <w:bCs/>
                <w:lang w:val="en-GB"/>
              </w:rPr>
            </w:pPr>
          </w:p>
          <w:p w:rsidR="00D86124" w:rsidRDefault="00D86124" w14:paraId="2EE208B2" w14:textId="77777777">
            <w:pPr>
              <w:rPr>
                <w:b/>
                <w:bCs/>
              </w:rPr>
            </w:pPr>
            <w:r>
              <w:rPr>
                <w:b/>
              </w:rPr>
              <w:t>3.4 punktas</w:t>
            </w:r>
          </w:p>
          <w:p w:rsidR="00D86124" w:rsidRDefault="00D86124" w14:paraId="30745255" w14:textId="77777777">
            <w:pPr>
              <w:rPr>
                <w:b/>
                <w:bCs/>
                <w:lang w:val="fr-BE"/>
              </w:rPr>
            </w:pPr>
          </w:p>
          <w:p w:rsidR="00D86124" w:rsidRDefault="00D86124" w14:paraId="79874D29" w14:textId="77777777">
            <w:pPr>
              <w:rPr>
                <w:b/>
                <w:bCs/>
              </w:rPr>
            </w:pPr>
            <w:r>
              <w:rPr>
                <w:b/>
              </w:rPr>
              <w:t>Iš dalies pakeisti taip:</w:t>
            </w:r>
          </w:p>
        </w:tc>
        <w:tc>
          <w:tcPr>
            <w:tcW w:w="2174" w:type="pct"/>
            <w:tcBorders>
              <w:top w:val="nil"/>
              <w:left w:val="nil"/>
              <w:bottom w:val="nil"/>
              <w:right w:val="nil"/>
            </w:tcBorders>
          </w:tcPr>
          <w:p w:rsidR="00D86124" w:rsidRDefault="00D86124" w14:paraId="1C954485" w14:textId="69EB1A8B">
            <w:pPr>
              <w:jc w:val="left"/>
              <w:rPr>
                <w:lang w:val="fr-BE"/>
              </w:rPr>
            </w:pPr>
          </w:p>
        </w:tc>
      </w:tr>
    </w:tbl>
    <w:p w:rsidRPr="00026B2B" w:rsidR="00D86124" w:rsidP="00D86124" w:rsidRDefault="00D86124" w14:paraId="2FB68E62"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D86124" w:rsidTr="00D86124" w14:paraId="0FF95830"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98112B5"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7B759B5" w14:textId="77777777">
            <w:pPr>
              <w:jc w:val="center"/>
              <w:rPr>
                <w:b/>
                <w:bCs/>
                <w:i/>
              </w:rPr>
            </w:pPr>
            <w:r>
              <w:rPr>
                <w:b/>
                <w:i/>
              </w:rPr>
              <w:t>Pakeitimas</w:t>
            </w:r>
          </w:p>
        </w:tc>
      </w:tr>
      <w:tr w:rsidR="00D86124" w:rsidTr="00D86124" w14:paraId="78E29E98"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BB8DE56" w14:textId="77777777">
            <w:pPr>
              <w:spacing w:before="80" w:after="80"/>
              <w:ind w:left="80" w:right="80"/>
            </w:pPr>
            <w:r>
              <w:t xml:space="preserve">Kaip reikalaujama pagal Direktyvą dėl deramo minimaliojo darbo užmokesčio ES, valstybės narės, kurių kolektyvinių derybų aprėpties lygis yra mažesnis nei 80 proc. riba, turėtų </w:t>
            </w:r>
            <w:r>
              <w:rPr>
                <w:b/>
                <w:i/>
              </w:rPr>
              <w:t>nedelsdamos</w:t>
            </w:r>
            <w:r>
              <w:t xml:space="preserve"> sukurti kolektyvinių derybų sąlygų sistemą ir, konsultuodamosi su socialiniais partneriais, parengti savo nacionalinius veiksmų planus kolektyvinėms deryboms skatinti. Komisija turėtų teikti atitinkamą paramą, be kita ko, nuolat stiprinti gebėjimus, ir imtis atitinkamų vykdymo užtikrinimo veiksmų.</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E366C39" w14:textId="77777777">
            <w:pPr>
              <w:spacing w:before="80" w:after="80"/>
              <w:ind w:left="80" w:right="80"/>
            </w:pPr>
            <w:r>
              <w:t>Kaip reikalaujama pagal Direktyvą dėl deramo minimaliojo darbo užmokesčio ES, valstybės narės, kurių kolektyvinių derybų aprėpties lygis yra mažesnis nei 80 proc. riba, turėtų sukurti kolektyvinių derybų sąlygų sistemą ir, konsultuodamosi su socialiniais partneriais, parengti savo nacionalinius veiksmų planus kolektyvinėms deryboms skatinti. Komisija turėtų teikti atitinkamą paramą, be kita ko, nuolat stiprinti gebėjimus, ir imtis atitinkamų vykdymo užtikrinimo veiksmų.</w:t>
            </w:r>
            <w:r>
              <w:rPr>
                <w:b/>
                <w:i/>
              </w:rPr>
              <w:t xml:space="preserve"> Tačiau ESTT nagrinėjama byla (C-19/23), susijusi su Direktyva dėl deramo minimaliojo darbo užmokesčio, kurioje keliamas klausimas dėl jos teisėtumo</w:t>
            </w:r>
            <w:r>
              <w:t>.</w:t>
            </w:r>
          </w:p>
        </w:tc>
      </w:tr>
    </w:tbl>
    <w:p w:rsidR="00D86124" w:rsidP="00D86124" w:rsidRDefault="00D86124" w14:paraId="28EB2FE5" w14:textId="77777777">
      <w:pPr>
        <w:jc w:val="center"/>
      </w:pPr>
    </w:p>
    <w:tbl>
      <w:tblPr>
        <w:tblStyle w:val="TableGrid"/>
        <w:tblW w:w="5000" w:type="pct"/>
        <w:tblLook w:val="01E0" w:firstRow="1" w:lastRow="1" w:firstColumn="1" w:lastColumn="1" w:noHBand="0" w:noVBand="0"/>
      </w:tblPr>
      <w:tblGrid>
        <w:gridCol w:w="9061"/>
      </w:tblGrid>
      <w:tr w:rsidR="00D86124" w:rsidTr="00D86124" w14:paraId="4DAB9910"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619935A3" w14:textId="77777777">
            <w:pPr>
              <w:jc w:val="center"/>
            </w:pPr>
            <w:r>
              <w:rPr>
                <w:b/>
              </w:rPr>
              <w:t>Paaiškinimas</w:t>
            </w:r>
          </w:p>
        </w:tc>
      </w:tr>
      <w:tr w:rsidR="00D86124" w:rsidTr="00D86124" w14:paraId="05D69B0D"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4B1BD567" w14:textId="77777777">
            <w:r>
              <w:t>Reikėtų paaiškinti, kad ESTT vis dar nagrinėjama byla C-19/23, susijusi su Direktyva dėl deramo minimaliojo darbo užmokesčio.</w:t>
            </w:r>
          </w:p>
        </w:tc>
      </w:tr>
    </w:tbl>
    <w:p w:rsidR="00D86124" w:rsidP="00D86124" w:rsidRDefault="00D86124" w14:paraId="02A06895" w14:textId="77777777">
      <w:pPr>
        <w:rPr>
          <w:b/>
          <w:bCs/>
          <w:lang w:val="en-GB"/>
        </w:rPr>
      </w:pPr>
    </w:p>
    <w:p w:rsidR="00D86124" w:rsidP="00D86124" w:rsidRDefault="00D86124" w14:paraId="3AECE55B" w14:textId="77777777">
      <w:pPr>
        <w:rPr>
          <w:b/>
          <w:bCs/>
          <w:lang w:val="en-GB"/>
        </w:rPr>
      </w:pPr>
    </w:p>
    <w:tbl>
      <w:tblPr>
        <w:tblStyle w:val="TableGrid"/>
        <w:tblW w:w="5000" w:type="pct"/>
        <w:tblLook w:val="01E0" w:firstRow="1" w:lastRow="1" w:firstColumn="1" w:lastColumn="1" w:noHBand="0" w:noVBand="0"/>
      </w:tblPr>
      <w:tblGrid>
        <w:gridCol w:w="9061"/>
      </w:tblGrid>
      <w:tr w:rsidRPr="005A3C9D" w:rsidR="00D86124" w:rsidTr="00963130" w14:paraId="7BFD5DEB" w14:textId="77777777">
        <w:tc>
          <w:tcPr>
            <w:tcW w:w="5000" w:type="pct"/>
          </w:tcPr>
          <w:p w:rsidRPr="005A3C9D" w:rsidR="00D86124" w:rsidP="00963130" w:rsidRDefault="00D86124" w14:paraId="452A1F3E" w14:textId="77777777">
            <w:pPr>
              <w:jc w:val="left"/>
            </w:pPr>
            <w:r>
              <w:rPr>
                <w:b/>
              </w:rPr>
              <w:t>Balsavimo rezultatai</w:t>
            </w:r>
          </w:p>
        </w:tc>
      </w:tr>
      <w:tr w:rsidRPr="005A3C9D" w:rsidR="00D86124" w:rsidTr="00963130" w14:paraId="5DC21C47" w14:textId="77777777">
        <w:tc>
          <w:tcPr>
            <w:tcW w:w="5000" w:type="pct"/>
            <w:hideMark/>
          </w:tcPr>
          <w:p w:rsidRPr="005A3C9D" w:rsidR="00D86124" w:rsidP="00963130" w:rsidRDefault="00D86124" w14:paraId="4208FCC1" w14:textId="27BFD9F2">
            <w:pPr>
              <w:tabs>
                <w:tab w:val="right" w:pos="1701"/>
              </w:tabs>
            </w:pPr>
            <w:r>
              <w:t>Už:</w:t>
            </w:r>
            <w:r>
              <w:tab/>
              <w:t>81</w:t>
            </w:r>
          </w:p>
          <w:p w:rsidRPr="005A3C9D" w:rsidR="00D86124" w:rsidP="00963130" w:rsidRDefault="00D86124" w14:paraId="6DD53FAB" w14:textId="37509754">
            <w:pPr>
              <w:tabs>
                <w:tab w:val="right" w:pos="1701"/>
              </w:tabs>
            </w:pPr>
            <w:r>
              <w:t>Prieš:</w:t>
            </w:r>
            <w:r>
              <w:tab/>
              <w:t>119</w:t>
            </w:r>
          </w:p>
          <w:p w:rsidRPr="005A3C9D" w:rsidR="00D86124" w:rsidP="00963130" w:rsidRDefault="00D86124" w14:paraId="28F86EDF" w14:textId="69732C7D">
            <w:r>
              <w:t>Susilaikė:</w:t>
            </w:r>
            <w:r>
              <w:tab/>
              <w:t xml:space="preserve"> 7</w:t>
            </w:r>
          </w:p>
        </w:tc>
      </w:tr>
    </w:tbl>
    <w:p w:rsidR="00D86124" w:rsidP="0056181D" w:rsidRDefault="00D86124" w14:paraId="4F811770" w14:textId="6862A847"/>
    <w:p w:rsidR="00D86124" w:rsidRDefault="00D86124" w14:paraId="2BDEA15B" w14:textId="77777777">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128"/>
        <w:gridCol w:w="3945"/>
      </w:tblGrid>
      <w:tr w:rsidRPr="00D504AB" w:rsidR="00D86124" w:rsidTr="00026B2B" w14:paraId="22B79110" w14:textId="77777777">
        <w:tc>
          <w:tcPr>
            <w:tcW w:w="2826" w:type="pct"/>
            <w:tcBorders>
              <w:top w:val="nil"/>
              <w:left w:val="nil"/>
              <w:bottom w:val="nil"/>
              <w:right w:val="nil"/>
            </w:tcBorders>
          </w:tcPr>
          <w:p w:rsidRPr="00026B2B" w:rsidR="00D86124" w:rsidRDefault="00D86124" w14:paraId="54D39695" w14:textId="77777777">
            <w:pPr>
              <w:rPr>
                <w:b/>
                <w:bCs/>
                <w:sz w:val="32"/>
                <w:szCs w:val="32"/>
              </w:rPr>
            </w:pPr>
            <w:r>
              <w:rPr>
                <w:b/>
                <w:sz w:val="32"/>
              </w:rPr>
              <w:lastRenderedPageBreak/>
              <w:t>7</w:t>
            </w:r>
            <w:r>
              <w:rPr>
                <w:b/>
                <w:bCs/>
                <w:sz w:val="32"/>
              </w:rPr>
              <w:t> PAKEITIMAS</w:t>
            </w:r>
          </w:p>
          <w:p w:rsidRPr="00026B2B" w:rsidR="00D86124" w:rsidRDefault="00D86124" w14:paraId="5444A4C6" w14:textId="77777777">
            <w:pPr>
              <w:rPr>
                <w:b/>
                <w:bCs/>
                <w:lang w:val="en-GB"/>
              </w:rPr>
            </w:pPr>
          </w:p>
          <w:p w:rsidRPr="00026B2B" w:rsidR="00D86124" w:rsidRDefault="00D86124" w14:paraId="6872272E" w14:textId="77777777">
            <w:pPr>
              <w:rPr>
                <w:b/>
                <w:bCs/>
              </w:rPr>
            </w:pPr>
            <w:r>
              <w:rPr>
                <w:b/>
              </w:rPr>
              <w:t>SOC/823</w:t>
            </w:r>
          </w:p>
          <w:p w:rsidRPr="00026B2B" w:rsidR="00D86124" w:rsidRDefault="00D86124" w14:paraId="7E55F516" w14:textId="77777777">
            <w:pPr>
              <w:jc w:val="left"/>
              <w:rPr>
                <w:b/>
                <w:bCs/>
              </w:rPr>
            </w:pPr>
            <w:r>
              <w:rPr>
                <w:b/>
              </w:rPr>
              <w:t xml:space="preserve">Perkamosios galios praradimas ir nelygybė, atskirtis, </w:t>
            </w:r>
            <w:proofErr w:type="spellStart"/>
            <w:r>
              <w:rPr>
                <w:b/>
              </w:rPr>
              <w:t>marginalizacija</w:t>
            </w:r>
            <w:proofErr w:type="spellEnd"/>
          </w:p>
          <w:p w:rsidRPr="00026B2B" w:rsidR="00D86124" w:rsidRDefault="00D86124" w14:paraId="42A843FA" w14:textId="77777777">
            <w:pPr>
              <w:rPr>
                <w:b/>
                <w:bCs/>
                <w:lang w:val="en-GB"/>
              </w:rPr>
            </w:pPr>
          </w:p>
          <w:p w:rsidR="00D86124" w:rsidRDefault="00D86124" w14:paraId="4C44B8BE" w14:textId="77777777">
            <w:pPr>
              <w:rPr>
                <w:b/>
                <w:bCs/>
              </w:rPr>
            </w:pPr>
            <w:r>
              <w:rPr>
                <w:b/>
              </w:rPr>
              <w:t>3.6 punktas</w:t>
            </w:r>
          </w:p>
          <w:p w:rsidR="00D86124" w:rsidRDefault="00D86124" w14:paraId="03703296" w14:textId="77777777">
            <w:pPr>
              <w:rPr>
                <w:b/>
                <w:bCs/>
                <w:lang w:val="fr-BE"/>
              </w:rPr>
            </w:pPr>
          </w:p>
          <w:p w:rsidR="00D86124" w:rsidRDefault="00D86124" w14:paraId="025144A4" w14:textId="77777777">
            <w:pPr>
              <w:rPr>
                <w:b/>
                <w:bCs/>
              </w:rPr>
            </w:pPr>
            <w:r>
              <w:rPr>
                <w:b/>
              </w:rPr>
              <w:t>Iš dalies pakeisti taip:</w:t>
            </w:r>
          </w:p>
        </w:tc>
        <w:tc>
          <w:tcPr>
            <w:tcW w:w="2174" w:type="pct"/>
            <w:tcBorders>
              <w:top w:val="nil"/>
              <w:left w:val="nil"/>
              <w:bottom w:val="nil"/>
              <w:right w:val="nil"/>
            </w:tcBorders>
          </w:tcPr>
          <w:p w:rsidR="00D86124" w:rsidRDefault="00D86124" w14:paraId="421109F3" w14:textId="1E51164E">
            <w:pPr>
              <w:jc w:val="left"/>
              <w:rPr>
                <w:lang w:val="fr-BE"/>
              </w:rPr>
            </w:pPr>
          </w:p>
        </w:tc>
      </w:tr>
    </w:tbl>
    <w:p w:rsidRPr="00026B2B" w:rsidR="00D86124" w:rsidP="00D86124" w:rsidRDefault="00D86124" w14:paraId="7744C7DC"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D86124" w:rsidTr="00D86124" w14:paraId="11B25F2D"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4B433D7"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0358EC1" w14:textId="77777777">
            <w:pPr>
              <w:jc w:val="center"/>
              <w:rPr>
                <w:b/>
                <w:bCs/>
                <w:i/>
              </w:rPr>
            </w:pPr>
            <w:r>
              <w:rPr>
                <w:b/>
                <w:i/>
              </w:rPr>
              <w:t>Pakeitimas</w:t>
            </w:r>
          </w:p>
        </w:tc>
      </w:tr>
      <w:tr w:rsidR="00D86124" w:rsidTr="00D86124" w14:paraId="76183E5C"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02FA0BC1" w14:textId="77777777">
            <w:pPr>
              <w:spacing w:before="80" w:after="40"/>
              <w:ind w:left="80" w:right="80"/>
            </w:pPr>
            <w:r>
              <w:t xml:space="preserve">Vienas iš kriterijų, į kuriuos </w:t>
            </w:r>
            <w:r>
              <w:rPr>
                <w:b/>
                <w:i/>
              </w:rPr>
              <w:t>taip pat reikėtų</w:t>
            </w:r>
            <w:r>
              <w:t xml:space="preserve"> atsižvelgti koreguojant minimalųjį darbo užmokestį, turėtų būti perkamosios galios </w:t>
            </w:r>
            <w:r>
              <w:rPr>
                <w:b/>
                <w:i/>
              </w:rPr>
              <w:t>išsaugojimas</w:t>
            </w:r>
            <w:r>
              <w:t xml:space="preserve">. EESRK </w:t>
            </w:r>
            <w:r>
              <w:rPr>
                <w:b/>
                <w:i/>
              </w:rPr>
              <w:t>palankiai vertina</w:t>
            </w:r>
            <w:r>
              <w:t xml:space="preserve"> paskelbtą 2025 m. nacionalinio minimaliojo darbo užmokesčio didinimą, visų pirma reikšmingą padidėjimą daugumoje Vidurio ir Rytų Europos valstybių narių[1]. Kalbant apie naujus 2025 m. tarifus, Komitetas pažymi, kad galima pastebėti struktūrinius pagerėjimus</w:t>
            </w:r>
            <w:r>
              <w:rPr>
                <w:b/>
                <w:i/>
              </w:rPr>
              <w:t>, glaudžiai susijusius su Direktyvos dėl deramo minimaliojo darbo užmokesčio ES nuostatomis</w:t>
            </w:r>
            <w:r>
              <w:t>[2]</w:t>
            </w:r>
            <w:r>
              <w:rPr>
                <w:b/>
                <w:i/>
              </w:rPr>
              <w:t>.</w:t>
            </w:r>
          </w:p>
          <w:p w:rsidRPr="00026B2B" w:rsidR="00D86124" w:rsidRDefault="00D86124" w14:paraId="4DA1ACC0" w14:textId="77777777">
            <w:pPr>
              <w:spacing w:before="40" w:after="40"/>
              <w:ind w:left="80" w:right="80"/>
            </w:pPr>
            <w:r>
              <w:t>[1] Nacionalinio minimaliojo darbo užmokesčio padidėjimas 2025 m. – EUROFOUND.</w:t>
            </w:r>
          </w:p>
          <w:p w:rsidRPr="00026B2B" w:rsidR="00D86124" w:rsidRDefault="00D86124" w14:paraId="4E6D2016" w14:textId="77777777">
            <w:pPr>
              <w:spacing w:before="40" w:after="80"/>
              <w:ind w:left="80" w:right="80"/>
            </w:pPr>
            <w:r>
              <w:t>[2] Ten pat.</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4B74D0C5" w14:textId="77777777">
            <w:pPr>
              <w:spacing w:before="80" w:after="40"/>
              <w:ind w:left="80" w:right="80"/>
            </w:pPr>
            <w:r>
              <w:rPr>
                <w:b/>
                <w:i/>
              </w:rPr>
              <w:t>Pagal Direktyvą dėl deramo minimaliojo darbo užmokesčio, teisės aktais nustatyto minimaliojo darbo užmokesčio</w:t>
            </w:r>
            <w:r>
              <w:t xml:space="preserve"> perkamoji galia yra vienas iš kriterijų, į kuriuos reikia atsižvelgti </w:t>
            </w:r>
            <w:r>
              <w:rPr>
                <w:b/>
                <w:i/>
              </w:rPr>
              <w:t>nustatant arba</w:t>
            </w:r>
            <w:r>
              <w:t xml:space="preserve"> koreguojant minimalųjį darbo užmokestį. EESRK</w:t>
            </w:r>
            <w:r>
              <w:rPr>
                <w:b/>
                <w:i/>
              </w:rPr>
              <w:t xml:space="preserve"> atkreipia dėmesį į</w:t>
            </w:r>
            <w:r>
              <w:t xml:space="preserve"> paskelbtą 2025 m. nacionalinio minimaliojo darbo užmokesčio didinimą, visų pirma reikšmingą padidėjimą daugumoje Vidurio ir Rytų Europos valstybių narių[1]. Kalbant apie naujus 2025 m. tarifus, Komitetas pažymi, kad </w:t>
            </w:r>
            <w:r>
              <w:rPr>
                <w:b/>
                <w:i/>
              </w:rPr>
              <w:t xml:space="preserve">minimalusis darbo užmokestis buvo padidintas viršijant infliaciją ir </w:t>
            </w:r>
            <w:r>
              <w:t>galima pastebėti struktūrinius pagerėjimus[2].</w:t>
            </w:r>
          </w:p>
          <w:p w:rsidRPr="00026B2B" w:rsidR="00D86124" w:rsidRDefault="00D86124" w14:paraId="5B79FB2B" w14:textId="77777777">
            <w:pPr>
              <w:spacing w:before="40" w:after="40"/>
              <w:ind w:left="80" w:right="80"/>
            </w:pPr>
            <w:r>
              <w:t>[1] Nacionalinio minimaliojo darbo užmokesčio padidėjimas 2025 m. – EUROFOUND.</w:t>
            </w:r>
          </w:p>
          <w:p w:rsidRPr="00026B2B" w:rsidR="00D86124" w:rsidRDefault="00D86124" w14:paraId="71A58625" w14:textId="77777777">
            <w:pPr>
              <w:spacing w:before="40" w:after="80"/>
              <w:ind w:left="80" w:right="80"/>
            </w:pPr>
            <w:r>
              <w:t>[2] Ten pat.</w:t>
            </w:r>
          </w:p>
        </w:tc>
      </w:tr>
    </w:tbl>
    <w:p w:rsidR="00D86124" w:rsidP="00D86124" w:rsidRDefault="00D86124" w14:paraId="1B1D589E" w14:textId="77777777">
      <w:pPr>
        <w:jc w:val="center"/>
      </w:pPr>
    </w:p>
    <w:tbl>
      <w:tblPr>
        <w:tblStyle w:val="TableGrid"/>
        <w:tblW w:w="5000" w:type="pct"/>
        <w:tblLook w:val="01E0" w:firstRow="1" w:lastRow="1" w:firstColumn="1" w:lastColumn="1" w:noHBand="0" w:noVBand="0"/>
      </w:tblPr>
      <w:tblGrid>
        <w:gridCol w:w="9061"/>
      </w:tblGrid>
      <w:tr w:rsidR="00D86124" w:rsidTr="00D86124" w14:paraId="7D05B43F"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4FDD6F5A" w14:textId="77777777">
            <w:pPr>
              <w:jc w:val="center"/>
            </w:pPr>
            <w:r>
              <w:rPr>
                <w:b/>
              </w:rPr>
              <w:t>Paaiškinimas</w:t>
            </w:r>
          </w:p>
        </w:tc>
      </w:tr>
      <w:tr w:rsidR="00D86124" w:rsidTr="00D86124" w14:paraId="70FCF4E1"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5EE0CBF2" w14:textId="77777777">
            <w:r>
              <w:t>Direktyvos dėl deramo minimaliojo darbo užmokesčio 5 straipsnyje nurodyti kriterijai yra susiję su teisės aktais nustatytu minimaliuoju darbo užmokesčiu. EUROFOUND šaltinis nurodo, kad minimalusis darbo užmokestis buvo padidintas viršijant infliaciją.</w:t>
            </w:r>
          </w:p>
        </w:tc>
      </w:tr>
    </w:tbl>
    <w:p w:rsidR="00D86124" w:rsidP="00D86124" w:rsidRDefault="00D86124" w14:paraId="334B4025" w14:textId="77777777">
      <w:pPr>
        <w:rPr>
          <w:b/>
          <w:bCs/>
          <w:lang w:val="en-GB"/>
        </w:rPr>
      </w:pPr>
    </w:p>
    <w:tbl>
      <w:tblPr>
        <w:tblStyle w:val="TableGrid"/>
        <w:tblW w:w="5000" w:type="pct"/>
        <w:tblLook w:val="01E0" w:firstRow="1" w:lastRow="1" w:firstColumn="1" w:lastColumn="1" w:noHBand="0" w:noVBand="0"/>
      </w:tblPr>
      <w:tblGrid>
        <w:gridCol w:w="9061"/>
      </w:tblGrid>
      <w:tr w:rsidRPr="005A3C9D" w:rsidR="00D86124" w:rsidTr="00963130" w14:paraId="4828D5E4" w14:textId="77777777">
        <w:tc>
          <w:tcPr>
            <w:tcW w:w="5000" w:type="pct"/>
          </w:tcPr>
          <w:p w:rsidRPr="005A3C9D" w:rsidR="00D86124" w:rsidP="00963130" w:rsidRDefault="00D86124" w14:paraId="1F16C8FA" w14:textId="77777777">
            <w:pPr>
              <w:jc w:val="left"/>
            </w:pPr>
            <w:r>
              <w:rPr>
                <w:b/>
              </w:rPr>
              <w:t>Balsavimo rezultatai</w:t>
            </w:r>
          </w:p>
        </w:tc>
      </w:tr>
      <w:tr w:rsidRPr="005A3C9D" w:rsidR="00D86124" w:rsidTr="00963130" w14:paraId="43ECF475" w14:textId="77777777">
        <w:tc>
          <w:tcPr>
            <w:tcW w:w="5000" w:type="pct"/>
            <w:hideMark/>
          </w:tcPr>
          <w:p w:rsidRPr="005A3C9D" w:rsidR="00D86124" w:rsidP="00963130" w:rsidRDefault="00D86124" w14:paraId="61A27912" w14:textId="4D3F8C5B">
            <w:pPr>
              <w:tabs>
                <w:tab w:val="right" w:pos="1701"/>
              </w:tabs>
            </w:pPr>
            <w:r>
              <w:t>Už:</w:t>
            </w:r>
            <w:r>
              <w:tab/>
              <w:t>84</w:t>
            </w:r>
          </w:p>
          <w:p w:rsidRPr="005A3C9D" w:rsidR="00D86124" w:rsidP="00963130" w:rsidRDefault="00D86124" w14:paraId="310BA14C" w14:textId="3D56DC57">
            <w:pPr>
              <w:tabs>
                <w:tab w:val="right" w:pos="1701"/>
              </w:tabs>
            </w:pPr>
            <w:r>
              <w:t>Prieš:</w:t>
            </w:r>
            <w:r>
              <w:tab/>
              <w:t>124</w:t>
            </w:r>
          </w:p>
          <w:p w:rsidRPr="005A3C9D" w:rsidR="00D86124" w:rsidP="00963130" w:rsidRDefault="00D86124" w14:paraId="2637C0D2" w14:textId="405925E0">
            <w:r>
              <w:t>Susilaikė:</w:t>
            </w:r>
            <w:r>
              <w:tab/>
              <w:t>4</w:t>
            </w:r>
          </w:p>
        </w:tc>
      </w:tr>
    </w:tbl>
    <w:p w:rsidR="00D86124" w:rsidP="00D86124" w:rsidRDefault="00D86124" w14:paraId="68E88E33" w14:textId="77777777">
      <w:pPr>
        <w:rPr>
          <w:b/>
          <w:bCs/>
        </w:rPr>
      </w:pPr>
    </w:p>
    <w:p w:rsidR="00D86124" w:rsidRDefault="00D86124" w14:paraId="7F151F67" w14:textId="7A2F993D">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128"/>
        <w:gridCol w:w="3945"/>
      </w:tblGrid>
      <w:tr w:rsidRPr="00D504AB" w:rsidR="00D86124" w:rsidTr="00026B2B" w14:paraId="2F07C85C" w14:textId="77777777">
        <w:tc>
          <w:tcPr>
            <w:tcW w:w="2826" w:type="pct"/>
            <w:tcBorders>
              <w:top w:val="nil"/>
              <w:left w:val="nil"/>
              <w:bottom w:val="nil"/>
              <w:right w:val="nil"/>
            </w:tcBorders>
          </w:tcPr>
          <w:p w:rsidRPr="00026B2B" w:rsidR="00D86124" w:rsidRDefault="00D86124" w14:paraId="4B5705E7" w14:textId="77777777">
            <w:pPr>
              <w:rPr>
                <w:b/>
                <w:bCs/>
                <w:sz w:val="32"/>
                <w:szCs w:val="32"/>
              </w:rPr>
            </w:pPr>
            <w:r>
              <w:rPr>
                <w:b/>
                <w:sz w:val="32"/>
              </w:rPr>
              <w:lastRenderedPageBreak/>
              <w:t>8 PAKEITIMAS</w:t>
            </w:r>
          </w:p>
          <w:p w:rsidRPr="00026B2B" w:rsidR="00D86124" w:rsidRDefault="00D86124" w14:paraId="648A4EC0" w14:textId="77777777">
            <w:pPr>
              <w:rPr>
                <w:b/>
                <w:bCs/>
                <w:lang w:val="en-GB"/>
              </w:rPr>
            </w:pPr>
          </w:p>
          <w:p w:rsidRPr="00026B2B" w:rsidR="00D86124" w:rsidRDefault="00D86124" w14:paraId="28FC01CE" w14:textId="77777777">
            <w:pPr>
              <w:rPr>
                <w:b/>
                <w:bCs/>
              </w:rPr>
            </w:pPr>
            <w:r>
              <w:rPr>
                <w:b/>
              </w:rPr>
              <w:t>SOC/823</w:t>
            </w:r>
          </w:p>
          <w:p w:rsidRPr="00026B2B" w:rsidR="00D86124" w:rsidRDefault="00D86124" w14:paraId="66DDFE72" w14:textId="77777777">
            <w:pPr>
              <w:jc w:val="left"/>
              <w:rPr>
                <w:b/>
                <w:bCs/>
              </w:rPr>
            </w:pPr>
            <w:r>
              <w:rPr>
                <w:b/>
              </w:rPr>
              <w:t xml:space="preserve">Perkamosios galios praradimas ir nelygybė, atskirtis, </w:t>
            </w:r>
            <w:proofErr w:type="spellStart"/>
            <w:r>
              <w:rPr>
                <w:b/>
              </w:rPr>
              <w:t>marginalizacija</w:t>
            </w:r>
            <w:proofErr w:type="spellEnd"/>
          </w:p>
          <w:p w:rsidRPr="00026B2B" w:rsidR="00D86124" w:rsidRDefault="00D86124" w14:paraId="6D77479C" w14:textId="77777777">
            <w:pPr>
              <w:rPr>
                <w:b/>
                <w:bCs/>
                <w:lang w:val="en-GB"/>
              </w:rPr>
            </w:pPr>
          </w:p>
          <w:p w:rsidR="00D86124" w:rsidRDefault="00D86124" w14:paraId="1403109A" w14:textId="77777777">
            <w:pPr>
              <w:rPr>
                <w:b/>
                <w:bCs/>
              </w:rPr>
            </w:pPr>
            <w:r>
              <w:rPr>
                <w:b/>
              </w:rPr>
              <w:t>3.7 punktas</w:t>
            </w:r>
          </w:p>
          <w:p w:rsidR="00D86124" w:rsidRDefault="00D86124" w14:paraId="54A0B132" w14:textId="77777777">
            <w:pPr>
              <w:rPr>
                <w:b/>
                <w:bCs/>
                <w:lang w:val="fr-BE"/>
              </w:rPr>
            </w:pPr>
          </w:p>
          <w:p w:rsidR="00D86124" w:rsidRDefault="00D86124" w14:paraId="33BAAF6B" w14:textId="77777777">
            <w:pPr>
              <w:rPr>
                <w:b/>
                <w:bCs/>
              </w:rPr>
            </w:pPr>
            <w:r>
              <w:rPr>
                <w:b/>
              </w:rPr>
              <w:t>Iš dalies pakeisti taip:</w:t>
            </w:r>
          </w:p>
        </w:tc>
        <w:tc>
          <w:tcPr>
            <w:tcW w:w="2174" w:type="pct"/>
            <w:tcBorders>
              <w:top w:val="nil"/>
              <w:left w:val="nil"/>
              <w:bottom w:val="nil"/>
              <w:right w:val="nil"/>
            </w:tcBorders>
          </w:tcPr>
          <w:p w:rsidR="00D86124" w:rsidRDefault="00D86124" w14:paraId="78BABD94" w14:textId="4F162830">
            <w:pPr>
              <w:jc w:val="left"/>
              <w:rPr>
                <w:lang w:val="fr-BE"/>
              </w:rPr>
            </w:pPr>
          </w:p>
        </w:tc>
      </w:tr>
    </w:tbl>
    <w:p w:rsidRPr="00026B2B" w:rsidR="00D86124" w:rsidP="00D86124" w:rsidRDefault="00D86124" w14:paraId="589E32FC"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D86124" w:rsidTr="00D86124" w14:paraId="3BB48A37"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4816C4EA"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C8D16E8" w14:textId="77777777">
            <w:pPr>
              <w:jc w:val="center"/>
              <w:rPr>
                <w:b/>
                <w:bCs/>
                <w:i/>
              </w:rPr>
            </w:pPr>
            <w:r>
              <w:rPr>
                <w:b/>
                <w:i/>
              </w:rPr>
              <w:t>Pakeitimas</w:t>
            </w:r>
          </w:p>
        </w:tc>
      </w:tr>
      <w:tr w:rsidR="00D86124" w:rsidTr="00D86124" w14:paraId="2AD0CB11"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182721D8" w14:textId="77777777">
            <w:pPr>
              <w:spacing w:before="80" w:after="40"/>
              <w:ind w:left="80" w:right="80"/>
            </w:pPr>
            <w:r>
              <w:t>Taip pat šiomis aplinkybėmis reikėtų atkreipti dėmesį į bendrą stabilizuojantį minimalių pajamų sistemų poveikį ekonomikai.</w:t>
            </w:r>
            <w:r>
              <w:rPr>
                <w:b/>
                <w:i/>
              </w:rPr>
              <w:t xml:space="preserve"> EESRK primygtinai tvirtina, kad </w:t>
            </w:r>
            <w:r>
              <w:t>minimalios pajamos</w:t>
            </w:r>
            <w:r>
              <w:rPr>
                <w:b/>
                <w:i/>
              </w:rPr>
              <w:t xml:space="preserve"> turi būti nustatomos atsižvelgiant į infliaciją</w:t>
            </w:r>
            <w:r>
              <w:t>,</w:t>
            </w:r>
            <w:r>
              <w:rPr>
                <w:b/>
                <w:i/>
              </w:rPr>
              <w:t xml:space="preserve"> </w:t>
            </w:r>
            <w:r>
              <w:t>ypač augant pragyvenimo išlaidoms</w:t>
            </w:r>
            <w:r>
              <w:rPr>
                <w:b/>
                <w:i/>
              </w:rPr>
              <w:t>, ir tai turėtų būti daroma reguliariai</w:t>
            </w:r>
            <w:r>
              <w:t xml:space="preserve">. Taip pat labai svarbu stiprinti 2023 m. sausio mėn. Tarybos rekomendacijos dėl pakankamų minimalių pajamų, kuriomis užtikrinama aktyvi </w:t>
            </w:r>
            <w:proofErr w:type="spellStart"/>
            <w:r>
              <w:t>įtrauktis</w:t>
            </w:r>
            <w:proofErr w:type="spellEnd"/>
            <w:r>
              <w:t>, įgyvendinimą[1].</w:t>
            </w:r>
          </w:p>
          <w:p w:rsidRPr="00026B2B" w:rsidR="00D86124" w:rsidRDefault="00D86124" w14:paraId="304A2859" w14:textId="77777777">
            <w:pPr>
              <w:spacing w:before="40" w:after="80"/>
              <w:ind w:left="80" w:right="80"/>
            </w:pPr>
            <w:r>
              <w:t>[1] 2023 m. Tarybos rekomendacija dėl pakankamų minimalių pajamų.</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7FA9FBF" w14:textId="77777777">
            <w:pPr>
              <w:spacing w:before="80" w:after="40"/>
              <w:ind w:left="80" w:right="80"/>
            </w:pPr>
            <w:r>
              <w:t>Taip pat šiomis aplinkybėmis reikėtų atkreipti dėmesį į bendrą stabilizuojantį minimalių pajamų sistemų poveikį ekonomikai.</w:t>
            </w:r>
            <w:r>
              <w:rPr>
                <w:b/>
                <w:i/>
              </w:rPr>
              <w:t xml:space="preserve"> Valstybės narės turėtų reguliariai vertinti</w:t>
            </w:r>
            <w:r>
              <w:t xml:space="preserve"> minimalias pajamas </w:t>
            </w:r>
            <w:r>
              <w:rPr>
                <w:b/>
                <w:i/>
              </w:rPr>
              <w:t>ir prireikus jas koreguoti, kad galėtų reaguoti į besikeičiančią padėtį</w:t>
            </w:r>
            <w:r>
              <w:t xml:space="preserve">, ypač augant pragyvenimo išlaidoms. Taip pat labai svarbu stiprinti 2023 m. sausio mėn. Tarybos rekomendacijos dėl pakankamų minimalių pajamų, kuriomis užtikrinama aktyvi </w:t>
            </w:r>
            <w:proofErr w:type="spellStart"/>
            <w:r>
              <w:t>įtrauktis</w:t>
            </w:r>
            <w:proofErr w:type="spellEnd"/>
            <w:r>
              <w:t>, įgyvendinimą[1].</w:t>
            </w:r>
          </w:p>
          <w:p w:rsidRPr="00026B2B" w:rsidR="00D86124" w:rsidRDefault="00D86124" w14:paraId="54CF2BD1" w14:textId="77777777">
            <w:pPr>
              <w:spacing w:before="40" w:after="80"/>
              <w:ind w:left="80" w:right="80"/>
            </w:pPr>
            <w:r>
              <w:t>[1] 2023 m. Tarybos rekomendacija dėl pakankamų minimalių pajamų.</w:t>
            </w:r>
          </w:p>
        </w:tc>
      </w:tr>
    </w:tbl>
    <w:p w:rsidR="00D86124" w:rsidP="00D86124" w:rsidRDefault="00D86124" w14:paraId="270B125C" w14:textId="77777777">
      <w:pPr>
        <w:jc w:val="center"/>
      </w:pPr>
    </w:p>
    <w:tbl>
      <w:tblPr>
        <w:tblStyle w:val="TableGrid"/>
        <w:tblW w:w="5000" w:type="pct"/>
        <w:tblLook w:val="01E0" w:firstRow="1" w:lastRow="1" w:firstColumn="1" w:lastColumn="1" w:noHBand="0" w:noVBand="0"/>
      </w:tblPr>
      <w:tblGrid>
        <w:gridCol w:w="9061"/>
      </w:tblGrid>
      <w:tr w:rsidR="00D86124" w:rsidTr="00D86124" w14:paraId="2767923E"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6ECC1C53" w14:textId="77777777">
            <w:pPr>
              <w:jc w:val="center"/>
            </w:pPr>
            <w:r>
              <w:rPr>
                <w:b/>
              </w:rPr>
              <w:t>Paaiškinimas</w:t>
            </w:r>
          </w:p>
        </w:tc>
      </w:tr>
      <w:tr w:rsidR="00D86124" w:rsidTr="00D86124" w14:paraId="0C60A816"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4B621230" w14:textId="77777777">
            <w:r>
              <w:t>Infliacija nėra vienintelė augančių pragyvenimo išlaidų priežastis.</w:t>
            </w:r>
          </w:p>
        </w:tc>
      </w:tr>
    </w:tbl>
    <w:p w:rsidR="00D86124" w:rsidP="00D86124" w:rsidRDefault="00D86124" w14:paraId="731D1600" w14:textId="77777777">
      <w:pPr>
        <w:rPr>
          <w:b/>
          <w:bCs/>
          <w:lang w:val="en-GB"/>
        </w:rPr>
      </w:pPr>
    </w:p>
    <w:tbl>
      <w:tblPr>
        <w:tblStyle w:val="TableGrid"/>
        <w:tblW w:w="5000" w:type="pct"/>
        <w:tblLook w:val="01E0" w:firstRow="1" w:lastRow="1" w:firstColumn="1" w:lastColumn="1" w:noHBand="0" w:noVBand="0"/>
      </w:tblPr>
      <w:tblGrid>
        <w:gridCol w:w="9061"/>
      </w:tblGrid>
      <w:tr w:rsidRPr="005A3C9D" w:rsidR="00D86124" w:rsidTr="00963130" w14:paraId="25A3F38E" w14:textId="77777777">
        <w:tc>
          <w:tcPr>
            <w:tcW w:w="5000" w:type="pct"/>
          </w:tcPr>
          <w:p w:rsidRPr="005A3C9D" w:rsidR="00D86124" w:rsidP="00963130" w:rsidRDefault="00D86124" w14:paraId="438D7A91" w14:textId="77777777">
            <w:pPr>
              <w:jc w:val="left"/>
            </w:pPr>
            <w:r>
              <w:rPr>
                <w:b/>
              </w:rPr>
              <w:t>Balsavimo rezultatai</w:t>
            </w:r>
          </w:p>
        </w:tc>
      </w:tr>
      <w:tr w:rsidRPr="005A3C9D" w:rsidR="00D86124" w:rsidTr="00963130" w14:paraId="40B4FEAB" w14:textId="77777777">
        <w:tc>
          <w:tcPr>
            <w:tcW w:w="5000" w:type="pct"/>
            <w:hideMark/>
          </w:tcPr>
          <w:p w:rsidRPr="005A3C9D" w:rsidR="00D86124" w:rsidP="00963130" w:rsidRDefault="00D86124" w14:paraId="1DC35120" w14:textId="77777777">
            <w:pPr>
              <w:tabs>
                <w:tab w:val="right" w:pos="1701"/>
              </w:tabs>
            </w:pPr>
            <w:r>
              <w:t>Už:</w:t>
            </w:r>
            <w:r>
              <w:tab/>
              <w:t>82</w:t>
            </w:r>
          </w:p>
          <w:p w:rsidRPr="005A3C9D" w:rsidR="00D86124" w:rsidP="00963130" w:rsidRDefault="00D86124" w14:paraId="690BF77D" w14:textId="746C7A91">
            <w:pPr>
              <w:tabs>
                <w:tab w:val="right" w:pos="1701"/>
              </w:tabs>
            </w:pPr>
            <w:r>
              <w:t>Prieš:</w:t>
            </w:r>
            <w:r>
              <w:tab/>
              <w:t>121</w:t>
            </w:r>
          </w:p>
          <w:p w:rsidRPr="005A3C9D" w:rsidR="00D86124" w:rsidP="00963130" w:rsidRDefault="00D86124" w14:paraId="0B225F77" w14:textId="5AC111A5">
            <w:r>
              <w:t>Susilaikė:</w:t>
            </w:r>
            <w:r>
              <w:tab/>
              <w:t>4</w:t>
            </w:r>
          </w:p>
        </w:tc>
      </w:tr>
    </w:tbl>
    <w:p w:rsidR="00D86124" w:rsidP="00D86124" w:rsidRDefault="00D86124" w14:paraId="3DE1FF2D" w14:textId="77777777">
      <w:pPr>
        <w:rPr>
          <w:b/>
          <w:bCs/>
        </w:rPr>
      </w:pPr>
    </w:p>
    <w:p w:rsidR="00D86124" w:rsidRDefault="00D86124" w14:paraId="0F16B120" w14:textId="6D53FC21">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128"/>
        <w:gridCol w:w="3945"/>
      </w:tblGrid>
      <w:tr w:rsidRPr="00D504AB" w:rsidR="00D86124" w:rsidTr="00026B2B" w14:paraId="38A84991" w14:textId="77777777">
        <w:tc>
          <w:tcPr>
            <w:tcW w:w="2826" w:type="pct"/>
            <w:tcBorders>
              <w:top w:val="nil"/>
              <w:left w:val="nil"/>
              <w:bottom w:val="nil"/>
              <w:right w:val="nil"/>
            </w:tcBorders>
          </w:tcPr>
          <w:p w:rsidRPr="00026B2B" w:rsidR="00D86124" w:rsidRDefault="00D86124" w14:paraId="6DB176D1" w14:textId="77777777">
            <w:pPr>
              <w:rPr>
                <w:b/>
                <w:bCs/>
                <w:sz w:val="32"/>
                <w:szCs w:val="32"/>
              </w:rPr>
            </w:pPr>
            <w:r>
              <w:rPr>
                <w:b/>
                <w:sz w:val="32"/>
              </w:rPr>
              <w:lastRenderedPageBreak/>
              <w:t>9 PAKEITIMAS</w:t>
            </w:r>
          </w:p>
          <w:p w:rsidRPr="00026B2B" w:rsidR="00D86124" w:rsidRDefault="00D86124" w14:paraId="4C282FE7" w14:textId="77777777">
            <w:pPr>
              <w:rPr>
                <w:b/>
                <w:bCs/>
                <w:lang w:val="en-GB"/>
              </w:rPr>
            </w:pPr>
          </w:p>
          <w:p w:rsidRPr="00026B2B" w:rsidR="00D86124" w:rsidRDefault="00D86124" w14:paraId="3CC2940C" w14:textId="77777777">
            <w:pPr>
              <w:rPr>
                <w:b/>
                <w:bCs/>
              </w:rPr>
            </w:pPr>
            <w:r>
              <w:rPr>
                <w:b/>
              </w:rPr>
              <w:t>SOC/823</w:t>
            </w:r>
          </w:p>
          <w:p w:rsidRPr="00026B2B" w:rsidR="00D86124" w:rsidRDefault="00D86124" w14:paraId="0FB6761E" w14:textId="77777777">
            <w:pPr>
              <w:jc w:val="left"/>
              <w:rPr>
                <w:b/>
                <w:bCs/>
              </w:rPr>
            </w:pPr>
            <w:r>
              <w:rPr>
                <w:b/>
              </w:rPr>
              <w:t xml:space="preserve">Perkamosios galios praradimas ir nelygybė, atskirtis, </w:t>
            </w:r>
            <w:proofErr w:type="spellStart"/>
            <w:r>
              <w:rPr>
                <w:b/>
              </w:rPr>
              <w:t>marginalizacija</w:t>
            </w:r>
            <w:proofErr w:type="spellEnd"/>
          </w:p>
          <w:p w:rsidRPr="00026B2B" w:rsidR="00D86124" w:rsidRDefault="00D86124" w14:paraId="65DE03A2" w14:textId="77777777">
            <w:pPr>
              <w:rPr>
                <w:b/>
                <w:bCs/>
                <w:lang w:val="en-GB"/>
              </w:rPr>
            </w:pPr>
          </w:p>
          <w:p w:rsidR="00D86124" w:rsidRDefault="00D86124" w14:paraId="113E5A89" w14:textId="77777777">
            <w:pPr>
              <w:rPr>
                <w:b/>
                <w:bCs/>
              </w:rPr>
            </w:pPr>
            <w:r>
              <w:rPr>
                <w:b/>
              </w:rPr>
              <w:t>3.10 punktas</w:t>
            </w:r>
          </w:p>
          <w:p w:rsidR="00D86124" w:rsidRDefault="00D86124" w14:paraId="2023F6D7" w14:textId="77777777">
            <w:pPr>
              <w:rPr>
                <w:b/>
                <w:bCs/>
                <w:lang w:val="fr-BE"/>
              </w:rPr>
            </w:pPr>
          </w:p>
          <w:p w:rsidR="00D86124" w:rsidRDefault="00D86124" w14:paraId="1EC14B02" w14:textId="77777777">
            <w:pPr>
              <w:rPr>
                <w:b/>
                <w:bCs/>
              </w:rPr>
            </w:pPr>
            <w:r>
              <w:rPr>
                <w:b/>
              </w:rPr>
              <w:t>Iš dalies pakeisti taip:</w:t>
            </w:r>
          </w:p>
        </w:tc>
        <w:tc>
          <w:tcPr>
            <w:tcW w:w="2174" w:type="pct"/>
            <w:tcBorders>
              <w:top w:val="nil"/>
              <w:left w:val="nil"/>
              <w:bottom w:val="nil"/>
              <w:right w:val="nil"/>
            </w:tcBorders>
          </w:tcPr>
          <w:p w:rsidR="00D86124" w:rsidRDefault="00D86124" w14:paraId="3F2CE70A" w14:textId="50F06AEB">
            <w:pPr>
              <w:jc w:val="left"/>
              <w:rPr>
                <w:lang w:val="fr-BE"/>
              </w:rPr>
            </w:pPr>
          </w:p>
        </w:tc>
      </w:tr>
    </w:tbl>
    <w:p w:rsidRPr="00026B2B" w:rsidR="00D86124" w:rsidP="00D86124" w:rsidRDefault="00D86124" w14:paraId="2B1B1ED6"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D86124" w:rsidTr="00D86124" w14:paraId="7B9A1992"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4A7AC571"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62F567C0" w14:textId="77777777">
            <w:pPr>
              <w:jc w:val="center"/>
              <w:rPr>
                <w:b/>
                <w:bCs/>
                <w:i/>
              </w:rPr>
            </w:pPr>
            <w:r>
              <w:rPr>
                <w:b/>
                <w:i/>
              </w:rPr>
              <w:t>Pakeitimas</w:t>
            </w:r>
          </w:p>
        </w:tc>
      </w:tr>
      <w:tr w:rsidR="00D86124" w:rsidTr="00D86124" w14:paraId="0ADD8C92"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1D3FAA9" w14:textId="77777777">
            <w:pPr>
              <w:spacing w:before="80" w:after="40"/>
              <w:ind w:left="80" w:right="80"/>
            </w:pPr>
            <w:r>
              <w:t xml:space="preserve">Galimybė įsigyti įperkamo ir sveiko maisto turi būti </w:t>
            </w:r>
            <w:r>
              <w:rPr>
                <w:b/>
                <w:i/>
              </w:rPr>
              <w:t>įtraukta į būtiniausių prekių</w:t>
            </w:r>
            <w:r>
              <w:t xml:space="preserve"> ir </w:t>
            </w:r>
            <w:r>
              <w:rPr>
                <w:b/>
                <w:i/>
              </w:rPr>
              <w:t>esminių paslaugų sistemą</w:t>
            </w:r>
            <w:r>
              <w:t>, susietą su sveikų žmonių ir sveikos planetos tikslais pagal Europos žaliąjį kursą[1].</w:t>
            </w:r>
          </w:p>
          <w:p w:rsidR="00D86124" w:rsidRDefault="00D86124" w14:paraId="1C4412B8" w14:textId="77777777">
            <w:pPr>
              <w:spacing w:before="40" w:after="80"/>
              <w:ind w:left="80" w:right="80"/>
            </w:pPr>
            <w:r>
              <w:t>[1] Ten pat.</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7A8ED0D7" w14:textId="77777777">
            <w:pPr>
              <w:spacing w:before="80" w:after="40"/>
              <w:ind w:left="80" w:right="80"/>
            </w:pPr>
            <w:r>
              <w:t xml:space="preserve">Galimybės įsigyti įperkamo ir sveiko maisto turi būti </w:t>
            </w:r>
            <w:r>
              <w:rPr>
                <w:b/>
                <w:i/>
              </w:rPr>
              <w:t>gerinamos užtikrinant palankias sąlygas tvariam ūkininkavimui</w:t>
            </w:r>
            <w:r>
              <w:t xml:space="preserve"> ir </w:t>
            </w:r>
            <w:r>
              <w:rPr>
                <w:b/>
                <w:i/>
              </w:rPr>
              <w:t>maisto gamybai ES</w:t>
            </w:r>
            <w:r>
              <w:t xml:space="preserve">, </w:t>
            </w:r>
            <w:r>
              <w:rPr>
                <w:b/>
                <w:i/>
              </w:rPr>
              <w:t>jas</w:t>
            </w:r>
            <w:r>
              <w:t xml:space="preserve"> susiejant su sveikų žmonių ir sveikos planetos tikslais pagal Europos žaliąjį kursą[1].</w:t>
            </w:r>
          </w:p>
          <w:p w:rsidR="00D86124" w:rsidRDefault="00D86124" w14:paraId="53EECA8E" w14:textId="77777777">
            <w:pPr>
              <w:spacing w:before="40" w:after="80"/>
              <w:ind w:left="80" w:right="80"/>
            </w:pPr>
            <w:r>
              <w:t>[1] Ten pat.</w:t>
            </w:r>
          </w:p>
        </w:tc>
      </w:tr>
    </w:tbl>
    <w:p w:rsidR="00D86124" w:rsidP="00D86124" w:rsidRDefault="00D86124" w14:paraId="70666E7D" w14:textId="77777777">
      <w:pPr>
        <w:jc w:val="center"/>
      </w:pPr>
    </w:p>
    <w:tbl>
      <w:tblPr>
        <w:tblStyle w:val="TableGrid"/>
        <w:tblW w:w="5000" w:type="pct"/>
        <w:tblLook w:val="01E0" w:firstRow="1" w:lastRow="1" w:firstColumn="1" w:lastColumn="1" w:noHBand="0" w:noVBand="0"/>
      </w:tblPr>
      <w:tblGrid>
        <w:gridCol w:w="9061"/>
      </w:tblGrid>
      <w:tr w:rsidR="00D86124" w:rsidTr="00D86124" w14:paraId="1C632D8B"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4A9AD1E" w14:textId="77777777">
            <w:pPr>
              <w:jc w:val="center"/>
            </w:pPr>
            <w:r>
              <w:rPr>
                <w:b/>
              </w:rPr>
              <w:t>Paaiškinimas</w:t>
            </w:r>
          </w:p>
        </w:tc>
      </w:tr>
      <w:tr w:rsidR="00D86124" w:rsidTr="00D86124" w14:paraId="090AF965"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3D6F894" w14:textId="77777777">
            <w:r>
              <w:t>Naujomis apibrėžtimis negalima užtikrinti galimybės įsigyti įperkamo ir sveiko maisto, tam reikia klestinčios ir tvarios maisto gamybos ES.</w:t>
            </w:r>
          </w:p>
        </w:tc>
      </w:tr>
    </w:tbl>
    <w:p w:rsidR="00D86124" w:rsidP="00D86124" w:rsidRDefault="00D86124" w14:paraId="050E50F1" w14:textId="77777777">
      <w:pPr>
        <w:rPr>
          <w:b/>
          <w:bCs/>
          <w:lang w:val="en-GB"/>
        </w:rPr>
      </w:pPr>
    </w:p>
    <w:tbl>
      <w:tblPr>
        <w:tblStyle w:val="TableGrid"/>
        <w:tblW w:w="5000" w:type="pct"/>
        <w:tblLook w:val="01E0" w:firstRow="1" w:lastRow="1" w:firstColumn="1" w:lastColumn="1" w:noHBand="0" w:noVBand="0"/>
      </w:tblPr>
      <w:tblGrid>
        <w:gridCol w:w="9061"/>
      </w:tblGrid>
      <w:tr w:rsidRPr="005A3C9D" w:rsidR="00D86124" w:rsidTr="00963130" w14:paraId="2C289607" w14:textId="77777777">
        <w:tc>
          <w:tcPr>
            <w:tcW w:w="5000" w:type="pct"/>
          </w:tcPr>
          <w:p w:rsidRPr="005A3C9D" w:rsidR="00D86124" w:rsidP="00963130" w:rsidRDefault="00D86124" w14:paraId="29A14D8B" w14:textId="77777777">
            <w:pPr>
              <w:jc w:val="left"/>
            </w:pPr>
            <w:r>
              <w:rPr>
                <w:b/>
              </w:rPr>
              <w:t>Balsavimo rezultatai</w:t>
            </w:r>
          </w:p>
        </w:tc>
      </w:tr>
      <w:tr w:rsidRPr="005A3C9D" w:rsidR="00D86124" w:rsidTr="00963130" w14:paraId="33762FAC" w14:textId="77777777">
        <w:tc>
          <w:tcPr>
            <w:tcW w:w="5000" w:type="pct"/>
            <w:hideMark/>
          </w:tcPr>
          <w:p w:rsidRPr="005A3C9D" w:rsidR="00D86124" w:rsidP="00963130" w:rsidRDefault="00D86124" w14:paraId="2C105DCA" w14:textId="3E84C1B5">
            <w:pPr>
              <w:tabs>
                <w:tab w:val="right" w:pos="1701"/>
              </w:tabs>
            </w:pPr>
            <w:r>
              <w:t>Už:</w:t>
            </w:r>
            <w:r>
              <w:tab/>
              <w:t>87</w:t>
            </w:r>
          </w:p>
          <w:p w:rsidRPr="005A3C9D" w:rsidR="00D86124" w:rsidP="00963130" w:rsidRDefault="00D86124" w14:paraId="0AEAE0A8" w14:textId="53130E44">
            <w:pPr>
              <w:tabs>
                <w:tab w:val="right" w:pos="1701"/>
              </w:tabs>
            </w:pPr>
            <w:r>
              <w:t>Prieš:</w:t>
            </w:r>
            <w:r>
              <w:tab/>
              <w:t>120</w:t>
            </w:r>
          </w:p>
          <w:p w:rsidRPr="005A3C9D" w:rsidR="00D86124" w:rsidP="00963130" w:rsidRDefault="00D86124" w14:paraId="6FB95170" w14:textId="275FF939">
            <w:r>
              <w:t>Susilaikė:</w:t>
            </w:r>
            <w:r>
              <w:tab/>
              <w:t>2</w:t>
            </w:r>
          </w:p>
        </w:tc>
      </w:tr>
    </w:tbl>
    <w:p w:rsidRPr="00026B2B" w:rsidR="00D86124" w:rsidP="00D86124" w:rsidRDefault="00D86124" w14:paraId="1143D857" w14:textId="77777777">
      <w:pPr>
        <w:rPr>
          <w:b/>
          <w:bCs/>
          <w:lang w:val="en-GB"/>
        </w:rPr>
      </w:pPr>
    </w:p>
    <w:p w:rsidR="00D86124" w:rsidRDefault="00D86124" w14:paraId="49FC8203" w14:textId="0610DB2A">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128"/>
        <w:gridCol w:w="3945"/>
      </w:tblGrid>
      <w:tr w:rsidRPr="00D504AB" w:rsidR="00D86124" w:rsidTr="00026B2B" w14:paraId="1DD26411" w14:textId="77777777">
        <w:tc>
          <w:tcPr>
            <w:tcW w:w="2826" w:type="pct"/>
            <w:tcBorders>
              <w:top w:val="nil"/>
              <w:left w:val="nil"/>
              <w:bottom w:val="nil"/>
              <w:right w:val="nil"/>
            </w:tcBorders>
          </w:tcPr>
          <w:p w:rsidRPr="00026B2B" w:rsidR="00D86124" w:rsidRDefault="00D86124" w14:paraId="51332B45" w14:textId="77777777">
            <w:pPr>
              <w:rPr>
                <w:b/>
                <w:bCs/>
                <w:sz w:val="32"/>
                <w:szCs w:val="32"/>
              </w:rPr>
            </w:pPr>
            <w:r>
              <w:rPr>
                <w:b/>
                <w:sz w:val="32"/>
              </w:rPr>
              <w:lastRenderedPageBreak/>
              <w:t>10</w:t>
            </w:r>
            <w:r>
              <w:rPr>
                <w:b/>
                <w:bCs/>
                <w:sz w:val="32"/>
              </w:rPr>
              <w:t> PAKEITIMAS</w:t>
            </w:r>
          </w:p>
          <w:p w:rsidRPr="00026B2B" w:rsidR="00D86124" w:rsidRDefault="00D86124" w14:paraId="330FCE1C" w14:textId="77777777">
            <w:pPr>
              <w:rPr>
                <w:b/>
                <w:bCs/>
                <w:lang w:val="en-GB"/>
              </w:rPr>
            </w:pPr>
          </w:p>
          <w:p w:rsidRPr="00026B2B" w:rsidR="00D86124" w:rsidRDefault="00D86124" w14:paraId="0062CC10" w14:textId="77777777">
            <w:pPr>
              <w:rPr>
                <w:b/>
                <w:bCs/>
              </w:rPr>
            </w:pPr>
            <w:r>
              <w:rPr>
                <w:b/>
              </w:rPr>
              <w:t>SOC/823</w:t>
            </w:r>
          </w:p>
          <w:p w:rsidRPr="00026B2B" w:rsidR="00D86124" w:rsidRDefault="00D86124" w14:paraId="693B24A7" w14:textId="77777777">
            <w:pPr>
              <w:jc w:val="left"/>
              <w:rPr>
                <w:b/>
                <w:bCs/>
              </w:rPr>
            </w:pPr>
            <w:r>
              <w:rPr>
                <w:b/>
              </w:rPr>
              <w:t xml:space="preserve">Perkamosios galios praradimas ir nelygybė, atskirtis, </w:t>
            </w:r>
            <w:proofErr w:type="spellStart"/>
            <w:r>
              <w:rPr>
                <w:b/>
              </w:rPr>
              <w:t>marginalizacija</w:t>
            </w:r>
            <w:proofErr w:type="spellEnd"/>
          </w:p>
          <w:p w:rsidRPr="00026B2B" w:rsidR="00D86124" w:rsidRDefault="00D86124" w14:paraId="1CFA0645" w14:textId="77777777">
            <w:pPr>
              <w:rPr>
                <w:b/>
                <w:bCs/>
                <w:lang w:val="en-GB"/>
              </w:rPr>
            </w:pPr>
          </w:p>
          <w:p w:rsidR="00D86124" w:rsidRDefault="00D86124" w14:paraId="3ECF40A3" w14:textId="77777777">
            <w:pPr>
              <w:rPr>
                <w:b/>
                <w:bCs/>
              </w:rPr>
            </w:pPr>
            <w:r>
              <w:rPr>
                <w:b/>
              </w:rPr>
              <w:t>3.11 punktas</w:t>
            </w:r>
          </w:p>
          <w:p w:rsidR="00D86124" w:rsidRDefault="00D86124" w14:paraId="2FEF7034" w14:textId="77777777">
            <w:pPr>
              <w:rPr>
                <w:b/>
                <w:bCs/>
                <w:lang w:val="fr-BE"/>
              </w:rPr>
            </w:pPr>
          </w:p>
          <w:p w:rsidR="00D86124" w:rsidRDefault="00D86124" w14:paraId="0FB03D35" w14:textId="77777777">
            <w:pPr>
              <w:rPr>
                <w:b/>
                <w:bCs/>
              </w:rPr>
            </w:pPr>
            <w:r>
              <w:rPr>
                <w:b/>
              </w:rPr>
              <w:t>Iš dalies pakeisti taip:</w:t>
            </w:r>
          </w:p>
        </w:tc>
        <w:tc>
          <w:tcPr>
            <w:tcW w:w="2174" w:type="pct"/>
            <w:tcBorders>
              <w:top w:val="nil"/>
              <w:left w:val="nil"/>
              <w:bottom w:val="nil"/>
              <w:right w:val="nil"/>
            </w:tcBorders>
          </w:tcPr>
          <w:p w:rsidR="00D86124" w:rsidRDefault="00D86124" w14:paraId="45064D5B" w14:textId="540F8D87">
            <w:pPr>
              <w:jc w:val="left"/>
              <w:rPr>
                <w:lang w:val="fr-BE"/>
              </w:rPr>
            </w:pPr>
          </w:p>
        </w:tc>
      </w:tr>
    </w:tbl>
    <w:p w:rsidRPr="00026B2B" w:rsidR="00D86124" w:rsidP="00D86124" w:rsidRDefault="00D86124" w14:paraId="2B55A902"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D86124" w:rsidTr="00D86124" w14:paraId="3CCDDFA7"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10417A7C"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B04A8D6" w14:textId="77777777">
            <w:pPr>
              <w:jc w:val="center"/>
              <w:rPr>
                <w:b/>
                <w:bCs/>
                <w:i/>
              </w:rPr>
            </w:pPr>
            <w:r>
              <w:rPr>
                <w:b/>
                <w:i/>
              </w:rPr>
              <w:t>Pakeitimas</w:t>
            </w:r>
          </w:p>
        </w:tc>
      </w:tr>
      <w:tr w:rsidR="00D86124" w:rsidTr="00D86124" w14:paraId="3F030F93"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4109CF34" w14:textId="77777777">
            <w:pPr>
              <w:spacing w:before="80" w:after="80"/>
              <w:ind w:left="80" w:right="80"/>
            </w:pPr>
            <w:r>
              <w:t xml:space="preserve">EESRK pabrėžia, kad reikia veiksmingiau investuoti į viešąsias paslaugas ir infrastruktūrą, įskaitant sveikatos priežiūrą, švietimą, ir kartu atsižvelgti į sveikatos apsaugą ir būstą, kad būtų užtikrintas tinkamas ir įperkamas socialinis būstas, kartu su kitomis socialinėmis investicijomis. Tikslinė parama socialinės ekonomikos organizacijoms gali padėti stiprinti socialinę infrastruktūrą, kurti kokybiškas darbo vietas ir sudaryti galimybę naudotis įperkamomis pagrindinėmis paslaugomis. </w:t>
            </w:r>
            <w:r>
              <w:rPr>
                <w:b/>
                <w:i/>
              </w:rPr>
              <w:t xml:space="preserve">Komitetas įspėja, kad didesnės investicijos į gynybos pramonę neturėtų kelti pavojaus, ypač kai daugelis valstybių narių patiria fiskalinių suvaržymų ir vėl pradeda mažinti pagrindinių viešųjų paslaugų finansavimą. </w:t>
            </w:r>
            <w:r>
              <w:t xml:space="preserve">Jis taip pat ragina imtis priemonių, kuriomis būtų skatinamas ekonomikos augimas ir našumas, kad būtų sudarytos sąlygos investuoti į bendros </w:t>
            </w:r>
            <w:r>
              <w:rPr>
                <w:b/>
                <w:i/>
              </w:rPr>
              <w:t xml:space="preserve">gerovės </w:t>
            </w:r>
            <w:r>
              <w:t>gėrybę.</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305EC6F2" w14:textId="77777777">
            <w:pPr>
              <w:spacing w:before="80" w:after="80"/>
              <w:ind w:left="80" w:right="80"/>
            </w:pPr>
            <w:r>
              <w:t xml:space="preserve">EESRK pabrėžia, kad reikia veiksmingiau investuoti į viešąsias paslaugas ir infrastruktūrą, įskaitant sveikatos priežiūrą, švietimą, ir kartu atsižvelgti į sveikatos apsaugą ir būstą, kad būtų užtikrintas tinkamas ir įperkamas socialinis būstas, kartu su kitomis socialinėmis investicijomis. Tikslinė parama socialinės ekonomikos organizacijoms gali padėti stiprinti socialinę infrastruktūrą, kurti kokybiškas darbo vietas ir sudaryti galimybę naudotis įperkamomis pagrindinėmis paslaugomis. Jis taip pat ragina imtis priemonių, kuriomis būtų skatinamas ekonomikos augimas ir našumas, kad būtų sudarytos sąlygos investuoti į </w:t>
            </w:r>
            <w:r>
              <w:rPr>
                <w:b/>
                <w:i/>
              </w:rPr>
              <w:t>įvairias</w:t>
            </w:r>
            <w:r>
              <w:t xml:space="preserve"> </w:t>
            </w:r>
            <w:r>
              <w:rPr>
                <w:b/>
                <w:i/>
              </w:rPr>
              <w:t>bendros gėrybės formas</w:t>
            </w:r>
            <w:r>
              <w:t>.</w:t>
            </w:r>
            <w:r>
              <w:rPr>
                <w:b/>
                <w:i/>
              </w:rPr>
              <w:t xml:space="preserve"> EESRK pabrėžia, kad visada turi būti užtikrintas esminių paslaugų finansavimas.</w:t>
            </w:r>
          </w:p>
        </w:tc>
      </w:tr>
    </w:tbl>
    <w:p w:rsidR="00D86124" w:rsidP="00D86124" w:rsidRDefault="00D86124" w14:paraId="73795630" w14:textId="77777777">
      <w:pPr>
        <w:jc w:val="center"/>
      </w:pPr>
    </w:p>
    <w:tbl>
      <w:tblPr>
        <w:tblStyle w:val="TableGrid"/>
        <w:tblW w:w="5000" w:type="pct"/>
        <w:tblLook w:val="01E0" w:firstRow="1" w:lastRow="1" w:firstColumn="1" w:lastColumn="1" w:noHBand="0" w:noVBand="0"/>
      </w:tblPr>
      <w:tblGrid>
        <w:gridCol w:w="9061"/>
      </w:tblGrid>
      <w:tr w:rsidR="00D86124" w:rsidTr="00D86124" w14:paraId="56B238B6"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10EC5CD6" w14:textId="77777777">
            <w:pPr>
              <w:jc w:val="center"/>
            </w:pPr>
            <w:r>
              <w:rPr>
                <w:b/>
              </w:rPr>
              <w:t>Paaiškinimas</w:t>
            </w:r>
          </w:p>
        </w:tc>
      </w:tr>
      <w:tr w:rsidR="00D86124" w:rsidTr="00D86124" w14:paraId="5A5CE6E8"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0E367616" w14:textId="77777777">
            <w:r>
              <w:t>Svarbu užtikrinti tinkamą esminių paslaugų finansavimą, nesupriešinant skirtingų bendros gerovės komponentų.</w:t>
            </w:r>
          </w:p>
        </w:tc>
      </w:tr>
    </w:tbl>
    <w:p w:rsidR="00D86124" w:rsidP="00D86124" w:rsidRDefault="00D86124" w14:paraId="391345F9" w14:textId="33336B66">
      <w:pPr>
        <w:rPr>
          <w:b/>
          <w:bCs/>
          <w:lang w:val="en-GB"/>
        </w:rPr>
      </w:pPr>
    </w:p>
    <w:tbl>
      <w:tblPr>
        <w:tblStyle w:val="TableGrid"/>
        <w:tblW w:w="5000" w:type="pct"/>
        <w:tblLook w:val="01E0" w:firstRow="1" w:lastRow="1" w:firstColumn="1" w:lastColumn="1" w:noHBand="0" w:noVBand="0"/>
      </w:tblPr>
      <w:tblGrid>
        <w:gridCol w:w="9061"/>
      </w:tblGrid>
      <w:tr w:rsidRPr="005A3C9D" w:rsidR="00D86124" w:rsidTr="00963130" w14:paraId="557FDEC1" w14:textId="77777777">
        <w:tc>
          <w:tcPr>
            <w:tcW w:w="5000" w:type="pct"/>
          </w:tcPr>
          <w:p w:rsidRPr="005A3C9D" w:rsidR="00D86124" w:rsidP="00963130" w:rsidRDefault="00D86124" w14:paraId="76311F04" w14:textId="77777777">
            <w:pPr>
              <w:jc w:val="left"/>
            </w:pPr>
            <w:r>
              <w:rPr>
                <w:b/>
              </w:rPr>
              <w:t>Balsavimo rezultatai</w:t>
            </w:r>
          </w:p>
        </w:tc>
      </w:tr>
      <w:tr w:rsidRPr="005A3C9D" w:rsidR="00D86124" w:rsidTr="00963130" w14:paraId="4562EA64" w14:textId="77777777">
        <w:tc>
          <w:tcPr>
            <w:tcW w:w="5000" w:type="pct"/>
            <w:hideMark/>
          </w:tcPr>
          <w:p w:rsidRPr="005A3C9D" w:rsidR="00D86124" w:rsidP="00963130" w:rsidRDefault="00D86124" w14:paraId="25916729" w14:textId="143314FA">
            <w:pPr>
              <w:tabs>
                <w:tab w:val="right" w:pos="1701"/>
              </w:tabs>
            </w:pPr>
            <w:r>
              <w:t>Už:</w:t>
            </w:r>
            <w:r>
              <w:tab/>
              <w:t>86</w:t>
            </w:r>
          </w:p>
          <w:p w:rsidRPr="005A3C9D" w:rsidR="00D86124" w:rsidP="00963130" w:rsidRDefault="00D86124" w14:paraId="562F4997" w14:textId="7CC785DD">
            <w:pPr>
              <w:tabs>
                <w:tab w:val="right" w:pos="1701"/>
              </w:tabs>
            </w:pPr>
            <w:r>
              <w:t>Prieš:</w:t>
            </w:r>
            <w:r>
              <w:tab/>
              <w:t>123</w:t>
            </w:r>
          </w:p>
          <w:p w:rsidRPr="005A3C9D" w:rsidR="00D86124" w:rsidP="00963130" w:rsidRDefault="00D86124" w14:paraId="6F26FA72" w14:textId="70F49FFE">
            <w:r>
              <w:t>Susilaikė:</w:t>
            </w:r>
            <w:r>
              <w:tab/>
              <w:t xml:space="preserve"> 3</w:t>
            </w:r>
          </w:p>
        </w:tc>
      </w:tr>
    </w:tbl>
    <w:p w:rsidR="00D86124" w:rsidP="00D86124" w:rsidRDefault="00D86124" w14:paraId="4D1A8467" w14:textId="77777777">
      <w:pPr>
        <w:rPr>
          <w:b/>
          <w:bCs/>
          <w:lang w:val="en-GB"/>
        </w:rPr>
      </w:pPr>
    </w:p>
    <w:p w:rsidR="00D86124" w:rsidRDefault="00D86124" w14:paraId="71656EBB" w14:textId="3478D011">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128"/>
        <w:gridCol w:w="3945"/>
      </w:tblGrid>
      <w:tr w:rsidRPr="00D504AB" w:rsidR="00D86124" w:rsidTr="00026B2B" w14:paraId="209082F0" w14:textId="77777777">
        <w:tc>
          <w:tcPr>
            <w:tcW w:w="2826" w:type="pct"/>
            <w:tcBorders>
              <w:top w:val="nil"/>
              <w:left w:val="nil"/>
              <w:bottom w:val="nil"/>
              <w:right w:val="nil"/>
            </w:tcBorders>
          </w:tcPr>
          <w:p w:rsidRPr="00026B2B" w:rsidR="00D86124" w:rsidRDefault="00D86124" w14:paraId="48BB7A2D" w14:textId="77777777">
            <w:pPr>
              <w:rPr>
                <w:b/>
                <w:bCs/>
                <w:sz w:val="32"/>
                <w:szCs w:val="32"/>
              </w:rPr>
            </w:pPr>
            <w:r>
              <w:rPr>
                <w:b/>
                <w:sz w:val="32"/>
              </w:rPr>
              <w:lastRenderedPageBreak/>
              <w:t>12</w:t>
            </w:r>
            <w:r>
              <w:rPr>
                <w:b/>
                <w:bCs/>
                <w:sz w:val="32"/>
              </w:rPr>
              <w:t> PAKEITIMAS</w:t>
            </w:r>
          </w:p>
          <w:p w:rsidRPr="00026B2B" w:rsidR="00D86124" w:rsidRDefault="00D86124" w14:paraId="5B4ADA00" w14:textId="77777777">
            <w:pPr>
              <w:rPr>
                <w:b/>
                <w:bCs/>
                <w:lang w:val="en-GB"/>
              </w:rPr>
            </w:pPr>
          </w:p>
          <w:p w:rsidRPr="00026B2B" w:rsidR="00D86124" w:rsidRDefault="00D86124" w14:paraId="619A210B" w14:textId="77777777">
            <w:pPr>
              <w:rPr>
                <w:b/>
                <w:bCs/>
              </w:rPr>
            </w:pPr>
            <w:r>
              <w:rPr>
                <w:b/>
              </w:rPr>
              <w:t>SOC/823</w:t>
            </w:r>
          </w:p>
          <w:p w:rsidRPr="00026B2B" w:rsidR="00D86124" w:rsidRDefault="00D86124" w14:paraId="70F2842D" w14:textId="77777777">
            <w:pPr>
              <w:jc w:val="left"/>
              <w:rPr>
                <w:b/>
                <w:bCs/>
              </w:rPr>
            </w:pPr>
            <w:r>
              <w:rPr>
                <w:b/>
              </w:rPr>
              <w:t xml:space="preserve">Perkamosios galios praradimas ir nelygybė, atskirtis, </w:t>
            </w:r>
            <w:proofErr w:type="spellStart"/>
            <w:r>
              <w:rPr>
                <w:b/>
              </w:rPr>
              <w:t>marginalizacija</w:t>
            </w:r>
            <w:proofErr w:type="spellEnd"/>
          </w:p>
          <w:p w:rsidRPr="00026B2B" w:rsidR="00D86124" w:rsidRDefault="00D86124" w14:paraId="22C5A2BE" w14:textId="77777777">
            <w:pPr>
              <w:rPr>
                <w:b/>
                <w:bCs/>
                <w:lang w:val="en-GB"/>
              </w:rPr>
            </w:pPr>
          </w:p>
          <w:p w:rsidR="00D86124" w:rsidRDefault="00D86124" w14:paraId="1301182F" w14:textId="77777777">
            <w:pPr>
              <w:rPr>
                <w:b/>
                <w:bCs/>
              </w:rPr>
            </w:pPr>
            <w:r>
              <w:rPr>
                <w:b/>
              </w:rPr>
              <w:t>3.13 punktas</w:t>
            </w:r>
          </w:p>
          <w:p w:rsidR="00D86124" w:rsidRDefault="00D86124" w14:paraId="2C098FA7" w14:textId="77777777">
            <w:pPr>
              <w:rPr>
                <w:b/>
                <w:bCs/>
                <w:lang w:val="fr-BE"/>
              </w:rPr>
            </w:pPr>
          </w:p>
          <w:p w:rsidR="00D86124" w:rsidRDefault="00D86124" w14:paraId="05D8C593" w14:textId="77777777">
            <w:pPr>
              <w:rPr>
                <w:b/>
                <w:bCs/>
              </w:rPr>
            </w:pPr>
            <w:r>
              <w:rPr>
                <w:b/>
              </w:rPr>
              <w:t>Iš dalies pakeisti taip:</w:t>
            </w:r>
          </w:p>
        </w:tc>
        <w:tc>
          <w:tcPr>
            <w:tcW w:w="2174" w:type="pct"/>
            <w:tcBorders>
              <w:top w:val="nil"/>
              <w:left w:val="nil"/>
              <w:bottom w:val="nil"/>
              <w:right w:val="nil"/>
            </w:tcBorders>
          </w:tcPr>
          <w:p w:rsidR="00D86124" w:rsidRDefault="00D86124" w14:paraId="479B015F" w14:textId="579833DC">
            <w:pPr>
              <w:jc w:val="left"/>
              <w:rPr>
                <w:lang w:val="fr-BE"/>
              </w:rPr>
            </w:pPr>
          </w:p>
        </w:tc>
      </w:tr>
    </w:tbl>
    <w:p w:rsidRPr="00026B2B" w:rsidR="00D86124" w:rsidP="00D86124" w:rsidRDefault="00D86124" w14:paraId="62FBFA77"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D86124" w:rsidTr="00D86124" w14:paraId="3F9AADED"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77C499CB"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4C4CF688" w14:textId="77777777">
            <w:pPr>
              <w:jc w:val="center"/>
              <w:rPr>
                <w:b/>
                <w:bCs/>
                <w:i/>
              </w:rPr>
            </w:pPr>
            <w:r>
              <w:rPr>
                <w:b/>
                <w:i/>
              </w:rPr>
              <w:t>Pakeitimas</w:t>
            </w:r>
          </w:p>
        </w:tc>
      </w:tr>
      <w:tr w:rsidR="00D86124" w:rsidTr="00D86124" w14:paraId="7E183A81"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C0F33DE" w14:textId="77777777">
            <w:pPr>
              <w:spacing w:before="80" w:after="40"/>
              <w:ind w:left="80" w:right="80"/>
            </w:pPr>
            <w:r>
              <w:t xml:space="preserve">EESRK mano, kad būtina skatinti Europos vidaus rinkos ir konkurencijos taisyklių taikymo </w:t>
            </w:r>
            <w:r>
              <w:rPr>
                <w:b/>
                <w:i/>
              </w:rPr>
              <w:t>išimtis</w:t>
            </w:r>
            <w:r>
              <w:t xml:space="preserve"> teikiant esmines paslaugas, kad būtų apsaugota piliečių galimybė naudotis jomis, net ir tais atvejais, kai egzistuoja viešųjų paslaugų įsipareigojimas[1].</w:t>
            </w:r>
          </w:p>
          <w:p w:rsidR="00D86124" w:rsidRDefault="00D86124" w14:paraId="5E458C29" w14:textId="77777777">
            <w:pPr>
              <w:spacing w:before="40" w:after="80"/>
              <w:ind w:left="80" w:right="80"/>
            </w:pPr>
            <w:r>
              <w:t>[1] 2022 m. ataskaita dėl esminių paslaugų (EAPN, Europos kovos su skurdu tinklas).</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D1EE9CC" w14:textId="77777777">
            <w:pPr>
              <w:spacing w:before="80" w:after="40"/>
              <w:ind w:left="80" w:right="80"/>
            </w:pPr>
            <w:r>
              <w:t>EESRK mano, kad būtina skatinti taikyti Europos vidaus rinkos ir konkurencijos taisykles teikiant esmines paslaugas, kad būtų apsaugota piliečių galimybė naudotis jomis, net ir tais atvejais, kai egzistuoja viešųjų paslaugų įsipareigojimas[1].</w:t>
            </w:r>
          </w:p>
          <w:p w:rsidR="00D86124" w:rsidRDefault="00D86124" w14:paraId="15FBF5FA" w14:textId="77777777">
            <w:pPr>
              <w:spacing w:before="40" w:after="80"/>
              <w:ind w:left="80" w:right="80"/>
            </w:pPr>
            <w:r>
              <w:t>[1] 2022 m. ataskaita dėl esminių paslaugų (EAPN, Europos kovos su skurdu tinklas).</w:t>
            </w:r>
          </w:p>
        </w:tc>
      </w:tr>
    </w:tbl>
    <w:p w:rsidR="00D86124" w:rsidP="00D86124" w:rsidRDefault="00D86124" w14:paraId="02895A08" w14:textId="77777777">
      <w:pPr>
        <w:jc w:val="center"/>
      </w:pPr>
    </w:p>
    <w:tbl>
      <w:tblPr>
        <w:tblStyle w:val="TableGrid"/>
        <w:tblW w:w="5000" w:type="pct"/>
        <w:tblLook w:val="01E0" w:firstRow="1" w:lastRow="1" w:firstColumn="1" w:lastColumn="1" w:noHBand="0" w:noVBand="0"/>
      </w:tblPr>
      <w:tblGrid>
        <w:gridCol w:w="9061"/>
      </w:tblGrid>
      <w:tr w:rsidR="00D86124" w:rsidTr="00D86124" w14:paraId="0BA3ED1F"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6A4F9F6C" w14:textId="77777777">
            <w:pPr>
              <w:jc w:val="center"/>
            </w:pPr>
            <w:r>
              <w:rPr>
                <w:b/>
              </w:rPr>
              <w:t>Paaiškinimas</w:t>
            </w:r>
          </w:p>
        </w:tc>
      </w:tr>
      <w:tr w:rsidR="00D86124" w:rsidTr="00D86124" w14:paraId="0305B0E0"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ACC848C" w14:textId="77777777">
            <w:r>
              <w:t>Svarbu, kad piliečiams būtų naudinga vidaus rinka ir taisyklėmis grindžiama konkurencija, taip pat ir visuotinės svarbos paslaugų atveju.</w:t>
            </w:r>
          </w:p>
        </w:tc>
      </w:tr>
    </w:tbl>
    <w:p w:rsidR="00D86124" w:rsidP="00D86124" w:rsidRDefault="00D86124" w14:paraId="0C5F35D4" w14:textId="77777777">
      <w:pPr>
        <w:rPr>
          <w:b/>
          <w:bCs/>
          <w:lang w:val="en-GB"/>
        </w:rPr>
      </w:pPr>
    </w:p>
    <w:tbl>
      <w:tblPr>
        <w:tblStyle w:val="TableGrid"/>
        <w:tblW w:w="5000" w:type="pct"/>
        <w:tblLook w:val="01E0" w:firstRow="1" w:lastRow="1" w:firstColumn="1" w:lastColumn="1" w:noHBand="0" w:noVBand="0"/>
      </w:tblPr>
      <w:tblGrid>
        <w:gridCol w:w="9061"/>
      </w:tblGrid>
      <w:tr w:rsidRPr="005A3C9D" w:rsidR="00D86124" w:rsidTr="00963130" w14:paraId="142AEB22" w14:textId="77777777">
        <w:tc>
          <w:tcPr>
            <w:tcW w:w="5000" w:type="pct"/>
          </w:tcPr>
          <w:p w:rsidRPr="005A3C9D" w:rsidR="00D86124" w:rsidP="00963130" w:rsidRDefault="00D86124" w14:paraId="03133D7F" w14:textId="77777777">
            <w:pPr>
              <w:jc w:val="left"/>
            </w:pPr>
            <w:r>
              <w:rPr>
                <w:b/>
              </w:rPr>
              <w:t>Balsavimo rezultatai</w:t>
            </w:r>
          </w:p>
        </w:tc>
      </w:tr>
      <w:tr w:rsidRPr="005A3C9D" w:rsidR="00D86124" w:rsidTr="00963130" w14:paraId="728E4B8F" w14:textId="77777777">
        <w:tc>
          <w:tcPr>
            <w:tcW w:w="5000" w:type="pct"/>
            <w:hideMark/>
          </w:tcPr>
          <w:p w:rsidRPr="005A3C9D" w:rsidR="00D86124" w:rsidP="00963130" w:rsidRDefault="00D86124" w14:paraId="4D8B4175" w14:textId="27EC7531">
            <w:pPr>
              <w:tabs>
                <w:tab w:val="right" w:pos="1701"/>
              </w:tabs>
            </w:pPr>
            <w:r>
              <w:t>Už:</w:t>
            </w:r>
            <w:r>
              <w:tab/>
              <w:t>96</w:t>
            </w:r>
          </w:p>
          <w:p w:rsidRPr="005A3C9D" w:rsidR="00D86124" w:rsidP="00963130" w:rsidRDefault="00D86124" w14:paraId="725B08A2" w14:textId="0E7EA925">
            <w:pPr>
              <w:tabs>
                <w:tab w:val="right" w:pos="1701"/>
              </w:tabs>
            </w:pPr>
            <w:r>
              <w:t>Prieš:</w:t>
            </w:r>
            <w:r>
              <w:tab/>
              <w:t>121</w:t>
            </w:r>
          </w:p>
          <w:p w:rsidRPr="005A3C9D" w:rsidR="00D86124" w:rsidP="00963130" w:rsidRDefault="00D86124" w14:paraId="2967149B" w14:textId="2227AABF">
            <w:r>
              <w:t>Susilaikė:</w:t>
            </w:r>
            <w:r>
              <w:tab/>
              <w:t>3</w:t>
            </w:r>
          </w:p>
        </w:tc>
      </w:tr>
    </w:tbl>
    <w:p w:rsidRPr="00026B2B" w:rsidR="00D86124" w:rsidP="00D86124" w:rsidRDefault="00D86124" w14:paraId="3BA0BF30" w14:textId="77777777">
      <w:pPr>
        <w:rPr>
          <w:b/>
          <w:bCs/>
          <w:lang w:val="en-GB"/>
        </w:rPr>
      </w:pPr>
    </w:p>
    <w:p w:rsidR="00D86124" w:rsidRDefault="00D86124" w14:paraId="4285F737" w14:textId="77777777">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128"/>
        <w:gridCol w:w="3945"/>
      </w:tblGrid>
      <w:tr w:rsidRPr="00D504AB" w:rsidR="00D86124" w:rsidTr="00026B2B" w14:paraId="0E285B4D" w14:textId="77777777">
        <w:tc>
          <w:tcPr>
            <w:tcW w:w="2826" w:type="pct"/>
            <w:tcBorders>
              <w:top w:val="nil"/>
              <w:left w:val="nil"/>
              <w:bottom w:val="nil"/>
              <w:right w:val="nil"/>
            </w:tcBorders>
          </w:tcPr>
          <w:p w:rsidRPr="00026B2B" w:rsidR="00D86124" w:rsidRDefault="00D86124" w14:paraId="66E6B940" w14:textId="77777777">
            <w:pPr>
              <w:rPr>
                <w:b/>
                <w:bCs/>
                <w:sz w:val="32"/>
                <w:szCs w:val="32"/>
              </w:rPr>
            </w:pPr>
            <w:r>
              <w:rPr>
                <w:b/>
                <w:sz w:val="32"/>
              </w:rPr>
              <w:lastRenderedPageBreak/>
              <w:t>13 PAKEITIMAS</w:t>
            </w:r>
          </w:p>
          <w:p w:rsidRPr="00026B2B" w:rsidR="00D86124" w:rsidRDefault="00D86124" w14:paraId="3C5DB11B" w14:textId="77777777">
            <w:pPr>
              <w:rPr>
                <w:b/>
                <w:bCs/>
                <w:lang w:val="en-GB"/>
              </w:rPr>
            </w:pPr>
          </w:p>
          <w:p w:rsidRPr="00026B2B" w:rsidR="00D86124" w:rsidRDefault="00D86124" w14:paraId="71601F04" w14:textId="77777777">
            <w:pPr>
              <w:rPr>
                <w:b/>
                <w:bCs/>
              </w:rPr>
            </w:pPr>
            <w:r>
              <w:rPr>
                <w:b/>
              </w:rPr>
              <w:t>SOC/823</w:t>
            </w:r>
          </w:p>
          <w:p w:rsidRPr="00026B2B" w:rsidR="00D86124" w:rsidRDefault="00D86124" w14:paraId="0F92BDDD" w14:textId="77777777">
            <w:pPr>
              <w:jc w:val="left"/>
              <w:rPr>
                <w:b/>
                <w:bCs/>
              </w:rPr>
            </w:pPr>
            <w:r>
              <w:rPr>
                <w:b/>
              </w:rPr>
              <w:t xml:space="preserve">Perkamosios galios praradimas ir nelygybė, atskirtis, </w:t>
            </w:r>
            <w:proofErr w:type="spellStart"/>
            <w:r>
              <w:rPr>
                <w:b/>
              </w:rPr>
              <w:t>marginalizacija</w:t>
            </w:r>
            <w:proofErr w:type="spellEnd"/>
          </w:p>
          <w:p w:rsidRPr="00026B2B" w:rsidR="00D86124" w:rsidRDefault="00D86124" w14:paraId="0B8A7FDC" w14:textId="77777777">
            <w:pPr>
              <w:rPr>
                <w:b/>
                <w:bCs/>
                <w:lang w:val="en-GB"/>
              </w:rPr>
            </w:pPr>
          </w:p>
          <w:p w:rsidR="00D86124" w:rsidRDefault="00D86124" w14:paraId="5B57D3B7" w14:textId="77777777">
            <w:pPr>
              <w:rPr>
                <w:b/>
                <w:bCs/>
              </w:rPr>
            </w:pPr>
            <w:r>
              <w:rPr>
                <w:b/>
              </w:rPr>
              <w:t>3.17 punktas</w:t>
            </w:r>
          </w:p>
          <w:p w:rsidR="00D86124" w:rsidRDefault="00D86124" w14:paraId="5362078B" w14:textId="77777777">
            <w:pPr>
              <w:rPr>
                <w:b/>
                <w:bCs/>
                <w:lang w:val="fr-BE"/>
              </w:rPr>
            </w:pPr>
          </w:p>
          <w:p w:rsidR="00D86124" w:rsidRDefault="00D86124" w14:paraId="72C84732" w14:textId="77777777">
            <w:pPr>
              <w:rPr>
                <w:b/>
                <w:bCs/>
              </w:rPr>
            </w:pPr>
            <w:r>
              <w:rPr>
                <w:b/>
              </w:rPr>
              <w:t>Iš dalies pakeisti taip:</w:t>
            </w:r>
          </w:p>
        </w:tc>
        <w:tc>
          <w:tcPr>
            <w:tcW w:w="2174" w:type="pct"/>
            <w:tcBorders>
              <w:top w:val="nil"/>
              <w:left w:val="nil"/>
              <w:bottom w:val="nil"/>
              <w:right w:val="nil"/>
            </w:tcBorders>
          </w:tcPr>
          <w:p w:rsidR="00D86124" w:rsidRDefault="00D86124" w14:paraId="0C615C8E" w14:textId="7C5DB0F6">
            <w:pPr>
              <w:jc w:val="left"/>
              <w:rPr>
                <w:lang w:val="fr-BE"/>
              </w:rPr>
            </w:pPr>
          </w:p>
        </w:tc>
      </w:tr>
    </w:tbl>
    <w:p w:rsidRPr="00026B2B" w:rsidR="00D86124" w:rsidP="00D86124" w:rsidRDefault="00D86124" w14:paraId="3D4356CA"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D86124" w:rsidTr="00D86124" w14:paraId="4A23CDD4"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5B65579A"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59DE8F14" w14:textId="77777777">
            <w:pPr>
              <w:jc w:val="center"/>
              <w:rPr>
                <w:b/>
                <w:bCs/>
                <w:i/>
              </w:rPr>
            </w:pPr>
            <w:r>
              <w:rPr>
                <w:b/>
                <w:i/>
              </w:rPr>
              <w:t>Pakeitimas</w:t>
            </w:r>
          </w:p>
        </w:tc>
      </w:tr>
      <w:tr w:rsidR="00D86124" w:rsidTr="00D86124" w14:paraId="60EDC0D9"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5A9C1681" w14:textId="77777777">
            <w:pPr>
              <w:spacing w:before="80" w:after="40"/>
              <w:ind w:left="80" w:right="80"/>
            </w:pPr>
            <w:r>
              <w:t>EESRK mano, kad Europos semestras ir jo socialinės</w:t>
            </w:r>
            <w:r>
              <w:rPr>
                <w:b/>
                <w:i/>
              </w:rPr>
              <w:t xml:space="preserve"> konvergencijos sistema</w:t>
            </w:r>
            <w:r>
              <w:t xml:space="preserve"> tebėra viena iš svarbiausių priemonių stebėti politiką ir priemones, kurias valstybės narės priėmė sprendžiant krizę, kylančią dėl perkamosios galios mažėjimo ir jo poveikio nelygybei bei socialinei atskirčiai, ir visus su tuo susijusius Europos ekonomikos ir visuomenės klausimus. EESRK pabrėžia, kad svarbu aktyviau naudoti paskirstomojo poveikio vertinimus, siekiant užtikrinti, kad visų sričių politika nepadidintų skurdo ar nelygybės</w:t>
            </w:r>
            <w:r>
              <w:rPr>
                <w:vertAlign w:val="superscript"/>
              </w:rPr>
              <w:t>[1]</w:t>
            </w:r>
            <w:r>
              <w:t xml:space="preserve">, kartu atsižvelgiant į lyčių ir jaunimo perspektyvas. Kai aktualu, visose socialinės politikos srityse turėtų būti atsižvelgiama į atitinkamą suskirstytų duomenų naudojimą. EESRK pakartoja, kad rengiant priemones ir politiką svarbu socialinius rodiklius </w:t>
            </w:r>
            <w:r>
              <w:rPr>
                <w:b/>
                <w:i/>
              </w:rPr>
              <w:t>vertinti</w:t>
            </w:r>
            <w:r>
              <w:t xml:space="preserve"> </w:t>
            </w:r>
            <w:r>
              <w:rPr>
                <w:b/>
                <w:i/>
              </w:rPr>
              <w:t>tuo pačiu lygmeniu kaip ir ekonominius rodiklius</w:t>
            </w:r>
            <w:r>
              <w:t>.</w:t>
            </w:r>
          </w:p>
          <w:p w:rsidR="00D86124" w:rsidRDefault="00D86124" w14:paraId="3118408F" w14:textId="77777777">
            <w:pPr>
              <w:spacing w:before="40" w:after="80"/>
              <w:ind w:left="80" w:right="80"/>
            </w:pPr>
            <w:r>
              <w:t xml:space="preserve">[1] Žr. La </w:t>
            </w:r>
            <w:proofErr w:type="spellStart"/>
            <w:r>
              <w:t>Hulpės</w:t>
            </w:r>
            <w:proofErr w:type="spellEnd"/>
            <w:r>
              <w:t xml:space="preserve"> deklaraciją.</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0A7184CB" w14:textId="77777777">
            <w:pPr>
              <w:spacing w:before="80" w:after="40"/>
              <w:ind w:left="80" w:right="80"/>
            </w:pPr>
            <w:r>
              <w:t>EESRK mano, kad Europos semestras ir jo socialinių</w:t>
            </w:r>
            <w:r>
              <w:rPr>
                <w:b/>
                <w:i/>
              </w:rPr>
              <w:t xml:space="preserve"> rodiklių suvestinė</w:t>
            </w:r>
            <w:r>
              <w:t xml:space="preserve"> tebėra viena iš svarbiausių priemonių stebėti politiką ir priemones, kurias valstybės narės priėmė sprendžiant krizę, kylančią dėl perkamosios galios mažėjimo ir jo poveikio nelygybei bei socialinei atskirčiai, ir visus su tuo susijusius Europos ekonomikos ir visuomenės klausimus</w:t>
            </w:r>
            <w:r>
              <w:rPr>
                <w:b/>
                <w:i/>
              </w:rPr>
              <w:t xml:space="preserve">. Be to, EESRK mano, kad socialinės konvergencijos sistema – tai galimybė pagerinti nacionalinių pastangų koordinavimą siekiant </w:t>
            </w:r>
            <w:proofErr w:type="spellStart"/>
            <w:r>
              <w:rPr>
                <w:b/>
                <w:i/>
              </w:rPr>
              <w:t>aukštynkryptės</w:t>
            </w:r>
            <w:proofErr w:type="spellEnd"/>
            <w:r>
              <w:rPr>
                <w:b/>
                <w:i/>
              </w:rPr>
              <w:t xml:space="preserve"> socialinės konvergencijos. Tai taip pat turėtų padėti geriau pasinaudoti dabartine ES valdymo struktūra</w:t>
            </w:r>
            <w:r>
              <w:t>. EESRK pabrėžia, kad svarbu aktyviau naudoti paskirstomojo poveikio vertinimus, siekiant užtikrinti, kad visų sričių politika nepadidintų skurdo ar nelygybės</w:t>
            </w:r>
            <w:r>
              <w:rPr>
                <w:vertAlign w:val="superscript"/>
              </w:rPr>
              <w:t>[1]</w:t>
            </w:r>
            <w:r>
              <w:t xml:space="preserve">, kartu atsižvelgiant į lyčių ir jaunimo perspektyvas. Kai aktualu, visose socialinės politikos srityse turėtų būti atsižvelgiama į atitinkamą suskirstytų duomenų naudojimą. EESRK pakartoja, kad rengiant priemones ir politiką svarbu </w:t>
            </w:r>
            <w:r>
              <w:rPr>
                <w:b/>
                <w:i/>
              </w:rPr>
              <w:t>tinkamai atsižvelgti į</w:t>
            </w:r>
            <w:r>
              <w:t xml:space="preserve"> socialinius rodiklius.</w:t>
            </w:r>
          </w:p>
          <w:p w:rsidR="00D86124" w:rsidRDefault="00D86124" w14:paraId="4000273A" w14:textId="77777777">
            <w:pPr>
              <w:spacing w:before="40" w:after="80"/>
              <w:ind w:left="80" w:right="80"/>
            </w:pPr>
            <w:r>
              <w:t xml:space="preserve">[1] Žr. La </w:t>
            </w:r>
            <w:proofErr w:type="spellStart"/>
            <w:r>
              <w:t>Hulpės</w:t>
            </w:r>
            <w:proofErr w:type="spellEnd"/>
            <w:r>
              <w:t xml:space="preserve"> deklaraciją.</w:t>
            </w:r>
          </w:p>
        </w:tc>
      </w:tr>
    </w:tbl>
    <w:p w:rsidR="00D86124" w:rsidP="00D86124" w:rsidRDefault="00D86124" w14:paraId="1C0C2A70" w14:textId="77777777">
      <w:pPr>
        <w:jc w:val="center"/>
      </w:pPr>
    </w:p>
    <w:tbl>
      <w:tblPr>
        <w:tblStyle w:val="TableGrid"/>
        <w:tblW w:w="5000" w:type="pct"/>
        <w:tblLook w:val="01E0" w:firstRow="1" w:lastRow="1" w:firstColumn="1" w:lastColumn="1" w:noHBand="0" w:noVBand="0"/>
      </w:tblPr>
      <w:tblGrid>
        <w:gridCol w:w="9061"/>
      </w:tblGrid>
      <w:tr w:rsidR="00D86124" w:rsidTr="00D86124" w14:paraId="2D808EC2"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19C4C9DB" w14:textId="77777777">
            <w:pPr>
              <w:jc w:val="center"/>
            </w:pPr>
            <w:r>
              <w:rPr>
                <w:b/>
              </w:rPr>
              <w:t>Paaiškinimas</w:t>
            </w:r>
          </w:p>
        </w:tc>
      </w:tr>
      <w:tr w:rsidR="00D86124" w:rsidTr="00D86124" w14:paraId="42B4A20D"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37F164CB" w14:textId="77777777">
            <w:r>
              <w:t>Šiomis aplinkybėmis socialinių rodiklių suvestinė yra svarbesnė. Paskutiniame sakinyje sąvoka „tinkamai“ yra platesnė ir apima visus svarbius atsižvelgimo aspektus. Siekdami kompromiso, taip pat siūlome į šį punktą įtraukti sakinį apie socialinės konvergencijos sistemą.</w:t>
            </w:r>
          </w:p>
        </w:tc>
      </w:tr>
    </w:tbl>
    <w:p w:rsidR="00D86124" w:rsidP="00D86124" w:rsidRDefault="00D86124" w14:paraId="26B9B28D" w14:textId="39C9A5DB">
      <w:pPr>
        <w:rPr>
          <w:b/>
          <w:bCs/>
          <w:lang w:val="en-GB"/>
        </w:rPr>
      </w:pPr>
    </w:p>
    <w:tbl>
      <w:tblPr>
        <w:tblStyle w:val="TableGrid"/>
        <w:tblW w:w="5000" w:type="pct"/>
        <w:tblLook w:val="01E0" w:firstRow="1" w:lastRow="1" w:firstColumn="1" w:lastColumn="1" w:noHBand="0" w:noVBand="0"/>
      </w:tblPr>
      <w:tblGrid>
        <w:gridCol w:w="9061"/>
      </w:tblGrid>
      <w:tr w:rsidRPr="005A3C9D" w:rsidR="00D86124" w:rsidTr="00963130" w14:paraId="06B07239" w14:textId="77777777">
        <w:tc>
          <w:tcPr>
            <w:tcW w:w="5000" w:type="pct"/>
          </w:tcPr>
          <w:p w:rsidRPr="005A3C9D" w:rsidR="00D86124" w:rsidP="00963130" w:rsidRDefault="00D86124" w14:paraId="6FA0CB9E" w14:textId="77777777">
            <w:pPr>
              <w:jc w:val="left"/>
            </w:pPr>
            <w:r>
              <w:rPr>
                <w:b/>
              </w:rPr>
              <w:t>Balsavimo rezultatai</w:t>
            </w:r>
          </w:p>
        </w:tc>
      </w:tr>
      <w:tr w:rsidRPr="005A3C9D" w:rsidR="00D86124" w:rsidTr="00963130" w14:paraId="5A06A781" w14:textId="77777777">
        <w:tc>
          <w:tcPr>
            <w:tcW w:w="5000" w:type="pct"/>
            <w:hideMark/>
          </w:tcPr>
          <w:p w:rsidRPr="005A3C9D" w:rsidR="00D86124" w:rsidP="00963130" w:rsidRDefault="00D86124" w14:paraId="3A1AB811" w14:textId="2911BCF4">
            <w:pPr>
              <w:tabs>
                <w:tab w:val="right" w:pos="1701"/>
              </w:tabs>
            </w:pPr>
            <w:r>
              <w:t>Už:</w:t>
            </w:r>
            <w:r>
              <w:tab/>
              <w:t>96</w:t>
            </w:r>
          </w:p>
          <w:p w:rsidRPr="005A3C9D" w:rsidR="00D86124" w:rsidP="00963130" w:rsidRDefault="00D86124" w14:paraId="2E144955" w14:textId="09B5E232">
            <w:pPr>
              <w:tabs>
                <w:tab w:val="right" w:pos="1701"/>
              </w:tabs>
            </w:pPr>
            <w:r>
              <w:t>Prieš:</w:t>
            </w:r>
            <w:r>
              <w:tab/>
              <w:t>130</w:t>
            </w:r>
          </w:p>
          <w:p w:rsidRPr="005A3C9D" w:rsidR="00D86124" w:rsidP="00963130" w:rsidRDefault="00D86124" w14:paraId="5B4DFD98" w14:textId="2505B8DC">
            <w:r>
              <w:t>Susilaikė:</w:t>
            </w:r>
            <w:r>
              <w:tab/>
              <w:t>2</w:t>
            </w:r>
          </w:p>
        </w:tc>
      </w:tr>
    </w:tbl>
    <w:p w:rsidR="00D86124" w:rsidP="00D86124" w:rsidRDefault="00D86124" w14:paraId="07EC852C" w14:textId="77777777">
      <w:pPr>
        <w:rPr>
          <w:b/>
          <w:bCs/>
          <w:lang w:val="en-GB"/>
        </w:rPr>
      </w:pPr>
    </w:p>
    <w:p w:rsidR="00D86124" w:rsidRDefault="00D86124" w14:paraId="25E1B361" w14:textId="02465031">
      <w:pPr>
        <w:spacing w:after="160" w:line="259" w:lineRule="auto"/>
        <w:jc w:val="left"/>
      </w:pPr>
    </w:p>
    <w:tbl>
      <w:tblPr>
        <w:tblW w:w="5001" w:type="pct"/>
        <w:tblBorders>
          <w:insideH w:val="nil"/>
          <w:insideV w:val="nil"/>
        </w:tblBorders>
        <w:tblLook w:val="01E0" w:firstRow="1" w:lastRow="1" w:firstColumn="1" w:lastColumn="1" w:noHBand="0" w:noVBand="0"/>
      </w:tblPr>
      <w:tblGrid>
        <w:gridCol w:w="5128"/>
        <w:gridCol w:w="3945"/>
      </w:tblGrid>
      <w:tr w:rsidRPr="00D504AB" w:rsidR="00D86124" w:rsidTr="00026B2B" w14:paraId="26D23742" w14:textId="77777777">
        <w:tc>
          <w:tcPr>
            <w:tcW w:w="2826" w:type="pct"/>
            <w:tcBorders>
              <w:top w:val="nil"/>
              <w:left w:val="nil"/>
              <w:bottom w:val="nil"/>
              <w:right w:val="nil"/>
            </w:tcBorders>
          </w:tcPr>
          <w:p w:rsidRPr="00026B2B" w:rsidR="00D86124" w:rsidRDefault="00D86124" w14:paraId="7EE77B1E" w14:textId="77777777">
            <w:pPr>
              <w:rPr>
                <w:b/>
                <w:bCs/>
                <w:sz w:val="32"/>
                <w:szCs w:val="32"/>
              </w:rPr>
            </w:pPr>
            <w:r>
              <w:rPr>
                <w:b/>
                <w:sz w:val="32"/>
              </w:rPr>
              <w:lastRenderedPageBreak/>
              <w:t>1 PAKEITIMAS</w:t>
            </w:r>
          </w:p>
          <w:p w:rsidRPr="00026B2B" w:rsidR="00D86124" w:rsidRDefault="00D86124" w14:paraId="116B35D2" w14:textId="77777777">
            <w:pPr>
              <w:rPr>
                <w:b/>
                <w:bCs/>
                <w:lang w:val="en-GB"/>
              </w:rPr>
            </w:pPr>
          </w:p>
          <w:p w:rsidRPr="00026B2B" w:rsidR="00D86124" w:rsidRDefault="00D86124" w14:paraId="58FC7FF2" w14:textId="77777777">
            <w:pPr>
              <w:rPr>
                <w:b/>
                <w:bCs/>
              </w:rPr>
            </w:pPr>
            <w:r>
              <w:rPr>
                <w:b/>
              </w:rPr>
              <w:t>SOC/823</w:t>
            </w:r>
          </w:p>
          <w:p w:rsidRPr="00026B2B" w:rsidR="00D86124" w:rsidRDefault="00D86124" w14:paraId="69C54BC4" w14:textId="77777777">
            <w:pPr>
              <w:jc w:val="left"/>
              <w:rPr>
                <w:b/>
                <w:bCs/>
              </w:rPr>
            </w:pPr>
            <w:r>
              <w:rPr>
                <w:b/>
              </w:rPr>
              <w:t xml:space="preserve">Perkamosios galios praradimas ir nelygybė, atskirtis, </w:t>
            </w:r>
            <w:proofErr w:type="spellStart"/>
            <w:r>
              <w:rPr>
                <w:b/>
              </w:rPr>
              <w:t>marginalizacija</w:t>
            </w:r>
            <w:proofErr w:type="spellEnd"/>
          </w:p>
          <w:p w:rsidRPr="00026B2B" w:rsidR="00D86124" w:rsidRDefault="00D86124" w14:paraId="50F88AC6" w14:textId="77777777">
            <w:pPr>
              <w:rPr>
                <w:b/>
                <w:bCs/>
                <w:lang w:val="en-GB"/>
              </w:rPr>
            </w:pPr>
          </w:p>
          <w:p w:rsidR="00D86124" w:rsidRDefault="00D86124" w14:paraId="69F0AF56" w14:textId="77777777">
            <w:pPr>
              <w:rPr>
                <w:b/>
                <w:bCs/>
              </w:rPr>
            </w:pPr>
            <w:r>
              <w:rPr>
                <w:b/>
              </w:rPr>
              <w:t>1.6 punktas</w:t>
            </w:r>
          </w:p>
          <w:p w:rsidR="00D86124" w:rsidRDefault="00D86124" w14:paraId="5183552D" w14:textId="77777777">
            <w:pPr>
              <w:rPr>
                <w:b/>
                <w:bCs/>
                <w:lang w:val="fr-BE"/>
              </w:rPr>
            </w:pPr>
          </w:p>
          <w:p w:rsidR="00D86124" w:rsidRDefault="00D86124" w14:paraId="36677E82" w14:textId="77777777">
            <w:pPr>
              <w:rPr>
                <w:b/>
                <w:bCs/>
              </w:rPr>
            </w:pPr>
            <w:r>
              <w:rPr>
                <w:b/>
              </w:rPr>
              <w:t>Iš dalies pakeisti taip:</w:t>
            </w:r>
          </w:p>
        </w:tc>
        <w:tc>
          <w:tcPr>
            <w:tcW w:w="2174" w:type="pct"/>
            <w:tcBorders>
              <w:top w:val="nil"/>
              <w:left w:val="nil"/>
              <w:bottom w:val="nil"/>
              <w:right w:val="nil"/>
            </w:tcBorders>
          </w:tcPr>
          <w:p w:rsidR="00D86124" w:rsidRDefault="00D86124" w14:paraId="582BE3E2" w14:textId="79292904">
            <w:pPr>
              <w:jc w:val="left"/>
              <w:rPr>
                <w:lang w:val="fr-BE"/>
              </w:rPr>
            </w:pPr>
          </w:p>
        </w:tc>
      </w:tr>
    </w:tbl>
    <w:p w:rsidRPr="00026B2B" w:rsidR="00D86124" w:rsidP="00D86124" w:rsidRDefault="00D86124" w14:paraId="699EB6DE"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D86124" w:rsidTr="00D86124" w14:paraId="312CFA69"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8DA3EF7"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37AE34D1" w14:textId="77777777">
            <w:pPr>
              <w:jc w:val="center"/>
              <w:rPr>
                <w:b/>
                <w:bCs/>
                <w:i/>
              </w:rPr>
            </w:pPr>
            <w:r>
              <w:rPr>
                <w:b/>
                <w:i/>
              </w:rPr>
              <w:t>Pakeitimas</w:t>
            </w:r>
          </w:p>
        </w:tc>
      </w:tr>
      <w:tr w:rsidR="00D86124" w:rsidTr="00D86124" w14:paraId="02F660A5"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258F68BC" w14:textId="77777777">
            <w:pPr>
              <w:spacing w:before="80" w:after="80"/>
              <w:ind w:left="80" w:right="80"/>
            </w:pPr>
            <w:r>
              <w:t>EESRK pripažįsta</w:t>
            </w:r>
            <w:r>
              <w:rPr>
                <w:b/>
                <w:i/>
              </w:rPr>
              <w:t>, kad</w:t>
            </w:r>
            <w:r>
              <w:t xml:space="preserve"> darbo užmokesčio ir minimaliojo darbo užmokesčio </w:t>
            </w:r>
            <w:r>
              <w:rPr>
                <w:b/>
                <w:i/>
              </w:rPr>
              <w:t>didinimas</w:t>
            </w:r>
            <w:r>
              <w:t xml:space="preserve"> </w:t>
            </w:r>
            <w:r>
              <w:rPr>
                <w:b/>
                <w:i/>
              </w:rPr>
              <w:t>yra labai</w:t>
            </w:r>
            <w:r>
              <w:t xml:space="preserve"> svarbūs kovojant su perkamosios galios mažėjimu ir jo poveikiu nelygybei, atskirčiai ir </w:t>
            </w:r>
            <w:proofErr w:type="spellStart"/>
            <w:r>
              <w:t>marginalizacijai</w:t>
            </w:r>
            <w:proofErr w:type="spellEnd"/>
            <w:r>
              <w:t>, taip pat užtikrinant turto perskirstymą.</w:t>
            </w:r>
            <w:r>
              <w:rPr>
                <w:b/>
                <w:i/>
              </w:rPr>
              <w:t xml:space="preserve"> EESRK pabrėžia teigiamą Direktyvos dėl deramo minimaliojo darbo užmokesčio poveikį darbo užmokesčio didėjimui. Komitetas ragina valstybes nares dėti daugiau pastangų, kad būtų toliau įgyvendinami direktyvos tikslai, be kita ko, pateikti nacionalinius veiksmų planus, kuriais siekiama padidinti kolektyvinių derybų aprėptį, kai ji nesiekia 80 proc. ribos.</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09B1BEEE" w14:textId="77777777">
            <w:pPr>
              <w:spacing w:before="80" w:after="80"/>
              <w:ind w:left="80" w:right="80"/>
            </w:pPr>
            <w:r>
              <w:t>EESRK pripažįsta darbo užmokesčio ir minimaliojo darbo užmokesčio</w:t>
            </w:r>
            <w:r>
              <w:rPr>
                <w:b/>
                <w:i/>
              </w:rPr>
              <w:t xml:space="preserve">, taip pat socialinės apsaugos, aktyvios darbo rinkos politikos ir mokesčių sistemų </w:t>
            </w:r>
            <w:r>
              <w:t xml:space="preserve">svarbą </w:t>
            </w:r>
            <w:r>
              <w:rPr>
                <w:b/>
                <w:i/>
              </w:rPr>
              <w:t xml:space="preserve">sąžiningai </w:t>
            </w:r>
            <w:r>
              <w:t xml:space="preserve">kovojant su perkamosios galios mažėjimu, </w:t>
            </w:r>
            <w:r>
              <w:rPr>
                <w:b/>
                <w:i/>
              </w:rPr>
              <w:t xml:space="preserve">tokiu būdu švelninant </w:t>
            </w:r>
            <w:r>
              <w:t xml:space="preserve">jo poveikį nelygybei, atskirčiai ir </w:t>
            </w:r>
            <w:proofErr w:type="spellStart"/>
            <w:r>
              <w:t>marginalizacijai</w:t>
            </w:r>
            <w:proofErr w:type="spellEnd"/>
            <w:r>
              <w:t>, taip pat užtikrinant turto perskirstymą.</w:t>
            </w:r>
          </w:p>
        </w:tc>
      </w:tr>
    </w:tbl>
    <w:p w:rsidR="00D86124" w:rsidP="00D86124" w:rsidRDefault="00D86124" w14:paraId="40E6458D" w14:textId="77777777">
      <w:pPr>
        <w:jc w:val="center"/>
      </w:pPr>
    </w:p>
    <w:tbl>
      <w:tblPr>
        <w:tblStyle w:val="TableGrid"/>
        <w:tblW w:w="5000" w:type="pct"/>
        <w:tblLook w:val="01E0" w:firstRow="1" w:lastRow="1" w:firstColumn="1" w:lastColumn="1" w:noHBand="0" w:noVBand="0"/>
      </w:tblPr>
      <w:tblGrid>
        <w:gridCol w:w="9061"/>
      </w:tblGrid>
      <w:tr w:rsidR="00D86124" w:rsidTr="00D86124" w14:paraId="70C2FD5E"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5D07011F" w14:textId="77777777">
            <w:pPr>
              <w:jc w:val="center"/>
            </w:pPr>
            <w:r>
              <w:rPr>
                <w:b/>
              </w:rPr>
              <w:t>Paaiškinimas</w:t>
            </w:r>
          </w:p>
        </w:tc>
      </w:tr>
      <w:tr w:rsidR="00D86124" w:rsidTr="00D86124" w14:paraId="36D836E5"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037EE9B3" w14:textId="77777777">
            <w:r>
              <w:t>Darbo užmokestis yra tik vienas perkamosios galios aspektas, o tekste neatsižvelgiama į bedarbius ir pažeidžiamoje padėtyje esančius asmenis.</w:t>
            </w:r>
          </w:p>
        </w:tc>
      </w:tr>
    </w:tbl>
    <w:p w:rsidR="00D86124" w:rsidP="00D86124" w:rsidRDefault="00D86124" w14:paraId="1FBEB1E1" w14:textId="77777777">
      <w:pPr>
        <w:rPr>
          <w:b/>
          <w:bCs/>
          <w:lang w:val="en-GB"/>
        </w:rPr>
      </w:pPr>
    </w:p>
    <w:tbl>
      <w:tblPr>
        <w:tblStyle w:val="TableGrid"/>
        <w:tblW w:w="5000" w:type="pct"/>
        <w:tblLook w:val="01E0" w:firstRow="1" w:lastRow="1" w:firstColumn="1" w:lastColumn="1" w:noHBand="0" w:noVBand="0"/>
      </w:tblPr>
      <w:tblGrid>
        <w:gridCol w:w="9061"/>
      </w:tblGrid>
      <w:tr w:rsidRPr="005A3C9D" w:rsidR="00D86124" w:rsidTr="00963130" w14:paraId="6B7214CB" w14:textId="77777777">
        <w:tc>
          <w:tcPr>
            <w:tcW w:w="5000" w:type="pct"/>
          </w:tcPr>
          <w:p w:rsidRPr="005A3C9D" w:rsidR="00D86124" w:rsidP="00963130" w:rsidRDefault="00D86124" w14:paraId="0E54EF6E" w14:textId="77777777">
            <w:pPr>
              <w:jc w:val="left"/>
            </w:pPr>
            <w:r>
              <w:rPr>
                <w:b/>
              </w:rPr>
              <w:t>Balsavimo rezultatai</w:t>
            </w:r>
          </w:p>
        </w:tc>
      </w:tr>
      <w:tr w:rsidRPr="005A3C9D" w:rsidR="00D86124" w:rsidTr="00963130" w14:paraId="0397E36F" w14:textId="77777777">
        <w:tc>
          <w:tcPr>
            <w:tcW w:w="5000" w:type="pct"/>
            <w:hideMark/>
          </w:tcPr>
          <w:p w:rsidRPr="005A3C9D" w:rsidR="00D86124" w:rsidP="00963130" w:rsidRDefault="00D86124" w14:paraId="129494AD" w14:textId="0E286C48">
            <w:pPr>
              <w:tabs>
                <w:tab w:val="right" w:pos="1701"/>
              </w:tabs>
            </w:pPr>
            <w:r>
              <w:t>Už:</w:t>
            </w:r>
            <w:r>
              <w:tab/>
              <w:t>90</w:t>
            </w:r>
          </w:p>
          <w:p w:rsidRPr="005A3C9D" w:rsidR="00D86124" w:rsidP="00963130" w:rsidRDefault="00D86124" w14:paraId="69187E19" w14:textId="47D30C6E">
            <w:pPr>
              <w:tabs>
                <w:tab w:val="right" w:pos="1701"/>
              </w:tabs>
            </w:pPr>
            <w:r>
              <w:t>Prieš:</w:t>
            </w:r>
            <w:r>
              <w:tab/>
              <w:t>119</w:t>
            </w:r>
          </w:p>
          <w:p w:rsidRPr="005A3C9D" w:rsidR="00D86124" w:rsidP="00963130" w:rsidRDefault="00D86124" w14:paraId="6BAA6955" w14:textId="165B0737">
            <w:r>
              <w:t>Susilaikė:</w:t>
            </w:r>
            <w:r>
              <w:tab/>
              <w:t>5</w:t>
            </w:r>
          </w:p>
        </w:tc>
      </w:tr>
    </w:tbl>
    <w:p w:rsidR="00D86124" w:rsidP="00D86124" w:rsidRDefault="00D86124" w14:paraId="71BAD189" w14:textId="77777777">
      <w:pPr>
        <w:rPr>
          <w:b/>
          <w:bCs/>
        </w:rPr>
      </w:pPr>
    </w:p>
    <w:p w:rsidR="00D86124" w:rsidRDefault="00D86124" w14:paraId="000A2464" w14:textId="77777777">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128"/>
        <w:gridCol w:w="3945"/>
      </w:tblGrid>
      <w:tr w:rsidRPr="00D504AB" w:rsidR="00D86124" w:rsidTr="00026B2B" w14:paraId="206107DA" w14:textId="77777777">
        <w:tc>
          <w:tcPr>
            <w:tcW w:w="2826" w:type="pct"/>
            <w:tcBorders>
              <w:top w:val="nil"/>
              <w:left w:val="nil"/>
              <w:bottom w:val="nil"/>
              <w:right w:val="nil"/>
            </w:tcBorders>
          </w:tcPr>
          <w:p w:rsidRPr="00026B2B" w:rsidR="00D86124" w:rsidRDefault="00D86124" w14:paraId="0E3EFE35" w14:textId="77777777">
            <w:pPr>
              <w:rPr>
                <w:b/>
                <w:bCs/>
                <w:sz w:val="32"/>
                <w:szCs w:val="32"/>
              </w:rPr>
            </w:pPr>
            <w:r>
              <w:rPr>
                <w:b/>
                <w:sz w:val="32"/>
              </w:rPr>
              <w:lastRenderedPageBreak/>
              <w:t>2 PAKEITIMAS</w:t>
            </w:r>
          </w:p>
          <w:p w:rsidRPr="00026B2B" w:rsidR="00D86124" w:rsidRDefault="00D86124" w14:paraId="21AAEF14" w14:textId="77777777">
            <w:pPr>
              <w:rPr>
                <w:b/>
                <w:bCs/>
                <w:lang w:val="en-GB"/>
              </w:rPr>
            </w:pPr>
          </w:p>
          <w:p w:rsidRPr="00026B2B" w:rsidR="00D86124" w:rsidRDefault="00D86124" w14:paraId="35A2921B" w14:textId="77777777">
            <w:pPr>
              <w:rPr>
                <w:b/>
                <w:bCs/>
              </w:rPr>
            </w:pPr>
            <w:r>
              <w:rPr>
                <w:b/>
              </w:rPr>
              <w:t>SOC/823</w:t>
            </w:r>
          </w:p>
          <w:p w:rsidRPr="00026B2B" w:rsidR="00D86124" w:rsidRDefault="00D86124" w14:paraId="38CBE65B" w14:textId="77777777">
            <w:pPr>
              <w:jc w:val="left"/>
              <w:rPr>
                <w:b/>
                <w:bCs/>
              </w:rPr>
            </w:pPr>
            <w:r>
              <w:rPr>
                <w:b/>
              </w:rPr>
              <w:t xml:space="preserve">Perkamosios galios praradimas ir nelygybė, atskirtis, </w:t>
            </w:r>
            <w:proofErr w:type="spellStart"/>
            <w:r>
              <w:rPr>
                <w:b/>
              </w:rPr>
              <w:t>marginalizacija</w:t>
            </w:r>
            <w:proofErr w:type="spellEnd"/>
          </w:p>
          <w:p w:rsidRPr="00026B2B" w:rsidR="00D86124" w:rsidRDefault="00D86124" w14:paraId="01511504" w14:textId="77777777">
            <w:pPr>
              <w:rPr>
                <w:b/>
                <w:bCs/>
                <w:lang w:val="en-GB"/>
              </w:rPr>
            </w:pPr>
          </w:p>
          <w:p w:rsidR="00D86124" w:rsidRDefault="00D86124" w14:paraId="1E9FF9C5" w14:textId="77777777">
            <w:pPr>
              <w:rPr>
                <w:b/>
                <w:bCs/>
              </w:rPr>
            </w:pPr>
            <w:r>
              <w:rPr>
                <w:b/>
              </w:rPr>
              <w:t>1.8 punktas</w:t>
            </w:r>
          </w:p>
          <w:p w:rsidR="00D86124" w:rsidRDefault="00D86124" w14:paraId="7A3DC0B2" w14:textId="77777777">
            <w:pPr>
              <w:rPr>
                <w:b/>
                <w:bCs/>
                <w:lang w:val="fr-BE"/>
              </w:rPr>
            </w:pPr>
          </w:p>
          <w:p w:rsidR="00D86124" w:rsidRDefault="00D86124" w14:paraId="2E1678F8" w14:textId="77777777">
            <w:pPr>
              <w:rPr>
                <w:b/>
                <w:bCs/>
              </w:rPr>
            </w:pPr>
            <w:r>
              <w:rPr>
                <w:b/>
              </w:rPr>
              <w:t>Iš dalies pakeisti taip:</w:t>
            </w:r>
          </w:p>
        </w:tc>
        <w:tc>
          <w:tcPr>
            <w:tcW w:w="2174" w:type="pct"/>
            <w:tcBorders>
              <w:top w:val="nil"/>
              <w:left w:val="nil"/>
              <w:bottom w:val="nil"/>
              <w:right w:val="nil"/>
            </w:tcBorders>
          </w:tcPr>
          <w:p w:rsidR="00D86124" w:rsidRDefault="00D86124" w14:paraId="5D6254EE" w14:textId="53FB29AC">
            <w:pPr>
              <w:jc w:val="left"/>
              <w:rPr>
                <w:lang w:val="fr-BE"/>
              </w:rPr>
            </w:pPr>
          </w:p>
        </w:tc>
      </w:tr>
    </w:tbl>
    <w:p w:rsidRPr="00026B2B" w:rsidR="00D86124" w:rsidP="00D86124" w:rsidRDefault="00D86124" w14:paraId="4577046C"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D86124" w:rsidTr="00D86124" w14:paraId="5A3E0459"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1F16EFE"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263BABE4" w14:textId="77777777">
            <w:pPr>
              <w:jc w:val="center"/>
              <w:rPr>
                <w:b/>
                <w:bCs/>
                <w:i/>
              </w:rPr>
            </w:pPr>
            <w:r>
              <w:rPr>
                <w:b/>
                <w:i/>
              </w:rPr>
              <w:t>Pakeitimas</w:t>
            </w:r>
          </w:p>
        </w:tc>
      </w:tr>
      <w:tr w:rsidR="00D86124" w:rsidTr="00D86124" w14:paraId="6B088D9D"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1839B5DB" w14:textId="77777777">
            <w:pPr>
              <w:spacing w:before="80" w:after="80"/>
              <w:ind w:left="80" w:right="80"/>
            </w:pPr>
            <w:r>
              <w:t xml:space="preserve">EESRK rekomenduoja, kad, siekiant sumažinti nelygybės, socialinės atskirties ir </w:t>
            </w:r>
            <w:proofErr w:type="spellStart"/>
            <w:r>
              <w:t>marginalizacijos</w:t>
            </w:r>
            <w:proofErr w:type="spellEnd"/>
            <w:r>
              <w:t xml:space="preserve"> riziką, kylančią dėl perkamosios galios sumažėjimo, keliose srityse tinkamu lygmeniu reikėtų įgyvendinti tinkamą kainodaros politiką, įskaitant energijos kainų</w:t>
            </w:r>
            <w:r>
              <w:rPr>
                <w:b/>
                <w:i/>
              </w:rPr>
              <w:t>, ypač sąskaitų už</w:t>
            </w:r>
            <w:r>
              <w:t xml:space="preserve"> energiją, </w:t>
            </w:r>
            <w:r>
              <w:rPr>
                <w:b/>
                <w:i/>
              </w:rPr>
              <w:t>viršutinių ribų nustatymą,</w:t>
            </w:r>
            <w:r>
              <w:t xml:space="preserve"> </w:t>
            </w:r>
            <w:r>
              <w:rPr>
                <w:b/>
                <w:i/>
              </w:rPr>
              <w:t xml:space="preserve">kad būtų užkirstas kelias spekuliacijai šiuo pagrindiniu ištekliumi, atsižvelgiant į jų </w:t>
            </w:r>
            <w:r>
              <w:t>poveikį kitoms būtiniausioms prekėms, pavyzdžiui, maistui ir jų kainoms. Šiuo atžvilgiu būtų tikslinga reformuoti ES energijos rinkos veikimą, kad būtų užtikrinta veiksminga energetikos sistema, užtikrinanti įperkamą energijos tiekimą.</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79025F22" w14:textId="77777777">
            <w:pPr>
              <w:spacing w:before="80" w:after="80"/>
              <w:ind w:left="80" w:right="80"/>
            </w:pPr>
            <w:r>
              <w:t xml:space="preserve">EESRK rekomenduoja, kad, siekiant sumažinti nelygybės, socialinės atskirties ir </w:t>
            </w:r>
            <w:proofErr w:type="spellStart"/>
            <w:r>
              <w:t>marginalizacijos</w:t>
            </w:r>
            <w:proofErr w:type="spellEnd"/>
            <w:r>
              <w:t xml:space="preserve"> riziką, kylančią dėl perkamosios galios sumažėjimo, keliose srityse tinkamu lygmeniu reikėtų įgyvendinti tinkamą kainodaros politiką, įskaitant energijos </w:t>
            </w:r>
            <w:r>
              <w:rPr>
                <w:b/>
                <w:i/>
              </w:rPr>
              <w:t>politiką,</w:t>
            </w:r>
            <w:r>
              <w:t xml:space="preserve"> </w:t>
            </w:r>
            <w:r>
              <w:rPr>
                <w:b/>
                <w:i/>
              </w:rPr>
              <w:t>atsižvelgiant į</w:t>
            </w:r>
            <w:r>
              <w:t xml:space="preserve"> energijos kainų poveikį kitoms būtiniausioms prekėms, pavyzdžiui, maistui ir jų kainoms. Šiuo atžvilgiu būtų </w:t>
            </w:r>
            <w:r>
              <w:rPr>
                <w:b/>
                <w:i/>
              </w:rPr>
              <w:t>tikslingiausia</w:t>
            </w:r>
            <w:r>
              <w:t xml:space="preserve"> skatinti </w:t>
            </w:r>
            <w:r>
              <w:rPr>
                <w:b/>
                <w:i/>
              </w:rPr>
              <w:t>žaliąją energetikos pertvarką</w:t>
            </w:r>
            <w:r>
              <w:t xml:space="preserve"> ir reformuoti ES energijos rinkos veikimą, kad būtų užtikrinta veiksminga energetikos sistema, užtikrinanti įperkamą energijos tiekimą.</w:t>
            </w:r>
          </w:p>
        </w:tc>
      </w:tr>
    </w:tbl>
    <w:p w:rsidR="00D86124" w:rsidP="00D86124" w:rsidRDefault="00D86124" w14:paraId="422DC063" w14:textId="77777777">
      <w:pPr>
        <w:jc w:val="center"/>
      </w:pPr>
    </w:p>
    <w:tbl>
      <w:tblPr>
        <w:tblStyle w:val="TableGrid"/>
        <w:tblW w:w="5000" w:type="pct"/>
        <w:tblLook w:val="01E0" w:firstRow="1" w:lastRow="1" w:firstColumn="1" w:lastColumn="1" w:noHBand="0" w:noVBand="0"/>
      </w:tblPr>
      <w:tblGrid>
        <w:gridCol w:w="9061"/>
      </w:tblGrid>
      <w:tr w:rsidR="00D86124" w:rsidTr="00D86124" w14:paraId="0DC0396C"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703A75A5" w14:textId="77777777">
            <w:pPr>
              <w:jc w:val="center"/>
            </w:pPr>
            <w:r>
              <w:rPr>
                <w:b/>
              </w:rPr>
              <w:t>Paaiškinimas</w:t>
            </w:r>
          </w:p>
        </w:tc>
      </w:tr>
      <w:tr w:rsidR="00D86124" w:rsidTr="00D86124" w14:paraId="7EB4CA70"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2267AF17" w14:textId="77777777">
            <w:r>
              <w:t>Tinkamai įgyvendintas perėjimas prie švarios energijos yra tvariausias būdas mažinti energijos kainas.</w:t>
            </w:r>
          </w:p>
        </w:tc>
      </w:tr>
    </w:tbl>
    <w:p w:rsidRPr="00026B2B" w:rsidR="00D86124" w:rsidP="00D86124" w:rsidRDefault="00D86124" w14:paraId="78C716A8" w14:textId="77777777">
      <w:pPr>
        <w:rPr>
          <w:b/>
          <w:bCs/>
        </w:rPr>
      </w:pPr>
    </w:p>
    <w:tbl>
      <w:tblPr>
        <w:tblStyle w:val="TableGrid"/>
        <w:tblW w:w="5000" w:type="pct"/>
        <w:tblLook w:val="01E0" w:firstRow="1" w:lastRow="1" w:firstColumn="1" w:lastColumn="1" w:noHBand="0" w:noVBand="0"/>
      </w:tblPr>
      <w:tblGrid>
        <w:gridCol w:w="9061"/>
      </w:tblGrid>
      <w:tr w:rsidRPr="005A3C9D" w:rsidR="00D86124" w:rsidTr="00963130" w14:paraId="62779F78" w14:textId="77777777">
        <w:tc>
          <w:tcPr>
            <w:tcW w:w="5000" w:type="pct"/>
          </w:tcPr>
          <w:p w:rsidRPr="005A3C9D" w:rsidR="00D86124" w:rsidP="00963130" w:rsidRDefault="00D86124" w14:paraId="5D034B96" w14:textId="77777777">
            <w:pPr>
              <w:jc w:val="left"/>
            </w:pPr>
            <w:r>
              <w:rPr>
                <w:b/>
              </w:rPr>
              <w:t>Balsavimo rezultatai</w:t>
            </w:r>
          </w:p>
        </w:tc>
      </w:tr>
      <w:tr w:rsidRPr="005A3C9D" w:rsidR="00D86124" w:rsidTr="00963130" w14:paraId="585F3ACD" w14:textId="77777777">
        <w:tc>
          <w:tcPr>
            <w:tcW w:w="5000" w:type="pct"/>
            <w:hideMark/>
          </w:tcPr>
          <w:p w:rsidRPr="005A3C9D" w:rsidR="00D86124" w:rsidP="00963130" w:rsidRDefault="00D86124" w14:paraId="222DAEFD" w14:textId="56B06A55">
            <w:pPr>
              <w:tabs>
                <w:tab w:val="right" w:pos="1701"/>
              </w:tabs>
            </w:pPr>
            <w:r>
              <w:t>Už:</w:t>
            </w:r>
            <w:r>
              <w:tab/>
              <w:t>86</w:t>
            </w:r>
          </w:p>
          <w:p w:rsidRPr="005A3C9D" w:rsidR="00D86124" w:rsidP="00963130" w:rsidRDefault="00D86124" w14:paraId="4D9EE512" w14:textId="60CFBF7E">
            <w:pPr>
              <w:tabs>
                <w:tab w:val="right" w:pos="1701"/>
              </w:tabs>
            </w:pPr>
            <w:r>
              <w:t>Prieš:</w:t>
            </w:r>
            <w:r>
              <w:tab/>
              <w:t>126</w:t>
            </w:r>
          </w:p>
          <w:p w:rsidRPr="005A3C9D" w:rsidR="00D86124" w:rsidP="00963130" w:rsidRDefault="00D86124" w14:paraId="63C6B01D" w14:textId="13A04EEE">
            <w:r>
              <w:t>Susilaikė:</w:t>
            </w:r>
            <w:r>
              <w:tab/>
              <w:t>6</w:t>
            </w:r>
          </w:p>
        </w:tc>
      </w:tr>
    </w:tbl>
    <w:p w:rsidR="00D86124" w:rsidP="00D86124" w:rsidRDefault="00D86124" w14:paraId="4A054785" w14:textId="77777777"/>
    <w:p w:rsidR="00D86124" w:rsidRDefault="00D86124" w14:paraId="6E89AEA2" w14:textId="61EB5053">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128"/>
        <w:gridCol w:w="3945"/>
      </w:tblGrid>
      <w:tr w:rsidRPr="00D504AB" w:rsidR="00D86124" w:rsidTr="00026B2B" w14:paraId="01CC75F2" w14:textId="77777777">
        <w:tc>
          <w:tcPr>
            <w:tcW w:w="2826" w:type="pct"/>
            <w:tcBorders>
              <w:top w:val="nil"/>
              <w:left w:val="nil"/>
              <w:bottom w:val="nil"/>
              <w:right w:val="nil"/>
            </w:tcBorders>
          </w:tcPr>
          <w:p w:rsidRPr="00026B2B" w:rsidR="00D86124" w:rsidRDefault="00D86124" w14:paraId="6B8159E1" w14:textId="77777777">
            <w:pPr>
              <w:rPr>
                <w:b/>
                <w:bCs/>
                <w:sz w:val="32"/>
                <w:szCs w:val="32"/>
              </w:rPr>
            </w:pPr>
            <w:r>
              <w:rPr>
                <w:b/>
                <w:sz w:val="32"/>
              </w:rPr>
              <w:lastRenderedPageBreak/>
              <w:t>3</w:t>
            </w:r>
            <w:r>
              <w:rPr>
                <w:b/>
                <w:bCs/>
                <w:sz w:val="32"/>
              </w:rPr>
              <w:t xml:space="preserve"> PAKEITIMAS</w:t>
            </w:r>
          </w:p>
          <w:p w:rsidRPr="00026B2B" w:rsidR="00D86124" w:rsidRDefault="00D86124" w14:paraId="5C61EF31" w14:textId="77777777">
            <w:pPr>
              <w:rPr>
                <w:b/>
                <w:bCs/>
                <w:lang w:val="en-GB"/>
              </w:rPr>
            </w:pPr>
          </w:p>
          <w:p w:rsidRPr="00026B2B" w:rsidR="00D86124" w:rsidRDefault="00D86124" w14:paraId="34221EB7" w14:textId="77777777">
            <w:pPr>
              <w:rPr>
                <w:b/>
                <w:bCs/>
              </w:rPr>
            </w:pPr>
            <w:r>
              <w:rPr>
                <w:b/>
              </w:rPr>
              <w:t>SOC/823</w:t>
            </w:r>
          </w:p>
          <w:p w:rsidRPr="00026B2B" w:rsidR="00D86124" w:rsidRDefault="00D86124" w14:paraId="1C012C3F" w14:textId="77777777">
            <w:pPr>
              <w:jc w:val="left"/>
              <w:rPr>
                <w:b/>
                <w:bCs/>
              </w:rPr>
            </w:pPr>
            <w:r>
              <w:rPr>
                <w:b/>
              </w:rPr>
              <w:t xml:space="preserve">Perkamosios galios praradimas ir nelygybė, atskirtis, </w:t>
            </w:r>
            <w:proofErr w:type="spellStart"/>
            <w:r>
              <w:rPr>
                <w:b/>
              </w:rPr>
              <w:t>marginalizacija</w:t>
            </w:r>
            <w:proofErr w:type="spellEnd"/>
          </w:p>
          <w:p w:rsidRPr="00026B2B" w:rsidR="00D86124" w:rsidRDefault="00D86124" w14:paraId="740B3796" w14:textId="77777777">
            <w:pPr>
              <w:rPr>
                <w:b/>
                <w:bCs/>
                <w:lang w:val="en-GB"/>
              </w:rPr>
            </w:pPr>
          </w:p>
          <w:p w:rsidR="00D86124" w:rsidRDefault="00D86124" w14:paraId="6D60795D" w14:textId="77777777">
            <w:pPr>
              <w:rPr>
                <w:b/>
                <w:bCs/>
              </w:rPr>
            </w:pPr>
            <w:r>
              <w:rPr>
                <w:b/>
              </w:rPr>
              <w:t>1.13 punktas</w:t>
            </w:r>
          </w:p>
          <w:p w:rsidR="00D86124" w:rsidRDefault="00D86124" w14:paraId="291CD900" w14:textId="77777777">
            <w:pPr>
              <w:rPr>
                <w:b/>
                <w:bCs/>
                <w:lang w:val="fr-BE"/>
              </w:rPr>
            </w:pPr>
          </w:p>
          <w:p w:rsidR="00D86124" w:rsidRDefault="00D86124" w14:paraId="52BDA459" w14:textId="77777777">
            <w:pPr>
              <w:rPr>
                <w:b/>
                <w:bCs/>
              </w:rPr>
            </w:pPr>
            <w:r>
              <w:rPr>
                <w:b/>
              </w:rPr>
              <w:t>Iš dalies pakeisti taip:</w:t>
            </w:r>
          </w:p>
        </w:tc>
        <w:tc>
          <w:tcPr>
            <w:tcW w:w="2174" w:type="pct"/>
            <w:tcBorders>
              <w:top w:val="nil"/>
              <w:left w:val="nil"/>
              <w:bottom w:val="nil"/>
              <w:right w:val="nil"/>
            </w:tcBorders>
          </w:tcPr>
          <w:p w:rsidR="00D86124" w:rsidRDefault="00D86124" w14:paraId="7A614CCE" w14:textId="25C7F505">
            <w:pPr>
              <w:jc w:val="left"/>
              <w:rPr>
                <w:lang w:val="fr-BE"/>
              </w:rPr>
            </w:pPr>
          </w:p>
        </w:tc>
      </w:tr>
    </w:tbl>
    <w:p w:rsidRPr="00026B2B" w:rsidR="00D86124" w:rsidP="00D86124" w:rsidRDefault="00D86124" w14:paraId="1BD5892D" w14:textId="77777777">
      <w:pPr>
        <w:jc w:val="center"/>
        <w:rPr>
          <w:lang w:val="fr-BE"/>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D86124" w:rsidTr="00D86124" w14:paraId="780B5B44" w14:textId="77777777">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69FC4908"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D86124" w:rsidRDefault="00D86124" w14:paraId="0E8AA5E8" w14:textId="77777777">
            <w:pPr>
              <w:jc w:val="center"/>
              <w:rPr>
                <w:b/>
                <w:bCs/>
                <w:i/>
              </w:rPr>
            </w:pPr>
            <w:r>
              <w:rPr>
                <w:b/>
                <w:i/>
              </w:rPr>
              <w:t>Pakeitimas</w:t>
            </w:r>
          </w:p>
        </w:tc>
      </w:tr>
      <w:tr w:rsidR="00D86124" w:rsidTr="00D86124" w14:paraId="368132A2"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6B9436D" w14:textId="77777777">
            <w:pPr>
              <w:spacing w:before="80" w:after="80"/>
              <w:ind w:left="80" w:right="80"/>
            </w:pPr>
            <w:r>
              <w:t xml:space="preserve">EESRK nuomone, Europos semestras ir jo socialinės </w:t>
            </w:r>
            <w:r>
              <w:rPr>
                <w:b/>
                <w:i/>
              </w:rPr>
              <w:t>konvergencijos sistema</w:t>
            </w:r>
            <w:r>
              <w:t xml:space="preserve"> tebėra vienos svarbiausių priemonių stebėti politiką ir veiksmus, kurių valstybės narės ėmėsi siekdamos įveikti krizę, kylančią dėl perkamosios galios mažėjimo ir jo poveikio nelygybei bei socialinei atskirčiai, ir išspręsti visus su tuo susijusius Europos ekonomikos ir visuomenės klausimus. EESRK pabrėžia, kad svarbu aktyviau naudoti paskirstomojo poveikio vertinimus, siekiant užtikrinti, kad visų sričių politika nepadidintų skurdo ar nelygybės, kartu atsižvelgiant į lyčių ir jaunimo perspektyvas. Visose socialinės politikos srityse turėtų būti atsižvelgiama į atitinkamą suskirstytų duomenų naudojimą. EESRK pakartoja, kad rengiant priemones ir politiką svarbu socialinius rodiklius </w:t>
            </w:r>
            <w:r>
              <w:rPr>
                <w:b/>
                <w:i/>
              </w:rPr>
              <w:t>vertinti</w:t>
            </w:r>
            <w:r>
              <w:t xml:space="preserve"> </w:t>
            </w:r>
            <w:r>
              <w:rPr>
                <w:b/>
                <w:i/>
              </w:rPr>
              <w:t>tuo pačiu lygmeniu kaip ir ekonominius rodiklius</w:t>
            </w:r>
            <w:r>
              <w:t>.</w:t>
            </w:r>
          </w:p>
        </w:tc>
        <w:tc>
          <w:tcPr>
            <w:tcW w:w="2500" w:type="pct"/>
            <w:tcBorders>
              <w:top w:val="single" w:color="auto" w:sz="4" w:space="0"/>
              <w:left w:val="single" w:color="auto" w:sz="4" w:space="0"/>
              <w:bottom w:val="single" w:color="auto" w:sz="4" w:space="0"/>
              <w:right w:val="single" w:color="auto" w:sz="4" w:space="0"/>
            </w:tcBorders>
            <w:hideMark/>
          </w:tcPr>
          <w:p w:rsidRPr="00026B2B" w:rsidR="00D86124" w:rsidRDefault="00D86124" w14:paraId="6C5C9306" w14:textId="77777777">
            <w:pPr>
              <w:spacing w:before="80" w:after="80"/>
              <w:ind w:left="80" w:right="80"/>
            </w:pPr>
            <w:r>
              <w:t xml:space="preserve">EESRK nuomone, Europos semestras ir jo socialinių </w:t>
            </w:r>
            <w:r>
              <w:rPr>
                <w:b/>
                <w:i/>
              </w:rPr>
              <w:t>rodiklių suvestinė</w:t>
            </w:r>
            <w:r>
              <w:t xml:space="preserve"> tebėra vienos svarbiausių priemonių stebėti politiką ir veiksmus, kurių valstybės narės ėmėsi siekdamos įveikti krizę, kylančią dėl perkamosios galios mažėjimo ir jo poveikio nelygybei bei socialinei atskirčiai, ir išspręsti visus su tuo susijusius Europos ekonomikos ir visuomenės klausimus.</w:t>
            </w:r>
            <w:r>
              <w:rPr>
                <w:b/>
                <w:i/>
              </w:rPr>
              <w:t xml:space="preserve"> Be to, EESRK mano, kad socialinės konvergencijos sistema padėtų pagerinti nacionalinių pastangų koordinavimą siekiant </w:t>
            </w:r>
            <w:proofErr w:type="spellStart"/>
            <w:r>
              <w:rPr>
                <w:b/>
                <w:i/>
              </w:rPr>
              <w:t>aukštynkryptės</w:t>
            </w:r>
            <w:proofErr w:type="spellEnd"/>
            <w:r>
              <w:rPr>
                <w:b/>
                <w:i/>
              </w:rPr>
              <w:t xml:space="preserve"> socialinės konvergencijos. Tai taip pat turėtų padėti geriau pasinaudoti dabartine ES valdymo struktūra</w:t>
            </w:r>
            <w:r>
              <w:t xml:space="preserve">. EESRK pabrėžia, kad svarbu aktyviau naudoti paskirstomojo poveikio vertinimus, siekiant užtikrinti, kad visų sričių politika nepadidintų skurdo ar nelygybės, kartu atsižvelgiant į lyčių ir jaunimo perspektyvas. Visose socialinės politikos srityse turėtų būti atsižvelgiama į atitinkamą suskirstytų duomenų naudojimą. EESRK pakartoja, kad rengiant priemones ir politiką svarbu </w:t>
            </w:r>
            <w:r>
              <w:rPr>
                <w:b/>
                <w:i/>
              </w:rPr>
              <w:t>tinkamai atsižvelgti į</w:t>
            </w:r>
            <w:r>
              <w:t xml:space="preserve"> socialinius rodiklius.</w:t>
            </w:r>
          </w:p>
        </w:tc>
      </w:tr>
    </w:tbl>
    <w:p w:rsidR="00D86124" w:rsidP="00D86124" w:rsidRDefault="00D86124" w14:paraId="15804898" w14:textId="77777777">
      <w:pPr>
        <w:jc w:val="center"/>
      </w:pPr>
    </w:p>
    <w:tbl>
      <w:tblPr>
        <w:tblStyle w:val="TableGrid"/>
        <w:tblW w:w="5000" w:type="pct"/>
        <w:tblLook w:val="01E0" w:firstRow="1" w:lastRow="1" w:firstColumn="1" w:lastColumn="1" w:noHBand="0" w:noVBand="0"/>
      </w:tblPr>
      <w:tblGrid>
        <w:gridCol w:w="9061"/>
      </w:tblGrid>
      <w:tr w:rsidR="00D86124" w:rsidTr="00D86124" w14:paraId="0E0F49E9"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756DBD97" w14:textId="77777777">
            <w:pPr>
              <w:jc w:val="center"/>
            </w:pPr>
            <w:r>
              <w:rPr>
                <w:b/>
              </w:rPr>
              <w:t>Paaiškinimas</w:t>
            </w:r>
          </w:p>
        </w:tc>
      </w:tr>
      <w:tr w:rsidR="00D86124" w:rsidTr="00D86124" w14:paraId="5929D1BD" w14:textId="77777777">
        <w:tc>
          <w:tcPr>
            <w:tcW w:w="5000" w:type="pct"/>
            <w:tcBorders>
              <w:top w:val="single" w:color="auto" w:sz="4" w:space="0"/>
              <w:left w:val="single" w:color="auto" w:sz="4" w:space="0"/>
              <w:bottom w:val="single" w:color="auto" w:sz="4" w:space="0"/>
              <w:right w:val="single" w:color="auto" w:sz="4" w:space="0"/>
            </w:tcBorders>
            <w:hideMark/>
          </w:tcPr>
          <w:p w:rsidR="00D86124" w:rsidRDefault="00D86124" w14:paraId="7B933374" w14:textId="77777777">
            <w:r>
              <w:t>Šiomis aplinkybėmis socialinių rodiklių suvestinė yra svarbesnė. Paskutiniame sakinyje sąvoka „tinkamai“ yra platesnė ir apima visus svarbius atsižvelgimo aspektus. (SOC skyriaus nuomonės projekto 1.14 punkte iš tiesų buvo naudojama formuluotė „socialinių rodiklių suvestinė“, ir SOC skyrius pritarė šiam pakeitimui. Vis dėlto SOC skyriaus nuomonėje, kuri buvo pateikta plenarinei sesijai, terminas buvo pakeistas į „socialinės konvergencijos sistemą“). Siekdami kompromiso, taip pat siūlome į šį punktą įtraukti sakinį apie socialinės konvergencijos sistemą.</w:t>
            </w:r>
          </w:p>
        </w:tc>
      </w:tr>
    </w:tbl>
    <w:p w:rsidR="00D86124" w:rsidP="00D86124" w:rsidRDefault="00D86124" w14:paraId="3AA8BB40" w14:textId="77777777">
      <w:pPr>
        <w:jc w:val="center"/>
      </w:pPr>
    </w:p>
    <w:tbl>
      <w:tblPr>
        <w:tblStyle w:val="TableGrid"/>
        <w:tblW w:w="5000" w:type="pct"/>
        <w:tblLook w:val="01E0" w:firstRow="1" w:lastRow="1" w:firstColumn="1" w:lastColumn="1" w:noHBand="0" w:noVBand="0"/>
      </w:tblPr>
      <w:tblGrid>
        <w:gridCol w:w="9061"/>
      </w:tblGrid>
      <w:tr w:rsidRPr="005A3C9D" w:rsidR="00D86124" w:rsidTr="00963130" w14:paraId="2F6ADA22" w14:textId="77777777">
        <w:tc>
          <w:tcPr>
            <w:tcW w:w="5000" w:type="pct"/>
          </w:tcPr>
          <w:p w:rsidRPr="005A3C9D" w:rsidR="00D86124" w:rsidP="00963130" w:rsidRDefault="00D86124" w14:paraId="1C777FB4" w14:textId="77777777">
            <w:pPr>
              <w:jc w:val="left"/>
            </w:pPr>
            <w:r>
              <w:rPr>
                <w:b/>
              </w:rPr>
              <w:t>Balsavimo rezultatai</w:t>
            </w:r>
          </w:p>
        </w:tc>
      </w:tr>
      <w:tr w:rsidRPr="005A3C9D" w:rsidR="00D86124" w:rsidTr="00963130" w14:paraId="16FD967F" w14:textId="77777777">
        <w:tc>
          <w:tcPr>
            <w:tcW w:w="5000" w:type="pct"/>
            <w:hideMark/>
          </w:tcPr>
          <w:p w:rsidRPr="005A3C9D" w:rsidR="00D86124" w:rsidP="00963130" w:rsidRDefault="00D86124" w14:paraId="313F179B" w14:textId="68772063">
            <w:pPr>
              <w:tabs>
                <w:tab w:val="right" w:pos="1701"/>
              </w:tabs>
            </w:pPr>
            <w:r>
              <w:t>Už:</w:t>
            </w:r>
            <w:r>
              <w:tab/>
              <w:t>93</w:t>
            </w:r>
          </w:p>
          <w:p w:rsidRPr="005A3C9D" w:rsidR="00D86124" w:rsidP="00963130" w:rsidRDefault="00D86124" w14:paraId="5C795333" w14:textId="2DB7AA67">
            <w:pPr>
              <w:tabs>
                <w:tab w:val="right" w:pos="1701"/>
              </w:tabs>
            </w:pPr>
            <w:r>
              <w:t>Prieš:</w:t>
            </w:r>
            <w:r>
              <w:tab/>
              <w:t>130</w:t>
            </w:r>
          </w:p>
          <w:p w:rsidRPr="005A3C9D" w:rsidR="00D86124" w:rsidP="00963130" w:rsidRDefault="00D86124" w14:paraId="3579A6B7" w14:textId="733C8407">
            <w:r>
              <w:t>Susilaikė:</w:t>
            </w:r>
            <w:r>
              <w:tab/>
              <w:t>2</w:t>
            </w:r>
          </w:p>
        </w:tc>
      </w:tr>
    </w:tbl>
    <w:tbl>
      <w:tblPr>
        <w:tblpPr w:leftFromText="180" w:rightFromText="180" w:vertAnchor="page" w:horzAnchor="margin" w:tblpY="2593"/>
        <w:tblW w:w="5040" w:type="pct"/>
        <w:tblBorders>
          <w:insideH w:val="nil"/>
          <w:insideV w:val="nil"/>
        </w:tblBorders>
        <w:tblLook w:val="01E0" w:firstRow="1" w:lastRow="1" w:firstColumn="1" w:lastColumn="1" w:noHBand="0" w:noVBand="0"/>
      </w:tblPr>
      <w:tblGrid>
        <w:gridCol w:w="5168"/>
        <w:gridCol w:w="3976"/>
      </w:tblGrid>
      <w:tr w:rsidRPr="00D504AB" w:rsidR="00C35F44" w:rsidTr="00026B2B" w14:paraId="16299DAF" w14:textId="77777777">
        <w:tc>
          <w:tcPr>
            <w:tcW w:w="2826" w:type="pct"/>
            <w:tcBorders>
              <w:top w:val="nil"/>
              <w:left w:val="nil"/>
              <w:bottom w:val="nil"/>
              <w:right w:val="nil"/>
            </w:tcBorders>
          </w:tcPr>
          <w:p w:rsidRPr="00026B2B" w:rsidR="00C35F44" w:rsidP="00F92DA4" w:rsidRDefault="00C35F44" w14:paraId="55C088F5" w14:textId="77777777">
            <w:pPr>
              <w:rPr>
                <w:b/>
                <w:bCs/>
                <w:sz w:val="32"/>
                <w:szCs w:val="32"/>
              </w:rPr>
            </w:pPr>
            <w:r>
              <w:rPr>
                <w:b/>
                <w:sz w:val="32"/>
              </w:rPr>
              <w:lastRenderedPageBreak/>
              <w:t>15</w:t>
            </w:r>
            <w:r>
              <w:rPr>
                <w:b/>
                <w:bCs/>
                <w:sz w:val="32"/>
              </w:rPr>
              <w:t> PAKEITIMAS</w:t>
            </w:r>
          </w:p>
          <w:p w:rsidRPr="00026B2B" w:rsidR="00C35F44" w:rsidP="00F92DA4" w:rsidRDefault="00C35F44" w14:paraId="5652F086" w14:textId="77777777">
            <w:pPr>
              <w:rPr>
                <w:b/>
                <w:bCs/>
                <w:lang w:val="en-GB"/>
              </w:rPr>
            </w:pPr>
          </w:p>
          <w:p w:rsidRPr="00026B2B" w:rsidR="00C35F44" w:rsidP="00F92DA4" w:rsidRDefault="00C35F44" w14:paraId="46E2367F" w14:textId="77777777">
            <w:pPr>
              <w:rPr>
                <w:b/>
                <w:bCs/>
              </w:rPr>
            </w:pPr>
            <w:r>
              <w:rPr>
                <w:b/>
              </w:rPr>
              <w:t>SOC/823</w:t>
            </w:r>
          </w:p>
          <w:p w:rsidRPr="00026B2B" w:rsidR="00C35F44" w:rsidP="00F92DA4" w:rsidRDefault="00C35F44" w14:paraId="6F517C9A" w14:textId="77777777">
            <w:pPr>
              <w:jc w:val="left"/>
              <w:rPr>
                <w:b/>
                <w:bCs/>
              </w:rPr>
            </w:pPr>
            <w:r>
              <w:rPr>
                <w:b/>
              </w:rPr>
              <w:t xml:space="preserve">Perkamosios galios praradimas ir nelygybė, atskirtis, </w:t>
            </w:r>
            <w:proofErr w:type="spellStart"/>
            <w:r>
              <w:rPr>
                <w:b/>
              </w:rPr>
              <w:t>marginalizacija</w:t>
            </w:r>
            <w:proofErr w:type="spellEnd"/>
          </w:p>
          <w:p w:rsidRPr="00026B2B" w:rsidR="00C35F44" w:rsidP="00F92DA4" w:rsidRDefault="00C35F44" w14:paraId="24261150" w14:textId="77777777">
            <w:pPr>
              <w:rPr>
                <w:b/>
                <w:bCs/>
                <w:lang w:val="en-GB"/>
              </w:rPr>
            </w:pPr>
          </w:p>
          <w:p w:rsidR="00C35F44" w:rsidP="00F92DA4" w:rsidRDefault="00C35F44" w14:paraId="6372FD28" w14:textId="77777777">
            <w:pPr>
              <w:rPr>
                <w:b/>
                <w:bCs/>
              </w:rPr>
            </w:pPr>
            <w:r>
              <w:rPr>
                <w:b/>
              </w:rPr>
              <w:t>1.3 punktas</w:t>
            </w:r>
          </w:p>
          <w:p w:rsidR="00C35F44" w:rsidP="00F92DA4" w:rsidRDefault="00C35F44" w14:paraId="4D66D23B" w14:textId="77777777">
            <w:pPr>
              <w:rPr>
                <w:b/>
                <w:bCs/>
                <w:lang w:val="fr-BE"/>
              </w:rPr>
            </w:pPr>
          </w:p>
          <w:p w:rsidR="00C35F44" w:rsidP="00F92DA4" w:rsidRDefault="00C35F44" w14:paraId="7C9BEE15" w14:textId="77777777">
            <w:pPr>
              <w:rPr>
                <w:b/>
                <w:bCs/>
              </w:rPr>
            </w:pPr>
            <w:r>
              <w:rPr>
                <w:b/>
              </w:rPr>
              <w:t>Iš dalies pakeisti taip:</w:t>
            </w:r>
          </w:p>
        </w:tc>
        <w:tc>
          <w:tcPr>
            <w:tcW w:w="2174" w:type="pct"/>
            <w:tcBorders>
              <w:top w:val="nil"/>
              <w:left w:val="nil"/>
              <w:bottom w:val="nil"/>
              <w:right w:val="nil"/>
            </w:tcBorders>
          </w:tcPr>
          <w:p w:rsidR="00C35F44" w:rsidP="00F92DA4" w:rsidRDefault="00C35F44" w14:paraId="077E5FB0" w14:textId="6A1416F2">
            <w:pPr>
              <w:jc w:val="left"/>
              <w:rPr>
                <w:lang w:val="pt-PT"/>
              </w:rPr>
            </w:pPr>
          </w:p>
        </w:tc>
      </w:tr>
    </w:tbl>
    <w:p w:rsidRPr="005A3C9D" w:rsidR="00F92DA4" w:rsidP="00F92DA4" w:rsidRDefault="00F92DA4" w14:paraId="5885063E" w14:textId="551D3798">
      <w:r>
        <w:t>Toliau nurodyti skyriaus nuomonės sakiniai iš dalies pakeisti siekiant atsižvelgti į asamblėjos priimtą pakeitimą, nors daugiau nei ketvirtadalis balsavusiųjų pritarė pradinei teksto versijai (Darbo tvarkos taisyklių 74 straipsnio, 4 dalis):</w:t>
      </w:r>
    </w:p>
    <w:p w:rsidRPr="00026B2B" w:rsidR="00C35F44" w:rsidP="00C35F44" w:rsidRDefault="00C35F44" w14:paraId="559305A2" w14:textId="20610326">
      <w:pPr>
        <w:jc w:val="center"/>
        <w:rPr>
          <w:lang w:val="en-GB"/>
        </w:rPr>
      </w:pPr>
    </w:p>
    <w:p w:rsidR="00F92DA4" w:rsidP="00C35F44" w:rsidRDefault="00F92DA4" w14:paraId="44C2950B" w14:textId="61E2F2F0">
      <w:pPr>
        <w:jc w:val="center"/>
        <w:rPr>
          <w:lang w:val="en-GB"/>
        </w:rPr>
      </w:pPr>
    </w:p>
    <w:p w:rsidRPr="00026B2B" w:rsidR="00F92DA4" w:rsidP="00C35F44" w:rsidRDefault="00F92DA4" w14:paraId="5F13D70E" w14:textId="77777777">
      <w:pPr>
        <w:jc w:val="center"/>
        <w:rPr>
          <w:lang w:val="en-GB"/>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C35F44" w:rsidTr="00C35F44" w14:paraId="68FE5C07" w14:textId="77777777">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044C0780"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73C85F56" w14:textId="77777777">
            <w:pPr>
              <w:jc w:val="center"/>
              <w:rPr>
                <w:b/>
                <w:bCs/>
                <w:i/>
              </w:rPr>
            </w:pPr>
            <w:r>
              <w:rPr>
                <w:b/>
                <w:i/>
              </w:rPr>
              <w:t>Pakeitimas</w:t>
            </w:r>
          </w:p>
        </w:tc>
      </w:tr>
      <w:tr w:rsidR="00C35F44" w:rsidTr="00C35F44" w14:paraId="20B4BFA5"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011D6711" w14:textId="77777777">
            <w:pPr>
              <w:spacing w:before="80" w:after="80"/>
              <w:ind w:left="80" w:right="80"/>
            </w:pPr>
            <w:r>
              <w:t xml:space="preserve">EESRK mano, kad investicijos į žmones ir ekonomiką, </w:t>
            </w:r>
            <w:r>
              <w:rPr>
                <w:b/>
                <w:i/>
              </w:rPr>
              <w:t>sąžiningas</w:t>
            </w:r>
            <w:r>
              <w:t xml:space="preserve"> apmokestinimas, kokybiškos ir įperkamos viešosios paslaugos, taip pat tikslinė parama </w:t>
            </w:r>
            <w:proofErr w:type="spellStart"/>
            <w:r>
              <w:t>pažeidžiamiausiems</w:t>
            </w:r>
            <w:proofErr w:type="spellEnd"/>
            <w:r>
              <w:t xml:space="preserve"> asmenims, kartu su trumpalaike ir ilgalaike pramonės politika ir pastangomis didinti konkurencingumą, yra labai svarbūs aspektai siekiant sušvelninti pragyvenimo išlaidų krizę ir apsaugoti nuo būsimų sukrėtimų.</w:t>
            </w:r>
          </w:p>
        </w:tc>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6007A794" w14:textId="77777777">
            <w:pPr>
              <w:spacing w:before="80" w:after="80"/>
              <w:ind w:left="80" w:right="80"/>
            </w:pPr>
            <w:r>
              <w:t xml:space="preserve">EESRK mano, kad investicijos į žmones ir ekonomiką, </w:t>
            </w:r>
            <w:r>
              <w:rPr>
                <w:b/>
                <w:i/>
              </w:rPr>
              <w:t>progresinis</w:t>
            </w:r>
            <w:r>
              <w:t xml:space="preserve"> apmokestinimas, kokybiškos ir įperkamos viešosios paslaugos, taip pat tikslinė parama </w:t>
            </w:r>
            <w:proofErr w:type="spellStart"/>
            <w:r>
              <w:t>pažeidžiamiausiems</w:t>
            </w:r>
            <w:proofErr w:type="spellEnd"/>
            <w:r>
              <w:t xml:space="preserve"> asmenims, kartu su trumpalaike ir ilgalaike pramonės politika ir pastangomis didinti konkurencingumą, yra labai svarbūs aspektai siekiant sušvelninti pragyvenimo išlaidų krizę ir apsaugoti nuo būsimų sukrėtimų.</w:t>
            </w:r>
          </w:p>
        </w:tc>
      </w:tr>
    </w:tbl>
    <w:p w:rsidR="00F92DA4" w:rsidP="00D86124" w:rsidRDefault="00F92DA4" w14:paraId="18D2AA3E" w14:textId="77777777">
      <w:pPr>
        <w:jc w:val="center"/>
      </w:pPr>
    </w:p>
    <w:tbl>
      <w:tblPr>
        <w:tblStyle w:val="TableGrid"/>
        <w:tblW w:w="5000" w:type="pct"/>
        <w:tblLook w:val="01E0" w:firstRow="1" w:lastRow="1" w:firstColumn="1" w:lastColumn="1" w:noHBand="0" w:noVBand="0"/>
      </w:tblPr>
      <w:tblGrid>
        <w:gridCol w:w="9061"/>
      </w:tblGrid>
      <w:tr w:rsidRPr="005A3C9D" w:rsidR="00C35F44" w:rsidTr="00963130" w14:paraId="16752D40" w14:textId="77777777">
        <w:tc>
          <w:tcPr>
            <w:tcW w:w="5000" w:type="pct"/>
          </w:tcPr>
          <w:p w:rsidRPr="005A3C9D" w:rsidR="00C35F44" w:rsidP="00963130" w:rsidRDefault="00C35F44" w14:paraId="45F300DE" w14:textId="77777777">
            <w:pPr>
              <w:jc w:val="left"/>
            </w:pPr>
            <w:r>
              <w:rPr>
                <w:b/>
              </w:rPr>
              <w:t>Balsavimo rezultatai</w:t>
            </w:r>
          </w:p>
        </w:tc>
      </w:tr>
      <w:tr w:rsidRPr="005A3C9D" w:rsidR="00C35F44" w:rsidTr="00963130" w14:paraId="751C3983" w14:textId="77777777">
        <w:tc>
          <w:tcPr>
            <w:tcW w:w="5000" w:type="pct"/>
            <w:hideMark/>
          </w:tcPr>
          <w:p w:rsidRPr="005A3C9D" w:rsidR="00C35F44" w:rsidP="00963130" w:rsidRDefault="00C35F44" w14:paraId="2855B99B" w14:textId="2F446033">
            <w:pPr>
              <w:tabs>
                <w:tab w:val="right" w:pos="1701"/>
              </w:tabs>
            </w:pPr>
            <w:r>
              <w:t>Už:</w:t>
            </w:r>
            <w:r>
              <w:tab/>
              <w:t>111</w:t>
            </w:r>
          </w:p>
          <w:p w:rsidRPr="005A3C9D" w:rsidR="00C35F44" w:rsidP="00963130" w:rsidRDefault="00C35F44" w14:paraId="7BBE427A" w14:textId="70474DB1">
            <w:pPr>
              <w:tabs>
                <w:tab w:val="right" w:pos="1701"/>
              </w:tabs>
            </w:pPr>
            <w:r>
              <w:t>Prieš:</w:t>
            </w:r>
            <w:r>
              <w:tab/>
              <w:t>109</w:t>
            </w:r>
          </w:p>
          <w:p w:rsidRPr="005A3C9D" w:rsidR="00C35F44" w:rsidP="00963130" w:rsidRDefault="00C35F44" w14:paraId="4D0933FC" w14:textId="37B88DF6">
            <w:r>
              <w:t>Susilaikė:</w:t>
            </w:r>
            <w:r>
              <w:tab/>
              <w:t>4</w:t>
            </w:r>
          </w:p>
        </w:tc>
      </w:tr>
    </w:tbl>
    <w:p w:rsidR="00C35F44" w:rsidP="00D86124" w:rsidRDefault="00C35F44" w14:paraId="05F0BDD6" w14:textId="77777777">
      <w:pPr>
        <w:jc w:val="center"/>
      </w:pPr>
    </w:p>
    <w:p w:rsidR="00C35F44" w:rsidRDefault="00C35F44" w14:paraId="1B755F64" w14:textId="3570AF9A">
      <w:pPr>
        <w:spacing w:after="160" w:line="259" w:lineRule="auto"/>
        <w:jc w:val="left"/>
      </w:pPr>
      <w:r>
        <w:br w:type="page"/>
      </w:r>
    </w:p>
    <w:tbl>
      <w:tblPr>
        <w:tblW w:w="5001" w:type="pct"/>
        <w:tblBorders>
          <w:insideH w:val="nil"/>
          <w:insideV w:val="nil"/>
        </w:tblBorders>
        <w:tblLook w:val="01E0" w:firstRow="1" w:lastRow="1" w:firstColumn="1" w:lastColumn="1" w:noHBand="0" w:noVBand="0"/>
      </w:tblPr>
      <w:tblGrid>
        <w:gridCol w:w="5128"/>
        <w:gridCol w:w="3945"/>
      </w:tblGrid>
      <w:tr w:rsidRPr="00D504AB" w:rsidR="00C35F44" w:rsidTr="00026B2B" w14:paraId="26BCC4F3" w14:textId="77777777">
        <w:tc>
          <w:tcPr>
            <w:tcW w:w="2826" w:type="pct"/>
            <w:tcBorders>
              <w:top w:val="nil"/>
              <w:left w:val="nil"/>
              <w:bottom w:val="nil"/>
              <w:right w:val="nil"/>
            </w:tcBorders>
          </w:tcPr>
          <w:p w:rsidRPr="00026B2B" w:rsidR="00C35F44" w:rsidRDefault="00C35F44" w14:paraId="34788CD5" w14:textId="77777777">
            <w:pPr>
              <w:rPr>
                <w:b/>
                <w:bCs/>
                <w:sz w:val="32"/>
                <w:szCs w:val="32"/>
              </w:rPr>
            </w:pPr>
            <w:r>
              <w:rPr>
                <w:b/>
                <w:sz w:val="32"/>
              </w:rPr>
              <w:lastRenderedPageBreak/>
              <w:t>14</w:t>
            </w:r>
            <w:r>
              <w:rPr>
                <w:b/>
                <w:bCs/>
                <w:sz w:val="32"/>
              </w:rPr>
              <w:t> PAKEITIMAS</w:t>
            </w:r>
          </w:p>
          <w:p w:rsidRPr="00026B2B" w:rsidR="00C35F44" w:rsidRDefault="00C35F44" w14:paraId="0FBF8F9D" w14:textId="77777777">
            <w:pPr>
              <w:rPr>
                <w:b/>
                <w:bCs/>
                <w:lang w:val="en-GB"/>
              </w:rPr>
            </w:pPr>
          </w:p>
          <w:p w:rsidRPr="00026B2B" w:rsidR="00C35F44" w:rsidRDefault="00C35F44" w14:paraId="42F53168" w14:textId="77777777">
            <w:pPr>
              <w:rPr>
                <w:b/>
                <w:bCs/>
              </w:rPr>
            </w:pPr>
            <w:r>
              <w:rPr>
                <w:b/>
              </w:rPr>
              <w:t>SOC/823</w:t>
            </w:r>
          </w:p>
          <w:p w:rsidRPr="00026B2B" w:rsidR="00C35F44" w:rsidRDefault="00C35F44" w14:paraId="53754589" w14:textId="77777777">
            <w:pPr>
              <w:jc w:val="left"/>
              <w:rPr>
                <w:b/>
                <w:bCs/>
              </w:rPr>
            </w:pPr>
            <w:r>
              <w:rPr>
                <w:b/>
              </w:rPr>
              <w:t xml:space="preserve">Perkamosios galios praradimas ir nelygybė, atskirtis, </w:t>
            </w:r>
            <w:proofErr w:type="spellStart"/>
            <w:r>
              <w:rPr>
                <w:b/>
              </w:rPr>
              <w:t>marginalizacija</w:t>
            </w:r>
            <w:proofErr w:type="spellEnd"/>
          </w:p>
          <w:p w:rsidRPr="00026B2B" w:rsidR="00C35F44" w:rsidRDefault="00C35F44" w14:paraId="54F9820B" w14:textId="77777777">
            <w:pPr>
              <w:rPr>
                <w:b/>
                <w:bCs/>
                <w:lang w:val="en-GB"/>
              </w:rPr>
            </w:pPr>
          </w:p>
          <w:p w:rsidR="00C35F44" w:rsidRDefault="00C35F44" w14:paraId="02FEC1B5" w14:textId="77777777">
            <w:pPr>
              <w:rPr>
                <w:b/>
                <w:bCs/>
              </w:rPr>
            </w:pPr>
            <w:r>
              <w:rPr>
                <w:b/>
              </w:rPr>
              <w:t>1.16 punktas</w:t>
            </w:r>
          </w:p>
          <w:p w:rsidR="00C35F44" w:rsidRDefault="00C35F44" w14:paraId="0259EAD7" w14:textId="77777777">
            <w:pPr>
              <w:rPr>
                <w:b/>
                <w:bCs/>
                <w:lang w:val="fr-BE"/>
              </w:rPr>
            </w:pPr>
          </w:p>
          <w:p w:rsidR="00C35F44" w:rsidRDefault="00C35F44" w14:paraId="4E92E26B" w14:textId="77777777">
            <w:pPr>
              <w:rPr>
                <w:b/>
                <w:bCs/>
              </w:rPr>
            </w:pPr>
            <w:r>
              <w:rPr>
                <w:b/>
              </w:rPr>
              <w:t>Iš dalies pakeisti taip:</w:t>
            </w:r>
          </w:p>
        </w:tc>
        <w:tc>
          <w:tcPr>
            <w:tcW w:w="2174" w:type="pct"/>
            <w:tcBorders>
              <w:top w:val="nil"/>
              <w:left w:val="nil"/>
              <w:bottom w:val="nil"/>
              <w:right w:val="nil"/>
            </w:tcBorders>
          </w:tcPr>
          <w:p w:rsidR="00C35F44" w:rsidRDefault="00C35F44" w14:paraId="7506F39D" w14:textId="51593F08">
            <w:pPr>
              <w:jc w:val="left"/>
              <w:rPr>
                <w:lang w:val="pt-PT"/>
              </w:rPr>
            </w:pPr>
          </w:p>
        </w:tc>
      </w:tr>
    </w:tbl>
    <w:p w:rsidR="00C35F44" w:rsidP="00C35F44" w:rsidRDefault="00C35F44" w14:paraId="32DC5BF2" w14:textId="77777777">
      <w:pPr>
        <w:jc w:val="center"/>
        <w:rPr>
          <w:lang w:val="pt-PT"/>
        </w:rPr>
      </w:pPr>
    </w:p>
    <w:tbl>
      <w:tblPr>
        <w:tblStyle w:val="TableGrid1"/>
        <w:tblW w:w="5000" w:type="pct"/>
        <w:tblInd w:w="0" w:type="dxa"/>
        <w:tblCellMar>
          <w:left w:w="115" w:type="dxa"/>
          <w:right w:w="115" w:type="dxa"/>
        </w:tblCellMar>
        <w:tblLook w:val="01E0" w:firstRow="1" w:lastRow="1" w:firstColumn="1" w:lastColumn="1" w:noHBand="0" w:noVBand="0"/>
      </w:tblPr>
      <w:tblGrid>
        <w:gridCol w:w="4530"/>
        <w:gridCol w:w="4531"/>
      </w:tblGrid>
      <w:tr w:rsidR="00C35F44" w:rsidTr="00C35F44" w14:paraId="22F737F3" w14:textId="77777777">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4AC01932" w14:textId="77777777">
            <w:pPr>
              <w:jc w:val="center"/>
              <w:rPr>
                <w:b/>
                <w:bCs/>
                <w:i/>
              </w:rPr>
            </w:pPr>
            <w:r>
              <w:rPr>
                <w:b/>
                <w:i/>
              </w:rPr>
              <w:t>Skyriaus nuomonė</w:t>
            </w:r>
          </w:p>
        </w:tc>
        <w:tc>
          <w:tcPr>
            <w:tcW w:w="2500" w:type="pct"/>
            <w:tcBorders>
              <w:top w:val="single" w:color="auto" w:sz="4" w:space="0"/>
              <w:left w:val="single" w:color="auto" w:sz="4" w:space="0"/>
              <w:bottom w:val="single" w:color="auto" w:sz="4" w:space="0"/>
              <w:right w:val="single" w:color="auto" w:sz="4" w:space="0"/>
            </w:tcBorders>
            <w:hideMark/>
          </w:tcPr>
          <w:p w:rsidR="00C35F44" w:rsidRDefault="00C35F44" w14:paraId="46937B8A" w14:textId="77777777">
            <w:pPr>
              <w:jc w:val="center"/>
              <w:rPr>
                <w:b/>
                <w:bCs/>
                <w:i/>
              </w:rPr>
            </w:pPr>
            <w:r>
              <w:rPr>
                <w:b/>
                <w:i/>
              </w:rPr>
              <w:t>Pakeitimas</w:t>
            </w:r>
          </w:p>
        </w:tc>
      </w:tr>
      <w:tr w:rsidR="00C35F44" w:rsidTr="00C35F44" w14:paraId="0DBFE786" w14:textId="77777777">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012A1E74" w14:textId="77777777">
            <w:pPr>
              <w:spacing w:before="80" w:after="40"/>
              <w:ind w:left="80" w:right="80"/>
            </w:pPr>
            <w:r>
              <w:t xml:space="preserve">EESRK </w:t>
            </w:r>
            <w:r>
              <w:rPr>
                <w:b/>
                <w:i/>
              </w:rPr>
              <w:t xml:space="preserve">atkreipia dėmesį į </w:t>
            </w:r>
            <w:r>
              <w:t xml:space="preserve">naujausią Europos socialinių teisių komiteto ataskaitą dėl pragyvenimo išlaidų krizės poveikio socialinėms teisėms ir </w:t>
            </w:r>
            <w:r>
              <w:rPr>
                <w:b/>
                <w:i/>
              </w:rPr>
              <w:t>į jos rekomendacijas Europos Tarybos Europos socialinės chartijos šalims[1].</w:t>
            </w:r>
          </w:p>
          <w:p w:rsidRPr="00026B2B" w:rsidR="00C35F44" w:rsidRDefault="00C35F44" w14:paraId="47DEEBF5" w14:textId="77777777">
            <w:pPr>
              <w:spacing w:before="40" w:after="80"/>
              <w:ind w:left="80" w:right="80"/>
            </w:pPr>
            <w:r>
              <w:t>[1] Pragyvenimo krizės išlaidos. Socialinės teisės ir ESTR.</w:t>
            </w:r>
          </w:p>
        </w:tc>
        <w:tc>
          <w:tcPr>
            <w:tcW w:w="2500" w:type="pct"/>
            <w:tcBorders>
              <w:top w:val="single" w:color="auto" w:sz="4" w:space="0"/>
              <w:left w:val="single" w:color="auto" w:sz="4" w:space="0"/>
              <w:bottom w:val="single" w:color="auto" w:sz="4" w:space="0"/>
              <w:right w:val="single" w:color="auto" w:sz="4" w:space="0"/>
            </w:tcBorders>
            <w:hideMark/>
          </w:tcPr>
          <w:p w:rsidRPr="00026B2B" w:rsidR="00C35F44" w:rsidRDefault="00C35F44" w14:paraId="4E0EE91A" w14:textId="77777777">
            <w:pPr>
              <w:spacing w:before="80" w:after="40"/>
              <w:ind w:left="80" w:right="80"/>
            </w:pPr>
            <w:r>
              <w:t xml:space="preserve">EESRK </w:t>
            </w:r>
            <w:r>
              <w:rPr>
                <w:b/>
                <w:i/>
              </w:rPr>
              <w:t>palankiai vertina</w:t>
            </w:r>
            <w:r>
              <w:t xml:space="preserve"> naujausią Europos Tarybos Europos socialinių teisių komiteto ataskaitą dėl pragyvenimo išlaidų krizės poveikio socialinėms teisėms ir </w:t>
            </w:r>
            <w:r>
              <w:rPr>
                <w:b/>
                <w:i/>
              </w:rPr>
              <w:t>ragina</w:t>
            </w:r>
            <w:r>
              <w:t xml:space="preserve"> </w:t>
            </w:r>
            <w:r>
              <w:rPr>
                <w:b/>
                <w:i/>
              </w:rPr>
              <w:t>valstybes</w:t>
            </w:r>
            <w:r>
              <w:t xml:space="preserve"> </w:t>
            </w:r>
            <w:r>
              <w:rPr>
                <w:b/>
                <w:i/>
              </w:rPr>
              <w:t>nares laikytis rekomendacijų</w:t>
            </w:r>
            <w:r>
              <w:t>[1].</w:t>
            </w:r>
          </w:p>
          <w:p w:rsidRPr="00026B2B" w:rsidR="00C35F44" w:rsidRDefault="00C35F44" w14:paraId="2D115A3F" w14:textId="77777777">
            <w:pPr>
              <w:spacing w:before="40" w:after="80"/>
              <w:ind w:left="80" w:right="80"/>
            </w:pPr>
            <w:r>
              <w:t>[1] Pragyvenimo krizės išlaidos. Socialinės teisės ir ESTR.</w:t>
            </w:r>
          </w:p>
        </w:tc>
      </w:tr>
    </w:tbl>
    <w:p w:rsidR="00C35F44" w:rsidP="00C35F44" w:rsidRDefault="00C35F44" w14:paraId="759B6AB2" w14:textId="77777777">
      <w:pPr>
        <w:rPr>
          <w:lang w:val="en-GB"/>
        </w:rPr>
      </w:pPr>
    </w:p>
    <w:tbl>
      <w:tblPr>
        <w:tblStyle w:val="TableGrid"/>
        <w:tblW w:w="5000" w:type="pct"/>
        <w:tblLook w:val="01E0" w:firstRow="1" w:lastRow="1" w:firstColumn="1" w:lastColumn="1" w:noHBand="0" w:noVBand="0"/>
      </w:tblPr>
      <w:tblGrid>
        <w:gridCol w:w="9061"/>
      </w:tblGrid>
      <w:tr w:rsidRPr="005A3C9D" w:rsidR="00C35F44" w:rsidTr="00963130" w14:paraId="1797461F" w14:textId="77777777">
        <w:tc>
          <w:tcPr>
            <w:tcW w:w="5000" w:type="pct"/>
          </w:tcPr>
          <w:p w:rsidRPr="005A3C9D" w:rsidR="00C35F44" w:rsidP="00963130" w:rsidRDefault="00C35F44" w14:paraId="26AB603A" w14:textId="77777777">
            <w:pPr>
              <w:jc w:val="left"/>
            </w:pPr>
            <w:r>
              <w:rPr>
                <w:b/>
              </w:rPr>
              <w:t>Balsavimo rezultatai</w:t>
            </w:r>
          </w:p>
        </w:tc>
      </w:tr>
      <w:tr w:rsidRPr="005A3C9D" w:rsidR="00C35F44" w:rsidTr="00963130" w14:paraId="421943D2" w14:textId="77777777">
        <w:tc>
          <w:tcPr>
            <w:tcW w:w="5000" w:type="pct"/>
            <w:hideMark/>
          </w:tcPr>
          <w:p w:rsidRPr="005A3C9D" w:rsidR="00C35F44" w:rsidP="00963130" w:rsidRDefault="00C35F44" w14:paraId="2169DDD1" w14:textId="250C3079">
            <w:pPr>
              <w:tabs>
                <w:tab w:val="right" w:pos="1701"/>
              </w:tabs>
            </w:pPr>
            <w:r>
              <w:t>Už:</w:t>
            </w:r>
            <w:r>
              <w:tab/>
              <w:t>140</w:t>
            </w:r>
          </w:p>
          <w:p w:rsidRPr="005A3C9D" w:rsidR="00C35F44" w:rsidP="00963130" w:rsidRDefault="00C35F44" w14:paraId="756F6A7F" w14:textId="697354AB">
            <w:pPr>
              <w:tabs>
                <w:tab w:val="right" w:pos="1701"/>
              </w:tabs>
            </w:pPr>
            <w:r>
              <w:t>Prieš:</w:t>
            </w:r>
            <w:r>
              <w:tab/>
              <w:t>76</w:t>
            </w:r>
          </w:p>
          <w:p w:rsidRPr="005A3C9D" w:rsidR="00C35F44" w:rsidP="00963130" w:rsidRDefault="00C35F44" w14:paraId="4E558698" w14:textId="140FFE9B">
            <w:r>
              <w:t>Susilaikė:</w:t>
            </w:r>
            <w:r>
              <w:tab/>
              <w:t>15</w:t>
            </w:r>
          </w:p>
        </w:tc>
      </w:tr>
    </w:tbl>
    <w:p w:rsidR="00C35F44" w:rsidP="00C35F44" w:rsidRDefault="00C35F44" w14:paraId="411D26B6" w14:textId="77777777"/>
    <w:p w:rsidRPr="00F7617E" w:rsidR="00F53370" w:rsidP="00D86124" w:rsidRDefault="0056181D" w14:paraId="6BABC1C7" w14:textId="46315B55">
      <w:pPr>
        <w:jc w:val="center"/>
      </w:pPr>
      <w:r>
        <w:t>___________</w:t>
      </w:r>
    </w:p>
    <w:sectPr w:rsidRPr="00F7617E" w:rsidR="00F53370" w:rsidSect="001E74A1">
      <w:headerReference w:type="even" r:id="rId22"/>
      <w:headerReference w:type="default" r:id="rId23"/>
      <w:footerReference w:type="default" r:id="rId24"/>
      <w:headerReference w:type="first" r:id="rId25"/>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7D7A0" w14:textId="77777777" w:rsidR="008945DA" w:rsidRDefault="008945DA" w:rsidP="00F53370">
      <w:pPr>
        <w:spacing w:line="240" w:lineRule="auto"/>
      </w:pPr>
      <w:r>
        <w:separator/>
      </w:r>
    </w:p>
  </w:endnote>
  <w:endnote w:type="continuationSeparator" w:id="0">
    <w:p w14:paraId="56127A04" w14:textId="77777777" w:rsidR="008945DA" w:rsidRDefault="008945DA"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80BA4" w14:textId="77777777" w:rsidR="007A7A9C" w:rsidRDefault="007A7A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825E" w14:textId="77777777" w:rsidR="007A7A9C" w:rsidRDefault="007A7A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99110" w14:textId="77777777" w:rsidR="007A7A9C" w:rsidRDefault="007A7A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DB86C" w14:textId="697EFFA0" w:rsidR="00DD62DE" w:rsidRDefault="004F60A3" w:rsidP="004F60A3">
    <w:pPr>
      <w:jc w:val="left"/>
    </w:pPr>
    <w:r>
      <w:t xml:space="preserve">SOC/823 – EESC-2025-00015-00-03-AC-TRA (EN) </w:t>
    </w:r>
    <w:r>
      <w:fldChar w:fldCharType="begin"/>
    </w:r>
    <w:r>
      <w:instrText xml:space="preserve"> PAGE  \* Arabic  \* MERGEFORMAT </w:instrText>
    </w:r>
    <w:r>
      <w:fldChar w:fldCharType="separate"/>
    </w:r>
    <w:r>
      <w:t>21</w:t>
    </w:r>
    <w:r>
      <w:fldChar w:fldCharType="end"/>
    </w:r>
    <w:r>
      <w:t>/</w:t>
    </w:r>
    <w:r>
      <w:fldChar w:fldCharType="begin"/>
    </w:r>
    <w:r>
      <w:instrText xml:space="preserve"> = </w:instrText>
    </w:r>
    <w:fldSimple w:instr=" NUMPAGES ">
      <w:r w:rsidR="00B337D8">
        <w:rPr>
          <w:noProof/>
        </w:rPr>
        <w:instrText>23</w:instrText>
      </w:r>
    </w:fldSimple>
    <w:r>
      <w:instrText xml:space="preserve"> - 2 </w:instrText>
    </w:r>
    <w:r>
      <w:fldChar w:fldCharType="separate"/>
    </w:r>
    <w:r w:rsidR="00B337D8">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BA9C9" w14:textId="77777777" w:rsidR="008945DA" w:rsidRDefault="008945DA" w:rsidP="00F53370">
      <w:pPr>
        <w:spacing w:line="240" w:lineRule="auto"/>
      </w:pPr>
      <w:r>
        <w:separator/>
      </w:r>
    </w:p>
  </w:footnote>
  <w:footnote w:type="continuationSeparator" w:id="0">
    <w:p w14:paraId="3D8C8A26" w14:textId="77777777" w:rsidR="008945DA" w:rsidRDefault="008945DA" w:rsidP="00F53370">
      <w:pPr>
        <w:spacing w:line="240" w:lineRule="auto"/>
      </w:pPr>
      <w:r>
        <w:continuationSeparator/>
      </w:r>
    </w:p>
  </w:footnote>
  <w:footnote w:id="1">
    <w:p w14:paraId="7780066D" w14:textId="77777777" w:rsidR="0056181D" w:rsidRPr="00EF37C7" w:rsidRDefault="0056181D" w:rsidP="0056181D">
      <w:pPr>
        <w:pStyle w:val="FootnoteText"/>
        <w:keepLines w:val="0"/>
      </w:pPr>
      <w:r>
        <w:rPr>
          <w:rStyle w:val="FootnoteReference"/>
          <w:lang w:val="en-GB"/>
        </w:rPr>
        <w:footnoteRef/>
      </w:r>
      <w:r>
        <w:t xml:space="preserve"> </w:t>
      </w:r>
      <w:r>
        <w:tab/>
        <w:t xml:space="preserve">EESRK nuomonės </w:t>
      </w:r>
      <w:hyperlink r:id="rId1" w:history="1">
        <w:r>
          <w:rPr>
            <w:rStyle w:val="Hyperlink"/>
            <w:i/>
          </w:rPr>
          <w:t xml:space="preserve">Europos </w:t>
        </w:r>
        <w:proofErr w:type="spellStart"/>
        <w:r>
          <w:rPr>
            <w:rStyle w:val="Hyperlink"/>
            <w:i/>
          </w:rPr>
          <w:t>reindustrializacija</w:t>
        </w:r>
        <w:proofErr w:type="spellEnd"/>
        <w:r>
          <w:rPr>
            <w:rStyle w:val="Hyperlink"/>
            <w:i/>
          </w:rPr>
          <w:t> – galimybė įmonėms, darbuotojams ir piliečiams pragyvenimo išlaidų krizės sąlygomis</w:t>
        </w:r>
      </w:hyperlink>
      <w:r>
        <w:t xml:space="preserve">, </w:t>
      </w:r>
      <w:hyperlink r:id="rId2" w:history="1">
        <w:r>
          <w:rPr>
            <w:rStyle w:val="Hyperlink"/>
            <w:i/>
          </w:rPr>
          <w:t xml:space="preserve">Krizių įveikimas. Ekonomikos priemonės atspariai, darniai ir </w:t>
        </w:r>
        <w:proofErr w:type="spellStart"/>
        <w:r>
          <w:rPr>
            <w:rStyle w:val="Hyperlink"/>
            <w:i/>
          </w:rPr>
          <w:t>įtraukiai</w:t>
        </w:r>
        <w:proofErr w:type="spellEnd"/>
        <w:r>
          <w:rPr>
            <w:rStyle w:val="Hyperlink"/>
            <w:i/>
          </w:rPr>
          <w:t xml:space="preserve"> Europai kurti</w:t>
        </w:r>
      </w:hyperlink>
      <w:r>
        <w:rPr>
          <w:i/>
        </w:rPr>
        <w:t xml:space="preserve">, </w:t>
      </w:r>
      <w:hyperlink r:id="rId3" w:history="1">
        <w:r>
          <w:rPr>
            <w:rStyle w:val="Hyperlink"/>
            <w:i/>
          </w:rPr>
          <w:t>Kaip bendrosios rinkos sutrikimai prisideda prie didėjančių pragyvenimo išlaidų</w:t>
        </w:r>
      </w:hyperlink>
      <w:r>
        <w:rPr>
          <w:i/>
        </w:rPr>
        <w:t xml:space="preserve">, </w:t>
      </w:r>
      <w:hyperlink r:id="rId4" w:history="1">
        <w:r>
          <w:rPr>
            <w:rStyle w:val="Hyperlink"/>
            <w:i/>
          </w:rPr>
          <w:t>Laipsniškas subsidijų iškastiniam kurui panaikinimas, kartu užtikrinant Europos konkurencingumą, mažinant pragyvenimo išlaidų krizės poveikį ir skatinant teisingą pertvarką</w:t>
        </w:r>
      </w:hyperlink>
      <w:r>
        <w:rPr>
          <w:i/>
        </w:rPr>
        <w:t xml:space="preserve">, </w:t>
      </w:r>
      <w:hyperlink r:id="rId5" w:history="1">
        <w:r>
          <w:rPr>
            <w:rStyle w:val="Hyperlink"/>
            <w:i/>
          </w:rPr>
          <w:t xml:space="preserve"> Tiekimo grandinių susiskaidymas ir poveikis pragyvenimo išlaidoms</w:t>
        </w:r>
      </w:hyperlink>
      <w:r>
        <w:t xml:space="preserve">, </w:t>
      </w:r>
      <w:hyperlink r:id="rId6" w:history="1">
        <w:r>
          <w:rPr>
            <w:rStyle w:val="Hyperlink"/>
            <w:i/>
          </w:rPr>
          <w:t xml:space="preserve">Kaip spręsti perkamosios galios praradimo ir didėjančios nelygybės, atskirties ir </w:t>
        </w:r>
        <w:proofErr w:type="spellStart"/>
        <w:r>
          <w:rPr>
            <w:rStyle w:val="Hyperlink"/>
            <w:i/>
          </w:rPr>
          <w:t>marginalizacijos</w:t>
        </w:r>
        <w:proofErr w:type="spellEnd"/>
        <w:r>
          <w:rPr>
            <w:rStyle w:val="Hyperlink"/>
            <w:i/>
          </w:rPr>
          <w:t xml:space="preserve"> rizikos problemas</w:t>
        </w:r>
      </w:hyperlink>
      <w:r>
        <w:t xml:space="preserve">, </w:t>
      </w:r>
      <w:hyperlink r:id="rId7" w:history="1">
        <w:r>
          <w:rPr>
            <w:rStyle w:val="Hyperlink"/>
            <w:i/>
          </w:rPr>
          <w:t>Kylančios transporto, energijos ir būsto kainos: kokybiškų viešųjų paslaugų vaidmuo mažinant išaugusias pragyvenimo išlaidas</w:t>
        </w:r>
      </w:hyperlink>
      <w:r>
        <w:t>(dar nepaskelbta Oficialiajame leidinyje).</w:t>
      </w:r>
    </w:p>
  </w:footnote>
  <w:footnote w:id="2">
    <w:p w14:paraId="05837711" w14:textId="77777777" w:rsidR="0056181D" w:rsidRPr="00EF37C7" w:rsidRDefault="0056181D" w:rsidP="0056181D">
      <w:pPr>
        <w:pStyle w:val="FootnoteText"/>
        <w:keepLines w:val="0"/>
      </w:pPr>
      <w:r>
        <w:rPr>
          <w:rStyle w:val="FootnoteReference"/>
          <w:lang w:val="en-GB"/>
        </w:rPr>
        <w:footnoteRef/>
      </w:r>
      <w:r>
        <w:tab/>
        <w:t xml:space="preserve">ECO/660 – </w:t>
      </w:r>
      <w:hyperlink r:id="rId8" w:history="1">
        <w:r>
          <w:rPr>
            <w:rStyle w:val="Hyperlink"/>
            <w:i/>
          </w:rPr>
          <w:t>Organizuotos pilietinės visuomenės rekomendacijos, kaip šalinti pragyvenimo išlaidų krizę</w:t>
        </w:r>
      </w:hyperlink>
      <w:r>
        <w:t xml:space="preserve"> (rengiama).</w:t>
      </w:r>
    </w:p>
  </w:footnote>
  <w:footnote w:id="3">
    <w:p w14:paraId="1F7B7735" w14:textId="77777777" w:rsidR="0056181D" w:rsidRPr="008C6A00" w:rsidRDefault="0056181D" w:rsidP="0056181D">
      <w:pPr>
        <w:pStyle w:val="FootnoteText"/>
        <w:keepLines w:val="0"/>
      </w:pPr>
      <w:r>
        <w:rPr>
          <w:rStyle w:val="FootnoteReference"/>
          <w:lang w:val="en-GB"/>
        </w:rPr>
        <w:footnoteRef/>
      </w:r>
      <w:r>
        <w:tab/>
        <w:t xml:space="preserve">OL C, C/2025/760, 2025 2 11, ELI: </w:t>
      </w:r>
      <w:hyperlink r:id="rId9" w:history="1">
        <w:r>
          <w:rPr>
            <w:rStyle w:val="Hyperlink"/>
          </w:rPr>
          <w:t>http://data.europa.eu/eli/C/2025/760/oj</w:t>
        </w:r>
      </w:hyperlink>
      <w:r>
        <w:t xml:space="preserve"> 8.11 </w:t>
      </w:r>
      <w:proofErr w:type="spellStart"/>
      <w:r>
        <w:t>pt</w:t>
      </w:r>
      <w:proofErr w:type="spellEnd"/>
      <w:r>
        <w:t>.</w:t>
      </w:r>
    </w:p>
  </w:footnote>
  <w:footnote w:id="4">
    <w:p w14:paraId="5E98F04A" w14:textId="77777777" w:rsidR="0056181D" w:rsidRPr="00EF37C7" w:rsidRDefault="0056181D" w:rsidP="0056181D">
      <w:pPr>
        <w:pStyle w:val="FootnoteText"/>
        <w:keepLines w:val="0"/>
      </w:pPr>
      <w:r>
        <w:rPr>
          <w:rStyle w:val="FootnoteReference"/>
          <w:lang w:val="en-GB"/>
        </w:rPr>
        <w:footnoteRef/>
      </w:r>
      <w:r>
        <w:tab/>
      </w:r>
      <w:hyperlink r:id="rId10" w:history="1">
        <w:proofErr w:type="spellStart"/>
        <w:r>
          <w:rPr>
            <w:rStyle w:val="Hyperlink"/>
          </w:rPr>
          <w:t>Protecting</w:t>
        </w:r>
        <w:proofErr w:type="spellEnd"/>
        <w:r>
          <w:rPr>
            <w:rStyle w:val="Hyperlink"/>
          </w:rPr>
          <w:t xml:space="preserve"> </w:t>
        </w:r>
        <w:proofErr w:type="spellStart"/>
        <w:r>
          <w:rPr>
            <w:rStyle w:val="Hyperlink"/>
          </w:rPr>
          <w:t>Health</w:t>
        </w:r>
        <w:proofErr w:type="spellEnd"/>
        <w:r>
          <w:rPr>
            <w:rStyle w:val="Hyperlink"/>
          </w:rPr>
          <w:t xml:space="preserve"> </w:t>
        </w:r>
        <w:proofErr w:type="spellStart"/>
        <w:r>
          <w:rPr>
            <w:rStyle w:val="Hyperlink"/>
          </w:rPr>
          <w:t>Rising</w:t>
        </w:r>
        <w:proofErr w:type="spellEnd"/>
        <w:r>
          <w:rPr>
            <w:rStyle w:val="Hyperlink"/>
          </w:rPr>
          <w:t xml:space="preserve"> </w:t>
        </w:r>
        <w:proofErr w:type="spellStart"/>
        <w:r>
          <w:rPr>
            <w:rStyle w:val="Hyperlink"/>
          </w:rPr>
          <w:t>cost-of-living</w:t>
        </w:r>
        <w:proofErr w:type="spellEnd"/>
        <w:r>
          <w:rPr>
            <w:rStyle w:val="Hyperlink"/>
          </w:rPr>
          <w:t xml:space="preserve"> </w:t>
        </w:r>
        <w:proofErr w:type="spellStart"/>
        <w:r>
          <w:rPr>
            <w:rStyle w:val="Hyperlink"/>
          </w:rPr>
          <w:t>crisis</w:t>
        </w:r>
        <w:proofErr w:type="spellEnd"/>
        <w:r>
          <w:rPr>
            <w:rStyle w:val="Hyperlink"/>
          </w:rPr>
          <w:t xml:space="preserve"> | </w:t>
        </w:r>
        <w:proofErr w:type="spellStart"/>
        <w:r>
          <w:rPr>
            <w:rStyle w:val="Hyperlink"/>
          </w:rPr>
          <w:t>EuroHealthNet</w:t>
        </w:r>
        <w:proofErr w:type="spellEnd"/>
      </w:hyperlink>
      <w:r>
        <w:t>.</w:t>
      </w:r>
    </w:p>
  </w:footnote>
  <w:footnote w:id="5">
    <w:p w14:paraId="2C471E07" w14:textId="77777777" w:rsidR="0056181D" w:rsidRPr="00EF37C7" w:rsidRDefault="0056181D" w:rsidP="0056181D">
      <w:pPr>
        <w:pStyle w:val="FootnoteText"/>
        <w:keepLines w:val="0"/>
      </w:pPr>
      <w:r>
        <w:rPr>
          <w:rStyle w:val="FootnoteReference"/>
          <w:lang w:val="en-GB"/>
        </w:rPr>
        <w:footnoteRef/>
      </w:r>
      <w:r>
        <w:tab/>
      </w:r>
      <w:hyperlink r:id="rId11" w:history="1">
        <w:proofErr w:type="spellStart"/>
        <w:r>
          <w:rPr>
            <w:rStyle w:val="Hyperlink"/>
          </w:rPr>
          <w:t>Cost</w:t>
        </w:r>
        <w:proofErr w:type="spellEnd"/>
        <w:r>
          <w:rPr>
            <w:rStyle w:val="Hyperlink"/>
          </w:rPr>
          <w:t xml:space="preserve"> </w:t>
        </w:r>
        <w:proofErr w:type="spellStart"/>
        <w:r>
          <w:rPr>
            <w:rStyle w:val="Hyperlink"/>
          </w:rPr>
          <w:t>of</w:t>
        </w:r>
        <w:proofErr w:type="spellEnd"/>
        <w:r>
          <w:rPr>
            <w:rStyle w:val="Hyperlink"/>
          </w:rPr>
          <w:t xml:space="preserve"> </w:t>
        </w:r>
        <w:proofErr w:type="spellStart"/>
        <w:r>
          <w:rPr>
            <w:rStyle w:val="Hyperlink"/>
          </w:rPr>
          <w:t>Living</w:t>
        </w:r>
        <w:proofErr w:type="spellEnd"/>
        <w:r>
          <w:rPr>
            <w:rStyle w:val="Hyperlink"/>
          </w:rPr>
          <w:t xml:space="preserve"> </w:t>
        </w:r>
        <w:proofErr w:type="spellStart"/>
        <w:r>
          <w:rPr>
            <w:rStyle w:val="Hyperlink"/>
          </w:rPr>
          <w:t>Crisis</w:t>
        </w:r>
        <w:proofErr w:type="spellEnd"/>
        <w:r>
          <w:rPr>
            <w:rStyle w:val="Hyperlink"/>
          </w:rPr>
          <w:t xml:space="preserve"> - </w:t>
        </w:r>
        <w:proofErr w:type="spellStart"/>
        <w:r>
          <w:rPr>
            <w:rStyle w:val="Hyperlink"/>
          </w:rPr>
          <w:t>Social</w:t>
        </w:r>
        <w:proofErr w:type="spellEnd"/>
        <w:r>
          <w:rPr>
            <w:rStyle w:val="Hyperlink"/>
          </w:rPr>
          <w:t xml:space="preserve"> </w:t>
        </w:r>
        <w:proofErr w:type="spellStart"/>
        <w:r>
          <w:rPr>
            <w:rStyle w:val="Hyperlink"/>
          </w:rPr>
          <w:t>Rights</w:t>
        </w:r>
        <w:proofErr w:type="spellEnd"/>
        <w:r>
          <w:rPr>
            <w:rStyle w:val="Hyperlink"/>
          </w:rPr>
          <w:t>-ECSR</w:t>
        </w:r>
      </w:hyperlink>
      <w:r>
        <w:t>.</w:t>
      </w:r>
    </w:p>
  </w:footnote>
  <w:footnote w:id="6">
    <w:p w14:paraId="3F57AF89" w14:textId="77777777" w:rsidR="0056181D" w:rsidRPr="005A1574" w:rsidRDefault="0056181D" w:rsidP="0056181D">
      <w:pPr>
        <w:pStyle w:val="FootnoteText"/>
        <w:keepLines w:val="0"/>
      </w:pPr>
      <w:r>
        <w:rPr>
          <w:rStyle w:val="FootnoteReference"/>
          <w:lang w:val="en-GB"/>
        </w:rPr>
        <w:footnoteRef/>
      </w:r>
      <w:r>
        <w:tab/>
      </w:r>
      <w:hyperlink r:id="rId12" w:history="1">
        <w:proofErr w:type="spellStart"/>
        <w:r>
          <w:rPr>
            <w:rStyle w:val="Hyperlink"/>
          </w:rPr>
          <w:t>Agricultural</w:t>
        </w:r>
        <w:proofErr w:type="spellEnd"/>
        <w:r>
          <w:rPr>
            <w:rStyle w:val="Hyperlink"/>
          </w:rPr>
          <w:t xml:space="preserve"> </w:t>
        </w:r>
        <w:proofErr w:type="spellStart"/>
        <w:r>
          <w:rPr>
            <w:rStyle w:val="Hyperlink"/>
          </w:rPr>
          <w:t>prices</w:t>
        </w:r>
        <w:proofErr w:type="spellEnd"/>
        <w:r>
          <w:rPr>
            <w:rStyle w:val="Hyperlink"/>
          </w:rPr>
          <w:t xml:space="preserve"> 2023 -EUROSTAT</w:t>
        </w:r>
      </w:hyperlink>
      <w:r>
        <w:t>.</w:t>
      </w:r>
    </w:p>
  </w:footnote>
  <w:footnote w:id="7">
    <w:p w14:paraId="21F5EF11" w14:textId="77777777" w:rsidR="0056181D" w:rsidRPr="008C6A00" w:rsidRDefault="0056181D" w:rsidP="0056181D">
      <w:pPr>
        <w:pStyle w:val="FootnoteText"/>
        <w:keepLines w:val="0"/>
        <w:rPr>
          <w:sz w:val="20"/>
        </w:rPr>
      </w:pPr>
      <w:r>
        <w:rPr>
          <w:rStyle w:val="FootnoteReference"/>
          <w:szCs w:val="24"/>
          <w:lang w:val="en-GB"/>
        </w:rPr>
        <w:footnoteRef/>
      </w:r>
      <w:r>
        <w:tab/>
      </w:r>
      <w:hyperlink r:id="rId13" w:history="1">
        <w:proofErr w:type="spellStart"/>
        <w:r>
          <w:rPr>
            <w:rStyle w:val="Hyperlink"/>
          </w:rPr>
          <w:t>Poverty</w:t>
        </w:r>
        <w:proofErr w:type="spellEnd"/>
        <w:r>
          <w:rPr>
            <w:rStyle w:val="Hyperlink"/>
          </w:rPr>
          <w:t xml:space="preserve"> &amp; </w:t>
        </w:r>
        <w:proofErr w:type="spellStart"/>
        <w:r>
          <w:rPr>
            <w:rStyle w:val="Hyperlink"/>
          </w:rPr>
          <w:t>Social</w:t>
        </w:r>
        <w:proofErr w:type="spellEnd"/>
        <w:r>
          <w:rPr>
            <w:rStyle w:val="Hyperlink"/>
          </w:rPr>
          <w:t xml:space="preserve"> </w:t>
        </w:r>
        <w:proofErr w:type="spellStart"/>
        <w:r>
          <w:rPr>
            <w:rStyle w:val="Hyperlink"/>
          </w:rPr>
          <w:t>Exclusion</w:t>
        </w:r>
        <w:proofErr w:type="spellEnd"/>
        <w:r>
          <w:rPr>
            <w:rStyle w:val="Hyperlink"/>
          </w:rPr>
          <w:t xml:space="preserve"> 2023 - EUROSTAT</w:t>
        </w:r>
      </w:hyperlink>
      <w:r>
        <w:t>.</w:t>
      </w:r>
    </w:p>
  </w:footnote>
  <w:footnote w:id="8">
    <w:p w14:paraId="72E11FE9" w14:textId="77777777" w:rsidR="0056181D" w:rsidRPr="00EF37C7" w:rsidRDefault="0056181D" w:rsidP="0056181D">
      <w:pPr>
        <w:pStyle w:val="FootnoteText"/>
        <w:keepLines w:val="0"/>
        <w:rPr>
          <w:sz w:val="20"/>
        </w:rPr>
      </w:pPr>
      <w:r>
        <w:rPr>
          <w:rStyle w:val="FootnoteReference"/>
          <w:szCs w:val="24"/>
          <w:lang w:val="en-GB"/>
        </w:rPr>
        <w:footnoteRef/>
      </w:r>
      <w:r>
        <w:tab/>
      </w:r>
      <w:hyperlink r:id="rId14" w:history="1">
        <w:proofErr w:type="spellStart"/>
        <w:r>
          <w:rPr>
            <w:rStyle w:val="Hyperlink"/>
          </w:rPr>
          <w:t>Housing</w:t>
        </w:r>
        <w:proofErr w:type="spellEnd"/>
        <w:r>
          <w:rPr>
            <w:rStyle w:val="Hyperlink"/>
          </w:rPr>
          <w:t xml:space="preserve"> </w:t>
        </w:r>
        <w:proofErr w:type="spellStart"/>
        <w:r>
          <w:rPr>
            <w:rStyle w:val="Hyperlink"/>
          </w:rPr>
          <w:t>in</w:t>
        </w:r>
        <w:proofErr w:type="spellEnd"/>
        <w:r>
          <w:rPr>
            <w:rStyle w:val="Hyperlink"/>
          </w:rPr>
          <w:t xml:space="preserve"> </w:t>
        </w:r>
        <w:proofErr w:type="spellStart"/>
        <w:r>
          <w:rPr>
            <w:rStyle w:val="Hyperlink"/>
          </w:rPr>
          <w:t>Europe</w:t>
        </w:r>
        <w:proofErr w:type="spellEnd"/>
        <w:r>
          <w:rPr>
            <w:rStyle w:val="Hyperlink"/>
          </w:rPr>
          <w:t xml:space="preserve"> – 2023 EUROSTAT</w:t>
        </w:r>
      </w:hyperlink>
      <w:r>
        <w:t>.</w:t>
      </w:r>
    </w:p>
  </w:footnote>
  <w:footnote w:id="9">
    <w:p w14:paraId="41922B73" w14:textId="77777777" w:rsidR="0056181D" w:rsidRPr="00EF37C7" w:rsidRDefault="0056181D" w:rsidP="0056181D">
      <w:pPr>
        <w:pStyle w:val="FootnoteText"/>
        <w:keepLines w:val="0"/>
      </w:pPr>
      <w:r>
        <w:rPr>
          <w:rStyle w:val="FootnoteReference"/>
          <w:lang w:val="en-GB"/>
        </w:rPr>
        <w:footnoteRef/>
      </w:r>
      <w:r>
        <w:tab/>
      </w:r>
      <w:hyperlink r:id="rId15" w:history="1">
        <w:r>
          <w:rPr>
            <w:rStyle w:val="Hyperlink"/>
          </w:rPr>
          <w:t xml:space="preserve">EU </w:t>
        </w:r>
        <w:proofErr w:type="spellStart"/>
        <w:r>
          <w:rPr>
            <w:rStyle w:val="Hyperlink"/>
          </w:rPr>
          <w:t>Post-electoral</w:t>
        </w:r>
        <w:proofErr w:type="spellEnd"/>
        <w:r>
          <w:rPr>
            <w:rStyle w:val="Hyperlink"/>
          </w:rPr>
          <w:t xml:space="preserve"> </w:t>
        </w:r>
        <w:proofErr w:type="spellStart"/>
        <w:r>
          <w:rPr>
            <w:rStyle w:val="Hyperlink"/>
          </w:rPr>
          <w:t>survey</w:t>
        </w:r>
        <w:proofErr w:type="spellEnd"/>
        <w:r>
          <w:rPr>
            <w:rStyle w:val="Hyperlink"/>
          </w:rPr>
          <w:t xml:space="preserve"> 2024</w:t>
        </w:r>
      </w:hyperlink>
      <w:r>
        <w:t>.</w:t>
      </w:r>
    </w:p>
  </w:footnote>
  <w:footnote w:id="10">
    <w:p w14:paraId="1F99B3B8" w14:textId="77777777" w:rsidR="0056181D" w:rsidRPr="00EF37C7" w:rsidRDefault="0056181D" w:rsidP="0056181D">
      <w:pPr>
        <w:pStyle w:val="FootnoteText"/>
        <w:keepLines w:val="0"/>
        <w:spacing w:after="0"/>
      </w:pPr>
      <w:r>
        <w:rPr>
          <w:rStyle w:val="FootnoteReference"/>
          <w:lang w:val="en-GB"/>
        </w:rPr>
        <w:footnoteRef/>
      </w:r>
      <w:r>
        <w:tab/>
      </w:r>
      <w:hyperlink r:id="rId16" w:history="1">
        <w:proofErr w:type="spellStart"/>
        <w:r>
          <w:rPr>
            <w:rStyle w:val="Hyperlink"/>
          </w:rPr>
          <w:t>Youth</w:t>
        </w:r>
        <w:proofErr w:type="spellEnd"/>
        <w:r>
          <w:rPr>
            <w:rStyle w:val="Hyperlink"/>
          </w:rPr>
          <w:t xml:space="preserve"> </w:t>
        </w:r>
        <w:proofErr w:type="spellStart"/>
        <w:r>
          <w:rPr>
            <w:rStyle w:val="Hyperlink"/>
          </w:rPr>
          <w:t>survey</w:t>
        </w:r>
        <w:proofErr w:type="spellEnd"/>
        <w:r>
          <w:rPr>
            <w:rStyle w:val="Hyperlink"/>
          </w:rPr>
          <w:t xml:space="preserve"> 2024</w:t>
        </w:r>
      </w:hyperlink>
      <w:r>
        <w:t>.</w:t>
      </w:r>
    </w:p>
  </w:footnote>
  <w:footnote w:id="11">
    <w:p w14:paraId="6690649F" w14:textId="77777777" w:rsidR="0056181D" w:rsidRPr="00EF37C7" w:rsidRDefault="0056181D" w:rsidP="0056181D">
      <w:pPr>
        <w:pStyle w:val="FootnoteText"/>
        <w:keepLines w:val="0"/>
      </w:pPr>
      <w:r>
        <w:rPr>
          <w:rStyle w:val="FootnoteReference"/>
          <w:lang w:val="en-GB"/>
        </w:rPr>
        <w:footnoteRef/>
      </w:r>
      <w:r>
        <w:tab/>
      </w:r>
      <w:hyperlink r:id="rId17" w:history="1">
        <w:proofErr w:type="spellStart"/>
        <w:r>
          <w:rPr>
            <w:rStyle w:val="Hyperlink"/>
          </w:rPr>
          <w:t>Labour</w:t>
        </w:r>
        <w:proofErr w:type="spellEnd"/>
        <w:r>
          <w:rPr>
            <w:rStyle w:val="Hyperlink"/>
          </w:rPr>
          <w:t xml:space="preserve"> </w:t>
        </w:r>
        <w:proofErr w:type="spellStart"/>
        <w:r>
          <w:rPr>
            <w:rStyle w:val="Hyperlink"/>
          </w:rPr>
          <w:t>market</w:t>
        </w:r>
        <w:proofErr w:type="spellEnd"/>
        <w:r>
          <w:rPr>
            <w:rStyle w:val="Hyperlink"/>
          </w:rPr>
          <w:t xml:space="preserve"> </w:t>
        </w:r>
        <w:proofErr w:type="spellStart"/>
        <w:r>
          <w:rPr>
            <w:rStyle w:val="Hyperlink"/>
          </w:rPr>
          <w:t>and</w:t>
        </w:r>
        <w:proofErr w:type="spellEnd"/>
        <w:r>
          <w:rPr>
            <w:rStyle w:val="Hyperlink"/>
          </w:rPr>
          <w:t xml:space="preserve"> </w:t>
        </w:r>
        <w:proofErr w:type="spellStart"/>
        <w:r>
          <w:rPr>
            <w:rStyle w:val="Hyperlink"/>
          </w:rPr>
          <w:t>wage</w:t>
        </w:r>
        <w:proofErr w:type="spellEnd"/>
        <w:r>
          <w:rPr>
            <w:rStyle w:val="Hyperlink"/>
          </w:rPr>
          <w:t xml:space="preserve"> </w:t>
        </w:r>
        <w:proofErr w:type="spellStart"/>
        <w:r>
          <w:rPr>
            <w:rStyle w:val="Hyperlink"/>
          </w:rPr>
          <w:t>in</w:t>
        </w:r>
        <w:proofErr w:type="spellEnd"/>
        <w:r>
          <w:rPr>
            <w:rStyle w:val="Hyperlink"/>
          </w:rPr>
          <w:t xml:space="preserve"> EU- EC</w:t>
        </w:r>
      </w:hyperlink>
      <w:r>
        <w:t>.</w:t>
      </w:r>
    </w:p>
  </w:footnote>
  <w:footnote w:id="12">
    <w:p w14:paraId="4C710C3D" w14:textId="77777777" w:rsidR="0056181D" w:rsidRPr="00EF37C7" w:rsidRDefault="0056181D" w:rsidP="0056181D">
      <w:pPr>
        <w:pStyle w:val="FootnoteText"/>
        <w:keepLines w:val="0"/>
      </w:pPr>
      <w:r>
        <w:rPr>
          <w:rStyle w:val="FootnoteReference"/>
          <w:lang w:val="en-GB"/>
        </w:rPr>
        <w:footnoteRef/>
      </w:r>
      <w:r>
        <w:tab/>
      </w:r>
      <w:hyperlink r:id="rId18" w:history="1">
        <w:proofErr w:type="spellStart"/>
        <w:r>
          <w:rPr>
            <w:rStyle w:val="Hyperlink"/>
          </w:rPr>
          <w:t>Realities</w:t>
        </w:r>
        <w:proofErr w:type="spellEnd"/>
        <w:r>
          <w:rPr>
            <w:rStyle w:val="Hyperlink"/>
          </w:rPr>
          <w:t xml:space="preserve"> </w:t>
        </w:r>
        <w:proofErr w:type="spellStart"/>
        <w:r>
          <w:rPr>
            <w:rStyle w:val="Hyperlink"/>
          </w:rPr>
          <w:t>in</w:t>
        </w:r>
        <w:proofErr w:type="spellEnd"/>
        <w:r>
          <w:rPr>
            <w:rStyle w:val="Hyperlink"/>
          </w:rPr>
          <w:t xml:space="preserve"> EU </w:t>
        </w:r>
        <w:proofErr w:type="spellStart"/>
        <w:r>
          <w:rPr>
            <w:rStyle w:val="Hyperlink"/>
          </w:rPr>
          <w:t>progress</w:t>
        </w:r>
        <w:proofErr w:type="spellEnd"/>
        <w:r>
          <w:rPr>
            <w:rStyle w:val="Hyperlink"/>
          </w:rPr>
          <w:t xml:space="preserve"> </w:t>
        </w:r>
        <w:proofErr w:type="spellStart"/>
        <w:r>
          <w:rPr>
            <w:rStyle w:val="Hyperlink"/>
          </w:rPr>
          <w:t>gaps</w:t>
        </w:r>
        <w:proofErr w:type="spellEnd"/>
        <w:r>
          <w:rPr>
            <w:rStyle w:val="Hyperlink"/>
          </w:rPr>
          <w:t xml:space="preserve"> EUROCHILD</w:t>
        </w:r>
      </w:hyperlink>
      <w:r>
        <w:t>.</w:t>
      </w:r>
    </w:p>
  </w:footnote>
  <w:footnote w:id="13">
    <w:p w14:paraId="27EF7041" w14:textId="77777777" w:rsidR="0056181D" w:rsidRPr="00EF37C7" w:rsidRDefault="0056181D" w:rsidP="0056181D">
      <w:pPr>
        <w:pStyle w:val="FootnoteText"/>
        <w:keepLines w:val="0"/>
      </w:pPr>
      <w:r>
        <w:rPr>
          <w:rStyle w:val="FootnoteReference"/>
          <w:lang w:val="en-GB"/>
        </w:rPr>
        <w:footnoteRef/>
      </w:r>
      <w:r>
        <w:tab/>
      </w:r>
      <w:hyperlink r:id="rId19" w:history="1">
        <w:proofErr w:type="spellStart"/>
        <w:r>
          <w:rPr>
            <w:rStyle w:val="Hyperlink"/>
          </w:rPr>
          <w:t>Progressive</w:t>
        </w:r>
        <w:proofErr w:type="spellEnd"/>
        <w:r>
          <w:rPr>
            <w:rStyle w:val="Hyperlink"/>
          </w:rPr>
          <w:t xml:space="preserve"> </w:t>
        </w:r>
        <w:proofErr w:type="spellStart"/>
        <w:r>
          <w:rPr>
            <w:rStyle w:val="Hyperlink"/>
          </w:rPr>
          <w:t>Yearbook</w:t>
        </w:r>
        <w:proofErr w:type="spellEnd"/>
        <w:r>
          <w:rPr>
            <w:rStyle w:val="Hyperlink"/>
          </w:rPr>
          <w:t xml:space="preserve"> 2023 FEPS</w:t>
        </w:r>
      </w:hyperlink>
      <w:r>
        <w:t>, p. 101.</w:t>
      </w:r>
    </w:p>
  </w:footnote>
  <w:footnote w:id="14">
    <w:p w14:paraId="27B23D44" w14:textId="77777777" w:rsidR="0056181D" w:rsidRPr="00EF37C7" w:rsidRDefault="0056181D" w:rsidP="0056181D">
      <w:pPr>
        <w:spacing w:after="60"/>
        <w:ind w:left="567" w:hanging="567"/>
      </w:pPr>
      <w:r>
        <w:rPr>
          <w:rStyle w:val="FootnoteReference"/>
          <w:lang w:val="en-GB"/>
        </w:rPr>
        <w:footnoteRef/>
      </w:r>
      <w:r>
        <w:tab/>
      </w:r>
      <w:hyperlink r:id="rId20" w:history="1">
        <w:proofErr w:type="spellStart"/>
        <w:r>
          <w:rPr>
            <w:rStyle w:val="Hyperlink"/>
            <w:sz w:val="16"/>
          </w:rPr>
          <w:t>Employment</w:t>
        </w:r>
        <w:proofErr w:type="spellEnd"/>
        <w:r>
          <w:rPr>
            <w:rStyle w:val="Hyperlink"/>
            <w:sz w:val="16"/>
          </w:rPr>
          <w:t xml:space="preserve"> &amp; </w:t>
        </w:r>
        <w:proofErr w:type="spellStart"/>
        <w:r>
          <w:rPr>
            <w:rStyle w:val="Hyperlink"/>
            <w:sz w:val="16"/>
          </w:rPr>
          <w:t>Social</w:t>
        </w:r>
        <w:proofErr w:type="spellEnd"/>
        <w:r>
          <w:rPr>
            <w:rStyle w:val="Hyperlink"/>
            <w:sz w:val="16"/>
          </w:rPr>
          <w:t xml:space="preserve"> </w:t>
        </w:r>
        <w:proofErr w:type="spellStart"/>
        <w:r>
          <w:rPr>
            <w:rStyle w:val="Hyperlink"/>
            <w:sz w:val="16"/>
          </w:rPr>
          <w:t>Developments</w:t>
        </w:r>
        <w:proofErr w:type="spellEnd"/>
        <w:r>
          <w:rPr>
            <w:rStyle w:val="Hyperlink"/>
            <w:sz w:val="16"/>
          </w:rPr>
          <w:t xml:space="preserve"> EU 2024 - EC</w:t>
        </w:r>
      </w:hyperlink>
      <w:r>
        <w:rPr>
          <w:sz w:val="16"/>
        </w:rPr>
        <w:t>, p. 35.</w:t>
      </w:r>
    </w:p>
  </w:footnote>
  <w:footnote w:id="15">
    <w:p w14:paraId="7BE51066" w14:textId="77777777" w:rsidR="0056181D" w:rsidRPr="008C6A00" w:rsidRDefault="0056181D" w:rsidP="0056181D">
      <w:pPr>
        <w:pStyle w:val="FootnoteText"/>
        <w:keepLines w:val="0"/>
      </w:pPr>
      <w:r>
        <w:rPr>
          <w:rStyle w:val="FootnoteReference"/>
          <w:lang w:val="en-GB"/>
        </w:rPr>
        <w:footnoteRef/>
      </w:r>
      <w:r>
        <w:tab/>
      </w:r>
      <w:hyperlink r:id="rId21" w:history="1">
        <w:r>
          <w:rPr>
            <w:rStyle w:val="Hyperlink"/>
          </w:rPr>
          <w:t>https://www.oecd.org/en/publications/oecd-economic-outlook-interim-report-march-2025_89af4857-en.html</w:t>
        </w:r>
      </w:hyperlink>
      <w:r>
        <w:t>.</w:t>
      </w:r>
    </w:p>
  </w:footnote>
  <w:footnote w:id="16">
    <w:p w14:paraId="1DB309D3" w14:textId="77777777" w:rsidR="0056181D" w:rsidRPr="00EF37C7" w:rsidRDefault="0056181D" w:rsidP="0056181D">
      <w:pPr>
        <w:pStyle w:val="FootnoteText"/>
        <w:keepLines w:val="0"/>
      </w:pPr>
      <w:r>
        <w:rPr>
          <w:rStyle w:val="FootnoteReference"/>
          <w:lang w:val="en-GB"/>
        </w:rPr>
        <w:footnoteRef/>
      </w:r>
      <w:r>
        <w:tab/>
      </w:r>
      <w:hyperlink r:id="rId22" w:history="1">
        <w:proofErr w:type="spellStart"/>
        <w:r>
          <w:rPr>
            <w:rStyle w:val="Hyperlink"/>
          </w:rPr>
          <w:t>Employment</w:t>
        </w:r>
        <w:proofErr w:type="spellEnd"/>
        <w:r>
          <w:rPr>
            <w:rStyle w:val="Hyperlink"/>
          </w:rPr>
          <w:t xml:space="preserve"> Outlook 2024 | OECD</w:t>
        </w:r>
      </w:hyperlink>
      <w:r>
        <w:t>.</w:t>
      </w:r>
    </w:p>
  </w:footnote>
  <w:footnote w:id="17">
    <w:p w14:paraId="788CA55D" w14:textId="77777777" w:rsidR="0056181D" w:rsidRPr="00EF37C7" w:rsidRDefault="0056181D" w:rsidP="0056181D">
      <w:pPr>
        <w:pStyle w:val="FootnoteText"/>
        <w:keepLines w:val="0"/>
      </w:pPr>
      <w:r>
        <w:rPr>
          <w:rStyle w:val="FootnoteReference"/>
          <w:lang w:val="en-GB"/>
        </w:rPr>
        <w:footnoteRef/>
      </w:r>
      <w:r>
        <w:tab/>
      </w:r>
      <w:hyperlink r:id="rId23" w:history="1">
        <w:r>
          <w:rPr>
            <w:rStyle w:val="Hyperlink"/>
          </w:rPr>
          <w:t>https://www.imf.org/en/Blogs/Articles/2024/11/18/new-european-wealth-gauge-helps-policymakers-address-inequality</w:t>
        </w:r>
      </w:hyperlink>
      <w:r>
        <w:t>.</w:t>
      </w:r>
    </w:p>
  </w:footnote>
  <w:footnote w:id="18">
    <w:p w14:paraId="46B0C617" w14:textId="77777777" w:rsidR="0056181D" w:rsidRPr="00EF37C7" w:rsidRDefault="0056181D" w:rsidP="0056181D">
      <w:pPr>
        <w:pStyle w:val="Heading2"/>
        <w:numPr>
          <w:ilvl w:val="0"/>
          <w:numId w:val="0"/>
        </w:numPr>
        <w:spacing w:after="60" w:line="240" w:lineRule="auto"/>
        <w:ind w:left="567" w:hanging="567"/>
        <w:rPr>
          <w:sz w:val="20"/>
          <w:szCs w:val="20"/>
        </w:rPr>
      </w:pPr>
      <w:r>
        <w:rPr>
          <w:rStyle w:val="FootnoteReference"/>
          <w:szCs w:val="24"/>
          <w:lang w:val="en-GB"/>
        </w:rPr>
        <w:footnoteRef/>
      </w:r>
      <w:r>
        <w:rPr>
          <w:sz w:val="16"/>
        </w:rPr>
        <w:tab/>
      </w:r>
      <w:hyperlink r:id="rId24" w:history="1">
        <w:r>
          <w:rPr>
            <w:rStyle w:val="Hyperlink"/>
            <w:sz w:val="16"/>
          </w:rPr>
          <w:t>Beveik 1 iš 10 ES gyventojų negalėjo sau leisti tinkamai maitintis. Naujienų straipsniai, Eurostatas</w:t>
        </w:r>
      </w:hyperlink>
      <w:r>
        <w:t>.</w:t>
      </w:r>
    </w:p>
  </w:footnote>
  <w:footnote w:id="19">
    <w:p w14:paraId="06AC2A04" w14:textId="77777777" w:rsidR="0056181D" w:rsidRPr="00EF37C7" w:rsidRDefault="0056181D" w:rsidP="0056181D">
      <w:pPr>
        <w:pStyle w:val="FootnoteText"/>
        <w:keepLines w:val="0"/>
      </w:pPr>
      <w:r>
        <w:rPr>
          <w:rStyle w:val="FootnoteReference"/>
          <w:lang w:val="en-GB"/>
        </w:rPr>
        <w:footnoteRef/>
      </w:r>
      <w:r>
        <w:tab/>
      </w:r>
      <w:hyperlink r:id="rId25" w:history="1">
        <w:proofErr w:type="spellStart"/>
        <w:r>
          <w:rPr>
            <w:rStyle w:val="Hyperlink"/>
          </w:rPr>
          <w:t>Health</w:t>
        </w:r>
        <w:proofErr w:type="spellEnd"/>
        <w:r>
          <w:rPr>
            <w:rStyle w:val="Hyperlink"/>
          </w:rPr>
          <w:t xml:space="preserve"> at a </w:t>
        </w:r>
        <w:proofErr w:type="spellStart"/>
        <w:r>
          <w:rPr>
            <w:rStyle w:val="Hyperlink"/>
          </w:rPr>
          <w:t>Glance</w:t>
        </w:r>
        <w:proofErr w:type="spellEnd"/>
        <w:r>
          <w:rPr>
            <w:rStyle w:val="Hyperlink"/>
          </w:rPr>
          <w:t xml:space="preserve"> EU 2022 | OECD</w:t>
        </w:r>
      </w:hyperlink>
      <w:r>
        <w:t>.</w:t>
      </w:r>
    </w:p>
  </w:footnote>
  <w:footnote w:id="20">
    <w:p w14:paraId="15D47DC6" w14:textId="77777777" w:rsidR="0056181D" w:rsidRPr="00EF37C7" w:rsidRDefault="0056181D" w:rsidP="0056181D">
      <w:pPr>
        <w:tabs>
          <w:tab w:val="left" w:pos="567"/>
        </w:tabs>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hyperlink r:id="rId26" w:history="1">
        <w:proofErr w:type="spellStart"/>
        <w:r>
          <w:rPr>
            <w:rStyle w:val="Hyperlink"/>
            <w:sz w:val="16"/>
          </w:rPr>
          <w:t>Progressive</w:t>
        </w:r>
        <w:proofErr w:type="spellEnd"/>
        <w:r>
          <w:rPr>
            <w:rStyle w:val="Hyperlink"/>
            <w:sz w:val="16"/>
          </w:rPr>
          <w:t xml:space="preserve"> </w:t>
        </w:r>
        <w:proofErr w:type="spellStart"/>
        <w:r>
          <w:rPr>
            <w:rStyle w:val="Hyperlink"/>
            <w:sz w:val="16"/>
          </w:rPr>
          <w:t>Yearbook</w:t>
        </w:r>
        <w:proofErr w:type="spellEnd"/>
        <w:r>
          <w:rPr>
            <w:rStyle w:val="Hyperlink"/>
            <w:sz w:val="16"/>
          </w:rPr>
          <w:t xml:space="preserve"> 2023 FEPS</w:t>
        </w:r>
      </w:hyperlink>
      <w:r>
        <w:rPr>
          <w:sz w:val="16"/>
        </w:rPr>
        <w:t>.</w:t>
      </w:r>
    </w:p>
  </w:footnote>
  <w:footnote w:id="21">
    <w:p w14:paraId="13E9CFC0" w14:textId="77777777" w:rsidR="0056181D" w:rsidRPr="00EF37C7" w:rsidRDefault="0056181D" w:rsidP="0056181D">
      <w:pPr>
        <w:pStyle w:val="FootnoteText"/>
        <w:keepLines w:val="0"/>
      </w:pPr>
      <w:r>
        <w:rPr>
          <w:rStyle w:val="FootnoteReference"/>
          <w:lang w:val="en-GB"/>
        </w:rPr>
        <w:footnoteRef/>
      </w:r>
      <w:r>
        <w:tab/>
      </w:r>
      <w:hyperlink r:id="rId27" w:history="1">
        <w:r>
          <w:rPr>
            <w:rStyle w:val="Hyperlink"/>
          </w:rPr>
          <w:t>STATISTA, Neaktyvūs Europos gyventojai pagal šalis</w:t>
        </w:r>
      </w:hyperlink>
      <w:r>
        <w:t>.</w:t>
      </w:r>
    </w:p>
  </w:footnote>
  <w:footnote w:id="22">
    <w:p w14:paraId="0BD3C2C8" w14:textId="77777777" w:rsidR="0056181D" w:rsidRPr="00EF37C7" w:rsidRDefault="0056181D" w:rsidP="0056181D">
      <w:pPr>
        <w:pStyle w:val="FootnoteText"/>
        <w:keepLines w:val="0"/>
      </w:pPr>
      <w:r>
        <w:rPr>
          <w:rStyle w:val="FootnoteReference"/>
          <w:lang w:val="en-GB"/>
        </w:rPr>
        <w:footnoteRef/>
      </w:r>
      <w:r>
        <w:tab/>
      </w:r>
      <w:hyperlink r:id="rId28" w:history="1">
        <w:r>
          <w:rPr>
            <w:rStyle w:val="Hyperlink"/>
          </w:rPr>
          <w:t>EUROFOUND, Nacionalinio minimaliojo darbo užmokesčio padidėjimas 2025 m.</w:t>
        </w:r>
      </w:hyperlink>
    </w:p>
  </w:footnote>
  <w:footnote w:id="23">
    <w:p w14:paraId="55E437D0" w14:textId="77777777" w:rsidR="0056181D" w:rsidRPr="00EF37C7" w:rsidRDefault="0056181D" w:rsidP="0056181D">
      <w:pPr>
        <w:pStyle w:val="FootnoteText"/>
        <w:keepLines w:val="0"/>
      </w:pPr>
      <w:r>
        <w:rPr>
          <w:rStyle w:val="FootnoteReference"/>
          <w:lang w:val="en-GB"/>
        </w:rPr>
        <w:footnoteRef/>
      </w:r>
      <w:r>
        <w:tab/>
      </w:r>
      <w:hyperlink r:id="rId29" w:history="1">
        <w:r>
          <w:rPr>
            <w:rStyle w:val="Hyperlink"/>
          </w:rPr>
          <w:t>EUROFOUND, Nacionalinio minimaliojo darbo užmokesčio padidėjimas 2025 m.</w:t>
        </w:r>
      </w:hyperlink>
    </w:p>
  </w:footnote>
  <w:footnote w:id="24">
    <w:p w14:paraId="2F3E1981" w14:textId="77777777" w:rsidR="0056181D" w:rsidRPr="00EF37C7" w:rsidRDefault="0056181D" w:rsidP="0056181D">
      <w:pPr>
        <w:autoSpaceDE w:val="0"/>
        <w:autoSpaceDN w:val="0"/>
        <w:adjustRightInd w:val="0"/>
        <w:spacing w:after="60" w:line="240" w:lineRule="auto"/>
        <w:ind w:left="567" w:hanging="567"/>
        <w:jc w:val="left"/>
        <w:rPr>
          <w:sz w:val="16"/>
          <w:szCs w:val="16"/>
        </w:rPr>
      </w:pPr>
      <w:r>
        <w:rPr>
          <w:rStyle w:val="FootnoteReference"/>
          <w:szCs w:val="24"/>
          <w:lang w:val="en-GB"/>
        </w:rPr>
        <w:footnoteRef/>
      </w:r>
      <w:r>
        <w:rPr>
          <w:sz w:val="16"/>
        </w:rPr>
        <w:tab/>
      </w:r>
      <w:hyperlink r:id="rId30" w:history="1">
        <w:r>
          <w:rPr>
            <w:rStyle w:val="Hyperlink"/>
            <w:sz w:val="16"/>
          </w:rPr>
          <w:t>2023 m. Tarybos rekomendacija dėl pakankamų minimalių pajamų</w:t>
        </w:r>
      </w:hyperlink>
      <w:r>
        <w:t>.</w:t>
      </w:r>
    </w:p>
  </w:footnote>
  <w:footnote w:id="25">
    <w:p w14:paraId="7C6535C3"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hyperlink r:id="rId31" w:history="1">
        <w:r>
          <w:rPr>
            <w:rStyle w:val="Hyperlink"/>
            <w:sz w:val="16"/>
          </w:rPr>
          <w:t xml:space="preserve">Report-2022 </w:t>
        </w:r>
        <w:proofErr w:type="spellStart"/>
        <w:r>
          <w:rPr>
            <w:rStyle w:val="Hyperlink"/>
            <w:sz w:val="16"/>
          </w:rPr>
          <w:t>essential</w:t>
        </w:r>
        <w:proofErr w:type="spellEnd"/>
        <w:r>
          <w:rPr>
            <w:rStyle w:val="Hyperlink"/>
            <w:sz w:val="16"/>
          </w:rPr>
          <w:t>-</w:t>
        </w:r>
        <w:proofErr w:type="spellStart"/>
        <w:r>
          <w:rPr>
            <w:rStyle w:val="Hyperlink"/>
            <w:sz w:val="16"/>
          </w:rPr>
          <w:t>services</w:t>
        </w:r>
        <w:proofErr w:type="spellEnd"/>
        <w:r>
          <w:rPr>
            <w:rStyle w:val="Hyperlink"/>
            <w:sz w:val="16"/>
          </w:rPr>
          <w:t>-EAPN</w:t>
        </w:r>
      </w:hyperlink>
      <w:r>
        <w:rPr>
          <w:sz w:val="16"/>
        </w:rPr>
        <w:t>.</w:t>
      </w:r>
    </w:p>
  </w:footnote>
  <w:footnote w:id="26">
    <w:p w14:paraId="51CC7A1E"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hyperlink r:id="rId32" w:history="1">
        <w:r>
          <w:rPr>
            <w:rStyle w:val="Hyperlink"/>
            <w:sz w:val="16"/>
          </w:rPr>
          <w:t xml:space="preserve">Report-2022 </w:t>
        </w:r>
        <w:proofErr w:type="spellStart"/>
        <w:r>
          <w:rPr>
            <w:rStyle w:val="Hyperlink"/>
            <w:sz w:val="16"/>
          </w:rPr>
          <w:t>essential</w:t>
        </w:r>
        <w:proofErr w:type="spellEnd"/>
        <w:r>
          <w:rPr>
            <w:rStyle w:val="Hyperlink"/>
            <w:sz w:val="16"/>
          </w:rPr>
          <w:t>-</w:t>
        </w:r>
        <w:proofErr w:type="spellStart"/>
        <w:r>
          <w:rPr>
            <w:rStyle w:val="Hyperlink"/>
            <w:sz w:val="16"/>
          </w:rPr>
          <w:t>services</w:t>
        </w:r>
        <w:proofErr w:type="spellEnd"/>
        <w:r>
          <w:rPr>
            <w:rStyle w:val="Hyperlink"/>
            <w:sz w:val="16"/>
          </w:rPr>
          <w:t>-EAPN</w:t>
        </w:r>
      </w:hyperlink>
      <w:r>
        <w:rPr>
          <w:sz w:val="16"/>
        </w:rPr>
        <w:t>.</w:t>
      </w:r>
    </w:p>
  </w:footnote>
  <w:footnote w:id="27">
    <w:p w14:paraId="2C75A98A" w14:textId="77777777" w:rsidR="0056181D" w:rsidRPr="00EF37C7" w:rsidRDefault="0056181D" w:rsidP="0056181D">
      <w:pPr>
        <w:pStyle w:val="FootnoteText"/>
        <w:keepLines w:val="0"/>
      </w:pPr>
      <w:r>
        <w:rPr>
          <w:rStyle w:val="FootnoteReference"/>
          <w:lang w:val="en-GB"/>
        </w:rPr>
        <w:footnoteRef/>
      </w:r>
      <w:r>
        <w:tab/>
      </w:r>
      <w:hyperlink r:id="rId33" w:history="1">
        <w:r>
          <w:rPr>
            <w:rStyle w:val="Hyperlink"/>
          </w:rPr>
          <w:t>Neįperkamas ir netinkamas būstas Europoje | EUROFOUND</w:t>
        </w:r>
      </w:hyperlink>
      <w:r>
        <w:t>, p. 35.</w:t>
      </w:r>
    </w:p>
  </w:footnote>
  <w:footnote w:id="28">
    <w:p w14:paraId="38F5E867"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hyperlink r:id="rId34" w:history="1">
        <w:r>
          <w:rPr>
            <w:rStyle w:val="Hyperlink"/>
            <w:sz w:val="16"/>
          </w:rPr>
          <w:t>2022 m. ataskaita dėl esminių paslaugų (EAPN, Europos kovos su skurdu tinklas)</w:t>
        </w:r>
      </w:hyperlink>
      <w:r>
        <w:t>.</w:t>
      </w:r>
    </w:p>
  </w:footnote>
  <w:footnote w:id="29">
    <w:p w14:paraId="4CE18604" w14:textId="77777777" w:rsidR="0056181D" w:rsidRPr="00EF37C7"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rPr>
          <w:sz w:val="20"/>
        </w:rPr>
        <w:tab/>
      </w:r>
      <w:hyperlink r:id="rId35" w:history="1">
        <w:r>
          <w:rPr>
            <w:rStyle w:val="Hyperlink"/>
            <w:sz w:val="16"/>
          </w:rPr>
          <w:t>2022 m. ataskaita dėl esminių paslaugų (EAPN, Europos kovos su skurdu tinklas)</w:t>
        </w:r>
      </w:hyperlink>
      <w:r>
        <w:t>.</w:t>
      </w:r>
    </w:p>
  </w:footnote>
  <w:footnote w:id="30">
    <w:p w14:paraId="02DF360D" w14:textId="77777777" w:rsidR="0056181D" w:rsidRPr="00EF37C7" w:rsidRDefault="0056181D" w:rsidP="0056181D">
      <w:pPr>
        <w:autoSpaceDE w:val="0"/>
        <w:autoSpaceDN w:val="0"/>
        <w:adjustRightInd w:val="0"/>
        <w:spacing w:after="60" w:line="240" w:lineRule="auto"/>
        <w:ind w:left="567" w:hanging="567"/>
        <w:jc w:val="left"/>
        <w:rPr>
          <w:sz w:val="16"/>
          <w:szCs w:val="16"/>
        </w:rPr>
      </w:pPr>
      <w:r>
        <w:rPr>
          <w:rStyle w:val="FootnoteReference"/>
          <w:szCs w:val="24"/>
          <w:lang w:val="en-GB"/>
        </w:rPr>
        <w:footnoteRef/>
      </w:r>
      <w:r>
        <w:rPr>
          <w:sz w:val="20"/>
        </w:rPr>
        <w:tab/>
      </w:r>
      <w:r>
        <w:rPr>
          <w:sz w:val="16"/>
        </w:rPr>
        <w:t xml:space="preserve"> </w:t>
      </w:r>
      <w:hyperlink r:id="rId36" w:history="1">
        <w:proofErr w:type="spellStart"/>
        <w:r>
          <w:rPr>
            <w:rStyle w:val="Hyperlink"/>
            <w:sz w:val="16"/>
          </w:rPr>
          <w:t>Cost</w:t>
        </w:r>
        <w:proofErr w:type="spellEnd"/>
        <w:r>
          <w:rPr>
            <w:rStyle w:val="Hyperlink"/>
            <w:sz w:val="16"/>
          </w:rPr>
          <w:t>-</w:t>
        </w:r>
        <w:proofErr w:type="spellStart"/>
        <w:r>
          <w:rPr>
            <w:rStyle w:val="Hyperlink"/>
            <w:sz w:val="16"/>
          </w:rPr>
          <w:t>living</w:t>
        </w:r>
        <w:proofErr w:type="spellEnd"/>
        <w:r>
          <w:rPr>
            <w:rStyle w:val="Hyperlink"/>
            <w:sz w:val="16"/>
          </w:rPr>
          <w:t>-</w:t>
        </w:r>
        <w:proofErr w:type="spellStart"/>
        <w:r>
          <w:rPr>
            <w:rStyle w:val="Hyperlink"/>
            <w:sz w:val="16"/>
          </w:rPr>
          <w:t>crisis</w:t>
        </w:r>
        <w:proofErr w:type="spellEnd"/>
        <w:r>
          <w:rPr>
            <w:rStyle w:val="Hyperlink"/>
            <w:sz w:val="16"/>
          </w:rPr>
          <w:t>-</w:t>
        </w:r>
        <w:proofErr w:type="spellStart"/>
        <w:r>
          <w:rPr>
            <w:rStyle w:val="Hyperlink"/>
            <w:sz w:val="16"/>
          </w:rPr>
          <w:t>and</w:t>
        </w:r>
        <w:proofErr w:type="spellEnd"/>
        <w:r>
          <w:rPr>
            <w:rStyle w:val="Hyperlink"/>
            <w:sz w:val="16"/>
          </w:rPr>
          <w:t>-</w:t>
        </w:r>
        <w:proofErr w:type="spellStart"/>
        <w:r>
          <w:rPr>
            <w:rStyle w:val="Hyperlink"/>
            <w:sz w:val="16"/>
          </w:rPr>
          <w:t>energy</w:t>
        </w:r>
        <w:proofErr w:type="spellEnd"/>
        <w:r>
          <w:rPr>
            <w:rStyle w:val="Hyperlink"/>
            <w:sz w:val="16"/>
          </w:rPr>
          <w:t>-</w:t>
        </w:r>
        <w:proofErr w:type="spellStart"/>
        <w:r>
          <w:rPr>
            <w:rStyle w:val="Hyperlink"/>
            <w:sz w:val="16"/>
          </w:rPr>
          <w:t>poverty</w:t>
        </w:r>
        <w:proofErr w:type="spellEnd"/>
        <w:r>
          <w:rPr>
            <w:rStyle w:val="Hyperlink"/>
            <w:sz w:val="16"/>
          </w:rPr>
          <w:t>-EUROFOUND 2022</w:t>
        </w:r>
      </w:hyperlink>
      <w:r>
        <w:rPr>
          <w:sz w:val="16"/>
        </w:rPr>
        <w:t>.</w:t>
      </w:r>
    </w:p>
  </w:footnote>
  <w:footnote w:id="31">
    <w:p w14:paraId="48294818" w14:textId="77777777" w:rsidR="0056181D" w:rsidRPr="008C6A00" w:rsidRDefault="0056181D" w:rsidP="0056181D">
      <w:pPr>
        <w:pStyle w:val="FootnoteText"/>
        <w:keepLines w:val="0"/>
      </w:pPr>
      <w:r>
        <w:rPr>
          <w:rStyle w:val="FootnoteReference"/>
          <w:lang w:val="en-GB"/>
        </w:rPr>
        <w:footnoteRef/>
      </w:r>
      <w:r>
        <w:tab/>
        <w:t xml:space="preserve">Žr. </w:t>
      </w:r>
      <w:hyperlink r:id="rId37" w:history="1">
        <w:r>
          <w:rPr>
            <w:rStyle w:val="Hyperlink"/>
          </w:rPr>
          <w:t xml:space="preserve">La </w:t>
        </w:r>
        <w:proofErr w:type="spellStart"/>
        <w:r>
          <w:rPr>
            <w:rStyle w:val="Hyperlink"/>
          </w:rPr>
          <w:t>Hulpės</w:t>
        </w:r>
        <w:proofErr w:type="spellEnd"/>
        <w:r>
          <w:rPr>
            <w:rStyle w:val="Hyperlink"/>
          </w:rPr>
          <w:t xml:space="preserve"> deklaraciją</w:t>
        </w:r>
      </w:hyperlink>
      <w:r>
        <w:t>.</w:t>
      </w:r>
    </w:p>
  </w:footnote>
  <w:footnote w:id="32">
    <w:p w14:paraId="72BFA379" w14:textId="77777777" w:rsidR="0056181D" w:rsidRPr="008C6A00" w:rsidRDefault="0056181D" w:rsidP="0056181D">
      <w:pPr>
        <w:autoSpaceDE w:val="0"/>
        <w:autoSpaceDN w:val="0"/>
        <w:adjustRightInd w:val="0"/>
        <w:spacing w:after="60" w:line="240" w:lineRule="auto"/>
        <w:ind w:left="567" w:hanging="567"/>
        <w:rPr>
          <w:sz w:val="16"/>
          <w:szCs w:val="16"/>
        </w:rPr>
      </w:pPr>
      <w:r>
        <w:rPr>
          <w:rStyle w:val="FootnoteReference"/>
          <w:szCs w:val="24"/>
          <w:lang w:val="en-GB"/>
        </w:rPr>
        <w:footnoteRef/>
      </w:r>
      <w:r>
        <w:tab/>
        <w:t xml:space="preserve">Žr. </w:t>
      </w:r>
      <w:hyperlink r:id="rId38" w:history="1">
        <w:r>
          <w:rPr>
            <w:rStyle w:val="Hyperlink"/>
            <w:sz w:val="16"/>
          </w:rPr>
          <w:t xml:space="preserve">La </w:t>
        </w:r>
        <w:proofErr w:type="spellStart"/>
        <w:r>
          <w:rPr>
            <w:rStyle w:val="Hyperlink"/>
            <w:sz w:val="16"/>
          </w:rPr>
          <w:t>Hulpės</w:t>
        </w:r>
        <w:proofErr w:type="spellEnd"/>
        <w:r>
          <w:rPr>
            <w:rStyle w:val="Hyperlink"/>
            <w:sz w:val="16"/>
          </w:rPr>
          <w:t xml:space="preserve"> deklaraciją</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CF7CEC">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081" w14:textId="30CFD144" w:rsidR="00574C9B" w:rsidRDefault="00702D8F">
    <w:pPr>
      <w:pStyle w:val="Header"/>
    </w:pPr>
    <w:r>
      <w:rPr>
        <w:noProof/>
      </w:rPr>
      <w:drawing>
        <wp:anchor distT="0" distB="0" distL="114300" distR="114300" simplePos="0" relativeHeight="251675648" behindDoc="0" locked="0" layoutInCell="1" allowOverlap="1" wp14:anchorId="3CB1FA45" wp14:editId="3043B6FD">
          <wp:simplePos x="0" y="0"/>
          <wp:positionH relativeFrom="page">
            <wp:align>center</wp:align>
          </wp:positionH>
          <wp:positionV relativeFrom="page">
            <wp:posOffset>288290</wp:posOffset>
          </wp:positionV>
          <wp:extent cx="6944360" cy="3343275"/>
          <wp:effectExtent l="0" t="0" r="8890" b="9525"/>
          <wp:wrapNone/>
          <wp:docPr id="1" name="Picture 1" title="EESCLogo2021_LT"/>
          <wp:cNvGraphicFramePr/>
          <a:graphic xmlns:a="http://schemas.openxmlformats.org/drawingml/2006/main">
            <a:graphicData uri="http://schemas.openxmlformats.org/drawingml/2006/picture">
              <pic:pic xmlns:pic="http://schemas.openxmlformats.org/drawingml/2006/picture">
                <pic:nvPicPr>
                  <pic:cNvPr id="1" name="Picture 1" title="EESCLogo2021_LT"/>
                  <pic:cNvPicPr/>
                </pic:nvPicPr>
                <pic:blipFill>
                  <a:blip r:embed="rId1">
                    <a:extLst>
                      <a:ext uri="{28A0092B-C50C-407E-A947-70E740481C1C}">
                        <a14:useLocalDpi xmlns:a14="http://schemas.microsoft.com/office/drawing/2010/main" val="0"/>
                      </a:ext>
                    </a:extLst>
                  </a:blip>
                  <a:stretch>
                    <a:fillRect/>
                  </a:stretch>
                </pic:blipFill>
                <pic:spPr>
                  <a:xfrm>
                    <a:off x="0" y="0"/>
                    <a:ext cx="6944360" cy="3343275"/>
                  </a:xfrm>
                  <a:prstGeom prst="rect">
                    <a:avLst/>
                  </a:prstGeom>
                </pic:spPr>
              </pic:pic>
            </a:graphicData>
          </a:graphic>
          <wp14:sizeRelH relativeFrom="margin">
            <wp14:pctWidth>0</wp14:pctWidth>
          </wp14:sizeRelH>
          <wp14:sizeRelV relativeFrom="margin">
            <wp14:pctHeight>0</wp14:pctHeight>
          </wp14:sizeRelV>
        </wp:anchor>
      </w:drawing>
    </w:r>
    <w:r w:rsidR="00CF7CEC">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48000;mso-position-horizontal:center;mso-position-horizontal-relative:page;mso-position-vertical:top;mso-position-vertical-relative:page" o:allowincell="f">
          <v:imagedata r:id="rId2" o:title="footer only"/>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CF7CEC">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CF7CEC">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CF7CEC">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702D8F">
      <w:rPr>
        <w:noProof/>
      </w:rPr>
      <w:drawing>
        <wp:anchor distT="0" distB="0" distL="114300" distR="114300" simplePos="0" relativeHeight="251661824"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CF7CEC">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CF7CEC">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p w14:paraId="22381633" w14:textId="77777777" w:rsidR="00DD62DE" w:rsidRDefault="00DD62D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FA08F8" w:rsidRDefault="00CF7CEC">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p w14:paraId="26E8F394" w14:textId="77777777" w:rsidR="00DD62DE" w:rsidRDefault="00DD62D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CF7CEC">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FC8905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70"/>
    <w:rsid w:val="000045CF"/>
    <w:rsid w:val="00014EA9"/>
    <w:rsid w:val="00020389"/>
    <w:rsid w:val="00026218"/>
    <w:rsid w:val="00026B2B"/>
    <w:rsid w:val="00053D00"/>
    <w:rsid w:val="000A0F3B"/>
    <w:rsid w:val="000E5E03"/>
    <w:rsid w:val="001119FD"/>
    <w:rsid w:val="00115651"/>
    <w:rsid w:val="0012792A"/>
    <w:rsid w:val="00153981"/>
    <w:rsid w:val="00185E99"/>
    <w:rsid w:val="0019231D"/>
    <w:rsid w:val="001955B6"/>
    <w:rsid w:val="001A6116"/>
    <w:rsid w:val="001B18FB"/>
    <w:rsid w:val="001D61AC"/>
    <w:rsid w:val="001E15AA"/>
    <w:rsid w:val="001E3FA1"/>
    <w:rsid w:val="00200E87"/>
    <w:rsid w:val="00206D14"/>
    <w:rsid w:val="00214BDC"/>
    <w:rsid w:val="00215E81"/>
    <w:rsid w:val="0024727F"/>
    <w:rsid w:val="00282E54"/>
    <w:rsid w:val="002A786A"/>
    <w:rsid w:val="002B6A7B"/>
    <w:rsid w:val="003117C2"/>
    <w:rsid w:val="003353D7"/>
    <w:rsid w:val="003659F9"/>
    <w:rsid w:val="00401DE5"/>
    <w:rsid w:val="004051F7"/>
    <w:rsid w:val="0045106C"/>
    <w:rsid w:val="00461CAF"/>
    <w:rsid w:val="004771DA"/>
    <w:rsid w:val="004871B8"/>
    <w:rsid w:val="00492082"/>
    <w:rsid w:val="00495C7F"/>
    <w:rsid w:val="004F3B80"/>
    <w:rsid w:val="004F60A3"/>
    <w:rsid w:val="0056181D"/>
    <w:rsid w:val="00574C9B"/>
    <w:rsid w:val="0058411F"/>
    <w:rsid w:val="005961A4"/>
    <w:rsid w:val="005C530F"/>
    <w:rsid w:val="005E7F04"/>
    <w:rsid w:val="006125A1"/>
    <w:rsid w:val="006517EC"/>
    <w:rsid w:val="00653E7D"/>
    <w:rsid w:val="00662207"/>
    <w:rsid w:val="00667F09"/>
    <w:rsid w:val="00686424"/>
    <w:rsid w:val="00692850"/>
    <w:rsid w:val="006B57A6"/>
    <w:rsid w:val="006C0EAF"/>
    <w:rsid w:val="006D53A6"/>
    <w:rsid w:val="00702D8F"/>
    <w:rsid w:val="00787837"/>
    <w:rsid w:val="00787ABB"/>
    <w:rsid w:val="007A7A9C"/>
    <w:rsid w:val="007B1355"/>
    <w:rsid w:val="007B6C64"/>
    <w:rsid w:val="00822952"/>
    <w:rsid w:val="00836505"/>
    <w:rsid w:val="00837061"/>
    <w:rsid w:val="00844B87"/>
    <w:rsid w:val="00867C81"/>
    <w:rsid w:val="00876A94"/>
    <w:rsid w:val="0089251B"/>
    <w:rsid w:val="008945DA"/>
    <w:rsid w:val="008A1FF4"/>
    <w:rsid w:val="008A6DD4"/>
    <w:rsid w:val="008F74D7"/>
    <w:rsid w:val="00904C42"/>
    <w:rsid w:val="00907FCC"/>
    <w:rsid w:val="00914683"/>
    <w:rsid w:val="00924C05"/>
    <w:rsid w:val="00937CF2"/>
    <w:rsid w:val="00976645"/>
    <w:rsid w:val="00976F77"/>
    <w:rsid w:val="0098228C"/>
    <w:rsid w:val="009832C7"/>
    <w:rsid w:val="009E2100"/>
    <w:rsid w:val="00A21F3B"/>
    <w:rsid w:val="00A310E1"/>
    <w:rsid w:val="00A36AB0"/>
    <w:rsid w:val="00AB37A3"/>
    <w:rsid w:val="00AB6D77"/>
    <w:rsid w:val="00AC5114"/>
    <w:rsid w:val="00B25683"/>
    <w:rsid w:val="00B337D8"/>
    <w:rsid w:val="00B35B72"/>
    <w:rsid w:val="00B51901"/>
    <w:rsid w:val="00BC4FD4"/>
    <w:rsid w:val="00BD50F6"/>
    <w:rsid w:val="00C073E1"/>
    <w:rsid w:val="00C25647"/>
    <w:rsid w:val="00C27A3D"/>
    <w:rsid w:val="00C35F44"/>
    <w:rsid w:val="00C43C7D"/>
    <w:rsid w:val="00C554F1"/>
    <w:rsid w:val="00C66AEA"/>
    <w:rsid w:val="00C76BA9"/>
    <w:rsid w:val="00C871E0"/>
    <w:rsid w:val="00C9040A"/>
    <w:rsid w:val="00C91E4D"/>
    <w:rsid w:val="00CB110A"/>
    <w:rsid w:val="00CB7CD0"/>
    <w:rsid w:val="00CD1FDA"/>
    <w:rsid w:val="00CF7CEC"/>
    <w:rsid w:val="00D039AF"/>
    <w:rsid w:val="00D13128"/>
    <w:rsid w:val="00D504AB"/>
    <w:rsid w:val="00D821E4"/>
    <w:rsid w:val="00D86124"/>
    <w:rsid w:val="00D95232"/>
    <w:rsid w:val="00DA2D12"/>
    <w:rsid w:val="00DB7F50"/>
    <w:rsid w:val="00DD62DE"/>
    <w:rsid w:val="00DE30C7"/>
    <w:rsid w:val="00DF400F"/>
    <w:rsid w:val="00DF48E2"/>
    <w:rsid w:val="00E15BF4"/>
    <w:rsid w:val="00E2376B"/>
    <w:rsid w:val="00E26935"/>
    <w:rsid w:val="00E27707"/>
    <w:rsid w:val="00E333C8"/>
    <w:rsid w:val="00E52B04"/>
    <w:rsid w:val="00E661B7"/>
    <w:rsid w:val="00E90A9D"/>
    <w:rsid w:val="00F2069F"/>
    <w:rsid w:val="00F51EF6"/>
    <w:rsid w:val="00F53370"/>
    <w:rsid w:val="00F541BF"/>
    <w:rsid w:val="00F747E9"/>
    <w:rsid w:val="00F7617E"/>
    <w:rsid w:val="00F90BE2"/>
    <w:rsid w:val="00F92DA4"/>
    <w:rsid w:val="00FB1D7A"/>
    <w:rsid w:val="00FC0CEA"/>
    <w:rsid w:val="00FE1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uiPriority w:val="99"/>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character" w:styleId="FollowedHyperlink">
    <w:name w:val="FollowedHyperlink"/>
    <w:basedOn w:val="DefaultParagraphFont"/>
    <w:uiPriority w:val="99"/>
    <w:semiHidden/>
    <w:unhideWhenUsed/>
    <w:rsid w:val="00014EA9"/>
    <w:rPr>
      <w:color w:val="954F72" w:themeColor="followedHyperlink"/>
      <w:u w:val="single"/>
    </w:rPr>
  </w:style>
  <w:style w:type="table" w:customStyle="1" w:styleId="TableGrid1">
    <w:name w:val="Table Grid1"/>
    <w:basedOn w:val="TableNormal"/>
    <w:rsid w:val="00D86124"/>
    <w:pPr>
      <w:spacing w:after="0" w:line="288" w:lineRule="auto"/>
      <w:jc w:val="both"/>
    </w:pPr>
    <w:rPr>
      <w:rFonts w:ascii="Times New Roman" w:eastAsia="Times New Roman" w:hAnsi="Times New Roman" w:cs="Times New Roman"/>
      <w:sz w:val="20"/>
      <w:szCs w:val="20"/>
      <w:lang w:eastAsia="fr-BE"/>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67248">
      <w:bodyDiv w:val="1"/>
      <w:marLeft w:val="0"/>
      <w:marRight w:val="0"/>
      <w:marTop w:val="0"/>
      <w:marBottom w:val="0"/>
      <w:divBdr>
        <w:top w:val="none" w:sz="0" w:space="0" w:color="auto"/>
        <w:left w:val="none" w:sz="0" w:space="0" w:color="auto"/>
        <w:bottom w:val="none" w:sz="0" w:space="0" w:color="auto"/>
        <w:right w:val="none" w:sz="0" w:space="0" w:color="auto"/>
      </w:divBdr>
    </w:div>
    <w:div w:id="339697390">
      <w:bodyDiv w:val="1"/>
      <w:marLeft w:val="0"/>
      <w:marRight w:val="0"/>
      <w:marTop w:val="0"/>
      <w:marBottom w:val="0"/>
      <w:divBdr>
        <w:top w:val="none" w:sz="0" w:space="0" w:color="auto"/>
        <w:left w:val="none" w:sz="0" w:space="0" w:color="auto"/>
        <w:bottom w:val="none" w:sz="0" w:space="0" w:color="auto"/>
        <w:right w:val="none" w:sz="0" w:space="0" w:color="auto"/>
      </w:divBdr>
    </w:div>
    <w:div w:id="421728009">
      <w:bodyDiv w:val="1"/>
      <w:marLeft w:val="0"/>
      <w:marRight w:val="0"/>
      <w:marTop w:val="0"/>
      <w:marBottom w:val="0"/>
      <w:divBdr>
        <w:top w:val="none" w:sz="0" w:space="0" w:color="auto"/>
        <w:left w:val="none" w:sz="0" w:space="0" w:color="auto"/>
        <w:bottom w:val="none" w:sz="0" w:space="0" w:color="auto"/>
        <w:right w:val="none" w:sz="0" w:space="0" w:color="auto"/>
      </w:divBdr>
    </w:div>
    <w:div w:id="447117409">
      <w:bodyDiv w:val="1"/>
      <w:marLeft w:val="0"/>
      <w:marRight w:val="0"/>
      <w:marTop w:val="0"/>
      <w:marBottom w:val="0"/>
      <w:divBdr>
        <w:top w:val="none" w:sz="0" w:space="0" w:color="auto"/>
        <w:left w:val="none" w:sz="0" w:space="0" w:color="auto"/>
        <w:bottom w:val="none" w:sz="0" w:space="0" w:color="auto"/>
        <w:right w:val="none" w:sz="0" w:space="0" w:color="auto"/>
      </w:divBdr>
    </w:div>
    <w:div w:id="465659460">
      <w:bodyDiv w:val="1"/>
      <w:marLeft w:val="0"/>
      <w:marRight w:val="0"/>
      <w:marTop w:val="0"/>
      <w:marBottom w:val="0"/>
      <w:divBdr>
        <w:top w:val="none" w:sz="0" w:space="0" w:color="auto"/>
        <w:left w:val="none" w:sz="0" w:space="0" w:color="auto"/>
        <w:bottom w:val="none" w:sz="0" w:space="0" w:color="auto"/>
        <w:right w:val="none" w:sz="0" w:space="0" w:color="auto"/>
      </w:divBdr>
    </w:div>
    <w:div w:id="567495138">
      <w:bodyDiv w:val="1"/>
      <w:marLeft w:val="0"/>
      <w:marRight w:val="0"/>
      <w:marTop w:val="0"/>
      <w:marBottom w:val="0"/>
      <w:divBdr>
        <w:top w:val="none" w:sz="0" w:space="0" w:color="auto"/>
        <w:left w:val="none" w:sz="0" w:space="0" w:color="auto"/>
        <w:bottom w:val="none" w:sz="0" w:space="0" w:color="auto"/>
        <w:right w:val="none" w:sz="0" w:space="0" w:color="auto"/>
      </w:divBdr>
    </w:div>
    <w:div w:id="697858172">
      <w:bodyDiv w:val="1"/>
      <w:marLeft w:val="0"/>
      <w:marRight w:val="0"/>
      <w:marTop w:val="0"/>
      <w:marBottom w:val="0"/>
      <w:divBdr>
        <w:top w:val="none" w:sz="0" w:space="0" w:color="auto"/>
        <w:left w:val="none" w:sz="0" w:space="0" w:color="auto"/>
        <w:bottom w:val="none" w:sz="0" w:space="0" w:color="auto"/>
        <w:right w:val="none" w:sz="0" w:space="0" w:color="auto"/>
      </w:divBdr>
    </w:div>
    <w:div w:id="861165257">
      <w:bodyDiv w:val="1"/>
      <w:marLeft w:val="0"/>
      <w:marRight w:val="0"/>
      <w:marTop w:val="0"/>
      <w:marBottom w:val="0"/>
      <w:divBdr>
        <w:top w:val="none" w:sz="0" w:space="0" w:color="auto"/>
        <w:left w:val="none" w:sz="0" w:space="0" w:color="auto"/>
        <w:bottom w:val="none" w:sz="0" w:space="0" w:color="auto"/>
        <w:right w:val="none" w:sz="0" w:space="0" w:color="auto"/>
      </w:divBdr>
    </w:div>
    <w:div w:id="903023450">
      <w:bodyDiv w:val="1"/>
      <w:marLeft w:val="0"/>
      <w:marRight w:val="0"/>
      <w:marTop w:val="0"/>
      <w:marBottom w:val="0"/>
      <w:divBdr>
        <w:top w:val="none" w:sz="0" w:space="0" w:color="auto"/>
        <w:left w:val="none" w:sz="0" w:space="0" w:color="auto"/>
        <w:bottom w:val="none" w:sz="0" w:space="0" w:color="auto"/>
        <w:right w:val="none" w:sz="0" w:space="0" w:color="auto"/>
      </w:divBdr>
    </w:div>
    <w:div w:id="1067262786">
      <w:bodyDiv w:val="1"/>
      <w:marLeft w:val="0"/>
      <w:marRight w:val="0"/>
      <w:marTop w:val="0"/>
      <w:marBottom w:val="0"/>
      <w:divBdr>
        <w:top w:val="none" w:sz="0" w:space="0" w:color="auto"/>
        <w:left w:val="none" w:sz="0" w:space="0" w:color="auto"/>
        <w:bottom w:val="none" w:sz="0" w:space="0" w:color="auto"/>
        <w:right w:val="none" w:sz="0" w:space="0" w:color="auto"/>
      </w:divBdr>
    </w:div>
    <w:div w:id="1753156267">
      <w:bodyDiv w:val="1"/>
      <w:marLeft w:val="0"/>
      <w:marRight w:val="0"/>
      <w:marTop w:val="0"/>
      <w:marBottom w:val="0"/>
      <w:divBdr>
        <w:top w:val="none" w:sz="0" w:space="0" w:color="auto"/>
        <w:left w:val="none" w:sz="0" w:space="0" w:color="auto"/>
        <w:bottom w:val="none" w:sz="0" w:space="0" w:color="auto"/>
        <w:right w:val="none" w:sz="0" w:space="0" w:color="auto"/>
      </w:divBdr>
    </w:div>
    <w:div w:id="1999797850">
      <w:bodyDiv w:val="1"/>
      <w:marLeft w:val="0"/>
      <w:marRight w:val="0"/>
      <w:marTop w:val="0"/>
      <w:marBottom w:val="0"/>
      <w:divBdr>
        <w:top w:val="none" w:sz="0" w:space="0" w:color="auto"/>
        <w:left w:val="none" w:sz="0" w:space="0" w:color="auto"/>
        <w:bottom w:val="none" w:sz="0" w:space="0" w:color="auto"/>
        <w:right w:val="none" w:sz="0" w:space="0" w:color="auto"/>
      </w:divBdr>
    </w:div>
    <w:div w:id="2047024477">
      <w:bodyDiv w:val="1"/>
      <w:marLeft w:val="0"/>
      <w:marRight w:val="0"/>
      <w:marTop w:val="0"/>
      <w:marBottom w:val="0"/>
      <w:divBdr>
        <w:top w:val="none" w:sz="0" w:space="0" w:color="auto"/>
        <w:left w:val="none" w:sz="0" w:space="0" w:color="auto"/>
        <w:bottom w:val="none" w:sz="0" w:space="0" w:color="auto"/>
        <w:right w:val="none" w:sz="0" w:space="0" w:color="auto"/>
      </w:divBdr>
    </w:div>
    <w:div w:id="212645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21" Type="http://schemas.openxmlformats.org/officeDocument/2006/relationships/hyperlink" Target="https://ec.europa.eu/eurostat/statistics-explained/index.php?title=Glossary:European_Union_(E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customXml" Target="../customXml/item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theme" Target="theme/theme1.xml"/><Relationship Id="rId30"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eesc.europa.eu/lt/our-work/opinions-information-reports/opinions/recommendations-organised-civil-society-address-cost-living-crisis" TargetMode="External"/><Relationship Id="rId13" Type="http://schemas.openxmlformats.org/officeDocument/2006/relationships/hyperlink" Target="https://ec.europa.eu/eurostat/web/products-eurostat-news/w/ddn-20240612-1" TargetMode="External"/><Relationship Id="rId18" Type="http://schemas.openxmlformats.org/officeDocument/2006/relationships/hyperlink" Target="https://eurochild.org/resource/childrens-realities-in-europe-progress-gaps" TargetMode="External"/><Relationship Id="rId26" Type="http://schemas.openxmlformats.org/officeDocument/2006/relationships/hyperlink" Target="https://feps-europe.eu/publication/progressive-yearbook-2023/" TargetMode="External"/><Relationship Id="rId3" Type="http://schemas.openxmlformats.org/officeDocument/2006/relationships/hyperlink" Target="https://www.eesc.europa.eu/lt/our-work/opinions-information-reports/opinions/how-single-market-dysfunctionalities-contribute-rising-cost-living" TargetMode="External"/><Relationship Id="rId21" Type="http://schemas.openxmlformats.org/officeDocument/2006/relationships/hyperlink" Target="https://www.oecd.org/en/publications/oecd-economic-outlook-interim-report-march-2025_89af4857-en.html" TargetMode="External"/><Relationship Id="rId34" Type="http://schemas.openxmlformats.org/officeDocument/2006/relationships/hyperlink" Target="https://www.eapn.eu/wp-content/uploads/2023/02/eapn-EAPN-Report-2022_Equal-access-to-affordable-quality-essential-services-5639.pdf" TargetMode="External"/><Relationship Id="rId7" Type="http://schemas.openxmlformats.org/officeDocument/2006/relationships/hyperlink" Target="https://www.eesc.europa.eu/lt/our-work/opinions-information-reports/opinions/price-hikes-transport-energy-and-housing-role-quality-public-services-tackling-high-cost-living" TargetMode="External"/><Relationship Id="rId12" Type="http://schemas.openxmlformats.org/officeDocument/2006/relationships/hyperlink" Target="https://ec.europa.eu/eurostat/en/web/products-eurostat-news/w/ddn-20240119-1" TargetMode="External"/><Relationship Id="rId17" Type="http://schemas.openxmlformats.org/officeDocument/2006/relationships/hyperlink" Target="https://employment-social-affairs.ec.europa.eu/labour-market-and-wage-developments-europe_en" TargetMode="External"/><Relationship Id="rId25" Type="http://schemas.openxmlformats.org/officeDocument/2006/relationships/hyperlink" Target="https://www.oecd.org/en/publications/health-at-a-glance-europe-2022_507433b0-en.html" TargetMode="External"/><Relationship Id="rId33" Type="http://schemas.openxmlformats.org/officeDocument/2006/relationships/hyperlink" Target="https://www.eurofound.europa.eu/lt/publications/2023/unaffordable-and-inadequate-housing-europe" TargetMode="External"/><Relationship Id="rId38" Type="http://schemas.openxmlformats.org/officeDocument/2006/relationships/hyperlink" Target="https://socialsecurity.belgium.be/fr/publications/la-hulpe-declaration-future-european-pillar-social-rights" TargetMode="External"/><Relationship Id="rId2" Type="http://schemas.openxmlformats.org/officeDocument/2006/relationships/hyperlink" Target="https://www.eesc.europa.eu/lt/our-work/opinions-information-reports/opinions/leaving-crises-behind-measures-resilient-cohesive-and-inclusive-european-economy" TargetMode="External"/><Relationship Id="rId16" Type="http://schemas.openxmlformats.org/officeDocument/2006/relationships/hyperlink" Target="https://europa.eu/eurobarometer/surveys/detail/3392" TargetMode="External"/><Relationship Id="rId20" Type="http://schemas.openxmlformats.org/officeDocument/2006/relationships/hyperlink" Target="https://employment-social-affairs.ec.europa.eu/employment-and-social-developments-europe-2024_en" TargetMode="External"/><Relationship Id="rId29" Type="http://schemas.openxmlformats.org/officeDocument/2006/relationships/hyperlink" Target="https://www.eurofound.europa.eu/en/resources/article/2025/substantial-rises-national-minimum-wages-2025-linked-eu-directive" TargetMode="External"/><Relationship Id="rId1" Type="http://schemas.openxmlformats.org/officeDocument/2006/relationships/hyperlink" Target="https://www.eesc.europa.eu/lt/our-work/opinions-information-reports/opinions/reindustrialisation-europe-opportunity-businesses-employees-and-citizens-context-cost-living-crisis" TargetMode="External"/><Relationship Id="rId6" Type="http://schemas.openxmlformats.org/officeDocument/2006/relationships/hyperlink" Target="https://www.eesc.europa.eu/lt/agenda/our-events/events/how-address-loss-purchasing-power-and-risk-rising-inequalities-exclusion-and-marginalization" TargetMode="External"/><Relationship Id="rId11" Type="http://schemas.openxmlformats.org/officeDocument/2006/relationships/hyperlink" Target="https://www.coe.int/en/web/european-social-charter/-/the-european-committee-of-social-rights-publishes-its-review-on-social-rights-and-cost-of-living-crisis" TargetMode="External"/><Relationship Id="rId24" Type="http://schemas.openxmlformats.org/officeDocument/2006/relationships/hyperlink" Target="https://ec.europa.eu/eurostat/web/products-eurostat-news/w/ddn-20240712-1" TargetMode="External"/><Relationship Id="rId32" Type="http://schemas.openxmlformats.org/officeDocument/2006/relationships/hyperlink" Target="https://www.eapn.eu/wp-content/uploads/2023/02/eapn-EAPN-Report-2022_Equal-access-to-affordable-quality-essential-services-5639.pdf" TargetMode="External"/><Relationship Id="rId37" Type="http://schemas.openxmlformats.org/officeDocument/2006/relationships/hyperlink" Target="https://socialsecurity.belgium.be/fr/publications/la-hulpe-declaration-future-european-pillar-social-rights" TargetMode="External"/><Relationship Id="rId5" Type="http://schemas.openxmlformats.org/officeDocument/2006/relationships/hyperlink" Target="https://www.eesc.europa.eu/lt/our-work/opinions-information-reports/opinions/fragmentation-supply-chains-and-impact-cost-living" TargetMode="External"/><Relationship Id="rId15" Type="http://schemas.openxmlformats.org/officeDocument/2006/relationships/hyperlink" Target="https://europa.eu/eurobarometer/surveys/detail/3292" TargetMode="External"/><Relationship Id="rId23" Type="http://schemas.openxmlformats.org/officeDocument/2006/relationships/hyperlink" Target="https://www.imf.org/en/Blogs/Articles/2024/11/18/new-european-wealth-gauge-helps-policymakers-address-inequality" TargetMode="External"/><Relationship Id="rId28" Type="http://schemas.openxmlformats.org/officeDocument/2006/relationships/hyperlink" Target="https://www.eurofound.europa.eu/en/resources/article/2025/substantial-rises-national-minimum-wages-2025-linked-eu-directive" TargetMode="External"/><Relationship Id="rId36" Type="http://schemas.openxmlformats.org/officeDocument/2006/relationships/hyperlink" Target="https://www.eurofound.europa.eu/en/publications/2022/cost-living-crisis-and-energy-poverty-eu-social-impact-and-policy-responses" TargetMode="External"/><Relationship Id="rId10" Type="http://schemas.openxmlformats.org/officeDocument/2006/relationships/hyperlink" Target="https://eurohealthnet.eu/publication/promoting-and-protecting-health-amidst-the-rising-cost-of-living-crisis/" TargetMode="External"/><Relationship Id="rId19" Type="http://schemas.openxmlformats.org/officeDocument/2006/relationships/hyperlink" Target="https://feps-europe.eu/publication/progressive-yearbook-2023/" TargetMode="External"/><Relationship Id="rId31" Type="http://schemas.openxmlformats.org/officeDocument/2006/relationships/hyperlink" Target="https://www.eapn.eu/wp-content/uploads/2023/02/eapn-EAPN-Report-2022_Equal-access-to-affordable-quality-essential-services-5639.pdf" TargetMode="External"/><Relationship Id="rId4" Type="http://schemas.openxmlformats.org/officeDocument/2006/relationships/hyperlink" Target="https://www.eesc.europa.eu/lt/our-work/opinions-information-reports/opinions/phasing-out-fossil-fuel-subsidies-while-ensuring-european-competitiveness-mitigating-cost-living-crisis-and-promoting" TargetMode="External"/><Relationship Id="rId9" Type="http://schemas.openxmlformats.org/officeDocument/2006/relationships/hyperlink" Target="https://eur-lex.europa.eu/eli/C/2025/760/oj" TargetMode="External"/><Relationship Id="rId14" Type="http://schemas.openxmlformats.org/officeDocument/2006/relationships/hyperlink" Target="https://ec.europa.eu/eurostat/web/interactive-publications/housing-2023" TargetMode="External"/><Relationship Id="rId22" Type="http://schemas.openxmlformats.org/officeDocument/2006/relationships/hyperlink" Target="https://www.oecd.org/en/publications/oecd-employment-outlook-2024_ac8b3538-en.html" TargetMode="External"/><Relationship Id="rId27" Type="http://schemas.openxmlformats.org/officeDocument/2006/relationships/hyperlink" Target="https://www.statista.com/statistics/1258896/inactive-population-in-europe-by-country/" TargetMode="External"/><Relationship Id="rId30" Type="http://schemas.openxmlformats.org/officeDocument/2006/relationships/hyperlink" Target="https://eur-lex.europa.eu/legal-content/LT/TXT/?uri=CELEX%3A32023H0203%2801%29" TargetMode="External"/><Relationship Id="rId35" Type="http://schemas.openxmlformats.org/officeDocument/2006/relationships/hyperlink" Target="https://www.eapn.eu/wp-content/uploads/2023/02/eapn-EAPN-Report-2022_Equal-access-to-affordable-quality-essential-services-563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A6WAAD5KZT2Q-604569563-12879</_dlc_DocId>
    <_dlc_DocIdUrl xmlns="1a33af13-4045-4f88-9d7b-618e30f79918">
      <Url>http://dm/eesc/2025/_layouts/15/DocIdRedir.aspx?ID=A6WAAD5KZT2Q-604569563-12879</Url>
      <Description>A6WAAD5KZT2Q-604569563-12879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2025-06-27T12:00:00+00:00</ProductionDate>
    <DocumentNumber xmlns="be3ca9a7-9286-4008-99ec-aebc20da9dc2">15</DocumentNumber>
    <FicheYear xmlns="1a33af13-4045-4f88-9d7b-618e30f79918" xsi:nil="true"/>
    <DossierNumber xmlns="1a33af13-4045-4f88-9d7b-618e30f79918">823</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1a33af13-4045-4f88-9d7b-618e30f79918" xsi:nil="true"/>
    <TaxCatchAll xmlns="1a33af13-4045-4f88-9d7b-618e30f79918">
      <Value>79</Value>
      <Value>75</Value>
      <Value>50</Value>
      <Value>47</Value>
      <Value>46</Value>
      <Value>43</Value>
      <Value>42</Value>
      <Value>41</Value>
      <Value>40</Value>
      <Value>39</Value>
      <Value>37</Value>
      <Value>36</Value>
      <Value>35</Value>
      <Value>34</Value>
      <Value>33</Value>
      <Value>32</Value>
      <Value>31</Value>
      <Value>30</Value>
      <Value>29</Value>
      <Value>28</Value>
      <Value>27</Value>
      <Value>24</Value>
      <Value>23</Value>
      <Value>16</Value>
      <Value>15</Value>
      <Value>13</Value>
      <Value>12</Value>
      <Value>8</Value>
      <Value>5</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LT</TermName>
          <TermId xmlns="http://schemas.microsoft.com/office/infopath/2007/PartnerControls">a7ff5ce7-6123-4f68-865a-a57c31810414</TermId>
        </TermInfo>
      </Terms>
    </DocumentLanguage_0>
    <Rapporteur xmlns="1a33af13-4045-4f88-9d7b-618e30f79918">BARRERA CHAMORRO</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1a33af13-4045-4f88-9d7b-618e30f79918">2025</DocumentYear>
    <FicheNumber xmlns="1a33af13-4045-4f88-9d7b-618e30f79918">6686</FicheNumber>
    <OriginalSender xmlns="1a33af13-4045-4f88-9d7b-618e30f79918">
      <UserInfo>
        <DisplayName>Zebrauskas Linas</DisplayName>
        <AccountId>1563</AccountId>
        <AccountType/>
      </UserInfo>
    </OriginalSender>
    <DocumentPart xmlns="1a33af13-4045-4f88-9d7b-618e30f79918">0</DocumentPart>
    <AdoptionDate xmlns="1a33af13-4045-4f88-9d7b-618e30f79918">2025-06-19T12:00:00+00:00</AdoptionDate>
    <RequestingService xmlns="1a33af13-4045-4f88-9d7b-618e30f79918">Emploi, affaires sociales, citoyenneté</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SOC</TermName>
          <TermId xmlns="http://schemas.microsoft.com/office/infopath/2007/PartnerControls">13795804-ecbd-4ce5-9693-9b8be1981b20</TermId>
        </TermInfo>
      </Terms>
    </DossierName_0>
    <DocumentVersion xmlns="1a33af13-4045-4f88-9d7b-618e30f79918">3</DocumentVersion>
  </documentManagement>
</p:properties>
</file>

<file path=customXml/itemProps1.xml><?xml version="1.0" encoding="utf-8"?>
<ds:datastoreItem xmlns:ds="http://schemas.openxmlformats.org/officeDocument/2006/customXml" ds:itemID="{B6E31BCF-C2E1-42AC-98BE-650E538C0C76}"/>
</file>

<file path=customXml/itemProps2.xml><?xml version="1.0" encoding="utf-8"?>
<ds:datastoreItem xmlns:ds="http://schemas.openxmlformats.org/officeDocument/2006/customXml" ds:itemID="{0B31CF06-D314-4EA4-A14B-8FECC9C081BD}"/>
</file>

<file path=customXml/itemProps3.xml><?xml version="1.0" encoding="utf-8"?>
<ds:datastoreItem xmlns:ds="http://schemas.openxmlformats.org/officeDocument/2006/customXml" ds:itemID="{868456B6-E149-44BD-9C23-F04E82D85376}"/>
</file>

<file path=customXml/itemProps4.xml><?xml version="1.0" encoding="utf-8"?>
<ds:datastoreItem xmlns:ds="http://schemas.openxmlformats.org/officeDocument/2006/customXml" ds:itemID="{8E9D2AF6-BA78-4803-B007-63443E16A38B}"/>
</file>

<file path=docProps/app.xml><?xml version="1.0" encoding="utf-8"?>
<Properties xmlns="http://schemas.openxmlformats.org/officeDocument/2006/extended-properties" xmlns:vt="http://schemas.openxmlformats.org/officeDocument/2006/docPropsVTypes">
  <Template>Normal.dotm</Template>
  <TotalTime>0</TotalTime>
  <Pages>23</Pages>
  <Words>6366</Words>
  <Characters>36290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Loss of purchasing power/inequalities, exclusion, marginalisation</vt:lpstr>
    </vt:vector>
  </TitlesOfParts>
  <Company>CESE-CdR</Company>
  <LinksUpToDate>false</LinksUpToDate>
  <CharactersWithSpaces>42571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Perkamosios galios praradimas ir nelygybė, atskirtis, marginalizacija</dc:title>
  <dc:subject>AC</dc:subject>
  <dc:creator>Francois Aude</dc:creator>
  <cp:keywords>EESC-2025-00015-00-03-AC-TRA-EN</cp:keywords>
  <dc:description>Rapporteur: BARRERA CHAMORRO - Original language: EN - Date of document: 27/06/2025 - Date of meeting:  - External documents:  - Administrator: Mme ATZORI Valeria</dc:description>
  <cp:lastModifiedBy>Zebrauskas Linas</cp:lastModifiedBy>
  <cp:revision>5</cp:revision>
  <dcterms:created xsi:type="dcterms:W3CDTF">2025-06-27T11:46:00Z</dcterms:created>
  <dcterms:modified xsi:type="dcterms:W3CDTF">2025-06-27T11:46:00Z</dcterms:modified>
  <cp:category>SOC/823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26/06/2025, 23/06/2025, 20/06/2025, 17/04/2024, 12/04/2024, 17/05/2022</vt:lpwstr>
  </property>
  <property fmtid="{D5CDD505-2E9C-101B-9397-08002B2CF9AE}" pid="4" name="Pref_Time">
    <vt:lpwstr>14:54:33, 14:41:05, 15:15:40, 09:47:22, 11:43:34, 14:58:36</vt:lpwstr>
  </property>
  <property fmtid="{D5CDD505-2E9C-101B-9397-08002B2CF9AE}" pid="5" name="Pref_User">
    <vt:lpwstr>jhvi, nnas, amett, enied, enied, enied</vt:lpwstr>
  </property>
  <property fmtid="{D5CDD505-2E9C-101B-9397-08002B2CF9AE}" pid="6" name="Pref_FileName">
    <vt:lpwstr>EESC-2025-00015-00-03-AC-ORI.docx, EESC-2025-00015-00-02-AC-ORI.docx, EESC-2025-00015-00-01-AC-TRA.docx, COR-EESC-2024-01326-10-00-ADMIN-TRA-EN.docx, COR-EESC-2024-01326-10-00-ADMIN-ORI.docx, COR-EESC-2022-02592-00-00-ADMIN-ORI.docx</vt:lpwstr>
  </property>
  <property fmtid="{D5CDD505-2E9C-101B-9397-08002B2CF9AE}" pid="7" name="ContentTypeId">
    <vt:lpwstr>0x010100EA97B91038054C99906057A708A1480A006BB3B767F3CF4149BF520211D4A86BC0</vt:lpwstr>
  </property>
  <property fmtid="{D5CDD505-2E9C-101B-9397-08002B2CF9AE}" pid="8" name="_dlc_DocIdItemGuid">
    <vt:lpwstr>922c0a73-8dcb-44ca-97de-10ad4aa0288d</vt:lpwstr>
  </property>
  <property fmtid="{D5CDD505-2E9C-101B-9397-08002B2CF9AE}" pid="9" name="AvailableTranslations">
    <vt:lpwstr>27;#NL|55c6556c-b4f4-441d-9acf-c498d4f838bd;#30;#LT|a7ff5ce7-6123-4f68-865a-a57c31810414;#39;#LV|46f7e311-5d9f-4663-b433-18aeccb7ace7;#40;#DA|5d49c027-8956-412b-aa16-e85a0f96ad0e;#34;#IT|0774613c-01ed-4e5d-a25d-11d2388de825;#42;#EL|6d4f4d51-af9b-4650-94b4-4276bee85c91;#36;#RO|feb747a2-64cd-4299-af12-4833ddc30497;#5;#EN|f2175f21-25d7-44a3-96da-d6a61b075e1b;#16;#ES|e7a6b05b-ae16-40c8-add9-68b64b03aeba;#31;#SL|98a412ae-eb01-49e9-ae3d-585a81724cfc;#32;#MT|7df99101-6854-4a26-b53a-b88c0da02c26;#43;#GA|762d2456-c427-4ecb-b312-af3dad8e258c;#28;#SV|c2ed69e7-a339-43d7-8f22-d93680a92aa0;#41;#ET|ff6c3f4c-b02c-4c3c-ab07-2c37995a7a0a;#47;#BG|1a1b3951-7821-4e6a-85f5-5673fc08bd2c;#50;#HR|2f555653-ed1a-4fe6-8362-9082d95989e5;#23;#DE|f6b31e5a-26fa-4935-b661-318e46daf27e;#33;#PT|50ccc04a-eadd-42ae-a0cb-acaf45f812ba;#12;#FR|d2afafd3-4c81-4f60-8f52-ee33f2f54ff3;#29;#CS|72f9705b-0217-4fd3-bea2-cbc7ed80e26e;#35;#FI|87606a43-d45f-42d6-b8c9-e1a3457db5b7;#24;#PL|1e03da61-4678-4e07-b136-b5024ca9197b;#37;#HU|6b229040-c589-4408-b4c1-4285663d20a8;#46;#SK|46d9fce0-ef79-4f71-b89b-cd6aa82426b8</vt:lpwstr>
  </property>
  <property fmtid="{D5CDD505-2E9C-101B-9397-08002B2CF9AE}" pid="10" name="DocumentType_0">
    <vt:lpwstr>AC|a4cc1d15-fb08-4679-ad46-e4e0cba5fe92</vt:lpwstr>
  </property>
  <property fmtid="{D5CDD505-2E9C-101B-9397-08002B2CF9AE}" pid="11" name="DossierName_0">
    <vt:lpwstr>SOC|13795804-ecbd-4ce5-9693-9b8be1981b20</vt:lpwstr>
  </property>
  <property fmtid="{D5CDD505-2E9C-101B-9397-08002B2CF9AE}" pid="12" name="DocumentSource_0">
    <vt:lpwstr>EESC|422833ec-8d7e-4e65-8e4e-8bed07ffb729</vt:lpwstr>
  </property>
  <property fmtid="{D5CDD505-2E9C-101B-9397-08002B2CF9AE}" pid="13" name="DocumentNumber">
    <vt:i4>15</vt:i4>
  </property>
  <property fmtid="{D5CDD505-2E9C-101B-9397-08002B2CF9AE}" pid="14" name="DocumentVersion">
    <vt:i4>3</vt:i4>
  </property>
  <property fmtid="{D5CDD505-2E9C-101B-9397-08002B2CF9AE}" pid="15" name="DossierNumber">
    <vt:i4>823</vt:i4>
  </property>
  <property fmtid="{D5CDD505-2E9C-101B-9397-08002B2CF9AE}" pid="16" name="DocumentStatus">
    <vt:lpwstr>13;#TRA|150d2a88-1431-44e6-a8ca-0bb753ab8672</vt:lpwstr>
  </property>
  <property fmtid="{D5CDD505-2E9C-101B-9397-08002B2CF9AE}" pid="17" name="DossierName">
    <vt:lpwstr>75;#SOC|13795804-ecbd-4ce5-9693-9b8be1981b20</vt:lpwstr>
  </property>
  <property fmtid="{D5CDD505-2E9C-101B-9397-08002B2CF9AE}" pid="18" name="RequestingService">
    <vt:lpwstr>Emploi, affaires sociales, citoyenneté</vt:lpwstr>
  </property>
  <property fmtid="{D5CDD505-2E9C-101B-9397-08002B2CF9AE}" pid="19" name="Confidentiality">
    <vt:lpwstr>15;#Unrestricted|826e22d7-d029-4ec0-a450-0c28ff673572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15;#Unrestricted|826e22d7-d029-4ec0-a450-0c28ff673572;#13;#TRA|150d2a88-1431-44e6-a8ca-0bb753ab8672;#79;#AC|a4cc1d15-fb08-4679-ad46-e4e0cba5fe92;#8;#Final|ea5e6674-7b27-4bac-b091-73adbb394efe;#75;#SOC|13795804-ecbd-4ce5-9693-9b8be1981b20;#5;#EN|f2175f21-25d7-44a3-96da-d6a61b075e1b;#1;#EESC|422833ec-8d7e-4e65-8e4e-8bed07ffb729</vt:lpwstr>
  </property>
  <property fmtid="{D5CDD505-2E9C-101B-9397-08002B2CF9AE}" pid="29" name="Rapporteur">
    <vt:lpwstr>BARRERA CHAMORRO</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2025</vt:i4>
  </property>
  <property fmtid="{D5CDD505-2E9C-101B-9397-08002B2CF9AE}" pid="33" name="FicheNumber">
    <vt:i4>6686</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2025-06-19T12:00:00Z</vt:filetime>
  </property>
  <property fmtid="{D5CDD505-2E9C-101B-9397-08002B2CF9AE}" pid="37" name="DocumentType">
    <vt:lpwstr>79;#AC|a4cc1d15-fb08-4679-ad46-e4e0cba5fe92</vt:lpwstr>
  </property>
  <property fmtid="{D5CDD505-2E9C-101B-9397-08002B2CF9AE}" pid="38" name="DocumentLanguage">
    <vt:lpwstr>30;#LT|a7ff5ce7-6123-4f68-865a-a57c31810414</vt:lpwstr>
  </property>
</Properties>
</file>