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289"/>
      </w:tblGrid>
      <w:tr w:rsidR="00071DC2" w14:paraId="066C7290" w14:textId="77777777">
        <w:trPr>
          <w:jc w:val="center"/>
        </w:trPr>
        <w:tc>
          <w:tcPr>
            <w:tcW w:w="5000" w:type="pct"/>
            <w:vAlign w:val="center"/>
          </w:tcPr>
          <w:p w:rsidRPr="003A24F5" w:rsidR="00574C9B" w:rsidP="0075514E" w:rsidRDefault="00574C9B" w14:paraId="0BF30DFE" w14:textId="77777777">
            <w:pPr>
              <w:jc w:val="center"/>
              <w:rPr>
                <w:b/>
                <w:sz w:val="72"/>
                <w:szCs w:val="72"/>
              </w:rPr>
            </w:pPr>
            <w:r>
              <w:rPr>
                <w:b/>
                <w:sz w:val="72"/>
              </w:rPr>
              <w:t>DICTAMEN</w:t>
            </w:r>
          </w:p>
        </w:tc>
      </w:tr>
      <w:tr w:rsidR="00071DC2" w14:paraId="36F3FE7F" w14:textId="77777777">
        <w:trPr>
          <w:trHeight w:val="567"/>
          <w:jc w:val="center"/>
        </w:trPr>
        <w:tc>
          <w:tcPr>
            <w:tcW w:w="5000" w:type="pct"/>
            <w:vAlign w:val="center"/>
          </w:tcPr>
          <w:p w:rsidRPr="003A24F5" w:rsidR="00574C9B" w:rsidP="0075514E" w:rsidRDefault="00574C9B" w14:paraId="0973B504" w14:textId="77777777">
            <w:pPr>
              <w:jc w:val="center"/>
              <w:rPr>
                <w:sz w:val="24"/>
                <w:szCs w:val="24"/>
              </w:rPr>
            </w:pPr>
            <w:r>
              <w:rPr>
                <w:sz w:val="24"/>
              </w:rPr>
              <w:t>Comité Económico y Social Europeo</w:t>
            </w:r>
          </w:p>
        </w:tc>
      </w:tr>
      <w:tr w:rsidR="00071DC2" w14:paraId="77A4FD43" w14:textId="77777777">
        <w:trPr>
          <w:jc w:val="center"/>
        </w:trPr>
        <w:tc>
          <w:tcPr>
            <w:tcW w:w="5000" w:type="pct"/>
            <w:vAlign w:val="center"/>
          </w:tcPr>
          <w:p w:rsidRPr="003A24F5" w:rsidR="00574C9B" w:rsidP="0075514E" w:rsidRDefault="00D255D6" w14:paraId="49770FC6" w14:textId="77777777">
            <w:pPr>
              <w:jc w:val="center"/>
              <w:rPr>
                <w:b/>
                <w:sz w:val="44"/>
                <w:szCs w:val="44"/>
              </w:rPr>
            </w:pPr>
            <w:r>
              <w:rPr>
                <w:b/>
                <w:sz w:val="44"/>
              </w:rPr>
              <w:t>Fragmentación de las cadenas de suministro e impacto en el coste de la vida</w:t>
            </w:r>
          </w:p>
        </w:tc>
      </w:tr>
      <w:tr w:rsidR="00071DC2" w14:paraId="5E812223" w14:textId="77777777">
        <w:trPr>
          <w:jc w:val="center"/>
        </w:trPr>
        <w:tc>
          <w:tcPr>
            <w:tcW w:w="5000" w:type="pct"/>
            <w:vAlign w:val="center"/>
          </w:tcPr>
          <w:p w:rsidRPr="003A24F5" w:rsidR="00574C9B" w:rsidP="0075514E" w:rsidRDefault="00574C9B" w14:paraId="0F94E77B" w14:textId="77777777">
            <w:pPr>
              <w:overflowPunct w:val="0"/>
              <w:autoSpaceDE w:val="0"/>
              <w:autoSpaceDN w:val="0"/>
              <w:adjustRightInd w:val="0"/>
              <w:jc w:val="center"/>
              <w:textAlignment w:val="baseline"/>
              <w:rPr>
                <w:b/>
                <w:position w:val="24"/>
                <w:sz w:val="24"/>
                <w:szCs w:val="24"/>
              </w:rPr>
            </w:pPr>
            <w:r>
              <w:rPr>
                <w:sz w:val="24"/>
              </w:rPr>
              <w:t>_____________</w:t>
            </w:r>
          </w:p>
        </w:tc>
      </w:tr>
      <w:tr w:rsidR="00071DC2" w14:paraId="613D3E2C" w14:textId="77777777">
        <w:trPr>
          <w:jc w:val="center"/>
        </w:trPr>
        <w:tc>
          <w:tcPr>
            <w:tcW w:w="5000" w:type="pct"/>
            <w:vAlign w:val="center"/>
          </w:tcPr>
          <w:p w:rsidRPr="003A24F5" w:rsidR="004170F0" w:rsidP="0075514E" w:rsidRDefault="00D255D6" w14:paraId="1B078B5C" w14:textId="77777777">
            <w:pPr>
              <w:jc w:val="center"/>
              <w:rPr>
                <w:sz w:val="24"/>
                <w:szCs w:val="24"/>
              </w:rPr>
            </w:pPr>
            <w:r>
              <w:rPr>
                <w:sz w:val="24"/>
              </w:rPr>
              <w:t>Fragmentación de las cadenas de suministro e impacto en el coste de la vida</w:t>
            </w:r>
          </w:p>
          <w:p w:rsidRPr="000255BE" w:rsidR="00574C9B" w:rsidP="0075514E" w:rsidRDefault="00914683" w14:paraId="0B79F874" w14:textId="77777777">
            <w:pPr>
              <w:jc w:val="center"/>
              <w:rPr>
                <w:b/>
                <w:bCs/>
              </w:rPr>
            </w:pPr>
            <w:r>
              <w:rPr>
                <w:b/>
              </w:rPr>
              <w:t>(Dictamen de iniciativa)</w:t>
            </w:r>
          </w:p>
        </w:tc>
      </w:tr>
      <w:tr w:rsidR="00071DC2" w14:paraId="2B366DC4" w14:textId="77777777">
        <w:trPr>
          <w:jc w:val="center"/>
        </w:trPr>
        <w:tc>
          <w:tcPr>
            <w:tcW w:w="5000" w:type="pct"/>
            <w:vAlign w:val="center"/>
          </w:tcPr>
          <w:p w:rsidRPr="003A24F5" w:rsidR="00574C9B" w:rsidP="0075514E" w:rsidRDefault="00574C9B" w14:paraId="05871B7E" w14:textId="77777777">
            <w:pPr>
              <w:jc w:val="center"/>
              <w:rPr>
                <w:sz w:val="24"/>
                <w:szCs w:val="24"/>
                <w:lang w:val="en-GB"/>
              </w:rPr>
            </w:pPr>
          </w:p>
        </w:tc>
      </w:tr>
      <w:tr w:rsidR="00071DC2" w14:paraId="2C3B0B3D" w14:textId="77777777">
        <w:trPr>
          <w:jc w:val="center"/>
        </w:trPr>
        <w:tc>
          <w:tcPr>
            <w:tcW w:w="5000" w:type="pct"/>
            <w:vAlign w:val="center"/>
          </w:tcPr>
          <w:p w:rsidRPr="003A24F5" w:rsidR="00574C9B" w:rsidP="0075514E" w:rsidRDefault="004170F0" w14:paraId="621DCC7F" w14:textId="77777777">
            <w:pPr>
              <w:jc w:val="center"/>
              <w:rPr>
                <w:b/>
                <w:sz w:val="24"/>
                <w:szCs w:val="24"/>
              </w:rPr>
            </w:pPr>
            <w:r>
              <w:rPr>
                <w:b/>
                <w:sz w:val="24"/>
              </w:rPr>
              <w:t>REX/600</w:t>
            </w:r>
          </w:p>
        </w:tc>
      </w:tr>
      <w:tr w:rsidR="00071DC2" w14:paraId="3BDCBED0" w14:textId="77777777">
        <w:trPr>
          <w:jc w:val="center"/>
        </w:trPr>
        <w:tc>
          <w:tcPr>
            <w:tcW w:w="5000" w:type="pct"/>
            <w:vAlign w:val="center"/>
          </w:tcPr>
          <w:p w:rsidRPr="003A24F5" w:rsidR="00574C9B" w:rsidP="0075514E" w:rsidRDefault="00574C9B" w14:paraId="702AFA99" w14:textId="77777777">
            <w:pPr>
              <w:jc w:val="center"/>
              <w:rPr>
                <w:sz w:val="24"/>
                <w:szCs w:val="24"/>
                <w:lang w:val="en-GB"/>
              </w:rPr>
            </w:pPr>
          </w:p>
        </w:tc>
      </w:tr>
      <w:tr w:rsidR="00071DC2" w14:paraId="3A27E5DB" w14:textId="77777777">
        <w:trPr>
          <w:jc w:val="center"/>
        </w:trPr>
        <w:tc>
          <w:tcPr>
            <w:tcW w:w="5000" w:type="pct"/>
            <w:vAlign w:val="center"/>
          </w:tcPr>
          <w:p w:rsidRPr="003A24F5" w:rsidR="00574C9B" w:rsidP="0075514E" w:rsidRDefault="00574C9B" w14:paraId="1E90F586" w14:textId="77777777">
            <w:pPr>
              <w:jc w:val="center"/>
              <w:rPr>
                <w:sz w:val="24"/>
                <w:szCs w:val="24"/>
              </w:rPr>
            </w:pPr>
            <w:r>
              <w:t>Ponente:</w:t>
            </w:r>
            <w:r>
              <w:rPr>
                <w:b/>
              </w:rPr>
              <w:t xml:space="preserve"> Dimitris DIMITRIADIS</w:t>
            </w:r>
          </w:p>
        </w:tc>
      </w:tr>
      <w:tr w:rsidR="00071DC2" w14:paraId="36C47168" w14:textId="77777777">
        <w:trPr>
          <w:jc w:val="center"/>
        </w:trPr>
        <w:tc>
          <w:tcPr>
            <w:tcW w:w="5000" w:type="pct"/>
            <w:vAlign w:val="center"/>
          </w:tcPr>
          <w:p w:rsidRPr="003A24F5" w:rsidR="00CB7CD0" w:rsidP="0075514E" w:rsidRDefault="00CB7CD0" w14:paraId="27A9C3AC" w14:textId="77777777">
            <w:pPr>
              <w:jc w:val="center"/>
              <w:rPr>
                <w:sz w:val="24"/>
                <w:szCs w:val="24"/>
              </w:rPr>
            </w:pPr>
            <w:r>
              <w:t xml:space="preserve">Coponente: </w:t>
            </w:r>
            <w:r>
              <w:rPr>
                <w:b/>
              </w:rPr>
              <w:t>Anastasis YIAPANIS</w:t>
            </w:r>
          </w:p>
        </w:tc>
      </w:tr>
    </w:tbl>
    <w:p w:rsidRPr="003A24F5" w:rsidR="00574C9B" w:rsidP="0075514E" w:rsidRDefault="00574C9B" w14:paraId="293F670B" w14:textId="77777777">
      <w:r>
        <w:rPr>
          <w:noProof/>
          <w:sz w:val="20"/>
        </w:rPr>
        <mc:AlternateContent>
          <mc:Choice Requires="wps">
            <w:drawing>
              <wp:anchor distT="0" distB="0" distL="114300" distR="114300" simplePos="0" relativeHeight="251658240" behindDoc="1" locked="0" layoutInCell="0" allowOverlap="1" wp14:editId="20E9D8E3" wp14:anchorId="36060B3C">
                <wp:simplePos x="0" y="0"/>
                <wp:positionH relativeFrom="rightMargin">
                  <wp:posOffset>-201930</wp:posOffset>
                </wp:positionH>
                <wp:positionV relativeFrom="page">
                  <wp:posOffset>9486900</wp:posOffset>
                </wp:positionV>
                <wp:extent cx="741600" cy="432000"/>
                <wp:effectExtent l="0" t="0" r="0" b="635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00" cy="43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C9B" w:rsidP="00574C9B" w:rsidRDefault="00574C9B" w14:paraId="3B14F696" w14:textId="77777777">
                            <w:pPr>
                              <w:jc w:val="center"/>
                            </w:pPr>
                            <w:r>
                              <w:rPr>
                                <w:rFonts w:ascii="Arial" w:hAnsi="Arial"/>
                                <w:b/>
                                <w:sz w:val="48"/>
                              </w:rPr>
                              <w: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6060B3C">
                <v:stroke joinstyle="miter"/>
                <v:path gradientshapeok="t" o:connecttype="rect"/>
              </v:shapetype>
              <v:shape id="Text Box 17" style="position:absolute;left:0;text-align:left;margin-left:-15.9pt;margin-top:747pt;width:58.4pt;height:34pt;z-index:-251658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">
                <v:textbox>
                  <w:txbxContent>
                    <w:p w:rsidR="00574C9B" w:rsidP="00574C9B" w:rsidRDefault="00574C9B" w14:paraId="3B14F696" w14:textId="77777777">
                      <w:pPr>
                        <w:jc w:val="center"/>
                      </w:pPr>
                      <w:r>
                        <w:rPr>
                          <w:rFonts w:ascii="Arial" w:hAnsi="Arial"/>
                          <w:b/>
                          <w:sz w:val="48"/>
                        </w:rPr>
                        <w:t>ES</w:t>
                      </w:r>
                    </w:p>
                  </w:txbxContent>
                </v:textbox>
                <w10:wrap anchorx="margin" anchory="page"/>
              </v:shape>
            </w:pict>
          </mc:Fallback>
        </mc:AlternateContent>
      </w:r>
    </w:p>
    <w:p w:rsidRPr="003A24F5" w:rsidR="00574C9B" w:rsidP="0075514E" w:rsidRDefault="00574C9B" w14:paraId="0060D6AF" w14:textId="77777777">
      <w:pPr>
        <w:rPr>
          <w:lang w:val="en-GB"/>
        </w:rPr>
      </w:pPr>
    </w:p>
    <w:p w:rsidRPr="003A24F5" w:rsidR="00574C9B" w:rsidP="0075514E" w:rsidRDefault="00574C9B" w14:paraId="1E18A835" w14:textId="77777777">
      <w:pPr>
        <w:rPr>
          <w:lang w:val="en-GB"/>
        </w:rPr>
        <w:sectPr w:rsidRPr="003A24F5" w:rsidR="00574C9B" w:rsidSect="00E31DAD">
          <w:headerReference w:type="even" r:id="rId11"/>
          <w:headerReference w:type="default" r:id="rId12"/>
          <w:footerReference w:type="even" r:id="rId13"/>
          <w:footerReference w:type="default" r:id="rId14"/>
          <w:headerReference w:type="first" r:id="rId15"/>
          <w:footerReference w:type="first" r:id="rId16"/>
          <w:pgSz w:w="11907" w:h="16839" w:code="9"/>
          <w:pgMar w:top="5669" w:right="1417" w:bottom="1417" w:left="1417" w:header="709" w:footer="709" w:gutter="0"/>
          <w:cols w:space="720"/>
          <w:docGrid w:linePitch="360"/>
        </w:sectPr>
      </w:pPr>
    </w:p>
    <w:tbl>
      <w:tblPr>
        <w:tblpPr w:leftFromText="181" w:rightFromText="181" w:tblpYSpec="bottom"/>
        <w:tblOverlap w:val="never"/>
        <w:tblW w:w="9289" w:type="dxa"/>
        <w:tblLayout w:type="fixed"/>
        <w:tblLook w:val="04A0" w:firstRow="1" w:lastRow="0" w:firstColumn="1" w:lastColumn="0" w:noHBand="0" w:noVBand="1"/>
      </w:tblPr>
      <w:tblGrid>
        <w:gridCol w:w="3085"/>
        <w:gridCol w:w="6204"/>
      </w:tblGrid>
      <w:tr w:rsidR="00071DC2" w14:paraId="14844D7F" w14:textId="77777777">
        <w:tc>
          <w:tcPr>
            <w:tcW w:w="3085" w:type="dxa"/>
          </w:tcPr>
          <w:p w:rsidRPr="003A24F5" w:rsidR="00914683" w:rsidP="0075514E" w:rsidRDefault="00914683" w14:paraId="32F9A850" w14:textId="77777777">
            <w:pPr>
              <w:autoSpaceDE w:val="0"/>
              <w:autoSpaceDN w:val="0"/>
              <w:jc w:val="left"/>
              <w:rPr>
                <w:szCs w:val="20"/>
              </w:rPr>
            </w:pPr>
            <w:r>
              <w:lastRenderedPageBreak/>
              <w:t>Asesores</w:t>
            </w:r>
          </w:p>
        </w:tc>
        <w:tc>
          <w:tcPr>
            <w:tcW w:w="6204" w:type="dxa"/>
            <w:vAlign w:val="bottom"/>
          </w:tcPr>
          <w:p w:rsidRPr="000255BE" w:rsidR="00D255D6" w:rsidP="00D255D6" w:rsidRDefault="00D255D6" w14:paraId="2EBAC9A0" w14:textId="77777777">
            <w:pPr>
              <w:jc w:val="left"/>
            </w:pPr>
            <w:r>
              <w:t>Mihai IVAȘCU (por el coponente)</w:t>
            </w:r>
          </w:p>
          <w:p w:rsidRPr="000255BE" w:rsidR="00D255D6" w:rsidP="00D255D6" w:rsidRDefault="00D255D6" w14:paraId="4ED5BA51" w14:textId="77777777">
            <w:pPr>
              <w:jc w:val="left"/>
            </w:pPr>
            <w:r>
              <w:t>Grigoris ZAROTIADIS (por el ponente)</w:t>
            </w:r>
          </w:p>
          <w:p w:rsidRPr="00E31DAD" w:rsidR="00D255D6" w:rsidP="00D255D6" w:rsidRDefault="00D255D6" w14:paraId="7859A24B" w14:textId="77777777">
            <w:pPr>
              <w:jc w:val="left"/>
            </w:pPr>
            <w:r>
              <w:t>Alexandros DIAMANTIDIS (por el Grupo I)</w:t>
            </w:r>
          </w:p>
          <w:p w:rsidRPr="003A24F5" w:rsidR="00914683" w:rsidP="00D255D6" w:rsidRDefault="00D255D6" w14:paraId="21B41487" w14:textId="77777777">
            <w:pPr>
              <w:autoSpaceDE w:val="0"/>
              <w:autoSpaceDN w:val="0"/>
              <w:jc w:val="left"/>
            </w:pPr>
            <w:r>
              <w:t>Nicolaos THEODOSIOU (por el Grupo III)</w:t>
            </w:r>
          </w:p>
        </w:tc>
      </w:tr>
      <w:tr w:rsidR="00071DC2" w14:paraId="0729E933" w14:textId="77777777">
        <w:tc>
          <w:tcPr>
            <w:tcW w:w="3085" w:type="dxa"/>
          </w:tcPr>
          <w:p w:rsidRPr="003A24F5" w:rsidR="00914683" w:rsidP="0075514E" w:rsidRDefault="00914683" w14:paraId="329DBB6F" w14:textId="77777777">
            <w:pPr>
              <w:autoSpaceDE w:val="0"/>
              <w:autoSpaceDN w:val="0"/>
              <w:jc w:val="left"/>
              <w:rPr>
                <w:szCs w:val="20"/>
                <w:lang w:val="en-GB"/>
              </w:rPr>
            </w:pPr>
          </w:p>
        </w:tc>
        <w:tc>
          <w:tcPr>
            <w:tcW w:w="6204" w:type="dxa"/>
            <w:vAlign w:val="bottom"/>
          </w:tcPr>
          <w:p w:rsidRPr="003A24F5" w:rsidR="00914683" w:rsidP="0075514E" w:rsidRDefault="00914683" w14:paraId="682C50F0" w14:textId="77777777">
            <w:pPr>
              <w:autoSpaceDE w:val="0"/>
              <w:autoSpaceDN w:val="0"/>
              <w:jc w:val="left"/>
              <w:rPr>
                <w:lang w:val="en-GB"/>
              </w:rPr>
            </w:pPr>
          </w:p>
        </w:tc>
      </w:tr>
      <w:tr w:rsidR="00071DC2" w14:paraId="660F3EFC" w14:textId="77777777">
        <w:tc>
          <w:tcPr>
            <w:tcW w:w="3085" w:type="dxa"/>
          </w:tcPr>
          <w:p w:rsidRPr="003A24F5" w:rsidR="00914683" w:rsidP="0075514E" w:rsidRDefault="00914683" w14:paraId="6DE3ED1E" w14:textId="77777777">
            <w:pPr>
              <w:autoSpaceDE w:val="0"/>
              <w:autoSpaceDN w:val="0"/>
              <w:jc w:val="left"/>
              <w:rPr>
                <w:szCs w:val="20"/>
              </w:rPr>
            </w:pPr>
            <w:r>
              <w:t>Decisión de la Asamblea</w:t>
            </w:r>
          </w:p>
        </w:tc>
        <w:tc>
          <w:tcPr>
            <w:tcW w:w="6204" w:type="dxa"/>
            <w:vAlign w:val="bottom"/>
          </w:tcPr>
          <w:p w:rsidRPr="003A24F5" w:rsidR="00914683" w:rsidP="0075514E" w:rsidRDefault="009452FA" w14:paraId="5C0C7C73" w14:textId="77777777">
            <w:pPr>
              <w:autoSpaceDE w:val="0"/>
              <w:autoSpaceDN w:val="0"/>
              <w:jc w:val="left"/>
            </w:pPr>
            <w:r>
              <w:t>5/12/2024</w:t>
            </w:r>
          </w:p>
        </w:tc>
      </w:tr>
      <w:tr w:rsidR="00071DC2" w14:paraId="50D1233F" w14:textId="77777777">
        <w:tc>
          <w:tcPr>
            <w:tcW w:w="3085" w:type="dxa"/>
          </w:tcPr>
          <w:p w:rsidRPr="003A24F5" w:rsidR="00914683" w:rsidP="0075514E" w:rsidRDefault="00914683" w14:paraId="71F0495F" w14:textId="77777777">
            <w:pPr>
              <w:autoSpaceDE w:val="0"/>
              <w:autoSpaceDN w:val="0"/>
              <w:jc w:val="left"/>
              <w:rPr>
                <w:szCs w:val="20"/>
              </w:rPr>
            </w:pPr>
            <w:r>
              <w:t>Base jurídica</w:t>
            </w:r>
          </w:p>
        </w:tc>
        <w:tc>
          <w:tcPr>
            <w:tcW w:w="6204" w:type="dxa"/>
            <w:vAlign w:val="bottom"/>
          </w:tcPr>
          <w:p w:rsidRPr="003A24F5" w:rsidR="00914683" w:rsidP="0075514E" w:rsidRDefault="00914683" w14:paraId="2A3BBD12" w14:textId="77777777">
            <w:pPr>
              <w:autoSpaceDE w:val="0"/>
              <w:autoSpaceDN w:val="0"/>
              <w:jc w:val="left"/>
            </w:pPr>
            <w:r>
              <w:t>Artículo 52, apartado 2, del Reglamento interno</w:t>
            </w:r>
          </w:p>
        </w:tc>
      </w:tr>
      <w:tr w:rsidR="00071DC2" w14:paraId="48C63D6D" w14:textId="77777777">
        <w:tc>
          <w:tcPr>
            <w:tcW w:w="3085" w:type="dxa"/>
          </w:tcPr>
          <w:p w:rsidRPr="003A24F5" w:rsidR="00AC5114" w:rsidP="0075514E" w:rsidRDefault="00AC5114" w14:paraId="0241FB36" w14:textId="77777777">
            <w:pPr>
              <w:autoSpaceDE w:val="0"/>
              <w:autoSpaceDN w:val="0"/>
              <w:jc w:val="left"/>
            </w:pPr>
            <w:r>
              <w:t>Sección competente</w:t>
            </w:r>
          </w:p>
        </w:tc>
        <w:tc>
          <w:tcPr>
            <w:tcW w:w="6204" w:type="dxa"/>
            <w:vAlign w:val="bottom"/>
          </w:tcPr>
          <w:p w:rsidRPr="003A24F5" w:rsidR="00AC5114" w:rsidP="0075514E" w:rsidRDefault="004170F0" w14:paraId="384EF97F" w14:textId="77777777">
            <w:pPr>
              <w:autoSpaceDE w:val="0"/>
              <w:autoSpaceDN w:val="0"/>
              <w:jc w:val="left"/>
            </w:pPr>
            <w:r>
              <w:t>Relaciones Exteriores</w:t>
            </w:r>
          </w:p>
        </w:tc>
      </w:tr>
      <w:tr w:rsidR="00071DC2" w14:paraId="77D865D8" w14:textId="77777777">
        <w:tc>
          <w:tcPr>
            <w:tcW w:w="3085" w:type="dxa"/>
          </w:tcPr>
          <w:p w:rsidRPr="003A24F5" w:rsidR="00AC5114" w:rsidP="0075514E" w:rsidRDefault="00AC5114" w14:paraId="782F6998" w14:textId="77777777">
            <w:pPr>
              <w:autoSpaceDE w:val="0"/>
              <w:autoSpaceDN w:val="0"/>
              <w:jc w:val="left"/>
            </w:pPr>
            <w:r>
              <w:t>Aprobado en sección</w:t>
            </w:r>
          </w:p>
        </w:tc>
        <w:tc>
          <w:tcPr>
            <w:tcW w:w="6204" w:type="dxa"/>
            <w:vAlign w:val="bottom"/>
          </w:tcPr>
          <w:p w:rsidRPr="003A24F5" w:rsidR="00AC5114" w:rsidP="0075514E" w:rsidRDefault="00D255D6" w14:paraId="4DF2D4BE" w14:textId="77777777">
            <w:pPr>
              <w:autoSpaceDE w:val="0"/>
              <w:autoSpaceDN w:val="0"/>
              <w:jc w:val="left"/>
            </w:pPr>
            <w:r>
              <w:t>6/5/2025</w:t>
            </w:r>
          </w:p>
        </w:tc>
      </w:tr>
      <w:tr w:rsidR="00071DC2" w14:paraId="390EFE36" w14:textId="77777777">
        <w:tc>
          <w:tcPr>
            <w:tcW w:w="3085" w:type="dxa"/>
          </w:tcPr>
          <w:p w:rsidRPr="003A24F5" w:rsidR="0058411F" w:rsidP="0075514E" w:rsidRDefault="0058411F" w14:paraId="43C81418" w14:textId="77777777">
            <w:pPr>
              <w:autoSpaceDE w:val="0"/>
              <w:autoSpaceDN w:val="0"/>
              <w:jc w:val="left"/>
            </w:pPr>
            <w:r>
              <w:t>Aprobado en el pleno</w:t>
            </w:r>
          </w:p>
        </w:tc>
        <w:tc>
          <w:tcPr>
            <w:tcW w:w="6204" w:type="dxa"/>
            <w:vAlign w:val="bottom"/>
          </w:tcPr>
          <w:p w:rsidRPr="003A24F5" w:rsidR="0058411F" w:rsidP="0075514E" w:rsidRDefault="00D255D6" w14:paraId="6DB7A3AC" w14:textId="77777777">
            <w:pPr>
              <w:autoSpaceDE w:val="0"/>
              <w:autoSpaceDN w:val="0"/>
              <w:jc w:val="left"/>
            </w:pPr>
            <w:r>
              <w:t>19/6/2025</w:t>
            </w:r>
          </w:p>
        </w:tc>
      </w:tr>
      <w:tr w:rsidR="00071DC2" w14:paraId="755CB53C" w14:textId="77777777">
        <w:tc>
          <w:tcPr>
            <w:tcW w:w="3085" w:type="dxa"/>
          </w:tcPr>
          <w:p w:rsidRPr="003A24F5" w:rsidR="0058411F" w:rsidP="0075514E" w:rsidRDefault="0058411F" w14:paraId="0F3B39DB" w14:textId="77777777">
            <w:pPr>
              <w:autoSpaceDE w:val="0"/>
              <w:autoSpaceDN w:val="0"/>
              <w:jc w:val="left"/>
            </w:pPr>
            <w:r>
              <w:t>Pleno n.º</w:t>
            </w:r>
          </w:p>
        </w:tc>
        <w:tc>
          <w:tcPr>
            <w:tcW w:w="6204" w:type="dxa"/>
            <w:vAlign w:val="bottom"/>
          </w:tcPr>
          <w:p w:rsidRPr="003A24F5" w:rsidR="0058411F" w:rsidP="0075514E" w:rsidRDefault="004170F0" w14:paraId="6E275109" w14:textId="77777777">
            <w:pPr>
              <w:autoSpaceDE w:val="0"/>
              <w:autoSpaceDN w:val="0"/>
              <w:jc w:val="left"/>
            </w:pPr>
            <w:r>
              <w:t>597</w:t>
            </w:r>
          </w:p>
        </w:tc>
      </w:tr>
      <w:tr w:rsidR="00071DC2" w14:paraId="557FDF17" w14:textId="77777777">
        <w:tc>
          <w:tcPr>
            <w:tcW w:w="3085" w:type="dxa"/>
          </w:tcPr>
          <w:p w:rsidRPr="003A24F5" w:rsidR="0058411F" w:rsidP="0075514E" w:rsidRDefault="0058411F" w14:paraId="00A1BF74" w14:textId="77777777">
            <w:pPr>
              <w:autoSpaceDE w:val="0"/>
              <w:autoSpaceDN w:val="0"/>
              <w:jc w:val="left"/>
            </w:pPr>
            <w:r>
              <w:t>Resultado de la votación</w:t>
            </w:r>
            <w:r>
              <w:br/>
              <w:t>(a favor/en contra/abstenciones)</w:t>
            </w:r>
          </w:p>
        </w:tc>
        <w:tc>
          <w:tcPr>
            <w:tcW w:w="6204" w:type="dxa"/>
            <w:vAlign w:val="bottom"/>
          </w:tcPr>
          <w:p w:rsidRPr="003A24F5" w:rsidR="0058411F" w:rsidP="0075514E" w:rsidRDefault="00D255D6" w14:paraId="583A73F8" w14:textId="77777777">
            <w:pPr>
              <w:autoSpaceDE w:val="0"/>
              <w:autoSpaceDN w:val="0"/>
              <w:jc w:val="left"/>
            </w:pPr>
            <w:r>
              <w:t>129/0/2</w:t>
            </w:r>
          </w:p>
        </w:tc>
      </w:tr>
    </w:tbl>
    <w:p w:rsidRPr="003A24F5" w:rsidR="00AC5114" w:rsidP="0075514E" w:rsidRDefault="00AC5114" w14:paraId="259E4D2C" w14:textId="77777777">
      <w:pPr>
        <w:rPr>
          <w:lang w:val="en-GB"/>
        </w:rPr>
      </w:pPr>
    </w:p>
    <w:p w:rsidRPr="003A24F5" w:rsidR="00AC5114" w:rsidP="0075514E" w:rsidRDefault="00AC5114" w14:paraId="45036654" w14:textId="77777777">
      <w:pPr>
        <w:rPr>
          <w:lang w:val="en-GB"/>
        </w:rPr>
        <w:sectPr w:rsidRPr="003A24F5" w:rsidR="00AC5114" w:rsidSect="00E31DAD">
          <w:headerReference w:type="even" r:id="rId17"/>
          <w:headerReference w:type="default" r:id="rId18"/>
          <w:footerReference w:type="default" r:id="rId19"/>
          <w:headerReference w:type="first" r:id="rId20"/>
          <w:pgSz w:w="11907" w:h="16839" w:code="9"/>
          <w:pgMar w:top="5669" w:right="1418" w:bottom="1418" w:left="1418" w:header="709" w:footer="709" w:gutter="0"/>
          <w:cols w:space="720"/>
          <w:docGrid w:linePitch="360"/>
        </w:sectPr>
      </w:pPr>
    </w:p>
    <w:p w:rsidRPr="003A24F5" w:rsidR="00D255D6" w:rsidP="00D255D6" w:rsidRDefault="00D255D6" w14:paraId="2E797A16" w14:textId="77777777">
      <w:pPr>
        <w:pStyle w:val="paragraph"/>
        <w:spacing w:before="0" w:beforeAutospacing="0" w:after="0" w:afterAutospacing="0"/>
        <w:jc w:val="both"/>
        <w:textAlignment w:val="baseline"/>
        <w:rPr>
          <w:rFonts w:ascii="Segoe UI" w:hAnsi="Segoe UI" w:cs="Segoe UI"/>
          <w:sz w:val="18"/>
          <w:szCs w:val="18"/>
        </w:rPr>
      </w:pPr>
      <w:r>
        <w:rPr>
          <w:rStyle w:val="normaltextrun"/>
          <w:b/>
          <w:i/>
          <w:sz w:val="22"/>
        </w:rPr>
        <w:lastRenderedPageBreak/>
        <w:t>Preámbulo</w:t>
      </w:r>
    </w:p>
    <w:p w:rsidRPr="003A24F5" w:rsidR="00D255D6" w:rsidP="00D255D6" w:rsidRDefault="00D255D6" w14:paraId="054D621B" w14:textId="77777777">
      <w:pPr>
        <w:pStyle w:val="paragraph"/>
        <w:spacing w:before="0" w:beforeAutospacing="0" w:after="0" w:afterAutospacing="0"/>
        <w:jc w:val="both"/>
        <w:textAlignment w:val="baseline"/>
        <w:rPr>
          <w:rFonts w:ascii="Segoe UI" w:hAnsi="Segoe UI" w:cs="Segoe UI"/>
          <w:sz w:val="18"/>
          <w:szCs w:val="18"/>
        </w:rPr>
      </w:pPr>
    </w:p>
    <w:p w:rsidRPr="003A24F5" w:rsidR="00D255D6" w:rsidP="00D255D6" w:rsidRDefault="00D255D6" w14:paraId="04B95D8F" w14:textId="77777777">
      <w:pPr>
        <w:pStyle w:val="paragraph"/>
        <w:spacing w:before="0" w:beforeAutospacing="0" w:after="0" w:afterAutospacing="0" w:line="288" w:lineRule="auto"/>
        <w:jc w:val="both"/>
        <w:textAlignment w:val="baseline"/>
        <w:rPr>
          <w:rFonts w:ascii="Segoe UI" w:hAnsi="Segoe UI" w:cs="Segoe UI"/>
          <w:sz w:val="18"/>
          <w:szCs w:val="18"/>
        </w:rPr>
      </w:pPr>
      <w:r>
        <w:rPr>
          <w:rStyle w:val="normaltextrun"/>
          <w:i/>
          <w:sz w:val="22"/>
        </w:rPr>
        <w:t>El presente Dictamen forma parte de un paquete más amplio de dictámenes del CESE sobre la crisis del coste de la vida. Con este paquete el CESE examina los diferentes aspectos de este reto político y presenta un conjunto de recomendaciones exhaustivo y de gran alcance destinado a los responsables de la formulación de políticas a escala europea y nacional, a las organizaciones de la sociedad civil y a otras partes interesadas. El paquete se compone de siete «dictámenes sectoriales»</w:t>
      </w:r>
      <w:r w:rsidRPr="003A24F5">
        <w:rPr>
          <w:rStyle w:val="FootnoteReference"/>
          <w:i/>
          <w:iCs/>
        </w:rPr>
        <w:footnoteReference w:id="1"/>
      </w:r>
      <w:r>
        <w:rPr>
          <w:rStyle w:val="normaltextrun"/>
          <w:i/>
          <w:sz w:val="22"/>
        </w:rPr>
        <w:t>, cada uno de ellos dedicado a un ámbito político específico pertinente. Además, un «dictamen general»</w:t>
      </w:r>
      <w:r w:rsidRPr="003A24F5">
        <w:rPr>
          <w:rStyle w:val="FootnoteReference"/>
          <w:i/>
          <w:iCs/>
        </w:rPr>
        <w:footnoteReference w:id="2"/>
      </w:r>
      <w:r>
        <w:rPr>
          <w:rStyle w:val="normaltextrun"/>
          <w:i/>
          <w:sz w:val="22"/>
        </w:rPr>
        <w:t xml:space="preserve"> presenta las recomendaciones políticas generales para abordar la crisis del coste de la vida en su conjunto y aumentar la resiliencia ante crisis futuras.</w:t>
      </w:r>
    </w:p>
    <w:p w:rsidRPr="000255BE" w:rsidR="00D255D6" w:rsidP="00D255D6" w:rsidRDefault="00D255D6" w14:paraId="5646EFD2" w14:textId="77777777">
      <w:pPr>
        <w:rPr>
          <w:lang w:val="en-GB"/>
        </w:rPr>
      </w:pPr>
    </w:p>
    <w:p w:rsidRPr="000255BE" w:rsidR="00D255D6" w:rsidP="00D255D6" w:rsidRDefault="00D255D6" w14:paraId="7A6B1FF4" w14:textId="77777777">
      <w:pPr>
        <w:pStyle w:val="Heading1"/>
        <w:rPr>
          <w:b/>
          <w:bCs/>
        </w:rPr>
      </w:pPr>
      <w:r>
        <w:rPr>
          <w:b/>
        </w:rPr>
        <w:t>Conclusiones y recomendaciones</w:t>
      </w:r>
    </w:p>
    <w:p w:rsidRPr="000255BE" w:rsidR="00D255D6" w:rsidP="00D255D6" w:rsidRDefault="00D255D6" w14:paraId="7AB5DD95" w14:textId="77777777">
      <w:pPr>
        <w:rPr>
          <w:lang w:val="en-GB"/>
        </w:rPr>
      </w:pPr>
    </w:p>
    <w:p w:rsidRPr="000255BE" w:rsidR="00D255D6" w:rsidP="00D255D6" w:rsidRDefault="00D255D6" w14:paraId="2E028668" w14:textId="77777777">
      <w:pPr>
        <w:pStyle w:val="Heading2"/>
      </w:pPr>
      <w:r>
        <w:t>Las perturbaciones en la cadena de suministro y las distorsiones del comercio están aumentando los costes para empresas y consumidores y llevando a un incremento de los costes de producción y transporte y de los precios de bienes esenciales, además de causar perturbaciones en el mercado laboral; todos estos son factores clave para la actual crisis del coste de la vida. La UE debe hallar un equilibrio entre el refuerzo de la resiliencia económica y la seguridad nacional y, al mismo tiempo, mitigar el riesgo de que aumente el proteccionismo.</w:t>
      </w:r>
    </w:p>
    <w:p w:rsidRPr="000255BE" w:rsidR="00D255D6" w:rsidP="00D255D6" w:rsidRDefault="00D255D6" w14:paraId="31EAFF33" w14:textId="77777777">
      <w:pPr>
        <w:rPr>
          <w:lang w:val="en-GB"/>
        </w:rPr>
      </w:pPr>
    </w:p>
    <w:p w:rsidRPr="000255BE" w:rsidR="00D255D6" w:rsidP="00D255D6" w:rsidRDefault="00D255D6" w14:paraId="1F4D22F1" w14:textId="77777777">
      <w:pPr>
        <w:pStyle w:val="Heading2"/>
      </w:pPr>
      <w:r>
        <w:t>El CESE hace hincapié en que, para mantener la competitividad, la UE debe:</w:t>
      </w:r>
    </w:p>
    <w:p w:rsidRPr="003A24F5" w:rsidR="00D255D6" w:rsidP="00D255D6" w:rsidRDefault="00D255D6" w14:paraId="6D42421A" w14:textId="77777777">
      <w:pPr>
        <w:pStyle w:val="ListParagraph"/>
        <w:numPr>
          <w:ilvl w:val="0"/>
          <w:numId w:val="6"/>
        </w:numPr>
        <w:ind w:left="1134" w:hanging="567"/>
      </w:pPr>
      <w:r>
        <w:t>reducir la dependencia de las importaciones de bienes y materiales fundamentales, en concreto en las industrias de alta tecnología y en sectores esenciales como el farmacéutico y el de los semiconductores;</w:t>
      </w:r>
    </w:p>
    <w:p w:rsidRPr="003A24F5" w:rsidR="00D255D6" w:rsidP="00D255D6" w:rsidRDefault="00D255D6" w14:paraId="21EED562" w14:textId="77777777">
      <w:pPr>
        <w:pStyle w:val="ListParagraph"/>
        <w:numPr>
          <w:ilvl w:val="0"/>
          <w:numId w:val="6"/>
        </w:numPr>
        <w:ind w:left="1134" w:hanging="567"/>
      </w:pPr>
      <w:r>
        <w:t>diversificar las cadenas de suministro mediante la promoción de las asociaciones con múltiples socios comerciales y la reducción de la dependencia excesiva de un único proveedor;</w:t>
      </w:r>
    </w:p>
    <w:p w:rsidRPr="003A24F5" w:rsidR="00D255D6" w:rsidP="00D255D6" w:rsidRDefault="00D255D6" w14:paraId="627CE6D8" w14:textId="77777777">
      <w:pPr>
        <w:pStyle w:val="ListParagraph"/>
        <w:numPr>
          <w:ilvl w:val="0"/>
          <w:numId w:val="6"/>
        </w:numPr>
        <w:ind w:left="1134" w:hanging="567"/>
      </w:pPr>
      <w:r>
        <w:t>reforzar la resiliencia económica mediante inversiones específicas en industrias e infraestructuras estratégicas;</w:t>
      </w:r>
    </w:p>
    <w:p w:rsidRPr="003A24F5" w:rsidR="00D255D6" w:rsidP="00D255D6" w:rsidRDefault="00D255D6" w14:paraId="6CB0C8EE" w14:textId="77777777">
      <w:pPr>
        <w:pStyle w:val="ListParagraph"/>
        <w:numPr>
          <w:ilvl w:val="0"/>
          <w:numId w:val="6"/>
        </w:numPr>
        <w:ind w:left="1134" w:hanging="567"/>
      </w:pPr>
      <w:r>
        <w:t>desarrollar una política industrial integral, bien coordinada y adecuadamente financiada para colmar las brechas de productividad y competitividad entre los productores europeos.</w:t>
      </w:r>
    </w:p>
    <w:p w:rsidRPr="003A24F5" w:rsidR="00D255D6" w:rsidP="00D255D6" w:rsidRDefault="00D255D6" w14:paraId="551931D8" w14:textId="77777777">
      <w:pPr>
        <w:pStyle w:val="ListParagraph"/>
        <w:ind w:left="1080"/>
      </w:pPr>
    </w:p>
    <w:p w:rsidRPr="000255BE" w:rsidR="00D255D6" w:rsidP="00D255D6" w:rsidRDefault="00D255D6" w14:paraId="429A0E26" w14:textId="77777777">
      <w:pPr>
        <w:pStyle w:val="Heading2"/>
      </w:pPr>
      <w:r>
        <w:t>Para mitigar los riesgos de aislamiento económico, el CESE recomienda:</w:t>
      </w:r>
    </w:p>
    <w:p w:rsidRPr="003A24F5" w:rsidR="00D255D6" w:rsidP="00D255D6" w:rsidRDefault="00D255D6" w14:paraId="2B1DAA1D" w14:textId="77777777">
      <w:pPr>
        <w:pStyle w:val="ListParagraph"/>
        <w:numPr>
          <w:ilvl w:val="0"/>
          <w:numId w:val="7"/>
        </w:numPr>
        <w:ind w:left="1134" w:hanging="567"/>
      </w:pPr>
      <w:r>
        <w:t xml:space="preserve">ampliar los acuerdos comerciales a nuevos socios fiables, especialmente del Sur Global y sobre la base de una asociación en pie de igualdad, a fin de mejorar la resiliencia de la cadena de suministro, respetando al mismo tiempo los compromisos en materia de </w:t>
      </w:r>
      <w:r>
        <w:lastRenderedPageBreak/>
        <w:t>sostenibilidad, derechos humanos y derechos de las mujeres tanto nuevos como ya existentes;</w:t>
      </w:r>
    </w:p>
    <w:p w:rsidRPr="003A24F5" w:rsidR="00D255D6" w:rsidP="00D255D6" w:rsidRDefault="00D255D6" w14:paraId="2C13DA00" w14:textId="77777777">
      <w:pPr>
        <w:pStyle w:val="ListParagraph"/>
        <w:numPr>
          <w:ilvl w:val="0"/>
          <w:numId w:val="7"/>
        </w:numPr>
        <w:ind w:left="1134" w:hanging="567"/>
      </w:pPr>
      <w:r>
        <w:t>avanzar en la eficiencia normativa para racionalizar los complejos marcos legislativos y los requisitos administrativos de la UE, pero manteniendo normas estrictas de protección de los trabajadores y los consumidores;</w:t>
      </w:r>
    </w:p>
    <w:p w:rsidRPr="003A24F5" w:rsidR="00D255D6" w:rsidP="00D255D6" w:rsidRDefault="00D255D6" w14:paraId="109F0613" w14:textId="77777777">
      <w:pPr>
        <w:pStyle w:val="ListParagraph"/>
        <w:numPr>
          <w:ilvl w:val="0"/>
          <w:numId w:val="7"/>
        </w:numPr>
        <w:ind w:left="1134" w:hanging="567"/>
      </w:pPr>
      <w:r>
        <w:t>promover reformas de la Organización Mundial del Comercio (OMC) y acuerdos multi- y plurilaterales que mejoren la gobernanza mundial del comercio y los mecanismos de solución de diferencias.</w:t>
      </w:r>
    </w:p>
    <w:p w:rsidRPr="003A24F5" w:rsidR="00D255D6" w:rsidP="00D255D6" w:rsidRDefault="00D255D6" w14:paraId="3FB8B2BC" w14:textId="77777777">
      <w:pPr>
        <w:pStyle w:val="ListParagraph"/>
        <w:ind w:left="567"/>
      </w:pPr>
    </w:p>
    <w:p w:rsidRPr="000255BE" w:rsidR="00D255D6" w:rsidP="00D255D6" w:rsidRDefault="00D255D6" w14:paraId="2BADBA1A" w14:textId="77777777">
      <w:pPr>
        <w:pStyle w:val="Heading2"/>
      </w:pPr>
      <w:r>
        <w:t>Al tiempo que persigue la diversificación del comercio como parte de su reacción a las actuales tendencias comerciales y arancelarias, la UE debe también protegerse de las prácticas competitivas desleales basadas en los costes de producción anormalmente bajos y las normas excesivamente laxas. Por lo tanto, debe seguir promoviendo los capítulos sobre comercio y desarrollo sostenible vinculantes y ejecutables en las asociaciones comerciales tanto nuevas como ya existentes.</w:t>
      </w:r>
    </w:p>
    <w:p w:rsidRPr="000255BE" w:rsidR="00D255D6" w:rsidP="00D255D6" w:rsidRDefault="00D255D6" w14:paraId="42C94F30" w14:textId="77777777">
      <w:pPr>
        <w:rPr>
          <w:lang w:val="en-GB"/>
        </w:rPr>
      </w:pPr>
    </w:p>
    <w:p w:rsidRPr="000255BE" w:rsidR="00D255D6" w:rsidP="00D255D6" w:rsidRDefault="00D255D6" w14:paraId="3FEFB2D0" w14:textId="77777777">
      <w:pPr>
        <w:pStyle w:val="Heading2"/>
      </w:pPr>
      <w:r>
        <w:t>Para fomentar el progreso tecnológico y reforzar la competitividad industrial de las empresas europeas, la UE debe dar prioridad a lo siguiente:</w:t>
      </w:r>
    </w:p>
    <w:p w:rsidRPr="003A24F5" w:rsidR="00D255D6" w:rsidP="00D255D6" w:rsidRDefault="00D255D6" w14:paraId="69ABAF40" w14:textId="77777777">
      <w:pPr>
        <w:pStyle w:val="ListParagraph"/>
        <w:numPr>
          <w:ilvl w:val="0"/>
          <w:numId w:val="8"/>
        </w:numPr>
        <w:ind w:left="1134" w:hanging="567"/>
      </w:pPr>
      <w:r>
        <w:t>el aumento de la inversión en I+D en las industrias de alta tecnología y en la fabricación sostenible, a fin de impulsar la innovación en la UE;</w:t>
      </w:r>
    </w:p>
    <w:p w:rsidRPr="003A24F5" w:rsidR="00D255D6" w:rsidP="00D255D6" w:rsidRDefault="00D255D6" w14:paraId="7A6F1458" w14:textId="77777777">
      <w:pPr>
        <w:pStyle w:val="ListParagraph"/>
        <w:numPr>
          <w:ilvl w:val="0"/>
          <w:numId w:val="8"/>
        </w:numPr>
        <w:ind w:left="1134" w:hanging="567"/>
      </w:pPr>
      <w:r>
        <w:t>un mayor recurso a la inteligencia artificial (IA) y a la tecnología de cadena de bloques en la gestión de la cadena de suministro para optimizar la prospectiva, la logística y la contratación pública;</w:t>
      </w:r>
    </w:p>
    <w:p w:rsidRPr="003A24F5" w:rsidR="00D255D6" w:rsidP="00D255D6" w:rsidRDefault="00D255D6" w14:paraId="126C7BF7" w14:textId="77777777">
      <w:pPr>
        <w:pStyle w:val="ListParagraph"/>
        <w:numPr>
          <w:ilvl w:val="0"/>
          <w:numId w:val="8"/>
        </w:numPr>
        <w:ind w:left="1134" w:hanging="567"/>
      </w:pPr>
      <w:r>
        <w:t>una estrategia industrial de la UE armonizada para colmar las brechas de productividad y mantener la competitividad en mercados mundiales clave.</w:t>
      </w:r>
    </w:p>
    <w:p w:rsidRPr="003A24F5" w:rsidR="00D255D6" w:rsidP="00D255D6" w:rsidRDefault="00D255D6" w14:paraId="66DC8047" w14:textId="77777777">
      <w:pPr>
        <w:pStyle w:val="ListParagraph"/>
        <w:ind w:left="567"/>
      </w:pPr>
    </w:p>
    <w:p w:rsidRPr="000255BE" w:rsidR="00D255D6" w:rsidP="00D255D6" w:rsidRDefault="00D255D6" w14:paraId="343223EC" w14:textId="77777777">
      <w:pPr>
        <w:pStyle w:val="Heading2"/>
      </w:pPr>
      <w:r>
        <w:t>El CESE pide políticas que mitiguen los riesgos para los productores, las microempresas y las pymes de la UE mediante:</w:t>
      </w:r>
    </w:p>
    <w:p w:rsidRPr="003A24F5" w:rsidR="00D255D6" w:rsidP="00D255D6" w:rsidRDefault="00D255D6" w14:paraId="0298DF71" w14:textId="77777777">
      <w:pPr>
        <w:pStyle w:val="ListParagraph"/>
        <w:numPr>
          <w:ilvl w:val="0"/>
          <w:numId w:val="9"/>
        </w:numPr>
        <w:ind w:left="1134" w:hanging="567"/>
      </w:pPr>
      <w:r>
        <w:t>el refuerzo del apoyo económico y técnico para ayudar a las microempresas y las pymes a expandirse a nuevos mercados y adoptar modelos de negocio sostenibles;</w:t>
      </w:r>
    </w:p>
    <w:p w:rsidRPr="003A24F5" w:rsidR="00D255D6" w:rsidP="00D255D6" w:rsidRDefault="00D255D6" w14:paraId="3DC0A933" w14:textId="77777777">
      <w:pPr>
        <w:pStyle w:val="ListParagraph"/>
        <w:numPr>
          <w:ilvl w:val="0"/>
          <w:numId w:val="9"/>
        </w:numPr>
        <w:ind w:left="1134" w:hanging="567"/>
      </w:pPr>
      <w:r>
        <w:t>la aplicación de mecanismos de asistencia comercial para ayudar a las pequeñas empresas a diversificar sus proveedores y a hacer frente a las dificultades normativas;</w:t>
      </w:r>
    </w:p>
    <w:p w:rsidRPr="003A24F5" w:rsidR="00D255D6" w:rsidP="00D255D6" w:rsidRDefault="00D255D6" w14:paraId="2327D762" w14:textId="77777777">
      <w:pPr>
        <w:pStyle w:val="ListParagraph"/>
        <w:numPr>
          <w:ilvl w:val="0"/>
          <w:numId w:val="9"/>
        </w:numPr>
        <w:ind w:left="1134" w:hanging="567"/>
      </w:pPr>
      <w:r>
        <w:t>el fomento de la adopción digital, promoviendo sistemas de gestión de la cadena de suministro basados en la IA para mejorar la eficiencia y reducir los costes operativos.</w:t>
      </w:r>
    </w:p>
    <w:p w:rsidRPr="003A24F5" w:rsidR="00D255D6" w:rsidP="00D255D6" w:rsidRDefault="00D255D6" w14:paraId="4A7E8A84" w14:textId="77777777">
      <w:pPr>
        <w:pStyle w:val="ListParagraph"/>
        <w:ind w:left="567"/>
      </w:pPr>
    </w:p>
    <w:p w:rsidRPr="000255BE" w:rsidR="00D255D6" w:rsidP="00D255D6" w:rsidRDefault="00D255D6" w14:paraId="7394C177" w14:textId="77777777">
      <w:pPr>
        <w:pStyle w:val="Heading2"/>
      </w:pPr>
      <w:r>
        <w:t>La UE debe aplicar programas de educación y formación específicos para mejorar las iniciativas de reciclaje y perfeccionamiento profesional, promover la movilidad laboral dentro del mercado único y atraer y retener el talento, para así reforzar la capacidad de innovación de la UE.</w:t>
      </w:r>
    </w:p>
    <w:p w:rsidRPr="000255BE" w:rsidR="00D255D6" w:rsidP="00D255D6" w:rsidRDefault="00D255D6" w14:paraId="2CCEF86E" w14:textId="77777777">
      <w:pPr>
        <w:rPr>
          <w:lang w:val="en-GB"/>
        </w:rPr>
      </w:pPr>
    </w:p>
    <w:p w:rsidRPr="000255BE" w:rsidR="00D255D6" w:rsidP="00D255D6" w:rsidRDefault="00D255D6" w14:paraId="1B1D53BA" w14:textId="77777777">
      <w:pPr>
        <w:pStyle w:val="Heading2"/>
      </w:pPr>
      <w:r>
        <w:t>El Servicio Europeo de Acción Exterior debe fortalecer su coordinación con la DG Comercio para sacar partido a la incidencia positiva de las asociaciones comerciales y de inversión tanto futuras como ya existentes.</w:t>
      </w:r>
    </w:p>
    <w:p w:rsidRPr="000255BE" w:rsidR="00D255D6" w:rsidP="00D255D6" w:rsidRDefault="00D255D6" w14:paraId="4F21D026" w14:textId="77777777">
      <w:pPr>
        <w:rPr>
          <w:lang w:val="en-GB"/>
        </w:rPr>
      </w:pPr>
    </w:p>
    <w:p w:rsidRPr="000255BE" w:rsidR="00D255D6" w:rsidP="00013B99" w:rsidRDefault="00D255D6" w14:paraId="5F3B29E1" w14:textId="77777777">
      <w:pPr>
        <w:pStyle w:val="Heading2"/>
        <w:keepLines/>
      </w:pPr>
      <w:r>
        <w:lastRenderedPageBreak/>
        <w:t>El CESE subraya la necesidad de dar una respuesta urgente y estratégica a la fragmentación de la cadena de suministro mundial. Reforzar la seguridad económica y la resiliencia comercial y dar prioridad a la innovación industrial resultará esencial para garantizar que la UE siga siendo competitiva, y a la vez para proteger a las empresas y a los consumidores frente a la escalada de los costes y las perturbaciones del suministro.</w:t>
      </w:r>
    </w:p>
    <w:p w:rsidRPr="000255BE" w:rsidR="00D255D6" w:rsidP="00D255D6" w:rsidRDefault="00D255D6" w14:paraId="7BC2820A" w14:textId="77777777">
      <w:pPr>
        <w:rPr>
          <w:lang w:val="en-GB"/>
        </w:rPr>
      </w:pPr>
    </w:p>
    <w:p w:rsidRPr="000255BE" w:rsidR="00D255D6" w:rsidP="00D255D6" w:rsidRDefault="00D255D6" w14:paraId="7003A9A6" w14:textId="77777777">
      <w:pPr>
        <w:pStyle w:val="Heading1"/>
        <w:keepNext/>
        <w:rPr>
          <w:b/>
          <w:bCs/>
        </w:rPr>
      </w:pPr>
      <w:r>
        <w:rPr>
          <w:b/>
        </w:rPr>
        <w:t>Introducción y observaciones generales</w:t>
      </w:r>
    </w:p>
    <w:p w:rsidRPr="000255BE" w:rsidR="00D255D6" w:rsidP="00D255D6" w:rsidRDefault="00D255D6" w14:paraId="5790346C" w14:textId="77777777">
      <w:pPr>
        <w:keepNext/>
        <w:rPr>
          <w:lang w:val="en-GB"/>
        </w:rPr>
      </w:pPr>
    </w:p>
    <w:p w:rsidRPr="000255BE" w:rsidR="00D255D6" w:rsidP="00D255D6" w:rsidRDefault="00D255D6" w14:paraId="5237FB75" w14:textId="77777777">
      <w:pPr>
        <w:pStyle w:val="Heading2"/>
      </w:pPr>
      <w:r>
        <w:t>El orden mundial está en transición hacia una nueva era de multipolaridad que lleva aparejados retos cada vez mayores para la sostenibilidad socioeconómica y medioambiental. A escala mundial, la economía se enfrenta a importantes riesgos sistémicos que se caracterizan por una creciente fragmentación geoeconómica, a su vez potenciada por las tensiones geopolíticas, las inquietudes de orden económico, monetario y energético y las relacionadas con la seguridad alimentaria, y por cambios trascendentales en las políticas, como la doble transición ecológica y digital.</w:t>
      </w:r>
    </w:p>
    <w:p w:rsidRPr="000255BE" w:rsidR="00D255D6" w:rsidP="00D255D6" w:rsidRDefault="00D255D6" w14:paraId="48B6AABE" w14:textId="77777777">
      <w:pPr>
        <w:rPr>
          <w:lang w:val="en-GB"/>
        </w:rPr>
      </w:pPr>
    </w:p>
    <w:p w:rsidRPr="000255BE" w:rsidR="00D255D6" w:rsidP="00D255D6" w:rsidRDefault="00D255D6" w14:paraId="22C122CD" w14:textId="77777777">
      <w:pPr>
        <w:pStyle w:val="Heading2"/>
      </w:pPr>
      <w:r>
        <w:t>La pandemia de COVID-19, la invasión rusa de Ucrania, el conflicto de Gaza y una crisis en expansión en Oriente Próximo y Oriente Medio, además de las turbulencias electorales en la UE y en el resto del mundo, han intensificado aún más estas dinámicas y ponen de manifiesto las vulnerabilidades de las cadenas de suministro mundiales, una situación que compele a la UE a priorizar la reducción del riesgo y la seguridad económica como estrategias básicas.</w:t>
      </w:r>
    </w:p>
    <w:p w:rsidRPr="000255BE" w:rsidR="00D255D6" w:rsidP="00D255D6" w:rsidRDefault="00D255D6" w14:paraId="6660DBE6" w14:textId="77777777">
      <w:pPr>
        <w:rPr>
          <w:lang w:val="en-GB"/>
        </w:rPr>
      </w:pPr>
    </w:p>
    <w:p w:rsidRPr="000255BE" w:rsidR="00D255D6" w:rsidP="00D255D6" w:rsidRDefault="00D255D6" w14:paraId="2CE1070F" w14:textId="77777777">
      <w:pPr>
        <w:pStyle w:val="Heading2"/>
      </w:pPr>
      <w:r>
        <w:t>Con la firma en 2022 de la Declaración Conjunta sobre Cooperación en Cadenas de Suministro Globales</w:t>
      </w:r>
      <w:r w:rsidRPr="000255BE">
        <w:rPr>
          <w:rStyle w:val="FootnoteReference"/>
          <w:lang w:val="en-GB"/>
        </w:rPr>
        <w:footnoteReference w:id="3"/>
      </w:r>
      <w:r>
        <w:t>, diecisiete países y la UE confirmaron la necesidad de construir cadenas de suministro resilientes, sostenibles y seguras, abordar sus perturbaciones y mejorar la transparencia, además de la importancia de aplicar plenamente este instrumento.</w:t>
      </w:r>
    </w:p>
    <w:p w:rsidRPr="000255BE" w:rsidR="00D255D6" w:rsidP="00D255D6" w:rsidRDefault="00D255D6" w14:paraId="4FD891A1" w14:textId="77777777">
      <w:pPr>
        <w:rPr>
          <w:lang w:val="en-GB"/>
        </w:rPr>
      </w:pPr>
    </w:p>
    <w:p w:rsidRPr="000255BE" w:rsidR="00D255D6" w:rsidP="00D255D6" w:rsidRDefault="00D255D6" w14:paraId="4257BCC2" w14:textId="77777777">
      <w:pPr>
        <w:pStyle w:val="Heading2"/>
      </w:pPr>
      <w:r>
        <w:t>La incompleta integración del mercado único de la UE, atribuible principalmente tanto a las instituciones europeas como a los Estados miembros, ha creado obstáculos considerables a la expansión de las empresas a escala mundial y a la capacidad de atraer inversiones extranjeras directas, y ha restringido los beneficios para la ciudadanía. Los informes de Enrico Letta y Mario Draghi de 2024 hacen hincapié en la urgente necesidad de reformas sustanciales y advierten de la amenaza a la competitividad que supone una fragmentación prolongada, ya que empuja a las empresas fuera de la UE y hace que aumentar la productividad en Europa sea un reto muy difícil de abordar.</w:t>
      </w:r>
    </w:p>
    <w:p w:rsidRPr="000255BE" w:rsidR="00D255D6" w:rsidP="00D255D6" w:rsidRDefault="00D255D6" w14:paraId="3AF12E33" w14:textId="77777777">
      <w:pPr>
        <w:rPr>
          <w:lang w:val="en-GB"/>
        </w:rPr>
      </w:pPr>
    </w:p>
    <w:p w:rsidRPr="000255BE" w:rsidR="00D255D6" w:rsidP="00D255D6" w:rsidRDefault="00D255D6" w14:paraId="51863E8E" w14:textId="77777777">
      <w:pPr>
        <w:pStyle w:val="Heading2"/>
      </w:pPr>
      <w:r>
        <w:t>El presente Dictamen analiza el riesgo de aislamiento gradual de las cadenas de suministro de la UE en el marco de una economía mundial fragmentada y su impacto en el coste de la vida; evalúa las estrategias y políticas existentes de la UE y estudia vías para mitigar los costes asociados y velar por la competitividad de los bienes y servicios de la UE.</w:t>
      </w:r>
    </w:p>
    <w:p w:rsidRPr="000255BE" w:rsidR="00D255D6" w:rsidP="00D255D6" w:rsidRDefault="00D255D6" w14:paraId="261ABA3C" w14:textId="77777777">
      <w:pPr>
        <w:rPr>
          <w:lang w:val="en-GB"/>
        </w:rPr>
      </w:pPr>
    </w:p>
    <w:p w:rsidRPr="000255BE" w:rsidR="00D255D6" w:rsidP="00D255D6" w:rsidRDefault="00D255D6" w14:paraId="6A6751CE" w14:textId="77777777">
      <w:pPr>
        <w:pStyle w:val="Heading1"/>
        <w:keepNext/>
        <w:rPr>
          <w:b/>
          <w:bCs/>
        </w:rPr>
      </w:pPr>
      <w:r>
        <w:rPr>
          <w:b/>
        </w:rPr>
        <w:lastRenderedPageBreak/>
        <w:t>Repercusiones de la fragmentación geoeconómica y posibles vías de actuación</w:t>
      </w:r>
    </w:p>
    <w:p w:rsidRPr="000255BE" w:rsidR="00D255D6" w:rsidP="00D255D6" w:rsidRDefault="00D255D6" w14:paraId="18BA4D04" w14:textId="77777777">
      <w:pPr>
        <w:keepNext/>
        <w:rPr>
          <w:lang w:val="en-GB"/>
        </w:rPr>
      </w:pPr>
    </w:p>
    <w:p w:rsidRPr="000255BE" w:rsidR="00D255D6" w:rsidP="00D255D6" w:rsidRDefault="00D255D6" w14:paraId="3E294BA0" w14:textId="77777777">
      <w:pPr>
        <w:pStyle w:val="Heading2"/>
      </w:pPr>
      <w:r>
        <w:t>A medida que se fragmentan las cadenas de suministro mundiales, la UE se enfrenta a riesgos cada vez mayores de perturbación, lo que puede dar lugar a una escasez de bienes de primera necesidad y materias primas fundamentales. Las medidas proteccionistas, junto con estrategias como la externalización a países amigos o afines (</w:t>
      </w:r>
      <w:r>
        <w:rPr>
          <w:i/>
        </w:rPr>
        <w:t>friendshoring</w:t>
      </w:r>
      <w:r>
        <w:t>) o la «deslocalización cercana» (</w:t>
      </w:r>
      <w:r>
        <w:rPr>
          <w:i/>
        </w:rPr>
        <w:t>nearshoring</w:t>
      </w:r>
      <w:r>
        <w:t>), llevan a las empresas a reubicar la producción más cerca de sus mercados e incrementar los precios, lo que genera presiones inflacionistas adicionales y aumenta el riesgo de cierre de plantas de producción europeas.</w:t>
      </w:r>
    </w:p>
    <w:p w:rsidRPr="000255BE" w:rsidR="00D255D6" w:rsidP="00D255D6" w:rsidRDefault="00D255D6" w14:paraId="5147034E" w14:textId="77777777">
      <w:pPr>
        <w:rPr>
          <w:lang w:val="en-GB"/>
        </w:rPr>
      </w:pPr>
    </w:p>
    <w:p w:rsidRPr="000255BE" w:rsidR="00D255D6" w:rsidP="00D255D6" w:rsidRDefault="00D255D6" w14:paraId="2C569A6F" w14:textId="77777777">
      <w:pPr>
        <w:pStyle w:val="Heading2"/>
      </w:pPr>
      <w:r>
        <w:t>El riesgo de un aislamiento económico gradual está obstaculizando la capacidad de la UE de formular normas y políticas comerciales a escala mundial, reduciendo así su influencia en la gobernanza internacional. Asimismo, la dependencia de la UE de un pequeño grupo de socios comerciales para obtener bienes y servicios vitales la expone a mayores riesgos geopolíticos, lo que aumenta su vulnerabilidad ante la influencia económica y política de grandes competidores, como los Estados Unidos y China.</w:t>
      </w:r>
    </w:p>
    <w:p w:rsidRPr="000255BE" w:rsidR="00D255D6" w:rsidP="00D255D6" w:rsidRDefault="00D255D6" w14:paraId="116F58A9" w14:textId="77777777">
      <w:pPr>
        <w:rPr>
          <w:lang w:val="en-GB"/>
        </w:rPr>
      </w:pPr>
    </w:p>
    <w:p w:rsidRPr="000255BE" w:rsidR="00D255D6" w:rsidP="00D255D6" w:rsidRDefault="00D255D6" w14:paraId="77A9180B" w14:textId="77777777">
      <w:pPr>
        <w:pStyle w:val="Heading2"/>
      </w:pPr>
      <w:r>
        <w:t>Las restricciones comerciales no arancelarias han aumentado a escala mundial desde 2020. Además, el nuevo Gobierno de los Estados Unidos ha comenzado a imponer nuevos aranceles que infringen las normas de la OMC, con medidas tanto globales como específicas por país. El incremento de las barreras comerciales disparará los precios y reducirá la renta real de los hogares. La UE debe hallar un equilibrio entre la resiliencia económica y la seguridad nacional para contrarrestar el riesgo de que aumente el proteccionismo. El CESE aboga por formular unas políticas de comercio e inversión abiertas y a la vez fortalecer estratégicamente la resiliencia económica para proteger a las personas y los productores frente a futuras perturbaciones del suministro.</w:t>
      </w:r>
    </w:p>
    <w:p w:rsidRPr="000255BE" w:rsidR="00D255D6" w:rsidP="00D255D6" w:rsidRDefault="00D255D6" w14:paraId="2D0C573B" w14:textId="77777777">
      <w:pPr>
        <w:rPr>
          <w:lang w:val="en-GB"/>
        </w:rPr>
      </w:pPr>
    </w:p>
    <w:p w:rsidRPr="000255BE" w:rsidR="00D255D6" w:rsidP="00D255D6" w:rsidRDefault="00D255D6" w14:paraId="4D7B4860" w14:textId="77777777">
      <w:pPr>
        <w:pStyle w:val="Heading2"/>
      </w:pPr>
      <w:r>
        <w:t xml:space="preserve">La UE debe adoptar medidas proactivas para afrontar los riesgos de fragmentación geoeconómica. A fin de mitigar una subida aguda y repentina de los costes para las cadenas de suministro, es vital ayudar a los productores a adaptarse a las nuevas realidades comerciales y velar por una transición fluida. A medida que se agrava la coerción económica y aumentan las barreras comerciales, resulta imperativo reforzar la seguridad del suministro; la UE ha de asumir su liderazgo para poder abrirse camino en un sistema comercial internacional cada vez más adverso. </w:t>
      </w:r>
    </w:p>
    <w:p w:rsidRPr="000255BE" w:rsidR="00D255D6" w:rsidP="00D255D6" w:rsidRDefault="00D255D6" w14:paraId="0D9471D4" w14:textId="77777777">
      <w:pPr>
        <w:rPr>
          <w:lang w:val="en-GB"/>
        </w:rPr>
      </w:pPr>
    </w:p>
    <w:p w:rsidRPr="000255BE" w:rsidR="00D255D6" w:rsidP="00D255D6" w:rsidRDefault="00D255D6" w14:paraId="12DF9B86" w14:textId="77777777">
      <w:pPr>
        <w:pStyle w:val="Heading2"/>
      </w:pPr>
      <w:r>
        <w:t xml:space="preserve">El CESE recomienda reducir la dependencia de las importaciones, especialmente en lo que se refiere a la innovación y los conocimientos técnicos, los productos semiacabados y las materias primas fundamentales, ya que Europa es más vulnerable que China o los Estados Unidos en estos ámbitos. Los responsables políticos nacionales y de la UE deben dar prioridad a la diversificación de las cadenas de suministro con atención a una pluralidad de objetivos e indicadores clave de rendimiento, al objeto de mejorar la resiliencia frente a las perturbaciones mundiales. </w:t>
      </w:r>
    </w:p>
    <w:p w:rsidRPr="000255BE" w:rsidR="00D255D6" w:rsidP="00D255D6" w:rsidRDefault="00D255D6" w14:paraId="275E1E6D" w14:textId="77777777">
      <w:pPr>
        <w:rPr>
          <w:lang w:val="en-GB"/>
        </w:rPr>
      </w:pPr>
    </w:p>
    <w:p w:rsidRPr="000255BE" w:rsidR="00D255D6" w:rsidP="00013B99" w:rsidRDefault="00D255D6" w14:paraId="60C1FEA8" w14:textId="77777777">
      <w:pPr>
        <w:pStyle w:val="Heading2"/>
        <w:keepLines/>
      </w:pPr>
      <w:r>
        <w:lastRenderedPageBreak/>
        <w:t>La fragmentación puede aumentar la desigualdad y la pobreza, lo que pone en peligro la sostenibilidad de un comercio justo y eficaz y recrudece la recesión mundial y las tendencias migratorias. Debería reforzarse el Servicio Europeo de Acción Exterior mediante la creación de una rama de economía y comercio dirigida a fomentar nuevas asociaciones de comercio y de inversión.</w:t>
      </w:r>
    </w:p>
    <w:p w:rsidRPr="000255BE" w:rsidR="00D255D6" w:rsidP="00D255D6" w:rsidRDefault="00D255D6" w14:paraId="0D5362AE" w14:textId="77777777">
      <w:pPr>
        <w:rPr>
          <w:lang w:val="en-GB"/>
        </w:rPr>
      </w:pPr>
    </w:p>
    <w:p w:rsidRPr="000255BE" w:rsidR="00D255D6" w:rsidP="00D255D6" w:rsidRDefault="00D255D6" w14:paraId="52FD530D" w14:textId="77777777">
      <w:pPr>
        <w:pStyle w:val="Heading1"/>
        <w:keepNext/>
        <w:rPr>
          <w:b/>
          <w:bCs/>
        </w:rPr>
      </w:pPr>
      <w:r>
        <w:rPr>
          <w:b/>
        </w:rPr>
        <w:t>Efectos directos e indirectos en la competitividad de los productores de la UE</w:t>
      </w:r>
    </w:p>
    <w:p w:rsidRPr="000255BE" w:rsidR="00D255D6" w:rsidP="00D255D6" w:rsidRDefault="00D255D6" w14:paraId="5B67E925" w14:textId="77777777">
      <w:pPr>
        <w:keepNext/>
        <w:rPr>
          <w:lang w:val="en-GB"/>
        </w:rPr>
      </w:pPr>
    </w:p>
    <w:p w:rsidRPr="000255BE" w:rsidR="00D255D6" w:rsidP="00D255D6" w:rsidRDefault="00D255D6" w14:paraId="3C681EF6" w14:textId="77777777">
      <w:pPr>
        <w:pStyle w:val="Heading2"/>
      </w:pPr>
      <w:r>
        <w:t>El PIB mundial podría disminuir en un 6 % si las barreras comerciales se aplican a productos estratégicos y en hasta un 9 % en un escenario de disociación aguda que afecte a todos los productos. La fragmentación del comercio también dispararía la inflación hasta un 4 % a escala mundial en el primer año, con repercusiones duraderas</w:t>
      </w:r>
      <w:r w:rsidRPr="000255BE">
        <w:rPr>
          <w:rStyle w:val="FootnoteReference"/>
          <w:lang w:val="en-GB"/>
        </w:rPr>
        <w:footnoteReference w:id="4"/>
      </w:r>
      <w:r>
        <w:t>. Según las perspectivas más recientes del FMI, las previsiones de crecimiento del PIB mundial para 2025 se han reducido al 2,8 %, es decir, un 0,5 % menos de lo esperado en enero pasado.</w:t>
      </w:r>
    </w:p>
    <w:p w:rsidRPr="000255BE" w:rsidR="00D255D6" w:rsidP="00D255D6" w:rsidRDefault="00D255D6" w14:paraId="01789A23" w14:textId="77777777">
      <w:pPr>
        <w:rPr>
          <w:lang w:val="en-GB"/>
        </w:rPr>
      </w:pPr>
    </w:p>
    <w:p w:rsidRPr="000255BE" w:rsidR="00D255D6" w:rsidP="00D255D6" w:rsidRDefault="00D255D6" w14:paraId="0ABDF13B" w14:textId="77777777">
      <w:pPr>
        <w:pStyle w:val="Heading2"/>
        <w:rPr>
          <w:sz w:val="24"/>
          <w:szCs w:val="24"/>
        </w:rPr>
      </w:pPr>
      <w:r>
        <w:t>El aumento de los aranceles, los costes de transporte, el impacto de la crisis de la energía y la reorganización de las cadenas de suministro a raíz de la evolución geopolítica están generando un incremento de los gastos de explotación, lo que afecta de manera desproporcionada a las microempresas, pymes y empresas con estrechos márgenes de beneficio.</w:t>
      </w:r>
    </w:p>
    <w:p w:rsidRPr="000255BE" w:rsidR="00D255D6" w:rsidP="00D255D6" w:rsidRDefault="00D255D6" w14:paraId="33DC26F9" w14:textId="77777777">
      <w:pPr>
        <w:rPr>
          <w:lang w:val="en-GB"/>
        </w:rPr>
      </w:pPr>
    </w:p>
    <w:p w:rsidRPr="000255BE" w:rsidR="00D255D6" w:rsidP="00D255D6" w:rsidRDefault="00D255D6" w14:paraId="1FCFE8D3" w14:textId="77777777">
      <w:pPr>
        <w:pStyle w:val="Heading2"/>
      </w:pPr>
      <w:r>
        <w:t>La economía europea se caracteriza actualmente por un crecimiento lento, una inflación volátil y unos precios de la energía elevados, una baja capacidad de innovación, una inversión insuficiente y unas condiciones financieras restrictivas, así como por un mercado interior incompleto. Los cambios geopolíticos, la fragmentación del comercio y las crisis del clima y la energía agravan la incertidumbre mundial al tiempo que los avances tecnológicos en materia de economía digital plantean nuevos retos. El creciente proteccionismo y la falta de coordinación de las políticas industriales están agravando los obstáculos al comercio y socavan el bienestar general y la estabilidad de los precios a escala internacional. Es probable que una menor diversificación del comercio dé lugar a una mayor volatilidad del producto y a una inflación persistente.</w:t>
      </w:r>
    </w:p>
    <w:p w:rsidRPr="000255BE" w:rsidR="00D255D6" w:rsidP="00D255D6" w:rsidRDefault="00D255D6" w14:paraId="0623B7FE" w14:textId="77777777">
      <w:pPr>
        <w:rPr>
          <w:lang w:val="en-GB"/>
        </w:rPr>
      </w:pPr>
    </w:p>
    <w:p w:rsidRPr="000255BE" w:rsidR="00D255D6" w:rsidP="00D255D6" w:rsidRDefault="00D255D6" w14:paraId="23563220" w14:textId="77777777">
      <w:pPr>
        <w:pStyle w:val="Heading2"/>
      </w:pPr>
      <w:r>
        <w:t>La fragmentación puede obstaculizar el flujo de conocimientos y las innovaciones, aumentar la incertidumbre, desincentivar la inversión en I+D y en capacidades de producción y limitar la capacidad de innovación de las empresas de la UE. Podría ser clave en este sentido la adopción de soluciones tecnológicas avanzadas que integren el aprendizaje automático y la IA.</w:t>
      </w:r>
    </w:p>
    <w:p w:rsidRPr="000255BE" w:rsidR="00D255D6" w:rsidP="00D255D6" w:rsidRDefault="00D255D6" w14:paraId="3CCDC337" w14:textId="77777777">
      <w:pPr>
        <w:rPr>
          <w:lang w:val="en-GB"/>
        </w:rPr>
      </w:pPr>
    </w:p>
    <w:p w:rsidRPr="000255BE" w:rsidR="00D255D6" w:rsidP="00D255D6" w:rsidRDefault="00D255D6" w14:paraId="3CC6DF0C" w14:textId="77777777">
      <w:pPr>
        <w:pStyle w:val="Heading2"/>
      </w:pPr>
      <w:r>
        <w:t xml:space="preserve">Los acontecimientos exógenos imprevistos, junto con las perturbaciones de la cadena de suministro, aumentan el riesgo de escasez de productos, retrasos en el suministro y merma de la calidad. Por todo esto, es posible que los productores europeos se enfrenten a dificultades a la hora de adaptarse a las necesidades de los consumidores y a las condiciones del mercado, para perjuicio de su reputación y de su cuota de mercado internacional. La fragmentación puede dificultar la obtención de materias primas fundamentales y de componentes de alta tecnología. Una combinación de iniciativas de regionalización, digitalización, apoyo político y </w:t>
      </w:r>
      <w:r>
        <w:lastRenderedPageBreak/>
        <w:t>sostenibilidad contribuirá a mitigar estos riesgos y a asegurar la fortaleza económica a largo plazo de las industrias de la UE.</w:t>
      </w:r>
    </w:p>
    <w:p w:rsidRPr="000255BE" w:rsidR="00D255D6" w:rsidP="00D255D6" w:rsidRDefault="00D255D6" w14:paraId="3467AB39" w14:textId="77777777">
      <w:pPr>
        <w:rPr>
          <w:lang w:val="en-GB"/>
        </w:rPr>
      </w:pPr>
    </w:p>
    <w:p w:rsidRPr="000255BE" w:rsidR="00D255D6" w:rsidP="00D255D6" w:rsidRDefault="00D255D6" w14:paraId="082077B6" w14:textId="77777777">
      <w:pPr>
        <w:pStyle w:val="Heading1"/>
        <w:keepNext/>
      </w:pPr>
      <w:r>
        <w:rPr>
          <w:b/>
        </w:rPr>
        <w:t>Efectos directos e indirectos en el coste de la vida de las sociedades europeas</w:t>
      </w:r>
    </w:p>
    <w:p w:rsidRPr="000255BE" w:rsidR="00D255D6" w:rsidP="00D255D6" w:rsidRDefault="00D255D6" w14:paraId="609D37F7" w14:textId="77777777">
      <w:pPr>
        <w:keepNext/>
        <w:rPr>
          <w:lang w:val="en-GB"/>
        </w:rPr>
      </w:pPr>
    </w:p>
    <w:p w:rsidRPr="000255BE" w:rsidR="00D255D6" w:rsidP="00D255D6" w:rsidRDefault="00D255D6" w14:paraId="0A78D713" w14:textId="77777777">
      <w:pPr>
        <w:pStyle w:val="Heading2"/>
      </w:pPr>
      <w:r>
        <w:t>La fragmentación dispara los costes de producción y transporte, reduce la competencia y causa escasez de suministros, lo que repercute directamente en el precio final de los bienes que deben abonar los consumidores. El estancamiento de la facturación limita el crecimiento salarial, estrangulando aún más el poder adquisitivo de los hogares. Las perturbaciones en las cadenas de suministro del acero, la madera y el cemento aumentan los precios de la vivienda y los alquileres; al mismo tiempo, la fragmentación de la industria manufacturera a escala global provoca retrasos en el sector de la promoción inmobiliaria y agrava la escasez de viviendas.</w:t>
      </w:r>
    </w:p>
    <w:p w:rsidRPr="000255BE" w:rsidR="00D255D6" w:rsidP="00D255D6" w:rsidRDefault="00D255D6" w14:paraId="58DFAD4C" w14:textId="77777777">
      <w:pPr>
        <w:rPr>
          <w:lang w:val="en-GB"/>
        </w:rPr>
      </w:pPr>
    </w:p>
    <w:p w:rsidRPr="000255BE" w:rsidR="00D255D6" w:rsidP="00D255D6" w:rsidRDefault="00D255D6" w14:paraId="18081BB2" w14:textId="77777777">
      <w:pPr>
        <w:pStyle w:val="Heading2"/>
      </w:pPr>
      <w:r>
        <w:t>La disociación de las cadenas de suministro a escala mundial impulsa al alza los precios tanto de los productos finales importados como de los bienes de producción nacional que dependen de insumos extranjeros, especialmente en los sectores manufactureros muy orientados al comercio, y a la vez causa la redistribución de la mano de obra entre los distintos niveles de cualificación. A la hora de adquirir bienes, los consumidores cuentan con menos opciones a precios más elevados, lo que afecta de manera desproporcionada a los hogares con bajos ingresos. Para mitigar los riesgos a largo plazo y aliviar posibles presiones futuras sobre los precios de consumo, la UE debe promover la diversificación de las cadenas de suministro, aun cuando lleve aparejados costes a corto plazo.</w:t>
      </w:r>
    </w:p>
    <w:p w:rsidRPr="000255BE" w:rsidR="00D255D6" w:rsidP="00D255D6" w:rsidRDefault="00D255D6" w14:paraId="0A1B4266" w14:textId="77777777">
      <w:pPr>
        <w:rPr>
          <w:lang w:val="en-GB"/>
        </w:rPr>
      </w:pPr>
    </w:p>
    <w:p w:rsidRPr="000255BE" w:rsidR="00D255D6" w:rsidP="00D255D6" w:rsidRDefault="00D255D6" w14:paraId="52CF0883" w14:textId="77777777">
      <w:pPr>
        <w:pStyle w:val="Heading2"/>
      </w:pPr>
      <w:r>
        <w:t>Una transición hacia la resiliencia y la sostenibilidad requiere nuevas capacidades. Por lo tanto, el CESE recomienda unos sistemas de educación y formación más específicos para ampliar el reciclaje y perfeccionamiento profesional y promover una mayor movilidad dentro de la UE. Las políticas también deben centrarse en atraer y retener el talento para impulsar la capacidad de innovación de la UE.</w:t>
      </w:r>
    </w:p>
    <w:p w:rsidRPr="000255BE" w:rsidR="00D255D6" w:rsidP="00D255D6" w:rsidRDefault="00D255D6" w14:paraId="6B86720A" w14:textId="77777777">
      <w:pPr>
        <w:rPr>
          <w:lang w:val="en-GB"/>
        </w:rPr>
      </w:pPr>
    </w:p>
    <w:p w:rsidRPr="000255BE" w:rsidR="00D255D6" w:rsidP="00D255D6" w:rsidRDefault="00D255D6" w14:paraId="1FD1CB6B" w14:textId="77777777">
      <w:pPr>
        <w:pStyle w:val="Heading2"/>
      </w:pPr>
      <w:r>
        <w:t>La escasez de importaciones críticas (por ejemplo, de semiconductores, fertilizantes y productos farmacéuticos) perturba los mercados, causando volatilidad en los precios. Por otra parte, la fragmentación de las cadenas de suministro agrícola genera inquietudes en materia de seguridad alimentaria, lo que su vez conduce a un incremento de los precios de los alimentos. Además, la fragmentación de las cadenas de suministro aumenta el coste de los materiales de construcción y, por tanto, encarece la vivienda.</w:t>
      </w:r>
    </w:p>
    <w:p w:rsidRPr="000255BE" w:rsidR="00D255D6" w:rsidP="00D255D6" w:rsidRDefault="00D255D6" w14:paraId="4E757CFF" w14:textId="77777777">
      <w:pPr>
        <w:rPr>
          <w:lang w:val="en-GB"/>
        </w:rPr>
      </w:pPr>
    </w:p>
    <w:p w:rsidRPr="000255BE" w:rsidR="00D255D6" w:rsidP="00D255D6" w:rsidRDefault="00D255D6" w14:paraId="0C49142A" w14:textId="77777777">
      <w:pPr>
        <w:pStyle w:val="Heading2"/>
      </w:pPr>
      <w:r>
        <w:t>En general, la imposición de aranceles, cuotas y otras limitaciones al comercio tiene también un efecto directo en los consumidores en forma de subida de precios. El aumento del coste de la vida puede dar lugar a malestar social y a una inestabilidad política que afecten negativamente a la calidad de vida general de las sociedades de la UE. Resulta fundamental preservar el poder adquisitivo y, de este modo, apoyar la demanda interna dentro de la UE.</w:t>
      </w:r>
    </w:p>
    <w:p w:rsidRPr="000255BE" w:rsidR="00D255D6" w:rsidP="00D255D6" w:rsidRDefault="00D255D6" w14:paraId="6A973458" w14:textId="77777777">
      <w:pPr>
        <w:rPr>
          <w:lang w:val="en-GB"/>
        </w:rPr>
      </w:pPr>
    </w:p>
    <w:p w:rsidRPr="000255BE" w:rsidR="00D255D6" w:rsidP="00D255D6" w:rsidRDefault="00D255D6" w14:paraId="45C010CD" w14:textId="77777777">
      <w:pPr>
        <w:pStyle w:val="Heading1"/>
        <w:keepNext/>
      </w:pPr>
      <w:r>
        <w:rPr>
          <w:b/>
        </w:rPr>
        <w:lastRenderedPageBreak/>
        <w:t>Refuerzo de las asociaciones comerciales</w:t>
      </w:r>
    </w:p>
    <w:p w:rsidRPr="000255BE" w:rsidR="00D255D6" w:rsidP="00D255D6" w:rsidRDefault="00D255D6" w14:paraId="74515379" w14:textId="77777777">
      <w:pPr>
        <w:keepNext/>
        <w:rPr>
          <w:lang w:val="en-GB"/>
        </w:rPr>
      </w:pPr>
    </w:p>
    <w:p w:rsidRPr="000255BE" w:rsidR="00D255D6" w:rsidP="00013B99" w:rsidRDefault="00D255D6" w14:paraId="6EFC4257" w14:textId="77777777">
      <w:pPr>
        <w:pStyle w:val="Heading2"/>
        <w:keepLines/>
      </w:pPr>
      <w:r>
        <w:t>Diversos sectores de la UE dependen en gran medida de las importaciones procedentes de terceros países, observándose un grado de dependencia notable en las industrias extractivas (89,6 %), textil y confección (45,6 %), electrónica (42,3 %), productos químicos y farmacéuticos (32,4 %), minerales no metálicos (30,7 %), metales y fabricación de productos metálicos (26,8 %), agricultura (26,8 %) y equipos de transporte (21,8 %)</w:t>
      </w:r>
      <w:r w:rsidRPr="000255BE">
        <w:rPr>
          <w:rStyle w:val="FootnoteReference"/>
          <w:lang w:val="en-GB"/>
        </w:rPr>
        <w:footnoteReference w:id="5"/>
      </w:r>
      <w:r>
        <w:t>. El reciente giro del Gobierno estadounidense plantea nuevos retos al socavar aún más el multilateralismo, en particular en el comercio.</w:t>
      </w:r>
    </w:p>
    <w:p w:rsidRPr="000255BE" w:rsidR="00D255D6" w:rsidP="00D255D6" w:rsidRDefault="00D255D6" w14:paraId="5E89E755" w14:textId="77777777">
      <w:pPr>
        <w:rPr>
          <w:lang w:val="en-GB"/>
        </w:rPr>
      </w:pPr>
    </w:p>
    <w:p w:rsidRPr="000255BE" w:rsidR="00D255D6" w:rsidP="00D255D6" w:rsidRDefault="00D255D6" w14:paraId="6B7C9F16" w14:textId="77777777">
      <w:pPr>
        <w:pStyle w:val="Heading2"/>
      </w:pPr>
      <w:r>
        <w:t>La UE necesita una estrategia clara de diversificación del comercio, centrada en determinar los sectores y bienes clave. La creación de asociaciones económicas estratégicas con países ricos en recursos que compartan los valores de la UE en materia de sostenibilidad socioeconómica y medioambiental es la vía óptima para reducir la dependencia de fuentes únicas y crear rutas comerciales alternativas, especialmente en lo que concierne a las materias primas fundamentales.</w:t>
      </w:r>
    </w:p>
    <w:p w:rsidRPr="000255BE" w:rsidR="00D255D6" w:rsidP="00D255D6" w:rsidRDefault="00D255D6" w14:paraId="26F00ED2" w14:textId="77777777">
      <w:pPr>
        <w:rPr>
          <w:lang w:val="en-GB"/>
        </w:rPr>
      </w:pPr>
    </w:p>
    <w:p w:rsidRPr="000255BE" w:rsidR="00D255D6" w:rsidP="00D255D6" w:rsidRDefault="00D255D6" w14:paraId="627563A1" w14:textId="77777777">
      <w:pPr>
        <w:pStyle w:val="Heading2"/>
      </w:pPr>
      <w:r>
        <w:t xml:space="preserve">La UE debería adoptar una estrategia proactiva para apoyar a los productores europeos a la hora de: i) diversificar su red de proveedores y clientes y a la vez garantizar la seguridad a través de relaciones comerciales alternativas sostenibles; ii) aplicar eficazmente estrategias de integración o reintegración vertical; y iii) ampliar el ámbito geográfico de las relaciones comerciales y financieras. </w:t>
      </w:r>
    </w:p>
    <w:p w:rsidRPr="000255BE" w:rsidR="00D255D6" w:rsidP="00D255D6" w:rsidRDefault="00D255D6" w14:paraId="4C7C136B" w14:textId="77777777">
      <w:pPr>
        <w:rPr>
          <w:lang w:val="en-GB"/>
        </w:rPr>
      </w:pPr>
    </w:p>
    <w:p w:rsidRPr="000255BE" w:rsidR="00D255D6" w:rsidP="00D255D6" w:rsidRDefault="00D255D6" w14:paraId="4F01DA58" w14:textId="77777777">
      <w:pPr>
        <w:pStyle w:val="Heading2"/>
      </w:pPr>
      <w:r>
        <w:t>Asimismo, se requieren políticas que apoyen las tendencias actuales —justificadas desde el punto de vista económico— de relocalización, así como para fomentar la autonomía intersectorial estratégica abierta en las economías europeas. No obstante, las muy necesarias políticas micro- y macroeconómicas deben aplicarse con cautela y de forma eficaz, a fin de evitar el riesgo de autoaislamiento.</w:t>
      </w:r>
    </w:p>
    <w:p w:rsidRPr="000255BE" w:rsidR="00D255D6" w:rsidP="00D255D6" w:rsidRDefault="00D255D6" w14:paraId="15224015" w14:textId="77777777">
      <w:pPr>
        <w:rPr>
          <w:lang w:val="en-GB"/>
        </w:rPr>
      </w:pPr>
    </w:p>
    <w:p w:rsidRPr="000255BE" w:rsidR="00D255D6" w:rsidP="00D255D6" w:rsidRDefault="00D255D6" w14:paraId="5E011E7F" w14:textId="77777777">
      <w:pPr>
        <w:pStyle w:val="Heading2"/>
      </w:pPr>
      <w:r>
        <w:t>A modo de contramedida frente al aumento de los aranceles a escala internacional, la UE debe reconocer el papel central de la OMC, estar preparada para plantear la cuestión de los aranceles unilaterales y, de manera proactiva, proponer un plan de reforma exhaustivo de dicha Organización que se centre en ámbitos clave como la gobernanza y la solución de diferencias, para mejorar así la eficacia y la resiliencia del comercio internacional. Asimismo, los acuerdos plurilaterales están surgiendo como una alternativa viable y especialmente eficaz ante cuestiones urgentes, por ejemplo la Iniciativa Conjunta sobre el Comercio Electrónico y el procedimiento arbitral de apelación provisional entre varias partes.</w:t>
      </w:r>
    </w:p>
    <w:p w:rsidRPr="000255BE" w:rsidR="00D255D6" w:rsidP="00D255D6" w:rsidRDefault="00D255D6" w14:paraId="6BFBE92B" w14:textId="77777777">
      <w:pPr>
        <w:pStyle w:val="Heading2"/>
        <w:numPr>
          <w:ilvl w:val="0"/>
          <w:numId w:val="0"/>
        </w:numPr>
        <w:ind w:left="567"/>
        <w:rPr>
          <w:lang w:val="en-GB"/>
        </w:rPr>
      </w:pPr>
    </w:p>
    <w:p w:rsidRPr="000255BE" w:rsidR="00D255D6" w:rsidP="00D255D6" w:rsidRDefault="00D255D6" w14:paraId="3A2CFA34" w14:textId="77777777">
      <w:pPr>
        <w:pStyle w:val="Heading2"/>
      </w:pPr>
      <w:r>
        <w:t>La UE debe aprovechar y reforzar su amplia red de acuerdos de libre comercio bilaterales y regionales para fomentar una mayor integración, al tiempo que mantiene un enfoque abierto y no discriminatorio con respecto a otras naciones y la coherencia con sus propias políticas</w:t>
      </w:r>
      <w:r w:rsidRPr="000255BE">
        <w:rPr>
          <w:rStyle w:val="FootnoteReference"/>
          <w:lang w:val="en-GB"/>
        </w:rPr>
        <w:footnoteReference w:id="6"/>
      </w:r>
      <w:r>
        <w:t xml:space="preserve"> a fin de preservar su credibilidad como socio internacional. El CESE está a favor de finalizar las </w:t>
      </w:r>
      <w:r>
        <w:lastRenderedPageBreak/>
        <w:t>negociaciones en curso sobre acuerdos de libre comercio y de reforzar los que están ya en vigor, para así crear con carácter inmediato nuevas rutas comerciales con socios de confianza.</w:t>
      </w:r>
    </w:p>
    <w:p w:rsidRPr="000255BE" w:rsidR="00D255D6" w:rsidP="00D255D6" w:rsidRDefault="00D255D6" w14:paraId="6A875FCD" w14:textId="77777777">
      <w:pPr>
        <w:rPr>
          <w:lang w:val="en-GB"/>
        </w:rPr>
      </w:pPr>
    </w:p>
    <w:p w:rsidRPr="000255BE" w:rsidR="00D255D6" w:rsidP="00D255D6" w:rsidRDefault="00D255D6" w14:paraId="66731D2D" w14:textId="77777777">
      <w:pPr>
        <w:pStyle w:val="Heading2"/>
      </w:pPr>
      <w:r>
        <w:t>La UE debe dar prioridad a la creación de relaciones comerciales con socios clave del Sur Global para promover el multilateralismo y apoyar sus transiciones climáticas, salvaguardando al mismo tiempo los valores universales, las normas internacionales, los compromisos de sostenibilidad y los intereses económicos en futuras asociaciones. La estrategia Global Gateway, que aborda retos mundiales como el cambio climático, los sistemas sanitarios y la competitividad y seguridad de las cadenas de suministro, debe aplicarse inmediatamente a escala mundial e ir acompañada de las evaluaciones de impacto de los proyectos apoyados</w:t>
      </w:r>
      <w:r w:rsidRPr="000255BE">
        <w:rPr>
          <w:rStyle w:val="FootnoteReference"/>
          <w:lang w:val="en-GB"/>
        </w:rPr>
        <w:footnoteReference w:id="7"/>
      </w:r>
      <w:r>
        <w:t>.</w:t>
      </w:r>
    </w:p>
    <w:p w:rsidRPr="000255BE" w:rsidR="00D255D6" w:rsidP="00D255D6" w:rsidRDefault="00D255D6" w14:paraId="69334227" w14:textId="77777777">
      <w:pPr>
        <w:rPr>
          <w:lang w:val="en-GB"/>
        </w:rPr>
      </w:pPr>
    </w:p>
    <w:p w:rsidRPr="000255BE" w:rsidR="00D255D6" w:rsidP="00D255D6" w:rsidRDefault="00D255D6" w14:paraId="6E7DC734" w14:textId="77777777">
      <w:pPr>
        <w:pStyle w:val="Heading1"/>
        <w:keepNext/>
      </w:pPr>
      <w:r>
        <w:rPr>
          <w:b/>
        </w:rPr>
        <w:t>Racionalizar los marcos normativos</w:t>
      </w:r>
    </w:p>
    <w:p w:rsidRPr="000255BE" w:rsidR="00D255D6" w:rsidP="00D255D6" w:rsidRDefault="00D255D6" w14:paraId="6A500B73" w14:textId="77777777">
      <w:pPr>
        <w:keepNext/>
        <w:rPr>
          <w:lang w:val="en-GB"/>
        </w:rPr>
      </w:pPr>
    </w:p>
    <w:p w:rsidRPr="000255BE" w:rsidR="00D255D6" w:rsidP="00D255D6" w:rsidRDefault="00D255D6" w14:paraId="1BD43AD5" w14:textId="77777777">
      <w:pPr>
        <w:pStyle w:val="Heading2"/>
      </w:pPr>
      <w:r>
        <w:t>El complejo marco normativo de la UE puede suponer un obstáculo para la innovación y el crecimiento, en particular para las pequeñas empresas. Es esencial introducir y priorizar unos plazos de aplicación escalonados de reforma normativa al objeto de simplificar los trámites, reducir las barreras de acceso al mercado y crear condiciones de competencia seguras y justas, además de simplificar los requisitos de cumplimiento en todos los Estados miembros, para racionalizar así las exigencias administrativas y permitir que las empresas, especialmente las microempresas y las pymes, se adapten y prosperen. La simplificación normativa no tiene por qué conllevar la desregulación y debe llevarse a cabo de manera que no menoscabe los derechos de los trabajadores y los consumidores.</w:t>
      </w:r>
    </w:p>
    <w:p w:rsidRPr="000255BE" w:rsidR="00D255D6" w:rsidP="00D255D6" w:rsidRDefault="00D255D6" w14:paraId="37E1C11D" w14:textId="77777777">
      <w:pPr>
        <w:rPr>
          <w:lang w:val="en-GB"/>
        </w:rPr>
      </w:pPr>
    </w:p>
    <w:p w:rsidRPr="000255BE" w:rsidR="00D255D6" w:rsidP="00D255D6" w:rsidRDefault="00D255D6" w14:paraId="6ABA572A" w14:textId="77777777">
      <w:pPr>
        <w:pStyle w:val="Heading2"/>
      </w:pPr>
      <w:r>
        <w:t>Las diferentes perspectivas regionales con respecto a la privacidad y las preocupaciones en materia de seguridad nacional conducen a una fragmentación normativa, en concreto en lo que se refiere a las tecnologías y a la gestión de los datos. La UE debe liderar los esfuerzos de cooperación multilateral para armonizar las normas internacionales en materia de datos y tecnologías, sin dejar de reforzar su posición como economía abierta, orientada a la exportación y decidida a hallar respuestas a los retos contemporáneos comunes y a mantener las normas de privacidad más estrictas del mundo.</w:t>
      </w:r>
    </w:p>
    <w:p w:rsidRPr="000255BE" w:rsidR="00D255D6" w:rsidP="00D255D6" w:rsidRDefault="00D255D6" w14:paraId="09AEDA1A" w14:textId="77777777">
      <w:pPr>
        <w:rPr>
          <w:lang w:val="en-GB"/>
        </w:rPr>
      </w:pPr>
    </w:p>
    <w:p w:rsidRPr="000255BE" w:rsidR="00D255D6" w:rsidP="00D255D6" w:rsidRDefault="00D255D6" w14:paraId="13F1C3E1" w14:textId="77777777">
      <w:pPr>
        <w:pStyle w:val="Heading2"/>
      </w:pPr>
      <w:r>
        <w:t>Asimismo, a la vista de los aspectos socioeconómicos y medioambientales, asegurar un comercio internacional sostenible podría convertirse en una ventaja importante y una característica determinante de la diplomacia económica de la UE</w:t>
      </w:r>
      <w:r w:rsidRPr="000255BE">
        <w:rPr>
          <w:rStyle w:val="FootnoteReference"/>
          <w:lang w:val="en-GB"/>
        </w:rPr>
        <w:footnoteReference w:id="8"/>
      </w:r>
      <w:r>
        <w:t>. Mediante la adopción de estas estrategias, la UE podría transformar los retos de fragmentación en oportunidades, al fomentar una economía resiliente e inclusiva que mejore el nivel de vida europeo y beneficie a todas las partes interesadas.</w:t>
      </w:r>
    </w:p>
    <w:p w:rsidRPr="000255BE" w:rsidR="00D255D6" w:rsidP="00D255D6" w:rsidRDefault="00D255D6" w14:paraId="3CF45D90" w14:textId="77777777">
      <w:pPr>
        <w:rPr>
          <w:lang w:val="en-GB"/>
        </w:rPr>
      </w:pPr>
    </w:p>
    <w:p w:rsidRPr="000255BE" w:rsidR="00D255D6" w:rsidP="00D255D6" w:rsidRDefault="00D255D6" w14:paraId="05B63A74" w14:textId="77777777">
      <w:pPr>
        <w:pStyle w:val="Heading1"/>
        <w:keepNext/>
      </w:pPr>
      <w:r>
        <w:rPr>
          <w:b/>
        </w:rPr>
        <w:t>Fomento de la innovación y la tecnología</w:t>
      </w:r>
    </w:p>
    <w:p w:rsidRPr="000255BE" w:rsidR="00D255D6" w:rsidP="00D255D6" w:rsidRDefault="00D255D6" w14:paraId="3AED1F26" w14:textId="77777777">
      <w:pPr>
        <w:keepNext/>
        <w:rPr>
          <w:lang w:val="en-GB"/>
        </w:rPr>
      </w:pPr>
    </w:p>
    <w:p w:rsidRPr="000255BE" w:rsidR="00D255D6" w:rsidP="00D255D6" w:rsidRDefault="00D255D6" w14:paraId="35D0D8AF" w14:textId="77777777">
      <w:pPr>
        <w:pStyle w:val="Heading2"/>
      </w:pPr>
      <w:r>
        <w:t xml:space="preserve">La UE se enfrenta al doble reto de alcanzar los objetivos de descarbonización y reducir la dependencia crítica de las tecnologías extranjeras, en particular en el sector digital de la </w:t>
      </w:r>
      <w:r>
        <w:lastRenderedPageBreak/>
        <w:t>economía. Debe actualizarse la estrategia industrial de la UE para dar prioridad a la innovación tecnológica y promover empresas emergentes e innovadoras, aprovechando todo el potencial del mercado único para impulsar el liderazgo sostenible en industrias clave. Además, deben aumentarse los fondos para iniciativas de I+D centradas en la resiliencia de la cadena de suministro, como la transparencia de la cadena de bloques y la IA para el análisis predictivo. El CESE también recomienda utilizar herramientas de gestión de la cadena de suministro basadas en la IA para optimizar el inventariado, la logística y la contratación pública, y aplicar el internet de las cosas y la analítica predictiva para mejorar la visibilidad y la prospectiva.</w:t>
      </w:r>
    </w:p>
    <w:p w:rsidRPr="000255BE" w:rsidR="00D255D6" w:rsidP="00D255D6" w:rsidRDefault="00D255D6" w14:paraId="28159049" w14:textId="77777777">
      <w:pPr>
        <w:rPr>
          <w:lang w:val="en-GB"/>
        </w:rPr>
      </w:pPr>
    </w:p>
    <w:p w:rsidRPr="000255BE" w:rsidR="00D255D6" w:rsidP="00D255D6" w:rsidRDefault="00D255D6" w14:paraId="5E4D0AC6" w14:textId="77777777">
      <w:pPr>
        <w:pStyle w:val="Heading2"/>
      </w:pPr>
      <w:r>
        <w:t>Los avances mundiales en I+D e innovación están haciendo que se pase de una industria manufacturera intensiva en mano de obra a una fabricación innovadora e intensiva en conocimientos, lo que favorece a las naciones con una sólida infraestructura de innovación y personal cualificado. La UE debe adoptar herramientas y plataformas digitales para mejorar la eficiencia operativa y reducir costes.</w:t>
      </w:r>
    </w:p>
    <w:p w:rsidRPr="000255BE" w:rsidR="00D255D6" w:rsidP="00D255D6" w:rsidRDefault="00D255D6" w14:paraId="4CA327FE" w14:textId="77777777">
      <w:pPr>
        <w:rPr>
          <w:lang w:val="en-GB"/>
        </w:rPr>
      </w:pPr>
    </w:p>
    <w:p w:rsidRPr="000255BE" w:rsidR="00D255D6" w:rsidP="00D255D6" w:rsidRDefault="00D255D6" w14:paraId="2A4221DA" w14:textId="77777777">
      <w:pPr>
        <w:pStyle w:val="Heading2"/>
      </w:pPr>
      <w:r>
        <w:t>A fin de superar el reto de la dependencia excesiva de las importaciones y de un número limitado de socios comerciales clave, que socava la resiliencia económica y la autonomía estratégica, la UE debe promover la inversión en investigaciones fundamentales y en las aplicaciones tecnológicas avanzadas pertinentes para las industrias europeas. En general, se necesita una política industrial de la UE integral y adecuadamente financiada para abordar las brechas de productividad y competitividad entre los productores europeos.</w:t>
      </w:r>
    </w:p>
    <w:p w:rsidRPr="000255BE" w:rsidR="00D255D6" w:rsidP="00D255D6" w:rsidRDefault="00D255D6" w14:paraId="46197539" w14:textId="77777777">
      <w:pPr>
        <w:rPr>
          <w:lang w:val="en-GB"/>
        </w:rPr>
      </w:pPr>
    </w:p>
    <w:p w:rsidRPr="000255BE" w:rsidR="00D255D6" w:rsidP="00D255D6" w:rsidRDefault="00D255D6" w14:paraId="59B2DB0E" w14:textId="77777777">
      <w:pPr>
        <w:pStyle w:val="Heading1"/>
        <w:keepNext/>
      </w:pPr>
      <w:r>
        <w:rPr>
          <w:b/>
        </w:rPr>
        <w:t>Apoyo a las microempresas y las pymes</w:t>
      </w:r>
    </w:p>
    <w:p w:rsidRPr="000255BE" w:rsidR="00D255D6" w:rsidP="00D255D6" w:rsidRDefault="00D255D6" w14:paraId="3D8A8FA3" w14:textId="77777777">
      <w:pPr>
        <w:keepNext/>
        <w:rPr>
          <w:lang w:val="en-GB"/>
        </w:rPr>
      </w:pPr>
    </w:p>
    <w:p w:rsidRPr="000255BE" w:rsidR="00D255D6" w:rsidP="00D255D6" w:rsidRDefault="00D255D6" w14:paraId="07B53B1B" w14:textId="77777777">
      <w:pPr>
        <w:pStyle w:val="Heading2"/>
      </w:pPr>
      <w:r>
        <w:t>La Comisión Europea reconoce los retos a los que se enfrentan las microempresas y pymes y ha tomado iniciativas como la Plataforma Europea de Colaboración de Clústeres y la Red Europea para las Empresas. El CESE valora positivamente estos esfuerzos y pide una mayor asistencia financiera y técnica para las microempresas y pymes que les permita expandirse a nuevos mercados y, a la vez, adoptar prácticas sostenibles y éticas y mejorar las capacidades de su capital humano en materia de herramientas digitales y gestión de las cadenas de suministro.</w:t>
      </w:r>
    </w:p>
    <w:p w:rsidRPr="000255BE" w:rsidR="00D255D6" w:rsidP="00D255D6" w:rsidRDefault="00D255D6" w14:paraId="4EA93AF2" w14:textId="77777777">
      <w:pPr>
        <w:rPr>
          <w:lang w:val="en-GB"/>
        </w:rPr>
      </w:pPr>
    </w:p>
    <w:p w:rsidRPr="000255BE" w:rsidR="00D255D6" w:rsidP="00D255D6" w:rsidRDefault="00D255D6" w14:paraId="4D474256" w14:textId="77777777">
      <w:pPr>
        <w:pStyle w:val="Heading2"/>
      </w:pPr>
      <w:r>
        <w:t>Los pequeños importadores de la UE son desproporcionadamente vulnerables a las perturbaciones del comercio. El CESE propone la aplicación de políticas específicas que proporcionen incentivos o recursos financieros para ayudarles a diversificar sus cadenas de suministro y a ampliar sus relaciones comerciales.</w:t>
      </w:r>
    </w:p>
    <w:p w:rsidRPr="000255BE" w:rsidR="00D255D6" w:rsidP="00D255D6" w:rsidRDefault="00D255D6" w14:paraId="41C8B0B6" w14:textId="77777777">
      <w:pPr>
        <w:rPr>
          <w:lang w:val="en-GB"/>
        </w:rPr>
      </w:pPr>
    </w:p>
    <w:p w:rsidRPr="000255BE" w:rsidR="00D255D6" w:rsidP="00D255D6" w:rsidRDefault="00D255D6" w14:paraId="4B301D4B" w14:textId="77777777">
      <w:pPr>
        <w:pStyle w:val="Heading2"/>
      </w:pPr>
      <w:r>
        <w:t>El CESE está a favor de la participación activa de los representantes de las microempresas y las pymes en los debates políticos y en la toma de decisiones, a fin de garantizar que se abordan eficazmente sus necesidades. «El diálogo social desempeña un papel importante en el desarrollo de las capacidades, y se deben intercambiar buenas prácticas de educación y formación profesional a través de iniciativas pertinentes de la UE, mediante la cooperación entre las organizaciones de pymes, los interlocutores sociales y los Estados miembros»</w:t>
      </w:r>
      <w:r w:rsidRPr="000255BE">
        <w:rPr>
          <w:rStyle w:val="FootnoteReference"/>
          <w:szCs w:val="24"/>
          <w:lang w:val="en-GB"/>
        </w:rPr>
        <w:footnoteReference w:id="9"/>
      </w:r>
      <w:r>
        <w:t xml:space="preserve">. </w:t>
      </w:r>
    </w:p>
    <w:p w:rsidRPr="000255BE" w:rsidR="00D255D6" w:rsidP="00D255D6" w:rsidRDefault="00D255D6" w14:paraId="0FE0A4A9" w14:textId="77777777">
      <w:pPr>
        <w:rPr>
          <w:lang w:val="en-GB"/>
        </w:rPr>
      </w:pPr>
    </w:p>
    <w:p w:rsidRPr="000255BE" w:rsidR="00D255D6" w:rsidP="00D255D6" w:rsidRDefault="00D255D6" w14:paraId="381995C7" w14:textId="77777777">
      <w:pPr>
        <w:pStyle w:val="Heading2"/>
      </w:pPr>
      <w:r>
        <w:lastRenderedPageBreak/>
        <w:t>El concepto de autonomía estratégica de la UE, centrado inicialmente en la seguridad y la defensa, se ha ampliado entretanto para abarcar las políticas exterior, industrial y comercial y evitar así el riesgo de autoaislamiento. Tal impulso a la autonomía forma parte de una tendencia mundial más amplia: otras grandes potencias también persiguen la autonomía estratégica, cada cual con su propio enfoque único. La UE debe integrar los puntos de vista de las microempresas y las pymes en todas las políticas relacionadas con la autonomía estratégica abierta, a fin de garantizar un crecimiento inclusivo.</w:t>
      </w:r>
    </w:p>
    <w:p w:rsidRPr="000255BE" w:rsidR="00D255D6" w:rsidP="00D255D6" w:rsidRDefault="00D255D6" w14:paraId="4893B77A" w14:textId="77777777">
      <w:pPr>
        <w:rPr>
          <w:lang w:val="en-GB"/>
        </w:rPr>
      </w:pPr>
    </w:p>
    <w:p w:rsidRPr="000255BE" w:rsidR="00D255D6" w:rsidP="00D255D6" w:rsidRDefault="00D255D6" w14:paraId="65F2A866" w14:textId="77777777">
      <w:pPr>
        <w:overflowPunct w:val="0"/>
        <w:autoSpaceDE w:val="0"/>
        <w:autoSpaceDN w:val="0"/>
        <w:adjustRightInd w:val="0"/>
        <w:textAlignment w:val="baseline"/>
      </w:pPr>
      <w:r>
        <w:t>Bruselas, 19 de junio de 2025.</w:t>
      </w:r>
    </w:p>
    <w:p w:rsidR="00D255D6" w:rsidP="00D255D6" w:rsidRDefault="00D255D6" w14:paraId="29332C2B" w14:textId="77777777">
      <w:pPr>
        <w:overflowPunct w:val="0"/>
        <w:autoSpaceDE w:val="0"/>
        <w:autoSpaceDN w:val="0"/>
        <w:adjustRightInd w:val="0"/>
        <w:textAlignment w:val="baseline"/>
        <w:rPr>
          <w:i/>
          <w:iCs/>
          <w:lang w:val="en-GB"/>
        </w:rPr>
      </w:pPr>
    </w:p>
    <w:p w:rsidRPr="000255BE" w:rsidR="003A24F5" w:rsidP="00D255D6" w:rsidRDefault="003A24F5" w14:paraId="2B3242AB" w14:textId="77777777">
      <w:pPr>
        <w:overflowPunct w:val="0"/>
        <w:autoSpaceDE w:val="0"/>
        <w:autoSpaceDN w:val="0"/>
        <w:adjustRightInd w:val="0"/>
        <w:textAlignment w:val="baseline"/>
        <w:rPr>
          <w:i/>
          <w:iCs/>
          <w:lang w:val="en-GB"/>
        </w:rPr>
      </w:pPr>
    </w:p>
    <w:p w:rsidRPr="000255BE" w:rsidR="00D255D6" w:rsidP="00D255D6" w:rsidRDefault="00D255D6" w14:paraId="423453D1" w14:textId="77777777">
      <w:pPr>
        <w:overflowPunct w:val="0"/>
        <w:autoSpaceDE w:val="0"/>
        <w:autoSpaceDN w:val="0"/>
        <w:adjustRightInd w:val="0"/>
        <w:textAlignment w:val="baseline"/>
        <w:rPr>
          <w:i/>
          <w:iCs/>
        </w:rPr>
      </w:pPr>
      <w:r>
        <w:rPr>
          <w:i/>
        </w:rPr>
        <w:t>El Presidente del Comité Económico y Social Europeo</w:t>
      </w:r>
    </w:p>
    <w:p w:rsidRPr="000255BE" w:rsidR="00D255D6" w:rsidP="00D255D6" w:rsidRDefault="004E0148" w14:paraId="6C804D84" w14:textId="77777777">
      <w:pPr>
        <w:overflowPunct w:val="0"/>
        <w:autoSpaceDE w:val="0"/>
        <w:autoSpaceDN w:val="0"/>
        <w:adjustRightInd w:val="0"/>
        <w:textAlignment w:val="baseline"/>
      </w:pPr>
      <w:r>
        <w:t>Oliver Röpke</w:t>
      </w:r>
    </w:p>
    <w:p w:rsidRPr="000255BE" w:rsidR="00D255D6" w:rsidP="00D255D6" w:rsidRDefault="00D255D6" w14:paraId="112AC3EE" w14:textId="77777777">
      <w:pPr>
        <w:overflowPunct w:val="0"/>
        <w:autoSpaceDE w:val="0"/>
        <w:autoSpaceDN w:val="0"/>
        <w:adjustRightInd w:val="0"/>
        <w:jc w:val="center"/>
        <w:textAlignment w:val="baseline"/>
      </w:pPr>
      <w:r>
        <w:t>_____________</w:t>
      </w:r>
    </w:p>
    <w:p w:rsidRPr="003A24F5" w:rsidR="00F53370" w:rsidP="0075514E" w:rsidRDefault="00F53370" w14:paraId="30AB486B" w14:textId="77777777">
      <w:pPr>
        <w:jc w:val="center"/>
        <w:rPr>
          <w:lang w:val="en-GB"/>
        </w:rPr>
      </w:pPr>
    </w:p>
    <w:sectPr w:rsidRPr="003A24F5" w:rsidR="00F53370" w:rsidSect="001E74A1">
      <w:headerReference w:type="even" r:id="rId21"/>
      <w:headerReference w:type="default" r:id="rId22"/>
      <w:footerReference w:type="default" r:id="rId23"/>
      <w:headerReference w:type="first" r:id="rId24"/>
      <w:pgSz w:w="11907" w:h="16839" w:code="9"/>
      <w:pgMar w:top="1418" w:right="1418" w:bottom="1418" w:left="1418"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D3519" w14:textId="77777777" w:rsidR="00DD5546" w:rsidRDefault="00DD5546" w:rsidP="00F53370">
      <w:pPr>
        <w:spacing w:line="240" w:lineRule="auto"/>
      </w:pPr>
      <w:r>
        <w:separator/>
      </w:r>
    </w:p>
  </w:endnote>
  <w:endnote w:type="continuationSeparator" w:id="0">
    <w:p w14:paraId="6EB15978" w14:textId="77777777" w:rsidR="00DD5546" w:rsidRDefault="00DD5546" w:rsidP="00F533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8FBC0" w14:textId="77777777" w:rsidR="00E31DAD" w:rsidRDefault="00E31D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47EA1" w14:textId="77777777" w:rsidR="00E31DAD" w:rsidRDefault="00E31D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870A6" w14:textId="77777777" w:rsidR="00E31DAD" w:rsidRDefault="00E31DA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FE923" w14:textId="77777777" w:rsidR="00574C9B" w:rsidRDefault="00574C9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83FC0" w14:textId="7D1FF741" w:rsidR="0084105C" w:rsidRPr="003065C9" w:rsidRDefault="00E31DAD" w:rsidP="00E31DAD">
    <w:pPr>
      <w:pStyle w:val="Footer"/>
      <w:jc w:val="left"/>
    </w:pPr>
    <w:r>
      <w:t xml:space="preserve">REX/596 – EESC-2025-00037-00-00-AC-TRA (EN) </w:t>
    </w:r>
    <w:r>
      <w:fldChar w:fldCharType="begin"/>
    </w:r>
    <w:r>
      <w:instrText xml:space="preserve"> PAGE  \* Arabic  \* MERGEFORMAT </w:instrText>
    </w:r>
    <w:r>
      <w:fldChar w:fldCharType="separate"/>
    </w:r>
    <w:r>
      <w:t>8</w:t>
    </w:r>
    <w:r>
      <w:fldChar w:fldCharType="end"/>
    </w:r>
    <w:r>
      <w:t>/</w:t>
    </w:r>
    <w:r>
      <w:fldChar w:fldCharType="begin"/>
    </w:r>
    <w:r>
      <w:instrText xml:space="preserve"> = </w:instrText>
    </w:r>
    <w:r w:rsidR="00C52A8C">
      <w:fldChar w:fldCharType="begin"/>
    </w:r>
    <w:r w:rsidR="00C52A8C">
      <w:instrText xml:space="preserve"> NUMPAGES </w:instrText>
    </w:r>
    <w:r w:rsidR="00C52A8C">
      <w:fldChar w:fldCharType="separate"/>
    </w:r>
    <w:r w:rsidR="00A3621E">
      <w:rPr>
        <w:noProof/>
      </w:rPr>
      <w:instrText>12</w:instrText>
    </w:r>
    <w:r w:rsidR="00C52A8C">
      <w:fldChar w:fldCharType="end"/>
    </w:r>
    <w:r>
      <w:instrText xml:space="preserve"> - 2 </w:instrText>
    </w:r>
    <w:r>
      <w:fldChar w:fldCharType="separate"/>
    </w:r>
    <w:r w:rsidR="00A3621E">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23902" w14:textId="77777777" w:rsidR="00DD5546" w:rsidRDefault="00DD5546" w:rsidP="00F53370">
      <w:pPr>
        <w:spacing w:line="240" w:lineRule="auto"/>
      </w:pPr>
      <w:r>
        <w:separator/>
      </w:r>
    </w:p>
  </w:footnote>
  <w:footnote w:type="continuationSeparator" w:id="0">
    <w:p w14:paraId="19B82ADF" w14:textId="77777777" w:rsidR="00DD5546" w:rsidRDefault="00DD5546" w:rsidP="00F53370">
      <w:pPr>
        <w:spacing w:line="240" w:lineRule="auto"/>
      </w:pPr>
      <w:r>
        <w:continuationSeparator/>
      </w:r>
    </w:p>
  </w:footnote>
  <w:footnote w:id="1">
    <w:p w14:paraId="01C38DFF" w14:textId="77777777" w:rsidR="00D255D6" w:rsidRPr="000255BE" w:rsidRDefault="00D255D6" w:rsidP="00D255D6">
      <w:pPr>
        <w:pStyle w:val="FootnoteText"/>
      </w:pPr>
      <w:r>
        <w:rPr>
          <w:rStyle w:val="FootnoteReference"/>
          <w:lang w:val="en-GB"/>
        </w:rPr>
        <w:footnoteRef/>
      </w:r>
      <w:r>
        <w:tab/>
        <w:t xml:space="preserve">Dictámenes del CESE </w:t>
      </w:r>
      <w:hyperlink r:id="rId1" w:history="1">
        <w:r>
          <w:rPr>
            <w:rStyle w:val="Hyperlink"/>
            <w:i/>
          </w:rPr>
          <w:t>«Reindustrialización de Europa: oportunidades para las empresas, los trabajadores y los ciudadanos en el contexto de la crisis del coste de la vida»</w:t>
        </w:r>
      </w:hyperlink>
      <w:r>
        <w:t xml:space="preserve">, </w:t>
      </w:r>
      <w:hyperlink r:id="rId2" w:history="1">
        <w:r>
          <w:rPr>
            <w:rStyle w:val="Hyperlink"/>
            <w:i/>
          </w:rPr>
          <w:t>«Dejar atrás las crisis: medidas en pos de una economía europea resiliente, cohesionada e inclusiva»</w:t>
        </w:r>
      </w:hyperlink>
      <w:r>
        <w:rPr>
          <w:color w:val="0000FF"/>
          <w:u w:val="single"/>
        </w:rPr>
        <w:t xml:space="preserve">, </w:t>
      </w:r>
      <w:hyperlink r:id="rId3" w:history="1">
        <w:r>
          <w:rPr>
            <w:rStyle w:val="Hyperlink"/>
            <w:i/>
          </w:rPr>
          <w:t>«Cómo las disfunciones del mercado único contribuyen al aumento del coste de la vida»</w:t>
        </w:r>
      </w:hyperlink>
      <w:r>
        <w:rPr>
          <w:rStyle w:val="Hyperlink"/>
        </w:rPr>
        <w:t xml:space="preserve">, </w:t>
      </w:r>
      <w:hyperlink r:id="rId4" w:history="1">
        <w:r>
          <w:rPr>
            <w:rStyle w:val="Hyperlink"/>
            <w:i/>
          </w:rPr>
          <w:t>«Eliminar progresivamente las subvenciones a los combustibles fósiles y garantizar al mismo tiempo la competitividad europea, mitigando la crisis del coste de la vida y promoviendo una transición justa»</w:t>
        </w:r>
      </w:hyperlink>
      <w:r>
        <w:rPr>
          <w:i/>
        </w:rPr>
        <w:t xml:space="preserve">, </w:t>
      </w:r>
      <w:hyperlink r:id="rId5" w:history="1">
        <w:r>
          <w:rPr>
            <w:rStyle w:val="Hyperlink"/>
            <w:i/>
          </w:rPr>
          <w:t>«Fragmentación de las cadenas de suministro e impacto en el coste de la vida»</w:t>
        </w:r>
      </w:hyperlink>
      <w:r>
        <w:t>, «</w:t>
      </w:r>
      <w:hyperlink r:id="rId6" w:history="1">
        <w:r>
          <w:rPr>
            <w:rStyle w:val="Hyperlink"/>
            <w:i/>
          </w:rPr>
          <w:t>Maneras de abordar la pérdida de poder adquisitivo y el riesgo de que se exacerben las desigualdades, la exclusión y la marginación</w:t>
        </w:r>
      </w:hyperlink>
      <w:r>
        <w:t xml:space="preserve">», </w:t>
      </w:r>
      <w:hyperlink r:id="rId7" w:history="1">
        <w:r>
          <w:rPr>
            <w:rStyle w:val="Hyperlink"/>
            <w:i/>
          </w:rPr>
          <w:t>«Subida de los precios del transporte, la energía y la vivienda: el papel de unos servicios públicos de calidad para luchar contra el elevado coste de la vida»</w:t>
        </w:r>
      </w:hyperlink>
      <w:r>
        <w:rPr>
          <w:rStyle w:val="Hyperlink"/>
          <w:i/>
        </w:rPr>
        <w:t>(aún no publicado en el DO)</w:t>
      </w:r>
      <w:r>
        <w:rPr>
          <w:i/>
        </w:rPr>
        <w:t>.</w:t>
      </w:r>
    </w:p>
  </w:footnote>
  <w:footnote w:id="2">
    <w:p w14:paraId="462B1567" w14:textId="77777777" w:rsidR="00D255D6" w:rsidRPr="000255BE" w:rsidRDefault="00D255D6" w:rsidP="00D255D6">
      <w:pPr>
        <w:pStyle w:val="FootnoteText"/>
      </w:pPr>
      <w:r>
        <w:rPr>
          <w:rStyle w:val="FootnoteReference"/>
          <w:lang w:val="en-GB"/>
        </w:rPr>
        <w:footnoteRef/>
      </w:r>
      <w:r>
        <w:t xml:space="preserve"> </w:t>
      </w:r>
      <w:r>
        <w:tab/>
        <w:t xml:space="preserve">ECO/660 </w:t>
      </w:r>
      <w:hyperlink r:id="rId8" w:history="1">
        <w:r>
          <w:rPr>
            <w:rStyle w:val="Hyperlink"/>
            <w:i/>
          </w:rPr>
          <w:t>«Recomendaciones de la sociedad civil organizada para hacer frente a la crisis del coste de la vida»</w:t>
        </w:r>
      </w:hyperlink>
      <w:r>
        <w:rPr>
          <w:rStyle w:val="Hyperlink"/>
          <w:i/>
        </w:rPr>
        <w:t xml:space="preserve"> (en curso)</w:t>
      </w:r>
      <w:r>
        <w:t>.</w:t>
      </w:r>
    </w:p>
  </w:footnote>
  <w:footnote w:id="3">
    <w:p w14:paraId="7DE0D8DF" w14:textId="77777777" w:rsidR="00D255D6" w:rsidRPr="000255BE" w:rsidRDefault="00D255D6" w:rsidP="00D255D6">
      <w:pPr>
        <w:pStyle w:val="FootnoteText"/>
      </w:pPr>
      <w:r>
        <w:rPr>
          <w:rStyle w:val="FootnoteReference"/>
          <w:lang w:val="en-GB"/>
        </w:rPr>
        <w:footnoteRef/>
      </w:r>
      <w:r>
        <w:t xml:space="preserve"> </w:t>
      </w:r>
      <w:r>
        <w:tab/>
      </w:r>
      <w:hyperlink r:id="rId9" w:history="1">
        <w:r>
          <w:rPr>
            <w:rStyle w:val="Hyperlink"/>
            <w:i/>
          </w:rPr>
          <w:t>The 2022 Joint Statement on Cooperation on Global Supply Chains</w:t>
        </w:r>
      </w:hyperlink>
      <w:r>
        <w:t>.</w:t>
      </w:r>
    </w:p>
  </w:footnote>
  <w:footnote w:id="4">
    <w:p w14:paraId="35ECECA8" w14:textId="77777777" w:rsidR="00D255D6" w:rsidRPr="000255BE" w:rsidRDefault="00D255D6" w:rsidP="00D255D6">
      <w:pPr>
        <w:pStyle w:val="FootnoteText"/>
      </w:pPr>
      <w:r>
        <w:rPr>
          <w:rStyle w:val="FootnoteReference"/>
          <w:lang w:val="en-GB"/>
        </w:rPr>
        <w:footnoteRef/>
      </w:r>
      <w:r>
        <w:tab/>
      </w:r>
      <w:hyperlink r:id="rId10" w:history="1">
        <w:r>
          <w:rPr>
            <w:rStyle w:val="Hyperlink"/>
          </w:rPr>
          <w:t xml:space="preserve">Banco Central Europeo: </w:t>
        </w:r>
        <w:r>
          <w:rPr>
            <w:rStyle w:val="Hyperlink"/>
            <w:i/>
          </w:rPr>
          <w:t>Navigating a fragmenting global trading system</w:t>
        </w:r>
      </w:hyperlink>
      <w:r>
        <w:t>.</w:t>
      </w:r>
    </w:p>
  </w:footnote>
  <w:footnote w:id="5">
    <w:p w14:paraId="5D3FB66E" w14:textId="77777777" w:rsidR="00D255D6" w:rsidRPr="000255BE" w:rsidRDefault="00D255D6" w:rsidP="00D255D6">
      <w:pPr>
        <w:pStyle w:val="FootnoteText"/>
      </w:pPr>
      <w:r>
        <w:rPr>
          <w:rStyle w:val="FootnoteReference"/>
          <w:lang w:val="en-GB"/>
        </w:rPr>
        <w:footnoteRef/>
      </w:r>
      <w:r>
        <w:tab/>
      </w:r>
      <w:hyperlink r:id="rId11" w:history="1">
        <w:r>
          <w:rPr>
            <w:rStyle w:val="Hyperlink"/>
          </w:rPr>
          <w:t>Parlamento Europeo: Cadenas de valor mundiales</w:t>
        </w:r>
      </w:hyperlink>
      <w:r>
        <w:t>.</w:t>
      </w:r>
    </w:p>
  </w:footnote>
  <w:footnote w:id="6">
    <w:p w14:paraId="70468C26" w14:textId="77777777" w:rsidR="00D255D6" w:rsidRPr="000255BE" w:rsidRDefault="00D255D6" w:rsidP="00D255D6">
      <w:pPr>
        <w:pStyle w:val="FootnoteText"/>
      </w:pPr>
      <w:r>
        <w:rPr>
          <w:rStyle w:val="FootnoteReference"/>
          <w:lang w:val="en-GB"/>
        </w:rPr>
        <w:footnoteRef/>
      </w:r>
      <w:r>
        <w:t xml:space="preserve"> </w:t>
      </w:r>
      <w:r>
        <w:tab/>
      </w:r>
      <w:hyperlink r:id="rId12" w:history="1">
        <w:r>
          <w:rPr>
            <w:rStyle w:val="Hyperlink"/>
          </w:rPr>
          <w:t>Comunicación de la Comisión «El poder de las asociaciones comerciales: juntos por un crecimiento económico ecológico y justo», 2022</w:t>
        </w:r>
      </w:hyperlink>
      <w:r>
        <w:t>.</w:t>
      </w:r>
    </w:p>
  </w:footnote>
  <w:footnote w:id="7">
    <w:p w14:paraId="5D7B871D" w14:textId="77777777" w:rsidR="00D255D6" w:rsidRPr="000255BE" w:rsidRDefault="00D255D6" w:rsidP="00D255D6">
      <w:pPr>
        <w:pStyle w:val="FootnoteText"/>
        <w:rPr>
          <w:b/>
          <w:bCs/>
        </w:rPr>
      </w:pPr>
      <w:r>
        <w:rPr>
          <w:rStyle w:val="FootnoteReference"/>
          <w:lang w:val="en-GB"/>
        </w:rPr>
        <w:footnoteRef/>
      </w:r>
      <w:r>
        <w:tab/>
      </w:r>
      <w:hyperlink r:id="rId13" w:history="1">
        <w:r>
          <w:rPr>
            <w:rStyle w:val="Hyperlink"/>
          </w:rPr>
          <w:t>Comisión Europea: Global Gateway</w:t>
        </w:r>
      </w:hyperlink>
      <w:r>
        <w:t>.</w:t>
      </w:r>
    </w:p>
  </w:footnote>
  <w:footnote w:id="8">
    <w:p w14:paraId="66FB405F" w14:textId="77777777" w:rsidR="00D255D6" w:rsidRPr="000255BE" w:rsidRDefault="00D255D6" w:rsidP="00D255D6">
      <w:pPr>
        <w:pStyle w:val="FootnoteText"/>
        <w:rPr>
          <w:szCs w:val="16"/>
        </w:rPr>
      </w:pPr>
      <w:r>
        <w:rPr>
          <w:rStyle w:val="FootnoteReference"/>
          <w:szCs w:val="24"/>
          <w:lang w:val="en-GB"/>
        </w:rPr>
        <w:footnoteRef/>
      </w:r>
      <w:r>
        <w:rPr>
          <w:sz w:val="24"/>
        </w:rPr>
        <w:t xml:space="preserve"> </w:t>
      </w:r>
      <w:r>
        <w:tab/>
        <w:t xml:space="preserve">Véase, por ejemplo, el Dictamen del CESE «Prohibición en el mercado de la Unión de los productos relacionados con el trabajo forzoso», </w:t>
      </w:r>
      <w:hyperlink r:id="rId14" w:history="1">
        <w:r>
          <w:rPr>
            <w:rStyle w:val="Hyperlink"/>
          </w:rPr>
          <w:t>DO C 140 de 21.4.2023, p. 75</w:t>
        </w:r>
      </w:hyperlink>
      <w:r>
        <w:t>.</w:t>
      </w:r>
    </w:p>
  </w:footnote>
  <w:footnote w:id="9">
    <w:p w14:paraId="4FE15860" w14:textId="77777777" w:rsidR="00D255D6" w:rsidRPr="000255BE" w:rsidRDefault="00D255D6" w:rsidP="00D255D6">
      <w:pPr>
        <w:pStyle w:val="FootnoteText"/>
      </w:pPr>
      <w:r>
        <w:rPr>
          <w:rStyle w:val="FootnoteReference"/>
          <w:lang w:val="en-GB"/>
        </w:rPr>
        <w:footnoteRef/>
      </w:r>
      <w:r>
        <w:tab/>
        <w:t xml:space="preserve">Dictamen del CESE «Estrategia para la próxima generación de pymes: favorecer una aplicación eficaz y rápida», </w:t>
      </w:r>
      <w:hyperlink r:id="rId15" w:history="1">
        <w:r>
          <w:rPr>
            <w:rStyle w:val="Hyperlink"/>
          </w:rPr>
          <w:t>DO C 194 de 12.5.2022, p. 7</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FE09A" w14:textId="77777777" w:rsidR="00574C9B" w:rsidRDefault="00C52A8C">
    <w:pPr>
      <w:pStyle w:val="Header"/>
    </w:pPr>
    <w:r>
      <w:pict w14:anchorId="634F2B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6" o:spid="_x0000_s2060" type="#_x0000_t75" style="position:absolute;left:0;text-align:left;margin-left:0;margin-top:0;width:595.2pt;height:841.9pt;z-index:-251649024;mso-position-horizontal:center;mso-position-horizontal-relative:margin;mso-position-vertical:center;mso-position-vertical-relative:margin" o:allowincell="f">
          <v:imagedata r:id="rId1" o:title="footer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E3351" w14:textId="04F61EB1" w:rsidR="00574C9B" w:rsidRDefault="0071793B">
    <w:pPr>
      <w:pStyle w:val="Header"/>
    </w:pPr>
    <w:r>
      <w:rPr>
        <w:noProof/>
      </w:rPr>
      <w:drawing>
        <wp:anchor distT="0" distB="0" distL="114300" distR="114300" simplePos="0" relativeHeight="251675648" behindDoc="0" locked="0" layoutInCell="1" allowOverlap="1" wp14:anchorId="3D8E83B5" wp14:editId="7869913F">
          <wp:simplePos x="0" y="0"/>
          <wp:positionH relativeFrom="page">
            <wp:align>center</wp:align>
          </wp:positionH>
          <wp:positionV relativeFrom="page">
            <wp:posOffset>288290</wp:posOffset>
          </wp:positionV>
          <wp:extent cx="6944360" cy="3343275"/>
          <wp:effectExtent l="0" t="0" r="8890" b="9525"/>
          <wp:wrapNone/>
          <wp:docPr id="1" name="Picture 1" title="EESCLogo2021_ES"/>
          <wp:cNvGraphicFramePr/>
          <a:graphic xmlns:a="http://schemas.openxmlformats.org/drawingml/2006/main">
            <a:graphicData uri="http://schemas.openxmlformats.org/drawingml/2006/picture">
              <pic:pic xmlns:pic="http://schemas.openxmlformats.org/drawingml/2006/picture">
                <pic:nvPicPr>
                  <pic:cNvPr id="1" name="Picture 1" title="EESCLogo2021_ES"/>
                  <pic:cNvPicPr/>
                </pic:nvPicPr>
                <pic:blipFill>
                  <a:blip r:embed="rId1">
                    <a:extLst>
                      <a:ext uri="{28A0092B-C50C-407E-A947-70E740481C1C}">
                        <a14:useLocalDpi xmlns:a14="http://schemas.microsoft.com/office/drawing/2010/main" val="0"/>
                      </a:ext>
                    </a:extLst>
                  </a:blip>
                  <a:stretch>
                    <a:fillRect/>
                  </a:stretch>
                </pic:blipFill>
                <pic:spPr>
                  <a:xfrm>
                    <a:off x="0" y="0"/>
                    <a:ext cx="6944360" cy="3343275"/>
                  </a:xfrm>
                  <a:prstGeom prst="rect">
                    <a:avLst/>
                  </a:prstGeom>
                </pic:spPr>
              </pic:pic>
            </a:graphicData>
          </a:graphic>
          <wp14:sizeRelH relativeFrom="margin">
            <wp14:pctWidth>0</wp14:pctWidth>
          </wp14:sizeRelH>
          <wp14:sizeRelV relativeFrom="margin">
            <wp14:pctHeight>0</wp14:pctHeight>
          </wp14:sizeRelV>
        </wp:anchor>
      </w:drawing>
    </w:r>
    <w:r w:rsidR="00C52A8C">
      <w:pict w14:anchorId="6F333C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7" o:spid="_x0000_s2061" type="#_x0000_t75" style="position:absolute;left:0;text-align:left;margin-left:0;margin-top:0;width:595.2pt;height:841.9pt;z-index:-251648000;mso-position-horizontal:center;mso-position-horizontal-relative:page;mso-position-vertical:top;mso-position-vertical-relative:page" o:allowincell="f">
          <v:imagedata r:id="rId2" o:title="footer only"/>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BDA6D" w14:textId="77777777" w:rsidR="00574C9B" w:rsidRDefault="00C52A8C">
    <w:pPr>
      <w:pStyle w:val="Header"/>
    </w:pPr>
    <w:r>
      <w:pict w14:anchorId="74D005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5" o:spid="_x0000_s2059" type="#_x0000_t75" style="position:absolute;left:0;text-align:left;margin-left:0;margin-top:0;width:595.2pt;height:841.9pt;z-index:-251650048;mso-position-horizontal:center;mso-position-horizontal-relative:margin;mso-position-vertical:center;mso-position-vertical-relative:margin" o:allowincell="f">
          <v:imagedata r:id="rId1" o:title="footer only"/>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5B8E9" w14:textId="77777777" w:rsidR="00574C9B" w:rsidRDefault="00C52A8C">
    <w:pPr>
      <w:pStyle w:val="Header"/>
    </w:pPr>
    <w:r>
      <w:pict w14:anchorId="6B699F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9" o:spid="_x0000_s2063" type="#_x0000_t75" style="position:absolute;left:0;text-align:left;margin-left:0;margin-top:0;width:595.2pt;height:841.9pt;z-index:-251645952;mso-position-horizontal:center;mso-position-horizontal-relative:margin;mso-position-vertical:center;mso-position-vertical-relative:margin" o:allowincell="f">
          <v:imagedata r:id="rId1" o:title="footer onl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F3C1B" w14:textId="77777777" w:rsidR="00574C9B" w:rsidRDefault="00C52A8C">
    <w:pPr>
      <w:pStyle w:val="Header"/>
    </w:pPr>
    <w:r>
      <w:pict w14:anchorId="4E11AF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0" o:spid="_x0000_s2064" type="#_x0000_t75" style="position:absolute;left:0;text-align:left;margin-left:0;margin-top:0;width:595.2pt;height:841.9pt;z-index:-251644928;visibility:hidden;mso-position-horizontal:center;mso-position-horizontal-relative:margin;mso-position-vertical:center;mso-position-vertical-relative:margin" o:allowincell="f">
          <v:imagedata r:id="rId1" o:title="footer only"/>
          <w10:wrap anchorx="margin" anchory="margin"/>
        </v:shape>
      </w:pict>
    </w:r>
    <w:r w:rsidR="0035093F">
      <w:rPr>
        <w:noProof/>
      </w:rPr>
      <w:drawing>
        <wp:anchor distT="0" distB="0" distL="114300" distR="114300" simplePos="0" relativeHeight="251662336" behindDoc="1" locked="0" layoutInCell="1" allowOverlap="1" wp14:anchorId="178B9F2A" wp14:editId="6265C268">
          <wp:simplePos x="0" y="0"/>
          <wp:positionH relativeFrom="page">
            <wp:posOffset>-10571</wp:posOffset>
          </wp:positionH>
          <wp:positionV relativeFrom="page">
            <wp:posOffset>-221993</wp:posOffset>
          </wp:positionV>
          <wp:extent cx="7581265" cy="10898802"/>
          <wp:effectExtent l="0" t="0" r="63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ckground (footer) recto.png"/>
                  <pic:cNvPicPr/>
                </pic:nvPicPr>
                <pic:blipFill>
                  <a:blip r:embed="rId2">
                    <a:extLst>
                      <a:ext uri="{28A0092B-C50C-407E-A947-70E740481C1C}">
                        <a14:useLocalDpi xmlns:a14="http://schemas.microsoft.com/office/drawing/2010/main" val="0"/>
                      </a:ext>
                    </a:extLst>
                  </a:blip>
                  <a:stretch>
                    <a:fillRect/>
                  </a:stretch>
                </pic:blipFill>
                <pic:spPr>
                  <a:xfrm>
                    <a:off x="0" y="0"/>
                    <a:ext cx="7585107" cy="10904325"/>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341BE" w14:textId="77777777" w:rsidR="00574C9B" w:rsidRDefault="00C52A8C">
    <w:pPr>
      <w:pStyle w:val="Header"/>
    </w:pPr>
    <w:r>
      <w:pict w14:anchorId="74DFF9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8" o:spid="_x0000_s2062" type="#_x0000_t75" style="position:absolute;left:0;text-align:left;margin-left:0;margin-top:0;width:595.2pt;height:841.9pt;z-index:-251646976;mso-position-horizontal:center;mso-position-horizontal-relative:margin;mso-position-vertical:center;mso-position-vertical-relative:margin" o:allowincell="f">
          <v:imagedata r:id="rId1" o:title="footer only"/>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E202F" w14:textId="77777777" w:rsidR="004871B8" w:rsidRDefault="00C52A8C">
    <w:pPr>
      <w:pStyle w:val="Header"/>
    </w:pPr>
    <w:r>
      <w:pict w14:anchorId="4F7F2E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2" o:spid="_x0000_s2066" type="#_x0000_t75" style="position:absolute;left:0;text-align:left;margin-left:0;margin-top:0;width:595.2pt;height:841.9pt;z-index:-251642880;mso-position-horizontal:center;mso-position-horizontal-relative:margin;mso-position-vertical:center;mso-position-vertical-relative:margin" o:allowincell="f">
          <v:imagedata r:id="rId1" o:title="footer only"/>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FC518" w14:textId="77777777" w:rsidR="00FA08F8" w:rsidRDefault="00C52A8C">
    <w:pPr>
      <w:pStyle w:val="Header"/>
    </w:pPr>
    <w:r>
      <w:pict w14:anchorId="5D27B6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3" o:spid="_x0000_s2067" type="#_x0000_t75" style="position:absolute;left:0;text-align:left;margin-left:0;margin-top:0;width:595.2pt;height:841.9pt;z-index:-251641856;visibility:hidden;mso-position-horizontal:center;mso-position-horizontal-relative:margin;mso-position-vertical:center;mso-position-vertical-relative:margin" o:allowincell="f">
          <v:imagedata r:id="rId1" o:title="footer only"/>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364E9" w14:textId="77777777" w:rsidR="004871B8" w:rsidRDefault="00C52A8C">
    <w:pPr>
      <w:pStyle w:val="Header"/>
    </w:pPr>
    <w:r>
      <w:pict w14:anchorId="57876F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1" o:spid="_x0000_s2065" type="#_x0000_t75" style="position:absolute;left:0;text-align:left;margin-left:0;margin-top:0;width:595.2pt;height:841.9pt;z-index:-251643904;mso-position-horizontal:center;mso-position-horizontal-relative:margin;mso-position-vertical:center;mso-position-vertical-relative:margin" o:allowincell="f">
          <v:imagedata r:id="rId1" o:title="footer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2DDCE010"/>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146E6C8F"/>
    <w:multiLevelType w:val="hybridMultilevel"/>
    <w:tmpl w:val="DD4E815C"/>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67534FF"/>
    <w:multiLevelType w:val="hybridMultilevel"/>
    <w:tmpl w:val="9F92464E"/>
    <w:lvl w:ilvl="0" w:tplc="E0B41C9A">
      <w:start w:val="1"/>
      <w:numFmt w:val="bullet"/>
      <w:lvlText w:val=""/>
      <w:lvlJc w:val="left"/>
      <w:pPr>
        <w:ind w:left="1287" w:hanging="360"/>
      </w:pPr>
      <w:rPr>
        <w:rFonts w:ascii="Symbol" w:hAnsi="Symbol" w:hint="default"/>
      </w:rPr>
    </w:lvl>
    <w:lvl w:ilvl="1" w:tplc="040B0003" w:tentative="1">
      <w:start w:val="1"/>
      <w:numFmt w:val="bullet"/>
      <w:lvlText w:val="o"/>
      <w:lvlJc w:val="left"/>
      <w:pPr>
        <w:ind w:left="2007" w:hanging="360"/>
      </w:pPr>
      <w:rPr>
        <w:rFonts w:ascii="Courier New" w:hAnsi="Courier New" w:cs="Courier New" w:hint="default"/>
      </w:rPr>
    </w:lvl>
    <w:lvl w:ilvl="2" w:tplc="040B0005" w:tentative="1">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cs="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cs="Courier New" w:hint="default"/>
      </w:rPr>
    </w:lvl>
    <w:lvl w:ilvl="8" w:tplc="040B0005" w:tentative="1">
      <w:start w:val="1"/>
      <w:numFmt w:val="bullet"/>
      <w:lvlText w:val=""/>
      <w:lvlJc w:val="left"/>
      <w:pPr>
        <w:ind w:left="7047" w:hanging="360"/>
      </w:pPr>
      <w:rPr>
        <w:rFonts w:ascii="Wingdings" w:hAnsi="Wingdings" w:hint="default"/>
      </w:rPr>
    </w:lvl>
  </w:abstractNum>
  <w:abstractNum w:abstractNumId="3" w15:restartNumberingAfterBreak="0">
    <w:nsid w:val="20632CAB"/>
    <w:multiLevelType w:val="hybridMultilevel"/>
    <w:tmpl w:val="CADAA9C8"/>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51B0D18"/>
    <w:multiLevelType w:val="hybridMultilevel"/>
    <w:tmpl w:val="F9D8957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05E120E"/>
    <w:multiLevelType w:val="hybridMultilevel"/>
    <w:tmpl w:val="9A567222"/>
    <w:lvl w:ilvl="0" w:tplc="E0B41C9A">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46EE51D4"/>
    <w:multiLevelType w:val="hybridMultilevel"/>
    <w:tmpl w:val="EEE2F430"/>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F21711A"/>
    <w:multiLevelType w:val="hybridMultilevel"/>
    <w:tmpl w:val="6B400CA0"/>
    <w:lvl w:ilvl="0" w:tplc="E0B41C9A">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7"/>
  </w:num>
  <w:num w:numId="6">
    <w:abstractNumId w:val="1"/>
  </w:num>
  <w:num w:numId="7">
    <w:abstractNumId w:val="3"/>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6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370"/>
    <w:rsid w:val="000045CF"/>
    <w:rsid w:val="00011EF9"/>
    <w:rsid w:val="00013B99"/>
    <w:rsid w:val="000175B2"/>
    <w:rsid w:val="00020389"/>
    <w:rsid w:val="000255BE"/>
    <w:rsid w:val="00053D00"/>
    <w:rsid w:val="0006003D"/>
    <w:rsid w:val="00066F60"/>
    <w:rsid w:val="00071DC2"/>
    <w:rsid w:val="000A0F3B"/>
    <w:rsid w:val="000C691F"/>
    <w:rsid w:val="000C6DF6"/>
    <w:rsid w:val="000E5E03"/>
    <w:rsid w:val="001119FD"/>
    <w:rsid w:val="00115651"/>
    <w:rsid w:val="00153981"/>
    <w:rsid w:val="001742A5"/>
    <w:rsid w:val="00185E99"/>
    <w:rsid w:val="0019231D"/>
    <w:rsid w:val="001939C4"/>
    <w:rsid w:val="001955B6"/>
    <w:rsid w:val="001965B7"/>
    <w:rsid w:val="001A6116"/>
    <w:rsid w:val="001C42C1"/>
    <w:rsid w:val="001D61AC"/>
    <w:rsid w:val="001E15AA"/>
    <w:rsid w:val="001E3FA1"/>
    <w:rsid w:val="00200E87"/>
    <w:rsid w:val="00206D14"/>
    <w:rsid w:val="00214BDC"/>
    <w:rsid w:val="00215E81"/>
    <w:rsid w:val="0024727F"/>
    <w:rsid w:val="00254FF3"/>
    <w:rsid w:val="00273BEE"/>
    <w:rsid w:val="00282E54"/>
    <w:rsid w:val="002B6A7B"/>
    <w:rsid w:val="003222E0"/>
    <w:rsid w:val="003353D7"/>
    <w:rsid w:val="0035093F"/>
    <w:rsid w:val="003575E1"/>
    <w:rsid w:val="003659F9"/>
    <w:rsid w:val="003A24F5"/>
    <w:rsid w:val="00401DE5"/>
    <w:rsid w:val="004051F7"/>
    <w:rsid w:val="004170F0"/>
    <w:rsid w:val="0045106C"/>
    <w:rsid w:val="00461CAF"/>
    <w:rsid w:val="004776C4"/>
    <w:rsid w:val="004871B8"/>
    <w:rsid w:val="00492082"/>
    <w:rsid w:val="004C3559"/>
    <w:rsid w:val="004E0148"/>
    <w:rsid w:val="004F3B80"/>
    <w:rsid w:val="005008A8"/>
    <w:rsid w:val="00556C49"/>
    <w:rsid w:val="00574C9B"/>
    <w:rsid w:val="00574FEB"/>
    <w:rsid w:val="00583A98"/>
    <w:rsid w:val="0058411F"/>
    <w:rsid w:val="005961A4"/>
    <w:rsid w:val="005A19A3"/>
    <w:rsid w:val="005C530F"/>
    <w:rsid w:val="006125A1"/>
    <w:rsid w:val="006232BB"/>
    <w:rsid w:val="00631B55"/>
    <w:rsid w:val="00653E7D"/>
    <w:rsid w:val="00662207"/>
    <w:rsid w:val="00667F09"/>
    <w:rsid w:val="00686424"/>
    <w:rsid w:val="006B57A6"/>
    <w:rsid w:val="006C0EAF"/>
    <w:rsid w:val="006D53A6"/>
    <w:rsid w:val="0071793B"/>
    <w:rsid w:val="00754A19"/>
    <w:rsid w:val="0075514E"/>
    <w:rsid w:val="00787837"/>
    <w:rsid w:val="00787ABB"/>
    <w:rsid w:val="007B1355"/>
    <w:rsid w:val="007B6C64"/>
    <w:rsid w:val="007D00D1"/>
    <w:rsid w:val="00822952"/>
    <w:rsid w:val="008240D0"/>
    <w:rsid w:val="00825983"/>
    <w:rsid w:val="00836505"/>
    <w:rsid w:val="00837061"/>
    <w:rsid w:val="00844B87"/>
    <w:rsid w:val="00867C81"/>
    <w:rsid w:val="0089251B"/>
    <w:rsid w:val="008A6DD4"/>
    <w:rsid w:val="008C35E7"/>
    <w:rsid w:val="008D534D"/>
    <w:rsid w:val="008F74D7"/>
    <w:rsid w:val="009028FB"/>
    <w:rsid w:val="00904C42"/>
    <w:rsid w:val="009076F9"/>
    <w:rsid w:val="00914683"/>
    <w:rsid w:val="00924C05"/>
    <w:rsid w:val="00937CF2"/>
    <w:rsid w:val="009452FA"/>
    <w:rsid w:val="0095785C"/>
    <w:rsid w:val="00976645"/>
    <w:rsid w:val="00976F77"/>
    <w:rsid w:val="0098228C"/>
    <w:rsid w:val="009832C7"/>
    <w:rsid w:val="00987B9D"/>
    <w:rsid w:val="009A3662"/>
    <w:rsid w:val="009E2100"/>
    <w:rsid w:val="009F015C"/>
    <w:rsid w:val="00A21F3B"/>
    <w:rsid w:val="00A310E1"/>
    <w:rsid w:val="00A3621E"/>
    <w:rsid w:val="00A36AB0"/>
    <w:rsid w:val="00AB37A3"/>
    <w:rsid w:val="00AB6D77"/>
    <w:rsid w:val="00AC5114"/>
    <w:rsid w:val="00B25683"/>
    <w:rsid w:val="00B35B72"/>
    <w:rsid w:val="00B4136E"/>
    <w:rsid w:val="00B46358"/>
    <w:rsid w:val="00B51901"/>
    <w:rsid w:val="00B86449"/>
    <w:rsid w:val="00B964BE"/>
    <w:rsid w:val="00BC4FD4"/>
    <w:rsid w:val="00BD50F6"/>
    <w:rsid w:val="00BE2537"/>
    <w:rsid w:val="00C073E1"/>
    <w:rsid w:val="00C25647"/>
    <w:rsid w:val="00C27A3D"/>
    <w:rsid w:val="00C43C64"/>
    <w:rsid w:val="00C52A8C"/>
    <w:rsid w:val="00C66AEA"/>
    <w:rsid w:val="00C76BA9"/>
    <w:rsid w:val="00C9040A"/>
    <w:rsid w:val="00C91E4D"/>
    <w:rsid w:val="00CB110A"/>
    <w:rsid w:val="00CB321D"/>
    <w:rsid w:val="00CB7CD0"/>
    <w:rsid w:val="00D02176"/>
    <w:rsid w:val="00D039AF"/>
    <w:rsid w:val="00D100E6"/>
    <w:rsid w:val="00D13128"/>
    <w:rsid w:val="00D255D6"/>
    <w:rsid w:val="00D66500"/>
    <w:rsid w:val="00D821E4"/>
    <w:rsid w:val="00D95232"/>
    <w:rsid w:val="00DA2D12"/>
    <w:rsid w:val="00DB7F50"/>
    <w:rsid w:val="00DD5546"/>
    <w:rsid w:val="00DE30C7"/>
    <w:rsid w:val="00DF400F"/>
    <w:rsid w:val="00DF48E2"/>
    <w:rsid w:val="00E15BF4"/>
    <w:rsid w:val="00E16A92"/>
    <w:rsid w:val="00E2376B"/>
    <w:rsid w:val="00E26935"/>
    <w:rsid w:val="00E27707"/>
    <w:rsid w:val="00E31DAD"/>
    <w:rsid w:val="00E333C8"/>
    <w:rsid w:val="00E3374E"/>
    <w:rsid w:val="00E52B04"/>
    <w:rsid w:val="00E61D26"/>
    <w:rsid w:val="00E661B7"/>
    <w:rsid w:val="00E90A9D"/>
    <w:rsid w:val="00ED5052"/>
    <w:rsid w:val="00F2069F"/>
    <w:rsid w:val="00F47F6C"/>
    <w:rsid w:val="00F51EF6"/>
    <w:rsid w:val="00F53370"/>
    <w:rsid w:val="00F90BE2"/>
    <w:rsid w:val="00FB1D7A"/>
    <w:rsid w:val="00FC0C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1"/>
    </o:shapelayout>
  </w:shapeDefaults>
  <w:decimalSymbol w:val=","/>
  <w:listSeparator w:val=";"/>
  <w14:docId w14:val="1EEFDB35"/>
  <w15:chartTrackingRefBased/>
  <w15:docId w15:val="{D381F634-0C15-4454-8DBD-75C4E885C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C9B"/>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F53370"/>
    <w:pPr>
      <w:numPr>
        <w:numId w:val="1"/>
      </w:numPr>
      <w:ind w:left="567" w:hanging="567"/>
      <w:outlineLvl w:val="0"/>
    </w:pPr>
    <w:rPr>
      <w:kern w:val="28"/>
    </w:rPr>
  </w:style>
  <w:style w:type="paragraph" w:styleId="Heading2">
    <w:name w:val="heading 2"/>
    <w:basedOn w:val="Normal"/>
    <w:next w:val="Normal"/>
    <w:link w:val="Heading2Char"/>
    <w:qFormat/>
    <w:rsid w:val="00F53370"/>
    <w:pPr>
      <w:numPr>
        <w:ilvl w:val="1"/>
        <w:numId w:val="1"/>
      </w:numPr>
      <w:ind w:left="567" w:hanging="567"/>
      <w:outlineLvl w:val="1"/>
    </w:pPr>
  </w:style>
  <w:style w:type="paragraph" w:styleId="Heading3">
    <w:name w:val="heading 3"/>
    <w:basedOn w:val="Normal"/>
    <w:next w:val="Normal"/>
    <w:link w:val="Heading3Char"/>
    <w:qFormat/>
    <w:rsid w:val="00F53370"/>
    <w:pPr>
      <w:numPr>
        <w:ilvl w:val="2"/>
        <w:numId w:val="1"/>
      </w:numPr>
      <w:ind w:left="567" w:hanging="567"/>
      <w:outlineLvl w:val="2"/>
    </w:pPr>
  </w:style>
  <w:style w:type="paragraph" w:styleId="Heading4">
    <w:name w:val="heading 4"/>
    <w:basedOn w:val="Normal"/>
    <w:next w:val="Normal"/>
    <w:link w:val="Heading4Char"/>
    <w:qFormat/>
    <w:rsid w:val="00F53370"/>
    <w:pPr>
      <w:numPr>
        <w:ilvl w:val="3"/>
        <w:numId w:val="1"/>
      </w:numPr>
      <w:ind w:left="567" w:hanging="567"/>
      <w:outlineLvl w:val="3"/>
    </w:pPr>
  </w:style>
  <w:style w:type="paragraph" w:styleId="Heading5">
    <w:name w:val="heading 5"/>
    <w:basedOn w:val="Normal"/>
    <w:next w:val="Normal"/>
    <w:link w:val="Heading5Char"/>
    <w:qFormat/>
    <w:rsid w:val="00F53370"/>
    <w:pPr>
      <w:numPr>
        <w:ilvl w:val="4"/>
        <w:numId w:val="1"/>
      </w:numPr>
      <w:ind w:left="567" w:hanging="567"/>
      <w:outlineLvl w:val="4"/>
    </w:pPr>
  </w:style>
  <w:style w:type="paragraph" w:styleId="Heading6">
    <w:name w:val="heading 6"/>
    <w:basedOn w:val="Normal"/>
    <w:next w:val="Normal"/>
    <w:link w:val="Heading6Char"/>
    <w:qFormat/>
    <w:rsid w:val="00F53370"/>
    <w:pPr>
      <w:numPr>
        <w:ilvl w:val="5"/>
        <w:numId w:val="1"/>
      </w:numPr>
      <w:ind w:left="567" w:hanging="567"/>
      <w:outlineLvl w:val="5"/>
    </w:pPr>
  </w:style>
  <w:style w:type="paragraph" w:styleId="Heading7">
    <w:name w:val="heading 7"/>
    <w:basedOn w:val="Normal"/>
    <w:next w:val="Normal"/>
    <w:link w:val="Heading7Char"/>
    <w:qFormat/>
    <w:rsid w:val="00F53370"/>
    <w:pPr>
      <w:numPr>
        <w:ilvl w:val="6"/>
        <w:numId w:val="1"/>
      </w:numPr>
      <w:ind w:left="567" w:hanging="567"/>
      <w:outlineLvl w:val="6"/>
    </w:pPr>
  </w:style>
  <w:style w:type="paragraph" w:styleId="Heading8">
    <w:name w:val="heading 8"/>
    <w:basedOn w:val="Normal"/>
    <w:next w:val="Normal"/>
    <w:link w:val="Heading8Char"/>
    <w:qFormat/>
    <w:rsid w:val="00F53370"/>
    <w:pPr>
      <w:numPr>
        <w:ilvl w:val="7"/>
        <w:numId w:val="1"/>
      </w:numPr>
      <w:ind w:left="567" w:hanging="567"/>
      <w:outlineLvl w:val="7"/>
    </w:pPr>
  </w:style>
  <w:style w:type="paragraph" w:styleId="Heading9">
    <w:name w:val="heading 9"/>
    <w:basedOn w:val="Normal"/>
    <w:next w:val="Normal"/>
    <w:link w:val="Heading9Char"/>
    <w:qFormat/>
    <w:rsid w:val="00F5337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3370"/>
    <w:rPr>
      <w:rFonts w:ascii="Times New Roman" w:eastAsia="Times New Roman" w:hAnsi="Times New Roman" w:cs="Times New Roman"/>
      <w:kern w:val="28"/>
    </w:rPr>
  </w:style>
  <w:style w:type="character" w:customStyle="1" w:styleId="Heading2Char">
    <w:name w:val="Heading 2 Char"/>
    <w:basedOn w:val="DefaultParagraphFont"/>
    <w:link w:val="Heading2"/>
    <w:rsid w:val="00F53370"/>
    <w:rPr>
      <w:rFonts w:ascii="Times New Roman" w:eastAsia="Times New Roman" w:hAnsi="Times New Roman" w:cs="Times New Roman"/>
    </w:rPr>
  </w:style>
  <w:style w:type="character" w:customStyle="1" w:styleId="Heading3Char">
    <w:name w:val="Heading 3 Char"/>
    <w:basedOn w:val="DefaultParagraphFont"/>
    <w:link w:val="Heading3"/>
    <w:rsid w:val="00F53370"/>
    <w:rPr>
      <w:rFonts w:ascii="Times New Roman" w:eastAsia="Times New Roman" w:hAnsi="Times New Roman" w:cs="Times New Roman"/>
    </w:rPr>
  </w:style>
  <w:style w:type="character" w:customStyle="1" w:styleId="Heading4Char">
    <w:name w:val="Heading 4 Char"/>
    <w:basedOn w:val="DefaultParagraphFont"/>
    <w:link w:val="Heading4"/>
    <w:rsid w:val="00F53370"/>
    <w:rPr>
      <w:rFonts w:ascii="Times New Roman" w:eastAsia="Times New Roman" w:hAnsi="Times New Roman" w:cs="Times New Roman"/>
    </w:rPr>
  </w:style>
  <w:style w:type="character" w:customStyle="1" w:styleId="Heading5Char">
    <w:name w:val="Heading 5 Char"/>
    <w:basedOn w:val="DefaultParagraphFont"/>
    <w:link w:val="Heading5"/>
    <w:rsid w:val="00F53370"/>
    <w:rPr>
      <w:rFonts w:ascii="Times New Roman" w:eastAsia="Times New Roman" w:hAnsi="Times New Roman" w:cs="Times New Roman"/>
    </w:rPr>
  </w:style>
  <w:style w:type="character" w:customStyle="1" w:styleId="Heading6Char">
    <w:name w:val="Heading 6 Char"/>
    <w:basedOn w:val="DefaultParagraphFont"/>
    <w:link w:val="Heading6"/>
    <w:rsid w:val="00F53370"/>
    <w:rPr>
      <w:rFonts w:ascii="Times New Roman" w:eastAsia="Times New Roman" w:hAnsi="Times New Roman" w:cs="Times New Roman"/>
    </w:rPr>
  </w:style>
  <w:style w:type="character" w:customStyle="1" w:styleId="Heading7Char">
    <w:name w:val="Heading 7 Char"/>
    <w:basedOn w:val="DefaultParagraphFont"/>
    <w:link w:val="Heading7"/>
    <w:rsid w:val="00F53370"/>
    <w:rPr>
      <w:rFonts w:ascii="Times New Roman" w:eastAsia="Times New Roman" w:hAnsi="Times New Roman" w:cs="Times New Roman"/>
    </w:rPr>
  </w:style>
  <w:style w:type="character" w:customStyle="1" w:styleId="Heading8Char">
    <w:name w:val="Heading 8 Char"/>
    <w:basedOn w:val="DefaultParagraphFont"/>
    <w:link w:val="Heading8"/>
    <w:rsid w:val="00F53370"/>
    <w:rPr>
      <w:rFonts w:ascii="Times New Roman" w:eastAsia="Times New Roman" w:hAnsi="Times New Roman" w:cs="Times New Roman"/>
    </w:rPr>
  </w:style>
  <w:style w:type="character" w:customStyle="1" w:styleId="Heading9Char">
    <w:name w:val="Heading 9 Char"/>
    <w:basedOn w:val="DefaultParagraphFont"/>
    <w:link w:val="Heading9"/>
    <w:rsid w:val="00F53370"/>
    <w:rPr>
      <w:rFonts w:ascii="Times New Roman" w:eastAsia="Times New Roman" w:hAnsi="Times New Roman" w:cs="Times New Roman"/>
    </w:rPr>
  </w:style>
  <w:style w:type="paragraph" w:styleId="Footer">
    <w:name w:val="footer"/>
    <w:basedOn w:val="Normal"/>
    <w:link w:val="FooterChar"/>
    <w:qFormat/>
    <w:rsid w:val="00F53370"/>
  </w:style>
  <w:style w:type="character" w:customStyle="1" w:styleId="FooterChar">
    <w:name w:val="Footer Char"/>
    <w:basedOn w:val="DefaultParagraphFont"/>
    <w:link w:val="Footer"/>
    <w:rsid w:val="00F53370"/>
    <w:rPr>
      <w:rFonts w:ascii="Times New Roman" w:eastAsia="Times New Roman" w:hAnsi="Times New Roman" w:cs="Times New Roman"/>
    </w:rPr>
  </w:style>
  <w:style w:type="paragraph" w:styleId="FootnoteText">
    <w:name w:val="footnote text"/>
    <w:aliases w:val="stile 1,Footnote,Footnote1,Footnote2,Footnote3,Footnote4,Footnote5,Footnote6,Footnote7,Footnote8,Footnote9,Footnote10,Footnote11,Footnote21,Footnote31,Footnote41,Footnote51,Footnote61,Footnote71,Footnote81,Footnote91,FA,FA Fu,fn"/>
    <w:basedOn w:val="Normal"/>
    <w:link w:val="FootnoteTextChar"/>
    <w:uiPriority w:val="99"/>
    <w:qFormat/>
    <w:rsid w:val="00F53370"/>
    <w:pPr>
      <w:keepLines/>
      <w:spacing w:after="60" w:line="240" w:lineRule="auto"/>
      <w:ind w:left="567" w:hanging="567"/>
    </w:pPr>
    <w:rPr>
      <w:sz w:val="16"/>
    </w:rPr>
  </w:style>
  <w:style w:type="character" w:customStyle="1" w:styleId="FootnoteTextChar">
    <w:name w:val="Footnote Text Char"/>
    <w:aliases w:val="stile 1 Char,Footnote Char,Footnote1 Char,Footnote2 Char,Footnote3 Char,Footnote4 Char,Footnote5 Char,Footnote6 Char,Footnote7 Char,Footnote8 Char,Footnote9 Char,Footnote10 Char,Footnote11 Char,Footnote21 Char,Footnote31 Char,FA Char"/>
    <w:basedOn w:val="DefaultParagraphFont"/>
    <w:link w:val="FootnoteText"/>
    <w:uiPriority w:val="99"/>
    <w:rsid w:val="00F53370"/>
    <w:rPr>
      <w:rFonts w:ascii="Times New Roman" w:eastAsia="Times New Roman" w:hAnsi="Times New Roman" w:cs="Times New Roman"/>
      <w:sz w:val="16"/>
    </w:rPr>
  </w:style>
  <w:style w:type="paragraph" w:styleId="Header">
    <w:name w:val="header"/>
    <w:basedOn w:val="Normal"/>
    <w:link w:val="HeaderChar"/>
    <w:qFormat/>
    <w:rsid w:val="00F53370"/>
  </w:style>
  <w:style w:type="character" w:customStyle="1" w:styleId="HeaderChar">
    <w:name w:val="Header Char"/>
    <w:basedOn w:val="DefaultParagraphFont"/>
    <w:link w:val="Header"/>
    <w:rsid w:val="00F53370"/>
    <w:rPr>
      <w:rFonts w:ascii="Times New Roman" w:eastAsia="Times New Roman" w:hAnsi="Times New Roman" w:cs="Times New Roman"/>
    </w:rPr>
  </w:style>
  <w:style w:type="paragraph" w:customStyle="1" w:styleId="quotes">
    <w:name w:val="quotes"/>
    <w:basedOn w:val="Normal"/>
    <w:next w:val="Normal"/>
    <w:rsid w:val="00F53370"/>
    <w:pPr>
      <w:ind w:left="720"/>
    </w:pPr>
    <w:rPr>
      <w:i/>
    </w:rPr>
  </w:style>
  <w:style w:type="character" w:styleId="FootnoteReference">
    <w:name w:val="footnote reference"/>
    <w:aliases w:val="Footnote symbol"/>
    <w:basedOn w:val="DefaultParagraphFont"/>
    <w:uiPriority w:val="99"/>
    <w:unhideWhenUsed/>
    <w:qFormat/>
    <w:rsid w:val="00F53370"/>
    <w:rPr>
      <w:sz w:val="24"/>
      <w:vertAlign w:val="superscript"/>
    </w:rPr>
  </w:style>
  <w:style w:type="table" w:styleId="TableGrid">
    <w:name w:val="Table Grid"/>
    <w:basedOn w:val="TableNormal"/>
    <w:uiPriority w:val="39"/>
    <w:rsid w:val="00F53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A6DD4"/>
    <w:rPr>
      <w:color w:val="0000FF"/>
      <w:u w:val="single"/>
    </w:rPr>
  </w:style>
  <w:style w:type="paragraph" w:styleId="Revision">
    <w:name w:val="Revision"/>
    <w:hidden/>
    <w:uiPriority w:val="99"/>
    <w:semiHidden/>
    <w:rsid w:val="00976F77"/>
    <w:pPr>
      <w:spacing w:after="0" w:line="240" w:lineRule="auto"/>
    </w:pPr>
    <w:rPr>
      <w:rFonts w:ascii="Times New Roman" w:eastAsia="Times New Roman" w:hAnsi="Times New Roman" w:cs="Times New Roman"/>
    </w:rPr>
  </w:style>
  <w:style w:type="paragraph" w:styleId="ListParagraph">
    <w:name w:val="List Paragraph"/>
    <w:basedOn w:val="Normal"/>
    <w:uiPriority w:val="34"/>
    <w:qFormat/>
    <w:rsid w:val="007D00D1"/>
    <w:pPr>
      <w:ind w:left="720"/>
      <w:contextualSpacing/>
    </w:pPr>
  </w:style>
  <w:style w:type="character" w:styleId="FollowedHyperlink">
    <w:name w:val="FollowedHyperlink"/>
    <w:basedOn w:val="DefaultParagraphFont"/>
    <w:uiPriority w:val="99"/>
    <w:semiHidden/>
    <w:unhideWhenUsed/>
    <w:rsid w:val="001939C4"/>
    <w:rPr>
      <w:color w:val="954F72" w:themeColor="followedHyperlink"/>
      <w:u w:val="single"/>
    </w:rPr>
  </w:style>
  <w:style w:type="paragraph" w:customStyle="1" w:styleId="paragraph">
    <w:name w:val="paragraph"/>
    <w:basedOn w:val="Normal"/>
    <w:rsid w:val="00D255D6"/>
    <w:pPr>
      <w:spacing w:before="100" w:beforeAutospacing="1" w:after="100" w:afterAutospacing="1" w:line="240" w:lineRule="auto"/>
      <w:jc w:val="left"/>
    </w:pPr>
    <w:rPr>
      <w:sz w:val="24"/>
      <w:szCs w:val="24"/>
      <w:lang w:eastAsia="en-GB"/>
    </w:rPr>
  </w:style>
  <w:style w:type="character" w:customStyle="1" w:styleId="normaltextrun">
    <w:name w:val="normaltextrun"/>
    <w:basedOn w:val="DefaultParagraphFont"/>
    <w:rsid w:val="00D255D6"/>
  </w:style>
  <w:style w:type="character" w:customStyle="1" w:styleId="eop">
    <w:name w:val="eop"/>
    <w:basedOn w:val="DefaultParagraphFont"/>
    <w:rsid w:val="00D255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theme" Target="theme/theme1.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customXml" Target="../customXml/item3.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customXml" Target="../customXml/item2.xml"/><Relationship Id="rId10" Type="http://schemas.openxmlformats.org/officeDocument/2006/relationships/endnotes" Target="endnotes.xml"/><Relationship Id="rId19" Type="http://schemas.openxmlformats.org/officeDocument/2006/relationships/footer" Target="footer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customXml" Target="../customXml/item1.xml"/><Relationship Id="rId30"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8" Type="http://schemas.openxmlformats.org/officeDocument/2006/relationships/hyperlink" Target="https://www.eesc.europa.eu/es/our-work/opinions-information-reports/opinions/recommendations-organised-civil-society-address-cost-living-crisis" TargetMode="External"/><Relationship Id="rId13" Type="http://schemas.openxmlformats.org/officeDocument/2006/relationships/hyperlink" Target="https://commission.europa.eu/strategy-and-policy/priorities-2019-2024/stronger-europe-world/global-gateway_es" TargetMode="External"/><Relationship Id="rId3" Type="http://schemas.openxmlformats.org/officeDocument/2006/relationships/hyperlink" Target="https://www.eesc.europa.eu/es/our-work/opinions-information-reports/opinions/how-single-market-dysfunctionalities-contribute-rising-cost-living" TargetMode="External"/><Relationship Id="rId7" Type="http://schemas.openxmlformats.org/officeDocument/2006/relationships/hyperlink" Target="https://www.eesc.europa.eu/es/our-work/opinions-information-reports/opinions/price-hikes-transport-energy-and-housing-role-quality-public-services-tackling-high-cost-living" TargetMode="External"/><Relationship Id="rId12" Type="http://schemas.openxmlformats.org/officeDocument/2006/relationships/hyperlink" Target="https://eur-lex.europa.eu/legal-content/ES/TXT/PDF/?uri=CELEX:52022DC0409" TargetMode="External"/><Relationship Id="rId2" Type="http://schemas.openxmlformats.org/officeDocument/2006/relationships/hyperlink" Target="https://www.eesc.europa.eu/es/our-work/opinions-information-reports/opinions/leaving-crises-behind-measures-resilient-cohesive-and-inclusive-european-economy" TargetMode="External"/><Relationship Id="rId1" Type="http://schemas.openxmlformats.org/officeDocument/2006/relationships/hyperlink" Target="https://www.eesc.europa.eu/es/our-work/opinions-information-reports/opinions/reindustrialisation-europe-opportunity-businesses-employees-and-citizens-context-cost-living-crisis" TargetMode="External"/><Relationship Id="rId6" Type="http://schemas.openxmlformats.org/officeDocument/2006/relationships/hyperlink" Target="https://www.eesc.europa.eu/es/agenda/our-events/events/how-address-loss-purchasing-power-and-risk-rising-inequalities-exclusion-and-marginalization" TargetMode="External"/><Relationship Id="rId11" Type="http://schemas.openxmlformats.org/officeDocument/2006/relationships/hyperlink" Target="https://www.europarl.europa.eu/thinktank/es/document/EXPO_STU(2023)702582" TargetMode="External"/><Relationship Id="rId5" Type="http://schemas.openxmlformats.org/officeDocument/2006/relationships/hyperlink" Target="https://www.eesc.europa.eu/es/our-work/opinions-information-reports/opinions/fragmentation-supply-chains-and-impact-cost-living" TargetMode="External"/><Relationship Id="rId15" Type="http://schemas.openxmlformats.org/officeDocument/2006/relationships/hyperlink" Target="https://eur-lex.europa.eu/legal-content/ES/ALL/?uri=CELEX%3A52021IE3668" TargetMode="External"/><Relationship Id="rId10" Type="http://schemas.openxmlformats.org/officeDocument/2006/relationships/hyperlink" Target="https://www.ecb.europa.eu/pub/pdf/scpops/ecb.op365~362d801aee.en.pdf" TargetMode="External"/><Relationship Id="rId4" Type="http://schemas.openxmlformats.org/officeDocument/2006/relationships/hyperlink" Target="https://www.eesc.europa.eu/es/our-work/opinions-information-reports/opinions/phasing-out-fossil-fuel-subsidies-while-ensuring-european-competitiveness-mitigating-cost-living-crisis-and-promoting" TargetMode="External"/><Relationship Id="rId9" Type="http://schemas.openxmlformats.org/officeDocument/2006/relationships/hyperlink" Target="https://www.mti.gov.sg/Newsroom/Press-Releases/2022/07/Joint-Statement-on-Cooperation-on-Global-Supply-Chains" TargetMode="External"/><Relationship Id="rId14" Type="http://schemas.openxmlformats.org/officeDocument/2006/relationships/hyperlink" Target="https://eur-lex.europa.eu/legal-content/ES/TXT/?uri=OJ:C:2023:140:TO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a33af13-4045-4f88-9d7b-618e30f79918">A6WAAD5KZT2Q-604569563-12210</_dlc_DocId>
    <_dlc_DocIdUrl xmlns="1a33af13-4045-4f88-9d7b-618e30f79918">
      <Url>http://dm/eesc/2025/_layouts/15/DocIdRedir.aspx?ID=A6WAAD5KZT2Q-604569563-12210</Url>
      <Description>A6WAAD5KZT2Q-604569563-12210</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Procedure xmlns="1a33af13-4045-4f88-9d7b-618e30f79918"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1a33af13-4045-4f88-9d7b-618e30f79918">2025-06-20T12:00:00+00:00</ProductionDate>
    <DocumentNumber xmlns="be3ca9a7-9286-4008-99ec-aebc20da9dc2">37</DocumentNumber>
    <FicheYear xmlns="1a33af13-4045-4f88-9d7b-618e30f79918" xsi:nil="true"/>
    <DossierNumber xmlns="1a33af13-4045-4f88-9d7b-618e30f79918">596</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1a33af13-4045-4f88-9d7b-618e30f79918" xsi:nil="true"/>
    <TaxCatchAll xmlns="1a33af13-4045-4f88-9d7b-618e30f79918">
      <Value>79</Value>
      <Value>50</Value>
      <Value>47</Value>
      <Value>46</Value>
      <Value>43</Value>
      <Value>42</Value>
      <Value>41</Value>
      <Value>40</Value>
      <Value>39</Value>
      <Value>37</Value>
      <Value>36</Value>
      <Value>35</Value>
      <Value>34</Value>
      <Value>33</Value>
      <Value>32</Value>
      <Value>31</Value>
      <Value>30</Value>
      <Value>29</Value>
      <Value>28</Value>
      <Value>27</Value>
      <Value>24</Value>
      <Value>23</Value>
      <Value>16</Value>
      <Value>15</Value>
      <Value>13</Value>
      <Value>12</Value>
      <Value>8</Value>
      <Value>5</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ES</TermName>
          <TermId xmlns="http://schemas.microsoft.com/office/infopath/2007/PartnerControls">e7a6b05b-ae16-40c8-add9-68b64b03aeba</TermId>
        </TermInfo>
      </Terms>
    </DocumentLanguage_0>
    <Rapporteur xmlns="1a33af13-4045-4f88-9d7b-618e30f79918">DIMITRIADIS &amp; YIAPANIS</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1a33af13-4045-4f88-9d7b-618e30f79918">2025</DocumentYear>
    <FicheNumber xmlns="1a33af13-4045-4f88-9d7b-618e30f79918">6322</FicheNumber>
    <OriginalSender xmlns="1a33af13-4045-4f88-9d7b-618e30f79918">
      <UserInfo>
        <DisplayName>Navarro Anna</DisplayName>
        <AccountId>1542</AccountId>
        <AccountType/>
      </UserInfo>
    </OriginalSender>
    <DocumentPart xmlns="1a33af13-4045-4f88-9d7b-618e30f79918">0</DocumentPart>
    <AdoptionDate xmlns="1a33af13-4045-4f88-9d7b-618e30f79918">2025-06-19T12:00:00+00:00</AdoptionDate>
    <RequestingService xmlns="1a33af13-4045-4f88-9d7b-618e30f79918">Relations extérieures</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be3ca9a7-9286-4008-99ec-aebc20da9dc2"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REX</TermName>
          <TermId xmlns="http://schemas.microsoft.com/office/infopath/2007/PartnerControls">6820eaf5-116e-436b-ad9c-156f8a94c2a1</TermId>
        </TermInfo>
      </Terms>
    </DossierName_0>
    <DocumentVersion xmlns="1a33af13-4045-4f88-9d7b-618e30f79918">0</DocumentVer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M Document" ma:contentTypeID="0x010100EA97B91038054C99906057A708A1480A006BB3B767F3CF4149BF520211D4A86BC0" ma:contentTypeVersion="4" ma:contentTypeDescription="Defines the documents for Document Manager V2" ma:contentTypeScope="" ma:versionID="8f2b3a3e062f062a7ee8ba210ef02323">
  <xsd:schema xmlns:xsd="http://www.w3.org/2001/XMLSchema" xmlns:xs="http://www.w3.org/2001/XMLSchema" xmlns:p="http://schemas.microsoft.com/office/2006/metadata/properties" xmlns:ns2="1a33af13-4045-4f88-9d7b-618e30f79918" xmlns:ns3="http://schemas.microsoft.com/sharepoint/v3/fields" xmlns:ns4="be3ca9a7-9286-4008-99ec-aebc20da9dc2" targetNamespace="http://schemas.microsoft.com/office/2006/metadata/properties" ma:root="true" ma:fieldsID="f021f5764e4548d9eb17bdf3b768072d" ns2:_="" ns3:_="" ns4:_="">
    <xsd:import namespace="1a33af13-4045-4f88-9d7b-618e30f79918"/>
    <xsd:import namespace="http://schemas.microsoft.com/sharepoint/v3/fields"/>
    <xsd:import namespace="be3ca9a7-9286-4008-99ec-aebc20da9dc2"/>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3af13-4045-4f88-9d7b-618e30f7991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c795c8aa-ad9d-4177-b7c3-7e58e1f2dfdf}" ma:internalName="TaxCatchAll" ma:showField="CatchAllData" ma:web="1a33af13-4045-4f88-9d7b-618e30f79918">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c795c8aa-ad9d-4177-b7c3-7e58e1f2dfdf}" ma:internalName="TaxCatchAllLabel" ma:readOnly="true" ma:showField="CatchAllDataLabel" ma:web="1a33af13-4045-4f88-9d7b-618e30f79918">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e3ca9a7-9286-4008-99ec-aebc20da9dc2"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AAD375-5F9B-4E06-B6E0-A1D786AB345A}"/>
</file>

<file path=customXml/itemProps2.xml><?xml version="1.0" encoding="utf-8"?>
<ds:datastoreItem xmlns:ds="http://schemas.openxmlformats.org/officeDocument/2006/customXml" ds:itemID="{821E4A1F-09C3-45D9-95EA-BBFF8CAAAD74}"/>
</file>

<file path=customXml/itemProps3.xml><?xml version="1.0" encoding="utf-8"?>
<ds:datastoreItem xmlns:ds="http://schemas.openxmlformats.org/officeDocument/2006/customXml" ds:itemID="{CB600B8E-7453-45B0-91C5-75126F87D7BF}"/>
</file>

<file path=customXml/itemProps4.xml><?xml version="1.0" encoding="utf-8"?>
<ds:datastoreItem xmlns:ds="http://schemas.openxmlformats.org/officeDocument/2006/customXml" ds:itemID="{660E18B4-6D99-461B-A2BE-6D90D50DBAB5}"/>
</file>

<file path=docProps/app.xml><?xml version="1.0" encoding="utf-8"?>
<Properties xmlns="http://schemas.openxmlformats.org/officeDocument/2006/extended-properties" xmlns:vt="http://schemas.openxmlformats.org/officeDocument/2006/docPropsVTypes">
  <Template>Normal.dotm</Template>
  <TotalTime>0</TotalTime>
  <Pages>12</Pages>
  <Words>4149</Words>
  <Characters>23651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Water Politics: Empowering Youth, Women, and Indigenous and Local Communities</vt:lpstr>
    </vt:vector>
  </TitlesOfParts>
  <Company>CESE-CdR</Company>
  <LinksUpToDate>false</LinksUpToDate>
  <CharactersWithSpaces>27745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Fragmentación de las cadenas de suministro e impacto en el coste de la vida</dc:title>
  <dc:subject>AC</dc:subject>
  <dc:creator>Francois Aude</dc:creator>
  <cp:keywords>EESC-2025-00037-00-00-AC-TRA-EN</cp:keywords>
  <dc:description>Rapporteur: DIMITRIADIS &amp; YIAPANIS - Original language: EN - Date of document: 20/06/2025 - Date of meeting:  - External documents:  - Administrator:  RISTORI MARCO</dc:description>
  <cp:lastModifiedBy>Navarro Anna</cp:lastModifiedBy>
  <cp:revision>9</cp:revision>
  <dcterms:created xsi:type="dcterms:W3CDTF">2025-06-20T07:01:00Z</dcterms:created>
  <dcterms:modified xsi:type="dcterms:W3CDTF">2025-06-20T15:13:00Z</dcterms:modified>
  <cp:category>REX/596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20/06/2025, 09/01/2025, 04/12/2024, 17/04/2024, 12/04/2024, 17/05/2022</vt:lpwstr>
  </property>
  <property fmtid="{D5CDD505-2E9C-101B-9397-08002B2CF9AE}" pid="4" name="Pref_Time">
    <vt:lpwstr>08:39:06, 16:43:24, 16:55:41, 09:47:22, 11:43:34, 14:58:36</vt:lpwstr>
  </property>
  <property fmtid="{D5CDD505-2E9C-101B-9397-08002B2CF9AE}" pid="5" name="Pref_User">
    <vt:lpwstr>jhvi, amett, amett, enied, enied, enied</vt:lpwstr>
  </property>
  <property fmtid="{D5CDD505-2E9C-101B-9397-08002B2CF9AE}" pid="6" name="Pref_FileName">
    <vt:lpwstr>EESC-2025-00037-00-00-AC-TRA-EN-CRR.docx, EESC-2024-00874-00-01-AC-ORI.docx, EESC-2024-00874-00-00-AC-TRA-EN-CRR.docx, COR-EESC-2024-01326-10-00-ADMIN-TRA-EN.docx, COR-EESC-2024-01326-10-00-ADMIN-ORI.docx, COR-EESC-2022-02592-00-00-ADMIN-ORI.docx</vt:lpwstr>
  </property>
  <property fmtid="{D5CDD505-2E9C-101B-9397-08002B2CF9AE}" pid="7" name="ContentTypeId">
    <vt:lpwstr>0x010100EA97B91038054C99906057A708A1480A006BB3B767F3CF4149BF520211D4A86BC0</vt:lpwstr>
  </property>
  <property fmtid="{D5CDD505-2E9C-101B-9397-08002B2CF9AE}" pid="8" name="_dlc_DocIdItemGuid">
    <vt:lpwstr>6ab8993d-eb71-4aab-b6a9-49e2d6f11348</vt:lpwstr>
  </property>
  <property fmtid="{D5CDD505-2E9C-101B-9397-08002B2CF9AE}" pid="9" name="AvailableTranslations">
    <vt:lpwstr>37;#HU|6b229040-c589-4408-b4c1-4285663d20a8;#24;#PL|1e03da61-4678-4e07-b136-b5024ca9197b;#47;#BG|1a1b3951-7821-4e6a-85f5-5673fc08bd2c;#12;#FR|d2afafd3-4c81-4f60-8f52-ee33f2f54ff3;#27;#NL|55c6556c-b4f4-441d-9acf-c498d4f838bd;#36;#RO|feb747a2-64cd-4299-af12-4833ddc30497;#50;#HR|2f555653-ed1a-4fe6-8362-9082d95989e5;#46;#SK|46d9fce0-ef79-4f71-b89b-cd6aa82426b8;#35;#FI|87606a43-d45f-42d6-b8c9-e1a3457db5b7;#33;#PT|50ccc04a-eadd-42ae-a0cb-acaf45f812ba;#16;#ES|e7a6b05b-ae16-40c8-add9-68b64b03aeba;#23;#DE|f6b31e5a-26fa-4935-b661-318e46daf27e;#39;#LV|46f7e311-5d9f-4663-b433-18aeccb7ace7;#31;#SL|98a412ae-eb01-49e9-ae3d-585a81724cfc;#41;#ET|ff6c3f4c-b02c-4c3c-ab07-2c37995a7a0a;#34;#IT|0774613c-01ed-4e5d-a25d-11d2388de825;#5;#EN|f2175f21-25d7-44a3-96da-d6a61b075e1b;#42;#EL|6d4f4d51-af9b-4650-94b4-4276bee85c91;#32;#MT|7df99101-6854-4a26-b53a-b88c0da02c26;#40;#DA|5d49c027-8956-412b-aa16-e85a0f96ad0e;#43;#GA|762d2456-c427-4ecb-b312-af3dad8e258c;#30;#LT|a7ff5ce7-6123-4f68-865a-a57c31810414;#28;#SV|c2ed69e7-a339-43d7-8f22-d93680a92aa0;#29;#CS|72f9705b-0217-4fd3-bea2-cbc7ed80e26e</vt:lpwstr>
  </property>
  <property fmtid="{D5CDD505-2E9C-101B-9397-08002B2CF9AE}" pid="10" name="DocumentType_0">
    <vt:lpwstr>AC|a4cc1d15-fb08-4679-ad46-e4e0cba5fe92</vt:lpwstr>
  </property>
  <property fmtid="{D5CDD505-2E9C-101B-9397-08002B2CF9AE}" pid="11" name="DossierName_0">
    <vt:lpwstr>REX|6820eaf5-116e-436b-ad9c-156f8a94c2a1</vt:lpwstr>
  </property>
  <property fmtid="{D5CDD505-2E9C-101B-9397-08002B2CF9AE}" pid="12" name="DocumentSource_0">
    <vt:lpwstr>EESC|422833ec-8d7e-4e65-8e4e-8bed07ffb729</vt:lpwstr>
  </property>
  <property fmtid="{D5CDD505-2E9C-101B-9397-08002B2CF9AE}" pid="13" name="DocumentNumber">
    <vt:i4>37</vt:i4>
  </property>
  <property fmtid="{D5CDD505-2E9C-101B-9397-08002B2CF9AE}" pid="14" name="DocumentVersion">
    <vt:i4>0</vt:i4>
  </property>
  <property fmtid="{D5CDD505-2E9C-101B-9397-08002B2CF9AE}" pid="15" name="DossierNumber">
    <vt:i4>596</vt:i4>
  </property>
  <property fmtid="{D5CDD505-2E9C-101B-9397-08002B2CF9AE}" pid="16" name="DocumentStatus">
    <vt:lpwstr>13;#TRA|150d2a88-1431-44e6-a8ca-0bb753ab8672</vt:lpwstr>
  </property>
  <property fmtid="{D5CDD505-2E9C-101B-9397-08002B2CF9AE}" pid="17" name="DossierName">
    <vt:lpwstr>2;#REX|6820eaf5-116e-436b-ad9c-156f8a94c2a1</vt:lpwstr>
  </property>
  <property fmtid="{D5CDD505-2E9C-101B-9397-08002B2CF9AE}" pid="18" name="RequestingService">
    <vt:lpwstr>Relations extérieures</vt:lpwstr>
  </property>
  <property fmtid="{D5CDD505-2E9C-101B-9397-08002B2CF9AE}" pid="19" name="Confidentiality">
    <vt:lpwstr>15;#Unrestricted|826e22d7-d029-4ec0-a450-0c28ff673572</vt:lpwstr>
  </property>
  <property fmtid="{D5CDD505-2E9C-101B-9397-08002B2CF9AE}" pid="20" name="MeetingName_0">
    <vt:lpwstr/>
  </property>
  <property fmtid="{D5CDD505-2E9C-101B-9397-08002B2CF9AE}" pid="21" name="Confidentiality_0">
    <vt:lpwstr>Unrestricted|826e22d7-d029-4ec0-a450-0c28ff673572</vt:lpwstr>
  </property>
  <property fmtid="{D5CDD505-2E9C-101B-9397-08002B2CF9AE}" pid="22" name="OriginalLanguage">
    <vt:lpwstr>5;#EN|f2175f21-25d7-44a3-96da-d6a61b075e1b</vt:lpwstr>
  </property>
  <property fmtid="{D5CDD505-2E9C-101B-9397-08002B2CF9AE}" pid="23" name="MeetingName">
    <vt:lpwstr/>
  </property>
  <property fmtid="{D5CDD505-2E9C-101B-9397-08002B2CF9AE}" pid="25" name="AvailableTranslations_0">
    <vt:lpwstr>PL|1e03da61-4678-4e07-b136-b5024ca9197b;LV|46f7e311-5d9f-4663-b433-18aeccb7ace7;IT|0774613c-01ed-4e5d-a25d-11d2388de825;EN|f2175f21-25d7-44a3-96da-d6a61b075e1b;LT|a7ff5ce7-6123-4f68-865a-a57c31810414;CS|72f9705b-0217-4fd3-bea2-cbc7ed80e26e</vt:lpwstr>
  </property>
  <property fmtid="{D5CDD505-2E9C-101B-9397-08002B2CF9AE}" pid="26" name="DocumentStatus_0">
    <vt:lpwstr>TRA|150d2a88-1431-44e6-a8ca-0bb753ab8672</vt:lpwstr>
  </property>
  <property fmtid="{D5CDD505-2E9C-101B-9397-08002B2CF9AE}" pid="27" name="OriginalLanguage_0">
    <vt:lpwstr>EN|f2175f21-25d7-44a3-96da-d6a61b075e1b</vt:lpwstr>
  </property>
  <property fmtid="{D5CDD505-2E9C-101B-9397-08002B2CF9AE}" pid="28" name="TaxCatchAll">
    <vt:lpwstr>15;#Unrestricted|826e22d7-d029-4ec0-a450-0c28ff673572;#13;#TRA|150d2a88-1431-44e6-a8ca-0bb753ab8672;#29;#CS|72f9705b-0217-4fd3-bea2-cbc7ed80e26e;#79;#AC|a4cc1d15-fb08-4679-ad46-e4e0cba5fe92;#39;#LV|46f7e311-5d9f-4663-b433-18aeccb7ace7;#8;#Final|ea5e6674-7b27-4bac-b091-73adbb394efe;#24;#PL|1e03da61-4678-4e07-b136-b5024ca9197b;#5;#EN|f2175f21-25d7-44a3-96da-d6a61b075e1b;#30;#LT|a7ff5ce7-6123-4f68-865a-a57c31810414;#2;#REX|6820eaf5-116e-436b-ad9c-156f8a94c2a1;#1;#EESC|422833ec-8d7e-4e65-8e4e-8bed07ffb729;#34;#IT|0774613c-01ed-4e5d-a25d-11d2388de825</vt:lpwstr>
  </property>
  <property fmtid="{D5CDD505-2E9C-101B-9397-08002B2CF9AE}" pid="29" name="Rapporteur">
    <vt:lpwstr>DIMITRIADIS &amp; YIAPANIS</vt:lpwstr>
  </property>
  <property fmtid="{D5CDD505-2E9C-101B-9397-08002B2CF9AE}" pid="30" name="VersionStatus_0">
    <vt:lpwstr>Final|ea5e6674-7b27-4bac-b091-73adbb394efe</vt:lpwstr>
  </property>
  <property fmtid="{D5CDD505-2E9C-101B-9397-08002B2CF9AE}" pid="31" name="VersionStatus">
    <vt:lpwstr>8;#Final|ea5e6674-7b27-4bac-b091-73adbb394efe</vt:lpwstr>
  </property>
  <property fmtid="{D5CDD505-2E9C-101B-9397-08002B2CF9AE}" pid="32" name="DocumentYear">
    <vt:i4>2025</vt:i4>
  </property>
  <property fmtid="{D5CDD505-2E9C-101B-9397-08002B2CF9AE}" pid="33" name="FicheNumber">
    <vt:i4>6322</vt:i4>
  </property>
  <property fmtid="{D5CDD505-2E9C-101B-9397-08002B2CF9AE}" pid="34" name="DocumentPart">
    <vt:i4>0</vt:i4>
  </property>
  <property fmtid="{D5CDD505-2E9C-101B-9397-08002B2CF9AE}" pid="35" name="DocumentSource">
    <vt:lpwstr>1;#EESC|422833ec-8d7e-4e65-8e4e-8bed07ffb729</vt:lpwstr>
  </property>
  <property fmtid="{D5CDD505-2E9C-101B-9397-08002B2CF9AE}" pid="36" name="AdoptionDate">
    <vt:filetime>2025-06-19T12:00:00Z</vt:filetime>
  </property>
  <property fmtid="{D5CDD505-2E9C-101B-9397-08002B2CF9AE}" pid="37" name="DocumentType">
    <vt:lpwstr>79;#AC|a4cc1d15-fb08-4679-ad46-e4e0cba5fe92</vt:lpwstr>
  </property>
  <property fmtid="{D5CDD505-2E9C-101B-9397-08002B2CF9AE}" pid="38" name="DocumentLanguage">
    <vt:lpwstr>16;#ES|e7a6b05b-ae16-40c8-add9-68b64b03aeba</vt:lpwstr>
  </property>
  <property fmtid="{D5CDD505-2E9C-101B-9397-08002B2CF9AE}" pid="39" name="_docset_NoMedatataSyncRequired">
    <vt:lpwstr>False</vt:lpwstr>
  </property>
</Properties>
</file>