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289"/>
      </w:tblGrid>
      <w:tr w:rsidR="006B6A29" w14:paraId="47E857CE" w14:textId="77777777">
        <w:trPr>
          <w:jc w:val="center"/>
        </w:trPr>
        <w:tc>
          <w:tcPr>
            <w:tcW w:w="5000" w:type="pct"/>
            <w:vAlign w:val="center"/>
          </w:tcPr>
          <w:p w:rsidRPr="00EB1EC1" w:rsidR="00574C9B" w:rsidP="006125A1" w:rsidRDefault="00574C9B" w14:paraId="48B0F65E" w14:textId="77777777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</w:rPr>
              <w:t>PARECER</w:t>
            </w:r>
          </w:p>
        </w:tc>
      </w:tr>
      <w:tr w:rsidR="006B6A29" w14:paraId="5B98C132" w14:textId="77777777">
        <w:trPr>
          <w:trHeight w:val="567"/>
          <w:jc w:val="center"/>
        </w:trPr>
        <w:tc>
          <w:tcPr>
            <w:tcW w:w="5000" w:type="pct"/>
            <w:vAlign w:val="center"/>
          </w:tcPr>
          <w:p w:rsidRPr="00EB1EC1" w:rsidR="00574C9B" w:rsidP="006125A1" w:rsidRDefault="00574C9B" w14:paraId="377D43A4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Comité Económico e Social Europeu</w:t>
            </w:r>
          </w:p>
        </w:tc>
      </w:tr>
      <w:tr w:rsidR="006B6A29" w14:paraId="26CAFA97" w14:textId="77777777">
        <w:trPr>
          <w:jc w:val="center"/>
        </w:trPr>
        <w:tc>
          <w:tcPr>
            <w:tcW w:w="5000" w:type="pct"/>
            <w:vAlign w:val="center"/>
          </w:tcPr>
          <w:p w:rsidRPr="00EB1EC1" w:rsidR="00574C9B" w:rsidP="006125A1" w:rsidRDefault="00DA2458" w14:paraId="0E38741B" w14:textId="77777777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</w:rPr>
              <w:t>Recomendações da sociedade civil organizada para fazer face à crise do custo de vida</w:t>
            </w:r>
          </w:p>
        </w:tc>
      </w:tr>
      <w:tr w:rsidR="006B6A29" w14:paraId="0CEF8A31" w14:textId="77777777">
        <w:trPr>
          <w:jc w:val="center"/>
        </w:trPr>
        <w:tc>
          <w:tcPr>
            <w:tcW w:w="5000" w:type="pct"/>
            <w:vAlign w:val="center"/>
          </w:tcPr>
          <w:p w:rsidRPr="00A85168" w:rsidR="00574C9B" w:rsidP="006125A1" w:rsidRDefault="00574C9B" w14:paraId="53FC30F8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position w:val="24"/>
                <w:sz w:val="24"/>
                <w:szCs w:val="24"/>
              </w:rPr>
            </w:pPr>
            <w:r>
              <w:rPr>
                <w:sz w:val="24"/>
              </w:rPr>
              <w:t>_____________</w:t>
            </w:r>
          </w:p>
        </w:tc>
      </w:tr>
      <w:tr w:rsidR="006B6A29" w14:paraId="606FE00D" w14:textId="77777777">
        <w:trPr>
          <w:jc w:val="center"/>
        </w:trPr>
        <w:tc>
          <w:tcPr>
            <w:tcW w:w="5000" w:type="pct"/>
            <w:vAlign w:val="center"/>
          </w:tcPr>
          <w:p w:rsidRPr="00EB7CB8" w:rsidR="00574C9B" w:rsidP="00914683" w:rsidRDefault="00DA2458" w14:paraId="5C952316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 xml:space="preserve">Recomendações da sociedade civil organizada para fazer face à crise do custo de vida </w:t>
            </w:r>
            <w:r>
              <w:rPr>
                <w:b/>
                <w:sz w:val="24"/>
              </w:rPr>
              <w:t>(parecer de iniciativa)</w:t>
            </w:r>
          </w:p>
        </w:tc>
      </w:tr>
      <w:tr w:rsidR="006B6A29" w14:paraId="1570FA6A" w14:textId="77777777">
        <w:trPr>
          <w:jc w:val="center"/>
        </w:trPr>
        <w:tc>
          <w:tcPr>
            <w:tcW w:w="5000" w:type="pct"/>
            <w:vAlign w:val="center"/>
          </w:tcPr>
          <w:p w:rsidRPr="00F55256" w:rsidR="00574C9B" w:rsidP="006125A1" w:rsidRDefault="00574C9B" w14:paraId="3EF3437D" w14:textId="77777777">
            <w:pPr>
              <w:jc w:val="center"/>
              <w:rPr>
                <w:sz w:val="24"/>
                <w:szCs w:val="24"/>
              </w:rPr>
            </w:pPr>
          </w:p>
        </w:tc>
      </w:tr>
      <w:tr w:rsidR="006B6A29" w14:paraId="77A57875" w14:textId="77777777">
        <w:trPr>
          <w:jc w:val="center"/>
        </w:trPr>
        <w:tc>
          <w:tcPr>
            <w:tcW w:w="5000" w:type="pct"/>
            <w:vAlign w:val="center"/>
          </w:tcPr>
          <w:p w:rsidRPr="00A85168" w:rsidR="00574C9B" w:rsidP="006125A1" w:rsidRDefault="00DA2458" w14:paraId="2A436C7B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ECO/660</w:t>
            </w:r>
          </w:p>
        </w:tc>
      </w:tr>
      <w:tr w:rsidR="006B6A29" w14:paraId="1D51EFC4" w14:textId="77777777">
        <w:trPr>
          <w:jc w:val="center"/>
        </w:trPr>
        <w:tc>
          <w:tcPr>
            <w:tcW w:w="5000" w:type="pct"/>
            <w:vAlign w:val="center"/>
          </w:tcPr>
          <w:p w:rsidRPr="00A85168" w:rsidR="00574C9B" w:rsidP="006125A1" w:rsidRDefault="00574C9B" w14:paraId="220B0F2D" w14:textId="77777777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6B6A29" w14:paraId="0DA66195" w14:textId="77777777">
        <w:trPr>
          <w:jc w:val="center"/>
        </w:trPr>
        <w:tc>
          <w:tcPr>
            <w:tcW w:w="5000" w:type="pct"/>
            <w:vAlign w:val="center"/>
          </w:tcPr>
          <w:p w:rsidRPr="00A85168" w:rsidR="00574C9B" w:rsidP="006125A1" w:rsidRDefault="00574C9B" w14:paraId="6B67F171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Relator: </w:t>
            </w:r>
            <w:r>
              <w:rPr>
                <w:b/>
                <w:sz w:val="24"/>
              </w:rPr>
              <w:t>Krister Andersson</w:t>
            </w:r>
          </w:p>
        </w:tc>
      </w:tr>
      <w:tr w:rsidRPr="0085558C" w:rsidR="006B6A29" w14:paraId="793A5293" w14:textId="77777777">
        <w:trPr>
          <w:jc w:val="center"/>
        </w:trPr>
        <w:tc>
          <w:tcPr>
            <w:tcW w:w="5000" w:type="pct"/>
            <w:vAlign w:val="center"/>
          </w:tcPr>
          <w:p w:rsidRPr="00F55256" w:rsidR="00CB7CD0" w:rsidP="006125A1" w:rsidRDefault="00DA2458" w14:paraId="42FA4966" w14:textId="77777777">
            <w:pPr>
              <w:jc w:val="center"/>
              <w:rPr>
                <w:b/>
                <w:sz w:val="24"/>
                <w:szCs w:val="24"/>
                <w:lang w:val="sv-SE"/>
              </w:rPr>
            </w:pPr>
            <w:r w:rsidRPr="00F55256">
              <w:rPr>
                <w:sz w:val="24"/>
                <w:lang w:val="sv-SE"/>
              </w:rPr>
              <w:t xml:space="preserve">Relator: </w:t>
            </w:r>
            <w:r w:rsidRPr="00F55256">
              <w:rPr>
                <w:b/>
                <w:sz w:val="24"/>
                <w:lang w:val="sv-SE"/>
              </w:rPr>
              <w:t>Krzysztof Balon</w:t>
            </w:r>
          </w:p>
          <w:p w:rsidRPr="00F55256" w:rsidR="00DA2458" w:rsidP="006125A1" w:rsidRDefault="00DA2458" w14:paraId="16DEB7B5" w14:textId="77777777">
            <w:pPr>
              <w:jc w:val="center"/>
              <w:rPr>
                <w:sz w:val="24"/>
                <w:szCs w:val="24"/>
                <w:lang w:val="sv-SE"/>
              </w:rPr>
            </w:pPr>
            <w:r w:rsidRPr="00F55256">
              <w:rPr>
                <w:sz w:val="24"/>
                <w:lang w:val="sv-SE"/>
              </w:rPr>
              <w:t xml:space="preserve">Relator: </w:t>
            </w:r>
            <w:r w:rsidRPr="00F55256">
              <w:rPr>
                <w:b/>
                <w:sz w:val="24"/>
                <w:lang w:val="sv-SE"/>
              </w:rPr>
              <w:t>Thomas Kattnig</w:t>
            </w:r>
          </w:p>
        </w:tc>
      </w:tr>
    </w:tbl>
    <w:p w:rsidRPr="00F55256" w:rsidR="00574C9B" w:rsidP="00574C9B" w:rsidRDefault="00574C9B" w14:paraId="4D7EB79B" w14:textId="77777777">
      <w:pPr>
        <w:rPr>
          <w:lang w:val="sv-S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editId="00D7A668" wp14:anchorId="7C7DCABD">
                <wp:simplePos x="0" y="0"/>
                <wp:positionH relativeFrom="rightMargin">
                  <wp:posOffset>-201930</wp:posOffset>
                </wp:positionH>
                <wp:positionV relativeFrom="page">
                  <wp:posOffset>9486900</wp:posOffset>
                </wp:positionV>
                <wp:extent cx="741600" cy="432000"/>
                <wp:effectExtent l="0" t="0" r="0" b="635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4C9B" w:rsidP="00574C9B" w:rsidRDefault="00574C9B" w14:paraId="794F2056" w14:textId="77777777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C7DCABD">
                <v:stroke joinstyle="miter"/>
                <v:path gradientshapeok="t" o:connecttype="rect"/>
              </v:shapetype>
              <v:shape id="Text Box 17" style="position:absolute;left:0;text-align:left;margin-left:-15.9pt;margin-top:747pt;width:58.4pt;height:34pt;z-index:-2516572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">
                <v:textbox>
                  <w:txbxContent>
                    <w:p w:rsidR="00574C9B" w:rsidP="00574C9B" w:rsidRDefault="00574C9B" w14:paraId="794F2056" w14:textId="77777777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PT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Pr="00F55256" w:rsidR="00574C9B" w:rsidP="00574C9B" w:rsidRDefault="00574C9B" w14:paraId="115685DC" w14:textId="77777777">
      <w:pPr>
        <w:rPr>
          <w:lang w:val="sv-SE"/>
        </w:rPr>
      </w:pPr>
    </w:p>
    <w:p w:rsidRPr="00F55256" w:rsidR="00574C9B" w:rsidP="00574C9B" w:rsidRDefault="00574C9B" w14:paraId="3F5A0683" w14:textId="77777777">
      <w:pPr>
        <w:rPr>
          <w:lang w:val="sv-SE"/>
        </w:rPr>
        <w:sectPr w:rsidRPr="00F55256" w:rsidR="00574C9B" w:rsidSect="00A8516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5669" w:right="1417" w:bottom="1417" w:left="1417" w:header="709" w:footer="709" w:gutter="0"/>
          <w:cols w:space="720"/>
          <w:docGrid w:linePitch="360"/>
        </w:sectPr>
      </w:pPr>
    </w:p>
    <w:tbl>
      <w:tblPr>
        <w:tblpPr w:leftFromText="181" w:rightFromText="181" w:tblpYSpec="bottom"/>
        <w:tblOverlap w:val="never"/>
        <w:tblW w:w="9289" w:type="dxa"/>
        <w:tblLayout w:type="fixed"/>
        <w:tblLook w:val="04A0" w:firstRow="1" w:lastRow="0" w:firstColumn="1" w:lastColumn="0" w:noHBand="0" w:noVBand="1"/>
      </w:tblPr>
      <w:tblGrid>
        <w:gridCol w:w="3085"/>
        <w:gridCol w:w="6204"/>
      </w:tblGrid>
      <w:tr w:rsidR="006B6A29" w14:paraId="3A49AFC0" w14:textId="77777777">
        <w:tc>
          <w:tcPr>
            <w:tcW w:w="3085" w:type="dxa"/>
          </w:tcPr>
          <w:p w:rsidRPr="00EB1EC1" w:rsidR="00914683" w:rsidP="0058411F" w:rsidRDefault="00914683" w14:paraId="7BB8B544" w14:textId="77777777">
            <w:pPr>
              <w:autoSpaceDE w:val="0"/>
              <w:autoSpaceDN w:val="0"/>
              <w:jc w:val="left"/>
              <w:rPr>
                <w:szCs w:val="20"/>
              </w:rPr>
            </w:pPr>
            <w:r>
              <w:lastRenderedPageBreak/>
              <w:t>Conselheiros</w:t>
            </w:r>
          </w:p>
        </w:tc>
        <w:tc>
          <w:tcPr>
            <w:tcW w:w="6204" w:type="dxa"/>
            <w:vAlign w:val="bottom"/>
          </w:tcPr>
          <w:p w:rsidRPr="00EB7CB8" w:rsidR="00DA2458" w:rsidP="00DA2458" w:rsidRDefault="00DA2458" w14:paraId="780EDE32" w14:textId="77777777">
            <w:pPr>
              <w:jc w:val="left"/>
            </w:pPr>
            <w:r>
              <w:t>Tellervo Kylä-Harakka-Ruonala (do relator: Krister Andersson)</w:t>
            </w:r>
          </w:p>
          <w:p w:rsidRPr="00EB7CB8" w:rsidR="00DA2458" w:rsidP="00DA2458" w:rsidRDefault="00DA2458" w14:paraId="6D6F24F7" w14:textId="77777777">
            <w:pPr>
              <w:jc w:val="left"/>
            </w:pPr>
            <w:r>
              <w:t>Kamila Płowiec (do relator: Krzysztof Balon)</w:t>
            </w:r>
          </w:p>
          <w:p w:rsidRPr="00EB1EC1" w:rsidR="00914683" w:rsidP="00DA2458" w:rsidRDefault="00DA2458" w14:paraId="5BE9FADC" w14:textId="77777777">
            <w:pPr>
              <w:autoSpaceDE w:val="0"/>
              <w:autoSpaceDN w:val="0"/>
              <w:jc w:val="left"/>
            </w:pPr>
            <w:r>
              <w:t>Peter Hilpold (do relator: Thomas Kattnig)</w:t>
            </w:r>
          </w:p>
        </w:tc>
      </w:tr>
      <w:tr w:rsidR="006B6A29" w14:paraId="2EF8E6DA" w14:textId="77777777">
        <w:tc>
          <w:tcPr>
            <w:tcW w:w="3085" w:type="dxa"/>
          </w:tcPr>
          <w:p w:rsidRPr="00EB1EC1" w:rsidR="00914683" w:rsidP="0058411F" w:rsidRDefault="00914683" w14:paraId="37E82CD2" w14:textId="77777777">
            <w:pPr>
              <w:autoSpaceDE w:val="0"/>
              <w:autoSpaceDN w:val="0"/>
              <w:jc w:val="left"/>
              <w:rPr>
                <w:szCs w:val="20"/>
                <w:lang w:val="en-GB"/>
              </w:rPr>
            </w:pPr>
          </w:p>
        </w:tc>
        <w:tc>
          <w:tcPr>
            <w:tcW w:w="6204" w:type="dxa"/>
            <w:vAlign w:val="bottom"/>
          </w:tcPr>
          <w:p w:rsidRPr="00EB1EC1" w:rsidR="00914683" w:rsidP="0058411F" w:rsidRDefault="00914683" w14:paraId="610C467C" w14:textId="77777777">
            <w:pPr>
              <w:autoSpaceDE w:val="0"/>
              <w:autoSpaceDN w:val="0"/>
              <w:jc w:val="left"/>
              <w:rPr>
                <w:lang w:val="en-GB"/>
              </w:rPr>
            </w:pPr>
          </w:p>
        </w:tc>
      </w:tr>
      <w:tr w:rsidR="006B6A29" w14:paraId="17598F01" w14:textId="77777777">
        <w:tc>
          <w:tcPr>
            <w:tcW w:w="3085" w:type="dxa"/>
          </w:tcPr>
          <w:p w:rsidRPr="00EB1EC1" w:rsidR="00914683" w:rsidP="0058411F" w:rsidRDefault="00914683" w14:paraId="1DBD10F0" w14:textId="77777777">
            <w:pPr>
              <w:autoSpaceDE w:val="0"/>
              <w:autoSpaceDN w:val="0"/>
              <w:jc w:val="left"/>
              <w:rPr>
                <w:szCs w:val="20"/>
              </w:rPr>
            </w:pPr>
            <w:r>
              <w:t>Decisão da Plenária</w:t>
            </w:r>
          </w:p>
        </w:tc>
        <w:tc>
          <w:tcPr>
            <w:tcW w:w="6204" w:type="dxa"/>
            <w:vAlign w:val="bottom"/>
          </w:tcPr>
          <w:p w:rsidRPr="00EB1EC1" w:rsidR="00914683" w:rsidP="0058411F" w:rsidRDefault="00DA2458" w14:paraId="793F958F" w14:textId="77777777">
            <w:pPr>
              <w:autoSpaceDE w:val="0"/>
              <w:autoSpaceDN w:val="0"/>
              <w:jc w:val="left"/>
            </w:pPr>
            <w:r>
              <w:t>5/12/2024</w:t>
            </w:r>
          </w:p>
        </w:tc>
      </w:tr>
      <w:tr w:rsidR="006B6A29" w14:paraId="7B9648D8" w14:textId="77777777">
        <w:tc>
          <w:tcPr>
            <w:tcW w:w="3085" w:type="dxa"/>
          </w:tcPr>
          <w:p w:rsidRPr="00EB1EC1" w:rsidR="00914683" w:rsidP="0058411F" w:rsidRDefault="00914683" w14:paraId="61CFDD2C" w14:textId="77777777">
            <w:pPr>
              <w:autoSpaceDE w:val="0"/>
              <w:autoSpaceDN w:val="0"/>
              <w:jc w:val="left"/>
              <w:rPr>
                <w:szCs w:val="20"/>
              </w:rPr>
            </w:pPr>
            <w:r>
              <w:t>Base jurídica</w:t>
            </w:r>
          </w:p>
        </w:tc>
        <w:tc>
          <w:tcPr>
            <w:tcW w:w="6204" w:type="dxa"/>
            <w:vAlign w:val="bottom"/>
          </w:tcPr>
          <w:p w:rsidRPr="00EB1EC1" w:rsidR="00914683" w:rsidP="0058411F" w:rsidRDefault="00914683" w14:paraId="7E64C995" w14:textId="77777777">
            <w:pPr>
              <w:autoSpaceDE w:val="0"/>
              <w:autoSpaceDN w:val="0"/>
              <w:jc w:val="left"/>
            </w:pPr>
            <w:r>
              <w:t>Artigo 52.º, n.º 2, do Regimento</w:t>
            </w:r>
          </w:p>
        </w:tc>
      </w:tr>
      <w:tr w:rsidR="006B6A29" w14:paraId="6BAABF69" w14:textId="77777777">
        <w:tc>
          <w:tcPr>
            <w:tcW w:w="3085" w:type="dxa"/>
          </w:tcPr>
          <w:p w:rsidRPr="00EB1EC1" w:rsidR="00AC5114" w:rsidP="0058411F" w:rsidRDefault="00AC5114" w14:paraId="4F758014" w14:textId="77777777">
            <w:pPr>
              <w:autoSpaceDE w:val="0"/>
              <w:autoSpaceDN w:val="0"/>
              <w:jc w:val="left"/>
            </w:pPr>
            <w:r>
              <w:t>Competência</w:t>
            </w:r>
          </w:p>
        </w:tc>
        <w:tc>
          <w:tcPr>
            <w:tcW w:w="6204" w:type="dxa"/>
            <w:vAlign w:val="bottom"/>
          </w:tcPr>
          <w:p w:rsidRPr="00EB1EC1" w:rsidR="00AC5114" w:rsidP="0058411F" w:rsidRDefault="00DA2458" w14:paraId="69BF519C" w14:textId="77777777">
            <w:pPr>
              <w:autoSpaceDE w:val="0"/>
              <w:autoSpaceDN w:val="0"/>
              <w:jc w:val="left"/>
            </w:pPr>
            <w:r>
              <w:t>Secção da União Económica e Monetária e Coesão Económica e Social</w:t>
            </w:r>
          </w:p>
        </w:tc>
      </w:tr>
      <w:tr w:rsidR="006B6A29" w14:paraId="1474A9B7" w14:textId="77777777">
        <w:tc>
          <w:tcPr>
            <w:tcW w:w="3085" w:type="dxa"/>
          </w:tcPr>
          <w:p w:rsidRPr="00EB1EC1" w:rsidR="00AC5114" w:rsidP="0058411F" w:rsidRDefault="00AC5114" w14:paraId="107E1503" w14:textId="77777777">
            <w:pPr>
              <w:autoSpaceDE w:val="0"/>
              <w:autoSpaceDN w:val="0"/>
              <w:jc w:val="left"/>
            </w:pPr>
            <w:r>
              <w:t>Adoção em secção</w:t>
            </w:r>
          </w:p>
        </w:tc>
        <w:tc>
          <w:tcPr>
            <w:tcW w:w="6204" w:type="dxa"/>
            <w:vAlign w:val="bottom"/>
          </w:tcPr>
          <w:p w:rsidRPr="00EB1EC1" w:rsidR="00AC5114" w:rsidP="0058411F" w:rsidRDefault="00DA2458" w14:paraId="4FF8BCED" w14:textId="77777777">
            <w:pPr>
              <w:autoSpaceDE w:val="0"/>
              <w:autoSpaceDN w:val="0"/>
              <w:jc w:val="left"/>
            </w:pPr>
            <w:r>
              <w:t>4/7/2025</w:t>
            </w:r>
          </w:p>
        </w:tc>
      </w:tr>
      <w:tr w:rsidR="006B6A29" w14:paraId="28231CAE" w14:textId="77777777">
        <w:tc>
          <w:tcPr>
            <w:tcW w:w="3085" w:type="dxa"/>
          </w:tcPr>
          <w:p w:rsidRPr="00EB1EC1" w:rsidR="0058411F" w:rsidP="0058411F" w:rsidRDefault="0058411F" w14:paraId="5A9F8E3F" w14:textId="77777777">
            <w:pPr>
              <w:autoSpaceDE w:val="0"/>
              <w:autoSpaceDN w:val="0"/>
              <w:jc w:val="left"/>
            </w:pPr>
            <w:r>
              <w:t>Adoção em plenária</w:t>
            </w:r>
          </w:p>
        </w:tc>
        <w:tc>
          <w:tcPr>
            <w:tcW w:w="6204" w:type="dxa"/>
            <w:vAlign w:val="bottom"/>
          </w:tcPr>
          <w:p w:rsidRPr="00EB1EC1" w:rsidR="0058411F" w:rsidP="0058411F" w:rsidRDefault="00512B61" w14:paraId="3620ECA4" w14:textId="77777777">
            <w:pPr>
              <w:autoSpaceDE w:val="0"/>
              <w:autoSpaceDN w:val="0"/>
              <w:jc w:val="left"/>
            </w:pPr>
            <w:r>
              <w:t>17/7/2025</w:t>
            </w:r>
          </w:p>
        </w:tc>
      </w:tr>
      <w:tr w:rsidR="006B6A29" w14:paraId="0DBC6039" w14:textId="77777777">
        <w:tc>
          <w:tcPr>
            <w:tcW w:w="3085" w:type="dxa"/>
          </w:tcPr>
          <w:p w:rsidRPr="00EB1EC1" w:rsidR="0058411F" w:rsidP="0058411F" w:rsidRDefault="0058411F" w14:paraId="66101587" w14:textId="77777777">
            <w:pPr>
              <w:autoSpaceDE w:val="0"/>
              <w:autoSpaceDN w:val="0"/>
              <w:jc w:val="left"/>
            </w:pPr>
            <w:r>
              <w:t>Reunião plenária n.º</w:t>
            </w:r>
          </w:p>
        </w:tc>
        <w:tc>
          <w:tcPr>
            <w:tcW w:w="6204" w:type="dxa"/>
            <w:vAlign w:val="bottom"/>
          </w:tcPr>
          <w:p w:rsidRPr="00EB1EC1" w:rsidR="0058411F" w:rsidP="0058411F" w:rsidRDefault="00AC1B35" w14:paraId="1216BF7A" w14:textId="77777777">
            <w:pPr>
              <w:autoSpaceDE w:val="0"/>
              <w:autoSpaceDN w:val="0"/>
              <w:jc w:val="left"/>
            </w:pPr>
            <w:r>
              <w:t>598</w:t>
            </w:r>
          </w:p>
        </w:tc>
      </w:tr>
      <w:tr w:rsidR="006B6A29" w14:paraId="35B86970" w14:textId="77777777">
        <w:tc>
          <w:tcPr>
            <w:tcW w:w="3085" w:type="dxa"/>
          </w:tcPr>
          <w:p w:rsidRPr="00EB1EC1" w:rsidR="0058411F" w:rsidP="0058411F" w:rsidRDefault="0058411F" w14:paraId="0EC42754" w14:textId="77777777">
            <w:pPr>
              <w:autoSpaceDE w:val="0"/>
              <w:autoSpaceDN w:val="0"/>
              <w:jc w:val="left"/>
            </w:pPr>
            <w:r>
              <w:t>Resultado da votação</w:t>
            </w:r>
            <w:r>
              <w:br/>
              <w:t>(votos a favor/votos contra/abstenções)</w:t>
            </w:r>
          </w:p>
        </w:tc>
        <w:tc>
          <w:tcPr>
            <w:tcW w:w="6204" w:type="dxa"/>
            <w:vAlign w:val="bottom"/>
          </w:tcPr>
          <w:p w:rsidRPr="00EB1EC1" w:rsidR="0058411F" w:rsidP="0058411F" w:rsidRDefault="00FE76B2" w14:paraId="162572F9" w14:textId="77777777">
            <w:pPr>
              <w:autoSpaceDE w:val="0"/>
              <w:autoSpaceDN w:val="0"/>
              <w:jc w:val="left"/>
            </w:pPr>
            <w:r>
              <w:t>170/3/1</w:t>
            </w:r>
          </w:p>
        </w:tc>
      </w:tr>
    </w:tbl>
    <w:p w:rsidRPr="00EB1EC1" w:rsidR="00AC5114" w:rsidP="00574C9B" w:rsidRDefault="00AC5114" w14:paraId="7EB1C341" w14:textId="77777777">
      <w:pPr>
        <w:rPr>
          <w:lang w:val="en-GB"/>
        </w:rPr>
      </w:pPr>
    </w:p>
    <w:p w:rsidRPr="00EB1EC1" w:rsidR="00AC5114" w:rsidP="00574C9B" w:rsidRDefault="00AC5114" w14:paraId="049C7F17" w14:textId="77777777">
      <w:pPr>
        <w:rPr>
          <w:lang w:val="en-GB"/>
        </w:rPr>
        <w:sectPr w:rsidRPr="00EB1EC1" w:rsidR="00AC5114" w:rsidSect="00A85168">
          <w:headerReference w:type="even" r:id="rId18"/>
          <w:headerReference w:type="default" r:id="rId19"/>
          <w:footerReference w:type="default" r:id="rId20"/>
          <w:headerReference w:type="first" r:id="rId21"/>
          <w:pgSz w:w="11907" w:h="16839" w:code="9"/>
          <w:pgMar w:top="5669" w:right="1418" w:bottom="1418" w:left="1418" w:header="709" w:footer="709" w:gutter="0"/>
          <w:cols w:space="720"/>
          <w:docGrid w:linePitch="360"/>
        </w:sectPr>
      </w:pPr>
    </w:p>
    <w:p w:rsidRPr="00EB7CB8" w:rsidR="00296DEA" w:rsidP="00296DEA" w:rsidRDefault="00296DEA" w14:paraId="02C44D2E" w14:textId="77777777">
      <w:pPr>
        <w:rPr>
          <w:b/>
          <w:i/>
        </w:rPr>
      </w:pPr>
      <w:r>
        <w:rPr>
          <w:b/>
          <w:i/>
        </w:rPr>
        <w:lastRenderedPageBreak/>
        <w:t>Preâmbulo</w:t>
      </w:r>
    </w:p>
    <w:p w:rsidRPr="00EB7CB8" w:rsidR="00296DEA" w:rsidP="00296DEA" w:rsidRDefault="00296DEA" w14:paraId="3FD19D8D" w14:textId="77777777">
      <w:pPr>
        <w:rPr>
          <w:i/>
          <w:lang w:val="en-GB"/>
        </w:rPr>
      </w:pPr>
    </w:p>
    <w:p w:rsidRPr="00EB7CB8" w:rsidR="00296DEA" w:rsidP="00296DEA" w:rsidRDefault="00296DEA" w14:paraId="6795FAC5" w14:textId="77777777">
      <w:pPr>
        <w:pStyle w:val="Heading1"/>
        <w:keepNext/>
        <w:numPr>
          <w:ilvl w:val="0"/>
          <w:numId w:val="0"/>
        </w:numPr>
        <w:rPr>
          <w:b/>
          <w:bCs/>
        </w:rPr>
      </w:pPr>
      <w:r>
        <w:rPr>
          <w:i/>
        </w:rPr>
        <w:t>O presente parecer faz parte de um pacote mais vasto de pareceres do CESE sobre a crise do custo de vida. Este pacote constitui a ocasião de o CESE analisar as diferentes facetas desse desafio político e apresentar um conjunto abrangente de recomendações de grande alcance aos decisores políticos europeus e nacionais, às organizações da sociedade civil e a outras partes interessadas. O pacote é constituído por sete «pareceres setoriais»</w:t>
      </w:r>
      <w:r w:rsidRPr="00EB7CB8">
        <w:rPr>
          <w:rStyle w:val="FootnoteReference"/>
          <w:i/>
          <w:iCs/>
          <w:lang w:val="en-GB"/>
        </w:rPr>
        <w:footnoteReference w:id="1"/>
      </w:r>
      <w:r>
        <w:rPr>
          <w:i/>
        </w:rPr>
        <w:t>, cada um dedicado a questões de um domínio de intervenção específico. Além disso, um «parecer geral»</w:t>
      </w:r>
      <w:r w:rsidRPr="00EB7CB8">
        <w:rPr>
          <w:rStyle w:val="FootnoteReference"/>
          <w:i/>
          <w:iCs/>
          <w:lang w:val="en-GB"/>
        </w:rPr>
        <w:footnoteReference w:id="2"/>
      </w:r>
      <w:r>
        <w:rPr>
          <w:i/>
        </w:rPr>
        <w:t xml:space="preserve"> apresenta as recomendações estratégicas gerais para fazer face à crise do custo de vida no seu conjunto e reforçar a resiliência contra crises futuras.</w:t>
      </w:r>
    </w:p>
    <w:p w:rsidRPr="00F55256" w:rsidR="00296DEA" w:rsidP="00296DEA" w:rsidRDefault="00296DEA" w14:paraId="7FC25285" w14:textId="77777777"/>
    <w:p w:rsidRPr="00EB7CB8" w:rsidR="00296DEA" w:rsidP="00296DEA" w:rsidRDefault="00296DEA" w14:paraId="5CE4BB4A" w14:textId="77777777">
      <w:pPr>
        <w:pStyle w:val="Heading1"/>
        <w:keepNext/>
        <w:rPr>
          <w:b/>
          <w:bCs/>
        </w:rPr>
      </w:pPr>
      <w:r>
        <w:rPr>
          <w:b/>
        </w:rPr>
        <w:t>Conclusões e recomendações</w:t>
      </w:r>
    </w:p>
    <w:p w:rsidRPr="00EB7CB8" w:rsidR="00296DEA" w:rsidP="00296DEA" w:rsidRDefault="00296DEA" w14:paraId="4DF1F334" w14:textId="77777777">
      <w:pPr>
        <w:keepNext/>
        <w:rPr>
          <w:lang w:val="en-GB"/>
        </w:rPr>
      </w:pPr>
    </w:p>
    <w:p w:rsidRPr="00EB7CB8" w:rsidR="00296DEA" w:rsidP="00296DEA" w:rsidRDefault="00296DEA" w14:paraId="560BEC41" w14:textId="77777777">
      <w:pPr>
        <w:pStyle w:val="Heading2"/>
      </w:pPr>
      <w:r>
        <w:t>O aumento do custo de vida, designadamente dos preços da energia e dos alimentos e do custo da habitação, associado a uma subida generalizada dos preços, tem afetado as condições de vida das pessoas em toda a Europa desde 2021. Apesar da recuperação verificada até agora, os preços continuam elevados, e a incerteza geopolítica acarreta riscos que podem conduzir a novos aumentos de preços.</w:t>
      </w:r>
    </w:p>
    <w:p w:rsidRPr="00F55256" w:rsidR="00296DEA" w:rsidP="00296DEA" w:rsidRDefault="00296DEA" w14:paraId="227355B4" w14:textId="77777777">
      <w:pPr>
        <w:pStyle w:val="Heading2"/>
        <w:numPr>
          <w:ilvl w:val="0"/>
          <w:numId w:val="0"/>
        </w:numPr>
      </w:pPr>
    </w:p>
    <w:p w:rsidRPr="00EB7CB8" w:rsidR="00296DEA" w:rsidP="00296DEA" w:rsidRDefault="00296DEA" w14:paraId="3DAB96EF" w14:textId="77777777">
      <w:pPr>
        <w:pStyle w:val="Heading2"/>
      </w:pPr>
      <w:r>
        <w:t>O Comité Económico e Social Europeu (CESE) considera fundamental que a União Europeia (UE) esteja preparada para prevenir e combater atempadamente eventuais novas condições que tenham um efeito adverso no custo de vida. Embora o principal objetivo seja prevenir crises, importa também visar uma maior resiliência face a riscos e, como último recurso, a atenuação dos impactos reais. Para dar resposta às crises, são necessárias medidas estruturais e de longo prazo, assim como ações urgentes e pontuais.</w:t>
      </w:r>
    </w:p>
    <w:p w:rsidRPr="00F55256" w:rsidR="00296DEA" w:rsidP="00296DEA" w:rsidRDefault="00296DEA" w14:paraId="7ACA1FAB" w14:textId="77777777"/>
    <w:p w:rsidRPr="00EB7CB8" w:rsidR="00296DEA" w:rsidP="00296DEA" w:rsidRDefault="00296DEA" w14:paraId="372DE2F3" w14:textId="77777777">
      <w:pPr>
        <w:pStyle w:val="Heading2"/>
      </w:pPr>
      <w:r>
        <w:t>Para reduzir o custo de vida é essencial assegurar o acesso de todos a serviços de interesse geral de qualidade a preços comportáveis. O CESE defende uma cooperação e distribuição significativa de tarefas entre os setores público, privado e sem fins lucrativos. Destaca igualmente a importância de um financiamento e investimento adequados e do desenvolvimento de abordagens inovadoras.</w:t>
      </w:r>
    </w:p>
    <w:p w:rsidRPr="00F55256" w:rsidR="00296DEA" w:rsidP="00296DEA" w:rsidRDefault="00296DEA" w14:paraId="7668599E" w14:textId="77777777"/>
    <w:p w:rsidRPr="00EB7CB8" w:rsidR="00296DEA" w:rsidP="00296DEA" w:rsidRDefault="00296DEA" w14:paraId="1C42FE55" w14:textId="77777777">
      <w:pPr>
        <w:pStyle w:val="Heading2"/>
      </w:pPr>
      <w:r>
        <w:t>Os preços da energia são cruciais tanto para as famílias como para as empresas. O CESE advoga mais uma vez uma reforma fundamental</w:t>
      </w:r>
      <w:r w:rsidRPr="00EB7CB8">
        <w:rPr>
          <w:rStyle w:val="FootnoteReference"/>
          <w:lang w:val="en-GB"/>
        </w:rPr>
        <w:footnoteReference w:id="3"/>
      </w:r>
      <w:r>
        <w:t xml:space="preserve"> da conceção do mercado da energia, a fim de alcançar preços da energia mais baixos e estáveis. Preconiza igualmente a realização de uma reforma </w:t>
      </w:r>
      <w:r>
        <w:lastRenderedPageBreak/>
        <w:t>pensada da tributação da energia e a eliminação progressiva, baseada nos danos, das subvenções aos combustíveis fósseis, de modo a reduzir os custos para os agregados familiares e as empresas, contribuindo assim para apoiar os mais vulneráveis e estimulando os investimentos em sistemas energéticos descarbonizados e na investigação e inovação.</w:t>
      </w:r>
    </w:p>
    <w:p w:rsidRPr="00F55256" w:rsidR="00296DEA" w:rsidP="00296DEA" w:rsidRDefault="00296DEA" w14:paraId="5123C723" w14:textId="77777777">
      <w:pPr>
        <w:pStyle w:val="Heading2"/>
        <w:numPr>
          <w:ilvl w:val="0"/>
          <w:numId w:val="0"/>
        </w:numPr>
        <w:ind w:left="567"/>
      </w:pPr>
    </w:p>
    <w:p w:rsidRPr="00EB7CB8" w:rsidR="00296DEA" w:rsidP="00296DEA" w:rsidRDefault="00296DEA" w14:paraId="649B75C2" w14:textId="77777777">
      <w:pPr>
        <w:pStyle w:val="Heading2"/>
      </w:pPr>
      <w:r>
        <w:t>Uma forte capacidade de produção europeia afigura-se cada vez mais importante para melhorar a segurança económica e a resiliência face a aumentos dos preços externos. O CESE reclama uma política industrial moderna, orientada para a inovação e abrangente, que facilite a reindustrialização da Europa. Há que assegurar o acesso à energia e às matérias-primas a preços justos, a fim de tornar os custos de produção competitivos. É igualmente crucial melhorar o acesso ao financiamento, nomeadamente para as PME e as entidades da economia social.</w:t>
      </w:r>
    </w:p>
    <w:p w:rsidRPr="00F55256" w:rsidR="00296DEA" w:rsidP="00296DEA" w:rsidRDefault="00296DEA" w14:paraId="3B0190D5" w14:textId="77777777"/>
    <w:p w:rsidRPr="00EB7CB8" w:rsidR="00296DEA" w:rsidP="00296DEA" w:rsidRDefault="00296DEA" w14:paraId="461E10CC" w14:textId="77777777">
      <w:pPr>
        <w:pStyle w:val="Heading2"/>
      </w:pPr>
      <w:r>
        <w:t>O CESE destaca a necessidade de simplificar a regulamentação, agilizar os procedimentos de licenciamento e reduzir os encargos administrativos não produtivos, a fim de baixar os custos e incentivar a inovação, o investimento e o comércio, sem enfraquecer as normas sociais e ambientais.</w:t>
      </w:r>
    </w:p>
    <w:p w:rsidRPr="00F55256" w:rsidR="00296DEA" w:rsidP="00296DEA" w:rsidRDefault="00296DEA" w14:paraId="0A773EA6" w14:textId="77777777"/>
    <w:p w:rsidRPr="00EB7CB8" w:rsidR="00296DEA" w:rsidP="00296DEA" w:rsidRDefault="00296DEA" w14:paraId="1BAB264C" w14:textId="77777777">
      <w:pPr>
        <w:pStyle w:val="Heading2"/>
      </w:pPr>
      <w:r>
        <w:t>O mercado único é inestimável para os cidadãos da UE, por disponibilizar uma maior gama de produtos a preços mais baixos e proporcionar segurança económica contra choques externos sobre os preços. O CESE solicita com firmeza que se eliminem as disfunções do mercado, através do cumprimento efetivo das regras em vigor relativas ao mercado único e à concorrência, bem como através da redução das barreiras remanescentes às «quatro liberdades», assim como à «quinta liberdade» relativa à inovação e educação.</w:t>
      </w:r>
    </w:p>
    <w:p w:rsidRPr="00F55256" w:rsidR="00296DEA" w:rsidP="00296DEA" w:rsidRDefault="00296DEA" w14:paraId="0FE8E9BC" w14:textId="77777777"/>
    <w:p w:rsidRPr="00EB7CB8" w:rsidR="00296DEA" w:rsidP="00296DEA" w:rsidRDefault="00296DEA" w14:paraId="755B86A5" w14:textId="77777777">
      <w:pPr>
        <w:pStyle w:val="Heading2"/>
      </w:pPr>
      <w:r>
        <w:t>Há também que assegurar condições favoráveis a um comércio sustentável e justo, a fim de manter os preços a um nível razoável. O CESE solicita um reforço ativo dos acordos comerciais e das parcerias económicas, tendo devidamente em conta as normas sociais e ambientais, a fim de abrir novos mercados e diversificar as cadeias de abastecimento, reduzindo assim a vulnerabilidade a medidas comerciais protecionistas, bem como ao impacto destas nos preços.</w:t>
      </w:r>
    </w:p>
    <w:p w:rsidRPr="00F55256" w:rsidR="00296DEA" w:rsidP="00296DEA" w:rsidRDefault="00296DEA" w14:paraId="53494E5E" w14:textId="77777777"/>
    <w:p w:rsidRPr="00EB7CB8" w:rsidR="00296DEA" w:rsidP="00296DEA" w:rsidRDefault="00296DEA" w14:paraId="3E5051AD" w14:textId="77777777">
      <w:pPr>
        <w:pStyle w:val="Heading2"/>
      </w:pPr>
      <w:r>
        <w:t>O CESE considera importante assegurar que as políticas e medidas que afetam o custo de vida sejam justas e eficientes, quer digam respeito à dupla transição ecológica e digital, às cadeias de valor, à segurança social e à fiscalidade, quer se prendam com outros temas pertinentes. Para tal, é necessário considerar os aspetos económicos, sociais e ambientais de uma forma integrada que permita o seu reforço mútuo.</w:t>
      </w:r>
    </w:p>
    <w:p w:rsidRPr="00F55256" w:rsidR="00296DEA" w:rsidP="00296DEA" w:rsidRDefault="00296DEA" w14:paraId="2A5A3869" w14:textId="77777777"/>
    <w:p w:rsidRPr="00EB7CB8" w:rsidR="00296DEA" w:rsidP="00296DEA" w:rsidRDefault="00296DEA" w14:paraId="6232D076" w14:textId="77777777">
      <w:pPr>
        <w:pStyle w:val="Heading2"/>
      </w:pPr>
      <w:r>
        <w:t>O custo de vida elevado atinge mais duramente as pessoas mais vulneráveis, aumentando as desigualdades. O CESE insta os Estados-Membros a preverem medidas de apoio específicas destinadas a proteger as pessoas mais desfavorecidas, com base num acompanhamento adequado e em avaliações de impacto. Ao definir as políticas destinadas a fazer face ao custo de vida, importa também considerar com a devida atenção o impacto a longo prazo nas gerações futuras.</w:t>
      </w:r>
    </w:p>
    <w:p w:rsidRPr="00F55256" w:rsidR="00296DEA" w:rsidP="00296DEA" w:rsidRDefault="00296DEA" w14:paraId="5274212C" w14:textId="77777777">
      <w:pPr>
        <w:pStyle w:val="Heading2"/>
        <w:numPr>
          <w:ilvl w:val="0"/>
          <w:numId w:val="0"/>
        </w:numPr>
        <w:ind w:left="567"/>
      </w:pPr>
    </w:p>
    <w:p w:rsidRPr="00EB7CB8" w:rsidR="00296DEA" w:rsidP="00296DEA" w:rsidRDefault="00296DEA" w14:paraId="4C297AD0" w14:textId="77777777">
      <w:pPr>
        <w:pStyle w:val="Heading2"/>
      </w:pPr>
      <w:r>
        <w:t xml:space="preserve">Cabe concentrar esforços específicos na oferta de habitação adequada e a preços acessíveis para várias necessidades, incluindo para os jovens. É preciso inovar e assegurar um ordenamento </w:t>
      </w:r>
      <w:r>
        <w:lastRenderedPageBreak/>
        <w:t>adequado do território para acelerar a construção e a renovação. Há que reforçar a habitação social para ajudar a tornar a habitação acessível e a preços comportáveis para todos.</w:t>
      </w:r>
    </w:p>
    <w:p w:rsidRPr="00F55256" w:rsidR="00296DEA" w:rsidP="00296DEA" w:rsidRDefault="00296DEA" w14:paraId="6E5951A1" w14:textId="77777777"/>
    <w:p w:rsidRPr="00EB7CB8" w:rsidR="00296DEA" w:rsidP="00296DEA" w:rsidRDefault="00296DEA" w14:paraId="739D860C" w14:textId="77777777">
      <w:pPr>
        <w:pStyle w:val="Heading2"/>
      </w:pPr>
      <w:r>
        <w:t>O CESE salienta que o reforço da criação de empregos de qualidade e a promoção do pleno emprego, digno e inclusivo, são um meio fundamental para garantir a resiliência económica e social face ao aumento dos preços. Para tal, é necessário um ambiente favorável ao empreendedorismo e às empresas, nomeadamente apoio ao desenvolvimento da economia social, crucial para criar emprego para as pessoas que não estão aptas a trabalhar no mercado de trabalho primário.</w:t>
      </w:r>
    </w:p>
    <w:p w:rsidRPr="00F55256" w:rsidR="00296DEA" w:rsidP="00296DEA" w:rsidRDefault="00296DEA" w14:paraId="7D2C5E3C" w14:textId="77777777"/>
    <w:p w:rsidRPr="00EB7CB8" w:rsidR="00296DEA" w:rsidP="00296DEA" w:rsidRDefault="00296DEA" w14:paraId="2A2828F2" w14:textId="77777777">
      <w:pPr>
        <w:pStyle w:val="Heading2"/>
      </w:pPr>
      <w:r>
        <w:t>O CESE salienta a importância crucial da educação e do desenvolvimento de competências para que as pessoas possam obter empregos de qualidade e melhores rendimentos. Um diálogo social construtivo e uma negociação coletiva robusta, desenvolvidos em consonância com as práticas nacionais e a autonomia dos parceiros sociais, são fundamentais para tratar as questões do poder de compra relacionadas com o trabalho, contribuindo assim para a coesão social e para uma vida digna para todos. O diálogo civil, por sua vez, é necessário para incluir os pontos de vista dos cidadãos na elaboração de políticas que afetam as suas condições de vida.</w:t>
      </w:r>
    </w:p>
    <w:p w:rsidRPr="00F55256" w:rsidR="00296DEA" w:rsidP="00296DEA" w:rsidRDefault="00296DEA" w14:paraId="61B79D36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5C16FD87" w14:textId="77777777">
      <w:pPr>
        <w:pStyle w:val="Heading2"/>
      </w:pPr>
      <w:r>
        <w:t>O CESE salienta que, para tratar a questão do custo de vida, são necessários investimentos públicos e privados em inovação e infraestruturas, que abranjam os setores da habitação, energia, sistemas digitais e de transportes, educação, cuidados de saúde e serviços sociais, bem como as capacidades no domínio da segurança e defesa. Para poder financiar o amplo leque de investimentos no bem comum necessários, há que promover resolutamente um aumento da produtividade e um crescimento económico robusto, assegurando ao mesmo tempo a sustentabilidade e a transparência das finanças públicas.</w:t>
      </w:r>
    </w:p>
    <w:p w:rsidRPr="00F55256" w:rsidR="00296DEA" w:rsidP="00296DEA" w:rsidRDefault="00296DEA" w14:paraId="790906DF" w14:textId="77777777"/>
    <w:p w:rsidRPr="00EB7CB8" w:rsidR="00296DEA" w:rsidP="00296DEA" w:rsidRDefault="00296DEA" w14:paraId="6A598941" w14:textId="77777777">
      <w:pPr>
        <w:pStyle w:val="Heading1"/>
        <w:keepNext/>
      </w:pPr>
      <w:r>
        <w:rPr>
          <w:b/>
        </w:rPr>
        <w:t>Evolução recente do custo de vida</w:t>
      </w:r>
    </w:p>
    <w:p w:rsidRPr="00F55256" w:rsidR="00296DEA" w:rsidP="00296DEA" w:rsidRDefault="00296DEA" w14:paraId="07F3605A" w14:textId="77777777">
      <w:pPr>
        <w:keepNext/>
      </w:pPr>
    </w:p>
    <w:p w:rsidRPr="00EB7CB8" w:rsidR="00296DEA" w:rsidP="00296DEA" w:rsidRDefault="00296DEA" w14:paraId="1EC41917" w14:textId="77777777">
      <w:pPr>
        <w:pStyle w:val="Heading2"/>
      </w:pPr>
      <w:r>
        <w:t>Desde 2021, os cidadãos na Europa e no resto do mundo sofrem as consequências do aumento dos preços da energia e dos alimentos, dos custos da habitação e dos transportes, bem como das taxas cobradas por serviços públicos, juntamente com uma subida generalizada dos preços dos bens e serviços. Esta evolução pôs em risco o respeito pelos valores da União Europeia, nomeadamente a proteção da dignidade humana, assim como o cumprimento das disposições do Pilar Europeu dos Direitos Sociais, o que, por sua vez, afetou as condições de vida das pessoas e teve efeitos negativos no ambiente social e político, com movimentos populistas em alguns países a apresentarem soluções rápidas e fáceis, mas impraticáveis, para a muito complexa multiplicidade de causas.</w:t>
      </w:r>
    </w:p>
    <w:p w:rsidRPr="00F55256" w:rsidR="00296DEA" w:rsidP="00296DEA" w:rsidRDefault="00296DEA" w14:paraId="64034A44" w14:textId="77777777"/>
    <w:p w:rsidRPr="00EB7CB8" w:rsidR="00296DEA" w:rsidP="00296DEA" w:rsidRDefault="00296DEA" w14:paraId="6D44F468" w14:textId="77777777">
      <w:pPr>
        <w:pStyle w:val="Heading2"/>
      </w:pPr>
      <w:r>
        <w:t>O aumento rápido dos preços da energia na sequência da agressão e invasão da Ucrânia pela Rússia contribuiu para uma tendência inflacionista, reduzindo os salários reais. Os preços dos bens alimentares de base e de outros produtos essenciais foram os que, tendencialmente, mais aumentaram, o que levou a que sobretudo os trabalhadores com baixos rendimentos tivessem dificuldades em pagar as suas faturas e provocou um aumento da pobreza energética, bem como uma evolução negativa conexa das condições económicas e do acesso a serviços essenciais a preços acessíveis. Esta evolução levou os governos a agir, nomeadamente para evitar desigualdades e uma distribuição injusta dos encargos.</w:t>
      </w:r>
    </w:p>
    <w:p w:rsidRPr="00F55256" w:rsidR="00296DEA" w:rsidP="00296DEA" w:rsidRDefault="00296DEA" w14:paraId="09613498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712B539A" w14:textId="77777777">
      <w:pPr>
        <w:pStyle w:val="Heading2"/>
      </w:pPr>
      <w:r>
        <w:t>Apesar dos problemas, os números agregados relativos à evolução da economia mantiveram-se surpreendentemente robustos, tal como comunicado pela Comissão</w:t>
      </w:r>
      <w:r w:rsidRPr="00EB7CB8">
        <w:rPr>
          <w:rStyle w:val="FootnoteReference"/>
          <w:lang w:val="en-GB"/>
        </w:rPr>
        <w:footnoteReference w:id="4"/>
      </w:r>
      <w:r>
        <w:t>. Prevê-se que a inflação global regresse ao objetivo de médio prazo em 2025 e continue a diminuir em 2026, à medida que se aliviam as pressões sobre as cadeias de abastecimento e os custos da energia</w:t>
      </w:r>
      <w:r w:rsidRPr="00EB7CB8">
        <w:rPr>
          <w:rStyle w:val="FootnoteReference"/>
          <w:lang w:val="en-GB"/>
        </w:rPr>
        <w:footnoteReference w:id="5"/>
      </w:r>
      <w:r>
        <w:t>. No entanto, estas previsões podem não ser cumpridas nas atuais condições geopolíticas. Apesar da desinflação, os preços continuam elevados, pesando sobre as famílias e as empresas.</w:t>
      </w:r>
    </w:p>
    <w:p w:rsidRPr="00F55256" w:rsidR="00296DEA" w:rsidP="00296DEA" w:rsidRDefault="00296DEA" w14:paraId="2633377A" w14:textId="77777777"/>
    <w:p w:rsidRPr="00EB7CB8" w:rsidR="00296DEA" w:rsidP="00296DEA" w:rsidRDefault="00296DEA" w14:paraId="15E418F7" w14:textId="77777777">
      <w:pPr>
        <w:pStyle w:val="Heading2"/>
      </w:pPr>
      <w:r>
        <w:t>O êxito da desinflação tem sido acompanhado por mercados de trabalho robustos, que resistiram aos receios de perdas generalizadas de postos de trabalho face a grandes choques macroeconómicos. Segundo a Comissão, a resiliência dos mercados de trabalho tem sido crucial para apoiar a economia</w:t>
      </w:r>
      <w:r w:rsidRPr="00EB7CB8">
        <w:rPr>
          <w:rStyle w:val="FootnoteReference"/>
          <w:lang w:val="en-GB"/>
        </w:rPr>
        <w:footnoteReference w:id="6"/>
      </w:r>
      <w:r>
        <w:t>. O crescimento do emprego tem sido mais forte no setor dos serviços, nomeadamente nas tecnologias da informação e comunicação, nos setores financeiro e dos seguros, no setor imobiliário e no setor público. Embora o emprego tenha aumentado em três milhões de postos de trabalho na área do euro entre o final de 2022 e meados de 2024 e os salários reais tenham começado a crescer devido à rápida queda da inflação</w:t>
      </w:r>
      <w:r w:rsidRPr="00EB7CB8">
        <w:rPr>
          <w:rStyle w:val="FootnoteReference"/>
          <w:lang w:val="en-GB"/>
        </w:rPr>
        <w:footnoteReference w:id="7"/>
      </w:r>
      <w:r>
        <w:t>, nem todos os Estados-Membros e regiões saíram beneficiados. As novas preocupações geopolíticas resultaram numa recuperação económica moderada e registaram-se muitos despedimentos e falências em alguns setores.</w:t>
      </w:r>
    </w:p>
    <w:p w:rsidRPr="00F55256" w:rsidR="00296DEA" w:rsidP="00296DEA" w:rsidRDefault="00296DEA" w14:paraId="6A9E86CE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5EA68D30" w14:textId="77777777">
      <w:pPr>
        <w:pStyle w:val="Heading2"/>
      </w:pPr>
      <w:r>
        <w:t>A Comissão assinala que a recuperação do poder de compra é benéfica do ponto de vista económico e social, contribuindo para a procura agregada. A capacidade da área do euro para absorver choques e recuperar de crises, como se verificou na resposta dada à pandemia e ao choque do setor da energia, também contribuiu para este resultado. Globalmente, espera-se que o crescimento médio anual do PIB real aumente gradualmente. No entanto, ainda persistem disparidades regionais, e o aumento da incerteza geopolítica pode colocar riscos, tanto em termos de perspetivas de crescimento como de evolução do mercado de trabalho.</w:t>
      </w:r>
    </w:p>
    <w:p w:rsidRPr="00F55256" w:rsidR="00296DEA" w:rsidP="00296DEA" w:rsidRDefault="00296DEA" w14:paraId="36834A0C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65BC7F81" w14:textId="77777777">
      <w:pPr>
        <w:pStyle w:val="Heading2"/>
      </w:pPr>
      <w:r>
        <w:t>Como comunicado pela Comissão, a percentagem de pessoas em risco de pobreza ou exclusão social diminuiu ligeiramente, mas continua a haver problemas sociais</w:t>
      </w:r>
      <w:r w:rsidRPr="00EB7CB8">
        <w:rPr>
          <w:rStyle w:val="FootnoteReference"/>
          <w:lang w:val="en-GB"/>
        </w:rPr>
        <w:footnoteReference w:id="8"/>
      </w:r>
      <w:r>
        <w:t>. De acordo com as estimativas provisórias do Eurostat, a percentagem de pessoas em risco de pobreza na área do euro deverá também manter-se estável em 2024. Em alguns países, a diminuição do risco de pobreza deve-se parcialmente a um aumento forte dos salários mínimos nacionais</w:t>
      </w:r>
      <w:r w:rsidRPr="00EB7CB8">
        <w:rPr>
          <w:rStyle w:val="FootnoteReference"/>
          <w:lang w:val="en-GB"/>
        </w:rPr>
        <w:footnoteReference w:id="9"/>
      </w:r>
      <w:r>
        <w:t>. Ainda assim, um quinto da população da UE vive em risco de pobreza ou exclusão social.</w:t>
      </w:r>
    </w:p>
    <w:p w:rsidRPr="00F55256" w:rsidR="00296DEA" w:rsidP="00296DEA" w:rsidRDefault="00296DEA" w14:paraId="0B746D34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0C8E289A" w14:textId="77777777">
      <w:pPr>
        <w:pStyle w:val="Heading2"/>
      </w:pPr>
      <w:r>
        <w:lastRenderedPageBreak/>
        <w:t>Os agregados familiares com os rendimentos mais baixos e médio-baixos continuam a sofrer grandes dificuldades financeiras após o aumento decorrente da crise energética. No contexto de preços e custos de financiamento mais elevados, os agregados familiares com os rendimentos mais baixos na UE registam níveis elevados de dificuldades financeiras, acima de outros grupos de rendimentos</w:t>
      </w:r>
      <w:r w:rsidRPr="00EB7CB8">
        <w:rPr>
          <w:rStyle w:val="FootnoteReference"/>
          <w:lang w:val="en-GB"/>
        </w:rPr>
        <w:footnoteReference w:id="10"/>
      </w:r>
      <w:r>
        <w:t>.</w:t>
      </w:r>
    </w:p>
    <w:p w:rsidRPr="00F55256" w:rsidR="00296DEA" w:rsidP="00296DEA" w:rsidRDefault="00296DEA" w14:paraId="44B86513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710A6E87" w14:textId="77777777">
      <w:pPr>
        <w:pStyle w:val="Heading2"/>
      </w:pPr>
      <w:r>
        <w:t>Uma vez que os custos da habitação continuaram a superar o crescimento dos rendimentos, aumentaram as preocupações quanto à acessibilidade dos preços, com implicações para a estabilidade económica, a coesão social e o bem-estar das famílias. A escassez de habitação pode também prejudicar o crescimento e a competitividade a longo prazo, assim como a coesão social, visto que a escassez e o custo da habitação podem desencorajar a mobilidade laboral e residencial, especialmente se esses problemas não forem corrigidos por políticas de habitação adequadas.</w:t>
      </w:r>
    </w:p>
    <w:p w:rsidRPr="00F55256" w:rsidR="00296DEA" w:rsidP="00296DEA" w:rsidRDefault="00296DEA" w14:paraId="383F2F13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6AFDB375" w14:textId="6DEE79F7">
      <w:pPr>
        <w:pStyle w:val="Heading2"/>
      </w:pPr>
      <w:r>
        <w:t>A situação geopolítica e geoeconómica poderá, com grande probabilidade, provocar novos aumentos de preços</w:t>
      </w:r>
      <w:r w:rsidRPr="00EB7CB8">
        <w:rPr>
          <w:rStyle w:val="FootnoteReference"/>
          <w:lang w:val="en-GB"/>
        </w:rPr>
        <w:footnoteReference w:id="11"/>
      </w:r>
      <w:r>
        <w:t>. Além disso, a execução de políticas internas míopes, nos Estados</w:t>
      </w:r>
      <w:r w:rsidR="00F55256">
        <w:noBreakHyphen/>
      </w:r>
      <w:r>
        <w:t>Membros ou na UE – por exemplo, em resultado de avaliações de impacto inadequadas</w:t>
      </w:r>
      <w:r w:rsidR="00F55256">
        <w:t> </w:t>
      </w:r>
      <w:r>
        <w:t>–, pode também contribuir para o aumento dos preços. Devido à constante evolução da conjuntura, é necessário acompanhar e avaliar atentamente a situação, e a UE deve estar preparada para prevenir e combater em tempo útil eventuais novas condições que afetem negativamente o custo de vida.</w:t>
      </w:r>
    </w:p>
    <w:p w:rsidRPr="00F55256" w:rsidR="00296DEA" w:rsidP="00296DEA" w:rsidRDefault="00296DEA" w14:paraId="21DA7B41" w14:textId="77777777">
      <w:pPr>
        <w:pStyle w:val="Heading2"/>
        <w:numPr>
          <w:ilvl w:val="0"/>
          <w:numId w:val="0"/>
        </w:numPr>
      </w:pPr>
    </w:p>
    <w:p w:rsidRPr="00EB7CB8" w:rsidR="00296DEA" w:rsidP="00296DEA" w:rsidRDefault="00296DEA" w14:paraId="55B727E1" w14:textId="77777777">
      <w:pPr>
        <w:pStyle w:val="Heading1"/>
        <w:keepNext/>
        <w:rPr>
          <w:b/>
          <w:bCs/>
        </w:rPr>
      </w:pPr>
      <w:r>
        <w:rPr>
          <w:b/>
        </w:rPr>
        <w:t>Observações gerais</w:t>
      </w:r>
    </w:p>
    <w:p w:rsidRPr="00EB7CB8" w:rsidR="00296DEA" w:rsidP="00296DEA" w:rsidRDefault="00296DEA" w14:paraId="6E81D693" w14:textId="77777777">
      <w:pPr>
        <w:keepNext/>
        <w:rPr>
          <w:lang w:val="en-GB"/>
        </w:rPr>
      </w:pPr>
    </w:p>
    <w:p w:rsidRPr="00EB7CB8" w:rsidR="00296DEA" w:rsidP="00296DEA" w:rsidRDefault="00296DEA" w14:paraId="0611BE91" w14:textId="77777777">
      <w:pPr>
        <w:pStyle w:val="Heading2"/>
      </w:pPr>
      <w:r>
        <w:t>Em geral, a resposta a uma crise engloba vários elementos e etapas, em que o primeiro objetivo é evitar a crise mas em que se procura ao mesmo tempo melhorar a resiliência contra os riscos e, como último recurso, atenuar os impactos para evitar danos. O problema do custo de vida segue a mesma lógica e as secções seguintes do presente parecer estão estruturadas em conformidade. Os pontos de vista e as recomendações baseiam-se em princípios universais e transversais, completados por aspetos específicos relacionados com questões setoriais.</w:t>
      </w:r>
    </w:p>
    <w:p w:rsidRPr="00F55256" w:rsidR="00296DEA" w:rsidP="00296DEA" w:rsidRDefault="00296DEA" w14:paraId="71C86936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307920B9" w14:textId="77777777">
      <w:pPr>
        <w:pStyle w:val="Heading2"/>
      </w:pPr>
      <w:r>
        <w:t>A melhor forma de evitar crises consiste em adotar estratégias orientadas para o futuro e executar políticas sólidas e sustentáveis em todos os momentos. A história recente leva-nos a concluir que depender do gás russo foi um erro que contribuiu para aumentos consideráveis dos custos da energia. Essas subidas repercutiram-se nos outros setores da economia, provocando inflação. Além disso, o aumento contínuo dos custos da habitação tem efeitos negativos duradouros na prosperidade e no poder de compra</w:t>
      </w:r>
      <w:r w:rsidRPr="00EB7CB8">
        <w:rPr>
          <w:rStyle w:val="FootnoteReference"/>
          <w:lang w:val="en-GB"/>
        </w:rPr>
        <w:footnoteReference w:id="12"/>
      </w:r>
      <w:r>
        <w:t>.</w:t>
      </w:r>
    </w:p>
    <w:p w:rsidRPr="00F55256" w:rsidR="00296DEA" w:rsidP="00296DEA" w:rsidRDefault="00296DEA" w14:paraId="31E92676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58753AC2" w14:textId="77777777">
      <w:pPr>
        <w:pStyle w:val="Heading2"/>
      </w:pPr>
      <w:r>
        <w:t xml:space="preserve">A importância de manter a estabilidade dos preços e a necessidade de limitar os preços dos bens e serviços essenciais, como a energia, tornaram-se óbvias. No entanto, as políticas energéticas aplicadas agravaram a situação de muitas pessoas, porque as medidas não foram devidamente </w:t>
      </w:r>
      <w:r>
        <w:lastRenderedPageBreak/>
        <w:t>direcionadas. Em muitos casos, a gravidade da situação piorou devido à inflexibilidade das economias – sem suficiente autonomia estratégica – incapazes de se adaptarem e criarem novos postos de trabalho com rapidez suficiente, de desenvolverem novas fontes de energia e de utilizarem adequadamente os investimentos públicos para criar o estímulo necessário à economia. As boas práticas pertinentes não foram aplicadas em todos os Estados-Membros.</w:t>
      </w:r>
    </w:p>
    <w:p w:rsidRPr="00F55256" w:rsidR="00296DEA" w:rsidP="00296DEA" w:rsidRDefault="00296DEA" w14:paraId="245BFFAB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786BF8C4" w14:textId="77777777">
      <w:pPr>
        <w:pStyle w:val="Heading2"/>
      </w:pPr>
      <w:r>
        <w:t>A crise energética pôs a nu a necessidade de dispor de políticas que abordem as questões de forma abrangente, sob prismas diferentes. Por exemplo, revelou-se que são indispensáveis ajustamentos tanto do lado da oferta como do lado da procura de energia, sendo cada vez mais evidente a necessidade de reforçar simultaneamente a segurança, diversificar o aprovisionamento, tornar os preços acessíveis e descarbonizar. É igualmente importante assegurar a coerência das políticas nos diversos níveis da sua elaboração, em todos os domínios de intervenção e em momentos diferentes.</w:t>
      </w:r>
    </w:p>
    <w:p w:rsidRPr="00F55256" w:rsidR="00296DEA" w:rsidP="00296DEA" w:rsidRDefault="00296DEA" w14:paraId="61337980" w14:textId="77777777"/>
    <w:p w:rsidRPr="00EB7CB8" w:rsidR="00296DEA" w:rsidP="00296DEA" w:rsidRDefault="00296DEA" w14:paraId="0EC91EE9" w14:textId="77777777">
      <w:pPr>
        <w:pStyle w:val="Heading2"/>
      </w:pPr>
      <w:r>
        <w:t>No entanto, os ajustamentos necessários nas economias implicam frequentemente uma subida dos custos e dos preços, que afetam todos os cidadãos mas prejudicam especialmente o poder de compra dos trabalhadores com baixos rendimentos, o que sublinha a necessidade de considerar os aspetos económicos, sociais e ambientais de uma forma integrada que permita o seu reforço mútuo. Deste modo, assegura-se que as políticas e medidas são justas e eficientes, quer digam respeito à dupla transição ecológica e digital, às cadeias de valor, à segurança social e à fiscalidade, quer se prendam com outros temas pertinentes.</w:t>
      </w:r>
    </w:p>
    <w:p w:rsidRPr="00F55256" w:rsidR="00296DEA" w:rsidP="00296DEA" w:rsidRDefault="00296DEA" w14:paraId="54B38A57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06CF0034" w14:textId="77777777">
      <w:pPr>
        <w:pStyle w:val="Heading2"/>
      </w:pPr>
      <w:r>
        <w:t>A crise da COVID-19 também permite retirar ensinamentos importantes. Durante a pandemia, as cadeias de abastecimento foram negativamente afetadas. A Europa dependia excessivamente das importações de muitos bens estratégicos. Desde então, os Estados-Membros e a Comissão começaram a elaborar estratégias para limitar a vulnerabilidade das cadeias de abastecimento, o que pode ser visto como um primeiro passo importante para limitar o risco de choques externos e de evoluções negativas do custo de vida.</w:t>
      </w:r>
    </w:p>
    <w:p w:rsidRPr="00F55256" w:rsidR="00296DEA" w:rsidP="00296DEA" w:rsidRDefault="00296DEA" w14:paraId="4E478123" w14:textId="77777777"/>
    <w:p w:rsidRPr="00EB7CB8" w:rsidR="00296DEA" w:rsidP="00296DEA" w:rsidRDefault="00296DEA" w14:paraId="28320909" w14:textId="77777777">
      <w:pPr>
        <w:pStyle w:val="Heading2"/>
      </w:pPr>
      <w:r>
        <w:t>Além disso, ao analisar as causas da evolução do custo de vida, há que levar em conta os desafios demográficos, os impactos das alterações climáticas e da degradação ambiental, as várias tensões geopolíticas, a migração e as disparidades regionais.</w:t>
      </w:r>
    </w:p>
    <w:p w:rsidRPr="00F55256" w:rsidR="00296DEA" w:rsidP="00296DEA" w:rsidRDefault="00296DEA" w14:paraId="229178A3" w14:textId="77777777"/>
    <w:p w:rsidRPr="00EB7CB8" w:rsidR="00296DEA" w:rsidP="00296DEA" w:rsidRDefault="00296DEA" w14:paraId="41CDBAF0" w14:textId="77777777">
      <w:pPr>
        <w:pStyle w:val="Heading1"/>
        <w:keepNext/>
        <w:keepLines/>
        <w:rPr>
          <w:b/>
          <w:bCs/>
        </w:rPr>
      </w:pPr>
      <w:r>
        <w:rPr>
          <w:b/>
        </w:rPr>
        <w:t>Como limitar os riscos de um custo de vida elevado</w:t>
      </w:r>
    </w:p>
    <w:p w:rsidRPr="00F55256" w:rsidR="00296DEA" w:rsidP="00296DEA" w:rsidRDefault="00296DEA" w14:paraId="0C896C19" w14:textId="77777777">
      <w:pPr>
        <w:keepNext/>
        <w:keepLines/>
      </w:pPr>
    </w:p>
    <w:p w:rsidRPr="00EB7CB8" w:rsidR="00296DEA" w:rsidP="00296DEA" w:rsidRDefault="00296DEA" w14:paraId="0F04A592" w14:textId="77777777">
      <w:pPr>
        <w:pStyle w:val="Heading2"/>
      </w:pPr>
      <w:r>
        <w:t>Para baixar o custo de vida é fundamental reduzir a inflação e alcançar o objetivo da estabilidade dos preços que incumbe ao Banco Central Europeu. Neste domínio, a política monetária desempenha um papel central. Além do nível geral dos preços, o custo de vida depende de vários fatores que afetam os preços de cada bem e serviço, pelo que deve ser abordado através de medidas que incidem sobre outros domínios de intervenção política, como a energia, a inovação, a concorrência, o comércio e as políticas fiscais e de despesa, entre outros.</w:t>
      </w:r>
    </w:p>
    <w:p w:rsidRPr="00F55256" w:rsidR="00296DEA" w:rsidP="00296DEA" w:rsidRDefault="00296DEA" w14:paraId="40508524" w14:textId="77777777"/>
    <w:p w:rsidRPr="00EB7CB8" w:rsidR="00296DEA" w:rsidP="00296DEA" w:rsidRDefault="00296DEA" w14:paraId="6C108B45" w14:textId="77777777">
      <w:pPr>
        <w:pStyle w:val="Heading2"/>
      </w:pPr>
      <w:r>
        <w:t xml:space="preserve">O custo de vida está estreitamente ligado à alimentação e aos serviços essenciais, incluindo a energia, a água, o saneamento, os transportes, os serviços financeiros e as comunicações digitais, bem como a outros serviços de interesse geral, como a habitação, a educação, os </w:t>
      </w:r>
      <w:r>
        <w:lastRenderedPageBreak/>
        <w:t>cuidados de saúde e os cuidados de longa duração. Os serviços de interesse geral também são importantes porque contribuem significativamente para a criação de valor e o emprego, reforçando a resiliência e coesão da UE, sendo também importantes para lograr uma transição ecológica e digital justa. O CESE assinala que o Relatório Letta</w:t>
      </w:r>
      <w:r w:rsidRPr="00EB7CB8">
        <w:rPr>
          <w:rStyle w:val="FootnoteReference"/>
          <w:lang w:val="en-GB"/>
        </w:rPr>
        <w:footnoteReference w:id="13"/>
      </w:r>
      <w:r>
        <w:t xml:space="preserve"> destaca o papel central dos serviços de interesse geral no mercado interno. O documento critica a regulamentação setorial fragmentada estabelecida no direito da UE e apela à elaboração de um plano de ação para serviços de interesse geral de alta qualidade, o que requer receitas fiscais estáveis para manter esses serviços e desenvolvê-los.</w:t>
      </w:r>
    </w:p>
    <w:p w:rsidRPr="00F55256" w:rsidR="00296DEA" w:rsidP="00296DEA" w:rsidRDefault="00296DEA" w14:paraId="51BBC40F" w14:textId="77777777">
      <w:pPr>
        <w:pStyle w:val="Heading2"/>
        <w:numPr>
          <w:ilvl w:val="0"/>
          <w:numId w:val="0"/>
        </w:numPr>
        <w:ind w:left="567"/>
      </w:pPr>
    </w:p>
    <w:p w:rsidRPr="00EB7CB8" w:rsidR="00296DEA" w:rsidP="00296DEA" w:rsidRDefault="00296DEA" w14:paraId="2B5D662B" w14:textId="77777777">
      <w:pPr>
        <w:pStyle w:val="Heading2"/>
      </w:pPr>
      <w:r>
        <w:t>Para garantir o acesso a estes serviços a preços comportáveis, importa dispor de infraestruturas, produção e outras operações do lado da oferta eficientes e em número suficiente. Neste contexto, é importante assegurar a cooperação e a distribuição significativa de tarefas entre os setores público, privado e sem fins lucrativos</w:t>
      </w:r>
      <w:r w:rsidRPr="00EB7CB8">
        <w:rPr>
          <w:rStyle w:val="FootnoteReference"/>
          <w:lang w:val="en-GB"/>
        </w:rPr>
        <w:footnoteReference w:id="14"/>
      </w:r>
      <w:r>
        <w:t>. Ao mesmo tempo, há que assegurar a prestação de serviços essenciais a preços acessíveis para todos. A prestação de serviços de interesse geral de alta qualidade exige também financiamento e investimento adequados, bem como o desenvolvimento de abordagens inovadoras, como a cocriação por parte dos cidadãos e respetivas organizações</w:t>
      </w:r>
      <w:r w:rsidRPr="00EB7CB8">
        <w:rPr>
          <w:rStyle w:val="FootnoteReference"/>
          <w:lang w:val="en-GB"/>
        </w:rPr>
        <w:footnoteReference w:id="15"/>
      </w:r>
      <w:r>
        <w:t>.</w:t>
      </w:r>
    </w:p>
    <w:p w:rsidRPr="00F55256" w:rsidR="00296DEA" w:rsidP="00296DEA" w:rsidRDefault="00296DEA" w14:paraId="3925369F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63AD31AC" w14:textId="77777777">
      <w:pPr>
        <w:pStyle w:val="Heading2"/>
      </w:pPr>
      <w:r>
        <w:t>Os preços da energia são cruciais não só para os agregados familiares, como também para muitas empresas, em especial as indústrias com utilização intensiva de energia. O CESE defende mais uma vez</w:t>
      </w:r>
      <w:r w:rsidRPr="00EB7CB8">
        <w:rPr>
          <w:rStyle w:val="FootnoteReference"/>
          <w:lang w:val="en-GB"/>
        </w:rPr>
        <w:footnoteReference w:id="16"/>
      </w:r>
      <w:r>
        <w:t xml:space="preserve"> uma reforma fundamental da conceção do mercado da energia, a fim de alcançar preços da energia mais baixos e estáveis para os agregados familiares e custos de produção mais competitivos para as empresas. A longo prazo, a UE deve visar um sistema energético descarbonizado com preços da energia mais baixos. A eliminação progressiva das subvenções aos combustíveis fósseis deve ser levada a cabo de forma que as novas fontes de energia contribuam para baixar os custos dos agregados familiares e das empresas e reduzir a pressão sobre os preços no consumidor.</w:t>
      </w:r>
    </w:p>
    <w:p w:rsidRPr="00F55256" w:rsidR="00296DEA" w:rsidP="00296DEA" w:rsidRDefault="00296DEA" w14:paraId="0657915E" w14:textId="77777777"/>
    <w:p w:rsidRPr="00EB7CB8" w:rsidR="00296DEA" w:rsidP="00296DEA" w:rsidRDefault="00296DEA" w14:paraId="68707C9E" w14:textId="77777777">
      <w:pPr>
        <w:pStyle w:val="Heading2"/>
      </w:pPr>
      <w:r>
        <w:t>O acesso competitivo a matérias-primas internas é igualmente importante para reduzir os custos de produção e as vulnerabilidades face a aumentos dos preços externos. É também essencial melhorar o acesso ao financiamento, incluindo o capital de risco, especialmente para permitir que as PME desenvolvam atividade e empreguem pessoas. A consecução do objetivo da Comissão de reduzir em 35% os encargos administrativos para as PME também melhoraria o ambiente empresarial para as empresas de menor dimensão, respeitando simultaneamente as normas sociais e ambientais.</w:t>
      </w:r>
    </w:p>
    <w:p w:rsidRPr="00F55256" w:rsidR="00296DEA" w:rsidP="00296DEA" w:rsidRDefault="00296DEA" w14:paraId="3E699F74" w14:textId="77777777"/>
    <w:p w:rsidRPr="00EB7CB8" w:rsidR="00296DEA" w:rsidP="00296DEA" w:rsidRDefault="00296DEA" w14:paraId="7516E7C0" w14:textId="77777777">
      <w:pPr>
        <w:pStyle w:val="Heading2"/>
      </w:pPr>
      <w:r>
        <w:t xml:space="preserve">A execução de reformas fiscais justas e bem concebidas poderia ajudar a reduzir os custos tanto dos agregados familiares como das empresas, estimular os investimentos e aumentar o emprego, </w:t>
      </w:r>
      <w:r>
        <w:lastRenderedPageBreak/>
        <w:t>evitando ao mesmo tempo uma concorrência fiscal desnecessária. Por exemplo, a Comissão encorajou os Estados-Membros a reduzirem as taxas do imposto especial de consumo e do IVA sobre a eletricidade, o que não só reduziria as faturas de energia, mas contribuiria também para a descarbonização</w:t>
      </w:r>
      <w:r w:rsidRPr="00EB7CB8">
        <w:rPr>
          <w:rStyle w:val="FootnoteReference"/>
          <w:lang w:val="en-GB"/>
        </w:rPr>
        <w:footnoteReference w:id="17"/>
      </w:r>
      <w:r>
        <w:t>.</w:t>
      </w:r>
    </w:p>
    <w:p w:rsidRPr="00F55256" w:rsidR="00296DEA" w:rsidP="00296DEA" w:rsidRDefault="00296DEA" w14:paraId="0AC59CF3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5A22D4D7" w14:textId="77777777">
      <w:pPr>
        <w:pStyle w:val="Heading2"/>
      </w:pPr>
      <w:r>
        <w:t>A inovação é fundamental para melhorar a produtividade de qualquer atividade. Por conseguinte, é absolutamente necessário aumentar o investimento público e privado na inovação. É fundamental desenvolver e adotar tecnologias digitais avançadas para melhorar a eficiência da produção e do consumo. Uma mão de obra qualificada é mais uma condição indispensável para aumentar a produtividade. Além disso, iniciativas como os balcões únicos para o financiamento, a segurança do planeamento e uma cooperação mais eficaz entre as entidades administrativas e de financiamento, bem como contactos mais estreitos entre empresas e universidades, são exemplos de promoção da inovação.</w:t>
      </w:r>
    </w:p>
    <w:p w:rsidRPr="00F55256" w:rsidR="00296DEA" w:rsidP="00296DEA" w:rsidRDefault="00296DEA" w14:paraId="054C2FA6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56CCAA3A" w14:textId="77777777">
      <w:pPr>
        <w:pStyle w:val="Heading2"/>
      </w:pPr>
      <w:r>
        <w:t>O mercado único é inestimável para os cidadãos da UE, por disponibilizar uma maior gama de produtos a preços mais baixos. No entanto, existem muitas disfunções que impedem que se tire pleno partido do mercado comum. A melhoria do funcionamento do mercado requer, entre outros aspetos, a aplicação efetiva das regras em vigor do mercado único e da concorrência, a melhoria das práticas de contratação pública, com uma regulamentação e um acompanhamento claros (em especial abrindo o acesso aos concursos e evitando concursos com um único proponente) e esforços destinados a reduzir as barreiras remanescentes às «quatro liberdades», bem como à «quinta liberdade» delineada no Relatório Letta</w:t>
      </w:r>
      <w:r w:rsidRPr="00EB7CB8">
        <w:rPr>
          <w:rStyle w:val="FootnoteReference"/>
          <w:lang w:val="en-GB"/>
        </w:rPr>
        <w:footnoteReference w:id="18"/>
      </w:r>
      <w:r>
        <w:t>.</w:t>
      </w:r>
    </w:p>
    <w:p w:rsidRPr="00F55256" w:rsidR="00296DEA" w:rsidP="00296DEA" w:rsidRDefault="00296DEA" w14:paraId="04AB5262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3B842EE0" w14:textId="77777777">
      <w:pPr>
        <w:pStyle w:val="Heading2"/>
      </w:pPr>
      <w:r>
        <w:t>O bom funcionamento do mercado único exige igualmente infraestruturas físicas que funcionem, incluindo redes de transportes, de energia e digitais descarbonizadas. O investimento em infraestruturas deve abarcar também medidas contra os riscos para a segurança, tanto as ameaças físicas como as ciberameaças. As medidas de reforço da segurança e da fiabilidade não só evitam perturbações nas redes, como previnem os consequentes impactos nos preços.</w:t>
      </w:r>
    </w:p>
    <w:p w:rsidRPr="00F55256" w:rsidR="00296DEA" w:rsidP="00296DEA" w:rsidRDefault="00296DEA" w14:paraId="590726D5" w14:textId="77777777">
      <w:pPr>
        <w:pStyle w:val="Heading2"/>
        <w:numPr>
          <w:ilvl w:val="0"/>
          <w:numId w:val="0"/>
        </w:numPr>
        <w:ind w:left="567" w:hanging="567"/>
      </w:pPr>
    </w:p>
    <w:p w:rsidRPr="002C03B2" w:rsidR="00296DEA" w:rsidRDefault="00296DEA" w14:paraId="0269A2F5" w14:textId="77777777">
      <w:pPr>
        <w:pStyle w:val="Heading2"/>
      </w:pPr>
      <w:r>
        <w:t>Há também que assegurar condições favoráveis a um comércio sustentável e justo, a fim de conter os preços. Tal requer um reforço ativo dos acordos comerciais, assegurando simultaneamente a reciprocidade e a adesão às regras comerciais multilaterais, tendo devidamente em conta a legislação e as normas sociais e ambientais adotadas a nível internacional e europeu. A diversificação das parcerias e dos mercados é cada vez mais importante para evitar uma vulnerabilidade excessiva ao aumento de preços no novo contexto geoeconómico em mutação, caracterizado pelo protecionismo e pela fragmentação em vários blocos.</w:t>
      </w:r>
    </w:p>
    <w:p w:rsidRPr="00F55256" w:rsidR="00296DEA" w:rsidP="00296DEA" w:rsidRDefault="00296DEA" w14:paraId="299D41DC" w14:textId="77777777"/>
    <w:p w:rsidRPr="00EB7CB8" w:rsidR="00296DEA" w:rsidP="00296DEA" w:rsidRDefault="00296DEA" w14:paraId="10F458E3" w14:textId="77777777">
      <w:pPr>
        <w:pStyle w:val="Heading2"/>
      </w:pPr>
      <w:r>
        <w:t xml:space="preserve">Além disso, é necessário simplificar a regulamentação, agilizar os procedimentos de licenciamento e reduzir os encargos administrativos não produtivos, a fim de baixar os custos e </w:t>
      </w:r>
      <w:r>
        <w:lastRenderedPageBreak/>
        <w:t>incentivar a inovação, o investimento e o comércio – sem enfraquecer as normas sociais e ambientais –, beneficiando assim tanto os cidadãos como as empresas.</w:t>
      </w:r>
    </w:p>
    <w:p w:rsidRPr="00F55256" w:rsidR="00296DEA" w:rsidP="00296DEA" w:rsidRDefault="00296DEA" w14:paraId="0902BD48" w14:textId="77777777"/>
    <w:p w:rsidRPr="00EB7CB8" w:rsidR="00296DEA" w:rsidP="00296DEA" w:rsidRDefault="00296DEA" w14:paraId="49242B34" w14:textId="77777777">
      <w:pPr>
        <w:pStyle w:val="Heading1"/>
        <w:keepNext/>
        <w:keepLines/>
        <w:rPr>
          <w:b/>
          <w:bCs/>
        </w:rPr>
      </w:pPr>
      <w:r>
        <w:rPr>
          <w:b/>
        </w:rPr>
        <w:t>Como melhorar a resiliência contra o aumento do custo de vida</w:t>
      </w:r>
    </w:p>
    <w:p w:rsidRPr="00F55256" w:rsidR="00296DEA" w:rsidP="00296DEA" w:rsidRDefault="00296DEA" w14:paraId="0B9A3EA3" w14:textId="77777777">
      <w:pPr>
        <w:keepNext/>
        <w:keepLines/>
      </w:pPr>
    </w:p>
    <w:p w:rsidRPr="00EB7CB8" w:rsidR="00296DEA" w:rsidP="00296DEA" w:rsidRDefault="00296DEA" w14:paraId="3761B767" w14:textId="77777777">
      <w:pPr>
        <w:pStyle w:val="Heading2"/>
      </w:pPr>
      <w:r>
        <w:t>Uma economia sólida e estável e a existência de parceiros sociais e organizações da sociedade civil formam as bases da resiliência contra choques e crises. Por um lado, tal carece de um crescimento económico robusto e sustentável, assente no aumento da produtividade, do emprego, do investimento e da integração do mercado. Por outro lado, requer a promoção de sistemas de segurança social fortes, coesão social e respeito pelos direitos fundamentais e pelos limites do planeta, assim como metas pertinentes da UE.</w:t>
      </w:r>
    </w:p>
    <w:p w:rsidRPr="00F55256" w:rsidR="00296DEA" w:rsidP="00296DEA" w:rsidRDefault="00296DEA" w14:paraId="3AC5A922" w14:textId="77777777">
      <w:pPr>
        <w:pStyle w:val="Heading2"/>
        <w:numPr>
          <w:ilvl w:val="0"/>
          <w:numId w:val="0"/>
        </w:numPr>
        <w:ind w:left="567" w:hanging="567"/>
      </w:pPr>
    </w:p>
    <w:p w:rsidRPr="002C03B2" w:rsidR="00296DEA" w:rsidRDefault="00296DEA" w14:paraId="4BF65877" w14:textId="77777777">
      <w:pPr>
        <w:pStyle w:val="Heading2"/>
      </w:pPr>
      <w:r>
        <w:t>Para assegurar a sustentabilidade e a coesão económica e social, é fundamental reforçar a criação de empregos de qualidade e promover o pleno emprego, digno e inclusivo, que permita às pessoas viver com dignidade, incluindo as pessoas com necessidades especiais, e contrarie o fenómeno da pobreza no trabalho. Para o efeito, é necessário um ambiente favorável ao empreendedorismo e às empresas, bem como políticas ativas do mercado de trabalho. É também necessário um apoio e um investimento ativos destinados ao desenvolvimento de uma economia social a nível nacional e da UE.</w:t>
      </w:r>
    </w:p>
    <w:p w:rsidRPr="00F55256" w:rsidR="00296DEA" w:rsidP="00296DEA" w:rsidRDefault="00296DEA" w14:paraId="44ACA246" w14:textId="77777777"/>
    <w:p w:rsidRPr="00EB7CB8" w:rsidR="00296DEA" w:rsidP="00296DEA" w:rsidRDefault="00296DEA" w14:paraId="2DDA377D" w14:textId="77777777">
      <w:pPr>
        <w:pStyle w:val="Heading2"/>
      </w:pPr>
      <w:r>
        <w:t>A educação é crucial para que as pessoas possam obter empregos de qualidade e melhores rendimentos e gerir as suas finanças. As economias fazem face a uma rápida evolução tecnológica, pelo que o investimento na melhoria de competências e na requalificação se tornou crucial para que as pessoas possam permanecer empregadas e encontrar novos empregos. Um diálogo social construtivo e uma negociação coletiva robusta, desenvolvidos em consonância com as práticas nacionais e o respeito pela autonomia dos parceiros sociais, são fundamentais para tratar as questões do poder de compra relacionadas com o trabalho, contribuindo assim para a coesão social e para uma vida digna para todos. O diálogo civil, por sua vez, é necessário para incluir os pontos de vista dos cidadãos na elaboração de políticas que afetam as suas condições de vida.</w:t>
      </w:r>
    </w:p>
    <w:p w:rsidRPr="00F55256" w:rsidR="00296DEA" w:rsidP="00296DEA" w:rsidRDefault="00296DEA" w14:paraId="278F8B02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48D481F9" w14:textId="77777777">
      <w:pPr>
        <w:pStyle w:val="Heading2"/>
      </w:pPr>
      <w:r>
        <w:t>A educação e o desenvolvimento de competências, juntamente com inovações tecnológicas, sociais e processuais, são também vitais para a produtividade. Visto que o desenvolvimento da produtividade na Europa fica sistematicamente aquém dos EUA e de outros parceiros comerciais importantes</w:t>
      </w:r>
      <w:r w:rsidRPr="00EB7CB8">
        <w:rPr>
          <w:rStyle w:val="FootnoteReference"/>
          <w:lang w:val="en-GB"/>
        </w:rPr>
        <w:footnoteReference w:id="19"/>
      </w:r>
      <w:r>
        <w:t>, é indispensável um aumento significativo do investimento na investigação e inovação, bem como na educação e na formação</w:t>
      </w:r>
      <w:r w:rsidRPr="00EB7CB8">
        <w:rPr>
          <w:rStyle w:val="FootnoteReference"/>
          <w:lang w:val="en-GB"/>
        </w:rPr>
        <w:footnoteReference w:id="20"/>
      </w:r>
      <w:r>
        <w:t>. Neste contexto, o sistema geral de ensino superior desempenha um papel importante.</w:t>
      </w:r>
    </w:p>
    <w:p w:rsidRPr="00F55256" w:rsidR="00296DEA" w:rsidP="00296DEA" w:rsidRDefault="00296DEA" w14:paraId="1B8B1AC8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428F1EA8" w14:textId="77777777">
      <w:pPr>
        <w:pStyle w:val="Heading2"/>
      </w:pPr>
      <w:r>
        <w:t xml:space="preserve">Em geral, as políticas de investimento são importantes para aumentar a flexibilidade e a estabilidade das economias. O Relatório Draghi e o Relatório Letta salientam a necessidade de aumentar os investimentos, tanto no setor público como no setor privado. São necessários </w:t>
      </w:r>
      <w:r>
        <w:lastRenderedPageBreak/>
        <w:t>investimentos públicos e privados para desenvolver infraestruturas, incluindo infraestruturas físicas e sociais, que vão da energia à educação, passando pela habitação e sistemas digitais e de transportes, cuidados de saúde e serviços sociais. Há que assegurar continuamente um financiamento suficiente para estes importantes investimentos de longo prazo.</w:t>
      </w:r>
    </w:p>
    <w:p w:rsidRPr="00F55256" w:rsidR="00296DEA" w:rsidP="00296DEA" w:rsidRDefault="00296DEA" w14:paraId="0797EF1F" w14:textId="77777777">
      <w:pPr>
        <w:pStyle w:val="Heading2"/>
        <w:numPr>
          <w:ilvl w:val="0"/>
          <w:numId w:val="0"/>
        </w:numPr>
      </w:pPr>
    </w:p>
    <w:p w:rsidRPr="00EB7CB8" w:rsidR="00296DEA" w:rsidP="00296DEA" w:rsidRDefault="00296DEA" w14:paraId="6ABD34CD" w14:textId="77777777">
      <w:pPr>
        <w:pStyle w:val="Heading2"/>
      </w:pPr>
      <w:r>
        <w:t>A simplificação das regras, um ordenamento adequado do território e a investigação e a inovação podem acelerar a construção e a renovação e reduzir os respetivos custos. É cada vez mais importante assegurar um investimento adequado na habitação. Há que dar especial atenção à habitação a preços acessíveis para os jovens – uma vez que estes são fortemente afetados pelos elevados custos de habitação –, bem como à habitação social enquanto instrumento essencial e promissor de políticas ativas de habitação. Segundo a abordagem atual, a política de habitação destina-se apenas aos agregados familiares com rendimentos mais baixos. Esta abordagem deve ser revista e a legislação em matéria de auxílios estatais deve ser adaptada em conformidade, em consonância com as normas que regulam os serviços de interesse económico geral. Importa integrar a dimensão da deficiência em todos os programas de habitação, a fim de disponibilizar habitação não só sustentável e a preços comportáveis, mas também com acessibilidade física adequada a todos. Além disso, os indicadores relativos à habitação devem ser incluídos nos programas nacionais de reformas e nos Programas de Estabilidade ou de Convergência.</w:t>
      </w:r>
    </w:p>
    <w:p w:rsidRPr="00F55256" w:rsidR="00296DEA" w:rsidP="00296DEA" w:rsidRDefault="00296DEA" w14:paraId="779F93AE" w14:textId="77777777"/>
    <w:p w:rsidRPr="00EB7CB8" w:rsidR="00296DEA" w:rsidP="00296DEA" w:rsidRDefault="00296DEA" w14:paraId="3FF17A0A" w14:textId="77777777">
      <w:pPr>
        <w:pStyle w:val="Heading2"/>
      </w:pPr>
      <w:r>
        <w:t>Os investimentos privados são necessários, essencialmente, para a criação de novas empresas e para o desenvolvimento de empresas existentes, por forma a criar postos de trabalho e melhorar a produtividade. A nova conjuntura geopolítica exige também mais investimento para reforçar a capacidade de produção na UE. Para facilitar a reindustrialização da Europa, é fundamental uma política industrial moderna, orientada para a inovação e abrangente.</w:t>
      </w:r>
    </w:p>
    <w:p w:rsidRPr="00F55256" w:rsidR="00296DEA" w:rsidP="00296DEA" w:rsidRDefault="00296DEA" w14:paraId="2DE3A6FA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11899A64" w14:textId="77777777">
      <w:pPr>
        <w:pStyle w:val="Heading2"/>
      </w:pPr>
      <w:r>
        <w:t>A importância da integração do mercado não deve ser subestimada nos esforços destinados a proteger os europeus contra choques de preços. Mais de trinta anos após a criação do mercado único, a UE ainda precisa de aproveitar ao máximo a sua dimensão (440 milhões de consumidores, 23 milhões de empresas). O aprofundamento do mercado único não só geraria ganhos avultados em termos de eficiência e bem-estar, como também melhoraria a resiliência e a segurança económica da UE nas novas circunstâncias geopolíticas, além de diversificar e reduzir os riscos das parcerias internacionais, do comércio e das cadeias de abastecimento. Por conseguinte, os esforços destinados a aumentar a integração do mercado devem centrar-se na melhoria da competitividade, da coesão social e das condições de vida.</w:t>
      </w:r>
    </w:p>
    <w:p w:rsidRPr="00F55256" w:rsidR="00296DEA" w:rsidP="00296DEA" w:rsidRDefault="00296DEA" w14:paraId="66F4B270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546E50CC" w14:textId="77777777">
      <w:pPr>
        <w:pStyle w:val="Heading2"/>
      </w:pPr>
      <w:r>
        <w:t>Quanto à sustentabilidade das finanças públicas, após vários anos de expansão orçamental devido a duas crises sem precedentes, os decisores políticos estão a ser pressionados para recorrerem a estratégias de consolidação orçamental, a fim de reforçar a sustentabilidade orçamental, aumentando simultaneamente os investimentos. A recente reforma da governação económica apoia estratégias de ajustamento orçamental a médio prazo adaptadas às necessidades específicas de cada economia. Além disso, espera-se que promova reformas estruturais e investimentos que ajudem a modernizar as economias, a aumentar a sua resiliência e crescimento potencial e a assegurar a sustentabilidade orçamental</w:t>
      </w:r>
      <w:r w:rsidRPr="00EB7CB8">
        <w:rPr>
          <w:rStyle w:val="FootnoteReference"/>
          <w:lang w:val="en-GB"/>
        </w:rPr>
        <w:footnoteReference w:id="21"/>
      </w:r>
      <w:r>
        <w:t>.</w:t>
      </w:r>
    </w:p>
    <w:p w:rsidRPr="00F55256" w:rsidR="00296DEA" w:rsidP="00296DEA" w:rsidRDefault="00296DEA" w14:paraId="271E8158" w14:textId="77777777"/>
    <w:p w:rsidRPr="00EB7CB8" w:rsidR="00296DEA" w:rsidP="00296DEA" w:rsidRDefault="00296DEA" w14:paraId="5854E1A3" w14:textId="77777777">
      <w:pPr>
        <w:pStyle w:val="Heading1"/>
        <w:keepNext/>
        <w:keepLines/>
        <w:rPr>
          <w:b/>
          <w:bCs/>
        </w:rPr>
      </w:pPr>
      <w:r>
        <w:rPr>
          <w:b/>
        </w:rPr>
        <w:lastRenderedPageBreak/>
        <w:t>Como atenuar os impactos do aumento do custo de vida</w:t>
      </w:r>
    </w:p>
    <w:p w:rsidRPr="00F55256" w:rsidR="00296DEA" w:rsidP="00296DEA" w:rsidRDefault="00296DEA" w14:paraId="4B610DCB" w14:textId="77777777">
      <w:pPr>
        <w:keepNext/>
        <w:keepLines/>
      </w:pPr>
    </w:p>
    <w:p w:rsidRPr="00EB7CB8" w:rsidR="00296DEA" w:rsidP="00296DEA" w:rsidRDefault="00296DEA" w14:paraId="655B0DF2" w14:textId="77777777">
      <w:pPr>
        <w:pStyle w:val="Heading2"/>
      </w:pPr>
      <w:r>
        <w:t>Há que continuar a executar, em todas as situações, políticas económicas e sociais cuidadosamente elaboradas. No entanto, o aumento rápido do custo de vida também torna necessário adotar medidas específicas para atenuar o seu impacto, especialmente nas pessoas vulneráveis. O custo de vida elevado afeta mais duramente as pessoas mais vulneráveis, uma vez que as despesas básicas de subsistência absorvem uma maior parte dos seus rendimentos, o que aumenta as desigualdades e pode conduzir a problemas de saúde e à exclusão social. Por conseguinte, são necessárias políticas específicas (por exemplo, planos sociais em matéria de clima), bem como uma orientação cuidadosa e avaliações de impacto adequadas para garantir que as medidas a tomar são eficientes e adequadas à sua finalidade. Para tal, cabe proceder a uma recolha de dados e a um acompanhamento adequados da situação.</w:t>
      </w:r>
    </w:p>
    <w:p w:rsidRPr="00F55256" w:rsidR="00296DEA" w:rsidP="00296DEA" w:rsidRDefault="00296DEA" w14:paraId="7132D7A6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4687FA3C" w14:textId="77777777">
      <w:pPr>
        <w:pStyle w:val="Heading2"/>
      </w:pPr>
      <w:r>
        <w:t>Em geral, o acesso a serviços de interesse geral a preços comportáveis reduz a pressão sobre as pessoas desfavorecidas. Os salários mínimos e as medidas de apoio ao rendimento sujeitas a condição de recursos também contribuem para a proteção destas pessoas. Ao mesmo tempo, é importante evitar efeitos marginais elevados. Importa também desenvolver múltiplas iniciativas junto do público e da sociedade civil, como a defesa de causas e a criação de centros de aconselhamento específicos, estruturas de autoajuda e serviços personalizados.</w:t>
      </w:r>
    </w:p>
    <w:p w:rsidRPr="00F55256" w:rsidR="00296DEA" w:rsidP="00296DEA" w:rsidRDefault="00296DEA" w14:paraId="69979E3F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789EB78B" w14:textId="77777777">
      <w:pPr>
        <w:pStyle w:val="Heading2"/>
      </w:pPr>
      <w:r>
        <w:t>As consequências das medidas de política monetária para travar a inflação, como o aumento das taxas de juro, afetam toda a sociedade. Poderão ser necessárias contramedidas para apoiar alguns segmentos da população, através de recursos públicos. Os subsídios de habitação, os subsídios ao arrendamento e medidas de apoio relacionadas com a energia e os transportes, bem como o aumento do abono de família, são exemplos de medidas de apoio frequentemente utilizadas nos Estados-Membros.</w:t>
      </w:r>
    </w:p>
    <w:p w:rsidRPr="00F55256" w:rsidR="00296DEA" w:rsidP="00296DEA" w:rsidRDefault="00296DEA" w14:paraId="7BF43578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62B44509" w14:textId="77777777">
      <w:pPr>
        <w:pStyle w:val="Heading2"/>
      </w:pPr>
      <w:r>
        <w:t>A redução de determinados impostos pode contrariar a subida generalizada dos preços, tornando a situação menos gravosa. Vários Estados-Membros reduziram os impostos sobre os combustíveis e a energia quando os preços da energia no mercado mundial aumentaram. Muitas das medidas corretivas, como as reduções de impostos e o aumento do apoio público, recaem no âmbito dos orçamentos nacionais. Neste ponto, a reafetação de subsídios contraproducentes e a luta contra a economia informal poderão ajudar.</w:t>
      </w:r>
    </w:p>
    <w:p w:rsidRPr="00F55256" w:rsidR="00296DEA" w:rsidP="00296DEA" w:rsidRDefault="00296DEA" w14:paraId="38C961A2" w14:textId="77777777"/>
    <w:p w:rsidRPr="00EB7CB8" w:rsidR="00296DEA" w:rsidP="00296DEA" w:rsidRDefault="00296DEA" w14:paraId="20B344E4" w14:textId="77777777">
      <w:pPr>
        <w:pStyle w:val="Heading2"/>
      </w:pPr>
      <w:r>
        <w:t>Sempre que se introduzam alterações na tributação ou nos subsídios, é importante estabelecer claramente os objetivos e analisar exaustivamente os impactos, a fim de evitar consequências económicas, sociais ou ambientais indesejadas, nomeadamente para as gerações futuras. Importa evitar a concorrência fiscal desleal, assegurando simultaneamente um ambiente fiscal competitivo, inclusivamente em relação a outros blocos económicos.</w:t>
      </w:r>
    </w:p>
    <w:p w:rsidRPr="00F55256" w:rsidR="00296DEA" w:rsidP="00296DEA" w:rsidRDefault="00296DEA" w14:paraId="1866ABC8" w14:textId="77777777">
      <w:pPr>
        <w:pStyle w:val="Heading2"/>
        <w:numPr>
          <w:ilvl w:val="0"/>
          <w:numId w:val="0"/>
        </w:numPr>
        <w:ind w:left="567" w:hanging="567"/>
      </w:pPr>
    </w:p>
    <w:p w:rsidRPr="00EB7CB8" w:rsidR="00296DEA" w:rsidP="00296DEA" w:rsidRDefault="00296DEA" w14:paraId="35D8E00A" w14:textId="77777777">
      <w:r>
        <w:t>Bruxelas, 17 de julho de 2025</w:t>
      </w:r>
    </w:p>
    <w:p w:rsidRPr="00F55256" w:rsidR="00296DEA" w:rsidP="00296DEA" w:rsidRDefault="00296DEA" w14:paraId="5C17A4F1" w14:textId="77777777"/>
    <w:p w:rsidRPr="00F55256" w:rsidR="00296DEA" w:rsidP="00296DEA" w:rsidRDefault="00296DEA" w14:paraId="121F8C11" w14:textId="77777777"/>
    <w:p w:rsidRPr="00EB7CB8" w:rsidR="00296DEA" w:rsidP="00296DEA" w:rsidRDefault="00296DEA" w14:paraId="5F4D2BD6" w14:textId="77777777">
      <w:pPr>
        <w:rPr>
          <w:i/>
          <w:iCs/>
          <w:szCs w:val="20"/>
        </w:rPr>
      </w:pPr>
      <w:r>
        <w:rPr>
          <w:i/>
        </w:rPr>
        <w:t>O Presidente do Comité Económico e Social Europeu</w:t>
      </w:r>
    </w:p>
    <w:p w:rsidRPr="00EB7CB8" w:rsidR="00E2376B" w:rsidP="00AC1B35" w:rsidRDefault="00AC1B35" w14:paraId="2E978B68" w14:textId="77777777">
      <w:r>
        <w:t>Oliver Röpke</w:t>
      </w:r>
    </w:p>
    <w:p w:rsidRPr="00EB1EC1" w:rsidR="00F53370" w:rsidP="00DB7F50" w:rsidRDefault="00E2376B" w14:paraId="5751E9A9" w14:textId="77777777">
      <w:pPr>
        <w:jc w:val="center"/>
      </w:pPr>
      <w:r>
        <w:t>_____________</w:t>
      </w:r>
    </w:p>
    <w:sectPr w:rsidRPr="00EB1EC1" w:rsidR="00F53370" w:rsidSect="001E74A1">
      <w:headerReference w:type="even" r:id="rId22"/>
      <w:headerReference w:type="default" r:id="rId23"/>
      <w:footerReference w:type="default" r:id="rId24"/>
      <w:headerReference w:type="first" r:id="rId25"/>
      <w:pgSz w:w="11907" w:h="16839" w:code="9"/>
      <w:pgMar w:top="1418" w:right="1418" w:bottom="1418" w:left="1418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BA28F" w14:textId="77777777" w:rsidR="0045106C" w:rsidRDefault="0045106C" w:rsidP="00F53370">
      <w:pPr>
        <w:spacing w:line="240" w:lineRule="auto"/>
      </w:pPr>
      <w:r>
        <w:separator/>
      </w:r>
    </w:p>
  </w:endnote>
  <w:endnote w:type="continuationSeparator" w:id="0">
    <w:p w14:paraId="2C0BE783" w14:textId="77777777" w:rsidR="0045106C" w:rsidRDefault="0045106C" w:rsidP="00F533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8CE85" w14:textId="77777777" w:rsidR="00F45017" w:rsidRDefault="00F45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D3E6D" w14:textId="77777777" w:rsidR="00F45017" w:rsidRDefault="00F450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7821" w14:textId="77777777" w:rsidR="00F45017" w:rsidRDefault="00F4501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54C32" w14:textId="77777777" w:rsidR="00574C9B" w:rsidRDefault="00574C9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1CA0B" w14:textId="03D619B3" w:rsidR="0092705B" w:rsidRPr="003065C9" w:rsidRDefault="00A85168" w:rsidP="00A85168">
    <w:pPr>
      <w:pStyle w:val="Footer"/>
      <w:jc w:val="left"/>
    </w:pPr>
    <w:r>
      <w:t xml:space="preserve">ECO/660 – EESC-2025-00091-00-00-AC-TRA (EN) </w:t>
    </w:r>
    <w:r>
      <w:fldChar w:fldCharType="begin"/>
    </w:r>
    <w:r>
      <w:instrText xml:space="preserve"> PAGE  \* Arabic  \* MERGEFORMAT </w:instrText>
    </w:r>
    <w:r>
      <w:fldChar w:fldCharType="separate"/>
    </w:r>
    <w:r>
      <w:t>10</w:t>
    </w:r>
    <w:r>
      <w:fldChar w:fldCharType="end"/>
    </w:r>
    <w:r>
      <w:t>/</w:t>
    </w:r>
    <w:r>
      <w:fldChar w:fldCharType="begin"/>
    </w:r>
    <w:r>
      <w:instrText xml:space="preserve"> = </w:instrText>
    </w:r>
    <w:r w:rsidR="00C86D9E">
      <w:fldChar w:fldCharType="begin"/>
    </w:r>
    <w:r w:rsidR="00C86D9E">
      <w:instrText xml:space="preserve"> NUMPAGES </w:instrText>
    </w:r>
    <w:r w:rsidR="00C86D9E">
      <w:fldChar w:fldCharType="separate"/>
    </w:r>
    <w:r w:rsidR="00361ED4">
      <w:rPr>
        <w:noProof/>
      </w:rPr>
      <w:instrText>13</w:instrText>
    </w:r>
    <w:r w:rsidR="00C86D9E">
      <w:rPr>
        <w:noProof/>
      </w:rPr>
      <w:fldChar w:fldCharType="end"/>
    </w:r>
    <w:r>
      <w:instrText xml:space="preserve"> - 2 </w:instrText>
    </w:r>
    <w:r>
      <w:fldChar w:fldCharType="separate"/>
    </w:r>
    <w:r w:rsidR="00361ED4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78D10" w14:textId="77777777" w:rsidR="0045106C" w:rsidRDefault="0045106C" w:rsidP="00F53370">
      <w:pPr>
        <w:spacing w:line="240" w:lineRule="auto"/>
      </w:pPr>
      <w:r>
        <w:separator/>
      </w:r>
    </w:p>
  </w:footnote>
  <w:footnote w:type="continuationSeparator" w:id="0">
    <w:p w14:paraId="2DDBD41B" w14:textId="77777777" w:rsidR="0045106C" w:rsidRDefault="0045106C" w:rsidP="00F53370">
      <w:pPr>
        <w:spacing w:line="240" w:lineRule="auto"/>
      </w:pPr>
      <w:r>
        <w:continuationSeparator/>
      </w:r>
    </w:p>
  </w:footnote>
  <w:footnote w:id="1">
    <w:p w14:paraId="6D313479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 xml:space="preserve">Parecer do CESE – </w:t>
      </w:r>
      <w:hyperlink r:id="rId1" w:history="1">
        <w:r>
          <w:rPr>
            <w:rStyle w:val="Hyperlink"/>
          </w:rPr>
          <w:t>Reindustrialização da Europa – Oportunidades para as empresas, os trabalhadores e os cidadãos no contexto da crise do custo de vida</w:t>
        </w:r>
      </w:hyperlink>
      <w:r>
        <w:t xml:space="preserve"> (ainda não publicado no Jornal Oficial), Parecer do CESE – </w:t>
      </w:r>
      <w:hyperlink r:id="rId2" w:history="1">
        <w:r>
          <w:rPr>
            <w:rStyle w:val="Hyperlink"/>
          </w:rPr>
          <w:t>Deixar as crises para trás – Medidas para uma economia europeia resiliente, coesa e inclusiva</w:t>
        </w:r>
      </w:hyperlink>
      <w:r>
        <w:t xml:space="preserve">, JO C, C/2025/3195, 2.7.2025, ELI: </w:t>
      </w:r>
      <w:hyperlink r:id="rId3" w:history="1">
        <w:r>
          <w:rPr>
            <w:rStyle w:val="Hyperlink"/>
          </w:rPr>
          <w:t>http://data.europa.eu/eli/C/2025/3195/oj</w:t>
        </w:r>
      </w:hyperlink>
      <w:r>
        <w:t xml:space="preserve">, Parecer do CESE – </w:t>
      </w:r>
      <w:hyperlink r:id="rId4" w:history="1">
        <w:r>
          <w:rPr>
            <w:rStyle w:val="Hyperlink"/>
          </w:rPr>
          <w:t>Impacto das disfuncionalidades do mercado único no agravamento do custo de vida</w:t>
        </w:r>
      </w:hyperlink>
      <w:r>
        <w:t xml:space="preserve">, JO C, C/2025/3189, 2.7.2025, ELI: </w:t>
      </w:r>
      <w:hyperlink r:id="rId5" w:history="1">
        <w:r>
          <w:rPr>
            <w:rStyle w:val="Hyperlink"/>
          </w:rPr>
          <w:t>http://data.europa.eu/eli/C/2025/3189/oj</w:t>
        </w:r>
      </w:hyperlink>
      <w:r>
        <w:t xml:space="preserve">, Parecer do CESE – </w:t>
      </w:r>
      <w:hyperlink r:id="rId6" w:history="1">
        <w:r>
          <w:rPr>
            <w:rStyle w:val="Hyperlink"/>
          </w:rPr>
          <w:t>Eliminar progressivamente as subvenções aos combustíveis fósseis e, ao mesmo tempo, assegurar a competitividade europeia, atenuar a crise do custo de vida e promover uma transição justa</w:t>
        </w:r>
      </w:hyperlink>
      <w:r>
        <w:t xml:space="preserve"> JO C, C/2025/3191, 2.7.2025, ELI: </w:t>
      </w:r>
      <w:hyperlink r:id="rId7" w:history="1">
        <w:r>
          <w:rPr>
            <w:rStyle w:val="Hyperlink"/>
          </w:rPr>
          <w:t>http://data.europa.eu/eli/C/2025/3191/oj</w:t>
        </w:r>
      </w:hyperlink>
      <w:r>
        <w:t xml:space="preserve">, Parecer do CESE – </w:t>
      </w:r>
      <w:hyperlink r:id="rId8" w:history="1">
        <w:r>
          <w:rPr>
            <w:rStyle w:val="Hyperlink"/>
          </w:rPr>
          <w:t>Fragmentação das cadeias de abastecimento e impacto no custo de vida</w:t>
        </w:r>
      </w:hyperlink>
      <w:r>
        <w:t xml:space="preserve"> (ainda não publicado no Jornal Oficial), Parecer do CESE – </w:t>
      </w:r>
      <w:hyperlink r:id="rId9" w:history="1">
        <w:r>
          <w:rPr>
            <w:rStyle w:val="Hyperlink"/>
          </w:rPr>
          <w:t>Como fazer face à perda de poder de compra e ao risco de aumento das desigualdades, da exclusão e da marginalização</w:t>
        </w:r>
      </w:hyperlink>
      <w:r>
        <w:t xml:space="preserve"> (ainda não publicado no Jornal Oficial), Parecer do CESE – </w:t>
      </w:r>
      <w:hyperlink r:id="rId10" w:history="1">
        <w:r>
          <w:rPr>
            <w:rStyle w:val="Hyperlink"/>
          </w:rPr>
          <w:t>Aumento dos preços dos transportes, da energia e da habitação: a importância de serviços públicos de qualidade para combater o custo de vida elevado</w:t>
        </w:r>
      </w:hyperlink>
      <w:r>
        <w:t xml:space="preserve"> JO C, C/2025/3192, 2.7.2025, ELI: </w:t>
      </w:r>
      <w:hyperlink r:id="rId11" w:history="1">
        <w:r>
          <w:rPr>
            <w:rStyle w:val="Hyperlink"/>
          </w:rPr>
          <w:t>http://data.europa.eu/eli/C/2025/3192/oj</w:t>
        </w:r>
      </w:hyperlink>
      <w:r>
        <w:t>.</w:t>
      </w:r>
    </w:p>
  </w:footnote>
  <w:footnote w:id="2">
    <w:p w14:paraId="13B6EF16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 xml:space="preserve">Parecer do CESE – </w:t>
      </w:r>
      <w:hyperlink r:id="rId12" w:history="1">
        <w:r>
          <w:rPr>
            <w:rStyle w:val="Hyperlink"/>
          </w:rPr>
          <w:t>Recomendações da sociedade civil organizada para fazer face à crise do custo de vida</w:t>
        </w:r>
      </w:hyperlink>
      <w:r>
        <w:t xml:space="preserve"> (ainda não publicado no Jornal Oficial).</w:t>
      </w:r>
    </w:p>
  </w:footnote>
  <w:footnote w:id="3">
    <w:p w14:paraId="6BFECC79" w14:textId="77777777" w:rsidR="00296DEA" w:rsidRPr="00F55256" w:rsidRDefault="00296DEA" w:rsidP="00296DEA">
      <w:pPr>
        <w:pStyle w:val="FootnoteText"/>
        <w:rPr>
          <w:lang w:val="fi-FI"/>
        </w:rPr>
      </w:pPr>
      <w:r>
        <w:rPr>
          <w:rStyle w:val="FootnoteReference"/>
        </w:rPr>
        <w:footnoteRef/>
      </w:r>
      <w:r w:rsidRPr="00F55256">
        <w:rPr>
          <w:lang w:val="fi-FI"/>
        </w:rPr>
        <w:tab/>
        <w:t xml:space="preserve">JO C, C/2025/1187, 21.3.2025, ELI: </w:t>
      </w:r>
      <w:hyperlink r:id="rId13" w:history="1">
        <w:r w:rsidRPr="00F55256">
          <w:rPr>
            <w:rStyle w:val="Hyperlink"/>
            <w:lang w:val="fi-FI"/>
          </w:rPr>
          <w:t>http://data.europa.eu/eli/C/2025/1187/oj</w:t>
        </w:r>
      </w:hyperlink>
      <w:r w:rsidRPr="00F55256">
        <w:rPr>
          <w:lang w:val="fi-FI"/>
        </w:rPr>
        <w:t>.</w:t>
      </w:r>
    </w:p>
  </w:footnote>
  <w:footnote w:id="4">
    <w:p w14:paraId="28F7219D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 xml:space="preserve">Documento de trabalho dos serviços da Comissão, 2025 – «Report on the euro area accompanying the document Recommendation for a Council Recommendation on the economic policy of the euro area» – Recomendação de recomendação do Conselho sobre a política económica da área do euro, </w:t>
      </w:r>
      <w:hyperlink r:id="rId14" w:history="1">
        <w:r>
          <w:rPr>
            <w:rStyle w:val="Hyperlink"/>
          </w:rPr>
          <w:t>COM(2024) 704 final</w:t>
        </w:r>
      </w:hyperlink>
      <w:r>
        <w:t>.</w:t>
      </w:r>
    </w:p>
  </w:footnote>
  <w:footnote w:id="5">
    <w:p w14:paraId="2BD14DFE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>Estudo do Banco Central Europeu sobre a inflação, 2023.</w:t>
      </w:r>
    </w:p>
  </w:footnote>
  <w:footnote w:id="6">
    <w:p w14:paraId="17A9C777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 xml:space="preserve">A forte dinâmica dos mercados de trabalho sustentou os rendimentos e o consumo na recuperação após a pandemia. A taxa de desemprego estabilizou ao nível historicamente baixo de 6,3% em outubro de 2024 e a taxa de emprego atingiu um novo máximo histórico em 2024, chegando aos 75,3%. </w:t>
      </w:r>
      <w:r>
        <w:rPr>
          <w:i/>
        </w:rPr>
        <w:t>Op. cit.</w:t>
      </w:r>
      <w:r>
        <w:t>, p. 9.</w:t>
      </w:r>
    </w:p>
  </w:footnote>
  <w:footnote w:id="7">
    <w:p w14:paraId="6755F0ED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 xml:space="preserve">Segundo a análise anual de 2024 da Comissão sobre a </w:t>
      </w:r>
      <w:hyperlink r:id="rId15" w:history="1">
        <w:r>
          <w:rPr>
            <w:rStyle w:val="Hyperlink"/>
          </w:rPr>
          <w:t>evolução do mercado de trabalho e dos salários na Europa</w:t>
        </w:r>
      </w:hyperlink>
      <w:r>
        <w:t>, os salários reais diminuíram cerca de 2% desde o primeiro ano da pandemia, em 2020.</w:t>
      </w:r>
    </w:p>
  </w:footnote>
  <w:footnote w:id="8">
    <w:p w14:paraId="6708A5FD" w14:textId="77777777" w:rsidR="00296DEA" w:rsidRPr="00F55256" w:rsidRDefault="00296DEA" w:rsidP="00296DEA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F55256">
        <w:rPr>
          <w:lang w:val="nl-NL"/>
        </w:rPr>
        <w:tab/>
      </w:r>
      <w:r w:rsidRPr="00F55256">
        <w:rPr>
          <w:i/>
          <w:lang w:val="nl-NL"/>
        </w:rPr>
        <w:t>Op. cit.</w:t>
      </w:r>
      <w:r w:rsidRPr="00F55256">
        <w:rPr>
          <w:lang w:val="nl-NL"/>
        </w:rPr>
        <w:t>, p. 13.</w:t>
      </w:r>
    </w:p>
  </w:footnote>
  <w:footnote w:id="9">
    <w:p w14:paraId="51D4B858" w14:textId="77777777" w:rsidR="00296DEA" w:rsidRPr="00F55256" w:rsidRDefault="00296DEA" w:rsidP="00296DEA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F55256">
        <w:rPr>
          <w:lang w:val="nl-NL"/>
        </w:rPr>
        <w:tab/>
      </w:r>
      <w:r w:rsidRPr="00F55256">
        <w:rPr>
          <w:i/>
          <w:lang w:val="nl-NL"/>
        </w:rPr>
        <w:t>Op. cit.</w:t>
      </w:r>
      <w:r w:rsidRPr="00F55256">
        <w:rPr>
          <w:lang w:val="nl-NL"/>
        </w:rPr>
        <w:t>, p. 13.</w:t>
      </w:r>
    </w:p>
  </w:footnote>
  <w:footnote w:id="10">
    <w:p w14:paraId="68B0F536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</w:r>
      <w:r>
        <w:rPr>
          <w:i/>
        </w:rPr>
        <w:t>Op. cit.</w:t>
      </w:r>
      <w:r>
        <w:t>, p. 14.</w:t>
      </w:r>
    </w:p>
  </w:footnote>
  <w:footnote w:id="11">
    <w:p w14:paraId="67BC1260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>O aumento das tarifas e dos direitos aduaneiros pode acarretar preços mais elevados para os consumidores.</w:t>
      </w:r>
    </w:p>
  </w:footnote>
  <w:footnote w:id="12">
    <w:p w14:paraId="3519CD15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 xml:space="preserve">Para os motivos subjacentes à evolução dos custos da habitação, consulte-se o Parecer do CESE – </w:t>
      </w:r>
      <w:hyperlink r:id="rId16" w:history="1">
        <w:r>
          <w:rPr>
            <w:rStyle w:val="Hyperlink"/>
          </w:rPr>
          <w:t>Habitação social na UE – Digna, sustentável e acessível</w:t>
        </w:r>
      </w:hyperlink>
      <w:r>
        <w:t xml:space="preserve">, JO C, C/2025/771, 11.2.2025, ELI: </w:t>
      </w:r>
      <w:hyperlink r:id="rId17" w:history="1">
        <w:r>
          <w:rPr>
            <w:rStyle w:val="Hyperlink"/>
          </w:rPr>
          <w:t>http://data.europa.eu/eli/C/2025/771/oj</w:t>
        </w:r>
      </w:hyperlink>
      <w:r>
        <w:t>.</w:t>
      </w:r>
    </w:p>
  </w:footnote>
  <w:footnote w:id="13">
    <w:p w14:paraId="39DD8129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 xml:space="preserve">Ver o </w:t>
      </w:r>
      <w:hyperlink r:id="rId18" w:history="1">
        <w:r>
          <w:rPr>
            <w:rStyle w:val="Hyperlink"/>
          </w:rPr>
          <w:t>Relatório Letta</w:t>
        </w:r>
      </w:hyperlink>
      <w:r>
        <w:t>, 2024.</w:t>
      </w:r>
    </w:p>
  </w:footnote>
  <w:footnote w:id="14">
    <w:p w14:paraId="01B0D645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>Os serviços podem ser prestados por entidades públicas ou privadas. Por exemplo, em muitos Estados-Membros, existem prestadores privados que prestam serviços de saúde (médicos privados), de educação, etc., que são financiados por recursos públicos.</w:t>
      </w:r>
    </w:p>
  </w:footnote>
  <w:footnote w:id="15">
    <w:p w14:paraId="7818B668" w14:textId="77777777" w:rsidR="00296DEA" w:rsidRPr="000C655F" w:rsidRDefault="00296DEA" w:rsidP="00296DEA">
      <w:pPr>
        <w:pStyle w:val="FootnoteText"/>
        <w:rPr>
          <w:szCs w:val="16"/>
        </w:rPr>
      </w:pPr>
      <w:r>
        <w:rPr>
          <w:rStyle w:val="FootnoteReference"/>
        </w:rPr>
        <w:footnoteRef/>
      </w:r>
      <w:r>
        <w:tab/>
        <w:t xml:space="preserve">Ver o Parecer de Iniciativa do CESE – Cocriação de serviços de interesse geral como contributo para uma democracia mais participativa na UE, </w:t>
      </w:r>
      <w:hyperlink r:id="rId19" w:history="1">
        <w:r>
          <w:rPr>
            <w:rStyle w:val="Hyperlink"/>
          </w:rPr>
          <w:t>JO C 486, 21.12.2022, p. 76</w:t>
        </w:r>
      </w:hyperlink>
      <w:r>
        <w:t>.</w:t>
      </w:r>
    </w:p>
  </w:footnote>
  <w:footnote w:id="16">
    <w:p w14:paraId="671AAD77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 xml:space="preserve">Ver, por exemplo, o Parecer do CESE – </w:t>
      </w:r>
      <w:hyperlink r:id="rId20" w:history="1">
        <w:r>
          <w:rPr>
            <w:rStyle w:val="Hyperlink"/>
          </w:rPr>
          <w:t>O futuro do abastecimento e dos preços da eletricidade na UE</w:t>
        </w:r>
      </w:hyperlink>
      <w:r>
        <w:t xml:space="preserve">, JO C, C/2025/1187, 21.3.2025, ELI: </w:t>
      </w:r>
      <w:hyperlink r:id="rId21" w:history="1">
        <w:r>
          <w:rPr>
            <w:rStyle w:val="Hyperlink"/>
          </w:rPr>
          <w:t>http://data.europa.eu/eli/C/2025/1187/oj</w:t>
        </w:r>
      </w:hyperlink>
      <w:r>
        <w:t>.</w:t>
      </w:r>
    </w:p>
  </w:footnote>
  <w:footnote w:id="17">
    <w:p w14:paraId="057D9E8D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 xml:space="preserve">Plano de Ação para Energia a Preços Acessíveis – Tirar partido do verdadeiro valor da União da Energia para garantir energia a preços acessíveis, eficiente e limpa para todos os europeus, </w:t>
      </w:r>
      <w:hyperlink r:id="rId22" w:history="1">
        <w:r>
          <w:rPr>
            <w:rStyle w:val="Hyperlink"/>
          </w:rPr>
          <w:t>COM(2025) 79 final</w:t>
        </w:r>
      </w:hyperlink>
      <w:r>
        <w:t>.</w:t>
      </w:r>
    </w:p>
  </w:footnote>
  <w:footnote w:id="18">
    <w:p w14:paraId="3F38456A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 xml:space="preserve">Ver o </w:t>
      </w:r>
      <w:hyperlink r:id="rId23" w:history="1">
        <w:r>
          <w:rPr>
            <w:rStyle w:val="Hyperlink"/>
          </w:rPr>
          <w:t>Relatório Letta</w:t>
        </w:r>
      </w:hyperlink>
      <w:r>
        <w:t>, 2024.</w:t>
      </w:r>
    </w:p>
  </w:footnote>
  <w:footnote w:id="19">
    <w:p w14:paraId="6CCBC434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 xml:space="preserve">Segundo a base de dados AMECO, em 2023, o PIB europeu </w:t>
      </w:r>
      <w:r>
        <w:rPr>
          <w:i/>
        </w:rPr>
        <w:t>per capita</w:t>
      </w:r>
      <w:r>
        <w:t xml:space="preserve"> em paridades de poder de compra por hora trabalhada representava 77,8% do dos EUA.</w:t>
      </w:r>
    </w:p>
  </w:footnote>
  <w:footnote w:id="20">
    <w:p w14:paraId="6032F0C8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  <w:t xml:space="preserve">Uma vez que as empresas europeias investem significativamente menos em investigação e desenvolvimento do que as suas homólogas nos EUA e na China, o CESE salienta a necessidade de aumentar o rácio de investimento. (Ver Parlamento Europeu, </w:t>
      </w:r>
      <w:r>
        <w:rPr>
          <w:i/>
        </w:rPr>
        <w:t>Ten issues to watch in 2025</w:t>
      </w:r>
      <w:r>
        <w:t>, página 6.)</w:t>
      </w:r>
    </w:p>
  </w:footnote>
  <w:footnote w:id="21">
    <w:p w14:paraId="1D4C0618" w14:textId="77777777" w:rsidR="00296DEA" w:rsidRPr="000C655F" w:rsidRDefault="00296DEA" w:rsidP="00296DEA">
      <w:pPr>
        <w:pStyle w:val="FootnoteText"/>
      </w:pPr>
      <w:r>
        <w:rPr>
          <w:rStyle w:val="FootnoteReference"/>
        </w:rPr>
        <w:footnoteRef/>
      </w:r>
      <w:r>
        <w:tab/>
      </w:r>
      <w:r>
        <w:rPr>
          <w:i/>
        </w:rPr>
        <w:t>Op. cit.</w:t>
      </w:r>
      <w:r>
        <w:t>, p. 38.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1836" w14:textId="77777777" w:rsidR="00574C9B" w:rsidRDefault="00C86D9E">
    <w:pPr>
      <w:pStyle w:val="Header"/>
    </w:pPr>
    <w:r>
      <w:pict w14:anchorId="56F17A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16" o:spid="_x0000_s2060" type="#_x0000_t75" style="position:absolute;left:0;text-align:left;margin-left:0;margin-top:0;width:595.2pt;height:841.9pt;z-index:-251649024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EEEEF" w14:textId="37DB6CCF" w:rsidR="00574C9B" w:rsidRDefault="00755626">
    <w:pPr>
      <w:pStyle w:val="Head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5A6CAC17" wp14:editId="1F270AF0">
          <wp:simplePos x="0" y="0"/>
          <wp:positionH relativeFrom="page">
            <wp:align>center</wp:align>
          </wp:positionH>
          <wp:positionV relativeFrom="page">
            <wp:posOffset>288290</wp:posOffset>
          </wp:positionV>
          <wp:extent cx="6944360" cy="3343275"/>
          <wp:effectExtent l="0" t="0" r="8890" b="9525"/>
          <wp:wrapNone/>
          <wp:docPr id="1" name="Picture 1" title="EESCLogo2021_P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title="EESCLogo2021_P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4360" cy="334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6D9E">
      <w:pict w14:anchorId="08FAD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17" o:spid="_x0000_s2061" type="#_x0000_t75" style="position:absolute;left:0;text-align:left;margin-left:0;margin-top:0;width:595.2pt;height:841.9pt;z-index:-251648000;mso-position-horizontal:center;mso-position-horizontal-relative:page;mso-position-vertical:top;mso-position-vertical-relative:page" o:allowincell="f">
          <v:imagedata r:id="rId2" o:title="footer only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52353" w14:textId="77777777" w:rsidR="00574C9B" w:rsidRDefault="00C86D9E">
    <w:pPr>
      <w:pStyle w:val="Header"/>
    </w:pPr>
    <w:r>
      <w:pict w14:anchorId="21C6FE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15" o:spid="_x0000_s2059" type="#_x0000_t75" style="position:absolute;left:0;text-align:left;margin-left:0;margin-top:0;width:595.2pt;height:841.9pt;z-index:-251650048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36BC0" w14:textId="77777777" w:rsidR="00574C9B" w:rsidRDefault="00C86D9E">
    <w:pPr>
      <w:pStyle w:val="Header"/>
    </w:pPr>
    <w:r>
      <w:pict w14:anchorId="6A2E72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19" o:spid="_x0000_s2063" type="#_x0000_t75" style="position:absolute;left:0;text-align:left;margin-left:0;margin-top:0;width:595.2pt;height:841.9pt;z-index:-251645952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BA23" w14:textId="77777777" w:rsidR="00574C9B" w:rsidRDefault="00C86D9E">
    <w:pPr>
      <w:pStyle w:val="Header"/>
    </w:pPr>
    <w:r>
      <w:pict w14:anchorId="12DF55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20" o:spid="_x0000_s2064" type="#_x0000_t75" style="position:absolute;left:0;text-align:left;margin-left:0;margin-top:0;width:595.2pt;height:841.9pt;z-index:-251644928;visibility:hidden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  <w:r w:rsidR="00755626">
      <w:rPr>
        <w:noProof/>
      </w:rPr>
      <w:drawing>
        <wp:anchor distT="0" distB="0" distL="114300" distR="114300" simplePos="0" relativeHeight="251662336" behindDoc="1" locked="0" layoutInCell="1" allowOverlap="1" wp14:anchorId="1CE8CCEA" wp14:editId="2A09E8A7">
          <wp:simplePos x="0" y="0"/>
          <wp:positionH relativeFrom="page">
            <wp:posOffset>-10571</wp:posOffset>
          </wp:positionH>
          <wp:positionV relativeFrom="page">
            <wp:posOffset>-221993</wp:posOffset>
          </wp:positionV>
          <wp:extent cx="7581265" cy="10898802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ackground (footer) rect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107" cy="10904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E75F6" w14:textId="77777777" w:rsidR="00574C9B" w:rsidRDefault="00C86D9E">
    <w:pPr>
      <w:pStyle w:val="Header"/>
    </w:pPr>
    <w:r>
      <w:pict w14:anchorId="592F18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18" o:spid="_x0000_s2062" type="#_x0000_t75" style="position:absolute;left:0;text-align:left;margin-left:0;margin-top:0;width:595.2pt;height:841.9pt;z-index:-251646976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8B980" w14:textId="77777777" w:rsidR="004871B8" w:rsidRDefault="00C86D9E">
    <w:pPr>
      <w:pStyle w:val="Header"/>
    </w:pPr>
    <w:r>
      <w:pict w14:anchorId="7ED070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22" o:spid="_x0000_s2066" type="#_x0000_t75" style="position:absolute;left:0;text-align:left;margin-left:0;margin-top:0;width:595.2pt;height:841.9pt;z-index:-251642880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2EDE" w14:textId="77777777" w:rsidR="0092705B" w:rsidRDefault="00C86D9E">
    <w:pPr>
      <w:pStyle w:val="Header"/>
    </w:pPr>
    <w:r>
      <w:pict w14:anchorId="1D71A4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23" o:spid="_x0000_s2067" type="#_x0000_t75" style="position:absolute;left:0;text-align:left;margin-left:0;margin-top:0;width:595.2pt;height:841.9pt;z-index:-251641856;visibility:hidden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92E9" w14:textId="77777777" w:rsidR="004871B8" w:rsidRDefault="00C86D9E">
    <w:pPr>
      <w:pStyle w:val="Header"/>
    </w:pPr>
    <w:r>
      <w:pict w14:anchorId="2BB22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04021" o:spid="_x0000_s2065" type="#_x0000_t75" style="position:absolute;left:0;text-align:left;margin-left:0;margin-top:0;width:595.2pt;height:841.9pt;z-index:-251643904;mso-position-horizontal:center;mso-position-horizontal-relative:margin;mso-position-vertical:center;mso-position-vertical-relative:margin" o:allowincell="f">
          <v:imagedata r:id="rId1" o:title="footer onl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2DDCE010"/>
    <w:lvl w:ilvl="0">
      <w:start w:val="1"/>
      <w:numFmt w:val="decimal"/>
      <w:pStyle w:val="Heading1"/>
      <w:lvlText w:val="%1."/>
      <w:legacy w:legacy="1" w:legacySpace="0" w:legacyIndent="0"/>
      <w:lvlJc w:val="left"/>
      <w:rPr>
        <w:b w:val="0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70"/>
    <w:rsid w:val="000045CF"/>
    <w:rsid w:val="00020389"/>
    <w:rsid w:val="00053D00"/>
    <w:rsid w:val="000A0F3B"/>
    <w:rsid w:val="000A58EB"/>
    <w:rsid w:val="000E5E03"/>
    <w:rsid w:val="001119FD"/>
    <w:rsid w:val="00115651"/>
    <w:rsid w:val="00120A8D"/>
    <w:rsid w:val="00153981"/>
    <w:rsid w:val="00185E99"/>
    <w:rsid w:val="0019231D"/>
    <w:rsid w:val="001955B6"/>
    <w:rsid w:val="001A6116"/>
    <w:rsid w:val="001C608D"/>
    <w:rsid w:val="001D1DAC"/>
    <w:rsid w:val="001D61AC"/>
    <w:rsid w:val="001E15AA"/>
    <w:rsid w:val="001E3FA1"/>
    <w:rsid w:val="001E454D"/>
    <w:rsid w:val="00200E87"/>
    <w:rsid w:val="00206D14"/>
    <w:rsid w:val="00214BDC"/>
    <w:rsid w:val="00215E81"/>
    <w:rsid w:val="0024727F"/>
    <w:rsid w:val="00270E59"/>
    <w:rsid w:val="00282E54"/>
    <w:rsid w:val="00292393"/>
    <w:rsid w:val="00296DEA"/>
    <w:rsid w:val="002B6A7B"/>
    <w:rsid w:val="002C03B2"/>
    <w:rsid w:val="002F3E4A"/>
    <w:rsid w:val="003353D7"/>
    <w:rsid w:val="00361ED4"/>
    <w:rsid w:val="003659F9"/>
    <w:rsid w:val="00365AA3"/>
    <w:rsid w:val="00401DE5"/>
    <w:rsid w:val="004051F7"/>
    <w:rsid w:val="0045106C"/>
    <w:rsid w:val="00461CAF"/>
    <w:rsid w:val="004871B8"/>
    <w:rsid w:val="00492082"/>
    <w:rsid w:val="004B7BE9"/>
    <w:rsid w:val="004F2801"/>
    <w:rsid w:val="004F3B80"/>
    <w:rsid w:val="00512B61"/>
    <w:rsid w:val="00574C9B"/>
    <w:rsid w:val="0058411F"/>
    <w:rsid w:val="005961A4"/>
    <w:rsid w:val="005C530F"/>
    <w:rsid w:val="006125A1"/>
    <w:rsid w:val="00650620"/>
    <w:rsid w:val="00653E7D"/>
    <w:rsid w:val="00662207"/>
    <w:rsid w:val="00667F09"/>
    <w:rsid w:val="00686424"/>
    <w:rsid w:val="006B57A6"/>
    <w:rsid w:val="006B6A29"/>
    <w:rsid w:val="006C0EAF"/>
    <w:rsid w:val="006D53A6"/>
    <w:rsid w:val="006D71A2"/>
    <w:rsid w:val="006F1FBB"/>
    <w:rsid w:val="00731542"/>
    <w:rsid w:val="00755626"/>
    <w:rsid w:val="00787837"/>
    <w:rsid w:val="00787ABB"/>
    <w:rsid w:val="007B1355"/>
    <w:rsid w:val="007B6C64"/>
    <w:rsid w:val="00822952"/>
    <w:rsid w:val="00836505"/>
    <w:rsid w:val="00837061"/>
    <w:rsid w:val="00844B87"/>
    <w:rsid w:val="0085558C"/>
    <w:rsid w:val="00867C81"/>
    <w:rsid w:val="0089251B"/>
    <w:rsid w:val="008A6DD4"/>
    <w:rsid w:val="008F74D7"/>
    <w:rsid w:val="00904C42"/>
    <w:rsid w:val="00914683"/>
    <w:rsid w:val="00924C05"/>
    <w:rsid w:val="0092705B"/>
    <w:rsid w:val="00937CF2"/>
    <w:rsid w:val="00976645"/>
    <w:rsid w:val="00976F77"/>
    <w:rsid w:val="0098228C"/>
    <w:rsid w:val="009832C7"/>
    <w:rsid w:val="009D1DE9"/>
    <w:rsid w:val="009E2100"/>
    <w:rsid w:val="00A21F3B"/>
    <w:rsid w:val="00A310E1"/>
    <w:rsid w:val="00A36AB0"/>
    <w:rsid w:val="00A85168"/>
    <w:rsid w:val="00AB37A3"/>
    <w:rsid w:val="00AB6D77"/>
    <w:rsid w:val="00AC1B35"/>
    <w:rsid w:val="00AC5114"/>
    <w:rsid w:val="00B06C93"/>
    <w:rsid w:val="00B25683"/>
    <w:rsid w:val="00B35B72"/>
    <w:rsid w:val="00B51901"/>
    <w:rsid w:val="00BC4FD4"/>
    <w:rsid w:val="00BD50F6"/>
    <w:rsid w:val="00C073E1"/>
    <w:rsid w:val="00C25647"/>
    <w:rsid w:val="00C27A3D"/>
    <w:rsid w:val="00C532E5"/>
    <w:rsid w:val="00C66AEA"/>
    <w:rsid w:val="00C76BA9"/>
    <w:rsid w:val="00C84A18"/>
    <w:rsid w:val="00C86D9E"/>
    <w:rsid w:val="00C9040A"/>
    <w:rsid w:val="00C91E4D"/>
    <w:rsid w:val="00CB110A"/>
    <w:rsid w:val="00CB7CD0"/>
    <w:rsid w:val="00CD6739"/>
    <w:rsid w:val="00D039AF"/>
    <w:rsid w:val="00D13128"/>
    <w:rsid w:val="00D821E4"/>
    <w:rsid w:val="00D95232"/>
    <w:rsid w:val="00DA2458"/>
    <w:rsid w:val="00DA2D12"/>
    <w:rsid w:val="00DB7F50"/>
    <w:rsid w:val="00DE30C7"/>
    <w:rsid w:val="00DF3E1D"/>
    <w:rsid w:val="00DF400F"/>
    <w:rsid w:val="00DF48E2"/>
    <w:rsid w:val="00E15BF4"/>
    <w:rsid w:val="00E2376B"/>
    <w:rsid w:val="00E26935"/>
    <w:rsid w:val="00E27707"/>
    <w:rsid w:val="00E333C8"/>
    <w:rsid w:val="00E52B04"/>
    <w:rsid w:val="00E661B7"/>
    <w:rsid w:val="00E90A9D"/>
    <w:rsid w:val="00EB1EC1"/>
    <w:rsid w:val="00EB7CB8"/>
    <w:rsid w:val="00F2069F"/>
    <w:rsid w:val="00F45017"/>
    <w:rsid w:val="00F51EF6"/>
    <w:rsid w:val="00F53370"/>
    <w:rsid w:val="00F55256"/>
    <w:rsid w:val="00F90BE2"/>
    <w:rsid w:val="00FB1831"/>
    <w:rsid w:val="00FB1D7A"/>
    <w:rsid w:val="00FC0CEA"/>
    <w:rsid w:val="00FC2E0D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."/>
  <w:listSeparator w:val=","/>
  <w14:docId w14:val="5E285DEE"/>
  <w15:chartTrackingRefBased/>
  <w15:docId w15:val="{D381F634-0C15-4454-8DBD-75C4E885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C9B"/>
    <w:pPr>
      <w:spacing w:after="0" w:line="288" w:lineRule="auto"/>
      <w:jc w:val="both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53370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F53370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F53370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F53370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F53370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53370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F53370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F53370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F53370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3370"/>
    <w:rPr>
      <w:rFonts w:ascii="Times New Roman" w:eastAsia="Times New Roman" w:hAnsi="Times New Roman" w:cs="Times New Roman"/>
      <w:kern w:val="28"/>
    </w:rPr>
  </w:style>
  <w:style w:type="character" w:customStyle="1" w:styleId="Heading2Char">
    <w:name w:val="Heading 2 Char"/>
    <w:basedOn w:val="DefaultParagraphFont"/>
    <w:link w:val="Heading2"/>
    <w:rsid w:val="00F53370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rsid w:val="00F53370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F53370"/>
    <w:rPr>
      <w:rFonts w:ascii="Times New Roman" w:eastAsia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rsid w:val="00F53370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rsid w:val="00F53370"/>
    <w:rPr>
      <w:rFonts w:ascii="Times New Roman" w:eastAsia="Times New Roman" w:hAnsi="Times New Roman" w:cs="Times New Roman"/>
    </w:rPr>
  </w:style>
  <w:style w:type="character" w:customStyle="1" w:styleId="Heading7Char">
    <w:name w:val="Heading 7 Char"/>
    <w:basedOn w:val="DefaultParagraphFont"/>
    <w:link w:val="Heading7"/>
    <w:rsid w:val="00F53370"/>
    <w:rPr>
      <w:rFonts w:ascii="Times New Roman" w:eastAsia="Times New Roman" w:hAnsi="Times New Roman" w:cs="Times New Roman"/>
    </w:rPr>
  </w:style>
  <w:style w:type="character" w:customStyle="1" w:styleId="Heading8Char">
    <w:name w:val="Heading 8 Char"/>
    <w:basedOn w:val="DefaultParagraphFont"/>
    <w:link w:val="Heading8"/>
    <w:rsid w:val="00F53370"/>
    <w:rPr>
      <w:rFonts w:ascii="Times New Roman" w:eastAsia="Times New Roman" w:hAnsi="Times New Roman" w:cs="Times New Roman"/>
    </w:rPr>
  </w:style>
  <w:style w:type="character" w:customStyle="1" w:styleId="Heading9Char">
    <w:name w:val="Heading 9 Char"/>
    <w:basedOn w:val="DefaultParagraphFont"/>
    <w:link w:val="Heading9"/>
    <w:rsid w:val="00F5337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qFormat/>
    <w:rsid w:val="00F53370"/>
  </w:style>
  <w:style w:type="character" w:customStyle="1" w:styleId="FooterChar">
    <w:name w:val="Footer Char"/>
    <w:basedOn w:val="DefaultParagraphFont"/>
    <w:link w:val="Footer"/>
    <w:rsid w:val="00F53370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qFormat/>
    <w:rsid w:val="00F53370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qFormat/>
    <w:rsid w:val="00F53370"/>
    <w:rPr>
      <w:rFonts w:ascii="Times New Roman" w:eastAsia="Times New Roman" w:hAnsi="Times New Roman" w:cs="Times New Roman"/>
      <w:sz w:val="16"/>
    </w:rPr>
  </w:style>
  <w:style w:type="paragraph" w:styleId="Header">
    <w:name w:val="header"/>
    <w:basedOn w:val="Normal"/>
    <w:link w:val="HeaderChar"/>
    <w:qFormat/>
    <w:rsid w:val="00F53370"/>
  </w:style>
  <w:style w:type="character" w:customStyle="1" w:styleId="HeaderChar">
    <w:name w:val="Header Char"/>
    <w:basedOn w:val="DefaultParagraphFont"/>
    <w:link w:val="Header"/>
    <w:rsid w:val="00F53370"/>
    <w:rPr>
      <w:rFonts w:ascii="Times New Roman" w:eastAsia="Times New Roman" w:hAnsi="Times New Roman" w:cs="Times New Roman"/>
    </w:rPr>
  </w:style>
  <w:style w:type="paragraph" w:customStyle="1" w:styleId="quotes">
    <w:name w:val="quotes"/>
    <w:basedOn w:val="Normal"/>
    <w:next w:val="Normal"/>
    <w:rsid w:val="00F53370"/>
    <w:pPr>
      <w:ind w:left="720"/>
    </w:pPr>
    <w:rPr>
      <w:i/>
    </w:rPr>
  </w:style>
  <w:style w:type="character" w:styleId="FootnoteReference">
    <w:name w:val="footnote reference"/>
    <w:aliases w:val="Footnote symbol"/>
    <w:basedOn w:val="DefaultParagraphFont"/>
    <w:unhideWhenUsed/>
    <w:qFormat/>
    <w:rsid w:val="00F53370"/>
    <w:rPr>
      <w:sz w:val="24"/>
      <w:vertAlign w:val="superscript"/>
    </w:rPr>
  </w:style>
  <w:style w:type="table" w:styleId="TableGrid">
    <w:name w:val="Table Grid"/>
    <w:basedOn w:val="TableNormal"/>
    <w:uiPriority w:val="39"/>
    <w:rsid w:val="00F5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A6DD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6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F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F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F7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6F7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F77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F77"/>
    <w:rPr>
      <w:rFonts w:ascii="Segoe UI" w:eastAsia="Times New Roman" w:hAnsi="Segoe UI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296DEA"/>
    <w:rPr>
      <w:color w:val="800080"/>
      <w:u w:val="single"/>
    </w:rPr>
  </w:style>
  <w:style w:type="paragraph" w:customStyle="1" w:styleId="LOGO">
    <w:name w:val="LOGO"/>
    <w:basedOn w:val="Normal"/>
    <w:uiPriority w:val="99"/>
    <w:rsid w:val="00296DEA"/>
    <w:pPr>
      <w:jc w:val="center"/>
    </w:pPr>
    <w:rPr>
      <w:rFonts w:ascii="Arial" w:hAnsi="Arial" w:cs="Arial"/>
      <w:b/>
      <w:bCs/>
      <w:i/>
      <w:iCs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DE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96DE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D1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21" Type="http://schemas.openxmlformats.org/officeDocument/2006/relationships/header" Target="header6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9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customXml" Target="../customXml/item2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5.xml"/><Relationship Id="rId15" Type="http://schemas.openxmlformats.org/officeDocument/2006/relationships/footer" Target="footer2.xml"/><Relationship Id="rId23" Type="http://schemas.openxmlformats.org/officeDocument/2006/relationships/header" Target="header8.xml"/><Relationship Id="rId28" Type="http://schemas.openxmlformats.org/officeDocument/2006/relationships/customXml" Target="../customXml/item1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31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sc.europa.eu/pt/our-work/opinions-information-reports/opinions/fragmentation-supply-chains-and-impact-cost-living" TargetMode="External"/><Relationship Id="rId13" Type="http://schemas.openxmlformats.org/officeDocument/2006/relationships/hyperlink" Target="http://data.europa.eu/eli/C/2025/1187/oj" TargetMode="External"/><Relationship Id="rId18" Type="http://schemas.openxmlformats.org/officeDocument/2006/relationships/hyperlink" Target="https://www.consilium.europa.eu/media/ny3j24sm/much-more-than-a-market-report-by-enrico-letta.pdf" TargetMode="External"/><Relationship Id="rId3" Type="http://schemas.openxmlformats.org/officeDocument/2006/relationships/hyperlink" Target="http://data.europa.eu/eli/C/2025/3195/oj" TargetMode="External"/><Relationship Id="rId21" Type="http://schemas.openxmlformats.org/officeDocument/2006/relationships/hyperlink" Target="http://data.europa.eu/eli/C/2025/1187/oj" TargetMode="External"/><Relationship Id="rId7" Type="http://schemas.openxmlformats.org/officeDocument/2006/relationships/hyperlink" Target="http://data.europa.eu/eli/C/2025/3191/oj" TargetMode="External"/><Relationship Id="rId12" Type="http://schemas.openxmlformats.org/officeDocument/2006/relationships/hyperlink" Target="https://www.eesc.europa.eu/pt/our-work/opinions-information-reports/opinions/recommendations-organised-civil-society-address-cost-living-crisis" TargetMode="External"/><Relationship Id="rId17" Type="http://schemas.openxmlformats.org/officeDocument/2006/relationships/hyperlink" Target="http://data.europa.eu/eli/C/2025/771/oj" TargetMode="External"/><Relationship Id="rId2" Type="http://schemas.openxmlformats.org/officeDocument/2006/relationships/hyperlink" Target="https://www.eesc.europa.eu/pt/our-work/opinions-information-reports/opinions/leaving-crises-behind-measures-resilient-cohesive-and-inclusive-european-economy" TargetMode="External"/><Relationship Id="rId16" Type="http://schemas.openxmlformats.org/officeDocument/2006/relationships/hyperlink" Target="https://www.eesc.europa.eu/pt/our-work/opinions-information-reports/opinions/social-housing-eu-decent-sustainable-and-affordable" TargetMode="External"/><Relationship Id="rId20" Type="http://schemas.openxmlformats.org/officeDocument/2006/relationships/hyperlink" Target="https://www.eesc.europa.eu/pt/our-work/opinions-information-reports/opinions/future-supply-and-pricing-electricity-eu" TargetMode="External"/><Relationship Id="rId1" Type="http://schemas.openxmlformats.org/officeDocument/2006/relationships/hyperlink" Target="https://www.eesc.europa.eu/pt/our-work/opinions-information-reports/opinions/reindustrialisation-europe-opportunity-businesses-employees-and-citizens-context-cost-living-crisis" TargetMode="External"/><Relationship Id="rId6" Type="http://schemas.openxmlformats.org/officeDocument/2006/relationships/hyperlink" Target="https://www.eesc.europa.eu/pt/our-work/opinions-information-reports/opinions/phasing-out-fossil-fuel-subsidies-while-ensuring-european-competitiveness-mitigating-cost-living-crisis-and-promoting" TargetMode="External"/><Relationship Id="rId11" Type="http://schemas.openxmlformats.org/officeDocument/2006/relationships/hyperlink" Target="http://data.europa.eu/eli/C/2025/3192/oj" TargetMode="External"/><Relationship Id="rId5" Type="http://schemas.openxmlformats.org/officeDocument/2006/relationships/hyperlink" Target="http://data.europa.eu/eli/C/2025/3189/oj" TargetMode="External"/><Relationship Id="rId15" Type="http://schemas.openxmlformats.org/officeDocument/2006/relationships/hyperlink" Target="https://op.europa.eu/pt/publication-detail/-/publication/057f23e9-bdc5-11ef-91ed-01aa75ed71a1" TargetMode="External"/><Relationship Id="rId23" Type="http://schemas.openxmlformats.org/officeDocument/2006/relationships/hyperlink" Target="https://www.consilium.europa.eu/media/ny3j24sm/much-more-than-a-market-report-by-enrico-letta.pdf" TargetMode="External"/><Relationship Id="rId10" Type="http://schemas.openxmlformats.org/officeDocument/2006/relationships/hyperlink" Target="https://www.eesc.europa.eu/pt/our-work/opinions-information-reports/opinions/price-hikes-transport-energy-and-housing-role-quality-public-services-tackling-high-cost-living" TargetMode="External"/><Relationship Id="rId19" Type="http://schemas.openxmlformats.org/officeDocument/2006/relationships/hyperlink" Target="https://eur-lex.europa.eu/legal-content/pt/TXT/?uri=OJ:C:2022:486:TOC" TargetMode="External"/><Relationship Id="rId4" Type="http://schemas.openxmlformats.org/officeDocument/2006/relationships/hyperlink" Target="https://www.eesc.europa.eu/pt/our-work/opinions-information-reports/opinions/how-single-market-dysfunctionalities-contribute-rising-cost-living" TargetMode="External"/><Relationship Id="rId9" Type="http://schemas.openxmlformats.org/officeDocument/2006/relationships/hyperlink" Target="https://www.eesc.europa.eu/pt/our-work/opinions-information-reports/opinions/how-address-loss-purchasing-power-and-risk-rising-inequalities-exclusion-and-marginalization" TargetMode="External"/><Relationship Id="rId14" Type="http://schemas.openxmlformats.org/officeDocument/2006/relationships/hyperlink" Target="https://eur-lex.europa.eu/legal-content/PT/TXT/?uri=CELEX%3A52024DC0704&amp;qid=1740647752099" TargetMode="External"/><Relationship Id="rId22" Type="http://schemas.openxmlformats.org/officeDocument/2006/relationships/hyperlink" Target="https://eur-lex.europa.eu/legal-content/pt/TXT/?uri=CELEX%3A52025DC0079&amp;qid=174178011041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6BB3B767F3CF4149BF520211D4A86BC0" ma:contentTypeVersion="4" ma:contentTypeDescription="Defines the documents for Document Manager V2" ma:contentTypeScope="" ma:versionID="8f2b3a3e062f062a7ee8ba210ef02323">
  <xsd:schema xmlns:xsd="http://www.w3.org/2001/XMLSchema" xmlns:xs="http://www.w3.org/2001/XMLSchema" xmlns:p="http://schemas.microsoft.com/office/2006/metadata/properties" xmlns:ns2="1a33af13-4045-4f88-9d7b-618e30f79918" xmlns:ns3="http://schemas.microsoft.com/sharepoint/v3/fields" xmlns:ns4="be3ca9a7-9286-4008-99ec-aebc20da9dc2" targetNamespace="http://schemas.microsoft.com/office/2006/metadata/properties" ma:root="true" ma:fieldsID="f021f5764e4548d9eb17bdf3b768072d" ns2:_="" ns3:_="" ns4:_="">
    <xsd:import namespace="1a33af13-4045-4f88-9d7b-618e30f79918"/>
    <xsd:import namespace="http://schemas.microsoft.com/sharepoint/v3/fields"/>
    <xsd:import namespace="be3ca9a7-9286-4008-99ec-aebc20da9d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3af13-4045-4f88-9d7b-618e30f799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c795c8aa-ad9d-4177-b7c3-7e58e1f2dfdf}" ma:internalName="TaxCatchAll" ma:showField="CatchAllData" ma:web="1a33af13-4045-4f88-9d7b-618e30f79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c795c8aa-ad9d-4177-b7c3-7e58e1f2dfdf}" ma:internalName="TaxCatchAllLabel" ma:readOnly="true" ma:showField="CatchAllDataLabel" ma:web="1a33af13-4045-4f88-9d7b-618e30f79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5004ddca-ed1a-45fa-b2df-508b3c5dfc98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5004ddca-ed1a-45fa-b2df-508b3c5dfc98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5004ddca-ed1a-45fa-b2df-508b3c5dfc98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5004ddca-ed1a-45fa-b2df-508b3c5dfc98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5004ddca-ed1a-45fa-b2df-508b3c5dfc98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5004ddca-ed1a-45fa-b2df-508b3c5dfc98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5004ddca-ed1a-45fa-b2df-508b3c5dfc98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ca9a7-9286-4008-99ec-aebc20da9dc2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a33af13-4045-4f88-9d7b-618e30f79918">A6WAAD5KZT2Q-604569563-14500</_dlc_DocId>
    <_dlc_DocIdUrl xmlns="1a33af13-4045-4f88-9d7b-618e30f79918">
      <Url>http://dm/eesc/2025/_layouts/15/DocIdRedir.aspx?ID=A6WAAD5KZT2Q-604569563-14500</Url>
      <Description>A6WAAD5KZT2Q-604569563-14500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</TermName>
          <TermId xmlns="http://schemas.microsoft.com/office/infopath/2007/PartnerControls">a4cc1d15-fb08-4679-ad46-e4e0cba5fe92</TermId>
        </TermInfo>
      </Terms>
    </DocumentType_0>
    <Procedure xmlns="1a33af13-4045-4f88-9d7b-618e30f79918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EESC</TermName>
          <TermId xmlns="http://schemas.microsoft.com/office/infopath/2007/PartnerControls">422833ec-8d7e-4e65-8e4e-8bed07ffb729</TermId>
        </TermInfo>
      </Terms>
    </DocumentSource_0>
    <ProductionDate xmlns="1a33af13-4045-4f88-9d7b-618e30f79918">2025-07-22T12:00:00+00:00</ProductionDate>
    <DocumentNumber xmlns="be3ca9a7-9286-4008-99ec-aebc20da9dc2">91</DocumentNumber>
    <FicheYear xmlns="1a33af13-4045-4f88-9d7b-618e30f79918" xsi:nil="true"/>
    <DossierNumber xmlns="1a33af13-4045-4f88-9d7b-618e30f79918">660</DossierNumber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1a33af13-4045-4f88-9d7b-618e30f79918" xsi:nil="true"/>
    <TaxCatchAll xmlns="1a33af13-4045-4f88-9d7b-618e30f79918">
      <Value>79</Value>
      <Value>50</Value>
      <Value>47</Value>
      <Value>46</Value>
      <Value>43</Value>
      <Value>42</Value>
      <Value>41</Value>
      <Value>40</Value>
      <Value>39</Value>
      <Value>37</Value>
      <Value>36</Value>
      <Value>35</Value>
      <Value>34</Value>
      <Value>33</Value>
      <Value>32</Value>
      <Value>31</Value>
      <Value>30</Value>
      <Value>29</Value>
      <Value>28</Value>
      <Value>27</Value>
      <Value>24</Value>
      <Value>23</Value>
      <Value>16</Value>
      <Value>15</Value>
      <Value>103</Value>
      <Value>13</Value>
      <Value>12</Value>
      <Value>8</Value>
      <Value>5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</Terms>
    </DocumentLanguage_0>
    <Rapporteur xmlns="1a33af13-4045-4f88-9d7b-618e30f79918">ANDERSSON &amp; BALON &amp; KATTNIG</Rapporteur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DocumentYear xmlns="1a33af13-4045-4f88-9d7b-618e30f79918">2025</DocumentYear>
    <FicheNumber xmlns="1a33af13-4045-4f88-9d7b-618e30f79918">4804</FicheNumber>
    <OriginalSender xmlns="1a33af13-4045-4f88-9d7b-618e30f79918">
      <UserInfo>
        <DisplayName>Rubano Noroes Silvana</DisplayName>
        <AccountId>1495</AccountId>
        <AccountType/>
      </UserInfo>
    </OriginalSender>
    <DocumentPart xmlns="1a33af13-4045-4f88-9d7b-618e30f79918">0</DocumentPart>
    <AdoptionDate xmlns="1a33af13-4045-4f88-9d7b-618e30f79918">2025-07-17T12:00:00+00:00</AdoptionDate>
    <RequestingService xmlns="1a33af13-4045-4f88-9d7b-618e30f79918">Union économique et monétaire et cohésion économique et sociale</RequestingService>
    <MeetingName_0 xmlns="http://schemas.microsoft.com/sharepoint/v3/fields">
      <Terms xmlns="http://schemas.microsoft.com/office/infopath/2007/PartnerControls"/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NL</TermName>
          <TermId xmlns="http://schemas.microsoft.com/office/infopath/2007/PartnerControls">55c6556c-b4f4-441d-9acf-c498d4f838bd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EL</TermName>
          <TermId xmlns="http://schemas.microsoft.com/office/infopath/2007/PartnerControls">6d4f4d51-af9b-4650-94b4-4276bee85c91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  <TermInfo xmlns="http://schemas.microsoft.com/office/infopath/2007/PartnerControls">
          <TermName xmlns="http://schemas.microsoft.com/office/infopath/2007/PartnerControls">GA</TermName>
          <TermId xmlns="http://schemas.microsoft.com/office/infopath/2007/PartnerControls">762d2456-c427-4ecb-b312-af3dad8e258c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be3ca9a7-9286-4008-99ec-aebc20da9dc2" xsi:nil="true"/>
    <Dossier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ECO</TermName>
          <TermId xmlns="http://schemas.microsoft.com/office/infopath/2007/PartnerControls">8df351f5-c957-404c-8cf3-8ffb22c9cba2</TermId>
        </TermInfo>
      </Terms>
    </DossierName_0>
    <DocumentVersion xmlns="1a33af13-4045-4f88-9d7b-618e30f79918">0</DocumentVersion>
  </documentManagement>
</p:properties>
</file>

<file path=customXml/itemProps1.xml><?xml version="1.0" encoding="utf-8"?>
<ds:datastoreItem xmlns:ds="http://schemas.openxmlformats.org/officeDocument/2006/customXml" ds:itemID="{2935456D-A687-46FB-9137-5E10DD83AB9F}"/>
</file>

<file path=customXml/itemProps2.xml><?xml version="1.0" encoding="utf-8"?>
<ds:datastoreItem xmlns:ds="http://schemas.openxmlformats.org/officeDocument/2006/customXml" ds:itemID="{F9CD5FC1-B0B3-41D7-87B8-CB176C2EF4D0}"/>
</file>

<file path=customXml/itemProps3.xml><?xml version="1.0" encoding="utf-8"?>
<ds:datastoreItem xmlns:ds="http://schemas.openxmlformats.org/officeDocument/2006/customXml" ds:itemID="{6618444C-81C6-47E9-BB29-366DDBEF706F}"/>
</file>

<file path=customXml/itemProps4.xml><?xml version="1.0" encoding="utf-8"?>
<ds:datastoreItem xmlns:ds="http://schemas.openxmlformats.org/officeDocument/2006/customXml" ds:itemID="{F2FF9BC6-D1E4-4099-8F5D-66CBD81DDB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5010</Words>
  <Characters>28561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EESC AC - Model</vt:lpstr>
    </vt:vector>
  </TitlesOfParts>
  <Company>CESE-CdR</Company>
  <LinksUpToDate>false</LinksUpToDate>
  <CharactersWithSpaces>33504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Recomendações da sociedade civil organizada para fazer face à crise do custo de vida</dc:title>
  <dc:subject>AC</dc:subject>
  <dc:creator>Francois Aude</dc:creator>
  <cp:keywords>EESC-2025-00091-00-00-AC-TRA-EN</cp:keywords>
  <dc:description>Rapporteur: ANDERSSON &amp; BALON &amp; KATTNIG - Original language: EN - Date of document: 22/07/2025 - Date of meeting:  - External documents:  - Administrator:  PERLAKY-TÓTH Krisztina</dc:description>
  <cp:lastModifiedBy>Rubano Noroes Silvana</cp:lastModifiedBy>
  <cp:revision>13</cp:revision>
  <dcterms:created xsi:type="dcterms:W3CDTF">2025-07-18T09:47:00Z</dcterms:created>
  <dcterms:modified xsi:type="dcterms:W3CDTF">2025-07-22T13:34:00Z</dcterms:modified>
  <cp:category>ECO/660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18/07/2025, 17/04/2024, 12/04/2024, 17/05/2022</vt:lpwstr>
  </property>
  <property fmtid="{D5CDD505-2E9C-101B-9397-08002B2CF9AE}" pid="4" name="Pref_Time">
    <vt:lpwstr>11:43:42, 09:47:22, 11:43:34, 14:58:36</vt:lpwstr>
  </property>
  <property fmtid="{D5CDD505-2E9C-101B-9397-08002B2CF9AE}" pid="5" name="Pref_User">
    <vt:lpwstr>pacup, enied, enied, enied</vt:lpwstr>
  </property>
  <property fmtid="{D5CDD505-2E9C-101B-9397-08002B2CF9AE}" pid="6" name="Pref_FileName">
    <vt:lpwstr>EESC-2025-00091-00-00-AC-TRA-EN-CRR.docx, COR-EESC-2024-01326-10-00-ADMIN-TRA-EN.docx, COR-EESC-2024-01326-10-00-ADMIN-ORI.docx, COR-EESC-2022-02592-00-00-ADMIN-ORI.docx</vt:lpwstr>
  </property>
  <property fmtid="{D5CDD505-2E9C-101B-9397-08002B2CF9AE}" pid="7" name="ContentTypeId">
    <vt:lpwstr>0x010100EA97B91038054C99906057A708A1480A006BB3B767F3CF4149BF520211D4A86BC0</vt:lpwstr>
  </property>
  <property fmtid="{D5CDD505-2E9C-101B-9397-08002B2CF9AE}" pid="8" name="_dlc_DocIdItemGuid">
    <vt:lpwstr>679faf30-c07b-4ccf-8c56-646fb5966bab</vt:lpwstr>
  </property>
  <property fmtid="{D5CDD505-2E9C-101B-9397-08002B2CF9AE}" pid="9" name="AvailableTranslations">
    <vt:lpwstr>40;#DA|5d49c027-8956-412b-aa16-e85a0f96ad0e;#47;#BG|1a1b3951-7821-4e6a-85f5-5673fc08bd2c;#31;#SL|98a412ae-eb01-49e9-ae3d-585a81724cfc;#41;#ET|ff6c3f4c-b02c-4c3c-ab07-2c37995a7a0a;#37;#HU|6b229040-c589-4408-b4c1-4285663d20a8;#32;#MT|7df99101-6854-4a26-b53a-b88c0da02c26;#36;#RO|feb747a2-64cd-4299-af12-4833ddc30497;#28;#SV|c2ed69e7-a339-43d7-8f22-d93680a92aa0;#33;#PT|50ccc04a-eadd-42ae-a0cb-acaf45f812ba;#34;#IT|0774613c-01ed-4e5d-a25d-11d2388de825;#27;#NL|55c6556c-b4f4-441d-9acf-c498d4f838bd;#50;#HR|2f555653-ed1a-4fe6-8362-9082d95989e5;#30;#LT|a7ff5ce7-6123-4f68-865a-a57c31810414;#35;#FI|87606a43-d45f-42d6-b8c9-e1a3457db5b7;#46;#SK|46d9fce0-ef79-4f71-b89b-cd6aa82426b8;#23;#DE|f6b31e5a-26fa-4935-b661-318e46daf27e;#42;#EL|6d4f4d51-af9b-4650-94b4-4276bee85c91;#12;#FR|d2afafd3-4c81-4f60-8f52-ee33f2f54ff3;#5;#EN|f2175f21-25d7-44a3-96da-d6a61b075e1b;#29;#CS|72f9705b-0217-4fd3-bea2-cbc7ed80e26e;#39;#LV|46f7e311-5d9f-4663-b433-18aeccb7ace7;#16;#ES|e7a6b05b-ae16-40c8-add9-68b64b03aeba;#43;#GA|762d2456-c427-4ecb-b312-af3dad8e258c;#24;#PL|1e03da61-4678-4e07-b136-b5024ca9197b</vt:lpwstr>
  </property>
  <property fmtid="{D5CDD505-2E9C-101B-9397-08002B2CF9AE}" pid="10" name="DocumentType_0">
    <vt:lpwstr>AC|a4cc1d15-fb08-4679-ad46-e4e0cba5fe92</vt:lpwstr>
  </property>
  <property fmtid="{D5CDD505-2E9C-101B-9397-08002B2CF9AE}" pid="11" name="DossierName_0">
    <vt:lpwstr>ECO|8df351f5-c957-404c-8cf3-8ffb22c9cba2</vt:lpwstr>
  </property>
  <property fmtid="{D5CDD505-2E9C-101B-9397-08002B2CF9AE}" pid="12" name="DocumentSource_0">
    <vt:lpwstr>EESC|422833ec-8d7e-4e65-8e4e-8bed07ffb729</vt:lpwstr>
  </property>
  <property fmtid="{D5CDD505-2E9C-101B-9397-08002B2CF9AE}" pid="13" name="DocumentNumber">
    <vt:i4>91</vt:i4>
  </property>
  <property fmtid="{D5CDD505-2E9C-101B-9397-08002B2CF9AE}" pid="14" name="DocumentVersion">
    <vt:i4>0</vt:i4>
  </property>
  <property fmtid="{D5CDD505-2E9C-101B-9397-08002B2CF9AE}" pid="15" name="DossierNumber">
    <vt:i4>660</vt:i4>
  </property>
  <property fmtid="{D5CDD505-2E9C-101B-9397-08002B2CF9AE}" pid="16" name="DocumentStatus">
    <vt:lpwstr>13;#TRA|150d2a88-1431-44e6-a8ca-0bb753ab8672</vt:lpwstr>
  </property>
  <property fmtid="{D5CDD505-2E9C-101B-9397-08002B2CF9AE}" pid="17" name="DossierName">
    <vt:lpwstr>103;#ECO|8df351f5-c957-404c-8cf3-8ffb22c9cba2</vt:lpwstr>
  </property>
  <property fmtid="{D5CDD505-2E9C-101B-9397-08002B2CF9AE}" pid="18" name="RequestingService">
    <vt:lpwstr>Union économique et monétaire et cohésion économique et sociale</vt:lpwstr>
  </property>
  <property fmtid="{D5CDD505-2E9C-101B-9397-08002B2CF9AE}" pid="19" name="Confidentiality">
    <vt:lpwstr>15;#Unrestricted|826e22d7-d029-4ec0-a450-0c28ff673572</vt:lpwstr>
  </property>
  <property fmtid="{D5CDD505-2E9C-101B-9397-08002B2CF9AE}" pid="20" name="MeetingName_0">
    <vt:lpwstr/>
  </property>
  <property fmtid="{D5CDD505-2E9C-101B-9397-08002B2CF9AE}" pid="21" name="Confidentiality_0">
    <vt:lpwstr>Unrestricted|826e22d7-d029-4ec0-a450-0c28ff673572</vt:lpwstr>
  </property>
  <property fmtid="{D5CDD505-2E9C-101B-9397-08002B2CF9AE}" pid="22" name="OriginalLanguage">
    <vt:lpwstr>5;#EN|f2175f21-25d7-44a3-96da-d6a61b075e1b</vt:lpwstr>
  </property>
  <property fmtid="{D5CDD505-2E9C-101B-9397-08002B2CF9AE}" pid="23" name="MeetingName">
    <vt:lpwstr/>
  </property>
  <property fmtid="{D5CDD505-2E9C-101B-9397-08002B2CF9AE}" pid="25" name="AvailableTranslations_0">
    <vt:lpwstr>BG|1a1b3951-7821-4e6a-85f5-5673fc08bd2c;SL|98a412ae-eb01-49e9-ae3d-585a81724cfc;HU|6b229040-c589-4408-b4c1-4285663d20a8;IT|0774613c-01ed-4e5d-a25d-11d2388de825;NL|55c6556c-b4f4-441d-9acf-c498d4f838bd;SK|46d9fce0-ef79-4f71-b89b-cd6aa82426b8;FR|d2afafd3-4c81-4f60-8f52-ee33f2f54ff3;EN|f2175f21-25d7-44a3-96da-d6a61b075e1b;ES|e7a6b05b-ae16-40c8-add9-68b64b03aeba</vt:lpwstr>
  </property>
  <property fmtid="{D5CDD505-2E9C-101B-9397-08002B2CF9AE}" pid="26" name="DocumentStatus_0">
    <vt:lpwstr>TRA|150d2a88-1431-44e6-a8ca-0bb753ab8672</vt:lpwstr>
  </property>
  <property fmtid="{D5CDD505-2E9C-101B-9397-08002B2CF9AE}" pid="27" name="OriginalLanguage_0">
    <vt:lpwstr>EN|f2175f21-25d7-44a3-96da-d6a61b075e1b</vt:lpwstr>
  </property>
  <property fmtid="{D5CDD505-2E9C-101B-9397-08002B2CF9AE}" pid="28" name="TaxCatchAll">
    <vt:lpwstr>34;#IT|0774613c-01ed-4e5d-a25d-11d2388de825;#31;#SL|98a412ae-eb01-49e9-ae3d-585a81724cfc;#103;#ECO|8df351f5-c957-404c-8cf3-8ffb22c9cba2;#27;#NL|55c6556c-b4f4-441d-9acf-c498d4f838bd;#79;#AC|a4cc1d15-fb08-4679-ad46-e4e0cba5fe92;#15;#Unrestricted|826e22d7-d029-4ec0-a450-0c28ff673572;#13;#TRA|150d2a88-1431-44e6-a8ca-0bb753ab8672;#12;#FR|d2afafd3-4c81-4f60-8f52-ee33f2f54ff3;#47;#BG|1a1b3951-7821-4e6a-85f5-5673fc08bd2c;#46;#SK|46d9fce0-ef79-4f71-b89b-cd6aa82426b8;#8;#Final|ea5e6674-7b27-4bac-b091-73adbb394efe;#5;#EN|f2175f21-25d7-44a3-96da-d6a61b075e1b;#16;#ES|e7a6b05b-ae16-40c8-add9-68b64b03aeba;#1;#EESC|422833ec-8d7e-4e65-8e4e-8bed07ffb729;#37;#HU|6b229040-c589-4408-b4c1-4285663d20a8</vt:lpwstr>
  </property>
  <property fmtid="{D5CDD505-2E9C-101B-9397-08002B2CF9AE}" pid="29" name="Rapporteur">
    <vt:lpwstr>ANDERSSON &amp; BALON &amp; KATTNIG</vt:lpwstr>
  </property>
  <property fmtid="{D5CDD505-2E9C-101B-9397-08002B2CF9AE}" pid="30" name="VersionStatus_0">
    <vt:lpwstr>Final|ea5e6674-7b27-4bac-b091-73adbb394efe</vt:lpwstr>
  </property>
  <property fmtid="{D5CDD505-2E9C-101B-9397-08002B2CF9AE}" pid="31" name="VersionStatus">
    <vt:lpwstr>8;#Final|ea5e6674-7b27-4bac-b091-73adbb394efe</vt:lpwstr>
  </property>
  <property fmtid="{D5CDD505-2E9C-101B-9397-08002B2CF9AE}" pid="32" name="DocumentYear">
    <vt:i4>2025</vt:i4>
  </property>
  <property fmtid="{D5CDD505-2E9C-101B-9397-08002B2CF9AE}" pid="33" name="FicheNumber">
    <vt:i4>4804</vt:i4>
  </property>
  <property fmtid="{D5CDD505-2E9C-101B-9397-08002B2CF9AE}" pid="34" name="DocumentPart">
    <vt:i4>0</vt:i4>
  </property>
  <property fmtid="{D5CDD505-2E9C-101B-9397-08002B2CF9AE}" pid="35" name="DocumentSource">
    <vt:lpwstr>1;#EESC|422833ec-8d7e-4e65-8e4e-8bed07ffb729</vt:lpwstr>
  </property>
  <property fmtid="{D5CDD505-2E9C-101B-9397-08002B2CF9AE}" pid="36" name="AdoptionDate">
    <vt:filetime>2025-07-17T12:00:00Z</vt:filetime>
  </property>
  <property fmtid="{D5CDD505-2E9C-101B-9397-08002B2CF9AE}" pid="37" name="DocumentType">
    <vt:lpwstr>79;#AC|a4cc1d15-fb08-4679-ad46-e4e0cba5fe92</vt:lpwstr>
  </property>
  <property fmtid="{D5CDD505-2E9C-101B-9397-08002B2CF9AE}" pid="38" name="DocumentLanguage">
    <vt:lpwstr>33;#PT|50ccc04a-eadd-42ae-a0cb-acaf45f812ba</vt:lpwstr>
  </property>
</Properties>
</file>