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0002248B" w14:paraId="45DA9DC8" w14:textId="77777777">
        <w:trPr>
          <w:jc w:val="center"/>
        </w:trPr>
        <w:tc>
          <w:tcPr>
            <w:tcW w:w="5000" w:type="pct"/>
            <w:vAlign w:val="center"/>
          </w:tcPr>
          <w:p w:rsidRPr="00EB1EC1" w:rsidR="00574C9B" w:rsidP="006125A1" w:rsidRDefault="00574C9B" w14:paraId="6D49DE1B" w14:textId="77777777">
            <w:pPr>
              <w:jc w:val="center"/>
              <w:rPr>
                <w:b/>
                <w:sz w:val="72"/>
                <w:szCs w:val="72"/>
              </w:rPr>
            </w:pPr>
            <w:r>
              <w:rPr>
                <w:b/>
                <w:sz w:val="72"/>
              </w:rPr>
              <w:t>AVIZ</w:t>
            </w:r>
          </w:p>
        </w:tc>
      </w:tr>
      <w:tr w:rsidR="0002248B" w14:paraId="34F2B99F" w14:textId="77777777">
        <w:trPr>
          <w:trHeight w:val="567"/>
          <w:jc w:val="center"/>
        </w:trPr>
        <w:tc>
          <w:tcPr>
            <w:tcW w:w="5000" w:type="pct"/>
            <w:vAlign w:val="center"/>
          </w:tcPr>
          <w:p w:rsidRPr="00EB1EC1" w:rsidR="00574C9B" w:rsidP="006125A1" w:rsidRDefault="00574C9B" w14:paraId="6EE3D1C1" w14:textId="77777777">
            <w:pPr>
              <w:jc w:val="center"/>
              <w:rPr>
                <w:sz w:val="24"/>
                <w:szCs w:val="24"/>
              </w:rPr>
            </w:pPr>
            <w:r>
              <w:rPr>
                <w:sz w:val="24"/>
              </w:rPr>
              <w:t>Comitetul Economic și Social European</w:t>
            </w:r>
          </w:p>
        </w:tc>
      </w:tr>
      <w:tr w:rsidR="0002248B" w14:paraId="350802B9" w14:textId="77777777">
        <w:trPr>
          <w:jc w:val="center"/>
        </w:trPr>
        <w:tc>
          <w:tcPr>
            <w:tcW w:w="5000" w:type="pct"/>
            <w:vAlign w:val="center"/>
          </w:tcPr>
          <w:p w:rsidRPr="00EB1EC1" w:rsidR="00574C9B" w:rsidP="006125A1" w:rsidRDefault="00DA2458" w14:paraId="5EC7E0CD" w14:textId="77777777">
            <w:pPr>
              <w:jc w:val="center"/>
              <w:rPr>
                <w:b/>
                <w:sz w:val="44"/>
                <w:szCs w:val="44"/>
              </w:rPr>
            </w:pPr>
            <w:r>
              <w:rPr>
                <w:b/>
                <w:sz w:val="44"/>
              </w:rPr>
              <w:t>Recomandările societății civile organizate pentru abordarea crizei costului vieții</w:t>
            </w:r>
          </w:p>
        </w:tc>
      </w:tr>
      <w:tr w:rsidR="0002248B" w14:paraId="06E373BF" w14:textId="77777777">
        <w:trPr>
          <w:jc w:val="center"/>
        </w:trPr>
        <w:tc>
          <w:tcPr>
            <w:tcW w:w="5000" w:type="pct"/>
            <w:vAlign w:val="center"/>
          </w:tcPr>
          <w:p w:rsidRPr="00A85168" w:rsidR="00574C9B" w:rsidP="00505E00" w:rsidRDefault="00574C9B" w14:paraId="0F5D3C6A" w14:textId="77777777">
            <w:pPr>
              <w:overflowPunct w:val="0"/>
              <w:autoSpaceDE w:val="0"/>
              <w:autoSpaceDN w:val="0"/>
              <w:adjustRightInd w:val="0"/>
              <w:spacing w:after="200"/>
              <w:jc w:val="center"/>
              <w:textAlignment w:val="baseline"/>
              <w:rPr>
                <w:b/>
                <w:position w:val="24"/>
                <w:sz w:val="24"/>
                <w:szCs w:val="24"/>
              </w:rPr>
            </w:pPr>
            <w:r>
              <w:rPr>
                <w:sz w:val="24"/>
              </w:rPr>
              <w:t>_____________</w:t>
            </w:r>
          </w:p>
        </w:tc>
      </w:tr>
      <w:tr w:rsidR="0002248B" w14:paraId="3BE78FD2" w14:textId="77777777">
        <w:trPr>
          <w:jc w:val="center"/>
        </w:trPr>
        <w:tc>
          <w:tcPr>
            <w:tcW w:w="5000" w:type="pct"/>
            <w:vAlign w:val="center"/>
          </w:tcPr>
          <w:p w:rsidRPr="00EB7CB8" w:rsidR="00574C9B" w:rsidP="00914683" w:rsidRDefault="00DA2458" w14:paraId="5EDC1391" w14:textId="77777777">
            <w:pPr>
              <w:jc w:val="center"/>
              <w:rPr>
                <w:b/>
                <w:bCs/>
                <w:sz w:val="24"/>
                <w:szCs w:val="24"/>
              </w:rPr>
            </w:pPr>
            <w:r>
              <w:rPr>
                <w:sz w:val="24"/>
              </w:rPr>
              <w:t>Recomandările societății civile organizate pentru abordarea crizei costului vieții</w:t>
            </w:r>
          </w:p>
        </w:tc>
      </w:tr>
      <w:tr w:rsidR="0002248B" w14:paraId="3CCB13E2" w14:textId="77777777">
        <w:trPr>
          <w:jc w:val="center"/>
        </w:trPr>
        <w:tc>
          <w:tcPr>
            <w:tcW w:w="5000" w:type="pct"/>
            <w:vAlign w:val="center"/>
          </w:tcPr>
          <w:p w:rsidRPr="00A85168" w:rsidR="00574C9B" w:rsidP="006125A1" w:rsidRDefault="00574C9B" w14:paraId="3D854594" w14:textId="77777777">
            <w:pPr>
              <w:jc w:val="center"/>
              <w:rPr>
                <w:sz w:val="24"/>
                <w:szCs w:val="24"/>
                <w:lang w:val="en-GB"/>
              </w:rPr>
            </w:pPr>
          </w:p>
        </w:tc>
      </w:tr>
      <w:tr w:rsidR="0002248B" w14:paraId="41C63E76" w14:textId="77777777">
        <w:trPr>
          <w:jc w:val="center"/>
        </w:trPr>
        <w:tc>
          <w:tcPr>
            <w:tcW w:w="5000" w:type="pct"/>
            <w:vAlign w:val="center"/>
          </w:tcPr>
          <w:p w:rsidRPr="00A85168" w:rsidR="00574C9B" w:rsidP="006125A1" w:rsidRDefault="00DA2458" w14:paraId="55C6AC21" w14:textId="77777777">
            <w:pPr>
              <w:jc w:val="center"/>
              <w:rPr>
                <w:b/>
                <w:sz w:val="24"/>
                <w:szCs w:val="24"/>
              </w:rPr>
            </w:pPr>
            <w:r>
              <w:rPr>
                <w:b/>
                <w:sz w:val="24"/>
              </w:rPr>
              <w:t>ECO/660</w:t>
            </w:r>
          </w:p>
        </w:tc>
      </w:tr>
      <w:tr w:rsidR="0002248B" w14:paraId="4054C1FF" w14:textId="77777777">
        <w:trPr>
          <w:jc w:val="center"/>
        </w:trPr>
        <w:tc>
          <w:tcPr>
            <w:tcW w:w="5000" w:type="pct"/>
            <w:vAlign w:val="center"/>
          </w:tcPr>
          <w:p w:rsidRPr="00A85168" w:rsidR="00574C9B" w:rsidP="006125A1" w:rsidRDefault="00574C9B" w14:paraId="6D5711DA" w14:textId="77777777">
            <w:pPr>
              <w:jc w:val="center"/>
              <w:rPr>
                <w:sz w:val="24"/>
                <w:szCs w:val="24"/>
                <w:lang w:val="en-GB"/>
              </w:rPr>
            </w:pPr>
          </w:p>
        </w:tc>
      </w:tr>
      <w:tr w:rsidR="0002248B" w14:paraId="221215A7" w14:textId="77777777">
        <w:trPr>
          <w:jc w:val="center"/>
        </w:trPr>
        <w:tc>
          <w:tcPr>
            <w:tcW w:w="5000" w:type="pct"/>
            <w:vAlign w:val="center"/>
          </w:tcPr>
          <w:p w:rsidRPr="00A85168" w:rsidR="00574C9B" w:rsidP="006125A1" w:rsidRDefault="00574C9B" w14:paraId="0EA31966" w14:textId="77777777">
            <w:pPr>
              <w:jc w:val="center"/>
              <w:rPr>
                <w:sz w:val="24"/>
                <w:szCs w:val="24"/>
              </w:rPr>
            </w:pPr>
            <w:r>
              <w:rPr>
                <w:sz w:val="24"/>
              </w:rPr>
              <w:t xml:space="preserve">Raportor: </w:t>
            </w:r>
            <w:proofErr w:type="spellStart"/>
            <w:r>
              <w:rPr>
                <w:b/>
                <w:sz w:val="24"/>
              </w:rPr>
              <w:t>Krister</w:t>
            </w:r>
            <w:proofErr w:type="spellEnd"/>
            <w:r>
              <w:rPr>
                <w:b/>
                <w:sz w:val="24"/>
              </w:rPr>
              <w:t xml:space="preserve"> ANDERSSON</w:t>
            </w:r>
          </w:p>
        </w:tc>
      </w:tr>
      <w:tr w:rsidR="0002248B" w14:paraId="26B70E69" w14:textId="77777777">
        <w:trPr>
          <w:jc w:val="center"/>
        </w:trPr>
        <w:tc>
          <w:tcPr>
            <w:tcW w:w="5000" w:type="pct"/>
            <w:vAlign w:val="center"/>
          </w:tcPr>
          <w:p w:rsidRPr="00EB7CB8" w:rsidR="00CB7CD0" w:rsidP="006125A1" w:rsidRDefault="00DA2458" w14:paraId="2AD578F7" w14:textId="77777777">
            <w:pPr>
              <w:jc w:val="center"/>
              <w:rPr>
                <w:b/>
                <w:sz w:val="24"/>
                <w:szCs w:val="24"/>
              </w:rPr>
            </w:pPr>
            <w:r>
              <w:rPr>
                <w:sz w:val="24"/>
              </w:rPr>
              <w:t xml:space="preserve">Raportor: </w:t>
            </w:r>
            <w:proofErr w:type="spellStart"/>
            <w:r>
              <w:rPr>
                <w:b/>
                <w:sz w:val="24"/>
              </w:rPr>
              <w:t>Krzysztof</w:t>
            </w:r>
            <w:proofErr w:type="spellEnd"/>
            <w:r>
              <w:rPr>
                <w:b/>
                <w:sz w:val="24"/>
              </w:rPr>
              <w:t xml:space="preserve"> BALON</w:t>
            </w:r>
          </w:p>
          <w:p w:rsidRPr="00EB7CB8" w:rsidR="00DA2458" w:rsidP="006125A1" w:rsidRDefault="00DA2458" w14:paraId="5A8E78A4" w14:textId="77777777">
            <w:pPr>
              <w:jc w:val="center"/>
              <w:rPr>
                <w:sz w:val="24"/>
                <w:szCs w:val="24"/>
              </w:rPr>
            </w:pPr>
            <w:r>
              <w:rPr>
                <w:sz w:val="24"/>
              </w:rPr>
              <w:t xml:space="preserve">Raportor: </w:t>
            </w:r>
            <w:r>
              <w:rPr>
                <w:b/>
                <w:sz w:val="24"/>
              </w:rPr>
              <w:t>Thomas KATTNIG</w:t>
            </w:r>
          </w:p>
        </w:tc>
      </w:tr>
    </w:tbl>
    <w:p w:rsidRPr="00EB7CB8" w:rsidR="00574C9B" w:rsidP="00574C9B" w:rsidRDefault="00574C9B" w14:paraId="57B09C06" w14:textId="77777777">
      <w:r>
        <w:rPr>
          <w:noProof/>
          <w:sz w:val="20"/>
        </w:rPr>
        <mc:AlternateContent>
          <mc:Choice Requires="wps">
            <w:drawing>
              <wp:anchor distT="0" distB="0" distL="114300" distR="114300" simplePos="0" relativeHeight="251659264" behindDoc="1" locked="0" layoutInCell="0" allowOverlap="1" wp14:editId="5865EF20" wp14:anchorId="12656F27">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2E05173E" w14:textId="77777777">
                            <w:pPr>
                              <w:jc w:val="center"/>
                            </w:pPr>
                            <w:r>
                              <w:rPr>
                                <w:rFonts w:ascii="Arial" w:hAnsi="Arial"/>
                                <w:b/>
                                <w:sz w:val="48"/>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2656F27">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2E05173E" w14:textId="77777777">
                      <w:pPr>
                        <w:jc w:val="center"/>
                      </w:pPr>
                      <w:r>
                        <w:rPr>
                          <w:rFonts w:ascii="Arial" w:hAnsi="Arial"/>
                          <w:b/>
                          <w:sz w:val="48"/>
                        </w:rPr>
                        <w:t>RO</w:t>
                      </w:r>
                    </w:p>
                  </w:txbxContent>
                </v:textbox>
                <w10:wrap anchorx="margin" anchory="page"/>
              </v:shape>
            </w:pict>
          </mc:Fallback>
        </mc:AlternateContent>
      </w:r>
    </w:p>
    <w:p w:rsidRPr="00EB7CB8" w:rsidR="00574C9B" w:rsidP="00574C9B" w:rsidRDefault="00574C9B" w14:paraId="2D5E6FC4" w14:textId="77777777">
      <w:pPr>
        <w:rPr>
          <w:lang w:val="en-GB"/>
        </w:rPr>
      </w:pPr>
    </w:p>
    <w:p w:rsidRPr="00EB7CB8" w:rsidR="00574C9B" w:rsidP="00574C9B" w:rsidRDefault="00574C9B" w14:paraId="1AF28706" w14:textId="77777777">
      <w:pPr>
        <w:rPr>
          <w:lang w:val="en-GB"/>
        </w:rPr>
        <w:sectPr w:rsidRPr="00EB7CB8" w:rsidR="00574C9B" w:rsidSect="00A85168">
          <w:headerReference w:type="even" r:id="rId12"/>
          <w:headerReference w:type="default" r:id="rId13"/>
          <w:footerReference w:type="even" r:id="rId14"/>
          <w:footerReference w:type="default" r:id="rId15"/>
          <w:headerReference w:type="first" r:id="rId16"/>
          <w:footerReference w:type="first" r:id="rId17"/>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261"/>
        <w:gridCol w:w="6028"/>
      </w:tblGrid>
      <w:tr w:rsidR="0002248B" w:rsidTr="002D0203" w14:paraId="76762C74" w14:textId="77777777">
        <w:tc>
          <w:tcPr>
            <w:tcW w:w="3261" w:type="dxa"/>
          </w:tcPr>
          <w:p w:rsidRPr="00EB1EC1" w:rsidR="00914683" w:rsidP="0058411F" w:rsidRDefault="00914683" w14:paraId="6532BC55" w14:textId="77777777">
            <w:pPr>
              <w:autoSpaceDE w:val="0"/>
              <w:autoSpaceDN w:val="0"/>
              <w:jc w:val="left"/>
              <w:rPr>
                <w:szCs w:val="20"/>
              </w:rPr>
            </w:pPr>
            <w:r>
              <w:lastRenderedPageBreak/>
              <w:t>Consilieri</w:t>
            </w:r>
          </w:p>
        </w:tc>
        <w:tc>
          <w:tcPr>
            <w:tcW w:w="6028" w:type="dxa"/>
            <w:vAlign w:val="bottom"/>
          </w:tcPr>
          <w:p w:rsidRPr="00EB7CB8" w:rsidR="00DA2458" w:rsidP="00DA2458" w:rsidRDefault="00DA2458" w14:paraId="666FE9D6" w14:textId="58BD9E21">
            <w:pPr>
              <w:jc w:val="left"/>
            </w:pPr>
            <w:proofErr w:type="spellStart"/>
            <w:r>
              <w:t>Tellervo</w:t>
            </w:r>
            <w:proofErr w:type="spellEnd"/>
            <w:r>
              <w:t xml:space="preserve"> KYLÄ-HARAKKA-RUONALA </w:t>
            </w:r>
            <w:r w:rsidR="002D0203">
              <w:br/>
            </w:r>
            <w:r>
              <w:t xml:space="preserve">(pentru raportorul </w:t>
            </w:r>
            <w:proofErr w:type="spellStart"/>
            <w:r>
              <w:t>Krister</w:t>
            </w:r>
            <w:proofErr w:type="spellEnd"/>
            <w:r>
              <w:t xml:space="preserve"> ANDERSSON)</w:t>
            </w:r>
          </w:p>
          <w:p w:rsidRPr="00EB7CB8" w:rsidR="00DA2458" w:rsidP="00DA2458" w:rsidRDefault="00DA2458" w14:paraId="6E6A923A" w14:textId="77777777">
            <w:pPr>
              <w:jc w:val="left"/>
            </w:pPr>
            <w:proofErr w:type="spellStart"/>
            <w:r>
              <w:t>Kamila</w:t>
            </w:r>
            <w:proofErr w:type="spellEnd"/>
            <w:r>
              <w:t xml:space="preserve"> PŁOWIEC (pentru raportorul </w:t>
            </w:r>
            <w:proofErr w:type="spellStart"/>
            <w:r>
              <w:t>Krzysztof</w:t>
            </w:r>
            <w:proofErr w:type="spellEnd"/>
            <w:r>
              <w:t xml:space="preserve"> BALON)</w:t>
            </w:r>
          </w:p>
          <w:p w:rsidRPr="00EB1EC1" w:rsidR="00914683" w:rsidP="00DA2458" w:rsidRDefault="00DA2458" w14:paraId="0978B2F6" w14:textId="77777777">
            <w:pPr>
              <w:autoSpaceDE w:val="0"/>
              <w:autoSpaceDN w:val="0"/>
              <w:jc w:val="left"/>
            </w:pPr>
            <w:r>
              <w:t>Peter HILPOLD (pentru raportorul Thomas KATTNIG)</w:t>
            </w:r>
          </w:p>
        </w:tc>
      </w:tr>
      <w:tr w:rsidR="0002248B" w:rsidTr="002D0203" w14:paraId="2B46BAA1" w14:textId="77777777">
        <w:tc>
          <w:tcPr>
            <w:tcW w:w="3261" w:type="dxa"/>
          </w:tcPr>
          <w:p w:rsidRPr="00EB1EC1" w:rsidR="00914683" w:rsidP="0058411F" w:rsidRDefault="00914683" w14:paraId="2E945AF9" w14:textId="77777777">
            <w:pPr>
              <w:autoSpaceDE w:val="0"/>
              <w:autoSpaceDN w:val="0"/>
              <w:jc w:val="left"/>
              <w:rPr>
                <w:szCs w:val="20"/>
                <w:lang w:val="en-GB"/>
              </w:rPr>
            </w:pPr>
          </w:p>
        </w:tc>
        <w:tc>
          <w:tcPr>
            <w:tcW w:w="6028" w:type="dxa"/>
            <w:vAlign w:val="bottom"/>
          </w:tcPr>
          <w:p w:rsidRPr="00EB1EC1" w:rsidR="00914683" w:rsidP="0058411F" w:rsidRDefault="00914683" w14:paraId="0C72CD9D" w14:textId="77777777">
            <w:pPr>
              <w:autoSpaceDE w:val="0"/>
              <w:autoSpaceDN w:val="0"/>
              <w:jc w:val="left"/>
              <w:rPr>
                <w:lang w:val="en-GB"/>
              </w:rPr>
            </w:pPr>
          </w:p>
        </w:tc>
      </w:tr>
      <w:tr w:rsidR="0002248B" w:rsidTr="002D0203" w14:paraId="3D17D86C" w14:textId="77777777">
        <w:tc>
          <w:tcPr>
            <w:tcW w:w="3261" w:type="dxa"/>
          </w:tcPr>
          <w:p w:rsidRPr="00EB1EC1" w:rsidR="00914683" w:rsidP="0058411F" w:rsidRDefault="00914683" w14:paraId="53728DFA" w14:textId="77777777">
            <w:pPr>
              <w:autoSpaceDE w:val="0"/>
              <w:autoSpaceDN w:val="0"/>
              <w:jc w:val="left"/>
              <w:rPr>
                <w:szCs w:val="20"/>
              </w:rPr>
            </w:pPr>
            <w:r>
              <w:t>Decizia Adunării Plenare</w:t>
            </w:r>
          </w:p>
        </w:tc>
        <w:tc>
          <w:tcPr>
            <w:tcW w:w="6028" w:type="dxa"/>
            <w:vAlign w:val="bottom"/>
          </w:tcPr>
          <w:p w:rsidRPr="00EB1EC1" w:rsidR="00914683" w:rsidP="0058411F" w:rsidRDefault="00DA2458" w14:paraId="6CBD8157" w14:textId="77777777">
            <w:pPr>
              <w:autoSpaceDE w:val="0"/>
              <w:autoSpaceDN w:val="0"/>
              <w:jc w:val="left"/>
            </w:pPr>
            <w:r>
              <w:t>5/12/2024</w:t>
            </w:r>
          </w:p>
        </w:tc>
      </w:tr>
      <w:tr w:rsidR="0002248B" w:rsidTr="002D0203" w14:paraId="199DB89B" w14:textId="77777777">
        <w:tc>
          <w:tcPr>
            <w:tcW w:w="3261" w:type="dxa"/>
          </w:tcPr>
          <w:p w:rsidRPr="00EB1EC1" w:rsidR="00914683" w:rsidP="0058411F" w:rsidRDefault="00914683" w14:paraId="56D67DC7" w14:textId="77777777">
            <w:pPr>
              <w:autoSpaceDE w:val="0"/>
              <w:autoSpaceDN w:val="0"/>
              <w:jc w:val="left"/>
              <w:rPr>
                <w:szCs w:val="20"/>
              </w:rPr>
            </w:pPr>
            <w:r>
              <w:t>Temei juridic</w:t>
            </w:r>
          </w:p>
        </w:tc>
        <w:tc>
          <w:tcPr>
            <w:tcW w:w="6028" w:type="dxa"/>
            <w:vAlign w:val="bottom"/>
          </w:tcPr>
          <w:p w:rsidRPr="00EB1EC1" w:rsidR="00914683" w:rsidP="0058411F" w:rsidRDefault="00914683" w14:paraId="7DA40D43" w14:textId="77777777">
            <w:pPr>
              <w:autoSpaceDE w:val="0"/>
              <w:autoSpaceDN w:val="0"/>
              <w:jc w:val="left"/>
            </w:pPr>
            <w:r>
              <w:t>Articolul 52 alineatul (2) din Regulamentul de procedură</w:t>
            </w:r>
          </w:p>
        </w:tc>
      </w:tr>
      <w:tr w:rsidR="0002248B" w:rsidTr="002D0203" w14:paraId="5358519A" w14:textId="77777777">
        <w:tc>
          <w:tcPr>
            <w:tcW w:w="3261" w:type="dxa"/>
          </w:tcPr>
          <w:p w:rsidRPr="00EB1EC1" w:rsidR="00AC5114" w:rsidP="0058411F" w:rsidRDefault="00AC5114" w14:paraId="52BFD020" w14:textId="77777777">
            <w:pPr>
              <w:autoSpaceDE w:val="0"/>
              <w:autoSpaceDN w:val="0"/>
              <w:jc w:val="left"/>
            </w:pPr>
            <w:r>
              <w:t>Secțiunea competentă</w:t>
            </w:r>
          </w:p>
        </w:tc>
        <w:tc>
          <w:tcPr>
            <w:tcW w:w="6028" w:type="dxa"/>
            <w:vAlign w:val="bottom"/>
          </w:tcPr>
          <w:p w:rsidRPr="00EB1EC1" w:rsidR="00AC5114" w:rsidP="002D0203" w:rsidRDefault="00DA2458" w14:paraId="23A02FD9" w14:textId="77777777">
            <w:pPr>
              <w:autoSpaceDE w:val="0"/>
              <w:autoSpaceDN w:val="0"/>
            </w:pPr>
            <w:r>
              <w:t>Secțiunea pentru uniunea economică și monetară și coeziune economică și socială</w:t>
            </w:r>
          </w:p>
        </w:tc>
      </w:tr>
      <w:tr w:rsidR="0002248B" w:rsidTr="002D0203" w14:paraId="4CE3BD40" w14:textId="77777777">
        <w:tc>
          <w:tcPr>
            <w:tcW w:w="3261" w:type="dxa"/>
          </w:tcPr>
          <w:p w:rsidRPr="00EB1EC1" w:rsidR="00AC5114" w:rsidP="0058411F" w:rsidRDefault="00AC5114" w14:paraId="7E3F5C81" w14:textId="77777777">
            <w:pPr>
              <w:autoSpaceDE w:val="0"/>
              <w:autoSpaceDN w:val="0"/>
              <w:jc w:val="left"/>
            </w:pPr>
            <w:r>
              <w:t>Data adoptării în secțiune</w:t>
            </w:r>
          </w:p>
        </w:tc>
        <w:tc>
          <w:tcPr>
            <w:tcW w:w="6028" w:type="dxa"/>
            <w:vAlign w:val="bottom"/>
          </w:tcPr>
          <w:p w:rsidRPr="00EB1EC1" w:rsidR="00AC5114" w:rsidP="0058411F" w:rsidRDefault="00DA2458" w14:paraId="5FCCBFB7" w14:textId="77777777">
            <w:pPr>
              <w:autoSpaceDE w:val="0"/>
              <w:autoSpaceDN w:val="0"/>
              <w:jc w:val="left"/>
            </w:pPr>
            <w:r>
              <w:t>4/7/2025</w:t>
            </w:r>
          </w:p>
        </w:tc>
      </w:tr>
      <w:tr w:rsidR="0002248B" w:rsidTr="002D0203" w14:paraId="06C8F024" w14:textId="77777777">
        <w:tc>
          <w:tcPr>
            <w:tcW w:w="3261" w:type="dxa"/>
          </w:tcPr>
          <w:p w:rsidRPr="00EB1EC1" w:rsidR="0058411F" w:rsidP="0058411F" w:rsidRDefault="0058411F" w14:paraId="57E01E0F" w14:textId="77777777">
            <w:pPr>
              <w:autoSpaceDE w:val="0"/>
              <w:autoSpaceDN w:val="0"/>
              <w:jc w:val="left"/>
            </w:pPr>
            <w:r>
              <w:t>Data adoptării în sesiunea plenară</w:t>
            </w:r>
          </w:p>
        </w:tc>
        <w:tc>
          <w:tcPr>
            <w:tcW w:w="6028" w:type="dxa"/>
            <w:vAlign w:val="bottom"/>
          </w:tcPr>
          <w:p w:rsidRPr="00EB1EC1" w:rsidR="0058411F" w:rsidP="0058411F" w:rsidRDefault="00512B61" w14:paraId="4BEE0F2C" w14:textId="77777777">
            <w:pPr>
              <w:autoSpaceDE w:val="0"/>
              <w:autoSpaceDN w:val="0"/>
              <w:jc w:val="left"/>
            </w:pPr>
            <w:r>
              <w:t>17/7/2025</w:t>
            </w:r>
          </w:p>
        </w:tc>
      </w:tr>
      <w:tr w:rsidR="0002248B" w:rsidTr="002D0203" w14:paraId="5ACADA56" w14:textId="77777777">
        <w:tc>
          <w:tcPr>
            <w:tcW w:w="3261" w:type="dxa"/>
          </w:tcPr>
          <w:p w:rsidRPr="00EB1EC1" w:rsidR="0058411F" w:rsidP="0058411F" w:rsidRDefault="0058411F" w14:paraId="65B150CB" w14:textId="77777777">
            <w:pPr>
              <w:autoSpaceDE w:val="0"/>
              <w:autoSpaceDN w:val="0"/>
              <w:jc w:val="left"/>
            </w:pPr>
            <w:r>
              <w:t>Sesiunea plenară nr.</w:t>
            </w:r>
          </w:p>
        </w:tc>
        <w:tc>
          <w:tcPr>
            <w:tcW w:w="6028" w:type="dxa"/>
            <w:vAlign w:val="bottom"/>
          </w:tcPr>
          <w:p w:rsidRPr="00EB1EC1" w:rsidR="0058411F" w:rsidP="0058411F" w:rsidRDefault="00AC1B35" w14:paraId="5E757308" w14:textId="77777777">
            <w:pPr>
              <w:autoSpaceDE w:val="0"/>
              <w:autoSpaceDN w:val="0"/>
              <w:jc w:val="left"/>
            </w:pPr>
            <w:r>
              <w:t>598</w:t>
            </w:r>
          </w:p>
        </w:tc>
      </w:tr>
      <w:tr w:rsidR="0002248B" w:rsidTr="002D0203" w14:paraId="2E39282D" w14:textId="77777777">
        <w:tc>
          <w:tcPr>
            <w:tcW w:w="3261" w:type="dxa"/>
          </w:tcPr>
          <w:p w:rsidRPr="00EB1EC1" w:rsidR="0058411F" w:rsidP="0058411F" w:rsidRDefault="0058411F" w14:paraId="33270CAE" w14:textId="77777777">
            <w:pPr>
              <w:autoSpaceDE w:val="0"/>
              <w:autoSpaceDN w:val="0"/>
              <w:jc w:val="left"/>
            </w:pPr>
            <w:r>
              <w:t>Rezultatul votului</w:t>
            </w:r>
            <w:r>
              <w:br/>
              <w:t>(pentru/împotrivă/abțineri)</w:t>
            </w:r>
          </w:p>
        </w:tc>
        <w:tc>
          <w:tcPr>
            <w:tcW w:w="6028" w:type="dxa"/>
            <w:vAlign w:val="bottom"/>
          </w:tcPr>
          <w:p w:rsidRPr="00EB1EC1" w:rsidR="0058411F" w:rsidP="0058411F" w:rsidRDefault="00FE76B2" w14:paraId="7C1E3737" w14:textId="77777777">
            <w:pPr>
              <w:autoSpaceDE w:val="0"/>
              <w:autoSpaceDN w:val="0"/>
              <w:jc w:val="left"/>
            </w:pPr>
            <w:r>
              <w:t>170/3/1</w:t>
            </w:r>
          </w:p>
        </w:tc>
      </w:tr>
    </w:tbl>
    <w:p w:rsidRPr="00EB1EC1" w:rsidR="00AC5114" w:rsidP="00574C9B" w:rsidRDefault="00AC5114" w14:paraId="61C70F1A" w14:textId="77777777">
      <w:pPr>
        <w:rPr>
          <w:lang w:val="en-GB"/>
        </w:rPr>
      </w:pPr>
    </w:p>
    <w:p w:rsidRPr="00EB1EC1" w:rsidR="00AC5114" w:rsidP="00574C9B" w:rsidRDefault="00AC5114" w14:paraId="2C9B4099" w14:textId="77777777">
      <w:pPr>
        <w:rPr>
          <w:lang w:val="en-GB"/>
        </w:rPr>
        <w:sectPr w:rsidRPr="00EB1EC1" w:rsidR="00AC5114" w:rsidSect="00A85168">
          <w:headerReference w:type="even" r:id="rId18"/>
          <w:headerReference w:type="default" r:id="rId19"/>
          <w:footerReference w:type="default" r:id="rId20"/>
          <w:headerReference w:type="first" r:id="rId21"/>
          <w:pgSz w:w="11907" w:h="16839" w:code="9"/>
          <w:pgMar w:top="5669" w:right="1418" w:bottom="1418" w:left="1418" w:header="709" w:footer="709" w:gutter="0"/>
          <w:cols w:space="720"/>
          <w:docGrid w:linePitch="360"/>
        </w:sectPr>
      </w:pPr>
    </w:p>
    <w:p w:rsidRPr="00EB7CB8" w:rsidR="00296DEA" w:rsidP="00296DEA" w:rsidRDefault="00296DEA" w14:paraId="5B09F37D" w14:textId="77777777">
      <w:pPr>
        <w:rPr>
          <w:b/>
          <w:i/>
        </w:rPr>
      </w:pPr>
      <w:r>
        <w:rPr>
          <w:b/>
          <w:i/>
        </w:rPr>
        <w:lastRenderedPageBreak/>
        <w:t>PREAMBUL</w:t>
      </w:r>
    </w:p>
    <w:p w:rsidRPr="00EB7CB8" w:rsidR="00296DEA" w:rsidP="00296DEA" w:rsidRDefault="00296DEA" w14:paraId="27CEEE4F" w14:textId="77777777">
      <w:pPr>
        <w:rPr>
          <w:i/>
          <w:lang w:val="en-GB"/>
        </w:rPr>
      </w:pPr>
    </w:p>
    <w:p w:rsidRPr="00EB7CB8" w:rsidR="00296DEA" w:rsidP="00296DEA" w:rsidRDefault="00296DEA" w14:paraId="489915C1" w14:textId="77777777">
      <w:pPr>
        <w:pStyle w:val="Heading1"/>
        <w:keepNext/>
        <w:numPr>
          <w:ilvl w:val="0"/>
          <w:numId w:val="0"/>
        </w:numPr>
        <w:rPr>
          <w:b/>
          <w:bCs/>
        </w:rPr>
      </w:pPr>
      <w:r>
        <w:rPr>
          <w:i/>
        </w:rPr>
        <w:t>Prezentul aviz face parte dintr-un pachet mai larg de avize ale CESE privind criza costului vieții. Prin acest pachet, CESE examinează diferitele fațete ale acestei provocări politice și prezintă un set cuprinzător și amplu de recomandări responsabililor politici europeni și naționali, organizațiilor societății civile și altor părți interesate. Pachetul include șapte „avize sectoriale”</w:t>
      </w:r>
      <w:r w:rsidRPr="00EB7CB8">
        <w:rPr>
          <w:rStyle w:val="FootnoteReference"/>
          <w:i/>
          <w:iCs/>
          <w:lang w:val="en-GB"/>
        </w:rPr>
        <w:footnoteReference w:id="1"/>
      </w:r>
      <w:r>
        <w:rPr>
          <w:i/>
        </w:rPr>
        <w:t>, fiecare dedicat problemelor dintr-un anumit domeniu de politică relevant. În plus, un „aviz-umbrelă”</w:t>
      </w:r>
      <w:r w:rsidRPr="00EB7CB8">
        <w:rPr>
          <w:rStyle w:val="FootnoteReference"/>
          <w:i/>
          <w:iCs/>
          <w:lang w:val="en-GB"/>
        </w:rPr>
        <w:footnoteReference w:id="2"/>
      </w:r>
      <w:r>
        <w:rPr>
          <w:i/>
        </w:rPr>
        <w:t xml:space="preserve"> prezintă recomandările politice generale pentru a aborda criza costului vieții în ansamblu și pentru a consolida reziliența la crizele viitoare.</w:t>
      </w:r>
    </w:p>
    <w:p w:rsidRPr="00EB7CB8" w:rsidR="00296DEA" w:rsidP="00296DEA" w:rsidRDefault="00296DEA" w14:paraId="33E46AC6" w14:textId="77777777">
      <w:pPr>
        <w:rPr>
          <w:lang w:val="en-GB"/>
        </w:rPr>
      </w:pPr>
    </w:p>
    <w:p w:rsidRPr="00EB7CB8" w:rsidR="00296DEA" w:rsidP="00296DEA" w:rsidRDefault="00296DEA" w14:paraId="5CE109B7" w14:textId="77777777">
      <w:pPr>
        <w:pStyle w:val="Heading1"/>
        <w:keepNext/>
        <w:rPr>
          <w:b/>
          <w:bCs/>
        </w:rPr>
      </w:pPr>
      <w:r>
        <w:rPr>
          <w:b/>
        </w:rPr>
        <w:t>Concluzii și recomandări</w:t>
      </w:r>
    </w:p>
    <w:p w:rsidRPr="00EB7CB8" w:rsidR="00296DEA" w:rsidP="00296DEA" w:rsidRDefault="00296DEA" w14:paraId="403E9EE0" w14:textId="77777777">
      <w:pPr>
        <w:keepNext/>
        <w:rPr>
          <w:lang w:val="en-GB"/>
        </w:rPr>
      </w:pPr>
    </w:p>
    <w:p w:rsidRPr="00EB7CB8" w:rsidR="00296DEA" w:rsidP="00296DEA" w:rsidRDefault="00296DEA" w14:paraId="3D61D8B5" w14:textId="77777777">
      <w:pPr>
        <w:pStyle w:val="Heading2"/>
      </w:pPr>
      <w:r>
        <w:t xml:space="preserve">Creșterea costului vieții, inclusiv a prețurilor energiei și alimentelor și a cheltuielilor cu locuința, combinată cu o creștere generală a prețurilor, a afectat condițiile de viață ale populației din întreaga </w:t>
      </w:r>
      <w:proofErr w:type="spellStart"/>
      <w:r>
        <w:t>Europă</w:t>
      </w:r>
      <w:proofErr w:type="spellEnd"/>
      <w:r>
        <w:t xml:space="preserve"> începând din 2021. În ciuda redresării de până acum, prețurile continuă să fie ridicate, iar incertitudinea geopolitică generează riscuri care pot conduce la noi creșteri ale prețurilor.</w:t>
      </w:r>
    </w:p>
    <w:p w:rsidRPr="00EB7CB8" w:rsidR="00296DEA" w:rsidP="00296DEA" w:rsidRDefault="00296DEA" w14:paraId="6DC36FB8" w14:textId="77777777">
      <w:pPr>
        <w:pStyle w:val="Heading2"/>
        <w:numPr>
          <w:ilvl w:val="0"/>
          <w:numId w:val="0"/>
        </w:numPr>
        <w:rPr>
          <w:lang w:val="en-GB"/>
        </w:rPr>
      </w:pPr>
    </w:p>
    <w:p w:rsidRPr="00EB7CB8" w:rsidR="00296DEA" w:rsidP="00296DEA" w:rsidRDefault="00296DEA" w14:paraId="7DA1C91F" w14:textId="77777777">
      <w:pPr>
        <w:pStyle w:val="Heading2"/>
      </w:pPr>
      <w:r>
        <w:t>CESE consideră că este esențial ca UE să fie bine pregătită să prevină și să gestioneze în timp util eventualele noi circumstanțe care riscă să afecteze costul vieții. Deși prevenirea crizelor este obiectivul principal, acest demers trebuie însoțit de o mai bună reziliență în fața riscurilor și, în ultimă instanță, de atenuarea impactului efectiv. Gestionarea crizelor necesită măsuri structurale și pe termen lung, precum și acțiuni urgente și punctuale.</w:t>
      </w:r>
    </w:p>
    <w:p w:rsidRPr="00EB7CB8" w:rsidR="00296DEA" w:rsidP="00296DEA" w:rsidRDefault="00296DEA" w14:paraId="42AD9E07" w14:textId="77777777">
      <w:pPr>
        <w:rPr>
          <w:lang w:val="en-GB"/>
        </w:rPr>
      </w:pPr>
    </w:p>
    <w:p w:rsidRPr="00EB7CB8" w:rsidR="00296DEA" w:rsidP="00296DEA" w:rsidRDefault="00296DEA" w14:paraId="19943E73" w14:textId="77777777">
      <w:pPr>
        <w:pStyle w:val="Heading2"/>
      </w:pPr>
      <w:r>
        <w:t>Accesul tuturor la servicii de interes general de bună calitate și la prețuri rezonabile este esențial pentru reducerea costului vieții. CESE face apel la cooperare și la o repartizare semnificativă a sarcinilor între sectorul public, cel non-profit și cel privat. De asemenea, CESE subliniază rolul unor investiții și finanțări adecvate și al dezvoltării de abordări inovatoare.</w:t>
      </w:r>
    </w:p>
    <w:p w:rsidRPr="00EB7CB8" w:rsidR="00296DEA" w:rsidP="00296DEA" w:rsidRDefault="00296DEA" w14:paraId="672C7553" w14:textId="77777777">
      <w:pPr>
        <w:rPr>
          <w:lang w:val="en-GB"/>
        </w:rPr>
      </w:pPr>
    </w:p>
    <w:p w:rsidRPr="00EB7CB8" w:rsidR="00296DEA" w:rsidP="00296DEA" w:rsidRDefault="00296DEA" w14:paraId="2F9DF028" w14:textId="77777777">
      <w:pPr>
        <w:pStyle w:val="Heading2"/>
      </w:pPr>
      <w:r>
        <w:t>Prețurile energiei sunt esențiale atât pentru gospodării, cât și pentru întreprinderi. CESE a pledat pentru o reformă fundamentală</w:t>
      </w:r>
      <w:r w:rsidRPr="00EB7CB8">
        <w:rPr>
          <w:rStyle w:val="FootnoteReference"/>
          <w:lang w:val="en-GB"/>
        </w:rPr>
        <w:footnoteReference w:id="3"/>
      </w:r>
      <w:r>
        <w:t xml:space="preserve"> a structurii pieței energiei, pentru a obține prețuri mai scăzute și stabile pentru energie. CESE solicită, de asemenea, reforme bine concepute în domeniul impozitării energiei și o eliminare treptată, în funcție de prejudiciile cauzate, a subvențiilor pentru combustibilii fosili; aceste măsuri ar trebui întreprinse astfel încât să se diminueze costurile pentru </w:t>
      </w:r>
      <w:r>
        <w:lastRenderedPageBreak/>
        <w:t xml:space="preserve">gospodării și întreprinderi, să se contribuie la sprijinirea celor mai vulnerabile persoane și să se stimuleze investițiile în sisteme energetice </w:t>
      </w:r>
      <w:proofErr w:type="spellStart"/>
      <w:r>
        <w:t>decarbonizate</w:t>
      </w:r>
      <w:proofErr w:type="spellEnd"/>
      <w:r>
        <w:t xml:space="preserve"> și în cercetare și inovare.</w:t>
      </w:r>
    </w:p>
    <w:p w:rsidRPr="00EB7CB8" w:rsidR="00296DEA" w:rsidP="00296DEA" w:rsidRDefault="00296DEA" w14:paraId="591303CC" w14:textId="77777777">
      <w:pPr>
        <w:pStyle w:val="Heading2"/>
        <w:numPr>
          <w:ilvl w:val="0"/>
          <w:numId w:val="0"/>
        </w:numPr>
        <w:ind w:left="567"/>
        <w:rPr>
          <w:lang w:val="en-GB"/>
        </w:rPr>
      </w:pPr>
    </w:p>
    <w:p w:rsidRPr="00EB7CB8" w:rsidR="00296DEA" w:rsidP="00296DEA" w:rsidRDefault="00296DEA" w14:paraId="49859E12" w14:textId="77777777">
      <w:pPr>
        <w:pStyle w:val="Heading2"/>
      </w:pPr>
      <w:r>
        <w:t>O capacitate de producție europeană puternică este din ce în ce mai importantă pentru îmbunătățirea securității economice și a rezilienței la creșterile prețurilor externe. CESE solicită o politică industrială modernă, orientată spre inovare și cuprinzătoare, care să faciliteze „reindustrializarea” Europei. Trebuie asigurat accesul la prețuri corecte pentru energie și materii prime, pentru a face costurile de producție competitive. Un acces mai bun la finanțare este, de asemenea, esențial, inclusiv pentru IMM-uri și entitățile economiei sociale.</w:t>
      </w:r>
    </w:p>
    <w:p w:rsidRPr="00EB7CB8" w:rsidR="00296DEA" w:rsidP="00296DEA" w:rsidRDefault="00296DEA" w14:paraId="260E0723" w14:textId="77777777">
      <w:pPr>
        <w:rPr>
          <w:lang w:val="en-GB"/>
        </w:rPr>
      </w:pPr>
    </w:p>
    <w:p w:rsidRPr="00EB7CB8" w:rsidR="00296DEA" w:rsidP="00296DEA" w:rsidRDefault="00296DEA" w14:paraId="03348117" w14:textId="77777777">
      <w:pPr>
        <w:pStyle w:val="Heading2"/>
      </w:pPr>
      <w:r>
        <w:t>CESE subliniază că este nevoie să se simplifice reglementările, să se accelereze procedurile de autorizare și să se reducă sarcinile administrative neproductive, pentru a reduce costurile și pentru a stimula inovarea, investițiile și schimburile comerciale, fără a reduce standardele sociale și de mediu.</w:t>
      </w:r>
    </w:p>
    <w:p w:rsidRPr="00EB7CB8" w:rsidR="00296DEA" w:rsidP="00296DEA" w:rsidRDefault="00296DEA" w14:paraId="10490BC0" w14:textId="77777777">
      <w:pPr>
        <w:rPr>
          <w:lang w:val="en-GB"/>
        </w:rPr>
      </w:pPr>
    </w:p>
    <w:p w:rsidRPr="00EB7CB8" w:rsidR="00296DEA" w:rsidP="00296DEA" w:rsidRDefault="00296DEA" w14:paraId="5D5487A9" w14:textId="77777777">
      <w:pPr>
        <w:pStyle w:val="Heading2"/>
      </w:pPr>
      <w:r>
        <w:t>Piața unică are o valoare inestimabilă pentru cetățenii UE în ceea ce privește disponibilitatea unei game mai largi de produse la prețuri mai mici și oferă, de asemenea, securitate economică împotriva șocurilor prețurilor externe. CESE solicită ferm eliminarea disfuncționalităților pieței, prin aplicarea eficace a normelor existente privind piața unică și concurența și prin reducerea barierelor rămase în calea tuturor celor „patru libertăți”, precum și a „celei de-a cincea libertăți” – inovarea și educația.</w:t>
      </w:r>
    </w:p>
    <w:p w:rsidRPr="00EB7CB8" w:rsidR="00296DEA" w:rsidP="00296DEA" w:rsidRDefault="00296DEA" w14:paraId="0EE5571B" w14:textId="77777777">
      <w:pPr>
        <w:rPr>
          <w:lang w:val="en-GB"/>
        </w:rPr>
      </w:pPr>
    </w:p>
    <w:p w:rsidRPr="00EB7CB8" w:rsidR="00296DEA" w:rsidP="00296DEA" w:rsidRDefault="00296DEA" w14:paraId="0F4B7231" w14:textId="77777777">
      <w:pPr>
        <w:pStyle w:val="Heading2"/>
      </w:pPr>
      <w:r>
        <w:t>De asemenea, trebuie asigurate condiții favorabile pentru un comerț durabil și echitabil, pentru a menține prețurile la un nivel rezonabil. CESE solicită consolidarea activă a acordurilor comerciale și a parteneriatelor economice – ținându-se seama în mod corespunzător de standardele sociale și de mediu – pentru a ajunge la noi piețe și la lanțuri de aprovizionare diversificate, reducând astfel vulnerabilitatea la măsurile comerciale protecționiste și impactul acestora asupra prețurilor.</w:t>
      </w:r>
    </w:p>
    <w:p w:rsidRPr="00EB7CB8" w:rsidR="00296DEA" w:rsidP="00296DEA" w:rsidRDefault="00296DEA" w14:paraId="5C686AEF" w14:textId="77777777">
      <w:pPr>
        <w:rPr>
          <w:lang w:val="en-GB"/>
        </w:rPr>
      </w:pPr>
    </w:p>
    <w:p w:rsidRPr="00EB7CB8" w:rsidR="00296DEA" w:rsidP="00296DEA" w:rsidRDefault="00296DEA" w14:paraId="2CDB4850" w14:textId="77777777">
      <w:pPr>
        <w:pStyle w:val="Heading2"/>
      </w:pPr>
      <w:r>
        <w:t>CESE consideră că este important să se garanteze că politicile și măsurile care afectează costul vieții sunt echitabile și eficiente, indiferent dacă privesc dubla tranziție verde și digitală, lanțurile valorice, securitatea socială, fiscalitatea sau orice alte subiecte relevante. În acest sens, este necesar ca aspectele economice, sociale și de mediu să fie luate în considerare în mod integrat și să se susțină reciproc.</w:t>
      </w:r>
    </w:p>
    <w:p w:rsidRPr="00EB7CB8" w:rsidR="00296DEA" w:rsidP="00296DEA" w:rsidRDefault="00296DEA" w14:paraId="7371F7B5" w14:textId="77777777">
      <w:pPr>
        <w:rPr>
          <w:lang w:val="en-GB"/>
        </w:rPr>
      </w:pPr>
    </w:p>
    <w:p w:rsidRPr="00EB7CB8" w:rsidR="00296DEA" w:rsidP="00296DEA" w:rsidRDefault="00296DEA" w14:paraId="7638C201" w14:textId="77777777">
      <w:pPr>
        <w:pStyle w:val="Heading2"/>
      </w:pPr>
      <w:r>
        <w:t>Un cost al vieții ridicat îi afectează cel mai mult pe cei mai vulnerabili, crescând astfel inegalitățile. CESE solicită statelor membre să prevadă măsuri specifice de sprijin pentru a proteja persoanele cele mai defavorizate, pe baza unei monitorizări adecvate și a unor evaluări ale impactului. Atunci când se elaborează politici de abordare a costului vieții, trebuie să se acorde atenția cuvenită și impactului pe termen lung asupra generațiilor viitoare.</w:t>
      </w:r>
    </w:p>
    <w:p w:rsidRPr="00EB7CB8" w:rsidR="00296DEA" w:rsidP="00296DEA" w:rsidRDefault="00296DEA" w14:paraId="7A7785E3" w14:textId="77777777">
      <w:pPr>
        <w:pStyle w:val="Heading2"/>
        <w:numPr>
          <w:ilvl w:val="0"/>
          <w:numId w:val="0"/>
        </w:numPr>
        <w:ind w:left="567"/>
        <w:rPr>
          <w:lang w:val="en-GB"/>
        </w:rPr>
      </w:pPr>
    </w:p>
    <w:p w:rsidRPr="00EB7CB8" w:rsidR="00296DEA" w:rsidP="00296DEA" w:rsidRDefault="00296DEA" w14:paraId="56585A76" w14:textId="77777777">
      <w:pPr>
        <w:pStyle w:val="Heading2"/>
      </w:pPr>
      <w:r>
        <w:t>Trebuie depuse eforturi specifice pentru furnizarea de locuințe adecvate și la prețuri accesibile pentru diverse nevoi, inclusiv pentru tineri. Este nevoie de inovare și de o amenajare adecvată a teritoriului pentru a accelera construcția și renovarea. Ar trebui să se promoveze locuințele sociale, pentru a contribui la asigurarea accesului tuturor cetățenilor la locuințe la prețuri rezonabile.</w:t>
      </w:r>
    </w:p>
    <w:p w:rsidRPr="00EB7CB8" w:rsidR="00296DEA" w:rsidP="00296DEA" w:rsidRDefault="00296DEA" w14:paraId="16934A98" w14:textId="77777777">
      <w:pPr>
        <w:rPr>
          <w:lang w:val="en-GB"/>
        </w:rPr>
      </w:pPr>
    </w:p>
    <w:p w:rsidRPr="00EB7CB8" w:rsidR="00296DEA" w:rsidP="00296DEA" w:rsidRDefault="00296DEA" w14:paraId="2BA16803" w14:textId="77777777">
      <w:pPr>
        <w:pStyle w:val="Heading2"/>
      </w:pPr>
      <w:r>
        <w:lastRenderedPageBreak/>
        <w:t xml:space="preserve">CESE subliniază că stimularea creării de locuri de muncă de calitate și promovarea ocupării depline, decente și incluzive a forței de muncă reprezintă o modalitate fundamentală de asigurare a rezilienței economice și sociale la creșterea prețurilor. În acest sens este nevoie de un mediu favorabil </w:t>
      </w:r>
      <w:proofErr w:type="spellStart"/>
      <w:r>
        <w:t>antreprenoriatului</w:t>
      </w:r>
      <w:proofErr w:type="spellEnd"/>
      <w:r>
        <w:t xml:space="preserve"> și afacerilor, inclusiv de sprijin pentru dezvoltarea economiei sociale. Aceasta din urmă este esențială pentru crearea de locuri de muncă destinate celor care nu pot lucra pe piața primară a muncii.</w:t>
      </w:r>
    </w:p>
    <w:p w:rsidRPr="00EB7CB8" w:rsidR="00296DEA" w:rsidP="00296DEA" w:rsidRDefault="00296DEA" w14:paraId="6A1FF6CE" w14:textId="77777777">
      <w:pPr>
        <w:rPr>
          <w:lang w:val="en-GB"/>
        </w:rPr>
      </w:pPr>
    </w:p>
    <w:p w:rsidRPr="00EB7CB8" w:rsidR="00296DEA" w:rsidP="00296DEA" w:rsidRDefault="00296DEA" w14:paraId="674C341F" w14:textId="77777777">
      <w:pPr>
        <w:pStyle w:val="Heading2"/>
      </w:pPr>
      <w:r>
        <w:t>CESE subliniază rolul crucial al educației și al dezvoltării competențelor pentru a le permite oamenilor să obțină locuri de muncă de calitate și venituri mai bune. Un dialog social funcțional și o negociere colectivă bine dezvoltată, în conformitate cu practicile naționale și cu autonomia partenerilor sociali, sunt mijloace esențiale de abordare a problemelor referitoare la puterea de cumpărare legate de lumea muncii, contribuind astfel la crearea coeziunii sociale și la asigurarea unei vieți decente pentru toți. La rândul său, dialogul civil este necesar pentru a include opiniile cetățenilor în elaborarea politicilor care le afectează condițiile de viață.</w:t>
      </w:r>
    </w:p>
    <w:p w:rsidRPr="00EB7CB8" w:rsidR="00296DEA" w:rsidP="00296DEA" w:rsidRDefault="00296DEA" w14:paraId="717869B1" w14:textId="77777777">
      <w:pPr>
        <w:pStyle w:val="Heading2"/>
        <w:numPr>
          <w:ilvl w:val="0"/>
          <w:numId w:val="0"/>
        </w:numPr>
        <w:ind w:left="567" w:hanging="567"/>
        <w:rPr>
          <w:lang w:val="en-GB"/>
        </w:rPr>
      </w:pPr>
    </w:p>
    <w:p w:rsidRPr="00EB7CB8" w:rsidR="00296DEA" w:rsidP="00296DEA" w:rsidRDefault="00296DEA" w14:paraId="337BA2BD" w14:textId="77777777">
      <w:pPr>
        <w:pStyle w:val="Heading2"/>
      </w:pPr>
      <w:r>
        <w:t>CESE subliniază că, pentru a soluționa problema costului vieții, este nevoie de investiții publice și private în inovare și în infrastructură, care să acopere locuințele, energia, sistemele digitale și de transport, educația, îngrijirile de sănătate și serviciile sociale, precum și securitatea și capacitatea de apărare. Pentru a putea finanța gama largă de investiții necesare pentru binele comun, trebuie promovate cu fermitate o productivitate sporită și o creștere economică solidă, asigurând în același timp finanțe publice sustenabile și transparente.</w:t>
      </w:r>
    </w:p>
    <w:p w:rsidRPr="00EB7CB8" w:rsidR="00296DEA" w:rsidP="00296DEA" w:rsidRDefault="00296DEA" w14:paraId="291EF4D1" w14:textId="77777777">
      <w:pPr>
        <w:rPr>
          <w:lang w:val="en-GB"/>
        </w:rPr>
      </w:pPr>
    </w:p>
    <w:p w:rsidRPr="00EB7CB8" w:rsidR="00296DEA" w:rsidP="00296DEA" w:rsidRDefault="00296DEA" w14:paraId="23A2CCB2" w14:textId="77777777">
      <w:pPr>
        <w:pStyle w:val="Heading1"/>
        <w:keepNext/>
      </w:pPr>
      <w:r>
        <w:rPr>
          <w:b/>
        </w:rPr>
        <w:t>Evoluții recente ale costului vieții</w:t>
      </w:r>
    </w:p>
    <w:p w:rsidRPr="00EB7CB8" w:rsidR="00296DEA" w:rsidP="00296DEA" w:rsidRDefault="00296DEA" w14:paraId="3793892E" w14:textId="77777777">
      <w:pPr>
        <w:keepNext/>
        <w:rPr>
          <w:lang w:val="en-GB"/>
        </w:rPr>
      </w:pPr>
    </w:p>
    <w:p w:rsidRPr="00EB7CB8" w:rsidR="00296DEA" w:rsidP="00296DEA" w:rsidRDefault="00296DEA" w14:paraId="32026C40" w14:textId="77777777">
      <w:pPr>
        <w:pStyle w:val="Heading2"/>
      </w:pPr>
      <w:r>
        <w:t xml:space="preserve">Începând din 2021, creșterea prețurilor energiei și alimentelor, a cheltuielilor cu locuința și transportul, precum și a taxelor pentru serviciile publice – combinată cu o creștere generală a prețurilor bunurilor și serviciilor – a avut impact asupra cetățenilor din întreaga </w:t>
      </w:r>
      <w:proofErr w:type="spellStart"/>
      <w:r>
        <w:t>Europă</w:t>
      </w:r>
      <w:proofErr w:type="spellEnd"/>
      <w:r>
        <w:t xml:space="preserve"> și nu numai. Aceste evoluții au pus la încercare respectarea valorilor Uniunii Europene, printre care și protecția demnității umane, și a dispozițiilor Pilonului european al drepturilor sociale. Acest lucru a afectat condițiile de viață ale oamenilor și a condus la efecte negative asupra stării de spirit din societate și a vieții politice, iar în unele țări, mișcările populiste au prezentat soluții rapide și ușoare, însă nepractice, pentru lanțul foarte complex de cauze.</w:t>
      </w:r>
    </w:p>
    <w:p w:rsidRPr="00EB7CB8" w:rsidR="00296DEA" w:rsidP="00296DEA" w:rsidRDefault="00296DEA" w14:paraId="21FF921E" w14:textId="77777777">
      <w:pPr>
        <w:rPr>
          <w:lang w:val="en-GB"/>
        </w:rPr>
      </w:pPr>
    </w:p>
    <w:p w:rsidRPr="00EB7CB8" w:rsidR="00296DEA" w:rsidP="00296DEA" w:rsidRDefault="00296DEA" w14:paraId="64954B95" w14:textId="77777777">
      <w:pPr>
        <w:pStyle w:val="Heading2"/>
      </w:pPr>
      <w:r>
        <w:t>Creșterea rapidă a prețurilor energiei în urma agresiunii și invaziei Rusiei în Ucraina a contribuit la o evoluție inflaționistă, reducând salariile reale. Costul alimentelor de bază și al altor produse de primă necesitate a avut tendința de a crește cel mai mult, punând mai ales persoanele cu venituri mici în situația de a avea dificultăți în a-și plăti facturile și conducând la creșterea nivelului de sărăcie energetică și la evoluții negative conexe ale condițiilor economice și ale accesului la servicii esențiale la prețuri rezonabile. Aceste evoluții au determinat guvernele să acționeze, nu în ultimul rând pentru a preveni inegalitățile și distribuirea inechitabilă a sarcinilor.</w:t>
      </w:r>
    </w:p>
    <w:p w:rsidRPr="00EB7CB8" w:rsidR="00296DEA" w:rsidP="00296DEA" w:rsidRDefault="00296DEA" w14:paraId="4E81864B" w14:textId="77777777">
      <w:pPr>
        <w:pStyle w:val="Heading2"/>
        <w:numPr>
          <w:ilvl w:val="0"/>
          <w:numId w:val="0"/>
        </w:numPr>
        <w:ind w:left="567" w:hanging="567"/>
        <w:rPr>
          <w:lang w:val="en-GB"/>
        </w:rPr>
      </w:pPr>
    </w:p>
    <w:p w:rsidRPr="00EB7CB8" w:rsidR="00296DEA" w:rsidP="002D0203" w:rsidRDefault="00296DEA" w14:paraId="5A09CC0D" w14:textId="77777777">
      <w:pPr>
        <w:pStyle w:val="Heading2"/>
        <w:keepNext/>
        <w:keepLines/>
      </w:pPr>
      <w:r>
        <w:lastRenderedPageBreak/>
        <w:t>În ciuda problemelor, cifrele agregate referitoare la evoluțiile economice au rămas surprinzător de robuste, după cum a raportat Comisia</w:t>
      </w:r>
      <w:r w:rsidRPr="00EB7CB8">
        <w:rPr>
          <w:rStyle w:val="FootnoteReference"/>
          <w:lang w:val="en-GB"/>
        </w:rPr>
        <w:footnoteReference w:id="4"/>
      </w:r>
      <w:r>
        <w:t>. Se preconizează că inflația totală va reveni la obiectivul pe termen mediu în 2025 și va scădea și mai mult în 2026, pe măsură ce tensiunile legate de lanțurile de aprovizionare puse la grea încercare și de cheltuielile cu energia se vor atenua</w:t>
      </w:r>
      <w:r w:rsidRPr="00EB7CB8">
        <w:rPr>
          <w:rStyle w:val="FootnoteReference"/>
          <w:lang w:val="en-GB"/>
        </w:rPr>
        <w:footnoteReference w:id="5"/>
      </w:r>
      <w:r>
        <w:t>. Totuși, este posibil ca aceste previziuni să nu se concretizeze în condițiile geopolitice actuale. În ciuda dezinflației, prețurile rămân ridicate, reprezentând o povară pentru gospodării și întreprinderi.</w:t>
      </w:r>
    </w:p>
    <w:p w:rsidRPr="00EB7CB8" w:rsidR="00296DEA" w:rsidP="00296DEA" w:rsidRDefault="00296DEA" w14:paraId="44E602A3" w14:textId="77777777">
      <w:pPr>
        <w:rPr>
          <w:lang w:val="en-GB"/>
        </w:rPr>
      </w:pPr>
    </w:p>
    <w:p w:rsidRPr="00EB7CB8" w:rsidR="00296DEA" w:rsidP="00296DEA" w:rsidRDefault="00296DEA" w14:paraId="470000FB" w14:textId="77777777">
      <w:pPr>
        <w:pStyle w:val="Heading2"/>
      </w:pPr>
      <w:r>
        <w:t>Succesul procesului de dezinflație a fost însoțit de piețe ale muncii solide, care au sfidat temerile legate de pierderea multor locuri de muncă în fața unor șocuri macroeconomice majore. Potrivit Comisiei, reziliența piețelor muncii a fost esențială pentru susținerea economiei</w:t>
      </w:r>
      <w:r w:rsidRPr="00EB7CB8">
        <w:rPr>
          <w:rStyle w:val="FootnoteReference"/>
          <w:lang w:val="en-GB"/>
        </w:rPr>
        <w:footnoteReference w:id="6"/>
      </w:r>
      <w:r>
        <w:t>. Creșterea economică cea mai puternică a avut loc în sectorul serviciilor, în special în domeniul tehnologiilor informației și comunicațiilor, în sectorul financiar și al asigurărilor și în sectorul imobiliar, precum și în sectorul public. Deși numărul locurilor de muncă ocupate a crescut cu trei milioane în zona euro de la sfârșitul anului 2022 până la mijlocul anului 2024, iar salariile reale au început să crească pe fondul scăderii rapide a inflației</w:t>
      </w:r>
      <w:r w:rsidRPr="00EB7CB8">
        <w:rPr>
          <w:rStyle w:val="FootnoteReference"/>
          <w:lang w:val="en-GB"/>
        </w:rPr>
        <w:footnoteReference w:id="7"/>
      </w:r>
      <w:r>
        <w:t>, nu toate statele membre și regiunile au beneficiat de această creștere. Preocupările geopolitice reînnoite au dus la o redresare economică slabă, iar unele sectoare au înregistrat concedieri masive și multe falimente.</w:t>
      </w:r>
    </w:p>
    <w:p w:rsidRPr="00EB7CB8" w:rsidR="00296DEA" w:rsidP="00296DEA" w:rsidRDefault="00296DEA" w14:paraId="663267E3" w14:textId="77777777">
      <w:pPr>
        <w:pStyle w:val="Heading2"/>
        <w:numPr>
          <w:ilvl w:val="0"/>
          <w:numId w:val="0"/>
        </w:numPr>
        <w:ind w:left="567" w:hanging="567"/>
        <w:rPr>
          <w:lang w:val="en-GB"/>
        </w:rPr>
      </w:pPr>
    </w:p>
    <w:p w:rsidRPr="00EB7CB8" w:rsidR="00296DEA" w:rsidP="00296DEA" w:rsidRDefault="00296DEA" w14:paraId="36C84CFA" w14:textId="77777777">
      <w:pPr>
        <w:pStyle w:val="Heading2"/>
      </w:pPr>
      <w:r>
        <w:t>Comisia observă că redresarea puterii de cumpărare este benefică din punct de vedere economic și social, contribuind la cererea agregată. Capacitatea zonei euro de a absorbi șocurile și de a se redresa, așa cum s-a văzut în răspunsul său la pandemie și la șocul din domeniul energetic, a contribuit la acest rezultat. În ansamblu, se preconizează o creștere treptată a PIB-ului real mediu anual. Cu toate acestea, continuă să existe disparități regionale, iar creșterea incertitudinii geopolitice poate genera riscuri atât în ceea ce privește perspectivele de creștere, cât și evoluția pieței muncii.</w:t>
      </w:r>
    </w:p>
    <w:p w:rsidRPr="00EB7CB8" w:rsidR="00296DEA" w:rsidP="00296DEA" w:rsidRDefault="00296DEA" w14:paraId="3D3DE0AC" w14:textId="77777777">
      <w:pPr>
        <w:pStyle w:val="Heading2"/>
        <w:numPr>
          <w:ilvl w:val="0"/>
          <w:numId w:val="0"/>
        </w:numPr>
        <w:ind w:left="567" w:hanging="567"/>
        <w:rPr>
          <w:lang w:val="en-GB"/>
        </w:rPr>
      </w:pPr>
    </w:p>
    <w:p w:rsidRPr="00EB7CB8" w:rsidR="00296DEA" w:rsidP="00296DEA" w:rsidRDefault="00296DEA" w14:paraId="09E0F5C3" w14:textId="77777777">
      <w:pPr>
        <w:pStyle w:val="Heading2"/>
      </w:pPr>
      <w:r>
        <w:t>După cum a raportat Comisia, ponderea persoanelor în risc de sărăcie sau de excluziune socială (AROPE) a scăzut ușor, dar problemele sociale persistă</w:t>
      </w:r>
      <w:r w:rsidRPr="00EB7CB8">
        <w:rPr>
          <w:rStyle w:val="FootnoteReference"/>
          <w:lang w:val="en-GB"/>
        </w:rPr>
        <w:footnoteReference w:id="8"/>
      </w:r>
      <w:r>
        <w:t xml:space="preserve">. Conform estimărilor </w:t>
      </w:r>
      <w:proofErr w:type="spellStart"/>
      <w:r>
        <w:t>Eurostat</w:t>
      </w:r>
      <w:proofErr w:type="spellEnd"/>
      <w:r>
        <w:t xml:space="preserve"> Flash, ponderea persoanelor expuse riscului de sărăcie în zona euro ar urma să rămână stabilă și în 2024. În unele țări, scăderea riscului de sărăcie poate fi parțial legată de creșterea puternică a salariului minim prevăzut de lege</w:t>
      </w:r>
      <w:r w:rsidRPr="00EB7CB8">
        <w:rPr>
          <w:rStyle w:val="FootnoteReference"/>
          <w:lang w:val="en-GB"/>
        </w:rPr>
        <w:footnoteReference w:id="9"/>
      </w:r>
      <w:r>
        <w:t>. Cu toate acestea, o cincime din populația UE este expusă riscului de sărăcie sau de excluziune socială.</w:t>
      </w:r>
    </w:p>
    <w:p w:rsidRPr="00EB7CB8" w:rsidR="00296DEA" w:rsidP="00296DEA" w:rsidRDefault="00296DEA" w14:paraId="1640F410" w14:textId="77777777">
      <w:pPr>
        <w:pStyle w:val="Heading2"/>
        <w:numPr>
          <w:ilvl w:val="0"/>
          <w:numId w:val="0"/>
        </w:numPr>
        <w:ind w:left="567" w:hanging="567"/>
        <w:rPr>
          <w:lang w:val="en-GB"/>
        </w:rPr>
      </w:pPr>
    </w:p>
    <w:p w:rsidRPr="00EB7CB8" w:rsidR="00296DEA" w:rsidP="00296DEA" w:rsidRDefault="00296DEA" w14:paraId="54DFC275" w14:textId="77777777">
      <w:pPr>
        <w:pStyle w:val="Heading2"/>
      </w:pPr>
      <w:r>
        <w:lastRenderedPageBreak/>
        <w:t>Dificultățile financiare rămân în continuare ridicate după o creștere în timpul crizei energetice, atât pentru gospodăriile cu venituri mici, cât și pentru cele cu venituri medii inferioare. În contextul prețurilor mai mari și al costurilor de finanțare mai ridicate, gospodăriile cu cele mai mici venituri din UE raportează niveluri ridicate de dificultăți financiare, mai mari decât alte grupuri de venituri</w:t>
      </w:r>
      <w:r w:rsidRPr="00EB7CB8">
        <w:rPr>
          <w:rStyle w:val="FootnoteReference"/>
          <w:lang w:val="en-GB"/>
        </w:rPr>
        <w:footnoteReference w:id="10"/>
      </w:r>
      <w:r>
        <w:t>.</w:t>
      </w:r>
    </w:p>
    <w:p w:rsidRPr="00EB7CB8" w:rsidR="00296DEA" w:rsidP="00296DEA" w:rsidRDefault="00296DEA" w14:paraId="2733E8A2" w14:textId="77777777">
      <w:pPr>
        <w:pStyle w:val="Heading2"/>
        <w:numPr>
          <w:ilvl w:val="0"/>
          <w:numId w:val="0"/>
        </w:numPr>
        <w:ind w:left="567" w:hanging="567"/>
        <w:rPr>
          <w:lang w:val="en-GB"/>
        </w:rPr>
      </w:pPr>
    </w:p>
    <w:p w:rsidRPr="00EB7CB8" w:rsidR="00296DEA" w:rsidP="00296DEA" w:rsidRDefault="00296DEA" w14:paraId="0D70586F" w14:textId="77777777">
      <w:pPr>
        <w:pStyle w:val="Heading2"/>
      </w:pPr>
      <w:r>
        <w:t>Pe măsură ce cheltuielile cu locuința au continuat să depășească creșterea veniturilor, s-au accentuat îngrijorările cu privire la accesibilitatea prețurilor, cu implicații asupra stabilității economice, coeziunii sociale și bunăstării familiilor. Deficitul de locuințe poate afecta, de asemenea, creșterea și competitivitatea pe termen mai lung, precum și coeziunea socială, având în vedere că problemele legate de disponibilitatea și accesibilitatea locuințelor pot descuraja mobilitatea forței de muncă și mobilitatea rezidențială, mai ales dacă nu sunt remediate prin politici adecvate în domeniul locuințelor.</w:t>
      </w:r>
    </w:p>
    <w:p w:rsidRPr="00EB7CB8" w:rsidR="00296DEA" w:rsidP="00296DEA" w:rsidRDefault="00296DEA" w14:paraId="29FD5C0A" w14:textId="77777777">
      <w:pPr>
        <w:pStyle w:val="Heading2"/>
        <w:numPr>
          <w:ilvl w:val="0"/>
          <w:numId w:val="0"/>
        </w:numPr>
        <w:ind w:left="567" w:hanging="567"/>
        <w:rPr>
          <w:lang w:val="en-GB"/>
        </w:rPr>
      </w:pPr>
    </w:p>
    <w:p w:rsidRPr="00EB7CB8" w:rsidR="00296DEA" w:rsidP="00296DEA" w:rsidRDefault="00296DEA" w14:paraId="77C0AA92" w14:textId="77777777">
      <w:pPr>
        <w:pStyle w:val="Heading2"/>
      </w:pPr>
      <w:r>
        <w:t xml:space="preserve">Situația geopolitică și </w:t>
      </w:r>
      <w:proofErr w:type="spellStart"/>
      <w:r>
        <w:t>geoeconomică</w:t>
      </w:r>
      <w:proofErr w:type="spellEnd"/>
      <w:r>
        <w:t xml:space="preserve"> ar putea foarte bine să conducă la noi creșteri ale prețurilor</w:t>
      </w:r>
      <w:r w:rsidRPr="00EB7CB8">
        <w:rPr>
          <w:rStyle w:val="FootnoteReference"/>
          <w:lang w:val="en-GB"/>
        </w:rPr>
        <w:footnoteReference w:id="11"/>
      </w:r>
      <w:r>
        <w:t>. În plus, politicile interne lipsite de viziune la nivelul statelor membre sau al UE – de exemplu, ca urmare a unor evaluări inadecvate ale impactului – ar putea contribui, de asemenea, la creșterea prețurilor. Din cauza mediului în continuă schimbare, este nevoie de evaluarea și monitorizarea intensivă a situației, iar UE trebuie să fie bine pregătită să prevină și să gestioneze în timp util eventualele noi circumstanțe care riscă să afecteze costul vieții.</w:t>
      </w:r>
    </w:p>
    <w:p w:rsidRPr="00EB7CB8" w:rsidR="00296DEA" w:rsidP="00296DEA" w:rsidRDefault="00296DEA" w14:paraId="355C930F" w14:textId="77777777">
      <w:pPr>
        <w:pStyle w:val="Heading2"/>
        <w:numPr>
          <w:ilvl w:val="0"/>
          <w:numId w:val="0"/>
        </w:numPr>
        <w:rPr>
          <w:lang w:val="en-GB"/>
        </w:rPr>
      </w:pPr>
    </w:p>
    <w:p w:rsidRPr="00EB7CB8" w:rsidR="00296DEA" w:rsidP="00296DEA" w:rsidRDefault="00296DEA" w14:paraId="3B826F35" w14:textId="77777777">
      <w:pPr>
        <w:pStyle w:val="Heading1"/>
        <w:keepNext/>
        <w:rPr>
          <w:b/>
          <w:bCs/>
        </w:rPr>
      </w:pPr>
      <w:r>
        <w:rPr>
          <w:b/>
        </w:rPr>
        <w:t>Observații generale</w:t>
      </w:r>
    </w:p>
    <w:p w:rsidRPr="00EB7CB8" w:rsidR="00296DEA" w:rsidP="00296DEA" w:rsidRDefault="00296DEA" w14:paraId="15F1060B" w14:textId="77777777">
      <w:pPr>
        <w:keepNext/>
        <w:rPr>
          <w:lang w:val="en-GB"/>
        </w:rPr>
      </w:pPr>
    </w:p>
    <w:p w:rsidRPr="00EB7CB8" w:rsidR="00296DEA" w:rsidP="00296DEA" w:rsidRDefault="00296DEA" w14:paraId="5A8199E7" w14:textId="77777777">
      <w:pPr>
        <w:pStyle w:val="Heading2"/>
      </w:pPr>
      <w:r>
        <w:t>În general, gestionarea crizelor cuprinde mai multe elemente și etape, obiectivul principal fiind prevenirea crizelor, demers însoțit de îmbunătățirea rezilienței la riscuri și, în ultimă instanță, de atenuarea impactului pentru a evita daunele. Acest lucru este valabil și pentru costul vieții, iar următoarele secțiuni ale prezentului aviz sunt structurate în consecință. Opiniile și recomandările se bazează pe principii universale și transversale și sunt completate de aspecte specifice legate de teme sectoriale.</w:t>
      </w:r>
    </w:p>
    <w:p w:rsidRPr="00EB7CB8" w:rsidR="00296DEA" w:rsidP="00296DEA" w:rsidRDefault="00296DEA" w14:paraId="38FA1ED1" w14:textId="77777777">
      <w:pPr>
        <w:pStyle w:val="Heading2"/>
        <w:numPr>
          <w:ilvl w:val="0"/>
          <w:numId w:val="0"/>
        </w:numPr>
        <w:ind w:left="567" w:hanging="567"/>
        <w:rPr>
          <w:lang w:val="en-GB"/>
        </w:rPr>
      </w:pPr>
    </w:p>
    <w:p w:rsidRPr="00EB7CB8" w:rsidR="00296DEA" w:rsidP="00296DEA" w:rsidRDefault="00296DEA" w14:paraId="6E7D00FA" w14:textId="77777777">
      <w:pPr>
        <w:pStyle w:val="Heading2"/>
      </w:pPr>
      <w:r>
        <w:t>Cea mai bună modalitate de a preveni crizele este adoptarea unor strategii orientate spre viitor și urmărirea în permanență a unor politici solide și durabile. Bazându-ne pe istoria recentă, putem concluziona că dependența de gazul rusesc a fost o mare greșeală și a contribuit la creșteri mari ale cheltuielilor cu energia. Creșterile costurilor s-au răspândit în alte sectoare ale economiei, ceea ce a dus la inflație. În plus, creșterea continuă a cheltuielilor cu locuința are efecte negative de durată asupra prosperității, precum și asupra puterii de cumpărare</w:t>
      </w:r>
      <w:r w:rsidRPr="00EB7CB8">
        <w:rPr>
          <w:rStyle w:val="FootnoteReference"/>
          <w:lang w:val="en-GB"/>
        </w:rPr>
        <w:footnoteReference w:id="12"/>
      </w:r>
      <w:r>
        <w:t>.</w:t>
      </w:r>
    </w:p>
    <w:p w:rsidRPr="00EB7CB8" w:rsidR="00296DEA" w:rsidP="00296DEA" w:rsidRDefault="00296DEA" w14:paraId="4C9B7AD8" w14:textId="77777777">
      <w:pPr>
        <w:pStyle w:val="Heading2"/>
        <w:numPr>
          <w:ilvl w:val="0"/>
          <w:numId w:val="0"/>
        </w:numPr>
        <w:ind w:left="567" w:hanging="567"/>
        <w:rPr>
          <w:lang w:val="en-GB"/>
        </w:rPr>
      </w:pPr>
    </w:p>
    <w:p w:rsidRPr="00EB7CB8" w:rsidR="00296DEA" w:rsidP="00296DEA" w:rsidRDefault="00296DEA" w14:paraId="03C48C69" w14:textId="77777777">
      <w:pPr>
        <w:pStyle w:val="Heading2"/>
      </w:pPr>
      <w:r>
        <w:t xml:space="preserve">Importanța menținerii stabilității prețurilor și necesitatea de a reduce prețurile bunurilor și serviciilor esențiale, cum ar fi energia, au devenit evidente. Cu toate acestea, politicile energetice care au fost aplicate au înrăutățit situația multor persoane, din cauza direcționării deficitare a măsurilor. În multe cazuri, situația a fost agravată de economiile inflexibile – cu o autonomie </w:t>
      </w:r>
      <w:r>
        <w:lastRenderedPageBreak/>
        <w:t>strategică insuficientă – care nu au fost capabile să se adapteze și să creeze noi locuri de muncă suficient de rapid sau să dezvolte noi surse de energie, precum și de incapacitatea de a utiliza în mod corespunzător investițiile publice și de a crea un stimulent necesar pentru economie. Bunele practici relevante nu au fost transferate în toate statele membre.</w:t>
      </w:r>
    </w:p>
    <w:p w:rsidRPr="00EB7CB8" w:rsidR="00296DEA" w:rsidP="00296DEA" w:rsidRDefault="00296DEA" w14:paraId="264B46C0" w14:textId="77777777">
      <w:pPr>
        <w:pStyle w:val="Heading2"/>
        <w:numPr>
          <w:ilvl w:val="0"/>
          <w:numId w:val="0"/>
        </w:numPr>
        <w:ind w:left="567" w:hanging="567"/>
        <w:rPr>
          <w:lang w:val="en-GB"/>
        </w:rPr>
      </w:pPr>
    </w:p>
    <w:p w:rsidRPr="00EB7CB8" w:rsidR="00296DEA" w:rsidP="00296DEA" w:rsidRDefault="00296DEA" w14:paraId="30E60CD7" w14:textId="77777777">
      <w:pPr>
        <w:pStyle w:val="Heading2"/>
      </w:pPr>
      <w:r>
        <w:t>Criza energetică a arătat necesitatea ca politicile să trateze problemele în mod cuprinzător, din unghiuri diferite. De exemplu, ajustările atât ale cererii, cât și ale ofertei de energie s-au dovedit indispensabile, iar necesitatea de a spori simultan securitatea și diversificarea aprovizionării, de a asigura prețuri accesibile și de a realiza decarbonizarea a devenit din ce în ce mai evidentă. De asemenea, este important să se asigure coerența politicilor la diferite niveluri de elaborare a politicilor, în toate domeniile de politică și în diferite momente.</w:t>
      </w:r>
    </w:p>
    <w:p w:rsidRPr="00EB7CB8" w:rsidR="00296DEA" w:rsidP="00296DEA" w:rsidRDefault="00296DEA" w14:paraId="04876CD3" w14:textId="77777777">
      <w:pPr>
        <w:rPr>
          <w:lang w:val="en-GB"/>
        </w:rPr>
      </w:pPr>
    </w:p>
    <w:p w:rsidRPr="00EB7CB8" w:rsidR="00296DEA" w:rsidP="00296DEA" w:rsidRDefault="00296DEA" w14:paraId="5A669086" w14:textId="77777777">
      <w:pPr>
        <w:pStyle w:val="Heading2"/>
      </w:pPr>
      <w:r>
        <w:t>Cu toate acestea, ajustările necesare în cadrul economiilor implică adesea creșteri ale costurilor și prețurilor, care îi afectează pe toți cetățenii, dar diminuează în special puterea de cumpărare a persoanelor cu venituri mici. Acest lucru evidențiază faptul că aspectele economice, sociale și de mediu trebuie să fie luate în considerare într-un mod integrat și axat pe susținerea reciprocă, garantându-se astfel că politicile și măsurile sunt echitabile și eficiente, indiferent dacă se referă la tranziția verde și cea digitală, la lanțurile valorice, la securitatea socială, la impozitare sau la orice alte subiecte relevante.</w:t>
      </w:r>
    </w:p>
    <w:p w:rsidRPr="00EB7CB8" w:rsidR="00296DEA" w:rsidP="00296DEA" w:rsidRDefault="00296DEA" w14:paraId="2BC35586" w14:textId="77777777">
      <w:pPr>
        <w:pStyle w:val="Heading2"/>
        <w:numPr>
          <w:ilvl w:val="0"/>
          <w:numId w:val="0"/>
        </w:numPr>
        <w:ind w:left="567" w:hanging="567"/>
        <w:rPr>
          <w:lang w:val="en-GB"/>
        </w:rPr>
      </w:pPr>
    </w:p>
    <w:p w:rsidRPr="00EB7CB8" w:rsidR="00296DEA" w:rsidP="00296DEA" w:rsidRDefault="00296DEA" w14:paraId="7FB4BE48" w14:textId="77777777">
      <w:pPr>
        <w:pStyle w:val="Heading2"/>
      </w:pPr>
      <w:r>
        <w:t>Se pot învăța lecții importante și din criza provocată de pandemia de COVID-19. În timpul pandemiei, au fost afectate lanțurile de aprovizionare. Europa a fost excesiv de dependentă de importuri în ce privește numeroase bunuri strategice. De atunci, statele membre și Comisia au început să elaboreze strategii pentru limitarea vulnerabilității lanțurilor de aprovizionare. Acest demers poate fi considerat un prim pas important în limitarea riscului de șocuri externe și de tendințe negative ale costului vieții.</w:t>
      </w:r>
    </w:p>
    <w:p w:rsidRPr="00EB7CB8" w:rsidR="00296DEA" w:rsidP="00296DEA" w:rsidRDefault="00296DEA" w14:paraId="53F4D0BB" w14:textId="77777777">
      <w:pPr>
        <w:rPr>
          <w:lang w:val="en-GB"/>
        </w:rPr>
      </w:pPr>
    </w:p>
    <w:p w:rsidRPr="00EB7CB8" w:rsidR="00296DEA" w:rsidP="00296DEA" w:rsidRDefault="00296DEA" w14:paraId="71F88A72" w14:textId="77777777">
      <w:pPr>
        <w:pStyle w:val="Heading2"/>
      </w:pPr>
      <w:r>
        <w:t>În plus, atunci când se analizează sursele evoluției costului vieții, trebuie luate în considerare provocările demografice, impactul schimbărilor climatice și al degradării mediului, diferitele tensiuni geopolitice, precum și migrația și disparitățile regionale.</w:t>
      </w:r>
    </w:p>
    <w:p w:rsidRPr="00EB7CB8" w:rsidR="00296DEA" w:rsidP="00296DEA" w:rsidRDefault="00296DEA" w14:paraId="66E4228F" w14:textId="77777777">
      <w:pPr>
        <w:rPr>
          <w:lang w:val="en-GB"/>
        </w:rPr>
      </w:pPr>
    </w:p>
    <w:p w:rsidRPr="00EB7CB8" w:rsidR="00296DEA" w:rsidP="00296DEA" w:rsidRDefault="00296DEA" w14:paraId="590EBE8F" w14:textId="77777777">
      <w:pPr>
        <w:pStyle w:val="Heading1"/>
        <w:keepNext/>
        <w:keepLines/>
        <w:rPr>
          <w:b/>
          <w:bCs/>
        </w:rPr>
      </w:pPr>
      <w:r>
        <w:rPr>
          <w:b/>
        </w:rPr>
        <w:t>Cum se pot limita riscurile unui cost al vieții ridicat</w:t>
      </w:r>
    </w:p>
    <w:p w:rsidRPr="00EB7CB8" w:rsidR="00296DEA" w:rsidP="00296DEA" w:rsidRDefault="00296DEA" w14:paraId="25B16265" w14:textId="77777777">
      <w:pPr>
        <w:keepNext/>
        <w:keepLines/>
        <w:rPr>
          <w:lang w:val="en-GB"/>
        </w:rPr>
      </w:pPr>
    </w:p>
    <w:p w:rsidRPr="00EB7CB8" w:rsidR="00296DEA" w:rsidP="00296DEA" w:rsidRDefault="00296DEA" w14:paraId="21188C7E" w14:textId="77777777">
      <w:pPr>
        <w:pStyle w:val="Heading2"/>
      </w:pPr>
      <w:r>
        <w:t>Reducerea inflației și atingerea obiectivului BCE privind stabilitatea prețurilor sunt esențiale pentru scăderea costului vieții. Acesta este un domeniu în care politica monetară joacă un rol central. Pe lângă nivelul general al prețurilor, costul vieții depinde de mai mulți factori care afectează prețurile fiecărui tip de bun și serviciu și, prin urmare, trebuie abordat prin măsuri în alte domenii de politică, cum ar fi energia, inovarea, concurența, schimburile comerciale, fiscalitatea și cheltuielile, printre altele.</w:t>
      </w:r>
    </w:p>
    <w:p w:rsidRPr="00EB7CB8" w:rsidR="00296DEA" w:rsidP="00296DEA" w:rsidRDefault="00296DEA" w14:paraId="45D28268" w14:textId="77777777">
      <w:pPr>
        <w:rPr>
          <w:lang w:val="en-GB"/>
        </w:rPr>
      </w:pPr>
    </w:p>
    <w:p w:rsidRPr="00EB7CB8" w:rsidR="00296DEA" w:rsidP="00296DEA" w:rsidRDefault="00296DEA" w14:paraId="37E1B84F" w14:textId="77777777">
      <w:pPr>
        <w:pStyle w:val="Heading2"/>
      </w:pPr>
      <w:r>
        <w:t xml:space="preserve">Costul vieții este strâns legat de alimente și de serviciile esențiale, inclusiv energia, apa, salubritatea, transportul, serviciile financiare și comunicațiile digitale, precum și de alte servicii de interes general, precum locuințele, educația, îngrijirile de sănătate și îngrijirea pe termen lung. De asemenea, serviciile de interes general sunt importante pentru că contribuie semnificativ la crearea de valoare și la ocuparea forței de muncă, consolidând reziliența și coeziunea UE, și pentru că joacă un rol important în realizarea unei tranziții verzi și digitale echitabile. CESE face </w:t>
      </w:r>
      <w:r>
        <w:lastRenderedPageBreak/>
        <w:t xml:space="preserve">trimitere la raportul </w:t>
      </w:r>
      <w:proofErr w:type="spellStart"/>
      <w:r>
        <w:t>Letta</w:t>
      </w:r>
      <w:proofErr w:type="spellEnd"/>
      <w:r w:rsidRPr="00EB7CB8">
        <w:rPr>
          <w:rStyle w:val="FootnoteReference"/>
          <w:lang w:val="en-GB"/>
        </w:rPr>
        <w:footnoteReference w:id="13"/>
      </w:r>
      <w:r>
        <w:t>, care subliniază rolul central al serviciilor de interes general în cadrul pieței interne. Raportul critică reglementarea fragmentată și sectorială din legislația UE și solicită un plan de acțiune pentru servicii de interes general de înaltă calitate, care necesită venituri fiscale stabile pentru a putea fi menținute și dezvoltate în continuare.</w:t>
      </w:r>
    </w:p>
    <w:p w:rsidRPr="00EB7CB8" w:rsidR="00296DEA" w:rsidP="00296DEA" w:rsidRDefault="00296DEA" w14:paraId="69687115" w14:textId="77777777">
      <w:pPr>
        <w:pStyle w:val="Heading2"/>
        <w:numPr>
          <w:ilvl w:val="0"/>
          <w:numId w:val="0"/>
        </w:numPr>
        <w:ind w:left="567"/>
        <w:rPr>
          <w:lang w:val="en-GB"/>
        </w:rPr>
      </w:pPr>
    </w:p>
    <w:p w:rsidRPr="00EB7CB8" w:rsidR="00296DEA" w:rsidP="00296DEA" w:rsidRDefault="00296DEA" w14:paraId="66C73048" w14:textId="77777777">
      <w:pPr>
        <w:pStyle w:val="Heading2"/>
      </w:pPr>
      <w:r>
        <w:t>Pentru a asigura accesul la aceste servicii la prețuri rezonabile, este nevoie ca infrastructura, producția și alte operațiuni orientate spre ofertă să fie suficiente și eficiente. Cooperarea și distribuirea semnificativă a sarcinilor între sectorul public, sectorul non-profit și sectorul privat sunt importante în acest sens</w:t>
      </w:r>
      <w:r w:rsidRPr="00EB7CB8">
        <w:rPr>
          <w:rStyle w:val="FootnoteReference"/>
          <w:lang w:val="en-GB"/>
        </w:rPr>
        <w:footnoteReference w:id="14"/>
      </w:r>
      <w:r>
        <w:t>. În același timp, trebuie să se asigure furnizarea de servicii esențiale la prețuri accesibile pentru toți. Furnizarea de servicii de interes general de înaltă calitate necesită, de asemenea, finanțare și investiții adecvate, precum și dezvoltarea unor abordări inovatoare, cum ar fi crearea în comun de către cetățeni și organizațiile lor</w:t>
      </w:r>
      <w:r w:rsidRPr="00EB7CB8">
        <w:rPr>
          <w:rStyle w:val="FootnoteReference"/>
          <w:lang w:val="en-GB"/>
        </w:rPr>
        <w:footnoteReference w:id="15"/>
      </w:r>
      <w:r>
        <w:t>.</w:t>
      </w:r>
    </w:p>
    <w:p w:rsidRPr="00EB7CB8" w:rsidR="00296DEA" w:rsidP="00296DEA" w:rsidRDefault="00296DEA" w14:paraId="02942B74" w14:textId="77777777">
      <w:pPr>
        <w:pStyle w:val="Heading2"/>
        <w:numPr>
          <w:ilvl w:val="0"/>
          <w:numId w:val="0"/>
        </w:numPr>
        <w:ind w:left="567" w:hanging="567"/>
        <w:rPr>
          <w:lang w:val="en-GB"/>
        </w:rPr>
      </w:pPr>
    </w:p>
    <w:p w:rsidRPr="00EB7CB8" w:rsidR="00296DEA" w:rsidP="00296DEA" w:rsidRDefault="00296DEA" w14:paraId="0953A6D5" w14:textId="77777777">
      <w:pPr>
        <w:pStyle w:val="Heading2"/>
      </w:pPr>
      <w:r>
        <w:t>Prețurile energiei sunt cruciale nu numai pentru gospodării, ci și pentru multe întreprinderi, în special pentru industriile energointensive. CESE s-a declarat în favoarea</w:t>
      </w:r>
      <w:r w:rsidRPr="00EB7CB8">
        <w:rPr>
          <w:rStyle w:val="FootnoteReference"/>
          <w:lang w:val="en-GB"/>
        </w:rPr>
        <w:footnoteReference w:id="16"/>
      </w:r>
      <w:r>
        <w:t xml:space="preserve"> unei reforme fundamentale a organizării pieței energiei, pentru a obține prețuri mai scăzute și stabile ale energiei pentru gospodării și costuri de producție mai competitive pentru întreprinderi. Pe termen lung, UE ar trebui să aibă în vedere un sistem energetic </w:t>
      </w:r>
      <w:proofErr w:type="spellStart"/>
      <w:r>
        <w:t>decarbonizat</w:t>
      </w:r>
      <w:proofErr w:type="spellEnd"/>
      <w:r>
        <w:t>, cu prețuri mai mici la energie. Eliminarea treptată a subvențiilor pentru combustibilii fosili ar trebui realizată astfel încât noile surse de energie să contribuie la reducerea costurilor pentru gospodării și întreprinderi și a presiunii asupra prețurilor de consum.</w:t>
      </w:r>
    </w:p>
    <w:p w:rsidRPr="00EB7CB8" w:rsidR="00296DEA" w:rsidP="00296DEA" w:rsidRDefault="00296DEA" w14:paraId="6933FADE" w14:textId="77777777">
      <w:pPr>
        <w:rPr>
          <w:lang w:val="en-GB"/>
        </w:rPr>
      </w:pPr>
    </w:p>
    <w:p w:rsidRPr="00EB7CB8" w:rsidR="00296DEA" w:rsidP="00296DEA" w:rsidRDefault="00296DEA" w14:paraId="0A2BFE0B" w14:textId="77777777">
      <w:pPr>
        <w:pStyle w:val="Heading2"/>
      </w:pPr>
      <w:r>
        <w:t>Accesul competitiv la materiile prime locale este, de asemenea, important pentru scăderea costurilor de producție și pentru reducerea vulnerabilității la creșterile prețurilor externe. Facilitarea accesului la finanțare, inclusiv la capitalul de risc, este, de asemenea, esențială – în special pentru a permite IMM-urilor să funcționeze și să facă angajări. Atingerea obiectivului Comisiei de reducere cu 35 % a sarcinii administrative pentru IMM-uri ar îmbunătăți și climatul de afaceri pentru întreprinderile mai mici, respectând în același timp standardele sociale și de mediu.</w:t>
      </w:r>
    </w:p>
    <w:p w:rsidRPr="00EB7CB8" w:rsidR="00296DEA" w:rsidP="00296DEA" w:rsidRDefault="00296DEA" w14:paraId="54BDA9A9" w14:textId="77777777">
      <w:pPr>
        <w:rPr>
          <w:lang w:val="en-GB"/>
        </w:rPr>
      </w:pPr>
    </w:p>
    <w:p w:rsidRPr="00EB7CB8" w:rsidR="00296DEA" w:rsidP="00296DEA" w:rsidRDefault="00296DEA" w14:paraId="0B22A50B" w14:textId="77777777">
      <w:pPr>
        <w:pStyle w:val="Heading2"/>
      </w:pPr>
      <w:r>
        <w:t>Reformele echitabile bine concepute în domeniul fiscal ar putea contribui la reducerea costurilor atât pentru gospodării, cât și pentru întreprinderi, la stimularea investițiilor și la creșterea ocupării forței de muncă, evitând în același timp concurența fiscală inutilă. De exemplu, Comisia a încurajat statele membre să reducă accizele și cotele de TVA pentru energia electrică, ceea ce nu numai că ar reduce facturile la energie, dar ar contribui și la decarbonizare</w:t>
      </w:r>
      <w:r w:rsidRPr="00EB7CB8">
        <w:rPr>
          <w:rStyle w:val="FootnoteReference"/>
          <w:lang w:val="en-GB"/>
        </w:rPr>
        <w:footnoteReference w:id="17"/>
      </w:r>
      <w:r>
        <w:t>.</w:t>
      </w:r>
    </w:p>
    <w:p w:rsidRPr="00EB7CB8" w:rsidR="00296DEA" w:rsidP="00296DEA" w:rsidRDefault="00296DEA" w14:paraId="4B225902" w14:textId="77777777">
      <w:pPr>
        <w:pStyle w:val="Heading2"/>
        <w:numPr>
          <w:ilvl w:val="0"/>
          <w:numId w:val="0"/>
        </w:numPr>
        <w:ind w:left="567" w:hanging="567"/>
        <w:rPr>
          <w:lang w:val="en-GB"/>
        </w:rPr>
      </w:pPr>
    </w:p>
    <w:p w:rsidRPr="00EB7CB8" w:rsidR="00296DEA" w:rsidP="00296DEA" w:rsidRDefault="00296DEA" w14:paraId="7FBD7C89" w14:textId="77777777">
      <w:pPr>
        <w:pStyle w:val="Heading2"/>
      </w:pPr>
      <w:r>
        <w:lastRenderedPageBreak/>
        <w:t>Inovarea este esențială pentru îmbunătățirea productivității oricărei activități. Prin urmare, creșterea investițiilor publice și private în inovare este extrem de necesară. Dezvoltarea și adoptarea tehnologiilor digitale avansate sunt fundamentale pentru îmbunătățirea eficienței – atât a producției, cât și a consumului. O forță de muncă calificată este o altă condiție prealabilă pentru creșterea productivității. În plus, inițiative precum ghișeele unice pentru finanțare, siguranța planificării și o mai bună cooperare între entitățile administrative și de finanțare, precum și contactele mai strânse între întreprinderi și universități sunt exemple de promovare a inovării.</w:t>
      </w:r>
    </w:p>
    <w:p w:rsidRPr="00EB7CB8" w:rsidR="00296DEA" w:rsidP="00296DEA" w:rsidRDefault="00296DEA" w14:paraId="235F99AB" w14:textId="77777777">
      <w:pPr>
        <w:pStyle w:val="Heading2"/>
        <w:numPr>
          <w:ilvl w:val="0"/>
          <w:numId w:val="0"/>
        </w:numPr>
        <w:ind w:left="567" w:hanging="567"/>
        <w:rPr>
          <w:lang w:val="en-GB"/>
        </w:rPr>
      </w:pPr>
    </w:p>
    <w:p w:rsidRPr="00EB7CB8" w:rsidR="00296DEA" w:rsidP="00296DEA" w:rsidRDefault="00296DEA" w14:paraId="2596FF61" w14:textId="77777777">
      <w:pPr>
        <w:pStyle w:val="Heading2"/>
      </w:pPr>
      <w:r>
        <w:t xml:space="preserve">Piața unică are o valoare inestimabilă pentru cetățenii UE în ceea ce privește disponibilitatea unei game mai largi de produse la prețuri mai mici. Cu toate acestea, numeroase disfuncționalități împiedică valorificarea deplină a pieței comune. Pentru o mai bună funcționare a acesteia este nevoie, printre altele, de aplicarea efectivă a normelor existente privind piața unică și concurența, de îmbunătățirea practicilor din domeniul achizițiilor publice prin reglementări clare și monitorizare (în special prin deschiderea accesului la licitații și prevenirea licitațiilor cu ofertă unică) și de eforturi de reducere a barierelor rămase în calea tuturor celor „patru libertăți”, precum și a „celei de-a cincea libertăți” prezentate în raportul </w:t>
      </w:r>
      <w:proofErr w:type="spellStart"/>
      <w:r>
        <w:t>Letta</w:t>
      </w:r>
      <w:proofErr w:type="spellEnd"/>
      <w:r w:rsidRPr="00EB7CB8">
        <w:rPr>
          <w:rStyle w:val="FootnoteReference"/>
          <w:lang w:val="en-GB"/>
        </w:rPr>
        <w:footnoteReference w:id="18"/>
      </w:r>
      <w:r>
        <w:t>.</w:t>
      </w:r>
    </w:p>
    <w:p w:rsidRPr="00EB7CB8" w:rsidR="00296DEA" w:rsidP="00296DEA" w:rsidRDefault="00296DEA" w14:paraId="2CCFDFF1" w14:textId="77777777">
      <w:pPr>
        <w:pStyle w:val="Heading2"/>
        <w:numPr>
          <w:ilvl w:val="0"/>
          <w:numId w:val="0"/>
        </w:numPr>
        <w:ind w:left="567" w:hanging="567"/>
        <w:rPr>
          <w:lang w:val="en-GB"/>
        </w:rPr>
      </w:pPr>
    </w:p>
    <w:p w:rsidRPr="00EB7CB8" w:rsidR="00296DEA" w:rsidP="00296DEA" w:rsidRDefault="00296DEA" w14:paraId="3DCEE0C4" w14:textId="77777777">
      <w:pPr>
        <w:pStyle w:val="Heading2"/>
      </w:pPr>
      <w:r>
        <w:t xml:space="preserve">O piață unică funcțională necesită, de asemenea, o infrastructură fizică funcțională, inclusiv rețele de transport, energetice și digitale </w:t>
      </w:r>
      <w:proofErr w:type="spellStart"/>
      <w:r>
        <w:t>decarbonizate</w:t>
      </w:r>
      <w:proofErr w:type="spellEnd"/>
      <w:r>
        <w:t>. Investițiile în infrastructură trebuie să acopere și măsurile împotriva riscurilor de securitate, atât în legătură cu amenințările fizice, cât și cu cele cibernetice. Măsurile de securitate și fiabilitate previn întreruperile în rețele și, în același timp, previn și impactul ulterior asupra prețurilor.</w:t>
      </w:r>
    </w:p>
    <w:p w:rsidRPr="00EB7CB8" w:rsidR="00296DEA" w:rsidP="00296DEA" w:rsidRDefault="00296DEA" w14:paraId="44918C3B" w14:textId="77777777">
      <w:pPr>
        <w:pStyle w:val="Heading2"/>
        <w:numPr>
          <w:ilvl w:val="0"/>
          <w:numId w:val="0"/>
        </w:numPr>
        <w:ind w:left="567" w:hanging="567"/>
        <w:rPr>
          <w:lang w:val="en-GB"/>
        </w:rPr>
      </w:pPr>
    </w:p>
    <w:p w:rsidRPr="002C03B2" w:rsidR="00296DEA" w:rsidRDefault="00296DEA" w14:paraId="1EBD82C9" w14:textId="77777777">
      <w:pPr>
        <w:pStyle w:val="Heading2"/>
      </w:pPr>
      <w:r>
        <w:t xml:space="preserve">De asemenea, pentru a menține prețuri scăzute, trebuie asigurate condiții favorabile pentru un comerț durabil și echitabil. Acest lucru necesită consolidarea activă a acordurilor comerciale, asigurând totodată reciprocitatea și aderarea la normele comerciale multilaterale, ținându-se seama în mod corespunzător de standardele și actele legislative internaționale și europene din domeniul social din domeniul mediului. Diversificarea parteneriatelor și a piețelor este din ce în ce mai importantă pentru a evita vulnerabilitatea excesivă la creșterea prețurilor în noua situație </w:t>
      </w:r>
      <w:proofErr w:type="spellStart"/>
      <w:r>
        <w:t>geoeconomică</w:t>
      </w:r>
      <w:proofErr w:type="spellEnd"/>
      <w:r>
        <w:t xml:space="preserve"> în continuă schimbare, caracterizată prin protecționism și fragmentare în blocuri.</w:t>
      </w:r>
    </w:p>
    <w:p w:rsidRPr="00EB7CB8" w:rsidR="00296DEA" w:rsidP="00296DEA" w:rsidRDefault="00296DEA" w14:paraId="674F1A34" w14:textId="77777777">
      <w:pPr>
        <w:rPr>
          <w:lang w:val="en-GB"/>
        </w:rPr>
      </w:pPr>
    </w:p>
    <w:p w:rsidRPr="00EB7CB8" w:rsidR="00296DEA" w:rsidP="00296DEA" w:rsidRDefault="00296DEA" w14:paraId="60AD3E24" w14:textId="77777777">
      <w:pPr>
        <w:pStyle w:val="Heading2"/>
      </w:pPr>
      <w:r>
        <w:t>În plus, simplificarea reglementărilor, accelerarea procedurilor de autorizare și reducerea sarcinilor administrative neproductive sunt necesare pentru a reduce costurile și pentru a stimula inovarea, investițiile și schimburile comerciale – fără a reduce standardele sociale și de mediu – în beneficiul cetățenilor și al întreprinderilor.</w:t>
      </w:r>
    </w:p>
    <w:p w:rsidRPr="00EB7CB8" w:rsidR="00296DEA" w:rsidP="00296DEA" w:rsidRDefault="00296DEA" w14:paraId="7135D194" w14:textId="77777777">
      <w:pPr>
        <w:rPr>
          <w:lang w:val="en-GB"/>
        </w:rPr>
      </w:pPr>
    </w:p>
    <w:p w:rsidRPr="00EB7CB8" w:rsidR="00296DEA" w:rsidP="00296DEA" w:rsidRDefault="00296DEA" w14:paraId="38B60730" w14:textId="77777777">
      <w:pPr>
        <w:pStyle w:val="Heading1"/>
        <w:keepNext/>
        <w:keepLines/>
        <w:rPr>
          <w:b/>
          <w:bCs/>
        </w:rPr>
      </w:pPr>
      <w:r>
        <w:rPr>
          <w:b/>
        </w:rPr>
        <w:t>Cum se poate îmbunătăți reziliența la creșterea costului vieții</w:t>
      </w:r>
    </w:p>
    <w:p w:rsidRPr="00EB7CB8" w:rsidR="00296DEA" w:rsidP="00296DEA" w:rsidRDefault="00296DEA" w14:paraId="3A3E8FFC" w14:textId="77777777">
      <w:pPr>
        <w:keepNext/>
        <w:keepLines/>
        <w:rPr>
          <w:lang w:val="en-GB"/>
        </w:rPr>
      </w:pPr>
    </w:p>
    <w:p w:rsidRPr="00EB7CB8" w:rsidR="00296DEA" w:rsidP="00296DEA" w:rsidRDefault="00296DEA" w14:paraId="0D267E55" w14:textId="77777777">
      <w:pPr>
        <w:pStyle w:val="Heading2"/>
      </w:pPr>
      <w:r>
        <w:t>O economie solidă și stabilă, partenerii sociali și organizațiile societății civile sunt pietrele de temelie ale rezilienței în fața oricăror șocuri și crize. Pe de o parte, aceasta necesită o creștere economică solidă și durabilă, bazată pe creșterea productivității, a ocupării forței de muncă, a investițiilor și a integrării pieței. Pe de altă parte, este nevoie de promovarea unor sisteme puternice de securitate socială, a coeziunii sociale și a respectării drepturilor fundamentale și a limitelor planetare, precum și a obiectivelor relevante ale UE.</w:t>
      </w:r>
    </w:p>
    <w:p w:rsidRPr="002C03B2" w:rsidR="00296DEA" w:rsidRDefault="00296DEA" w14:paraId="7A4851F4" w14:textId="77777777">
      <w:pPr>
        <w:pStyle w:val="Heading2"/>
      </w:pPr>
      <w:r>
        <w:lastRenderedPageBreak/>
        <w:t xml:space="preserve">Crearea mai multor locuri de muncă de calitate și ocuparea deplină, incluzivă și decentă a forței de muncă, care să le permită oamenilor, inclusiv persoanelor cu nevoi speciale, să trăiască în demnitate și să prevină fenomenul „lucrătorilor săraci”, reprezintă o modalitate fundamentală de a asigura sustenabilitatea și coeziunea economică și socială. Acest lucru necesită un mediu favorabil </w:t>
      </w:r>
      <w:proofErr w:type="spellStart"/>
      <w:r>
        <w:t>antreprenoriatului</w:t>
      </w:r>
      <w:proofErr w:type="spellEnd"/>
      <w:r>
        <w:t xml:space="preserve"> și afacerilor, precum și politici active privind piața muncii. De asemenea, este nevoie de sprijin activ și investiții pentru dezvoltarea unei economii sociale la nivel național și la nivelul UE.</w:t>
      </w:r>
    </w:p>
    <w:p w:rsidRPr="00EB7CB8" w:rsidR="00296DEA" w:rsidP="00296DEA" w:rsidRDefault="00296DEA" w14:paraId="437CE4AB" w14:textId="77777777">
      <w:pPr>
        <w:rPr>
          <w:lang w:val="en-GB"/>
        </w:rPr>
      </w:pPr>
    </w:p>
    <w:p w:rsidRPr="00EB7CB8" w:rsidR="00296DEA" w:rsidP="00296DEA" w:rsidRDefault="00296DEA" w14:paraId="295D44AC" w14:textId="77777777">
      <w:pPr>
        <w:pStyle w:val="Heading2"/>
      </w:pPr>
      <w:r>
        <w:t>Educația este esențială pentru a le permite oamenilor să obțină locuri de muncă de calitate și venituri mai bune și să își gestioneze finanțele. Întrucât economiile se confruntă cu schimbări tehnologice rapide, investițiile în perfecționare și recalificare au devenit esențiale pentru a le permite oamenilor să rămână angajați și să găsească noi locuri de muncă. Un dialog social funcțional și o negociere colectivă bine dezvoltată, în conformitate cu practicile naționale și cu respectarea autonomiei partenerilor sociali, sunt mijloace esențiale de abordare a problemelor referitoare la puterea de cumpărare legate de lumea muncii, contribuind astfel la crearea coeziunii sociale și la asigurarea unei vieți decente pentru toți. La rândul său, dialogul civil este necesar pentru a include opiniile cetățenilor în elaborarea politicilor care le afectează condițiile de viață.</w:t>
      </w:r>
    </w:p>
    <w:p w:rsidRPr="00EB7CB8" w:rsidR="00296DEA" w:rsidP="00296DEA" w:rsidRDefault="00296DEA" w14:paraId="7A203812" w14:textId="77777777">
      <w:pPr>
        <w:pStyle w:val="Heading2"/>
        <w:numPr>
          <w:ilvl w:val="0"/>
          <w:numId w:val="0"/>
        </w:numPr>
        <w:ind w:left="567" w:hanging="567"/>
        <w:rPr>
          <w:lang w:val="en-GB"/>
        </w:rPr>
      </w:pPr>
    </w:p>
    <w:p w:rsidRPr="00EB7CB8" w:rsidR="00296DEA" w:rsidP="00296DEA" w:rsidRDefault="00296DEA" w14:paraId="41141695" w14:textId="77777777">
      <w:pPr>
        <w:pStyle w:val="Heading2"/>
      </w:pPr>
      <w:r>
        <w:t>Educația și dezvoltarea competențelor, împreună cu inovațiile tehnologice, sociale și ale proceselor, sunt, de asemenea, vitale pentru productivitate. Având în vedere că dezvoltarea productivității europene rămâne în mod constant în urma celei a SUA și a altor parteneri comerciali importanți</w:t>
      </w:r>
      <w:r w:rsidRPr="00EB7CB8">
        <w:rPr>
          <w:rStyle w:val="FootnoteReference"/>
          <w:lang w:val="en-GB"/>
        </w:rPr>
        <w:footnoteReference w:id="19"/>
      </w:r>
      <w:r>
        <w:t>, este indispensabilă o creștere semnificativă a investițiilor în cercetare și inovare, precum și în educație și formare</w:t>
      </w:r>
      <w:r w:rsidRPr="00EB7CB8">
        <w:rPr>
          <w:rStyle w:val="FootnoteReference"/>
          <w:lang w:val="en-GB"/>
        </w:rPr>
        <w:footnoteReference w:id="20"/>
      </w:r>
      <w:r>
        <w:t>. Un rol important îl joacă în acest sens sistemul general de învățământ superior.</w:t>
      </w:r>
    </w:p>
    <w:p w:rsidRPr="00EB7CB8" w:rsidR="00296DEA" w:rsidP="00296DEA" w:rsidRDefault="00296DEA" w14:paraId="3AB31856" w14:textId="77777777">
      <w:pPr>
        <w:pStyle w:val="Heading2"/>
        <w:numPr>
          <w:ilvl w:val="0"/>
          <w:numId w:val="0"/>
        </w:numPr>
        <w:ind w:left="567" w:hanging="567"/>
        <w:rPr>
          <w:lang w:val="en-GB"/>
        </w:rPr>
      </w:pPr>
    </w:p>
    <w:p w:rsidRPr="00EB7CB8" w:rsidR="00296DEA" w:rsidP="00296DEA" w:rsidRDefault="00296DEA" w14:paraId="03B97CA7" w14:textId="77777777">
      <w:pPr>
        <w:pStyle w:val="Heading2"/>
      </w:pPr>
      <w:r>
        <w:t xml:space="preserve">În general, politicile de investiții sunt importante pentru a amplifica flexibilitatea și durabilitatea economiilor. Raportul </w:t>
      </w:r>
      <w:proofErr w:type="spellStart"/>
      <w:r>
        <w:t>Draghi</w:t>
      </w:r>
      <w:proofErr w:type="spellEnd"/>
      <w:r>
        <w:t xml:space="preserve"> și raportul </w:t>
      </w:r>
      <w:proofErr w:type="spellStart"/>
      <w:r>
        <w:t>Letta</w:t>
      </w:r>
      <w:proofErr w:type="spellEnd"/>
      <w:r>
        <w:t xml:space="preserve"> subliniază necesitatea creșterii investițiilor, în sectorul public și în cel privat deopotrivă. Sunt necesare investiții publice și private pentru dezvoltarea infrastructurii, inclusiv a infrastructurii fizice și sociale, de la energie, locuințe, sisteme digitale și de transport la educație, îngrijiri de sănătate și servicii sociale. Trebuie asigurată în permanență o finanțare suficientă pentru aceste investiții importante pe termen lung.</w:t>
      </w:r>
    </w:p>
    <w:p w:rsidRPr="00EB7CB8" w:rsidR="00296DEA" w:rsidP="00296DEA" w:rsidRDefault="00296DEA" w14:paraId="7DEFCB3C" w14:textId="77777777">
      <w:pPr>
        <w:pStyle w:val="Heading2"/>
        <w:numPr>
          <w:ilvl w:val="0"/>
          <w:numId w:val="0"/>
        </w:numPr>
        <w:rPr>
          <w:lang w:val="en-GB"/>
        </w:rPr>
      </w:pPr>
    </w:p>
    <w:p w:rsidRPr="00EB7CB8" w:rsidR="00296DEA" w:rsidP="00296DEA" w:rsidRDefault="00296DEA" w14:paraId="7354C251" w14:textId="77777777">
      <w:pPr>
        <w:pStyle w:val="Heading2"/>
      </w:pPr>
      <w:r>
        <w:t xml:space="preserve">Simplificarea normelor, amenajarea adecvată a teritoriului, precum și cercetarea și inovarea pot accelera construcțiile și renovarea și pot reduce costurile. Este din ce în ce mai important să se asigure investiții adecvate în locuințe. Ar trebui să se acorde o atenție deosebită locuințelor la prețuri accesibile pentru tineri, deoarece aceștia sunt puternic afectați de costurile ridicate ale locuințelor, precum și locuințelor sociale ca instrument esențial și promițător al politicilor active în domeniul locuințelor. În abordarea actuală, politicile din domeniul locuințelor se limitează la gospodăriile cu cele mai mici venituri. Această abordare ar trebui revizuită și înlocuită cu o legislație adaptată în consecință în domeniul ajutoarelor de stat, în concordanță cu sistemul de reglementare a serviciilor de interes economic general. Dimensiunea legată de handicap ar trebui </w:t>
      </w:r>
      <w:r>
        <w:lastRenderedPageBreak/>
        <w:t>integrată în toate programele privind locuințele, pentru a se garanta că acestea sunt nu numai rezonabile ca preț și durabile, ci și accesibile fizic tuturor. În plus, indicatorii privind locuințele ar trebui incluși în programele naționale de reformă și în programele de stabilitate/convergență.</w:t>
      </w:r>
    </w:p>
    <w:p w:rsidRPr="00EB7CB8" w:rsidR="00296DEA" w:rsidP="00296DEA" w:rsidRDefault="00296DEA" w14:paraId="15AF91A4" w14:textId="77777777">
      <w:pPr>
        <w:rPr>
          <w:lang w:val="en-GB"/>
        </w:rPr>
      </w:pPr>
    </w:p>
    <w:p w:rsidRPr="00EB7CB8" w:rsidR="00296DEA" w:rsidP="00296DEA" w:rsidRDefault="00296DEA" w14:paraId="0B730FEE" w14:textId="77777777">
      <w:pPr>
        <w:pStyle w:val="Heading2"/>
      </w:pPr>
      <w:r>
        <w:t>Investițiile private sunt necesare în primul rând atât pentru crearea de noi întreprinderi, cât și pentru dezvoltarea întreprinderilor existente, generând astfel locuri de muncă și îmbunătățind productivitatea. Noua situație geopolitică impune de asemenea, mai multe investiții pentru consolidarea capacității de producție în cadrul UE. O politică industrială modernă, orientată spre inovare și cuprinzătoare va juca un rol-cheie în facilitarea „reindustrializării” Europei.</w:t>
      </w:r>
    </w:p>
    <w:p w:rsidRPr="00EB7CB8" w:rsidR="00296DEA" w:rsidP="00296DEA" w:rsidRDefault="00296DEA" w14:paraId="5836DEA6" w14:textId="77777777">
      <w:pPr>
        <w:pStyle w:val="Heading2"/>
        <w:numPr>
          <w:ilvl w:val="0"/>
          <w:numId w:val="0"/>
        </w:numPr>
        <w:ind w:left="567" w:hanging="567"/>
        <w:rPr>
          <w:lang w:val="en-GB"/>
        </w:rPr>
      </w:pPr>
    </w:p>
    <w:p w:rsidRPr="00EB7CB8" w:rsidR="00296DEA" w:rsidP="00296DEA" w:rsidRDefault="00296DEA" w14:paraId="4C086131" w14:textId="77777777">
      <w:pPr>
        <w:pStyle w:val="Heading2"/>
      </w:pPr>
      <w:r>
        <w:t>Importanța integrării piețelor nu ar trebui subestimată în protejarea europenilor de șocurile prețurilor. UE tot nu a profitat încă pe deplin de dimensiunea pieței unice (440 de milioane de consumatori, 23 de milioane de întreprinderi), deși au trecut peste 30 de ani de la crearea acesteia. Aprofundarea pieței unice ar conduce nu numai la câștiguri substanțiale în materie de eficiență și bunăstare, ci și la îmbunătățirea rezilienței și a securității economice a UE în noile circumstanțe geopolitice, alături de diversificarea și reducerea riscurilor parteneriatelor, schimburilor comerciale și lanțurilor de aprovizionare internaționale. Prin urmare, aprofundarea integrării pieței ar trebui să se axeze pe îmbunătățirea în continuare a competitivității, precum și a coeziunii sociale și a condițiilor de viață.</w:t>
      </w:r>
    </w:p>
    <w:p w:rsidRPr="00EB7CB8" w:rsidR="00296DEA" w:rsidP="00296DEA" w:rsidRDefault="00296DEA" w14:paraId="78857B4D" w14:textId="77777777">
      <w:pPr>
        <w:pStyle w:val="Heading2"/>
        <w:numPr>
          <w:ilvl w:val="0"/>
          <w:numId w:val="0"/>
        </w:numPr>
        <w:ind w:left="567" w:hanging="567"/>
        <w:rPr>
          <w:lang w:val="en-GB"/>
        </w:rPr>
      </w:pPr>
    </w:p>
    <w:p w:rsidRPr="00EB7CB8" w:rsidR="00296DEA" w:rsidP="00296DEA" w:rsidRDefault="00296DEA" w14:paraId="33D82565" w14:textId="77777777">
      <w:pPr>
        <w:pStyle w:val="Heading2"/>
      </w:pPr>
      <w:r>
        <w:t>În ceea ce privește finanțele publice sustenabile, după mai mulți ani de expansiune fiscală ca urmare a două crize fără precedent, responsabilii de elaborarea politicilor sunt îndemnați să se orienteze către strategii de consolidare fiscală pentru a întări sustenabilitatea fiscală, majorând în același timp investițiile. Reforma recentă a guvernanței economice sprijină strategiile de ajustare fiscală pe termen mediu care sunt adaptate nevoilor specifice ale fiecărei economii. În plus, se așteaptă ca ea să promoveze reforme structurale și investiții care să contribuie la modernizarea economiilor, la sporirea rezilienței și a potențialului lor de creștere și la asigurarea sustenabilității fiscale</w:t>
      </w:r>
      <w:r w:rsidRPr="00EB7CB8">
        <w:rPr>
          <w:rStyle w:val="FootnoteReference"/>
          <w:lang w:val="en-GB"/>
        </w:rPr>
        <w:footnoteReference w:id="21"/>
      </w:r>
      <w:r>
        <w:t>.</w:t>
      </w:r>
    </w:p>
    <w:p w:rsidRPr="00EB7CB8" w:rsidR="00296DEA" w:rsidP="00296DEA" w:rsidRDefault="00296DEA" w14:paraId="061F673E" w14:textId="77777777">
      <w:pPr>
        <w:rPr>
          <w:lang w:val="en-GB"/>
        </w:rPr>
      </w:pPr>
    </w:p>
    <w:p w:rsidRPr="00EB7CB8" w:rsidR="00296DEA" w:rsidP="00296DEA" w:rsidRDefault="00296DEA" w14:paraId="7DC856F0" w14:textId="77777777">
      <w:pPr>
        <w:pStyle w:val="Heading1"/>
        <w:keepNext/>
        <w:keepLines/>
        <w:rPr>
          <w:b/>
          <w:bCs/>
        </w:rPr>
      </w:pPr>
      <w:r>
        <w:rPr>
          <w:b/>
        </w:rPr>
        <w:t>Cum se poate atenua impactul creșterii costului vieții</w:t>
      </w:r>
    </w:p>
    <w:p w:rsidRPr="00EB7CB8" w:rsidR="00296DEA" w:rsidP="00296DEA" w:rsidRDefault="00296DEA" w14:paraId="09BC35D8" w14:textId="77777777">
      <w:pPr>
        <w:keepNext/>
        <w:keepLines/>
        <w:rPr>
          <w:lang w:val="en-GB"/>
        </w:rPr>
      </w:pPr>
    </w:p>
    <w:p w:rsidRPr="00EB7CB8" w:rsidR="00296DEA" w:rsidP="00296DEA" w:rsidRDefault="00296DEA" w14:paraId="146A4E4D" w14:textId="77777777">
      <w:pPr>
        <w:pStyle w:val="Heading2"/>
      </w:pPr>
      <w:r>
        <w:t>Politicile economice și sociale elaborate în mod judicios ar trebui să se aplice în continuare în toate situațiile. Cu toate acestea, creșterile rapide ale costului vieții pun, de asemenea, problema necesității unor măsuri specifice de atenuare a impactului, în special pentru persoanele vulnerabile. Costurile ridicate ale vieții îi afectează cel mai mult pe cei mai vulnerabili, având în vedere că costurile de bază ale vieții absorb o parte mai mare din venitul lor, ceea ce accentuează inegalitățile și poate duce la probleme de sănătate și excluziune socială. Prin urmare, sunt necesare politici specifice (de exemplu, planuri sociale pentru climă), o direcționare atentă și evaluări adecvate ale impactului pentru a garanta că măsurile care urmează să fie luate sunt eficiente și adecvate scopului. În acest sens, este nevoie de o colectare adecvată a datelor și de monitorizarea situației.</w:t>
      </w:r>
    </w:p>
    <w:p w:rsidRPr="00EB7CB8" w:rsidR="00296DEA" w:rsidP="00296DEA" w:rsidRDefault="00296DEA" w14:paraId="4D4AA79B" w14:textId="77777777">
      <w:pPr>
        <w:pStyle w:val="Heading2"/>
        <w:numPr>
          <w:ilvl w:val="0"/>
          <w:numId w:val="0"/>
        </w:numPr>
        <w:ind w:left="567" w:hanging="567"/>
        <w:rPr>
          <w:lang w:val="en-GB"/>
        </w:rPr>
      </w:pPr>
    </w:p>
    <w:p w:rsidRPr="00EB7CB8" w:rsidR="00296DEA" w:rsidP="002D0203" w:rsidRDefault="00296DEA" w14:paraId="440CB1A9" w14:textId="77777777">
      <w:pPr>
        <w:pStyle w:val="Heading2"/>
        <w:keepNext/>
        <w:keepLines/>
      </w:pPr>
      <w:r>
        <w:lastRenderedPageBreak/>
        <w:t>În general, accesul la servicii de interes general la prețuri rezonabile ușurează povara asupra persoanelor defavorizate. Salariul minim și măsurile de sprijin pentru venit în funcție de resurse contribuie, de asemenea, la protecția acestora. În același timp, este important să se evite efectele marginale ample. De asemenea, este important să se dezvolte o multitudine de activități publice și ale societății civile, cum ar fi acțiunile de susținere și promovare, centrele de consiliere specifice, structurile de autoajutorare și serviciile personalizate.</w:t>
      </w:r>
    </w:p>
    <w:p w:rsidRPr="00EB7CB8" w:rsidR="00296DEA" w:rsidP="00296DEA" w:rsidRDefault="00296DEA" w14:paraId="36087DC2" w14:textId="77777777">
      <w:pPr>
        <w:pStyle w:val="Heading2"/>
        <w:numPr>
          <w:ilvl w:val="0"/>
          <w:numId w:val="0"/>
        </w:numPr>
        <w:ind w:left="567" w:hanging="567"/>
        <w:rPr>
          <w:lang w:val="en-GB"/>
        </w:rPr>
      </w:pPr>
    </w:p>
    <w:p w:rsidRPr="00EB7CB8" w:rsidR="00296DEA" w:rsidP="00296DEA" w:rsidRDefault="00296DEA" w14:paraId="7ECD3B63" w14:textId="77777777">
      <w:pPr>
        <w:pStyle w:val="Heading2"/>
      </w:pPr>
      <w:r>
        <w:t>Consecințele măsurilor de politică monetară pentru reducerea inflației, cum ar fi creșterea ratelor dobânzilor, afectează întreaga societate. Ar putea fi necesare contramăsuri pentru a sprijini anumite segmente ale populației prin mijloace publice. Alocațiile pentru locuințe, subvențiile pentru chirie și măsurile de sprijin în domeniul energiei și al transporturilor, precum și creșterea alocațiilor pentru copii sunt exemple de măsuri de sprijin des utilizate în statele membre.</w:t>
      </w:r>
    </w:p>
    <w:p w:rsidRPr="00EB7CB8" w:rsidR="00296DEA" w:rsidP="00296DEA" w:rsidRDefault="00296DEA" w14:paraId="226C42D9" w14:textId="77777777">
      <w:pPr>
        <w:pStyle w:val="Heading2"/>
        <w:numPr>
          <w:ilvl w:val="0"/>
          <w:numId w:val="0"/>
        </w:numPr>
        <w:ind w:left="567" w:hanging="567"/>
        <w:rPr>
          <w:lang w:val="en-GB"/>
        </w:rPr>
      </w:pPr>
    </w:p>
    <w:p w:rsidRPr="00EB7CB8" w:rsidR="00296DEA" w:rsidP="00296DEA" w:rsidRDefault="00296DEA" w14:paraId="2E4D384E" w14:textId="77777777">
      <w:pPr>
        <w:pStyle w:val="Heading2"/>
      </w:pPr>
      <w:r>
        <w:t>Reducerea anumitor taxe poate contracara creșterea generală a prețurilor, făcând situația mai puțin împovărătoare. Mai multe state membre au redus taxele pe combustibil și energie atunci când prețurile energiei pe piața mondială au crescut. Multe dintre măsurile corective, cum ar fi reducerile de taxe și creșterea sprijinului public, vor ține de bugetele naționale. Realocarea subvențiilor contraproductive și combaterea economiei informale s-ar putea dovedi utile în acest sens.</w:t>
      </w:r>
    </w:p>
    <w:p w:rsidRPr="00EB7CB8" w:rsidR="00296DEA" w:rsidP="00296DEA" w:rsidRDefault="00296DEA" w14:paraId="6375C806" w14:textId="77777777">
      <w:pPr>
        <w:rPr>
          <w:lang w:val="en-GB"/>
        </w:rPr>
      </w:pPr>
    </w:p>
    <w:p w:rsidRPr="00EB7CB8" w:rsidR="00296DEA" w:rsidP="00296DEA" w:rsidRDefault="00296DEA" w14:paraId="38877728" w14:textId="77777777">
      <w:pPr>
        <w:pStyle w:val="Heading2"/>
      </w:pPr>
      <w:r>
        <w:t>Ori de câte ori se fac modificări în domeniul impozitării sau al subvențiilor, este important să se stabilească în mod clar obiectivele și să se analizeze în detaliu impactul, pentru a evita consecințele economice, sociale sau de mediu neintenționate, inclusiv pentru generațiile viitoare. Trebuie evitată concurența fiscală neloială, asigurând în același timp un mediu fiscal competitiv, inclusiv în raport cu alte blocuri economice.</w:t>
      </w:r>
    </w:p>
    <w:p w:rsidRPr="00EB7CB8" w:rsidR="00296DEA" w:rsidP="00296DEA" w:rsidRDefault="00296DEA" w14:paraId="3FF2FF5D" w14:textId="77777777">
      <w:pPr>
        <w:pStyle w:val="Heading2"/>
        <w:numPr>
          <w:ilvl w:val="0"/>
          <w:numId w:val="0"/>
        </w:numPr>
        <w:ind w:left="567" w:hanging="567"/>
        <w:rPr>
          <w:lang w:val="en-GB"/>
        </w:rPr>
      </w:pPr>
    </w:p>
    <w:p w:rsidRPr="00EB7CB8" w:rsidR="00296DEA" w:rsidP="00296DEA" w:rsidRDefault="00296DEA" w14:paraId="683B77B6" w14:textId="77777777">
      <w:r>
        <w:t>Bruxelles, 17 iulie 2025.</w:t>
      </w:r>
    </w:p>
    <w:p w:rsidRPr="00EB7CB8" w:rsidR="00296DEA" w:rsidP="00296DEA" w:rsidRDefault="00296DEA" w14:paraId="4C6C74A8" w14:textId="77777777">
      <w:pPr>
        <w:rPr>
          <w:lang w:val="en-GB"/>
        </w:rPr>
      </w:pPr>
    </w:p>
    <w:p w:rsidRPr="00EB7CB8" w:rsidR="00296DEA" w:rsidP="00296DEA" w:rsidRDefault="00296DEA" w14:paraId="77C42E50" w14:textId="77777777">
      <w:pPr>
        <w:rPr>
          <w:lang w:val="en-GB"/>
        </w:rPr>
      </w:pPr>
    </w:p>
    <w:p w:rsidRPr="00EB7CB8" w:rsidR="00296DEA" w:rsidP="00296DEA" w:rsidRDefault="00296DEA" w14:paraId="3C31B8BC" w14:textId="77777777">
      <w:pPr>
        <w:rPr>
          <w:i/>
          <w:iCs/>
          <w:szCs w:val="20"/>
        </w:rPr>
      </w:pPr>
      <w:r>
        <w:rPr>
          <w:i/>
        </w:rPr>
        <w:t>Președintele Comitetului Economic și Social European</w:t>
      </w:r>
    </w:p>
    <w:p w:rsidRPr="00EB7CB8" w:rsidR="00E2376B" w:rsidP="00AC1B35" w:rsidRDefault="00AC1B35" w14:paraId="5A88DFEF" w14:textId="77777777">
      <w:r>
        <w:t>Oliver RÖPKE</w:t>
      </w:r>
    </w:p>
    <w:p w:rsidRPr="00EB7CB8" w:rsidR="00DA2D12" w:rsidP="005C530F" w:rsidRDefault="00DA2D12" w14:paraId="5003B348" w14:textId="77777777">
      <w:pPr>
        <w:jc w:val="left"/>
        <w:rPr>
          <w:lang w:val="en-GB"/>
        </w:rPr>
      </w:pPr>
    </w:p>
    <w:p w:rsidRPr="00EB1EC1" w:rsidR="00F53370" w:rsidP="00DB7F50" w:rsidRDefault="00E2376B" w14:paraId="3901BABB" w14:textId="77777777">
      <w:pPr>
        <w:jc w:val="center"/>
      </w:pPr>
      <w:r>
        <w:t>_____________</w:t>
      </w:r>
    </w:p>
    <w:sectPr w:rsidRPr="00EB1EC1" w:rsidR="00F53370" w:rsidSect="001E74A1">
      <w:headerReference w:type="even" r:id="rId22"/>
      <w:headerReference w:type="default" r:id="rId23"/>
      <w:footerReference w:type="default" r:id="rId24"/>
      <w:headerReference w:type="first" r:id="rId25"/>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3BF2C" w14:textId="77777777" w:rsidR="0045106C" w:rsidRDefault="0045106C" w:rsidP="00F53370">
      <w:pPr>
        <w:spacing w:line="240" w:lineRule="auto"/>
      </w:pPr>
      <w:r>
        <w:separator/>
      </w:r>
    </w:p>
  </w:endnote>
  <w:endnote w:type="continuationSeparator" w:id="0">
    <w:p w14:paraId="4AF8F719" w14:textId="77777777" w:rsidR="0045106C" w:rsidRDefault="0045106C"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3444" w14:textId="77777777" w:rsidR="00F45017" w:rsidRDefault="00F45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2481" w14:textId="77777777" w:rsidR="00F45017" w:rsidRDefault="00F450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B392" w14:textId="77777777" w:rsidR="00F45017" w:rsidRDefault="00F450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CF7F"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5558" w14:textId="59DBD209" w:rsidR="0092705B" w:rsidRPr="003065C9" w:rsidRDefault="00A85168" w:rsidP="00A85168">
    <w:pPr>
      <w:pStyle w:val="Footer"/>
      <w:jc w:val="left"/>
    </w:pPr>
    <w:r>
      <w:t xml:space="preserve">ECO/660 – EESC-2025-00091-00-00-AC-TRA (EN) </w:t>
    </w:r>
    <w:r>
      <w:fldChar w:fldCharType="begin"/>
    </w:r>
    <w:r>
      <w:instrText xml:space="preserve"> PAGE  \* Arabic  \* MERGEFORMAT </w:instrText>
    </w:r>
    <w:r>
      <w:fldChar w:fldCharType="separate"/>
    </w:r>
    <w:r>
      <w:t>10</w:t>
    </w:r>
    <w:r>
      <w:fldChar w:fldCharType="end"/>
    </w:r>
    <w:r>
      <w:t>/</w:t>
    </w:r>
    <w:r>
      <w:fldChar w:fldCharType="begin"/>
    </w:r>
    <w:r>
      <w:instrText xml:space="preserve"> = </w:instrText>
    </w:r>
    <w:fldSimple w:instr=" NUMPAGES ">
      <w:r w:rsidR="002A2FC8">
        <w:rPr>
          <w:noProof/>
        </w:rPr>
        <w:instrText>13</w:instrText>
      </w:r>
    </w:fldSimple>
    <w:r>
      <w:instrText xml:space="preserve"> - 2 </w:instrText>
    </w:r>
    <w:r>
      <w:fldChar w:fldCharType="separate"/>
    </w:r>
    <w:r w:rsidR="002A2FC8">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9529" w14:textId="77777777" w:rsidR="0045106C" w:rsidRDefault="0045106C" w:rsidP="00F53370">
      <w:pPr>
        <w:spacing w:line="240" w:lineRule="auto"/>
      </w:pPr>
      <w:r>
        <w:separator/>
      </w:r>
    </w:p>
  </w:footnote>
  <w:footnote w:type="continuationSeparator" w:id="0">
    <w:p w14:paraId="39AF696F" w14:textId="77777777" w:rsidR="0045106C" w:rsidRDefault="0045106C" w:rsidP="00F53370">
      <w:pPr>
        <w:spacing w:line="240" w:lineRule="auto"/>
      </w:pPr>
      <w:r>
        <w:continuationSeparator/>
      </w:r>
    </w:p>
  </w:footnote>
  <w:footnote w:id="1">
    <w:p w14:paraId="42821367" w14:textId="77777777" w:rsidR="00296DEA" w:rsidRPr="000C655F" w:rsidRDefault="00296DEA" w:rsidP="00296DEA">
      <w:pPr>
        <w:pStyle w:val="FootnoteText"/>
      </w:pPr>
      <w:r>
        <w:rPr>
          <w:rStyle w:val="FootnoteReference"/>
        </w:rPr>
        <w:footnoteRef/>
      </w:r>
      <w:r>
        <w:tab/>
        <w:t xml:space="preserve">Avizul CESE pe tema </w:t>
      </w:r>
      <w:hyperlink r:id="rId1" w:history="1">
        <w:r>
          <w:rPr>
            <w:rStyle w:val="Hyperlink"/>
            <w:i/>
          </w:rPr>
          <w:t>„Reindustrializarea Europei – o oportunitate pentru întreprinderi, angajați și cetățeni în contextul crizei costului vieții”</w:t>
        </w:r>
      </w:hyperlink>
      <w:r>
        <w:t xml:space="preserve"> (nepublicat încă în Jurnalul Oficial); Avizul CESE pe tema </w:t>
      </w:r>
      <w:hyperlink r:id="rId2" w:history="1">
        <w:r>
          <w:rPr>
            <w:rStyle w:val="Hyperlink"/>
            <w:i/>
          </w:rPr>
          <w:t>„Depășirea crizelor – Măsuri pentru o economie europeană rezilientă, coezivă și favorabilă incluziunii”</w:t>
        </w:r>
      </w:hyperlink>
      <w:r>
        <w:t xml:space="preserve">, JO C, C/2025/3195, 2.7.2025, ELI: </w:t>
      </w:r>
      <w:hyperlink r:id="rId3" w:history="1">
        <w:r>
          <w:rPr>
            <w:rStyle w:val="Hyperlink"/>
          </w:rPr>
          <w:t>http://data.europa.eu/eli/C/2025/3195/oj</w:t>
        </w:r>
      </w:hyperlink>
      <w:r>
        <w:t xml:space="preserve">; Avizul CESE pe tema </w:t>
      </w:r>
      <w:hyperlink r:id="rId4" w:history="1">
        <w:r>
          <w:rPr>
            <w:rStyle w:val="Hyperlink"/>
            <w:i/>
          </w:rPr>
          <w:t>„Modul în care disfuncționalitățile pieței unice contribuie la creșterea costului vieții”</w:t>
        </w:r>
      </w:hyperlink>
      <w:r>
        <w:t xml:space="preserve">, JO C, C/2025/3189, 2.7.2025, ELI: </w:t>
      </w:r>
      <w:hyperlink r:id="rId5" w:history="1">
        <w:r>
          <w:rPr>
            <w:rStyle w:val="Hyperlink"/>
          </w:rPr>
          <w:t>http://data.europa.eu/eli/C/2025/3189/oj</w:t>
        </w:r>
      </w:hyperlink>
      <w:r>
        <w:t>; Avizul CESE pe tema</w:t>
      </w:r>
      <w:hyperlink r:id="rId6" w:history="1">
        <w:r>
          <w:rPr>
            <w:rStyle w:val="Hyperlink"/>
            <w:i/>
          </w:rPr>
          <w:t xml:space="preserve"> „Eliminarea treptată a subvențiilor pentru combustibili fosili, asigurând, în același timp, competitivitatea europeană, atenuând criza costului vieții și promovând o tranziție justă”,</w:t>
        </w:r>
      </w:hyperlink>
      <w:r>
        <w:t xml:space="preserve"> JO C, C/2025/3191, 2.7.2025, ELI: </w:t>
      </w:r>
      <w:hyperlink r:id="rId7" w:history="1">
        <w:r>
          <w:rPr>
            <w:rStyle w:val="Hyperlink"/>
          </w:rPr>
          <w:t>http://data.europa.eu/eli/C/2025/3191/oj</w:t>
        </w:r>
      </w:hyperlink>
      <w:r>
        <w:t>; Avizul CESE pe tema</w:t>
      </w:r>
      <w:hyperlink r:id="rId8" w:history="1">
        <w:r>
          <w:rPr>
            <w:rStyle w:val="Hyperlink"/>
            <w:i/>
          </w:rPr>
          <w:t>„Fragmentarea lanțurilor de aprovizionare și impactul asupra costului vieții”</w:t>
        </w:r>
      </w:hyperlink>
      <w:r>
        <w:t xml:space="preserve"> (nepublicat încă în Jurnalul Oficial), Avizul CESE pe tema </w:t>
      </w:r>
      <w:hyperlink r:id="rId9" w:history="1">
        <w:r>
          <w:rPr>
            <w:rStyle w:val="Hyperlink"/>
            <w:i/>
          </w:rPr>
          <w:t>„Modalități de abordare a scăderii puterii de cumpărare și a riscului de creștere a inegalităților, a excluziunii și a marginalizării”</w:t>
        </w:r>
      </w:hyperlink>
      <w:r>
        <w:rPr>
          <w:rStyle w:val="Hyperlink"/>
          <w:i/>
        </w:rPr>
        <w:t xml:space="preserve">, </w:t>
      </w:r>
      <w:r>
        <w:t xml:space="preserve"> (nepublicat încă în Jurnalul Oficial), Avizul CESE pe tema </w:t>
      </w:r>
      <w:hyperlink r:id="rId10" w:history="1">
        <w:r>
          <w:rPr>
            <w:rStyle w:val="Hyperlink"/>
            <w:i/>
          </w:rPr>
          <w:t>„Creșteri ale prețurilor în sectorul transporturilor, al energiei și al locuințelor: rolul serviciilor publice de calitate în abordarea costului ridicat al vieții”</w:t>
        </w:r>
      </w:hyperlink>
      <w:r>
        <w:t xml:space="preserve">, JO C, C/2025/3192, 2.7.2025, ELI: </w:t>
      </w:r>
      <w:hyperlink r:id="rId11" w:history="1">
        <w:r>
          <w:rPr>
            <w:rStyle w:val="Hyperlink"/>
          </w:rPr>
          <w:t>http://data.europa.eu/eli/C/2025/3192/oj</w:t>
        </w:r>
      </w:hyperlink>
      <w:r>
        <w:t>.</w:t>
      </w:r>
    </w:p>
  </w:footnote>
  <w:footnote w:id="2">
    <w:p w14:paraId="132F39DA" w14:textId="2A8DFFB8" w:rsidR="00296DEA" w:rsidRPr="000C655F" w:rsidRDefault="00296DEA" w:rsidP="00296DEA">
      <w:pPr>
        <w:pStyle w:val="FootnoteText"/>
      </w:pPr>
      <w:r>
        <w:rPr>
          <w:rStyle w:val="FootnoteReference"/>
        </w:rPr>
        <w:footnoteRef/>
      </w:r>
      <w:r>
        <w:tab/>
        <w:t xml:space="preserve">Avizul CESE pe tema </w:t>
      </w:r>
      <w:hyperlink r:id="rId12" w:history="1">
        <w:r>
          <w:rPr>
            <w:rStyle w:val="Hyperlink"/>
            <w:i/>
          </w:rPr>
          <w:t>„Recomandările societății civile organizate pentru abordarea crizei costului vieții”</w:t>
        </w:r>
      </w:hyperlink>
      <w:r>
        <w:t xml:space="preserve"> (nepublicat încă în Jurnalul</w:t>
      </w:r>
      <w:r w:rsidR="002D0203">
        <w:t> </w:t>
      </w:r>
      <w:r>
        <w:t>Oficial).</w:t>
      </w:r>
    </w:p>
  </w:footnote>
  <w:footnote w:id="3">
    <w:p w14:paraId="15CB1519" w14:textId="77777777" w:rsidR="00296DEA" w:rsidRPr="007142BA" w:rsidRDefault="00296DEA" w:rsidP="00296DEA">
      <w:pPr>
        <w:pStyle w:val="FootnoteText"/>
      </w:pPr>
      <w:r>
        <w:rPr>
          <w:rStyle w:val="FootnoteReference"/>
        </w:rPr>
        <w:footnoteRef/>
      </w:r>
      <w:r>
        <w:tab/>
        <w:t xml:space="preserve">JO C, C/2025/1187, 21.3.2025, ELI: </w:t>
      </w:r>
      <w:hyperlink r:id="rId13" w:history="1">
        <w:r>
          <w:rPr>
            <w:rStyle w:val="Hyperlink"/>
          </w:rPr>
          <w:t>http://data.europa.eu/eli/C/2025/1187/oj</w:t>
        </w:r>
      </w:hyperlink>
      <w:r>
        <w:t>.</w:t>
      </w:r>
    </w:p>
  </w:footnote>
  <w:footnote w:id="4">
    <w:p w14:paraId="2AF51CB3" w14:textId="77777777" w:rsidR="00296DEA" w:rsidRPr="000C655F" w:rsidRDefault="00296DEA" w:rsidP="00296DEA">
      <w:pPr>
        <w:pStyle w:val="FootnoteText"/>
      </w:pPr>
      <w:r>
        <w:rPr>
          <w:rStyle w:val="FootnoteReference"/>
        </w:rPr>
        <w:footnoteRef/>
      </w:r>
      <w:r>
        <w:tab/>
        <w:t xml:space="preserve">Document de lucru al serviciilor Comisiei, 2025 – Raport privind zona euro, care însoțește documentul </w:t>
      </w:r>
      <w:r>
        <w:rPr>
          <w:i/>
        </w:rPr>
        <w:t>„Recomandare de Recomandare a Consiliului privind politica economică a zonei euro”</w:t>
      </w:r>
      <w:r>
        <w:t xml:space="preserve"> – </w:t>
      </w:r>
      <w:hyperlink r:id="rId14" w:history="1">
        <w:r>
          <w:rPr>
            <w:rStyle w:val="Hyperlink"/>
          </w:rPr>
          <w:t>COM(2024) 704 final</w:t>
        </w:r>
      </w:hyperlink>
      <w:r>
        <w:t>.</w:t>
      </w:r>
    </w:p>
  </w:footnote>
  <w:footnote w:id="5">
    <w:p w14:paraId="185AD6D9" w14:textId="77777777" w:rsidR="00296DEA" w:rsidRPr="000C655F" w:rsidRDefault="00296DEA" w:rsidP="00296DEA">
      <w:pPr>
        <w:pStyle w:val="FootnoteText"/>
      </w:pPr>
      <w:r>
        <w:rPr>
          <w:rStyle w:val="FootnoteReference"/>
        </w:rPr>
        <w:footnoteRef/>
      </w:r>
      <w:r>
        <w:tab/>
        <w:t>Studiul BCE privind inflația, 2023.</w:t>
      </w:r>
    </w:p>
  </w:footnote>
  <w:footnote w:id="6">
    <w:p w14:paraId="6FF0F1CF" w14:textId="77777777" w:rsidR="00296DEA" w:rsidRPr="000C655F" w:rsidRDefault="00296DEA" w:rsidP="00296DEA">
      <w:pPr>
        <w:pStyle w:val="FootnoteText"/>
      </w:pPr>
      <w:r>
        <w:rPr>
          <w:rStyle w:val="FootnoteReference"/>
        </w:rPr>
        <w:footnoteRef/>
      </w:r>
      <w:r>
        <w:tab/>
        <w:t>„Dinamica puternică a piețelor forței de muncă a susținut veniturile și consumul în cadrul redresării ulterioare pandemiei. Rata șomajului s-a stabilizat la un minim istoric de 6,3 % în octombrie 2024, iar [...] rata de ocupare a forței de muncă a atins în 2024 un nou nivel record, ajungând la 75,3 %”. Op. cit., p. 9.</w:t>
      </w:r>
    </w:p>
  </w:footnote>
  <w:footnote w:id="7">
    <w:p w14:paraId="09798E22" w14:textId="77777777" w:rsidR="00296DEA" w:rsidRPr="000C655F" w:rsidRDefault="00296DEA" w:rsidP="00296DEA">
      <w:pPr>
        <w:pStyle w:val="FootnoteText"/>
      </w:pPr>
      <w:r>
        <w:rPr>
          <w:rStyle w:val="FootnoteReference"/>
        </w:rPr>
        <w:footnoteRef/>
      </w:r>
      <w:r>
        <w:tab/>
        <w:t xml:space="preserve">Conform raportului anual din 2024 al Comisiei </w:t>
      </w:r>
      <w:hyperlink r:id="rId15" w:history="1">
        <w:r>
          <w:rPr>
            <w:rStyle w:val="Hyperlink"/>
            <w:i/>
          </w:rPr>
          <w:t>„</w:t>
        </w:r>
        <w:r>
          <w:rPr>
            <w:rStyle w:val="Hyperlink"/>
            <w:i/>
          </w:rPr>
          <w:t>Labour market and wage developments in Europe”</w:t>
        </w:r>
      </w:hyperlink>
      <w:r>
        <w:t>, salariile reale au scăzut cu aproximativ 2 % din 2020, primul an al pandemiei, și până în prezent.</w:t>
      </w:r>
    </w:p>
  </w:footnote>
  <w:footnote w:id="8">
    <w:p w14:paraId="174E729D" w14:textId="77777777" w:rsidR="00296DEA" w:rsidRPr="00DC6859" w:rsidRDefault="00296DEA" w:rsidP="00296DEA">
      <w:pPr>
        <w:pStyle w:val="FootnoteText"/>
      </w:pPr>
      <w:r>
        <w:rPr>
          <w:rStyle w:val="FootnoteReference"/>
        </w:rPr>
        <w:footnoteRef/>
      </w:r>
      <w:r>
        <w:tab/>
        <w:t>Op. cit., p. 13.</w:t>
      </w:r>
    </w:p>
  </w:footnote>
  <w:footnote w:id="9">
    <w:p w14:paraId="378FB6B8" w14:textId="77777777" w:rsidR="00296DEA" w:rsidRPr="00DC6859" w:rsidRDefault="00296DEA" w:rsidP="00296DEA">
      <w:pPr>
        <w:pStyle w:val="FootnoteText"/>
      </w:pPr>
      <w:r>
        <w:rPr>
          <w:rStyle w:val="FootnoteReference"/>
        </w:rPr>
        <w:footnoteRef/>
      </w:r>
      <w:r>
        <w:tab/>
        <w:t>Op. cit., p. 13.</w:t>
      </w:r>
    </w:p>
  </w:footnote>
  <w:footnote w:id="10">
    <w:p w14:paraId="1F6187D6" w14:textId="77777777" w:rsidR="00296DEA" w:rsidRPr="000C655F" w:rsidRDefault="00296DEA" w:rsidP="00296DEA">
      <w:pPr>
        <w:pStyle w:val="FootnoteText"/>
      </w:pPr>
      <w:r>
        <w:rPr>
          <w:rStyle w:val="FootnoteReference"/>
        </w:rPr>
        <w:footnoteRef/>
      </w:r>
      <w:r>
        <w:tab/>
        <w:t>Op. cit., p. 14.</w:t>
      </w:r>
    </w:p>
  </w:footnote>
  <w:footnote w:id="11">
    <w:p w14:paraId="7BA4F228" w14:textId="77777777" w:rsidR="00296DEA" w:rsidRPr="000C655F" w:rsidRDefault="00296DEA" w:rsidP="00296DEA">
      <w:pPr>
        <w:pStyle w:val="FootnoteText"/>
      </w:pPr>
      <w:r>
        <w:rPr>
          <w:rStyle w:val="FootnoteReference"/>
        </w:rPr>
        <w:footnoteRef/>
      </w:r>
      <w:r>
        <w:tab/>
        <w:t>Majorarea tarifelor și a taxelor vamale ar prezenta riscul creșterii prețurilor de consum.</w:t>
      </w:r>
    </w:p>
  </w:footnote>
  <w:footnote w:id="12">
    <w:p w14:paraId="01EAEB6F" w14:textId="77777777" w:rsidR="00296DEA" w:rsidRPr="000C655F" w:rsidRDefault="00296DEA" w:rsidP="00296DEA">
      <w:pPr>
        <w:pStyle w:val="FootnoteText"/>
      </w:pPr>
      <w:r>
        <w:rPr>
          <w:rStyle w:val="FootnoteReference"/>
        </w:rPr>
        <w:footnoteRef/>
      </w:r>
      <w:r>
        <w:tab/>
        <w:t xml:space="preserve">Pentru motivele care stau la baza evoluției cheltuielilor cu locuința, a se vedea Avizul CESE pe tema </w:t>
      </w:r>
      <w:hyperlink r:id="rId16" w:history="1">
        <w:r>
          <w:rPr>
            <w:rStyle w:val="Hyperlink"/>
            <w:i/>
          </w:rPr>
          <w:t>„Locuințe sociale decente, durabile și la prețuri accesibile în UE”</w:t>
        </w:r>
      </w:hyperlink>
      <w:r>
        <w:t xml:space="preserve">, JO C, C/2025/771, 11.2.2025, ELI: </w:t>
      </w:r>
      <w:hyperlink r:id="rId17" w:history="1">
        <w:r>
          <w:rPr>
            <w:rStyle w:val="Hyperlink"/>
          </w:rPr>
          <w:t>http://data.europa.eu/eli/C/2025/771/oj</w:t>
        </w:r>
      </w:hyperlink>
      <w:r>
        <w:t>.</w:t>
      </w:r>
    </w:p>
  </w:footnote>
  <w:footnote w:id="13">
    <w:p w14:paraId="2C56C164" w14:textId="77777777" w:rsidR="00296DEA" w:rsidRPr="000C655F" w:rsidRDefault="00296DEA" w:rsidP="00296DEA">
      <w:pPr>
        <w:pStyle w:val="FootnoteText"/>
      </w:pPr>
      <w:r>
        <w:rPr>
          <w:rStyle w:val="FootnoteReference"/>
        </w:rPr>
        <w:footnoteRef/>
      </w:r>
      <w:r>
        <w:tab/>
        <w:t xml:space="preserve">A se vedea </w:t>
      </w:r>
      <w:hyperlink r:id="rId18" w:history="1">
        <w:r>
          <w:rPr>
            <w:rStyle w:val="Hyperlink"/>
          </w:rPr>
          <w:t xml:space="preserve">Raportul </w:t>
        </w:r>
        <w:r>
          <w:rPr>
            <w:rStyle w:val="Hyperlink"/>
          </w:rPr>
          <w:t>Letta</w:t>
        </w:r>
      </w:hyperlink>
      <w:r>
        <w:t>, 2024.</w:t>
      </w:r>
    </w:p>
  </w:footnote>
  <w:footnote w:id="14">
    <w:p w14:paraId="1745D86C" w14:textId="77777777" w:rsidR="00296DEA" w:rsidRPr="000C655F" w:rsidRDefault="00296DEA" w:rsidP="00296DEA">
      <w:pPr>
        <w:pStyle w:val="FootnoteText"/>
      </w:pPr>
      <w:r>
        <w:rPr>
          <w:rStyle w:val="FootnoteReference"/>
        </w:rPr>
        <w:footnoteRef/>
      </w:r>
      <w:r>
        <w:tab/>
        <w:t>Serviciile pot fi furnizate fie de entități publice, fie de entități private. De exemplu, în multe state membre, prestatorii privați furnizează servicii de sănătate (medici privați), educație etc., care sunt finanțate prin mijloace publice.</w:t>
      </w:r>
    </w:p>
  </w:footnote>
  <w:footnote w:id="15">
    <w:p w14:paraId="6D8C6F76" w14:textId="77777777" w:rsidR="00296DEA" w:rsidRPr="000C655F" w:rsidRDefault="00296DEA" w:rsidP="00296DEA">
      <w:pPr>
        <w:pStyle w:val="FootnoteText"/>
        <w:rPr>
          <w:szCs w:val="16"/>
        </w:rPr>
      </w:pPr>
      <w:r>
        <w:rPr>
          <w:rStyle w:val="FootnoteReference"/>
        </w:rPr>
        <w:footnoteRef/>
      </w:r>
      <w:r>
        <w:tab/>
        <w:t xml:space="preserve">A se vedea avizul din proprie inițiativă al CESE </w:t>
      </w:r>
      <w:r>
        <w:rPr>
          <w:color w:val="000000"/>
        </w:rPr>
        <w:t xml:space="preserve">pe tema </w:t>
      </w:r>
      <w:r>
        <w:rPr>
          <w:i/>
          <w:color w:val="000000"/>
        </w:rPr>
        <w:t>„Crearea în comun a serviciilor de interes general ca o contribuție la o democrație mai participativă în UE”</w:t>
      </w:r>
      <w:r>
        <w:rPr>
          <w:color w:val="000000"/>
        </w:rPr>
        <w:t>,</w:t>
      </w:r>
      <w:r>
        <w:t xml:space="preserve"> </w:t>
      </w:r>
      <w:hyperlink r:id="rId19" w:history="1">
        <w:r>
          <w:rPr>
            <w:rStyle w:val="Hyperlink"/>
          </w:rPr>
          <w:t>JO C 486, 21.12.2022, p. 76</w:t>
        </w:r>
      </w:hyperlink>
      <w:r>
        <w:t>.</w:t>
      </w:r>
    </w:p>
  </w:footnote>
  <w:footnote w:id="16">
    <w:p w14:paraId="3F9D05F7" w14:textId="77777777" w:rsidR="00296DEA" w:rsidRPr="000C655F" w:rsidRDefault="00296DEA" w:rsidP="00296DEA">
      <w:pPr>
        <w:pStyle w:val="FootnoteText"/>
      </w:pPr>
      <w:r>
        <w:rPr>
          <w:rStyle w:val="FootnoteReference"/>
        </w:rPr>
        <w:footnoteRef/>
      </w:r>
      <w:r>
        <w:tab/>
        <w:t xml:space="preserve">De exemplu, Avizul CESE pe tema </w:t>
      </w:r>
      <w:hyperlink r:id="rId20" w:history="1">
        <w:r>
          <w:rPr>
            <w:rStyle w:val="Hyperlink"/>
            <w:i/>
          </w:rPr>
          <w:t>„Viitorul aprovizionării cu energie electrică și al stabilirii prețului la energie electrică în UE”</w:t>
        </w:r>
      </w:hyperlink>
      <w:r>
        <w:t xml:space="preserve">, JO C, C/2025/1187, 21.3.2025, ELI: </w:t>
      </w:r>
      <w:hyperlink r:id="rId21" w:history="1">
        <w:r>
          <w:rPr>
            <w:rStyle w:val="Hyperlink"/>
          </w:rPr>
          <w:t>http://data.europa.eu/eli/C/2025/1187/oj</w:t>
        </w:r>
      </w:hyperlink>
      <w:r>
        <w:t>.</w:t>
      </w:r>
    </w:p>
  </w:footnote>
  <w:footnote w:id="17">
    <w:p w14:paraId="05FAB791" w14:textId="77777777" w:rsidR="00296DEA" w:rsidRPr="000C655F" w:rsidRDefault="00296DEA" w:rsidP="00296DEA">
      <w:pPr>
        <w:pStyle w:val="FootnoteText"/>
      </w:pPr>
      <w:r>
        <w:rPr>
          <w:rStyle w:val="FootnoteReference"/>
        </w:rPr>
        <w:footnoteRef/>
      </w:r>
      <w:r>
        <w:tab/>
        <w:t>Planul de acțiune pentru energie la prețuri accesibile – Deblocarea adevăratei valori a uniunii noastre energetice pentru a asigura energie accesibilă, eficientă și curată pentru toți europenii [</w:t>
      </w:r>
      <w:hyperlink r:id="rId22" w:history="1">
        <w:r>
          <w:rPr>
            <w:rStyle w:val="Hyperlink"/>
          </w:rPr>
          <w:t>COM(2025) 79 final</w:t>
        </w:r>
      </w:hyperlink>
      <w:r>
        <w:t>].</w:t>
      </w:r>
    </w:p>
  </w:footnote>
  <w:footnote w:id="18">
    <w:p w14:paraId="7E60D930" w14:textId="77777777" w:rsidR="00296DEA" w:rsidRPr="000C655F" w:rsidRDefault="00296DEA" w:rsidP="00296DEA">
      <w:pPr>
        <w:pStyle w:val="FootnoteText"/>
      </w:pPr>
      <w:r>
        <w:rPr>
          <w:rStyle w:val="FootnoteReference"/>
        </w:rPr>
        <w:footnoteRef/>
      </w:r>
      <w:r>
        <w:tab/>
        <w:t xml:space="preserve">A se vedea </w:t>
      </w:r>
      <w:hyperlink r:id="rId23" w:history="1">
        <w:r>
          <w:rPr>
            <w:rStyle w:val="Hyperlink"/>
          </w:rPr>
          <w:t xml:space="preserve">Raportul </w:t>
        </w:r>
        <w:r>
          <w:rPr>
            <w:rStyle w:val="Hyperlink"/>
          </w:rPr>
          <w:t>Letta</w:t>
        </w:r>
      </w:hyperlink>
      <w:r>
        <w:t>, 2024.</w:t>
      </w:r>
    </w:p>
  </w:footnote>
  <w:footnote w:id="19">
    <w:p w14:paraId="64790A62" w14:textId="77777777" w:rsidR="00296DEA" w:rsidRPr="000C655F" w:rsidRDefault="00296DEA" w:rsidP="00296DEA">
      <w:pPr>
        <w:pStyle w:val="FootnoteText"/>
      </w:pPr>
      <w:r>
        <w:rPr>
          <w:rStyle w:val="FootnoteReference"/>
        </w:rPr>
        <w:footnoteRef/>
      </w:r>
      <w:r>
        <w:tab/>
        <w:t>Conform bazei de date AMECO, PIB-ul european pe cap de locuitor în parități ale puterii de cumpărare (PPC) pe oră lucrată se situează la 77,8 % din nivelul înregistrat în SUA în 2023.</w:t>
      </w:r>
    </w:p>
  </w:footnote>
  <w:footnote w:id="20">
    <w:p w14:paraId="12904CDD" w14:textId="77777777" w:rsidR="00296DEA" w:rsidRPr="000C655F" w:rsidRDefault="00296DEA" w:rsidP="00296DEA">
      <w:pPr>
        <w:pStyle w:val="FootnoteText"/>
      </w:pPr>
      <w:r>
        <w:rPr>
          <w:rStyle w:val="FootnoteReference"/>
        </w:rPr>
        <w:footnoteRef/>
      </w:r>
      <w:r>
        <w:tab/>
        <w:t xml:space="preserve">Dat fiind că întreprinderile europene investesc mult mai puțin în cercetare și dezvoltare decât întreprinderile din SUA și China, CESE subliniază că este necesar să crească rata investițiilor. [A se vedea Parlamentul European, </w:t>
      </w:r>
      <w:r>
        <w:rPr>
          <w:i/>
        </w:rPr>
        <w:t xml:space="preserve">Ten </w:t>
      </w:r>
      <w:r>
        <w:rPr>
          <w:i/>
        </w:rPr>
        <w:t>issues to watch in 2025</w:t>
      </w:r>
      <w:r>
        <w:t>, p. 6.]</w:t>
      </w:r>
    </w:p>
  </w:footnote>
  <w:footnote w:id="21">
    <w:p w14:paraId="44E1660B" w14:textId="77777777" w:rsidR="00296DEA" w:rsidRPr="000C655F" w:rsidRDefault="00296DEA" w:rsidP="00296DEA">
      <w:pPr>
        <w:pStyle w:val="FootnoteText"/>
      </w:pPr>
      <w:r>
        <w:rPr>
          <w:rStyle w:val="FootnoteReference"/>
        </w:rPr>
        <w:footnoteRef/>
      </w:r>
      <w:r>
        <w:tab/>
        <w:t>Op. cit., p. 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341C" w14:textId="77777777" w:rsidR="00574C9B" w:rsidRDefault="00640770">
    <w:pPr>
      <w:pStyle w:val="Header"/>
    </w:pPr>
    <w:r>
      <w:pict w14:anchorId="4D414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31461" w14:textId="1FCB41BA" w:rsidR="00574C9B" w:rsidRDefault="00B3650E">
    <w:pPr>
      <w:pStyle w:val="Header"/>
    </w:pPr>
    <w:r>
      <w:rPr>
        <w:noProof/>
      </w:rPr>
      <w:drawing>
        <wp:anchor distT="0" distB="0" distL="114300" distR="114300" simplePos="0" relativeHeight="251675648" behindDoc="0" locked="0" layoutInCell="1" allowOverlap="1" wp14:anchorId="305F1BD2" wp14:editId="3CA1A1DC">
          <wp:simplePos x="0" y="0"/>
          <wp:positionH relativeFrom="page">
            <wp:align>center</wp:align>
          </wp:positionH>
          <wp:positionV relativeFrom="page">
            <wp:posOffset>288290</wp:posOffset>
          </wp:positionV>
          <wp:extent cx="6944360" cy="3343275"/>
          <wp:effectExtent l="0" t="0" r="8890" b="9525"/>
          <wp:wrapNone/>
          <wp:docPr id="1" name="Picture 1" title="EESCLogo2021_RO"/>
          <wp:cNvGraphicFramePr/>
          <a:graphic xmlns:a="http://schemas.openxmlformats.org/drawingml/2006/main">
            <a:graphicData uri="http://schemas.openxmlformats.org/drawingml/2006/picture">
              <pic:pic xmlns:pic="http://schemas.openxmlformats.org/drawingml/2006/picture">
                <pic:nvPicPr>
                  <pic:cNvPr id="1" name="Picture 1" title="EESCLogo2021_RO"/>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640770">
      <w:pict w14:anchorId="5C9A40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D16C" w14:textId="77777777" w:rsidR="00574C9B" w:rsidRDefault="00640770">
    <w:pPr>
      <w:pStyle w:val="Header"/>
    </w:pPr>
    <w:r>
      <w:pict w14:anchorId="3CDE3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40BC" w14:textId="77777777" w:rsidR="00574C9B" w:rsidRDefault="00640770">
    <w:pPr>
      <w:pStyle w:val="Header"/>
    </w:pPr>
    <w:r>
      <w:pict w14:anchorId="348CF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818D" w14:textId="77777777" w:rsidR="00574C9B" w:rsidRDefault="00640770">
    <w:pPr>
      <w:pStyle w:val="Header"/>
    </w:pPr>
    <w:r>
      <w:pict w14:anchorId="20130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B3650E">
      <w:rPr>
        <w:noProof/>
      </w:rPr>
      <w:drawing>
        <wp:anchor distT="0" distB="0" distL="114300" distR="114300" simplePos="0" relativeHeight="251662336" behindDoc="1" locked="0" layoutInCell="1" allowOverlap="1" wp14:anchorId="1495BC3A" wp14:editId="4F62B56A">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DFB2" w14:textId="77777777" w:rsidR="00574C9B" w:rsidRDefault="00640770">
    <w:pPr>
      <w:pStyle w:val="Header"/>
    </w:pPr>
    <w:r>
      <w:pict w14:anchorId="18D6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30EA" w14:textId="77777777" w:rsidR="004871B8" w:rsidRDefault="00640770">
    <w:pPr>
      <w:pStyle w:val="Header"/>
    </w:pPr>
    <w:r>
      <w:pict w14:anchorId="7AFD6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2886" w14:textId="77777777" w:rsidR="0092705B" w:rsidRDefault="00640770">
    <w:pPr>
      <w:pStyle w:val="Header"/>
    </w:pPr>
    <w:r>
      <w:pict w14:anchorId="66CC6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5D69" w14:textId="77777777" w:rsidR="004871B8" w:rsidRDefault="00640770">
    <w:pPr>
      <w:pStyle w:val="Header"/>
    </w:pPr>
    <w:r>
      <w:pict w14:anchorId="4B4574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045CF"/>
    <w:rsid w:val="00020389"/>
    <w:rsid w:val="0002248B"/>
    <w:rsid w:val="00053D00"/>
    <w:rsid w:val="000A0F3B"/>
    <w:rsid w:val="000A58EB"/>
    <w:rsid w:val="000E5E03"/>
    <w:rsid w:val="001119FD"/>
    <w:rsid w:val="00115651"/>
    <w:rsid w:val="00120A8D"/>
    <w:rsid w:val="00153981"/>
    <w:rsid w:val="00185E99"/>
    <w:rsid w:val="0019231D"/>
    <w:rsid w:val="001955B6"/>
    <w:rsid w:val="001A6116"/>
    <w:rsid w:val="001C608D"/>
    <w:rsid w:val="001D1DAC"/>
    <w:rsid w:val="001D61AC"/>
    <w:rsid w:val="001E15AA"/>
    <w:rsid w:val="001E3FA1"/>
    <w:rsid w:val="001E454D"/>
    <w:rsid w:val="00200E87"/>
    <w:rsid w:val="00206D14"/>
    <w:rsid w:val="00214BDC"/>
    <w:rsid w:val="00215E81"/>
    <w:rsid w:val="0024727F"/>
    <w:rsid w:val="00270E59"/>
    <w:rsid w:val="00282E54"/>
    <w:rsid w:val="00292393"/>
    <w:rsid w:val="00296DEA"/>
    <w:rsid w:val="002A2FC8"/>
    <w:rsid w:val="002B6A7B"/>
    <w:rsid w:val="002C03B2"/>
    <w:rsid w:val="002C75F0"/>
    <w:rsid w:val="002D0203"/>
    <w:rsid w:val="002F3E4A"/>
    <w:rsid w:val="003353D7"/>
    <w:rsid w:val="003659F9"/>
    <w:rsid w:val="00365AA3"/>
    <w:rsid w:val="00401DE5"/>
    <w:rsid w:val="004051F7"/>
    <w:rsid w:val="0041547A"/>
    <w:rsid w:val="0045106C"/>
    <w:rsid w:val="00461CAF"/>
    <w:rsid w:val="004871B8"/>
    <w:rsid w:val="00492082"/>
    <w:rsid w:val="004B7BE9"/>
    <w:rsid w:val="004F2801"/>
    <w:rsid w:val="004F3B80"/>
    <w:rsid w:val="00505E00"/>
    <w:rsid w:val="00512B61"/>
    <w:rsid w:val="00574C9B"/>
    <w:rsid w:val="0058411F"/>
    <w:rsid w:val="005961A4"/>
    <w:rsid w:val="00596B75"/>
    <w:rsid w:val="005C530F"/>
    <w:rsid w:val="006125A1"/>
    <w:rsid w:val="00640770"/>
    <w:rsid w:val="00650620"/>
    <w:rsid w:val="00653E7D"/>
    <w:rsid w:val="00662207"/>
    <w:rsid w:val="00667F09"/>
    <w:rsid w:val="00686424"/>
    <w:rsid w:val="006B57A6"/>
    <w:rsid w:val="006C0EAF"/>
    <w:rsid w:val="006D53A6"/>
    <w:rsid w:val="006D71A2"/>
    <w:rsid w:val="006F1FBB"/>
    <w:rsid w:val="00731542"/>
    <w:rsid w:val="00734D66"/>
    <w:rsid w:val="00787837"/>
    <w:rsid w:val="00787ABB"/>
    <w:rsid w:val="007B1355"/>
    <w:rsid w:val="007B6C64"/>
    <w:rsid w:val="00822952"/>
    <w:rsid w:val="00836505"/>
    <w:rsid w:val="00837061"/>
    <w:rsid w:val="00844B87"/>
    <w:rsid w:val="00867C81"/>
    <w:rsid w:val="00886D18"/>
    <w:rsid w:val="0089251B"/>
    <w:rsid w:val="008A6DD4"/>
    <w:rsid w:val="008F74D7"/>
    <w:rsid w:val="00904C42"/>
    <w:rsid w:val="00914683"/>
    <w:rsid w:val="00924C05"/>
    <w:rsid w:val="0092705B"/>
    <w:rsid w:val="00937CF2"/>
    <w:rsid w:val="00976645"/>
    <w:rsid w:val="00976F77"/>
    <w:rsid w:val="0098228C"/>
    <w:rsid w:val="009832C7"/>
    <w:rsid w:val="009D1DE9"/>
    <w:rsid w:val="009E2100"/>
    <w:rsid w:val="00A21F3B"/>
    <w:rsid w:val="00A310E1"/>
    <w:rsid w:val="00A36AB0"/>
    <w:rsid w:val="00A85168"/>
    <w:rsid w:val="00AB31F5"/>
    <w:rsid w:val="00AB37A3"/>
    <w:rsid w:val="00AB6D77"/>
    <w:rsid w:val="00AC1B35"/>
    <w:rsid w:val="00AC5114"/>
    <w:rsid w:val="00B06C93"/>
    <w:rsid w:val="00B25683"/>
    <w:rsid w:val="00B35B72"/>
    <w:rsid w:val="00B3650E"/>
    <w:rsid w:val="00B51901"/>
    <w:rsid w:val="00BC4FD4"/>
    <w:rsid w:val="00BD50F6"/>
    <w:rsid w:val="00C073E1"/>
    <w:rsid w:val="00C25647"/>
    <w:rsid w:val="00C27A3D"/>
    <w:rsid w:val="00C532E5"/>
    <w:rsid w:val="00C66AEA"/>
    <w:rsid w:val="00C76BA9"/>
    <w:rsid w:val="00C84A18"/>
    <w:rsid w:val="00C9040A"/>
    <w:rsid w:val="00C91E4D"/>
    <w:rsid w:val="00C95E7D"/>
    <w:rsid w:val="00CB110A"/>
    <w:rsid w:val="00CB7CD0"/>
    <w:rsid w:val="00CD6739"/>
    <w:rsid w:val="00D039AF"/>
    <w:rsid w:val="00D13128"/>
    <w:rsid w:val="00D821E4"/>
    <w:rsid w:val="00D95232"/>
    <w:rsid w:val="00DA2458"/>
    <w:rsid w:val="00DA2D12"/>
    <w:rsid w:val="00DB7F50"/>
    <w:rsid w:val="00DE30C7"/>
    <w:rsid w:val="00DF3E1D"/>
    <w:rsid w:val="00DF400F"/>
    <w:rsid w:val="00DF48E2"/>
    <w:rsid w:val="00E15BF4"/>
    <w:rsid w:val="00E2376B"/>
    <w:rsid w:val="00E26935"/>
    <w:rsid w:val="00E27707"/>
    <w:rsid w:val="00E333C8"/>
    <w:rsid w:val="00E52B04"/>
    <w:rsid w:val="00E661B7"/>
    <w:rsid w:val="00E90A9D"/>
    <w:rsid w:val="00EB1EC1"/>
    <w:rsid w:val="00EB7CB8"/>
    <w:rsid w:val="00F14645"/>
    <w:rsid w:val="00F2069F"/>
    <w:rsid w:val="00F45017"/>
    <w:rsid w:val="00F51EF6"/>
    <w:rsid w:val="00F53370"/>
    <w:rsid w:val="00F90BE2"/>
    <w:rsid w:val="00FB1D7A"/>
    <w:rsid w:val="00FC0CEA"/>
    <w:rsid w:val="00FE7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73FAE060"/>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qForma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character" w:styleId="FollowedHyperlink">
    <w:name w:val="FollowedHyperlink"/>
    <w:basedOn w:val="DefaultParagraphFont"/>
    <w:uiPriority w:val="99"/>
    <w:rsid w:val="00296DEA"/>
    <w:rPr>
      <w:color w:val="800080"/>
      <w:u w:val="single"/>
    </w:rPr>
  </w:style>
  <w:style w:type="paragraph" w:customStyle="1" w:styleId="LOGO">
    <w:name w:val="LOGO"/>
    <w:basedOn w:val="Normal"/>
    <w:uiPriority w:val="99"/>
    <w:rsid w:val="00296DEA"/>
    <w:pPr>
      <w:jc w:val="center"/>
    </w:pPr>
    <w:rPr>
      <w:rFonts w:ascii="Arial" w:hAnsi="Arial" w:cs="Arial"/>
      <w:b/>
      <w:bCs/>
      <w:i/>
      <w:iCs/>
      <w:sz w:val="20"/>
    </w:rPr>
  </w:style>
  <w:style w:type="character" w:customStyle="1" w:styleId="UnresolvedMention1">
    <w:name w:val="Unresolved Mention1"/>
    <w:basedOn w:val="DefaultParagraphFont"/>
    <w:uiPriority w:val="99"/>
    <w:semiHidden/>
    <w:unhideWhenUsed/>
    <w:rsid w:val="00296DEA"/>
    <w:rPr>
      <w:color w:val="605E5C"/>
      <w:shd w:val="clear" w:color="auto" w:fill="E1DFDD"/>
    </w:rPr>
  </w:style>
  <w:style w:type="character" w:customStyle="1" w:styleId="UnresolvedMention2">
    <w:name w:val="Unresolved Mention2"/>
    <w:basedOn w:val="DefaultParagraphFont"/>
    <w:uiPriority w:val="99"/>
    <w:semiHidden/>
    <w:unhideWhenUsed/>
    <w:rsid w:val="00296DEA"/>
    <w:rPr>
      <w:color w:val="605E5C"/>
      <w:shd w:val="clear" w:color="auto" w:fill="E1DFDD"/>
    </w:rPr>
  </w:style>
  <w:style w:type="character" w:customStyle="1" w:styleId="UnresolvedMention3">
    <w:name w:val="Unresolved Mention3"/>
    <w:basedOn w:val="DefaultParagraphFont"/>
    <w:uiPriority w:val="99"/>
    <w:semiHidden/>
    <w:unhideWhenUsed/>
    <w:rsid w:val="001D1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customXml" Target="../customXml/item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theme" Target="theme/theme1.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ro/our-work/opinions-information-reports/opinions/fragmentation-supply-chains-and-impact-cost-living" TargetMode="External"/><Relationship Id="rId13" Type="http://schemas.openxmlformats.org/officeDocument/2006/relationships/hyperlink" Target="http://data.europa.eu/eli/C/2025/1187/oj" TargetMode="External"/><Relationship Id="rId18" Type="http://schemas.openxmlformats.org/officeDocument/2006/relationships/hyperlink" Target="https://www.consilium.europa.eu/media/ny3j24sm/much-more-than-a-market-report-by-enrico-letta.pdf" TargetMode="External"/><Relationship Id="rId3" Type="http://schemas.openxmlformats.org/officeDocument/2006/relationships/hyperlink" Target="http://data.europa.eu/eli/C/2025/3195/oj" TargetMode="External"/><Relationship Id="rId21" Type="http://schemas.openxmlformats.org/officeDocument/2006/relationships/hyperlink" Target="http://data.europa.eu/eli/C/2025/1187/oj" TargetMode="External"/><Relationship Id="rId7" Type="http://schemas.openxmlformats.org/officeDocument/2006/relationships/hyperlink" Target="http://data.europa.eu/eli/C/2025/3191/oj" TargetMode="External"/><Relationship Id="rId12" Type="http://schemas.openxmlformats.org/officeDocument/2006/relationships/hyperlink" Target="https://www.eesc.europa.eu/ro/our-work/opinions-information-reports/opinions/recommendations-organised-civil-society-address-cost-living-crisis" TargetMode="External"/><Relationship Id="rId17" Type="http://schemas.openxmlformats.org/officeDocument/2006/relationships/hyperlink" Target="http://data.europa.eu/eli/C/2025/771/oj" TargetMode="External"/><Relationship Id="rId2" Type="http://schemas.openxmlformats.org/officeDocument/2006/relationships/hyperlink" Target="https://www.eesc.europa.eu/ro/our-work/opinions-information-reports/opinions/leaving-crises-behind-measures-resilient-cohesive-and-inclusive-european-economy" TargetMode="External"/><Relationship Id="rId16" Type="http://schemas.openxmlformats.org/officeDocument/2006/relationships/hyperlink" Target="https://www.eesc.europa.eu/ro/our-work/opinions-information-reports/opinions/social-housing-eu-decent-sustainable-and-affordable" TargetMode="External"/><Relationship Id="rId20" Type="http://schemas.openxmlformats.org/officeDocument/2006/relationships/hyperlink" Target="https://www.eesc.europa.eu/ro/our-work/opinions-information-reports/opinions/future-supply-and-pricing-electricity-eu" TargetMode="External"/><Relationship Id="rId1" Type="http://schemas.openxmlformats.org/officeDocument/2006/relationships/hyperlink" Target="https://www.eesc.europa.eu/ro/our-work/opinions-information-reports/opinions/reindustrialisation-europe-opportunity-businesses-employees-and-citizens-context-cost-living-crisis" TargetMode="External"/><Relationship Id="rId6" Type="http://schemas.openxmlformats.org/officeDocument/2006/relationships/hyperlink" Target="https://www.eesc.europa.eu/ro/our-work/opinions-information-reports/opinions/phasing-out-fossil-fuel-subsidies-while-ensuring-european-competitiveness-mitigating-cost-living-crisis-and-promoting" TargetMode="External"/><Relationship Id="rId11" Type="http://schemas.openxmlformats.org/officeDocument/2006/relationships/hyperlink" Target="http://data.europa.eu/eli/C/2025/3192/oj" TargetMode="External"/><Relationship Id="rId5" Type="http://schemas.openxmlformats.org/officeDocument/2006/relationships/hyperlink" Target="http://data.europa.eu/eli/C/2025/3189/oj" TargetMode="External"/><Relationship Id="rId15" Type="http://schemas.openxmlformats.org/officeDocument/2006/relationships/hyperlink" Target="https://op.europa.eu/ro/publication-detail/-/publication/057f23e9-bdc5-11ef-91ed-01aa75ed71a1" TargetMode="External"/><Relationship Id="rId23" Type="http://schemas.openxmlformats.org/officeDocument/2006/relationships/hyperlink" Target="https://www.consilium.europa.eu/media/ny3j24sm/much-more-than-a-market-report-by-enrico-letta.pdf" TargetMode="External"/><Relationship Id="rId10" Type="http://schemas.openxmlformats.org/officeDocument/2006/relationships/hyperlink" Target="https://www.eesc.europa.eu/ro/our-work/opinions-information-reports/opinions/price-hikes-transport-energy-and-housing-role-quality-public-services-tackling-high-cost-living" TargetMode="External"/><Relationship Id="rId19" Type="http://schemas.openxmlformats.org/officeDocument/2006/relationships/hyperlink" Target="https://eur-lex.europa.eu/legal-content/RO/TXT/?uri=OJ:C:2022:486:TOC" TargetMode="External"/><Relationship Id="rId4" Type="http://schemas.openxmlformats.org/officeDocument/2006/relationships/hyperlink" Target="https://www.eesc.europa.eu/ro/our-work/opinions-information-reports/opinions/how-single-market-dysfunctionalities-contribute-rising-cost-living" TargetMode="External"/><Relationship Id="rId9" Type="http://schemas.openxmlformats.org/officeDocument/2006/relationships/hyperlink" Target="https://www.eesc.europa.eu/ro/our-work/opinions-information-reports/opinions/how-address-loss-purchasing-power-and-risk-rising-inequalities-exclusion-and-marginalization" TargetMode="External"/><Relationship Id="rId14" Type="http://schemas.openxmlformats.org/officeDocument/2006/relationships/hyperlink" Target="https://eur-lex.europa.eu/legal-content/RO/TXT/?uri=CELEX%3A52024DC0704&amp;qid=1740647752099" TargetMode="External"/><Relationship Id="rId22" Type="http://schemas.openxmlformats.org/officeDocument/2006/relationships/hyperlink" Target="https://eur-lex.europa.eu/legal-content/RO/TXT/?uri=CELEX%3A52025DC0079&amp;qid=17417801104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A6WAAD5KZT2Q-604569563-14624</_dlc_DocId>
    <_dlc_DocIdUrl xmlns="1a33af13-4045-4f88-9d7b-618e30f79918">
      <Url>http://dm/eesc/2025/_layouts/15/DocIdRedir.aspx?ID=A6WAAD5KZT2Q-604569563-14624</Url>
      <Description>A6WAAD5KZT2Q-604569563-14624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2025-07-23T12:00:00+00:00</ProductionDate>
    <DocumentNumber xmlns="be3ca9a7-9286-4008-99ec-aebc20da9dc2">91</DocumentNumber>
    <FicheYear xmlns="1a33af13-4045-4f88-9d7b-618e30f79918" xsi:nil="true"/>
    <DossierNumber xmlns="1a33af13-4045-4f88-9d7b-618e30f79918">660</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79</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103</Value>
      <Value>13</Value>
      <Value>12</Value>
      <Value>8</Value>
      <Value>5</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s>
    </DocumentLanguage_0>
    <Rapporteur xmlns="1a33af13-4045-4f88-9d7b-618e30f79918">ANDERSSON &amp; BALON &amp; KATTNIG</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4804</FicheNumber>
    <OriginalSender xmlns="1a33af13-4045-4f88-9d7b-618e30f79918">
      <UserInfo>
        <DisplayName>Soldan Aureliana Cristiana</DisplayName>
        <AccountId>1535</AccountId>
        <AccountType/>
      </UserInfo>
    </OriginalSender>
    <DocumentPart xmlns="1a33af13-4045-4f88-9d7b-618e30f79918">0</DocumentPart>
    <AdoptionDate xmlns="1a33af13-4045-4f88-9d7b-618e30f79918">2025-07-17T12:00:00+00:00</AdoptionDate>
    <RequestingService xmlns="1a33af13-4045-4f88-9d7b-618e30f79918">Union économique et monétaire et cohésion économique et sociale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TermName>
          <TermId xmlns="http://schemas.microsoft.com/office/infopath/2007/PartnerControls">8df351f5-c957-404c-8cf3-8ffb22c9cba2</TermId>
        </TermInfo>
      </Terms>
    </DossierName_0>
    <DocumentVersion xmlns="1a33af13-4045-4f88-9d7b-618e30f79918">0</DocumentVersion>
  </documentManagement>
</p:properties>
</file>

<file path=customXml/itemProps1.xml><?xml version="1.0" encoding="utf-8"?>
<ds:datastoreItem xmlns:ds="http://schemas.openxmlformats.org/officeDocument/2006/customXml" ds:itemID="{2C89003A-0128-4CEF-95F8-B895D2E17186}"/>
</file>

<file path=customXml/itemProps2.xml><?xml version="1.0" encoding="utf-8"?>
<ds:datastoreItem xmlns:ds="http://schemas.openxmlformats.org/officeDocument/2006/customXml" ds:itemID="{CE7590EB-13E5-4BC8-88F1-06042424CFA4}"/>
</file>

<file path=customXml/itemProps3.xml><?xml version="1.0" encoding="utf-8"?>
<ds:datastoreItem xmlns:ds="http://schemas.openxmlformats.org/officeDocument/2006/customXml" ds:itemID="{A11231B2-11FD-462A-AA8E-50A2C3FD8317}"/>
</file>

<file path=customXml/itemProps4.xml><?xml version="1.0" encoding="utf-8"?>
<ds:datastoreItem xmlns:ds="http://schemas.openxmlformats.org/officeDocument/2006/customXml" ds:itemID="{F361B17E-FE9D-409B-8DA4-FE6229293A47}"/>
</file>

<file path=docProps/app.xml><?xml version="1.0" encoding="utf-8"?>
<Properties xmlns="http://schemas.openxmlformats.org/officeDocument/2006/extended-properties" xmlns:vt="http://schemas.openxmlformats.org/officeDocument/2006/docPropsVTypes">
  <Template>Normal.dotm</Template>
  <TotalTime>5</TotalTime>
  <Pages>13</Pages>
  <Words>5121</Words>
  <Characters>29194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EESC AC - Model</vt:lpstr>
    </vt:vector>
  </TitlesOfParts>
  <Company>CESE-CdR</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Recomandările societății civile organizate pentru abordarea crizei costului vieții</dc:title>
  <dc:subject>AC</dc:subject>
  <dc:creator>Francois Aude</dc:creator>
  <cp:keywords>EESC-2025-00091-00-00-AC-TRA-EN</cp:keywords>
  <dc:description>Rapporteur: ANDERSSON &amp; BALON &amp; KATTNIG - Original language: EN - Date of document: 23/07/2025 - Date of meeting:  - External documents:  - Administrator:  PERLAKY-TÓTH Krisztina</dc:description>
  <cp:lastModifiedBy>Soldan Aureliana Cristiana</cp:lastModifiedBy>
  <cp:revision>15</cp:revision>
  <dcterms:created xsi:type="dcterms:W3CDTF">2025-07-23T09:29:00Z</dcterms:created>
  <dcterms:modified xsi:type="dcterms:W3CDTF">2025-07-23T09:37:00Z</dcterms:modified>
  <cp:category>ECO/660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18/07/2025, 17/04/2024, 12/04/2024, 17/05/2022</vt:lpwstr>
  </property>
  <property fmtid="{D5CDD505-2E9C-101B-9397-08002B2CF9AE}" pid="4" name="Pref_Time">
    <vt:lpwstr>11:43:42, 09:47:22, 11:43:34, 14:58:36</vt:lpwstr>
  </property>
  <property fmtid="{D5CDD505-2E9C-101B-9397-08002B2CF9AE}" pid="5" name="Pref_User">
    <vt:lpwstr>pacup, enied, enied, enied</vt:lpwstr>
  </property>
  <property fmtid="{D5CDD505-2E9C-101B-9397-08002B2CF9AE}" pid="6" name="Pref_FileName">
    <vt:lpwstr>EESC-2025-00091-00-00-AC-TRA-EN-CRR.docx, COR-EESC-2024-01326-10-00-ADMIN-TRA-EN.docx, COR-EESC-2024-01326-10-00-ADMIN-ORI.docx, COR-EESC-2022-02592-00-00-ADMIN-ORI.docx</vt:lpwstr>
  </property>
  <property fmtid="{D5CDD505-2E9C-101B-9397-08002B2CF9AE}" pid="7" name="ContentTypeId">
    <vt:lpwstr>0x010100EA97B91038054C99906057A708A1480A006BB3B767F3CF4149BF520211D4A86BC0</vt:lpwstr>
  </property>
  <property fmtid="{D5CDD505-2E9C-101B-9397-08002B2CF9AE}" pid="8" name="_dlc_DocIdItemGuid">
    <vt:lpwstr>b45cb180-12f5-457b-ad32-3bd80e7c6ddb</vt:lpwstr>
  </property>
  <property fmtid="{D5CDD505-2E9C-101B-9397-08002B2CF9AE}" pid="9" name="AvailableTranslations">
    <vt:lpwstr>40;#DA|5d49c027-8956-412b-aa16-e85a0f96ad0e;#47;#BG|1a1b3951-7821-4e6a-85f5-5673fc08bd2c;#31;#SL|98a412ae-eb01-49e9-ae3d-585a81724cfc;#41;#ET|ff6c3f4c-b02c-4c3c-ab07-2c37995a7a0a;#37;#HU|6b229040-c589-4408-b4c1-4285663d20a8;#32;#MT|7df99101-6854-4a26-b53a-b88c0da02c26;#36;#RO|feb747a2-64cd-4299-af12-4833ddc30497;#28;#SV|c2ed69e7-a339-43d7-8f22-d93680a92aa0;#33;#PT|50ccc04a-eadd-42ae-a0cb-acaf45f812ba;#34;#IT|0774613c-01ed-4e5d-a25d-11d2388de825;#27;#NL|55c6556c-b4f4-441d-9acf-c498d4f838bd;#50;#HR|2f555653-ed1a-4fe6-8362-9082d95989e5;#30;#LT|a7ff5ce7-6123-4f68-865a-a57c31810414;#35;#FI|87606a43-d45f-42d6-b8c9-e1a3457db5b7;#46;#SK|46d9fce0-ef79-4f71-b89b-cd6aa82426b8;#23;#DE|f6b31e5a-26fa-4935-b661-318e46daf27e;#42;#EL|6d4f4d51-af9b-4650-94b4-4276bee85c91;#12;#FR|d2afafd3-4c81-4f60-8f52-ee33f2f54ff3;#5;#EN|f2175f21-25d7-44a3-96da-d6a61b075e1b;#29;#CS|72f9705b-0217-4fd3-bea2-cbc7ed80e26e;#39;#LV|46f7e311-5d9f-4663-b433-18aeccb7ace7;#16;#ES|e7a6b05b-ae16-40c8-add9-68b64b03aeba;#43;#GA|762d2456-c427-4ecb-b312-af3dad8e258c;#24;#PL|1e03da61-4678-4e07-b136-b5024ca9197b</vt:lpwstr>
  </property>
  <property fmtid="{D5CDD505-2E9C-101B-9397-08002B2CF9AE}" pid="10" name="DocumentType_0">
    <vt:lpwstr>AC|a4cc1d15-fb08-4679-ad46-e4e0cba5fe92</vt:lpwstr>
  </property>
  <property fmtid="{D5CDD505-2E9C-101B-9397-08002B2CF9AE}" pid="11" name="DossierName_0">
    <vt:lpwstr>ECO|8df351f5-c957-404c-8cf3-8ffb22c9cba2</vt:lpwstr>
  </property>
  <property fmtid="{D5CDD505-2E9C-101B-9397-08002B2CF9AE}" pid="12" name="DocumentSource_0">
    <vt:lpwstr>EESC|422833ec-8d7e-4e65-8e4e-8bed07ffb729</vt:lpwstr>
  </property>
  <property fmtid="{D5CDD505-2E9C-101B-9397-08002B2CF9AE}" pid="13" name="DocumentNumber">
    <vt:i4>91</vt:i4>
  </property>
  <property fmtid="{D5CDD505-2E9C-101B-9397-08002B2CF9AE}" pid="14" name="DocumentVersion">
    <vt:i4>0</vt:i4>
  </property>
  <property fmtid="{D5CDD505-2E9C-101B-9397-08002B2CF9AE}" pid="15" name="DossierNumber">
    <vt:i4>660</vt:i4>
  </property>
  <property fmtid="{D5CDD505-2E9C-101B-9397-08002B2CF9AE}" pid="16" name="DocumentStatus">
    <vt:lpwstr>13;#TRA|150d2a88-1431-44e6-a8ca-0bb753ab8672</vt:lpwstr>
  </property>
  <property fmtid="{D5CDD505-2E9C-101B-9397-08002B2CF9AE}" pid="17" name="DossierName">
    <vt:lpwstr>103;#ECO|8df351f5-c957-404c-8cf3-8ffb22c9cba2</vt:lpwstr>
  </property>
  <property fmtid="{D5CDD505-2E9C-101B-9397-08002B2CF9AE}" pid="18" name="RequestingService">
    <vt:lpwstr>Union économique et monétaire et cohésion économique et sociale</vt:lpwstr>
  </property>
  <property fmtid="{D5CDD505-2E9C-101B-9397-08002B2CF9AE}" pid="19" name="Confidentiality">
    <vt:lpwstr>15;#Unrestricted|826e22d7-d029-4ec0-a450-0c28ff673572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DA|5d49c027-8956-412b-aa16-e85a0f96ad0e;BG|1a1b3951-7821-4e6a-85f5-5673fc08bd2c;SL|98a412ae-eb01-49e9-ae3d-585a81724cfc;HU|6b229040-c589-4408-b4c1-4285663d20a8;PT|50ccc04a-eadd-42ae-a0cb-acaf45f812ba;IT|0774613c-01ed-4e5d-a25d-11d2388de825;NL|55c6556c-b4f4-441d-9acf-c498d4f838bd;HR|2f555653-ed1a-4fe6-8362-9082d95989e5;FI|87606a43-d45f-42d6-b8c9-e1a3457db5b7;SK|46d9fce0-ef79-4f71-b89b-cd6aa82426b8;DE|f6b31e5a-26fa-4935-b661-318e46daf27e;EL|6d4f4d51-af9b-4650-94b4-4276bee85c91;FR|d2afafd3-4c81-4f60-8f52-ee33f2f54ff3;EN|f2175f21-25d7-44a3-96da-d6a61b075e1b;CS|72f9705b-0217-4fd3-bea2-cbc7ed80e26e;LV|46f7e311-5d9f-4663-b433-18aeccb7ace7;ES|e7a6b05b-ae16-40c8-add9-68b64b03aeba;PL|1e03da61-4678-4e07-b136-b5024ca9197b</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42;#EL|6d4f4d51-af9b-4650-94b4-4276bee85c91;#35;#FI|87606a43-d45f-42d6-b8c9-e1a3457db5b7;#34;#IT|0774613c-01ed-4e5d-a25d-11d2388de825;#33;#PT|50ccc04a-eadd-42ae-a0cb-acaf45f812ba;#31;#SL|98a412ae-eb01-49e9-ae3d-585a81724cfc;#103;#ECO|8df351f5-c957-404c-8cf3-8ffb22c9cba2;#27;#NL|55c6556c-b4f4-441d-9acf-c498d4f838bd;#24;#PL|1e03da61-4678-4e07-b136-b5024ca9197b;#50;#HR|2f555653-ed1a-4fe6-8362-9082d95989e5;#23;#DE|f6b31e5a-26fa-4935-b661-318e46daf27e;#79;#AC|a4cc1d15-fb08-4679-ad46-e4e0cba5fe92;#15;#Unrestricted|826e22d7-d029-4ec0-a450-0c28ff673572;#13;#TRA|150d2a88-1431-44e6-a8ca-0bb753ab8672;#12;#FR|d2afafd3-4c81-4f60-8f52-ee33f2f54ff3;#47;#BG|1a1b3951-7821-4e6a-85f5-5673fc08bd2c;#46;#SK|46d9fce0-ef79-4f71-b89b-cd6aa82426b8;#8;#Final|ea5e6674-7b27-4bac-b091-73adbb394efe;#29;#CS|72f9705b-0217-4fd3-bea2-cbc7ed80e26e;#5;#EN|f2175f21-25d7-44a3-96da-d6a61b075e1b;#16;#ES|e7a6b05b-ae16-40c8-add9-68b64b03aeba;#40;#DA|5d49c027-8956-412b-aa16-e85a0f96ad0e;#39;#LV|46f7e311-5d9f-4663-b433-18aeccb7ace7;#1;#EESC|422833ec-8d7e-4e65-8e4e-8bed07ffb729;#37;#HU|6b229040-c589-4408-b4c1-4285663d20a8</vt:lpwstr>
  </property>
  <property fmtid="{D5CDD505-2E9C-101B-9397-08002B2CF9AE}" pid="29" name="Rapporteur">
    <vt:lpwstr>ANDERSSON &amp; BALON &amp; KATTNIG</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4804</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2025-07-17T12:00:00Z</vt:filetime>
  </property>
  <property fmtid="{D5CDD505-2E9C-101B-9397-08002B2CF9AE}" pid="37" name="DocumentType">
    <vt:lpwstr>79;#AC|a4cc1d15-fb08-4679-ad46-e4e0cba5fe92</vt:lpwstr>
  </property>
  <property fmtid="{D5CDD505-2E9C-101B-9397-08002B2CF9AE}" pid="38" name="DocumentLanguage">
    <vt:lpwstr>36;#RO|feb747a2-64cd-4299-af12-4833ddc30497</vt:lpwstr>
  </property>
</Properties>
</file>