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574C9B" w:rsidRPr="00511EA9" w14:paraId="4B18B74B" w14:textId="77777777" w:rsidTr="008E4CC5">
        <w:trPr>
          <w:jc w:val="center"/>
        </w:trPr>
        <w:tc>
          <w:tcPr>
            <w:tcW w:w="5000" w:type="pct"/>
            <w:vAlign w:val="center"/>
          </w:tcPr>
          <w:p w14:paraId="4B8F14AB" w14:textId="1DC17AD9" w:rsidR="00574C9B" w:rsidRPr="00511EA9" w:rsidRDefault="00360204" w:rsidP="006A79E7">
            <w:pPr>
              <w:jc w:val="center"/>
              <w:rPr>
                <w:b/>
                <w:sz w:val="72"/>
                <w:szCs w:val="72"/>
              </w:rPr>
            </w:pPr>
            <w:r w:rsidRPr="00511EA9">
              <w:rPr>
                <w:b/>
                <w:sz w:val="72"/>
              </w:rPr>
              <w:t>RELAZIONE INFORMATIVA</w:t>
            </w:r>
          </w:p>
        </w:tc>
      </w:tr>
      <w:tr w:rsidR="00574C9B" w:rsidRPr="00511EA9" w14:paraId="428F80C1" w14:textId="77777777" w:rsidTr="008E4CC5">
        <w:trPr>
          <w:trHeight w:val="567"/>
          <w:jc w:val="center"/>
        </w:trPr>
        <w:tc>
          <w:tcPr>
            <w:tcW w:w="5000" w:type="pct"/>
            <w:vAlign w:val="center"/>
          </w:tcPr>
          <w:p w14:paraId="0E3C838D" w14:textId="2E0F4618" w:rsidR="00574C9B" w:rsidRPr="00511EA9" w:rsidRDefault="00574C9B" w:rsidP="006A79E7">
            <w:pPr>
              <w:jc w:val="center"/>
              <w:rPr>
                <w:sz w:val="24"/>
                <w:szCs w:val="24"/>
              </w:rPr>
            </w:pPr>
            <w:r w:rsidRPr="00511EA9">
              <w:rPr>
                <w:sz w:val="24"/>
              </w:rPr>
              <w:t>Comitato economico e sociale europeo</w:t>
            </w:r>
          </w:p>
        </w:tc>
      </w:tr>
      <w:tr w:rsidR="00574C9B" w:rsidRPr="00511EA9" w14:paraId="5FCA7EB1" w14:textId="77777777" w:rsidTr="008E4CC5">
        <w:trPr>
          <w:jc w:val="center"/>
        </w:trPr>
        <w:tc>
          <w:tcPr>
            <w:tcW w:w="5000" w:type="pct"/>
            <w:vAlign w:val="center"/>
          </w:tcPr>
          <w:p w14:paraId="164B3F5D" w14:textId="3B8C9C30" w:rsidR="00574C9B" w:rsidRPr="00511EA9" w:rsidRDefault="00766ACB" w:rsidP="006A79E7">
            <w:pPr>
              <w:jc w:val="center"/>
              <w:rPr>
                <w:b/>
                <w:sz w:val="44"/>
                <w:szCs w:val="44"/>
              </w:rPr>
            </w:pPr>
            <w:r w:rsidRPr="00511EA9">
              <w:rPr>
                <w:b/>
                <w:sz w:val="44"/>
              </w:rPr>
              <w:t>Diplomazia e disabilità</w:t>
            </w:r>
          </w:p>
        </w:tc>
      </w:tr>
      <w:tr w:rsidR="00574C9B" w:rsidRPr="00511EA9" w14:paraId="0A2CA787" w14:textId="77777777" w:rsidTr="008E4CC5">
        <w:trPr>
          <w:jc w:val="center"/>
        </w:trPr>
        <w:tc>
          <w:tcPr>
            <w:tcW w:w="5000" w:type="pct"/>
            <w:vAlign w:val="center"/>
          </w:tcPr>
          <w:p w14:paraId="766B3712" w14:textId="77777777" w:rsidR="00574C9B" w:rsidRPr="00511EA9" w:rsidRDefault="00574C9B" w:rsidP="00E1462E">
            <w:pPr>
              <w:overflowPunct w:val="0"/>
              <w:autoSpaceDE w:val="0"/>
              <w:autoSpaceDN w:val="0"/>
              <w:adjustRightInd w:val="0"/>
              <w:spacing w:after="120"/>
              <w:jc w:val="center"/>
              <w:textAlignment w:val="baseline"/>
              <w:rPr>
                <w:b/>
                <w:position w:val="24"/>
                <w:sz w:val="24"/>
                <w:szCs w:val="24"/>
              </w:rPr>
            </w:pPr>
            <w:r w:rsidRPr="00511EA9">
              <w:rPr>
                <w:sz w:val="24"/>
              </w:rPr>
              <w:t>_____________</w:t>
            </w:r>
          </w:p>
        </w:tc>
      </w:tr>
      <w:tr w:rsidR="00574C9B" w:rsidRPr="00511EA9" w14:paraId="651BE820" w14:textId="77777777" w:rsidTr="008E4CC5">
        <w:trPr>
          <w:jc w:val="center"/>
        </w:trPr>
        <w:tc>
          <w:tcPr>
            <w:tcW w:w="5000" w:type="pct"/>
            <w:vAlign w:val="center"/>
          </w:tcPr>
          <w:p w14:paraId="6E238E6D" w14:textId="1C50B46F" w:rsidR="00574C9B" w:rsidRPr="00511EA9" w:rsidRDefault="00766ACB" w:rsidP="006A79E7">
            <w:pPr>
              <w:jc w:val="center"/>
              <w:rPr>
                <w:sz w:val="24"/>
                <w:szCs w:val="24"/>
              </w:rPr>
            </w:pPr>
            <w:r w:rsidRPr="00511EA9">
              <w:rPr>
                <w:sz w:val="24"/>
              </w:rPr>
              <w:t>Diplomazia e disabilità</w:t>
            </w:r>
          </w:p>
        </w:tc>
      </w:tr>
      <w:tr w:rsidR="00574C9B" w:rsidRPr="00511EA9" w14:paraId="295584EE" w14:textId="77777777" w:rsidTr="008E4CC5">
        <w:trPr>
          <w:jc w:val="center"/>
        </w:trPr>
        <w:tc>
          <w:tcPr>
            <w:tcW w:w="5000" w:type="pct"/>
            <w:vAlign w:val="center"/>
          </w:tcPr>
          <w:p w14:paraId="7AA50FA1" w14:textId="77777777" w:rsidR="00574C9B" w:rsidRPr="00511EA9" w:rsidRDefault="00574C9B" w:rsidP="006A79E7">
            <w:pPr>
              <w:jc w:val="center"/>
              <w:rPr>
                <w:sz w:val="24"/>
                <w:szCs w:val="24"/>
                <w:lang w:val="en-GB"/>
              </w:rPr>
            </w:pPr>
          </w:p>
        </w:tc>
      </w:tr>
      <w:tr w:rsidR="00574C9B" w:rsidRPr="00511EA9" w14:paraId="41F47321" w14:textId="77777777" w:rsidTr="008E4CC5">
        <w:trPr>
          <w:jc w:val="center"/>
        </w:trPr>
        <w:tc>
          <w:tcPr>
            <w:tcW w:w="5000" w:type="pct"/>
            <w:vAlign w:val="center"/>
          </w:tcPr>
          <w:p w14:paraId="50D97899" w14:textId="41051C07" w:rsidR="00574C9B" w:rsidRPr="00511EA9" w:rsidRDefault="00614FA9" w:rsidP="006A79E7">
            <w:pPr>
              <w:jc w:val="center"/>
              <w:rPr>
                <w:b/>
                <w:sz w:val="24"/>
                <w:szCs w:val="24"/>
              </w:rPr>
            </w:pPr>
            <w:r w:rsidRPr="00511EA9">
              <w:rPr>
                <w:b/>
                <w:sz w:val="24"/>
              </w:rPr>
              <w:t>REX/602</w:t>
            </w:r>
          </w:p>
        </w:tc>
      </w:tr>
      <w:tr w:rsidR="00574C9B" w:rsidRPr="00511EA9" w14:paraId="2110FDEB" w14:textId="77777777" w:rsidTr="008E4CC5">
        <w:trPr>
          <w:jc w:val="center"/>
        </w:trPr>
        <w:tc>
          <w:tcPr>
            <w:tcW w:w="5000" w:type="pct"/>
            <w:vAlign w:val="center"/>
          </w:tcPr>
          <w:p w14:paraId="59F181E4" w14:textId="77777777" w:rsidR="00574C9B" w:rsidRPr="00511EA9" w:rsidRDefault="00574C9B" w:rsidP="006A79E7">
            <w:pPr>
              <w:jc w:val="center"/>
              <w:rPr>
                <w:sz w:val="24"/>
                <w:szCs w:val="24"/>
                <w:lang w:val="en-GB"/>
              </w:rPr>
            </w:pPr>
          </w:p>
        </w:tc>
      </w:tr>
      <w:tr w:rsidR="00574C9B" w:rsidRPr="00511EA9" w14:paraId="5DF7EBEA" w14:textId="77777777" w:rsidTr="008E4CC5">
        <w:trPr>
          <w:jc w:val="center"/>
        </w:trPr>
        <w:tc>
          <w:tcPr>
            <w:tcW w:w="5000" w:type="pct"/>
            <w:vAlign w:val="center"/>
          </w:tcPr>
          <w:p w14:paraId="23E9DE0A" w14:textId="431E7052" w:rsidR="00574C9B" w:rsidRPr="00511EA9" w:rsidRDefault="00511EA9" w:rsidP="006A79E7">
            <w:pPr>
              <w:jc w:val="center"/>
              <w:rPr>
                <w:sz w:val="24"/>
                <w:szCs w:val="24"/>
              </w:rPr>
            </w:pPr>
            <w:r w:rsidRPr="00511EA9">
              <w:rPr>
                <w:sz w:val="24"/>
              </w:rPr>
              <w:t>Relatore</w:t>
            </w:r>
            <w:r w:rsidR="00574C9B" w:rsidRPr="00511EA9">
              <w:rPr>
                <w:sz w:val="24"/>
              </w:rPr>
              <w:t xml:space="preserve"> generale: </w:t>
            </w:r>
            <w:r w:rsidR="00574C9B" w:rsidRPr="00511EA9">
              <w:rPr>
                <w:b/>
                <w:sz w:val="24"/>
              </w:rPr>
              <w:t>Pietro Vittorio BARBIERI</w:t>
            </w:r>
          </w:p>
        </w:tc>
      </w:tr>
    </w:tbl>
    <w:p w14:paraId="0B225863" w14:textId="77777777" w:rsidR="00574C9B" w:rsidRPr="00511EA9" w:rsidRDefault="00574C9B" w:rsidP="006A79E7">
      <w:r w:rsidRPr="00511EA9">
        <w:rPr>
          <w:noProof/>
          <w:sz w:val="20"/>
        </w:rPr>
        <mc:AlternateContent>
          <mc:Choice Requires="wps">
            <w:drawing>
              <wp:anchor distT="0" distB="0" distL="114300" distR="114300" simplePos="0" relativeHeight="251659264" behindDoc="1" locked="0" layoutInCell="0" allowOverlap="1" wp14:anchorId="3735E109" wp14:editId="3357AC0E">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00903" w14:textId="77777777" w:rsidR="00574C9B" w:rsidRDefault="00574C9B" w:rsidP="00574C9B">
                            <w:pPr>
                              <w:jc w:val="center"/>
                            </w:pPr>
                            <w:r>
                              <w:rPr>
                                <w:rFonts w:ascii="Arial" w:hAnsi="Arial"/>
                                <w:b/>
                                <w:sz w:val="48"/>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5E109" id="_x0000_t202" coordsize="21600,21600" o:spt="202" path="m,l,21600r21600,l21600,xe">
                <v:stroke joinstyle="miter"/>
                <v:path gradientshapeok="t" o:connecttype="rect"/>
              </v:shapetype>
              <v:shape id="Text Box 17" o:spid="_x0000_s1026" type="#_x0000_t202"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o:allowincell="f" filled="f" stroked="f">
                <v:textbox>
                  <w:txbxContent>
                    <w:p w14:paraId="03B00903" w14:textId="77777777" w:rsidR="00574C9B" w:rsidRDefault="00574C9B" w:rsidP="00574C9B">
                      <w:pPr>
                        <w:jc w:val="center"/>
                      </w:pPr>
                      <w:r>
                        <w:rPr>
                          <w:rFonts w:ascii="Arial" w:hAnsi="Arial"/>
                          <w:b/>
                          <w:sz w:val="48"/>
                        </w:rPr>
                        <w:t>IT</w:t>
                      </w:r>
                    </w:p>
                  </w:txbxContent>
                </v:textbox>
                <w10:wrap anchorx="margin" anchory="page"/>
              </v:shape>
            </w:pict>
          </mc:Fallback>
        </mc:AlternateContent>
      </w:r>
    </w:p>
    <w:p w14:paraId="3FA5826A" w14:textId="77777777" w:rsidR="00574C9B" w:rsidRPr="00511EA9" w:rsidRDefault="00574C9B" w:rsidP="006A79E7"/>
    <w:p w14:paraId="4B88FC0A" w14:textId="77777777" w:rsidR="00574C9B" w:rsidRPr="00511EA9" w:rsidRDefault="00574C9B" w:rsidP="006A79E7">
      <w:pPr>
        <w:sectPr w:rsidR="00574C9B" w:rsidRPr="00511EA9" w:rsidSect="006A79E7">
          <w:headerReference w:type="even" r:id="rId12"/>
          <w:headerReference w:type="default" r:id="rId13"/>
          <w:footerReference w:type="even" r:id="rId14"/>
          <w:footerReference w:type="default" r:id="rId15"/>
          <w:headerReference w:type="first" r:id="rId16"/>
          <w:footerReference w:type="first" r:id="rId17"/>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00C5137B" w:rsidRPr="00511EA9" w14:paraId="6755593A" w14:textId="77777777" w:rsidTr="00E15BF4">
        <w:tc>
          <w:tcPr>
            <w:tcW w:w="3085" w:type="dxa"/>
          </w:tcPr>
          <w:p w14:paraId="5F91A05F" w14:textId="0D333D6B" w:rsidR="00C5137B" w:rsidRPr="00511EA9" w:rsidRDefault="00C5137B" w:rsidP="006A79E7">
            <w:pPr>
              <w:autoSpaceDE w:val="0"/>
              <w:autoSpaceDN w:val="0"/>
              <w:jc w:val="left"/>
              <w:rPr>
                <w:szCs w:val="20"/>
              </w:rPr>
            </w:pPr>
            <w:r w:rsidRPr="00511EA9">
              <w:lastRenderedPageBreak/>
              <w:t>Consigliere</w:t>
            </w:r>
          </w:p>
        </w:tc>
        <w:tc>
          <w:tcPr>
            <w:tcW w:w="6204" w:type="dxa"/>
            <w:vAlign w:val="bottom"/>
          </w:tcPr>
          <w:p w14:paraId="70C24170" w14:textId="34C79708" w:rsidR="00C5137B" w:rsidRPr="00511EA9" w:rsidRDefault="00766ACB" w:rsidP="006A79E7">
            <w:pPr>
              <w:autoSpaceDE w:val="0"/>
              <w:autoSpaceDN w:val="0"/>
              <w:jc w:val="left"/>
            </w:pPr>
            <w:r w:rsidRPr="00511EA9">
              <w:t>Lorenzo TAMBURRINI</w:t>
            </w:r>
          </w:p>
        </w:tc>
      </w:tr>
      <w:tr w:rsidR="00C5137B" w:rsidRPr="00511EA9" w14:paraId="0F2D8E06" w14:textId="77777777" w:rsidTr="00E15BF4">
        <w:tc>
          <w:tcPr>
            <w:tcW w:w="3085" w:type="dxa"/>
          </w:tcPr>
          <w:p w14:paraId="4CD317AD" w14:textId="77777777" w:rsidR="00C5137B" w:rsidRPr="00511EA9" w:rsidRDefault="00C5137B" w:rsidP="006A79E7">
            <w:pPr>
              <w:autoSpaceDE w:val="0"/>
              <w:autoSpaceDN w:val="0"/>
              <w:jc w:val="left"/>
              <w:rPr>
                <w:szCs w:val="20"/>
                <w:lang w:val="en-GB"/>
              </w:rPr>
            </w:pPr>
          </w:p>
        </w:tc>
        <w:tc>
          <w:tcPr>
            <w:tcW w:w="6204" w:type="dxa"/>
            <w:vAlign w:val="bottom"/>
          </w:tcPr>
          <w:p w14:paraId="59403491" w14:textId="77777777" w:rsidR="00C5137B" w:rsidRPr="00511EA9" w:rsidRDefault="00C5137B" w:rsidP="006A79E7">
            <w:pPr>
              <w:autoSpaceDE w:val="0"/>
              <w:autoSpaceDN w:val="0"/>
              <w:jc w:val="left"/>
              <w:rPr>
                <w:lang w:val="en-GB"/>
              </w:rPr>
            </w:pPr>
          </w:p>
        </w:tc>
      </w:tr>
      <w:tr w:rsidR="00914683" w:rsidRPr="00511EA9" w14:paraId="3E385435" w14:textId="77777777" w:rsidTr="00E15BF4">
        <w:tc>
          <w:tcPr>
            <w:tcW w:w="3085" w:type="dxa"/>
          </w:tcPr>
          <w:p w14:paraId="3054D729" w14:textId="5D5B5FF6" w:rsidR="00914683" w:rsidRPr="00511EA9" w:rsidRDefault="00914683" w:rsidP="006A79E7">
            <w:pPr>
              <w:autoSpaceDE w:val="0"/>
              <w:autoSpaceDN w:val="0"/>
              <w:jc w:val="left"/>
              <w:rPr>
                <w:szCs w:val="20"/>
              </w:rPr>
            </w:pPr>
            <w:r w:rsidRPr="00511EA9">
              <w:t>Base regolamentare</w:t>
            </w:r>
          </w:p>
        </w:tc>
        <w:tc>
          <w:tcPr>
            <w:tcW w:w="6204" w:type="dxa"/>
            <w:vAlign w:val="bottom"/>
          </w:tcPr>
          <w:p w14:paraId="41CF067A" w14:textId="5E481F32" w:rsidR="00914683" w:rsidRPr="00511EA9" w:rsidRDefault="00914683" w:rsidP="006A79E7">
            <w:pPr>
              <w:autoSpaceDE w:val="0"/>
              <w:autoSpaceDN w:val="0"/>
              <w:jc w:val="left"/>
            </w:pPr>
            <w:r w:rsidRPr="00511EA9">
              <w:t xml:space="preserve">Articolo 52, paragrafo 3, del </w:t>
            </w:r>
            <w:r w:rsidR="00511EA9" w:rsidRPr="00511EA9">
              <w:t>Regolamento</w:t>
            </w:r>
            <w:r w:rsidRPr="00511EA9">
              <w:t xml:space="preserve"> interno</w:t>
            </w:r>
          </w:p>
        </w:tc>
      </w:tr>
      <w:tr w:rsidR="00AC5114" w:rsidRPr="00511EA9" w14:paraId="0E2099A6" w14:textId="77777777" w:rsidTr="00E15BF4">
        <w:tc>
          <w:tcPr>
            <w:tcW w:w="3085" w:type="dxa"/>
          </w:tcPr>
          <w:p w14:paraId="0BC68BA5" w14:textId="1A949170" w:rsidR="00AC5114" w:rsidRPr="00511EA9" w:rsidRDefault="00511EA9" w:rsidP="006A79E7">
            <w:pPr>
              <w:autoSpaceDE w:val="0"/>
              <w:autoSpaceDN w:val="0"/>
              <w:jc w:val="left"/>
            </w:pPr>
            <w:r w:rsidRPr="00511EA9">
              <w:t>Sezione</w:t>
            </w:r>
            <w:r w:rsidR="00AC5114" w:rsidRPr="00511EA9">
              <w:t xml:space="preserve"> competente</w:t>
            </w:r>
          </w:p>
        </w:tc>
        <w:tc>
          <w:tcPr>
            <w:tcW w:w="6204" w:type="dxa"/>
            <w:vAlign w:val="bottom"/>
          </w:tcPr>
          <w:p w14:paraId="5AE7EA9E" w14:textId="67F9EC3D" w:rsidR="00AC5114" w:rsidRPr="00511EA9" w:rsidRDefault="00766ACB" w:rsidP="006A79E7">
            <w:pPr>
              <w:autoSpaceDE w:val="0"/>
              <w:autoSpaceDN w:val="0"/>
              <w:jc w:val="left"/>
            </w:pPr>
            <w:r w:rsidRPr="00511EA9">
              <w:t xml:space="preserve">Relazioni esterne </w:t>
            </w:r>
          </w:p>
        </w:tc>
      </w:tr>
      <w:tr w:rsidR="00AC5114" w:rsidRPr="00511EA9" w14:paraId="53972E32" w14:textId="77777777" w:rsidTr="00E15BF4">
        <w:tc>
          <w:tcPr>
            <w:tcW w:w="3085" w:type="dxa"/>
          </w:tcPr>
          <w:p w14:paraId="13B33E83" w14:textId="77777777" w:rsidR="00AC5114" w:rsidRPr="00511EA9" w:rsidRDefault="00AC5114" w:rsidP="006A79E7">
            <w:pPr>
              <w:autoSpaceDE w:val="0"/>
              <w:autoSpaceDN w:val="0"/>
              <w:jc w:val="left"/>
            </w:pPr>
            <w:r w:rsidRPr="00511EA9">
              <w:t>Adozione in sezione</w:t>
            </w:r>
          </w:p>
        </w:tc>
        <w:tc>
          <w:tcPr>
            <w:tcW w:w="6204" w:type="dxa"/>
            <w:vAlign w:val="bottom"/>
          </w:tcPr>
          <w:p w14:paraId="5E71ECD2" w14:textId="576BC692" w:rsidR="00AC5114" w:rsidRPr="00511EA9" w:rsidRDefault="00766ACB" w:rsidP="006A79E7">
            <w:pPr>
              <w:autoSpaceDE w:val="0"/>
              <w:autoSpaceDN w:val="0"/>
              <w:jc w:val="left"/>
            </w:pPr>
            <w:r w:rsidRPr="00511EA9">
              <w:t>9/9/2025</w:t>
            </w:r>
          </w:p>
        </w:tc>
      </w:tr>
      <w:tr w:rsidR="0058411F" w:rsidRPr="00511EA9" w14:paraId="7AE47B93" w14:textId="77777777" w:rsidTr="00E15BF4">
        <w:tc>
          <w:tcPr>
            <w:tcW w:w="3085" w:type="dxa"/>
          </w:tcPr>
          <w:p w14:paraId="26DE3092" w14:textId="352FC8CA" w:rsidR="0058411F" w:rsidRPr="00511EA9" w:rsidRDefault="0058411F" w:rsidP="006A79E7">
            <w:pPr>
              <w:autoSpaceDE w:val="0"/>
              <w:autoSpaceDN w:val="0"/>
              <w:jc w:val="left"/>
            </w:pPr>
            <w:r w:rsidRPr="00511EA9">
              <w:t>Adozione in sessione plenaria</w:t>
            </w:r>
          </w:p>
        </w:tc>
        <w:tc>
          <w:tcPr>
            <w:tcW w:w="6204" w:type="dxa"/>
            <w:vAlign w:val="bottom"/>
          </w:tcPr>
          <w:p w14:paraId="34FA2183" w14:textId="44309D42" w:rsidR="0058411F" w:rsidRPr="00511EA9" w:rsidRDefault="00766ACB" w:rsidP="006A79E7">
            <w:pPr>
              <w:autoSpaceDE w:val="0"/>
              <w:autoSpaceDN w:val="0"/>
              <w:jc w:val="left"/>
            </w:pPr>
            <w:r w:rsidRPr="00511EA9">
              <w:t>23/10/2025</w:t>
            </w:r>
          </w:p>
        </w:tc>
      </w:tr>
      <w:tr w:rsidR="0058411F" w:rsidRPr="00511EA9" w14:paraId="2FE8AE44" w14:textId="77777777" w:rsidTr="00E15BF4">
        <w:tc>
          <w:tcPr>
            <w:tcW w:w="3085" w:type="dxa"/>
          </w:tcPr>
          <w:p w14:paraId="2A65A034" w14:textId="320763E3" w:rsidR="0058411F" w:rsidRPr="00511EA9" w:rsidRDefault="00511EA9" w:rsidP="006A79E7">
            <w:pPr>
              <w:autoSpaceDE w:val="0"/>
              <w:autoSpaceDN w:val="0"/>
              <w:jc w:val="left"/>
            </w:pPr>
            <w:r w:rsidRPr="00511EA9">
              <w:t>Sessione</w:t>
            </w:r>
            <w:r w:rsidR="0058411F" w:rsidRPr="00511EA9">
              <w:t xml:space="preserve"> plenaria n.</w:t>
            </w:r>
          </w:p>
        </w:tc>
        <w:tc>
          <w:tcPr>
            <w:tcW w:w="6204" w:type="dxa"/>
            <w:vAlign w:val="bottom"/>
          </w:tcPr>
          <w:p w14:paraId="17BFB0A7" w14:textId="180DD009" w:rsidR="0058411F" w:rsidRPr="00511EA9" w:rsidRDefault="00766ACB" w:rsidP="006A79E7">
            <w:pPr>
              <w:autoSpaceDE w:val="0"/>
              <w:autoSpaceDN w:val="0"/>
              <w:jc w:val="left"/>
            </w:pPr>
            <w:r w:rsidRPr="00511EA9">
              <w:t>600</w:t>
            </w:r>
          </w:p>
        </w:tc>
      </w:tr>
      <w:tr w:rsidR="0058411F" w:rsidRPr="00511EA9" w14:paraId="3889B17A" w14:textId="77777777" w:rsidTr="00E15BF4">
        <w:tc>
          <w:tcPr>
            <w:tcW w:w="3085" w:type="dxa"/>
          </w:tcPr>
          <w:p w14:paraId="0C723801" w14:textId="77777777" w:rsidR="0058411F" w:rsidRPr="00511EA9" w:rsidRDefault="0058411F" w:rsidP="006A79E7">
            <w:pPr>
              <w:autoSpaceDE w:val="0"/>
              <w:autoSpaceDN w:val="0"/>
              <w:jc w:val="left"/>
            </w:pPr>
            <w:r w:rsidRPr="00511EA9">
              <w:t>Esito della votazione</w:t>
            </w:r>
            <w:r w:rsidRPr="00511EA9">
              <w:br/>
              <w:t>(favorevoli/contrari/astenuti)</w:t>
            </w:r>
          </w:p>
        </w:tc>
        <w:tc>
          <w:tcPr>
            <w:tcW w:w="6204" w:type="dxa"/>
            <w:vAlign w:val="bottom"/>
          </w:tcPr>
          <w:p w14:paraId="14DB34EA" w14:textId="51B2EE9F" w:rsidR="0058411F" w:rsidRPr="00511EA9" w:rsidRDefault="0091458D" w:rsidP="006A79E7">
            <w:pPr>
              <w:autoSpaceDE w:val="0"/>
              <w:autoSpaceDN w:val="0"/>
              <w:jc w:val="left"/>
            </w:pPr>
            <w:r w:rsidRPr="00511EA9">
              <w:t>207/3/1</w:t>
            </w:r>
          </w:p>
        </w:tc>
      </w:tr>
    </w:tbl>
    <w:p w14:paraId="2CD3051D" w14:textId="77777777" w:rsidR="00AC5114" w:rsidRPr="00511EA9" w:rsidRDefault="00AC5114" w:rsidP="006A79E7">
      <w:pPr>
        <w:rPr>
          <w:lang w:val="en-GB"/>
        </w:rPr>
        <w:sectPr w:rsidR="00AC5114" w:rsidRPr="00511EA9" w:rsidSect="006A79E7">
          <w:headerReference w:type="even" r:id="rId18"/>
          <w:headerReference w:type="default" r:id="rId19"/>
          <w:footerReference w:type="default" r:id="rId20"/>
          <w:headerReference w:type="first" r:id="rId21"/>
          <w:pgSz w:w="11907" w:h="16839" w:code="9"/>
          <w:pgMar w:top="5669" w:right="1418" w:bottom="1418" w:left="1418" w:header="709" w:footer="709" w:gutter="0"/>
          <w:cols w:space="720"/>
          <w:docGrid w:linePitch="360"/>
        </w:sectPr>
      </w:pPr>
    </w:p>
    <w:p w14:paraId="3A0D875F" w14:textId="77777777" w:rsidR="00101669" w:rsidRPr="00511EA9" w:rsidRDefault="00101669" w:rsidP="006A79E7">
      <w:pPr>
        <w:pStyle w:val="Heading1"/>
        <w:rPr>
          <w:b/>
          <w:bCs/>
          <w:color w:val="000000" w:themeColor="text1"/>
        </w:rPr>
      </w:pPr>
      <w:r w:rsidRPr="00511EA9">
        <w:rPr>
          <w:b/>
          <w:color w:val="000000" w:themeColor="text1"/>
        </w:rPr>
        <w:lastRenderedPageBreak/>
        <w:t>Premessa</w:t>
      </w:r>
    </w:p>
    <w:p w14:paraId="340F11D7" w14:textId="77777777" w:rsidR="00101669" w:rsidRPr="00511EA9" w:rsidRDefault="00101669" w:rsidP="006A79E7">
      <w:pPr>
        <w:ind w:left="567" w:hanging="567"/>
        <w:rPr>
          <w:color w:val="000000" w:themeColor="text1"/>
          <w:lang w:val="en-GB"/>
        </w:rPr>
      </w:pPr>
    </w:p>
    <w:p w14:paraId="412C4623" w14:textId="413678DC" w:rsidR="00101669" w:rsidRPr="00511EA9" w:rsidRDefault="00101669" w:rsidP="006A79E7">
      <w:pPr>
        <w:pStyle w:val="Heading2"/>
        <w:rPr>
          <w:rFonts w:eastAsia="Arial"/>
          <w:color w:val="000000" w:themeColor="text1"/>
        </w:rPr>
      </w:pPr>
      <w:r w:rsidRPr="00511EA9">
        <w:rPr>
          <w:color w:val="000000" w:themeColor="text1"/>
        </w:rPr>
        <w:t xml:space="preserve">La pietra miliare della diplomazia per quanto riguarda la lotta alla discriminazione delle persone con disabilità è la </w:t>
      </w:r>
      <w:r w:rsidRPr="00511EA9">
        <w:rPr>
          <w:b/>
          <w:color w:val="000000" w:themeColor="text1"/>
        </w:rPr>
        <w:t>Convenzione delle Nazioni Unite sui diritti delle persone con disabilità (CRPD)</w:t>
      </w:r>
      <w:r w:rsidRPr="00511EA9">
        <w:rPr>
          <w:color w:val="000000" w:themeColor="text1"/>
        </w:rPr>
        <w:t>, adottata nel 2006 ed entrata in vigore dal 2008; questa convenzione è uno dei trattati più ratificati in materia di diritti umani</w:t>
      </w:r>
      <w:r w:rsidRPr="00511EA9">
        <w:rPr>
          <w:rStyle w:val="FootnoteReference"/>
          <w:iCs/>
          <w:lang w:val="en-GB"/>
        </w:rPr>
        <w:footnoteReference w:id="1"/>
      </w:r>
      <w:r w:rsidRPr="00511EA9">
        <w:rPr>
          <w:color w:val="000000" w:themeColor="text1"/>
        </w:rPr>
        <w:t>. Essa rappresenta il principale strumento giuridico internazionale che tutela i diritti delle persone con disabilità e stabilisce principi fondamentali quali la non discriminazione, la piena ed effettiva partecipazione alla società e l'accessibilità e uguaglianza di opportunità.</w:t>
      </w:r>
    </w:p>
    <w:p w14:paraId="5A8B8F2B" w14:textId="77777777" w:rsidR="00101669" w:rsidRPr="00511EA9" w:rsidRDefault="00101669" w:rsidP="006A79E7">
      <w:pPr>
        <w:ind w:left="567" w:hanging="567"/>
        <w:rPr>
          <w:rFonts w:eastAsia="Arial"/>
          <w:color w:val="000000" w:themeColor="text1"/>
          <w:lang w:eastAsia="it-IT"/>
        </w:rPr>
      </w:pPr>
    </w:p>
    <w:p w14:paraId="37005863" w14:textId="235A12A8" w:rsidR="00101669" w:rsidRPr="00511EA9" w:rsidRDefault="00101669" w:rsidP="006A79E7">
      <w:pPr>
        <w:pStyle w:val="Heading2"/>
        <w:rPr>
          <w:rFonts w:eastAsia="Arial"/>
          <w:color w:val="000000" w:themeColor="text1"/>
        </w:rPr>
      </w:pPr>
      <w:r w:rsidRPr="00511EA9">
        <w:t>La CRPD è un importante strumento giuridico sovraordinato che funge da complemento al sistema generale delle Nazioni Unite in materia di diritti umani, nel cui quadro la disabilità passa da questione sociale a materia vincolante di diritto internazionale e – in generale – dello Stato di diritto, e in cui viene riconosciuta l'importanza della cooperazione internazionale e della sua promozione a sostegno degli sforzi dispiegati a livello nazionale per permettere il reale esercizio dei diritti delle persone con disabilità, come indicato all'articolo 32 della CRPD. La conformità degli Stati è sottoposta all'esame del Comitato sui diritti delle persone con disabilità, che è un meccanismo di monitoraggio previsto dalla CRPD cui è stato assegnato il compito sia di assicurare un dialogo costante a livello internazionale che di esercitare pressioni diplomatiche affinché siano modificate normative e prassi nazionali ai fini del rispetto degli standard internazionali sui diritti delle persone con disabilità.</w:t>
      </w:r>
    </w:p>
    <w:p w14:paraId="234B99CB" w14:textId="77777777" w:rsidR="00101669" w:rsidRPr="00511EA9" w:rsidRDefault="00101669" w:rsidP="006A79E7">
      <w:pPr>
        <w:rPr>
          <w:rFonts w:eastAsia="Arial"/>
          <w:color w:val="000000" w:themeColor="text1"/>
          <w:lang w:eastAsia="it-IT"/>
        </w:rPr>
      </w:pPr>
    </w:p>
    <w:p w14:paraId="28376CD5" w14:textId="0BAD3BBC" w:rsidR="00F0454A" w:rsidRPr="00511EA9" w:rsidRDefault="00101669" w:rsidP="006A79E7">
      <w:pPr>
        <w:pStyle w:val="Heading2"/>
        <w:rPr>
          <w:color w:val="000000" w:themeColor="text1"/>
        </w:rPr>
      </w:pPr>
      <w:r w:rsidRPr="00511EA9">
        <w:rPr>
          <w:color w:val="000000" w:themeColor="text1"/>
        </w:rPr>
        <w:t>La CRPD è fondamentale, poiché stabilisce un quadro vincolante per la cooperazione allo sviluppo inclusiva. A livello individuale, molti Stati utilizzano la diplomazia per negoziare l'attuazione della CRPD, adottare le proprie leggi nazionali e cooperare con altri paesi al fine di migliorare l'inclusione.</w:t>
      </w:r>
    </w:p>
    <w:p w14:paraId="1D84E7F6" w14:textId="77777777" w:rsidR="00130C4A" w:rsidRPr="00511EA9" w:rsidRDefault="00130C4A" w:rsidP="00BC50E6">
      <w:pPr>
        <w:rPr>
          <w:rFonts w:eastAsia="Arial"/>
        </w:rPr>
      </w:pPr>
    </w:p>
    <w:p w14:paraId="12610A11" w14:textId="7CFB8566" w:rsidR="00101669" w:rsidRPr="00511EA9" w:rsidRDefault="00130C4A" w:rsidP="006A79E7">
      <w:pPr>
        <w:ind w:left="567" w:hanging="567"/>
      </w:pPr>
      <w:r w:rsidRPr="00511EA9">
        <w:rPr>
          <w:color w:val="000000" w:themeColor="text1"/>
        </w:rPr>
        <w:t>1.4</w:t>
      </w:r>
      <w:r w:rsidRPr="00511EA9">
        <w:rPr>
          <w:color w:val="000000" w:themeColor="text1"/>
        </w:rPr>
        <w:tab/>
      </w:r>
      <w:r w:rsidRPr="00511EA9">
        <w:t>Oltre alla CRPD, l'ONU promuove iniziative volte a integrare i diritti delle persone con disabilità nel quadro più generale dei diritti umani e nella diplomazia internazionale per mezzo del suo Consiglio dei diritti umani (CDU) che, tramite l'adozione di risoluzioni e raccomandazioni, guida tutti gli Stati aderenti alle Nazioni Unite nell'attuazione delle norme internazionali sui diritti umani. Attraverso il meccanismo dell'esame periodico universale (UPR), il CDU esercita anche pressioni diplomatiche e politiche sugli Stati affinché dimostrino di aver compiuto progressi nel rispetto dei diritti umani.</w:t>
      </w:r>
    </w:p>
    <w:p w14:paraId="1046B16F" w14:textId="012B70AC" w:rsidR="00F0454A" w:rsidRPr="00511EA9" w:rsidRDefault="00F0454A" w:rsidP="006A79E7">
      <w:pPr>
        <w:ind w:left="567" w:hanging="567"/>
        <w:rPr>
          <w:iCs/>
        </w:rPr>
      </w:pPr>
    </w:p>
    <w:p w14:paraId="7A8E1D38" w14:textId="2BC6BC32" w:rsidR="00F0454A" w:rsidRPr="00511EA9" w:rsidRDefault="00F0454A" w:rsidP="006A79E7">
      <w:pPr>
        <w:ind w:left="567" w:hanging="567"/>
        <w:rPr>
          <w:iCs/>
          <w:color w:val="000000" w:themeColor="text1"/>
        </w:rPr>
      </w:pPr>
      <w:r w:rsidRPr="00511EA9">
        <w:t>1.5</w:t>
      </w:r>
      <w:r w:rsidRPr="00511EA9">
        <w:tab/>
        <w:t xml:space="preserve">Il </w:t>
      </w:r>
      <w:r w:rsidR="00511EA9" w:rsidRPr="00511EA9">
        <w:t>Consiglio economico</w:t>
      </w:r>
      <w:r w:rsidRPr="00511EA9">
        <w:t xml:space="preserve"> e sociale delle Nazioni Unite (</w:t>
      </w:r>
      <w:r w:rsidR="00511EA9" w:rsidRPr="00511EA9">
        <w:t>ECOSOC</w:t>
      </w:r>
      <w:r w:rsidRPr="00511EA9">
        <w:t>) promuove ulteriormente la realizzazione di questi obiettivi agevolando il dialogo politico tra governi, organizzazioni non governative (ONG) ed esperti su temi riguardanti lo sviluppo, la disuguaglianza e la giustizia sociale. Ciò vale anche per i lavori svolti nel contesto di accordi commerciali e di altri quadri bilaterali o multilaterali.</w:t>
      </w:r>
    </w:p>
    <w:p w14:paraId="0E7809CE" w14:textId="12362804" w:rsidR="00130C4A" w:rsidRPr="00511EA9" w:rsidRDefault="00130C4A" w:rsidP="006A79E7">
      <w:pPr>
        <w:ind w:left="567" w:hanging="567"/>
        <w:rPr>
          <w:color w:val="000000" w:themeColor="text1"/>
        </w:rPr>
      </w:pPr>
    </w:p>
    <w:p w14:paraId="42A9E377" w14:textId="6B95DEC9" w:rsidR="00F0454A" w:rsidRPr="00511EA9" w:rsidRDefault="00F0454A" w:rsidP="006A79E7">
      <w:pPr>
        <w:ind w:left="567" w:hanging="567"/>
      </w:pPr>
      <w:r w:rsidRPr="00511EA9">
        <w:rPr>
          <w:color w:val="000000" w:themeColor="text1"/>
        </w:rPr>
        <w:t>1.6</w:t>
      </w:r>
      <w:r w:rsidRPr="00511EA9">
        <w:rPr>
          <w:color w:val="000000" w:themeColor="text1"/>
        </w:rPr>
        <w:tab/>
      </w:r>
      <w:r w:rsidRPr="00511EA9">
        <w:t xml:space="preserve">Anche le organizzazioni delle persone con disabilità (DPO) e le ONG sono attori fondamentali della diplomazia internazionale. Queste associazioni influenzano i programmi a livello mondiale e nazionale raccomandando normative più inclusive, sollecitando i governi a tenere fede agli </w:t>
      </w:r>
      <w:r w:rsidRPr="00511EA9">
        <w:lastRenderedPageBreak/>
        <w:t>impegni internazionali assunti e monitorando l'attuazione della CRPD e di altri trattati in materia di diritti umani.</w:t>
      </w:r>
    </w:p>
    <w:p w14:paraId="641B3C4B" w14:textId="77777777" w:rsidR="00F0454A" w:rsidRPr="00E42C4F" w:rsidRDefault="00F0454A" w:rsidP="006A79E7">
      <w:pPr>
        <w:ind w:left="567" w:hanging="567"/>
        <w:rPr>
          <w:color w:val="000000" w:themeColor="text1"/>
          <w:sz w:val="24"/>
          <w:szCs w:val="24"/>
        </w:rPr>
      </w:pPr>
    </w:p>
    <w:p w14:paraId="2FCBDCB5" w14:textId="77777777" w:rsidR="00101669" w:rsidRPr="00511EA9" w:rsidRDefault="00101669" w:rsidP="006A79E7">
      <w:pPr>
        <w:pStyle w:val="Heading1"/>
        <w:keepNext/>
        <w:keepLines/>
        <w:rPr>
          <w:b/>
          <w:bCs/>
          <w:color w:val="000000" w:themeColor="text1"/>
        </w:rPr>
      </w:pPr>
      <w:r w:rsidRPr="00511EA9">
        <w:rPr>
          <w:b/>
          <w:color w:val="000000" w:themeColor="text1"/>
        </w:rPr>
        <w:t>Il livello dell'Unione europea</w:t>
      </w:r>
    </w:p>
    <w:p w14:paraId="3ADEDDE0" w14:textId="77777777" w:rsidR="00101669" w:rsidRPr="00E42C4F" w:rsidRDefault="00101669" w:rsidP="006A79E7">
      <w:pPr>
        <w:keepNext/>
        <w:keepLines/>
        <w:ind w:left="567" w:hanging="567"/>
        <w:rPr>
          <w:color w:val="000000" w:themeColor="text1"/>
          <w:sz w:val="24"/>
          <w:szCs w:val="24"/>
          <w:lang w:val="en-GB"/>
        </w:rPr>
      </w:pPr>
    </w:p>
    <w:p w14:paraId="12F2B737" w14:textId="77777777" w:rsidR="00101669" w:rsidRPr="00511EA9" w:rsidRDefault="00101669" w:rsidP="006A79E7">
      <w:pPr>
        <w:pStyle w:val="Heading2"/>
        <w:rPr>
          <w:color w:val="000000" w:themeColor="text1"/>
        </w:rPr>
      </w:pPr>
      <w:r w:rsidRPr="00511EA9">
        <w:rPr>
          <w:color w:val="000000" w:themeColor="text1"/>
        </w:rPr>
        <w:t>A livello multilaterale, l'Unione europea ha sottoscritto la CRPD nel 2011, e da allora ha adottato una serie di azioni concrete per assicurare che le persone con disabilità abbiano pari diritti e opportunità</w:t>
      </w:r>
      <w:r w:rsidRPr="00511EA9">
        <w:rPr>
          <w:rStyle w:val="FootnoteReference"/>
          <w:color w:val="000000" w:themeColor="text1"/>
          <w:szCs w:val="24"/>
          <w:lang w:val="en-GB"/>
        </w:rPr>
        <w:footnoteReference w:id="2"/>
      </w:r>
      <w:r w:rsidRPr="00511EA9">
        <w:rPr>
          <w:color w:val="000000" w:themeColor="text1"/>
        </w:rPr>
        <w:t>.</w:t>
      </w:r>
    </w:p>
    <w:p w14:paraId="046B6E7C" w14:textId="77777777" w:rsidR="00101669" w:rsidRPr="00E42C4F" w:rsidRDefault="00101669" w:rsidP="006A79E7">
      <w:pPr>
        <w:ind w:left="567" w:hanging="567"/>
        <w:rPr>
          <w:color w:val="000000" w:themeColor="text1"/>
          <w:sz w:val="24"/>
          <w:szCs w:val="24"/>
        </w:rPr>
      </w:pPr>
    </w:p>
    <w:p w14:paraId="287A32B0" w14:textId="77777777" w:rsidR="00101669" w:rsidRPr="00511EA9" w:rsidRDefault="00101669" w:rsidP="006A79E7">
      <w:pPr>
        <w:pStyle w:val="Heading2"/>
        <w:rPr>
          <w:color w:val="000000" w:themeColor="text1"/>
        </w:rPr>
      </w:pPr>
      <w:r w:rsidRPr="00511EA9">
        <w:rPr>
          <w:color w:val="000000" w:themeColor="text1"/>
        </w:rPr>
        <w:t>Successivamente, nel 2019, l'UE ha adottato l'atto europeo sull'accessibilità (</w:t>
      </w:r>
      <w:r w:rsidRPr="00511EA9">
        <w:rPr>
          <w:i/>
          <w:iCs/>
          <w:color w:val="000000" w:themeColor="text1"/>
        </w:rPr>
        <w:t>Accessibility Act</w:t>
      </w:r>
      <w:r w:rsidRPr="00511EA9">
        <w:rPr>
          <w:color w:val="000000" w:themeColor="text1"/>
        </w:rPr>
        <w:t>), che impone alle aziende di garantire che i loro prodotti e servizi siano accessibili alle persone con disabilità. Tra le principali misure introdotte dalla legge citiamo gli standard minimi di accessibilità per i servizi di trasporto, i servizi di telecomunicazione, i dispositivi bancari, le attrezzature elettroniche e le informazioni digitali.</w:t>
      </w:r>
    </w:p>
    <w:p w14:paraId="72F740C8" w14:textId="77777777" w:rsidR="00101669" w:rsidRPr="00E42C4F" w:rsidRDefault="00101669" w:rsidP="006A79E7">
      <w:pPr>
        <w:ind w:left="567" w:hanging="567"/>
        <w:rPr>
          <w:color w:val="000000" w:themeColor="text1"/>
          <w:sz w:val="24"/>
          <w:szCs w:val="24"/>
        </w:rPr>
      </w:pPr>
    </w:p>
    <w:p w14:paraId="127D375D" w14:textId="77777777" w:rsidR="00101669" w:rsidRPr="00511EA9" w:rsidRDefault="00101669" w:rsidP="006A79E7">
      <w:pPr>
        <w:pStyle w:val="Heading2"/>
        <w:rPr>
          <w:color w:val="000000" w:themeColor="text1"/>
        </w:rPr>
      </w:pPr>
      <w:r w:rsidRPr="00511EA9">
        <w:rPr>
          <w:color w:val="000000" w:themeColor="text1"/>
        </w:rPr>
        <w:t>L'UE ha inoltre fornito fondi a livello europeo</w:t>
      </w:r>
      <w:r w:rsidRPr="00511EA9">
        <w:rPr>
          <w:rStyle w:val="FootnoteReference"/>
          <w:color w:val="000000" w:themeColor="text1"/>
          <w:szCs w:val="24"/>
          <w:lang w:val="en-GB"/>
        </w:rPr>
        <w:footnoteReference w:id="3"/>
      </w:r>
      <w:r w:rsidRPr="00511EA9">
        <w:rPr>
          <w:color w:val="000000" w:themeColor="text1"/>
        </w:rPr>
        <w:t xml:space="preserve"> per promuovere l'inclusione delle persone con disabilità in vari settori: sociale, lavoro, istruzione, sanità, cultura.</w:t>
      </w:r>
    </w:p>
    <w:p w14:paraId="68C1A441" w14:textId="77777777" w:rsidR="00101669" w:rsidRPr="00E42C4F" w:rsidRDefault="00101669" w:rsidP="006A79E7">
      <w:pPr>
        <w:ind w:left="567" w:hanging="567"/>
        <w:rPr>
          <w:color w:val="000000" w:themeColor="text1"/>
          <w:sz w:val="24"/>
          <w:szCs w:val="24"/>
        </w:rPr>
      </w:pPr>
    </w:p>
    <w:p w14:paraId="67C737AA" w14:textId="77777777" w:rsidR="00101669" w:rsidRPr="00511EA9" w:rsidRDefault="00101669" w:rsidP="006A79E7">
      <w:pPr>
        <w:pStyle w:val="Heading2"/>
        <w:rPr>
          <w:color w:val="000000" w:themeColor="text1"/>
        </w:rPr>
      </w:pPr>
      <w:r w:rsidRPr="00511EA9">
        <w:rPr>
          <w:color w:val="000000" w:themeColor="text1"/>
        </w:rPr>
        <w:t>Nel quadro della strategia Europa 2020, l'UE ha incluso la disabilità come una delle priorità per la strategia sociale ed economica del continente. Ciò ha comportato l'adozione di obiettivi specifici sia per ridurre il numero di persone con disabilità che si trovano in una situazione di povertà ed esclusione sociale, sia per garantire l'accesso al lavoro per le persone con disabilità attraverso politiche attive di inclusione e formazione.</w:t>
      </w:r>
    </w:p>
    <w:p w14:paraId="60AF5DBB" w14:textId="77777777" w:rsidR="00101669" w:rsidRPr="00E42C4F" w:rsidRDefault="00101669" w:rsidP="006A79E7">
      <w:pPr>
        <w:pBdr>
          <w:top w:val="nil"/>
          <w:left w:val="nil"/>
          <w:bottom w:val="nil"/>
          <w:right w:val="nil"/>
          <w:between w:val="nil"/>
        </w:pBdr>
        <w:ind w:left="567" w:hanging="567"/>
        <w:rPr>
          <w:color w:val="000000" w:themeColor="text1"/>
          <w:sz w:val="24"/>
          <w:szCs w:val="24"/>
        </w:rPr>
      </w:pPr>
    </w:p>
    <w:p w14:paraId="42ABBB21" w14:textId="77777777" w:rsidR="00101669" w:rsidRPr="00511EA9" w:rsidRDefault="00101669" w:rsidP="006A79E7">
      <w:pPr>
        <w:pStyle w:val="Heading2"/>
        <w:rPr>
          <w:color w:val="000000" w:themeColor="text1"/>
        </w:rPr>
      </w:pPr>
      <w:r w:rsidRPr="00511EA9">
        <w:rPr>
          <w:color w:val="000000" w:themeColor="text1"/>
        </w:rPr>
        <w:t>Al tempo stesso, il piano d'azione per l'inclusione sociale 2021-2027 dell'UE mira a ridurre la povertà e l'esclusione sociale, un obiettivo che include esplicitamente le persone con disabilità. Ciò si traduce in politiche sociali volte a migliorare la vita delle persone con disabilità, ridurre le barriere economiche e promuovere la loro partecipazione sociale e politica.</w:t>
      </w:r>
    </w:p>
    <w:p w14:paraId="5136C5EA" w14:textId="77777777" w:rsidR="00101669" w:rsidRPr="00E42C4F" w:rsidRDefault="00101669" w:rsidP="006A79E7">
      <w:pPr>
        <w:pStyle w:val="Heading1"/>
        <w:numPr>
          <w:ilvl w:val="0"/>
          <w:numId w:val="0"/>
        </w:numPr>
        <w:ind w:left="567" w:hanging="567"/>
        <w:rPr>
          <w:b/>
          <w:bCs/>
          <w:color w:val="000000" w:themeColor="text1"/>
          <w:sz w:val="24"/>
          <w:szCs w:val="24"/>
        </w:rPr>
      </w:pPr>
    </w:p>
    <w:p w14:paraId="3D53958C" w14:textId="77777777" w:rsidR="00101669" w:rsidRPr="00511EA9" w:rsidRDefault="00101669" w:rsidP="006A79E7">
      <w:pPr>
        <w:pStyle w:val="Heading1"/>
        <w:keepNext/>
        <w:keepLines/>
        <w:rPr>
          <w:rFonts w:eastAsia="Arial"/>
          <w:b/>
          <w:bCs/>
          <w:color w:val="000000" w:themeColor="text1"/>
        </w:rPr>
      </w:pPr>
      <w:r w:rsidRPr="00511EA9">
        <w:rPr>
          <w:b/>
          <w:color w:val="000000" w:themeColor="text1"/>
        </w:rPr>
        <w:t>Il ruolo delle organizzazioni delle persone con disabilità (DPO)</w:t>
      </w:r>
    </w:p>
    <w:p w14:paraId="4A9CF925" w14:textId="77777777" w:rsidR="00101669" w:rsidRPr="00E42C4F" w:rsidRDefault="00101669" w:rsidP="006A79E7">
      <w:pPr>
        <w:keepNext/>
        <w:keepLines/>
        <w:pBdr>
          <w:top w:val="nil"/>
          <w:left w:val="nil"/>
          <w:bottom w:val="nil"/>
          <w:right w:val="nil"/>
          <w:between w:val="nil"/>
        </w:pBdr>
        <w:ind w:left="567" w:hanging="567"/>
        <w:rPr>
          <w:rFonts w:eastAsia="Arial"/>
          <w:color w:val="000000" w:themeColor="text1"/>
          <w:sz w:val="24"/>
          <w:szCs w:val="24"/>
          <w:lang w:eastAsia="it-IT"/>
        </w:rPr>
      </w:pPr>
    </w:p>
    <w:p w14:paraId="030EDFC1" w14:textId="77777777" w:rsidR="00101669" w:rsidRPr="00511EA9" w:rsidRDefault="00101669" w:rsidP="00BC50E6">
      <w:pPr>
        <w:pStyle w:val="Heading2"/>
        <w:rPr>
          <w:rFonts w:eastAsia="Arial"/>
          <w:color w:val="000000" w:themeColor="text1"/>
          <w:shd w:val="clear" w:color="auto" w:fill="FFFFFF"/>
        </w:rPr>
      </w:pPr>
      <w:r w:rsidRPr="00511EA9">
        <w:rPr>
          <w:color w:val="000000" w:themeColor="text1"/>
        </w:rPr>
        <w:t>Le organizzazioni delle persone con disabilità sono protagoniste degli impegni istituzionali nazionali, europei e internazionali. Lo sono dal 1976, quando l'Assemblea generale delle Nazioni Unite ha proclamato il 1981 Anno internazionale delle persone disabili</w:t>
      </w:r>
      <w:r w:rsidRPr="00511EA9">
        <w:rPr>
          <w:rStyle w:val="FootnoteReference"/>
          <w:rFonts w:eastAsia="Arial"/>
          <w:color w:val="000000" w:themeColor="text1"/>
          <w:lang w:val="en-GB" w:eastAsia="it-IT"/>
        </w:rPr>
        <w:footnoteReference w:id="4"/>
      </w:r>
      <w:r w:rsidRPr="00511EA9">
        <w:rPr>
          <w:color w:val="000000" w:themeColor="text1"/>
        </w:rPr>
        <w:t xml:space="preserve">, un'iniziativa, questa, che prevedeva che i paesi membri definissero un piano d'azione nazionale, regionale e internazionale, focalizzato sulla parità di opportunità, la riabilitazione e la prevenzione delle disabilità. </w:t>
      </w:r>
    </w:p>
    <w:p w14:paraId="6CAAA463" w14:textId="77777777" w:rsidR="00101669" w:rsidRPr="00E42C4F" w:rsidRDefault="00101669" w:rsidP="006A79E7">
      <w:pPr>
        <w:pBdr>
          <w:top w:val="nil"/>
          <w:left w:val="nil"/>
          <w:bottom w:val="nil"/>
          <w:right w:val="nil"/>
          <w:between w:val="nil"/>
        </w:pBdr>
        <w:ind w:left="567" w:hanging="567"/>
        <w:rPr>
          <w:rFonts w:eastAsia="Arial"/>
          <w:color w:val="000000" w:themeColor="text1"/>
          <w:sz w:val="24"/>
          <w:szCs w:val="24"/>
          <w:shd w:val="clear" w:color="auto" w:fill="FFFFFF"/>
          <w:lang w:eastAsia="it-IT"/>
        </w:rPr>
      </w:pPr>
    </w:p>
    <w:p w14:paraId="6971496C" w14:textId="77777777" w:rsidR="00101669" w:rsidRPr="00511EA9" w:rsidRDefault="00101669" w:rsidP="006A79E7">
      <w:pPr>
        <w:pStyle w:val="Heading2"/>
        <w:rPr>
          <w:rFonts w:eastAsia="Arial"/>
          <w:color w:val="000000" w:themeColor="text1"/>
          <w:shd w:val="clear" w:color="auto" w:fill="FFFFFF"/>
        </w:rPr>
      </w:pPr>
      <w:r w:rsidRPr="00511EA9">
        <w:rPr>
          <w:color w:val="000000" w:themeColor="text1"/>
          <w:shd w:val="clear" w:color="auto" w:fill="FFFFFF"/>
        </w:rPr>
        <w:t>Nel 1980 nasce Disabled People International, la prima organizzazione che mette assieme diverse disabilità in un contesto mondiale.</w:t>
      </w:r>
    </w:p>
    <w:p w14:paraId="3A1AB4E3" w14:textId="77777777" w:rsidR="00101669" w:rsidRPr="00511EA9" w:rsidRDefault="00101669" w:rsidP="006A79E7">
      <w:pPr>
        <w:ind w:left="567" w:hanging="567"/>
        <w:rPr>
          <w:rFonts w:eastAsia="Arial"/>
          <w:color w:val="000000" w:themeColor="text1"/>
          <w:shd w:val="clear" w:color="auto" w:fill="FFFFFF"/>
          <w:lang w:eastAsia="it-IT"/>
        </w:rPr>
      </w:pPr>
    </w:p>
    <w:p w14:paraId="2D9A3D96" w14:textId="77777777" w:rsidR="00101669" w:rsidRPr="00511EA9" w:rsidRDefault="00101669" w:rsidP="006A79E7">
      <w:pPr>
        <w:pStyle w:val="Heading2"/>
        <w:rPr>
          <w:rFonts w:eastAsia="Arial"/>
          <w:color w:val="000000" w:themeColor="text1"/>
          <w:shd w:val="clear" w:color="auto" w:fill="FFFFFF"/>
        </w:rPr>
      </w:pPr>
      <w:r w:rsidRPr="00511EA9">
        <w:rPr>
          <w:color w:val="000000" w:themeColor="text1"/>
          <w:shd w:val="clear" w:color="auto" w:fill="FFFFFF"/>
        </w:rPr>
        <w:lastRenderedPageBreak/>
        <w:t>Il tema dell'Anno internazionale delle persone disabili era "piena partecipazione e uguaglianza", inteso come il diritto delle persone con disabilità a partecipare pienamente alla vita e allo sviluppo della loro società, a godere di condizioni di vita uguali a quelle degli altri cittadini e ad avere la stessa quota di miglioramento delle proprie condizioni derivante dallo sviluppo socioeconomico.</w:t>
      </w:r>
    </w:p>
    <w:p w14:paraId="11396429" w14:textId="77777777" w:rsidR="00101669" w:rsidRPr="00511EA9" w:rsidRDefault="00101669" w:rsidP="006A79E7">
      <w:pPr>
        <w:ind w:left="567" w:hanging="567"/>
        <w:rPr>
          <w:rFonts w:eastAsia="Arial"/>
          <w:color w:val="000000" w:themeColor="text1"/>
          <w:shd w:val="clear" w:color="auto" w:fill="FFFFFF"/>
          <w:lang w:eastAsia="it-IT"/>
        </w:rPr>
      </w:pPr>
    </w:p>
    <w:p w14:paraId="61C42301" w14:textId="77777777" w:rsidR="00101669" w:rsidRPr="00511EA9" w:rsidRDefault="00101669" w:rsidP="006A79E7">
      <w:pPr>
        <w:pStyle w:val="Heading2"/>
        <w:rPr>
          <w:rFonts w:eastAsia="Arial"/>
          <w:color w:val="000000" w:themeColor="text1"/>
          <w:shd w:val="clear" w:color="auto" w:fill="FFFFFF"/>
        </w:rPr>
      </w:pPr>
      <w:r w:rsidRPr="00511EA9">
        <w:rPr>
          <w:color w:val="000000" w:themeColor="text1"/>
          <w:shd w:val="clear" w:color="auto" w:fill="FFFFFF"/>
        </w:rPr>
        <w:t>Per dare ai governi e alle organizzazioni il tempo adeguato per attuare le attività raccomandate nel Programma mondiale d'azione, l'Assemblea generale ha proclamato il Decennio delle persone disabili delle Nazioni Unite 1983-1992. Al termine del decennio, e grazie ad esso, nascono prima World Blind Union (1984) ed European Disability Forum (Forum europeo delle disabilità, 1996), come organismo ombrello delle associazioni a livello europeo, e poi International Disability Alliance (1999), come organizzazione ombrello dell'intero mondo della disabilità.</w:t>
      </w:r>
    </w:p>
    <w:p w14:paraId="3C7FBA5A" w14:textId="77777777" w:rsidR="00101669" w:rsidRPr="00511EA9" w:rsidRDefault="00101669" w:rsidP="006A79E7">
      <w:pPr>
        <w:ind w:left="567" w:hanging="567"/>
        <w:rPr>
          <w:rFonts w:eastAsia="Arial"/>
          <w:color w:val="000000" w:themeColor="text1"/>
          <w:shd w:val="clear" w:color="auto" w:fill="FFFFFF"/>
          <w:lang w:eastAsia="it-IT"/>
        </w:rPr>
      </w:pPr>
    </w:p>
    <w:p w14:paraId="0B1CD222" w14:textId="77777777" w:rsidR="00101669" w:rsidRPr="00511EA9" w:rsidRDefault="00101669" w:rsidP="006A79E7">
      <w:pPr>
        <w:pStyle w:val="Heading2"/>
        <w:rPr>
          <w:rFonts w:eastAsia="Arial"/>
          <w:color w:val="000000" w:themeColor="text1"/>
          <w:shd w:val="clear" w:color="auto" w:fill="FFFFFF"/>
        </w:rPr>
      </w:pPr>
      <w:r w:rsidRPr="00511EA9">
        <w:rPr>
          <w:color w:val="000000" w:themeColor="text1"/>
          <w:shd w:val="clear" w:color="auto" w:fill="FFFFFF"/>
        </w:rPr>
        <w:t>Prima del 1976 esistevano la World Federation of the Deaf (1951) e le due organizzazioni di rappresentanza dei ciechi. Sono quindi queste organizzazioni, le ONG (vedi paragrafo successivo) e le rappresentanze nazionali ad avere l'obiettivo di interloquire con le Nazioni Unite.</w:t>
      </w:r>
    </w:p>
    <w:p w14:paraId="6BB6281C" w14:textId="77777777" w:rsidR="00101669" w:rsidRPr="00511EA9" w:rsidRDefault="00101669" w:rsidP="006A79E7">
      <w:pPr>
        <w:ind w:left="567" w:hanging="567"/>
        <w:rPr>
          <w:rFonts w:eastAsia="Arial"/>
          <w:color w:val="000000" w:themeColor="text1"/>
          <w:shd w:val="clear" w:color="auto" w:fill="FFFFFF"/>
          <w:lang w:eastAsia="it-IT"/>
        </w:rPr>
      </w:pPr>
    </w:p>
    <w:p w14:paraId="462D9822" w14:textId="77777777" w:rsidR="00101669" w:rsidRPr="00511EA9" w:rsidRDefault="00101669" w:rsidP="006A79E7">
      <w:pPr>
        <w:pStyle w:val="Heading2"/>
        <w:rPr>
          <w:rFonts w:eastAsia="Arial"/>
          <w:color w:val="000000" w:themeColor="text1"/>
          <w:shd w:val="clear" w:color="auto" w:fill="FFFFFF"/>
        </w:rPr>
      </w:pPr>
      <w:r w:rsidRPr="00511EA9">
        <w:rPr>
          <w:color w:val="000000" w:themeColor="text1"/>
          <w:shd w:val="clear" w:color="auto" w:fill="FFFFFF"/>
        </w:rPr>
        <w:t xml:space="preserve">È quindi un percorso intrecciato tra società civile, singoli Stati membri e Nazioni Unite, un processo nel quale tutti i soggetti hanno dovuto trovare linguaggi comuni per esplorarne di nuovi. </w:t>
      </w:r>
    </w:p>
    <w:p w14:paraId="5E3221CC" w14:textId="77777777" w:rsidR="00101669" w:rsidRPr="00511EA9" w:rsidRDefault="00101669" w:rsidP="006A79E7">
      <w:pPr>
        <w:ind w:left="567" w:hanging="567"/>
        <w:rPr>
          <w:color w:val="000000" w:themeColor="text1"/>
        </w:rPr>
      </w:pPr>
    </w:p>
    <w:p w14:paraId="444779F5" w14:textId="77777777" w:rsidR="00101669" w:rsidRPr="00511EA9" w:rsidRDefault="00101669" w:rsidP="006A79E7">
      <w:pPr>
        <w:pStyle w:val="Heading1"/>
        <w:keepNext/>
        <w:keepLines/>
        <w:rPr>
          <w:b/>
          <w:bCs/>
          <w:color w:val="000000" w:themeColor="text1"/>
        </w:rPr>
      </w:pPr>
      <w:r w:rsidRPr="00511EA9">
        <w:rPr>
          <w:b/>
          <w:color w:val="000000" w:themeColor="text1"/>
        </w:rPr>
        <w:t>Il ruolo delle ONG</w:t>
      </w:r>
    </w:p>
    <w:p w14:paraId="051E8699" w14:textId="77777777" w:rsidR="00101669" w:rsidRPr="00511EA9" w:rsidRDefault="00101669" w:rsidP="006A79E7">
      <w:pPr>
        <w:keepNext/>
        <w:keepLines/>
        <w:pBdr>
          <w:top w:val="nil"/>
          <w:left w:val="nil"/>
          <w:bottom w:val="nil"/>
          <w:right w:val="nil"/>
          <w:between w:val="nil"/>
        </w:pBdr>
        <w:ind w:left="567" w:hanging="567"/>
        <w:rPr>
          <w:color w:val="000000" w:themeColor="text1"/>
          <w:lang w:val="en-GB"/>
        </w:rPr>
      </w:pPr>
    </w:p>
    <w:p w14:paraId="7F1E3FD8" w14:textId="162042D5" w:rsidR="00101669" w:rsidRPr="00511EA9" w:rsidRDefault="00101669" w:rsidP="006A79E7">
      <w:pPr>
        <w:pStyle w:val="Heading2"/>
        <w:rPr>
          <w:color w:val="000000" w:themeColor="text1"/>
        </w:rPr>
      </w:pPr>
      <w:r w:rsidRPr="00511EA9">
        <w:rPr>
          <w:color w:val="000000" w:themeColor="text1"/>
        </w:rPr>
        <w:t xml:space="preserve">L'Unione europea ha attivamente collaborato con le ONG per sviluppare e migliorare politiche inclusive, raccogliere dati corretti e sensibilizzare </w:t>
      </w:r>
      <w:r w:rsidR="00511EA9" w:rsidRPr="00511EA9">
        <w:rPr>
          <w:color w:val="000000" w:themeColor="text1"/>
        </w:rPr>
        <w:t>sul tema</w:t>
      </w:r>
      <w:r w:rsidRPr="00511EA9">
        <w:rPr>
          <w:color w:val="000000" w:themeColor="text1"/>
        </w:rPr>
        <w:t xml:space="preserve"> delle disabilità.</w:t>
      </w:r>
    </w:p>
    <w:p w14:paraId="46843E60" w14:textId="77777777" w:rsidR="00101669" w:rsidRPr="00511EA9" w:rsidRDefault="00101669" w:rsidP="006A79E7">
      <w:pPr>
        <w:ind w:left="567" w:hanging="567"/>
        <w:rPr>
          <w:color w:val="000000" w:themeColor="text1"/>
        </w:rPr>
      </w:pPr>
    </w:p>
    <w:p w14:paraId="5A59BAEC" w14:textId="77777777" w:rsidR="00101669" w:rsidRPr="00511EA9" w:rsidRDefault="00101669" w:rsidP="006A79E7">
      <w:pPr>
        <w:pStyle w:val="Heading2"/>
        <w:rPr>
          <w:i/>
          <w:color w:val="000000" w:themeColor="text1"/>
        </w:rPr>
      </w:pPr>
      <w:r w:rsidRPr="00511EA9">
        <w:rPr>
          <w:color w:val="000000" w:themeColor="text1"/>
        </w:rPr>
        <w:t>Le ONG, nonché i movimenti per i diritti delle persone con disabilità, influenzano la diplomazia spingendo per l'adozione di normative più inclusive, premendo sugli Stati affinché rispettino gli impegni internazionali e monitorando l'applicazione della CRPD. Ad esempio, organizzazioni come Human Rights Watch e CBM International collaborano con governi e istituzioni per garantire che le politiche di sviluppo includano la disabilità.</w:t>
      </w:r>
    </w:p>
    <w:p w14:paraId="3F64C59A" w14:textId="77777777" w:rsidR="00101669" w:rsidRPr="00511EA9" w:rsidRDefault="00101669" w:rsidP="006A79E7">
      <w:pPr>
        <w:ind w:left="567" w:hanging="567"/>
        <w:rPr>
          <w:color w:val="000000" w:themeColor="text1"/>
        </w:rPr>
      </w:pPr>
    </w:p>
    <w:p w14:paraId="17FD84EE" w14:textId="77777777" w:rsidR="00101669" w:rsidRPr="00511EA9" w:rsidRDefault="00101669" w:rsidP="006A79E7">
      <w:pPr>
        <w:pStyle w:val="Heading2"/>
        <w:rPr>
          <w:color w:val="000000" w:themeColor="text1"/>
        </w:rPr>
      </w:pPr>
      <w:r w:rsidRPr="00511EA9">
        <w:rPr>
          <w:color w:val="000000" w:themeColor="text1"/>
        </w:rPr>
        <w:t>Il Consorzio internazionale disabilità e sviluppo (IDDC) è un esempio importante. È un raggruppamento di organizzazioni della società civile che si uniscono attorno a un obiettivo comune: promuovere uno sviluppo internazionale inclusivo e un'azione umanitaria, con particolare attenzione al pieno ed effettivo godimento dei diritti umani da parte di tutte le persone con disabilità. La partnership strutturale DPO-ONG è al centro dell'azione dell'IDDC. Oltre a una dinamica di collaborazione interna, si costruisce quotidianamente una reputazione di fiducia tra le DPO, i donatori (Stati, organismi regionali e privati) e gli esperti (ONG).</w:t>
      </w:r>
    </w:p>
    <w:p w14:paraId="73E16C15" w14:textId="77777777" w:rsidR="00101669" w:rsidRPr="00511EA9" w:rsidRDefault="00101669" w:rsidP="006A79E7">
      <w:pPr>
        <w:rPr>
          <w:color w:val="000000" w:themeColor="text1"/>
        </w:rPr>
      </w:pPr>
    </w:p>
    <w:p w14:paraId="29FC68BA" w14:textId="77777777" w:rsidR="00101669" w:rsidRPr="00511EA9" w:rsidRDefault="00101669" w:rsidP="006A79E7">
      <w:pPr>
        <w:pStyle w:val="Heading2"/>
        <w:rPr>
          <w:color w:val="000000" w:themeColor="text1"/>
        </w:rPr>
      </w:pPr>
      <w:r w:rsidRPr="00511EA9">
        <w:rPr>
          <w:color w:val="000000" w:themeColor="text1"/>
        </w:rPr>
        <w:t>Le azioni adottate dalle ONG possono riassumersi come segue: azioni di advocacy a livello locale, nazionale ed internazionale; raccolta di dati per la produzione di rapporti dettagliati per monitorare le politiche adottate dalle istituzioni; realizzazione di campagne di sensibilizzazione ed educazione pubblica per promuovere i diritti delle persone con disabilità e ridurre lo stigma e la discriminazione; fornitura di servizi diretti alle persone con disabilità, supportandole nella loro vita quotidiana</w:t>
      </w:r>
      <w:r w:rsidRPr="00511EA9">
        <w:rPr>
          <w:rStyle w:val="FootnoteReference"/>
          <w:color w:val="000000" w:themeColor="text1"/>
          <w:szCs w:val="24"/>
          <w:lang w:val="en-GB"/>
        </w:rPr>
        <w:footnoteReference w:id="5"/>
      </w:r>
      <w:r w:rsidRPr="00511EA9">
        <w:rPr>
          <w:color w:val="000000" w:themeColor="text1"/>
        </w:rPr>
        <w:t>.</w:t>
      </w:r>
    </w:p>
    <w:p w14:paraId="69738BEC" w14:textId="77777777" w:rsidR="00101669" w:rsidRPr="00511EA9" w:rsidRDefault="00101669" w:rsidP="006A79E7">
      <w:pPr>
        <w:pStyle w:val="Heading1"/>
        <w:keepNext/>
        <w:keepLines/>
        <w:rPr>
          <w:rFonts w:eastAsia="Arial"/>
          <w:b/>
          <w:bCs/>
          <w:color w:val="000000" w:themeColor="text1"/>
        </w:rPr>
      </w:pPr>
      <w:r w:rsidRPr="00511EA9">
        <w:rPr>
          <w:b/>
          <w:color w:val="000000" w:themeColor="text1"/>
        </w:rPr>
        <w:lastRenderedPageBreak/>
        <w:t>Paesi</w:t>
      </w:r>
    </w:p>
    <w:p w14:paraId="10CBC94F" w14:textId="77777777" w:rsidR="00101669" w:rsidRPr="00511EA9" w:rsidRDefault="00101669" w:rsidP="006A79E7">
      <w:pPr>
        <w:keepNext/>
        <w:keepLines/>
        <w:ind w:left="567" w:hanging="567"/>
        <w:rPr>
          <w:rFonts w:eastAsia="Arial"/>
          <w:color w:val="000000" w:themeColor="text1"/>
          <w:lang w:val="en-GB" w:eastAsia="it-IT"/>
        </w:rPr>
      </w:pPr>
    </w:p>
    <w:p w14:paraId="74F696BD" w14:textId="0491A8D3" w:rsidR="00101669" w:rsidRPr="00511EA9" w:rsidRDefault="00101669" w:rsidP="006A79E7">
      <w:pPr>
        <w:pStyle w:val="Heading2"/>
        <w:rPr>
          <w:color w:val="000000" w:themeColor="text1"/>
        </w:rPr>
      </w:pPr>
      <w:r w:rsidRPr="00511EA9">
        <w:rPr>
          <w:color w:val="000000" w:themeColor="text1"/>
        </w:rPr>
        <w:t>A livello individuale, sono molti i singoli Stati che usano la diplomazia per promuovere riforme giuridiche e sociali nei paesi partner, condizionare aiuti e finanziamenti al rispetto dei diritti delle persone con disabilità, oppure scambiare buone pratiche e sostenere la cooperazione tecnica.</w:t>
      </w:r>
    </w:p>
    <w:p w14:paraId="3301D5F5" w14:textId="77777777" w:rsidR="00101669" w:rsidRPr="00511EA9" w:rsidRDefault="00101669" w:rsidP="006A79E7">
      <w:pPr>
        <w:ind w:left="567" w:hanging="567"/>
        <w:rPr>
          <w:rFonts w:eastAsia="Arial"/>
          <w:bCs/>
          <w:color w:val="000000" w:themeColor="text1"/>
          <w:lang w:eastAsia="it-IT"/>
        </w:rPr>
      </w:pPr>
    </w:p>
    <w:p w14:paraId="348A7357" w14:textId="6F90C7D7" w:rsidR="00F0454A" w:rsidRPr="00511EA9" w:rsidRDefault="00F0454A" w:rsidP="006A79E7">
      <w:pPr>
        <w:pStyle w:val="Heading2"/>
        <w:rPr>
          <w:iCs/>
        </w:rPr>
      </w:pPr>
      <w:r w:rsidRPr="00511EA9">
        <w:t>Ai fini della preparazione della presente relazione informativa, è stata condotta un'indagine parziale realizzata tramite l'invio di un apposito questionario ai rappresentanti di determinati Stati membri dell'UE. L'obiettivo del questionario era esaminare in che modo il tema della disabilità sia diventato parte integrante delle relazioni internazionali e della diplomazia, in particolare a seguito dell'adozione della CRPD. Si è cercato di comprendere l'evoluzione dei ruoli degli Stati, delle DPO e delle ONG sia nel promuovere e monitorare il rispetto dei diritti delle persone con disabilità stabiliti nell'ambito di quadri internazionali, sia nel facilitare l'esercizio di tali diritti; lo scopo era anche esaminare l'influenza degli sviluppi giuridici e socioculturali su tale processo e individuare le eventuali misure da attuare in futuro per rafforzare una diplomazia inclusiva dal punto di vista della disabilità.</w:t>
      </w:r>
    </w:p>
    <w:p w14:paraId="0114199C" w14:textId="77777777" w:rsidR="00F0454A" w:rsidRPr="00511EA9" w:rsidRDefault="00F0454A" w:rsidP="00BC50E6">
      <w:pPr>
        <w:rPr>
          <w:rFonts w:eastAsia="Arial"/>
        </w:rPr>
      </w:pPr>
    </w:p>
    <w:p w14:paraId="6879F73C" w14:textId="6D5BBD71" w:rsidR="00101669" w:rsidRPr="00511EA9" w:rsidRDefault="00101669" w:rsidP="006A79E7">
      <w:pPr>
        <w:pStyle w:val="Heading2"/>
        <w:rPr>
          <w:rFonts w:eastAsia="Arial"/>
          <w:color w:val="000000" w:themeColor="text1"/>
        </w:rPr>
      </w:pPr>
      <w:r w:rsidRPr="00511EA9">
        <w:rPr>
          <w:color w:val="000000" w:themeColor="text1"/>
        </w:rPr>
        <w:t>La Svezia, la Lituania e la Germania figurano tra i paesi europei che hanno posto un forte accento sui diritti delle persone con disabilità a livello politico tramite il recepimento della CRPD. Anche la Polonia sta compiendo importanti passi avanti.</w:t>
      </w:r>
    </w:p>
    <w:p w14:paraId="2A0EB3D5" w14:textId="77777777" w:rsidR="00101669" w:rsidRPr="00511EA9" w:rsidRDefault="00101669" w:rsidP="006A79E7">
      <w:pPr>
        <w:ind w:left="567" w:hanging="567"/>
        <w:rPr>
          <w:rFonts w:eastAsia="Arial"/>
          <w:bCs/>
          <w:color w:val="000000" w:themeColor="text1"/>
          <w:lang w:eastAsia="it-IT"/>
        </w:rPr>
      </w:pPr>
    </w:p>
    <w:p w14:paraId="1115AF99" w14:textId="77777777" w:rsidR="00101669" w:rsidRPr="00511EA9" w:rsidRDefault="00101669" w:rsidP="006A79E7">
      <w:pPr>
        <w:pStyle w:val="Heading3"/>
        <w:rPr>
          <w:rFonts w:eastAsia="Arial"/>
          <w:color w:val="000000" w:themeColor="text1"/>
        </w:rPr>
      </w:pPr>
      <w:r w:rsidRPr="00511EA9">
        <w:rPr>
          <w:color w:val="000000" w:themeColor="text1"/>
        </w:rPr>
        <w:t>La Svezia ha un forte quadro normativo per l'inclusione delle persone con disabilità, avendo adottato la strategia nazionale per la disabilità (2021-2031), che copre tutti gli aspetti della vita delle persone con disabilità, puntando a garantire la piena partecipazione delle persone con disabilità a tutti gli aspetti della società, con particolare attenzione all'accessibilità, a un'istruzione inclusiva e all'occupazione. In tema di accessibilità urbana, il governo svedese ha implementato normative rigorose per assicurare che gli edifici pubblici, i trasporti e le infrastrutture digitali siano accessibili a tutti.</w:t>
      </w:r>
    </w:p>
    <w:p w14:paraId="0621692E" w14:textId="77777777" w:rsidR="0065601D" w:rsidRPr="00511EA9" w:rsidRDefault="0065601D" w:rsidP="006A79E7">
      <w:pPr>
        <w:pBdr>
          <w:top w:val="nil"/>
          <w:left w:val="nil"/>
          <w:bottom w:val="nil"/>
          <w:right w:val="nil"/>
          <w:between w:val="nil"/>
        </w:pBdr>
        <w:ind w:left="567"/>
        <w:rPr>
          <w:color w:val="000000" w:themeColor="text1"/>
        </w:rPr>
      </w:pPr>
    </w:p>
    <w:p w14:paraId="07FE436C" w14:textId="618E79F7" w:rsidR="00101669" w:rsidRPr="00511EA9" w:rsidRDefault="00101669" w:rsidP="006A79E7">
      <w:pPr>
        <w:pBdr>
          <w:top w:val="nil"/>
          <w:left w:val="nil"/>
          <w:bottom w:val="nil"/>
          <w:right w:val="nil"/>
          <w:between w:val="nil"/>
        </w:pBdr>
        <w:ind w:left="567"/>
        <w:rPr>
          <w:rFonts w:eastAsia="Arial"/>
          <w:color w:val="000000" w:themeColor="text1"/>
        </w:rPr>
      </w:pPr>
      <w:r w:rsidRPr="00511EA9">
        <w:rPr>
          <w:color w:val="000000" w:themeColor="text1"/>
        </w:rPr>
        <w:t xml:space="preserve">Tra le leggi più importanti adottate in Svezia si possono citare la "legge sul supporto e sui servizi per alcune persone con disabilità" (LSS - </w:t>
      </w:r>
      <w:r w:rsidRPr="00511EA9">
        <w:rPr>
          <w:i/>
          <w:color w:val="000000" w:themeColor="text1"/>
        </w:rPr>
        <w:t>Lagen om st</w:t>
      </w:r>
      <w:r w:rsidR="00511EA9" w:rsidRPr="00511EA9">
        <w:rPr>
          <w:i/>
          <w:color w:val="000000" w:themeColor="text1"/>
        </w:rPr>
        <w:t>ö</w:t>
      </w:r>
      <w:r w:rsidRPr="00511EA9">
        <w:rPr>
          <w:i/>
          <w:color w:val="000000" w:themeColor="text1"/>
        </w:rPr>
        <w:t>d och service till vissa funktionshindrade</w:t>
      </w:r>
      <w:r w:rsidRPr="00511EA9">
        <w:rPr>
          <w:color w:val="000000" w:themeColor="text1"/>
        </w:rPr>
        <w:t>) e la legge sulla discriminazione (</w:t>
      </w:r>
      <w:r w:rsidRPr="00511EA9">
        <w:rPr>
          <w:i/>
          <w:color w:val="000000" w:themeColor="text1"/>
        </w:rPr>
        <w:t>Diskrimineringslagen</w:t>
      </w:r>
      <w:r w:rsidRPr="00511EA9">
        <w:rPr>
          <w:color w:val="000000" w:themeColor="text1"/>
        </w:rPr>
        <w:t>), la quale stabilisce che nessuna persona con disabilità può essere trattata in modo ingiusto o esclusa da opportunità di partecipazione sociale.</w:t>
      </w:r>
    </w:p>
    <w:p w14:paraId="406D3A9C" w14:textId="77777777" w:rsidR="00101669" w:rsidRPr="00511EA9" w:rsidRDefault="00101669" w:rsidP="006A79E7">
      <w:pPr>
        <w:ind w:left="567" w:hanging="567"/>
        <w:rPr>
          <w:rFonts w:eastAsia="Arial"/>
          <w:color w:val="000000" w:themeColor="text1"/>
          <w:lang w:eastAsia="it-IT"/>
        </w:rPr>
      </w:pPr>
    </w:p>
    <w:p w14:paraId="396E4B3D" w14:textId="6CE159AE" w:rsidR="00101669" w:rsidRPr="00511EA9" w:rsidRDefault="00101669" w:rsidP="006A79E7">
      <w:pPr>
        <w:pStyle w:val="Heading3"/>
        <w:rPr>
          <w:rFonts w:eastAsia="Arial"/>
          <w:color w:val="000000" w:themeColor="text1"/>
        </w:rPr>
      </w:pPr>
      <w:r w:rsidRPr="00511EA9">
        <w:rPr>
          <w:color w:val="000000" w:themeColor="text1"/>
        </w:rPr>
        <w:t xml:space="preserve">La ratifica della CRPD ha fornito alla Lituania una base giuridica per riformare le sue politiche sulla disabilità, tra cui il passaggio a un modello di valutazione della disabilità incentrato sulla persona e la promozione della progettazione universale nei servizi pubblici. Tuttavia, è il ruolo crescente della società civile, in particolare delle DPO, ad aver determinato un cambiamento significativo sul campo. Ad esempio, le DPO lituane – e specialmente l'associazione di coordinamento Forum lituano sulle disabilità – hanno svolto un ruolo determinante nel promuovere la deistituzionalizzazione e l'istruzione inclusiva, garantendo che le riforme riflettessero le esperienze vissute. Campagne di sensibilizzazione pubblica e partnership con ONG attive nel campo della disabilità e dei diritti umani che integrano il tema della disabilità nei quadri di riferimento sui diritti umani hanno ulteriormente modificato gli atteggiamenti sociali, rendendo l'inclusione un valore condiviso. Pertanto, mentre il diritto internazionale stabilisce gli standard, </w:t>
      </w:r>
      <w:r w:rsidRPr="00511EA9">
        <w:rPr>
          <w:color w:val="000000" w:themeColor="text1"/>
        </w:rPr>
        <w:lastRenderedPageBreak/>
        <w:t>è l'impegno culturale e civico in Lituania a dar vita a tali standard. Un esempio importante è il forte sostegno dato dalla Lituania alla parità di accesso ai servizi per gli ucraini sfollati con disabilità, cui viene garantito lo stesso livello di assistenza dei cittadini lituani. La Lituania sottolinea costantemente l'impatto sproporzionato della guerra di aggressione russa contro l'Ucraina sulle persone con disabilità e promuove un'assistenza umanitaria inclusiva e accessibile in tutte le piattaforme internazionali.</w:t>
      </w:r>
    </w:p>
    <w:p w14:paraId="3B61D661" w14:textId="77777777" w:rsidR="0065601D" w:rsidRPr="00511EA9" w:rsidRDefault="0065601D" w:rsidP="006A79E7">
      <w:pPr>
        <w:pStyle w:val="Heading3"/>
        <w:numPr>
          <w:ilvl w:val="0"/>
          <w:numId w:val="0"/>
        </w:numPr>
        <w:ind w:left="567"/>
        <w:rPr>
          <w:color w:val="000000" w:themeColor="text1"/>
        </w:rPr>
      </w:pPr>
    </w:p>
    <w:p w14:paraId="57493176" w14:textId="25E41E0E" w:rsidR="00101669" w:rsidRPr="00511EA9" w:rsidRDefault="00101669" w:rsidP="006A79E7">
      <w:pPr>
        <w:pStyle w:val="Heading3"/>
        <w:numPr>
          <w:ilvl w:val="0"/>
          <w:numId w:val="0"/>
        </w:numPr>
        <w:ind w:left="567"/>
        <w:rPr>
          <w:rFonts w:eastAsia="Arial"/>
          <w:color w:val="000000" w:themeColor="text1"/>
        </w:rPr>
      </w:pPr>
      <w:r w:rsidRPr="00511EA9">
        <w:rPr>
          <w:color w:val="000000" w:themeColor="text1"/>
        </w:rPr>
        <w:t>A conferma del suo impegno globale a lungo termine, la Lituania ha candidato un esponente delle DPO lituane per l'elezione al comitato delle Nazioni Unite sui diritti delle persone con disabilità per il mandato 2027-2030.</w:t>
      </w:r>
    </w:p>
    <w:p w14:paraId="2DFB4E97" w14:textId="77777777" w:rsidR="00101669" w:rsidRPr="00511EA9" w:rsidRDefault="00101669" w:rsidP="006A79E7">
      <w:pPr>
        <w:rPr>
          <w:rFonts w:eastAsia="Arial"/>
          <w:color w:val="000000" w:themeColor="text1"/>
          <w:lang w:eastAsia="it-IT"/>
        </w:rPr>
      </w:pPr>
    </w:p>
    <w:p w14:paraId="1D02BEB7" w14:textId="77777777" w:rsidR="00101669" w:rsidRPr="00511EA9" w:rsidRDefault="00101669" w:rsidP="006A79E7">
      <w:pPr>
        <w:pStyle w:val="Heading3"/>
        <w:rPr>
          <w:rFonts w:eastAsia="Arial"/>
          <w:color w:val="000000" w:themeColor="text1"/>
        </w:rPr>
      </w:pPr>
      <w:r w:rsidRPr="00511EA9">
        <w:rPr>
          <w:color w:val="000000" w:themeColor="text1"/>
        </w:rPr>
        <w:t xml:space="preserve">La Germania ha introdotto il </w:t>
      </w:r>
      <w:r w:rsidRPr="00511EA9">
        <w:rPr>
          <w:i/>
          <w:color w:val="000000" w:themeColor="text1"/>
        </w:rPr>
        <w:t>Behindertengleichstellungsgesetz</w:t>
      </w:r>
      <w:r w:rsidRPr="00511EA9">
        <w:rPr>
          <w:color w:val="000000" w:themeColor="text1"/>
        </w:rPr>
        <w:t xml:space="preserve"> nel 2002, una legge fondamentale che promuove l'inclusione e l'uguaglianza delle persone con disabilità.</w:t>
      </w:r>
    </w:p>
    <w:p w14:paraId="58EA6883" w14:textId="77777777" w:rsidR="0065601D" w:rsidRPr="00511EA9" w:rsidRDefault="0065601D" w:rsidP="006A79E7">
      <w:pPr>
        <w:ind w:left="567"/>
        <w:rPr>
          <w:color w:val="000000" w:themeColor="text1"/>
        </w:rPr>
      </w:pPr>
    </w:p>
    <w:p w14:paraId="0D5B2D61" w14:textId="4543E664" w:rsidR="00101669" w:rsidRPr="00511EA9" w:rsidRDefault="00101669" w:rsidP="006A79E7">
      <w:pPr>
        <w:ind w:left="567"/>
        <w:rPr>
          <w:rFonts w:eastAsia="Arial"/>
          <w:color w:val="000000" w:themeColor="text1"/>
        </w:rPr>
      </w:pPr>
      <w:r w:rsidRPr="00511EA9">
        <w:rPr>
          <w:color w:val="000000" w:themeColor="text1"/>
        </w:rPr>
        <w:t xml:space="preserve">Sforzi proficui sono stati inoltre intrapresi per quanto riguarda la vita indipendente, con servizi di assistenza personalizzata e supporto domiciliare. Inoltre, la Germania ha messo a punto l'indice DEI – </w:t>
      </w:r>
      <w:r w:rsidRPr="00511EA9">
        <w:rPr>
          <w:i/>
          <w:iCs/>
          <w:color w:val="000000" w:themeColor="text1"/>
        </w:rPr>
        <w:t>Disability Equality Index</w:t>
      </w:r>
      <w:r w:rsidRPr="00511EA9">
        <w:rPr>
          <w:color w:val="000000" w:themeColor="text1"/>
        </w:rPr>
        <w:t xml:space="preserve"> – per monitorare e valutare l'inclusione delle persone con disabilità nelle politiche e nelle istituzioni pubbliche e private. Questo indice serve come strumento per misurare i progressi e le aree di miglioramento, contribuendo a spingere per un cambiamento continuo nel settore pubblico e privato.</w:t>
      </w:r>
    </w:p>
    <w:p w14:paraId="7DE88CDE" w14:textId="77777777" w:rsidR="00101669" w:rsidRPr="00511EA9" w:rsidRDefault="00101669" w:rsidP="006A79E7">
      <w:pPr>
        <w:ind w:left="567"/>
        <w:rPr>
          <w:rFonts w:eastAsia="Arial"/>
          <w:color w:val="000000" w:themeColor="text1"/>
          <w:lang w:eastAsia="it-IT"/>
        </w:rPr>
      </w:pPr>
    </w:p>
    <w:p w14:paraId="5D712E69" w14:textId="50E94A13" w:rsidR="00101669" w:rsidRPr="00511EA9" w:rsidRDefault="00101669" w:rsidP="006A79E7">
      <w:pPr>
        <w:pStyle w:val="Heading3"/>
        <w:rPr>
          <w:rFonts w:eastAsia="Arial"/>
          <w:color w:val="000000" w:themeColor="text1"/>
        </w:rPr>
      </w:pPr>
      <w:r w:rsidRPr="00511EA9">
        <w:rPr>
          <w:color w:val="000000" w:themeColor="text1"/>
        </w:rPr>
        <w:t xml:space="preserve">La Polonia è molto attiva </w:t>
      </w:r>
      <w:r w:rsidR="00511EA9" w:rsidRPr="00511EA9">
        <w:rPr>
          <w:color w:val="000000" w:themeColor="text1"/>
        </w:rPr>
        <w:t>sul tema</w:t>
      </w:r>
      <w:r w:rsidRPr="00511EA9">
        <w:rPr>
          <w:color w:val="000000" w:themeColor="text1"/>
        </w:rPr>
        <w:t xml:space="preserve"> del cambio di paradigma, soprattutto in termini culturali e sociali. Promuove infatti due grandi eventi con grande impatto sulla popolazione:</w:t>
      </w:r>
    </w:p>
    <w:p w14:paraId="5A0E6575" w14:textId="77777777" w:rsidR="00101669" w:rsidRPr="00511EA9" w:rsidRDefault="00101669" w:rsidP="006A79E7">
      <w:pPr>
        <w:rPr>
          <w:rFonts w:eastAsia="Arial"/>
          <w:color w:val="000000" w:themeColor="text1"/>
          <w:lang w:eastAsia="it-IT"/>
        </w:rPr>
      </w:pPr>
    </w:p>
    <w:p w14:paraId="7557283F" w14:textId="55728E03" w:rsidR="00101669" w:rsidRPr="00511EA9" w:rsidRDefault="00101669" w:rsidP="00BC50E6">
      <w:pPr>
        <w:pStyle w:val="Heading3"/>
        <w:numPr>
          <w:ilvl w:val="0"/>
          <w:numId w:val="4"/>
        </w:numPr>
        <w:ind w:left="924" w:hanging="357"/>
        <w:rPr>
          <w:rFonts w:eastAsia="Arial"/>
          <w:color w:val="000000" w:themeColor="text1"/>
        </w:rPr>
      </w:pPr>
      <w:r w:rsidRPr="00511EA9">
        <w:rPr>
          <w:color w:val="000000" w:themeColor="text1"/>
        </w:rPr>
        <w:t xml:space="preserve">il Festival del Cinema </w:t>
      </w:r>
      <w:r w:rsidR="00511EA9" w:rsidRPr="00511EA9">
        <w:rPr>
          <w:color w:val="000000" w:themeColor="text1"/>
        </w:rPr>
        <w:t>Europeo</w:t>
      </w:r>
      <w:r w:rsidRPr="00511EA9">
        <w:rPr>
          <w:color w:val="000000" w:themeColor="text1"/>
        </w:rPr>
        <w:t xml:space="preserve"> "Integrazione Tu e Io" nella città di Koszalin, nel </w:t>
      </w:r>
      <w:r w:rsidR="00511EA9" w:rsidRPr="00511EA9">
        <w:rPr>
          <w:color w:val="000000" w:themeColor="text1"/>
        </w:rPr>
        <w:t>nord</w:t>
      </w:r>
      <w:r w:rsidRPr="00511EA9">
        <w:rPr>
          <w:color w:val="000000" w:themeColor="text1"/>
        </w:rPr>
        <w:t xml:space="preserve"> della Polonia, che dal 2003 collega il tema della disabilità all'arte cinematografica. Il Festival è un'iniziativa artistica, ma ha anche un grande significato sociale, poiché stimola dibattiti sull'ambiente in cui vivono le persone con disabilità e sul processo di inclusione. Dal 2003 sono stati proiettati quasi 780 film importanti, saggi e coraggiosi. Ogni anno a Koszalin vengono ospitati attori, registi, sceneggiatori, critici cinematografici, docenti, personalità legate alla cultura e ai media. Infine, piccoli festival "Tu e Io" sono organizzati in più di 30 località in tutta la Polonia da animatori culturali locali, e i film del Festival vengono proiettati nei cinema d'essai di una dozzina di grandi città polacche;</w:t>
      </w:r>
    </w:p>
    <w:p w14:paraId="2BAFE48F" w14:textId="77777777" w:rsidR="00101669" w:rsidRPr="00511EA9" w:rsidRDefault="00101669" w:rsidP="00BC50E6">
      <w:pPr>
        <w:pStyle w:val="ListParagraph"/>
        <w:numPr>
          <w:ilvl w:val="0"/>
          <w:numId w:val="3"/>
        </w:numPr>
        <w:ind w:left="924" w:hanging="357"/>
        <w:rPr>
          <w:rFonts w:eastAsia="Arial"/>
          <w:color w:val="000000" w:themeColor="text1"/>
        </w:rPr>
      </w:pPr>
      <w:r w:rsidRPr="00511EA9">
        <w:rPr>
          <w:color w:val="000000" w:themeColor="text1"/>
        </w:rPr>
        <w:t>il XXVIII Festival della Canzone per giovani con disabilità, che si svolge a Ciechocinek. Il Festival è molto più di semplici concerti e laboratori musicali. È una piattaforma per l'integrazione sociale, il supporto educativo e la promozione della parità di accesso alla cultura. Ogni anno questo evento attira 50 giovani partecipanti da tutta la Polonia, che lavorano con eccellenti insegnanti di musica per 10 giorni, sviluppando il loro talento vocale e scenico.</w:t>
      </w:r>
    </w:p>
    <w:p w14:paraId="478C10F8" w14:textId="77777777" w:rsidR="00685673" w:rsidRPr="00511EA9" w:rsidRDefault="00685673" w:rsidP="006A79E7">
      <w:pPr>
        <w:ind w:left="567"/>
        <w:rPr>
          <w:color w:val="000000" w:themeColor="text1"/>
        </w:rPr>
      </w:pPr>
    </w:p>
    <w:p w14:paraId="15E01C8A" w14:textId="7B8C1199" w:rsidR="00101669" w:rsidRPr="00511EA9" w:rsidRDefault="00101669" w:rsidP="006A79E7">
      <w:pPr>
        <w:ind w:left="567"/>
        <w:rPr>
          <w:rFonts w:eastAsia="Arial"/>
          <w:color w:val="000000" w:themeColor="text1"/>
        </w:rPr>
      </w:pPr>
      <w:r w:rsidRPr="00511EA9">
        <w:rPr>
          <w:color w:val="000000" w:themeColor="text1"/>
        </w:rPr>
        <w:t>Proprio alla fine della presidenza polacca, su iniziativa della Polonia, il 23 giugno 2025 è stata firmata la Dichiarazione sulla sensibilizzazione delle persone con disabilità, sostenuta da 25 Stati membri.</w:t>
      </w:r>
    </w:p>
    <w:p w14:paraId="51B3A4C3" w14:textId="77777777" w:rsidR="00101669" w:rsidRPr="00511EA9" w:rsidRDefault="00101669" w:rsidP="006A79E7">
      <w:pPr>
        <w:rPr>
          <w:rFonts w:eastAsia="Arial"/>
          <w:color w:val="000000" w:themeColor="text1"/>
          <w:lang w:eastAsia="it-IT"/>
        </w:rPr>
      </w:pPr>
    </w:p>
    <w:p w14:paraId="73C4A361" w14:textId="77777777" w:rsidR="00101669" w:rsidRPr="00511EA9" w:rsidRDefault="00101669" w:rsidP="006A79E7">
      <w:pPr>
        <w:pStyle w:val="Heading2"/>
        <w:rPr>
          <w:rFonts w:eastAsia="Arial"/>
          <w:color w:val="000000" w:themeColor="text1"/>
        </w:rPr>
      </w:pPr>
      <w:r w:rsidRPr="00511EA9">
        <w:rPr>
          <w:color w:val="000000" w:themeColor="text1"/>
        </w:rPr>
        <w:t>A livello extraeuropeo, invece, tra i paesi più virtuosi nella difesa dei diritti delle persone con disabilità si possono citare il Canada, l'Australia e la Nuova Zelanda.</w:t>
      </w:r>
    </w:p>
    <w:p w14:paraId="3801AE74" w14:textId="44C5EB80" w:rsidR="00101669" w:rsidRPr="00511EA9" w:rsidRDefault="00101669" w:rsidP="006A79E7">
      <w:pPr>
        <w:pStyle w:val="Heading3"/>
        <w:rPr>
          <w:rFonts w:eastAsia="Arial"/>
          <w:color w:val="000000" w:themeColor="text1"/>
        </w:rPr>
      </w:pPr>
      <w:r w:rsidRPr="00511EA9">
        <w:rPr>
          <w:color w:val="000000" w:themeColor="text1"/>
        </w:rPr>
        <w:lastRenderedPageBreak/>
        <w:t>In Canada, l'</w:t>
      </w:r>
      <w:r w:rsidRPr="00511EA9">
        <w:rPr>
          <w:i/>
          <w:iCs/>
          <w:color w:val="000000" w:themeColor="text1"/>
        </w:rPr>
        <w:t>Accessible Canada Act</w:t>
      </w:r>
      <w:r w:rsidRPr="00511EA9">
        <w:rPr>
          <w:color w:val="000000" w:themeColor="text1"/>
        </w:rPr>
        <w:t xml:space="preserve"> (2019) punta a rendere il paese completamente accessibile entro il 2040, coprendo settori come i trasporti, le comunicazioni e i servizi pubblici. Il Canada ha adottato inoltre forti politiche di inclusione lavorativa e di sostegno alla vita indipendente tramite programmi di formazione, incentivi per i datori di lavoro e politiche di assunzione mirate. Inoltre, molta importanza è data alla consultazione diretta delle persone con disabilità, coinvolgendole direttamente nel processo decisionale </w:t>
      </w:r>
      <w:r w:rsidR="00511EA9" w:rsidRPr="00511EA9">
        <w:rPr>
          <w:color w:val="000000" w:themeColor="text1"/>
        </w:rPr>
        <w:t>in merito al</w:t>
      </w:r>
      <w:r w:rsidRPr="00511EA9">
        <w:rPr>
          <w:color w:val="000000" w:themeColor="text1"/>
        </w:rPr>
        <w:t>le politiche che le riguardano e garantendo che le loro voci siano ascoltate e rispettate.</w:t>
      </w:r>
    </w:p>
    <w:p w14:paraId="338E63D2" w14:textId="77777777" w:rsidR="00101669" w:rsidRPr="00511EA9" w:rsidRDefault="00101669" w:rsidP="006A79E7">
      <w:pPr>
        <w:ind w:left="567" w:hanging="567"/>
        <w:rPr>
          <w:rFonts w:eastAsia="Arial"/>
          <w:color w:val="000000" w:themeColor="text1"/>
          <w:lang w:eastAsia="it-IT"/>
        </w:rPr>
      </w:pPr>
    </w:p>
    <w:p w14:paraId="7898344B" w14:textId="77777777" w:rsidR="00101669" w:rsidRPr="00511EA9" w:rsidRDefault="00101669" w:rsidP="006A79E7">
      <w:pPr>
        <w:pStyle w:val="Heading3"/>
        <w:rPr>
          <w:rFonts w:eastAsia="Arial"/>
          <w:color w:val="000000" w:themeColor="text1"/>
        </w:rPr>
      </w:pPr>
      <w:r w:rsidRPr="00511EA9">
        <w:rPr>
          <w:color w:val="000000" w:themeColor="text1"/>
        </w:rPr>
        <w:t xml:space="preserve">L'Australia ha una delle legislazioni più avanzate per il sostegno economico e l'indipendenza delle persone con disabilità, il </w:t>
      </w:r>
      <w:r w:rsidRPr="00511EA9">
        <w:rPr>
          <w:i/>
          <w:iCs/>
          <w:color w:val="000000" w:themeColor="text1"/>
        </w:rPr>
        <w:t>National Disability Insurance Scheme</w:t>
      </w:r>
      <w:r w:rsidRPr="00511EA9">
        <w:rPr>
          <w:color w:val="000000" w:themeColor="text1"/>
        </w:rPr>
        <w:t xml:space="preserve"> (NDIS). Questo programma fornisce infatti un supporto finanziario personalizzato che consente alle persone di scegliere i servizi più adatti alle proprie esigenze per una vita indipendente. Inoltre, l'Australia sta lavorando molto sui temi dell'accessibilità e della partecipazione, adottando misure per la rimozione delle barriere architettoniche negli spazi pubblici e promuovendo nel contempo la rappresentanza delle persone con disabilità nei processi politici e decisionali.</w:t>
      </w:r>
    </w:p>
    <w:p w14:paraId="021B2C9E" w14:textId="77777777" w:rsidR="00101669" w:rsidRPr="00511EA9" w:rsidRDefault="00101669" w:rsidP="006A79E7">
      <w:pPr>
        <w:ind w:left="567" w:hanging="567"/>
        <w:rPr>
          <w:rFonts w:eastAsia="Arial"/>
          <w:color w:val="000000" w:themeColor="text1"/>
          <w:lang w:eastAsia="it-IT"/>
        </w:rPr>
      </w:pPr>
    </w:p>
    <w:p w14:paraId="678B572D" w14:textId="77777777" w:rsidR="00101669" w:rsidRPr="00511EA9" w:rsidRDefault="00101669" w:rsidP="006A79E7">
      <w:pPr>
        <w:pStyle w:val="Heading3"/>
        <w:rPr>
          <w:rFonts w:eastAsia="Arial"/>
          <w:color w:val="000000" w:themeColor="text1"/>
        </w:rPr>
      </w:pPr>
      <w:r w:rsidRPr="00511EA9">
        <w:rPr>
          <w:color w:val="000000" w:themeColor="text1"/>
        </w:rPr>
        <w:t>La Nuova Zelanda ha un forte approccio basato sui diritti umani e sulla partecipazione attiva delle persone con disabilità alla definizione delle politiche. Ha adottato piani d'azione chiari per rendere l'istruzione e il lavoro pienamente accessibili e ha sviluppato strategie per garantire un sostegno adeguato alla vita indipendente</w:t>
      </w:r>
      <w:r w:rsidRPr="00511EA9">
        <w:rPr>
          <w:rFonts w:eastAsia="Arial"/>
          <w:color w:val="000000" w:themeColor="text1"/>
          <w:sz w:val="24"/>
          <w:szCs w:val="24"/>
          <w:vertAlign w:val="superscript"/>
          <w:lang w:val="en-GB" w:eastAsia="it-IT"/>
        </w:rPr>
        <w:footnoteReference w:id="6"/>
      </w:r>
      <w:r w:rsidRPr="00511EA9">
        <w:rPr>
          <w:color w:val="000000" w:themeColor="text1"/>
        </w:rPr>
        <w:t>.</w:t>
      </w:r>
    </w:p>
    <w:p w14:paraId="679C58E0" w14:textId="77777777" w:rsidR="00101669" w:rsidRPr="00511EA9" w:rsidRDefault="00101669" w:rsidP="006A79E7">
      <w:pPr>
        <w:ind w:left="567" w:hanging="567"/>
        <w:rPr>
          <w:rFonts w:eastAsia="Arial"/>
          <w:color w:val="000000" w:themeColor="text1"/>
          <w:lang w:eastAsia="it-IT"/>
        </w:rPr>
      </w:pPr>
    </w:p>
    <w:p w14:paraId="740A800F" w14:textId="77777777" w:rsidR="00101669" w:rsidRPr="00511EA9" w:rsidRDefault="00101669" w:rsidP="006A79E7">
      <w:pPr>
        <w:pStyle w:val="Heading3"/>
        <w:rPr>
          <w:rFonts w:eastAsia="Arial"/>
          <w:color w:val="000000" w:themeColor="text1"/>
        </w:rPr>
      </w:pPr>
      <w:r w:rsidRPr="00511EA9">
        <w:rPr>
          <w:color w:val="000000" w:themeColor="text1"/>
        </w:rPr>
        <w:t>È in quest'ottica che la Nuova Zelanda ha lanciato la "strategia per la disabilità 2016-2026", che si concentra in special modo sull'accessibilità degli edifici pubblici e dei trasporti</w:t>
      </w:r>
      <w:r w:rsidRPr="00511EA9">
        <w:rPr>
          <w:rFonts w:eastAsia="Arial"/>
          <w:color w:val="000000" w:themeColor="text1"/>
          <w:sz w:val="24"/>
          <w:szCs w:val="24"/>
          <w:vertAlign w:val="superscript"/>
          <w:lang w:val="en-GB" w:eastAsia="it-IT"/>
        </w:rPr>
        <w:footnoteReference w:id="7"/>
      </w:r>
      <w:r w:rsidRPr="00511EA9">
        <w:rPr>
          <w:color w:val="000000" w:themeColor="text1"/>
        </w:rPr>
        <w:t>, promuove l'inclusione scolastica e l'accesso a un'istruzione di qualità per i bambini con disabilità, adatta i programmi scolastici e implementa tecnologie assistive, oltre a sostenere l'occupazione con incentivi per i datori di lavoro.</w:t>
      </w:r>
    </w:p>
    <w:p w14:paraId="51DFB4DC" w14:textId="77777777" w:rsidR="00101669" w:rsidRPr="00511EA9" w:rsidRDefault="00101669" w:rsidP="006A79E7">
      <w:pPr>
        <w:rPr>
          <w:rFonts w:eastAsia="Arial"/>
          <w:color w:val="000000" w:themeColor="text1"/>
          <w:lang w:eastAsia="it-IT"/>
        </w:rPr>
      </w:pPr>
    </w:p>
    <w:p w14:paraId="0E2A4E0B" w14:textId="77777777" w:rsidR="00101669" w:rsidRPr="00511EA9" w:rsidRDefault="00101669" w:rsidP="006A79E7">
      <w:pPr>
        <w:pStyle w:val="Heading1"/>
        <w:keepNext/>
        <w:keepLines/>
        <w:rPr>
          <w:rFonts w:eastAsia="Calibri"/>
          <w:b/>
          <w:bCs/>
          <w:color w:val="000000" w:themeColor="text1"/>
        </w:rPr>
      </w:pPr>
      <w:r w:rsidRPr="00511EA9">
        <w:rPr>
          <w:b/>
          <w:color w:val="000000" w:themeColor="text1"/>
        </w:rPr>
        <w:t>Gli impegni da parte della Commissione europea</w:t>
      </w:r>
    </w:p>
    <w:p w14:paraId="0800A19D" w14:textId="77777777" w:rsidR="00101669" w:rsidRPr="00511EA9" w:rsidRDefault="00101669" w:rsidP="006A79E7">
      <w:pPr>
        <w:keepNext/>
        <w:keepLines/>
        <w:rPr>
          <w:rFonts w:eastAsia="Calibri"/>
          <w:color w:val="000000" w:themeColor="text1"/>
          <w:kern w:val="2"/>
          <w14:ligatures w14:val="standardContextual"/>
        </w:rPr>
      </w:pPr>
    </w:p>
    <w:p w14:paraId="1B44BE8F" w14:textId="77777777" w:rsidR="00101669" w:rsidRPr="00511EA9" w:rsidRDefault="00101669" w:rsidP="006A79E7">
      <w:pPr>
        <w:pStyle w:val="Heading2"/>
        <w:rPr>
          <w:rFonts w:eastAsia="Calibri"/>
          <w:color w:val="000000" w:themeColor="text1"/>
        </w:rPr>
      </w:pPr>
      <w:r w:rsidRPr="00511EA9">
        <w:rPr>
          <w:color w:val="000000" w:themeColor="text1"/>
        </w:rPr>
        <w:t>Il Forum europeo delle disabilità richiede adeguata attenzione alla Commissione europea riguardo al prossimo quadro finanziario dell'Unione europea: la disabilità deve essere considerata una priorità, garantendo programmi di finanziamento adeguati ai bisogni e promuovendo l'accessibilità e l'inclusione.</w:t>
      </w:r>
    </w:p>
    <w:p w14:paraId="374F221B" w14:textId="77777777" w:rsidR="00101669" w:rsidRPr="00511EA9" w:rsidRDefault="00101669" w:rsidP="006A79E7">
      <w:pPr>
        <w:ind w:left="567" w:hanging="567"/>
        <w:rPr>
          <w:rFonts w:eastAsia="Calibri"/>
          <w:color w:val="000000" w:themeColor="text1"/>
          <w:kern w:val="2"/>
          <w14:ligatures w14:val="standardContextual"/>
        </w:rPr>
      </w:pPr>
    </w:p>
    <w:p w14:paraId="71DC3B73" w14:textId="77777777" w:rsidR="00101669" w:rsidRPr="00511EA9" w:rsidRDefault="00101669" w:rsidP="006A79E7">
      <w:pPr>
        <w:pStyle w:val="Heading2"/>
        <w:rPr>
          <w:rFonts w:eastAsia="Calibri"/>
          <w:color w:val="000000" w:themeColor="text1"/>
          <w:kern w:val="2"/>
          <w14:ligatures w14:val="standardContextual"/>
        </w:rPr>
      </w:pPr>
      <w:r w:rsidRPr="00511EA9">
        <w:rPr>
          <w:color w:val="000000" w:themeColor="text1"/>
        </w:rPr>
        <w:t>La Commissione dovrebbe adottare – sia all'interno che all'esterno dell'UE – dei piani di azione su ogni forma di disabilità, in linea con quelli già esistenti per i giovani e per la parità di genere.</w:t>
      </w:r>
    </w:p>
    <w:p w14:paraId="28E19C38" w14:textId="77777777" w:rsidR="00101669" w:rsidRPr="00511EA9" w:rsidRDefault="00101669" w:rsidP="006A79E7">
      <w:pPr>
        <w:ind w:left="567" w:hanging="567"/>
        <w:rPr>
          <w:rFonts w:eastAsia="Calibri"/>
          <w:color w:val="000000" w:themeColor="text1"/>
          <w:kern w:val="2"/>
          <w14:ligatures w14:val="standardContextual"/>
        </w:rPr>
      </w:pPr>
    </w:p>
    <w:p w14:paraId="7232EA7B" w14:textId="77777777" w:rsidR="00101669" w:rsidRPr="00511EA9" w:rsidRDefault="00101669" w:rsidP="006A79E7">
      <w:pPr>
        <w:pStyle w:val="Heading2"/>
        <w:rPr>
          <w:rFonts w:eastAsia="Calibri"/>
          <w:color w:val="000000" w:themeColor="text1"/>
        </w:rPr>
      </w:pPr>
      <w:r w:rsidRPr="00511EA9">
        <w:rPr>
          <w:color w:val="000000" w:themeColor="text1"/>
        </w:rPr>
        <w:t>Al fine di migliorare la propria diplomazia e renderla più efficace, la Commissione dovrebbe collaborare maggiormente con le organizzazioni delle persone con disabilità, sia nel quadro della cooperazione internazionale sia nelle azioni umanitarie dell'Unione europea.</w:t>
      </w:r>
    </w:p>
    <w:p w14:paraId="73DDC67C" w14:textId="1C3A4A25" w:rsidR="00101669" w:rsidRPr="00511EA9" w:rsidRDefault="00101669" w:rsidP="006A79E7">
      <w:pPr>
        <w:pStyle w:val="Heading2"/>
        <w:rPr>
          <w:rFonts w:eastAsia="Calibri"/>
          <w:color w:val="000000" w:themeColor="text1"/>
          <w:kern w:val="2"/>
          <w14:ligatures w14:val="standardContextual"/>
        </w:rPr>
      </w:pPr>
      <w:r w:rsidRPr="00511EA9">
        <w:rPr>
          <w:color w:val="000000" w:themeColor="text1"/>
        </w:rPr>
        <w:lastRenderedPageBreak/>
        <w:t>Dall'indagine – sia pur parziale – svolta dal CESE, si evince che ogni delegazione diplomatica che tratti di disabilità e di accordi o trattati in cui possono essere interessati i diritti delle persone con disabilità dovrebbe essere obbligata a portare almeno un rappresentante di una DPO nelle sedi delle Nazioni Unite, a spese del rispettivo Stato. Sarebbe un buon inizio cominciare dalla Conferenza degli Stati parte (COSP). L'UE potrebbe sostenere questa iniziativa a partire dal Team Europa, che ad ogni COSP sostiene una linea condivisa dai 27 Stati membri. L'obiettivo è la designazione formale dei punti focali sulla disabilità in ogni delegazione diplomatica.</w:t>
      </w:r>
    </w:p>
    <w:p w14:paraId="1E148713" w14:textId="77777777" w:rsidR="00101669" w:rsidRPr="00511EA9" w:rsidRDefault="00101669" w:rsidP="006A79E7">
      <w:pPr>
        <w:rPr>
          <w:rFonts w:eastAsia="Calibri"/>
          <w:color w:val="000000" w:themeColor="text1"/>
          <w:sz w:val="20"/>
          <w:szCs w:val="20"/>
        </w:rPr>
      </w:pPr>
    </w:p>
    <w:p w14:paraId="148E997B" w14:textId="77777777" w:rsidR="00101669" w:rsidRPr="00511EA9" w:rsidRDefault="00101669" w:rsidP="006A79E7">
      <w:pPr>
        <w:pStyle w:val="Heading2"/>
        <w:rPr>
          <w:rFonts w:eastAsia="Calibri"/>
          <w:color w:val="000000" w:themeColor="text1"/>
          <w:kern w:val="2"/>
          <w14:ligatures w14:val="standardContextual"/>
        </w:rPr>
      </w:pPr>
      <w:r w:rsidRPr="00511EA9">
        <w:rPr>
          <w:color w:val="000000" w:themeColor="text1"/>
        </w:rPr>
        <w:t>Occorre ricordare che, tra i risultati raggiunti dal Team Europa, c'è anche l'elezione di un senior expert della Commissione europea quale membro del comitato delle Nazioni Unite sui diritti delle persone con disabilità. È la prima volta che l'Unione europea, in qualità di organo di integrazione regionale, presenta un candidato a un organo delle Nazioni Unite per i trattati sui diritti umani.</w:t>
      </w:r>
    </w:p>
    <w:p w14:paraId="3DA2B24A" w14:textId="77777777" w:rsidR="00101669" w:rsidRPr="00511EA9" w:rsidRDefault="00101669" w:rsidP="006A79E7">
      <w:pPr>
        <w:rPr>
          <w:rFonts w:eastAsia="Calibri"/>
          <w:color w:val="000000" w:themeColor="text1"/>
          <w:sz w:val="20"/>
          <w:szCs w:val="20"/>
        </w:rPr>
      </w:pPr>
    </w:p>
    <w:p w14:paraId="259E99F9" w14:textId="77777777" w:rsidR="00101669" w:rsidRPr="00511EA9" w:rsidRDefault="00101669" w:rsidP="006A79E7">
      <w:pPr>
        <w:pStyle w:val="Heading2"/>
        <w:rPr>
          <w:rFonts w:eastAsia="Calibri"/>
          <w:color w:val="000000" w:themeColor="text1"/>
        </w:rPr>
      </w:pPr>
      <w:r w:rsidRPr="00511EA9">
        <w:rPr>
          <w:color w:val="000000" w:themeColor="text1"/>
        </w:rPr>
        <w:t>Dalla stessa indagine si evince che i servizi diplomatici non devono limitarsi a parlare di inclusione, bensì incarnarla. Ciò significa impiegare attivamente persone con disabilità in tutte le funzioni dei ministeri degli Esteri, comprese le attività consolari, i team negoziali e la rappresentanza multilaterale. È necessario garantire soluzioni ragionevoli e l'accessibilità per tale impiego, e devono essere resi visibili esempi positivi per normalizzare la partecipazione.</w:t>
      </w:r>
    </w:p>
    <w:p w14:paraId="5085BE2C" w14:textId="77777777" w:rsidR="00101669" w:rsidRPr="00511EA9" w:rsidRDefault="00101669" w:rsidP="006A79E7">
      <w:pPr>
        <w:rPr>
          <w:rFonts w:eastAsia="Calibri"/>
          <w:color w:val="000000" w:themeColor="text1"/>
          <w:sz w:val="20"/>
          <w:szCs w:val="20"/>
        </w:rPr>
      </w:pPr>
    </w:p>
    <w:p w14:paraId="35DD7A39" w14:textId="77777777" w:rsidR="00101669" w:rsidRPr="00511EA9" w:rsidRDefault="00101669" w:rsidP="006A79E7">
      <w:pPr>
        <w:pStyle w:val="Heading2"/>
        <w:rPr>
          <w:color w:val="000000" w:themeColor="text1"/>
        </w:rPr>
      </w:pPr>
      <w:r w:rsidRPr="00511EA9">
        <w:rPr>
          <w:color w:val="000000" w:themeColor="text1"/>
        </w:rPr>
        <w:t>Inoltre si ritiene di fondamentale importanza sensibilizzare le parti coinvolte attraverso percorsi condivisi di crescita della conoscenza, ad esempio istituendo una formazione per il rafforzamento delle capacità all'interno del corpus diplomatico sull'inclusione della disabilità, con moduli formativi condivisi con le DPO.</w:t>
      </w:r>
    </w:p>
    <w:p w14:paraId="0CA6A730" w14:textId="77777777" w:rsidR="00101669" w:rsidRPr="00511EA9" w:rsidRDefault="00101669" w:rsidP="006A79E7">
      <w:pPr>
        <w:rPr>
          <w:rFonts w:eastAsia="Calibri"/>
          <w:color w:val="000000" w:themeColor="text1"/>
          <w:sz w:val="20"/>
          <w:szCs w:val="20"/>
        </w:rPr>
      </w:pPr>
    </w:p>
    <w:p w14:paraId="7068A50A" w14:textId="77777777" w:rsidR="00101669" w:rsidRPr="00511EA9" w:rsidRDefault="00101669" w:rsidP="006A79E7">
      <w:pPr>
        <w:pStyle w:val="Heading2"/>
        <w:rPr>
          <w:rFonts w:eastAsia="Calibri"/>
          <w:color w:val="000000" w:themeColor="text1"/>
          <w:kern w:val="2"/>
          <w14:ligatures w14:val="standardContextual"/>
        </w:rPr>
      </w:pPr>
      <w:r w:rsidRPr="00511EA9">
        <w:rPr>
          <w:color w:val="000000" w:themeColor="text1"/>
        </w:rPr>
        <w:t>La diplomazia dei partenariati e le DPO potrebbero andare oltre la consultazione e puntare alla co-creazione e all'implementazione congiunta. Ad esempio:</w:t>
      </w:r>
    </w:p>
    <w:p w14:paraId="79907135" w14:textId="77777777" w:rsidR="00101669" w:rsidRPr="00511EA9" w:rsidRDefault="00101669" w:rsidP="006A79E7">
      <w:pPr>
        <w:rPr>
          <w:rFonts w:eastAsia="Calibri"/>
          <w:color w:val="000000" w:themeColor="text1"/>
          <w:sz w:val="20"/>
          <w:szCs w:val="20"/>
          <w:lang w:val="en-GB"/>
        </w:rPr>
      </w:pPr>
    </w:p>
    <w:p w14:paraId="3553F2C5" w14:textId="77777777" w:rsidR="00101669" w:rsidRPr="00511EA9" w:rsidRDefault="00101669" w:rsidP="006A79E7">
      <w:pPr>
        <w:pStyle w:val="Heading2"/>
        <w:numPr>
          <w:ilvl w:val="0"/>
          <w:numId w:val="5"/>
        </w:numPr>
        <w:ind w:left="993"/>
        <w:rPr>
          <w:rFonts w:eastAsia="Calibri"/>
          <w:color w:val="000000" w:themeColor="text1"/>
          <w:kern w:val="2"/>
          <w14:ligatures w14:val="standardContextual"/>
        </w:rPr>
      </w:pPr>
      <w:r w:rsidRPr="00511EA9">
        <w:rPr>
          <w:color w:val="000000" w:themeColor="text1"/>
        </w:rPr>
        <w:t>progettazione e valutazione di progetti di cooperazione internazionale;</w:t>
      </w:r>
    </w:p>
    <w:p w14:paraId="7095346C" w14:textId="77777777" w:rsidR="00101669" w:rsidRPr="00511EA9" w:rsidRDefault="00101669" w:rsidP="006A79E7">
      <w:pPr>
        <w:pStyle w:val="Heading2"/>
        <w:numPr>
          <w:ilvl w:val="0"/>
          <w:numId w:val="5"/>
        </w:numPr>
        <w:ind w:left="993"/>
        <w:rPr>
          <w:rFonts w:eastAsia="Calibri"/>
          <w:color w:val="000000" w:themeColor="text1"/>
          <w:kern w:val="2"/>
          <w14:ligatures w14:val="standardContextual"/>
        </w:rPr>
      </w:pPr>
      <w:r w:rsidRPr="00511EA9">
        <w:rPr>
          <w:color w:val="000000" w:themeColor="text1"/>
        </w:rPr>
        <w:t>co-organizzazione di campagne di sensibilizzazione o forum regionali;</w:t>
      </w:r>
    </w:p>
    <w:p w14:paraId="270910AB" w14:textId="77777777" w:rsidR="00101669" w:rsidRPr="00511EA9" w:rsidRDefault="00101669" w:rsidP="006A79E7">
      <w:pPr>
        <w:pStyle w:val="Heading2"/>
        <w:numPr>
          <w:ilvl w:val="0"/>
          <w:numId w:val="5"/>
        </w:numPr>
        <w:ind w:left="993"/>
        <w:rPr>
          <w:rFonts w:eastAsia="Calibri"/>
          <w:color w:val="000000" w:themeColor="text1"/>
          <w:kern w:val="2"/>
          <w14:ligatures w14:val="standardContextual"/>
        </w:rPr>
      </w:pPr>
      <w:r w:rsidRPr="00511EA9">
        <w:rPr>
          <w:color w:val="000000" w:themeColor="text1"/>
        </w:rPr>
        <w:t>finanziamento diretto attraverso meccanismi di aiuto allo sviluppo volti a rafforzare la società civile.</w:t>
      </w:r>
    </w:p>
    <w:p w14:paraId="21D1264C" w14:textId="77777777" w:rsidR="00101669" w:rsidRPr="00511EA9" w:rsidRDefault="00101669" w:rsidP="006A79E7">
      <w:pPr>
        <w:rPr>
          <w:rFonts w:eastAsia="Calibri"/>
          <w:color w:val="000000" w:themeColor="text1"/>
          <w:sz w:val="20"/>
          <w:szCs w:val="20"/>
        </w:rPr>
      </w:pPr>
    </w:p>
    <w:p w14:paraId="6FB6F198" w14:textId="77777777" w:rsidR="00101669" w:rsidRPr="00511EA9" w:rsidRDefault="00101669" w:rsidP="006A79E7">
      <w:pPr>
        <w:pStyle w:val="Heading2"/>
        <w:numPr>
          <w:ilvl w:val="0"/>
          <w:numId w:val="0"/>
        </w:numPr>
        <w:ind w:left="567"/>
        <w:rPr>
          <w:rFonts w:eastAsia="Calibri"/>
          <w:color w:val="000000" w:themeColor="text1"/>
        </w:rPr>
      </w:pPr>
      <w:r w:rsidRPr="00511EA9">
        <w:rPr>
          <w:color w:val="000000" w:themeColor="text1"/>
        </w:rPr>
        <w:t>Quadri trasparenti e meccanismi di finanziamento a lungo termine (non basati sulla dipendenza da progetto a progetto) sono essenziali per una collaborazione sostenibile.</w:t>
      </w:r>
    </w:p>
    <w:p w14:paraId="585F5911" w14:textId="77777777" w:rsidR="00101669" w:rsidRPr="00511EA9" w:rsidRDefault="00101669" w:rsidP="006A79E7">
      <w:pPr>
        <w:jc w:val="left"/>
        <w:rPr>
          <w:rFonts w:eastAsia="Calibri"/>
          <w:color w:val="000000" w:themeColor="text1"/>
          <w:kern w:val="2"/>
          <w:sz w:val="20"/>
          <w:szCs w:val="20"/>
          <w14:ligatures w14:val="standardContextual"/>
        </w:rPr>
      </w:pPr>
    </w:p>
    <w:p w14:paraId="5CE8BCF6" w14:textId="77777777" w:rsidR="00101669" w:rsidRPr="00511EA9" w:rsidRDefault="00101669" w:rsidP="006A79E7">
      <w:pPr>
        <w:pStyle w:val="Heading2"/>
        <w:keepNext/>
        <w:ind w:left="425"/>
        <w:rPr>
          <w:rFonts w:eastAsia="Calibri"/>
          <w:color w:val="000000" w:themeColor="text1"/>
          <w:kern w:val="2"/>
          <w14:ligatures w14:val="standardContextual"/>
        </w:rPr>
      </w:pPr>
      <w:r w:rsidRPr="00511EA9">
        <w:rPr>
          <w:color w:val="000000" w:themeColor="text1"/>
        </w:rPr>
        <w:t>Garantire la piena accessibilità fisica e digitale nelle ambasciate e nelle missioni rimane una sfida. Una spinta potrebbe provenire dall'individuazione di una competenza specifica all'interno del team di ogni singola delegazione diplomatica. L'obiettivo è l'accessibilità a 360º, sia per quanto riguarda la fisicità degli uffici, dove si svolge lo scambio diplomatico, sia per quanto riguarda gli strumenti di lavoro.</w:t>
      </w:r>
    </w:p>
    <w:p w14:paraId="67A616C3" w14:textId="77777777" w:rsidR="00101669" w:rsidRPr="00511EA9" w:rsidRDefault="00101669" w:rsidP="006A79E7">
      <w:pPr>
        <w:rPr>
          <w:color w:val="000000" w:themeColor="text1"/>
          <w:sz w:val="20"/>
          <w:szCs w:val="20"/>
          <w:lang w:eastAsia="it-IT"/>
        </w:rPr>
      </w:pPr>
    </w:p>
    <w:p w14:paraId="69C4182B" w14:textId="1448B750" w:rsidR="00101669" w:rsidRPr="00511EA9" w:rsidRDefault="00101669" w:rsidP="006A79E7">
      <w:pPr>
        <w:rPr>
          <w:color w:val="000000" w:themeColor="text1"/>
        </w:rPr>
      </w:pPr>
      <w:r w:rsidRPr="00511EA9">
        <w:rPr>
          <w:color w:val="000000" w:themeColor="text1"/>
        </w:rPr>
        <w:t>Bruxelles, 23 ottobre 2025</w:t>
      </w:r>
    </w:p>
    <w:p w14:paraId="22E027F4" w14:textId="77777777" w:rsidR="00101669" w:rsidRPr="00511EA9" w:rsidRDefault="00101669" w:rsidP="006A79E7">
      <w:pPr>
        <w:rPr>
          <w:color w:val="000000" w:themeColor="text1"/>
          <w:sz w:val="20"/>
          <w:szCs w:val="20"/>
          <w:lang w:eastAsia="it-IT"/>
        </w:rPr>
      </w:pPr>
    </w:p>
    <w:p w14:paraId="0C697890" w14:textId="77777777" w:rsidR="00101669" w:rsidRPr="00511EA9" w:rsidRDefault="00101669" w:rsidP="006A79E7">
      <w:pPr>
        <w:rPr>
          <w:color w:val="000000" w:themeColor="text1"/>
          <w:sz w:val="20"/>
          <w:szCs w:val="20"/>
          <w:lang w:eastAsia="it-IT"/>
        </w:rPr>
      </w:pPr>
    </w:p>
    <w:p w14:paraId="4542D346" w14:textId="5AECA169" w:rsidR="00101669" w:rsidRPr="00511EA9" w:rsidRDefault="00101669" w:rsidP="006A79E7">
      <w:pPr>
        <w:rPr>
          <w:i/>
          <w:iCs/>
          <w:color w:val="000000" w:themeColor="text1"/>
        </w:rPr>
      </w:pPr>
      <w:r w:rsidRPr="00511EA9">
        <w:rPr>
          <w:i/>
          <w:color w:val="000000" w:themeColor="text1"/>
        </w:rPr>
        <w:t>Il Presidente del Comitato economico e sociale europeo</w:t>
      </w:r>
    </w:p>
    <w:p w14:paraId="3914066A" w14:textId="56D858D0" w:rsidR="00E2376B" w:rsidRPr="00511EA9" w:rsidRDefault="0091458D" w:rsidP="006A79E7">
      <w:pPr>
        <w:rPr>
          <w:color w:val="000000" w:themeColor="text1"/>
        </w:rPr>
      </w:pPr>
      <w:r w:rsidRPr="00511EA9">
        <w:rPr>
          <w:color w:val="000000" w:themeColor="text1"/>
        </w:rPr>
        <w:t>Séamus BOLAND</w:t>
      </w:r>
    </w:p>
    <w:p w14:paraId="46FCDD49" w14:textId="561D4155" w:rsidR="00ED0759" w:rsidRPr="00511EA9" w:rsidRDefault="00E2376B" w:rsidP="006A79E7">
      <w:pPr>
        <w:jc w:val="center"/>
      </w:pPr>
      <w:r w:rsidRPr="00511EA9">
        <w:t>_____________</w:t>
      </w:r>
    </w:p>
    <w:sectPr w:rsidR="00ED0759" w:rsidRPr="00511EA9" w:rsidSect="001E74A1">
      <w:headerReference w:type="even" r:id="rId22"/>
      <w:headerReference w:type="default" r:id="rId23"/>
      <w:footerReference w:type="default" r:id="rId24"/>
      <w:headerReference w:type="first" r:id="rId25"/>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6C593" w14:textId="77777777" w:rsidR="00FA25D2" w:rsidRDefault="00FA25D2" w:rsidP="00F53370">
      <w:pPr>
        <w:spacing w:line="240" w:lineRule="auto"/>
      </w:pPr>
      <w:r>
        <w:separator/>
      </w:r>
    </w:p>
  </w:endnote>
  <w:endnote w:type="continuationSeparator" w:id="0">
    <w:p w14:paraId="30EAB4F1" w14:textId="77777777" w:rsidR="00FA25D2" w:rsidRDefault="00FA25D2"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584A" w14:textId="77777777" w:rsidR="005E2EF7" w:rsidRDefault="005E2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300C" w14:textId="77777777" w:rsidR="005E2EF7" w:rsidRDefault="005E2E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FF40" w14:textId="77777777" w:rsidR="005E2EF7" w:rsidRDefault="005E2E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217E" w14:textId="6B09EFAA" w:rsidR="0084105C" w:rsidRPr="002F3A80" w:rsidRDefault="006A79E7" w:rsidP="006A79E7">
    <w:pPr>
      <w:pStyle w:val="Footer"/>
      <w:jc w:val="left"/>
    </w:pPr>
    <w:r>
      <w:t xml:space="preserve">REX/602 – EESC-2025-00642-00-01-RI-TRA (EN) </w:t>
    </w:r>
    <w:r>
      <w:fldChar w:fldCharType="begin"/>
    </w:r>
    <w:r>
      <w:instrText xml:space="preserve"> PAGE  \* Arabic  \* MERGEFORMAT </w:instrText>
    </w:r>
    <w:r>
      <w:fldChar w:fldCharType="separate"/>
    </w:r>
    <w:r>
      <w:t>8</w:t>
    </w:r>
    <w:r>
      <w:fldChar w:fldCharType="end"/>
    </w:r>
    <w:r>
      <w:t>/</w:t>
    </w:r>
    <w:r>
      <w:fldChar w:fldCharType="begin"/>
    </w:r>
    <w:r>
      <w:instrText xml:space="preserve"> = </w:instrText>
    </w:r>
    <w:fldSimple w:instr=" NUMPAGES ">
      <w:r w:rsidR="00DB07EB">
        <w:rPr>
          <w:noProof/>
        </w:rPr>
        <w:instrText>9</w:instrText>
      </w:r>
    </w:fldSimple>
    <w:r>
      <w:instrText xml:space="preserve"> - 2 </w:instrText>
    </w:r>
    <w:r>
      <w:fldChar w:fldCharType="separate"/>
    </w:r>
    <w:r w:rsidR="00DB07EB">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6B04E" w14:textId="77777777" w:rsidR="00FA25D2" w:rsidRDefault="00FA25D2" w:rsidP="00F53370">
      <w:pPr>
        <w:spacing w:line="240" w:lineRule="auto"/>
      </w:pPr>
      <w:r>
        <w:separator/>
      </w:r>
    </w:p>
  </w:footnote>
  <w:footnote w:type="continuationSeparator" w:id="0">
    <w:p w14:paraId="48AEF59F" w14:textId="77777777" w:rsidR="00FA25D2" w:rsidRDefault="00FA25D2" w:rsidP="00F53370">
      <w:pPr>
        <w:spacing w:line="240" w:lineRule="auto"/>
      </w:pPr>
      <w:r>
        <w:continuationSeparator/>
      </w:r>
    </w:p>
  </w:footnote>
  <w:footnote w:id="1">
    <w:p w14:paraId="11EDF4E9" w14:textId="033B3082" w:rsidR="00101669" w:rsidRPr="00511EA9" w:rsidRDefault="00101669">
      <w:pPr>
        <w:pStyle w:val="FootnoteText"/>
      </w:pPr>
      <w:r w:rsidRPr="00511EA9">
        <w:rPr>
          <w:rStyle w:val="FootnoteReference"/>
        </w:rPr>
        <w:footnoteRef/>
      </w:r>
      <w:r w:rsidRPr="00511EA9">
        <w:tab/>
        <w:t>La CRPD ha finora raccolto 192 ratifiche/adesioni e il relativo Protocollo opzionale 107 ratifiche/adesioni.</w:t>
      </w:r>
    </w:p>
  </w:footnote>
  <w:footnote w:id="2">
    <w:p w14:paraId="340718AF" w14:textId="247D7FB9" w:rsidR="00101669" w:rsidRPr="00511EA9" w:rsidRDefault="00101669" w:rsidP="00101669">
      <w:pPr>
        <w:pStyle w:val="FootnoteText"/>
      </w:pPr>
      <w:r w:rsidRPr="00511EA9">
        <w:rPr>
          <w:rStyle w:val="FootnoteReference"/>
        </w:rPr>
        <w:footnoteRef/>
      </w:r>
      <w:r w:rsidRPr="00511EA9">
        <w:tab/>
      </w:r>
      <w:r w:rsidR="00511EA9" w:rsidRPr="00511EA9">
        <w:t>Strategia</w:t>
      </w:r>
      <w:r w:rsidRPr="00511EA9">
        <w:t xml:space="preserve"> dell'UE per le persone con disabilità (2010-2020).</w:t>
      </w:r>
    </w:p>
  </w:footnote>
  <w:footnote w:id="3">
    <w:p w14:paraId="0F4AC9FE" w14:textId="79705187" w:rsidR="00101669" w:rsidRPr="00511EA9" w:rsidRDefault="00101669" w:rsidP="00101669">
      <w:pPr>
        <w:pStyle w:val="FootnoteText"/>
      </w:pPr>
      <w:r w:rsidRPr="00511EA9">
        <w:rPr>
          <w:rStyle w:val="FootnoteReference"/>
        </w:rPr>
        <w:footnoteRef/>
      </w:r>
      <w:r w:rsidRPr="00511EA9">
        <w:tab/>
      </w:r>
      <w:r w:rsidR="00511EA9" w:rsidRPr="00511EA9">
        <w:t>Fondi</w:t>
      </w:r>
      <w:r w:rsidRPr="00511EA9">
        <w:t xml:space="preserve"> strutturali e di investimento europei (FESR e FSE).</w:t>
      </w:r>
    </w:p>
  </w:footnote>
  <w:footnote w:id="4">
    <w:p w14:paraId="4333D5A3" w14:textId="5E825D31" w:rsidR="00101669" w:rsidRPr="00511EA9" w:rsidRDefault="00101669" w:rsidP="00101669">
      <w:pPr>
        <w:pStyle w:val="FootnoteText"/>
      </w:pPr>
      <w:r w:rsidRPr="00511EA9">
        <w:rPr>
          <w:rStyle w:val="FootnoteReference"/>
        </w:rPr>
        <w:footnoteRef/>
      </w:r>
      <w:r w:rsidRPr="00511EA9">
        <w:tab/>
      </w:r>
      <w:hyperlink w:anchor="cite_note-3" w:history="1">
        <w:r w:rsidRPr="00511EA9">
          <w:rPr>
            <w:rStyle w:val="Hyperlink"/>
          </w:rPr>
          <w:t>https://it.wikipedia.org/wiki/Giornata_internazionale_delle_persone_con_disabilit%C</w:t>
        </w:r>
        <w:r w:rsidR="00511EA9" w:rsidRPr="00511EA9">
          <w:rPr>
            <w:rStyle w:val="Hyperlink"/>
          </w:rPr>
          <w:t>3%</w:t>
        </w:r>
        <w:r w:rsidRPr="00511EA9">
          <w:rPr>
            <w:rStyle w:val="Hyperlink"/>
          </w:rPr>
          <w:t>A0#cite_note-3</w:t>
        </w:r>
      </w:hyperlink>
      <w:r w:rsidRPr="00511EA9">
        <w:t>.</w:t>
      </w:r>
    </w:p>
  </w:footnote>
  <w:footnote w:id="5">
    <w:p w14:paraId="3697A92E" w14:textId="77777777" w:rsidR="00101669" w:rsidRPr="00511EA9" w:rsidRDefault="00101669" w:rsidP="00101669">
      <w:pPr>
        <w:pStyle w:val="FootnoteText"/>
      </w:pPr>
      <w:r w:rsidRPr="00511EA9">
        <w:rPr>
          <w:rStyle w:val="FootnoteReference"/>
        </w:rPr>
        <w:footnoteRef/>
      </w:r>
      <w:r w:rsidRPr="00511EA9">
        <w:tab/>
        <w:t>Questi servizi sono spesso fondamentali, soprattutto in paesi dove i sistemi pubblici di assistenza e supporto sono insufficienti.</w:t>
      </w:r>
    </w:p>
  </w:footnote>
  <w:footnote w:id="6">
    <w:p w14:paraId="734210D1" w14:textId="77777777" w:rsidR="00101669" w:rsidRPr="00511EA9" w:rsidRDefault="00101669" w:rsidP="00101669">
      <w:pPr>
        <w:pStyle w:val="FootnoteText"/>
      </w:pPr>
      <w:r w:rsidRPr="00511EA9">
        <w:rPr>
          <w:rStyle w:val="FootnoteReference"/>
        </w:rPr>
        <w:footnoteRef/>
      </w:r>
      <w:r w:rsidRPr="00511EA9">
        <w:tab/>
        <w:t xml:space="preserve">Il programma </w:t>
      </w:r>
      <w:r w:rsidRPr="00511EA9">
        <w:rPr>
          <w:i/>
          <w:iCs/>
        </w:rPr>
        <w:t>Enabling Good Lives</w:t>
      </w:r>
      <w:r w:rsidRPr="00511EA9">
        <w:t xml:space="preserve"> fornisce alle persone con disabilità la possibilità di gestire i propri fondi per i servizi di supporto, promuovendo una maggiore autonomia.</w:t>
      </w:r>
    </w:p>
  </w:footnote>
  <w:footnote w:id="7">
    <w:p w14:paraId="488C0A3A" w14:textId="77777777" w:rsidR="00101669" w:rsidRPr="00511EA9" w:rsidRDefault="00101669" w:rsidP="00101669">
      <w:pPr>
        <w:pStyle w:val="FootnoteText"/>
      </w:pPr>
      <w:r w:rsidRPr="00511EA9">
        <w:rPr>
          <w:rStyle w:val="FootnoteReference"/>
        </w:rPr>
        <w:footnoteRef/>
      </w:r>
      <w:r w:rsidRPr="00511EA9">
        <w:tab/>
        <w:t>Nel 2020 è stata promulgata la legge sull'accessibilità universale, che stabilisce un piano d'azione per rendere tutti gli spazi pubblici, i trasporti e i servizi completamente accessibili a chiunque entro il 2030.</w:t>
      </w:r>
      <w:r w:rsidRPr="00511EA9">
        <w:rPr>
          <w:color w:val="000000"/>
        </w:rPr>
        <w:t xml:space="preserve"> La legge ha anche creato un comitato per monitorare l'accessibilità e migliorare l'infrastruttura pubblica in modo che soddisfi le esigenze di persone con disabilità fisiche e sensoriali.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5C42A1">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013FAB14" w:rsidR="00574C9B" w:rsidRDefault="005C42A1">
    <w:pPr>
      <w:pStyle w:val="Header"/>
    </w:pPr>
    <w:r>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1" o:title="footer only"/>
          <w10:wrap anchorx="page" anchory="page"/>
        </v:shape>
      </w:pict>
    </w:r>
    <w:r w:rsidR="00DA1F40">
      <w:rPr>
        <w:noProof/>
      </w:rPr>
      <w:drawing>
        <wp:anchor distT="0" distB="0" distL="114300" distR="114300" simplePos="0" relativeHeight="251658240" behindDoc="0" locked="0" layoutInCell="1" allowOverlap="1" wp14:anchorId="32A48528" wp14:editId="3BEFD26D">
          <wp:simplePos x="898497" y="453224"/>
          <wp:positionH relativeFrom="page">
            <wp:align>center</wp:align>
          </wp:positionH>
          <wp:positionV relativeFrom="page">
            <wp:posOffset>288290</wp:posOffset>
          </wp:positionV>
          <wp:extent cx="6944398" cy="3344276"/>
          <wp:effectExtent l="0" t="0" r="0" b="8890"/>
          <wp:wrapNone/>
          <wp:docPr id="9" name="Picture 9" title="EESCLogo2021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title="EESCLogo2021_EN"/>
                  <pic:cNvPicPr/>
                </pic:nvPicPr>
                <pic:blipFill>
                  <a:blip r:embed="rId2">
                    <a:extLst>
                      <a:ext uri="{28A0092B-C50C-407E-A947-70E740481C1C}">
                        <a14:useLocalDpi xmlns:a14="http://schemas.microsoft.com/office/drawing/2010/main" val="0"/>
                      </a:ext>
                    </a:extLst>
                  </a:blip>
                  <a:stretch>
                    <a:fillRect/>
                  </a:stretch>
                </pic:blipFill>
                <pic:spPr>
                  <a:xfrm>
                    <a:off x="0" y="0"/>
                    <a:ext cx="6944398" cy="334427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5C42A1">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5C42A1">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5C42A1">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DA1F40">
      <w:rPr>
        <w:noProof/>
      </w:rPr>
      <w:drawing>
        <wp:anchor distT="0" distB="0" distL="114300" distR="114300" simplePos="0" relativeHeight="25165926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5C42A1">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5C42A1">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5C42A1">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5C42A1">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728FE2C"/>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i w:val="0"/>
        <w:iCs/>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4430E09"/>
    <w:multiLevelType w:val="hybridMultilevel"/>
    <w:tmpl w:val="07688E58"/>
    <w:lvl w:ilvl="0" w:tplc="B89CAA70">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2A001E7"/>
    <w:multiLevelType w:val="hybridMultilevel"/>
    <w:tmpl w:val="22903092"/>
    <w:lvl w:ilvl="0" w:tplc="CF8848BE">
      <w:numFmt w:val="bullet"/>
      <w:lvlText w:val="-"/>
      <w:lvlJc w:val="left"/>
      <w:pPr>
        <w:ind w:left="927" w:hanging="360"/>
      </w:pPr>
      <w:rPr>
        <w:rFonts w:ascii="Times New Roman" w:eastAsia="Arial" w:hAnsi="Times New Roman" w:cs="Times New Roman" w:hint="default"/>
      </w:rPr>
    </w:lvl>
    <w:lvl w:ilvl="1" w:tplc="04100003" w:tentative="1">
      <w:start w:val="1"/>
      <w:numFmt w:val="bullet"/>
      <w:lvlText w:val="o"/>
      <w:lvlJc w:val="left"/>
      <w:pPr>
        <w:ind w:left="1647" w:hanging="360"/>
      </w:pPr>
      <w:rPr>
        <w:rFonts w:ascii="Courier New" w:hAnsi="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3" w15:restartNumberingAfterBreak="0">
    <w:nsid w:val="7F4C6269"/>
    <w:multiLevelType w:val="hybridMultilevel"/>
    <w:tmpl w:val="27D45DEA"/>
    <w:lvl w:ilvl="0" w:tplc="B394C74C">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03107"/>
    <w:rsid w:val="00020389"/>
    <w:rsid w:val="00053D00"/>
    <w:rsid w:val="000A0F3B"/>
    <w:rsid w:val="000C0473"/>
    <w:rsid w:val="000C3088"/>
    <w:rsid w:val="00101669"/>
    <w:rsid w:val="00130C4A"/>
    <w:rsid w:val="00184775"/>
    <w:rsid w:val="00185E99"/>
    <w:rsid w:val="0019231D"/>
    <w:rsid w:val="001955B6"/>
    <w:rsid w:val="001D61AC"/>
    <w:rsid w:val="001E15AA"/>
    <w:rsid w:val="001E3FA1"/>
    <w:rsid w:val="00200E87"/>
    <w:rsid w:val="00206D14"/>
    <w:rsid w:val="00214BDC"/>
    <w:rsid w:val="00215E81"/>
    <w:rsid w:val="0024727F"/>
    <w:rsid w:val="00274B89"/>
    <w:rsid w:val="002B6A7B"/>
    <w:rsid w:val="002F3A80"/>
    <w:rsid w:val="003353D7"/>
    <w:rsid w:val="00360204"/>
    <w:rsid w:val="003659F9"/>
    <w:rsid w:val="00401DE5"/>
    <w:rsid w:val="00461CAF"/>
    <w:rsid w:val="00470BE9"/>
    <w:rsid w:val="004871B8"/>
    <w:rsid w:val="00511EA9"/>
    <w:rsid w:val="00574C9B"/>
    <w:rsid w:val="0058411F"/>
    <w:rsid w:val="005961A4"/>
    <w:rsid w:val="005B55E2"/>
    <w:rsid w:val="005C2475"/>
    <w:rsid w:val="005E2EF7"/>
    <w:rsid w:val="006125A1"/>
    <w:rsid w:val="00614FA9"/>
    <w:rsid w:val="00653E7D"/>
    <w:rsid w:val="0065601D"/>
    <w:rsid w:val="00660F1E"/>
    <w:rsid w:val="00662207"/>
    <w:rsid w:val="00667F09"/>
    <w:rsid w:val="00685673"/>
    <w:rsid w:val="006868CB"/>
    <w:rsid w:val="0068740A"/>
    <w:rsid w:val="006A79E7"/>
    <w:rsid w:val="006B57A6"/>
    <w:rsid w:val="006D29B5"/>
    <w:rsid w:val="006D53A6"/>
    <w:rsid w:val="006F6E6C"/>
    <w:rsid w:val="007030C4"/>
    <w:rsid w:val="00766ACB"/>
    <w:rsid w:val="00787837"/>
    <w:rsid w:val="00787ABB"/>
    <w:rsid w:val="007B6C64"/>
    <w:rsid w:val="007E1FF3"/>
    <w:rsid w:val="00822952"/>
    <w:rsid w:val="00836505"/>
    <w:rsid w:val="00844B87"/>
    <w:rsid w:val="0089251B"/>
    <w:rsid w:val="008A6DD4"/>
    <w:rsid w:val="008F74D7"/>
    <w:rsid w:val="00904C42"/>
    <w:rsid w:val="009131BC"/>
    <w:rsid w:val="0091458D"/>
    <w:rsid w:val="00914683"/>
    <w:rsid w:val="00924C05"/>
    <w:rsid w:val="00937CF2"/>
    <w:rsid w:val="009451D6"/>
    <w:rsid w:val="009506A6"/>
    <w:rsid w:val="00957DE2"/>
    <w:rsid w:val="00976645"/>
    <w:rsid w:val="00976F77"/>
    <w:rsid w:val="0098228C"/>
    <w:rsid w:val="009A734F"/>
    <w:rsid w:val="009C37A0"/>
    <w:rsid w:val="009E2100"/>
    <w:rsid w:val="00A310E1"/>
    <w:rsid w:val="00A3397C"/>
    <w:rsid w:val="00A36AB0"/>
    <w:rsid w:val="00A45D54"/>
    <w:rsid w:val="00AB37A3"/>
    <w:rsid w:val="00AC5114"/>
    <w:rsid w:val="00AE4394"/>
    <w:rsid w:val="00B25683"/>
    <w:rsid w:val="00B51901"/>
    <w:rsid w:val="00BB0A75"/>
    <w:rsid w:val="00BC4FD4"/>
    <w:rsid w:val="00BC50E6"/>
    <w:rsid w:val="00BD50F6"/>
    <w:rsid w:val="00C0056A"/>
    <w:rsid w:val="00C073E1"/>
    <w:rsid w:val="00C25647"/>
    <w:rsid w:val="00C5137B"/>
    <w:rsid w:val="00C66AEA"/>
    <w:rsid w:val="00C9040A"/>
    <w:rsid w:val="00C91E4D"/>
    <w:rsid w:val="00CB110A"/>
    <w:rsid w:val="00CB7CD0"/>
    <w:rsid w:val="00D039AF"/>
    <w:rsid w:val="00D13128"/>
    <w:rsid w:val="00D20B84"/>
    <w:rsid w:val="00D95232"/>
    <w:rsid w:val="00DA1F40"/>
    <w:rsid w:val="00DB07EB"/>
    <w:rsid w:val="00DB7F50"/>
    <w:rsid w:val="00DE30C7"/>
    <w:rsid w:val="00DF400F"/>
    <w:rsid w:val="00E1462E"/>
    <w:rsid w:val="00E15BF4"/>
    <w:rsid w:val="00E2376B"/>
    <w:rsid w:val="00E2441D"/>
    <w:rsid w:val="00E26935"/>
    <w:rsid w:val="00E27707"/>
    <w:rsid w:val="00E333C8"/>
    <w:rsid w:val="00E42C4F"/>
    <w:rsid w:val="00E47484"/>
    <w:rsid w:val="00E52B04"/>
    <w:rsid w:val="00E661B7"/>
    <w:rsid w:val="00E90A9D"/>
    <w:rsid w:val="00ED0759"/>
    <w:rsid w:val="00F0454A"/>
    <w:rsid w:val="00F2069F"/>
    <w:rsid w:val="00F53370"/>
    <w:rsid w:val="00F90BE2"/>
    <w:rsid w:val="00FA25D2"/>
    <w:rsid w:val="00FA305D"/>
    <w:rsid w:val="00FB1D7A"/>
    <w:rsid w:val="00FC0CEA"/>
    <w:rsid w:val="00FE7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paragraph" w:styleId="ListParagraph">
    <w:name w:val="List Paragraph"/>
    <w:basedOn w:val="Normal"/>
    <w:uiPriority w:val="34"/>
    <w:qFormat/>
    <w:rsid w:val="00101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A6WAAD5KZT2Q-604569563-16645</_dlc_DocId>
    <_dlc_DocIdUrl xmlns="1a33af13-4045-4f88-9d7b-618e30f79918">
      <Url>http://dm/eesc/2025/_layouts/15/DocIdRedir.aspx?ID=A6WAAD5KZT2Q-604569563-16645</Url>
      <Description>A6WAAD5KZT2Q-604569563-16645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RI</TermName>
          <TermId xmlns="http://schemas.microsoft.com/office/infopath/2007/PartnerControls">0e66e8df-1601-4fe1-947b-eb539760261a</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2025-10-28T12:00:00+00:00</ProductionDate>
    <DocumentNumber xmlns="be3ca9a7-9286-4008-99ec-aebc20da9dc2">642</DocumentNumber>
    <FicheYear xmlns="1a33af13-4045-4f88-9d7b-618e30f79918" xsi:nil="true"/>
    <DossierNumber xmlns="1a33af13-4045-4f88-9d7b-618e30f79918">602</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1a33af13-4045-4f88-9d7b-618e30f79918">
      <Value>246</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13</Value>
      <Value>12</Value>
      <Value>8</Value>
      <Value>5</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0774613c-01ed-4e5d-a25d-11d2388de825</TermId>
        </TermInfo>
      </Terms>
    </DocumentLanguage_0>
    <MeetingDate xmlns="1a33af13-4045-4f88-9d7b-618e30f79918"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1a33af13-4045-4f88-9d7b-618e30f79918">BARBIERI</Rapporteur>
    <DocumentYear xmlns="1a33af13-4045-4f88-9d7b-618e30f79918">2025</DocumentYear>
    <FicheNumber xmlns="1a33af13-4045-4f88-9d7b-618e30f79918">295964</FicheNumber>
    <OriginalSender xmlns="1a33af13-4045-4f88-9d7b-618e30f79918">
      <UserInfo>
        <DisplayName>Ferro Federica</DisplayName>
        <AccountId>1999</AccountId>
        <AccountType/>
      </UserInfo>
    </OriginalSender>
    <DocumentPart xmlns="1a33af13-4045-4f88-9d7b-618e30f79918">0</DocumentPart>
    <AdoptionDate xmlns="1a33af13-4045-4f88-9d7b-618e30f79918">2025-10-23T12:00:00+00:00</AdoptionDate>
    <RequestingService xmlns="1a33af13-4045-4f88-9d7b-618e30f79918">Relations extérieures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6820eaf5-116e-436b-ad9c-156f8a94c2a1</TermId>
        </TermInfo>
      </Terms>
    </DossierName_0>
    <DocumentVersion xmlns="1a33af13-4045-4f88-9d7b-618e30f79918">1</DocumentVers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FFA0A1-12D7-4B7B-9C8E-203E3DD79FCF}"/>
</file>

<file path=customXml/itemProps2.xml><?xml version="1.0" encoding="utf-8"?>
<ds:datastoreItem xmlns:ds="http://schemas.openxmlformats.org/officeDocument/2006/customXml" ds:itemID="{9ADC2426-B49C-41F3-B8CD-9A19E8A7C14A}">
  <ds:schemaRefs>
    <ds:schemaRef ds:uri="http://schemas.microsoft.com/office/2006/metadata/properties"/>
    <ds:schemaRef ds:uri="http://schemas.microsoft.com/office/infopath/2007/PartnerControls"/>
    <ds:schemaRef ds:uri="7f5f1cb4-0383-4061-857a-33cec58cd7c1"/>
    <ds:schemaRef ds:uri="http://schemas.microsoft.com/sharepoint/v3/fields"/>
    <ds:schemaRef ds:uri="c9ea33bc-6b33-4207-b3ed-ef4abb1c6b6d"/>
  </ds:schemaRefs>
</ds:datastoreItem>
</file>

<file path=customXml/itemProps3.xml><?xml version="1.0" encoding="utf-8"?>
<ds:datastoreItem xmlns:ds="http://schemas.openxmlformats.org/officeDocument/2006/customXml" ds:itemID="{44A34A5F-A01C-40DE-B3BC-356D1699400B}">
  <ds:schemaRefs>
    <ds:schemaRef ds:uri="http://schemas.openxmlformats.org/officeDocument/2006/bibliography"/>
  </ds:schemaRefs>
</ds:datastoreItem>
</file>

<file path=customXml/itemProps4.xml><?xml version="1.0" encoding="utf-8"?>
<ds:datastoreItem xmlns:ds="http://schemas.openxmlformats.org/officeDocument/2006/customXml" ds:itemID="{9667EE92-B602-40AC-9704-782F2DA35557}">
  <ds:schemaRefs>
    <ds:schemaRef ds:uri="http://schemas.microsoft.com/sharepoint/v3/contenttype/forms"/>
  </ds:schemaRefs>
</ds:datastoreItem>
</file>

<file path=customXml/itemProps5.xml><?xml version="1.0" encoding="utf-8"?>
<ds:datastoreItem xmlns:ds="http://schemas.openxmlformats.org/officeDocument/2006/customXml" ds:itemID="{F8749465-BFAD-442C-B100-1DE65236AC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3407</Words>
  <Characters>18742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EESC RI - Model</vt:lpstr>
    </vt:vector>
  </TitlesOfParts>
  <Manager/>
  <Company/>
  <LinksUpToDate>false</LinksUpToDate>
  <CharactersWithSpaces>22105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Diplomazia e disabilità</dc:title>
  <dc:creator/>
  <cp:keywords>COR-EESC-2024-01326-27-01-ADMIN-TRA-EN</cp:keywords>
  <dc:description>Rapporteur: -  Original language: - EN Date of document: - 17/04/2024 Date of meeting: -  External documents: -  Administrator responsible: -  SUCIU Serban</dc:description>
  <cp:lastModifiedBy/>
  <cp:revision>7</cp:revision>
  <dcterms:created xsi:type="dcterms:W3CDTF">2025-10-28T13:06:00Z</dcterms:created>
  <dcterms:modified xsi:type="dcterms:W3CDTF">2025-10-28T13:19:00Z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28/10/2025, 12/04/2024, 17/05/2022</vt:lpwstr>
  </property>
  <property fmtid="{D5CDD505-2E9C-101B-9397-08002B2CF9AE}" pid="4" name="Pref_Time">
    <vt:lpwstr>07:48:59, 12:04:59, 14:58:36</vt:lpwstr>
  </property>
  <property fmtid="{D5CDD505-2E9C-101B-9397-08002B2CF9AE}" pid="5" name="Pref_User">
    <vt:lpwstr>amett, enied, enied</vt:lpwstr>
  </property>
  <property fmtid="{D5CDD505-2E9C-101B-9397-08002B2CF9AE}" pid="6" name="Pref_FileName">
    <vt:lpwstr>EESC-2025-00642-00-01-RI-TRA-EN-CRR.docx, COR-EESC-2024-01326-27-00-ADMIN-ORI.docx, COR-EESC-2022-02592-00-00-ADMIN-ORI.docx</vt:lpwstr>
  </property>
  <property fmtid="{D5CDD505-2E9C-101B-9397-08002B2CF9AE}" pid="7" name="ContentTypeId">
    <vt:lpwstr>0x010100EA97B91038054C99906057A708A1480A006BB3B767F3CF4149BF520211D4A86BC0</vt:lpwstr>
  </property>
  <property fmtid="{D5CDD505-2E9C-101B-9397-08002B2CF9AE}" pid="8" name="_dlc_DocIdItemGuid">
    <vt:lpwstr>1ff65630-6627-45de-9b84-b346654eb3fc</vt:lpwstr>
  </property>
  <property fmtid="{D5CDD505-2E9C-101B-9397-08002B2CF9AE}" pid="9" name="AvailableTranslations">
    <vt:lpwstr>39;#LV|46f7e311-5d9f-4663-b433-18aeccb7ace7;#37;#HU|6b229040-c589-4408-b4c1-4285663d20a8;#33;#PT|50ccc04a-eadd-42ae-a0cb-acaf45f812ba;#24;#PL|1e03da61-4678-4e07-b136-b5024ca9197b;#30;#LT|a7ff5ce7-6123-4f68-865a-a57c31810414;#31;#SL|98a412ae-eb01-49e9-ae3d-585a81724cfc;#50;#HR|2f555653-ed1a-4fe6-8362-9082d95989e5;#43;#GA|762d2456-c427-4ecb-b312-af3dad8e258c;#36;#RO|feb747a2-64cd-4299-af12-4833ddc30497;#42;#EL|6d4f4d51-af9b-4650-94b4-4276bee85c91;#12;#FR|d2afafd3-4c81-4f60-8f52-ee33f2f54ff3;#32;#MT|7df99101-6854-4a26-b53a-b88c0da02c26;#5;#EN|f2175f21-25d7-44a3-96da-d6a61b075e1b;#47;#BG|1a1b3951-7821-4e6a-85f5-5673fc08bd2c;#29;#CS|72f9705b-0217-4fd3-bea2-cbc7ed80e26e;#35;#FI|87606a43-d45f-42d6-b8c9-e1a3457db5b7;#16;#ES|e7a6b05b-ae16-40c8-add9-68b64b03aeba;#27;#NL|55c6556c-b4f4-441d-9acf-c498d4f838bd;#34;#IT|0774613c-01ed-4e5d-a25d-11d2388de825;#40;#DA|5d49c027-8956-412b-aa16-e85a0f96ad0e;#28;#SV|c2ed69e7-a339-43d7-8f22-d93680a92aa0;#46;#SK|46d9fce0-ef79-4f71-b89b-cd6aa82426b8;#23;#DE|f6b31e5a-26fa-4935-b661-318e46daf27e;#41;#ET|ff6c3f4c-b02c-4c3c-ab07-2c37995a7a0a</vt:lpwstr>
  </property>
  <property fmtid="{D5CDD505-2E9C-101B-9397-08002B2CF9AE}" pid="10" name="DocumentType_0">
    <vt:lpwstr>RI|0e66e8df-1601-4fe1-947b-eb539760261a</vt:lpwstr>
  </property>
  <property fmtid="{D5CDD505-2E9C-101B-9397-08002B2CF9AE}" pid="11" name="DossierName_0">
    <vt:lpwstr>REX|6820eaf5-116e-436b-ad9c-156f8a94c2a1</vt:lpwstr>
  </property>
  <property fmtid="{D5CDD505-2E9C-101B-9397-08002B2CF9AE}" pid="12" name="DocumentSource_0">
    <vt:lpwstr>EESC|422833ec-8d7e-4e65-8e4e-8bed07ffb729</vt:lpwstr>
  </property>
  <property fmtid="{D5CDD505-2E9C-101B-9397-08002B2CF9AE}" pid="13" name="DocumentNumber">
    <vt:i4>642</vt:i4>
  </property>
  <property fmtid="{D5CDD505-2E9C-101B-9397-08002B2CF9AE}" pid="14" name="FicheYear">
    <vt:i4>2024</vt:i4>
  </property>
  <property fmtid="{D5CDD505-2E9C-101B-9397-08002B2CF9AE}" pid="15" name="DocumentVersion">
    <vt:i4>1</vt:i4>
  </property>
  <property fmtid="{D5CDD505-2E9C-101B-9397-08002B2CF9AE}" pid="16" name="DocumentStatus">
    <vt:lpwstr>13;#TRA|150d2a88-1431-44e6-a8ca-0bb753ab8672</vt:lpwstr>
  </property>
  <property fmtid="{D5CDD505-2E9C-101B-9397-08002B2CF9AE}" pid="17" name="DocumentPart">
    <vt:i4>0</vt:i4>
  </property>
  <property fmtid="{D5CDD505-2E9C-101B-9397-08002B2CF9AE}" pid="18" name="DossierName">
    <vt:lpwstr>2;#REX|6820eaf5-116e-436b-ad9c-156f8a94c2a1</vt:lpwstr>
  </property>
  <property fmtid="{D5CDD505-2E9C-101B-9397-08002B2CF9AE}" pid="19" name="DocumentSource">
    <vt:lpwstr>1;#EESC|422833ec-8d7e-4e65-8e4e-8bed07ffb729</vt:lpwstr>
  </property>
  <property fmtid="{D5CDD505-2E9C-101B-9397-08002B2CF9AE}" pid="20" name="DocumentType">
    <vt:lpwstr>246;#RI|0e66e8df-1601-4fe1-947b-eb539760261a</vt:lpwstr>
  </property>
  <property fmtid="{D5CDD505-2E9C-101B-9397-08002B2CF9AE}" pid="21" name="RequestingService">
    <vt:lpwstr>Relations extérieures</vt:lpwstr>
  </property>
  <property fmtid="{D5CDD505-2E9C-101B-9397-08002B2CF9AE}" pid="22" name="Confidentiality">
    <vt:lpwstr>15;#Unrestricted|826e22d7-d029-4ec0-a450-0c28ff673572</vt:lpwstr>
  </property>
  <property fmtid="{D5CDD505-2E9C-101B-9397-08002B2CF9AE}" pid="23" name="MeetingName_0">
    <vt:lpwstr/>
  </property>
  <property fmtid="{D5CDD505-2E9C-101B-9397-08002B2CF9AE}" pid="24" name="Confidentiality_0">
    <vt:lpwstr>Unrestricted|826e22d7-d029-4ec0-a450-0c28ff673572</vt:lpwstr>
  </property>
  <property fmtid="{D5CDD505-2E9C-101B-9397-08002B2CF9AE}" pid="25" name="OriginalLanguage">
    <vt:lpwstr>5;#EN|f2175f21-25d7-44a3-96da-d6a61b075e1b</vt:lpwstr>
  </property>
  <property fmtid="{D5CDD505-2E9C-101B-9397-08002B2CF9AE}" pid="26" name="MeetingName">
    <vt:lpwstr/>
  </property>
  <property fmtid="{D5CDD505-2E9C-101B-9397-08002B2CF9AE}" pid="27" name="AvailableTranslations_0">
    <vt:lpwstr>EN|f2175f21-25d7-44a3-96da-d6a61b075e1b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15;#Unrestricted|826e22d7-d029-4ec0-a450-0c28ff673572;#13;#TRA|150d2a88-1431-44e6-a8ca-0bb753ab8672;#246;#RI|0e66e8df-1601-4fe1-947b-eb539760261a;#5;#EN|f2175f21-25d7-44a3-96da-d6a61b075e1b;#4;#EN|f2175f21-25d7-44a3-96da-d6a61b075e1b;#2;#REX|6820eaf5-116e-436b-ad9c-156f8a94c2a1;#1;#EESC|422833ec-8d7e-4e65-8e4e-8bed07ffb729;#8;#Final|ea5e6674-7b27-4bac-b091-73adbb394efe</vt:lpwstr>
  </property>
  <property fmtid="{D5CDD505-2E9C-101B-9397-08002B2CF9AE}" pid="31" name="VersionStatus_0">
    <vt:lpwstr>Final|ea5e6674-7b27-4bac-b091-73adbb394efe</vt:lpwstr>
  </property>
  <property fmtid="{D5CDD505-2E9C-101B-9397-08002B2CF9AE}" pid="32" name="VersionStatus">
    <vt:lpwstr>8;#Final|ea5e6674-7b27-4bac-b091-73adbb394efe</vt:lpwstr>
  </property>
  <property fmtid="{D5CDD505-2E9C-101B-9397-08002B2CF9AE}" pid="33" name="DocumentYear">
    <vt:i4>2025</vt:i4>
  </property>
  <property fmtid="{D5CDD505-2E9C-101B-9397-08002B2CF9AE}" pid="34" name="FicheNumber">
    <vt:i4>295964</vt:i4>
  </property>
  <property fmtid="{D5CDD505-2E9C-101B-9397-08002B2CF9AE}" pid="35" name="DocumentLanguage">
    <vt:lpwstr>34;#IT|0774613c-01ed-4e5d-a25d-11d2388de825</vt:lpwstr>
  </property>
  <property fmtid="{D5CDD505-2E9C-101B-9397-08002B2CF9AE}" pid="36" name="_docset_NoMedatataSyncRequired">
    <vt:lpwstr>False</vt:lpwstr>
  </property>
  <property fmtid="{D5CDD505-2E9C-101B-9397-08002B2CF9AE}" pid="37" name="DossierNumber">
    <vt:i4>602</vt:i4>
  </property>
  <property fmtid="{D5CDD505-2E9C-101B-9397-08002B2CF9AE}" pid="38" name="DocumentLanguage_0">
    <vt:lpwstr>EN|f2175f21-25d7-44a3-96da-d6a61b075e1b</vt:lpwstr>
  </property>
  <property fmtid="{D5CDD505-2E9C-101B-9397-08002B2CF9AE}" pid="40" name="Rapporteur">
    <vt:lpwstr>BARBIERI</vt:lpwstr>
  </property>
  <property fmtid="{D5CDD505-2E9C-101B-9397-08002B2CF9AE}" pid="41" name="AdoptionDate">
    <vt:filetime>2025-10-23T12:00:00Z</vt:filetime>
  </property>
</Properties>
</file>