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574C9B" w:rsidRPr="0065601D" w14:paraId="4B18B74B" w14:textId="77777777" w:rsidTr="008E4CC5">
        <w:trPr>
          <w:jc w:val="center"/>
        </w:trPr>
        <w:tc>
          <w:tcPr>
            <w:tcW w:w="5000" w:type="pct"/>
            <w:vAlign w:val="center"/>
          </w:tcPr>
          <w:p w14:paraId="4B8F14AB" w14:textId="1DC17AD9" w:rsidR="00574C9B" w:rsidRPr="0065601D" w:rsidRDefault="00360204" w:rsidP="006A79E7">
            <w:pPr>
              <w:jc w:val="center"/>
              <w:rPr>
                <w:b/>
                <w:sz w:val="72"/>
                <w:szCs w:val="72"/>
              </w:rPr>
            </w:pPr>
            <w:r>
              <w:rPr>
                <w:b/>
                <w:sz w:val="72"/>
              </w:rPr>
              <w:t>INFORMATIEF RAPPORT</w:t>
            </w:r>
          </w:p>
        </w:tc>
      </w:tr>
      <w:tr w:rsidR="00574C9B" w:rsidRPr="0065601D" w14:paraId="428F80C1" w14:textId="77777777" w:rsidTr="008E4CC5">
        <w:trPr>
          <w:trHeight w:val="567"/>
          <w:jc w:val="center"/>
        </w:trPr>
        <w:tc>
          <w:tcPr>
            <w:tcW w:w="5000" w:type="pct"/>
            <w:vAlign w:val="center"/>
          </w:tcPr>
          <w:p w14:paraId="0E3C838D" w14:textId="2E0F4618" w:rsidR="00574C9B" w:rsidRPr="0065601D" w:rsidRDefault="00574C9B" w:rsidP="006A79E7">
            <w:pPr>
              <w:jc w:val="center"/>
              <w:rPr>
                <w:sz w:val="24"/>
                <w:szCs w:val="24"/>
              </w:rPr>
            </w:pPr>
            <w:r>
              <w:rPr>
                <w:sz w:val="24"/>
              </w:rPr>
              <w:t>Europees Economisch en Sociaal Comité</w:t>
            </w:r>
          </w:p>
        </w:tc>
      </w:tr>
      <w:tr w:rsidR="00574C9B" w:rsidRPr="0065601D" w14:paraId="5FCA7EB1" w14:textId="77777777" w:rsidTr="008E4CC5">
        <w:trPr>
          <w:jc w:val="center"/>
        </w:trPr>
        <w:tc>
          <w:tcPr>
            <w:tcW w:w="5000" w:type="pct"/>
            <w:vAlign w:val="center"/>
          </w:tcPr>
          <w:p w14:paraId="164B3F5D" w14:textId="3B8C9C30" w:rsidR="00574C9B" w:rsidRPr="0065601D" w:rsidRDefault="00766ACB" w:rsidP="006A79E7">
            <w:pPr>
              <w:jc w:val="center"/>
              <w:rPr>
                <w:b/>
                <w:sz w:val="44"/>
                <w:szCs w:val="44"/>
              </w:rPr>
            </w:pPr>
            <w:r>
              <w:rPr>
                <w:b/>
                <w:sz w:val="44"/>
              </w:rPr>
              <w:t>Diplomatie en handicap</w:t>
            </w:r>
          </w:p>
        </w:tc>
      </w:tr>
      <w:tr w:rsidR="00574C9B" w:rsidRPr="0065601D" w14:paraId="0A2CA787" w14:textId="77777777" w:rsidTr="008E4CC5">
        <w:trPr>
          <w:jc w:val="center"/>
        </w:trPr>
        <w:tc>
          <w:tcPr>
            <w:tcW w:w="5000" w:type="pct"/>
            <w:vAlign w:val="center"/>
          </w:tcPr>
          <w:p w14:paraId="766B3712" w14:textId="77777777" w:rsidR="00574C9B" w:rsidRPr="0065601D" w:rsidRDefault="00574C9B" w:rsidP="006A79E7">
            <w:pPr>
              <w:overflowPunct w:val="0"/>
              <w:autoSpaceDE w:val="0"/>
              <w:autoSpaceDN w:val="0"/>
              <w:adjustRightInd w:val="0"/>
              <w:jc w:val="center"/>
              <w:textAlignment w:val="baseline"/>
              <w:rPr>
                <w:b/>
                <w:position w:val="24"/>
                <w:sz w:val="24"/>
                <w:szCs w:val="24"/>
              </w:rPr>
            </w:pPr>
            <w:r>
              <w:rPr>
                <w:sz w:val="24"/>
              </w:rPr>
              <w:t>_____________</w:t>
            </w:r>
          </w:p>
        </w:tc>
      </w:tr>
      <w:tr w:rsidR="00574C9B" w:rsidRPr="0065601D" w14:paraId="651BE820" w14:textId="77777777" w:rsidTr="008E4CC5">
        <w:trPr>
          <w:jc w:val="center"/>
        </w:trPr>
        <w:tc>
          <w:tcPr>
            <w:tcW w:w="5000" w:type="pct"/>
            <w:vAlign w:val="center"/>
          </w:tcPr>
          <w:p w14:paraId="6E238E6D" w14:textId="1C50B46F" w:rsidR="00574C9B" w:rsidRPr="0065601D" w:rsidRDefault="00766ACB" w:rsidP="006A79E7">
            <w:pPr>
              <w:jc w:val="center"/>
              <w:rPr>
                <w:sz w:val="24"/>
                <w:szCs w:val="24"/>
              </w:rPr>
            </w:pPr>
            <w:r>
              <w:rPr>
                <w:sz w:val="24"/>
              </w:rPr>
              <w:t>Diplomatie en handicap</w:t>
            </w:r>
          </w:p>
        </w:tc>
      </w:tr>
      <w:tr w:rsidR="00574C9B" w:rsidRPr="0065601D" w14:paraId="295584EE" w14:textId="77777777" w:rsidTr="008E4CC5">
        <w:trPr>
          <w:jc w:val="center"/>
        </w:trPr>
        <w:tc>
          <w:tcPr>
            <w:tcW w:w="5000" w:type="pct"/>
            <w:vAlign w:val="center"/>
          </w:tcPr>
          <w:p w14:paraId="7AA50FA1" w14:textId="77777777" w:rsidR="00574C9B" w:rsidRPr="0065601D" w:rsidRDefault="00574C9B" w:rsidP="006A79E7">
            <w:pPr>
              <w:jc w:val="center"/>
              <w:rPr>
                <w:sz w:val="24"/>
                <w:szCs w:val="24"/>
                <w:lang w:val="en-GB"/>
              </w:rPr>
            </w:pPr>
          </w:p>
        </w:tc>
      </w:tr>
      <w:tr w:rsidR="00574C9B" w:rsidRPr="0065601D" w14:paraId="41F47321" w14:textId="77777777" w:rsidTr="008E4CC5">
        <w:trPr>
          <w:jc w:val="center"/>
        </w:trPr>
        <w:tc>
          <w:tcPr>
            <w:tcW w:w="5000" w:type="pct"/>
            <w:vAlign w:val="center"/>
          </w:tcPr>
          <w:p w14:paraId="50D97899" w14:textId="41051C07" w:rsidR="00574C9B" w:rsidRPr="0065601D" w:rsidRDefault="00614FA9" w:rsidP="006A79E7">
            <w:pPr>
              <w:jc w:val="center"/>
              <w:rPr>
                <w:b/>
                <w:sz w:val="24"/>
                <w:szCs w:val="24"/>
              </w:rPr>
            </w:pPr>
            <w:r>
              <w:rPr>
                <w:b/>
                <w:sz w:val="24"/>
              </w:rPr>
              <w:t>REX/602</w:t>
            </w:r>
          </w:p>
        </w:tc>
      </w:tr>
      <w:tr w:rsidR="00574C9B" w:rsidRPr="0065601D" w14:paraId="2110FDEB" w14:textId="77777777" w:rsidTr="008E4CC5">
        <w:trPr>
          <w:jc w:val="center"/>
        </w:trPr>
        <w:tc>
          <w:tcPr>
            <w:tcW w:w="5000" w:type="pct"/>
            <w:vAlign w:val="center"/>
          </w:tcPr>
          <w:p w14:paraId="59F181E4" w14:textId="77777777" w:rsidR="00574C9B" w:rsidRPr="0065601D" w:rsidRDefault="00574C9B" w:rsidP="006A79E7">
            <w:pPr>
              <w:jc w:val="center"/>
              <w:rPr>
                <w:sz w:val="24"/>
                <w:szCs w:val="24"/>
                <w:lang w:val="en-GB"/>
              </w:rPr>
            </w:pPr>
          </w:p>
        </w:tc>
      </w:tr>
      <w:tr w:rsidR="00574C9B" w:rsidRPr="006A79E7" w14:paraId="5DF7EBEA" w14:textId="77777777" w:rsidTr="008E4CC5">
        <w:trPr>
          <w:jc w:val="center"/>
        </w:trPr>
        <w:tc>
          <w:tcPr>
            <w:tcW w:w="5000" w:type="pct"/>
            <w:vAlign w:val="center"/>
          </w:tcPr>
          <w:p w14:paraId="23E9DE0A" w14:textId="6B0926C6" w:rsidR="00574C9B" w:rsidRPr="006A79E7" w:rsidRDefault="00574C9B" w:rsidP="006A79E7">
            <w:pPr>
              <w:jc w:val="center"/>
              <w:rPr>
                <w:sz w:val="24"/>
                <w:szCs w:val="24"/>
              </w:rPr>
            </w:pPr>
            <w:r>
              <w:rPr>
                <w:sz w:val="24"/>
              </w:rPr>
              <w:t xml:space="preserve">Algemeen rapporteur: </w:t>
            </w:r>
            <w:r>
              <w:rPr>
                <w:b/>
                <w:sz w:val="24"/>
              </w:rPr>
              <w:t>Pietro Vittorio BARBIERI</w:t>
            </w:r>
          </w:p>
        </w:tc>
      </w:tr>
    </w:tbl>
    <w:p w14:paraId="0B225863" w14:textId="77777777" w:rsidR="00574C9B" w:rsidRPr="006A79E7" w:rsidRDefault="00574C9B" w:rsidP="006A79E7">
      <w:r>
        <w:rPr>
          <w:noProof/>
          <w:sz w:val="20"/>
        </w:rPr>
        <mc:AlternateContent>
          <mc:Choice Requires="wps">
            <w:drawing>
              <wp:anchor distT="0" distB="0" distL="114300" distR="114300" simplePos="0" relativeHeight="251659264" behindDoc="1" locked="0" layoutInCell="0" allowOverlap="1" wp14:anchorId="3735E109" wp14:editId="3357AC0E">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00903" w14:textId="77777777" w:rsidR="00574C9B" w:rsidRDefault="00574C9B" w:rsidP="00574C9B">
                            <w:pPr>
                              <w:jc w:val="center"/>
                            </w:pPr>
                            <w:r>
                              <w:rPr>
                                <w:rFonts w:ascii="Arial" w:hAnsi="Arial"/>
                                <w:b/>
                                <w:sz w:val="48"/>
                              </w:rPr>
                              <w: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5E109" id="_x0000_t202" coordsize="21600,21600" o:spt="202" path="m,l,21600r21600,l21600,xe">
                <v:stroke joinstyle="miter"/>
                <v:path gradientshapeok="t" o:connecttype="rect"/>
              </v:shapetype>
              <v:shape id="Text Box 17" o:spid="_x0000_s1026" type="#_x0000_t202"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o:allowincell="f" filled="f" stroked="f">
                <v:textbox>
                  <w:txbxContent>
                    <w:p w14:paraId="03B00903" w14:textId="77777777" w:rsidR="00574C9B" w:rsidRDefault="00574C9B" w:rsidP="00574C9B">
                      <w:pPr>
                        <w:jc w:val="center"/>
                      </w:pPr>
                      <w:r>
                        <w:rPr>
                          <w:rFonts w:ascii="Arial" w:hAnsi="Arial"/>
                          <w:b/>
                          <w:sz w:val="48"/>
                        </w:rPr>
                        <w:t>NL</w:t>
                      </w:r>
                    </w:p>
                  </w:txbxContent>
                </v:textbox>
                <w10:wrap anchorx="margin" anchory="page"/>
              </v:shape>
            </w:pict>
          </mc:Fallback>
        </mc:AlternateContent>
      </w:r>
    </w:p>
    <w:p w14:paraId="3FA5826A" w14:textId="77777777" w:rsidR="00574C9B" w:rsidRPr="006A79E7" w:rsidRDefault="00574C9B" w:rsidP="006A79E7">
      <w:pPr>
        <w:rPr>
          <w:lang w:val="it-IT"/>
        </w:rPr>
      </w:pPr>
    </w:p>
    <w:p w14:paraId="4B88FC0A" w14:textId="77777777" w:rsidR="00574C9B" w:rsidRPr="006A79E7" w:rsidRDefault="00574C9B" w:rsidP="006A79E7">
      <w:pPr>
        <w:rPr>
          <w:lang w:val="it-IT"/>
        </w:rPr>
        <w:sectPr w:rsidR="00574C9B" w:rsidRPr="006A79E7" w:rsidSect="006A79E7">
          <w:headerReference w:type="even" r:id="rId12"/>
          <w:headerReference w:type="default" r:id="rId13"/>
          <w:headerReference w:type="first" r:id="rId14"/>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00C5137B" w:rsidRPr="0065601D" w14:paraId="6755593A" w14:textId="77777777" w:rsidTr="00E15BF4">
        <w:tc>
          <w:tcPr>
            <w:tcW w:w="3085" w:type="dxa"/>
          </w:tcPr>
          <w:p w14:paraId="5F91A05F" w14:textId="0D333D6B" w:rsidR="00C5137B" w:rsidRPr="0065601D" w:rsidRDefault="00C5137B" w:rsidP="006A79E7">
            <w:pPr>
              <w:autoSpaceDE w:val="0"/>
              <w:autoSpaceDN w:val="0"/>
              <w:jc w:val="left"/>
              <w:rPr>
                <w:szCs w:val="20"/>
              </w:rPr>
            </w:pPr>
            <w:r>
              <w:lastRenderedPageBreak/>
              <w:t>Adviseur</w:t>
            </w:r>
          </w:p>
        </w:tc>
        <w:tc>
          <w:tcPr>
            <w:tcW w:w="6204" w:type="dxa"/>
            <w:vAlign w:val="bottom"/>
          </w:tcPr>
          <w:p w14:paraId="70C24170" w14:textId="34C79708" w:rsidR="00C5137B" w:rsidRPr="0065601D" w:rsidRDefault="00766ACB" w:rsidP="006A79E7">
            <w:pPr>
              <w:autoSpaceDE w:val="0"/>
              <w:autoSpaceDN w:val="0"/>
              <w:jc w:val="left"/>
            </w:pPr>
            <w:r>
              <w:t>Lorenzo TAMBURRINI</w:t>
            </w:r>
          </w:p>
        </w:tc>
      </w:tr>
      <w:tr w:rsidR="00C5137B" w:rsidRPr="0065601D" w14:paraId="0F2D8E06" w14:textId="77777777" w:rsidTr="00E15BF4">
        <w:tc>
          <w:tcPr>
            <w:tcW w:w="3085" w:type="dxa"/>
          </w:tcPr>
          <w:p w14:paraId="4CD317AD" w14:textId="77777777" w:rsidR="00C5137B" w:rsidRPr="0065601D" w:rsidRDefault="00C5137B" w:rsidP="006A79E7">
            <w:pPr>
              <w:autoSpaceDE w:val="0"/>
              <w:autoSpaceDN w:val="0"/>
              <w:jc w:val="left"/>
              <w:rPr>
                <w:szCs w:val="20"/>
                <w:lang w:val="en-GB"/>
              </w:rPr>
            </w:pPr>
          </w:p>
        </w:tc>
        <w:tc>
          <w:tcPr>
            <w:tcW w:w="6204" w:type="dxa"/>
            <w:vAlign w:val="bottom"/>
          </w:tcPr>
          <w:p w14:paraId="59403491" w14:textId="77777777" w:rsidR="00C5137B" w:rsidRPr="0065601D" w:rsidRDefault="00C5137B" w:rsidP="006A79E7">
            <w:pPr>
              <w:autoSpaceDE w:val="0"/>
              <w:autoSpaceDN w:val="0"/>
              <w:jc w:val="left"/>
              <w:rPr>
                <w:lang w:val="en-GB"/>
              </w:rPr>
            </w:pPr>
          </w:p>
        </w:tc>
      </w:tr>
      <w:tr w:rsidR="00914683" w:rsidRPr="0065601D" w14:paraId="3E385435" w14:textId="77777777" w:rsidTr="00E15BF4">
        <w:tc>
          <w:tcPr>
            <w:tcW w:w="3085" w:type="dxa"/>
          </w:tcPr>
          <w:p w14:paraId="3054D729" w14:textId="5D5B5FF6" w:rsidR="00914683" w:rsidRPr="0065601D" w:rsidRDefault="00914683" w:rsidP="006A79E7">
            <w:pPr>
              <w:autoSpaceDE w:val="0"/>
              <w:autoSpaceDN w:val="0"/>
              <w:jc w:val="left"/>
              <w:rPr>
                <w:szCs w:val="20"/>
              </w:rPr>
            </w:pPr>
            <w:r>
              <w:t>Rechtsgrond</w:t>
            </w:r>
          </w:p>
        </w:tc>
        <w:tc>
          <w:tcPr>
            <w:tcW w:w="6204" w:type="dxa"/>
            <w:vAlign w:val="bottom"/>
          </w:tcPr>
          <w:p w14:paraId="41CF067A" w14:textId="0D6FB79C" w:rsidR="00914683" w:rsidRPr="0065601D" w:rsidRDefault="00914683" w:rsidP="006A79E7">
            <w:pPr>
              <w:autoSpaceDE w:val="0"/>
              <w:autoSpaceDN w:val="0"/>
              <w:jc w:val="left"/>
            </w:pPr>
            <w:r>
              <w:t>Artikel 52, lid 3, van het reglement van orde</w:t>
            </w:r>
          </w:p>
        </w:tc>
      </w:tr>
      <w:tr w:rsidR="00AC5114" w:rsidRPr="0065601D" w14:paraId="0E2099A6" w14:textId="77777777" w:rsidTr="00E15BF4">
        <w:tc>
          <w:tcPr>
            <w:tcW w:w="3085" w:type="dxa"/>
          </w:tcPr>
          <w:p w14:paraId="0BC68BA5" w14:textId="77777777" w:rsidR="00AC5114" w:rsidRPr="0065601D" w:rsidRDefault="00AC5114" w:rsidP="006A79E7">
            <w:pPr>
              <w:autoSpaceDE w:val="0"/>
              <w:autoSpaceDN w:val="0"/>
              <w:jc w:val="left"/>
            </w:pPr>
            <w:r>
              <w:t>Bevoegde afdeling</w:t>
            </w:r>
          </w:p>
        </w:tc>
        <w:tc>
          <w:tcPr>
            <w:tcW w:w="6204" w:type="dxa"/>
            <w:vAlign w:val="bottom"/>
          </w:tcPr>
          <w:p w14:paraId="5AE7EA9E" w14:textId="67F9EC3D" w:rsidR="00AC5114" w:rsidRPr="0065601D" w:rsidRDefault="00766ACB" w:rsidP="006A79E7">
            <w:pPr>
              <w:autoSpaceDE w:val="0"/>
              <w:autoSpaceDN w:val="0"/>
              <w:jc w:val="left"/>
            </w:pPr>
            <w:r>
              <w:t xml:space="preserve">Externe betrekkingen </w:t>
            </w:r>
          </w:p>
        </w:tc>
      </w:tr>
      <w:tr w:rsidR="00AC5114" w:rsidRPr="0065601D" w14:paraId="53972E32" w14:textId="77777777" w:rsidTr="00E15BF4">
        <w:tc>
          <w:tcPr>
            <w:tcW w:w="3085" w:type="dxa"/>
          </w:tcPr>
          <w:p w14:paraId="13B33E83" w14:textId="77777777" w:rsidR="00AC5114" w:rsidRPr="0065601D" w:rsidRDefault="00AC5114" w:rsidP="006A79E7">
            <w:pPr>
              <w:autoSpaceDE w:val="0"/>
              <w:autoSpaceDN w:val="0"/>
              <w:jc w:val="left"/>
            </w:pPr>
            <w:r>
              <w:t>Goedkeuring door de afdeling</w:t>
            </w:r>
          </w:p>
        </w:tc>
        <w:tc>
          <w:tcPr>
            <w:tcW w:w="6204" w:type="dxa"/>
            <w:vAlign w:val="bottom"/>
          </w:tcPr>
          <w:p w14:paraId="5E71ECD2" w14:textId="576BC692" w:rsidR="00AC5114" w:rsidRPr="0065601D" w:rsidRDefault="00766ACB" w:rsidP="006A79E7">
            <w:pPr>
              <w:autoSpaceDE w:val="0"/>
              <w:autoSpaceDN w:val="0"/>
              <w:jc w:val="left"/>
            </w:pPr>
            <w:r>
              <w:t>9/9/2025</w:t>
            </w:r>
          </w:p>
        </w:tc>
      </w:tr>
      <w:tr w:rsidR="0058411F" w:rsidRPr="0065601D" w14:paraId="7AE47B93" w14:textId="77777777" w:rsidTr="00E15BF4">
        <w:tc>
          <w:tcPr>
            <w:tcW w:w="3085" w:type="dxa"/>
          </w:tcPr>
          <w:p w14:paraId="26DE3092" w14:textId="352FC8CA" w:rsidR="0058411F" w:rsidRPr="0065601D" w:rsidRDefault="0058411F" w:rsidP="006A79E7">
            <w:pPr>
              <w:autoSpaceDE w:val="0"/>
              <w:autoSpaceDN w:val="0"/>
              <w:jc w:val="left"/>
            </w:pPr>
            <w:r>
              <w:t>Goedkeuring door de voltallige vergadering</w:t>
            </w:r>
          </w:p>
        </w:tc>
        <w:tc>
          <w:tcPr>
            <w:tcW w:w="6204" w:type="dxa"/>
            <w:vAlign w:val="bottom"/>
          </w:tcPr>
          <w:p w14:paraId="34FA2183" w14:textId="44309D42" w:rsidR="0058411F" w:rsidRPr="0065601D" w:rsidRDefault="00766ACB" w:rsidP="006A79E7">
            <w:pPr>
              <w:autoSpaceDE w:val="0"/>
              <w:autoSpaceDN w:val="0"/>
              <w:jc w:val="left"/>
            </w:pPr>
            <w:r>
              <w:t>23/10/2025</w:t>
            </w:r>
          </w:p>
        </w:tc>
      </w:tr>
      <w:tr w:rsidR="0058411F" w:rsidRPr="0065601D" w14:paraId="2FE8AE44" w14:textId="77777777" w:rsidTr="00E15BF4">
        <w:tc>
          <w:tcPr>
            <w:tcW w:w="3085" w:type="dxa"/>
          </w:tcPr>
          <w:p w14:paraId="2A65A034" w14:textId="77777777" w:rsidR="0058411F" w:rsidRPr="0065601D" w:rsidRDefault="0058411F" w:rsidP="006A79E7">
            <w:pPr>
              <w:autoSpaceDE w:val="0"/>
              <w:autoSpaceDN w:val="0"/>
              <w:jc w:val="left"/>
            </w:pPr>
            <w:r>
              <w:t>Zitting nr.</w:t>
            </w:r>
          </w:p>
        </w:tc>
        <w:tc>
          <w:tcPr>
            <w:tcW w:w="6204" w:type="dxa"/>
            <w:vAlign w:val="bottom"/>
          </w:tcPr>
          <w:p w14:paraId="17BFB0A7" w14:textId="180DD009" w:rsidR="0058411F" w:rsidRPr="0065601D" w:rsidRDefault="00766ACB" w:rsidP="006A79E7">
            <w:pPr>
              <w:autoSpaceDE w:val="0"/>
              <w:autoSpaceDN w:val="0"/>
              <w:jc w:val="left"/>
            </w:pPr>
            <w:r>
              <w:t>600</w:t>
            </w:r>
          </w:p>
        </w:tc>
      </w:tr>
      <w:tr w:rsidR="0058411F" w:rsidRPr="0065601D" w14:paraId="3889B17A" w14:textId="77777777" w:rsidTr="00E15BF4">
        <w:tc>
          <w:tcPr>
            <w:tcW w:w="3085" w:type="dxa"/>
          </w:tcPr>
          <w:p w14:paraId="0C723801" w14:textId="77777777" w:rsidR="0058411F" w:rsidRPr="0065601D" w:rsidRDefault="0058411F" w:rsidP="006A79E7">
            <w:pPr>
              <w:autoSpaceDE w:val="0"/>
              <w:autoSpaceDN w:val="0"/>
              <w:jc w:val="left"/>
            </w:pPr>
            <w:r>
              <w:t>Stemuitslag</w:t>
            </w:r>
            <w:r>
              <w:br/>
              <w:t>(voor/tegen/onthoudingen)</w:t>
            </w:r>
          </w:p>
        </w:tc>
        <w:tc>
          <w:tcPr>
            <w:tcW w:w="6204" w:type="dxa"/>
            <w:vAlign w:val="bottom"/>
          </w:tcPr>
          <w:p w14:paraId="14DB34EA" w14:textId="51B2EE9F" w:rsidR="0058411F" w:rsidRPr="0065601D" w:rsidRDefault="0091458D" w:rsidP="006A79E7">
            <w:pPr>
              <w:autoSpaceDE w:val="0"/>
              <w:autoSpaceDN w:val="0"/>
              <w:jc w:val="left"/>
            </w:pPr>
            <w:r>
              <w:t>207/3/1</w:t>
            </w:r>
          </w:p>
        </w:tc>
      </w:tr>
    </w:tbl>
    <w:p w14:paraId="2CD3051D" w14:textId="77777777" w:rsidR="00AC5114" w:rsidRPr="0065601D" w:rsidRDefault="00AC5114" w:rsidP="006A79E7">
      <w:pPr>
        <w:rPr>
          <w:lang w:val="en-GB"/>
        </w:rPr>
        <w:sectPr w:rsidR="00AC5114" w:rsidRPr="0065601D" w:rsidSect="006A79E7">
          <w:headerReference w:type="even" r:id="rId15"/>
          <w:headerReference w:type="default" r:id="rId16"/>
          <w:footerReference w:type="default" r:id="rId17"/>
          <w:headerReference w:type="first" r:id="rId18"/>
          <w:pgSz w:w="11907" w:h="16839" w:code="9"/>
          <w:pgMar w:top="5669" w:right="1418" w:bottom="1418" w:left="1418" w:header="709" w:footer="709" w:gutter="0"/>
          <w:cols w:space="720"/>
          <w:docGrid w:linePitch="360"/>
        </w:sectPr>
      </w:pPr>
    </w:p>
    <w:p w14:paraId="3A0D875F" w14:textId="77777777" w:rsidR="00101669" w:rsidRPr="00BC50E6" w:rsidRDefault="00101669" w:rsidP="00DF383F">
      <w:pPr>
        <w:pStyle w:val="Heading1"/>
        <w:spacing w:line="283" w:lineRule="auto"/>
        <w:rPr>
          <w:b/>
          <w:bCs/>
          <w:color w:val="000000" w:themeColor="text1"/>
        </w:rPr>
      </w:pPr>
      <w:r>
        <w:rPr>
          <w:b/>
          <w:color w:val="000000" w:themeColor="text1"/>
        </w:rPr>
        <w:lastRenderedPageBreak/>
        <w:t>Inleiding</w:t>
      </w:r>
    </w:p>
    <w:p w14:paraId="340F11D7" w14:textId="77777777" w:rsidR="00101669" w:rsidRPr="00BC50E6" w:rsidRDefault="00101669" w:rsidP="00DF383F">
      <w:pPr>
        <w:spacing w:line="283" w:lineRule="auto"/>
        <w:ind w:left="567" w:hanging="567"/>
        <w:rPr>
          <w:color w:val="000000" w:themeColor="text1"/>
          <w:lang w:val="en-GB"/>
        </w:rPr>
      </w:pPr>
    </w:p>
    <w:p w14:paraId="412C4623" w14:textId="413678DC" w:rsidR="00101669" w:rsidRPr="00BC50E6" w:rsidRDefault="00101669" w:rsidP="00DF383F">
      <w:pPr>
        <w:pStyle w:val="Heading2"/>
        <w:spacing w:line="283" w:lineRule="auto"/>
        <w:rPr>
          <w:rFonts w:eastAsia="Arial"/>
          <w:color w:val="000000" w:themeColor="text1"/>
        </w:rPr>
      </w:pPr>
      <w:r>
        <w:t xml:space="preserve">De diplomatie op het gebied van de bestrijding van discriminatie van personen met een handicap is onderbouwd door het </w:t>
      </w:r>
      <w:r>
        <w:rPr>
          <w:b/>
        </w:rPr>
        <w:t>Verdrag van de Verenigde Naties inzake de rechten van personen met een handicap</w:t>
      </w:r>
      <w:r>
        <w:t xml:space="preserve">, dat in 2006 is aangenomen en in 2008 in werking trad </w:t>
      </w:r>
      <w:r>
        <w:rPr>
          <w:color w:val="000000" w:themeColor="text1"/>
        </w:rPr>
        <w:t>en een van de meest geratificeerde mensenrechtenverdragen is</w:t>
      </w:r>
      <w:r w:rsidRPr="00BC50E6">
        <w:rPr>
          <w:rStyle w:val="FootnoteReference"/>
          <w:iCs/>
          <w:lang w:val="en-GB"/>
        </w:rPr>
        <w:footnoteReference w:id="1"/>
      </w:r>
      <w:r>
        <w:rPr>
          <w:color w:val="000000" w:themeColor="text1"/>
        </w:rPr>
        <w:t>. Dit is het belangrijkste internationale rechtsinstrument dat de rechten van personen met een handicap beschermt en grondbeginselen vastlegt, zoals non-discriminatie, volledige en effectieve deelname aan de samenleving, toegankelijkheid en gelijke kansen.</w:t>
      </w:r>
    </w:p>
    <w:p w14:paraId="5A8B8F2B" w14:textId="77777777" w:rsidR="00101669" w:rsidRPr="00BC50E6" w:rsidRDefault="00101669" w:rsidP="00DF383F">
      <w:pPr>
        <w:spacing w:line="283" w:lineRule="auto"/>
        <w:ind w:left="567" w:hanging="567"/>
        <w:rPr>
          <w:rFonts w:eastAsia="Arial"/>
          <w:color w:val="000000" w:themeColor="text1"/>
          <w:lang w:val="en-GB" w:eastAsia="it-IT"/>
        </w:rPr>
      </w:pPr>
    </w:p>
    <w:p w14:paraId="37005863" w14:textId="235A12A8" w:rsidR="00101669" w:rsidRPr="00BC50E6" w:rsidRDefault="00101669" w:rsidP="00DF383F">
      <w:pPr>
        <w:pStyle w:val="Heading2"/>
        <w:spacing w:line="283" w:lineRule="auto"/>
        <w:rPr>
          <w:rFonts w:eastAsia="Arial"/>
          <w:color w:val="000000" w:themeColor="text1"/>
        </w:rPr>
      </w:pPr>
      <w:r>
        <w:t>Het VN-Verdrag inzake de rechten van personen met een handicap is een belangrijk rechtsinstrument van hogere orde en vormt een aanvulling op het algemene mensenrechtensysteem van de VN. Het verlegt de benadering van handicaps van een sociale kwestie naar een bindende aangelegenheid van internationaal recht en, breder gezien, de rechtsstaat. Daarbij wordt het belang van internationale samenwerking erkend en de bevordering daarvan ter ondersteuning van nationale inspanningen om de rechten van personen met een handicap te verwezenlijken, zoals vastgelegd in artikel 32 van het VN-Verdrag inzake de rechten van personen met een handicap. De naleving door de staten wordt gecontroleerd door het Comité voor de rechten van personen met een handicap – een mechanisme voor toezicht op de naleving van het verdrag – dat via regelmatige internationale dialoog en diplomatieke druk hervormingen bevordert van nationale wetgeving en praktijken, zodat deze in overeenstemming worden gebracht met de internationale normen inzake de rechten van personen met een handicap.</w:t>
      </w:r>
    </w:p>
    <w:p w14:paraId="234B99CB" w14:textId="77777777" w:rsidR="00101669" w:rsidRPr="00BC50E6" w:rsidRDefault="00101669" w:rsidP="00DF383F">
      <w:pPr>
        <w:spacing w:line="283" w:lineRule="auto"/>
        <w:rPr>
          <w:rFonts w:eastAsia="Arial"/>
          <w:color w:val="000000" w:themeColor="text1"/>
          <w:lang w:val="en-GB" w:eastAsia="it-IT"/>
        </w:rPr>
      </w:pPr>
    </w:p>
    <w:p w14:paraId="28376CD5" w14:textId="0C245708" w:rsidR="00F0454A" w:rsidRPr="00BC50E6" w:rsidRDefault="00101669" w:rsidP="00DF383F">
      <w:pPr>
        <w:pStyle w:val="Heading2"/>
        <w:spacing w:line="283" w:lineRule="auto"/>
        <w:rPr>
          <w:color w:val="000000" w:themeColor="text1"/>
        </w:rPr>
      </w:pPr>
      <w:r>
        <w:rPr>
          <w:color w:val="000000" w:themeColor="text1"/>
        </w:rPr>
        <w:t>Het VN-Verdrag inzake de rechten van personen met een handicap is van fundamenteel belang, omdat het een bindend kader vastlegt voor inclusieve ontwikkelingssamenwerking. Op nationaal niveau maken veel landen gebruik van diplomatie om over de uitvoering van het VN</w:t>
      </w:r>
      <w:r w:rsidR="00DF383F">
        <w:rPr>
          <w:color w:val="000000" w:themeColor="text1"/>
        </w:rPr>
        <w:noBreakHyphen/>
      </w:r>
      <w:r>
        <w:rPr>
          <w:color w:val="000000" w:themeColor="text1"/>
        </w:rPr>
        <w:t>Verdrag inzake de rechten van personen met een handicap te onderhandelen, hun nationale wetgeving aan te passen en met andere landen samen te werken om de inclusie te verbeteren.</w:t>
      </w:r>
    </w:p>
    <w:p w14:paraId="1D84E7F6" w14:textId="77777777" w:rsidR="00130C4A" w:rsidRPr="00BC50E6" w:rsidRDefault="00130C4A" w:rsidP="00DF383F">
      <w:pPr>
        <w:spacing w:line="283" w:lineRule="auto"/>
        <w:rPr>
          <w:rFonts w:eastAsia="Arial"/>
          <w:lang w:val="en-GB"/>
        </w:rPr>
      </w:pPr>
    </w:p>
    <w:p w14:paraId="12610A11" w14:textId="7CFB8566" w:rsidR="00101669" w:rsidRPr="00BC50E6" w:rsidRDefault="00130C4A" w:rsidP="00DF383F">
      <w:pPr>
        <w:spacing w:line="283" w:lineRule="auto"/>
        <w:ind w:left="567" w:hanging="567"/>
      </w:pPr>
      <w:r>
        <w:rPr>
          <w:color w:val="000000" w:themeColor="text1"/>
        </w:rPr>
        <w:t>1.4</w:t>
      </w:r>
      <w:r>
        <w:rPr>
          <w:color w:val="000000" w:themeColor="text1"/>
        </w:rPr>
        <w:tab/>
      </w:r>
      <w:r>
        <w:t>Naast het VN-Verdrag inzake de rechten van personen met een handicap bevordert de Verenigde Naties via haar Mensenrechtenraad (MRR) initiatieven die gericht zijn op het mainstreamen van de rechten van personen met een handicap binnen het bredere mensenrechtenkader en de internationale diplomatie. Door resoluties en aanbevelingen aan te nemen, begeleidt de MRR alle VN-lidstaten bij de implementatie van internationale mensenrechtennormen. Via het mechanisme van de universele periodieke doorlichting (UPR) oefent zij ook diplomatieke en politieke druk uit op staten om vooruitgang te boeken op het gebied van mensenrechten.</w:t>
      </w:r>
    </w:p>
    <w:p w14:paraId="1046B16F" w14:textId="012B70AC" w:rsidR="00F0454A" w:rsidRPr="00BC50E6" w:rsidRDefault="00F0454A" w:rsidP="00DF383F">
      <w:pPr>
        <w:spacing w:line="283" w:lineRule="auto"/>
        <w:ind w:left="567" w:hanging="567"/>
        <w:rPr>
          <w:iCs/>
          <w:lang w:val="en-GB"/>
        </w:rPr>
      </w:pPr>
    </w:p>
    <w:p w14:paraId="7A8E1D38" w14:textId="469209FC" w:rsidR="00F0454A" w:rsidRPr="00BC50E6" w:rsidRDefault="00F0454A" w:rsidP="00DF383F">
      <w:pPr>
        <w:spacing w:line="283" w:lineRule="auto"/>
        <w:ind w:left="567" w:hanging="567"/>
        <w:rPr>
          <w:iCs/>
          <w:color w:val="000000" w:themeColor="text1"/>
        </w:rPr>
      </w:pPr>
      <w:r>
        <w:t>1.5</w:t>
      </w:r>
      <w:r>
        <w:tab/>
        <w:t>De Economische en Sociale Raad van de VN (Ecosoc) bevordert deze doelstellingen verder door de beleidsdialoog tussen overheden, niet-gouvernementele organisaties (ngo’s) en deskundigen over kwesties als ontwikkeling, ongelijkheid en sociale rechtvaardigheid mogelijk te maken. Dit omvat werkzaamheden die worden uitgevoerd in het kader van handelsovereenkomsten en andere bilaterale of multilaterale kaders.</w:t>
      </w:r>
    </w:p>
    <w:p w14:paraId="42A9E377" w14:textId="6B95DEC9" w:rsidR="00F0454A" w:rsidRPr="00BC50E6" w:rsidRDefault="00F0454A" w:rsidP="00DF383F">
      <w:pPr>
        <w:spacing w:line="276" w:lineRule="auto"/>
        <w:ind w:left="567" w:hanging="567"/>
      </w:pPr>
      <w:r>
        <w:rPr>
          <w:color w:val="000000" w:themeColor="text1"/>
        </w:rPr>
        <w:lastRenderedPageBreak/>
        <w:t>1.6</w:t>
      </w:r>
      <w:r>
        <w:rPr>
          <w:color w:val="000000" w:themeColor="text1"/>
        </w:rPr>
        <w:tab/>
      </w:r>
      <w:r>
        <w:t>Organisaties voor mensen met een handicap en ngo’s spelen ook een belangrijke rol in de internationale diplomatie. Ze beïnvloeden mondiale en nationale agenda’s door te pleiten voor meer inclusieve wetgeving, regeringen te houden aan hun internationale verplichtingen en toe te zien op de naleving van het VN-Verdrag inzake de rechten van personen met een handicap en andere mensenrechtenverdragen.</w:t>
      </w:r>
    </w:p>
    <w:p w14:paraId="641B3C4B" w14:textId="77777777" w:rsidR="00F0454A" w:rsidRPr="00BC50E6" w:rsidRDefault="00F0454A" w:rsidP="00DF383F">
      <w:pPr>
        <w:spacing w:line="276" w:lineRule="auto"/>
        <w:ind w:left="567" w:hanging="567"/>
        <w:rPr>
          <w:color w:val="000000" w:themeColor="text1"/>
          <w:lang w:val="en-GB"/>
        </w:rPr>
      </w:pPr>
    </w:p>
    <w:p w14:paraId="2FCBDCB5" w14:textId="77777777" w:rsidR="00101669" w:rsidRPr="00BC50E6" w:rsidRDefault="00101669" w:rsidP="00DF383F">
      <w:pPr>
        <w:pStyle w:val="Heading1"/>
        <w:keepNext/>
        <w:keepLines/>
        <w:spacing w:line="276" w:lineRule="auto"/>
        <w:rPr>
          <w:b/>
          <w:bCs/>
          <w:color w:val="000000" w:themeColor="text1"/>
        </w:rPr>
      </w:pPr>
      <w:r>
        <w:rPr>
          <w:b/>
          <w:color w:val="000000" w:themeColor="text1"/>
        </w:rPr>
        <w:t>De Europese Unie</w:t>
      </w:r>
    </w:p>
    <w:p w14:paraId="3ADEDDE0" w14:textId="77777777" w:rsidR="00101669" w:rsidRPr="00BC50E6" w:rsidRDefault="00101669" w:rsidP="00DF383F">
      <w:pPr>
        <w:keepNext/>
        <w:keepLines/>
        <w:spacing w:line="276" w:lineRule="auto"/>
        <w:ind w:left="567" w:hanging="567"/>
        <w:rPr>
          <w:color w:val="000000" w:themeColor="text1"/>
          <w:lang w:val="en-GB"/>
        </w:rPr>
      </w:pPr>
    </w:p>
    <w:p w14:paraId="12F2B737" w14:textId="77777777" w:rsidR="00101669" w:rsidRPr="00BC50E6" w:rsidRDefault="00101669" w:rsidP="00DF383F">
      <w:pPr>
        <w:pStyle w:val="Heading2"/>
        <w:spacing w:line="276" w:lineRule="auto"/>
        <w:rPr>
          <w:color w:val="000000" w:themeColor="text1"/>
        </w:rPr>
      </w:pPr>
      <w:r>
        <w:rPr>
          <w:color w:val="000000" w:themeColor="text1"/>
        </w:rPr>
        <w:t>Op multilateraal niveau heeft de Europese Unie in 2011 het VN-Verdrag inzake de rechten van personen met een handicap ondertekend en heeft zij sindsdien verschillende concrete maatregelen genomen om ervoor te zorgen dat personen met een handicap gelijke rechten en kansen krijgen</w:t>
      </w:r>
      <w:r w:rsidRPr="00BC50E6">
        <w:rPr>
          <w:rStyle w:val="FootnoteReference"/>
          <w:color w:val="000000" w:themeColor="text1"/>
          <w:szCs w:val="24"/>
          <w:lang w:val="en-GB"/>
        </w:rPr>
        <w:footnoteReference w:id="2"/>
      </w:r>
      <w:r>
        <w:rPr>
          <w:color w:val="000000" w:themeColor="text1"/>
        </w:rPr>
        <w:t>.</w:t>
      </w:r>
    </w:p>
    <w:p w14:paraId="046B6E7C" w14:textId="77777777" w:rsidR="00101669" w:rsidRPr="00BC50E6" w:rsidRDefault="00101669" w:rsidP="00DF383F">
      <w:pPr>
        <w:spacing w:line="276" w:lineRule="auto"/>
        <w:ind w:left="567" w:hanging="567"/>
        <w:rPr>
          <w:color w:val="000000" w:themeColor="text1"/>
          <w:lang w:val="en-GB"/>
        </w:rPr>
      </w:pPr>
    </w:p>
    <w:p w14:paraId="287A32B0" w14:textId="77777777" w:rsidR="00101669" w:rsidRPr="00BC50E6" w:rsidRDefault="00101669" w:rsidP="00DF383F">
      <w:pPr>
        <w:pStyle w:val="Heading2"/>
        <w:spacing w:line="276" w:lineRule="auto"/>
        <w:rPr>
          <w:color w:val="000000" w:themeColor="text1"/>
        </w:rPr>
      </w:pPr>
      <w:r>
        <w:rPr>
          <w:color w:val="000000" w:themeColor="text1"/>
        </w:rPr>
        <w:t>Vervolgens heeft de EU in 2019 de Europese toegankelijkheidswet aangenomen (Accessibility Act), die bedrijven verplicht om hun producten en diensten toegankelijk te maken voor personen met een handicap. Dankzij deze wet zijn maatregelen ingevoerd zoals minimumnormen voor de toegankelijkheid van vervoersdiensten, telecommunicatiediensten, bankautomaten, elektronische apparatuur en digitale informatie.</w:t>
      </w:r>
    </w:p>
    <w:p w14:paraId="72F740C8" w14:textId="77777777" w:rsidR="00101669" w:rsidRPr="00BC50E6" w:rsidRDefault="00101669" w:rsidP="00DF383F">
      <w:pPr>
        <w:spacing w:line="276" w:lineRule="auto"/>
        <w:ind w:left="567" w:hanging="567"/>
        <w:rPr>
          <w:color w:val="000000" w:themeColor="text1"/>
          <w:lang w:val="en-GB"/>
        </w:rPr>
      </w:pPr>
    </w:p>
    <w:p w14:paraId="127D375D" w14:textId="77777777" w:rsidR="00101669" w:rsidRPr="00BC50E6" w:rsidRDefault="00101669" w:rsidP="00DF383F">
      <w:pPr>
        <w:pStyle w:val="Heading2"/>
        <w:spacing w:line="276" w:lineRule="auto"/>
        <w:rPr>
          <w:color w:val="000000" w:themeColor="text1"/>
        </w:rPr>
      </w:pPr>
      <w:r>
        <w:rPr>
          <w:color w:val="000000" w:themeColor="text1"/>
        </w:rPr>
        <w:t>De EU heeft bovendien op Europees niveau middelen</w:t>
      </w:r>
      <w:r w:rsidRPr="00BC50E6">
        <w:rPr>
          <w:rStyle w:val="FootnoteReference"/>
          <w:color w:val="000000" w:themeColor="text1"/>
          <w:szCs w:val="24"/>
          <w:lang w:val="en-GB"/>
        </w:rPr>
        <w:footnoteReference w:id="3"/>
      </w:r>
      <w:r>
        <w:rPr>
          <w:color w:val="000000" w:themeColor="text1"/>
        </w:rPr>
        <w:t xml:space="preserve"> vrijgemaakt om te bevorderen dat personen met een handicap kunnen meedoen op allerlei gebieden (sociaal gebied, werkgelegenheid, onderwijs, gezondheidszorg en cultuur).</w:t>
      </w:r>
    </w:p>
    <w:p w14:paraId="68C1A441" w14:textId="77777777" w:rsidR="00101669" w:rsidRPr="00BC50E6" w:rsidRDefault="00101669" w:rsidP="00DF383F">
      <w:pPr>
        <w:spacing w:line="276" w:lineRule="auto"/>
        <w:ind w:left="567" w:hanging="567"/>
        <w:rPr>
          <w:color w:val="000000" w:themeColor="text1"/>
          <w:lang w:val="en-GB"/>
        </w:rPr>
      </w:pPr>
    </w:p>
    <w:p w14:paraId="67C737AA" w14:textId="77777777" w:rsidR="00101669" w:rsidRPr="00BC50E6" w:rsidRDefault="00101669" w:rsidP="00DF383F">
      <w:pPr>
        <w:pStyle w:val="Heading2"/>
        <w:spacing w:line="276" w:lineRule="auto"/>
        <w:rPr>
          <w:color w:val="000000" w:themeColor="text1"/>
        </w:rPr>
      </w:pPr>
      <w:r>
        <w:rPr>
          <w:color w:val="000000" w:themeColor="text1"/>
        </w:rPr>
        <w:t>Bij het opstellen van de Europa 2020-strategie heeft de EU de belangen van mensen met een handicap tot een van de prioriteiten van haar sociale en economische strategie gemaakt. Dat ging gepaard met de vaststelling van specifieke doelen, zowel om het aantal personen met een handicap dat in armoede leeft en sociaal wordt uitgesloten te verminderen als om de arbeidsmarkt toegankelijk te maken voor personen met een handicap door middel van een actief inclusie- en opleidingsbeleid.</w:t>
      </w:r>
    </w:p>
    <w:p w14:paraId="60AF5DBB" w14:textId="77777777" w:rsidR="00101669" w:rsidRPr="00BC50E6" w:rsidRDefault="00101669" w:rsidP="00DF383F">
      <w:pPr>
        <w:pBdr>
          <w:top w:val="nil"/>
          <w:left w:val="nil"/>
          <w:bottom w:val="nil"/>
          <w:right w:val="nil"/>
          <w:between w:val="nil"/>
        </w:pBdr>
        <w:spacing w:line="276" w:lineRule="auto"/>
        <w:ind w:left="567" w:hanging="567"/>
        <w:rPr>
          <w:color w:val="000000" w:themeColor="text1"/>
          <w:lang w:val="en-GB"/>
        </w:rPr>
      </w:pPr>
    </w:p>
    <w:p w14:paraId="42ABBB21" w14:textId="77777777" w:rsidR="00101669" w:rsidRPr="00BC50E6" w:rsidRDefault="00101669" w:rsidP="00DF383F">
      <w:pPr>
        <w:pStyle w:val="Heading2"/>
        <w:spacing w:line="276" w:lineRule="auto"/>
        <w:rPr>
          <w:color w:val="000000" w:themeColor="text1"/>
        </w:rPr>
      </w:pPr>
      <w:r>
        <w:rPr>
          <w:color w:val="000000" w:themeColor="text1"/>
        </w:rPr>
        <w:t>Tegelijkertijd is het EU-actieplan voor sociale inclusie 2021-2027 bedoeld om armoede en sociale uitsluiting terug te dringen. Deze doelstelling is ook expliciet gericht op personen met een handicap. Dat resulteert in sociaal beleid waarmee beoogd wordt het leven van personen met een handicap te verbeteren, economische belemmeringen weg te nemen en hun deelname aan de samenleving en de politiek te bevorderen.</w:t>
      </w:r>
    </w:p>
    <w:p w14:paraId="5136C5EA" w14:textId="77777777" w:rsidR="00101669" w:rsidRPr="00BC50E6" w:rsidRDefault="00101669" w:rsidP="00DF383F">
      <w:pPr>
        <w:pStyle w:val="Heading1"/>
        <w:numPr>
          <w:ilvl w:val="0"/>
          <w:numId w:val="0"/>
        </w:numPr>
        <w:spacing w:line="276" w:lineRule="auto"/>
        <w:ind w:left="567" w:hanging="567"/>
        <w:rPr>
          <w:b/>
          <w:bCs/>
          <w:color w:val="000000" w:themeColor="text1"/>
          <w:lang w:val="en-GB"/>
        </w:rPr>
      </w:pPr>
    </w:p>
    <w:p w14:paraId="3D53958C" w14:textId="77777777" w:rsidR="00101669" w:rsidRPr="00BC50E6" w:rsidRDefault="00101669" w:rsidP="00DF383F">
      <w:pPr>
        <w:pStyle w:val="Heading1"/>
        <w:keepNext/>
        <w:keepLines/>
        <w:spacing w:line="276" w:lineRule="auto"/>
        <w:rPr>
          <w:rFonts w:eastAsia="Arial"/>
          <w:b/>
          <w:bCs/>
          <w:color w:val="000000" w:themeColor="text1"/>
        </w:rPr>
      </w:pPr>
      <w:r>
        <w:rPr>
          <w:b/>
          <w:color w:val="000000" w:themeColor="text1"/>
        </w:rPr>
        <w:t>De rol van organisaties van personen met een handicap</w:t>
      </w:r>
    </w:p>
    <w:p w14:paraId="4A9CF925" w14:textId="77777777" w:rsidR="00101669" w:rsidRPr="00BC50E6" w:rsidRDefault="00101669" w:rsidP="00DF383F">
      <w:pPr>
        <w:keepNext/>
        <w:keepLines/>
        <w:pBdr>
          <w:top w:val="nil"/>
          <w:left w:val="nil"/>
          <w:bottom w:val="nil"/>
          <w:right w:val="nil"/>
          <w:between w:val="nil"/>
        </w:pBdr>
        <w:spacing w:line="276" w:lineRule="auto"/>
        <w:ind w:left="567" w:hanging="567"/>
        <w:rPr>
          <w:rFonts w:eastAsia="Arial"/>
          <w:color w:val="000000" w:themeColor="text1"/>
          <w:lang w:val="en-GB" w:eastAsia="it-IT"/>
        </w:rPr>
      </w:pPr>
    </w:p>
    <w:p w14:paraId="030EDFC1" w14:textId="77777777" w:rsidR="00101669" w:rsidRPr="00BC50E6" w:rsidRDefault="00101669" w:rsidP="00DF383F">
      <w:pPr>
        <w:pStyle w:val="Heading2"/>
        <w:spacing w:line="276" w:lineRule="auto"/>
        <w:rPr>
          <w:rFonts w:eastAsia="Arial"/>
          <w:color w:val="000000" w:themeColor="text1"/>
          <w:shd w:val="clear" w:color="auto" w:fill="FFFFFF"/>
        </w:rPr>
      </w:pPr>
      <w:r>
        <w:rPr>
          <w:color w:val="000000" w:themeColor="text1"/>
        </w:rPr>
        <w:t>Organisaties van personen met een handicap spelen een sleutelrol bij nationale, Europese en internationale institutionele verbintenissen. Dat is al zo sinds 1976, toen de Algemene Vergadering van de Verenigde Naties 1981 uitriep tot Internationaal Jaar van personen met een handicap</w:t>
      </w:r>
      <w:r w:rsidRPr="00BC50E6">
        <w:rPr>
          <w:rStyle w:val="FootnoteReference"/>
          <w:rFonts w:eastAsia="Arial"/>
          <w:color w:val="000000" w:themeColor="text1"/>
          <w:lang w:val="en-GB" w:eastAsia="it-IT"/>
        </w:rPr>
        <w:footnoteReference w:id="4"/>
      </w:r>
      <w:r>
        <w:rPr>
          <w:color w:val="000000" w:themeColor="text1"/>
        </w:rPr>
        <w:t xml:space="preserve">. Met dit initiatief werd de lidstaten verzocht een nationaal, regionaal en internationaal actieplan op te stellen dat gericht was op gelijke kansen, revalidatie en preventie van handicaps. </w:t>
      </w:r>
    </w:p>
    <w:p w14:paraId="6971496C" w14:textId="77777777" w:rsidR="00101669" w:rsidRPr="00BC50E6" w:rsidRDefault="00101669" w:rsidP="00DF383F">
      <w:pPr>
        <w:pStyle w:val="Heading2"/>
        <w:spacing w:line="281" w:lineRule="auto"/>
        <w:rPr>
          <w:rFonts w:eastAsia="Arial"/>
          <w:color w:val="000000" w:themeColor="text1"/>
          <w:shd w:val="clear" w:color="auto" w:fill="FFFFFF"/>
        </w:rPr>
      </w:pPr>
      <w:r>
        <w:rPr>
          <w:color w:val="000000" w:themeColor="text1"/>
          <w:shd w:val="clear" w:color="auto" w:fill="FFFFFF"/>
        </w:rPr>
        <w:lastRenderedPageBreak/>
        <w:t>In 1980 werd Disabled Peoples’ International opgericht, waarmee voor het eerst een wereldwijde organisatie voor verschillende soorten handicaps ontstond.</w:t>
      </w:r>
    </w:p>
    <w:p w14:paraId="3A1AB4E3" w14:textId="77777777" w:rsidR="00101669" w:rsidRPr="00BC50E6" w:rsidRDefault="00101669" w:rsidP="00DF383F">
      <w:pPr>
        <w:spacing w:line="281" w:lineRule="auto"/>
        <w:ind w:left="567" w:hanging="567"/>
        <w:rPr>
          <w:rFonts w:eastAsia="Arial"/>
          <w:color w:val="000000" w:themeColor="text1"/>
          <w:shd w:val="clear" w:color="auto" w:fill="FFFFFF"/>
          <w:lang w:val="en-GB" w:eastAsia="it-IT"/>
        </w:rPr>
      </w:pPr>
    </w:p>
    <w:p w14:paraId="2D9A3D96" w14:textId="77777777" w:rsidR="00101669" w:rsidRPr="00BC50E6" w:rsidRDefault="00101669" w:rsidP="00DF383F">
      <w:pPr>
        <w:pStyle w:val="Heading2"/>
        <w:spacing w:line="281" w:lineRule="auto"/>
        <w:rPr>
          <w:rFonts w:eastAsia="Arial"/>
          <w:color w:val="000000" w:themeColor="text1"/>
          <w:shd w:val="clear" w:color="auto" w:fill="FFFFFF"/>
        </w:rPr>
      </w:pPr>
      <w:r>
        <w:rPr>
          <w:color w:val="000000" w:themeColor="text1"/>
          <w:shd w:val="clear" w:color="auto" w:fill="FFFFFF"/>
        </w:rPr>
        <w:t>Het thema van het Internationale Jaar van personen met een handicap was “volledige participatie en gelijkheid”, d.w.z. het recht van personen met een handicap om volwaardig deel te nemen aan het leven en aan de ontwikkeling van hun samenleving, om te genieten van dezelfde levensomstandigheden als andere burgers en om net als zij te profiteren van de verbetering van hun eigen toestand dankzij de sociaal-economische ontwikkeling.</w:t>
      </w:r>
    </w:p>
    <w:p w14:paraId="11396429" w14:textId="77777777" w:rsidR="00101669" w:rsidRPr="00BC50E6" w:rsidRDefault="00101669" w:rsidP="00DF383F">
      <w:pPr>
        <w:spacing w:line="281" w:lineRule="auto"/>
        <w:ind w:left="567" w:hanging="567"/>
        <w:rPr>
          <w:rFonts w:eastAsia="Arial"/>
          <w:color w:val="000000" w:themeColor="text1"/>
          <w:shd w:val="clear" w:color="auto" w:fill="FFFFFF"/>
          <w:lang w:val="en-GB" w:eastAsia="it-IT"/>
        </w:rPr>
      </w:pPr>
    </w:p>
    <w:p w14:paraId="61C42301" w14:textId="77777777" w:rsidR="00101669" w:rsidRPr="00BC50E6" w:rsidRDefault="00101669" w:rsidP="00DF383F">
      <w:pPr>
        <w:pStyle w:val="Heading2"/>
        <w:spacing w:line="281" w:lineRule="auto"/>
        <w:rPr>
          <w:rFonts w:eastAsia="Arial"/>
          <w:color w:val="000000" w:themeColor="text1"/>
          <w:shd w:val="clear" w:color="auto" w:fill="FFFFFF"/>
        </w:rPr>
      </w:pPr>
      <w:r>
        <w:rPr>
          <w:color w:val="000000" w:themeColor="text1"/>
          <w:shd w:val="clear" w:color="auto" w:fill="FFFFFF"/>
        </w:rPr>
        <w:t>Om regeringen en organisaties voldoende tijd te geven om de in het mondiale actieprogramma aanbevolen activiteiten uit te voeren, riep de Algemene Vergadering het VN-decennium van personen met een handicap uit, dat liep van 1983 tot 1992. Als uitvloeisel van dit decennium ontstonden de World Blind Union (1984) en het European Disability Forum (het Europees Gehandicaptenforum, 1996), de overkoepelende organisatie van verenigingen op Europees niveau, en de International Disability Alliance (1999), de wereldwijde overkoepelende organisatie.</w:t>
      </w:r>
    </w:p>
    <w:p w14:paraId="3C7FBA5A" w14:textId="77777777" w:rsidR="00101669" w:rsidRPr="00BC50E6" w:rsidRDefault="00101669" w:rsidP="00DF383F">
      <w:pPr>
        <w:spacing w:line="281" w:lineRule="auto"/>
        <w:ind w:left="567" w:hanging="567"/>
        <w:rPr>
          <w:rFonts w:eastAsia="Arial"/>
          <w:color w:val="000000" w:themeColor="text1"/>
          <w:shd w:val="clear" w:color="auto" w:fill="FFFFFF"/>
          <w:lang w:val="en-GB" w:eastAsia="it-IT"/>
        </w:rPr>
      </w:pPr>
    </w:p>
    <w:p w14:paraId="0B1CD222" w14:textId="77777777" w:rsidR="00101669" w:rsidRPr="00BC50E6" w:rsidRDefault="00101669" w:rsidP="00DF383F">
      <w:pPr>
        <w:pStyle w:val="Heading2"/>
        <w:spacing w:line="281" w:lineRule="auto"/>
        <w:rPr>
          <w:rFonts w:eastAsia="Arial"/>
          <w:color w:val="000000" w:themeColor="text1"/>
          <w:shd w:val="clear" w:color="auto" w:fill="FFFFFF"/>
        </w:rPr>
      </w:pPr>
      <w:r>
        <w:rPr>
          <w:color w:val="000000" w:themeColor="text1"/>
          <w:shd w:val="clear" w:color="auto" w:fill="FFFFFF"/>
        </w:rPr>
        <w:t>Vóór 1976 bestonden al de Wereldfederatie van Doven (1951) en twee organisaties die blinden vertegenwoordigen. Het zijn dus deze organisaties, de ngo’s (zie volgende paragraaf) en de nationale vertegenwoordigingen die met de Verenigde Naties moeten overleggen.</w:t>
      </w:r>
    </w:p>
    <w:p w14:paraId="6BB6281C" w14:textId="77777777" w:rsidR="00101669" w:rsidRPr="00BC50E6" w:rsidRDefault="00101669" w:rsidP="00DF383F">
      <w:pPr>
        <w:spacing w:line="281" w:lineRule="auto"/>
        <w:ind w:left="567" w:hanging="567"/>
        <w:rPr>
          <w:rFonts w:eastAsia="Arial"/>
          <w:color w:val="000000" w:themeColor="text1"/>
          <w:shd w:val="clear" w:color="auto" w:fill="FFFFFF"/>
          <w:lang w:val="en-GB" w:eastAsia="it-IT"/>
        </w:rPr>
      </w:pPr>
    </w:p>
    <w:p w14:paraId="462D9822" w14:textId="77777777" w:rsidR="00101669" w:rsidRPr="00BC50E6" w:rsidRDefault="00101669" w:rsidP="00DF383F">
      <w:pPr>
        <w:pStyle w:val="Heading2"/>
        <w:spacing w:line="281" w:lineRule="auto"/>
        <w:rPr>
          <w:rFonts w:eastAsia="Arial"/>
          <w:color w:val="000000" w:themeColor="text1"/>
          <w:shd w:val="clear" w:color="auto" w:fill="FFFFFF"/>
        </w:rPr>
      </w:pPr>
      <w:r>
        <w:rPr>
          <w:color w:val="000000" w:themeColor="text1"/>
          <w:shd w:val="clear" w:color="auto" w:fill="FFFFFF"/>
        </w:rPr>
        <w:t xml:space="preserve">Dit proces heeft het maatschappelijk middenveld, de verschillende lidstaten en de Verenigde Naties bij elkaar gebracht, waarbij alle betrokkenen een gemeenschappelijke taal moeten vinden om samen nieuwe wegen te verkennen. </w:t>
      </w:r>
    </w:p>
    <w:p w14:paraId="5E3221CC" w14:textId="77777777" w:rsidR="00101669" w:rsidRPr="00BC50E6" w:rsidRDefault="00101669" w:rsidP="00DF383F">
      <w:pPr>
        <w:spacing w:line="281" w:lineRule="auto"/>
        <w:ind w:left="567" w:hanging="567"/>
        <w:rPr>
          <w:color w:val="000000" w:themeColor="text1"/>
          <w:lang w:val="en-GB"/>
        </w:rPr>
      </w:pPr>
    </w:p>
    <w:p w14:paraId="444779F5" w14:textId="77777777" w:rsidR="00101669" w:rsidRPr="00BC50E6" w:rsidRDefault="00101669" w:rsidP="00DF383F">
      <w:pPr>
        <w:pStyle w:val="Heading1"/>
        <w:keepNext/>
        <w:keepLines/>
        <w:spacing w:line="281" w:lineRule="auto"/>
        <w:rPr>
          <w:b/>
          <w:bCs/>
          <w:color w:val="000000" w:themeColor="text1"/>
        </w:rPr>
      </w:pPr>
      <w:r>
        <w:rPr>
          <w:b/>
          <w:color w:val="000000" w:themeColor="text1"/>
        </w:rPr>
        <w:t>De rol van de ngo’s</w:t>
      </w:r>
    </w:p>
    <w:p w14:paraId="051E8699" w14:textId="77777777" w:rsidR="00101669" w:rsidRPr="00BC50E6" w:rsidRDefault="00101669" w:rsidP="00DF383F">
      <w:pPr>
        <w:keepNext/>
        <w:keepLines/>
        <w:pBdr>
          <w:top w:val="nil"/>
          <w:left w:val="nil"/>
          <w:bottom w:val="nil"/>
          <w:right w:val="nil"/>
          <w:between w:val="nil"/>
        </w:pBdr>
        <w:spacing w:line="281" w:lineRule="auto"/>
        <w:ind w:left="567" w:hanging="567"/>
        <w:rPr>
          <w:color w:val="000000" w:themeColor="text1"/>
          <w:lang w:val="en-GB"/>
        </w:rPr>
      </w:pPr>
    </w:p>
    <w:p w14:paraId="7F1E3FD8" w14:textId="77777777" w:rsidR="00101669" w:rsidRPr="00BC50E6" w:rsidRDefault="00101669" w:rsidP="00DF383F">
      <w:pPr>
        <w:pStyle w:val="Heading2"/>
        <w:spacing w:line="281" w:lineRule="auto"/>
        <w:rPr>
          <w:color w:val="000000" w:themeColor="text1"/>
        </w:rPr>
      </w:pPr>
      <w:r>
        <w:rPr>
          <w:color w:val="000000" w:themeColor="text1"/>
        </w:rPr>
        <w:t>De Europese Unie werkt actief samen met ngo’s om inclusief beleid te ontwikkelen en te verbeteren, nauwkeurige gegevens te verzamelen en het bewustzijn inzake handicaps te vergroten.</w:t>
      </w:r>
    </w:p>
    <w:p w14:paraId="46843E60" w14:textId="77777777" w:rsidR="00101669" w:rsidRPr="00BC50E6" w:rsidRDefault="00101669" w:rsidP="00DF383F">
      <w:pPr>
        <w:spacing w:line="281" w:lineRule="auto"/>
        <w:ind w:left="567" w:hanging="567"/>
        <w:rPr>
          <w:color w:val="000000" w:themeColor="text1"/>
          <w:lang w:val="en-GB"/>
        </w:rPr>
      </w:pPr>
    </w:p>
    <w:p w14:paraId="5A59BAEC" w14:textId="77777777" w:rsidR="00101669" w:rsidRPr="00BC50E6" w:rsidRDefault="00101669" w:rsidP="00DF383F">
      <w:pPr>
        <w:pStyle w:val="Heading2"/>
        <w:spacing w:line="281" w:lineRule="auto"/>
        <w:rPr>
          <w:i/>
          <w:color w:val="000000" w:themeColor="text1"/>
        </w:rPr>
      </w:pPr>
      <w:r>
        <w:rPr>
          <w:color w:val="000000" w:themeColor="text1"/>
        </w:rPr>
        <w:t>Ngo’s en bewegingen voor de rechten van personen met een handicap oefenen invloed uit op de diplomatie door aan te dringen op meer inclusieve wetgeving, druk uit te oefenen op de lidstaten om hun internationale verplichtingen na te komen en toe te zien op de uitvoering van het VN-Verdrag inzake de rechten van personen met een handicap. Organisaties als Human Rights Watch en CBM International werken bijvoorbeeld samen met overheden en instellingen om ervoor te zorgen dat ontwikkelingsbeleid rekening houdt met handicaps.</w:t>
      </w:r>
    </w:p>
    <w:p w14:paraId="3F64C59A" w14:textId="77777777" w:rsidR="00101669" w:rsidRPr="00BC50E6" w:rsidRDefault="00101669" w:rsidP="00DF383F">
      <w:pPr>
        <w:spacing w:line="281" w:lineRule="auto"/>
        <w:ind w:left="567" w:hanging="567"/>
        <w:rPr>
          <w:color w:val="000000" w:themeColor="text1"/>
          <w:lang w:val="en-GB"/>
        </w:rPr>
      </w:pPr>
    </w:p>
    <w:p w14:paraId="17FD84EE" w14:textId="77777777" w:rsidR="00101669" w:rsidRPr="00BC50E6" w:rsidRDefault="00101669" w:rsidP="00DF383F">
      <w:pPr>
        <w:pStyle w:val="Heading2"/>
        <w:spacing w:line="281" w:lineRule="auto"/>
        <w:rPr>
          <w:color w:val="000000" w:themeColor="text1"/>
        </w:rPr>
      </w:pPr>
      <w:r>
        <w:rPr>
          <w:color w:val="000000" w:themeColor="text1"/>
        </w:rPr>
        <w:t>Het Internationaal Consortium voor handicaps en ontwikkeling (IDDC) is een belangrijk voorbeeld. Het is een netwerk van organisaties uit het maatschappelijk middenveld die samenwerken om inclusieve internationale ontwikkeling en humanitaire actie te bevorderen, en er met name voor te zorgen dat alle personen met een handicap ten volle en daadwerkelijk van hun mensenrechten kunnen genieten. De structurele samenwerking tussen gehandicaptenorganisaties en ngo’s staat centraal in het werk van het IDDC. Naast de interne samenwerking wordt er dagelijks gewerkt aan het opbouwen van een vertrouwensrelatie tussen gehandicaptenorganisaties, donoren (staten, regionale en particuliere organisaties) en deskundigen (ngo’s).</w:t>
      </w:r>
    </w:p>
    <w:p w14:paraId="29FC68BA" w14:textId="77777777" w:rsidR="00101669" w:rsidRPr="00BC50E6" w:rsidRDefault="00101669" w:rsidP="006A79E7">
      <w:pPr>
        <w:pStyle w:val="Heading2"/>
        <w:rPr>
          <w:color w:val="000000" w:themeColor="text1"/>
        </w:rPr>
      </w:pPr>
      <w:r>
        <w:rPr>
          <w:color w:val="000000" w:themeColor="text1"/>
        </w:rPr>
        <w:lastRenderedPageBreak/>
        <w:t>De activiteiten van ngo’s kunnen als volgt worden samengevat: belangenbehartiging op lokaal, nationaal en internationaal niveau, het verzamelen van gegevens om gedetailleerde rapporten op te stellen waarin het beleid van instellingen wordt gemonitord; het organiseren van bewustmakings- en voorlichtingscampagnes om de rechten van personen met een handicap te bevorderen en stigmatisering en discriminatie tegen te gaan, en het rechtstreeks verlenen van diensten aan personen met een handicap om hen te ondersteunen in hun dagelijks leven</w:t>
      </w:r>
      <w:r w:rsidRPr="00BC50E6">
        <w:rPr>
          <w:rStyle w:val="FootnoteReference"/>
          <w:color w:val="000000" w:themeColor="text1"/>
          <w:szCs w:val="24"/>
          <w:lang w:val="en-GB"/>
        </w:rPr>
        <w:footnoteReference w:id="5"/>
      </w:r>
      <w:r>
        <w:rPr>
          <w:color w:val="000000" w:themeColor="text1"/>
        </w:rPr>
        <w:t>.</w:t>
      </w:r>
    </w:p>
    <w:p w14:paraId="534A6E3A" w14:textId="77777777" w:rsidR="00101669" w:rsidRPr="00BC50E6" w:rsidRDefault="00101669" w:rsidP="006A79E7">
      <w:pPr>
        <w:ind w:left="567" w:hanging="567"/>
        <w:rPr>
          <w:color w:val="000000" w:themeColor="text1"/>
          <w:lang w:val="en-GB"/>
        </w:rPr>
      </w:pPr>
    </w:p>
    <w:p w14:paraId="69738BEC" w14:textId="77777777" w:rsidR="00101669" w:rsidRPr="00BC50E6" w:rsidRDefault="00101669" w:rsidP="006A79E7">
      <w:pPr>
        <w:pStyle w:val="Heading1"/>
        <w:keepNext/>
        <w:keepLines/>
        <w:rPr>
          <w:rFonts w:eastAsia="Arial"/>
          <w:b/>
          <w:bCs/>
          <w:color w:val="000000" w:themeColor="text1"/>
        </w:rPr>
      </w:pPr>
      <w:r>
        <w:rPr>
          <w:b/>
          <w:color w:val="000000" w:themeColor="text1"/>
        </w:rPr>
        <w:t>Landen</w:t>
      </w:r>
    </w:p>
    <w:p w14:paraId="10CBC94F" w14:textId="77777777" w:rsidR="00101669" w:rsidRPr="00BC50E6" w:rsidRDefault="00101669" w:rsidP="006A79E7">
      <w:pPr>
        <w:keepNext/>
        <w:keepLines/>
        <w:ind w:left="567" w:hanging="567"/>
        <w:rPr>
          <w:rFonts w:eastAsia="Arial"/>
          <w:color w:val="000000" w:themeColor="text1"/>
          <w:lang w:val="en-GB" w:eastAsia="it-IT"/>
        </w:rPr>
      </w:pPr>
    </w:p>
    <w:p w14:paraId="74F696BD" w14:textId="0491A8D3" w:rsidR="00101669" w:rsidRPr="00BC50E6" w:rsidRDefault="00101669" w:rsidP="006A79E7">
      <w:pPr>
        <w:pStyle w:val="Heading2"/>
        <w:rPr>
          <w:color w:val="000000" w:themeColor="text1"/>
        </w:rPr>
      </w:pPr>
      <w:r>
        <w:rPr>
          <w:color w:val="000000" w:themeColor="text1"/>
        </w:rPr>
        <w:t>Veel landen maken zelfstandig gebruik van diplomatie om juridische en sociale hervormingen in partnerlanden te bevorderen, hulp en financiering afhankelijk te maken van de naleving van de rechten van personen met een handicap, goede praktijken uit te wisselen en technische samenwerking te ondersteunen.</w:t>
      </w:r>
    </w:p>
    <w:p w14:paraId="3301D5F5" w14:textId="77777777" w:rsidR="00101669" w:rsidRPr="00BC50E6" w:rsidRDefault="00101669" w:rsidP="006A79E7">
      <w:pPr>
        <w:ind w:left="567" w:hanging="567"/>
        <w:rPr>
          <w:rFonts w:eastAsia="Arial"/>
          <w:bCs/>
          <w:color w:val="000000" w:themeColor="text1"/>
          <w:lang w:val="en-GB" w:eastAsia="it-IT"/>
        </w:rPr>
      </w:pPr>
    </w:p>
    <w:p w14:paraId="348A7357" w14:textId="6F90C7D7" w:rsidR="00F0454A" w:rsidRPr="00BC50E6" w:rsidRDefault="00F0454A" w:rsidP="006A79E7">
      <w:pPr>
        <w:pStyle w:val="Heading2"/>
        <w:rPr>
          <w:iCs/>
        </w:rPr>
      </w:pPr>
      <w:r>
        <w:t>Voor het opstellen van dit informatief rapport werd een gedeeltelijk onderzoek uitgevoerd door middel van een specifieke vragenlijst die naar vertegenwoordigers van een aantal geselecteerde EU-lidstaten werd gestuurd. Het doel van de vragenlijst was te onderzoeken hoe handicap een integrerend onderdeel is geworden van de internationale betrekkingen en diplomatie, met name sinds de goedkeuring van het VN-Verdrag inzake de rechten van personen met een handicap. Er werd geprobeerd inzicht te krijgen in de veranderende rol van staten, gehandicaptenorganisaties en ngo’s bij het bevorderen, toepassen en monitoren van de rechten van personen met een handicap die in internationale kaders zijn vastgelegd. Daarnaast werd gekeken naar de invloed van juridische en sociaal-culturele ontwikkelingen op dit proces en werd nagegaan welke maatregelen in de toekomst kunnen worden genomen om een inclusievere diplomatie op het gebied van handicaps te bevorderen.</w:t>
      </w:r>
    </w:p>
    <w:p w14:paraId="0114199C" w14:textId="77777777" w:rsidR="00F0454A" w:rsidRPr="00BC50E6" w:rsidRDefault="00F0454A" w:rsidP="00BC50E6">
      <w:pPr>
        <w:rPr>
          <w:rFonts w:eastAsia="Arial"/>
          <w:lang w:val="en-GB"/>
        </w:rPr>
      </w:pPr>
    </w:p>
    <w:p w14:paraId="6879F73C" w14:textId="6D5BBD71" w:rsidR="00101669" w:rsidRPr="00BC50E6" w:rsidRDefault="00101669" w:rsidP="006A79E7">
      <w:pPr>
        <w:pStyle w:val="Heading2"/>
        <w:rPr>
          <w:rFonts w:eastAsia="Arial"/>
          <w:color w:val="000000" w:themeColor="text1"/>
        </w:rPr>
      </w:pPr>
      <w:r>
        <w:t>In Europa</w:t>
      </w:r>
      <w:r>
        <w:rPr>
          <w:color w:val="000000" w:themeColor="text1"/>
        </w:rPr>
        <w:t xml:space="preserve"> hebben</w:t>
      </w:r>
      <w:r>
        <w:t xml:space="preserve"> Zweden, Litouwen en Duitsland </w:t>
      </w:r>
      <w:r>
        <w:rPr>
          <w:color w:val="000000" w:themeColor="text1"/>
        </w:rPr>
        <w:t>op politiek niveau sterk de nadruk gelegd op de rechten van personen met een handicap door</w:t>
      </w:r>
      <w:r>
        <w:t xml:space="preserve"> het VN-Verdrag inzake de rechten van personen met een handicap om te zetten.</w:t>
      </w:r>
      <w:r>
        <w:rPr>
          <w:color w:val="000000" w:themeColor="text1"/>
        </w:rPr>
        <w:t xml:space="preserve"> Ook Polen boekt belangrijke vooruitgang.</w:t>
      </w:r>
    </w:p>
    <w:p w14:paraId="2A0EB3D5" w14:textId="77777777" w:rsidR="00101669" w:rsidRPr="00BC50E6" w:rsidRDefault="00101669" w:rsidP="006A79E7">
      <w:pPr>
        <w:ind w:left="567" w:hanging="567"/>
        <w:rPr>
          <w:rFonts w:eastAsia="Arial"/>
          <w:bCs/>
          <w:color w:val="000000" w:themeColor="text1"/>
          <w:lang w:val="en-GB" w:eastAsia="it-IT"/>
        </w:rPr>
      </w:pPr>
    </w:p>
    <w:p w14:paraId="1115AF99" w14:textId="77777777" w:rsidR="00101669" w:rsidRPr="00BC50E6" w:rsidRDefault="00101669" w:rsidP="006A79E7">
      <w:pPr>
        <w:pStyle w:val="Heading3"/>
        <w:rPr>
          <w:rFonts w:eastAsia="Arial"/>
          <w:color w:val="000000" w:themeColor="text1"/>
        </w:rPr>
      </w:pPr>
      <w:r>
        <w:rPr>
          <w:color w:val="000000" w:themeColor="text1"/>
        </w:rPr>
        <w:t>Zweden heeft een sterk regelgevingskader voor de inclusie van personen met een handicap en heeft een nationale strategie voor mensen met een handicap (2021-2031) aangenomen die alle aspecten van het leven van deze personen omvat. Deze strategie heeft tot doel ervoor te zorgen dat personen met een handicap aan alle facetten van de samenleving kunnen deelnemen, met bijzondere aandacht voor toegankelijkheid, inclusief onderwijs en werkgelegenheid. Wat de toegankelijkheid van steden betreft, heeft de Zweedse regering strenge voorschriften ingevoerd om algemene toegang tot openbare gebouwen, vervoer en digitale infrastructuur te waarborgen.</w:t>
      </w:r>
    </w:p>
    <w:p w14:paraId="0621692E" w14:textId="77777777" w:rsidR="0065601D" w:rsidRPr="00BC50E6" w:rsidRDefault="0065601D" w:rsidP="006A79E7">
      <w:pPr>
        <w:pBdr>
          <w:top w:val="nil"/>
          <w:left w:val="nil"/>
          <w:bottom w:val="nil"/>
          <w:right w:val="nil"/>
          <w:between w:val="nil"/>
        </w:pBdr>
        <w:ind w:left="567"/>
        <w:rPr>
          <w:color w:val="000000" w:themeColor="text1"/>
          <w:lang w:val="en-GB"/>
        </w:rPr>
      </w:pPr>
    </w:p>
    <w:p w14:paraId="07FE436C" w14:textId="127AA53A" w:rsidR="00101669" w:rsidRPr="00BC50E6" w:rsidRDefault="00101669" w:rsidP="006A79E7">
      <w:pPr>
        <w:pBdr>
          <w:top w:val="nil"/>
          <w:left w:val="nil"/>
          <w:bottom w:val="nil"/>
          <w:right w:val="nil"/>
          <w:between w:val="nil"/>
        </w:pBdr>
        <w:ind w:left="567"/>
        <w:rPr>
          <w:rFonts w:eastAsia="Arial"/>
          <w:color w:val="000000" w:themeColor="text1"/>
        </w:rPr>
      </w:pPr>
      <w:r>
        <w:rPr>
          <w:color w:val="000000" w:themeColor="text1"/>
        </w:rPr>
        <w:t xml:space="preserve">Twee van de belangrijkste wetten die in Zweden zijn aangenomen, zijn de wet inzake ondersteuning en dienstverlening aan bepaalde personen met een handicap (LSS – </w:t>
      </w:r>
      <w:r>
        <w:rPr>
          <w:i/>
          <w:color w:val="000000" w:themeColor="text1"/>
        </w:rPr>
        <w:t>Lagen om stöd och service till vissa funktionshindrade</w:t>
      </w:r>
      <w:r>
        <w:rPr>
          <w:color w:val="000000" w:themeColor="text1"/>
        </w:rPr>
        <w:t>) en de antidiscriminatiewet (</w:t>
      </w:r>
      <w:r>
        <w:rPr>
          <w:i/>
          <w:color w:val="000000" w:themeColor="text1"/>
        </w:rPr>
        <w:t>Diskrimineringslagen</w:t>
      </w:r>
      <w:r>
        <w:rPr>
          <w:color w:val="000000" w:themeColor="text1"/>
        </w:rPr>
        <w:t>), waarin staat dat geen enkele persoon met een handicap onrechtvaardig mag worden behandeld of de mogelijkheid mag worden ontzegd om deel te nemen aan het maatschappelijk leven.</w:t>
      </w:r>
    </w:p>
    <w:p w14:paraId="396E4B3D" w14:textId="6CE159AE" w:rsidR="00101669" w:rsidRPr="00BC50E6" w:rsidRDefault="00101669" w:rsidP="006A79E7">
      <w:pPr>
        <w:pStyle w:val="Heading3"/>
        <w:rPr>
          <w:rFonts w:eastAsia="Arial"/>
          <w:color w:val="000000" w:themeColor="text1"/>
        </w:rPr>
      </w:pPr>
      <w:r>
        <w:rPr>
          <w:color w:val="000000" w:themeColor="text1"/>
        </w:rPr>
        <w:lastRenderedPageBreak/>
        <w:t>De ratificatie van het VN-Verdrag inzake de rechten van personen met een handicap gaf Litouwen een rechtsgrond om zijn gehandicaptenbeleid te hervormen. Zo is het land overgestapt naar een meer persoonsgericht model om beperkingen te beoordelen en werd het beginsel van universeel ontwerp in openbare diensten bevorderd. Toch kwam de grootste verandering op het terrein vooral door het feit dat maatschappelijke organisaties een steeds grotere rol gingen spelen, en met name de gehandicaptenorganisaties. Zo hebben Litouwse gehandicaptenorganisaties, met name de overkoepelende vereniging (het Litouws gehandicaptenforum), sterk bijgedragen aan het bevorderen van de-institutionalisering en van inclusief onderwijs en hebben zij ervoor gezorgd dat de hervormingen rekening houden met de ervaringen van mensen met een handicap. Bewustmakingscampagnes en samenwerking met ngo’s op het gebied van handicaps en mensenrechten, die handicaps in het mensenrechtenkader opnemen, hebben ook de maatschappelijke perceptie veranderd. Inclusie wordt steeds meer gezien als een gedeelde waarde. Hoewel het internationaal recht de normen vastlegt, is het dus vooral het culturele en maatschappelijke engagement in Litouwen dat deze normen tot leven brengt. Zo is er in Litouwen veel steun voor gelijke toegang tot diensten voor Oekraïense vluchtelingen met een handicap. Zij krijgen dezelfde bijstand als Litouwse burgers. Litouwen benadrukt op internationale fora dat de Russische aanvalsoorlog tegen Oekraïne personen met een handicap extra zwaar treft en pleit daar voor inclusieve en toegankelijke humanitaire hulp.</w:t>
      </w:r>
    </w:p>
    <w:p w14:paraId="3B61D661" w14:textId="77777777" w:rsidR="0065601D" w:rsidRPr="006A79E7" w:rsidRDefault="0065601D" w:rsidP="006A79E7">
      <w:pPr>
        <w:pStyle w:val="Heading3"/>
        <w:numPr>
          <w:ilvl w:val="0"/>
          <w:numId w:val="0"/>
        </w:numPr>
        <w:ind w:left="567"/>
        <w:rPr>
          <w:color w:val="000000" w:themeColor="text1"/>
          <w:lang w:val="fr-FR"/>
        </w:rPr>
      </w:pPr>
    </w:p>
    <w:p w14:paraId="57493176" w14:textId="25E41E0E" w:rsidR="00101669" w:rsidRPr="00BC50E6" w:rsidRDefault="00101669" w:rsidP="006A79E7">
      <w:pPr>
        <w:pStyle w:val="Heading3"/>
        <w:numPr>
          <w:ilvl w:val="0"/>
          <w:numId w:val="0"/>
        </w:numPr>
        <w:ind w:left="567"/>
        <w:rPr>
          <w:rFonts w:eastAsia="Arial"/>
          <w:color w:val="000000" w:themeColor="text1"/>
        </w:rPr>
      </w:pPr>
      <w:r>
        <w:rPr>
          <w:color w:val="000000" w:themeColor="text1"/>
        </w:rPr>
        <w:t>Ter bevestiging van zijn langdurige mondiale inzet heeft Litouwen een vertegenwoordiger van een Litouwse gehandicaptenorganisatie voorgedragen voor verkiezing in het VN-Comité voor de rechten van personen met een handicap voor de mandaatsperiode 2027-2030.</w:t>
      </w:r>
    </w:p>
    <w:p w14:paraId="2DFB4E97" w14:textId="77777777" w:rsidR="00101669" w:rsidRPr="00BC50E6" w:rsidRDefault="00101669" w:rsidP="006A79E7">
      <w:pPr>
        <w:rPr>
          <w:rFonts w:eastAsia="Arial"/>
          <w:color w:val="000000" w:themeColor="text1"/>
          <w:lang w:val="en-GB" w:eastAsia="it-IT"/>
        </w:rPr>
      </w:pPr>
    </w:p>
    <w:p w14:paraId="1D02BEB7" w14:textId="77777777" w:rsidR="00101669" w:rsidRPr="00BC50E6" w:rsidRDefault="00101669" w:rsidP="006A79E7">
      <w:pPr>
        <w:pStyle w:val="Heading3"/>
        <w:rPr>
          <w:rFonts w:eastAsia="Arial"/>
          <w:color w:val="000000" w:themeColor="text1"/>
        </w:rPr>
      </w:pPr>
      <w:r>
        <w:rPr>
          <w:color w:val="000000" w:themeColor="text1"/>
        </w:rPr>
        <w:t>Duitsland heeft in 2002 de wet inzake gelijke kansen voor personen met een handicap (</w:t>
      </w:r>
      <w:r>
        <w:rPr>
          <w:i/>
          <w:color w:val="000000" w:themeColor="text1"/>
        </w:rPr>
        <w:t>Behindertengleichstellungsgesetz</w:t>
      </w:r>
      <w:r>
        <w:rPr>
          <w:color w:val="000000" w:themeColor="text1"/>
        </w:rPr>
        <w:t>) ingevoerd, die de basis vormt voor de bevordering van hun sociale integratie en gelijkheid.</w:t>
      </w:r>
    </w:p>
    <w:p w14:paraId="58EA6883" w14:textId="77777777" w:rsidR="0065601D" w:rsidRPr="00BC50E6" w:rsidRDefault="0065601D" w:rsidP="006A79E7">
      <w:pPr>
        <w:ind w:left="567"/>
        <w:rPr>
          <w:color w:val="000000" w:themeColor="text1"/>
          <w:lang w:val="en-GB"/>
        </w:rPr>
      </w:pPr>
    </w:p>
    <w:p w14:paraId="0D5B2D61" w14:textId="4543E664" w:rsidR="00101669" w:rsidRPr="00BC50E6" w:rsidRDefault="00101669" w:rsidP="006A79E7">
      <w:pPr>
        <w:ind w:left="567"/>
        <w:rPr>
          <w:rFonts w:eastAsia="Arial"/>
          <w:color w:val="000000" w:themeColor="text1"/>
        </w:rPr>
      </w:pPr>
      <w:r>
        <w:rPr>
          <w:color w:val="000000" w:themeColor="text1"/>
        </w:rPr>
        <w:t>Er zijn ook vruchtbare inspanningen geleverd om deze mensen zelfstandig te laten wonen, met gepersonaliseerde zorgdiensten en thuisondersteuning. Daarnaast heeft Duitsland een index voor de gelijkheid van personen met een handicap (DEI – Disability Equality Index) ontwikkeld om de inclusie van personen met een handicap in het beleid en in openbare en particuliere instellingen te monitoren en te evalueren. Deze index meet de vooruitgang, gaat na wat de verbeterpunten zijn en bevordert voortdurende veranderingen in de openbare en particuliere sector.</w:t>
      </w:r>
    </w:p>
    <w:p w14:paraId="7DE88CDE" w14:textId="77777777" w:rsidR="00101669" w:rsidRPr="00BC50E6" w:rsidRDefault="00101669" w:rsidP="006A79E7">
      <w:pPr>
        <w:ind w:left="567"/>
        <w:rPr>
          <w:rFonts w:eastAsia="Arial"/>
          <w:color w:val="000000" w:themeColor="text1"/>
          <w:lang w:val="en-GB" w:eastAsia="it-IT"/>
        </w:rPr>
      </w:pPr>
    </w:p>
    <w:p w14:paraId="5D712E69" w14:textId="77777777" w:rsidR="00101669" w:rsidRPr="00BC50E6" w:rsidRDefault="00101669" w:rsidP="006A79E7">
      <w:pPr>
        <w:pStyle w:val="Heading3"/>
        <w:rPr>
          <w:rFonts w:eastAsia="Arial"/>
          <w:color w:val="000000" w:themeColor="text1"/>
        </w:rPr>
      </w:pPr>
      <w:r>
        <w:rPr>
          <w:color w:val="000000" w:themeColor="text1"/>
        </w:rPr>
        <w:t>Polen draagt in belangrijke mate bij aan de paradigmaverschuiving in de wijze waarop het hebben van een handicap maatschappelijk en cultureel wordt benaderd. Het organiseert twee belangrijke evenementen die een grote impact hebben op de bevolking:</w:t>
      </w:r>
    </w:p>
    <w:p w14:paraId="5A0E6575" w14:textId="77777777" w:rsidR="00101669" w:rsidRPr="00BC50E6" w:rsidRDefault="00101669" w:rsidP="006A79E7">
      <w:pPr>
        <w:rPr>
          <w:rFonts w:eastAsia="Arial"/>
          <w:color w:val="000000" w:themeColor="text1"/>
          <w:lang w:val="en-GB" w:eastAsia="it-IT"/>
        </w:rPr>
      </w:pPr>
    </w:p>
    <w:p w14:paraId="7557283F" w14:textId="77777777" w:rsidR="00101669" w:rsidRPr="00BC50E6" w:rsidRDefault="00101669" w:rsidP="00BC50E6">
      <w:pPr>
        <w:pStyle w:val="Heading3"/>
        <w:numPr>
          <w:ilvl w:val="0"/>
          <w:numId w:val="4"/>
        </w:numPr>
        <w:ind w:left="924" w:hanging="357"/>
        <w:rPr>
          <w:rFonts w:eastAsia="Arial"/>
          <w:color w:val="000000" w:themeColor="text1"/>
        </w:rPr>
      </w:pPr>
      <w:r>
        <w:rPr>
          <w:color w:val="000000" w:themeColor="text1"/>
        </w:rPr>
        <w:t xml:space="preserve">het Europees Filmfestival “Integratie jij en ik” in Koszalin, in het noorden van Polen. Dit festival bestaat sinds 2003 en brengt het thema handicap naar de filmkunst. Het festival heeft niet alleen artistieke waarde, maar is ook maatschappelijk van belang. Het stimuleert debatten over de leefwereld van mensen met een handicap en over hun integratieproces. Sinds de start zijn er ongeveer 780 belangrijke, waardevolle en moedige films vertoond. Elk jaar komen acteurs, regisseurs, scenarioschrijvers, filmcritici, docenten en bekendheden uit de cultuur- en mediawereld naar Koszalin. Daarnaast worden op meer dan dertig andere </w:t>
      </w:r>
      <w:r>
        <w:rPr>
          <w:color w:val="000000" w:themeColor="text1"/>
        </w:rPr>
        <w:lastRenderedPageBreak/>
        <w:t>plaatsen in Polen kleinere versies van het festival georganiseerd door lokale culturele organisaties. De festivalfilms worden ook vertoond in arthousebioscopen in een tiental grote Poolse steden;</w:t>
      </w:r>
    </w:p>
    <w:p w14:paraId="2BAFE48F" w14:textId="7F3484D7" w:rsidR="00101669" w:rsidRPr="0065601D" w:rsidRDefault="00101669" w:rsidP="00BC50E6">
      <w:pPr>
        <w:pStyle w:val="ListParagraph"/>
        <w:numPr>
          <w:ilvl w:val="0"/>
          <w:numId w:val="3"/>
        </w:numPr>
        <w:ind w:left="924" w:hanging="357"/>
        <w:rPr>
          <w:rFonts w:eastAsia="Arial"/>
          <w:color w:val="000000" w:themeColor="text1"/>
        </w:rPr>
      </w:pPr>
      <w:r>
        <w:rPr>
          <w:color w:val="000000" w:themeColor="text1"/>
        </w:rPr>
        <w:t>het 28e Songfestival voor jongeren met een handicap, dat plaatsvindt in Ciechocinek. Dit</w:t>
      </w:r>
      <w:r w:rsidR="00DF383F">
        <w:rPr>
          <w:color w:val="000000" w:themeColor="text1"/>
        </w:rPr>
        <w:t> </w:t>
      </w:r>
      <w:r>
        <w:rPr>
          <w:color w:val="000000" w:themeColor="text1"/>
        </w:rPr>
        <w:t>festival is veel meer dan een reeks concerten en workshops. Het is een platform voor sociale integratie, educatieve ondersteuning en de bevordering van gelijke toegang tot cultuur. Elk jaar nemen vijftig jongeren uit heel Polen eraan deel. Tien dagen lang werken ze met de beste muziekdocenten aan de ontwikkeling van hun zang- en podiumtalent.</w:t>
      </w:r>
    </w:p>
    <w:p w14:paraId="478C10F8" w14:textId="77777777" w:rsidR="00685673" w:rsidRDefault="00685673" w:rsidP="006A79E7">
      <w:pPr>
        <w:ind w:left="567"/>
        <w:rPr>
          <w:color w:val="000000" w:themeColor="text1"/>
          <w:lang w:val="en-GB"/>
        </w:rPr>
      </w:pPr>
    </w:p>
    <w:p w14:paraId="15E01C8A" w14:textId="7B8C1199" w:rsidR="00101669" w:rsidRPr="00BC50E6" w:rsidRDefault="00101669" w:rsidP="006A79E7">
      <w:pPr>
        <w:ind w:left="567"/>
        <w:rPr>
          <w:rFonts w:eastAsia="Arial"/>
          <w:color w:val="000000" w:themeColor="text1"/>
        </w:rPr>
      </w:pPr>
      <w:r>
        <w:rPr>
          <w:color w:val="000000" w:themeColor="text1"/>
        </w:rPr>
        <w:t>Op 23 juni 2025, aan het einde van het Poolse voorzitterschap, nam Polen het initiatief voor de Verklaring over bewustmaking rond personen met een handicap, die door 25 EU-lidstaten werd ondertekend.</w:t>
      </w:r>
    </w:p>
    <w:p w14:paraId="51B3A4C3" w14:textId="77777777" w:rsidR="00101669" w:rsidRPr="00BC50E6" w:rsidRDefault="00101669" w:rsidP="006A79E7">
      <w:pPr>
        <w:rPr>
          <w:rFonts w:eastAsia="Arial"/>
          <w:color w:val="000000" w:themeColor="text1"/>
          <w:lang w:val="en-GB" w:eastAsia="it-IT"/>
        </w:rPr>
      </w:pPr>
    </w:p>
    <w:p w14:paraId="73C4A361" w14:textId="77777777" w:rsidR="00101669" w:rsidRPr="00BC50E6" w:rsidRDefault="00101669" w:rsidP="006A79E7">
      <w:pPr>
        <w:pStyle w:val="Heading2"/>
        <w:rPr>
          <w:rFonts w:eastAsia="Arial"/>
          <w:color w:val="000000" w:themeColor="text1"/>
        </w:rPr>
      </w:pPr>
      <w:r>
        <w:rPr>
          <w:color w:val="000000" w:themeColor="text1"/>
        </w:rPr>
        <w:t>Buiten de Europese Unie zijn het met name Canada, Australië en Nieuw-Zeeland die het meest opkomen voor de rechten van personen met een handicap.</w:t>
      </w:r>
    </w:p>
    <w:p w14:paraId="59BCB892" w14:textId="77777777" w:rsidR="00101669" w:rsidRPr="00BC50E6" w:rsidRDefault="00101669" w:rsidP="006A79E7">
      <w:pPr>
        <w:ind w:left="567" w:hanging="567"/>
        <w:rPr>
          <w:rFonts w:eastAsia="Arial"/>
          <w:color w:val="000000" w:themeColor="text1"/>
          <w:lang w:val="en-GB" w:eastAsia="it-IT"/>
        </w:rPr>
      </w:pPr>
    </w:p>
    <w:p w14:paraId="3801AE74" w14:textId="77777777" w:rsidR="00101669" w:rsidRPr="00BC50E6" w:rsidRDefault="00101669" w:rsidP="006A79E7">
      <w:pPr>
        <w:pStyle w:val="Heading3"/>
        <w:rPr>
          <w:rFonts w:eastAsia="Arial"/>
          <w:color w:val="000000" w:themeColor="text1"/>
        </w:rPr>
      </w:pPr>
      <w:r>
        <w:rPr>
          <w:color w:val="000000" w:themeColor="text1"/>
        </w:rPr>
        <w:t>In Canada heeft de Accessible Canada Act (2019) tot doel het land tegen 2040 volledig toegankelijk te maken in sectoren zoals vervoer, communicatie en openbare diensten. Canada heeft ook een krachtig beleid gevoerd om integratie op de arbeidsmarkt en zelfstandig wonen te bevorderen door middel van opleidingsprogramma’s, stimulansen voor werkgevers en gerichte wervingsregels. Daarnaast wordt er veel belang gehecht aan rechtstreekse raadpleging van personen met een handicap. Zij nemen deel aan het besluitvormingsproces over beleid dat hen aangaat. Op deze manier worden hun standpunten gehoord en serieus genomen.</w:t>
      </w:r>
    </w:p>
    <w:p w14:paraId="338E63D2" w14:textId="77777777" w:rsidR="00101669" w:rsidRPr="00BC50E6" w:rsidRDefault="00101669" w:rsidP="006A79E7">
      <w:pPr>
        <w:ind w:left="567" w:hanging="567"/>
        <w:rPr>
          <w:rFonts w:eastAsia="Arial"/>
          <w:color w:val="000000" w:themeColor="text1"/>
          <w:lang w:val="en-GB" w:eastAsia="it-IT"/>
        </w:rPr>
      </w:pPr>
    </w:p>
    <w:p w14:paraId="7898344B" w14:textId="77777777" w:rsidR="00101669" w:rsidRPr="00BC50E6" w:rsidRDefault="00101669" w:rsidP="006A79E7">
      <w:pPr>
        <w:pStyle w:val="Heading3"/>
        <w:rPr>
          <w:rFonts w:eastAsia="Arial"/>
          <w:color w:val="000000" w:themeColor="text1"/>
        </w:rPr>
      </w:pPr>
      <w:r>
        <w:rPr>
          <w:color w:val="000000" w:themeColor="text1"/>
        </w:rPr>
        <w:t>Australië heeft een van de meest geavanceerde regelingen voor de economische ondersteuning van personen met een handicap en het bevorderen van hun onafhankelijkheid: het National Disability Insurance Scheme (NDIS). Dit programma biedt namelijk gepersonaliseerde financiële ondersteuning. De gebruikers kunnen de diensten kiezen die het best aansluiten bij hun behoeften op het gebied van zelfstandig wonen. Daarnaast werkt Australië hard aan toegankelijkheid en participatie, neemt het maatregelen om belemmeringen in verband met de infrastructuur in de openbare ruimte weg te nemen en bevordert het de vertegenwoordiging van personen met een handicap in politieke en besluitvormingsprocessen.</w:t>
      </w:r>
    </w:p>
    <w:p w14:paraId="021B2C9E" w14:textId="77777777" w:rsidR="00101669" w:rsidRPr="00BC50E6" w:rsidRDefault="00101669" w:rsidP="006A79E7">
      <w:pPr>
        <w:ind w:left="567" w:hanging="567"/>
        <w:rPr>
          <w:rFonts w:eastAsia="Arial"/>
          <w:color w:val="000000" w:themeColor="text1"/>
          <w:lang w:val="en-GB" w:eastAsia="it-IT"/>
        </w:rPr>
      </w:pPr>
    </w:p>
    <w:p w14:paraId="678B572D" w14:textId="77777777" w:rsidR="00101669" w:rsidRPr="00BC50E6" w:rsidRDefault="00101669" w:rsidP="006A79E7">
      <w:pPr>
        <w:pStyle w:val="Heading3"/>
        <w:rPr>
          <w:rFonts w:eastAsia="Arial"/>
          <w:color w:val="000000" w:themeColor="text1"/>
        </w:rPr>
      </w:pPr>
      <w:r>
        <w:rPr>
          <w:color w:val="000000" w:themeColor="text1"/>
        </w:rPr>
        <w:t>Nieuw-Zeeland voert een sterk beleid dat gebaseerd is op mensenrechten en de actieve deelname van personen met een handicap aan de beleidsvorming. Het land heeft duidelijke actieplannen aangenomen om volledige toegankelijkheid van onderwijs en werk te waarborgen en heeft strategieën ontwikkeld om passende ondersteuning voor een zelfstandig leven te garanderen</w:t>
      </w:r>
      <w:r w:rsidRPr="00BC50E6">
        <w:rPr>
          <w:rFonts w:eastAsia="Arial"/>
          <w:color w:val="000000" w:themeColor="text1"/>
          <w:sz w:val="24"/>
          <w:szCs w:val="24"/>
          <w:vertAlign w:val="superscript"/>
          <w:lang w:val="en-GB" w:eastAsia="it-IT"/>
        </w:rPr>
        <w:footnoteReference w:id="6"/>
      </w:r>
      <w:r>
        <w:rPr>
          <w:color w:val="000000" w:themeColor="text1"/>
        </w:rPr>
        <w:t>.</w:t>
      </w:r>
    </w:p>
    <w:p w14:paraId="679C58E0" w14:textId="77777777" w:rsidR="00101669" w:rsidRPr="00BC50E6" w:rsidRDefault="00101669" w:rsidP="006A79E7">
      <w:pPr>
        <w:ind w:left="567" w:hanging="567"/>
        <w:rPr>
          <w:rFonts w:eastAsia="Arial"/>
          <w:color w:val="000000" w:themeColor="text1"/>
          <w:lang w:val="en-GB" w:eastAsia="it-IT"/>
        </w:rPr>
      </w:pPr>
    </w:p>
    <w:p w14:paraId="740A800F" w14:textId="77777777" w:rsidR="00101669" w:rsidRPr="00BC50E6" w:rsidRDefault="00101669" w:rsidP="00DF383F">
      <w:pPr>
        <w:pStyle w:val="Heading3"/>
        <w:keepNext/>
        <w:keepLines/>
        <w:spacing w:line="278" w:lineRule="auto"/>
        <w:rPr>
          <w:rFonts w:eastAsia="Arial"/>
          <w:color w:val="000000" w:themeColor="text1"/>
        </w:rPr>
      </w:pPr>
      <w:r>
        <w:rPr>
          <w:color w:val="000000" w:themeColor="text1"/>
        </w:rPr>
        <w:lastRenderedPageBreak/>
        <w:t>In dit verband heeft Nieuw-Zeeland de “strategie voor personen met een handicap voor de periode 2016-2026” opgezet, die zich vooral richt op de toegankelijkheid van openbare gebouwen en openbaar vervoer</w:t>
      </w:r>
      <w:r w:rsidRPr="00BC50E6">
        <w:rPr>
          <w:rFonts w:eastAsia="Arial"/>
          <w:color w:val="000000" w:themeColor="text1"/>
          <w:sz w:val="24"/>
          <w:szCs w:val="24"/>
          <w:vertAlign w:val="superscript"/>
          <w:lang w:val="en-GB" w:eastAsia="it-IT"/>
        </w:rPr>
        <w:footnoteReference w:id="7"/>
      </w:r>
      <w:r>
        <w:rPr>
          <w:color w:val="000000" w:themeColor="text1"/>
        </w:rPr>
        <w:t>, het bevorderen van inclusie op school en van de toegang tot kwaliteitsvol onderwijs voor kinderen met een handicap, met aangepaste schoolcurricula en gebruik van ondersteunende technologieën, en op het stimuleren van werkgelegenheid met prikkels voor werkgevers.</w:t>
      </w:r>
    </w:p>
    <w:p w14:paraId="51DFB4DC" w14:textId="77777777" w:rsidR="00101669" w:rsidRPr="00DF383F" w:rsidRDefault="00101669" w:rsidP="00DF383F">
      <w:pPr>
        <w:spacing w:line="278" w:lineRule="auto"/>
        <w:rPr>
          <w:rFonts w:eastAsia="Arial"/>
          <w:color w:val="000000" w:themeColor="text1"/>
          <w:sz w:val="18"/>
          <w:szCs w:val="18"/>
          <w:lang w:val="en-GB" w:eastAsia="it-IT"/>
        </w:rPr>
      </w:pPr>
    </w:p>
    <w:p w14:paraId="0E2A4E0B" w14:textId="77777777" w:rsidR="00101669" w:rsidRPr="00BC50E6" w:rsidRDefault="00101669" w:rsidP="00DF383F">
      <w:pPr>
        <w:pStyle w:val="Heading1"/>
        <w:keepNext/>
        <w:keepLines/>
        <w:spacing w:line="278" w:lineRule="auto"/>
        <w:rPr>
          <w:rFonts w:eastAsia="Calibri"/>
          <w:b/>
          <w:bCs/>
          <w:color w:val="000000" w:themeColor="text1"/>
        </w:rPr>
      </w:pPr>
      <w:r>
        <w:rPr>
          <w:b/>
          <w:color w:val="000000" w:themeColor="text1"/>
        </w:rPr>
        <w:t>Verbintenissen van de Europese Commissie</w:t>
      </w:r>
    </w:p>
    <w:p w14:paraId="0800A19D" w14:textId="77777777" w:rsidR="00101669" w:rsidRPr="00DF383F" w:rsidRDefault="00101669" w:rsidP="00DF383F">
      <w:pPr>
        <w:keepNext/>
        <w:keepLines/>
        <w:spacing w:line="278" w:lineRule="auto"/>
        <w:rPr>
          <w:rFonts w:eastAsia="Calibri"/>
          <w:color w:val="000000" w:themeColor="text1"/>
          <w:kern w:val="2"/>
          <w:sz w:val="18"/>
          <w:szCs w:val="18"/>
          <w:lang w:val="en-GB"/>
          <w14:ligatures w14:val="standardContextual"/>
        </w:rPr>
      </w:pPr>
    </w:p>
    <w:p w14:paraId="1B44BE8F" w14:textId="77777777" w:rsidR="00101669" w:rsidRPr="00BC50E6" w:rsidRDefault="00101669" w:rsidP="00DF383F">
      <w:pPr>
        <w:pStyle w:val="Heading2"/>
        <w:spacing w:line="278" w:lineRule="auto"/>
        <w:rPr>
          <w:rFonts w:eastAsia="Calibri"/>
          <w:color w:val="000000" w:themeColor="text1"/>
        </w:rPr>
      </w:pPr>
      <w:r>
        <w:rPr>
          <w:color w:val="000000" w:themeColor="text1"/>
        </w:rPr>
        <w:t>Het Europees Gehandicaptenforum vraagt de Europese Commissie om deze kwestie voldoende aandacht te geven in het volgende financiële kader van de EU: er moet prioriteit uitgaan naar mensen met een handicap, door middel van financieringsprogramma’s die aan de behoeften voldoen en die toegankelijkheid en inclusie bevorderen.</w:t>
      </w:r>
    </w:p>
    <w:p w14:paraId="374F221B" w14:textId="77777777" w:rsidR="00101669" w:rsidRPr="00DF383F" w:rsidRDefault="00101669" w:rsidP="00DF383F">
      <w:pPr>
        <w:spacing w:line="278" w:lineRule="auto"/>
        <w:ind w:left="567" w:hanging="567"/>
        <w:rPr>
          <w:rFonts w:eastAsia="Calibri"/>
          <w:color w:val="000000" w:themeColor="text1"/>
          <w:kern w:val="2"/>
          <w:sz w:val="18"/>
          <w:szCs w:val="18"/>
          <w:lang w:val="en-GB"/>
          <w14:ligatures w14:val="standardContextual"/>
        </w:rPr>
      </w:pPr>
    </w:p>
    <w:p w14:paraId="71DC3B73" w14:textId="77777777" w:rsidR="00101669" w:rsidRPr="00BC50E6" w:rsidRDefault="00101669" w:rsidP="00DF383F">
      <w:pPr>
        <w:pStyle w:val="Heading2"/>
        <w:spacing w:line="278" w:lineRule="auto"/>
        <w:rPr>
          <w:rFonts w:eastAsia="Calibri"/>
          <w:color w:val="000000" w:themeColor="text1"/>
          <w:kern w:val="2"/>
          <w14:ligatures w14:val="standardContextual"/>
        </w:rPr>
      </w:pPr>
      <w:r>
        <w:rPr>
          <w:color w:val="000000" w:themeColor="text1"/>
        </w:rPr>
        <w:t>De Europese Commissie moet actieplannen vaststellen voor alle vormen van handicap, zowel binnen als buiten de EU, naar het voorbeeld van de plannen die al bestaan voor jongeren en voor gendergelijkheid.</w:t>
      </w:r>
    </w:p>
    <w:p w14:paraId="28E19C38" w14:textId="77777777" w:rsidR="00101669" w:rsidRPr="00DF383F" w:rsidRDefault="00101669" w:rsidP="00DF383F">
      <w:pPr>
        <w:spacing w:line="278" w:lineRule="auto"/>
        <w:ind w:left="567" w:hanging="567"/>
        <w:rPr>
          <w:rFonts w:eastAsia="Calibri"/>
          <w:color w:val="000000" w:themeColor="text1"/>
          <w:kern w:val="2"/>
          <w:sz w:val="18"/>
          <w:szCs w:val="18"/>
          <w:lang w:val="en-GB"/>
          <w14:ligatures w14:val="standardContextual"/>
        </w:rPr>
      </w:pPr>
    </w:p>
    <w:p w14:paraId="7232EA7B" w14:textId="77777777" w:rsidR="00101669" w:rsidRPr="00BC50E6" w:rsidRDefault="00101669" w:rsidP="00DF383F">
      <w:pPr>
        <w:pStyle w:val="Heading2"/>
        <w:spacing w:line="278" w:lineRule="auto"/>
        <w:rPr>
          <w:rFonts w:eastAsia="Calibri"/>
          <w:color w:val="000000" w:themeColor="text1"/>
        </w:rPr>
      </w:pPr>
      <w:r>
        <w:rPr>
          <w:color w:val="000000" w:themeColor="text1"/>
        </w:rPr>
        <w:t>De Commissie moet streven naar een betere diplomatie die meer effect sorteert. Daartoe moet ze nauwer samenwerken met organisaties van personen met een handicap, zowel op internationaal vlak als in het kader van de humanitaire hulpverlening van de Europese Unie.</w:t>
      </w:r>
    </w:p>
    <w:p w14:paraId="265A5E3B" w14:textId="77777777" w:rsidR="00101669" w:rsidRPr="00DF383F" w:rsidRDefault="00101669" w:rsidP="00DF383F">
      <w:pPr>
        <w:spacing w:line="278" w:lineRule="auto"/>
        <w:rPr>
          <w:rFonts w:eastAsia="Calibri"/>
          <w:color w:val="000000" w:themeColor="text1"/>
          <w:sz w:val="18"/>
          <w:szCs w:val="18"/>
          <w:lang w:val="en-GB"/>
        </w:rPr>
      </w:pPr>
    </w:p>
    <w:p w14:paraId="73DDC67C" w14:textId="1C3A4A25" w:rsidR="00101669" w:rsidRPr="00BC50E6" w:rsidRDefault="00101669" w:rsidP="00DF383F">
      <w:pPr>
        <w:pStyle w:val="Heading2"/>
        <w:spacing w:line="278" w:lineRule="auto"/>
        <w:rPr>
          <w:rFonts w:eastAsia="Calibri"/>
          <w:color w:val="000000" w:themeColor="text1"/>
          <w:kern w:val="2"/>
          <w14:ligatures w14:val="standardContextual"/>
        </w:rPr>
      </w:pPr>
      <w:r>
        <w:rPr>
          <w:color w:val="000000" w:themeColor="text1"/>
        </w:rPr>
        <w:t>Op grond van zijn eigen – weliswaar beperkte – onderzoek is het EESC van mening dat elke diplomatieke delegatie die zich bezighoudt met handicaps en met overeenkomsten of verdragen die van invloed kunnen zijn op de rechten van personen met een handicap, verplicht zou moeten worden om ten minste één vertegenwoordiger van een gehandicaptenorganisatie mee te nemen naar vergaderingen van de Verenigde Naties, op kosten van de betreffende lidstaat. Het zou een goed begin zijn om dit al toe te passen bij de conferentie van de staten die partij zijn bij het VN-Verdrag inzake de rechten van personen met een handicap (COSP). De EU zou dit initiatief kunnen ondersteunen via het Team Europa, dat bij elke COSP een gemeenschappelijk standpunt van de 27 lidstaten uitdraagt. Het doel is om in elke diplomatieke delegatie formeel contactpunten voor personen met een handicap aan te wijzen.</w:t>
      </w:r>
    </w:p>
    <w:p w14:paraId="1E148713" w14:textId="77777777" w:rsidR="00101669" w:rsidRPr="00DF383F" w:rsidRDefault="00101669" w:rsidP="00DF383F">
      <w:pPr>
        <w:spacing w:line="278" w:lineRule="auto"/>
        <w:rPr>
          <w:rFonts w:eastAsia="Calibri"/>
          <w:color w:val="000000" w:themeColor="text1"/>
          <w:sz w:val="18"/>
          <w:szCs w:val="18"/>
          <w:lang w:val="en-GB"/>
        </w:rPr>
      </w:pPr>
    </w:p>
    <w:p w14:paraId="148E997B" w14:textId="77777777" w:rsidR="00101669" w:rsidRPr="00BC50E6" w:rsidRDefault="00101669" w:rsidP="00DF383F">
      <w:pPr>
        <w:pStyle w:val="Heading2"/>
        <w:spacing w:line="278" w:lineRule="auto"/>
        <w:rPr>
          <w:rFonts w:eastAsia="Calibri"/>
          <w:color w:val="000000" w:themeColor="text1"/>
          <w:kern w:val="2"/>
          <w14:ligatures w14:val="standardContextual"/>
        </w:rPr>
      </w:pPr>
      <w:r>
        <w:rPr>
          <w:color w:val="000000" w:themeColor="text1"/>
        </w:rPr>
        <w:t>Een van de resultaten die Team Europa heeft bereikt, is de verkiezing van een senior expert van de Europese Commissie als lid van het VN-comité voor de rechten van personen met een handicap. Het is de eerste keer dat de Europese Unie, als orgaan voor regionale integratie, een kandidaat voordraagt voor een VN-verdragsorgaan inzake mensenrechten.</w:t>
      </w:r>
    </w:p>
    <w:p w14:paraId="3DA2B24A" w14:textId="77777777" w:rsidR="00101669" w:rsidRPr="00DF383F" w:rsidRDefault="00101669" w:rsidP="00DF383F">
      <w:pPr>
        <w:spacing w:line="278" w:lineRule="auto"/>
        <w:rPr>
          <w:rFonts w:eastAsia="Calibri"/>
          <w:color w:val="000000" w:themeColor="text1"/>
          <w:sz w:val="18"/>
          <w:szCs w:val="18"/>
          <w:lang w:val="en-GB"/>
        </w:rPr>
      </w:pPr>
    </w:p>
    <w:p w14:paraId="259E99F9" w14:textId="77777777" w:rsidR="00101669" w:rsidRPr="00BC50E6" w:rsidRDefault="00101669" w:rsidP="00DF383F">
      <w:pPr>
        <w:pStyle w:val="Heading2"/>
        <w:spacing w:line="278" w:lineRule="auto"/>
        <w:rPr>
          <w:rFonts w:eastAsia="Calibri"/>
          <w:color w:val="000000" w:themeColor="text1"/>
        </w:rPr>
      </w:pPr>
      <w:r>
        <w:rPr>
          <w:color w:val="000000" w:themeColor="text1"/>
        </w:rPr>
        <w:t>Uit hetzelfde onderzoek komt naar voren dat diplomatieke diensten zich niet mogen beperken tot praten over inclusie, maar deze ook moeten belichamen. Dit betekent dat personen met een handicap actief moeten worden ingezet in alle functies van de ministeries van Buitenlandse Zaken, met inbegrip van consulaire taken, onderhandelingsteams en multilaterale vertegenwoordiging. Daarbij moeten redelijke aanpassingen en toegankelijkheid gegarandeerd worden. Goede voorbeelden moeten in beeld worden gebracht zodat de participatie van mensen met een handicap iets heel normaals wordt.</w:t>
      </w:r>
    </w:p>
    <w:p w14:paraId="35DD7A39" w14:textId="77777777" w:rsidR="00101669" w:rsidRPr="00BC50E6" w:rsidRDefault="00101669" w:rsidP="006A79E7">
      <w:pPr>
        <w:pStyle w:val="Heading2"/>
        <w:rPr>
          <w:color w:val="000000" w:themeColor="text1"/>
        </w:rPr>
      </w:pPr>
      <w:r>
        <w:rPr>
          <w:color w:val="000000" w:themeColor="text1"/>
        </w:rPr>
        <w:lastRenderedPageBreak/>
        <w:t>Verder is het van groot belang om de betrokken partijen bewust te maken door middel van gezamenlijke kennisontwikkeling, bijvoorbeeld door opleidingen te organiseren binnen diplomatieke diensten over inclusie van personen met een handicap, met opleidingsmodules die samen met gehandicaptenorganisaties worden ontwikkeld.</w:t>
      </w:r>
    </w:p>
    <w:p w14:paraId="0CA6A730" w14:textId="77777777" w:rsidR="00101669" w:rsidRPr="00BC50E6" w:rsidRDefault="00101669" w:rsidP="006A79E7">
      <w:pPr>
        <w:rPr>
          <w:rFonts w:eastAsia="Calibri"/>
          <w:color w:val="000000" w:themeColor="text1"/>
          <w:lang w:val="en-GB"/>
        </w:rPr>
      </w:pPr>
    </w:p>
    <w:p w14:paraId="7068A50A" w14:textId="77777777" w:rsidR="00101669" w:rsidRPr="00BC50E6" w:rsidRDefault="00101669" w:rsidP="006A79E7">
      <w:pPr>
        <w:pStyle w:val="Heading2"/>
        <w:rPr>
          <w:rFonts w:eastAsia="Calibri"/>
          <w:color w:val="000000" w:themeColor="text1"/>
          <w:kern w:val="2"/>
          <w14:ligatures w14:val="standardContextual"/>
        </w:rPr>
      </w:pPr>
      <w:r>
        <w:rPr>
          <w:color w:val="000000" w:themeColor="text1"/>
        </w:rPr>
        <w:t>Het partnerschap tussen diplomatie en gehandicaptenorganisaties zou verder moeten gaan dan enkel raadpleging en moet worden gericht op co-creatie en gezamenlijke uitvoering. Bijvoorbeeld door:</w:t>
      </w:r>
    </w:p>
    <w:p w14:paraId="79907135" w14:textId="77777777" w:rsidR="00101669" w:rsidRPr="00BC50E6" w:rsidRDefault="00101669" w:rsidP="006A79E7">
      <w:pPr>
        <w:rPr>
          <w:rFonts w:eastAsia="Calibri"/>
          <w:color w:val="000000" w:themeColor="text1"/>
          <w:lang w:val="en-GB"/>
        </w:rPr>
      </w:pPr>
    </w:p>
    <w:p w14:paraId="3553F2C5" w14:textId="77777777" w:rsidR="00101669" w:rsidRPr="00BC50E6" w:rsidRDefault="00101669" w:rsidP="006A79E7">
      <w:pPr>
        <w:pStyle w:val="Heading2"/>
        <w:numPr>
          <w:ilvl w:val="0"/>
          <w:numId w:val="5"/>
        </w:numPr>
        <w:ind w:left="993"/>
        <w:rPr>
          <w:rFonts w:eastAsia="Calibri"/>
          <w:color w:val="000000" w:themeColor="text1"/>
          <w:kern w:val="2"/>
          <w14:ligatures w14:val="standardContextual"/>
        </w:rPr>
      </w:pPr>
      <w:r>
        <w:rPr>
          <w:color w:val="000000" w:themeColor="text1"/>
        </w:rPr>
        <w:t>internationale samenwerkingsprojecten op te zetten en te evalueren;</w:t>
      </w:r>
    </w:p>
    <w:p w14:paraId="7095346C" w14:textId="77777777" w:rsidR="00101669" w:rsidRPr="00BC50E6" w:rsidRDefault="00101669" w:rsidP="006A79E7">
      <w:pPr>
        <w:pStyle w:val="Heading2"/>
        <w:numPr>
          <w:ilvl w:val="0"/>
          <w:numId w:val="5"/>
        </w:numPr>
        <w:ind w:left="993"/>
        <w:rPr>
          <w:rFonts w:eastAsia="Calibri"/>
          <w:color w:val="000000" w:themeColor="text1"/>
          <w:kern w:val="2"/>
          <w14:ligatures w14:val="standardContextual"/>
        </w:rPr>
      </w:pPr>
      <w:r>
        <w:rPr>
          <w:color w:val="000000" w:themeColor="text1"/>
        </w:rPr>
        <w:t>bewustmakingscampagnes of regionale fora te co-organiseren;</w:t>
      </w:r>
    </w:p>
    <w:p w14:paraId="270910AB" w14:textId="77777777" w:rsidR="00101669" w:rsidRPr="00BC50E6" w:rsidRDefault="00101669" w:rsidP="006A79E7">
      <w:pPr>
        <w:pStyle w:val="Heading2"/>
        <w:numPr>
          <w:ilvl w:val="0"/>
          <w:numId w:val="5"/>
        </w:numPr>
        <w:ind w:left="993"/>
        <w:rPr>
          <w:rFonts w:eastAsia="Calibri"/>
          <w:color w:val="000000" w:themeColor="text1"/>
          <w:kern w:val="2"/>
          <w14:ligatures w14:val="standardContextual"/>
        </w:rPr>
      </w:pPr>
      <w:r>
        <w:rPr>
          <w:color w:val="000000" w:themeColor="text1"/>
        </w:rPr>
        <w:t>initiatieven direct te financieren via programma’s voor ontwikkelingshulp die gericht zijn op het versterken van het maatschappelijk middenveld.</w:t>
      </w:r>
    </w:p>
    <w:p w14:paraId="21D1264C" w14:textId="77777777" w:rsidR="00101669" w:rsidRPr="00BC50E6" w:rsidRDefault="00101669" w:rsidP="006A79E7">
      <w:pPr>
        <w:rPr>
          <w:rFonts w:eastAsia="Calibri"/>
          <w:color w:val="000000" w:themeColor="text1"/>
          <w:lang w:val="en-GB"/>
        </w:rPr>
      </w:pPr>
    </w:p>
    <w:p w14:paraId="6FB6F198" w14:textId="77777777" w:rsidR="00101669" w:rsidRPr="00BC50E6" w:rsidRDefault="00101669" w:rsidP="006A79E7">
      <w:pPr>
        <w:pStyle w:val="Heading2"/>
        <w:numPr>
          <w:ilvl w:val="0"/>
          <w:numId w:val="0"/>
        </w:numPr>
        <w:ind w:left="567"/>
        <w:rPr>
          <w:rFonts w:eastAsia="Calibri"/>
          <w:color w:val="000000" w:themeColor="text1"/>
        </w:rPr>
      </w:pPr>
      <w:r>
        <w:rPr>
          <w:color w:val="000000" w:themeColor="text1"/>
        </w:rPr>
        <w:t>Essentieel voor duurzame samenwerking zijn transparante kaders en mechanismen voor langetermijnfinanciering die niet projectgebonden zijn.</w:t>
      </w:r>
    </w:p>
    <w:p w14:paraId="585F5911" w14:textId="77777777" w:rsidR="00101669" w:rsidRPr="00BC50E6" w:rsidRDefault="00101669" w:rsidP="006A79E7">
      <w:pPr>
        <w:jc w:val="left"/>
        <w:rPr>
          <w:rFonts w:eastAsia="Calibri"/>
          <w:color w:val="000000" w:themeColor="text1"/>
          <w:kern w:val="2"/>
          <w:lang w:val="en-GB"/>
          <w14:ligatures w14:val="standardContextual"/>
        </w:rPr>
      </w:pPr>
    </w:p>
    <w:p w14:paraId="5CE8BCF6" w14:textId="77777777" w:rsidR="00101669" w:rsidRPr="00BC50E6" w:rsidRDefault="00101669" w:rsidP="006A79E7">
      <w:pPr>
        <w:pStyle w:val="Heading2"/>
        <w:keepNext/>
        <w:ind w:left="425"/>
        <w:rPr>
          <w:rFonts w:eastAsia="Calibri"/>
          <w:color w:val="000000" w:themeColor="text1"/>
          <w:kern w:val="2"/>
          <w14:ligatures w14:val="standardContextual"/>
        </w:rPr>
      </w:pPr>
      <w:r>
        <w:rPr>
          <w:color w:val="000000" w:themeColor="text1"/>
        </w:rPr>
        <w:t>Er moet nog heel wat gebeuren voordat ambassades en diplomatieke missies fysiek en digitaal volledig toegankelijk zijn. Een mogelijke stimulans kan zijn om binnen elk diplomatiek team een specifieke deskundige aan te wijzen. Het uiteindelijke doel is te waarborgen dat personen met een handicap onbelemmerd toegang hebben tot zowel de fysieke ruimtes waar diplomatiek overleg plaatsvindt als tot de gebruikte werkmiddelen.</w:t>
      </w:r>
    </w:p>
    <w:p w14:paraId="67A616C3" w14:textId="77777777" w:rsidR="00101669" w:rsidRPr="00BC50E6" w:rsidRDefault="00101669" w:rsidP="006A79E7">
      <w:pPr>
        <w:rPr>
          <w:color w:val="000000" w:themeColor="text1"/>
          <w:lang w:val="en-GB" w:eastAsia="it-IT"/>
        </w:rPr>
      </w:pPr>
    </w:p>
    <w:p w14:paraId="69C4182B" w14:textId="1448B750" w:rsidR="00101669" w:rsidRPr="00BC50E6" w:rsidRDefault="00101669" w:rsidP="006A79E7">
      <w:pPr>
        <w:rPr>
          <w:color w:val="000000" w:themeColor="text1"/>
        </w:rPr>
      </w:pPr>
      <w:r>
        <w:rPr>
          <w:color w:val="000000" w:themeColor="text1"/>
        </w:rPr>
        <w:t>Brussel, 23 oktober 2025.</w:t>
      </w:r>
    </w:p>
    <w:p w14:paraId="22E027F4" w14:textId="77777777" w:rsidR="00101669" w:rsidRPr="00BC50E6" w:rsidRDefault="00101669" w:rsidP="006A79E7">
      <w:pPr>
        <w:rPr>
          <w:color w:val="000000" w:themeColor="text1"/>
          <w:lang w:val="en-GB" w:eastAsia="it-IT"/>
        </w:rPr>
      </w:pPr>
    </w:p>
    <w:p w14:paraId="0C697890" w14:textId="77777777" w:rsidR="00101669" w:rsidRPr="00BC50E6" w:rsidRDefault="00101669" w:rsidP="006A79E7">
      <w:pPr>
        <w:rPr>
          <w:color w:val="000000" w:themeColor="text1"/>
          <w:lang w:val="en-GB" w:eastAsia="it-IT"/>
        </w:rPr>
      </w:pPr>
    </w:p>
    <w:p w14:paraId="4542D346" w14:textId="5AECA169" w:rsidR="00101669" w:rsidRPr="00BC50E6" w:rsidRDefault="00101669" w:rsidP="006A79E7">
      <w:pPr>
        <w:rPr>
          <w:i/>
          <w:iCs/>
          <w:color w:val="000000" w:themeColor="text1"/>
        </w:rPr>
      </w:pPr>
      <w:r>
        <w:rPr>
          <w:i/>
          <w:color w:val="000000" w:themeColor="text1"/>
        </w:rPr>
        <w:t>De voorzitter van het Europees Economisch en Sociaal Comité</w:t>
      </w:r>
    </w:p>
    <w:p w14:paraId="3914066A" w14:textId="56D858D0" w:rsidR="00E2376B" w:rsidRPr="00BC50E6" w:rsidRDefault="0091458D" w:rsidP="006A79E7">
      <w:pPr>
        <w:rPr>
          <w:color w:val="000000" w:themeColor="text1"/>
        </w:rPr>
      </w:pPr>
      <w:r>
        <w:rPr>
          <w:color w:val="000000" w:themeColor="text1"/>
        </w:rPr>
        <w:t>Séamus BOLAND</w:t>
      </w:r>
    </w:p>
    <w:p w14:paraId="46FCDD49" w14:textId="561D4155" w:rsidR="00ED0759" w:rsidRPr="0065601D" w:rsidRDefault="00E2376B" w:rsidP="006A79E7">
      <w:pPr>
        <w:jc w:val="center"/>
      </w:pPr>
      <w:r>
        <w:t>_____________</w:t>
      </w:r>
    </w:p>
    <w:sectPr w:rsidR="00ED0759" w:rsidRPr="0065601D" w:rsidSect="001E74A1">
      <w:headerReference w:type="even" r:id="rId19"/>
      <w:headerReference w:type="default" r:id="rId20"/>
      <w:footerReference w:type="default" r:id="rId21"/>
      <w:headerReference w:type="first" r:id="rId22"/>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C593" w14:textId="77777777" w:rsidR="00FA25D2" w:rsidRDefault="00FA25D2" w:rsidP="00F53370">
      <w:pPr>
        <w:spacing w:line="240" w:lineRule="auto"/>
      </w:pPr>
      <w:r>
        <w:separator/>
      </w:r>
    </w:p>
  </w:endnote>
  <w:endnote w:type="continuationSeparator" w:id="0">
    <w:p w14:paraId="30EAB4F1" w14:textId="77777777" w:rsidR="00FA25D2" w:rsidRDefault="00FA25D2"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217E" w14:textId="79B78CF8" w:rsidR="0084105C" w:rsidRPr="002F3A80" w:rsidRDefault="006A79E7" w:rsidP="006A79E7">
    <w:pPr>
      <w:pStyle w:val="Footer"/>
      <w:jc w:val="left"/>
    </w:pPr>
    <w:r>
      <w:t xml:space="preserve">REX/602 – EESC-2025-00642-00-01-RI-TRA (EN) </w:t>
    </w:r>
    <w:r>
      <w:fldChar w:fldCharType="begin"/>
    </w:r>
    <w:r>
      <w:instrText xml:space="preserve"> PAGE  \* Arabic  \* MERGEFORMAT </w:instrText>
    </w:r>
    <w:r>
      <w:fldChar w:fldCharType="separate"/>
    </w:r>
    <w:r>
      <w:t>8</w:t>
    </w:r>
    <w:r>
      <w:fldChar w:fldCharType="end"/>
    </w:r>
    <w:r>
      <w:t>/</w:t>
    </w:r>
    <w:r>
      <w:fldChar w:fldCharType="begin"/>
    </w:r>
    <w:r>
      <w:instrText xml:space="preserve"> = </w:instrText>
    </w:r>
    <w:r w:rsidR="006248FA">
      <w:fldChar w:fldCharType="begin"/>
    </w:r>
    <w:r w:rsidR="006248FA">
      <w:instrText xml:space="preserve"> NUMPAGES </w:instrText>
    </w:r>
    <w:r w:rsidR="006248FA">
      <w:fldChar w:fldCharType="separate"/>
    </w:r>
    <w:r w:rsidR="0016125D">
      <w:rPr>
        <w:noProof/>
      </w:rPr>
      <w:instrText>10</w:instrText>
    </w:r>
    <w:r w:rsidR="006248FA">
      <w:fldChar w:fldCharType="end"/>
    </w:r>
    <w:r>
      <w:instrText xml:space="preserve"> - 2 </w:instrText>
    </w:r>
    <w:r>
      <w:fldChar w:fldCharType="separate"/>
    </w:r>
    <w:r w:rsidR="0016125D">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6B04E" w14:textId="77777777" w:rsidR="00FA25D2" w:rsidRDefault="00FA25D2" w:rsidP="00F53370">
      <w:pPr>
        <w:spacing w:line="240" w:lineRule="auto"/>
      </w:pPr>
      <w:r>
        <w:separator/>
      </w:r>
    </w:p>
  </w:footnote>
  <w:footnote w:type="continuationSeparator" w:id="0">
    <w:p w14:paraId="48AEF59F" w14:textId="77777777" w:rsidR="00FA25D2" w:rsidRDefault="00FA25D2" w:rsidP="00F53370">
      <w:pPr>
        <w:spacing w:line="240" w:lineRule="auto"/>
      </w:pPr>
      <w:r>
        <w:continuationSeparator/>
      </w:r>
    </w:p>
  </w:footnote>
  <w:footnote w:id="1">
    <w:p w14:paraId="11EDF4E9" w14:textId="033B3082" w:rsidR="00101669" w:rsidRPr="00BC50E6" w:rsidRDefault="00101669">
      <w:pPr>
        <w:pStyle w:val="FootnoteText"/>
      </w:pPr>
      <w:r>
        <w:rPr>
          <w:rStyle w:val="FootnoteReference"/>
        </w:rPr>
        <w:footnoteRef/>
      </w:r>
      <w:r>
        <w:tab/>
        <w:t>Het Verdrag van de Verenigde Naties inzake de rechten van personen met een handicap heeft 192 ratificaties/toetredingen en het Facultatief Protocol heeft 107 ratificaties/toetredingen.</w:t>
      </w:r>
    </w:p>
  </w:footnote>
  <w:footnote w:id="2">
    <w:p w14:paraId="340718AF" w14:textId="77777777" w:rsidR="00101669" w:rsidRDefault="00101669" w:rsidP="00101669">
      <w:pPr>
        <w:pStyle w:val="FootnoteText"/>
      </w:pPr>
      <w:r>
        <w:rPr>
          <w:rStyle w:val="FootnoteReference"/>
        </w:rPr>
        <w:footnoteRef/>
      </w:r>
      <w:r>
        <w:tab/>
        <w:t>De EU-strategie inzake de rechten van personen met een handicap (2010-2020).</w:t>
      </w:r>
    </w:p>
  </w:footnote>
  <w:footnote w:id="3">
    <w:p w14:paraId="0F4AC9FE" w14:textId="77777777" w:rsidR="00101669" w:rsidRDefault="00101669" w:rsidP="00101669">
      <w:pPr>
        <w:pStyle w:val="FootnoteText"/>
      </w:pPr>
      <w:r>
        <w:rPr>
          <w:rStyle w:val="FootnoteReference"/>
        </w:rPr>
        <w:footnoteRef/>
      </w:r>
      <w:r>
        <w:tab/>
        <w:t>Europese structuur- en investeringsfondsen (EFRO en ESF).</w:t>
      </w:r>
    </w:p>
  </w:footnote>
  <w:footnote w:id="4">
    <w:p w14:paraId="4333D5A3" w14:textId="77777777" w:rsidR="00101669" w:rsidRDefault="00101669" w:rsidP="00101669">
      <w:pPr>
        <w:pStyle w:val="FootnoteText"/>
      </w:pPr>
      <w:r>
        <w:rPr>
          <w:rStyle w:val="FootnoteReference"/>
        </w:rPr>
        <w:footnoteRef/>
      </w:r>
      <w:r>
        <w:tab/>
      </w:r>
      <w:hyperlink w:anchor="cite_note-3" w:history="1">
        <w:r>
          <w:rPr>
            <w:rStyle w:val="Hyperlink"/>
          </w:rPr>
          <w:t>https://en.wikipedia.org/wiki/United_Nations%27_International_Day_of_Persons_with_Disabilities</w:t>
        </w:r>
      </w:hyperlink>
      <w:r>
        <w:t>.</w:t>
      </w:r>
    </w:p>
  </w:footnote>
  <w:footnote w:id="5">
    <w:p w14:paraId="3697A92E" w14:textId="77777777" w:rsidR="00101669" w:rsidRDefault="00101669" w:rsidP="00101669">
      <w:pPr>
        <w:pStyle w:val="FootnoteText"/>
      </w:pPr>
      <w:r>
        <w:rPr>
          <w:rStyle w:val="FootnoteReference"/>
        </w:rPr>
        <w:footnoteRef/>
      </w:r>
      <w:r>
        <w:tab/>
        <w:t>Deze diensten zijn vaak van cruciaal belang, met name in landen waar de stelsels voor openbare zorg en ondersteuning ontoereikend zijn.</w:t>
      </w:r>
    </w:p>
  </w:footnote>
  <w:footnote w:id="6">
    <w:p w14:paraId="734210D1" w14:textId="77777777" w:rsidR="00101669" w:rsidRDefault="00101669" w:rsidP="00101669">
      <w:pPr>
        <w:pStyle w:val="FootnoteText"/>
      </w:pPr>
      <w:r>
        <w:rPr>
          <w:rStyle w:val="FootnoteReference"/>
        </w:rPr>
        <w:footnoteRef/>
      </w:r>
      <w:r>
        <w:tab/>
        <w:t>Het programma Enabling Good Lives bevordert de autonomie, doordat mensen met een handicap zelf kunnen kiezen aan welke ondersteunende diensten ze hun geld willen besteden.</w:t>
      </w:r>
    </w:p>
  </w:footnote>
  <w:footnote w:id="7">
    <w:p w14:paraId="488C0A3A" w14:textId="77777777" w:rsidR="00101669" w:rsidRDefault="00101669" w:rsidP="00101669">
      <w:pPr>
        <w:pStyle w:val="FootnoteText"/>
      </w:pPr>
      <w:r>
        <w:rPr>
          <w:rStyle w:val="FootnoteReference"/>
        </w:rPr>
        <w:footnoteRef/>
      </w:r>
      <w:r>
        <w:tab/>
        <w:t>In 2020 werd een wet aangenomen over toegankelijkheid voor iedereen, waarin een actieplan werd vastgelegd om alle openbare ruimten, vervoersmiddelen en diensten tegen 2030 volledig toegankelijk te maken voor iedereen.</w:t>
      </w:r>
      <w:r>
        <w:rPr>
          <w:color w:val="000000"/>
        </w:rPr>
        <w:t xml:space="preserve"> De wet voorzag ook in de oprichting van een commissie die toezicht op de toegankelijkheid houdt en de openbare infrastructuur verbetert, zodat deze voldoet aan de behoeften van personen met een lichamelijke of zintuiglijke handicap.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6248FA">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36A6B647" w:rsidR="00574C9B" w:rsidRDefault="003B1D3F">
    <w:pPr>
      <w:pStyle w:val="Header"/>
    </w:pPr>
    <w:r>
      <w:rPr>
        <w:noProof/>
      </w:rPr>
      <w:drawing>
        <wp:anchor distT="0" distB="0" distL="114300" distR="114300" simplePos="0" relativeHeight="251658752" behindDoc="0" locked="0" layoutInCell="1" allowOverlap="1" wp14:anchorId="34AB8D3F" wp14:editId="3456805B">
          <wp:simplePos x="0" y="0"/>
          <wp:positionH relativeFrom="page">
            <wp:posOffset>306562</wp:posOffset>
          </wp:positionH>
          <wp:positionV relativeFrom="page">
            <wp:posOffset>290705</wp:posOffset>
          </wp:positionV>
          <wp:extent cx="7086214" cy="3470855"/>
          <wp:effectExtent l="0" t="0" r="635" b="0"/>
          <wp:wrapNone/>
          <wp:docPr id="6" name="Picture 6" title="EESCLogo2021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is-20213.jpg"/>
                  <pic:cNvPicPr/>
                </pic:nvPicPr>
                <pic:blipFill>
                  <a:blip r:embed="rId1">
                    <a:extLst>
                      <a:ext uri="{28A0092B-C50C-407E-A947-70E740481C1C}">
                        <a14:useLocalDpi xmlns:a14="http://schemas.microsoft.com/office/drawing/2010/main" val="0"/>
                      </a:ext>
                    </a:extLst>
                  </a:blip>
                  <a:stretch>
                    <a:fillRect/>
                  </a:stretch>
                </pic:blipFill>
                <pic:spPr>
                  <a:xfrm>
                    <a:off x="0" y="0"/>
                    <a:ext cx="7102803" cy="3478980"/>
                  </a:xfrm>
                  <a:prstGeom prst="rect">
                    <a:avLst/>
                  </a:prstGeom>
                </pic:spPr>
              </pic:pic>
            </a:graphicData>
          </a:graphic>
          <wp14:sizeRelH relativeFrom="margin">
            <wp14:pctWidth>0</wp14:pctWidth>
          </wp14:sizeRelH>
          <wp14:sizeRelV relativeFrom="margin">
            <wp14:pctHeight>0</wp14:pctHeight>
          </wp14:sizeRelV>
        </wp:anchor>
      </w:drawing>
    </w:r>
    <w:r w:rsidR="006248FA">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r w:rsidR="00C56C74">
      <w:rPr>
        <w:noProof/>
      </w:rPr>
      <w:drawing>
        <wp:anchor distT="0" distB="0" distL="114300" distR="114300" simplePos="0" relativeHeight="251657728" behindDoc="0" locked="0" layoutInCell="1" allowOverlap="1" wp14:anchorId="32A48528" wp14:editId="3BEFD26D">
          <wp:simplePos x="898497" y="453224"/>
          <wp:positionH relativeFrom="page">
            <wp:align>center</wp:align>
          </wp:positionH>
          <wp:positionV relativeFrom="page">
            <wp:posOffset>288290</wp:posOffset>
          </wp:positionV>
          <wp:extent cx="6944398" cy="3344276"/>
          <wp:effectExtent l="0" t="0" r="0" b="8890"/>
          <wp:wrapNone/>
          <wp:docPr id="9" name="Picture 9" title="EESCLogo2021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title="EESCLogo2021_EN"/>
                  <pic:cNvPicPr/>
                </pic:nvPicPr>
                <pic:blipFill>
                  <a:blip r:embed="rId3">
                    <a:extLst>
                      <a:ext uri="{28A0092B-C50C-407E-A947-70E740481C1C}">
                        <a14:useLocalDpi xmlns:a14="http://schemas.microsoft.com/office/drawing/2010/main" val="0"/>
                      </a:ext>
                    </a:extLst>
                  </a:blip>
                  <a:stretch>
                    <a:fillRect/>
                  </a:stretch>
                </pic:blipFill>
                <pic:spPr>
                  <a:xfrm>
                    <a:off x="0" y="0"/>
                    <a:ext cx="6944398" cy="334427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6248FA">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6248FA">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6248FA">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C56C74">
      <w:rPr>
        <w:noProof/>
      </w:rPr>
      <w:drawing>
        <wp:anchor distT="0" distB="0" distL="114300" distR="114300" simplePos="0" relativeHeight="25165926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6248FA">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6248FA">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6248FA">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6248FA">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728FE2C"/>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i w:val="0"/>
        <w:iCs/>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4430E09"/>
    <w:multiLevelType w:val="hybridMultilevel"/>
    <w:tmpl w:val="07688E58"/>
    <w:lvl w:ilvl="0" w:tplc="B89CAA70">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2A001E7"/>
    <w:multiLevelType w:val="hybridMultilevel"/>
    <w:tmpl w:val="22903092"/>
    <w:lvl w:ilvl="0" w:tplc="CF8848BE">
      <w:numFmt w:val="bullet"/>
      <w:lvlText w:val="-"/>
      <w:lvlJc w:val="left"/>
      <w:pPr>
        <w:ind w:left="927" w:hanging="360"/>
      </w:pPr>
      <w:rPr>
        <w:rFonts w:ascii="Times New Roman" w:eastAsia="Arial" w:hAnsi="Times New Roman" w:cs="Times New Roman" w:hint="default"/>
      </w:rPr>
    </w:lvl>
    <w:lvl w:ilvl="1" w:tplc="04100003" w:tentative="1">
      <w:start w:val="1"/>
      <w:numFmt w:val="bullet"/>
      <w:lvlText w:val="o"/>
      <w:lvlJc w:val="left"/>
      <w:pPr>
        <w:ind w:left="1647" w:hanging="360"/>
      </w:pPr>
      <w:rPr>
        <w:rFonts w:ascii="Courier New" w:hAnsi="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 w15:restartNumberingAfterBreak="0">
    <w:nsid w:val="7F4C6269"/>
    <w:multiLevelType w:val="hybridMultilevel"/>
    <w:tmpl w:val="27D45DEA"/>
    <w:lvl w:ilvl="0" w:tplc="B394C74C">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03107"/>
    <w:rsid w:val="00020389"/>
    <w:rsid w:val="00053D00"/>
    <w:rsid w:val="000A0F3B"/>
    <w:rsid w:val="000C0473"/>
    <w:rsid w:val="00101669"/>
    <w:rsid w:val="00130C4A"/>
    <w:rsid w:val="0016125D"/>
    <w:rsid w:val="00184775"/>
    <w:rsid w:val="00185E99"/>
    <w:rsid w:val="0019231D"/>
    <w:rsid w:val="001955B6"/>
    <w:rsid w:val="001D61AC"/>
    <w:rsid w:val="001E15AA"/>
    <w:rsid w:val="001E3FA1"/>
    <w:rsid w:val="00200E87"/>
    <w:rsid w:val="00206D14"/>
    <w:rsid w:val="00214BDC"/>
    <w:rsid w:val="00215E81"/>
    <w:rsid w:val="0024727F"/>
    <w:rsid w:val="002B6A7B"/>
    <w:rsid w:val="002F3A80"/>
    <w:rsid w:val="003353D7"/>
    <w:rsid w:val="00360204"/>
    <w:rsid w:val="003659F9"/>
    <w:rsid w:val="003B1D3F"/>
    <w:rsid w:val="00401DE5"/>
    <w:rsid w:val="00461CAF"/>
    <w:rsid w:val="00470BE9"/>
    <w:rsid w:val="004871B8"/>
    <w:rsid w:val="00574C9B"/>
    <w:rsid w:val="0058411F"/>
    <w:rsid w:val="005961A4"/>
    <w:rsid w:val="005B55E2"/>
    <w:rsid w:val="005C2475"/>
    <w:rsid w:val="005E2EF7"/>
    <w:rsid w:val="006125A1"/>
    <w:rsid w:val="00614FA9"/>
    <w:rsid w:val="00653E7D"/>
    <w:rsid w:val="0065601D"/>
    <w:rsid w:val="00662207"/>
    <w:rsid w:val="00667F09"/>
    <w:rsid w:val="00685673"/>
    <w:rsid w:val="006868CB"/>
    <w:rsid w:val="0068740A"/>
    <w:rsid w:val="006A79E7"/>
    <w:rsid w:val="006B57A6"/>
    <w:rsid w:val="006D29B5"/>
    <w:rsid w:val="006D53A6"/>
    <w:rsid w:val="006F6E6C"/>
    <w:rsid w:val="007030C4"/>
    <w:rsid w:val="00766ACB"/>
    <w:rsid w:val="00787837"/>
    <w:rsid w:val="00787ABB"/>
    <w:rsid w:val="007B6C64"/>
    <w:rsid w:val="007E1FF3"/>
    <w:rsid w:val="00822952"/>
    <w:rsid w:val="00836505"/>
    <w:rsid w:val="00844B87"/>
    <w:rsid w:val="00891871"/>
    <w:rsid w:val="0089251B"/>
    <w:rsid w:val="008A6DD4"/>
    <w:rsid w:val="008F74D7"/>
    <w:rsid w:val="00904C42"/>
    <w:rsid w:val="0091458D"/>
    <w:rsid w:val="00914683"/>
    <w:rsid w:val="00924C05"/>
    <w:rsid w:val="00937CF2"/>
    <w:rsid w:val="009451D6"/>
    <w:rsid w:val="009506A6"/>
    <w:rsid w:val="00957DE2"/>
    <w:rsid w:val="00976645"/>
    <w:rsid w:val="00976F77"/>
    <w:rsid w:val="0098228C"/>
    <w:rsid w:val="009A734F"/>
    <w:rsid w:val="009C37A0"/>
    <w:rsid w:val="009E2100"/>
    <w:rsid w:val="00A310E1"/>
    <w:rsid w:val="00A3397C"/>
    <w:rsid w:val="00A36AB0"/>
    <w:rsid w:val="00A45D54"/>
    <w:rsid w:val="00AB37A3"/>
    <w:rsid w:val="00AC5114"/>
    <w:rsid w:val="00AE4394"/>
    <w:rsid w:val="00B25683"/>
    <w:rsid w:val="00B51901"/>
    <w:rsid w:val="00BB0A75"/>
    <w:rsid w:val="00BC4FD4"/>
    <w:rsid w:val="00BC50E6"/>
    <w:rsid w:val="00BD50F6"/>
    <w:rsid w:val="00C0056A"/>
    <w:rsid w:val="00C073E1"/>
    <w:rsid w:val="00C25647"/>
    <w:rsid w:val="00C5137B"/>
    <w:rsid w:val="00C56C74"/>
    <w:rsid w:val="00C66AEA"/>
    <w:rsid w:val="00C9040A"/>
    <w:rsid w:val="00C91E4D"/>
    <w:rsid w:val="00CB110A"/>
    <w:rsid w:val="00CB7CD0"/>
    <w:rsid w:val="00D039AF"/>
    <w:rsid w:val="00D13128"/>
    <w:rsid w:val="00D20B84"/>
    <w:rsid w:val="00D227A7"/>
    <w:rsid w:val="00D95232"/>
    <w:rsid w:val="00DB7F50"/>
    <w:rsid w:val="00DE30C7"/>
    <w:rsid w:val="00DF383F"/>
    <w:rsid w:val="00DF400F"/>
    <w:rsid w:val="00E15BF4"/>
    <w:rsid w:val="00E2376B"/>
    <w:rsid w:val="00E2441D"/>
    <w:rsid w:val="00E26935"/>
    <w:rsid w:val="00E27707"/>
    <w:rsid w:val="00E333C8"/>
    <w:rsid w:val="00E47484"/>
    <w:rsid w:val="00E52B04"/>
    <w:rsid w:val="00E661B7"/>
    <w:rsid w:val="00E90A9D"/>
    <w:rsid w:val="00ED0759"/>
    <w:rsid w:val="00F0454A"/>
    <w:rsid w:val="00F2069F"/>
    <w:rsid w:val="00F53370"/>
    <w:rsid w:val="00F90BE2"/>
    <w:rsid w:val="00FA25D2"/>
    <w:rsid w:val="00FA305D"/>
    <w:rsid w:val="00FB1D7A"/>
    <w:rsid w:val="00FC0CEA"/>
    <w:rsid w:val="00FE7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paragraph" w:styleId="ListParagraph">
    <w:name w:val="List Paragraph"/>
    <w:basedOn w:val="Normal"/>
    <w:uiPriority w:val="34"/>
    <w:qFormat/>
    <w:rsid w:val="00101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A6WAAD5KZT2Q-604569563-16659</_dlc_DocId>
    <_dlc_DocIdUrl xmlns="1a33af13-4045-4f88-9d7b-618e30f79918">
      <Url>http://dm/eesc/2025/_layouts/15/DocIdRedir.aspx?ID=A6WAAD5KZT2Q-604569563-16659</Url>
      <Description>A6WAAD5KZT2Q-604569563-16659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RI</TermName>
          <TermId xmlns="http://schemas.microsoft.com/office/infopath/2007/PartnerControls">0e66e8df-1601-4fe1-947b-eb539760261a</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2025-10-29T12:00:00+00:00</ProductionDate>
    <DocumentNumber xmlns="be3ca9a7-9286-4008-99ec-aebc20da9dc2">642</DocumentNumber>
    <FicheYear xmlns="1a33af13-4045-4f88-9d7b-618e30f79918" xsi:nil="true"/>
    <DossierNumber xmlns="1a33af13-4045-4f88-9d7b-618e30f79918">602</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1a33af13-4045-4f88-9d7b-618e30f79918">
      <Value>246</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s>
    </DocumentLanguage_0>
    <MeetingDate xmlns="1a33af13-4045-4f88-9d7b-618e30f79918"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1a33af13-4045-4f88-9d7b-618e30f79918">BARBIERI</Rapporteur>
    <DocumentYear xmlns="1a33af13-4045-4f88-9d7b-618e30f79918">2025</DocumentYear>
    <FicheNumber xmlns="1a33af13-4045-4f88-9d7b-618e30f79918">295964</FicheNumber>
    <OriginalSender xmlns="1a33af13-4045-4f88-9d7b-618e30f79918">
      <UserInfo>
        <DisplayName>Van Brabant Iris</DisplayName>
        <AccountId>1821</AccountId>
        <AccountType/>
      </UserInfo>
    </OriginalSender>
    <DocumentPart xmlns="1a33af13-4045-4f88-9d7b-618e30f79918">0</DocumentPart>
    <AdoptionDate xmlns="1a33af13-4045-4f88-9d7b-618e30f79918">2025-10-23T12:00:00+00:00</AdoptionDate>
    <RequestingService xmlns="1a33af13-4045-4f88-9d7b-618e30f79918">Relations extérieures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Version xmlns="1a33af13-4045-4f88-9d7b-618e30f79918">1</DocumentVersion>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34A5F-A01C-40DE-B3BC-356D1699400B}">
  <ds:schemaRefs>
    <ds:schemaRef ds:uri="http://schemas.openxmlformats.org/officeDocument/2006/bibliography"/>
  </ds:schemaRefs>
</ds:datastoreItem>
</file>

<file path=customXml/itemProps2.xml><?xml version="1.0" encoding="utf-8"?>
<ds:datastoreItem xmlns:ds="http://schemas.openxmlformats.org/officeDocument/2006/customXml" ds:itemID="{9ADC2426-B49C-41F3-B8CD-9A19E8A7C14A}">
  <ds:schemaRefs>
    <ds:schemaRef ds:uri="http://schemas.microsoft.com/office/2006/metadata/properties"/>
    <ds:schemaRef ds:uri="http://schemas.microsoft.com/office/infopath/2007/PartnerControls"/>
    <ds:schemaRef ds:uri="7f5f1cb4-0383-4061-857a-33cec58cd7c1"/>
    <ds:schemaRef ds:uri="http://schemas.microsoft.com/sharepoint/v3/fields"/>
    <ds:schemaRef ds:uri="c9ea33bc-6b33-4207-b3ed-ef4abb1c6b6d"/>
  </ds:schemaRefs>
</ds:datastoreItem>
</file>

<file path=customXml/itemProps3.xml><?xml version="1.0" encoding="utf-8"?>
<ds:datastoreItem xmlns:ds="http://schemas.openxmlformats.org/officeDocument/2006/customXml" ds:itemID="{C1E1FF32-8E7C-41A5-B767-BFEC213EAB8B}"/>
</file>

<file path=customXml/itemProps4.xml><?xml version="1.0" encoding="utf-8"?>
<ds:datastoreItem xmlns:ds="http://schemas.openxmlformats.org/officeDocument/2006/customXml" ds:itemID="{F8749465-BFAD-442C-B100-1DE65236AC8A}">
  <ds:schemaRefs>
    <ds:schemaRef ds:uri="http://schemas.microsoft.com/sharepoint/events"/>
  </ds:schemaRefs>
</ds:datastoreItem>
</file>

<file path=customXml/itemProps5.xml><?xml version="1.0" encoding="utf-8"?>
<ds:datastoreItem xmlns:ds="http://schemas.openxmlformats.org/officeDocument/2006/customXml" ds:itemID="{9667EE92-B602-40AC-9704-782F2DA355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3485</Words>
  <Characters>19871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EESC RI - Model</vt:lpstr>
    </vt:vector>
  </TitlesOfParts>
  <Manager/>
  <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Diplomatie en handicap</dc:title>
  <dc:creator/>
  <cp:keywords>COR-EESC-2024-01326-27-01-ADMIN-TRA-EN</cp:keywords>
  <dc:description>Rapporteur: -  Original language: - EN Date of document: - 17/04/2024 Date of meeting: -  External documents: -  Administrator responsible: -  SUCIU Serban</dc:description>
  <cp:lastModifiedBy/>
  <cp:revision>11</cp:revision>
  <dcterms:created xsi:type="dcterms:W3CDTF">2025-10-28T06:57:00Z</dcterms:created>
  <dcterms:modified xsi:type="dcterms:W3CDTF">2025-10-29T10:48:00Z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28/10/2025, 12/04/2024, 17/05/2022</vt:lpwstr>
  </property>
  <property fmtid="{D5CDD505-2E9C-101B-9397-08002B2CF9AE}" pid="4" name="Pref_Time">
    <vt:lpwstr>07:48:59, 12:04:59, 14:58:36</vt:lpwstr>
  </property>
  <property fmtid="{D5CDD505-2E9C-101B-9397-08002B2CF9AE}" pid="5" name="Pref_User">
    <vt:lpwstr>amett, enied, enied</vt:lpwstr>
  </property>
  <property fmtid="{D5CDD505-2E9C-101B-9397-08002B2CF9AE}" pid="6" name="Pref_FileName">
    <vt:lpwstr>EESC-2025-00642-00-01-RI-TRA-EN-CRR.docx, COR-EESC-2024-01326-27-00-ADMIN-ORI.docx, COR-EESC-2022-02592-00-00-ADMIN-ORI.docx</vt:lpwstr>
  </property>
  <property fmtid="{D5CDD505-2E9C-101B-9397-08002B2CF9AE}" pid="7" name="ContentTypeId">
    <vt:lpwstr>0x010100EA97B91038054C99906057A708A1480A006BB3B767F3CF4149BF520211D4A86BC0</vt:lpwstr>
  </property>
  <property fmtid="{D5CDD505-2E9C-101B-9397-08002B2CF9AE}" pid="8" name="_dlc_DocIdItemGuid">
    <vt:lpwstr>c95684a1-1131-4f04-98c5-adcdb54f13a8</vt:lpwstr>
  </property>
  <property fmtid="{D5CDD505-2E9C-101B-9397-08002B2CF9AE}" pid="9" name="AvailableTranslations">
    <vt:lpwstr>39;#LV|46f7e311-5d9f-4663-b433-18aeccb7ace7;#37;#HU|6b229040-c589-4408-b4c1-4285663d20a8;#33;#PT|50ccc04a-eadd-42ae-a0cb-acaf45f812ba;#24;#PL|1e03da61-4678-4e07-b136-b5024ca9197b;#30;#LT|a7ff5ce7-6123-4f68-865a-a57c31810414;#31;#SL|98a412ae-eb01-49e9-ae3d-585a81724cfc;#50;#HR|2f555653-ed1a-4fe6-8362-9082d95989e5;#43;#GA|762d2456-c427-4ecb-b312-af3dad8e258c;#36;#RO|feb747a2-64cd-4299-af12-4833ddc30497;#42;#EL|6d4f4d51-af9b-4650-94b4-4276bee85c91;#12;#FR|d2afafd3-4c81-4f60-8f52-ee33f2f54ff3;#32;#MT|7df99101-6854-4a26-b53a-b88c0da02c26;#5;#EN|f2175f21-25d7-44a3-96da-d6a61b075e1b;#47;#BG|1a1b3951-7821-4e6a-85f5-5673fc08bd2c;#29;#CS|72f9705b-0217-4fd3-bea2-cbc7ed80e26e;#35;#FI|87606a43-d45f-42d6-b8c9-e1a3457db5b7;#16;#ES|e7a6b05b-ae16-40c8-add9-68b64b03aeba;#27;#NL|55c6556c-b4f4-441d-9acf-c498d4f838bd;#34;#IT|0774613c-01ed-4e5d-a25d-11d2388de825;#40;#DA|5d49c027-8956-412b-aa16-e85a0f96ad0e;#28;#SV|c2ed69e7-a339-43d7-8f22-d93680a92aa0;#46;#SK|46d9fce0-ef79-4f71-b89b-cd6aa82426b8;#23;#DE|f6b31e5a-26fa-4935-b661-318e46daf27e;#41;#ET|ff6c3f4c-b02c-4c3c-ab07-2c37995a7a0a</vt:lpwstr>
  </property>
  <property fmtid="{D5CDD505-2E9C-101B-9397-08002B2CF9AE}" pid="10" name="DocumentType_0">
    <vt:lpwstr>RI|0e66e8df-1601-4fe1-947b-eb539760261a</vt:lpwstr>
  </property>
  <property fmtid="{D5CDD505-2E9C-101B-9397-08002B2CF9AE}" pid="11" name="DossierName_0">
    <vt:lpwstr>REX|6820eaf5-116e-436b-ad9c-156f8a94c2a1</vt:lpwstr>
  </property>
  <property fmtid="{D5CDD505-2E9C-101B-9397-08002B2CF9AE}" pid="12" name="DocumentSource_0">
    <vt:lpwstr>EESC|422833ec-8d7e-4e65-8e4e-8bed07ffb729</vt:lpwstr>
  </property>
  <property fmtid="{D5CDD505-2E9C-101B-9397-08002B2CF9AE}" pid="13" name="DocumentNumber">
    <vt:i4>642</vt:i4>
  </property>
  <property fmtid="{D5CDD505-2E9C-101B-9397-08002B2CF9AE}" pid="14" name="FicheYear">
    <vt:i4>2024</vt:i4>
  </property>
  <property fmtid="{D5CDD505-2E9C-101B-9397-08002B2CF9AE}" pid="15" name="DocumentVersion">
    <vt:i4>1</vt:i4>
  </property>
  <property fmtid="{D5CDD505-2E9C-101B-9397-08002B2CF9AE}" pid="16" name="DocumentStatus">
    <vt:lpwstr>13;#TRA|150d2a88-1431-44e6-a8ca-0bb753ab8672</vt:lpwstr>
  </property>
  <property fmtid="{D5CDD505-2E9C-101B-9397-08002B2CF9AE}" pid="17" name="DocumentPart">
    <vt:i4>0</vt:i4>
  </property>
  <property fmtid="{D5CDD505-2E9C-101B-9397-08002B2CF9AE}" pid="18" name="DossierName">
    <vt:lpwstr>2;#REX|6820eaf5-116e-436b-ad9c-156f8a94c2a1</vt:lpwstr>
  </property>
  <property fmtid="{D5CDD505-2E9C-101B-9397-08002B2CF9AE}" pid="19" name="DocumentSource">
    <vt:lpwstr>1;#EESC|422833ec-8d7e-4e65-8e4e-8bed07ffb729</vt:lpwstr>
  </property>
  <property fmtid="{D5CDD505-2E9C-101B-9397-08002B2CF9AE}" pid="20" name="DocumentType">
    <vt:lpwstr>246;#RI|0e66e8df-1601-4fe1-947b-eb539760261a</vt:lpwstr>
  </property>
  <property fmtid="{D5CDD505-2E9C-101B-9397-08002B2CF9AE}" pid="21" name="RequestingService">
    <vt:lpwstr>Relations extérieures</vt:lpwstr>
  </property>
  <property fmtid="{D5CDD505-2E9C-101B-9397-08002B2CF9AE}" pid="22" name="Confidentiality">
    <vt:lpwstr>15;#Unrestricted|826e22d7-d029-4ec0-a450-0c28ff673572</vt:lpwstr>
  </property>
  <property fmtid="{D5CDD505-2E9C-101B-9397-08002B2CF9AE}" pid="23" name="MeetingName_0">
    <vt:lpwstr/>
  </property>
  <property fmtid="{D5CDD505-2E9C-101B-9397-08002B2CF9AE}" pid="24" name="Confidentiality_0">
    <vt:lpwstr>Unrestricted|826e22d7-d029-4ec0-a450-0c28ff673572</vt:lpwstr>
  </property>
  <property fmtid="{D5CDD505-2E9C-101B-9397-08002B2CF9AE}" pid="25" name="OriginalLanguage">
    <vt:lpwstr>5;#EN|f2175f21-25d7-44a3-96da-d6a61b075e1b</vt:lpwstr>
  </property>
  <property fmtid="{D5CDD505-2E9C-101B-9397-08002B2CF9AE}" pid="26" name="MeetingName">
    <vt:lpwstr/>
  </property>
  <property fmtid="{D5CDD505-2E9C-101B-9397-08002B2CF9AE}" pid="27" name="AvailableTranslations_0">
    <vt:lpwstr>LV|46f7e311-5d9f-4663-b433-18aeccb7ace7;HU|6b229040-c589-4408-b4c1-4285663d20a8;PT|50ccc04a-eadd-42ae-a0cb-acaf45f812ba;PL|1e03da61-4678-4e07-b136-b5024ca9197b;GA|762d2456-c427-4ecb-b312-af3dad8e258c;FR|d2afafd3-4c81-4f60-8f52-ee33f2f54ff3;EN|f2175f21-25d7-44a3-96da-d6a61b075e1b;CS|72f9705b-0217-4fd3-bea2-cbc7ed80e26e;ES|e7a6b05b-ae16-40c8-add9-68b64b03aeba;IT|0774613c-01ed-4e5d-a25d-11d2388de825;DA|5d49c027-8956-412b-aa16-e85a0f96ad0e;SK|46d9fce0-ef79-4f71-b89b-cd6aa82426b8;DE|f6b31e5a-26fa-4935-b661-318e46daf27e</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34;#IT|0774613c-01ed-4e5d-a25d-11d2388de825;#33;#PT|50ccc04a-eadd-42ae-a0cb-acaf45f812ba;#246;#RI|0e66e8df-1601-4fe1-947b-eb539760261a;#29;#CS|72f9705b-0217-4fd3-bea2-cbc7ed80e26e;#24;#PL|1e03da61-4678-4e07-b136-b5024ca9197b;#23;#DE|f6b31e5a-26fa-4935-b661-318e46daf27e;#39;#LV|46f7e311-5d9f-4663-b433-18aeccb7ace7;#16;#ES|e7a6b05b-ae16-40c8-add9-68b64b03aeba;#15;#Unrestricted|826e22d7-d029-4ec0-a450-0c28ff673572;#13;#TRA|150d2a88-1431-44e6-a8ca-0bb753ab8672;#12;#FR|d2afafd3-4c81-4f60-8f52-ee33f2f54ff3;#46;#SK|46d9fce0-ef79-4f71-b89b-cd6aa82426b8;#8;#Final|ea5e6674-7b27-4bac-b091-73adbb394efe;#43;#GA|762d2456-c427-4ecb-b312-af3dad8e258c;#5;#EN|f2175f21-25d7-44a3-96da-d6a61b075e1b;#4;#EN|f2175f21-25d7-44a3-96da-d6a61b075e1b;#40;#DA|5d49c027-8956-412b-aa16-e85a0f96ad0e;#2;#REX|6820eaf5-116e-436b-ad9c-156f8a94c2a1;#1;#EESC|422833ec-8d7e-4e65-8e4e-8bed07ffb729;#37;#HU|6b229040-c589-4408-b4c1-4285663d20a8</vt:lpwstr>
  </property>
  <property fmtid="{D5CDD505-2E9C-101B-9397-08002B2CF9AE}" pid="31" name="VersionStatus_0">
    <vt:lpwstr>Final|ea5e6674-7b27-4bac-b091-73adbb394efe</vt:lpwstr>
  </property>
  <property fmtid="{D5CDD505-2E9C-101B-9397-08002B2CF9AE}" pid="32" name="VersionStatus">
    <vt:lpwstr>8;#Final|ea5e6674-7b27-4bac-b091-73adbb394efe</vt:lpwstr>
  </property>
  <property fmtid="{D5CDD505-2E9C-101B-9397-08002B2CF9AE}" pid="33" name="DocumentYear">
    <vt:i4>2025</vt:i4>
  </property>
  <property fmtid="{D5CDD505-2E9C-101B-9397-08002B2CF9AE}" pid="34" name="FicheNumber">
    <vt:i4>295964</vt:i4>
  </property>
  <property fmtid="{D5CDD505-2E9C-101B-9397-08002B2CF9AE}" pid="35" name="DocumentLanguage">
    <vt:lpwstr>27;#NL|55c6556c-b4f4-441d-9acf-c498d4f838bd</vt:lpwstr>
  </property>
  <property fmtid="{D5CDD505-2E9C-101B-9397-08002B2CF9AE}" pid="36" name="_docset_NoMedatataSyncRequired">
    <vt:lpwstr>False</vt:lpwstr>
  </property>
  <property fmtid="{D5CDD505-2E9C-101B-9397-08002B2CF9AE}" pid="37" name="DossierNumber">
    <vt:i4>602</vt:i4>
  </property>
  <property fmtid="{D5CDD505-2E9C-101B-9397-08002B2CF9AE}" pid="38" name="DocumentLanguage_0">
    <vt:lpwstr>EN|f2175f21-25d7-44a3-96da-d6a61b075e1b</vt:lpwstr>
  </property>
  <property fmtid="{D5CDD505-2E9C-101B-9397-08002B2CF9AE}" pid="40" name="Rapporteur">
    <vt:lpwstr>BARBIERI</vt:lpwstr>
  </property>
  <property fmtid="{D5CDD505-2E9C-101B-9397-08002B2CF9AE}" pid="41" name="AdoptionDate">
    <vt:filetime>2025-10-23T12:00:00Z</vt:filetime>
  </property>
</Properties>
</file>