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9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574C9B" w:rsidRPr="0065601D" w14:paraId="4B18B74B" w14:textId="77777777" w:rsidTr="00096A0E">
        <w:trPr>
          <w:jc w:val="center"/>
        </w:trPr>
        <w:tc>
          <w:tcPr>
            <w:tcW w:w="5000" w:type="pct"/>
            <w:vAlign w:val="center"/>
          </w:tcPr>
          <w:p w14:paraId="4B8F14AB" w14:textId="1DC17AD9" w:rsidR="00574C9B" w:rsidRPr="0065601D" w:rsidRDefault="00360204" w:rsidP="006A79E7">
            <w:pPr>
              <w:jc w:val="center"/>
              <w:rPr>
                <w:b/>
                <w:sz w:val="72"/>
                <w:szCs w:val="72"/>
              </w:rPr>
            </w:pPr>
            <w:r>
              <w:rPr>
                <w:b/>
                <w:sz w:val="72"/>
              </w:rPr>
              <w:t>INFORMATIONSRAPPORT</w:t>
            </w:r>
          </w:p>
        </w:tc>
      </w:tr>
      <w:tr w:rsidR="00574C9B" w:rsidRPr="0065601D" w14:paraId="428F80C1" w14:textId="77777777" w:rsidTr="00096A0E">
        <w:trPr>
          <w:trHeight w:val="567"/>
          <w:jc w:val="center"/>
        </w:trPr>
        <w:tc>
          <w:tcPr>
            <w:tcW w:w="5000" w:type="pct"/>
            <w:vAlign w:val="center"/>
          </w:tcPr>
          <w:p w14:paraId="0E3C838D" w14:textId="2E0F4618" w:rsidR="00574C9B" w:rsidRPr="0065601D" w:rsidRDefault="00574C9B" w:rsidP="006A79E7">
            <w:pPr>
              <w:jc w:val="center"/>
              <w:rPr>
                <w:sz w:val="24"/>
                <w:szCs w:val="24"/>
              </w:rPr>
            </w:pPr>
            <w:r>
              <w:rPr>
                <w:sz w:val="24"/>
              </w:rPr>
              <w:t>Europeiska ekonomiska och sociala kommittén</w:t>
            </w:r>
          </w:p>
        </w:tc>
      </w:tr>
      <w:tr w:rsidR="00574C9B" w:rsidRPr="0065601D" w14:paraId="5FCA7EB1" w14:textId="77777777" w:rsidTr="00096A0E">
        <w:trPr>
          <w:jc w:val="center"/>
        </w:trPr>
        <w:tc>
          <w:tcPr>
            <w:tcW w:w="5000" w:type="pct"/>
            <w:vAlign w:val="center"/>
          </w:tcPr>
          <w:p w14:paraId="164B3F5D" w14:textId="3B8C9C30" w:rsidR="00574C9B" w:rsidRPr="0065601D" w:rsidRDefault="00766ACB" w:rsidP="006A79E7">
            <w:pPr>
              <w:jc w:val="center"/>
              <w:rPr>
                <w:b/>
                <w:sz w:val="44"/>
                <w:szCs w:val="44"/>
              </w:rPr>
            </w:pPr>
            <w:r>
              <w:rPr>
                <w:b/>
                <w:sz w:val="44"/>
              </w:rPr>
              <w:t>Diplomati och funktionsnedsättning</w:t>
            </w:r>
          </w:p>
        </w:tc>
      </w:tr>
      <w:tr w:rsidR="00574C9B" w:rsidRPr="0065601D" w14:paraId="0A2CA787" w14:textId="77777777" w:rsidTr="00096A0E">
        <w:trPr>
          <w:jc w:val="center"/>
        </w:trPr>
        <w:tc>
          <w:tcPr>
            <w:tcW w:w="5000" w:type="pct"/>
            <w:vAlign w:val="center"/>
          </w:tcPr>
          <w:p w14:paraId="766B3712" w14:textId="77777777" w:rsidR="00574C9B" w:rsidRPr="0065601D" w:rsidRDefault="00574C9B" w:rsidP="006A79E7">
            <w:pPr>
              <w:overflowPunct w:val="0"/>
              <w:autoSpaceDE w:val="0"/>
              <w:autoSpaceDN w:val="0"/>
              <w:adjustRightInd w:val="0"/>
              <w:jc w:val="center"/>
              <w:textAlignment w:val="baseline"/>
              <w:rPr>
                <w:b/>
                <w:position w:val="24"/>
                <w:sz w:val="24"/>
                <w:szCs w:val="24"/>
              </w:rPr>
            </w:pPr>
            <w:r>
              <w:rPr>
                <w:sz w:val="24"/>
              </w:rPr>
              <w:t>_____________</w:t>
            </w:r>
          </w:p>
        </w:tc>
      </w:tr>
      <w:tr w:rsidR="00574C9B" w:rsidRPr="0065601D" w14:paraId="651BE820" w14:textId="77777777" w:rsidTr="00096A0E">
        <w:trPr>
          <w:jc w:val="center"/>
        </w:trPr>
        <w:tc>
          <w:tcPr>
            <w:tcW w:w="5000" w:type="pct"/>
            <w:vAlign w:val="center"/>
          </w:tcPr>
          <w:p w14:paraId="6E238E6D" w14:textId="1C50B46F" w:rsidR="00574C9B" w:rsidRPr="0065601D" w:rsidRDefault="00766ACB" w:rsidP="006A79E7">
            <w:pPr>
              <w:jc w:val="center"/>
              <w:rPr>
                <w:sz w:val="24"/>
                <w:szCs w:val="24"/>
              </w:rPr>
            </w:pPr>
            <w:r>
              <w:rPr>
                <w:sz w:val="24"/>
              </w:rPr>
              <w:t>Diplomati och funktionsnedsättning</w:t>
            </w:r>
          </w:p>
        </w:tc>
      </w:tr>
      <w:tr w:rsidR="00574C9B" w:rsidRPr="0065601D" w14:paraId="295584EE" w14:textId="77777777" w:rsidTr="00096A0E">
        <w:trPr>
          <w:jc w:val="center"/>
        </w:trPr>
        <w:tc>
          <w:tcPr>
            <w:tcW w:w="5000" w:type="pct"/>
            <w:vAlign w:val="center"/>
          </w:tcPr>
          <w:p w14:paraId="7AA50FA1" w14:textId="77777777" w:rsidR="00574C9B" w:rsidRPr="0065601D" w:rsidRDefault="00574C9B" w:rsidP="006A79E7">
            <w:pPr>
              <w:jc w:val="center"/>
              <w:rPr>
                <w:sz w:val="24"/>
                <w:szCs w:val="24"/>
                <w:lang w:val="en-GB"/>
              </w:rPr>
            </w:pPr>
          </w:p>
        </w:tc>
      </w:tr>
      <w:tr w:rsidR="00574C9B" w:rsidRPr="0065601D" w14:paraId="41F47321" w14:textId="77777777" w:rsidTr="00096A0E">
        <w:trPr>
          <w:jc w:val="center"/>
        </w:trPr>
        <w:tc>
          <w:tcPr>
            <w:tcW w:w="5000" w:type="pct"/>
            <w:vAlign w:val="center"/>
          </w:tcPr>
          <w:p w14:paraId="50D97899" w14:textId="41051C07" w:rsidR="00574C9B" w:rsidRPr="0065601D" w:rsidRDefault="00614FA9" w:rsidP="006A79E7">
            <w:pPr>
              <w:jc w:val="center"/>
              <w:rPr>
                <w:b/>
                <w:sz w:val="24"/>
                <w:szCs w:val="24"/>
              </w:rPr>
            </w:pPr>
            <w:r>
              <w:rPr>
                <w:b/>
                <w:sz w:val="24"/>
              </w:rPr>
              <w:t>REX/602</w:t>
            </w:r>
          </w:p>
        </w:tc>
      </w:tr>
      <w:tr w:rsidR="00574C9B" w:rsidRPr="0065601D" w14:paraId="2110FDEB" w14:textId="77777777" w:rsidTr="00096A0E">
        <w:trPr>
          <w:jc w:val="center"/>
        </w:trPr>
        <w:tc>
          <w:tcPr>
            <w:tcW w:w="5000" w:type="pct"/>
            <w:vAlign w:val="center"/>
          </w:tcPr>
          <w:p w14:paraId="59F181E4" w14:textId="77777777" w:rsidR="00574C9B" w:rsidRPr="0065601D" w:rsidRDefault="00574C9B" w:rsidP="006A79E7">
            <w:pPr>
              <w:jc w:val="center"/>
              <w:rPr>
                <w:sz w:val="24"/>
                <w:szCs w:val="24"/>
                <w:lang w:val="en-GB"/>
              </w:rPr>
            </w:pPr>
          </w:p>
        </w:tc>
      </w:tr>
      <w:tr w:rsidR="00574C9B" w:rsidRPr="006A79E7" w14:paraId="5DF7EBEA" w14:textId="77777777" w:rsidTr="00096A0E">
        <w:trPr>
          <w:jc w:val="center"/>
        </w:trPr>
        <w:tc>
          <w:tcPr>
            <w:tcW w:w="5000" w:type="pct"/>
            <w:vAlign w:val="center"/>
          </w:tcPr>
          <w:p w14:paraId="23E9DE0A" w14:textId="6B0926C6" w:rsidR="00574C9B" w:rsidRPr="006A79E7" w:rsidRDefault="00574C9B" w:rsidP="006A79E7">
            <w:pPr>
              <w:jc w:val="center"/>
              <w:rPr>
                <w:sz w:val="24"/>
                <w:szCs w:val="24"/>
              </w:rPr>
            </w:pPr>
            <w:r>
              <w:rPr>
                <w:sz w:val="24"/>
              </w:rPr>
              <w:t xml:space="preserve">Huvudföredragande: </w:t>
            </w:r>
            <w:r>
              <w:rPr>
                <w:b/>
                <w:sz w:val="24"/>
              </w:rPr>
              <w:t xml:space="preserve">Pietro Vittorio </w:t>
            </w:r>
            <w:proofErr w:type="spellStart"/>
            <w:r>
              <w:rPr>
                <w:b/>
                <w:sz w:val="24"/>
              </w:rPr>
              <w:t>Barbieri</w:t>
            </w:r>
            <w:proofErr w:type="spellEnd"/>
          </w:p>
        </w:tc>
      </w:tr>
    </w:tbl>
    <w:p w14:paraId="0B225863" w14:textId="77777777" w:rsidR="00574C9B" w:rsidRPr="006A79E7" w:rsidRDefault="00574C9B" w:rsidP="006A79E7">
      <w:r>
        <w:rPr>
          <w:noProof/>
          <w:sz w:val="20"/>
        </w:rPr>
        <mc:AlternateContent>
          <mc:Choice Requires="wps">
            <w:drawing>
              <wp:anchor distT="0" distB="0" distL="114300" distR="114300" simplePos="0" relativeHeight="251659264" behindDoc="1" locked="0" layoutInCell="0" allowOverlap="1" wp14:anchorId="3735E109" wp14:editId="3357AC0E">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00903" w14:textId="77777777" w:rsidR="00574C9B" w:rsidRDefault="00574C9B" w:rsidP="00574C9B">
                            <w:pPr>
                              <w:jc w:val="cente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5E109"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o:allowincell="f" filled="f" stroked="f">
                <v:textbox>
                  <w:txbxContent>
                    <w:p w14:paraId="03B00903" w14:textId="77777777" w:rsidR="00574C9B" w:rsidRDefault="00574C9B" w:rsidP="00574C9B">
                      <w:pPr>
                        <w:jc w:val="center"/>
                      </w:pPr>
                      <w:r>
                        <w:rPr>
                          <w:rFonts w:ascii="Arial" w:hAnsi="Arial"/>
                          <w:b/>
                          <w:sz w:val="48"/>
                        </w:rPr>
                        <w:t>SV</w:t>
                      </w:r>
                    </w:p>
                  </w:txbxContent>
                </v:textbox>
                <w10:wrap anchorx="margin" anchory="page"/>
              </v:shape>
            </w:pict>
          </mc:Fallback>
        </mc:AlternateContent>
      </w:r>
    </w:p>
    <w:p w14:paraId="3FA5826A" w14:textId="77777777" w:rsidR="00574C9B" w:rsidRPr="006A79E7" w:rsidRDefault="00574C9B" w:rsidP="006A79E7">
      <w:pPr>
        <w:rPr>
          <w:lang w:val="it-IT"/>
        </w:rPr>
      </w:pPr>
    </w:p>
    <w:p w14:paraId="4B88FC0A" w14:textId="77777777" w:rsidR="00574C9B" w:rsidRPr="006A79E7" w:rsidRDefault="00574C9B" w:rsidP="006A79E7">
      <w:pPr>
        <w:rPr>
          <w:lang w:val="it-IT"/>
        </w:rPr>
        <w:sectPr w:rsidR="00574C9B" w:rsidRPr="006A79E7" w:rsidSect="006A79E7">
          <w:headerReference w:type="even" r:id="rId12"/>
          <w:headerReference w:type="default" r:id="rId13"/>
          <w:headerReference w:type="first" r:id="rId14"/>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C5137B" w:rsidRPr="0065601D" w14:paraId="6755593A" w14:textId="77777777" w:rsidTr="00E15BF4">
        <w:tc>
          <w:tcPr>
            <w:tcW w:w="3085" w:type="dxa"/>
          </w:tcPr>
          <w:p w14:paraId="5F91A05F" w14:textId="0D333D6B" w:rsidR="00C5137B" w:rsidRPr="0065601D" w:rsidRDefault="00C5137B" w:rsidP="006A79E7">
            <w:pPr>
              <w:autoSpaceDE w:val="0"/>
              <w:autoSpaceDN w:val="0"/>
              <w:jc w:val="left"/>
              <w:rPr>
                <w:szCs w:val="20"/>
              </w:rPr>
            </w:pPr>
            <w:r>
              <w:lastRenderedPageBreak/>
              <w:t>Rådgivare</w:t>
            </w:r>
          </w:p>
        </w:tc>
        <w:tc>
          <w:tcPr>
            <w:tcW w:w="6204" w:type="dxa"/>
            <w:vAlign w:val="bottom"/>
          </w:tcPr>
          <w:p w14:paraId="70C24170" w14:textId="34C79708" w:rsidR="00C5137B" w:rsidRPr="0065601D" w:rsidRDefault="00766ACB" w:rsidP="006A79E7">
            <w:pPr>
              <w:autoSpaceDE w:val="0"/>
              <w:autoSpaceDN w:val="0"/>
              <w:jc w:val="left"/>
            </w:pPr>
            <w:r>
              <w:t xml:space="preserve">Lorenzo </w:t>
            </w:r>
            <w:proofErr w:type="spellStart"/>
            <w:r>
              <w:t>Tamburrini</w:t>
            </w:r>
            <w:proofErr w:type="spellEnd"/>
          </w:p>
        </w:tc>
      </w:tr>
      <w:tr w:rsidR="00C5137B" w:rsidRPr="0065601D" w14:paraId="0F2D8E06" w14:textId="77777777" w:rsidTr="00E15BF4">
        <w:tc>
          <w:tcPr>
            <w:tcW w:w="3085" w:type="dxa"/>
          </w:tcPr>
          <w:p w14:paraId="4CD317AD" w14:textId="77777777" w:rsidR="00C5137B" w:rsidRPr="0065601D" w:rsidRDefault="00C5137B" w:rsidP="006A79E7">
            <w:pPr>
              <w:autoSpaceDE w:val="0"/>
              <w:autoSpaceDN w:val="0"/>
              <w:jc w:val="left"/>
              <w:rPr>
                <w:szCs w:val="20"/>
                <w:lang w:val="en-GB"/>
              </w:rPr>
            </w:pPr>
          </w:p>
        </w:tc>
        <w:tc>
          <w:tcPr>
            <w:tcW w:w="6204" w:type="dxa"/>
            <w:vAlign w:val="bottom"/>
          </w:tcPr>
          <w:p w14:paraId="59403491" w14:textId="77777777" w:rsidR="00C5137B" w:rsidRPr="0065601D" w:rsidRDefault="00C5137B" w:rsidP="006A79E7">
            <w:pPr>
              <w:autoSpaceDE w:val="0"/>
              <w:autoSpaceDN w:val="0"/>
              <w:jc w:val="left"/>
              <w:rPr>
                <w:lang w:val="en-GB"/>
              </w:rPr>
            </w:pPr>
          </w:p>
        </w:tc>
      </w:tr>
      <w:tr w:rsidR="00914683" w:rsidRPr="0065601D" w14:paraId="3E385435" w14:textId="77777777" w:rsidTr="00E15BF4">
        <w:tc>
          <w:tcPr>
            <w:tcW w:w="3085" w:type="dxa"/>
          </w:tcPr>
          <w:p w14:paraId="3054D729" w14:textId="5D5B5FF6" w:rsidR="00914683" w:rsidRPr="0065601D" w:rsidRDefault="00914683" w:rsidP="006A79E7">
            <w:pPr>
              <w:autoSpaceDE w:val="0"/>
              <w:autoSpaceDN w:val="0"/>
              <w:jc w:val="left"/>
              <w:rPr>
                <w:szCs w:val="20"/>
              </w:rPr>
            </w:pPr>
            <w:r>
              <w:t>Rättslig grund</w:t>
            </w:r>
          </w:p>
        </w:tc>
        <w:tc>
          <w:tcPr>
            <w:tcW w:w="6204" w:type="dxa"/>
            <w:vAlign w:val="bottom"/>
          </w:tcPr>
          <w:p w14:paraId="41CF067A" w14:textId="0D6FB79C" w:rsidR="00914683" w:rsidRPr="0065601D" w:rsidRDefault="00914683" w:rsidP="006A79E7">
            <w:pPr>
              <w:autoSpaceDE w:val="0"/>
              <w:autoSpaceDN w:val="0"/>
              <w:jc w:val="left"/>
            </w:pPr>
            <w:r>
              <w:t>Artikel 52.3 i arbetsordningen</w:t>
            </w:r>
          </w:p>
        </w:tc>
      </w:tr>
      <w:tr w:rsidR="00AC5114" w:rsidRPr="0065601D" w14:paraId="0E2099A6" w14:textId="77777777" w:rsidTr="00E15BF4">
        <w:tc>
          <w:tcPr>
            <w:tcW w:w="3085" w:type="dxa"/>
          </w:tcPr>
          <w:p w14:paraId="0BC68BA5" w14:textId="77777777" w:rsidR="00AC5114" w:rsidRPr="0065601D" w:rsidRDefault="00AC5114" w:rsidP="006A79E7">
            <w:pPr>
              <w:autoSpaceDE w:val="0"/>
              <w:autoSpaceDN w:val="0"/>
              <w:jc w:val="left"/>
            </w:pPr>
            <w:r>
              <w:t>Ansvarig sektion</w:t>
            </w:r>
          </w:p>
        </w:tc>
        <w:tc>
          <w:tcPr>
            <w:tcW w:w="6204" w:type="dxa"/>
            <w:vAlign w:val="bottom"/>
          </w:tcPr>
          <w:p w14:paraId="5AE7EA9E" w14:textId="67F9EC3D" w:rsidR="00AC5114" w:rsidRPr="0065601D" w:rsidRDefault="00766ACB" w:rsidP="006A79E7">
            <w:pPr>
              <w:autoSpaceDE w:val="0"/>
              <w:autoSpaceDN w:val="0"/>
              <w:jc w:val="left"/>
            </w:pPr>
            <w:r>
              <w:t xml:space="preserve">Yttre förbindelser </w:t>
            </w:r>
          </w:p>
        </w:tc>
      </w:tr>
      <w:tr w:rsidR="00AC5114" w:rsidRPr="0065601D" w14:paraId="53972E32" w14:textId="77777777" w:rsidTr="00E15BF4">
        <w:tc>
          <w:tcPr>
            <w:tcW w:w="3085" w:type="dxa"/>
          </w:tcPr>
          <w:p w14:paraId="13B33E83" w14:textId="77777777" w:rsidR="00AC5114" w:rsidRPr="0065601D" w:rsidRDefault="00AC5114" w:rsidP="006A79E7">
            <w:pPr>
              <w:autoSpaceDE w:val="0"/>
              <w:autoSpaceDN w:val="0"/>
              <w:jc w:val="left"/>
            </w:pPr>
            <w:r>
              <w:t>Antagande av sektionen</w:t>
            </w:r>
          </w:p>
        </w:tc>
        <w:tc>
          <w:tcPr>
            <w:tcW w:w="6204" w:type="dxa"/>
            <w:vAlign w:val="bottom"/>
          </w:tcPr>
          <w:p w14:paraId="5E71ECD2" w14:textId="576BC692" w:rsidR="00AC5114" w:rsidRPr="0065601D" w:rsidRDefault="00766ACB" w:rsidP="006A79E7">
            <w:pPr>
              <w:autoSpaceDE w:val="0"/>
              <w:autoSpaceDN w:val="0"/>
              <w:jc w:val="left"/>
            </w:pPr>
            <w:r>
              <w:t>9/9/2025</w:t>
            </w:r>
          </w:p>
        </w:tc>
      </w:tr>
      <w:tr w:rsidR="0058411F" w:rsidRPr="0065601D" w14:paraId="7AE47B93" w14:textId="77777777" w:rsidTr="00E15BF4">
        <w:tc>
          <w:tcPr>
            <w:tcW w:w="3085" w:type="dxa"/>
          </w:tcPr>
          <w:p w14:paraId="26DE3092" w14:textId="352FC8CA" w:rsidR="0058411F" w:rsidRPr="0065601D" w:rsidRDefault="0058411F" w:rsidP="006A79E7">
            <w:pPr>
              <w:autoSpaceDE w:val="0"/>
              <w:autoSpaceDN w:val="0"/>
              <w:jc w:val="left"/>
            </w:pPr>
            <w:r>
              <w:t>Antagande vid plenarsessionen</w:t>
            </w:r>
          </w:p>
        </w:tc>
        <w:tc>
          <w:tcPr>
            <w:tcW w:w="6204" w:type="dxa"/>
            <w:vAlign w:val="bottom"/>
          </w:tcPr>
          <w:p w14:paraId="34FA2183" w14:textId="44309D42" w:rsidR="0058411F" w:rsidRPr="0065601D" w:rsidRDefault="00766ACB" w:rsidP="006A79E7">
            <w:pPr>
              <w:autoSpaceDE w:val="0"/>
              <w:autoSpaceDN w:val="0"/>
              <w:jc w:val="left"/>
            </w:pPr>
            <w:r>
              <w:t>23/10/2025</w:t>
            </w:r>
          </w:p>
        </w:tc>
      </w:tr>
      <w:tr w:rsidR="0058411F" w:rsidRPr="0065601D" w14:paraId="2FE8AE44" w14:textId="77777777" w:rsidTr="00E15BF4">
        <w:tc>
          <w:tcPr>
            <w:tcW w:w="3085" w:type="dxa"/>
          </w:tcPr>
          <w:p w14:paraId="2A65A034" w14:textId="77777777" w:rsidR="0058411F" w:rsidRPr="0065601D" w:rsidRDefault="0058411F" w:rsidP="006A79E7">
            <w:pPr>
              <w:autoSpaceDE w:val="0"/>
              <w:autoSpaceDN w:val="0"/>
              <w:jc w:val="left"/>
            </w:pPr>
            <w:r>
              <w:t>Plenarsession nr</w:t>
            </w:r>
          </w:p>
        </w:tc>
        <w:tc>
          <w:tcPr>
            <w:tcW w:w="6204" w:type="dxa"/>
            <w:vAlign w:val="bottom"/>
          </w:tcPr>
          <w:p w14:paraId="17BFB0A7" w14:textId="180DD009" w:rsidR="0058411F" w:rsidRPr="0065601D" w:rsidRDefault="00766ACB" w:rsidP="006A79E7">
            <w:pPr>
              <w:autoSpaceDE w:val="0"/>
              <w:autoSpaceDN w:val="0"/>
              <w:jc w:val="left"/>
            </w:pPr>
            <w:r>
              <w:t>600</w:t>
            </w:r>
          </w:p>
        </w:tc>
      </w:tr>
      <w:tr w:rsidR="0058411F" w:rsidRPr="0065601D" w14:paraId="3889B17A" w14:textId="77777777" w:rsidTr="00E15BF4">
        <w:tc>
          <w:tcPr>
            <w:tcW w:w="3085" w:type="dxa"/>
          </w:tcPr>
          <w:p w14:paraId="0C723801" w14:textId="77777777" w:rsidR="0058411F" w:rsidRPr="0065601D" w:rsidRDefault="0058411F" w:rsidP="006A79E7">
            <w:pPr>
              <w:autoSpaceDE w:val="0"/>
              <w:autoSpaceDN w:val="0"/>
              <w:jc w:val="left"/>
            </w:pPr>
            <w:r>
              <w:t>Resultat av omröstningen</w:t>
            </w:r>
            <w:r>
              <w:br/>
              <w:t>(för/emot/nedlagda röster)</w:t>
            </w:r>
          </w:p>
        </w:tc>
        <w:tc>
          <w:tcPr>
            <w:tcW w:w="6204" w:type="dxa"/>
            <w:vAlign w:val="bottom"/>
          </w:tcPr>
          <w:p w14:paraId="14DB34EA" w14:textId="51B2EE9F" w:rsidR="0058411F" w:rsidRPr="0065601D" w:rsidRDefault="0091458D" w:rsidP="006A79E7">
            <w:pPr>
              <w:autoSpaceDE w:val="0"/>
              <w:autoSpaceDN w:val="0"/>
              <w:jc w:val="left"/>
            </w:pPr>
            <w:r>
              <w:t>207/3/1</w:t>
            </w:r>
          </w:p>
        </w:tc>
      </w:tr>
    </w:tbl>
    <w:p w14:paraId="2CD3051D" w14:textId="77777777" w:rsidR="00AC5114" w:rsidRPr="0065601D" w:rsidRDefault="00AC5114" w:rsidP="006A79E7">
      <w:pPr>
        <w:rPr>
          <w:lang w:val="en-GB"/>
        </w:rPr>
        <w:sectPr w:rsidR="00AC5114" w:rsidRPr="0065601D" w:rsidSect="006A79E7">
          <w:headerReference w:type="even" r:id="rId15"/>
          <w:headerReference w:type="default" r:id="rId16"/>
          <w:footerReference w:type="default" r:id="rId17"/>
          <w:headerReference w:type="first" r:id="rId18"/>
          <w:pgSz w:w="11907" w:h="16839" w:code="9"/>
          <w:pgMar w:top="5669" w:right="1418" w:bottom="1418" w:left="1418" w:header="709" w:footer="709" w:gutter="0"/>
          <w:cols w:space="720"/>
          <w:docGrid w:linePitch="360"/>
        </w:sectPr>
      </w:pPr>
    </w:p>
    <w:p w14:paraId="3A0D875F" w14:textId="77777777" w:rsidR="00101669" w:rsidRPr="00BC50E6" w:rsidRDefault="00101669" w:rsidP="006A79E7">
      <w:pPr>
        <w:pStyle w:val="Heading1"/>
        <w:rPr>
          <w:b/>
          <w:bCs/>
          <w:color w:val="000000" w:themeColor="text1"/>
        </w:rPr>
      </w:pPr>
      <w:r>
        <w:rPr>
          <w:b/>
          <w:color w:val="000000" w:themeColor="text1"/>
        </w:rPr>
        <w:lastRenderedPageBreak/>
        <w:t>Inledning</w:t>
      </w:r>
    </w:p>
    <w:p w14:paraId="340F11D7" w14:textId="77777777" w:rsidR="00101669" w:rsidRPr="00BC50E6" w:rsidRDefault="00101669" w:rsidP="006A79E7">
      <w:pPr>
        <w:ind w:left="567" w:hanging="567"/>
        <w:rPr>
          <w:color w:val="000000" w:themeColor="text1"/>
          <w:lang w:val="en-GB"/>
        </w:rPr>
      </w:pPr>
    </w:p>
    <w:p w14:paraId="412C4623" w14:textId="4AE5E70C" w:rsidR="00101669" w:rsidRPr="00BC50E6" w:rsidRDefault="00101669" w:rsidP="006A79E7">
      <w:pPr>
        <w:pStyle w:val="Heading2"/>
        <w:rPr>
          <w:rFonts w:eastAsia="Arial"/>
          <w:color w:val="000000" w:themeColor="text1"/>
        </w:rPr>
      </w:pPr>
      <w:r>
        <w:t>En milstolpe på det diplomatiska området när det gäller kampen mot diskriminering av personer med funktionsnedsättning är</w:t>
      </w:r>
      <w:r>
        <w:rPr>
          <w:b/>
        </w:rPr>
        <w:t xml:space="preserve"> FN:s konvention om rättigheter för personer med funktions</w:t>
      </w:r>
      <w:r w:rsidR="00096A0E">
        <w:rPr>
          <w:b/>
        </w:rPr>
        <w:softHyphen/>
      </w:r>
      <w:r>
        <w:rPr>
          <w:b/>
        </w:rPr>
        <w:t>nedsättning</w:t>
      </w:r>
      <w:r>
        <w:t>. Den antogs 2006 och trädde i kraft 2008, och är en av de mest ratificerade människorättskonventionerna</w:t>
      </w:r>
      <w:r w:rsidRPr="00BC50E6">
        <w:rPr>
          <w:rStyle w:val="FootnoteReference"/>
          <w:iCs/>
          <w:lang w:val="en-GB"/>
        </w:rPr>
        <w:footnoteReference w:id="1"/>
      </w:r>
      <w:r>
        <w:t>.</w:t>
      </w:r>
      <w:r>
        <w:rPr>
          <w:color w:val="000000" w:themeColor="text1"/>
        </w:rPr>
        <w:t xml:space="preserve"> I konventionen, som är det främsta internationella rättsliga instrument som skyddar rättigheterna för personer med funktionsnedsättning, fastställs grundläggande principer i fråga om bland annat icke-diskriminering, ett fullt och ändamålsenligt deltagande i samhället, tillgänglighet och lika möjligheter.</w:t>
      </w:r>
    </w:p>
    <w:p w14:paraId="5A8B8F2B" w14:textId="77777777" w:rsidR="00101669" w:rsidRPr="00BC50E6" w:rsidRDefault="00101669" w:rsidP="006A79E7">
      <w:pPr>
        <w:ind w:left="567" w:hanging="567"/>
        <w:rPr>
          <w:rFonts w:eastAsia="Arial"/>
          <w:color w:val="000000" w:themeColor="text1"/>
          <w:lang w:val="en-GB" w:eastAsia="it-IT"/>
        </w:rPr>
      </w:pPr>
    </w:p>
    <w:p w14:paraId="37005863" w14:textId="4CB2EC73" w:rsidR="00101669" w:rsidRPr="00BC50E6" w:rsidRDefault="00101669" w:rsidP="006A79E7">
      <w:pPr>
        <w:pStyle w:val="Heading2"/>
        <w:rPr>
          <w:rFonts w:eastAsia="Arial"/>
          <w:color w:val="000000" w:themeColor="text1"/>
        </w:rPr>
      </w:pPr>
      <w:r>
        <w:t>Konventionen är ett viktigt övergripande rättsligt instrument som kompletterar FN:s allmänna människorättssystem, och innebär att funktionsnedsättning övergår från att vara en social fråga till att bli ett bindande inslag i internationell rätt och i rättsstatsprincipen i allmänhet. Den</w:t>
      </w:r>
      <w:r w:rsidR="00096A0E">
        <w:t> </w:t>
      </w:r>
      <w:r>
        <w:t>innebär också ett erkännande av vikten av internationellt samarbete och främjandet av detta, till stöd för nationella insatser för att förverkliga rättigheter för personer med funktionsnedsättning, såsom framgår av artikel 32 i konventionen. Staternas efterlevnad granskas av kommittén för rättigheter för personer med funktionsnedsättning, en fördrags</w:t>
      </w:r>
      <w:r w:rsidR="00096A0E">
        <w:softHyphen/>
      </w:r>
      <w:r>
        <w:t>övervakningsmekanism som ligger till grund för regelbunden internationell dialog och diplomatiska påtryckningar för att reformera nationell lagstiftning och praxis i syfte att garantera att de internationella normerna för rättigheter för personer med funktionsnedsättning respekteras.</w:t>
      </w:r>
    </w:p>
    <w:p w14:paraId="234B99CB" w14:textId="77777777" w:rsidR="00101669" w:rsidRPr="00BC50E6" w:rsidRDefault="00101669" w:rsidP="006A79E7">
      <w:pPr>
        <w:rPr>
          <w:rFonts w:eastAsia="Arial"/>
          <w:color w:val="000000" w:themeColor="text1"/>
          <w:lang w:val="en-GB" w:eastAsia="it-IT"/>
        </w:rPr>
      </w:pPr>
    </w:p>
    <w:p w14:paraId="28376CD5" w14:textId="0BAD3BBC" w:rsidR="00F0454A" w:rsidRPr="00BC50E6" w:rsidRDefault="00101669" w:rsidP="006A79E7">
      <w:pPr>
        <w:pStyle w:val="Heading2"/>
        <w:rPr>
          <w:color w:val="000000" w:themeColor="text1"/>
        </w:rPr>
      </w:pPr>
      <w:r>
        <w:rPr>
          <w:color w:val="000000" w:themeColor="text1"/>
        </w:rPr>
        <w:t>Konventionen om rättigheter för personer med funktionsnedsättning är grundläggande, eftersom det i den fastställs en bindande ram för samarbetet på området inkluderande utveckling. När det gäller de enskilda staterna är det många av dem som tar diplomati till hjälp i samband med att de förhandlar om genomförandet av konventionen, antar sina egna nationella lagar och samarbetar med andra stater för att förbättra inkluderingen.</w:t>
      </w:r>
    </w:p>
    <w:p w14:paraId="1D84E7F6" w14:textId="77777777" w:rsidR="00130C4A" w:rsidRPr="00BC50E6" w:rsidRDefault="00130C4A" w:rsidP="00BC50E6">
      <w:pPr>
        <w:rPr>
          <w:rFonts w:eastAsia="Arial"/>
          <w:lang w:val="en-GB"/>
        </w:rPr>
      </w:pPr>
    </w:p>
    <w:p w14:paraId="12610A11" w14:textId="7CFB8566" w:rsidR="00101669" w:rsidRPr="00BC50E6" w:rsidRDefault="00130C4A" w:rsidP="006A79E7">
      <w:pPr>
        <w:ind w:left="567" w:hanging="567"/>
      </w:pPr>
      <w:r>
        <w:rPr>
          <w:color w:val="000000" w:themeColor="text1"/>
        </w:rPr>
        <w:t>1.4</w:t>
      </w:r>
      <w:r>
        <w:rPr>
          <w:color w:val="000000" w:themeColor="text1"/>
        </w:rPr>
        <w:tab/>
      </w:r>
      <w:r>
        <w:t>Utöver konventionen främjar FN initiativ som syftar till att integrera rättigheter för personer med funktionsnedsättning i den bredare människorättsramen och internationell diplomati genom FN:s råd för mänskliga rättigheter. Genom att anta resolutioner och rekommendationer vägleder rådet för mänskliga rättigheter alla FN:s medlemsstater i genomförandet av internationella människorättsnormer. Genom mekanismen för allmän återkommande utvärdering utövar rådet för mänskliga rättigheter också diplomatiska och politiska påtryckningar på stater att visa framsteg i fråga om de mänskliga rättigheterna.</w:t>
      </w:r>
    </w:p>
    <w:p w14:paraId="1046B16F" w14:textId="012B70AC" w:rsidR="00F0454A" w:rsidRPr="00BC50E6" w:rsidRDefault="00F0454A" w:rsidP="006A79E7">
      <w:pPr>
        <w:ind w:left="567" w:hanging="567"/>
        <w:rPr>
          <w:iCs/>
          <w:lang w:val="en-GB"/>
        </w:rPr>
      </w:pPr>
    </w:p>
    <w:p w14:paraId="7A8E1D38" w14:textId="469209FC" w:rsidR="00F0454A" w:rsidRPr="00BC50E6" w:rsidRDefault="00F0454A" w:rsidP="006A79E7">
      <w:pPr>
        <w:ind w:left="567" w:hanging="567"/>
        <w:rPr>
          <w:iCs/>
          <w:color w:val="000000" w:themeColor="text1"/>
        </w:rPr>
      </w:pPr>
      <w:r>
        <w:t>1.5</w:t>
      </w:r>
      <w:r>
        <w:tab/>
        <w:t>FN:s ekonomiska och sociala råd (</w:t>
      </w:r>
      <w:proofErr w:type="spellStart"/>
      <w:r>
        <w:t>Ecosoc</w:t>
      </w:r>
      <w:proofErr w:type="spellEnd"/>
      <w:r>
        <w:t>) främjar ytterligare dessa mål genom att underlätta den politiska dialogen mellan regeringar, icke-statliga organisationer och experter i frågor som rör utveckling, ojämlikhet och social rättvisa. Detta inbegriper arbete som utförs inom ramen för handelsavtal och andra bilaterala eller multilaterala ramar.</w:t>
      </w:r>
    </w:p>
    <w:p w14:paraId="0E7809CE" w14:textId="3C218A56" w:rsidR="00096A0E" w:rsidRDefault="00096A0E">
      <w:pPr>
        <w:spacing w:after="160" w:line="259" w:lineRule="auto"/>
        <w:jc w:val="left"/>
        <w:rPr>
          <w:color w:val="000000" w:themeColor="text1"/>
          <w:lang w:val="en-GB"/>
        </w:rPr>
      </w:pPr>
      <w:r>
        <w:rPr>
          <w:color w:val="000000" w:themeColor="text1"/>
          <w:lang w:val="en-GB"/>
        </w:rPr>
        <w:br w:type="page"/>
      </w:r>
    </w:p>
    <w:p w14:paraId="42A9E377" w14:textId="6B95DEC9" w:rsidR="00F0454A" w:rsidRPr="00BC50E6" w:rsidRDefault="00F0454A" w:rsidP="006A79E7">
      <w:pPr>
        <w:ind w:left="567" w:hanging="567"/>
      </w:pPr>
      <w:r>
        <w:rPr>
          <w:color w:val="000000" w:themeColor="text1"/>
        </w:rPr>
        <w:lastRenderedPageBreak/>
        <w:t>1.6</w:t>
      </w:r>
      <w:r>
        <w:rPr>
          <w:color w:val="000000" w:themeColor="text1"/>
        </w:rPr>
        <w:tab/>
      </w:r>
      <w:r>
        <w:t>Organisationer för personer med funktionsnedsättning och icke-statliga organisationer är också nyckelaktörer i den internationella diplomatin. De påverkar globala och nationella agendor genom att verka för mer inkluderande lagstiftning, ställa regeringar till svars för deras internationella åtaganden och övervaka genomförandet av konventionen om rättigheter för personer med funktionsnedsättning och andra människorättskonventioner.</w:t>
      </w:r>
    </w:p>
    <w:p w14:paraId="641B3C4B" w14:textId="77777777" w:rsidR="00F0454A" w:rsidRPr="00BC50E6" w:rsidRDefault="00F0454A" w:rsidP="006A79E7">
      <w:pPr>
        <w:ind w:left="567" w:hanging="567"/>
        <w:rPr>
          <w:color w:val="000000" w:themeColor="text1"/>
          <w:lang w:val="en-GB"/>
        </w:rPr>
      </w:pPr>
    </w:p>
    <w:p w14:paraId="2FCBDCB5" w14:textId="77777777" w:rsidR="00101669" w:rsidRPr="00BC50E6" w:rsidRDefault="00101669" w:rsidP="006A79E7">
      <w:pPr>
        <w:pStyle w:val="Heading1"/>
        <w:keepNext/>
        <w:keepLines/>
        <w:rPr>
          <w:b/>
          <w:bCs/>
          <w:color w:val="000000" w:themeColor="text1"/>
        </w:rPr>
      </w:pPr>
      <w:r>
        <w:rPr>
          <w:b/>
          <w:color w:val="000000" w:themeColor="text1"/>
        </w:rPr>
        <w:t>Europeiska unionen</w:t>
      </w:r>
    </w:p>
    <w:p w14:paraId="3ADEDDE0" w14:textId="77777777" w:rsidR="00101669" w:rsidRPr="00BC50E6" w:rsidRDefault="00101669" w:rsidP="006A79E7">
      <w:pPr>
        <w:keepNext/>
        <w:keepLines/>
        <w:ind w:left="567" w:hanging="567"/>
        <w:rPr>
          <w:color w:val="000000" w:themeColor="text1"/>
          <w:lang w:val="en-GB"/>
        </w:rPr>
      </w:pPr>
    </w:p>
    <w:p w14:paraId="12F2B737" w14:textId="77777777" w:rsidR="00101669" w:rsidRPr="00BC50E6" w:rsidRDefault="00101669" w:rsidP="006A79E7">
      <w:pPr>
        <w:pStyle w:val="Heading2"/>
        <w:rPr>
          <w:color w:val="000000" w:themeColor="text1"/>
        </w:rPr>
      </w:pPr>
      <w:r>
        <w:rPr>
          <w:color w:val="000000" w:themeColor="text1"/>
        </w:rPr>
        <w:t>På multilateral nivå undertecknade EU konventionen om rättigheter för personer med funktionsnedsättning år 2011, och har sedan dess vidtagit ett antal åtgärder för att se till att personer med funktionsnedsättning har samma rättigheter och möjligheter som andra.</w:t>
      </w:r>
      <w:r w:rsidRPr="00BC50E6">
        <w:rPr>
          <w:rStyle w:val="FootnoteReference"/>
          <w:color w:val="000000" w:themeColor="text1"/>
          <w:szCs w:val="24"/>
          <w:lang w:val="en-GB"/>
        </w:rPr>
        <w:footnoteReference w:id="2"/>
      </w:r>
    </w:p>
    <w:p w14:paraId="046B6E7C" w14:textId="77777777" w:rsidR="00101669" w:rsidRPr="00BC50E6" w:rsidRDefault="00101669" w:rsidP="006A79E7">
      <w:pPr>
        <w:ind w:left="567" w:hanging="567"/>
        <w:rPr>
          <w:color w:val="000000" w:themeColor="text1"/>
          <w:lang w:val="en-GB"/>
        </w:rPr>
      </w:pPr>
    </w:p>
    <w:p w14:paraId="287A32B0" w14:textId="6D284871" w:rsidR="00101669" w:rsidRPr="00BC50E6" w:rsidRDefault="00101669" w:rsidP="006A79E7">
      <w:pPr>
        <w:pStyle w:val="Heading2"/>
        <w:rPr>
          <w:color w:val="000000" w:themeColor="text1"/>
        </w:rPr>
      </w:pPr>
      <w:r>
        <w:rPr>
          <w:color w:val="000000" w:themeColor="text1"/>
        </w:rPr>
        <w:t>Därefter, år 2019, antog EU det europeiska tillgänglighetsdirektivet, enligt vilket företag ska se till att deras produkter och tjänster är tillgängliga för personer med funktionsnedsättning. Till de främsta åtgärder som införts genom denna lagstiftning hör minimistandarder för tillgänglighet i</w:t>
      </w:r>
      <w:r w:rsidR="00096A0E">
        <w:rPr>
          <w:color w:val="000000" w:themeColor="text1"/>
        </w:rPr>
        <w:t> </w:t>
      </w:r>
      <w:r>
        <w:rPr>
          <w:color w:val="000000" w:themeColor="text1"/>
        </w:rPr>
        <w:t>samband med transporttjänster, telekommunikationstjänster, bankutrustning, elektronisk utrustning och digital information.</w:t>
      </w:r>
    </w:p>
    <w:p w14:paraId="72F740C8" w14:textId="77777777" w:rsidR="00101669" w:rsidRPr="00BC50E6" w:rsidRDefault="00101669" w:rsidP="006A79E7">
      <w:pPr>
        <w:ind w:left="567" w:hanging="567"/>
        <w:rPr>
          <w:color w:val="000000" w:themeColor="text1"/>
          <w:lang w:val="en-GB"/>
        </w:rPr>
      </w:pPr>
    </w:p>
    <w:p w14:paraId="127D375D" w14:textId="77777777" w:rsidR="00101669" w:rsidRPr="00BC50E6" w:rsidRDefault="00101669" w:rsidP="006A79E7">
      <w:pPr>
        <w:pStyle w:val="Heading2"/>
        <w:rPr>
          <w:color w:val="000000" w:themeColor="text1"/>
        </w:rPr>
      </w:pPr>
      <w:r>
        <w:rPr>
          <w:color w:val="000000" w:themeColor="text1"/>
        </w:rPr>
        <w:t>EU har också ställt medel till förfogande på EU-nivå</w:t>
      </w:r>
      <w:r w:rsidRPr="00BC50E6">
        <w:rPr>
          <w:rStyle w:val="FootnoteReference"/>
          <w:color w:val="000000" w:themeColor="text1"/>
          <w:szCs w:val="24"/>
          <w:lang w:val="en-GB"/>
        </w:rPr>
        <w:footnoteReference w:id="3"/>
      </w:r>
      <w:r>
        <w:rPr>
          <w:color w:val="000000" w:themeColor="text1"/>
        </w:rPr>
        <w:t xml:space="preserve"> för att främja inkludering av personer med funktionsnedsättning på flera områden: det sociala området, arbete, utbildning, hälsa och kultur.</w:t>
      </w:r>
    </w:p>
    <w:p w14:paraId="68C1A441" w14:textId="77777777" w:rsidR="00101669" w:rsidRPr="00BC50E6" w:rsidRDefault="00101669" w:rsidP="006A79E7">
      <w:pPr>
        <w:ind w:left="567" w:hanging="567"/>
        <w:rPr>
          <w:color w:val="000000" w:themeColor="text1"/>
          <w:lang w:val="en-GB"/>
        </w:rPr>
      </w:pPr>
    </w:p>
    <w:p w14:paraId="67C737AA" w14:textId="77777777" w:rsidR="00101669" w:rsidRPr="00BC50E6" w:rsidRDefault="00101669" w:rsidP="006A79E7">
      <w:pPr>
        <w:pStyle w:val="Heading2"/>
        <w:rPr>
          <w:color w:val="000000" w:themeColor="text1"/>
        </w:rPr>
      </w:pPr>
      <w:r>
        <w:rPr>
          <w:color w:val="000000" w:themeColor="text1"/>
        </w:rPr>
        <w:t>Funktionsnedsättning inkluderades bland EU:s prioriterade områden inom ramen för Europa 2020-strategin – EU:s sociala och ekonomiska strategi. Detta medförde att specifika mål antogs, dels för att minska antalet personer med funktionsnedsättning som befinner sig i en situation av fattigdom och socialt utanförskap, dels för att säkerställa tillgång till sysselsättning för personer med funktionsnedsättning genom en aktiv inkluderings- och utbildningspolitik.</w:t>
      </w:r>
    </w:p>
    <w:p w14:paraId="60AF5DBB" w14:textId="77777777" w:rsidR="00101669" w:rsidRPr="00BC50E6" w:rsidRDefault="00101669" w:rsidP="006A79E7">
      <w:pPr>
        <w:pBdr>
          <w:top w:val="nil"/>
          <w:left w:val="nil"/>
          <w:bottom w:val="nil"/>
          <w:right w:val="nil"/>
          <w:between w:val="nil"/>
        </w:pBdr>
        <w:ind w:left="567" w:hanging="567"/>
        <w:rPr>
          <w:color w:val="000000" w:themeColor="text1"/>
          <w:lang w:val="en-GB"/>
        </w:rPr>
      </w:pPr>
    </w:p>
    <w:p w14:paraId="42ABBB21" w14:textId="77777777" w:rsidR="00101669" w:rsidRPr="00BC50E6" w:rsidRDefault="00101669" w:rsidP="006A79E7">
      <w:pPr>
        <w:pStyle w:val="Heading2"/>
        <w:rPr>
          <w:color w:val="000000" w:themeColor="text1"/>
        </w:rPr>
      </w:pPr>
      <w:r>
        <w:rPr>
          <w:color w:val="000000" w:themeColor="text1"/>
        </w:rPr>
        <w:t>Samtidigt syftar EU:s handlingsplan för integration och inkludering för 2021–2027 till att minska fattigdomen och det sociala utanförskapet, ett mål som uttryckligen inbegriper personer med funktionsnedsättning. Detta omsätts i socialpolitiska strategier som syftar till att förbättra livet för personer med funktionsnedsättning, minska de ekonomiska hindren och främja deras deltagande i samhällslivet och det politiska livet.</w:t>
      </w:r>
    </w:p>
    <w:p w14:paraId="5136C5EA" w14:textId="632984F0" w:rsidR="00096A0E" w:rsidRDefault="00096A0E">
      <w:pPr>
        <w:spacing w:after="160" w:line="259" w:lineRule="auto"/>
        <w:jc w:val="left"/>
        <w:rPr>
          <w:b/>
          <w:bCs/>
          <w:color w:val="000000" w:themeColor="text1"/>
          <w:kern w:val="28"/>
          <w:lang w:val="en-GB"/>
        </w:rPr>
      </w:pPr>
    </w:p>
    <w:p w14:paraId="3D53958C" w14:textId="77777777" w:rsidR="00101669" w:rsidRPr="00BC50E6" w:rsidRDefault="00101669" w:rsidP="006A79E7">
      <w:pPr>
        <w:pStyle w:val="Heading1"/>
        <w:keepNext/>
        <w:keepLines/>
        <w:rPr>
          <w:rFonts w:eastAsia="Arial"/>
          <w:b/>
          <w:bCs/>
          <w:color w:val="000000" w:themeColor="text1"/>
        </w:rPr>
      </w:pPr>
      <w:r>
        <w:rPr>
          <w:b/>
          <w:color w:val="000000" w:themeColor="text1"/>
        </w:rPr>
        <w:t>Den roll som spelas av organisationer för personer med funktionsnedsättning</w:t>
      </w:r>
    </w:p>
    <w:p w14:paraId="4A9CF925" w14:textId="77777777" w:rsidR="00101669" w:rsidRPr="00BC50E6" w:rsidRDefault="00101669" w:rsidP="006A79E7">
      <w:pPr>
        <w:keepNext/>
        <w:keepLines/>
        <w:pBdr>
          <w:top w:val="nil"/>
          <w:left w:val="nil"/>
          <w:bottom w:val="nil"/>
          <w:right w:val="nil"/>
          <w:between w:val="nil"/>
        </w:pBdr>
        <w:ind w:left="567" w:hanging="567"/>
        <w:rPr>
          <w:rFonts w:eastAsia="Arial"/>
          <w:color w:val="000000" w:themeColor="text1"/>
          <w:lang w:val="en-GB" w:eastAsia="it-IT"/>
        </w:rPr>
      </w:pPr>
    </w:p>
    <w:p w14:paraId="030EDFC1" w14:textId="77777777" w:rsidR="00101669" w:rsidRPr="00BC50E6" w:rsidRDefault="00101669" w:rsidP="00BC50E6">
      <w:pPr>
        <w:pStyle w:val="Heading2"/>
        <w:rPr>
          <w:rFonts w:eastAsia="Arial"/>
          <w:color w:val="000000" w:themeColor="text1"/>
          <w:shd w:val="clear" w:color="auto" w:fill="FFFFFF"/>
        </w:rPr>
      </w:pPr>
      <w:r>
        <w:rPr>
          <w:color w:val="000000" w:themeColor="text1"/>
        </w:rPr>
        <w:t xml:space="preserve">Organisationer för personer med funktionsnedsättning är nyckelaktörer i de institutionella åtagandena på nationell, europeisk och internationell nivå. Denna viktiga roll har de haft sedan 1976, när FN:s generalförsamling utropade 1981 till Internationella </w:t>
      </w:r>
      <w:proofErr w:type="spellStart"/>
      <w:r>
        <w:rPr>
          <w:color w:val="000000" w:themeColor="text1"/>
        </w:rPr>
        <w:t>handikappåret</w:t>
      </w:r>
      <w:proofErr w:type="spellEnd"/>
      <w:r w:rsidRPr="00BC50E6">
        <w:rPr>
          <w:rStyle w:val="FootnoteReference"/>
          <w:rFonts w:eastAsia="Arial"/>
          <w:color w:val="000000" w:themeColor="text1"/>
          <w:lang w:val="en-GB" w:eastAsia="it-IT"/>
        </w:rPr>
        <w:footnoteReference w:id="4"/>
      </w:r>
      <w:r>
        <w:rPr>
          <w:color w:val="000000" w:themeColor="text1"/>
        </w:rPr>
        <w:t xml:space="preserve">, ett initiativ som innebar att medlemsländerna uppmanades att upprätta en nationell, regional och internationell handlingsplan med inriktning på lika möjligheter, rehabilitering och förebyggande av funktionsnedsättningar. </w:t>
      </w:r>
    </w:p>
    <w:p w14:paraId="6CAAA463" w14:textId="77777777" w:rsidR="00101669" w:rsidRPr="00BC50E6" w:rsidRDefault="00101669" w:rsidP="006A79E7">
      <w:pPr>
        <w:pBdr>
          <w:top w:val="nil"/>
          <w:left w:val="nil"/>
          <w:bottom w:val="nil"/>
          <w:right w:val="nil"/>
          <w:between w:val="nil"/>
        </w:pBdr>
        <w:ind w:left="567" w:hanging="567"/>
        <w:rPr>
          <w:rFonts w:eastAsia="Arial"/>
          <w:color w:val="000000" w:themeColor="text1"/>
          <w:shd w:val="clear" w:color="auto" w:fill="FFFFFF"/>
          <w:lang w:val="en-GB" w:eastAsia="it-IT"/>
        </w:rPr>
      </w:pPr>
    </w:p>
    <w:p w14:paraId="6971496C" w14:textId="77777777" w:rsidR="00101669" w:rsidRPr="00BC50E6" w:rsidRDefault="00101669" w:rsidP="006A79E7">
      <w:pPr>
        <w:pStyle w:val="Heading2"/>
        <w:rPr>
          <w:rFonts w:eastAsia="Arial"/>
          <w:color w:val="000000" w:themeColor="text1"/>
          <w:shd w:val="clear" w:color="auto" w:fill="FFFFFF"/>
        </w:rPr>
      </w:pPr>
      <w:r>
        <w:rPr>
          <w:color w:val="000000" w:themeColor="text1"/>
          <w:shd w:val="clear" w:color="auto" w:fill="FFFFFF"/>
        </w:rPr>
        <w:lastRenderedPageBreak/>
        <w:t xml:space="preserve">År 1980 grundades </w:t>
      </w:r>
      <w:proofErr w:type="spellStart"/>
      <w:r>
        <w:rPr>
          <w:color w:val="000000" w:themeColor="text1"/>
          <w:shd w:val="clear" w:color="auto" w:fill="FFFFFF"/>
        </w:rPr>
        <w:t>Disabled</w:t>
      </w:r>
      <w:proofErr w:type="spellEnd"/>
      <w:r>
        <w:rPr>
          <w:color w:val="000000" w:themeColor="text1"/>
          <w:shd w:val="clear" w:color="auto" w:fill="FFFFFF"/>
        </w:rPr>
        <w:t xml:space="preserve"> </w:t>
      </w:r>
      <w:proofErr w:type="spellStart"/>
      <w:r>
        <w:rPr>
          <w:color w:val="000000" w:themeColor="text1"/>
          <w:shd w:val="clear" w:color="auto" w:fill="FFFFFF"/>
        </w:rPr>
        <w:t>People</w:t>
      </w:r>
      <w:proofErr w:type="spellEnd"/>
      <w:r>
        <w:rPr>
          <w:color w:val="000000" w:themeColor="text1"/>
          <w:shd w:val="clear" w:color="auto" w:fill="FFFFFF"/>
        </w:rPr>
        <w:t xml:space="preserve"> International, den första globala organisationen som omfattade flera olika funktionsnedsättningar.</w:t>
      </w:r>
    </w:p>
    <w:p w14:paraId="3A1AB4E3" w14:textId="77777777" w:rsidR="00101669" w:rsidRPr="00BC50E6" w:rsidRDefault="00101669" w:rsidP="006A79E7">
      <w:pPr>
        <w:ind w:left="567" w:hanging="567"/>
        <w:rPr>
          <w:rFonts w:eastAsia="Arial"/>
          <w:color w:val="000000" w:themeColor="text1"/>
          <w:shd w:val="clear" w:color="auto" w:fill="FFFFFF"/>
          <w:lang w:val="en-GB" w:eastAsia="it-IT"/>
        </w:rPr>
      </w:pPr>
    </w:p>
    <w:p w14:paraId="2D9A3D96" w14:textId="17372717" w:rsidR="00101669" w:rsidRPr="00BC50E6" w:rsidRDefault="00101669" w:rsidP="006A79E7">
      <w:pPr>
        <w:pStyle w:val="Heading2"/>
        <w:rPr>
          <w:rFonts w:eastAsia="Arial"/>
          <w:color w:val="000000" w:themeColor="text1"/>
          <w:shd w:val="clear" w:color="auto" w:fill="FFFFFF"/>
        </w:rPr>
      </w:pPr>
      <w:r>
        <w:rPr>
          <w:color w:val="000000" w:themeColor="text1"/>
          <w:shd w:val="clear" w:color="auto" w:fill="FFFFFF"/>
        </w:rPr>
        <w:t xml:space="preserve">Under Internationella </w:t>
      </w:r>
      <w:proofErr w:type="spellStart"/>
      <w:r>
        <w:rPr>
          <w:color w:val="000000" w:themeColor="text1"/>
          <w:shd w:val="clear" w:color="auto" w:fill="FFFFFF"/>
        </w:rPr>
        <w:t>handikappåret</w:t>
      </w:r>
      <w:proofErr w:type="spellEnd"/>
      <w:r>
        <w:rPr>
          <w:color w:val="000000" w:themeColor="text1"/>
          <w:shd w:val="clear" w:color="auto" w:fill="FFFFFF"/>
        </w:rPr>
        <w:t xml:space="preserve"> låg fokus på frågan om fullt deltagande och jämlikhet, dvs. rätten för personer med funktionsnedsättning att delta fullt ut i samhällslivet och samhälls</w:t>
      </w:r>
      <w:r w:rsidR="00096A0E">
        <w:rPr>
          <w:color w:val="000000" w:themeColor="text1"/>
          <w:shd w:val="clear" w:color="auto" w:fill="FFFFFF"/>
        </w:rPr>
        <w:softHyphen/>
      </w:r>
      <w:r>
        <w:rPr>
          <w:color w:val="000000" w:themeColor="text1"/>
          <w:shd w:val="clear" w:color="auto" w:fill="FFFFFF"/>
        </w:rPr>
        <w:t>utvecklingen där de bor, att åtnjuta samma levnadsvillkor som andra medborgare och att i lika hög grad se sin egen situation förbättras till följd av den socioekonomiska utvecklingen.</w:t>
      </w:r>
    </w:p>
    <w:p w14:paraId="11396429" w14:textId="77777777" w:rsidR="00101669" w:rsidRPr="00BC50E6" w:rsidRDefault="00101669" w:rsidP="006A79E7">
      <w:pPr>
        <w:ind w:left="567" w:hanging="567"/>
        <w:rPr>
          <w:rFonts w:eastAsia="Arial"/>
          <w:color w:val="000000" w:themeColor="text1"/>
          <w:shd w:val="clear" w:color="auto" w:fill="FFFFFF"/>
          <w:lang w:val="en-GB" w:eastAsia="it-IT"/>
        </w:rPr>
      </w:pPr>
    </w:p>
    <w:p w14:paraId="61C42301" w14:textId="3E9CA0A7" w:rsidR="00101669" w:rsidRPr="00BC50E6" w:rsidRDefault="00101669" w:rsidP="006A79E7">
      <w:pPr>
        <w:pStyle w:val="Heading2"/>
        <w:rPr>
          <w:rFonts w:eastAsia="Arial"/>
          <w:color w:val="000000" w:themeColor="text1"/>
          <w:shd w:val="clear" w:color="auto" w:fill="FFFFFF"/>
        </w:rPr>
      </w:pPr>
      <w:r>
        <w:rPr>
          <w:color w:val="000000" w:themeColor="text1"/>
          <w:shd w:val="clear" w:color="auto" w:fill="FFFFFF"/>
        </w:rPr>
        <w:t xml:space="preserve">För att ge regeringar och organisationer tillräckligt med tid att genomföra de åtgärder som rekommenderades i det globala handlingsprogrammet utropade generalförsamlingen perioden 1983–1992 till FN:s decennium för personer med funktionsnedsättning. Till följd av decenniet för personer med funktionsnedsättning inrättades först World Blind Union (1984) och sedan, när decenniet var till ända, Europeiskt forum för personer med funktionsnedsättning (1996) som en paraplyorganisation för sammanslutningar på europeisk nivå, och därefter den internationella </w:t>
      </w:r>
      <w:proofErr w:type="spellStart"/>
      <w:r>
        <w:rPr>
          <w:color w:val="000000" w:themeColor="text1"/>
          <w:shd w:val="clear" w:color="auto" w:fill="FFFFFF"/>
        </w:rPr>
        <w:t>handikappalliansen</w:t>
      </w:r>
      <w:proofErr w:type="spellEnd"/>
      <w:r>
        <w:rPr>
          <w:color w:val="000000" w:themeColor="text1"/>
          <w:shd w:val="clear" w:color="auto" w:fill="FFFFFF"/>
        </w:rPr>
        <w:t xml:space="preserve"> IDA (International </w:t>
      </w:r>
      <w:proofErr w:type="spellStart"/>
      <w:r>
        <w:rPr>
          <w:color w:val="000000" w:themeColor="text1"/>
          <w:shd w:val="clear" w:color="auto" w:fill="FFFFFF"/>
        </w:rPr>
        <w:t>Disability</w:t>
      </w:r>
      <w:proofErr w:type="spellEnd"/>
      <w:r>
        <w:rPr>
          <w:color w:val="000000" w:themeColor="text1"/>
          <w:shd w:val="clear" w:color="auto" w:fill="FFFFFF"/>
        </w:rPr>
        <w:t xml:space="preserve"> Alliance) (1999) som en global paraply</w:t>
      </w:r>
      <w:r w:rsidR="00096A0E">
        <w:rPr>
          <w:color w:val="000000" w:themeColor="text1"/>
          <w:shd w:val="clear" w:color="auto" w:fill="FFFFFF"/>
        </w:rPr>
        <w:softHyphen/>
      </w:r>
      <w:r>
        <w:rPr>
          <w:color w:val="000000" w:themeColor="text1"/>
          <w:shd w:val="clear" w:color="auto" w:fill="FFFFFF"/>
        </w:rPr>
        <w:t>organisation för funktionsnedsättning.</w:t>
      </w:r>
    </w:p>
    <w:p w14:paraId="3C7FBA5A" w14:textId="77777777" w:rsidR="00101669" w:rsidRPr="00BC50E6" w:rsidRDefault="00101669" w:rsidP="006A79E7">
      <w:pPr>
        <w:ind w:left="567" w:hanging="567"/>
        <w:rPr>
          <w:rFonts w:eastAsia="Arial"/>
          <w:color w:val="000000" w:themeColor="text1"/>
          <w:shd w:val="clear" w:color="auto" w:fill="FFFFFF"/>
          <w:lang w:val="en-GB" w:eastAsia="it-IT"/>
        </w:rPr>
      </w:pPr>
    </w:p>
    <w:p w14:paraId="0B1CD222" w14:textId="77777777" w:rsidR="00101669" w:rsidRPr="00BC50E6" w:rsidRDefault="00101669" w:rsidP="006A79E7">
      <w:pPr>
        <w:pStyle w:val="Heading2"/>
        <w:rPr>
          <w:rFonts w:eastAsia="Arial"/>
          <w:color w:val="000000" w:themeColor="text1"/>
          <w:shd w:val="clear" w:color="auto" w:fill="FFFFFF"/>
        </w:rPr>
      </w:pPr>
      <w:r>
        <w:rPr>
          <w:color w:val="000000" w:themeColor="text1"/>
          <w:shd w:val="clear" w:color="auto" w:fill="FFFFFF"/>
        </w:rPr>
        <w:t xml:space="preserve">Innan 1976 hade World Federation </w:t>
      </w:r>
      <w:proofErr w:type="spellStart"/>
      <w:r>
        <w:rPr>
          <w:color w:val="000000" w:themeColor="text1"/>
          <w:shd w:val="clear" w:color="auto" w:fill="FFFFFF"/>
        </w:rPr>
        <w:t>of</w:t>
      </w:r>
      <w:proofErr w:type="spellEnd"/>
      <w:r>
        <w:rPr>
          <w:color w:val="000000" w:themeColor="text1"/>
          <w:shd w:val="clear" w:color="auto" w:fill="FFFFFF"/>
        </w:rPr>
        <w:t xml:space="preserve"> the </w:t>
      </w:r>
      <w:proofErr w:type="spellStart"/>
      <w:r>
        <w:rPr>
          <w:color w:val="000000" w:themeColor="text1"/>
          <w:shd w:val="clear" w:color="auto" w:fill="FFFFFF"/>
        </w:rPr>
        <w:t>Deaf</w:t>
      </w:r>
      <w:proofErr w:type="spellEnd"/>
      <w:r>
        <w:rPr>
          <w:color w:val="000000" w:themeColor="text1"/>
          <w:shd w:val="clear" w:color="auto" w:fill="FFFFFF"/>
        </w:rPr>
        <w:t xml:space="preserve"> (1951) och två organisationer som företrädde blinda personer inrättats. Denna typ av organisationer, icke-statliga organisationer (se nästa stycke) och nationella sammanslutningar har som mål att föra en dialog med Förenta nationerna.</w:t>
      </w:r>
    </w:p>
    <w:p w14:paraId="6BB6281C" w14:textId="77777777" w:rsidR="00101669" w:rsidRPr="00BC50E6" w:rsidRDefault="00101669" w:rsidP="006A79E7">
      <w:pPr>
        <w:ind w:left="567" w:hanging="567"/>
        <w:rPr>
          <w:rFonts w:eastAsia="Arial"/>
          <w:color w:val="000000" w:themeColor="text1"/>
          <w:shd w:val="clear" w:color="auto" w:fill="FFFFFF"/>
          <w:lang w:val="en-GB" w:eastAsia="it-IT"/>
        </w:rPr>
      </w:pPr>
    </w:p>
    <w:p w14:paraId="462D9822" w14:textId="77777777" w:rsidR="00101669" w:rsidRPr="00BC50E6" w:rsidRDefault="00101669" w:rsidP="006A79E7">
      <w:pPr>
        <w:pStyle w:val="Heading2"/>
        <w:rPr>
          <w:rFonts w:eastAsia="Arial"/>
          <w:color w:val="000000" w:themeColor="text1"/>
          <w:shd w:val="clear" w:color="auto" w:fill="FFFFFF"/>
        </w:rPr>
      </w:pPr>
      <w:r>
        <w:rPr>
          <w:color w:val="000000" w:themeColor="text1"/>
          <w:shd w:val="clear" w:color="auto" w:fill="FFFFFF"/>
        </w:rPr>
        <w:t xml:space="preserve">I processen deltar därmed det civila samhället, enskilda medlemsstater och FN – olika aktörer som har behövt finna sätt att gemensamt diskutera nya frågor. </w:t>
      </w:r>
    </w:p>
    <w:p w14:paraId="5E3221CC" w14:textId="77777777" w:rsidR="00101669" w:rsidRPr="00BC50E6" w:rsidRDefault="00101669" w:rsidP="006A79E7">
      <w:pPr>
        <w:ind w:left="567" w:hanging="567"/>
        <w:rPr>
          <w:color w:val="000000" w:themeColor="text1"/>
          <w:lang w:val="en-GB"/>
        </w:rPr>
      </w:pPr>
    </w:p>
    <w:p w14:paraId="444779F5" w14:textId="77777777" w:rsidR="00101669" w:rsidRPr="00BC50E6" w:rsidRDefault="00101669" w:rsidP="006A79E7">
      <w:pPr>
        <w:pStyle w:val="Heading1"/>
        <w:keepNext/>
        <w:keepLines/>
        <w:rPr>
          <w:b/>
          <w:bCs/>
          <w:color w:val="000000" w:themeColor="text1"/>
        </w:rPr>
      </w:pPr>
      <w:r>
        <w:rPr>
          <w:b/>
          <w:color w:val="000000" w:themeColor="text1"/>
        </w:rPr>
        <w:t>De icke-statliga organisationernas roll</w:t>
      </w:r>
    </w:p>
    <w:p w14:paraId="051E8699" w14:textId="77777777" w:rsidR="00101669" w:rsidRPr="00BC50E6" w:rsidRDefault="00101669" w:rsidP="006A79E7">
      <w:pPr>
        <w:keepNext/>
        <w:keepLines/>
        <w:pBdr>
          <w:top w:val="nil"/>
          <w:left w:val="nil"/>
          <w:bottom w:val="nil"/>
          <w:right w:val="nil"/>
          <w:between w:val="nil"/>
        </w:pBdr>
        <w:ind w:left="567" w:hanging="567"/>
        <w:rPr>
          <w:color w:val="000000" w:themeColor="text1"/>
          <w:lang w:val="en-GB"/>
        </w:rPr>
      </w:pPr>
    </w:p>
    <w:p w14:paraId="7F1E3FD8" w14:textId="77777777" w:rsidR="00101669" w:rsidRPr="00BC50E6" w:rsidRDefault="00101669" w:rsidP="006A79E7">
      <w:pPr>
        <w:pStyle w:val="Heading2"/>
        <w:rPr>
          <w:color w:val="000000" w:themeColor="text1"/>
        </w:rPr>
      </w:pPr>
      <w:r>
        <w:rPr>
          <w:color w:val="000000" w:themeColor="text1"/>
        </w:rPr>
        <w:t>EU har aktivt samarbetat med icke-statliga organisationer för att utveckla och förbättra de politiska strategierna för inkludering, samla in korrekta uppgifter och öka medvetenheten om funktionsnedsättningsrelaterade frågor.</w:t>
      </w:r>
    </w:p>
    <w:p w14:paraId="46843E60" w14:textId="77777777" w:rsidR="00101669" w:rsidRPr="00BC50E6" w:rsidRDefault="00101669" w:rsidP="006A79E7">
      <w:pPr>
        <w:ind w:left="567" w:hanging="567"/>
        <w:rPr>
          <w:color w:val="000000" w:themeColor="text1"/>
          <w:lang w:val="en-GB"/>
        </w:rPr>
      </w:pPr>
    </w:p>
    <w:p w14:paraId="5A59BAEC" w14:textId="77777777" w:rsidR="00101669" w:rsidRPr="00BC50E6" w:rsidRDefault="00101669" w:rsidP="006A79E7">
      <w:pPr>
        <w:pStyle w:val="Heading2"/>
        <w:rPr>
          <w:i/>
          <w:color w:val="000000" w:themeColor="text1"/>
        </w:rPr>
      </w:pPr>
      <w:r>
        <w:rPr>
          <w:color w:val="000000" w:themeColor="text1"/>
        </w:rPr>
        <w:t xml:space="preserve">Icke-statliga organisationer, liksom rörelser som arbetar med rättigheter för personer med funktionsnedsättning, påverkar diplomatin genom att verka för antagandet av mer inkluderande regelverk, förmå stater att uppfylla internationella åtaganden och övervaka genomförandet av konventionen om rättigheter för personer med funktionsnedsättning. Organisationer som Human </w:t>
      </w:r>
      <w:proofErr w:type="spellStart"/>
      <w:r>
        <w:rPr>
          <w:color w:val="000000" w:themeColor="text1"/>
        </w:rPr>
        <w:t>Rights</w:t>
      </w:r>
      <w:proofErr w:type="spellEnd"/>
      <w:r>
        <w:rPr>
          <w:color w:val="000000" w:themeColor="text1"/>
        </w:rPr>
        <w:t xml:space="preserve"> Watch och CBM International samarbetar till exempel med regeringar och institutioner för att se till att politiska strategier för utveckling även omfattar funktionsnedsättningsrelaterade aspekter.</w:t>
      </w:r>
    </w:p>
    <w:p w14:paraId="3F64C59A" w14:textId="77777777" w:rsidR="00101669" w:rsidRPr="00BC50E6" w:rsidRDefault="00101669" w:rsidP="006A79E7">
      <w:pPr>
        <w:ind w:left="567" w:hanging="567"/>
        <w:rPr>
          <w:color w:val="000000" w:themeColor="text1"/>
          <w:lang w:val="en-GB"/>
        </w:rPr>
      </w:pPr>
    </w:p>
    <w:p w14:paraId="17FD84EE" w14:textId="77777777" w:rsidR="00101669" w:rsidRPr="00BC50E6" w:rsidRDefault="00101669" w:rsidP="006A79E7">
      <w:pPr>
        <w:pStyle w:val="Heading2"/>
        <w:rPr>
          <w:color w:val="000000" w:themeColor="text1"/>
        </w:rPr>
      </w:pPr>
      <w:r>
        <w:rPr>
          <w:color w:val="000000" w:themeColor="text1"/>
        </w:rPr>
        <w:t xml:space="preserve">IDCC (International </w:t>
      </w:r>
      <w:proofErr w:type="spellStart"/>
      <w:r>
        <w:rPr>
          <w:color w:val="000000" w:themeColor="text1"/>
        </w:rPr>
        <w:t>Disability</w:t>
      </w:r>
      <w:proofErr w:type="spellEnd"/>
      <w:r>
        <w:rPr>
          <w:color w:val="000000" w:themeColor="text1"/>
        </w:rPr>
        <w:t xml:space="preserve"> and </w:t>
      </w:r>
      <w:proofErr w:type="spellStart"/>
      <w:r>
        <w:rPr>
          <w:color w:val="000000" w:themeColor="text1"/>
        </w:rPr>
        <w:t>Development</w:t>
      </w:r>
      <w:proofErr w:type="spellEnd"/>
      <w:r>
        <w:rPr>
          <w:color w:val="000000" w:themeColor="text1"/>
        </w:rPr>
        <w:t xml:space="preserve"> </w:t>
      </w:r>
      <w:proofErr w:type="spellStart"/>
      <w:r>
        <w:rPr>
          <w:color w:val="000000" w:themeColor="text1"/>
        </w:rPr>
        <w:t>Consortium</w:t>
      </w:r>
      <w:proofErr w:type="spellEnd"/>
      <w:r>
        <w:rPr>
          <w:color w:val="000000" w:themeColor="text1"/>
        </w:rPr>
        <w:t xml:space="preserve">) är ett viktigt exempel. Det är en sammanslutning av organisationer i det civila samhället som samlas kring ett gemensamt mål: att främja inkluderande internationell utveckling och humanitära insatser, med särskilt fokus på ett fullständigt och effektivt åtnjutande av mänskliga rättigheter för alla personer med funktionsnedsättning. Det strukturella partnerskapet mellan organisationer för personer med funktionsnedsättning och icke-statliga organisationer står i centrum för </w:t>
      </w:r>
      <w:proofErr w:type="spellStart"/>
      <w:r>
        <w:rPr>
          <w:color w:val="000000" w:themeColor="text1"/>
        </w:rPr>
        <w:t>IDDC:s</w:t>
      </w:r>
      <w:proofErr w:type="spellEnd"/>
      <w:r>
        <w:rPr>
          <w:color w:val="000000" w:themeColor="text1"/>
        </w:rPr>
        <w:t xml:space="preserve"> verksamhet. IDDC kännetecknas inte bara av ett dynamiskt internt samarbete, utan bidrar också dagligen till att skapa förtroende mellan organisationer för personer med funktionsnedsättning, bidragsgivare (stater samt regionala och privata organ) och sakkunniga (icke-statliga organisationer).</w:t>
      </w:r>
    </w:p>
    <w:p w14:paraId="73E16C15" w14:textId="77777777" w:rsidR="00101669" w:rsidRPr="00BC50E6" w:rsidRDefault="00101669" w:rsidP="006A79E7">
      <w:pPr>
        <w:rPr>
          <w:color w:val="000000" w:themeColor="text1"/>
          <w:lang w:val="en-GB"/>
        </w:rPr>
      </w:pPr>
    </w:p>
    <w:p w14:paraId="29FC68BA" w14:textId="213A0E1D" w:rsidR="00101669" w:rsidRPr="00BC50E6" w:rsidRDefault="00101669" w:rsidP="006A79E7">
      <w:pPr>
        <w:pStyle w:val="Heading2"/>
        <w:rPr>
          <w:color w:val="000000" w:themeColor="text1"/>
        </w:rPr>
      </w:pPr>
      <w:r>
        <w:rPr>
          <w:color w:val="000000" w:themeColor="text1"/>
        </w:rPr>
        <w:lastRenderedPageBreak/>
        <w:t>De åtgärder som vidtagits av icke-statliga organisationer kan sammanfattas på följande sätt: opinionsbildningsinsatser på lokal, nationell och internationell nivå; insamling av uppgifter i</w:t>
      </w:r>
      <w:r w:rsidR="00096A0E">
        <w:rPr>
          <w:color w:val="000000" w:themeColor="text1"/>
        </w:rPr>
        <w:t> </w:t>
      </w:r>
      <w:r>
        <w:rPr>
          <w:color w:val="000000" w:themeColor="text1"/>
        </w:rPr>
        <w:t>syfte att sammanställa detaljerade rapporter för att övervaka de strategier som antas av olika institutioner; genomförande av upplysnings- och utbildningskampanjer för att främja rättigheter för personer med funktionsnedsättning och minska stigmatiseringen och diskrimineringen av dem; tillhandahållande av tjänster riktade direkt till personer med funktionsnedsättning för att stödja dem i deras vardag</w:t>
      </w:r>
      <w:r w:rsidRPr="00BC50E6">
        <w:rPr>
          <w:rStyle w:val="FootnoteReference"/>
          <w:color w:val="000000" w:themeColor="text1"/>
          <w:szCs w:val="24"/>
          <w:lang w:val="en-GB"/>
        </w:rPr>
        <w:footnoteReference w:id="5"/>
      </w:r>
      <w:r>
        <w:rPr>
          <w:color w:val="000000" w:themeColor="text1"/>
        </w:rPr>
        <w:t>.</w:t>
      </w:r>
    </w:p>
    <w:p w14:paraId="534A6E3A" w14:textId="77777777" w:rsidR="00101669" w:rsidRPr="00BC50E6" w:rsidRDefault="00101669" w:rsidP="006A79E7">
      <w:pPr>
        <w:ind w:left="567" w:hanging="567"/>
        <w:rPr>
          <w:color w:val="000000" w:themeColor="text1"/>
          <w:lang w:val="en-GB"/>
        </w:rPr>
      </w:pPr>
    </w:p>
    <w:p w14:paraId="69738BEC" w14:textId="77777777" w:rsidR="00101669" w:rsidRPr="00BC50E6" w:rsidRDefault="00101669" w:rsidP="006A79E7">
      <w:pPr>
        <w:pStyle w:val="Heading1"/>
        <w:keepNext/>
        <w:keepLines/>
        <w:rPr>
          <w:rFonts w:eastAsia="Arial"/>
          <w:b/>
          <w:bCs/>
          <w:color w:val="000000" w:themeColor="text1"/>
        </w:rPr>
      </w:pPr>
      <w:r>
        <w:rPr>
          <w:b/>
          <w:color w:val="000000" w:themeColor="text1"/>
        </w:rPr>
        <w:t>Enskilda länder</w:t>
      </w:r>
    </w:p>
    <w:p w14:paraId="10CBC94F" w14:textId="77777777" w:rsidR="00101669" w:rsidRPr="00BC50E6" w:rsidRDefault="00101669" w:rsidP="006A79E7">
      <w:pPr>
        <w:keepNext/>
        <w:keepLines/>
        <w:ind w:left="567" w:hanging="567"/>
        <w:rPr>
          <w:rFonts w:eastAsia="Arial"/>
          <w:color w:val="000000" w:themeColor="text1"/>
          <w:lang w:val="en-GB" w:eastAsia="it-IT"/>
        </w:rPr>
      </w:pPr>
    </w:p>
    <w:p w14:paraId="74F696BD" w14:textId="0491A8D3" w:rsidR="00101669" w:rsidRPr="00BC50E6" w:rsidRDefault="00101669" w:rsidP="006A79E7">
      <w:pPr>
        <w:pStyle w:val="Heading2"/>
        <w:rPr>
          <w:color w:val="000000" w:themeColor="text1"/>
        </w:rPr>
      </w:pPr>
      <w:r>
        <w:rPr>
          <w:color w:val="000000" w:themeColor="text1"/>
        </w:rPr>
        <w:t>Många enskilda länder använder diplomati för att främja rättsliga och sociala reformer i partnerländerna, villkora bistånd och finansiering för att främja respekten för rättigheter för personer med funktionsnedsättning eller utbyta god praxis och stödja tekniskt samarbete.</w:t>
      </w:r>
    </w:p>
    <w:p w14:paraId="3301D5F5" w14:textId="77777777" w:rsidR="00101669" w:rsidRPr="00BC50E6" w:rsidRDefault="00101669" w:rsidP="006A79E7">
      <w:pPr>
        <w:ind w:left="567" w:hanging="567"/>
        <w:rPr>
          <w:rFonts w:eastAsia="Arial"/>
          <w:bCs/>
          <w:color w:val="000000" w:themeColor="text1"/>
          <w:lang w:val="en-GB" w:eastAsia="it-IT"/>
        </w:rPr>
      </w:pPr>
    </w:p>
    <w:p w14:paraId="348A7357" w14:textId="6F90C7D7" w:rsidR="00F0454A" w:rsidRPr="00BC50E6" w:rsidRDefault="00F0454A" w:rsidP="006A79E7">
      <w:pPr>
        <w:pStyle w:val="Heading2"/>
        <w:rPr>
          <w:iCs/>
        </w:rPr>
      </w:pPr>
      <w:r>
        <w:t>Inför utarbetandet av denna informationsrapport genomfördes en partiell enkät genom att ett särskilt utformat frågeformulär skickades ut till företrädare för utvalda EU-länder. Avsikten med frågeformuläret var att undersöka hur funktionsnedsättning har blivit en integrerad del av internationella förbindelser och internationell diplomati, särskilt efter antagandet av konventionen om rättigheter för personer med funktionsnedsättning. Syftet var att förstå den föränderliga roll som stater, organisationer för personer med funktionsnedsättning och icke-statliga organisationer spelar när det gäller att främja, genomföra och övervaka rättigheter för personer med funktionsnedsättning inom internationella regelverk, samt att undersöka den rättsliga och sociokulturella utvecklingens inverkan på denna process och identifiera potentiella framtida åtgärder för att stärka en diplomati som inkluderar personer med funktionsnedsättning.</w:t>
      </w:r>
    </w:p>
    <w:p w14:paraId="0114199C" w14:textId="77777777" w:rsidR="00F0454A" w:rsidRPr="00BC50E6" w:rsidRDefault="00F0454A" w:rsidP="00BC50E6">
      <w:pPr>
        <w:rPr>
          <w:rFonts w:eastAsia="Arial"/>
          <w:lang w:val="en-GB"/>
        </w:rPr>
      </w:pPr>
    </w:p>
    <w:p w14:paraId="6879F73C" w14:textId="196145A9" w:rsidR="00101669" w:rsidRPr="00BC50E6" w:rsidRDefault="00101669" w:rsidP="006A79E7">
      <w:pPr>
        <w:pStyle w:val="Heading2"/>
        <w:rPr>
          <w:rFonts w:eastAsia="Arial"/>
          <w:color w:val="000000" w:themeColor="text1"/>
        </w:rPr>
      </w:pPr>
      <w:r>
        <w:t>Bland de länder i Europa som lägger stor vikt vid rättigheter för personer med funktions</w:t>
      </w:r>
      <w:r w:rsidR="00096A0E">
        <w:softHyphen/>
      </w:r>
      <w:r>
        <w:t>nedsättning på politisk nivå genom att införliva FN:s konvention om rättigheter för personer med funktionsnedsättning återfinns Sverige, Litauen och Tyskland.</w:t>
      </w:r>
      <w:r>
        <w:rPr>
          <w:color w:val="000000" w:themeColor="text1"/>
        </w:rPr>
        <w:t xml:space="preserve"> Polen gör också betydande framsteg.</w:t>
      </w:r>
    </w:p>
    <w:p w14:paraId="2A0EB3D5" w14:textId="77777777" w:rsidR="00101669" w:rsidRPr="00BC50E6" w:rsidRDefault="00101669" w:rsidP="006A79E7">
      <w:pPr>
        <w:ind w:left="567" w:hanging="567"/>
        <w:rPr>
          <w:rFonts w:eastAsia="Arial"/>
          <w:bCs/>
          <w:color w:val="000000" w:themeColor="text1"/>
          <w:lang w:val="en-GB" w:eastAsia="it-IT"/>
        </w:rPr>
      </w:pPr>
    </w:p>
    <w:p w14:paraId="1115AF99" w14:textId="77777777" w:rsidR="00101669" w:rsidRPr="00BC50E6" w:rsidRDefault="00101669" w:rsidP="006A79E7">
      <w:pPr>
        <w:pStyle w:val="Heading3"/>
        <w:rPr>
          <w:rFonts w:eastAsia="Arial"/>
          <w:color w:val="000000" w:themeColor="text1"/>
        </w:rPr>
      </w:pPr>
      <w:r>
        <w:rPr>
          <w:color w:val="000000" w:themeColor="text1"/>
        </w:rPr>
        <w:t>I Sverige, som har ett starkt regelverk för inkludering av personer med funktionsnedsättning, har man antagit en nationell strategi för systematisk uppföljning av funktionshinderspolitiken under 2021–2031 som omfattar alla sidor av livet för personer med funktionsnedsättning. Syftet med strategin är att se till att dessa personer kan delta fullt ut i samhället ur samtliga aspekter, med särskild tonvikt på tillgänglighet, inkluderande utbildning och sysselsättning. När det gäller tillgänglighet i städer har den svenska regeringen infört strikta regler för att säkerställa att offentliga byggnader, transporter och digital infrastruktur är tillgängliga för alla.</w:t>
      </w:r>
    </w:p>
    <w:p w14:paraId="0621692E" w14:textId="77777777" w:rsidR="0065601D" w:rsidRPr="00BC50E6" w:rsidRDefault="0065601D" w:rsidP="006A79E7">
      <w:pPr>
        <w:pBdr>
          <w:top w:val="nil"/>
          <w:left w:val="nil"/>
          <w:bottom w:val="nil"/>
          <w:right w:val="nil"/>
          <w:between w:val="nil"/>
        </w:pBdr>
        <w:ind w:left="567"/>
        <w:rPr>
          <w:color w:val="000000" w:themeColor="text1"/>
          <w:lang w:val="en-GB"/>
        </w:rPr>
      </w:pPr>
    </w:p>
    <w:p w14:paraId="07FE436C" w14:textId="05CE9050" w:rsidR="00101669" w:rsidRPr="00BC50E6" w:rsidRDefault="00101669" w:rsidP="006A79E7">
      <w:pPr>
        <w:pBdr>
          <w:top w:val="nil"/>
          <w:left w:val="nil"/>
          <w:bottom w:val="nil"/>
          <w:right w:val="nil"/>
          <w:between w:val="nil"/>
        </w:pBdr>
        <w:ind w:left="567"/>
        <w:rPr>
          <w:rFonts w:eastAsia="Arial"/>
          <w:color w:val="000000" w:themeColor="text1"/>
        </w:rPr>
      </w:pPr>
      <w:r>
        <w:rPr>
          <w:color w:val="000000" w:themeColor="text1"/>
        </w:rPr>
        <w:t>Två av de viktigaste lagar som antagits i Sverige är lagen om stöd och service till vissa funktionshindrade samt diskrimineringslagen, enligt vilken ingen person med funktions</w:t>
      </w:r>
      <w:r w:rsidR="00096A0E">
        <w:rPr>
          <w:color w:val="000000" w:themeColor="text1"/>
        </w:rPr>
        <w:softHyphen/>
      </w:r>
      <w:r>
        <w:rPr>
          <w:color w:val="000000" w:themeColor="text1"/>
        </w:rPr>
        <w:t>nedsättning får behandlas orättvist eller utestängas från möjligheter till socialt deltagande.</w:t>
      </w:r>
    </w:p>
    <w:p w14:paraId="406D3A9C" w14:textId="2A70BF22" w:rsidR="00355813" w:rsidRDefault="00355813">
      <w:pPr>
        <w:spacing w:after="160" w:line="259" w:lineRule="auto"/>
        <w:jc w:val="left"/>
        <w:rPr>
          <w:rFonts w:eastAsia="Arial"/>
          <w:color w:val="000000" w:themeColor="text1"/>
          <w:lang w:val="en-GB" w:eastAsia="it-IT"/>
        </w:rPr>
      </w:pPr>
      <w:r>
        <w:rPr>
          <w:rFonts w:eastAsia="Arial"/>
          <w:color w:val="000000" w:themeColor="text1"/>
          <w:lang w:val="en-GB" w:eastAsia="it-IT"/>
        </w:rPr>
        <w:br w:type="page"/>
      </w:r>
    </w:p>
    <w:p w14:paraId="396E4B3D" w14:textId="7A66769A" w:rsidR="00101669" w:rsidRPr="00BC50E6" w:rsidRDefault="00101669" w:rsidP="006A79E7">
      <w:pPr>
        <w:pStyle w:val="Heading3"/>
        <w:rPr>
          <w:rFonts w:eastAsia="Arial"/>
          <w:color w:val="000000" w:themeColor="text1"/>
        </w:rPr>
      </w:pPr>
      <w:r>
        <w:rPr>
          <w:color w:val="000000" w:themeColor="text1"/>
        </w:rPr>
        <w:lastRenderedPageBreak/>
        <w:t xml:space="preserve">Genom ratificeringen av konventionen om rättigheter för personer med funktionsnedsättning fick man i Litauen en rättslig grund för en reform av sin funktionsnedsättningspolitik, vilket bland annat inbegriper en övergång till en personcentrerad modell för bedömning av funktionsnedsättning och främjandet av universell utformning inom offentliga tjänster. Det är dock genom att det civila samhället, inte minst organisationer för personer med funktionsnedsättning, spelar en allt större roll som betydande förändringar har åstadkommits på fältet. Till exempel spelade de litauiska organisationerna för personer med funktionsnedsättning, särskilt paraplyorganisationen Litauens forum för personer med funktionsnedsättning, en avgörande roll när det gällde att främja </w:t>
      </w:r>
      <w:proofErr w:type="spellStart"/>
      <w:r>
        <w:rPr>
          <w:color w:val="000000" w:themeColor="text1"/>
        </w:rPr>
        <w:t>avinstitutionalisering</w:t>
      </w:r>
      <w:proofErr w:type="spellEnd"/>
      <w:r>
        <w:rPr>
          <w:color w:val="000000" w:themeColor="text1"/>
        </w:rPr>
        <w:t xml:space="preserve"> och inkluderande utbildning, och såg till att reformerna tog hänsyn till människors verkliga situation. Kampanjer för att öka allmänhetens medvetenhet, och partnerskap med icke-statliga organisationer som sysslar med frågor relaterade till funktionsnedsättningar och mänskliga rättigheter och gör funktions</w:t>
      </w:r>
      <w:r w:rsidR="00096A0E">
        <w:rPr>
          <w:color w:val="000000" w:themeColor="text1"/>
        </w:rPr>
        <w:softHyphen/>
      </w:r>
      <w:r>
        <w:rPr>
          <w:color w:val="000000" w:themeColor="text1"/>
        </w:rPr>
        <w:t>nedsättningsaspekter till en integrerad del av arbetet med mänskliga rättigheter, har ytterligare förändrat attityderna i samhället och gjort inkludering till ett gemensamt värde. Standarderna fastställs visserligen inom ramen för internationell rätt, men det är genom det kulturella och medborgerliga engagemanget i Litauen som dessa standarder får praktisk verkan. Ett viktigt exempel är det starka stödet i Litauen för att ge ukrainare med funktionsnedsättning som tvingats fly tillgång till tjänster i lika hög grad som litauiska medborgare. I Litauen betonar man konsekvent de oproportionerliga konsekvenser som Rysslands anfallskrig mot Ukraina får för personer med funktionsnedsättning, och man främjar inkluderande och tillgängligt humanitärt bistånd på alla internationella plattformar.</w:t>
      </w:r>
    </w:p>
    <w:p w14:paraId="3B61D661" w14:textId="77777777" w:rsidR="0065601D" w:rsidRPr="006A79E7" w:rsidRDefault="0065601D" w:rsidP="006A79E7">
      <w:pPr>
        <w:pStyle w:val="Heading3"/>
        <w:numPr>
          <w:ilvl w:val="0"/>
          <w:numId w:val="0"/>
        </w:numPr>
        <w:ind w:left="567"/>
        <w:rPr>
          <w:color w:val="000000" w:themeColor="text1"/>
          <w:lang w:val="fr-FR"/>
        </w:rPr>
      </w:pPr>
    </w:p>
    <w:p w14:paraId="57493176" w14:textId="299AAC4F" w:rsidR="00101669" w:rsidRPr="00BC50E6" w:rsidRDefault="00101669" w:rsidP="006A79E7">
      <w:pPr>
        <w:pStyle w:val="Heading3"/>
        <w:numPr>
          <w:ilvl w:val="0"/>
          <w:numId w:val="0"/>
        </w:numPr>
        <w:ind w:left="567"/>
        <w:rPr>
          <w:rFonts w:eastAsia="Arial"/>
          <w:color w:val="000000" w:themeColor="text1"/>
        </w:rPr>
      </w:pPr>
      <w:r>
        <w:rPr>
          <w:color w:val="000000" w:themeColor="text1"/>
        </w:rPr>
        <w:t>Litauen har bekräftat sitt långsiktiga globala engagemang genom att utse en företrädare för landets organisationer för personer med funktionsnedsättning till kandidat till valet till FN:s</w:t>
      </w:r>
      <w:r w:rsidR="00096A0E">
        <w:rPr>
          <w:color w:val="000000" w:themeColor="text1"/>
        </w:rPr>
        <w:t> </w:t>
      </w:r>
      <w:r>
        <w:rPr>
          <w:color w:val="000000" w:themeColor="text1"/>
        </w:rPr>
        <w:t>kommitté för rättigheter för personer med funktionsnedsättning inför mandatperioden 2027–2030.</w:t>
      </w:r>
    </w:p>
    <w:p w14:paraId="2DFB4E97" w14:textId="77777777" w:rsidR="00101669" w:rsidRPr="00BC50E6" w:rsidRDefault="00101669" w:rsidP="006A79E7">
      <w:pPr>
        <w:rPr>
          <w:rFonts w:eastAsia="Arial"/>
          <w:color w:val="000000" w:themeColor="text1"/>
          <w:lang w:val="en-GB" w:eastAsia="it-IT"/>
        </w:rPr>
      </w:pPr>
    </w:p>
    <w:p w14:paraId="1D02BEB7" w14:textId="77777777" w:rsidR="00101669" w:rsidRPr="00BC50E6" w:rsidRDefault="00101669" w:rsidP="006A79E7">
      <w:pPr>
        <w:pStyle w:val="Heading3"/>
        <w:rPr>
          <w:rFonts w:eastAsia="Arial"/>
          <w:color w:val="000000" w:themeColor="text1"/>
        </w:rPr>
      </w:pPr>
      <w:r>
        <w:rPr>
          <w:color w:val="000000" w:themeColor="text1"/>
        </w:rPr>
        <w:t xml:space="preserve">I Tyskland antogs år 2002 </w:t>
      </w:r>
      <w:proofErr w:type="spellStart"/>
      <w:r>
        <w:rPr>
          <w:i/>
          <w:iCs/>
          <w:color w:val="000000" w:themeColor="text1"/>
        </w:rPr>
        <w:t>Behindertengleichstellungsgesetz</w:t>
      </w:r>
      <w:proofErr w:type="spellEnd"/>
      <w:r>
        <w:rPr>
          <w:color w:val="000000" w:themeColor="text1"/>
        </w:rPr>
        <w:t xml:space="preserve"> – en grundlag som främjar inkludering av och jämlikhet för personer med funktionsnedsättning.</w:t>
      </w:r>
    </w:p>
    <w:p w14:paraId="58EA6883" w14:textId="77777777" w:rsidR="0065601D" w:rsidRPr="00BC50E6" w:rsidRDefault="0065601D" w:rsidP="006A79E7">
      <w:pPr>
        <w:ind w:left="567"/>
        <w:rPr>
          <w:color w:val="000000" w:themeColor="text1"/>
          <w:lang w:val="en-GB"/>
        </w:rPr>
      </w:pPr>
    </w:p>
    <w:p w14:paraId="0D5B2D61" w14:textId="4543E664" w:rsidR="00101669" w:rsidRPr="00BC50E6" w:rsidRDefault="00101669" w:rsidP="006A79E7">
      <w:pPr>
        <w:ind w:left="567"/>
        <w:rPr>
          <w:rFonts w:eastAsia="Arial"/>
          <w:color w:val="000000" w:themeColor="text1"/>
        </w:rPr>
      </w:pPr>
      <w:r>
        <w:rPr>
          <w:color w:val="000000" w:themeColor="text1"/>
        </w:rPr>
        <w:t xml:space="preserve">Framgångsrika insatser har också gjorts för att främja möjligheten att leva ett självständigt liv, med personligt anpassade vårdtjänster och stöd i hemmet. Dessutom har Tyskland utvecklat jämställdhetsindexet </w:t>
      </w:r>
      <w:proofErr w:type="spellStart"/>
      <w:r>
        <w:rPr>
          <w:color w:val="000000" w:themeColor="text1"/>
        </w:rPr>
        <w:t>Disability</w:t>
      </w:r>
      <w:proofErr w:type="spellEnd"/>
      <w:r>
        <w:rPr>
          <w:color w:val="000000" w:themeColor="text1"/>
        </w:rPr>
        <w:t xml:space="preserve"> </w:t>
      </w:r>
      <w:proofErr w:type="spellStart"/>
      <w:r>
        <w:rPr>
          <w:color w:val="000000" w:themeColor="text1"/>
        </w:rPr>
        <w:t>Equality</w:t>
      </w:r>
      <w:proofErr w:type="spellEnd"/>
      <w:r>
        <w:rPr>
          <w:color w:val="000000" w:themeColor="text1"/>
        </w:rPr>
        <w:t xml:space="preserve"> Index (DEI) för att övervaka och utvärdera inkluderingen av personer med funktionsnedsättning i politiken och i offentliga och privata institutioner. Detta index fungerar som ett verktyg för att mäta framsteg och undersöka förbättringsområden, och bidrar till att främja en kontinuerlig förändring inom den offentliga och den privata sektorn.</w:t>
      </w:r>
    </w:p>
    <w:p w14:paraId="7DE88CDE" w14:textId="0511831E" w:rsidR="00DD0587" w:rsidRDefault="00DD0587">
      <w:pPr>
        <w:spacing w:after="160" w:line="259" w:lineRule="auto"/>
        <w:jc w:val="left"/>
        <w:rPr>
          <w:rFonts w:eastAsia="Arial"/>
          <w:color w:val="000000" w:themeColor="text1"/>
          <w:lang w:val="en-GB" w:eastAsia="it-IT"/>
        </w:rPr>
      </w:pPr>
      <w:r>
        <w:rPr>
          <w:rFonts w:eastAsia="Arial"/>
          <w:color w:val="000000" w:themeColor="text1"/>
          <w:lang w:val="en-GB" w:eastAsia="it-IT"/>
        </w:rPr>
        <w:br w:type="page"/>
      </w:r>
    </w:p>
    <w:p w14:paraId="5D712E69" w14:textId="77777777" w:rsidR="00101669" w:rsidRPr="00BC50E6" w:rsidRDefault="00101669" w:rsidP="006A79E7">
      <w:pPr>
        <w:pStyle w:val="Heading3"/>
        <w:rPr>
          <w:rFonts w:eastAsia="Arial"/>
          <w:color w:val="000000" w:themeColor="text1"/>
        </w:rPr>
      </w:pPr>
      <w:r>
        <w:rPr>
          <w:color w:val="000000" w:themeColor="text1"/>
        </w:rPr>
        <w:lastRenderedPageBreak/>
        <w:t>Polen är mycket aktivt när det gäller ett paradigmskifte, särskilt i kulturellt och socialt hänseende. I landet anordnas två stora evenemang med stor inverkan på befolkningen:</w:t>
      </w:r>
    </w:p>
    <w:p w14:paraId="5A0E6575" w14:textId="77777777" w:rsidR="00101669" w:rsidRPr="00BC50E6" w:rsidRDefault="00101669" w:rsidP="006A79E7">
      <w:pPr>
        <w:rPr>
          <w:rFonts w:eastAsia="Arial"/>
          <w:color w:val="000000" w:themeColor="text1"/>
          <w:lang w:val="en-GB" w:eastAsia="it-IT"/>
        </w:rPr>
      </w:pPr>
    </w:p>
    <w:p w14:paraId="7557283F" w14:textId="77777777" w:rsidR="00101669" w:rsidRPr="00BC50E6" w:rsidRDefault="00101669" w:rsidP="00BC50E6">
      <w:pPr>
        <w:pStyle w:val="Heading3"/>
        <w:numPr>
          <w:ilvl w:val="0"/>
          <w:numId w:val="4"/>
        </w:numPr>
        <w:ind w:left="924" w:hanging="357"/>
        <w:rPr>
          <w:rFonts w:eastAsia="Arial"/>
          <w:color w:val="000000" w:themeColor="text1"/>
        </w:rPr>
      </w:pPr>
      <w:r>
        <w:rPr>
          <w:color w:val="000000" w:themeColor="text1"/>
        </w:rPr>
        <w:t xml:space="preserve">Den europeiska filmfestivalen ”Integration </w:t>
      </w:r>
      <w:proofErr w:type="spellStart"/>
      <w:r>
        <w:rPr>
          <w:color w:val="000000" w:themeColor="text1"/>
        </w:rPr>
        <w:t>You</w:t>
      </w:r>
      <w:proofErr w:type="spellEnd"/>
      <w:r>
        <w:rPr>
          <w:color w:val="000000" w:themeColor="text1"/>
        </w:rPr>
        <w:t xml:space="preserve"> and </w:t>
      </w:r>
      <w:proofErr w:type="spellStart"/>
      <w:r>
        <w:rPr>
          <w:color w:val="000000" w:themeColor="text1"/>
        </w:rPr>
        <w:t>Me</w:t>
      </w:r>
      <w:proofErr w:type="spellEnd"/>
      <w:r>
        <w:rPr>
          <w:color w:val="000000" w:themeColor="text1"/>
        </w:rPr>
        <w:t xml:space="preserve">” i staden </w:t>
      </w:r>
      <w:proofErr w:type="spellStart"/>
      <w:r>
        <w:rPr>
          <w:color w:val="000000" w:themeColor="text1"/>
        </w:rPr>
        <w:t>Koszalin</w:t>
      </w:r>
      <w:proofErr w:type="spellEnd"/>
      <w:r>
        <w:rPr>
          <w:color w:val="000000" w:themeColor="text1"/>
        </w:rPr>
        <w:t xml:space="preserve"> i norra Polen, som sedan 2003 förenar filmkonst och frågan om funktionsnedsättningar. Festivalen är ett konstnärligt initiativ, men har också stor social betydelse eftersom den uppmuntrar debatter om den miljö där personer med funktionsnedsättning lever och om processen för inkludering. Sedan 2003 har närmare 780 viktiga, intelligenta och modiga filmer visats. Varje år kommer skådespelare, regissörer, manusförfattare, filmkritiker, lärare samt kultur- och mediepersonligheter till </w:t>
      </w:r>
      <w:proofErr w:type="spellStart"/>
      <w:r>
        <w:rPr>
          <w:color w:val="000000" w:themeColor="text1"/>
        </w:rPr>
        <w:t>Koszalin</w:t>
      </w:r>
      <w:proofErr w:type="spellEnd"/>
      <w:r>
        <w:rPr>
          <w:color w:val="000000" w:themeColor="text1"/>
        </w:rPr>
        <w:t xml:space="preserve">. Slutligen anordnas mindre versioner av filmfestivalen ”Integration </w:t>
      </w:r>
      <w:proofErr w:type="spellStart"/>
      <w:r>
        <w:rPr>
          <w:color w:val="000000" w:themeColor="text1"/>
        </w:rPr>
        <w:t>You</w:t>
      </w:r>
      <w:proofErr w:type="spellEnd"/>
      <w:r>
        <w:rPr>
          <w:color w:val="000000" w:themeColor="text1"/>
        </w:rPr>
        <w:t xml:space="preserve"> and </w:t>
      </w:r>
      <w:proofErr w:type="spellStart"/>
      <w:r>
        <w:rPr>
          <w:color w:val="000000" w:themeColor="text1"/>
        </w:rPr>
        <w:t>Me</w:t>
      </w:r>
      <w:proofErr w:type="spellEnd"/>
      <w:r>
        <w:rPr>
          <w:color w:val="000000" w:themeColor="text1"/>
        </w:rPr>
        <w:t>” på mer än 30 platser runt om i Polen av lokala kulturella aktörer, och festivalens filmer visas på biografer med mer konstnärlig inriktning i ett dussintal större polska städer.</w:t>
      </w:r>
    </w:p>
    <w:p w14:paraId="2BAFE48F" w14:textId="77777777" w:rsidR="00101669" w:rsidRPr="0065601D" w:rsidRDefault="00101669" w:rsidP="00BC50E6">
      <w:pPr>
        <w:pStyle w:val="ListParagraph"/>
        <w:numPr>
          <w:ilvl w:val="0"/>
          <w:numId w:val="3"/>
        </w:numPr>
        <w:ind w:left="924" w:hanging="357"/>
        <w:rPr>
          <w:rFonts w:eastAsia="Arial"/>
          <w:color w:val="000000" w:themeColor="text1"/>
        </w:rPr>
      </w:pPr>
      <w:r>
        <w:rPr>
          <w:color w:val="000000" w:themeColor="text1"/>
        </w:rPr>
        <w:t xml:space="preserve">Den 28:e melodifestivalen för ungdomar med funktionsnedsättning äger rum i </w:t>
      </w:r>
      <w:proofErr w:type="spellStart"/>
      <w:r>
        <w:rPr>
          <w:color w:val="000000" w:themeColor="text1"/>
        </w:rPr>
        <w:t>Ciechocinek</w:t>
      </w:r>
      <w:proofErr w:type="spellEnd"/>
      <w:r>
        <w:rPr>
          <w:color w:val="000000" w:themeColor="text1"/>
        </w:rPr>
        <w:t>. Festivalen omfattar mycket mer än bara konserter och musikworkshoppar. Det är ett forum för social integration, utbildningsstöd och främjande av lika tillgång till kultur. Varje år lockar detta evenemang 50 unga deltagare från hela Polen, som arbetar med utmärkta musiklärare i 10 dagar och utvecklar sin talang i fråga om att sjunga och uppträda.</w:t>
      </w:r>
    </w:p>
    <w:p w14:paraId="478C10F8" w14:textId="77777777" w:rsidR="00685673" w:rsidRDefault="00685673" w:rsidP="006A79E7">
      <w:pPr>
        <w:ind w:left="567"/>
        <w:rPr>
          <w:color w:val="000000" w:themeColor="text1"/>
          <w:lang w:val="en-GB"/>
        </w:rPr>
      </w:pPr>
    </w:p>
    <w:p w14:paraId="15E01C8A" w14:textId="7B8C1199" w:rsidR="00101669" w:rsidRPr="00BC50E6" w:rsidRDefault="00101669" w:rsidP="006A79E7">
      <w:pPr>
        <w:ind w:left="567"/>
        <w:rPr>
          <w:rFonts w:eastAsia="Arial"/>
          <w:color w:val="000000" w:themeColor="text1"/>
        </w:rPr>
      </w:pPr>
      <w:r>
        <w:rPr>
          <w:color w:val="000000" w:themeColor="text1"/>
        </w:rPr>
        <w:t>Den 23 juni 2025, just i slutet av det polska ordförandeskapet, undertecknades på Polens initiativ förklaringen om medvetenhet om personer med funktionsnedsättning, som stöddes av 25 medlemsstater.</w:t>
      </w:r>
    </w:p>
    <w:p w14:paraId="51B3A4C3" w14:textId="77777777" w:rsidR="00101669" w:rsidRPr="00BC50E6" w:rsidRDefault="00101669" w:rsidP="006A79E7">
      <w:pPr>
        <w:rPr>
          <w:rFonts w:eastAsia="Arial"/>
          <w:color w:val="000000" w:themeColor="text1"/>
          <w:lang w:val="en-GB" w:eastAsia="it-IT"/>
        </w:rPr>
      </w:pPr>
    </w:p>
    <w:p w14:paraId="73C4A361" w14:textId="77777777" w:rsidR="00101669" w:rsidRPr="00BC50E6" w:rsidRDefault="00101669" w:rsidP="006A79E7">
      <w:pPr>
        <w:pStyle w:val="Heading2"/>
        <w:rPr>
          <w:rFonts w:eastAsia="Arial"/>
          <w:color w:val="000000" w:themeColor="text1"/>
        </w:rPr>
      </w:pPr>
      <w:r>
        <w:rPr>
          <w:color w:val="000000" w:themeColor="text1"/>
        </w:rPr>
        <w:t>Utanför Europa är Kanada, Australien och Nya Zeeland bland de mest framgångsrika länderna när det gäller att stå upp för rättigheter för personer med funktionsnedsättning.</w:t>
      </w:r>
    </w:p>
    <w:p w14:paraId="59BCB892" w14:textId="77777777" w:rsidR="00101669" w:rsidRPr="00BC50E6" w:rsidRDefault="00101669" w:rsidP="006A79E7">
      <w:pPr>
        <w:ind w:left="567" w:hanging="567"/>
        <w:rPr>
          <w:rFonts w:eastAsia="Arial"/>
          <w:color w:val="000000" w:themeColor="text1"/>
          <w:lang w:val="en-GB" w:eastAsia="it-IT"/>
        </w:rPr>
      </w:pPr>
    </w:p>
    <w:p w14:paraId="3801AE74" w14:textId="77777777" w:rsidR="00101669" w:rsidRPr="00BC50E6" w:rsidRDefault="00101669" w:rsidP="006A79E7">
      <w:pPr>
        <w:pStyle w:val="Heading3"/>
        <w:rPr>
          <w:rFonts w:eastAsia="Arial"/>
          <w:color w:val="000000" w:themeColor="text1"/>
        </w:rPr>
      </w:pPr>
      <w:r>
        <w:rPr>
          <w:color w:val="000000" w:themeColor="text1"/>
        </w:rPr>
        <w:t xml:space="preserve">I Kanada syftar </w:t>
      </w:r>
      <w:proofErr w:type="spellStart"/>
      <w:r>
        <w:rPr>
          <w:color w:val="000000" w:themeColor="text1"/>
        </w:rPr>
        <w:t>Accessible</w:t>
      </w:r>
      <w:proofErr w:type="spellEnd"/>
      <w:r>
        <w:rPr>
          <w:color w:val="000000" w:themeColor="text1"/>
        </w:rPr>
        <w:t xml:space="preserve"> Canada </w:t>
      </w:r>
      <w:proofErr w:type="spellStart"/>
      <w:r>
        <w:rPr>
          <w:color w:val="000000" w:themeColor="text1"/>
        </w:rPr>
        <w:t>Act</w:t>
      </w:r>
      <w:proofErr w:type="spellEnd"/>
      <w:r>
        <w:rPr>
          <w:color w:val="000000" w:themeColor="text1"/>
        </w:rPr>
        <w:t xml:space="preserve"> (2019) till att göra landet fullt tillgängligt senast 2040 på områden som transport, kommunikation och offentliga tjänster. Kanada har också infört en kraftfull politik för att – genom utbildningsprogram, incitament för arbetsgivare och riktade rekryteringsstrategier – främja inkludering på arbetsmarknaden och möjligheten att leva ett självständigt liv. Dessutom fästs stor vikt vid att genomföra direkta samråd med personer med funktionsnedsättning, för att involvera dem direkt i beslutsfattandet om politik som påverkar dem och se till att deras röster hörs och respekteras.</w:t>
      </w:r>
    </w:p>
    <w:p w14:paraId="338E63D2" w14:textId="77777777" w:rsidR="00101669" w:rsidRPr="00BC50E6" w:rsidRDefault="00101669" w:rsidP="006A79E7">
      <w:pPr>
        <w:ind w:left="567" w:hanging="567"/>
        <w:rPr>
          <w:rFonts w:eastAsia="Arial"/>
          <w:color w:val="000000" w:themeColor="text1"/>
          <w:lang w:val="en-GB" w:eastAsia="it-IT"/>
        </w:rPr>
      </w:pPr>
    </w:p>
    <w:p w14:paraId="7898344B" w14:textId="5AF65414" w:rsidR="00101669" w:rsidRDefault="00101669" w:rsidP="006A79E7">
      <w:pPr>
        <w:pStyle w:val="Heading3"/>
        <w:rPr>
          <w:color w:val="000000" w:themeColor="text1"/>
        </w:rPr>
      </w:pPr>
      <w:r>
        <w:rPr>
          <w:color w:val="000000" w:themeColor="text1"/>
        </w:rPr>
        <w:t xml:space="preserve">Australien har en av de mest framstående lagstiftningarna om ekonomiskt stöd och oberoende för personer med funktionsnedsättning, National </w:t>
      </w:r>
      <w:proofErr w:type="spellStart"/>
      <w:r>
        <w:rPr>
          <w:color w:val="000000" w:themeColor="text1"/>
        </w:rPr>
        <w:t>Disability</w:t>
      </w:r>
      <w:proofErr w:type="spellEnd"/>
      <w:r>
        <w:rPr>
          <w:color w:val="000000" w:themeColor="text1"/>
        </w:rPr>
        <w:t xml:space="preserve"> Insurance </w:t>
      </w:r>
      <w:proofErr w:type="spellStart"/>
      <w:r>
        <w:rPr>
          <w:color w:val="000000" w:themeColor="text1"/>
        </w:rPr>
        <w:t>Scheme</w:t>
      </w:r>
      <w:proofErr w:type="spellEnd"/>
      <w:r>
        <w:rPr>
          <w:color w:val="000000" w:themeColor="text1"/>
        </w:rPr>
        <w:t xml:space="preserve"> (NDIS). Genom detta system tillhandahålls personligt anpassat ekonomiskt stöd som gör det möjligt för människor att välja de tjänster som bäst passar deras behov så att de kan leva ett självständigt liv. I Australien arbetar man dessutom mycket med frågor relaterade till tillgänglighet och deltagande, och åtgärder vidtas för att undanröja arkitektoniska hinder på offentliga platser. Dessutom främjar man deltagandet av företrädare för personer med funktionsnedsättning i politiska processer och beslutsprocesser.</w:t>
      </w:r>
    </w:p>
    <w:p w14:paraId="37046AF8" w14:textId="6BDDB465" w:rsidR="00DD0587" w:rsidRDefault="00DD0587">
      <w:pPr>
        <w:spacing w:after="160" w:line="259" w:lineRule="auto"/>
        <w:jc w:val="left"/>
        <w:rPr>
          <w:rFonts w:eastAsia="Arial"/>
        </w:rPr>
      </w:pPr>
      <w:r>
        <w:rPr>
          <w:rFonts w:eastAsia="Arial"/>
        </w:rPr>
        <w:br w:type="page"/>
      </w:r>
    </w:p>
    <w:p w14:paraId="678B572D" w14:textId="77777777" w:rsidR="00101669" w:rsidRPr="00BC50E6" w:rsidRDefault="00101669" w:rsidP="006A79E7">
      <w:pPr>
        <w:pStyle w:val="Heading3"/>
        <w:rPr>
          <w:rFonts w:eastAsia="Arial"/>
          <w:color w:val="000000" w:themeColor="text1"/>
        </w:rPr>
      </w:pPr>
      <w:r>
        <w:rPr>
          <w:color w:val="000000" w:themeColor="text1"/>
        </w:rPr>
        <w:lastRenderedPageBreak/>
        <w:t>I Nya Zeeland tillämpas en kraftfull strategi som bygger på mänskliga rättigheter och ett aktivt deltagande av personer med funktionsnedsättning i det politiska beslutsfattandet. Man har antagit tydliga handlingsplaner för att göra utbildning och arbete fullt tillgängliga, och har utvecklat strategier för att säkerställa lämpligt stöd till ett självständigt liv.</w:t>
      </w:r>
      <w:r w:rsidRPr="00BC50E6">
        <w:rPr>
          <w:rFonts w:eastAsia="Arial"/>
          <w:color w:val="000000" w:themeColor="text1"/>
          <w:sz w:val="24"/>
          <w:szCs w:val="24"/>
          <w:vertAlign w:val="superscript"/>
          <w:lang w:val="en-GB" w:eastAsia="it-IT"/>
        </w:rPr>
        <w:footnoteReference w:id="6"/>
      </w:r>
    </w:p>
    <w:p w14:paraId="679C58E0" w14:textId="77777777" w:rsidR="00101669" w:rsidRPr="00BC50E6" w:rsidRDefault="00101669" w:rsidP="006A79E7">
      <w:pPr>
        <w:ind w:left="567" w:hanging="567"/>
        <w:rPr>
          <w:rFonts w:eastAsia="Arial"/>
          <w:color w:val="000000" w:themeColor="text1"/>
          <w:lang w:val="en-GB" w:eastAsia="it-IT"/>
        </w:rPr>
      </w:pPr>
    </w:p>
    <w:p w14:paraId="740A800F" w14:textId="2D28FFE7" w:rsidR="00101669" w:rsidRDefault="00101669" w:rsidP="006A79E7">
      <w:pPr>
        <w:pStyle w:val="Heading3"/>
        <w:rPr>
          <w:color w:val="000000" w:themeColor="text1"/>
        </w:rPr>
      </w:pPr>
      <w:r>
        <w:rPr>
          <w:color w:val="000000" w:themeColor="text1"/>
        </w:rPr>
        <w:t>Det är i ljuset av detta som Nya Zeeland har lanserat sin funktionsnedsättningsstrategi för perioden 2016–2026, som är särskilt inriktad på offentliga byggnaders och transporters tillgänglighet</w:t>
      </w:r>
      <w:r w:rsidRPr="00BC50E6">
        <w:rPr>
          <w:rFonts w:eastAsia="Arial"/>
          <w:color w:val="000000" w:themeColor="text1"/>
          <w:sz w:val="24"/>
          <w:szCs w:val="24"/>
          <w:vertAlign w:val="superscript"/>
          <w:lang w:val="en-GB" w:eastAsia="it-IT"/>
        </w:rPr>
        <w:footnoteReference w:id="7"/>
      </w:r>
      <w:r>
        <w:rPr>
          <w:color w:val="000000" w:themeColor="text1"/>
        </w:rPr>
        <w:t>, främjar inkludering i skolan och tillgång till utbildning av god kvalitet för barn med funktionsnedsättning, omfattar anpassning av skolornas läroplaner och införandet av tekniska hjälpmedel, samt stöder sysselsättning genom incitament för arbetsgivare.</w:t>
      </w:r>
    </w:p>
    <w:p w14:paraId="18EDFD03" w14:textId="77777777" w:rsidR="00DD0587" w:rsidRPr="00DD0587" w:rsidRDefault="00DD0587" w:rsidP="00DD0587">
      <w:pPr>
        <w:rPr>
          <w:rFonts w:eastAsia="Arial"/>
        </w:rPr>
      </w:pPr>
    </w:p>
    <w:p w14:paraId="0E2A4E0B" w14:textId="77777777" w:rsidR="00101669" w:rsidRPr="00BC50E6" w:rsidRDefault="00101669" w:rsidP="006A79E7">
      <w:pPr>
        <w:pStyle w:val="Heading1"/>
        <w:keepNext/>
        <w:keepLines/>
        <w:rPr>
          <w:rFonts w:eastAsia="Calibri"/>
          <w:b/>
          <w:bCs/>
          <w:color w:val="000000" w:themeColor="text1"/>
        </w:rPr>
      </w:pPr>
      <w:r>
        <w:rPr>
          <w:b/>
          <w:color w:val="000000" w:themeColor="text1"/>
        </w:rPr>
        <w:t>Europeiska kommissionens åtaganden</w:t>
      </w:r>
    </w:p>
    <w:p w14:paraId="0800A19D" w14:textId="77777777" w:rsidR="00101669" w:rsidRPr="00BC50E6" w:rsidRDefault="00101669" w:rsidP="006A79E7">
      <w:pPr>
        <w:keepNext/>
        <w:keepLines/>
        <w:rPr>
          <w:rFonts w:eastAsia="Calibri"/>
          <w:color w:val="000000" w:themeColor="text1"/>
          <w:kern w:val="2"/>
          <w:lang w:val="en-GB"/>
          <w14:ligatures w14:val="standardContextual"/>
        </w:rPr>
      </w:pPr>
    </w:p>
    <w:p w14:paraId="1B44BE8F" w14:textId="0DF367FD" w:rsidR="00101669" w:rsidRPr="00BC50E6" w:rsidRDefault="00101669" w:rsidP="006A79E7">
      <w:pPr>
        <w:pStyle w:val="Heading2"/>
        <w:rPr>
          <w:rFonts w:eastAsia="Calibri"/>
          <w:color w:val="000000" w:themeColor="text1"/>
        </w:rPr>
      </w:pPr>
      <w:r>
        <w:rPr>
          <w:color w:val="000000" w:themeColor="text1"/>
        </w:rPr>
        <w:t>Europeiskt forum för personer med funktionsnedsättning uppmanar kommissionen att, när det gäller EU:s nästa budgetram, fästa vederbörlig uppmärksamhet vid att se till att funktions</w:t>
      </w:r>
      <w:r w:rsidR="00096A0E">
        <w:rPr>
          <w:color w:val="000000" w:themeColor="text1"/>
        </w:rPr>
        <w:softHyphen/>
      </w:r>
      <w:r>
        <w:rPr>
          <w:color w:val="000000" w:themeColor="text1"/>
        </w:rPr>
        <w:t>nedsättningar betraktas som ett prioriterat område, garantera att det finns finansieringsprogram som är anpassade till behoven och främja tillgänglighet och inkludering.</w:t>
      </w:r>
    </w:p>
    <w:p w14:paraId="374F221B" w14:textId="77777777" w:rsidR="00101669" w:rsidRPr="00BC50E6" w:rsidRDefault="00101669" w:rsidP="006A79E7">
      <w:pPr>
        <w:ind w:left="567" w:hanging="567"/>
        <w:rPr>
          <w:rFonts w:eastAsia="Calibri"/>
          <w:color w:val="000000" w:themeColor="text1"/>
          <w:kern w:val="2"/>
          <w:lang w:val="en-GB"/>
          <w14:ligatures w14:val="standardContextual"/>
        </w:rPr>
      </w:pPr>
    </w:p>
    <w:p w14:paraId="71DC3B73" w14:textId="77777777" w:rsidR="00101669" w:rsidRPr="00BC50E6" w:rsidRDefault="00101669" w:rsidP="006A79E7">
      <w:pPr>
        <w:pStyle w:val="Heading2"/>
        <w:rPr>
          <w:rFonts w:eastAsia="Calibri"/>
          <w:color w:val="000000" w:themeColor="text1"/>
          <w:kern w:val="2"/>
          <w14:ligatures w14:val="standardContextual"/>
        </w:rPr>
      </w:pPr>
      <w:r>
        <w:rPr>
          <w:color w:val="000000" w:themeColor="text1"/>
        </w:rPr>
        <w:t>Kommissionen bör anta handlingsplaner för alla former av funktionsnedsättningar, både inom och utanför EU, i linje med dem som redan finns för ungdomar och jämställdhet.</w:t>
      </w:r>
    </w:p>
    <w:p w14:paraId="28E19C38" w14:textId="77777777" w:rsidR="00101669" w:rsidRPr="00BC50E6" w:rsidRDefault="00101669" w:rsidP="006A79E7">
      <w:pPr>
        <w:ind w:left="567" w:hanging="567"/>
        <w:rPr>
          <w:rFonts w:eastAsia="Calibri"/>
          <w:color w:val="000000" w:themeColor="text1"/>
          <w:kern w:val="2"/>
          <w:lang w:val="en-GB"/>
          <w14:ligatures w14:val="standardContextual"/>
        </w:rPr>
      </w:pPr>
    </w:p>
    <w:p w14:paraId="7232EA7B" w14:textId="77777777" w:rsidR="00101669" w:rsidRPr="00BC50E6" w:rsidRDefault="00101669" w:rsidP="006A79E7">
      <w:pPr>
        <w:pStyle w:val="Heading2"/>
        <w:rPr>
          <w:rFonts w:eastAsia="Calibri"/>
          <w:color w:val="000000" w:themeColor="text1"/>
        </w:rPr>
      </w:pPr>
      <w:r>
        <w:rPr>
          <w:color w:val="000000" w:themeColor="text1"/>
        </w:rPr>
        <w:t>För att förbättra och effektivisera sin egen diplomati bör kommissionen i större utsträckning samarbeta med organisationer för personer med funktionsnedsättning, inom ramen för såväl internationellt samarbete som EU:s humanitära insatser.</w:t>
      </w:r>
    </w:p>
    <w:p w14:paraId="265A5E3B" w14:textId="77777777" w:rsidR="00101669" w:rsidRPr="00BC50E6" w:rsidRDefault="00101669" w:rsidP="006A79E7">
      <w:pPr>
        <w:rPr>
          <w:rFonts w:eastAsia="Calibri"/>
          <w:color w:val="000000" w:themeColor="text1"/>
          <w:lang w:val="en-GB"/>
        </w:rPr>
      </w:pPr>
    </w:p>
    <w:p w14:paraId="73DDC67C" w14:textId="1C3A4A25" w:rsidR="00101669" w:rsidRPr="00BC50E6" w:rsidRDefault="00101669" w:rsidP="006A79E7">
      <w:pPr>
        <w:pStyle w:val="Heading2"/>
        <w:rPr>
          <w:rFonts w:eastAsia="Calibri"/>
          <w:color w:val="000000" w:themeColor="text1"/>
          <w:kern w:val="2"/>
          <w14:ligatures w14:val="standardContextual"/>
        </w:rPr>
      </w:pPr>
      <w:r>
        <w:rPr>
          <w:color w:val="000000" w:themeColor="text1"/>
        </w:rPr>
        <w:t xml:space="preserve">Av </w:t>
      </w:r>
      <w:proofErr w:type="spellStart"/>
      <w:r>
        <w:rPr>
          <w:color w:val="000000" w:themeColor="text1"/>
        </w:rPr>
        <w:t>EESK:s</w:t>
      </w:r>
      <w:proofErr w:type="spellEnd"/>
      <w:r>
        <w:rPr>
          <w:color w:val="000000" w:themeColor="text1"/>
        </w:rPr>
        <w:t xml:space="preserve"> – förvisso ej heltäckande – undersökning kan man dra slutsatsen att varje diplomatisk delegation som arbetar med frågor med koppling till funktionsnedsättning, eller med avtal eller fördrag som kan vara av betydelse för rättigheterna för personer med funktionsnedsättning, bör åläggas att ha med minst en företrädare för en organisation för personer med funktionsnedsättning vid FN:s sammanträden, och att respektive stat bör bära kostnaderna för detta. Att börja med partskonferensen skulle vara ett lämpligt första steg. EU skulle kunna stödja detta initiativ genom Team </w:t>
      </w:r>
      <w:proofErr w:type="spellStart"/>
      <w:r>
        <w:rPr>
          <w:color w:val="000000" w:themeColor="text1"/>
        </w:rPr>
        <w:t>Europe</w:t>
      </w:r>
      <w:proofErr w:type="spellEnd"/>
      <w:r>
        <w:rPr>
          <w:color w:val="000000" w:themeColor="text1"/>
        </w:rPr>
        <w:t>, som vid varje partskonferens ställer sig bakom den linje som de 27 medlemsstaterna enats om. Målet är att kontaktpunkter med ansvar för funktionsnedsättningsrelaterade frågor formellt ska utses i varje diplomatisk delegation.</w:t>
      </w:r>
    </w:p>
    <w:p w14:paraId="1E148713" w14:textId="77777777" w:rsidR="00101669" w:rsidRPr="00BC50E6" w:rsidRDefault="00101669" w:rsidP="006A79E7">
      <w:pPr>
        <w:rPr>
          <w:rFonts w:eastAsia="Calibri"/>
          <w:color w:val="000000" w:themeColor="text1"/>
          <w:lang w:val="en-GB"/>
        </w:rPr>
      </w:pPr>
    </w:p>
    <w:p w14:paraId="148E997B" w14:textId="127AD6EF" w:rsidR="00101669" w:rsidRPr="00BC50E6" w:rsidRDefault="00101669" w:rsidP="006A79E7">
      <w:pPr>
        <w:pStyle w:val="Heading2"/>
        <w:rPr>
          <w:rFonts w:eastAsia="Calibri"/>
          <w:color w:val="000000" w:themeColor="text1"/>
          <w:kern w:val="2"/>
          <w14:ligatures w14:val="standardContextual"/>
        </w:rPr>
      </w:pPr>
      <w:r>
        <w:rPr>
          <w:color w:val="000000" w:themeColor="text1"/>
        </w:rPr>
        <w:t xml:space="preserve">Bland de resultat som Team </w:t>
      </w:r>
      <w:proofErr w:type="spellStart"/>
      <w:r>
        <w:rPr>
          <w:color w:val="000000" w:themeColor="text1"/>
        </w:rPr>
        <w:t>Europe</w:t>
      </w:r>
      <w:proofErr w:type="spellEnd"/>
      <w:r>
        <w:rPr>
          <w:color w:val="000000" w:themeColor="text1"/>
        </w:rPr>
        <w:t xml:space="preserve"> uppnått är utnämningen av en högre expert från kommissionen till medlem av FN:s kommitté för rättigheter för personer med funktions</w:t>
      </w:r>
      <w:r w:rsidR="00096A0E">
        <w:rPr>
          <w:color w:val="000000" w:themeColor="text1"/>
        </w:rPr>
        <w:softHyphen/>
      </w:r>
      <w:r>
        <w:rPr>
          <w:color w:val="000000" w:themeColor="text1"/>
        </w:rPr>
        <w:t>nedsättning. Detta är första gången som EU, i egenskap av organ för regional integration, har en kandidat till ett FN-organ som ansvarar för människorättsfördragen.</w:t>
      </w:r>
    </w:p>
    <w:p w14:paraId="3DA2B24A" w14:textId="2D88A6FD" w:rsidR="00DD0587" w:rsidRDefault="00DD0587">
      <w:pPr>
        <w:spacing w:after="160" w:line="259" w:lineRule="auto"/>
        <w:jc w:val="left"/>
        <w:rPr>
          <w:rFonts w:eastAsia="Calibri"/>
          <w:color w:val="000000" w:themeColor="text1"/>
          <w:lang w:val="en-GB"/>
        </w:rPr>
      </w:pPr>
      <w:r>
        <w:rPr>
          <w:rFonts w:eastAsia="Calibri"/>
          <w:color w:val="000000" w:themeColor="text1"/>
          <w:lang w:val="en-GB"/>
        </w:rPr>
        <w:br w:type="page"/>
      </w:r>
    </w:p>
    <w:p w14:paraId="259E99F9" w14:textId="77777777" w:rsidR="00101669" w:rsidRPr="00BC50E6" w:rsidRDefault="00101669" w:rsidP="006A79E7">
      <w:pPr>
        <w:pStyle w:val="Heading2"/>
        <w:rPr>
          <w:rFonts w:eastAsia="Calibri"/>
          <w:color w:val="000000" w:themeColor="text1"/>
        </w:rPr>
      </w:pPr>
      <w:r>
        <w:rPr>
          <w:color w:val="000000" w:themeColor="text1"/>
        </w:rPr>
        <w:lastRenderedPageBreak/>
        <w:t xml:space="preserve">Av </w:t>
      </w:r>
      <w:proofErr w:type="spellStart"/>
      <w:r>
        <w:rPr>
          <w:color w:val="000000" w:themeColor="text1"/>
        </w:rPr>
        <w:t>EESK:s</w:t>
      </w:r>
      <w:proofErr w:type="spellEnd"/>
      <w:r>
        <w:rPr>
          <w:color w:val="000000" w:themeColor="text1"/>
        </w:rPr>
        <w:t xml:space="preserve"> undersökningar framgår också att diplomattjänsterna inte bara bör tala om inkludering, utan också utgöra ett konkret exempel på inkludering. Detta innebär att personer med funktionsnedsättning aktivt bör anställas till utrikesministeriernas alla funktioner, inklusive konsulär verksamhet, förhandlingsgrupper och multilateral representation. Man behöver se till att lämpliga lösningar genomförs och att tillgängligheten för dessa anställda garanteras, och positiva exempel behöver lyftas fram för att normalisera deras deltagande.</w:t>
      </w:r>
    </w:p>
    <w:p w14:paraId="5085BE2C" w14:textId="77777777" w:rsidR="00101669" w:rsidRPr="00BC50E6" w:rsidRDefault="00101669" w:rsidP="006A79E7">
      <w:pPr>
        <w:rPr>
          <w:rFonts w:eastAsia="Calibri"/>
          <w:color w:val="000000" w:themeColor="text1"/>
          <w:lang w:val="en-GB"/>
        </w:rPr>
      </w:pPr>
    </w:p>
    <w:p w14:paraId="35DD7A39" w14:textId="77777777" w:rsidR="00101669" w:rsidRPr="00BC50E6" w:rsidRDefault="00101669" w:rsidP="006A79E7">
      <w:pPr>
        <w:pStyle w:val="Heading2"/>
        <w:rPr>
          <w:color w:val="000000" w:themeColor="text1"/>
        </w:rPr>
      </w:pPr>
      <w:r>
        <w:rPr>
          <w:color w:val="000000" w:themeColor="text1"/>
        </w:rPr>
        <w:t>Det är dessutom ytterst viktigt att öka medvetenheten bland de berörda parterna genom olika former av gemensamt lärande, till exempel genom att införa utbildning för diplomatkåren som ökar dess kompetens i fråga om att inkludera personer med funktionsnedsättning. Denna utbildning bör omfatta moment som genomförs tillsammans med organisationer för personer med funktionsnedsättning.</w:t>
      </w:r>
    </w:p>
    <w:p w14:paraId="0CA6A730" w14:textId="289418B2" w:rsidR="00355813" w:rsidRDefault="00355813">
      <w:pPr>
        <w:spacing w:after="160" w:line="259" w:lineRule="auto"/>
        <w:jc w:val="left"/>
        <w:rPr>
          <w:rFonts w:eastAsia="Calibri"/>
          <w:color w:val="000000" w:themeColor="text1"/>
          <w:lang w:val="en-GB"/>
        </w:rPr>
      </w:pPr>
    </w:p>
    <w:p w14:paraId="7068A50A" w14:textId="77777777" w:rsidR="00101669" w:rsidRPr="00BC50E6" w:rsidRDefault="00101669" w:rsidP="006A79E7">
      <w:pPr>
        <w:pStyle w:val="Heading2"/>
        <w:rPr>
          <w:rFonts w:eastAsia="Calibri"/>
          <w:color w:val="000000" w:themeColor="text1"/>
          <w:kern w:val="2"/>
          <w14:ligatures w14:val="standardContextual"/>
        </w:rPr>
      </w:pPr>
      <w:r>
        <w:rPr>
          <w:color w:val="000000" w:themeColor="text1"/>
        </w:rPr>
        <w:t>Partnerskap mellan diplomatkåren och organisationer för personer med funktionsnedsättning skulle förutom samråd kunna inriktas på gemensamt skapande och gemensamt genomförande. Till exempel:</w:t>
      </w:r>
    </w:p>
    <w:p w14:paraId="79907135" w14:textId="77777777" w:rsidR="00101669" w:rsidRPr="00BC50E6" w:rsidRDefault="00101669" w:rsidP="006A79E7">
      <w:pPr>
        <w:rPr>
          <w:rFonts w:eastAsia="Calibri"/>
          <w:color w:val="000000" w:themeColor="text1"/>
          <w:lang w:val="en-GB"/>
        </w:rPr>
      </w:pPr>
    </w:p>
    <w:p w14:paraId="3553F2C5" w14:textId="77777777" w:rsidR="00101669" w:rsidRPr="00BC50E6" w:rsidRDefault="00101669" w:rsidP="006A79E7">
      <w:pPr>
        <w:pStyle w:val="Heading2"/>
        <w:numPr>
          <w:ilvl w:val="0"/>
          <w:numId w:val="5"/>
        </w:numPr>
        <w:ind w:left="993"/>
        <w:rPr>
          <w:rFonts w:eastAsia="Calibri"/>
          <w:color w:val="000000" w:themeColor="text1"/>
          <w:kern w:val="2"/>
          <w14:ligatures w14:val="standardContextual"/>
        </w:rPr>
      </w:pPr>
      <w:r>
        <w:rPr>
          <w:color w:val="000000" w:themeColor="text1"/>
        </w:rPr>
        <w:t>Planering och utvärdering av internationella samarbetsprojekt.</w:t>
      </w:r>
    </w:p>
    <w:p w14:paraId="7095346C" w14:textId="77777777" w:rsidR="00101669" w:rsidRPr="00BC50E6" w:rsidRDefault="00101669" w:rsidP="006A79E7">
      <w:pPr>
        <w:pStyle w:val="Heading2"/>
        <w:numPr>
          <w:ilvl w:val="0"/>
          <w:numId w:val="5"/>
        </w:numPr>
        <w:ind w:left="993"/>
        <w:rPr>
          <w:rFonts w:eastAsia="Calibri"/>
          <w:color w:val="000000" w:themeColor="text1"/>
          <w:kern w:val="2"/>
          <w14:ligatures w14:val="standardContextual"/>
        </w:rPr>
      </w:pPr>
      <w:r>
        <w:rPr>
          <w:color w:val="000000" w:themeColor="text1"/>
        </w:rPr>
        <w:t>Gemensamt anordnande av upplysningskampanjer eller regionala forum.</w:t>
      </w:r>
    </w:p>
    <w:p w14:paraId="270910AB" w14:textId="77777777" w:rsidR="00101669" w:rsidRPr="00BC50E6" w:rsidRDefault="00101669" w:rsidP="006A79E7">
      <w:pPr>
        <w:pStyle w:val="Heading2"/>
        <w:numPr>
          <w:ilvl w:val="0"/>
          <w:numId w:val="5"/>
        </w:numPr>
        <w:ind w:left="993"/>
        <w:rPr>
          <w:rFonts w:eastAsia="Calibri"/>
          <w:color w:val="000000" w:themeColor="text1"/>
          <w:kern w:val="2"/>
          <w14:ligatures w14:val="standardContextual"/>
        </w:rPr>
      </w:pPr>
      <w:r>
        <w:rPr>
          <w:color w:val="000000" w:themeColor="text1"/>
        </w:rPr>
        <w:t>Direkt finansiering genom mekanismer för utvecklingsbistånd med inriktning på att stärka civilsamhället.</w:t>
      </w:r>
    </w:p>
    <w:p w14:paraId="21D1264C" w14:textId="77777777" w:rsidR="00101669" w:rsidRPr="00BC50E6" w:rsidRDefault="00101669" w:rsidP="006A79E7">
      <w:pPr>
        <w:rPr>
          <w:rFonts w:eastAsia="Calibri"/>
          <w:color w:val="000000" w:themeColor="text1"/>
          <w:lang w:val="en-GB"/>
        </w:rPr>
      </w:pPr>
    </w:p>
    <w:p w14:paraId="6FB6F198" w14:textId="77777777" w:rsidR="00101669" w:rsidRPr="00BC50E6" w:rsidRDefault="00101669" w:rsidP="006A79E7">
      <w:pPr>
        <w:pStyle w:val="Heading2"/>
        <w:numPr>
          <w:ilvl w:val="0"/>
          <w:numId w:val="0"/>
        </w:numPr>
        <w:ind w:left="567"/>
        <w:rPr>
          <w:rFonts w:eastAsia="Calibri"/>
          <w:color w:val="000000" w:themeColor="text1"/>
        </w:rPr>
      </w:pPr>
      <w:r>
        <w:rPr>
          <w:color w:val="000000" w:themeColor="text1"/>
        </w:rPr>
        <w:t>Transparenta ramar och mekanismer för långsiktig finansiering (dvs. som inte är kopplad till enskilda projekt) är avgörande för ett hållbart samarbete.</w:t>
      </w:r>
    </w:p>
    <w:p w14:paraId="585F5911" w14:textId="77777777" w:rsidR="00101669" w:rsidRPr="00BC50E6" w:rsidRDefault="00101669" w:rsidP="006A79E7">
      <w:pPr>
        <w:jc w:val="left"/>
        <w:rPr>
          <w:rFonts w:eastAsia="Calibri"/>
          <w:color w:val="000000" w:themeColor="text1"/>
          <w:kern w:val="2"/>
          <w:lang w:val="en-GB"/>
          <w14:ligatures w14:val="standardContextual"/>
        </w:rPr>
      </w:pPr>
    </w:p>
    <w:p w14:paraId="5CE8BCF6" w14:textId="77777777" w:rsidR="00101669" w:rsidRPr="00BC50E6" w:rsidRDefault="00101669" w:rsidP="006A79E7">
      <w:pPr>
        <w:pStyle w:val="Heading2"/>
        <w:keepNext/>
        <w:ind w:left="425"/>
        <w:rPr>
          <w:rFonts w:eastAsia="Calibri"/>
          <w:color w:val="000000" w:themeColor="text1"/>
          <w:kern w:val="2"/>
          <w14:ligatures w14:val="standardContextual"/>
        </w:rPr>
      </w:pPr>
      <w:r>
        <w:rPr>
          <w:color w:val="000000" w:themeColor="text1"/>
        </w:rPr>
        <w:t>Att garantera fullständig fysisk och digital tillgänglighet på ambassader och beskickningar är fortfarande en utmaning. Att utse en särskild sakkunnig inom varje enskild diplomatisk delegation skulle i detta sammanhang kunna ha en positiv effekt. Målet är total tillgänglighet, när det gäller såväl den fysiska miljön i kontoren där de diplomatiska kontakterna äger rum som de arbetsverktyg som används.</w:t>
      </w:r>
    </w:p>
    <w:p w14:paraId="67A616C3" w14:textId="77777777" w:rsidR="00101669" w:rsidRPr="00BC50E6" w:rsidRDefault="00101669" w:rsidP="006A79E7">
      <w:pPr>
        <w:rPr>
          <w:color w:val="000000" w:themeColor="text1"/>
          <w:lang w:val="en-GB" w:eastAsia="it-IT"/>
        </w:rPr>
      </w:pPr>
    </w:p>
    <w:p w14:paraId="69C4182B" w14:textId="1448B750" w:rsidR="00101669" w:rsidRPr="00BC50E6" w:rsidRDefault="00101669" w:rsidP="006A79E7">
      <w:pPr>
        <w:rPr>
          <w:color w:val="000000" w:themeColor="text1"/>
        </w:rPr>
      </w:pPr>
      <w:r>
        <w:rPr>
          <w:color w:val="000000" w:themeColor="text1"/>
        </w:rPr>
        <w:t>Bryssel den 23 oktober 2025.</w:t>
      </w:r>
    </w:p>
    <w:p w14:paraId="22E027F4" w14:textId="77777777" w:rsidR="00101669" w:rsidRPr="00BC50E6" w:rsidRDefault="00101669" w:rsidP="006A79E7">
      <w:pPr>
        <w:rPr>
          <w:color w:val="000000" w:themeColor="text1"/>
          <w:lang w:val="en-GB" w:eastAsia="it-IT"/>
        </w:rPr>
      </w:pPr>
    </w:p>
    <w:p w14:paraId="4542D346" w14:textId="471BDF2B" w:rsidR="00101669" w:rsidRPr="00BC50E6" w:rsidRDefault="00101669" w:rsidP="006A79E7">
      <w:pPr>
        <w:rPr>
          <w:i/>
          <w:iCs/>
          <w:color w:val="000000" w:themeColor="text1"/>
        </w:rPr>
      </w:pPr>
    </w:p>
    <w:p w14:paraId="3914066A" w14:textId="56D858D0" w:rsidR="00E2376B" w:rsidRPr="00BC50E6" w:rsidRDefault="0091458D" w:rsidP="006A79E7">
      <w:pPr>
        <w:rPr>
          <w:color w:val="000000" w:themeColor="text1"/>
        </w:rPr>
      </w:pPr>
      <w:proofErr w:type="spellStart"/>
      <w:r>
        <w:rPr>
          <w:color w:val="000000" w:themeColor="text1"/>
        </w:rPr>
        <w:t>Séamus</w:t>
      </w:r>
      <w:proofErr w:type="spellEnd"/>
      <w:r>
        <w:rPr>
          <w:color w:val="000000" w:themeColor="text1"/>
        </w:rPr>
        <w:t xml:space="preserve"> BOLAND</w:t>
      </w:r>
    </w:p>
    <w:p w14:paraId="6416B923" w14:textId="4E756865" w:rsidR="00096A0E" w:rsidRDefault="00096A0E" w:rsidP="00096A0E">
      <w:pPr>
        <w:jc w:val="left"/>
      </w:pPr>
      <w:r>
        <w:rPr>
          <w:i/>
          <w:color w:val="000000" w:themeColor="text1"/>
        </w:rPr>
        <w:t>Europeiska ekonomiska och sociala kommitténs ordförande</w:t>
      </w:r>
    </w:p>
    <w:p w14:paraId="46FCDD49" w14:textId="1F7B9BDA" w:rsidR="00ED0759" w:rsidRPr="0065601D" w:rsidRDefault="00E2376B" w:rsidP="006A79E7">
      <w:pPr>
        <w:jc w:val="center"/>
      </w:pPr>
      <w:r>
        <w:t>____________</w:t>
      </w:r>
    </w:p>
    <w:sectPr w:rsidR="00ED0759" w:rsidRPr="0065601D" w:rsidSect="00355813">
      <w:headerReference w:type="even" r:id="rId19"/>
      <w:headerReference w:type="default" r:id="rId20"/>
      <w:footerReference w:type="default" r:id="rId21"/>
      <w:headerReference w:type="first" r:id="rId22"/>
      <w:pgSz w:w="11907" w:h="16839" w:code="9"/>
      <w:pgMar w:top="1134" w:right="1418" w:bottom="1134"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C593" w14:textId="77777777" w:rsidR="00FA25D2" w:rsidRDefault="00FA25D2" w:rsidP="00F53370">
      <w:pPr>
        <w:spacing w:line="240" w:lineRule="auto"/>
      </w:pPr>
      <w:r>
        <w:separator/>
      </w:r>
    </w:p>
  </w:endnote>
  <w:endnote w:type="continuationSeparator" w:id="0">
    <w:p w14:paraId="30EAB4F1" w14:textId="77777777" w:rsidR="00FA25D2" w:rsidRDefault="00FA25D2"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440AE8E8" w:rsidR="0084105C" w:rsidRPr="002F3A80" w:rsidRDefault="006A79E7" w:rsidP="006A79E7">
    <w:pPr>
      <w:pStyle w:val="Footer"/>
      <w:jc w:val="left"/>
    </w:pPr>
    <w:r>
      <w:t xml:space="preserve">REX/602 – EESC-2025-00642-00-01-RI-TRA (EN) </w:t>
    </w:r>
    <w:r>
      <w:fldChar w:fldCharType="begin"/>
    </w:r>
    <w:r>
      <w:instrText xml:space="preserve"> PAGE  \* Arabic  \* MERGEFORMAT </w:instrText>
    </w:r>
    <w:r>
      <w:fldChar w:fldCharType="separate"/>
    </w:r>
    <w:r>
      <w:t>8</w:t>
    </w:r>
    <w:r>
      <w:fldChar w:fldCharType="end"/>
    </w:r>
    <w:r>
      <w:t>/</w:t>
    </w:r>
    <w:r>
      <w:fldChar w:fldCharType="begin"/>
    </w:r>
    <w:r>
      <w:instrText xml:space="preserve"> = </w:instrText>
    </w:r>
    <w:r w:rsidR="00363463">
      <w:fldChar w:fldCharType="begin"/>
    </w:r>
    <w:r w:rsidR="00363463">
      <w:instrText xml:space="preserve"> NUMPAGES </w:instrText>
    </w:r>
    <w:r w:rsidR="00363463">
      <w:fldChar w:fldCharType="separate"/>
    </w:r>
    <w:r w:rsidR="00363463">
      <w:rPr>
        <w:noProof/>
      </w:rPr>
      <w:instrText>10</w:instrText>
    </w:r>
    <w:r w:rsidR="00363463">
      <w:rPr>
        <w:noProof/>
      </w:rPr>
      <w:fldChar w:fldCharType="end"/>
    </w:r>
    <w:r>
      <w:instrText xml:space="preserve"> - 2 </w:instrText>
    </w:r>
    <w:r>
      <w:fldChar w:fldCharType="separate"/>
    </w:r>
    <w:r w:rsidR="00363463">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B04E" w14:textId="77777777" w:rsidR="00FA25D2" w:rsidRDefault="00FA25D2" w:rsidP="00F53370">
      <w:pPr>
        <w:spacing w:line="240" w:lineRule="auto"/>
      </w:pPr>
      <w:r>
        <w:separator/>
      </w:r>
    </w:p>
  </w:footnote>
  <w:footnote w:type="continuationSeparator" w:id="0">
    <w:p w14:paraId="48AEF59F" w14:textId="77777777" w:rsidR="00FA25D2" w:rsidRDefault="00FA25D2" w:rsidP="00F53370">
      <w:pPr>
        <w:spacing w:line="240" w:lineRule="auto"/>
      </w:pPr>
      <w:r>
        <w:continuationSeparator/>
      </w:r>
    </w:p>
  </w:footnote>
  <w:footnote w:id="1">
    <w:p w14:paraId="11EDF4E9" w14:textId="033B3082" w:rsidR="00101669" w:rsidRPr="00BC50E6" w:rsidRDefault="00101669">
      <w:pPr>
        <w:pStyle w:val="FootnoteText"/>
      </w:pPr>
      <w:r>
        <w:rPr>
          <w:rStyle w:val="FootnoteReference"/>
        </w:rPr>
        <w:footnoteRef/>
      </w:r>
      <w:r>
        <w:tab/>
        <w:t>Konventionen om rättigheter för personer med funktionsnedsättning har 192 ratificeringar/anslutningar och det fakultativa protokollet har 107 ratificeringar/anslutningar.</w:t>
      </w:r>
    </w:p>
  </w:footnote>
  <w:footnote w:id="2">
    <w:p w14:paraId="340718AF" w14:textId="77777777" w:rsidR="00101669" w:rsidRDefault="00101669" w:rsidP="00101669">
      <w:pPr>
        <w:pStyle w:val="FootnoteText"/>
      </w:pPr>
      <w:r>
        <w:rPr>
          <w:rStyle w:val="FootnoteReference"/>
        </w:rPr>
        <w:footnoteRef/>
      </w:r>
      <w:r>
        <w:tab/>
        <w:t xml:space="preserve">EU:s </w:t>
      </w:r>
      <w:proofErr w:type="spellStart"/>
      <w:r>
        <w:t>handikappstrategi</w:t>
      </w:r>
      <w:proofErr w:type="spellEnd"/>
      <w:r>
        <w:t xml:space="preserve"> 2010–2020.</w:t>
      </w:r>
    </w:p>
  </w:footnote>
  <w:footnote w:id="3">
    <w:p w14:paraId="0F4AC9FE" w14:textId="77777777" w:rsidR="00101669" w:rsidRDefault="00101669" w:rsidP="00101669">
      <w:pPr>
        <w:pStyle w:val="FootnoteText"/>
      </w:pPr>
      <w:r>
        <w:rPr>
          <w:rStyle w:val="FootnoteReference"/>
        </w:rPr>
        <w:footnoteRef/>
      </w:r>
      <w:r>
        <w:tab/>
        <w:t>De europeiska struktur- och investeringsfonderna (</w:t>
      </w:r>
      <w:proofErr w:type="spellStart"/>
      <w:r>
        <w:t>Eruf</w:t>
      </w:r>
      <w:proofErr w:type="spellEnd"/>
      <w:r>
        <w:t xml:space="preserve"> och ESF).</w:t>
      </w:r>
    </w:p>
  </w:footnote>
  <w:footnote w:id="4">
    <w:p w14:paraId="4333D5A3" w14:textId="77777777" w:rsidR="00101669" w:rsidRDefault="00101669" w:rsidP="00101669">
      <w:pPr>
        <w:pStyle w:val="FootnoteText"/>
      </w:pPr>
      <w:r>
        <w:rPr>
          <w:rStyle w:val="FootnoteReference"/>
        </w:rPr>
        <w:footnoteRef/>
      </w:r>
      <w:r>
        <w:tab/>
      </w:r>
      <w:hyperlink w:anchor="cite_note-3" w:history="1">
        <w:r>
          <w:rPr>
            <w:rStyle w:val="Hyperlink"/>
          </w:rPr>
          <w:t>https://sv.wikipedia.org/wiki/Internationella_handikapp%C3%A5ret</w:t>
        </w:r>
      </w:hyperlink>
      <w:r>
        <w:t>.</w:t>
      </w:r>
    </w:p>
  </w:footnote>
  <w:footnote w:id="5">
    <w:p w14:paraId="3697A92E" w14:textId="77777777" w:rsidR="00101669" w:rsidRDefault="00101669" w:rsidP="00101669">
      <w:pPr>
        <w:pStyle w:val="FootnoteText"/>
      </w:pPr>
      <w:r>
        <w:rPr>
          <w:rStyle w:val="FootnoteReference"/>
        </w:rPr>
        <w:footnoteRef/>
      </w:r>
      <w:r>
        <w:tab/>
        <w:t>Dessa tjänster är ofta ytterst viktiga, särskilt i länder där de offentliga systemen för omsorg och stöd är otillräckliga.</w:t>
      </w:r>
    </w:p>
  </w:footnote>
  <w:footnote w:id="6">
    <w:p w14:paraId="734210D1" w14:textId="77777777" w:rsidR="00101669" w:rsidRDefault="00101669" w:rsidP="00101669">
      <w:pPr>
        <w:pStyle w:val="FootnoteText"/>
      </w:pPr>
      <w:r>
        <w:rPr>
          <w:rStyle w:val="FootnoteReference"/>
        </w:rPr>
        <w:footnoteRef/>
      </w:r>
      <w:r>
        <w:tab/>
        <w:t xml:space="preserve">Programmet </w:t>
      </w:r>
      <w:proofErr w:type="spellStart"/>
      <w:r>
        <w:t>Enabling</w:t>
      </w:r>
      <w:proofErr w:type="spellEnd"/>
      <w:r>
        <w:t xml:space="preserve"> </w:t>
      </w:r>
      <w:proofErr w:type="spellStart"/>
      <w:r>
        <w:t>Good</w:t>
      </w:r>
      <w:proofErr w:type="spellEnd"/>
      <w:r>
        <w:t xml:space="preserve"> Lives ger personer med funktionsnedsättning möjlighet att förvalta sina egna medel för stödtjänster, vilket ökar deras självständighet.</w:t>
      </w:r>
    </w:p>
  </w:footnote>
  <w:footnote w:id="7">
    <w:p w14:paraId="488C0A3A" w14:textId="77777777" w:rsidR="00101669" w:rsidRDefault="00101669" w:rsidP="00101669">
      <w:pPr>
        <w:pStyle w:val="FootnoteText"/>
      </w:pPr>
      <w:r>
        <w:rPr>
          <w:rStyle w:val="FootnoteReference"/>
        </w:rPr>
        <w:footnoteRef/>
      </w:r>
      <w:r>
        <w:tab/>
        <w:t>År 2020 offentliggjordes lagen om allmän tillgänglighet, som omfattar en handlingsplan för att göra alla offentliga platser, transporter och tjänster fullt tillgängliga för alla senast 2030.</w:t>
      </w:r>
      <w:r>
        <w:rPr>
          <w:color w:val="000000"/>
        </w:rPr>
        <w:t xml:space="preserve"> Genom lagen inrättades också en kommitté för att övervaka tillgängligheten och förbättra den offentliga infrastrukturen så att den tillgodoser behoven hos personer med fysiska och sensoriska funktionsnedsättningar.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252CAFAF" w:rsidR="00574C9B" w:rsidRDefault="00363463">
    <w:pPr>
      <w:pStyle w:val="Header"/>
    </w:pPr>
    <w: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7DEE1A75" w:rsidR="00574C9B" w:rsidRDefault="00096A0E">
    <w:pPr>
      <w:pStyle w:val="Header"/>
    </w:pPr>
    <w:r>
      <w:rPr>
        <w:noProof/>
      </w:rPr>
      <w:drawing>
        <wp:anchor distT="0" distB="0" distL="114300" distR="114300" simplePos="0" relativeHeight="251658240" behindDoc="0" locked="0" layoutInCell="1" allowOverlap="1" wp14:anchorId="32A48528" wp14:editId="3E22A530">
          <wp:simplePos x="898497" y="453224"/>
          <wp:positionH relativeFrom="page">
            <wp:align>center</wp:align>
          </wp:positionH>
          <wp:positionV relativeFrom="page">
            <wp:posOffset>288290</wp:posOffset>
          </wp:positionV>
          <wp:extent cx="6944360" cy="3343910"/>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rsidR="00363463">
      <w:pict w14:anchorId="0292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48000;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007EBCA1" w:rsidR="00574C9B" w:rsidRDefault="00363463">
    <w:pPr>
      <w:pStyle w:val="Header"/>
    </w:pPr>
    <w: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FEF32E3" w:rsidR="00574C9B" w:rsidRDefault="00363463">
    <w:pPr>
      <w:pStyle w:val="Header"/>
    </w:pPr>
    <w: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308D261F" w:rsidR="00574C9B" w:rsidRDefault="00363463">
    <w:pPr>
      <w:pStyle w:val="Header"/>
    </w:pPr>
    <w: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FB0415">
      <w:rPr>
        <w:noProof/>
      </w:rPr>
      <w:drawing>
        <wp:anchor distT="0" distB="0" distL="114300" distR="114300" simplePos="0" relativeHeight="251659264"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56798CB4" w:rsidR="00574C9B" w:rsidRDefault="00363463">
    <w:pPr>
      <w:pStyle w:val="Header"/>
    </w:pPr>
    <w: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AD5" w14:textId="60B66FCE" w:rsidR="004871B8" w:rsidRDefault="00363463">
    <w:pPr>
      <w:pStyle w:val="Header"/>
    </w:pPr>
    <w: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43FA7B78" w:rsidR="00FA08F8" w:rsidRDefault="00363463">
    <w:pPr>
      <w:pStyle w:val="Header"/>
    </w:pPr>
    <w: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F91" w14:textId="4DD3A706" w:rsidR="004871B8" w:rsidRDefault="00363463">
    <w:pPr>
      <w:pStyle w:val="Header"/>
    </w:pPr>
    <w: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728FE2C"/>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i w:val="0"/>
        <w:iCs/>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4430E09"/>
    <w:multiLevelType w:val="hybridMultilevel"/>
    <w:tmpl w:val="07688E58"/>
    <w:lvl w:ilvl="0" w:tplc="B89CAA70">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2A001E7"/>
    <w:multiLevelType w:val="hybridMultilevel"/>
    <w:tmpl w:val="22903092"/>
    <w:lvl w:ilvl="0" w:tplc="CF8848BE">
      <w:numFmt w:val="bullet"/>
      <w:lvlText w:val="-"/>
      <w:lvlJc w:val="left"/>
      <w:pPr>
        <w:ind w:left="927" w:hanging="360"/>
      </w:pPr>
      <w:rPr>
        <w:rFonts w:ascii="Times New Roman" w:eastAsia="Arial" w:hAnsi="Times New Roman" w:cs="Times New Roman"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15:restartNumberingAfterBreak="0">
    <w:nsid w:val="7F4C6269"/>
    <w:multiLevelType w:val="hybridMultilevel"/>
    <w:tmpl w:val="27D45DEA"/>
    <w:lvl w:ilvl="0" w:tplc="B394C74C">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03107"/>
    <w:rsid w:val="00020389"/>
    <w:rsid w:val="000431D7"/>
    <w:rsid w:val="00053D00"/>
    <w:rsid w:val="00096A0E"/>
    <w:rsid w:val="000A0F3B"/>
    <w:rsid w:val="000C0473"/>
    <w:rsid w:val="00101669"/>
    <w:rsid w:val="00130C4A"/>
    <w:rsid w:val="00184775"/>
    <w:rsid w:val="00185E99"/>
    <w:rsid w:val="0019231D"/>
    <w:rsid w:val="001955B6"/>
    <w:rsid w:val="001D61AC"/>
    <w:rsid w:val="001E15AA"/>
    <w:rsid w:val="001E3FA1"/>
    <w:rsid w:val="00200E87"/>
    <w:rsid w:val="00206D14"/>
    <w:rsid w:val="00214BDC"/>
    <w:rsid w:val="00215E81"/>
    <w:rsid w:val="0024727F"/>
    <w:rsid w:val="002B6A7B"/>
    <w:rsid w:val="002F3A80"/>
    <w:rsid w:val="003353D7"/>
    <w:rsid w:val="00355813"/>
    <w:rsid w:val="00360204"/>
    <w:rsid w:val="00363463"/>
    <w:rsid w:val="003659F9"/>
    <w:rsid w:val="00401DE5"/>
    <w:rsid w:val="00461CAF"/>
    <w:rsid w:val="00470BE9"/>
    <w:rsid w:val="004871B8"/>
    <w:rsid w:val="00574C9B"/>
    <w:rsid w:val="0058411F"/>
    <w:rsid w:val="005961A4"/>
    <w:rsid w:val="005B55E2"/>
    <w:rsid w:val="005C2475"/>
    <w:rsid w:val="005E2EF7"/>
    <w:rsid w:val="006125A1"/>
    <w:rsid w:val="00614FA9"/>
    <w:rsid w:val="00653E7D"/>
    <w:rsid w:val="0065601D"/>
    <w:rsid w:val="00662207"/>
    <w:rsid w:val="00667F09"/>
    <w:rsid w:val="00685673"/>
    <w:rsid w:val="006868CB"/>
    <w:rsid w:val="0068740A"/>
    <w:rsid w:val="006A79E7"/>
    <w:rsid w:val="006B57A6"/>
    <w:rsid w:val="006D29B5"/>
    <w:rsid w:val="006D53A6"/>
    <w:rsid w:val="006F6E6C"/>
    <w:rsid w:val="007030C4"/>
    <w:rsid w:val="00766ACB"/>
    <w:rsid w:val="00787837"/>
    <w:rsid w:val="00787ABB"/>
    <w:rsid w:val="007B6C64"/>
    <w:rsid w:val="007E1FF3"/>
    <w:rsid w:val="00822952"/>
    <w:rsid w:val="00836505"/>
    <w:rsid w:val="00844B87"/>
    <w:rsid w:val="0089251B"/>
    <w:rsid w:val="008A6DD4"/>
    <w:rsid w:val="008F74D7"/>
    <w:rsid w:val="00904C42"/>
    <w:rsid w:val="0091458D"/>
    <w:rsid w:val="00914683"/>
    <w:rsid w:val="00924C05"/>
    <w:rsid w:val="00937CF2"/>
    <w:rsid w:val="009451D6"/>
    <w:rsid w:val="009506A6"/>
    <w:rsid w:val="00957DE2"/>
    <w:rsid w:val="00976645"/>
    <w:rsid w:val="00976F77"/>
    <w:rsid w:val="0098228C"/>
    <w:rsid w:val="009A734F"/>
    <w:rsid w:val="009C37A0"/>
    <w:rsid w:val="009E2100"/>
    <w:rsid w:val="00A310E1"/>
    <w:rsid w:val="00A3397C"/>
    <w:rsid w:val="00A36AB0"/>
    <w:rsid w:val="00A45D54"/>
    <w:rsid w:val="00AB37A3"/>
    <w:rsid w:val="00AC5114"/>
    <w:rsid w:val="00AE4394"/>
    <w:rsid w:val="00B25683"/>
    <w:rsid w:val="00B51901"/>
    <w:rsid w:val="00BB0A75"/>
    <w:rsid w:val="00BC4FD4"/>
    <w:rsid w:val="00BC50E6"/>
    <w:rsid w:val="00BD50F6"/>
    <w:rsid w:val="00C0056A"/>
    <w:rsid w:val="00C073E1"/>
    <w:rsid w:val="00C25647"/>
    <w:rsid w:val="00C5137B"/>
    <w:rsid w:val="00C66AEA"/>
    <w:rsid w:val="00C9040A"/>
    <w:rsid w:val="00C91E4D"/>
    <w:rsid w:val="00CB110A"/>
    <w:rsid w:val="00CB7CD0"/>
    <w:rsid w:val="00D039AF"/>
    <w:rsid w:val="00D13128"/>
    <w:rsid w:val="00D20B84"/>
    <w:rsid w:val="00D95232"/>
    <w:rsid w:val="00DB7F50"/>
    <w:rsid w:val="00DD0587"/>
    <w:rsid w:val="00DE30C7"/>
    <w:rsid w:val="00DF400F"/>
    <w:rsid w:val="00E15BF4"/>
    <w:rsid w:val="00E2376B"/>
    <w:rsid w:val="00E2441D"/>
    <w:rsid w:val="00E26935"/>
    <w:rsid w:val="00E27707"/>
    <w:rsid w:val="00E333C8"/>
    <w:rsid w:val="00E47484"/>
    <w:rsid w:val="00E52B04"/>
    <w:rsid w:val="00E661B7"/>
    <w:rsid w:val="00E90A9D"/>
    <w:rsid w:val="00ED0759"/>
    <w:rsid w:val="00F0454A"/>
    <w:rsid w:val="00F2069F"/>
    <w:rsid w:val="00F53370"/>
    <w:rsid w:val="00F90BE2"/>
    <w:rsid w:val="00FA25D2"/>
    <w:rsid w:val="00FA305D"/>
    <w:rsid w:val="00FB0415"/>
    <w:rsid w:val="00FB1D7A"/>
    <w:rsid w:val="00FC0CEA"/>
    <w:rsid w:val="00FE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F46F6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uiPriority w:val="99"/>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uiPriority w:val="99"/>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iPriority w:val="99"/>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uiPriority w:val="34"/>
    <w:qFormat/>
    <w:rsid w:val="00101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A6WAAD5KZT2Q-604569563-16666</_dlc_DocId>
    <_dlc_DocIdUrl xmlns="1a33af13-4045-4f88-9d7b-618e30f79918">
      <Url>http://dm/eesc/2025/_layouts/15/DocIdRedir.aspx?ID=A6WAAD5KZT2Q-604569563-16666</Url>
      <Description>A6WAAD5KZT2Q-604569563-16666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RI</TermName>
          <TermId xmlns="http://schemas.microsoft.com/office/infopath/2007/PartnerControls">0e66e8df-1601-4fe1-947b-eb539760261a</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2025-10-29T12:00:00+00:00</ProductionDate>
    <DocumentNumber xmlns="be3ca9a7-9286-4008-99ec-aebc20da9dc2">642</DocumentNumber>
    <FicheYear xmlns="1a33af13-4045-4f88-9d7b-618e30f79918" xsi:nil="true"/>
    <DossierNumber xmlns="1a33af13-4045-4f88-9d7b-618e30f79918">602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246</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13</Value>
      <Value>12</Value>
      <Value>8</Value>
      <Value>5</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BARBIERI</Rapporteur>
    <DocumentYear xmlns="1a33af13-4045-4f88-9d7b-618e30f79918">2025</DocumentYear>
    <FicheNumber xmlns="1a33af13-4045-4f88-9d7b-618e30f79918">295964</FicheNumber>
    <OriginalSender xmlns="1a33af13-4045-4f88-9d7b-618e30f79918">
      <UserInfo>
        <DisplayName>Pallvid Maria</DisplayName>
        <AccountId>1532</AccountId>
        <AccountType/>
      </UserInfo>
    </OriginalSender>
    <DocumentPart xmlns="1a33af13-4045-4f88-9d7b-618e30f79918">0</DocumentPart>
    <AdoptionDate xmlns="1a33af13-4045-4f88-9d7b-618e30f79918">2025-10-23T12:00:00+00:00</AdoptionDate>
    <RequestingService xmlns="1a33af13-4045-4f88-9d7b-618e30f79918">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1a33af13-4045-4f88-9d7b-618e30f79918">1</DocumentVersion>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34A5F-A01C-40DE-B3BC-356D1699400B}">
  <ds:schemaRefs>
    <ds:schemaRef ds:uri="http://schemas.openxmlformats.org/officeDocument/2006/bibliography"/>
  </ds:schemaRefs>
</ds:datastoreItem>
</file>

<file path=customXml/itemProps2.xml><?xml version="1.0" encoding="utf-8"?>
<ds:datastoreItem xmlns:ds="http://schemas.openxmlformats.org/officeDocument/2006/customXml" ds:itemID="{9ADC2426-B49C-41F3-B8CD-9A19E8A7C14A}">
  <ds:schemaRefs>
    <ds:schemaRef ds:uri="http://schemas.microsoft.com/office/2006/metadata/properties"/>
    <ds:schemaRef ds:uri="http://schemas.microsoft.com/office/infopath/2007/PartnerControls"/>
    <ds:schemaRef ds:uri="7f5f1cb4-0383-4061-857a-33cec58cd7c1"/>
    <ds:schemaRef ds:uri="http://schemas.microsoft.com/sharepoint/v3/fields"/>
    <ds:schemaRef ds:uri="c9ea33bc-6b33-4207-b3ed-ef4abb1c6b6d"/>
  </ds:schemaRefs>
</ds:datastoreItem>
</file>

<file path=customXml/itemProps3.xml><?xml version="1.0" encoding="utf-8"?>
<ds:datastoreItem xmlns:ds="http://schemas.openxmlformats.org/officeDocument/2006/customXml" ds:itemID="{2E3904A9-C70B-4A53-9DD7-B48DF3A5458D}"/>
</file>

<file path=customXml/itemProps4.xml><?xml version="1.0" encoding="utf-8"?>
<ds:datastoreItem xmlns:ds="http://schemas.openxmlformats.org/officeDocument/2006/customXml" ds:itemID="{F8749465-BFAD-442C-B100-1DE65236AC8A}">
  <ds:schemaRefs>
    <ds:schemaRef ds:uri="http://schemas.microsoft.com/sharepoint/events"/>
  </ds:schemaRefs>
</ds:datastoreItem>
</file>

<file path=customXml/itemProps5.xml><?xml version="1.0" encoding="utf-8"?>
<ds:datastoreItem xmlns:ds="http://schemas.openxmlformats.org/officeDocument/2006/customXml" ds:itemID="{9667EE92-B602-40AC-9704-782F2DA355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3492</Words>
  <Characters>19909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EESC RI - Model</vt:lpstr>
    </vt:vector>
  </TitlesOfParts>
  <Manager/>
  <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 och funktionsnedsättning</dc:title>
  <dc:creator/>
  <cp:keywords>COR-EESC-2024-01326-27-01-ADMIN-TRA-EN</cp:keywords>
  <dc:description>Rapporteur: -  Original language: - EN Date of document: - 17/04/2024 Date of meeting: -  External documents: -  Administrator responsible: -  SUCIU Serban</dc:description>
  <cp:lastModifiedBy/>
  <cp:revision>10</cp:revision>
  <dcterms:created xsi:type="dcterms:W3CDTF">2025-10-28T06:57:00Z</dcterms:created>
  <dcterms:modified xsi:type="dcterms:W3CDTF">2025-10-29T15:09:00Z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28/10/2025, 12/04/2024, 17/05/2022</vt:lpwstr>
  </property>
  <property fmtid="{D5CDD505-2E9C-101B-9397-08002B2CF9AE}" pid="4" name="Pref_Time">
    <vt:lpwstr>07:48:59, 12:04:59, 14:58:36</vt:lpwstr>
  </property>
  <property fmtid="{D5CDD505-2E9C-101B-9397-08002B2CF9AE}" pid="5" name="Pref_User">
    <vt:lpwstr>amett, enied, enied</vt:lpwstr>
  </property>
  <property fmtid="{D5CDD505-2E9C-101B-9397-08002B2CF9AE}" pid="6" name="Pref_FileName">
    <vt:lpwstr>EESC-2025-00642-00-01-RI-TRA-EN-CRR.docx, COR-EESC-2024-01326-27-00-ADMIN-ORI.docx, COR-EESC-2022-02592-00-00-ADMIN-ORI.docx</vt:lpwstr>
  </property>
  <property fmtid="{D5CDD505-2E9C-101B-9397-08002B2CF9AE}" pid="7" name="ContentTypeId">
    <vt:lpwstr>0x010100EA97B91038054C99906057A708A1480A006BB3B767F3CF4149BF520211D4A86BC0</vt:lpwstr>
  </property>
  <property fmtid="{D5CDD505-2E9C-101B-9397-08002B2CF9AE}" pid="8" name="_dlc_DocIdItemGuid">
    <vt:lpwstr>e73c48a3-d5ef-4ed5-a858-c5ce2908a892</vt:lpwstr>
  </property>
  <property fmtid="{D5CDD505-2E9C-101B-9397-08002B2CF9AE}" pid="9" name="AvailableTranslations">
    <vt:lpwstr>39;#LV|46f7e311-5d9f-4663-b433-18aeccb7ace7;#37;#HU|6b229040-c589-4408-b4c1-4285663d20a8;#33;#PT|50ccc04a-eadd-42ae-a0cb-acaf45f812ba;#24;#PL|1e03da61-4678-4e07-b136-b5024ca9197b;#30;#LT|a7ff5ce7-6123-4f68-865a-a57c31810414;#31;#SL|98a412ae-eb01-49e9-ae3d-585a81724cfc;#50;#HR|2f555653-ed1a-4fe6-8362-9082d95989e5;#43;#GA|762d2456-c427-4ecb-b312-af3dad8e258c;#36;#RO|feb747a2-64cd-4299-af12-4833ddc30497;#42;#EL|6d4f4d51-af9b-4650-94b4-4276bee85c91;#12;#FR|d2afafd3-4c81-4f60-8f52-ee33f2f54ff3;#32;#MT|7df99101-6854-4a26-b53a-b88c0da02c26;#5;#EN|f2175f21-25d7-44a3-96da-d6a61b075e1b;#47;#BG|1a1b3951-7821-4e6a-85f5-5673fc08bd2c;#29;#CS|72f9705b-0217-4fd3-bea2-cbc7ed80e26e;#35;#FI|87606a43-d45f-42d6-b8c9-e1a3457db5b7;#16;#ES|e7a6b05b-ae16-40c8-add9-68b64b03aeba;#27;#NL|55c6556c-b4f4-441d-9acf-c498d4f838bd;#34;#IT|0774613c-01ed-4e5d-a25d-11d2388de825;#40;#DA|5d49c027-8956-412b-aa16-e85a0f96ad0e;#28;#SV|c2ed69e7-a339-43d7-8f22-d93680a92aa0;#46;#SK|46d9fce0-ef79-4f71-b89b-cd6aa82426b8;#23;#DE|f6b31e5a-26fa-4935-b661-318e46daf27e;#41;#ET|ff6c3f4c-b02c-4c3c-ab07-2c37995a7a0a</vt:lpwstr>
  </property>
  <property fmtid="{D5CDD505-2E9C-101B-9397-08002B2CF9AE}" pid="10" name="DocumentType_0">
    <vt:lpwstr>RI|0e66e8df-1601-4fe1-947b-eb539760261a</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642</vt:i4>
  </property>
  <property fmtid="{D5CDD505-2E9C-101B-9397-08002B2CF9AE}" pid="14" name="FicheYear">
    <vt:i4>2024</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2;#REX|6820eaf5-116e-436b-ad9c-156f8a94c2a1</vt:lpwstr>
  </property>
  <property fmtid="{D5CDD505-2E9C-101B-9397-08002B2CF9AE}" pid="19" name="DocumentSource">
    <vt:lpwstr>1;#EESC|422833ec-8d7e-4e65-8e4e-8bed07ffb729</vt:lpwstr>
  </property>
  <property fmtid="{D5CDD505-2E9C-101B-9397-08002B2CF9AE}" pid="20" name="DocumentType">
    <vt:lpwstr>246;#RI|0e66e8df-1601-4fe1-947b-eb539760261a</vt:lpwstr>
  </property>
  <property fmtid="{D5CDD505-2E9C-101B-9397-08002B2CF9AE}" pid="21" name="RequestingService">
    <vt:lpwstr>Relations extérieures</vt:lpwstr>
  </property>
  <property fmtid="{D5CDD505-2E9C-101B-9397-08002B2CF9AE}" pid="22" name="Confidentiality">
    <vt:lpwstr>15;#Unrestricted|826e22d7-d029-4ec0-a450-0c28ff673572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LV|46f7e311-5d9f-4663-b433-18aeccb7ace7;HU|6b229040-c589-4408-b4c1-4285663d20a8;PT|50ccc04a-eadd-42ae-a0cb-acaf45f812ba;PL|1e03da61-4678-4e07-b136-b5024ca9197b;SL|98a412ae-eb01-49e9-ae3d-585a81724cfc;HR|2f555653-ed1a-4fe6-8362-9082d95989e5;GA|762d2456-c427-4ecb-b312-af3dad8e258c;RO|feb747a2-64cd-4299-af12-4833ddc30497;FR|d2afafd3-4c81-4f60-8f52-ee33f2f54ff3;MT|7df99101-6854-4a26-b53a-b88c0da02c26;EN|f2175f21-25d7-44a3-96da-d6a61b075e1b;BG|1a1b3951-7821-4e6a-85f5-5673fc08bd2c;CS|72f9705b-0217-4fd3-bea2-cbc7ed80e26e;FI|87606a43-d45f-42d6-b8c9-e1a3457db5b7;ES|e7a6b05b-ae16-40c8-add9-68b64b03aeba;NL|55c6556c-b4f4-441d-9acf-c498d4f838bd;IT|0774613c-01ed-4e5d-a25d-11d2388de825;DA|5d49c027-8956-412b-aa16-e85a0f96ad0e;SK|46d9fce0-ef79-4f71-b89b-cd6aa82426b8;DE|f6b31e5a-26fa-4935-b661-318e46daf27e</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246;#RI|0e66e8df-1601-4fe1-947b-eb539760261a;#50;#HR|2f555653-ed1a-4fe6-8362-9082d95989e5;#47;#BG|1a1b3951-7821-4e6a-85f5-5673fc08bd2c;#46;#SK|46d9fce0-ef79-4f71-b89b-cd6aa82426b8;#43;#GA|762d2456-c427-4ecb-b312-af3dad8e258c;#40;#DA|5d49c027-8956-412b-aa16-e85a0f96ad0e;#39;#LV|46f7e311-5d9f-4663-b433-18aeccb7ace7;#37;#HU|6b229040-c589-4408-b4c1-4285663d20a8;#36;#RO|feb747a2-64cd-4299-af12-4833ddc30497;#35;#FI|87606a43-d45f-42d6-b8c9-e1a3457db5b7;#34;#IT|0774613c-01ed-4e5d-a25d-11d2388de825;#33;#PT|50ccc04a-eadd-42ae-a0cb-acaf45f812ba;#32;#MT|7df99101-6854-4a26-b53a-b88c0da02c26;#31;#SL|98a412ae-eb01-49e9-ae3d-585a81724cfc;#29;#CS|72f9705b-0217-4fd3-bea2-cbc7ed80e26e;#27;#NL|55c6556c-b4f4-441d-9acf-c498d4f838bd;#24;#PL|1e03da61-4678-4e07-b136-b5024ca9197b;#23;#DE|f6b31e5a-26fa-4935-b661-318e46daf27e;#16;#ES|e7a6b05b-ae16-40c8-add9-68b64b03aeba;#15;#Unrestricted|826e22d7-d029-4ec0-a450-0c28ff673572;#13;#TRA|150d2a88-1431-44e6-a8ca-0bb753ab8672;#12;#FR|d2afafd3-4c81-4f60-8f52-ee33f2f54ff3;#8;#Final|ea5e6674-7b27-4bac-b091-73adbb394efe;#5;#EN|f2175f21-25d7-44a3-96da-d6a61b075e1b;#4;#EN|f2175f21-25d7-44a3-96da-d6a61b075e1b;#2;#REX|6820eaf5-116e-436b-ad9c-156f8a94c2a1;#1;#EESC|422833ec-8d7e-4e65-8e4e-8bed07ffb729</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295964</vt:i4>
  </property>
  <property fmtid="{D5CDD505-2E9C-101B-9397-08002B2CF9AE}" pid="35" name="DocumentLanguage">
    <vt:lpwstr>28;#SV|c2ed69e7-a339-43d7-8f22-d93680a92aa0</vt:lpwstr>
  </property>
  <property fmtid="{D5CDD505-2E9C-101B-9397-08002B2CF9AE}" pid="36" name="_docset_NoMedatataSyncRequired">
    <vt:lpwstr>False</vt:lpwstr>
  </property>
  <property fmtid="{D5CDD505-2E9C-101B-9397-08002B2CF9AE}" pid="37" name="DossierNumber">
    <vt:i4>602</vt:i4>
  </property>
  <property fmtid="{D5CDD505-2E9C-101B-9397-08002B2CF9AE}" pid="38" name="DocumentLanguage_0">
    <vt:lpwstr>EN|f2175f21-25d7-44a3-96da-d6a61b075e1b</vt:lpwstr>
  </property>
  <property fmtid="{D5CDD505-2E9C-101B-9397-08002B2CF9AE}" pid="40" name="Rapporteur">
    <vt:lpwstr>BARBIERI</vt:lpwstr>
  </property>
  <property fmtid="{D5CDD505-2E9C-101B-9397-08002B2CF9AE}" pid="41" name="AdoptionDate">
    <vt:filetime>2025-10-23T12:00:00Z</vt:filetime>
  </property>
</Properties>
</file>