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1F165D" w:rsidR="00574C9B" w:rsidTr="008E4CC5" w14:paraId="4B18B74B" w14:textId="77777777">
        <w:trPr>
          <w:jc w:val="center"/>
        </w:trPr>
        <w:tc>
          <w:tcPr>
            <w:tcW w:w="5000" w:type="pct"/>
            <w:vAlign w:val="center"/>
          </w:tcPr>
          <w:p w:rsidRPr="001F165D" w:rsidR="00574C9B" w:rsidP="006125A1" w:rsidRDefault="00360204" w14:paraId="4B8F14AB" w14:textId="1DC17AD9">
            <w:pPr>
              <w:jc w:val="center"/>
              <w:rPr>
                <w:b/>
                <w:sz w:val="72"/>
                <w:szCs w:val="72"/>
              </w:rPr>
            </w:pPr>
            <w:r>
              <w:rPr>
                <w:b/>
                <w:sz w:val="72"/>
              </w:rPr>
              <w:t>ΕΝΗΜΕΡΩΤΙΚΗ ΕΚΘΕΣΗ</w:t>
            </w:r>
          </w:p>
        </w:tc>
      </w:tr>
      <w:tr w:rsidRPr="001F165D" w:rsidR="00574C9B" w:rsidTr="008E4CC5" w14:paraId="428F80C1" w14:textId="77777777">
        <w:trPr>
          <w:trHeight w:val="567"/>
          <w:jc w:val="center"/>
        </w:trPr>
        <w:tc>
          <w:tcPr>
            <w:tcW w:w="5000" w:type="pct"/>
            <w:vAlign w:val="center"/>
          </w:tcPr>
          <w:p w:rsidRPr="001F165D" w:rsidR="00574C9B" w:rsidP="006125A1" w:rsidRDefault="00574C9B" w14:paraId="0E3C838D" w14:textId="126C60AA">
            <w:pPr>
              <w:jc w:val="center"/>
              <w:rPr>
                <w:sz w:val="24"/>
                <w:szCs w:val="24"/>
              </w:rPr>
            </w:pPr>
            <w:r>
              <w:rPr>
                <w:sz w:val="24"/>
              </w:rPr>
              <w:t>Ευρωπαϊκή Οικονομική και Κοινωνική Επιτροπή</w:t>
            </w:r>
          </w:p>
        </w:tc>
      </w:tr>
      <w:tr w:rsidRPr="001F165D" w:rsidR="00574C9B" w:rsidTr="008E4CC5" w14:paraId="5FCA7EB1" w14:textId="77777777">
        <w:trPr>
          <w:jc w:val="center"/>
        </w:trPr>
        <w:tc>
          <w:tcPr>
            <w:tcW w:w="5000" w:type="pct"/>
            <w:vAlign w:val="center"/>
          </w:tcPr>
          <w:p w:rsidRPr="001F165D" w:rsidR="00574C9B" w:rsidP="006125A1" w:rsidRDefault="00384833" w14:paraId="164B3F5D" w14:textId="3014D980">
            <w:pPr>
              <w:jc w:val="center"/>
              <w:rPr>
                <w:b/>
                <w:sz w:val="44"/>
                <w:szCs w:val="44"/>
              </w:rPr>
            </w:pPr>
            <w:r>
              <w:rPr>
                <w:b/>
                <w:sz w:val="44"/>
              </w:rPr>
              <w:t>Η κατάσταση των οργανώσεων της κοινωνίας των πολιτών στις χώρες του Συνδέσμου Κρατών της Νοτιοανατολικής Ασίας (ASEAN)</w:t>
            </w:r>
          </w:p>
        </w:tc>
      </w:tr>
      <w:tr w:rsidRPr="001F165D" w:rsidR="00574C9B" w:rsidTr="008E4CC5" w14:paraId="0A2CA787" w14:textId="77777777">
        <w:trPr>
          <w:jc w:val="center"/>
        </w:trPr>
        <w:tc>
          <w:tcPr>
            <w:tcW w:w="5000" w:type="pct"/>
            <w:vAlign w:val="center"/>
          </w:tcPr>
          <w:p w:rsidRPr="001F165D" w:rsidR="00574C9B" w:rsidP="006125A1" w:rsidRDefault="005136BF" w14:paraId="766B3712" w14:textId="2E7CC31B">
            <w:pPr>
              <w:overflowPunct w:val="0"/>
              <w:autoSpaceDE w:val="0"/>
              <w:autoSpaceDN w:val="0"/>
              <w:adjustRightInd w:val="0"/>
              <w:jc w:val="center"/>
              <w:textAlignment w:val="baseline"/>
              <w:rPr>
                <w:b/>
                <w:position w:val="24"/>
                <w:sz w:val="24"/>
                <w:szCs w:val="24"/>
              </w:rPr>
            </w:pPr>
            <w:r w:rsidRPr="001F165D">
              <w:rPr>
                <w:position w:val="24"/>
                <w:sz w:val="24"/>
                <w:szCs w:val="24"/>
                <w:lang w:val="en-GB"/>
              </w:rPr>
              <w:t>_____________</w:t>
            </w:r>
          </w:p>
        </w:tc>
      </w:tr>
      <w:tr w:rsidRPr="001F165D" w:rsidR="00574C9B" w:rsidTr="008E4CC5" w14:paraId="651BE820" w14:textId="77777777">
        <w:trPr>
          <w:jc w:val="center"/>
        </w:trPr>
        <w:tc>
          <w:tcPr>
            <w:tcW w:w="5000" w:type="pct"/>
            <w:vAlign w:val="center"/>
          </w:tcPr>
          <w:p w:rsidRPr="001F165D" w:rsidR="00574C9B" w:rsidP="00360204" w:rsidRDefault="007918CC" w14:paraId="6E238E6D" w14:textId="2F4A1380">
            <w:pPr>
              <w:jc w:val="center"/>
              <w:rPr>
                <w:sz w:val="24"/>
                <w:szCs w:val="24"/>
              </w:rPr>
            </w:pPr>
            <w:r>
              <w:t>Η κατάσταση των οργανώσεων της κοινωνίας των πολιτών στις χώρες του Συνδέσμου Κρατών της Νοτιοανατολικής Ασίας (ASEAN)</w:t>
            </w:r>
          </w:p>
        </w:tc>
      </w:tr>
      <w:tr w:rsidRPr="001F165D" w:rsidR="00574C9B" w:rsidTr="008E4CC5" w14:paraId="295584EE" w14:textId="77777777">
        <w:trPr>
          <w:jc w:val="center"/>
        </w:trPr>
        <w:tc>
          <w:tcPr>
            <w:tcW w:w="5000" w:type="pct"/>
            <w:vAlign w:val="center"/>
          </w:tcPr>
          <w:p w:rsidRPr="001F165D" w:rsidR="00574C9B" w:rsidP="006125A1" w:rsidRDefault="00574C9B" w14:paraId="7AA50FA1" w14:textId="77777777">
            <w:pPr>
              <w:jc w:val="center"/>
              <w:rPr>
                <w:sz w:val="24"/>
                <w:szCs w:val="24"/>
                <w:lang w:val="en-GB"/>
              </w:rPr>
            </w:pPr>
          </w:p>
        </w:tc>
      </w:tr>
      <w:tr w:rsidRPr="001F165D" w:rsidR="00574C9B" w:rsidTr="008E4CC5" w14:paraId="41F47321" w14:textId="77777777">
        <w:trPr>
          <w:jc w:val="center"/>
        </w:trPr>
        <w:tc>
          <w:tcPr>
            <w:tcW w:w="5000" w:type="pct"/>
            <w:vAlign w:val="center"/>
          </w:tcPr>
          <w:p w:rsidRPr="001F165D" w:rsidR="00574C9B" w:rsidP="006125A1" w:rsidRDefault="007918CC" w14:paraId="50D97899" w14:textId="308AC2EA">
            <w:pPr>
              <w:jc w:val="center"/>
              <w:rPr>
                <w:b/>
                <w:sz w:val="24"/>
                <w:szCs w:val="24"/>
              </w:rPr>
            </w:pPr>
            <w:r>
              <w:rPr>
                <w:b/>
                <w:sz w:val="24"/>
              </w:rPr>
              <w:t>REX/589</w:t>
            </w:r>
          </w:p>
        </w:tc>
      </w:tr>
      <w:tr w:rsidRPr="001F165D" w:rsidR="00574C9B" w:rsidTr="008E4CC5" w14:paraId="2110FDEB" w14:textId="77777777">
        <w:trPr>
          <w:jc w:val="center"/>
        </w:trPr>
        <w:tc>
          <w:tcPr>
            <w:tcW w:w="5000" w:type="pct"/>
            <w:vAlign w:val="center"/>
          </w:tcPr>
          <w:p w:rsidRPr="001F165D" w:rsidR="00574C9B" w:rsidP="006125A1" w:rsidRDefault="00574C9B" w14:paraId="59F181E4" w14:textId="77777777">
            <w:pPr>
              <w:jc w:val="center"/>
              <w:rPr>
                <w:sz w:val="24"/>
                <w:szCs w:val="24"/>
                <w:lang w:val="en-GB"/>
              </w:rPr>
            </w:pPr>
          </w:p>
        </w:tc>
      </w:tr>
      <w:tr w:rsidRPr="001F165D" w:rsidR="00574C9B" w:rsidTr="008E4CC5" w14:paraId="5DF7EBEA" w14:textId="77777777">
        <w:trPr>
          <w:jc w:val="center"/>
        </w:trPr>
        <w:tc>
          <w:tcPr>
            <w:tcW w:w="5000" w:type="pct"/>
            <w:vAlign w:val="center"/>
          </w:tcPr>
          <w:p w:rsidRPr="001F165D" w:rsidR="00F1723D" w:rsidP="00F1723D" w:rsidRDefault="00F1723D" w14:paraId="6A1138F4" w14:textId="566459AE">
            <w:pPr>
              <w:jc w:val="center"/>
              <w:rPr>
                <w:b/>
                <w:bCs/>
              </w:rPr>
            </w:pPr>
            <w:r>
              <w:t xml:space="preserve">Εισηγήτρια: </w:t>
            </w:r>
            <w:proofErr w:type="spellStart"/>
            <w:r>
              <w:rPr>
                <w:b/>
              </w:rPr>
              <w:t>Erika</w:t>
            </w:r>
            <w:proofErr w:type="spellEnd"/>
            <w:r>
              <w:rPr>
                <w:b/>
              </w:rPr>
              <w:t xml:space="preserve"> KOLLER</w:t>
            </w:r>
          </w:p>
          <w:p w:rsidRPr="001F165D" w:rsidR="00574C9B" w:rsidP="006125A1" w:rsidRDefault="00F1723D" w14:paraId="23E9DE0A" w14:textId="10E098E1">
            <w:pPr>
              <w:jc w:val="center"/>
              <w:rPr>
                <w:sz w:val="24"/>
                <w:szCs w:val="24"/>
              </w:rPr>
            </w:pPr>
            <w:r>
              <w:t xml:space="preserve">Συνεισηγητής: </w:t>
            </w:r>
            <w:proofErr w:type="spellStart"/>
            <w:r>
              <w:rPr>
                <w:b/>
              </w:rPr>
              <w:t>Krzysztof</w:t>
            </w:r>
            <w:proofErr w:type="spellEnd"/>
            <w:r>
              <w:rPr>
                <w:b/>
              </w:rPr>
              <w:t xml:space="preserve"> PATER</w:t>
            </w:r>
          </w:p>
        </w:tc>
      </w:tr>
    </w:tbl>
    <w:p w:rsidRPr="001F165D" w:rsidR="00574C9B" w:rsidP="00574C9B" w:rsidRDefault="00574C9B" w14:paraId="0B225863" w14:textId="77777777">
      <w:r>
        <w:rPr>
          <w:noProof/>
          <w:sz w:val="20"/>
        </w:rPr>
        <mc:AlternateContent>
          <mc:Choice Requires="wps">
            <w:drawing>
              <wp:anchor distT="0" distB="0" distL="114300" distR="114300" simplePos="0" relativeHeight="251659264"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EL</w:t>
                      </w:r>
                    </w:p>
                  </w:txbxContent>
                </v:textbox>
                <w10:wrap anchorx="margin" anchory="page"/>
              </v:shape>
            </w:pict>
          </mc:Fallback>
        </mc:AlternateContent>
      </w:r>
    </w:p>
    <w:p w:rsidRPr="001F165D" w:rsidR="00574C9B" w:rsidP="00574C9B" w:rsidRDefault="00574C9B" w14:paraId="3FA5826A" w14:textId="77777777">
      <w:pPr>
        <w:rPr>
          <w:lang w:val="en-GB"/>
        </w:rPr>
      </w:pPr>
    </w:p>
    <w:p w:rsidRPr="001F165D" w:rsidR="00574C9B" w:rsidP="00574C9B" w:rsidRDefault="00574C9B" w14:paraId="4B88FC0A" w14:textId="77777777">
      <w:pPr>
        <w:rPr>
          <w:lang w:val="en-GB"/>
        </w:rPr>
        <w:sectPr w:rsidRPr="001F165D" w:rsidR="00574C9B" w:rsidSect="00296BCE">
          <w:headerReference w:type="even" r:id="rId10"/>
          <w:headerReference w:type="default" r:id="rId11"/>
          <w:headerReference w:type="first" r:id="rId12"/>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1F165D" w:rsidR="00C5137B" w:rsidTr="00E15BF4" w14:paraId="6755593A" w14:textId="77777777">
        <w:tc>
          <w:tcPr>
            <w:tcW w:w="3085" w:type="dxa"/>
          </w:tcPr>
          <w:p w:rsidRPr="001F165D" w:rsidR="00C5137B" w:rsidP="0058411F" w:rsidRDefault="00C5137B" w14:paraId="5F91A05F" w14:textId="0D333D6B">
            <w:pPr>
              <w:autoSpaceDE w:val="0"/>
              <w:autoSpaceDN w:val="0"/>
              <w:jc w:val="left"/>
              <w:rPr>
                <w:szCs w:val="20"/>
              </w:rPr>
            </w:pPr>
            <w:r>
              <w:lastRenderedPageBreak/>
              <w:t>Σύμβουλος</w:t>
            </w:r>
          </w:p>
        </w:tc>
        <w:tc>
          <w:tcPr>
            <w:tcW w:w="6204" w:type="dxa"/>
            <w:vAlign w:val="bottom"/>
          </w:tcPr>
          <w:p w:rsidRPr="001F165D" w:rsidR="00C5137B" w:rsidP="0058411F" w:rsidRDefault="00306381" w14:paraId="70C24170" w14:textId="68ABC4A9">
            <w:pPr>
              <w:autoSpaceDE w:val="0"/>
              <w:autoSpaceDN w:val="0"/>
              <w:jc w:val="left"/>
            </w:pPr>
            <w:proofErr w:type="spellStart"/>
            <w:r>
              <w:t>Claudia</w:t>
            </w:r>
            <w:proofErr w:type="spellEnd"/>
            <w:r>
              <w:t xml:space="preserve"> </w:t>
            </w:r>
            <w:proofErr w:type="spellStart"/>
            <w:r>
              <w:t>Lozano</w:t>
            </w:r>
            <w:proofErr w:type="spellEnd"/>
            <w:r>
              <w:t xml:space="preserve"> </w:t>
            </w:r>
            <w:proofErr w:type="spellStart"/>
            <w:r>
              <w:t>Rodriguez</w:t>
            </w:r>
            <w:proofErr w:type="spellEnd"/>
            <w:r>
              <w:t xml:space="preserve"> </w:t>
            </w:r>
          </w:p>
        </w:tc>
      </w:tr>
      <w:tr w:rsidRPr="001F165D" w:rsidR="00C5137B" w:rsidTr="00E15BF4" w14:paraId="0F2D8E06" w14:textId="77777777">
        <w:tc>
          <w:tcPr>
            <w:tcW w:w="3085" w:type="dxa"/>
          </w:tcPr>
          <w:p w:rsidRPr="001F165D" w:rsidR="00C5137B" w:rsidP="0058411F" w:rsidRDefault="00C5137B" w14:paraId="4CD317AD" w14:textId="77777777">
            <w:pPr>
              <w:autoSpaceDE w:val="0"/>
              <w:autoSpaceDN w:val="0"/>
              <w:jc w:val="left"/>
              <w:rPr>
                <w:szCs w:val="20"/>
                <w:lang w:val="en-GB"/>
              </w:rPr>
            </w:pPr>
          </w:p>
        </w:tc>
        <w:tc>
          <w:tcPr>
            <w:tcW w:w="6204" w:type="dxa"/>
            <w:vAlign w:val="bottom"/>
          </w:tcPr>
          <w:p w:rsidRPr="001F165D" w:rsidR="00C5137B" w:rsidP="0058411F" w:rsidRDefault="00C5137B" w14:paraId="59403491" w14:textId="77777777">
            <w:pPr>
              <w:autoSpaceDE w:val="0"/>
              <w:autoSpaceDN w:val="0"/>
              <w:jc w:val="left"/>
              <w:rPr>
                <w:lang w:val="en-GB"/>
              </w:rPr>
            </w:pPr>
          </w:p>
        </w:tc>
      </w:tr>
      <w:tr w:rsidRPr="001F165D" w:rsidR="00914683" w:rsidTr="00E15BF4" w14:paraId="3E385435" w14:textId="77777777">
        <w:tc>
          <w:tcPr>
            <w:tcW w:w="3085" w:type="dxa"/>
          </w:tcPr>
          <w:p w:rsidRPr="001F165D" w:rsidR="00914683" w:rsidP="0058411F" w:rsidRDefault="00914683" w14:paraId="3054D729" w14:textId="5D5B5FF6">
            <w:pPr>
              <w:autoSpaceDE w:val="0"/>
              <w:autoSpaceDN w:val="0"/>
              <w:jc w:val="left"/>
              <w:rPr>
                <w:szCs w:val="20"/>
              </w:rPr>
            </w:pPr>
            <w:r>
              <w:t>Νομική βάση</w:t>
            </w:r>
          </w:p>
        </w:tc>
        <w:tc>
          <w:tcPr>
            <w:tcW w:w="6204" w:type="dxa"/>
            <w:vAlign w:val="bottom"/>
          </w:tcPr>
          <w:p w:rsidRPr="001F165D" w:rsidR="00914683" w:rsidP="0058411F" w:rsidRDefault="00914683" w14:paraId="41CF067A" w14:textId="0D6FB79C">
            <w:pPr>
              <w:autoSpaceDE w:val="0"/>
              <w:autoSpaceDN w:val="0"/>
              <w:jc w:val="left"/>
            </w:pPr>
            <w:r>
              <w:t>Άρθρο 52 παράγραφος 3 του Εσωτερικού Κανονισμού</w:t>
            </w:r>
          </w:p>
        </w:tc>
      </w:tr>
      <w:tr w:rsidRPr="001F165D" w:rsidR="00AC5114" w:rsidTr="00E15BF4" w14:paraId="0E2099A6" w14:textId="77777777">
        <w:tc>
          <w:tcPr>
            <w:tcW w:w="3085" w:type="dxa"/>
          </w:tcPr>
          <w:p w:rsidRPr="001F165D" w:rsidR="00AC5114" w:rsidP="0058411F" w:rsidRDefault="00AC5114" w14:paraId="0BC68BA5" w14:textId="77777777">
            <w:pPr>
              <w:autoSpaceDE w:val="0"/>
              <w:autoSpaceDN w:val="0"/>
              <w:jc w:val="left"/>
            </w:pPr>
            <w:r>
              <w:t>Αρμόδιο όργανο</w:t>
            </w:r>
          </w:p>
        </w:tc>
        <w:tc>
          <w:tcPr>
            <w:tcW w:w="6204" w:type="dxa"/>
            <w:vAlign w:val="bottom"/>
          </w:tcPr>
          <w:p w:rsidRPr="001F165D" w:rsidR="00AC5114" w:rsidP="0058411F" w:rsidRDefault="00094C5F" w14:paraId="5AE7EA9E" w14:textId="20A48906">
            <w:pPr>
              <w:autoSpaceDE w:val="0"/>
              <w:autoSpaceDN w:val="0"/>
              <w:jc w:val="left"/>
            </w:pPr>
            <w:r>
              <w:t>Τμήμα «Εξωτερικές σχέσεις»</w:t>
            </w:r>
          </w:p>
        </w:tc>
      </w:tr>
      <w:tr w:rsidRPr="001F165D" w:rsidR="00AC5114" w:rsidTr="00E15BF4" w14:paraId="53972E32" w14:textId="77777777">
        <w:tc>
          <w:tcPr>
            <w:tcW w:w="3085" w:type="dxa"/>
          </w:tcPr>
          <w:p w:rsidRPr="001F165D" w:rsidR="00AC5114" w:rsidP="0058411F" w:rsidRDefault="00AC5114" w14:paraId="13B33E83" w14:textId="77777777">
            <w:pPr>
              <w:autoSpaceDE w:val="0"/>
              <w:autoSpaceDN w:val="0"/>
              <w:jc w:val="left"/>
            </w:pPr>
            <w:r>
              <w:t>Έγκριση από το τμήμα</w:t>
            </w:r>
          </w:p>
        </w:tc>
        <w:tc>
          <w:tcPr>
            <w:tcW w:w="6204" w:type="dxa"/>
            <w:vAlign w:val="bottom"/>
          </w:tcPr>
          <w:p w:rsidRPr="001F165D" w:rsidR="00AC5114" w:rsidP="0058411F" w:rsidRDefault="00B73B79" w14:paraId="5E71ECD2" w14:textId="467FD4ED">
            <w:pPr>
              <w:autoSpaceDE w:val="0"/>
              <w:autoSpaceDN w:val="0"/>
              <w:jc w:val="left"/>
            </w:pPr>
            <w:r>
              <w:t>6/5/2025</w:t>
            </w:r>
          </w:p>
        </w:tc>
      </w:tr>
      <w:tr w:rsidRPr="001F165D" w:rsidR="0058411F" w:rsidTr="00E15BF4" w14:paraId="7AE47B93" w14:textId="77777777">
        <w:tc>
          <w:tcPr>
            <w:tcW w:w="3085" w:type="dxa"/>
          </w:tcPr>
          <w:p w:rsidRPr="001F165D" w:rsidR="0058411F" w:rsidP="0058411F" w:rsidRDefault="0058411F" w14:paraId="26DE3092" w14:textId="352FC8CA">
            <w:pPr>
              <w:autoSpaceDE w:val="0"/>
              <w:autoSpaceDN w:val="0"/>
              <w:jc w:val="left"/>
            </w:pPr>
            <w:r>
              <w:t>Έγκριση από την Ολομέλεια</w:t>
            </w:r>
          </w:p>
        </w:tc>
        <w:tc>
          <w:tcPr>
            <w:tcW w:w="6204" w:type="dxa"/>
            <w:vAlign w:val="bottom"/>
          </w:tcPr>
          <w:p w:rsidRPr="001F165D" w:rsidR="0058411F" w:rsidP="0058411F" w:rsidRDefault="00B73B79" w14:paraId="34FA2183" w14:textId="31185D71">
            <w:pPr>
              <w:autoSpaceDE w:val="0"/>
              <w:autoSpaceDN w:val="0"/>
              <w:jc w:val="left"/>
            </w:pPr>
            <w:r>
              <w:t>19/6/2025</w:t>
            </w:r>
          </w:p>
        </w:tc>
      </w:tr>
      <w:tr w:rsidRPr="001F165D" w:rsidR="0058411F" w:rsidTr="00E15BF4" w14:paraId="2FE8AE44" w14:textId="77777777">
        <w:tc>
          <w:tcPr>
            <w:tcW w:w="3085" w:type="dxa"/>
          </w:tcPr>
          <w:p w:rsidRPr="001F165D" w:rsidR="0058411F" w:rsidP="0058411F" w:rsidRDefault="0058411F" w14:paraId="2A65A034" w14:textId="77777777">
            <w:pPr>
              <w:autoSpaceDE w:val="0"/>
              <w:autoSpaceDN w:val="0"/>
              <w:jc w:val="left"/>
            </w:pPr>
            <w:r>
              <w:t>Σύνοδος ολομέλειας αριθ.</w:t>
            </w:r>
          </w:p>
        </w:tc>
        <w:tc>
          <w:tcPr>
            <w:tcW w:w="6204" w:type="dxa"/>
            <w:vAlign w:val="bottom"/>
          </w:tcPr>
          <w:p w:rsidRPr="001F165D" w:rsidR="0058411F" w:rsidP="0058411F" w:rsidRDefault="00094C5F" w14:paraId="17BFB0A7" w14:textId="0EC58D9F">
            <w:pPr>
              <w:autoSpaceDE w:val="0"/>
              <w:autoSpaceDN w:val="0"/>
              <w:jc w:val="left"/>
            </w:pPr>
            <w:r>
              <w:t>597</w:t>
            </w:r>
          </w:p>
        </w:tc>
      </w:tr>
      <w:tr w:rsidRPr="001F165D" w:rsidR="0058411F" w:rsidTr="00E15BF4" w14:paraId="3889B17A" w14:textId="77777777">
        <w:tc>
          <w:tcPr>
            <w:tcW w:w="3085" w:type="dxa"/>
          </w:tcPr>
          <w:p w:rsidRPr="001F165D" w:rsidR="0058411F" w:rsidP="0058411F" w:rsidRDefault="0058411F" w14:paraId="0C723801" w14:textId="77777777">
            <w:pPr>
              <w:autoSpaceDE w:val="0"/>
              <w:autoSpaceDN w:val="0"/>
              <w:jc w:val="left"/>
            </w:pPr>
            <w:r>
              <w:t>Αποτέλεσμα της ψηφοφορίας</w:t>
            </w:r>
            <w:r>
              <w:br/>
              <w:t>(υπέρ/κατά/αποχές)</w:t>
            </w:r>
          </w:p>
        </w:tc>
        <w:tc>
          <w:tcPr>
            <w:tcW w:w="6204" w:type="dxa"/>
            <w:vAlign w:val="bottom"/>
          </w:tcPr>
          <w:p w:rsidRPr="001F165D" w:rsidR="0058411F" w:rsidP="0058411F" w:rsidRDefault="00E05575" w14:paraId="14DB34EA" w14:textId="2CF1597F">
            <w:pPr>
              <w:autoSpaceDE w:val="0"/>
              <w:autoSpaceDN w:val="0"/>
              <w:jc w:val="left"/>
            </w:pPr>
            <w:r>
              <w:t>103/2/0</w:t>
            </w:r>
          </w:p>
        </w:tc>
      </w:tr>
    </w:tbl>
    <w:p w:rsidRPr="001F165D" w:rsidR="00AC5114" w:rsidP="00574C9B" w:rsidRDefault="00AC5114" w14:paraId="156A5F34" w14:textId="77777777">
      <w:pPr>
        <w:rPr>
          <w:lang w:val="en-GB"/>
        </w:rPr>
      </w:pPr>
    </w:p>
    <w:p w:rsidRPr="001F165D" w:rsidR="00AC5114" w:rsidP="00574C9B" w:rsidRDefault="00AC5114" w14:paraId="2CD3051D" w14:textId="77777777">
      <w:pPr>
        <w:rPr>
          <w:lang w:val="en-GB"/>
        </w:rPr>
        <w:sectPr w:rsidRPr="001F165D" w:rsidR="00AC5114" w:rsidSect="00296BCE">
          <w:headerReference w:type="even" r:id="rId13"/>
          <w:headerReference w:type="default" r:id="rId14"/>
          <w:footerReference w:type="default" r:id="rId15"/>
          <w:headerReference w:type="first" r:id="rId16"/>
          <w:pgSz w:w="11907" w:h="16839" w:code="9"/>
          <w:pgMar w:top="5669" w:right="1418" w:bottom="1418" w:left="1418" w:header="709" w:footer="709" w:gutter="0"/>
          <w:cols w:space="720"/>
          <w:docGrid w:linePitch="360"/>
        </w:sectPr>
      </w:pPr>
    </w:p>
    <w:p w:rsidRPr="001F165D" w:rsidR="00C11E25" w:rsidP="00C11E25" w:rsidRDefault="00C11E25" w14:paraId="7286F6EC" w14:textId="77777777">
      <w:pPr>
        <w:pStyle w:val="Heading1"/>
        <w:rPr>
          <w:b/>
          <w:bCs/>
        </w:rPr>
      </w:pPr>
      <w:r>
        <w:rPr>
          <w:b/>
        </w:rPr>
        <w:lastRenderedPageBreak/>
        <w:t>Εισαγωγή</w:t>
      </w:r>
    </w:p>
    <w:p w:rsidRPr="001F165D" w:rsidR="00C11E25" w:rsidP="00C11E25" w:rsidRDefault="00C11E25" w14:paraId="3EBBB844" w14:textId="77777777">
      <w:pPr>
        <w:rPr>
          <w:lang w:val="en-GB"/>
        </w:rPr>
      </w:pPr>
    </w:p>
    <w:p w:rsidRPr="001F165D" w:rsidR="00C11E25" w:rsidP="00C11E25" w:rsidRDefault="00C11E25" w14:paraId="4298DE59" w14:textId="77777777">
      <w:pPr>
        <w:pStyle w:val="Heading2"/>
      </w:pPr>
      <w:r>
        <w:t xml:space="preserve">Η παρούσα έκθεση επιδιώκει να αποσαφηνίσει τις εξελισσόμενες σχέσεις μεταξύ του Συνδέσμου Κρατών της Νοτιοανατολικής Ασίας (ASEAN) και της Ευρωπαϊκής Ένωσης (ΕΕ), ιδίως σε σχέση με τον ρόλο της κοινωνίας των πολιτών και της βιώσιμης ανάπτυξης στο πλαίσιο της εμπορικής και πολιτικής συνεργασίας. </w:t>
      </w:r>
    </w:p>
    <w:p w:rsidRPr="001F165D" w:rsidR="00C11E25" w:rsidP="00C11E25" w:rsidRDefault="00C11E25" w14:paraId="7D96C768" w14:textId="77777777">
      <w:pPr>
        <w:rPr>
          <w:lang w:val="en-GB"/>
        </w:rPr>
      </w:pPr>
    </w:p>
    <w:p w:rsidRPr="001F165D" w:rsidR="00C11E25" w:rsidP="00C11E25" w:rsidRDefault="00C11E25" w14:paraId="1C6CE123" w14:textId="77777777">
      <w:pPr>
        <w:pStyle w:val="Heading2"/>
      </w:pPr>
      <w:r>
        <w:t>Ο ASEAN είναι ένας διακυβερνητικός οργανισμός που σέβεται αυστηρά την κυρίαρχη ισότητα</w:t>
      </w:r>
      <w:r w:rsidRPr="001F165D">
        <w:rPr>
          <w:vertAlign w:val="superscript"/>
          <w:lang w:val="en-GB"/>
        </w:rPr>
        <w:footnoteReference w:id="1"/>
      </w:r>
      <w:r>
        <w:t xml:space="preserve"> και υιοθετεί μια ρεαλιστική προσέγγιση όσον αφορά τα εθνικά συμφέροντα. Η συλλογική λήψη αποφάσεων αντικατοπτρίζει τις διαφορετικές θεσμικές ικανότητες και οικονομικά μοντέλα των κρατών μελών του.</w:t>
      </w:r>
    </w:p>
    <w:p w:rsidRPr="001F165D" w:rsidR="00C11E25" w:rsidP="00C11E25" w:rsidRDefault="00C11E25" w14:paraId="1805B50A" w14:textId="77777777">
      <w:pPr>
        <w:rPr>
          <w:lang w:val="en-GB"/>
        </w:rPr>
      </w:pPr>
    </w:p>
    <w:p w:rsidRPr="001F165D" w:rsidR="00C11E25" w:rsidP="00C11E25" w:rsidRDefault="00C11E25" w14:paraId="2DFEF263" w14:textId="77777777">
      <w:pPr>
        <w:pStyle w:val="Heading2"/>
      </w:pPr>
      <w:r>
        <w:t xml:space="preserve">Ενώ η επίσημη συνεργασία μεταξύ της ΕΕ και του ASEAN καλύπτει σχεδόν πέντε δεκαετίες, οι διαφορές στις προτεραιότητες και τα πλαίσια διακυβέρνησης εμποδίζουν αμφότερες τις πλευρές να αποκομίσουν τα πιθανά οφέλη αυτής της εταιρικής σχέσης. Το 2007, ξεκίνησαν φιλόδοξες διαπραγματεύσεις μεταξύ των δύο πλευρών για συμφωνία ελεύθερων συναλλαγών (ΣΕΣ), που ανεστάλησαν μετά από δύο χρόνια. Έκτοτε, οι επανειλημμένες προσπάθειες εμβάθυνσης της συνεργασίας παρεμποδίζονται συχνά από ζητήματα όπως τα ανθρώπινα δικαιώματα, οι κυρώσεις και η βιωσιμότητα. </w:t>
      </w:r>
    </w:p>
    <w:p w:rsidRPr="001F165D" w:rsidR="00C11E25" w:rsidP="00C11E25" w:rsidRDefault="00C11E25" w14:paraId="28A58AD2" w14:textId="77777777">
      <w:pPr>
        <w:rPr>
          <w:lang w:val="en-GB"/>
        </w:rPr>
      </w:pPr>
    </w:p>
    <w:p w:rsidRPr="001F165D" w:rsidR="00C11E25" w:rsidP="00C11E25" w:rsidRDefault="00C11E25" w14:paraId="71CB5F5F" w14:textId="77777777">
      <w:pPr>
        <w:pStyle w:val="Heading2"/>
      </w:pPr>
      <w:r>
        <w:t>Οι δύο περιοχές έχουν περισσότερα κοινά σημεία από ό,τι αναγνωρίζεται συχνά. Μια ουσιαστική εταιρική σχέση ΕΕ-ASEAN, βασιζόμενη στη συνεργασία βάσει αρχών και στον αμοιβαίο σεβασμό των προσεγγίσεων πολιτικής, χρησιμεύει ως σταθεροποιητική δύναμη σε ένα όλο και πιο ασταθές παγκόσμιο περιβάλλον. Τις δύο πλευρές ενώνει η κοινή στήριξη της βασιζόμενης σε κανόνες διεθνούς έννομης τάξης, όπως και η δέσμευση για ειρήνη και ανάπτυξη. Ωστόσο, και τα δύο μέρη κινούνται σε έναν όλο και πιο πολωμένο κόσμο, που βρίσκεται μεταξύ των Ηνωμένων Πολιτειών (ΗΠΑ) και της Κίνας. Η αναγνώριση του «κεντρικού ρόλου του ASEAN»</w:t>
      </w:r>
      <w:r w:rsidRPr="001F165D">
        <w:rPr>
          <w:rStyle w:val="FootnoteReference"/>
          <w:lang w:val="en-GB"/>
        </w:rPr>
        <w:footnoteReference w:id="2"/>
      </w:r>
      <w:r>
        <w:t xml:space="preserve"> στην Ανατολική Ασία, παράλληλα με τις προσπάθειες της Ευρώπης να καλλιεργήσει μια πιο σταθερή περιφερειακή παρουσία, μπορεί να βοηθήσει και τα δύο μέρη να αποφύγουν την επανάληψη λαθών του παρελθόντος που οφείλονται στην εστίαση στα ίδια συμφέροντα. Κατ' αυτόν τον τρόπο μπορεί να αποφευχθεί μεμονωμένα ζητήματα να υπονομεύουν την ευρύτερη στρατηγική συνεργασία.</w:t>
      </w:r>
    </w:p>
    <w:p w:rsidRPr="001F165D" w:rsidR="00C11E25" w:rsidP="00C11E25" w:rsidRDefault="00C11E25" w14:paraId="2216AB7C" w14:textId="77777777">
      <w:pPr>
        <w:rPr>
          <w:lang w:val="en-GB"/>
        </w:rPr>
      </w:pPr>
    </w:p>
    <w:p w:rsidRPr="001F165D" w:rsidR="00C11E25" w:rsidP="00C11E25" w:rsidRDefault="00C11E25" w14:paraId="5ABD8425" w14:textId="77777777">
      <w:pPr>
        <w:pStyle w:val="Heading2"/>
      </w:pPr>
      <w:r>
        <w:t>Οι σχέσεις ΕΕ-ASEAN ακολουθούν έναν καθιερωμένο ρυθμό ετήσιων συνεδριάσεων και ομάδων εργασίας, συμπεριλαμβανομένης μιας μικτής επιτροπής που τροφοδοτεί τους υπουργικούς διαλόγους υψηλότερου επιπέδου, καθώς και βιομηχανικής συνεργασίας μέσω εξειδικευμένων φόρουμ. Τα σχέδια για διάλογο ΕΕ-ASEAN για τα ανθρώπινα δικαιώματα στα τέλη του 2025 σημειώνουν επίσης πρόοδο.</w:t>
      </w:r>
    </w:p>
    <w:p w:rsidRPr="001F165D" w:rsidR="00C11E25" w:rsidP="00C11E25" w:rsidRDefault="00C11E25" w14:paraId="33835FF3" w14:textId="77777777">
      <w:pPr>
        <w:pStyle w:val="Heading2"/>
        <w:numPr>
          <w:ilvl w:val="0"/>
          <w:numId w:val="0"/>
        </w:numPr>
        <w:spacing w:line="276" w:lineRule="auto"/>
        <w:rPr>
          <w:color w:val="000000" w:themeColor="text1"/>
          <w:lang w:val="en-GB"/>
        </w:rPr>
      </w:pPr>
    </w:p>
    <w:p w:rsidRPr="001F165D" w:rsidR="00C11E25" w:rsidP="00C11E25" w:rsidRDefault="00C11E25" w14:paraId="5204C551" w14:textId="77777777">
      <w:pPr>
        <w:pStyle w:val="Heading2"/>
      </w:pPr>
      <w:r>
        <w:t xml:space="preserve">Η κοινωνία των πολιτών διαδραματίζει καθοριστικό ρόλο στην ενίσχυση της διαπεριφερειακής συνεργασίας, ιδίως στην προώθηση συμμετοχικών πολιτικών διαδικασιών και τη στήριξη των προσπαθειών ενοποίησης μεταξύ περιφερειών. Για τις χώρες που συμμερίζονται τις ίδιες </w:t>
      </w:r>
      <w:r>
        <w:lastRenderedPageBreak/>
        <w:t xml:space="preserve">απόψεις, η αναγνώριση της πολύπλοκης πολιτικής, κοινωνικής και πολιτιστικής πραγματικότητας της Νοτιοανατολικής Ασίας —που ενδέχεται να διαφέρει σημαντικά από τις ευρωπαϊκές προσδοκίες— είναι ουσιαστική. Η γεφύρωση αυτών των διαφορών είναι καίριας σημασίας για την καλλιέργεια θεσμοθετημένου, ανοικτού και συμπεριληπτικού διαλόγου, με ουσιαστική συμμετοχή της κοινωνίας των πολιτών. Ο διάλογος αυτός περιλαμβάνει την επανεξέταση των στρατηγικών συμμετοχής και της τοπικής πραγματικότητας και τη διασφάλιση της συμπερίληψης περιθωριοποιημένων φωνών, ιδίως των οργανώσεων βάσης, των γυναικών, των </w:t>
      </w:r>
      <w:proofErr w:type="spellStart"/>
      <w:r>
        <w:t>εθνοτικών</w:t>
      </w:r>
      <w:proofErr w:type="spellEnd"/>
      <w:r>
        <w:t xml:space="preserve"> μειονοτήτων, των μειονοτήτων αυτοχθόνων και των νέων. Ωστόσο, απαιτεί επίσης προσεκτική αξιολόγηση κατά τη συνεργασία με οργανώσεις της κοινωνίας των πολιτών (ΟΚΠ).</w:t>
      </w:r>
    </w:p>
    <w:p w:rsidRPr="001F165D" w:rsidR="00C11E25" w:rsidP="00C11E25" w:rsidRDefault="00C11E25" w14:paraId="1C129EAD" w14:textId="77777777">
      <w:pPr>
        <w:rPr>
          <w:color w:val="000000" w:themeColor="text1"/>
          <w:lang w:val="en-GB"/>
        </w:rPr>
      </w:pPr>
    </w:p>
    <w:p w:rsidRPr="001F165D" w:rsidR="00C11E25" w:rsidP="00C11E25" w:rsidRDefault="00C11E25" w14:paraId="115E1C0E" w14:textId="77777777">
      <w:pPr>
        <w:pStyle w:val="Heading2"/>
      </w:pPr>
      <w:r>
        <w:t xml:space="preserve">Οι ΟΚΠ στη Νοτιοανατολική Ασία κινούνται σε σύνθετα πολιτικά πλαίσια που χαρακτηρίζονται από διαφορετικούς βαθμούς δεκτικότητας. Ενώ τα περισσότερα μέλη του ASEAN έχουν προσχωρήσει επίσημα στις βασικές συμβάσεις της Διεθνούς Οργάνωσης Εργασίας (ΔΟΕ) για το δικαίωμα του </w:t>
      </w:r>
      <w:proofErr w:type="spellStart"/>
      <w:r>
        <w:t>συνεταιρίζεσθαι</w:t>
      </w:r>
      <w:proofErr w:type="spellEnd"/>
      <w:r>
        <w:t>, τις συλλογικές διαπραγματεύσεις, την κατάργηση της αναγκαστικής εργασίας, την κατάργηση της παιδικής εργασίας και τις ίσες ευκαιρίες και την ίση μεταχείριση</w:t>
      </w:r>
      <w:r w:rsidRPr="001F165D">
        <w:rPr>
          <w:sz w:val="24"/>
          <w:szCs w:val="24"/>
          <w:vertAlign w:val="superscript"/>
          <w:lang w:val="en-GB"/>
        </w:rPr>
        <w:footnoteReference w:id="3"/>
      </w:r>
      <w:r>
        <w:t>, οι πραγματικές νομικές καταστάσεις ποικίλλουν σε μεγάλο βαθμό. Συνεπώς, η εξεύρεση ΟΚΠ που θα μπορούσαν να είναι αντίστοιχες της ΕΟΚΕ όσον αφορά την ανεξαρτησία και τη νόμιμη εκπροσώπηση ενδέχεται να είναι δύσκολη. Ο καθορισμός σαφών σημείων αναφοράς για την αξιολόγηση της νομιμότητας των φορέων της κοινωνίας των πολιτών διαφυλάσσει τις συνεργατικές προσπάθειες από την αξιοποίηση μελών της ελίτ και διασφαλίζει την ευθυγράμμιση με τις δημοκρατικές αρχές.</w:t>
      </w:r>
    </w:p>
    <w:p w:rsidRPr="001F165D" w:rsidR="00C11E25" w:rsidP="00C11E25" w:rsidRDefault="00C11E25" w14:paraId="62670A51" w14:textId="77777777">
      <w:pPr>
        <w:rPr>
          <w:lang w:val="en-GB"/>
        </w:rPr>
      </w:pPr>
    </w:p>
    <w:p w:rsidRPr="001F165D" w:rsidR="00C11E25" w:rsidP="00C11E25" w:rsidRDefault="00C11E25" w14:paraId="2603BF56" w14:textId="77777777">
      <w:pPr>
        <w:pStyle w:val="Heading2"/>
      </w:pPr>
      <w:r>
        <w:t>Η ευρύτερη κοινωνική ευαισθητοποίηση σχετικά με τη συμμετοχική διακυβέρνηση και την πολυφωνία παραμένει άνιση μεταξύ των χωρών του ASEAN. Πρωτοβουλίες που καταδεικνύουν τα απτά οφέλη της συμπεριληπτικής χάραξης πολιτικής, κυρίως μέσω φόρουμ βάσης, θα μπορούσαν να προωθήσουν τη μεγαλύτερη δεκτικότητα της συμμετοχής της κοινωνίας των πολιτών. Επιτυχή παραδείγματα περιφερειακά συντονισμένων επιχειρηματικών φόρουμ, όπως το Επιχειρηματικό Συμβούλιο ΕΕ-ASEAN (ΕΕ-ABC)</w:t>
      </w:r>
      <w:r w:rsidRPr="001F165D">
        <w:rPr>
          <w:rStyle w:val="FootnoteReference"/>
          <w:color w:val="000000" w:themeColor="text1"/>
          <w:lang w:val="en-GB"/>
        </w:rPr>
        <w:footnoteReference w:id="4"/>
      </w:r>
      <w:r>
        <w:t>, καταδεικνύουν τον τρόπο με τον οποίο οι διαρθρωμένες αλλά ευέλικτες πλατφόρμες μπορούν να διευκολύνουν τις παραγωγικές ανταλλαγές μεταξύ κυβερνήσεων και ιδιωτικών φορέων. Αυτά τα πλαίσια καθιστούν δυνατή τη δοκιμή πολιτικών, την ανεπίσημη διαβούλευση και την οικοδόμηση εμπιστοσύνης για την άμβλυνση των εντάσεων που ενίοτε προκύπτουν από επιθετικές προσεγγίσεις.</w:t>
      </w:r>
    </w:p>
    <w:p w:rsidRPr="001F165D" w:rsidR="00C11E25" w:rsidP="00C11E25" w:rsidRDefault="00C11E25" w14:paraId="78D00E05" w14:textId="77777777">
      <w:pPr>
        <w:rPr>
          <w:color w:val="000000" w:themeColor="text1"/>
          <w:lang w:val="en-GB"/>
        </w:rPr>
      </w:pPr>
    </w:p>
    <w:p w:rsidRPr="001F165D" w:rsidR="00C11E25" w:rsidP="00C11E25" w:rsidRDefault="00C11E25" w14:paraId="60B6D677" w14:textId="77777777">
      <w:pPr>
        <w:pStyle w:val="Heading2"/>
      </w:pPr>
      <w:r>
        <w:t>Η παρούσα έκθεση αποδίδει ιδιαίτερη σημασία στη διασύνδεση της εμπορικής πολιτικής με τη συμμετοχή της κοινωνίας των πολιτών, ιδίως μέσω των κεφαλαίων για το εμπόριο και τη βιώσιμη ανάπτυξη (ΕΒΑ) που είναι ενσωματωμένα στις συμφωνίες ελεύθερων συναλλαγών (ΣΕΣ). Τα κεφάλαια ΕΒΑ σε ήδη συναφθείσες ΣΕΣ —π.χ. οι ΣΕΣ ΕΕ-Σιγκαπούρης</w:t>
      </w:r>
      <w:r w:rsidRPr="001F165D">
        <w:rPr>
          <w:sz w:val="24"/>
          <w:szCs w:val="24"/>
          <w:vertAlign w:val="superscript"/>
          <w:lang w:val="en-GB"/>
        </w:rPr>
        <w:footnoteReference w:id="5"/>
      </w:r>
      <w:r>
        <w:t xml:space="preserve"> και ΕΕ-Βιετνάμ</w:t>
      </w:r>
      <w:r w:rsidRPr="001F165D">
        <w:rPr>
          <w:sz w:val="24"/>
          <w:szCs w:val="24"/>
          <w:vertAlign w:val="superscript"/>
          <w:lang w:val="en-GB"/>
        </w:rPr>
        <w:footnoteReference w:id="6"/>
      </w:r>
      <w:r>
        <w:t xml:space="preserve">— περιλαμβάνουν δεσμευτικές διατάξεις και δεσμεύσεις σχετικά με τις διεθνείς </w:t>
      </w:r>
      <w:r>
        <w:lastRenderedPageBreak/>
        <w:t xml:space="preserve">συμβάσεις εργασίας και την προστασία του περιβάλλοντος, ενσωματώνοντας τις βασικές συμβάσεις της ΔΟΕ και τη συμφωνία του Παρισιού για την κλιματική αλλαγή. </w:t>
      </w:r>
    </w:p>
    <w:p w:rsidRPr="001F165D" w:rsidR="00C11E25" w:rsidP="00C11E25" w:rsidRDefault="00C11E25" w14:paraId="614E8EC9" w14:textId="77777777">
      <w:pPr>
        <w:rPr>
          <w:lang w:val="en-GB"/>
        </w:rPr>
      </w:pPr>
    </w:p>
    <w:p w:rsidRPr="001F165D" w:rsidR="00C11E25" w:rsidP="00C11E25" w:rsidRDefault="00C11E25" w14:paraId="1DC8A304" w14:textId="77777777">
      <w:pPr>
        <w:pStyle w:val="Heading2"/>
      </w:pPr>
      <w:r>
        <w:t>Το υπόλοιπο μέρος της παρούσας έκθεσης χωρίζεται σε τρεις ενότητες: η πρώτη είναι μια εισαγωγή στον ASEAN· η δεύτερη αφορά τις οργανώσεις της κοινωνίας των πολιτών στον ASEAN – επισκόπηση και τοπίο· και η τρίτη αφορά τις εμπορικές σχέσεις ΕΕ-ASEAN – εμπόριο και βιώσιμη ανάπτυξη.</w:t>
      </w:r>
    </w:p>
    <w:p w:rsidRPr="001F165D" w:rsidR="00C11E25" w:rsidP="00C11E25" w:rsidRDefault="00C11E25" w14:paraId="35229CCE" w14:textId="77777777">
      <w:pPr>
        <w:pStyle w:val="Heading2"/>
        <w:numPr>
          <w:ilvl w:val="0"/>
          <w:numId w:val="0"/>
        </w:numPr>
        <w:rPr>
          <w:lang w:val="en-GB"/>
        </w:rPr>
      </w:pPr>
    </w:p>
    <w:p w:rsidRPr="001F165D" w:rsidR="00C11E25" w:rsidP="00C11E25" w:rsidRDefault="00C11E25" w14:paraId="0BE66833" w14:textId="77777777">
      <w:pPr>
        <w:pStyle w:val="Heading1"/>
        <w:keepNext/>
        <w:keepLines/>
        <w:rPr>
          <w:b/>
          <w:bCs/>
        </w:rPr>
      </w:pPr>
      <w:r>
        <w:rPr>
          <w:b/>
        </w:rPr>
        <w:t>Εισαγωγή στον ASEAN</w:t>
      </w:r>
    </w:p>
    <w:p w:rsidRPr="001F165D" w:rsidR="00C11E25" w:rsidP="00C11E25" w:rsidRDefault="00C11E25" w14:paraId="21382C72" w14:textId="77777777">
      <w:pPr>
        <w:keepNext/>
        <w:keepLines/>
        <w:rPr>
          <w:lang w:val="en-GB"/>
        </w:rPr>
      </w:pPr>
    </w:p>
    <w:p w:rsidRPr="001F165D" w:rsidR="00C11E25" w:rsidP="00C11E25" w:rsidRDefault="00C11E25" w14:paraId="030DC292" w14:textId="77777777">
      <w:pPr>
        <w:pStyle w:val="Heading2"/>
      </w:pPr>
      <w:r>
        <w:t xml:space="preserve">Τα μέλη του ASEAN είναι η Ινδονησία, το Βιετνάμ, το Λάος, το Μπρουνέι, η Ταϊλάνδη, η </w:t>
      </w:r>
      <w:proofErr w:type="spellStart"/>
      <w:r>
        <w:t>Μιανμάρ</w:t>
      </w:r>
      <w:proofErr w:type="spellEnd"/>
      <w:r>
        <w:t xml:space="preserve">, οι Φιλιππίνες, η Καμπότζη, η Σιγκαπούρη και η Μαλαισία. Ο ASEAN, που ιδρύθηκε το 1967 με τη Συνθήκη φιλίας και συνεργασίας στη νοτιοανατολική Ασία, απαρτιζόταν αρχικά από την Ινδονησία, τη Μαλαισία, τις Φιλιππίνες, τη Σιγκαπούρη και την Ταϊλάνδη, ως συλλογική ρύθμιση ασφάλειας κατά τη διάρκεια του Ψυχρού Πολέμου. Έκτοτε, ο οργανισμός έχει αυξήσει τα μέλη του, με το Ανατολικό Τιμόρ να είναι το τελευταίο που προσχώρησε «καταρχήν» το 2022. Το Ανατολικό Τιμόρ αναμένεται να καταστεί πλήρες μέλος το 2025 ή το 2026. </w:t>
      </w:r>
    </w:p>
    <w:p w:rsidRPr="001F165D" w:rsidR="00C11E25" w:rsidP="00C11E25" w:rsidRDefault="00C11E25" w14:paraId="41EE1482" w14:textId="77777777">
      <w:pPr>
        <w:rPr>
          <w:lang w:val="en-GB"/>
        </w:rPr>
      </w:pPr>
    </w:p>
    <w:p w:rsidRPr="001F165D" w:rsidR="00C11E25" w:rsidP="00C11E25" w:rsidRDefault="00C11E25" w14:paraId="6595A547" w14:textId="77777777">
      <w:pPr>
        <w:pStyle w:val="Heading2"/>
      </w:pPr>
      <w:r>
        <w:t>Με πληθυσμό 692 εκατομμυρίων κατοίκων, ο ASEAN αποτελεί μια από τις δυναμικότερες, από οικονομική άποψη, περιοχές του κόσμου. Ως η πέμπτη μεγαλύτερη παγκόσμια οικονομία, αντιπροσωπεύει το 7,2 % του παγκόσμιου ΑΕΠ (2024), γεγονός που ενισχύει τον ρόλο του ως βασικής κινητήριας δύναμης του διεθνούς εμπορίου</w:t>
      </w:r>
      <w:r w:rsidRPr="001F165D">
        <w:rPr>
          <w:sz w:val="24"/>
          <w:szCs w:val="24"/>
          <w:vertAlign w:val="superscript"/>
          <w:lang w:val="en-GB"/>
        </w:rPr>
        <w:footnoteReference w:id="7"/>
      </w:r>
      <w:r>
        <w:t xml:space="preserve">. Η ΕΕ και ο ASEAN διατηρούν μια εξαιρετικά θεσμοθετημένη σχέση, που στηρίζεται από ειδικά προγράμματα, όπως το πρόγραμμα </w:t>
      </w:r>
      <w:hyperlink r:id="rId17">
        <w:r>
          <w:rPr>
            <w:rStyle w:val="Hyperlink"/>
          </w:rPr>
          <w:t>«Στήριξη της περιφερειακής ολοκλήρωσης του ASEAN από την ΕΕ» (ARISE+)</w:t>
        </w:r>
      </w:hyperlink>
      <w:r>
        <w:t xml:space="preserve"> και ο Βελτιωμένος περιφερειακός μηχανισμός διαλόγου ΕΕ-ASEAN (E-READI). Σήμερα, η ΕΕ κατατάσσεται ως ο τρίτος μεγαλύτερος εμπορικός εταίρος και ξένος επενδυτής του ASEAN — προηγούνται μόνο η Κίνα και οι ΗΠΑ</w:t>
      </w:r>
      <w:r w:rsidRPr="001F165D">
        <w:rPr>
          <w:rStyle w:val="FootnoteReference"/>
          <w:color w:val="000000" w:themeColor="text1"/>
          <w:lang w:val="en-GB"/>
        </w:rPr>
        <w:footnoteReference w:id="8"/>
      </w:r>
      <w:r>
        <w:t>.</w:t>
      </w:r>
    </w:p>
    <w:p w:rsidRPr="001F165D" w:rsidR="00C11E25" w:rsidP="00C11E25" w:rsidRDefault="00C11E25" w14:paraId="38F294C5" w14:textId="77777777">
      <w:pPr>
        <w:rPr>
          <w:lang w:val="en-GB"/>
        </w:rPr>
      </w:pPr>
    </w:p>
    <w:p w:rsidRPr="001F165D" w:rsidR="00C11E25" w:rsidP="00C11E25" w:rsidRDefault="00C11E25" w14:paraId="4D422CB2" w14:textId="77777777">
      <w:pPr>
        <w:pStyle w:val="Heading2"/>
      </w:pPr>
      <w:r>
        <w:t xml:space="preserve">Η ΕΕ έχει επίσης συνάψει δύο ΣΕΣ —με τη Σιγκαπούρη και το Βιετνάμ— που τέθηκαν σε ισχύ τον Νοέμβριο του 2019 και τον Αύγουστο του 2020, αντίστοιχα. Έχουν δρομολογηθεί διαπραγματεύσεις με άλλες χώρες του ASEAN: Ινδονησία, Μαλαισία, Φιλιππίνες και Ταϊλάνδη. Οι διαπραγματεύσεις μεταξύ της ΕΕ και της </w:t>
      </w:r>
      <w:proofErr w:type="spellStart"/>
      <w:r>
        <w:t>Μιανμάρ</w:t>
      </w:r>
      <w:proofErr w:type="spellEnd"/>
      <w:r>
        <w:t xml:space="preserve"> για μια συμφωνία προστασίας επενδύσεων έχουν ανασταλεί. </w:t>
      </w:r>
    </w:p>
    <w:p w:rsidRPr="001F165D" w:rsidR="00C11E25" w:rsidP="00C11E25" w:rsidRDefault="00C11E25" w14:paraId="7EB98E6A" w14:textId="77777777">
      <w:pPr>
        <w:rPr>
          <w:color w:val="000000" w:themeColor="text1"/>
          <w:lang w:val="en-GB"/>
        </w:rPr>
      </w:pPr>
    </w:p>
    <w:p w:rsidRPr="001F165D" w:rsidR="00C11E25" w:rsidP="00C11E25" w:rsidRDefault="00C11E25" w14:paraId="2F996BF9" w14:textId="77777777">
      <w:pPr>
        <w:pStyle w:val="Heading2"/>
      </w:pPr>
      <w:r>
        <w:t xml:space="preserve">Ο ASEAN κατέχει στρατηγικά σημαντική θέση στο διεθνές εμπόριο, τόσο ως κρίσιμος κόμβος στις παγκόσμιες </w:t>
      </w:r>
      <w:proofErr w:type="spellStart"/>
      <w:r>
        <w:t>αξιακές</w:t>
      </w:r>
      <w:proofErr w:type="spellEnd"/>
      <w:r>
        <w:t xml:space="preserve"> αλυσίδες όσο και ως ζωτικής σημασίας δίαυλος για το ευρωπαϊκό εμπόριο. Ο σύνδεσμος έχει δημιουργήσει ένα εκτενές δίκτυο εμπορικών συμφωνιών, συμπεριλαμβανομένων ΣΕΣ με την Αυστραλία και τη Νέα Ζηλανδία, την Κίνα, την Ινδία, την Ιαπωνία, την Κορέα και το Χονγκ Κονγκ. Η Περιφερειακή ολοκληρωμένη οικονομική εταιρική σχέση (RCEP) έχει επίσης ως επίκεντρο τον ASEAN. Η Σιγκαπούρη, το Βιετνάμ, η Μαλαισία </w:t>
      </w:r>
      <w:r>
        <w:lastRenderedPageBreak/>
        <w:t>και το Μπρουνέι συμμετέχουν στην Ολοκληρωμένη και προοδευτική συμφωνία για την εταιρική σχέση του Ειρηνικού (CPTPP), ενώ άλλες τρεις χώρες επιδιώκουν ενεργά την προσχώρησή τους.</w:t>
      </w:r>
    </w:p>
    <w:p w:rsidRPr="001F165D" w:rsidR="00C11E25" w:rsidP="00C11E25" w:rsidRDefault="00C11E25" w14:paraId="2BD005DA" w14:textId="77777777">
      <w:pPr>
        <w:rPr>
          <w:color w:val="000000" w:themeColor="text1"/>
          <w:lang w:val="en-GB"/>
        </w:rPr>
      </w:pPr>
    </w:p>
    <w:p w:rsidRPr="001F165D" w:rsidR="00C11E25" w:rsidP="00C11E25" w:rsidRDefault="00C11E25" w14:paraId="667D403A" w14:textId="77777777">
      <w:pPr>
        <w:pStyle w:val="Heading2"/>
      </w:pPr>
      <w:r>
        <w:t xml:space="preserve">Ο ASEAN, καθοδηγούμενος από τις αρχές της μη επέμβασης, της κυριαρχίας και της ειρηνικής επίλυσης των συγκρούσεων, επισημοποίησε τη θεσμική του δομή με τον Χάρτη του ASEAN του 2007 και καθιέρωσε τρεις βασικούς πυλώνες: την Οικονομική Κοινότητα του ASEAN (AEC), την Πολιτική Κοινότητα – Κοινότητα Ασφάλειας του ASEAN και την </w:t>
      </w:r>
      <w:proofErr w:type="spellStart"/>
      <w:r>
        <w:t>Κοινωνικοπολιτισμική</w:t>
      </w:r>
      <w:proofErr w:type="spellEnd"/>
      <w:r>
        <w:t xml:space="preserve"> Κοινότητα του ASEAN. Η περιοχή παρουσιάζει σημαντικές οικονομικές ανισότητες, παράλληλα με ποικίλα δημογραφικά στοιχεία, πολυάριθμες θρησκευτικές και </w:t>
      </w:r>
      <w:proofErr w:type="spellStart"/>
      <w:r>
        <w:t>εθνοτικές</w:t>
      </w:r>
      <w:proofErr w:type="spellEnd"/>
      <w:r>
        <w:t xml:space="preserve"> ομάδες και διάφορα πολιτικά συστήματα.</w:t>
      </w:r>
    </w:p>
    <w:p w:rsidRPr="001F165D" w:rsidR="00C11E25" w:rsidP="00C11E25" w:rsidRDefault="00C11E25" w14:paraId="6E15EE93" w14:textId="77777777">
      <w:pPr>
        <w:rPr>
          <w:color w:val="000000" w:themeColor="text1"/>
          <w:lang w:val="en-GB"/>
        </w:rPr>
      </w:pPr>
    </w:p>
    <w:p w:rsidRPr="001F165D" w:rsidR="00C11E25" w:rsidP="00C11E25" w:rsidRDefault="00C11E25" w14:paraId="5A6E60C2" w14:textId="77777777">
      <w:pPr>
        <w:pStyle w:val="Heading2"/>
      </w:pPr>
      <w:r>
        <w:t xml:space="preserve">Η δημιουργία της ζώνης ελεύθερων συναλλαγών του ASEAN (AFTA) το 1992 προώθησε την περιφερειακή οικονομική ολοκλήρωση, σε ευθυγράμμιση με τους ευρύτερους στόχους της Οικονομικής Κοινότητας του ASEAN (AEC). Ωστόσο, η πλήρης εφαρμογή του πλαισίου AEC, που αρχικά προβλεπόταν για το 2015, δεν έχει ακόμη ολοκληρωθεί. Οι μη δασμολογικοί φραγμοί και οι προστατευόμενοι τομείς εξακολουθούν να υφίστανται. Στο μεταξύ, οι αυξανόμενες διεθνείς εκκλήσεις για αντιμετώπιση της κατάστασης στη </w:t>
      </w:r>
      <w:proofErr w:type="spellStart"/>
      <w:r>
        <w:t>Μιανμάρ</w:t>
      </w:r>
      <w:proofErr w:type="spellEnd"/>
      <w:r>
        <w:t xml:space="preserve"> ανάγκασαν τον ASEAN να εκδώσει πολιτική δήλωση σχετικά με τις εσωτερικές υποθέσεις κράτους μέλους· το 2024, δημοσίευσε δήλωση με την οποία καταδίκαζε τη βία στη </w:t>
      </w:r>
      <w:proofErr w:type="spellStart"/>
      <w:r>
        <w:t>Μιανμάρ</w:t>
      </w:r>
      <w:proofErr w:type="spellEnd"/>
      <w:r>
        <w:t>, με τη «Συναίνεση πέντε σημείων»</w:t>
      </w:r>
      <w:r w:rsidRPr="001F165D">
        <w:rPr>
          <w:sz w:val="24"/>
          <w:szCs w:val="24"/>
          <w:vertAlign w:val="superscript"/>
          <w:lang w:val="en-GB"/>
        </w:rPr>
        <w:footnoteReference w:id="9"/>
      </w:r>
      <w:r>
        <w:t>.</w:t>
      </w:r>
    </w:p>
    <w:p w:rsidRPr="001F165D" w:rsidR="00C11E25" w:rsidP="00C11E25" w:rsidRDefault="00C11E25" w14:paraId="5782C6EB" w14:textId="77777777">
      <w:pPr>
        <w:rPr>
          <w:lang w:val="en-GB"/>
        </w:rPr>
      </w:pPr>
    </w:p>
    <w:p w:rsidRPr="001F165D" w:rsidR="00C11E25" w:rsidP="00067D46" w:rsidRDefault="00C11E25" w14:paraId="4F161A69" w14:textId="77777777">
      <w:pPr>
        <w:pStyle w:val="Heading1"/>
        <w:keepNext/>
        <w:keepLines/>
        <w:rPr>
          <w:b/>
          <w:bCs/>
        </w:rPr>
      </w:pPr>
      <w:r>
        <w:rPr>
          <w:b/>
        </w:rPr>
        <w:t>Οργανώσεις της κοινωνίας των πολιτών στον ASEAN: επισκόπηση και τοπίο</w:t>
      </w:r>
    </w:p>
    <w:p w:rsidRPr="001F165D" w:rsidR="00C11E25" w:rsidP="00067D46" w:rsidRDefault="00C11E25" w14:paraId="1DFFFD59" w14:textId="77777777">
      <w:pPr>
        <w:pStyle w:val="Heading2"/>
        <w:keepNext/>
        <w:keepLines/>
        <w:numPr>
          <w:ilvl w:val="0"/>
          <w:numId w:val="0"/>
        </w:numPr>
        <w:rPr>
          <w:lang w:val="en-GB"/>
        </w:rPr>
      </w:pPr>
    </w:p>
    <w:p w:rsidRPr="001F165D" w:rsidR="00C11E25" w:rsidP="00067D46" w:rsidRDefault="00C11E25" w14:paraId="00A6F296" w14:textId="2223996C">
      <w:pPr>
        <w:pStyle w:val="Heading2"/>
        <w:keepNext/>
        <w:keepLines/>
        <w:rPr>
          <w:color w:val="000000" w:themeColor="text1"/>
        </w:rPr>
      </w:pPr>
      <w:r>
        <w:rPr>
          <w:color w:val="000000" w:themeColor="text1"/>
        </w:rPr>
        <w:t>Το δίκτυο ΟΚΠ σε ολόκληρο τον ASEAN περιλαμβάνει ομάδες όπως η Διάσκεψη της κοινωνίας των πολιτών του ASEAN (ACSC), η Διακυβερνητική Επιτροπή του ASEAN για τα Ανθρώπινα Δικαιώματα (AICHR)</w:t>
      </w:r>
      <w:r w:rsidRPr="001F165D">
        <w:rPr>
          <w:color w:val="000000" w:themeColor="text1"/>
          <w:sz w:val="24"/>
          <w:szCs w:val="24"/>
          <w:vertAlign w:val="superscript"/>
          <w:lang w:val="en-GB"/>
        </w:rPr>
        <w:footnoteReference w:id="10"/>
      </w:r>
      <w:r>
        <w:rPr>
          <w:color w:val="000000" w:themeColor="text1"/>
        </w:rPr>
        <w:t>, το Ασιατικό φόρουμ για τα ανθρώπινα δικαιώματα και την ανάπτυξη (FORUM-ASIA)</w:t>
      </w:r>
      <w:r w:rsidRPr="001F165D">
        <w:rPr>
          <w:color w:val="000000" w:themeColor="text1"/>
          <w:sz w:val="24"/>
          <w:szCs w:val="24"/>
          <w:vertAlign w:val="superscript"/>
          <w:lang w:val="en-GB"/>
        </w:rPr>
        <w:footnoteReference w:id="11"/>
      </w:r>
      <w:r>
        <w:rPr>
          <w:color w:val="000000" w:themeColor="text1"/>
        </w:rPr>
        <w:t>, το Δίκτυο για την ελευθερία της έκφρασης στη Νοτιοανατολική Ασία (</w:t>
      </w:r>
      <w:proofErr w:type="spellStart"/>
      <w:r>
        <w:rPr>
          <w:color w:val="000000" w:themeColor="text1"/>
        </w:rPr>
        <w:t>SAFEnet</w:t>
      </w:r>
      <w:proofErr w:type="spellEnd"/>
      <w:r>
        <w:rPr>
          <w:color w:val="000000" w:themeColor="text1"/>
        </w:rPr>
        <w:t>)</w:t>
      </w:r>
      <w:r w:rsidRPr="001F165D">
        <w:rPr>
          <w:color w:val="000000" w:themeColor="text1"/>
          <w:sz w:val="24"/>
          <w:szCs w:val="24"/>
          <w:vertAlign w:val="superscript"/>
          <w:lang w:val="en-GB"/>
        </w:rPr>
        <w:footnoteReference w:id="12"/>
      </w:r>
      <w:r>
        <w:rPr>
          <w:color w:val="000000" w:themeColor="text1"/>
        </w:rPr>
        <w:t xml:space="preserve"> και το Κέντρο πόρων και έρευνας Ασίας-Ειρηνικού για τις γυναίκες (ARROW)</w:t>
      </w:r>
      <w:r w:rsidRPr="001F165D">
        <w:rPr>
          <w:color w:val="000000" w:themeColor="text1"/>
          <w:sz w:val="24"/>
          <w:szCs w:val="24"/>
          <w:vertAlign w:val="superscript"/>
          <w:lang w:val="en-GB"/>
        </w:rPr>
        <w:footnoteReference w:id="13"/>
      </w:r>
      <w:r>
        <w:rPr>
          <w:color w:val="000000" w:themeColor="text1"/>
        </w:rPr>
        <w:t xml:space="preserve">, που επικεντρώνονται στα ανθρώπινα δικαιώματα, την ελευθερία της έκφρασης και την ισότητα των φύλων. </w:t>
      </w:r>
    </w:p>
    <w:p w:rsidRPr="001F165D" w:rsidR="00C11E25" w:rsidP="00C11E25" w:rsidRDefault="00C11E25" w14:paraId="1FB52143" w14:textId="77777777">
      <w:pPr>
        <w:rPr>
          <w:lang w:val="en-GB"/>
        </w:rPr>
      </w:pPr>
    </w:p>
    <w:p w:rsidRPr="001F165D" w:rsidR="00C11E25" w:rsidP="00C11E25" w:rsidRDefault="00C11E25" w14:paraId="02C9C6BC" w14:textId="77777777">
      <w:pPr>
        <w:pStyle w:val="Heading2"/>
        <w:rPr>
          <w:color w:val="000000" w:themeColor="text1"/>
        </w:rPr>
      </w:pPr>
      <w:r>
        <w:rPr>
          <w:color w:val="000000" w:themeColor="text1"/>
        </w:rPr>
        <w:t xml:space="preserve">Η κοινωνία των πολιτών εξακολουθεί να </w:t>
      </w:r>
      <w:proofErr w:type="spellStart"/>
      <w:r>
        <w:rPr>
          <w:color w:val="000000" w:themeColor="text1"/>
        </w:rPr>
        <w:t>υποεκπροσωπείται</w:t>
      </w:r>
      <w:proofErr w:type="spellEnd"/>
      <w:r>
        <w:rPr>
          <w:color w:val="000000" w:themeColor="text1"/>
        </w:rPr>
        <w:t xml:space="preserve"> στις διαδικασίες λήψης αποφάσεων του ASEAN, ενώ οι περιφερειακές πολιτικές συχνά δεν ανταποκρίνονται στις ανάγκες των τοπικών πληθυσμών. Ωστόσο, η Κοινοβουλευτική Συνέλευση του ASEAN (APA) και η SAPA (</w:t>
      </w:r>
      <w:proofErr w:type="spellStart"/>
      <w:r>
        <w:rPr>
          <w:color w:val="000000" w:themeColor="text1"/>
        </w:rPr>
        <w:t>Solidarity</w:t>
      </w:r>
      <w:proofErr w:type="spellEnd"/>
      <w:r>
        <w:rPr>
          <w:color w:val="000000" w:themeColor="text1"/>
        </w:rPr>
        <w:t xml:space="preserve"> for </w:t>
      </w:r>
      <w:proofErr w:type="spellStart"/>
      <w:r>
        <w:rPr>
          <w:color w:val="000000" w:themeColor="text1"/>
        </w:rPr>
        <w:t>Asian</w:t>
      </w:r>
      <w:proofErr w:type="spellEnd"/>
      <w:r>
        <w:rPr>
          <w:color w:val="000000" w:themeColor="text1"/>
        </w:rPr>
        <w:t xml:space="preserve"> </w:t>
      </w:r>
      <w:proofErr w:type="spellStart"/>
      <w:r>
        <w:rPr>
          <w:color w:val="000000" w:themeColor="text1"/>
        </w:rPr>
        <w:t>People’s</w:t>
      </w:r>
      <w:proofErr w:type="spellEnd"/>
      <w:r>
        <w:rPr>
          <w:color w:val="000000" w:themeColor="text1"/>
        </w:rPr>
        <w:t xml:space="preserve"> </w:t>
      </w:r>
      <w:proofErr w:type="spellStart"/>
      <w:r>
        <w:rPr>
          <w:color w:val="000000" w:themeColor="text1"/>
        </w:rPr>
        <w:t>Advocacy</w:t>
      </w:r>
      <w:proofErr w:type="spellEnd"/>
      <w:r>
        <w:rPr>
          <w:color w:val="000000" w:themeColor="text1"/>
        </w:rPr>
        <w:t>)</w:t>
      </w:r>
      <w:r w:rsidRPr="001F165D">
        <w:rPr>
          <w:color w:val="000000" w:themeColor="text1"/>
          <w:sz w:val="24"/>
          <w:szCs w:val="24"/>
          <w:vertAlign w:val="superscript"/>
          <w:lang w:val="en-GB"/>
        </w:rPr>
        <w:footnoteReference w:id="14"/>
      </w:r>
      <w:r>
        <w:rPr>
          <w:color w:val="000000" w:themeColor="text1"/>
        </w:rPr>
        <w:t xml:space="preserve"> θεωρούνται οι πλέον συμπεριληπτικοί μηχανισμοί, ώστε η κοινωνία των πολιτών να αντιμετωπίζει τις εθνικές και περιφερειακές ανησυχίες εντός του ASEAN.</w:t>
      </w:r>
    </w:p>
    <w:p w:rsidRPr="001F165D" w:rsidR="00C11E25" w:rsidP="00C11E25" w:rsidRDefault="00C11E25" w14:paraId="11D9CC8A" w14:textId="77777777">
      <w:pPr>
        <w:rPr>
          <w:lang w:val="en-GB"/>
        </w:rPr>
      </w:pPr>
    </w:p>
    <w:p w:rsidRPr="001F165D" w:rsidR="00C11E25" w:rsidP="00C11E25" w:rsidRDefault="00C11E25" w14:paraId="6B8888BC" w14:textId="77777777">
      <w:pPr>
        <w:pStyle w:val="Heading2"/>
        <w:rPr>
          <w:color w:val="000000" w:themeColor="text1"/>
        </w:rPr>
      </w:pPr>
      <w:r>
        <w:rPr>
          <w:color w:val="000000" w:themeColor="text1"/>
        </w:rPr>
        <w:t xml:space="preserve">Τα συντάγματα των μελών του ASEAN αναγνωρίζουν γενικά το δικαίωμα του </w:t>
      </w:r>
      <w:proofErr w:type="spellStart"/>
      <w:r>
        <w:rPr>
          <w:color w:val="000000" w:themeColor="text1"/>
        </w:rPr>
        <w:t>συνεταιρίζεσθαι</w:t>
      </w:r>
      <w:proofErr w:type="spellEnd"/>
      <w:r>
        <w:rPr>
          <w:color w:val="000000" w:themeColor="text1"/>
        </w:rPr>
        <w:t xml:space="preserve"> ως θεμελιώδη πολιτική ελευθερία, καθώς και το δικαίωμα σύστασης ενώσεων και κοινωνικών οργανώσεων</w:t>
      </w:r>
      <w:r w:rsidRPr="001F165D">
        <w:rPr>
          <w:color w:val="000000" w:themeColor="text1"/>
          <w:vertAlign w:val="superscript"/>
          <w:lang w:val="en-GB"/>
        </w:rPr>
        <w:footnoteReference w:id="15"/>
      </w:r>
      <w:r>
        <w:rPr>
          <w:color w:val="000000" w:themeColor="text1"/>
        </w:rPr>
        <w:t>. Ωστόσο, ορισμένες κυβερνήσεις ενδέχεται να περιορίζουν τα συνδικαλιστικά δικαιώματα για λόγους που αφορούν την προστασία της δημόσιας τάξης, την εθνική ασφάλεια, τη γενική ευημερία ή τα χρηστά ήθη</w:t>
      </w:r>
      <w:r w:rsidRPr="001F165D">
        <w:rPr>
          <w:color w:val="000000" w:themeColor="text1"/>
          <w:vertAlign w:val="superscript"/>
          <w:lang w:val="en-GB"/>
        </w:rPr>
        <w:footnoteReference w:id="16"/>
      </w:r>
      <w:r>
        <w:rPr>
          <w:color w:val="000000" w:themeColor="text1"/>
        </w:rPr>
        <w:t xml:space="preserve">. Για παράδειγμα, οι αντιτρομοκρατικοί νόμοι και οι νόμοι για τη χρηματοδότηση από το εξωτερικό μπορούν να </w:t>
      </w:r>
      <w:proofErr w:type="spellStart"/>
      <w:r>
        <w:rPr>
          <w:color w:val="000000" w:themeColor="text1"/>
        </w:rPr>
        <w:t>εργαλειοποιηθούν</w:t>
      </w:r>
      <w:proofErr w:type="spellEnd"/>
      <w:r>
        <w:rPr>
          <w:color w:val="000000" w:themeColor="text1"/>
        </w:rPr>
        <w:t xml:space="preserve">, ώστε να κλείσουν οργανώσεις που ασκούν κριτική στην κυβέρνηση, καθώς και να περιοριστεί το δικαίωμα του </w:t>
      </w:r>
      <w:proofErr w:type="spellStart"/>
      <w:r>
        <w:rPr>
          <w:color w:val="000000" w:themeColor="text1"/>
        </w:rPr>
        <w:t>συνεταιρίζεσθαι</w:t>
      </w:r>
      <w:proofErr w:type="spellEnd"/>
      <w:r>
        <w:rPr>
          <w:color w:val="000000" w:themeColor="text1"/>
        </w:rPr>
        <w:t xml:space="preserve"> και του </w:t>
      </w:r>
      <w:proofErr w:type="spellStart"/>
      <w:r>
        <w:rPr>
          <w:color w:val="000000" w:themeColor="text1"/>
        </w:rPr>
        <w:t>συνέρχεσθαι</w:t>
      </w:r>
      <w:proofErr w:type="spellEnd"/>
      <w:r>
        <w:rPr>
          <w:color w:val="000000" w:themeColor="text1"/>
        </w:rPr>
        <w:t>, γεγονός που δυσκολεύει τις ΟΚΠ να διοργανώνουν δημόσιες διαδηλώσεις, να πραγματοποιούν συναντήσεις ή να συμμετέχουν σε συλλογική υπεράσπιση.</w:t>
      </w:r>
    </w:p>
    <w:p w:rsidRPr="001F165D" w:rsidR="00C11E25" w:rsidP="00C11E25" w:rsidRDefault="00C11E25" w14:paraId="6FF28F24" w14:textId="77777777">
      <w:pPr>
        <w:rPr>
          <w:lang w:val="en-GB"/>
        </w:rPr>
      </w:pPr>
    </w:p>
    <w:p w:rsidRPr="001F165D" w:rsidR="00C11E25" w:rsidP="00C11E25" w:rsidRDefault="00C11E25" w14:paraId="476A3D75" w14:textId="77777777">
      <w:pPr>
        <w:pStyle w:val="Heading2"/>
        <w:rPr>
          <w:color w:val="000000" w:themeColor="text1"/>
        </w:rPr>
      </w:pPr>
      <w:r>
        <w:rPr>
          <w:color w:val="000000" w:themeColor="text1"/>
        </w:rPr>
        <w:t>Επιπλέον, ορισμένες κυβερνήσεις κρατών μελών του ASEAN ρυθμίζουν τις ΟΚΠ μέσω υποχρεωτικής εγγραφής (με απαιτήσεις γνωστοποίησης της χρηματοδότησης, των μελών και των δωρεών από το εξωτερικό), καθώς και υποχρεώσεων που διαφορετικά οδηγούν σε de facto απαγορεύσεις μέσω της μη εγγραφής. Το Ευρωπαϊκό Κοινοβούλιο ανέφερε ότι οι κυβερνητικά οργανωμένες ΜΚΟ (ΚΟΜΚΟ) περιθωριοποιούν όλο και περισσότερο την ανεξάρτητη κοινωνία των πολιτών, στρεβλώνοντας τις προθέσεις χρηματοδότησης της ΕΕ, ιδίως στην Καμπότζη</w:t>
      </w:r>
      <w:r w:rsidRPr="001F165D">
        <w:rPr>
          <w:color w:val="000000" w:themeColor="text1"/>
          <w:vertAlign w:val="superscript"/>
          <w:lang w:val="en-GB"/>
        </w:rPr>
        <w:footnoteReference w:id="17"/>
      </w:r>
      <w:r>
        <w:rPr>
          <w:color w:val="000000" w:themeColor="text1"/>
        </w:rPr>
        <w:t>.</w:t>
      </w:r>
    </w:p>
    <w:p w:rsidRPr="001F165D" w:rsidR="00C11E25" w:rsidP="00C11E25" w:rsidRDefault="00C11E25" w14:paraId="51C48233" w14:textId="77777777">
      <w:pPr>
        <w:rPr>
          <w:lang w:val="en-GB"/>
        </w:rPr>
      </w:pPr>
    </w:p>
    <w:p w:rsidRPr="001F165D" w:rsidR="00C11E25" w:rsidP="00C11E25" w:rsidRDefault="00C11E25" w14:paraId="7AC3D06A" w14:textId="77777777">
      <w:pPr>
        <w:pStyle w:val="Heading2"/>
        <w:rPr>
          <w:color w:val="000000" w:themeColor="text1"/>
        </w:rPr>
      </w:pPr>
      <w:r>
        <w:rPr>
          <w:color w:val="000000" w:themeColor="text1"/>
        </w:rPr>
        <w:t>Το Ευρωπαϊκό Κοινοβούλιο έχει παρατηρήσει μια ανησυχητική παγκόσμια τάση συρρίκνωσης του χώρου της κοινωνίας των πολιτών, όταν αυτή έχει αντίθετες απόψεις, τα τελευταία χρόνια</w:t>
      </w:r>
      <w:r w:rsidRPr="001F165D">
        <w:rPr>
          <w:color w:val="000000" w:themeColor="text1"/>
          <w:sz w:val="24"/>
          <w:vertAlign w:val="superscript"/>
          <w:lang w:val="en-GB"/>
        </w:rPr>
        <w:footnoteReference w:id="18"/>
      </w:r>
      <w:r>
        <w:rPr>
          <w:color w:val="000000" w:themeColor="text1"/>
        </w:rPr>
        <w:t xml:space="preserve">. Σε χώρες όπως η </w:t>
      </w:r>
      <w:proofErr w:type="spellStart"/>
      <w:r>
        <w:rPr>
          <w:color w:val="000000" w:themeColor="text1"/>
        </w:rPr>
        <w:t>Μιανμάρ</w:t>
      </w:r>
      <w:proofErr w:type="spellEnd"/>
      <w:r>
        <w:rPr>
          <w:color w:val="000000" w:themeColor="text1"/>
        </w:rPr>
        <w:t xml:space="preserve"> (πριν από και μετά το στρατιωτικό πραξικόπημα του 2021), η Ταϊλάνδη και το Βιετνάμ, η πρόοδος παραμένει σταδιακή, ιδίως για τους ακτιβιστές ανθρωπίνων δικαιωμάτων ή τους πολιτικούς ακτιβιστές</w:t>
      </w:r>
      <w:r w:rsidRPr="001F165D">
        <w:rPr>
          <w:color w:val="000000" w:themeColor="text1"/>
          <w:vertAlign w:val="superscript"/>
          <w:lang w:val="en-GB"/>
        </w:rPr>
        <w:footnoteReference w:id="19"/>
      </w:r>
      <w:r>
        <w:rPr>
          <w:color w:val="000000" w:themeColor="text1"/>
        </w:rPr>
        <w:t>. Οι οργανώσεις που δραστηριοποιούνται σε αυτές τις περιοχές δικαιοδοσίας αναφέρουν συχνά ότι υπόκεινται σε εκφοβισμό, παρενόχληση, πρωτόκολλα παρακολούθησης και, σε ορισμένες περιπτώσεις, δικαστική δίωξη για το υπερασπιστικό έργο τους</w:t>
      </w:r>
      <w:r w:rsidRPr="001F165D">
        <w:rPr>
          <w:color w:val="000000" w:themeColor="text1"/>
          <w:vertAlign w:val="superscript"/>
          <w:lang w:val="en-GB"/>
        </w:rPr>
        <w:footnoteReference w:id="20"/>
      </w:r>
      <w:r>
        <w:rPr>
          <w:color w:val="000000" w:themeColor="text1"/>
        </w:rPr>
        <w:t xml:space="preserve">. Στη </w:t>
      </w:r>
      <w:proofErr w:type="spellStart"/>
      <w:r>
        <w:rPr>
          <w:color w:val="000000" w:themeColor="text1"/>
        </w:rPr>
        <w:t>Μιανμάρ</w:t>
      </w:r>
      <w:proofErr w:type="spellEnd"/>
      <w:r>
        <w:rPr>
          <w:color w:val="000000" w:themeColor="text1"/>
        </w:rPr>
        <w:t>, από το στρατιωτικό πραξικόπημα και μετά, η χούντα συλλαμβάνει και φιμώνει τους ακτιβιστές, κλείνοντας πολλές οργανώσεις της κοινωνίας των πολιτών και καταπνίγοντας τα δημοκρατικά κινήματα.</w:t>
      </w:r>
    </w:p>
    <w:p w:rsidRPr="001F165D" w:rsidR="00C11E25" w:rsidP="00C11E25" w:rsidRDefault="00C11E25" w14:paraId="451F764F" w14:textId="77777777">
      <w:pPr>
        <w:pStyle w:val="Heading2"/>
        <w:numPr>
          <w:ilvl w:val="0"/>
          <w:numId w:val="0"/>
        </w:numPr>
        <w:rPr>
          <w:bCs/>
          <w:color w:val="000000" w:themeColor="text1"/>
          <w:lang w:val="en-GB"/>
        </w:rPr>
      </w:pPr>
    </w:p>
    <w:p w:rsidRPr="001F165D" w:rsidR="00C11E25" w:rsidP="00C11E25" w:rsidRDefault="00C11E25" w14:paraId="630A7BA8" w14:textId="77777777">
      <w:pPr>
        <w:pStyle w:val="Heading2"/>
        <w:keepNext/>
        <w:keepLines/>
        <w:numPr>
          <w:ilvl w:val="0"/>
          <w:numId w:val="0"/>
        </w:numPr>
        <w:rPr>
          <w:b/>
          <w:color w:val="000000" w:themeColor="text1"/>
        </w:rPr>
      </w:pPr>
      <w:r>
        <w:rPr>
          <w:b/>
          <w:color w:val="000000" w:themeColor="text1"/>
        </w:rPr>
        <w:t>Ψηφιακή διακυβέρνηση</w:t>
      </w:r>
    </w:p>
    <w:p w:rsidRPr="001F165D" w:rsidR="00C11E25" w:rsidP="00C11E25" w:rsidRDefault="00C11E25" w14:paraId="2436B666" w14:textId="77777777">
      <w:pPr>
        <w:pStyle w:val="Heading2"/>
        <w:keepNext/>
        <w:keepLines/>
        <w:numPr>
          <w:ilvl w:val="0"/>
          <w:numId w:val="0"/>
        </w:numPr>
        <w:rPr>
          <w:color w:val="000000" w:themeColor="text1"/>
          <w:lang w:val="en-GB"/>
        </w:rPr>
      </w:pPr>
    </w:p>
    <w:p w:rsidRPr="001F165D" w:rsidR="00C11E25" w:rsidP="00C11E25" w:rsidRDefault="00C11E25" w14:paraId="62001CC7" w14:textId="77777777">
      <w:pPr>
        <w:pStyle w:val="Heading2"/>
        <w:rPr>
          <w:color w:val="000000" w:themeColor="text1"/>
        </w:rPr>
      </w:pPr>
      <w:r>
        <w:rPr>
          <w:color w:val="000000" w:themeColor="text1"/>
        </w:rPr>
        <w:t xml:space="preserve">Οι χώρες της Νοτιοανατολικής Ασίας έχουν σημειώσει σημαντική πρόοδο στην ενίσχυση των ψηφιακών υποδομών τους και στην υλοποίηση πρωτοβουλιών ηλεκτρονικής διακυβέρνησης. Ωστόσο, η ψηφιακή παρακολούθηση είναι διαδεδομένη σε όλα τα κράτη μέλη του ASEAN, και ορισμένες κυβερνήσεις ενδέχεται να προβούν σε καταστολή και πολιτικό έλεγχο με μη βίαια μέσα, όπως η λογοκρισία και ο έλεγχος των ροών πληροφοριών. Οι τάσεις αυτές αντικατοπτρίζουν τα παγκόσμια πρότυπα συρρίκνωσης των διαδικτυακών ελευθεριών, που </w:t>
      </w:r>
      <w:r>
        <w:rPr>
          <w:color w:val="000000" w:themeColor="text1"/>
        </w:rPr>
        <w:lastRenderedPageBreak/>
        <w:t>επιταχύνθηκαν από τα μέτρα της περιόδου της πανδημίας. Οι ευκαιρίες συμμετοχής της ΕΕ περιλαμβάνουν την ενίσχυση της ψηφιακής ανθεκτικότητας με τη χρηματοδότηση ασφαλών εργαλείων επικοινωνίας και της κατάρτισης ακτιβιστών στον τομέα των ψηφιακών δικαιωμάτων.</w:t>
      </w:r>
    </w:p>
    <w:p w:rsidRPr="001F165D" w:rsidR="00C11E25" w:rsidP="00C11E25" w:rsidRDefault="00C11E25" w14:paraId="395CE133" w14:textId="77777777">
      <w:pPr>
        <w:rPr>
          <w:lang w:val="en-GB"/>
        </w:rPr>
      </w:pPr>
    </w:p>
    <w:p w:rsidRPr="001F165D" w:rsidR="00C11E25" w:rsidP="00C11E25" w:rsidRDefault="00C11E25" w14:paraId="3B383260" w14:textId="77777777">
      <w:pPr>
        <w:pStyle w:val="Heading1"/>
        <w:keepNext/>
        <w:keepLines/>
        <w:rPr>
          <w:b/>
          <w:bCs/>
        </w:rPr>
      </w:pPr>
      <w:r>
        <w:rPr>
          <w:b/>
        </w:rPr>
        <w:t>Εμπορικές σχέσεις ΕΕ-ASEAN: εμπόριο και βιώσιμη ανάπτυξη</w:t>
      </w:r>
    </w:p>
    <w:p w:rsidRPr="001F165D" w:rsidR="00C11E25" w:rsidP="00C11E25" w:rsidRDefault="00C11E25" w14:paraId="75F16656" w14:textId="77777777">
      <w:pPr>
        <w:keepNext/>
        <w:keepLines/>
        <w:rPr>
          <w:lang w:val="en-GB"/>
        </w:rPr>
      </w:pPr>
    </w:p>
    <w:p w:rsidRPr="001F165D" w:rsidR="00C11E25" w:rsidP="00C11E25" w:rsidRDefault="00C11E25" w14:paraId="48EFECCC" w14:textId="77777777">
      <w:pPr>
        <w:pStyle w:val="Heading2"/>
      </w:pPr>
      <w:r>
        <w:t xml:space="preserve">Η ΕΕ και ο ASEAN επιδιώκουν να εφαρμόσουν οικονομικά συστήματα μέσω διαφόρων οδών, εκτός από τις διμερείς ΣΕΣ: η Ινδονησία έχει πρόσβαση στην ενιαία αγορά της ΕΕ μέσω μειωμένων ή καταργημένων εισαγωγικών δασμών της ΕΕ στο πλαίσιο του συστήματος γενικευμένων προτιμήσεων (ΣΓΠ) της ΕΕ· οι Φιλιππίνες χαίρουν κινήτρων με βάση το ειδικό καθεστώς κινήτρων για τη βιώσιμη ανάπτυξη και τη χρηστή διακυβέρνηση (ΣΓΠ+), μια ειδική ρύθμιση που προϋποθέτει υψηλότερα πρότυπα βιώσιμης ανάπτυξης και διακυβέρνησης· η Καμπότζη παλαιότερα ωφελούνταν από ένα άλλο μονομερές σύστημα —Όλα εκτός από όπλα (ΟΕΟ)— αλλά οι προτιμήσεις της αποσύρθηκαν εν μέρει και προσωρινά· τέλος, το Λάος, η </w:t>
      </w:r>
      <w:proofErr w:type="spellStart"/>
      <w:r>
        <w:t>Μιανμάρ</w:t>
      </w:r>
      <w:proofErr w:type="spellEnd"/>
      <w:r>
        <w:t xml:space="preserve"> και το υποψήφιο μέλος του ASEAN, το Ανατολικό Τιμόρ, ωφελούνται επίσης από το καθεστώς ΟΕΟ.</w:t>
      </w:r>
    </w:p>
    <w:p w:rsidRPr="001F165D" w:rsidR="00C11E25" w:rsidP="00C11E25" w:rsidRDefault="00C11E25" w14:paraId="375C3C2E" w14:textId="77777777">
      <w:pPr>
        <w:pStyle w:val="Heading2"/>
        <w:numPr>
          <w:ilvl w:val="0"/>
          <w:numId w:val="0"/>
        </w:numPr>
        <w:rPr>
          <w:lang w:val="en-GB"/>
        </w:rPr>
      </w:pPr>
    </w:p>
    <w:p w:rsidRPr="001F165D" w:rsidR="00C11E25" w:rsidP="00C11E25" w:rsidRDefault="00C11E25" w14:paraId="687D8407" w14:textId="77777777">
      <w:pPr>
        <w:pStyle w:val="Heading2"/>
      </w:pPr>
      <w:r>
        <w:t xml:space="preserve">Επιπλέον, δύο εσωτερικές συμβουλευτικές ομάδες, που συστάθηκαν στο πλαίσιο των ΣΕΣ ΕΕ-Βιετνάμ και ΕΕ-Σιγκαπούρης, επιβλέπουν την υλοποίηση των δεσμεύσεων για τη βιώσιμη ανάπτυξη. Η επιτυχία των διαβουλεύσεων εξαρτάται από την ανεξαρτησία των ΟΚΠ, ωστόσο τα σημερινά μοντέλα συμμετοχής περιλαμβάνουν δυσανάλογα οργανώσεις που </w:t>
      </w:r>
      <w:proofErr w:type="spellStart"/>
      <w:r>
        <w:t>πρόσκεινται</w:t>
      </w:r>
      <w:proofErr w:type="spellEnd"/>
      <w:r>
        <w:t xml:space="preserve"> στην κυβέρνηση ή έχουν εγκριθεί από την κυβέρνηση.</w:t>
      </w:r>
    </w:p>
    <w:p w:rsidRPr="001F165D" w:rsidR="00C11E25" w:rsidP="00C11E25" w:rsidRDefault="00C11E25" w14:paraId="323F0026" w14:textId="77777777">
      <w:pPr>
        <w:pStyle w:val="Heading2"/>
        <w:numPr>
          <w:ilvl w:val="0"/>
          <w:numId w:val="0"/>
        </w:numPr>
        <w:rPr>
          <w:lang w:val="en-GB"/>
        </w:rPr>
      </w:pPr>
    </w:p>
    <w:p w:rsidRPr="001F165D" w:rsidR="00C11E25" w:rsidP="00C11E25" w:rsidRDefault="00C11E25" w14:paraId="35F57218" w14:textId="77777777">
      <w:pPr>
        <w:pStyle w:val="Heading2"/>
      </w:pPr>
      <w:r>
        <w:t>Το Βιετνάμ έχει επικυρώσει τη σύμβαση 105 της ΔΟΕ περί της αναγκαστικής εργασίας, αλλά η επικύρωση της σύμβασης 87 περί συνδικαλιστικής ελευθερίας και προστασίας συνδικαλιστικού δικαιώματος εκκρεμεί. Επιπλέον, η προστασία των εργαζομένων στο Βιετνάμ δεν έχει ακόμη επεκταθεί πλήρως στον άτυπο τομέα, που αντιπροσωπεύει πάνω από το 68 % του εργατικού δυναμικού</w:t>
      </w:r>
      <w:r w:rsidRPr="001F165D">
        <w:rPr>
          <w:vertAlign w:val="superscript"/>
          <w:lang w:val="en-GB"/>
        </w:rPr>
        <w:footnoteReference w:id="21"/>
      </w:r>
      <w:r>
        <w:t>. Η εσωτερική συμβουλευτική ομάδα ΕΕ-Βιετνάμ έχει επισημάνει τη συνεχιζόμενη απουσία πλήρως ανεξάρτητων συνδικαλιστικών οργανώσεων</w:t>
      </w:r>
      <w:r w:rsidRPr="001F165D">
        <w:rPr>
          <w:sz w:val="24"/>
          <w:szCs w:val="24"/>
          <w:vertAlign w:val="superscript"/>
          <w:lang w:val="en-GB"/>
        </w:rPr>
        <w:footnoteReference w:id="22"/>
      </w:r>
      <w:r>
        <w:t xml:space="preserve">. </w:t>
      </w:r>
    </w:p>
    <w:p w:rsidRPr="001F165D" w:rsidR="00C11E25" w:rsidP="00C11E25" w:rsidRDefault="00C11E25" w14:paraId="2426D6B7" w14:textId="77777777">
      <w:pPr>
        <w:pStyle w:val="Heading2"/>
        <w:numPr>
          <w:ilvl w:val="0"/>
          <w:numId w:val="0"/>
        </w:numPr>
        <w:rPr>
          <w:lang w:val="en-GB"/>
        </w:rPr>
      </w:pPr>
    </w:p>
    <w:p w:rsidRPr="001F165D" w:rsidR="00C11E25" w:rsidP="00C11E25" w:rsidRDefault="00C11E25" w14:paraId="0107F5B6" w14:textId="77777777">
      <w:pPr>
        <w:pStyle w:val="Heading2"/>
      </w:pPr>
      <w:r>
        <w:t>Τον Μάρτιο του 2025, η εσωτερική συμβουλευτική ομάδα της ΕΕ ανέφερε στην Επιτροπή Διεθνούς Εμπορίου (INTA) του Ευρωπαϊκού Κοινοβουλίου τις προκλήσεις που αντιμετωπίζει η κοινωνία των πολιτών στο Βιετνάμ, τονίζοντας τη συνεχιζόμενη σημασία των διά ζώσης επαφών με την κοινωνία των πολιτών στο πλαίσιο αυτό</w:t>
      </w:r>
      <w:r w:rsidRPr="001F165D">
        <w:rPr>
          <w:sz w:val="24"/>
          <w:vertAlign w:val="superscript"/>
          <w:lang w:val="en-GB"/>
        </w:rPr>
        <w:footnoteReference w:id="23"/>
      </w:r>
      <w:r>
        <w:t>.</w:t>
      </w:r>
    </w:p>
    <w:p w:rsidRPr="001F165D" w:rsidR="00C11E25" w:rsidP="00C11E25" w:rsidRDefault="00C11E25" w14:paraId="296A08AE" w14:textId="77777777">
      <w:pPr>
        <w:pStyle w:val="Heading2"/>
        <w:numPr>
          <w:ilvl w:val="0"/>
          <w:numId w:val="0"/>
        </w:numPr>
        <w:rPr>
          <w:lang w:val="en-GB"/>
        </w:rPr>
      </w:pPr>
    </w:p>
    <w:p w:rsidRPr="001F165D" w:rsidR="00C11E25" w:rsidP="00C11E25" w:rsidRDefault="00C11E25" w14:paraId="63DBD294" w14:textId="77777777">
      <w:pPr>
        <w:pStyle w:val="Heading2"/>
      </w:pPr>
      <w:r>
        <w:t>Η εσωτερική συμβουλευτική ομάδα που συστάθηκε στο πλαίσιο της ΣΕΣ ΕΕ-Σιγκαπούρης</w:t>
      </w:r>
      <w:r w:rsidRPr="001F165D">
        <w:rPr>
          <w:sz w:val="24"/>
          <w:vertAlign w:val="superscript"/>
          <w:lang w:val="en-GB"/>
        </w:rPr>
        <w:footnoteReference w:id="24"/>
      </w:r>
      <w:r>
        <w:t xml:space="preserve"> είναι η τελευταία από τις τέσσερις εσωτερικές συμβουλευτικές ομάδες στην περιοχή, κατόπιν συμφωνιών με την Κορέα, την Ιαπωνία και το Βιετνάμ. Ενώ η συμμετοχή και η συνεργασία της κοινωνίας των πολιτών έχουν αναπτυχθεί ικανοποιητικά, συνεχίζονται οι συζητήσεις ΕΒΑ </w:t>
      </w:r>
      <w:r>
        <w:lastRenderedPageBreak/>
        <w:t xml:space="preserve">σχετικά με την επικύρωση από τη Σιγκαπούρη της σύμβασης 87 και της σύμβασης 111 της ΔΟΕ για τη διάκριση στην απασχόληση και στο επάγγελμα. Στο πλαίσιο της ΣΕΣ ΕΕ-Σιγκαπούρης, και οι δύο ΕΣΟ τονίζουν την κρίσιμη σημασία της ελευθερίας του </w:t>
      </w:r>
      <w:proofErr w:type="spellStart"/>
      <w:r>
        <w:t>συνεταιρίζεσθαι</w:t>
      </w:r>
      <w:proofErr w:type="spellEnd"/>
      <w:r>
        <w:t xml:space="preserve"> ως δικαιώματος που διασφαλίζει την επίτευξη όλων των άλλων στόχων αξιοπρεπούς εργασίας. Η λεπτομερής ανάλυση των ελλείψεων της εθνικής νομοθεσίας για την επικύρωση των εκκρεμών θεμελιωδών συμβάσεων της ΔΟΕ, με τεχνική υποστήριξη της ΔΟΕ, θεωρείται βασικό εργαλείο.</w:t>
      </w:r>
    </w:p>
    <w:p w:rsidRPr="001F165D" w:rsidR="00C11E25" w:rsidP="00C11E25" w:rsidRDefault="00C11E25" w14:paraId="032A552B" w14:textId="77777777">
      <w:pPr>
        <w:pStyle w:val="Heading2"/>
        <w:numPr>
          <w:ilvl w:val="0"/>
          <w:numId w:val="0"/>
        </w:numPr>
        <w:rPr>
          <w:lang w:val="en-GB"/>
        </w:rPr>
      </w:pPr>
    </w:p>
    <w:p w:rsidRPr="001F165D" w:rsidR="00C11E25" w:rsidP="00C11E25" w:rsidRDefault="00C11E25" w14:paraId="0A1202E1" w14:textId="74BFF51A">
      <w:pPr>
        <w:pStyle w:val="Heading2"/>
      </w:pPr>
      <w:r>
        <w:t>Οι συμφωνίες ΕΕ-Σιγκαπούρης και ΕΕ-Βιετνάμ θεσπίζουν πολύτιμα πλαίσια για βιώσιμο εμπόριο, με τα κεφάλαια ΕΒΑ να αποτελούν κρίσιμο θεμέλιο. Με βάση την πρόοδο αυτήν, υπάρχει αυξανόμενη συναίνεση ότι η ενισχυμένη συμμετοχή των ενδιαφερόμενων μερών —ιδίως των μικρομεσαίων επιχειρήσεων (</w:t>
      </w:r>
      <w:proofErr w:type="spellStart"/>
      <w:r>
        <w:t>ΜμΕ</w:t>
      </w:r>
      <w:proofErr w:type="spellEnd"/>
      <w:r>
        <w:t>) και των ενδιαφερόμενων μερών του άτυπου τομέα— θα μπορούσε να καταστήσει την εφαρμογή πιο ισχυρή και συμπεριληπτική. Οι εξελίξεις αυτές θα ενισχύσουν περαιτέρω τους βασικούς στόχους των συμφωνιών για τη δημιουργία δίκαιων και βιώσιμων εμπορικών σχέσεων, αλλά θα απαιτούσαν επίσης από τα συμβαλλόμενα μέρη να κατανοήσουν τα καθήκοντα, τη λειτουργία και τις ανάγκες των ΕΣΟ και άλλων καθιερωμένων φόρουμ της κοινωνίας των πολιτών.</w:t>
      </w:r>
    </w:p>
    <w:p w:rsidRPr="001F165D" w:rsidR="00C11E25" w:rsidP="00C11E25" w:rsidRDefault="00C11E25" w14:paraId="70052451" w14:textId="77777777">
      <w:pPr>
        <w:pStyle w:val="Heading2"/>
        <w:numPr>
          <w:ilvl w:val="0"/>
          <w:numId w:val="0"/>
        </w:numPr>
        <w:rPr>
          <w:lang w:val="en-GB"/>
        </w:rPr>
      </w:pPr>
    </w:p>
    <w:p w:rsidRPr="001F165D" w:rsidR="00C11E25" w:rsidP="00C11E25" w:rsidRDefault="00C11E25" w14:paraId="104F1933" w14:textId="77777777">
      <w:pPr>
        <w:pStyle w:val="Heading2"/>
      </w:pPr>
      <w:r>
        <w:t>Σύμφωνα με την Ευρωπαϊκή Επιτροπή, ο συμπεριληπτικός διάλογος, μεταξύ άλλων ο διάλογος μεταξύ του δημόσιου και του ιδιωτικού τομέα, θα μπορούσε να αποδειχθεί επωφελής όσον αφορά τη διασφάλιση ότι οι εμπορικές πολιτικές αντικατοπτρίζουν τις ανάγκες όλων των οικονομικών παραγόντων</w:t>
      </w:r>
      <w:r w:rsidRPr="001F165D">
        <w:rPr>
          <w:vertAlign w:val="superscript"/>
          <w:lang w:val="en-GB"/>
        </w:rPr>
        <w:footnoteReference w:id="25"/>
      </w:r>
      <w:r>
        <w:t>. Υπάρχει ανάγκη για τα ακόλουθα:</w:t>
      </w:r>
    </w:p>
    <w:p w:rsidRPr="001F165D" w:rsidR="00C11E25" w:rsidP="00C11E25" w:rsidRDefault="00C11E25" w14:paraId="458685BB" w14:textId="77777777">
      <w:pPr>
        <w:pStyle w:val="Heading2"/>
        <w:numPr>
          <w:ilvl w:val="1"/>
          <w:numId w:val="3"/>
        </w:numPr>
        <w:ind w:left="851" w:hanging="284"/>
      </w:pPr>
      <w:r>
        <w:t>πρόσβαση σε τεχνικές πληροφορίες σχετικά με τους εμπορικούς κανονισμούς και τις απαιτήσεις συμμόρφωσης·</w:t>
      </w:r>
    </w:p>
    <w:p w:rsidRPr="001F165D" w:rsidR="00C11E25" w:rsidP="00C11E25" w:rsidRDefault="00C11E25" w14:paraId="54C5265B" w14:textId="77777777">
      <w:pPr>
        <w:pStyle w:val="Heading2"/>
        <w:numPr>
          <w:ilvl w:val="1"/>
          <w:numId w:val="3"/>
        </w:numPr>
        <w:ind w:left="851" w:hanging="284"/>
      </w:pPr>
      <w:proofErr w:type="spellStart"/>
      <w:r>
        <w:t>στοχευμένες</w:t>
      </w:r>
      <w:proofErr w:type="spellEnd"/>
      <w:r>
        <w:t xml:space="preserve"> πρωτοβουλίες ανάπτυξης ικανοτήτων για την ενίσχυση της συμμετοχής των </w:t>
      </w:r>
      <w:proofErr w:type="spellStart"/>
      <w:r>
        <w:t>ΜμΕ</w:t>
      </w:r>
      <w:proofErr w:type="spellEnd"/>
      <w:r>
        <w:t xml:space="preserve"> και των τοπικών επιχειρηματικών ενώσεων· και</w:t>
      </w:r>
    </w:p>
    <w:p w:rsidRPr="001F165D" w:rsidR="00C11E25" w:rsidP="00C11E25" w:rsidRDefault="00C11E25" w14:paraId="2A5D5F94" w14:textId="77777777">
      <w:pPr>
        <w:pStyle w:val="Heading2"/>
        <w:numPr>
          <w:ilvl w:val="1"/>
          <w:numId w:val="3"/>
        </w:numPr>
        <w:ind w:left="851" w:hanging="284"/>
      </w:pPr>
      <w:r>
        <w:t xml:space="preserve">καινοτόμα μοντέλα διαβούλευσης, συμπεριλαμβανομένων ψηφιακών </w:t>
      </w:r>
      <w:proofErr w:type="spellStart"/>
      <w:r>
        <w:t>πλατφορμών</w:t>
      </w:r>
      <w:proofErr w:type="spellEnd"/>
      <w:r>
        <w:t xml:space="preserve"> που καθιστούν δυνατή την ασφαλή και, όπου απαιτείται, ανώνυμη συμβολή· αυτές είναι πολύτιμες σε πλαίσια όπου η ανοικτή κριτική ενδέχεται να ενέχει επαγγελματικούς ή πολιτικούς κινδύνους.</w:t>
      </w:r>
    </w:p>
    <w:p w:rsidRPr="001F165D" w:rsidR="00C11E25" w:rsidP="00C11E25" w:rsidRDefault="00C11E25" w14:paraId="5B288788" w14:textId="77777777">
      <w:pPr>
        <w:pStyle w:val="Heading2"/>
        <w:numPr>
          <w:ilvl w:val="0"/>
          <w:numId w:val="0"/>
        </w:numPr>
        <w:rPr>
          <w:lang w:val="en-GB"/>
        </w:rPr>
      </w:pPr>
    </w:p>
    <w:p w:rsidRPr="001F165D" w:rsidR="00C11E25" w:rsidP="00C11E25" w:rsidRDefault="00C11E25" w14:paraId="3CE45349" w14:textId="77777777">
      <w:pPr>
        <w:pStyle w:val="Heading2"/>
      </w:pPr>
      <w:r>
        <w:t>Οι μελλοντικές διμερείς εμπορικές συμφωνίες της ΕΕ με την Ινδονησία, τη Μαλαισία, τις Φιλιππίνες και την Ταϊλάνδη έχουν τη δυνατότητα να αυξήσουν το βιοτικό επίπεδο και τους μισθούς των ειδικευμένων και ανειδίκευτων εργαζομένων στους τομείς της κλωστοϋφαντουργίας και των υποδημάτων, καθώς και στην αυτοκινητοβιομηχανία. Η αντιμετώπιση αυτών των ανησυχιών απαιτεί διαφοροποιημένη κατανόηση της αλληλεπίδρασης μεταξύ μισθών, συνθηκών απασχόλησης και μείωσης της φτώχειας για τις ευάλωτες ομάδες, όπως οι γυναίκες, οι νέοι και οι μειονότητες. Για τον λόγο αυτόν, η νομική προστασία που περιλαμβάνεται στα κεφάλαια ΕΒΑ διαδραματίζει κρίσιμο ρόλο στις αναπτυσσόμενες οικονομίες, από τη διασφάλιση της τήρησης των διεθνών εργασιακών προτύπων έως την προάσπιση των κατάλληλων συνθηκών εργασίας και της ασφάλειας στον χώρο εργασίας.</w:t>
      </w:r>
    </w:p>
    <w:p w:rsidRPr="001F165D" w:rsidR="00C11E25" w:rsidP="00C11E25" w:rsidRDefault="00C11E25" w14:paraId="1E5BDA0F" w14:textId="77777777">
      <w:pPr>
        <w:pStyle w:val="Heading2"/>
        <w:numPr>
          <w:ilvl w:val="0"/>
          <w:numId w:val="0"/>
        </w:numPr>
        <w:rPr>
          <w:lang w:val="en-GB"/>
        </w:rPr>
      </w:pPr>
    </w:p>
    <w:p w:rsidRPr="001F165D" w:rsidR="00C11E25" w:rsidP="00C11E25" w:rsidRDefault="00C11E25" w14:paraId="44C93050" w14:textId="77777777">
      <w:pPr>
        <w:pStyle w:val="Heading2"/>
        <w:keepNext/>
        <w:keepLines/>
        <w:numPr>
          <w:ilvl w:val="0"/>
          <w:numId w:val="0"/>
        </w:numPr>
        <w:rPr>
          <w:b/>
        </w:rPr>
      </w:pPr>
      <w:r>
        <w:rPr>
          <w:b/>
        </w:rPr>
        <w:lastRenderedPageBreak/>
        <w:t>Εργασιακά δικαιώματα και εκπροσώπηση των εργαζομένων</w:t>
      </w:r>
    </w:p>
    <w:p w:rsidRPr="001F165D" w:rsidR="00C11E25" w:rsidP="00C11E25" w:rsidRDefault="00C11E25" w14:paraId="754F561C" w14:textId="77777777">
      <w:pPr>
        <w:pStyle w:val="Heading2"/>
        <w:keepNext/>
        <w:keepLines/>
        <w:numPr>
          <w:ilvl w:val="0"/>
          <w:numId w:val="0"/>
        </w:numPr>
        <w:rPr>
          <w:sz w:val="16"/>
          <w:szCs w:val="16"/>
          <w:lang w:val="en-GB"/>
        </w:rPr>
      </w:pPr>
    </w:p>
    <w:p w:rsidRPr="001F165D" w:rsidR="00C11E25" w:rsidP="00C11E25" w:rsidRDefault="00C11E25" w14:paraId="7FA76355" w14:textId="77777777">
      <w:pPr>
        <w:pStyle w:val="Heading2"/>
      </w:pPr>
      <w:r>
        <w:t>Ο διάλογος ΕΕ-ASEAN σχετικά με τις συνθήκες εργασίας εξετάζει προσεκτικά τις ανισότητες μεταξύ των περιφερειακών προτύπων και των διεθνών δεικτών αναφοράς, με συνεχιζόμενες διαφορές στους μισθούς, την ασφάλεια και τη συνδικαλιστική εκπροσώπηση. Η ΔΟΕ έχει αναφέρει ότι πολλοί εργαζόμενοι στην περιοχή εξακολουθούν να αντιμετωπίζουν ελλείψεις σε αξιοπρεπείς θέσεις εργασίας</w:t>
      </w:r>
      <w:r w:rsidRPr="001F165D">
        <w:rPr>
          <w:sz w:val="24"/>
          <w:vertAlign w:val="superscript"/>
          <w:lang w:val="en-GB"/>
        </w:rPr>
        <w:footnoteReference w:id="26"/>
      </w:r>
      <w:r>
        <w:t>. Οι διεθνείς συνομοσπονδίες συνδικαλιστικών οργανώσεων δραστηριοποιούνται ενεργά στη Νοτιοανατολική Ασία· αυτές περιλαμβάνουν τη Διεθνή Συνομοσπονδία Συνδικαλιστικών Ενώσεων – Ασία-Ειρηνικός (ITUC-AP)</w:t>
      </w:r>
      <w:r w:rsidRPr="001F165D">
        <w:rPr>
          <w:vertAlign w:val="superscript"/>
          <w:lang w:val="en-GB"/>
        </w:rPr>
        <w:footnoteReference w:id="27"/>
      </w:r>
      <w:r>
        <w:t xml:space="preserve"> και την Παγκόσμια Συνδικαλιστική Ομοσπονδία (ΠΣΟ)</w:t>
      </w:r>
      <w:r w:rsidRPr="001F165D">
        <w:rPr>
          <w:vertAlign w:val="superscript"/>
          <w:lang w:val="en-GB"/>
        </w:rPr>
        <w:footnoteReference w:id="28"/>
      </w:r>
      <w:r>
        <w:t>, συμπεριλαμβανομένου του παραρτήματός της στην περιοχή Ασίας-Ειρηνικού (ΠΣΟ – Ασία-Ειρηνικός)</w:t>
      </w:r>
      <w:r w:rsidRPr="001F165D">
        <w:rPr>
          <w:vertAlign w:val="superscript"/>
          <w:lang w:val="en-GB"/>
        </w:rPr>
        <w:footnoteReference w:id="29"/>
      </w:r>
      <w:r>
        <w:t>, παράλληλα με δύο βασικές ενώσεις εργοδοτών, τη Συνομοσπονδία Εργοδοτών του ASEAN (ACE)</w:t>
      </w:r>
      <w:r w:rsidRPr="001F165D">
        <w:rPr>
          <w:vertAlign w:val="superscript"/>
          <w:lang w:val="en-GB"/>
        </w:rPr>
        <w:footnoteReference w:id="30"/>
      </w:r>
      <w:r>
        <w:t xml:space="preserve"> και τη Συνομοσπονδία Εργοδοτών Ασίας-Ειρηνικού (CAPE)</w:t>
      </w:r>
      <w:r w:rsidRPr="001F165D">
        <w:rPr>
          <w:vertAlign w:val="superscript"/>
          <w:lang w:val="en-GB"/>
        </w:rPr>
        <w:footnoteReference w:id="31"/>
      </w:r>
      <w:r>
        <w:t xml:space="preserve">. </w:t>
      </w:r>
    </w:p>
    <w:p w:rsidRPr="001F165D" w:rsidR="00C11E25" w:rsidP="00C11E25" w:rsidRDefault="00C11E25" w14:paraId="539ABB20" w14:textId="77777777">
      <w:pPr>
        <w:pStyle w:val="Heading2"/>
        <w:numPr>
          <w:ilvl w:val="0"/>
          <w:numId w:val="0"/>
        </w:numPr>
        <w:rPr>
          <w:lang w:val="en-GB"/>
        </w:rPr>
      </w:pPr>
    </w:p>
    <w:p w:rsidRPr="001F165D" w:rsidR="00C11E25" w:rsidP="00C11E25" w:rsidRDefault="00C11E25" w14:paraId="72098F37" w14:textId="77777777">
      <w:pPr>
        <w:pStyle w:val="Heading2"/>
      </w:pPr>
      <w:r>
        <w:t xml:space="preserve">Κατά τις τελευταίες δεκαετίες, ο ASEAN γνωρίζει θετική τάση όσον αφορά την κινητικότητα του εργατικού δυναμικού και την ανακατανομή των πόρων στη γεωργία, τη βιομηχανία και τις υπηρεσίες. Παρόλα αυτά, οι ευάλωτες ομάδες, όπως οι γυναίκες και οι νέοι, μένουν στο περιθώριο, καθώς συχνά εξαρτώνται από τη μη αμειβόμενη οικογενειακή εργασία και την απασχόληση στον άτυπο τομέα, ιδίως οι </w:t>
      </w:r>
      <w:proofErr w:type="spellStart"/>
      <w:r>
        <w:t>εθνοτικές</w:t>
      </w:r>
      <w:proofErr w:type="spellEnd"/>
      <w:r>
        <w:t xml:space="preserve"> μειονότητες. </w:t>
      </w:r>
    </w:p>
    <w:p w:rsidRPr="001F165D" w:rsidR="00C11E25" w:rsidP="00C11E25" w:rsidRDefault="00C11E25" w14:paraId="73C833F4" w14:textId="77777777">
      <w:pPr>
        <w:pStyle w:val="Heading2"/>
        <w:numPr>
          <w:ilvl w:val="0"/>
          <w:numId w:val="0"/>
        </w:numPr>
        <w:rPr>
          <w:lang w:val="en-GB"/>
        </w:rPr>
      </w:pPr>
    </w:p>
    <w:p w:rsidRPr="001F165D" w:rsidR="00C11E25" w:rsidP="00C11E25" w:rsidRDefault="00C11E25" w14:paraId="627E04F6" w14:textId="77777777">
      <w:pPr>
        <w:pStyle w:val="Heading2"/>
      </w:pPr>
      <w:r>
        <w:t>Η ΔΟΕ αναφέρει επίσης ότι οι συνδικαλιστικές οργανώσεις και η κοινωνία των πολιτών αντιμετωπίζουν συνεχιζόμενα εμπόδια, όπως τα ακόλουθα</w:t>
      </w:r>
      <w:r w:rsidRPr="001F165D">
        <w:rPr>
          <w:vertAlign w:val="superscript"/>
          <w:lang w:val="en-GB"/>
        </w:rPr>
        <w:footnoteReference w:id="32"/>
      </w:r>
      <w:r>
        <w:t>:</w:t>
      </w:r>
    </w:p>
    <w:p w:rsidRPr="001F165D" w:rsidR="00C11E25" w:rsidP="00C11E25" w:rsidRDefault="00C11E25" w14:paraId="17912BCF" w14:textId="77777777">
      <w:pPr>
        <w:pStyle w:val="Heading2"/>
        <w:numPr>
          <w:ilvl w:val="1"/>
          <w:numId w:val="4"/>
        </w:numPr>
        <w:ind w:left="851" w:hanging="284"/>
      </w:pPr>
      <w:r>
        <w:t xml:space="preserve">περιορισμοί στη σύσταση συνδικαλιστικών οργανώσεων και στις συλλογικές διαπραγματεύσεις· </w:t>
      </w:r>
    </w:p>
    <w:p w:rsidRPr="001F165D" w:rsidR="00C11E25" w:rsidP="00C11E25" w:rsidRDefault="00C11E25" w14:paraId="374A60E4" w14:textId="77777777">
      <w:pPr>
        <w:pStyle w:val="Heading2"/>
        <w:numPr>
          <w:ilvl w:val="1"/>
          <w:numId w:val="4"/>
        </w:numPr>
        <w:ind w:left="851" w:hanging="284"/>
      </w:pPr>
      <w:r>
        <w:t xml:space="preserve">μειωμένη δυνατότητα άσκησης των ανθρωπίνων δικαιωμάτων (δικαίωμα του </w:t>
      </w:r>
      <w:proofErr w:type="spellStart"/>
      <w:r>
        <w:t>συνεταιρίζεσθαι</w:t>
      </w:r>
      <w:proofErr w:type="spellEnd"/>
      <w:r>
        <w:t xml:space="preserve"> και δικαίωμα οργάνωσης) για ορισμένες ομάδες εργαζομένων, ιδίως εκείνες του άτυπου τομέα· </w:t>
      </w:r>
    </w:p>
    <w:p w:rsidRPr="001F165D" w:rsidR="00C11E25" w:rsidP="00C11E25" w:rsidRDefault="00C11E25" w14:paraId="3B73E99D" w14:textId="77777777">
      <w:pPr>
        <w:pStyle w:val="Heading2"/>
        <w:numPr>
          <w:ilvl w:val="1"/>
          <w:numId w:val="4"/>
        </w:numPr>
        <w:ind w:left="851" w:hanging="284"/>
      </w:pPr>
      <w:r>
        <w:t>γενική μείωση των μελών των συνδικαλιστικών οργανώσεων και της κάλυψης των συλλογικών διαπραγματεύσεων, παράλληλα με αύξηση των νέων εργασιακών ρυθμίσεων·</w:t>
      </w:r>
    </w:p>
    <w:p w:rsidRPr="001F165D" w:rsidR="00C11E25" w:rsidP="00C11E25" w:rsidRDefault="00C11E25" w14:paraId="68D5FD41" w14:textId="77777777">
      <w:pPr>
        <w:pStyle w:val="Heading2"/>
        <w:numPr>
          <w:ilvl w:val="1"/>
          <w:numId w:val="4"/>
        </w:numPr>
        <w:ind w:left="851" w:hanging="284"/>
      </w:pPr>
      <w:r>
        <w:t xml:space="preserve">εθνικές πολιτικές που περιορίζουν το δικαίωμα του </w:t>
      </w:r>
      <w:proofErr w:type="spellStart"/>
      <w:r>
        <w:t>συνεταιρίζεσθαι</w:t>
      </w:r>
      <w:proofErr w:type="spellEnd"/>
      <w:r>
        <w:t>·</w:t>
      </w:r>
    </w:p>
    <w:p w:rsidRPr="001F165D" w:rsidR="00C11E25" w:rsidP="00C11E25" w:rsidRDefault="00C11E25" w14:paraId="7461A2EB" w14:textId="77777777">
      <w:pPr>
        <w:pStyle w:val="Heading2"/>
        <w:numPr>
          <w:ilvl w:val="1"/>
          <w:numId w:val="4"/>
        </w:numPr>
        <w:ind w:left="851" w:hanging="284"/>
      </w:pPr>
      <w:r>
        <w:t>έλλειψη επαρκών διαύλων εκπροσώπησης των εργαζομένων·</w:t>
      </w:r>
    </w:p>
    <w:p w:rsidRPr="001F165D" w:rsidR="00C11E25" w:rsidP="00C11E25" w:rsidRDefault="00C11E25" w14:paraId="60B3F852" w14:textId="77777777">
      <w:pPr>
        <w:pStyle w:val="Heading2"/>
        <w:numPr>
          <w:ilvl w:val="1"/>
          <w:numId w:val="4"/>
        </w:numPr>
        <w:ind w:left="851" w:hanging="284"/>
      </w:pPr>
      <w:r>
        <w:t>αναποτελεσματικά και αναξιόπιστα συστήματα επίλυσης εργατικών διαφορών·</w:t>
      </w:r>
    </w:p>
    <w:p w:rsidRPr="001F165D" w:rsidR="00C11E25" w:rsidP="00C11E25" w:rsidRDefault="00C11E25" w14:paraId="734A51CE" w14:textId="77777777">
      <w:pPr>
        <w:pStyle w:val="Heading2"/>
        <w:numPr>
          <w:ilvl w:val="1"/>
          <w:numId w:val="4"/>
        </w:numPr>
        <w:ind w:left="851" w:hanging="284"/>
      </w:pPr>
      <w:r>
        <w:t>γενικά κενά πολιτικής που εστιάζουν στην εφαρμογή των θεμελιωδών δικαιωμάτων για την επίσημη απασχόληση, εξαιρουμένου του άτυπου τομέα· και</w:t>
      </w:r>
    </w:p>
    <w:p w:rsidRPr="001F165D" w:rsidR="00C11E25" w:rsidP="00C11E25" w:rsidRDefault="00C11E25" w14:paraId="05313AE2" w14:textId="77777777">
      <w:pPr>
        <w:pStyle w:val="Heading2"/>
        <w:numPr>
          <w:ilvl w:val="1"/>
          <w:numId w:val="4"/>
        </w:numPr>
        <w:ind w:left="851" w:hanging="284"/>
      </w:pPr>
      <w:r>
        <w:t xml:space="preserve">έλλειψη προστασίας των δικαιωμάτων των διακινούμενων εργαζομένων. </w:t>
      </w:r>
    </w:p>
    <w:p w:rsidRPr="001F165D" w:rsidR="00C11E25" w:rsidP="00C11E25" w:rsidRDefault="00C11E25" w14:paraId="4CACAB12" w14:textId="77777777">
      <w:pPr>
        <w:pStyle w:val="Heading2"/>
        <w:numPr>
          <w:ilvl w:val="0"/>
          <w:numId w:val="0"/>
        </w:numPr>
        <w:rPr>
          <w:lang w:val="en-GB"/>
        </w:rPr>
      </w:pPr>
    </w:p>
    <w:p w:rsidRPr="001F165D" w:rsidR="00C11E25" w:rsidP="00C11E25" w:rsidRDefault="00C11E25" w14:paraId="172BA982" w14:textId="77777777">
      <w:pPr>
        <w:pStyle w:val="Heading2"/>
      </w:pPr>
      <w:r>
        <w:lastRenderedPageBreak/>
        <w:t>Άλλα ζητήματα είναι η περιορισμένη κάλυψη κοινωνικής ασφάλισης, οι χαμηλοί μισθοί και ο μεγάλος αριθμός εργαζομένων που εργάζονται υπερωρίες</w:t>
      </w:r>
      <w:r w:rsidRPr="001F165D">
        <w:rPr>
          <w:vertAlign w:val="superscript"/>
          <w:lang w:val="en-GB"/>
        </w:rPr>
        <w:footnoteReference w:id="33"/>
      </w:r>
      <w:r>
        <w:t xml:space="preserve">. Ενώ η Ινδονησία έχει θεσπίσει περιφερειακά πρότυπα κατώτατου μισθού, εξακολουθούν να υπάρχουν προκλήσεις όσον αφορά τη διασφάλιση δίκαιης αποζημίωσης για τους εργαζομένους χαμηλότερης ειδίκευσης. Αυτό αντικατοπτρίζει τα κενά στην ικανότητα εφαρμογής και τους μηχανισμούς συλλογικών διαπραγματεύσεων, ιδίως στα εργοστάσια όπου απουσιάζουν οι συνδικαλιστικές οργανώσεις. Η Ινδονησία αποσύρθηκε πρόσφατα από τη σύμβαση της ΔΟΕ περί χρησιμοποιήσεως γυναικών εις υπογείους εργασίας (αριθ. 45, 1935) και δεν έχει ακόμη επικυρώσει τη σύμβαση για την ασφάλεια και την υγεία των εργαζομένων (αριθ. 155, 1981) ή δεν έχει τηρήσει την ατζέντα της ΔΟΕ για την αξιοπρεπή εργασία. </w:t>
      </w:r>
    </w:p>
    <w:p w:rsidRPr="001F165D" w:rsidR="00C11E25" w:rsidP="00C11E25" w:rsidRDefault="00C11E25" w14:paraId="01129D26" w14:textId="77777777">
      <w:pPr>
        <w:pStyle w:val="Heading2"/>
        <w:numPr>
          <w:ilvl w:val="0"/>
          <w:numId w:val="0"/>
        </w:numPr>
        <w:rPr>
          <w:lang w:val="en-GB"/>
        </w:rPr>
      </w:pPr>
    </w:p>
    <w:p w:rsidRPr="001F165D" w:rsidR="00C11E25" w:rsidP="00C11E25" w:rsidRDefault="00C11E25" w14:paraId="422361C5" w14:textId="77777777">
      <w:pPr>
        <w:pStyle w:val="Heading2"/>
      </w:pPr>
      <w:r>
        <w:t>Οι Φιλιππίνες διαθέτουν το πλέον ολοκληρωμένο νομικό πλαίσιο για τα εργασιακά πρότυπα σε σχέση με οποιαδήποτε άλλη χώρα του ASEAN</w:t>
      </w:r>
      <w:r w:rsidRPr="001F165D">
        <w:rPr>
          <w:sz w:val="24"/>
          <w:vertAlign w:val="superscript"/>
          <w:lang w:val="en-GB"/>
        </w:rPr>
        <w:footnoteReference w:id="34"/>
      </w:r>
      <w:r>
        <w:t xml:space="preserve">. Ωστόσο, οι επίσημα απασχολούμενοι εργαζόμενοι εξακολουθούν να αποτελούν μειονότητα του εργατικού δυναμικού. Επιπλέον, στις Φιλιππίνες, οι εργαζόμενοι με τον κατώτατο μισθό απολαμβάνουν υψηλότερους μισθούς σε σχέση με εκείνους στις γειτονικές χώρες, όπως η Ταϊλάνδη, το Βιετνάμ και η Ινδονησία. </w:t>
      </w:r>
    </w:p>
    <w:p w:rsidRPr="001F165D" w:rsidR="00C11E25" w:rsidP="00C11E25" w:rsidRDefault="00C11E25" w14:paraId="626A876D" w14:textId="77777777">
      <w:pPr>
        <w:pStyle w:val="Heading2"/>
        <w:numPr>
          <w:ilvl w:val="0"/>
          <w:numId w:val="0"/>
        </w:numPr>
        <w:rPr>
          <w:lang w:val="en-GB"/>
        </w:rPr>
      </w:pPr>
    </w:p>
    <w:p w:rsidRPr="001F165D" w:rsidR="00C11E25" w:rsidP="00C11E25" w:rsidRDefault="00C11E25" w14:paraId="2BDA4321" w14:textId="77777777">
      <w:pPr>
        <w:pStyle w:val="Heading2"/>
      </w:pPr>
      <w:r>
        <w:t xml:space="preserve">Σύμφωνα με το Δίκτυο των Ηνωμένων Εθνών για τη μετανάστευση, οι διακινούμενοι εργαζόμενοι στην Ταϊλάνδη (από τη </w:t>
      </w:r>
      <w:proofErr w:type="spellStart"/>
      <w:r>
        <w:t>Μιανμάρ</w:t>
      </w:r>
      <w:proofErr w:type="spellEnd"/>
      <w:r>
        <w:t xml:space="preserve"> και την Καμπότζη) εξακολουθούν να αντιμετωπίζουν προκλήσεις όσον αφορά τα πρότυπα και τις συνθήκες εργασίας</w:t>
      </w:r>
      <w:r w:rsidRPr="001F165D">
        <w:rPr>
          <w:sz w:val="24"/>
          <w:vertAlign w:val="superscript"/>
          <w:lang w:val="en-GB"/>
        </w:rPr>
        <w:footnoteReference w:id="35"/>
      </w:r>
      <w:r>
        <w:t xml:space="preserve">. Η Ταϊλάνδη δεν είναι συμβαλλόμενο μέρος της Σύμβασης του 1951 για το καθεστώς των προσφύγων και δεν διαθέτει αποτελεσματικούς εθνικούς μηχανισμούς για την αξιολόγηση των αιτήσεων ασύλου. </w:t>
      </w:r>
    </w:p>
    <w:p w:rsidRPr="001F165D" w:rsidR="00C11E25" w:rsidP="00C11E25" w:rsidRDefault="00C11E25" w14:paraId="6F4E1D5B" w14:textId="77777777">
      <w:pPr>
        <w:pStyle w:val="Heading2"/>
        <w:numPr>
          <w:ilvl w:val="0"/>
          <w:numId w:val="0"/>
        </w:numPr>
        <w:rPr>
          <w:lang w:val="en-GB"/>
        </w:rPr>
      </w:pPr>
    </w:p>
    <w:p w:rsidRPr="001F165D" w:rsidR="00C11E25" w:rsidP="00C11E25" w:rsidRDefault="00C11E25" w14:paraId="22C91A21" w14:textId="77777777">
      <w:pPr>
        <w:pStyle w:val="Heading2"/>
        <w:keepNext/>
        <w:keepLines/>
        <w:numPr>
          <w:ilvl w:val="0"/>
          <w:numId w:val="0"/>
        </w:numPr>
      </w:pPr>
      <w:r>
        <w:rPr>
          <w:b/>
        </w:rPr>
        <w:t>Περιβαλλοντικά ζητήματα</w:t>
      </w:r>
    </w:p>
    <w:p w:rsidRPr="001F165D" w:rsidR="00C11E25" w:rsidP="00C11E25" w:rsidRDefault="00C11E25" w14:paraId="17FC3763" w14:textId="77777777">
      <w:pPr>
        <w:pStyle w:val="Heading2"/>
        <w:keepNext/>
        <w:keepLines/>
        <w:numPr>
          <w:ilvl w:val="0"/>
          <w:numId w:val="0"/>
        </w:numPr>
        <w:rPr>
          <w:sz w:val="16"/>
          <w:szCs w:val="16"/>
          <w:lang w:val="en-GB"/>
        </w:rPr>
      </w:pPr>
    </w:p>
    <w:p w:rsidRPr="001F165D" w:rsidR="00C11E25" w:rsidP="00C11E25" w:rsidRDefault="00C11E25" w14:paraId="41E58ACF" w14:textId="77777777">
      <w:pPr>
        <w:pStyle w:val="Heading2"/>
      </w:pPr>
      <w:r>
        <w:t>Η ΕΕ και ο ASEAN αντιμετωπίζουν επαναλαμβανόμενες εντάσεις που απορρέουν από αποκλίνουσες προσεγγίσεις όσον αφορά την περιβαλλοντική διακυβέρνηση. Διάφορες ρυθμιστικές πρωτοβουλίες της ΕΕ, όπως η οδηγία για την ενέργεια από ανανεώσιμες πηγές (RED II), ο μηχανισμός συνοριακής προσαρμογής άνθρακα (ΜΣΠΑ) και ο κανονισμός για την αποψίλωση των δασών (EUDR), έχουν εγείρει ανησυχίες μεταξύ των μελών του ASEAN.</w:t>
      </w:r>
    </w:p>
    <w:p w:rsidRPr="001F165D" w:rsidR="00C11E25" w:rsidP="00C11E25" w:rsidRDefault="00C11E25" w14:paraId="1E0B09BB" w14:textId="77777777">
      <w:pPr>
        <w:pStyle w:val="Heading2"/>
        <w:numPr>
          <w:ilvl w:val="0"/>
          <w:numId w:val="0"/>
        </w:numPr>
        <w:rPr>
          <w:lang w:val="en-GB"/>
        </w:rPr>
      </w:pPr>
    </w:p>
    <w:p w:rsidRPr="001F165D" w:rsidR="00C11E25" w:rsidP="00C11E25" w:rsidRDefault="00C11E25" w14:paraId="28811F4E" w14:textId="77777777">
      <w:pPr>
        <w:pStyle w:val="Heading2"/>
      </w:pPr>
      <w:r>
        <w:t xml:space="preserve">Οι εντάσεις αυτές είναι ιδιαίτερα εμφανείς στον τομέα του φοινικέλαιου. Η Ινδονησία και η Μαλαισία, που είναι σημαντικοί </w:t>
      </w:r>
      <w:proofErr w:type="spellStart"/>
      <w:r>
        <w:t>εξαγωγείς</w:t>
      </w:r>
      <w:proofErr w:type="spellEnd"/>
      <w:r>
        <w:t xml:space="preserve"> φοινικέλαιου παγκοσμίως, αντιπροσωπεύουν το 90 % της παγκόσμιας παραγωγής και στηρίζουν πάνω από 4,5 εκατομμύρια θέσεις εργασίας στον τομέα. Από το 2023, η Ινδονησία και η Μαλαισία συμμετέχουν στην κοινή ειδική ομάδα με την Ευρωπαϊκή Επιτροπή, που συστάθηκε για την ανταλλαγή απόψεων και προτάσεων σχετικά με το φοινικέλαιο. Για αρκετά χρόνια, οι </w:t>
      </w:r>
      <w:proofErr w:type="spellStart"/>
      <w:r>
        <w:t>εξαγωγείς</w:t>
      </w:r>
      <w:proofErr w:type="spellEnd"/>
      <w:r>
        <w:t xml:space="preserve"> φοινικέλαιου στην ευρωπαϊκή αγορά </w:t>
      </w:r>
      <w:proofErr w:type="spellStart"/>
      <w:r>
        <w:t>βιοντίζελ</w:t>
      </w:r>
      <w:proofErr w:type="spellEnd"/>
      <w:r>
        <w:t xml:space="preserve"> έπρεπε να είναι πιστοποιημένοι, ώστε να συμμορφώνονται με αυστηρά περιβαλλοντικά πρότυπα. Το 2022, η οδηγία RED II κατέστησε υποχρεωτική την απόσυρση του φοινικέλαιου από την αγορά της ΕΕ. Το 2024, ο Παγκόσμιος Οργανισμός Εμπορίου (ΠΟΕ) </w:t>
      </w:r>
      <w:r>
        <w:lastRenderedPageBreak/>
        <w:t>επιβεβαίωσε τη δυνατότητα της ΕΕ να αναλάβει αυτήν τη δράση, αποφαινόμενος ότι η ΕΕ δεν χρειαζόταν να αποσύρει το μέτρο της, αλλά απλώς να προσαρμόσει τη νομοθεσία της, προκειμένου να διασφαλίσει τη συμμόρφωση με τους κανόνες του ΠΟΕ.</w:t>
      </w:r>
    </w:p>
    <w:p w:rsidRPr="001F165D" w:rsidR="00C11E25" w:rsidP="00C11E25" w:rsidRDefault="00C11E25" w14:paraId="7C9ABB0A" w14:textId="77777777">
      <w:pPr>
        <w:pStyle w:val="Heading2"/>
        <w:numPr>
          <w:ilvl w:val="0"/>
          <w:numId w:val="0"/>
        </w:numPr>
        <w:rPr>
          <w:lang w:val="en-GB"/>
        </w:rPr>
      </w:pPr>
    </w:p>
    <w:p w:rsidRPr="001F165D" w:rsidR="00C11E25" w:rsidP="00C11E25" w:rsidRDefault="00C11E25" w14:paraId="57066851" w14:textId="77777777">
      <w:pPr>
        <w:pStyle w:val="Heading2"/>
      </w:pPr>
      <w:r>
        <w:t>Έκτοτε, ο κανονισμός για την αποψίλωση των δασών (EUDR) έχει αναβληθεί για το 2026 από τους υπουργούς Γεωργίας της ΕΕ. Η Ινδονησία, που αντιτίθεται σθεναρά στον EUDR, ηγείται περιφερειακών προσπαθειών για τη διαμόρφωση κοινής απάντησης σε επίπεδο ASEAN με βάση τον πιθανό οικονομικό αντίκτυπο των κανονισμών αυτών στα βασικά προϊόντα εξαγωγής της. Η Μαλαισία και η Ταϊλάνδη συμμερίζονται επίσης τη θέση αυτή. Το 2024, η Σιγκαπούρη κάλεσε μετ’ επιτάσεως την ΕΕ να εξετάσει το ενδεχόμενο υιοθέτησης λιγότερο επαχθούς προσέγγισης, για τη μείωση του κόστους συμμόρφωσης του κλάδου και τη διασφάλιση ότι τα μέτρα που επιβάλλονται δεν περιορίζουν το εμπόριο περισσότερο από ό,τι είναι αναγκαίο. Η συνταγματική αναγνώριση των δικαιωμάτων των αυτοχθόνων πληθυσμών από την Ινδονησία δεν έχει ακόμη εφαρμοστεί ομοιόμορφα, ιδίως σε περιοχές πλούσιες σε πόρους, όπου εξακολουθούν να υπάρχουν εδαφικές διαφορές. Η αυξανόμενη ζήτηση για προϊόντα δασοκομίας και ξυλείας θα μπορούσε να ενέχει τον κίνδυνο αύξησης των παραβιάσεων των ανθρωπίνων δικαιωμάτων.</w:t>
      </w:r>
    </w:p>
    <w:p w:rsidRPr="001F165D" w:rsidR="00C11E25" w:rsidP="00C11E25" w:rsidRDefault="00C11E25" w14:paraId="2BDCC4AB" w14:textId="77777777">
      <w:pPr>
        <w:pStyle w:val="Heading2"/>
        <w:numPr>
          <w:ilvl w:val="0"/>
          <w:numId w:val="0"/>
        </w:numPr>
        <w:rPr>
          <w:lang w:val="en-GB"/>
        </w:rPr>
      </w:pPr>
    </w:p>
    <w:p w:rsidRPr="001F165D" w:rsidR="00C11E25" w:rsidP="00C11E25" w:rsidRDefault="00C11E25" w14:paraId="4F719469" w14:textId="77777777">
      <w:pPr>
        <w:pStyle w:val="Heading2"/>
      </w:pPr>
      <w:r>
        <w:t>Σημαντική πρόοδος έχει σημειωθεί στο πλαίσιο της Επιτροπής διαχείρισης της αλιείας τόνου του Ινδικού Ωκεανού (IOTC), με την έγκριση έντεκα νέων μέτρων διατήρησης και διαχείρισης για την ενίσχυση της βιωσιμότητας της αλιείας στον Ινδικό Ωκεανό</w:t>
      </w:r>
      <w:r w:rsidRPr="001F165D">
        <w:rPr>
          <w:vertAlign w:val="superscript"/>
          <w:lang w:val="en-GB"/>
        </w:rPr>
        <w:footnoteReference w:id="36"/>
      </w:r>
      <w:r>
        <w:t xml:space="preserve">. Στις αποφάσεις-ορόσημα περιλαμβάνεται ένα ολοκληρωμένο πλαίσιο για τις παρασυρόμενες διατάξεις συγκέντρωσης ιχθύων (FAD), συμπεριλαμβανομένης της άμεσης απαγόρευσης των πλήρως μη </w:t>
      </w:r>
      <w:proofErr w:type="spellStart"/>
      <w:r>
        <w:t>βιοαποδομήσιμων</w:t>
      </w:r>
      <w:proofErr w:type="spellEnd"/>
      <w:r>
        <w:t xml:space="preserve"> παρασυρόμενων FAD και της σταδιακής κατάργησης όλων των μη </w:t>
      </w:r>
      <w:proofErr w:type="spellStart"/>
      <w:r>
        <w:t>βιοαποδομήσιμων</w:t>
      </w:r>
      <w:proofErr w:type="spellEnd"/>
      <w:r>
        <w:t xml:space="preserve"> στοιχείων, με απαίτηση για πλήρη μετάβαση σε </w:t>
      </w:r>
      <w:proofErr w:type="spellStart"/>
      <w:r>
        <w:t>βιοαποδομήσιμες</w:t>
      </w:r>
      <w:proofErr w:type="spellEnd"/>
      <w:r>
        <w:t xml:space="preserve"> FAD έως το 2030</w:t>
      </w:r>
      <w:r w:rsidRPr="001F165D">
        <w:rPr>
          <w:vertAlign w:val="superscript"/>
          <w:lang w:val="en-GB"/>
        </w:rPr>
        <w:footnoteReference w:id="37"/>
      </w:r>
      <w:r>
        <w:t>.</w:t>
      </w:r>
    </w:p>
    <w:p w:rsidRPr="001F165D" w:rsidR="00C11E25" w:rsidP="00C11E25" w:rsidRDefault="00C11E25" w14:paraId="53575423" w14:textId="77777777">
      <w:pPr>
        <w:pStyle w:val="Heading2"/>
        <w:numPr>
          <w:ilvl w:val="0"/>
          <w:numId w:val="0"/>
        </w:numPr>
        <w:rPr>
          <w:lang w:val="en-GB"/>
        </w:rPr>
      </w:pPr>
    </w:p>
    <w:p w:rsidRPr="001F165D" w:rsidR="00C11E25" w:rsidP="00C11E25" w:rsidRDefault="00C11E25" w14:paraId="5843B44E" w14:textId="77777777">
      <w:pPr>
        <w:pStyle w:val="Heading2"/>
        <w:keepNext/>
        <w:keepLines/>
        <w:numPr>
          <w:ilvl w:val="0"/>
          <w:numId w:val="0"/>
        </w:numPr>
        <w:rPr>
          <w:b/>
        </w:rPr>
      </w:pPr>
      <w:r>
        <w:rPr>
          <w:b/>
        </w:rPr>
        <w:t>Ανθρώπινα δικαιώματα</w:t>
      </w:r>
    </w:p>
    <w:p w:rsidRPr="001F165D" w:rsidR="00C11E25" w:rsidP="00C11E25" w:rsidRDefault="00C11E25" w14:paraId="3868FC43" w14:textId="77777777">
      <w:pPr>
        <w:pStyle w:val="Heading2"/>
        <w:keepNext/>
        <w:keepLines/>
        <w:numPr>
          <w:ilvl w:val="0"/>
          <w:numId w:val="0"/>
        </w:numPr>
        <w:rPr>
          <w:sz w:val="16"/>
          <w:szCs w:val="16"/>
          <w:lang w:val="en-GB"/>
        </w:rPr>
      </w:pPr>
    </w:p>
    <w:p w:rsidRPr="001F165D" w:rsidR="00C11E25" w:rsidP="00C11E25" w:rsidRDefault="00C11E25" w14:paraId="2EA26DB5" w14:textId="77777777">
      <w:pPr>
        <w:pStyle w:val="Heading2"/>
      </w:pPr>
      <w:r>
        <w:t xml:space="preserve">Τέλος, η πορεία της ανάπτυξης των ανθρωπίνων δικαιωμάτων διαφέρει σημαντικά μεταξύ των χωρών του ASEAN. Η περιοχή αντιμετωπίζει συνεχιζόμενες προκλήσεις, με αυξανόμενο αριθμό προσφύγων, την εμπορία ανθρώπων και ζητήματα που σχετίζονται με τα ναρκωτικά. Στο σημείο αυτό, οι εξελίξεις στις Φιλιππίνες χρήζουν ιδιαίτερης μνείας. Μετά τις εκλογές του 2022, ο πρόεδρος </w:t>
      </w:r>
      <w:proofErr w:type="spellStart"/>
      <w:r>
        <w:t>Ferdinand</w:t>
      </w:r>
      <w:proofErr w:type="spellEnd"/>
      <w:r>
        <w:t xml:space="preserve"> </w:t>
      </w:r>
      <w:proofErr w:type="spellStart"/>
      <w:r>
        <w:t>Marcos</w:t>
      </w:r>
      <w:proofErr w:type="spellEnd"/>
      <w:r>
        <w:t xml:space="preserve"> </w:t>
      </w:r>
      <w:proofErr w:type="spellStart"/>
      <w:r>
        <w:t>Jr</w:t>
      </w:r>
      <w:proofErr w:type="spellEnd"/>
      <w:r>
        <w:t xml:space="preserve"> δεσμεύθηκε να βελτιώσει την κατάσταση των ανθρωπίνων δικαιωμάτων, μετά τον «πόλεμο κατά των ναρκωτικών» και άλλες αμφιλεγόμενες πολιτικές του προκατόχου του, </w:t>
      </w:r>
      <w:proofErr w:type="spellStart"/>
      <w:r>
        <w:t>Rodrigo</w:t>
      </w:r>
      <w:proofErr w:type="spellEnd"/>
      <w:r>
        <w:t xml:space="preserve"> </w:t>
      </w:r>
      <w:proofErr w:type="spellStart"/>
      <w:r>
        <w:t>Duterte</w:t>
      </w:r>
      <w:proofErr w:type="spellEnd"/>
      <w:r>
        <w:t xml:space="preserve">. Παρά τις δεσμεύσεις αυτές, οι απειλές κατά ΟΚΠ, ακτιβιστών και ομάδων αυτοχθόνων —συμπεριλαμβανομένου «κόκκινου χαρακτηρισμού» και ψευδών κατηγοριών— εξακολουθούν να είναι διαδεδομένες. Επί του παρόντος, ο </w:t>
      </w:r>
      <w:proofErr w:type="spellStart"/>
      <w:r>
        <w:t>Duterte</w:t>
      </w:r>
      <w:proofErr w:type="spellEnd"/>
      <w:r>
        <w:t xml:space="preserve"> ερευνάται από το Διεθνές Ποινικό Δικαστήριο (ΔΠΔ). Οι ΟΚΠ, οι πολιτικοί ακτιβιστές, οι οικολόγοι, οι αυτόχθονες πληθυσμοί και οι συνδικαλιστές εξακολουθούν να απειλούνται, ιδίως από «κόκκινο χαρακτηρισμό» και υποβολή ψευδών κατηγοριών. Επιπλέον, η σύγκρουση μεταξύ της κυβέρνησης και του κομμουνιστικού Νέου Λαϊκού Στρατού συνεχίζεται.</w:t>
      </w:r>
    </w:p>
    <w:p w:rsidRPr="001F165D" w:rsidR="00C11E25" w:rsidP="00C11E25" w:rsidRDefault="00C11E25" w14:paraId="28578AA7" w14:textId="77777777">
      <w:pPr>
        <w:pStyle w:val="Heading2"/>
        <w:numPr>
          <w:ilvl w:val="0"/>
          <w:numId w:val="0"/>
        </w:numPr>
        <w:rPr>
          <w:lang w:val="en-GB"/>
        </w:rPr>
      </w:pPr>
    </w:p>
    <w:p w:rsidRPr="001F165D" w:rsidR="00C11E25" w:rsidP="00C11E25" w:rsidRDefault="00C11E25" w14:paraId="416EF099" w14:textId="77777777">
      <w:pPr>
        <w:pStyle w:val="Heading2"/>
      </w:pPr>
      <w:r>
        <w:t>Στο μεταξύ, η Μαλαισία έχει λάβει προοδευτικά μέτρα, όπως η κατάργηση της υποχρεωτικής θανατικής ποινής το 2023, με εξαίρεση τα αδικήματα διακίνησης ναρκωτικών.</w:t>
      </w:r>
    </w:p>
    <w:p w:rsidRPr="001F165D" w:rsidR="00C11E25" w:rsidP="00C11E25" w:rsidRDefault="00C11E25" w14:paraId="581105CE" w14:textId="77777777">
      <w:pPr>
        <w:rPr>
          <w:color w:val="000000" w:themeColor="text1"/>
          <w:lang w:val="en-GB"/>
        </w:rPr>
      </w:pPr>
    </w:p>
    <w:p w:rsidRPr="001F165D" w:rsidR="00C11E25" w:rsidP="00C11E25" w:rsidRDefault="00C11E25" w14:paraId="2018A314" w14:textId="77777777">
      <w:pPr>
        <w:keepNext/>
        <w:keepLines/>
        <w:rPr>
          <w:b/>
          <w:color w:val="000000" w:themeColor="text1"/>
        </w:rPr>
      </w:pPr>
      <w:r>
        <w:rPr>
          <w:b/>
          <w:color w:val="000000" w:themeColor="text1"/>
        </w:rPr>
        <w:t>Συμπέρασμα</w:t>
      </w:r>
    </w:p>
    <w:p w:rsidRPr="00F537C0" w:rsidR="00C11E25" w:rsidP="00C11E25" w:rsidRDefault="00C11E25" w14:paraId="6C34F7AD" w14:textId="77777777">
      <w:pPr>
        <w:keepNext/>
        <w:keepLines/>
        <w:outlineLvl w:val="1"/>
        <w:rPr>
          <w:color w:val="000000" w:themeColor="text1"/>
          <w:lang w:val="en-GB"/>
        </w:rPr>
      </w:pPr>
    </w:p>
    <w:p w:rsidRPr="001F165D" w:rsidR="00C11E25" w:rsidP="00C11E25" w:rsidRDefault="00C11E25" w14:paraId="470E97A4" w14:textId="77777777">
      <w:pPr>
        <w:rPr>
          <w:bCs/>
          <w:color w:val="000000" w:themeColor="text1"/>
        </w:rPr>
      </w:pPr>
      <w:r>
        <w:rPr>
          <w:color w:val="000000" w:themeColor="text1"/>
        </w:rPr>
        <w:t xml:space="preserve">Ως στρατηγικοί εταίροι με κοινά συμφέροντα, η ΕΕ και ο ASEAN μπορούν να συνεργαστούν, προκειμένου να αξιοποιήσουν αμοιβαίες οικονομικές και επενδυτικές ευκαιρίες που συνδέονται άμεσα με ένα καλύτερο περιβάλλον εργασίας για τις ΟΚΠ. </w:t>
      </w:r>
    </w:p>
    <w:p w:rsidRPr="001F165D" w:rsidR="00C11E25" w:rsidP="00C11E25" w:rsidRDefault="00C11E25" w14:paraId="15DC48B8" w14:textId="77777777">
      <w:pPr>
        <w:rPr>
          <w:bCs/>
          <w:color w:val="000000" w:themeColor="text1"/>
          <w:lang w:val="en-GB"/>
        </w:rPr>
      </w:pPr>
    </w:p>
    <w:p w:rsidRPr="001F165D" w:rsidR="00C11E25" w:rsidP="00C11E25" w:rsidRDefault="00C11E25" w14:paraId="3EDE8207" w14:textId="77777777">
      <w:pPr>
        <w:rPr>
          <w:bCs/>
          <w:color w:val="000000" w:themeColor="text1"/>
        </w:rPr>
      </w:pPr>
      <w:r>
        <w:rPr>
          <w:color w:val="000000" w:themeColor="text1"/>
        </w:rPr>
        <w:t xml:space="preserve">Η νομική προστασία στα κεφάλαια ΕΒΑ διαδραματίζει καθοριστικό ρόλο στις αναπτυσσόμενες οικονομίες. Η εμβάθυνση αυτής της εταιρικής σχέσης ενισχύει επίσης τους παγκόσμιους κανόνες και τις κοινές αξίες, ιδίως σε τομείς όπως τα εργασιακά πρότυπα, η ασφάλεια στον χώρο εργασίας και η συμπεριληπτική ανάπτυξη. </w:t>
      </w:r>
    </w:p>
    <w:p w:rsidRPr="001F165D" w:rsidR="00360204" w:rsidP="00ED0759" w:rsidRDefault="00360204" w14:paraId="186458E1" w14:textId="77777777">
      <w:pPr>
        <w:rPr>
          <w:lang w:val="en-GB"/>
        </w:rPr>
      </w:pPr>
    </w:p>
    <w:p w:rsidRPr="001F165D" w:rsidR="00360204" w:rsidP="00ED0759" w:rsidRDefault="00360204" w14:paraId="66784737" w14:textId="5EFE944B">
      <w:r>
        <w:t>Βρυξέλλες, 19 Ιουνίου 2025.</w:t>
      </w:r>
    </w:p>
    <w:p w:rsidRPr="001F165D" w:rsidR="005956FC" w:rsidP="00ED0759" w:rsidRDefault="005956FC" w14:paraId="4B414BE3" w14:textId="77777777">
      <w:pPr>
        <w:rPr>
          <w:lang w:val="en-GB"/>
        </w:rPr>
      </w:pPr>
    </w:p>
    <w:p w:rsidRPr="001F165D" w:rsidR="005956FC" w:rsidP="005956FC" w:rsidRDefault="005956FC" w14:paraId="74E5AAB7" w14:textId="13A72392">
      <w:pPr>
        <w:jc w:val="left"/>
        <w:rPr>
          <w:lang w:val="en-GB"/>
        </w:rPr>
      </w:pPr>
    </w:p>
    <w:p w:rsidRPr="001F165D" w:rsidR="00360204" w:rsidP="00360204" w:rsidRDefault="00360204" w14:paraId="7C4A0512" w14:textId="6009B4B6">
      <w:pPr>
        <w:rPr>
          <w:i/>
          <w:iCs/>
          <w:color w:val="000000" w:themeColor="text1"/>
        </w:rPr>
      </w:pPr>
      <w:r>
        <w:rPr>
          <w:i/>
          <w:color w:val="000000" w:themeColor="text1"/>
        </w:rPr>
        <w:t>O Πρόεδρος της Ευρωπαϊκής Οικονομικής και Κοινωνικής Επιτροπής</w:t>
      </w:r>
    </w:p>
    <w:p w:rsidRPr="001F165D" w:rsidR="00E2376B" w:rsidP="00E2376B" w:rsidRDefault="00964BF1" w14:paraId="3914066A" w14:textId="4D74C31B">
      <w:proofErr w:type="spellStart"/>
      <w:r>
        <w:t>Oliver</w:t>
      </w:r>
      <w:proofErr w:type="spellEnd"/>
      <w:r>
        <w:t xml:space="preserve"> </w:t>
      </w:r>
      <w:proofErr w:type="spellStart"/>
      <w:r>
        <w:t>Röpke</w:t>
      </w:r>
      <w:proofErr w:type="spellEnd"/>
    </w:p>
    <w:p w:rsidRPr="001F165D" w:rsidR="00ED0759" w:rsidP="00DB7F50" w:rsidRDefault="00E2376B" w14:paraId="46FCDD49" w14:textId="561D4155">
      <w:pPr>
        <w:jc w:val="center"/>
      </w:pPr>
      <w:r>
        <w:t>_____________</w:t>
      </w:r>
    </w:p>
    <w:sectPr w:rsidRPr="001F165D" w:rsidR="00ED0759" w:rsidSect="001E74A1">
      <w:headerReference w:type="even" r:id="rId18"/>
      <w:headerReference w:type="default" r:id="rId19"/>
      <w:footerReference w:type="default" r:id="rId20"/>
      <w:headerReference w:type="first" r:id="rId21"/>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E2EF" w14:textId="77777777" w:rsidR="001E3C28" w:rsidRDefault="001E3C28" w:rsidP="00F53370">
      <w:pPr>
        <w:spacing w:line="240" w:lineRule="auto"/>
      </w:pPr>
      <w:r>
        <w:separator/>
      </w:r>
    </w:p>
  </w:endnote>
  <w:endnote w:type="continuationSeparator" w:id="0">
    <w:p w14:paraId="4BF32D87" w14:textId="77777777" w:rsidR="001E3C28" w:rsidRDefault="001E3C28"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476A925F" w:rsidR="000A30FF" w:rsidRPr="003065C9" w:rsidRDefault="00296BCE" w:rsidP="00296BCE">
    <w:pPr>
      <w:pStyle w:val="Footer"/>
      <w:jc w:val="left"/>
    </w:pPr>
    <w:r>
      <w:t xml:space="preserve">REX/589 – EESC-2025-00840-00-02-RI-TRA (EN) </w:t>
    </w:r>
    <w:r>
      <w:fldChar w:fldCharType="begin"/>
    </w:r>
    <w:r>
      <w:instrText xml:space="preserve"> PAGE  \* Arabic  \* MERGEFORMAT </w:instrText>
    </w:r>
    <w:r>
      <w:fldChar w:fldCharType="separate"/>
    </w:r>
    <w:r>
      <w:t>9</w:t>
    </w:r>
    <w:r>
      <w:fldChar w:fldCharType="end"/>
    </w:r>
    <w:r>
      <w:t>/</w:t>
    </w:r>
    <w:r>
      <w:fldChar w:fldCharType="begin"/>
    </w:r>
    <w:r>
      <w:instrText xml:space="preserve"> = </w:instrText>
    </w:r>
    <w:r w:rsidR="00304C56">
      <w:fldChar w:fldCharType="begin"/>
    </w:r>
    <w:r w:rsidR="00304C56">
      <w:instrText xml:space="preserve"> NUMPAGES </w:instrText>
    </w:r>
    <w:r w:rsidR="00304C56">
      <w:fldChar w:fldCharType="separate"/>
    </w:r>
    <w:r w:rsidR="00294622">
      <w:rPr>
        <w:noProof/>
      </w:rPr>
      <w:instrText>13</w:instrText>
    </w:r>
    <w:r w:rsidR="00304C56">
      <w:rPr>
        <w:noProof/>
      </w:rPr>
      <w:fldChar w:fldCharType="end"/>
    </w:r>
    <w:r>
      <w:instrText xml:space="preserve"> - 2 </w:instrText>
    </w:r>
    <w:r>
      <w:fldChar w:fldCharType="separate"/>
    </w:r>
    <w:r w:rsidR="00294622">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E899" w14:textId="77777777" w:rsidR="001E3C28" w:rsidRDefault="001E3C28" w:rsidP="00F53370">
      <w:pPr>
        <w:spacing w:line="240" w:lineRule="auto"/>
      </w:pPr>
      <w:r>
        <w:separator/>
      </w:r>
    </w:p>
  </w:footnote>
  <w:footnote w:type="continuationSeparator" w:id="0">
    <w:p w14:paraId="4574EC56" w14:textId="77777777" w:rsidR="001E3C28" w:rsidRDefault="001E3C28" w:rsidP="00F53370">
      <w:pPr>
        <w:spacing w:line="240" w:lineRule="auto"/>
      </w:pPr>
      <w:r>
        <w:continuationSeparator/>
      </w:r>
    </w:p>
  </w:footnote>
  <w:footnote w:id="1">
    <w:p w14:paraId="7B8E0B3A" w14:textId="7EE02755" w:rsidR="00C11E25" w:rsidRPr="00895F23" w:rsidRDefault="00C11E25" w:rsidP="00C11E25">
      <w:pPr>
        <w:spacing w:line="240" w:lineRule="auto"/>
        <w:ind w:left="567" w:hanging="567"/>
        <w:rPr>
          <w:sz w:val="16"/>
        </w:rPr>
      </w:pPr>
      <w:r>
        <w:rPr>
          <w:rStyle w:val="FootnoteReference"/>
        </w:rPr>
        <w:footnoteRef/>
      </w:r>
      <w:r>
        <w:rPr>
          <w:sz w:val="16"/>
        </w:rPr>
        <w:tab/>
      </w:r>
      <w:r>
        <w:rPr>
          <w:i/>
          <w:sz w:val="16"/>
        </w:rPr>
        <w:t xml:space="preserve">ASEAN-EU </w:t>
      </w:r>
      <w:proofErr w:type="spellStart"/>
      <w:r>
        <w:rPr>
          <w:i/>
          <w:sz w:val="16"/>
        </w:rPr>
        <w:t>Partnership</w:t>
      </w:r>
      <w:proofErr w:type="spellEnd"/>
      <w:r>
        <w:rPr>
          <w:i/>
          <w:sz w:val="16"/>
        </w:rPr>
        <w:t xml:space="preserve">: The </w:t>
      </w:r>
      <w:proofErr w:type="spellStart"/>
      <w:r>
        <w:rPr>
          <w:i/>
          <w:sz w:val="16"/>
        </w:rPr>
        <w:t>Untold</w:t>
      </w:r>
      <w:proofErr w:type="spellEnd"/>
      <w:r>
        <w:rPr>
          <w:i/>
          <w:sz w:val="16"/>
        </w:rPr>
        <w:t xml:space="preserve"> </w:t>
      </w:r>
      <w:proofErr w:type="spellStart"/>
      <w:r>
        <w:rPr>
          <w:i/>
          <w:sz w:val="16"/>
        </w:rPr>
        <w:t>Story</w:t>
      </w:r>
      <w:proofErr w:type="spellEnd"/>
      <w:r>
        <w:rPr>
          <w:sz w:val="16"/>
        </w:rPr>
        <w:t xml:space="preserve"> (Εταιρική σχέση ASEAN-ΕΕ: η άγνωστη ιστορία), </w:t>
      </w:r>
      <w:proofErr w:type="spellStart"/>
      <w:r>
        <w:rPr>
          <w:sz w:val="16"/>
        </w:rPr>
        <w:t>Tommy</w:t>
      </w:r>
      <w:proofErr w:type="spellEnd"/>
      <w:r>
        <w:rPr>
          <w:sz w:val="16"/>
        </w:rPr>
        <w:t xml:space="preserve"> </w:t>
      </w:r>
      <w:proofErr w:type="spellStart"/>
      <w:r>
        <w:rPr>
          <w:sz w:val="16"/>
        </w:rPr>
        <w:t>Koh</w:t>
      </w:r>
      <w:proofErr w:type="spellEnd"/>
      <w:r>
        <w:rPr>
          <w:sz w:val="16"/>
        </w:rPr>
        <w:t xml:space="preserve"> και </w:t>
      </w:r>
      <w:proofErr w:type="spellStart"/>
      <w:r>
        <w:rPr>
          <w:sz w:val="16"/>
        </w:rPr>
        <w:t>Yeo</w:t>
      </w:r>
      <w:proofErr w:type="spellEnd"/>
      <w:r>
        <w:rPr>
          <w:sz w:val="16"/>
        </w:rPr>
        <w:t xml:space="preserve"> </w:t>
      </w:r>
      <w:proofErr w:type="spellStart"/>
      <w:r>
        <w:rPr>
          <w:sz w:val="16"/>
        </w:rPr>
        <w:t>Lay</w:t>
      </w:r>
      <w:proofErr w:type="spellEnd"/>
      <w:r>
        <w:rPr>
          <w:sz w:val="16"/>
        </w:rPr>
        <w:t xml:space="preserve"> </w:t>
      </w:r>
      <w:proofErr w:type="spellStart"/>
      <w:r>
        <w:rPr>
          <w:sz w:val="16"/>
        </w:rPr>
        <w:t>Hwee</w:t>
      </w:r>
      <w:proofErr w:type="spellEnd"/>
      <w:r>
        <w:rPr>
          <w:sz w:val="16"/>
        </w:rPr>
        <w:t xml:space="preserve"> (2020).</w:t>
      </w:r>
    </w:p>
  </w:footnote>
  <w:footnote w:id="2">
    <w:p w14:paraId="1351A27D" w14:textId="77777777" w:rsidR="00C11E25" w:rsidRPr="001E242D" w:rsidRDefault="00C11E25" w:rsidP="00C11E25">
      <w:pPr>
        <w:pStyle w:val="FootnoteText"/>
      </w:pPr>
      <w:r>
        <w:rPr>
          <w:rStyle w:val="FootnoteReference"/>
        </w:rPr>
        <w:footnoteRef/>
      </w:r>
      <w:r>
        <w:tab/>
        <w:t>«Κεντρικός ρόλος του ASEAN»: βασικό στοιχείο της περιφερειακής ασφάλειας και της πολυμερούς συνεργασίας της Ασίας.</w:t>
      </w:r>
    </w:p>
  </w:footnote>
  <w:footnote w:id="3">
    <w:p w14:paraId="3DD356F9" w14:textId="77777777" w:rsidR="00C11E25" w:rsidRDefault="00C11E25" w:rsidP="00320852">
      <w:pPr>
        <w:keepLines/>
        <w:ind w:left="567" w:hanging="567"/>
        <w:rPr>
          <w:sz w:val="16"/>
          <w:szCs w:val="16"/>
        </w:rPr>
      </w:pPr>
      <w:r>
        <w:rPr>
          <w:rStyle w:val="FootnoteReference"/>
        </w:rPr>
        <w:footnoteRef/>
      </w:r>
      <w:r>
        <w:rPr>
          <w:sz w:val="16"/>
        </w:rPr>
        <w:tab/>
      </w:r>
      <w:hyperlink r:id="rId1">
        <w:r>
          <w:rPr>
            <w:color w:val="0000FF"/>
            <w:sz w:val="16"/>
            <w:u w:val="single"/>
          </w:rPr>
          <w:t>https://www.ilo.org/about-ilo/mission-and-impact-ilo/ilo-declaration-fundamental-principles-and-rights-work</w:t>
        </w:r>
      </w:hyperlink>
      <w:r>
        <w:rPr>
          <w:sz w:val="16"/>
        </w:rPr>
        <w:t>.</w:t>
      </w:r>
    </w:p>
  </w:footnote>
  <w:footnote w:id="4">
    <w:p w14:paraId="6FBC65D2" w14:textId="77777777" w:rsidR="00C11E25" w:rsidRPr="00046D5C" w:rsidRDefault="00C11E25" w:rsidP="00320852">
      <w:pPr>
        <w:pStyle w:val="FootnoteText"/>
        <w:spacing w:after="0" w:line="288" w:lineRule="auto"/>
      </w:pPr>
      <w:r>
        <w:rPr>
          <w:rStyle w:val="FootnoteReference"/>
        </w:rPr>
        <w:footnoteRef/>
      </w:r>
      <w:r>
        <w:tab/>
      </w:r>
      <w:hyperlink r:id="rId2" w:history="1">
        <w:r>
          <w:rPr>
            <w:rStyle w:val="Hyperlink"/>
          </w:rPr>
          <w:t>https://www.eu-asean.eu/</w:t>
        </w:r>
      </w:hyperlink>
      <w:r>
        <w:t>.</w:t>
      </w:r>
    </w:p>
  </w:footnote>
  <w:footnote w:id="5">
    <w:p w14:paraId="299B218D" w14:textId="77777777" w:rsidR="00C11E25"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3" w:anchor="page=96">
        <w:r>
          <w:rPr>
            <w:color w:val="0000FF"/>
            <w:sz w:val="16"/>
            <w:u w:val="single"/>
          </w:rPr>
          <w:t>https://eur-lex.europa.eu/legal-content/EL/TXT/PDF/?uri=CELEX:22019A1114(01)&amp;from=EN#page=96</w:t>
        </w:r>
      </w:hyperlink>
      <w:r>
        <w:t>.</w:t>
      </w:r>
    </w:p>
  </w:footnote>
  <w:footnote w:id="6">
    <w:p w14:paraId="3F62E63B" w14:textId="77777777" w:rsidR="00C11E25"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4" w:anchor="page=132">
        <w:r>
          <w:rPr>
            <w:color w:val="0000FF"/>
            <w:sz w:val="16"/>
            <w:u w:val="single"/>
          </w:rPr>
          <w:t>https://eur-lex.europa.eu/legal-content/EL/TXT/PDF/?uri=OJ:L:2020:186:FULL&amp;from=EN#page=132</w:t>
        </w:r>
      </w:hyperlink>
      <w:r>
        <w:t>.</w:t>
      </w:r>
    </w:p>
  </w:footnote>
  <w:footnote w:id="7">
    <w:p w14:paraId="50272E43" w14:textId="7851E408"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5" w:history="1">
        <w:r>
          <w:rPr>
            <w:rStyle w:val="Hyperlink"/>
            <w:sz w:val="16"/>
          </w:rPr>
          <w:t>https://www.worldeconomics.com/Regions/ASEAN/</w:t>
        </w:r>
      </w:hyperlink>
      <w:r>
        <w:rPr>
          <w:sz w:val="16"/>
        </w:rPr>
        <w:t>.</w:t>
      </w:r>
    </w:p>
  </w:footnote>
  <w:footnote w:id="8">
    <w:p w14:paraId="0A26AF76" w14:textId="78A6065B" w:rsidR="00C11E25" w:rsidRPr="00D2283E" w:rsidRDefault="00C11E25" w:rsidP="00C11E25">
      <w:pPr>
        <w:pStyle w:val="FootnoteText"/>
        <w:jc w:val="left"/>
      </w:pPr>
      <w:r>
        <w:rPr>
          <w:rStyle w:val="FootnoteReference"/>
        </w:rPr>
        <w:footnoteRef/>
      </w:r>
      <w:r>
        <w:tab/>
      </w:r>
      <w:hyperlink r:id="rId6" w:anchor="#:~:text=Bilateral%20trade%20in%20services%20amounted,accounted%20for%20%E2%82%AC400.1%20billion" w:history="1">
        <w:r>
          <w:rPr>
            <w:rStyle w:val="Hyperlink"/>
          </w:rPr>
          <w:t>https://policy.trade.ec.europa.eu/eu-trade-relationships-country-and-region/countries-and-regions/association-south-east-asian-nations-asean_en#:~:text=Bilateral%20trade%20in%20services%20amounted,accounted%20for%20%E2%82%AC400.1%20billion</w:t>
        </w:r>
      </w:hyperlink>
      <w:r>
        <w:t>.</w:t>
      </w:r>
    </w:p>
  </w:footnote>
  <w:footnote w:id="9">
    <w:p w14:paraId="092603A8" w14:textId="144ED037" w:rsidR="00C11E25" w:rsidRPr="00D2283E" w:rsidRDefault="00C11E25" w:rsidP="00C11E25">
      <w:pPr>
        <w:keepLines/>
        <w:pBdr>
          <w:top w:val="nil"/>
          <w:left w:val="nil"/>
          <w:bottom w:val="nil"/>
          <w:right w:val="nil"/>
          <w:between w:val="nil"/>
        </w:pBdr>
        <w:spacing w:after="60" w:line="240" w:lineRule="auto"/>
        <w:ind w:left="567" w:hanging="567"/>
      </w:pPr>
      <w:r>
        <w:rPr>
          <w:rStyle w:val="FootnoteReference"/>
        </w:rPr>
        <w:footnoteRef/>
      </w:r>
      <w:r>
        <w:rPr>
          <w:color w:val="000000"/>
          <w:sz w:val="16"/>
        </w:rPr>
        <w:tab/>
      </w:r>
      <w:hyperlink r:id="rId7" w:history="1">
        <w:r>
          <w:rPr>
            <w:rStyle w:val="Hyperlink"/>
            <w:sz w:val="16"/>
          </w:rPr>
          <w:t>https://asean.org/asean-leaders-review-and-decision-on-the-implementation-of-the-five-point-consensus-3/</w:t>
        </w:r>
      </w:hyperlink>
      <w:r>
        <w:rPr>
          <w:sz w:val="16"/>
        </w:rPr>
        <w:t>.</w:t>
      </w:r>
    </w:p>
  </w:footnote>
  <w:footnote w:id="10">
    <w:p w14:paraId="15F52816" w14:textId="2E968AE6"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8" w:history="1">
        <w:r>
          <w:rPr>
            <w:rStyle w:val="Hyperlink"/>
            <w:sz w:val="16"/>
          </w:rPr>
          <w:t>https://aichr.org/</w:t>
        </w:r>
      </w:hyperlink>
      <w:r>
        <w:rPr>
          <w:sz w:val="16"/>
        </w:rPr>
        <w:t>.</w:t>
      </w:r>
    </w:p>
  </w:footnote>
  <w:footnote w:id="11">
    <w:p w14:paraId="790F9D0B" w14:textId="77777777"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9">
        <w:r>
          <w:rPr>
            <w:color w:val="0000FF"/>
            <w:sz w:val="16"/>
            <w:u w:val="single"/>
          </w:rPr>
          <w:t>https://reliefweb.int/organization/forum-asia</w:t>
        </w:r>
      </w:hyperlink>
      <w:r>
        <w:rPr>
          <w:color w:val="000000"/>
          <w:sz w:val="16"/>
        </w:rPr>
        <w:t>.</w:t>
      </w:r>
    </w:p>
  </w:footnote>
  <w:footnote w:id="12">
    <w:p w14:paraId="6708B305" w14:textId="605B66E1"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10" w:history="1">
        <w:r>
          <w:rPr>
            <w:rStyle w:val="Hyperlink"/>
            <w:sz w:val="16"/>
          </w:rPr>
          <w:t>https://safenet.or.id/</w:t>
        </w:r>
      </w:hyperlink>
      <w:r>
        <w:rPr>
          <w:color w:val="000000"/>
          <w:sz w:val="16"/>
        </w:rPr>
        <w:t>.</w:t>
      </w:r>
    </w:p>
  </w:footnote>
  <w:footnote w:id="13">
    <w:p w14:paraId="53C8A2C1" w14:textId="2D86B0F6"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11" w:history="1">
        <w:r>
          <w:rPr>
            <w:rStyle w:val="Hyperlink"/>
            <w:sz w:val="16"/>
          </w:rPr>
          <w:t>https://arrow.org.my/</w:t>
        </w:r>
      </w:hyperlink>
      <w:r>
        <w:rPr>
          <w:color w:val="000000"/>
          <w:sz w:val="16"/>
        </w:rPr>
        <w:t>.</w:t>
      </w:r>
    </w:p>
  </w:footnote>
  <w:footnote w:id="14">
    <w:p w14:paraId="53189B15" w14:textId="233FA470"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12" w:history="1">
        <w:r>
          <w:rPr>
            <w:rStyle w:val="Hyperlink"/>
            <w:sz w:val="16"/>
          </w:rPr>
          <w:t>https://alternative-regionalisms.org/wp-content/uploads/2009/07/sapasubmissiononaseancharter-sociocultural.pdf</w:t>
        </w:r>
      </w:hyperlink>
      <w:r>
        <w:rPr>
          <w:color w:val="000000"/>
          <w:sz w:val="16"/>
        </w:rPr>
        <w:t>.</w:t>
      </w:r>
    </w:p>
  </w:footnote>
  <w:footnote w:id="15">
    <w:p w14:paraId="72024DB7" w14:textId="77777777" w:rsidR="00C11E25" w:rsidRDefault="00C11E25" w:rsidP="00C11E25">
      <w:pPr>
        <w:ind w:left="567" w:hanging="567"/>
        <w:jc w:val="left"/>
      </w:pPr>
      <w:r>
        <w:rPr>
          <w:rStyle w:val="FootnoteReference"/>
        </w:rPr>
        <w:footnoteRef/>
      </w:r>
      <w:r>
        <w:tab/>
      </w:r>
      <w:hyperlink r:id="rId13" w:history="1">
        <w:r>
          <w:rPr>
            <w:rStyle w:val="Hyperlink"/>
            <w:sz w:val="16"/>
          </w:rPr>
          <w:t>https://www.ilo.org/publications/social-dialogue-public-services-selected-asean-countries</w:t>
        </w:r>
      </w:hyperlink>
      <w:r>
        <w:rPr>
          <w:color w:val="000000"/>
          <w:sz w:val="16"/>
        </w:rPr>
        <w:t>.</w:t>
      </w:r>
    </w:p>
  </w:footnote>
  <w:footnote w:id="16">
    <w:p w14:paraId="5D6C648F" w14:textId="5B9412B6" w:rsidR="00C11E25" w:rsidRPr="00E92619" w:rsidRDefault="00C11E25" w:rsidP="00C11E25">
      <w:pPr>
        <w:spacing w:line="240" w:lineRule="auto"/>
        <w:ind w:left="567" w:hanging="567"/>
      </w:pPr>
      <w:r>
        <w:rPr>
          <w:rStyle w:val="FootnoteReference"/>
        </w:rPr>
        <w:footnoteRef/>
      </w:r>
      <w:r>
        <w:rPr>
          <w:sz w:val="16"/>
        </w:rPr>
        <w:tab/>
        <w:t>Ινδονησία, Μαλαισία, Φιλιππίνες, Σιγκαπούρη και Ταϊλάνδη.</w:t>
      </w:r>
    </w:p>
  </w:footnote>
  <w:footnote w:id="17">
    <w:p w14:paraId="225A9E30" w14:textId="77777777" w:rsidR="00C11E25" w:rsidRPr="00E37A05" w:rsidRDefault="00C11E25" w:rsidP="00C11E25">
      <w:pPr>
        <w:spacing w:line="240" w:lineRule="auto"/>
        <w:ind w:left="567" w:hanging="567"/>
        <w:rPr>
          <w:sz w:val="20"/>
          <w:szCs w:val="20"/>
        </w:rPr>
      </w:pPr>
      <w:r>
        <w:rPr>
          <w:rStyle w:val="FootnoteReference"/>
        </w:rPr>
        <w:footnoteRef/>
      </w:r>
      <w:r>
        <w:tab/>
      </w:r>
      <w:hyperlink r:id="rId14" w:history="1">
        <w:r>
          <w:rPr>
            <w:rStyle w:val="Hyperlink"/>
            <w:sz w:val="16"/>
          </w:rPr>
          <w:t>https://www.europarl.europa.eu/doceo/document/TA-10-2024-0053_EL.html</w:t>
        </w:r>
      </w:hyperlink>
      <w:r>
        <w:t>.</w:t>
      </w:r>
    </w:p>
  </w:footnote>
  <w:footnote w:id="18">
    <w:p w14:paraId="097361EB" w14:textId="77777777" w:rsidR="00C11E25" w:rsidRPr="00A76BE7" w:rsidRDefault="00C11E25" w:rsidP="00C11E25">
      <w:pPr>
        <w:pStyle w:val="FootnoteText"/>
      </w:pPr>
      <w:r>
        <w:rPr>
          <w:rStyle w:val="FootnoteReference"/>
        </w:rPr>
        <w:footnoteRef/>
      </w:r>
      <w:r>
        <w:tab/>
      </w:r>
      <w:hyperlink r:id="rId15" w:history="1">
        <w:r>
          <w:rPr>
            <w:rStyle w:val="Hyperlink"/>
          </w:rPr>
          <w:t>https://www.europarl.europa.eu/RegData/etudes/STUD/2021/653635/EXPO_STU(2021)653635_EN.pdf</w:t>
        </w:r>
      </w:hyperlink>
      <w:r>
        <w:t>.</w:t>
      </w:r>
    </w:p>
  </w:footnote>
  <w:footnote w:id="19">
    <w:p w14:paraId="2A803CFA" w14:textId="77777777" w:rsidR="00C11E25" w:rsidRPr="00E92619" w:rsidRDefault="00C11E25" w:rsidP="00C11E25">
      <w:pPr>
        <w:spacing w:line="240" w:lineRule="auto"/>
        <w:ind w:left="567" w:hanging="567"/>
      </w:pPr>
      <w:r>
        <w:rPr>
          <w:rStyle w:val="FootnoteReference"/>
        </w:rPr>
        <w:footnoteRef/>
      </w:r>
      <w:r>
        <w:tab/>
      </w:r>
      <w:hyperlink r:id="rId16" w:history="1">
        <w:r>
          <w:rPr>
            <w:rStyle w:val="Hyperlink"/>
            <w:sz w:val="16"/>
          </w:rPr>
          <w:t>Ετήσια έκθεση της ΕΕ για τα ανθρώπινα δικαιώματα και τη δημοκρατία στον κόσμο</w:t>
        </w:r>
      </w:hyperlink>
      <w:r>
        <w:t>.</w:t>
      </w:r>
    </w:p>
  </w:footnote>
  <w:footnote w:id="20">
    <w:p w14:paraId="14B01D09" w14:textId="136DB229" w:rsidR="00C11E25" w:rsidRPr="00E92619" w:rsidRDefault="00C11E25" w:rsidP="00C11E25">
      <w:pPr>
        <w:spacing w:line="240" w:lineRule="auto"/>
        <w:ind w:left="567" w:hanging="567"/>
        <w:rPr>
          <w:sz w:val="20"/>
          <w:szCs w:val="20"/>
        </w:rPr>
      </w:pPr>
      <w:r>
        <w:rPr>
          <w:rStyle w:val="FootnoteReference"/>
        </w:rPr>
        <w:footnoteRef/>
      </w:r>
      <w:r>
        <w:rPr>
          <w:sz w:val="16"/>
        </w:rPr>
        <w:tab/>
      </w:r>
      <w:hyperlink r:id="rId17" w:history="1">
        <w:r>
          <w:rPr>
            <w:rStyle w:val="Hyperlink"/>
            <w:sz w:val="16"/>
          </w:rPr>
          <w:t>Ετήσια έκθεση της ΕΕ για τα ανθρώπινα δικαιώματα και τη δημοκρατία στον κόσμο</w:t>
        </w:r>
      </w:hyperlink>
      <w:r>
        <w:t>.</w:t>
      </w:r>
    </w:p>
  </w:footnote>
  <w:footnote w:id="21">
    <w:p w14:paraId="4356B06B" w14:textId="77777777" w:rsidR="00C11E25" w:rsidRPr="00895F23" w:rsidRDefault="00C11E25" w:rsidP="00C11E25">
      <w:pPr>
        <w:spacing w:line="240" w:lineRule="auto"/>
        <w:ind w:left="567" w:hanging="567"/>
        <w:rPr>
          <w:sz w:val="20"/>
          <w:szCs w:val="20"/>
        </w:rPr>
      </w:pPr>
      <w:r>
        <w:rPr>
          <w:rStyle w:val="FootnoteReference"/>
        </w:rPr>
        <w:footnoteRef/>
      </w:r>
      <w:r>
        <w:tab/>
      </w:r>
      <w:hyperlink r:id="rId18">
        <w:r>
          <w:rPr>
            <w:color w:val="0000FF"/>
            <w:sz w:val="16"/>
            <w:u w:val="single"/>
          </w:rPr>
          <w:t>https://www.ilo.org/publications/women-and-men-informal-economy-statistical-update</w:t>
        </w:r>
      </w:hyperlink>
      <w:r>
        <w:rPr>
          <w:sz w:val="16"/>
        </w:rPr>
        <w:t>.</w:t>
      </w:r>
    </w:p>
  </w:footnote>
  <w:footnote w:id="22">
    <w:p w14:paraId="6FBAE404" w14:textId="5A9EA888" w:rsidR="00C11E25" w:rsidRPr="00895F23" w:rsidRDefault="00C11E25" w:rsidP="00C11E25">
      <w:pPr>
        <w:keepLines/>
        <w:spacing w:after="60" w:line="240" w:lineRule="auto"/>
        <w:ind w:left="567" w:hanging="567"/>
        <w:rPr>
          <w:sz w:val="16"/>
          <w:szCs w:val="16"/>
        </w:rPr>
      </w:pPr>
      <w:r>
        <w:rPr>
          <w:rStyle w:val="FootnoteReference"/>
        </w:rPr>
        <w:footnoteRef/>
      </w:r>
      <w:r>
        <w:rPr>
          <w:sz w:val="16"/>
        </w:rPr>
        <w:tab/>
      </w:r>
      <w:hyperlink r:id="rId19" w:history="1">
        <w:r>
          <w:rPr>
            <w:rStyle w:val="Hyperlink"/>
            <w:sz w:val="16"/>
          </w:rPr>
          <w:t>https://www.eesc.europa.eu/el/documents/statement-european-union-domestic-advisory-group-eu-viet-nam-free-trade-agreement-1</w:t>
        </w:r>
      </w:hyperlink>
      <w:r>
        <w:rPr>
          <w:sz w:val="16"/>
        </w:rPr>
        <w:t>.</w:t>
      </w:r>
    </w:p>
  </w:footnote>
  <w:footnote w:id="23">
    <w:p w14:paraId="6FCA63EA" w14:textId="77777777" w:rsidR="00C11E25" w:rsidRPr="00895F23" w:rsidRDefault="00C11E25" w:rsidP="00C11E25">
      <w:pPr>
        <w:pStyle w:val="FootnoteText"/>
      </w:pPr>
      <w:r>
        <w:rPr>
          <w:rStyle w:val="FootnoteReference"/>
        </w:rPr>
        <w:footnoteRef/>
      </w:r>
      <w:r>
        <w:tab/>
      </w:r>
      <w:hyperlink r:id="rId20" w:history="1">
        <w:r>
          <w:rPr>
            <w:rStyle w:val="Hyperlink"/>
          </w:rPr>
          <w:t>https://multimedia.europarl.europa.eu/el/webstreaming/inta-committee-meeting_20250319-0900-COMMITTEE-INTA</w:t>
        </w:r>
      </w:hyperlink>
      <w:r>
        <w:t>.</w:t>
      </w:r>
    </w:p>
  </w:footnote>
  <w:footnote w:id="24">
    <w:p w14:paraId="4267E897" w14:textId="77777777" w:rsidR="00C11E25" w:rsidRPr="00895F23" w:rsidRDefault="00C11E25" w:rsidP="00C11E25">
      <w:pPr>
        <w:pStyle w:val="FootnoteText"/>
      </w:pPr>
      <w:r>
        <w:rPr>
          <w:rStyle w:val="FootnoteReference"/>
        </w:rPr>
        <w:footnoteRef/>
      </w:r>
      <w:r>
        <w:tab/>
      </w:r>
      <w:hyperlink r:id="rId21" w:history="1">
        <w:r>
          <w:rPr>
            <w:rStyle w:val="Hyperlink"/>
          </w:rPr>
          <w:t>https://www.eesc.europa.eu/el/sections-other-bodies/other/h-esoteriki-symboyleytiki-omada-tis-ee-gia-ti-symfonia-eleytheron-synallagon-ee-sigkapoyris</w:t>
        </w:r>
      </w:hyperlink>
      <w:r>
        <w:t>.</w:t>
      </w:r>
    </w:p>
  </w:footnote>
  <w:footnote w:id="25">
    <w:p w14:paraId="2752C7F1" w14:textId="77777777" w:rsidR="00C11E25" w:rsidRPr="00895F23" w:rsidRDefault="00C11E25" w:rsidP="00C11E25">
      <w:pPr>
        <w:spacing w:line="240" w:lineRule="auto"/>
        <w:ind w:left="567" w:hanging="567"/>
        <w:rPr>
          <w:sz w:val="20"/>
          <w:szCs w:val="20"/>
        </w:rPr>
      </w:pPr>
      <w:r>
        <w:rPr>
          <w:rStyle w:val="FootnoteReference"/>
        </w:rPr>
        <w:footnoteRef/>
      </w:r>
      <w:r>
        <w:tab/>
      </w:r>
      <w:hyperlink r:id="rId22">
        <w:r>
          <w:rPr>
            <w:color w:val="0000FF"/>
            <w:sz w:val="16"/>
            <w:u w:val="single"/>
          </w:rPr>
          <w:t>https://policy.trade.ec.europa.eu/analysis-and-assessment/eu-trade-meetings-civil-society/objectives_en</w:t>
        </w:r>
      </w:hyperlink>
      <w:r>
        <w:rPr>
          <w:sz w:val="16"/>
        </w:rPr>
        <w:t>.</w:t>
      </w:r>
    </w:p>
  </w:footnote>
  <w:footnote w:id="26">
    <w:p w14:paraId="2DCD2F49" w14:textId="13B45023" w:rsidR="00C11E25" w:rsidRPr="00895F23" w:rsidRDefault="00C11E25" w:rsidP="00320852">
      <w:pPr>
        <w:pStyle w:val="FootnoteText"/>
        <w:spacing w:after="0" w:line="288" w:lineRule="auto"/>
      </w:pPr>
      <w:r>
        <w:rPr>
          <w:rStyle w:val="FootnoteReference"/>
        </w:rPr>
        <w:footnoteRef/>
      </w:r>
      <w:r>
        <w:tab/>
      </w:r>
      <w:hyperlink r:id="rId23" w:history="1">
        <w:r>
          <w:rPr>
            <w:rStyle w:val="Hyperlink"/>
          </w:rPr>
          <w:t>https://www.ilo.org/resource/workers-organizations-asia-and-pacific</w:t>
        </w:r>
      </w:hyperlink>
      <w:r>
        <w:t>.</w:t>
      </w:r>
    </w:p>
  </w:footnote>
  <w:footnote w:id="27">
    <w:p w14:paraId="339BC8FB" w14:textId="07730351"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24" w:history="1">
        <w:r>
          <w:rPr>
            <w:rStyle w:val="Hyperlink"/>
            <w:sz w:val="16"/>
          </w:rPr>
          <w:t>https://www.ituc-ap.org/</w:t>
        </w:r>
      </w:hyperlink>
      <w:r>
        <w:rPr>
          <w:color w:val="000000"/>
          <w:sz w:val="16"/>
        </w:rPr>
        <w:t>.</w:t>
      </w:r>
    </w:p>
  </w:footnote>
  <w:footnote w:id="28">
    <w:p w14:paraId="7A7A0744" w14:textId="62530188"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25" w:history="1">
        <w:r>
          <w:rPr>
            <w:rStyle w:val="Hyperlink"/>
            <w:sz w:val="16"/>
          </w:rPr>
          <w:t>https://www.wftucentral.org/?lang=es</w:t>
        </w:r>
      </w:hyperlink>
      <w:r>
        <w:rPr>
          <w:color w:val="000000"/>
          <w:sz w:val="16"/>
        </w:rPr>
        <w:t>.</w:t>
      </w:r>
    </w:p>
  </w:footnote>
  <w:footnote w:id="29">
    <w:p w14:paraId="3675C3D9" w14:textId="256EA6B5"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26" w:history="1">
        <w:r>
          <w:rPr>
            <w:rStyle w:val="Hyperlink"/>
            <w:sz w:val="16"/>
          </w:rPr>
          <w:t>https://www.ilo.org/resource/workers-organizations-asia-and-pacific</w:t>
        </w:r>
      </w:hyperlink>
      <w:r>
        <w:rPr>
          <w:color w:val="000000"/>
          <w:sz w:val="16"/>
        </w:rPr>
        <w:t>.</w:t>
      </w:r>
    </w:p>
  </w:footnote>
  <w:footnote w:id="30">
    <w:p w14:paraId="5EE73751" w14:textId="20FE419A"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27" w:history="1">
        <w:r>
          <w:rPr>
            <w:rStyle w:val="Hyperlink"/>
            <w:sz w:val="16"/>
          </w:rPr>
          <w:t>https://www.ilo.org/meetings-and-events/asean-employers-empowering-people-priortizing-skills</w:t>
        </w:r>
      </w:hyperlink>
      <w:r>
        <w:rPr>
          <w:color w:val="000000"/>
          <w:sz w:val="16"/>
        </w:rPr>
        <w:t>.</w:t>
      </w:r>
    </w:p>
  </w:footnote>
  <w:footnote w:id="31">
    <w:p w14:paraId="6742164F" w14:textId="55276E3C"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tab/>
      </w:r>
      <w:hyperlink r:id="rId28" w:history="1">
        <w:r>
          <w:rPr>
            <w:rStyle w:val="Hyperlink"/>
            <w:sz w:val="16"/>
          </w:rPr>
          <w:t>https://www.cape-emp.org/home.aspx</w:t>
        </w:r>
      </w:hyperlink>
      <w:r>
        <w:rPr>
          <w:color w:val="000000"/>
          <w:sz w:val="16"/>
        </w:rPr>
        <w:t>.</w:t>
      </w:r>
    </w:p>
  </w:footnote>
  <w:footnote w:id="32">
    <w:p w14:paraId="6D5EC683" w14:textId="64BCE3F6" w:rsidR="00C11E25" w:rsidRPr="0040720E" w:rsidRDefault="00C11E25" w:rsidP="00320852">
      <w:pPr>
        <w:ind w:left="567" w:hanging="567"/>
        <w:jc w:val="left"/>
        <w:rPr>
          <w:sz w:val="20"/>
          <w:szCs w:val="20"/>
        </w:rPr>
      </w:pPr>
      <w:r>
        <w:rPr>
          <w:rStyle w:val="FootnoteReference"/>
        </w:rPr>
        <w:footnoteRef/>
      </w:r>
      <w:r>
        <w:rPr>
          <w:sz w:val="16"/>
        </w:rPr>
        <w:tab/>
      </w:r>
      <w:hyperlink r:id="rId29" w:history="1">
        <w:proofErr w:type="spellStart"/>
        <w:r>
          <w:rPr>
            <w:rStyle w:val="Hyperlink"/>
            <w:sz w:val="16"/>
          </w:rPr>
          <w:t>Migrant</w:t>
        </w:r>
        <w:proofErr w:type="spellEnd"/>
        <w:r>
          <w:rPr>
            <w:rStyle w:val="Hyperlink"/>
            <w:sz w:val="16"/>
          </w:rPr>
          <w:t xml:space="preserve"> </w:t>
        </w:r>
        <w:proofErr w:type="spellStart"/>
        <w:r>
          <w:rPr>
            <w:rStyle w:val="Hyperlink"/>
            <w:sz w:val="16"/>
          </w:rPr>
          <w:t>workers</w:t>
        </w:r>
        <w:proofErr w:type="spellEnd"/>
        <w:r>
          <w:rPr>
            <w:rStyle w:val="Hyperlink"/>
            <w:sz w:val="16"/>
          </w:rPr>
          <w:t xml:space="preserve">’ </w:t>
        </w:r>
        <w:proofErr w:type="spellStart"/>
        <w:r>
          <w:rPr>
            <w:rStyle w:val="Hyperlink"/>
            <w:sz w:val="16"/>
          </w:rPr>
          <w:t>rights</w:t>
        </w:r>
        <w:proofErr w:type="spellEnd"/>
        <w:r>
          <w:rPr>
            <w:rStyle w:val="Hyperlink"/>
            <w:sz w:val="16"/>
          </w:rPr>
          <w:t xml:space="preserve"> </w:t>
        </w:r>
        <w:proofErr w:type="spellStart"/>
        <w:r>
          <w:rPr>
            <w:rStyle w:val="Hyperlink"/>
            <w:sz w:val="16"/>
          </w:rPr>
          <w:t>to</w:t>
        </w:r>
        <w:proofErr w:type="spellEnd"/>
        <w:r>
          <w:rPr>
            <w:rStyle w:val="Hyperlink"/>
            <w:sz w:val="16"/>
          </w:rPr>
          <w:t xml:space="preserve"> </w:t>
        </w:r>
        <w:proofErr w:type="spellStart"/>
        <w:r>
          <w:rPr>
            <w:rStyle w:val="Hyperlink"/>
            <w:sz w:val="16"/>
          </w:rPr>
          <w:t>freedom</w:t>
        </w:r>
        <w:proofErr w:type="spellEnd"/>
        <w:r>
          <w:rPr>
            <w:rStyle w:val="Hyperlink"/>
            <w:sz w:val="16"/>
          </w:rPr>
          <w:t xml:space="preserve"> of </w:t>
        </w:r>
        <w:proofErr w:type="spellStart"/>
        <w:r>
          <w:rPr>
            <w:rStyle w:val="Hyperlink"/>
            <w:sz w:val="16"/>
          </w:rPr>
          <w:t>association</w:t>
        </w:r>
        <w:proofErr w:type="spellEnd"/>
        <w:r>
          <w:rPr>
            <w:rStyle w:val="Hyperlink"/>
            <w:sz w:val="16"/>
          </w:rPr>
          <w:t xml:space="preserve"> and </w:t>
        </w:r>
        <w:proofErr w:type="spellStart"/>
        <w:r>
          <w:rPr>
            <w:rStyle w:val="Hyperlink"/>
            <w:sz w:val="16"/>
          </w:rPr>
          <w:t>collective</w:t>
        </w:r>
        <w:proofErr w:type="spellEnd"/>
        <w:r>
          <w:rPr>
            <w:rStyle w:val="Hyperlink"/>
            <w:sz w:val="16"/>
          </w:rPr>
          <w:t xml:space="preserve"> </w:t>
        </w:r>
        <w:proofErr w:type="spellStart"/>
        <w:r>
          <w:rPr>
            <w:rStyle w:val="Hyperlink"/>
            <w:sz w:val="16"/>
          </w:rPr>
          <w:t>bargaining</w:t>
        </w:r>
        <w:proofErr w:type="spellEnd"/>
      </w:hyperlink>
      <w:r>
        <w:t xml:space="preserve"> (Δικαίωμα του </w:t>
      </w:r>
      <w:proofErr w:type="spellStart"/>
      <w:r>
        <w:t>συνεταιρίζεσθαι</w:t>
      </w:r>
      <w:proofErr w:type="spellEnd"/>
      <w:r>
        <w:t xml:space="preserve"> και δικαίωμα συλλογικής διαπραγμάτευσης των διακινούμενων εργαζομένων).</w:t>
      </w:r>
    </w:p>
  </w:footnote>
  <w:footnote w:id="33">
    <w:p w14:paraId="67F28C6B" w14:textId="3D825159" w:rsidR="00C11E25" w:rsidRPr="00F537C0" w:rsidRDefault="00C11E25" w:rsidP="00320852">
      <w:pPr>
        <w:ind w:left="567" w:hanging="567"/>
        <w:rPr>
          <w:sz w:val="16"/>
          <w:szCs w:val="16"/>
        </w:rPr>
      </w:pPr>
      <w:r>
        <w:rPr>
          <w:rStyle w:val="FootnoteReference"/>
        </w:rPr>
        <w:footnoteRef/>
      </w:r>
      <w:r>
        <w:rPr>
          <w:sz w:val="16"/>
        </w:rPr>
        <w:tab/>
      </w:r>
      <w:hyperlink r:id="rId30" w:history="1">
        <w:proofErr w:type="spellStart"/>
        <w:r>
          <w:rPr>
            <w:rStyle w:val="Hyperlink"/>
            <w:sz w:val="16"/>
          </w:rPr>
          <w:t>Migrant</w:t>
        </w:r>
        <w:proofErr w:type="spellEnd"/>
        <w:r>
          <w:rPr>
            <w:rStyle w:val="Hyperlink"/>
            <w:sz w:val="16"/>
          </w:rPr>
          <w:t xml:space="preserve"> </w:t>
        </w:r>
        <w:proofErr w:type="spellStart"/>
        <w:r>
          <w:rPr>
            <w:rStyle w:val="Hyperlink"/>
            <w:sz w:val="16"/>
          </w:rPr>
          <w:t>workers</w:t>
        </w:r>
        <w:proofErr w:type="spellEnd"/>
        <w:r>
          <w:rPr>
            <w:rStyle w:val="Hyperlink"/>
            <w:sz w:val="16"/>
          </w:rPr>
          <w:t xml:space="preserve">’ </w:t>
        </w:r>
        <w:proofErr w:type="spellStart"/>
        <w:r>
          <w:rPr>
            <w:rStyle w:val="Hyperlink"/>
            <w:sz w:val="16"/>
          </w:rPr>
          <w:t>rights</w:t>
        </w:r>
        <w:proofErr w:type="spellEnd"/>
        <w:r>
          <w:rPr>
            <w:rStyle w:val="Hyperlink"/>
            <w:sz w:val="16"/>
          </w:rPr>
          <w:t xml:space="preserve"> </w:t>
        </w:r>
        <w:proofErr w:type="spellStart"/>
        <w:r>
          <w:rPr>
            <w:rStyle w:val="Hyperlink"/>
            <w:sz w:val="16"/>
          </w:rPr>
          <w:t>to</w:t>
        </w:r>
        <w:proofErr w:type="spellEnd"/>
        <w:r>
          <w:rPr>
            <w:rStyle w:val="Hyperlink"/>
            <w:sz w:val="16"/>
          </w:rPr>
          <w:t xml:space="preserve"> </w:t>
        </w:r>
        <w:proofErr w:type="spellStart"/>
        <w:r>
          <w:rPr>
            <w:rStyle w:val="Hyperlink"/>
            <w:sz w:val="16"/>
          </w:rPr>
          <w:t>freedom</w:t>
        </w:r>
        <w:proofErr w:type="spellEnd"/>
        <w:r>
          <w:rPr>
            <w:rStyle w:val="Hyperlink"/>
            <w:sz w:val="16"/>
          </w:rPr>
          <w:t xml:space="preserve"> of </w:t>
        </w:r>
        <w:proofErr w:type="spellStart"/>
        <w:r>
          <w:rPr>
            <w:rStyle w:val="Hyperlink"/>
            <w:sz w:val="16"/>
          </w:rPr>
          <w:t>association</w:t>
        </w:r>
        <w:proofErr w:type="spellEnd"/>
        <w:r>
          <w:rPr>
            <w:rStyle w:val="Hyperlink"/>
            <w:sz w:val="16"/>
          </w:rPr>
          <w:t xml:space="preserve"> and </w:t>
        </w:r>
        <w:proofErr w:type="spellStart"/>
        <w:r>
          <w:rPr>
            <w:rStyle w:val="Hyperlink"/>
            <w:sz w:val="16"/>
          </w:rPr>
          <w:t>collective</w:t>
        </w:r>
        <w:proofErr w:type="spellEnd"/>
        <w:r>
          <w:rPr>
            <w:rStyle w:val="Hyperlink"/>
            <w:sz w:val="16"/>
          </w:rPr>
          <w:t xml:space="preserve"> </w:t>
        </w:r>
        <w:proofErr w:type="spellStart"/>
        <w:r>
          <w:rPr>
            <w:rStyle w:val="Hyperlink"/>
            <w:sz w:val="16"/>
          </w:rPr>
          <w:t>bargaining</w:t>
        </w:r>
        <w:proofErr w:type="spellEnd"/>
      </w:hyperlink>
      <w:r>
        <w:t xml:space="preserve"> (Δικαίωμα του </w:t>
      </w:r>
      <w:proofErr w:type="spellStart"/>
      <w:r>
        <w:t>συνεταιρίζεσθαι</w:t>
      </w:r>
      <w:proofErr w:type="spellEnd"/>
      <w:r>
        <w:t xml:space="preserve"> και δικαίωμα συλλογικής διαπραγμάτευσης των διακινούμενων εργαζομένων).</w:t>
      </w:r>
    </w:p>
  </w:footnote>
  <w:footnote w:id="34">
    <w:p w14:paraId="5F01D663" w14:textId="4B779C46" w:rsidR="00C11E25" w:rsidRPr="00F537C0" w:rsidRDefault="00C11E25" w:rsidP="00320852">
      <w:pPr>
        <w:pStyle w:val="FootnoteText"/>
        <w:spacing w:after="0" w:line="288" w:lineRule="auto"/>
      </w:pPr>
      <w:r>
        <w:rPr>
          <w:rStyle w:val="FootnoteReference"/>
        </w:rPr>
        <w:footnoteRef/>
      </w:r>
      <w:r>
        <w:tab/>
      </w:r>
      <w:hyperlink r:id="rId31" w:history="1">
        <w:r>
          <w:rPr>
            <w:rStyle w:val="Hyperlink"/>
          </w:rPr>
          <w:t>https://asean.org/wp-content/uploads/2023/07/ASEAN_employment_outlook_WEB_FIN.pdf</w:t>
        </w:r>
      </w:hyperlink>
      <w:r>
        <w:t>.</w:t>
      </w:r>
    </w:p>
  </w:footnote>
  <w:footnote w:id="35">
    <w:p w14:paraId="648A74EC" w14:textId="46B2F435" w:rsidR="00C11E25" w:rsidRPr="00F537C0" w:rsidRDefault="00C11E25" w:rsidP="00320852">
      <w:pPr>
        <w:pStyle w:val="FootnoteText"/>
        <w:spacing w:after="0" w:line="288" w:lineRule="auto"/>
      </w:pPr>
      <w:r>
        <w:rPr>
          <w:rStyle w:val="FootnoteReference"/>
        </w:rPr>
        <w:footnoteRef/>
      </w:r>
      <w:r>
        <w:tab/>
      </w:r>
      <w:hyperlink r:id="rId32" w:history="1">
        <w:r>
          <w:rPr>
            <w:rStyle w:val="Hyperlink"/>
          </w:rPr>
          <w:t>https://thailand.iom.int/sites/g/files/tmzbdl1371/files/documents/2024-12/thailand-migration-report-2024.pdf</w:t>
        </w:r>
      </w:hyperlink>
      <w:r>
        <w:t>.</w:t>
      </w:r>
    </w:p>
  </w:footnote>
  <w:footnote w:id="36">
    <w:p w14:paraId="2EB45D39" w14:textId="5A4F79BB" w:rsidR="00C11E25" w:rsidRPr="00F537C0" w:rsidRDefault="00C11E25" w:rsidP="00320852">
      <w:pPr>
        <w:ind w:left="567" w:hanging="567"/>
        <w:rPr>
          <w:sz w:val="16"/>
          <w:szCs w:val="16"/>
        </w:rPr>
      </w:pPr>
      <w:r>
        <w:rPr>
          <w:rStyle w:val="FootnoteReference"/>
        </w:rPr>
        <w:footnoteRef/>
      </w:r>
      <w:r>
        <w:rPr>
          <w:sz w:val="16"/>
        </w:rPr>
        <w:tab/>
      </w:r>
      <w:hyperlink r:id="rId33" w:history="1">
        <w:r>
          <w:rPr>
            <w:rStyle w:val="Hyperlink"/>
            <w:sz w:val="16"/>
          </w:rPr>
          <w:t>https://iotc.org/meetings/28th-session-indian-ocean-tuna-commission</w:t>
        </w:r>
      </w:hyperlink>
      <w:r>
        <w:rPr>
          <w:sz w:val="16"/>
        </w:rPr>
        <w:t>.</w:t>
      </w:r>
    </w:p>
  </w:footnote>
  <w:footnote w:id="37">
    <w:p w14:paraId="5869253A" w14:textId="77777777" w:rsidR="00C11E25" w:rsidRPr="00F537C0" w:rsidRDefault="00C11E25" w:rsidP="00320852">
      <w:pPr>
        <w:ind w:left="567" w:hanging="567"/>
        <w:rPr>
          <w:sz w:val="16"/>
          <w:szCs w:val="16"/>
        </w:rPr>
      </w:pPr>
      <w:r>
        <w:rPr>
          <w:rStyle w:val="FootnoteReference"/>
        </w:rPr>
        <w:footnoteRef/>
      </w:r>
      <w:r>
        <w:rPr>
          <w:sz w:val="16"/>
        </w:rPr>
        <w:tab/>
      </w:r>
      <w:hyperlink r:id="rId34" w:history="1">
        <w:r>
          <w:rPr>
            <w:rStyle w:val="Hyperlink"/>
            <w:sz w:val="16"/>
          </w:rPr>
          <w:t>https://ec.europa.eu/commission/presscorner/detail/el/ip_24_2683</w:t>
        </w:r>
      </w:hyperlink>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304C56">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761EED19" w:rsidR="00574C9B" w:rsidRDefault="005136BF">
    <w:pPr>
      <w:pStyle w:val="Header"/>
    </w:pPr>
    <w:r>
      <w:rPr>
        <w:noProof/>
      </w:rPr>
      <w:drawing>
        <wp:anchor distT="0" distB="0" distL="114300" distR="114300" simplePos="0" relativeHeight="251658240" behindDoc="0" locked="0" layoutInCell="1" allowOverlap="1" wp14:anchorId="32A48528" wp14:editId="624D4D58">
          <wp:simplePos x="898497" y="453224"/>
          <wp:positionH relativeFrom="page">
            <wp:align>center</wp:align>
          </wp:positionH>
          <wp:positionV relativeFrom="page">
            <wp:posOffset>288290</wp:posOffset>
          </wp:positionV>
          <wp:extent cx="6944360" cy="33439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304C56">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304C56">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304C56">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304C56">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44514E">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304C56">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304C56">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0A30FF" w:rsidRDefault="00304C56">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304C56">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689317E"/>
    <w:multiLevelType w:val="multilevel"/>
    <w:tmpl w:val="38860000"/>
    <w:lvl w:ilvl="0">
      <w:start w:val="1"/>
      <w:numFmt w:val="decimal"/>
      <w:lvlText w:val="%1."/>
      <w:lvlJc w:val="left"/>
      <w:pPr>
        <w:ind w:left="0" w:firstLine="0"/>
      </w:pPr>
      <w:rPr>
        <w:rFonts w:hint="default"/>
        <w:b w:val="0"/>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7C8F54F7"/>
    <w:multiLevelType w:val="multilevel"/>
    <w:tmpl w:val="38860000"/>
    <w:lvl w:ilvl="0">
      <w:start w:val="1"/>
      <w:numFmt w:val="decimal"/>
      <w:lvlText w:val="%1."/>
      <w:lvlJc w:val="left"/>
      <w:pPr>
        <w:ind w:left="0" w:firstLine="0"/>
      </w:pPr>
      <w:rPr>
        <w:rFonts w:hint="default"/>
        <w:b w:val="0"/>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0604"/>
    <w:rsid w:val="00003107"/>
    <w:rsid w:val="00020389"/>
    <w:rsid w:val="00037DAD"/>
    <w:rsid w:val="00037E5B"/>
    <w:rsid w:val="00053D00"/>
    <w:rsid w:val="00053FD2"/>
    <w:rsid w:val="00067D46"/>
    <w:rsid w:val="00094C5F"/>
    <w:rsid w:val="000A0F3B"/>
    <w:rsid w:val="000A30FF"/>
    <w:rsid w:val="000A4E96"/>
    <w:rsid w:val="000A4F52"/>
    <w:rsid w:val="00101C3E"/>
    <w:rsid w:val="00157022"/>
    <w:rsid w:val="00185E99"/>
    <w:rsid w:val="0019231D"/>
    <w:rsid w:val="001955B6"/>
    <w:rsid w:val="001A434B"/>
    <w:rsid w:val="001D571E"/>
    <w:rsid w:val="001D61AC"/>
    <w:rsid w:val="001E15AA"/>
    <w:rsid w:val="001E3C28"/>
    <w:rsid w:val="001E3FA1"/>
    <w:rsid w:val="001F165D"/>
    <w:rsid w:val="00200E87"/>
    <w:rsid w:val="00206D14"/>
    <w:rsid w:val="00214BDC"/>
    <w:rsid w:val="00215E81"/>
    <w:rsid w:val="0024727F"/>
    <w:rsid w:val="002548EF"/>
    <w:rsid w:val="00294622"/>
    <w:rsid w:val="00296BCE"/>
    <w:rsid w:val="002B6A7B"/>
    <w:rsid w:val="002E0282"/>
    <w:rsid w:val="00300EA7"/>
    <w:rsid w:val="00304C56"/>
    <w:rsid w:val="00306381"/>
    <w:rsid w:val="00320852"/>
    <w:rsid w:val="003353D7"/>
    <w:rsid w:val="00360204"/>
    <w:rsid w:val="003659F9"/>
    <w:rsid w:val="00384833"/>
    <w:rsid w:val="003F1034"/>
    <w:rsid w:val="00401DE5"/>
    <w:rsid w:val="00412822"/>
    <w:rsid w:val="0044514E"/>
    <w:rsid w:val="00461CAF"/>
    <w:rsid w:val="004751CF"/>
    <w:rsid w:val="00484DD4"/>
    <w:rsid w:val="004871B8"/>
    <w:rsid w:val="004A3D71"/>
    <w:rsid w:val="004B0887"/>
    <w:rsid w:val="005136BF"/>
    <w:rsid w:val="0053281C"/>
    <w:rsid w:val="00566DF2"/>
    <w:rsid w:val="00574C9B"/>
    <w:rsid w:val="0058411F"/>
    <w:rsid w:val="005956FC"/>
    <w:rsid w:val="005961A4"/>
    <w:rsid w:val="005B55E2"/>
    <w:rsid w:val="005C2475"/>
    <w:rsid w:val="005C3BDB"/>
    <w:rsid w:val="005F34E9"/>
    <w:rsid w:val="005F6AC8"/>
    <w:rsid w:val="006125A1"/>
    <w:rsid w:val="00653E7D"/>
    <w:rsid w:val="00662207"/>
    <w:rsid w:val="00667F09"/>
    <w:rsid w:val="00671C08"/>
    <w:rsid w:val="006868CB"/>
    <w:rsid w:val="0069047B"/>
    <w:rsid w:val="006B57A6"/>
    <w:rsid w:val="006D53A6"/>
    <w:rsid w:val="0072375C"/>
    <w:rsid w:val="00740EC9"/>
    <w:rsid w:val="00787837"/>
    <w:rsid w:val="00787ABB"/>
    <w:rsid w:val="007918CC"/>
    <w:rsid w:val="00793BB8"/>
    <w:rsid w:val="007B6C64"/>
    <w:rsid w:val="00822952"/>
    <w:rsid w:val="008311E5"/>
    <w:rsid w:val="00836505"/>
    <w:rsid w:val="00844B87"/>
    <w:rsid w:val="00853708"/>
    <w:rsid w:val="00876AF1"/>
    <w:rsid w:val="0089251B"/>
    <w:rsid w:val="008A6DD4"/>
    <w:rsid w:val="008E7D31"/>
    <w:rsid w:val="008F74D7"/>
    <w:rsid w:val="00904C42"/>
    <w:rsid w:val="00914683"/>
    <w:rsid w:val="00924C05"/>
    <w:rsid w:val="00937CF2"/>
    <w:rsid w:val="009451D6"/>
    <w:rsid w:val="009506A6"/>
    <w:rsid w:val="00964BF1"/>
    <w:rsid w:val="00976645"/>
    <w:rsid w:val="00976F77"/>
    <w:rsid w:val="0098228C"/>
    <w:rsid w:val="00992B39"/>
    <w:rsid w:val="009A734F"/>
    <w:rsid w:val="009C37A0"/>
    <w:rsid w:val="009C6F26"/>
    <w:rsid w:val="009E2100"/>
    <w:rsid w:val="00A310E1"/>
    <w:rsid w:val="00A3397C"/>
    <w:rsid w:val="00A36AB0"/>
    <w:rsid w:val="00AA334D"/>
    <w:rsid w:val="00AB37A3"/>
    <w:rsid w:val="00AC5114"/>
    <w:rsid w:val="00AE2782"/>
    <w:rsid w:val="00AE4394"/>
    <w:rsid w:val="00B25683"/>
    <w:rsid w:val="00B51901"/>
    <w:rsid w:val="00B65A84"/>
    <w:rsid w:val="00B73B79"/>
    <w:rsid w:val="00BB0A75"/>
    <w:rsid w:val="00BC4FD4"/>
    <w:rsid w:val="00BC7642"/>
    <w:rsid w:val="00BD50F6"/>
    <w:rsid w:val="00C0056A"/>
    <w:rsid w:val="00C073E1"/>
    <w:rsid w:val="00C11E25"/>
    <w:rsid w:val="00C25647"/>
    <w:rsid w:val="00C5137B"/>
    <w:rsid w:val="00C66AEA"/>
    <w:rsid w:val="00C9040A"/>
    <w:rsid w:val="00C91E4D"/>
    <w:rsid w:val="00CB110A"/>
    <w:rsid w:val="00CB7CD0"/>
    <w:rsid w:val="00D039AF"/>
    <w:rsid w:val="00D13128"/>
    <w:rsid w:val="00D16114"/>
    <w:rsid w:val="00D2283E"/>
    <w:rsid w:val="00D95232"/>
    <w:rsid w:val="00DB7F50"/>
    <w:rsid w:val="00DE06D7"/>
    <w:rsid w:val="00DE30C7"/>
    <w:rsid w:val="00DF400F"/>
    <w:rsid w:val="00E05575"/>
    <w:rsid w:val="00E15BF4"/>
    <w:rsid w:val="00E2376B"/>
    <w:rsid w:val="00E2441D"/>
    <w:rsid w:val="00E26935"/>
    <w:rsid w:val="00E27707"/>
    <w:rsid w:val="00E333C8"/>
    <w:rsid w:val="00E47484"/>
    <w:rsid w:val="00E52B04"/>
    <w:rsid w:val="00E661B7"/>
    <w:rsid w:val="00E73266"/>
    <w:rsid w:val="00E7637E"/>
    <w:rsid w:val="00E8530C"/>
    <w:rsid w:val="00E869DE"/>
    <w:rsid w:val="00E90A9D"/>
    <w:rsid w:val="00ED0759"/>
    <w:rsid w:val="00F1723D"/>
    <w:rsid w:val="00F2069F"/>
    <w:rsid w:val="00F27167"/>
    <w:rsid w:val="00F53370"/>
    <w:rsid w:val="00F537C0"/>
    <w:rsid w:val="00F641E1"/>
    <w:rsid w:val="00F90BE2"/>
    <w:rsid w:val="00FA305D"/>
    <w:rsid w:val="00FB1AFF"/>
    <w:rsid w:val="00FB1D7A"/>
    <w:rsid w:val="00FB1F92"/>
    <w:rsid w:val="00FC0CEA"/>
    <w:rsid w:val="162344D0"/>
    <w:rsid w:val="4F54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22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eeas.europa.eu/node/63333_en" TargetMode="External"/><Relationship Id="rId25"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2.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fontTable" Target="fontTable.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aichr.org/" TargetMode="External"/><Relationship Id="rId13" Type="http://schemas.openxmlformats.org/officeDocument/2006/relationships/hyperlink" Target="https://www.ilo.org/publications/social-dialogue-public-services-selected-asean-countries" TargetMode="External"/><Relationship Id="rId18" Type="http://schemas.openxmlformats.org/officeDocument/2006/relationships/hyperlink" Target="https://www.ilo.org/publications/women-and-men-informal-economy-statistical-update" TargetMode="External"/><Relationship Id="rId26" Type="http://schemas.openxmlformats.org/officeDocument/2006/relationships/hyperlink" Target="https://www.ilo.org/resource/workers-organizations-asia-and-pacific" TargetMode="External"/><Relationship Id="rId3" Type="http://schemas.openxmlformats.org/officeDocument/2006/relationships/hyperlink" Target="https://eur-lex.europa.eu/legal-content/EL/TXT/PDF/?uri=CELEX:22019A1114(01)&amp;from=EN%23" TargetMode="External"/><Relationship Id="rId21" Type="http://schemas.openxmlformats.org/officeDocument/2006/relationships/hyperlink" Target="https://www.eesc.europa.eu/el/sections-other-bodies/other/h-esoteriki-symboyleytiki-omada-tis-ee-gia-ti-symfonia-eleytheron-synallagon-ee-sigkapoyris" TargetMode="External"/><Relationship Id="rId34" Type="http://schemas.openxmlformats.org/officeDocument/2006/relationships/hyperlink" Target="https://ec.europa.eu/commission/presscorner/detail/el/ip_24_2683" TargetMode="External"/><Relationship Id="rId7" Type="http://schemas.openxmlformats.org/officeDocument/2006/relationships/hyperlink" Target="https://asean.org/asean-leaders-review-and-decision-on-the-implementation-of-the-five-point-consensus-3/" TargetMode="External"/><Relationship Id="rId12" Type="http://schemas.openxmlformats.org/officeDocument/2006/relationships/hyperlink" Target="https://alternative-regionalisms.org/wp-content/uploads/2009/07/sapasubmissiononaseancharter-sociocultural.pdf" TargetMode="External"/><Relationship Id="rId17" Type="http://schemas.openxmlformats.org/officeDocument/2006/relationships/hyperlink" Target="https://www.eeas.europa.eu/sites/default/files/documents/2024/2023%20EU%20country%20updates%20on%20human%20rights%20and%20democracy_0.pdf" TargetMode="External"/><Relationship Id="rId25" Type="http://schemas.openxmlformats.org/officeDocument/2006/relationships/hyperlink" Target="https://www.wftucentral.org/?lang=es" TargetMode="External"/><Relationship Id="rId33" Type="http://schemas.openxmlformats.org/officeDocument/2006/relationships/hyperlink" Target="https://iotc.org/meetings/28th-session-indian-ocean-tuna-commission" TargetMode="External"/><Relationship Id="rId2" Type="http://schemas.openxmlformats.org/officeDocument/2006/relationships/hyperlink" Target="https://www.eu-asean.eu/" TargetMode="External"/><Relationship Id="rId16" Type="http://schemas.openxmlformats.org/officeDocument/2006/relationships/hyperlink" Target="https://www.eeas.europa.eu/sites/default/files/documents/2024/2023%20EU%20country%20updates%20on%20human%20rights%20and%20democracy_0.pdf" TargetMode="External"/><Relationship Id="rId20" Type="http://schemas.openxmlformats.org/officeDocument/2006/relationships/hyperlink" Target="https://multimedia.europarl.europa.eu/el/webstreaming/inta-committee-meeting_20250319-0900-COMMITTEE-INTA" TargetMode="External"/><Relationship Id="rId29" Type="http://schemas.openxmlformats.org/officeDocument/2006/relationships/hyperlink" Target="https://www.ilo.org/sites/default/files/wcmsp5/groups/public/%40ed_protect/%40protrav/%40migrant/documents/publication/wcms_883446.pdf" TargetMode="External"/><Relationship Id="rId1" Type="http://schemas.openxmlformats.org/officeDocument/2006/relationships/hyperlink" Target="https://www.ilo.org/about-ilo/mission-and-impact-ilo/ilo-declaration-fundamental-principles-and-rights-work" TargetMode="External"/><Relationship Id="rId6" Type="http://schemas.openxmlformats.org/officeDocument/2006/relationships/hyperlink" Target="https://policy.trade.ec.europa.eu/eu-trade-relationships-country-and-region/countries-and-regions/association-south-east-asian-nations-asean_en" TargetMode="External"/><Relationship Id="rId11" Type="http://schemas.openxmlformats.org/officeDocument/2006/relationships/hyperlink" Target="https://arrow.org.my/" TargetMode="External"/><Relationship Id="rId24" Type="http://schemas.openxmlformats.org/officeDocument/2006/relationships/hyperlink" Target="https://www.ituc-ap.org/" TargetMode="External"/><Relationship Id="rId32" Type="http://schemas.openxmlformats.org/officeDocument/2006/relationships/hyperlink" Target="https://thailand.iom.int/sites/g/files/tmzbdl1371/files/documents/2024-12/thailand-migration-report-2024.pdf" TargetMode="External"/><Relationship Id="rId5" Type="http://schemas.openxmlformats.org/officeDocument/2006/relationships/hyperlink" Target="https://www.worldeconomics.com/Regions/ASEAN/" TargetMode="External"/><Relationship Id="rId15" Type="http://schemas.openxmlformats.org/officeDocument/2006/relationships/hyperlink" Target="https://www.europarl.europa.eu/RegData/etudes/STUD/2021/653635/EXPO_STU(2021)653635_EN.pdf" TargetMode="External"/><Relationship Id="rId23" Type="http://schemas.openxmlformats.org/officeDocument/2006/relationships/hyperlink" Target="https://www.ilo.org/resource/workers-organizations-asia-and-pacific" TargetMode="External"/><Relationship Id="rId28" Type="http://schemas.openxmlformats.org/officeDocument/2006/relationships/hyperlink" Target="https://www.cape-emp.org/home.aspx" TargetMode="External"/><Relationship Id="rId10" Type="http://schemas.openxmlformats.org/officeDocument/2006/relationships/hyperlink" Target="https://safenet.or.id/" TargetMode="External"/><Relationship Id="rId19" Type="http://schemas.openxmlformats.org/officeDocument/2006/relationships/hyperlink" Target="https://www.eesc.europa.eu/el/documents/statement-european-union-domestic-advisory-group-eu-viet-nam-free-trade-agreement-1" TargetMode="External"/><Relationship Id="rId31" Type="http://schemas.openxmlformats.org/officeDocument/2006/relationships/hyperlink" Target="https://asean.org/wp-content/uploads/2023/07/ASEAN_employment_outlook_WEB_FIN.pdf" TargetMode="External"/><Relationship Id="rId4" Type="http://schemas.openxmlformats.org/officeDocument/2006/relationships/hyperlink" Target="https://eur-lex.europa.eu/legal-content/EL/TXT/PDF/?uri=OJ:L:2020:186:FULL&amp;from=EN%23" TargetMode="External"/><Relationship Id="rId9" Type="http://schemas.openxmlformats.org/officeDocument/2006/relationships/hyperlink" Target="https://reliefweb.int/organization/forum-asia" TargetMode="External"/><Relationship Id="rId14" Type="http://schemas.openxmlformats.org/officeDocument/2006/relationships/hyperlink" Target="https://www.europarl.europa.eu/doceo/document/TA-10-2024-0053_EL.html" TargetMode="External"/><Relationship Id="rId22" Type="http://schemas.openxmlformats.org/officeDocument/2006/relationships/hyperlink" Target="https://policy.trade.ec.europa.eu/analysis-and-assessment/eu-trade-meetings-civil-society/objectives_en" TargetMode="External"/><Relationship Id="rId27" Type="http://schemas.openxmlformats.org/officeDocument/2006/relationships/hyperlink" Target="https://www.ilo.org/meetings-and-events/asean-employers-empowering-people-priortizing-skills" TargetMode="External"/><Relationship Id="rId30" Type="http://schemas.openxmlformats.org/officeDocument/2006/relationships/hyperlink" Target="https://www.ilo.org/sites/default/files/wcmsp5/groups/public/%40ed_protect/%40protrav/%40migrant/documents/publication/wcms_88344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A6WAAD5KZT2Q-604569563-13147</_dlc_DocId>
    <_dlc_DocIdUrl xmlns="1a33af13-4045-4f88-9d7b-618e30f79918">
      <Url>http://dm/eesc/2025/_layouts/15/DocIdRedir.aspx?ID=A6WAAD5KZT2Q-604569563-13147</Url>
      <Description>A6WAAD5KZT2Q-604569563-13147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2025-07-01T12:00:00+00:00</ProductionDate>
    <DocumentNumber xmlns="be3ca9a7-9286-4008-99ec-aebc20da9dc2">840</DocumentNumber>
    <FicheYear xmlns="1a33af13-4045-4f88-9d7b-618e30f79918" xsi:nil="true"/>
    <DossierNumber xmlns="1a33af13-4045-4f88-9d7b-618e30f79918">589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246</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1a33af13-4045-4f88-9d7b-618e30f79918">KOLLER &amp; PATER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6739</FicheNumber>
    <OriginalSender xmlns="1a33af13-4045-4f88-9d7b-618e30f79918">
      <UserInfo>
        <DisplayName>Poulou Nikoletta</DisplayName>
        <AccountId>1511</AccountId>
        <AccountType/>
      </UserInfo>
    </OriginalSender>
    <DocumentPart xmlns="1a33af13-4045-4f88-9d7b-618e30f79918">0</DocumentPart>
    <AdoptionDate xmlns="1a33af13-4045-4f88-9d7b-618e30f79918">2025-06-19T12:00:00+00:00</AdoptionDat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2</DocumentVersion>
  </documentManagement>
</p:properties>
</file>

<file path=customXml/itemProps1.xml><?xml version="1.0" encoding="utf-8"?>
<ds:datastoreItem xmlns:ds="http://schemas.openxmlformats.org/officeDocument/2006/customXml" ds:itemID="{BA7F9C7A-034A-440E-BCD8-CC088A421BF3}"/>
</file>

<file path=customXml/itemProps2.xml><?xml version="1.0" encoding="utf-8"?>
<ds:datastoreItem xmlns:ds="http://schemas.openxmlformats.org/officeDocument/2006/customXml" ds:itemID="{CB9FC37B-B631-445E-91CB-76CD18F1731C}"/>
</file>

<file path=customXml/itemProps3.xml><?xml version="1.0" encoding="utf-8"?>
<ds:datastoreItem xmlns:ds="http://schemas.openxmlformats.org/officeDocument/2006/customXml" ds:itemID="{B1639BC5-6855-4071-B32E-50A4369DC48E}"/>
</file>

<file path=customXml/itemProps4.xml><?xml version="1.0" encoding="utf-8"?>
<ds:datastoreItem xmlns:ds="http://schemas.openxmlformats.org/officeDocument/2006/customXml" ds:itemID="{347FE99F-6108-4F9E-ABED-3B1A38AC2798}"/>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The situation of the civil society organisations in the ASEAN countries</vt:lpstr>
    </vt:vector>
  </TitlesOfParts>
  <Company>CESE-CdR</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κατάσταση των οργανώσεων της κοινωνίας των πολιτών στις χώρες του Συνδέσμου Κρατών της Νοτιοανατολικής Ασίας (ASEAN)</dc:title>
  <dc:subject>RI</dc:subject>
  <dc:creator>Francois Aude</dc:creator>
  <cp:keywords>EESC-2025-00840-00-02-RI-TRA-EN</cp:keywords>
  <dc:description>Rapporteur: KOLLER &amp; PATER - Original language: EN - Date of document: 01/07/2025 - Date of meeting:  - External documents:  - Administrator: MME FEVRE-BURDY Sylvia Gunilla</dc:description>
  <cp:lastModifiedBy>Poulou Nikoletta</cp:lastModifiedBy>
  <cp:revision>13</cp:revision>
  <dcterms:created xsi:type="dcterms:W3CDTF">2025-06-30T15:56:00Z</dcterms:created>
  <dcterms:modified xsi:type="dcterms:W3CDTF">2025-07-01T09:29:00Z</dcterms:modified>
  <cp:category>REX/589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30/06/2025, 27/06/2025, 27/06/2025, 23/06/2025, 23/06/2025, 12/04/2024, 17/05/2022</vt:lpwstr>
  </property>
  <property fmtid="{D5CDD505-2E9C-101B-9397-08002B2CF9AE}" pid="4" name="Pref_Time">
    <vt:lpwstr>17:44:45, 10:56:37, 10:53:34, 14:28:35, 09:02:59, 12:04:59, 14:58:36</vt:lpwstr>
  </property>
  <property fmtid="{D5CDD505-2E9C-101B-9397-08002B2CF9AE}" pid="5" name="Pref_User">
    <vt:lpwstr>nnas, jhvi, jhvi, jhvi, jhvi, enied, enied</vt:lpwstr>
  </property>
  <property fmtid="{D5CDD505-2E9C-101B-9397-08002B2CF9AE}" pid="6" name="Pref_FileName">
    <vt:lpwstr>EESC-2025-00840-00-02-RI-ORI.docx, EESC-2025-00840-00-02-RI-TRA-EN_jhvi.docx, EESC-2025-00840-00-01-RI-TRA-EN (3).docx, eesc-2025-00840-00-01-RI-ORI.docx, eesc-2025-00840-00-00-ri-ori (3).docx, COR-EESC-2024-01326-27-00-ADMIN-ORI.docx, COR-EESC-2022-02592</vt:lpwstr>
  </property>
  <property fmtid="{D5CDD505-2E9C-101B-9397-08002B2CF9AE}" pid="7" name="ContentTypeId">
    <vt:lpwstr>0x010100EA97B91038054C99906057A708A1480A006BB3B767F3CF4149BF520211D4A86BC0</vt:lpwstr>
  </property>
  <property fmtid="{D5CDD505-2E9C-101B-9397-08002B2CF9AE}" pid="8" name="_dlc_DocIdItemGuid">
    <vt:lpwstr>3c013a90-5c49-48e0-9dba-1d4392052612</vt:lpwstr>
  </property>
  <property fmtid="{D5CDD505-2E9C-101B-9397-08002B2CF9AE}" pid="9" name="AvailableTranslations">
    <vt:lpwstr>40;#DA|5d49c027-8956-412b-aa16-e85a0f96ad0e;#37;#HU|6b229040-c589-4408-b4c1-4285663d20a8;#42;#EL|6d4f4d51-af9b-4650-94b4-4276bee85c91;#47;#BG|1a1b3951-7821-4e6a-85f5-5673fc08bd2c;#30;#LT|a7ff5ce7-6123-4f68-865a-a57c31810414;#31;#SL|98a412ae-eb01-49e9-ae3d-585a81724cfc;#46;#SK|46d9fce0-ef79-4f71-b89b-cd6aa82426b8;#41;#ET|ff6c3f4c-b02c-4c3c-ab07-2c37995a7a0a;#36;#RO|feb747a2-64cd-4299-af12-4833ddc30497;#32;#MT|7df99101-6854-4a26-b53a-b88c0da02c26;#33;#PT|50ccc04a-eadd-42ae-a0cb-acaf45f812ba;#39;#LV|46f7e311-5d9f-4663-b433-18aeccb7ace7;#34;#IT|0774613c-01ed-4e5d-a25d-11d2388de825;#16;#ES|e7a6b05b-ae16-40c8-add9-68b64b03aeba;#28;#SV|c2ed69e7-a339-43d7-8f22-d93680a92aa0;#35;#FI|87606a43-d45f-42d6-b8c9-e1a3457db5b7;#50;#HR|2f555653-ed1a-4fe6-8362-9082d95989e5;#24;#PL|1e03da61-4678-4e07-b136-b5024ca9197b;#23;#DE|f6b31e5a-26fa-4935-b661-318e46daf27e;#29;#CS|72f9705b-0217-4fd3-bea2-cbc7ed80e26e;#27;#NL|55c6556c-b4f4-441d-9acf-c498d4f838bd;#12;#FR|d2afafd3-4c81-4f60-8f52-ee33f2f54ff3;#5;#EN|f2175f21-25d7-44a3-96da-d6a61b075e1b;#43;#GA|762d2456-c427-4ecb-b312-af3dad8e258c</vt:lpwstr>
  </property>
  <property fmtid="{D5CDD505-2E9C-101B-9397-08002B2CF9AE}" pid="10" name="DocumentType_0">
    <vt:lpwstr>RI|0e66e8df-1601-4fe1-947b-eb539760261a</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840</vt:i4>
  </property>
  <property fmtid="{D5CDD505-2E9C-101B-9397-08002B2CF9AE}" pid="14" name="DocumentVersion">
    <vt:i4>2</vt:i4>
  </property>
  <property fmtid="{D5CDD505-2E9C-101B-9397-08002B2CF9AE}" pid="15" name="DossierNumber">
    <vt:i4>589</vt:i4>
  </property>
  <property fmtid="{D5CDD505-2E9C-101B-9397-08002B2CF9AE}" pid="16" name="DocumentStatus">
    <vt:lpwstr>13;#TRA|150d2a88-1431-44e6-a8ca-0bb753ab8672</vt:lpwstr>
  </property>
  <property fmtid="{D5CDD505-2E9C-101B-9397-08002B2CF9AE}" pid="17" name="DossierName">
    <vt:lpwstr>2;#REX|6820eaf5-116e-436b-ad9c-156f8a94c2a1</vt:lpwstr>
  </property>
  <property fmtid="{D5CDD505-2E9C-101B-9397-08002B2CF9AE}" pid="18" name="RequestingService">
    <vt:lpwstr>Relations extérieures</vt:lpwstr>
  </property>
  <property fmtid="{D5CDD505-2E9C-101B-9397-08002B2CF9AE}" pid="19" name="Confidentiality">
    <vt:lpwstr>15;#Unrestricted|826e22d7-d029-4ec0-a450-0c28ff673572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DA|5d49c027-8956-412b-aa16-e85a0f96ad0e;HU|6b229040-c589-4408-b4c1-4285663d20a8;BG|1a1b3951-7821-4e6a-85f5-5673fc08bd2c;LT|a7ff5ce7-6123-4f68-865a-a57c31810414;SL|98a412ae-eb01-49e9-ae3d-585a81724cfc;SK|46d9fce0-ef79-4f71-b89b-cd6aa82426b8;ET|ff6c3f4c-b02c-4c3c-ab07-2c37995a7a0a;RO|feb747a2-64cd-4299-af12-4833ddc30497;MT|7df99101-6854-4a26-b53a-b88c0da02c26;PT|50ccc04a-eadd-42ae-a0cb-acaf45f812ba;IT|0774613c-01ed-4e5d-a25d-11d2388de825;ES|e7a6b05b-ae16-40c8-add9-68b64b03aeba;FI|87606a43-d45f-42d6-b8c9-e1a3457db5b7;HR|2f555653-ed1a-4fe6-8362-9082d95989e5;PL|1e03da61-4678-4e07-b136-b5024ca9197b;NL|55c6556c-b4f4-441d-9acf-c498d4f838bd;FR|d2afafd3-4c81-4f60-8f52-ee33f2f54ff3;EN|f2175f21-25d7-44a3-96da-d6a61b075e1b</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36;#RO|feb747a2-64cd-4299-af12-4833ddc30497;#35;#FI|87606a43-d45f-42d6-b8c9-e1a3457db5b7;#34;#IT|0774613c-01ed-4e5d-a25d-11d2388de825;#33;#PT|50ccc04a-eadd-42ae-a0cb-acaf45f812ba;#32;#MT|7df99101-6854-4a26-b53a-b88c0da02c26;#31;#SL|98a412ae-eb01-49e9-ae3d-585a81724cfc;#30;#LT|a7ff5ce7-6123-4f68-865a-a57c31810414;#27;#NL|55c6556c-b4f4-441d-9acf-c498d4f838bd;#24;#PL|1e03da61-4678-4e07-b136-b5024ca9197b;#246;#RI|0e66e8df-1601-4fe1-947b-eb539760261a;#50;#HR|2f555653-ed1a-4fe6-8362-9082d95989e5;#16;#ES|e7a6b05b-ae16-40c8-add9-68b64b03aeba;#15;#Unrestricted|826e22d7-d029-4ec0-a450-0c28ff673572;#13;#TRA|150d2a88-1431-44e6-a8ca-0bb753ab8672;#12;#FR|d2afafd3-4c81-4f60-8f52-ee33f2f54ff3;#47;#BG|1a1b3951-7821-4e6a-85f5-5673fc08bd2c;#46;#SK|46d9fce0-ef79-4f71-b89b-cd6aa82426b8;#8;#Final|ea5e6674-7b27-4bac-b091-73adbb394efe;#5;#EN|f2175f21-25d7-44a3-96da-d6a61b075e1b;#41;#ET|ff6c3f4c-b02c-4c3c-ab07-2c37995a7a0a;#40;#DA|5d49c027-8956-412b-aa16-e85a0f96ad0e;#2;#REX|6820eaf5-116e-436b-ad9c-156f8a94c2a1;#1;#EESC|422833ec-8d7e-4e65-8e4e-8bed07ffb729;#37;#HU|6b229040-c589-4408-b4c1-4285663d20a8</vt:lpwstr>
  </property>
  <property fmtid="{D5CDD505-2E9C-101B-9397-08002B2CF9AE}" pid="29" name="Rapporteur">
    <vt:lpwstr>KOLLER &amp; PATER</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6739</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2025-06-19T12:00:00Z</vt:filetime>
  </property>
  <property fmtid="{D5CDD505-2E9C-101B-9397-08002B2CF9AE}" pid="37" name="DocumentType">
    <vt:lpwstr>246;#RI|0e66e8df-1601-4fe1-947b-eb539760261a</vt:lpwstr>
  </property>
  <property fmtid="{D5CDD505-2E9C-101B-9397-08002B2CF9AE}" pid="38" name="DocumentLanguage">
    <vt:lpwstr>42;#EL|6d4f4d51-af9b-4650-94b4-4276bee85c91</vt:lpwstr>
  </property>
</Properties>
</file>