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1F165D" w:rsidR="00574C9B" w:rsidTr="008E4CC5" w14:paraId="4B18B74B" w14:textId="77777777">
        <w:trPr>
          <w:jc w:val="center"/>
        </w:trPr>
        <w:tc>
          <w:tcPr>
            <w:tcW w:w="5000" w:type="pct"/>
            <w:vAlign w:val="center"/>
          </w:tcPr>
          <w:p w:rsidRPr="001F165D" w:rsidR="00574C9B" w:rsidP="006125A1" w:rsidRDefault="00360204" w14:paraId="4B8F14AB" w14:textId="1DC17AD9">
            <w:pPr>
              <w:jc w:val="center"/>
              <w:rPr>
                <w:b/>
                <w:sz w:val="72"/>
                <w:szCs w:val="72"/>
                <w:lang w:val="en-GB"/>
              </w:rPr>
            </w:pPr>
            <w:bookmarkStart w:name="_GoBack" w:id="0"/>
            <w:bookmarkEnd w:id="0"/>
            <w:r w:rsidRPr="001F165D">
              <w:rPr>
                <w:b/>
                <w:sz w:val="72"/>
                <w:szCs w:val="72"/>
                <w:lang w:val="en-GB"/>
              </w:rPr>
              <w:t>INFORMATION REPORT</w:t>
            </w:r>
          </w:p>
        </w:tc>
      </w:tr>
      <w:tr w:rsidRPr="001F165D" w:rsidR="00574C9B" w:rsidTr="008E4CC5" w14:paraId="428F80C1" w14:textId="77777777">
        <w:trPr>
          <w:trHeight w:val="567"/>
          <w:jc w:val="center"/>
        </w:trPr>
        <w:tc>
          <w:tcPr>
            <w:tcW w:w="5000" w:type="pct"/>
            <w:vAlign w:val="center"/>
          </w:tcPr>
          <w:p w:rsidRPr="001F165D" w:rsidR="00574C9B" w:rsidP="006125A1" w:rsidRDefault="00574C9B" w14:paraId="0E3C838D" w14:textId="126C60AA">
            <w:pPr>
              <w:jc w:val="center"/>
              <w:rPr>
                <w:sz w:val="24"/>
                <w:szCs w:val="24"/>
                <w:lang w:val="en-GB"/>
              </w:rPr>
            </w:pPr>
            <w:r w:rsidRPr="001F165D">
              <w:rPr>
                <w:sz w:val="24"/>
                <w:szCs w:val="24"/>
                <w:lang w:val="en-GB"/>
              </w:rPr>
              <w:t>E</w:t>
            </w:r>
            <w:r w:rsidRPr="001F165D" w:rsidR="006125A1">
              <w:rPr>
                <w:sz w:val="24"/>
                <w:szCs w:val="24"/>
                <w:lang w:val="en-GB"/>
              </w:rPr>
              <w:t>uropean E</w:t>
            </w:r>
            <w:r w:rsidRPr="001F165D">
              <w:rPr>
                <w:sz w:val="24"/>
                <w:szCs w:val="24"/>
                <w:lang w:val="en-GB"/>
              </w:rPr>
              <w:t>conomic and Social Committee</w:t>
            </w:r>
          </w:p>
        </w:tc>
      </w:tr>
      <w:tr w:rsidRPr="001F165D" w:rsidR="00574C9B" w:rsidTr="008E4CC5" w14:paraId="5FCA7EB1" w14:textId="77777777">
        <w:trPr>
          <w:jc w:val="center"/>
        </w:trPr>
        <w:tc>
          <w:tcPr>
            <w:tcW w:w="5000" w:type="pct"/>
            <w:vAlign w:val="center"/>
          </w:tcPr>
          <w:p w:rsidRPr="001F165D" w:rsidR="00574C9B" w:rsidP="006125A1" w:rsidRDefault="00384833" w14:paraId="164B3F5D" w14:textId="3014D980">
            <w:pPr>
              <w:jc w:val="center"/>
              <w:rPr>
                <w:b/>
                <w:sz w:val="44"/>
                <w:szCs w:val="44"/>
                <w:lang w:val="en-GB"/>
              </w:rPr>
            </w:pPr>
            <w:r w:rsidRPr="00F537C0">
              <w:rPr>
                <w:b/>
                <w:bCs/>
                <w:sz w:val="44"/>
                <w:szCs w:val="44"/>
                <w:lang w:val="en-GB"/>
              </w:rPr>
              <w:t>The situation of the civil society organisations in the ASEAN countries</w:t>
            </w:r>
          </w:p>
        </w:tc>
      </w:tr>
      <w:tr w:rsidRPr="001F165D" w:rsidR="00574C9B" w:rsidTr="008E4CC5" w14:paraId="0A2CA787" w14:textId="77777777">
        <w:trPr>
          <w:jc w:val="center"/>
        </w:trPr>
        <w:tc>
          <w:tcPr>
            <w:tcW w:w="5000" w:type="pct"/>
            <w:vAlign w:val="center"/>
          </w:tcPr>
          <w:p w:rsidRPr="001F165D" w:rsidR="00574C9B" w:rsidP="006125A1" w:rsidRDefault="00574C9B" w14:paraId="766B3712" w14:textId="77777777">
            <w:pPr>
              <w:overflowPunct w:val="0"/>
              <w:autoSpaceDE w:val="0"/>
              <w:autoSpaceDN w:val="0"/>
              <w:adjustRightInd w:val="0"/>
              <w:jc w:val="center"/>
              <w:textAlignment w:val="baseline"/>
              <w:rPr>
                <w:b/>
                <w:position w:val="24"/>
                <w:sz w:val="24"/>
                <w:szCs w:val="24"/>
                <w:lang w:val="en-GB"/>
              </w:rPr>
            </w:pPr>
            <w:r w:rsidRPr="001F165D">
              <w:rPr>
                <w:position w:val="24"/>
                <w:sz w:val="24"/>
                <w:szCs w:val="24"/>
                <w:lang w:val="en-GB"/>
              </w:rPr>
              <w:t>_____________</w:t>
            </w:r>
          </w:p>
        </w:tc>
      </w:tr>
      <w:tr w:rsidRPr="001F165D" w:rsidR="00574C9B" w:rsidTr="008E4CC5" w14:paraId="651BE820" w14:textId="77777777">
        <w:trPr>
          <w:jc w:val="center"/>
        </w:trPr>
        <w:tc>
          <w:tcPr>
            <w:tcW w:w="5000" w:type="pct"/>
            <w:vAlign w:val="center"/>
          </w:tcPr>
          <w:p w:rsidRPr="001F165D" w:rsidR="00574C9B" w:rsidP="00360204" w:rsidRDefault="007918CC" w14:paraId="6E238E6D" w14:textId="2F4A1380">
            <w:pPr>
              <w:jc w:val="center"/>
              <w:rPr>
                <w:sz w:val="24"/>
                <w:szCs w:val="24"/>
                <w:lang w:val="en-GB"/>
              </w:rPr>
            </w:pPr>
            <w:r w:rsidRPr="00F537C0">
              <w:rPr>
                <w:lang w:val="en-GB"/>
              </w:rPr>
              <w:t>The situation of the civil society organisations in the ASEAN countries</w:t>
            </w:r>
          </w:p>
        </w:tc>
      </w:tr>
      <w:tr w:rsidRPr="001F165D" w:rsidR="00574C9B" w:rsidTr="008E4CC5" w14:paraId="295584EE" w14:textId="77777777">
        <w:trPr>
          <w:jc w:val="center"/>
        </w:trPr>
        <w:tc>
          <w:tcPr>
            <w:tcW w:w="5000" w:type="pct"/>
            <w:vAlign w:val="center"/>
          </w:tcPr>
          <w:p w:rsidRPr="001F165D" w:rsidR="00574C9B" w:rsidP="006125A1" w:rsidRDefault="00574C9B" w14:paraId="7AA50FA1" w14:textId="77777777">
            <w:pPr>
              <w:jc w:val="center"/>
              <w:rPr>
                <w:sz w:val="24"/>
                <w:szCs w:val="24"/>
                <w:lang w:val="en-GB"/>
              </w:rPr>
            </w:pPr>
          </w:p>
        </w:tc>
      </w:tr>
      <w:tr w:rsidRPr="001F165D" w:rsidR="00574C9B" w:rsidTr="008E4CC5" w14:paraId="41F47321" w14:textId="77777777">
        <w:trPr>
          <w:jc w:val="center"/>
        </w:trPr>
        <w:tc>
          <w:tcPr>
            <w:tcW w:w="5000" w:type="pct"/>
            <w:vAlign w:val="center"/>
          </w:tcPr>
          <w:p w:rsidRPr="001F165D" w:rsidR="00574C9B" w:rsidP="006125A1" w:rsidRDefault="007918CC" w14:paraId="50D97899" w14:textId="308AC2EA">
            <w:pPr>
              <w:jc w:val="center"/>
              <w:rPr>
                <w:b/>
                <w:sz w:val="24"/>
                <w:szCs w:val="24"/>
                <w:lang w:val="en-GB"/>
              </w:rPr>
            </w:pPr>
            <w:r w:rsidRPr="001F165D">
              <w:rPr>
                <w:b/>
                <w:sz w:val="24"/>
                <w:szCs w:val="24"/>
                <w:lang w:val="en-GB"/>
              </w:rPr>
              <w:t>REX/589</w:t>
            </w:r>
          </w:p>
        </w:tc>
      </w:tr>
      <w:tr w:rsidRPr="001F165D" w:rsidR="00574C9B" w:rsidTr="008E4CC5" w14:paraId="2110FDEB" w14:textId="77777777">
        <w:trPr>
          <w:jc w:val="center"/>
        </w:trPr>
        <w:tc>
          <w:tcPr>
            <w:tcW w:w="5000" w:type="pct"/>
            <w:vAlign w:val="center"/>
          </w:tcPr>
          <w:p w:rsidRPr="001F165D" w:rsidR="00574C9B" w:rsidP="006125A1" w:rsidRDefault="00574C9B" w14:paraId="59F181E4" w14:textId="77777777">
            <w:pPr>
              <w:jc w:val="center"/>
              <w:rPr>
                <w:sz w:val="24"/>
                <w:szCs w:val="24"/>
                <w:lang w:val="en-GB"/>
              </w:rPr>
            </w:pPr>
          </w:p>
        </w:tc>
      </w:tr>
      <w:tr w:rsidRPr="001F165D" w:rsidR="00574C9B" w:rsidTr="008E4CC5" w14:paraId="5DF7EBEA" w14:textId="77777777">
        <w:trPr>
          <w:jc w:val="center"/>
        </w:trPr>
        <w:tc>
          <w:tcPr>
            <w:tcW w:w="5000" w:type="pct"/>
            <w:vAlign w:val="center"/>
          </w:tcPr>
          <w:p w:rsidRPr="001F165D" w:rsidR="00F1723D" w:rsidP="00F1723D" w:rsidRDefault="00F1723D" w14:paraId="6A1138F4" w14:textId="566459AE">
            <w:pPr>
              <w:jc w:val="center"/>
              <w:rPr>
                <w:b/>
                <w:bCs/>
                <w:lang w:val="en-GB"/>
              </w:rPr>
            </w:pPr>
            <w:r w:rsidRPr="001F165D">
              <w:rPr>
                <w:lang w:val="en-GB"/>
              </w:rPr>
              <w:t xml:space="preserve">Rapporteur: </w:t>
            </w:r>
            <w:r w:rsidRPr="001F165D">
              <w:rPr>
                <w:b/>
                <w:bCs/>
                <w:lang w:val="en-GB"/>
              </w:rPr>
              <w:t>Erika KOLLER</w:t>
            </w:r>
          </w:p>
          <w:p w:rsidRPr="001F165D" w:rsidR="00574C9B" w:rsidP="006125A1" w:rsidRDefault="00F1723D" w14:paraId="23E9DE0A" w14:textId="10E098E1">
            <w:pPr>
              <w:jc w:val="center"/>
              <w:rPr>
                <w:sz w:val="24"/>
                <w:szCs w:val="24"/>
                <w:lang w:val="en-GB"/>
              </w:rPr>
            </w:pPr>
            <w:r w:rsidRPr="001F165D">
              <w:rPr>
                <w:bCs/>
                <w:lang w:val="en-GB"/>
              </w:rPr>
              <w:t xml:space="preserve">Co-rapporteur: </w:t>
            </w:r>
            <w:r w:rsidRPr="001F165D">
              <w:rPr>
                <w:b/>
                <w:bCs/>
                <w:lang w:val="en-GB"/>
              </w:rPr>
              <w:t>Krzysztof PATER</w:t>
            </w:r>
          </w:p>
        </w:tc>
      </w:tr>
    </w:tbl>
    <w:p w:rsidRPr="001F165D" w:rsidR="00574C9B" w:rsidP="00574C9B" w:rsidRDefault="00574C9B" w14:paraId="0B225863" w14:textId="77777777">
      <w:pPr>
        <w:rPr>
          <w:lang w:val="en-GB"/>
        </w:rPr>
      </w:pPr>
      <w:r w:rsidRPr="001F165D">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">
                <v:textbox>
                  <w:txbxContent>
                    <w:p w:rsidR="00574C9B" w:rsidP="00574C9B" w:rsidRDefault="00574C9B" w14:paraId="03B00903" w14:textId="77777777">
                      <w:pPr>
                        <w:jc w:val="center"/>
                      </w:pPr>
                      <w:r>
                        <w:rPr>
                          <w:rFonts w:ascii="Arial" w:hAnsi="Arial" w:cs="Arial"/>
                          <w:b/>
                          <w:bCs/>
                          <w:sz w:val="48"/>
                          <w:lang w:val="nl-BE"/>
                        </w:rPr>
                        <w:t>EN</w:t>
                      </w:r>
                    </w:p>
                  </w:txbxContent>
                </v:textbox>
                <w10:wrap anchorx="margin" anchory="page"/>
              </v:shape>
            </w:pict>
          </mc:Fallback>
        </mc:AlternateContent>
      </w:r>
    </w:p>
    <w:p w:rsidRPr="001F165D" w:rsidR="00574C9B" w:rsidP="00574C9B" w:rsidRDefault="00574C9B" w14:paraId="3FA5826A" w14:textId="77777777">
      <w:pPr>
        <w:rPr>
          <w:lang w:val="en-GB"/>
        </w:rPr>
      </w:pPr>
    </w:p>
    <w:p w:rsidRPr="001F165D" w:rsidR="00574C9B" w:rsidP="00574C9B" w:rsidRDefault="00574C9B" w14:paraId="4B88FC0A" w14:textId="77777777">
      <w:pPr>
        <w:rPr>
          <w:lang w:val="en-GB"/>
        </w:rPr>
        <w:sectPr w:rsidRPr="001F165D" w:rsidR="00574C9B" w:rsidSect="00296BCE">
          <w:headerReference w:type="even" r:id="rId10"/>
          <w:headerReference w:type="default" r:id="rId11"/>
          <w:footerReference w:type="even" r:id="rId12"/>
          <w:footerReference w:type="default" r:id="rId13"/>
          <w:headerReference w:type="first" r:id="rId14"/>
          <w:footerReference w:type="first" r:id="rId15"/>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1F165D" w:rsidR="00C5137B" w:rsidTr="00E15BF4" w14:paraId="6755593A" w14:textId="77777777">
        <w:tc>
          <w:tcPr>
            <w:tcW w:w="3085" w:type="dxa"/>
          </w:tcPr>
          <w:p w:rsidRPr="001F165D" w:rsidR="00C5137B" w:rsidP="0058411F" w:rsidRDefault="00C5137B" w14:paraId="5F91A05F" w14:textId="0D333D6B">
            <w:pPr>
              <w:autoSpaceDE w:val="0"/>
              <w:autoSpaceDN w:val="0"/>
              <w:jc w:val="left"/>
              <w:rPr>
                <w:szCs w:val="20"/>
                <w:lang w:val="en-GB"/>
              </w:rPr>
            </w:pPr>
            <w:r w:rsidRPr="001F165D">
              <w:rPr>
                <w:szCs w:val="20"/>
                <w:lang w:val="en-GB"/>
              </w:rPr>
              <w:lastRenderedPageBreak/>
              <w:t>Advisor</w:t>
            </w:r>
          </w:p>
        </w:tc>
        <w:tc>
          <w:tcPr>
            <w:tcW w:w="6204" w:type="dxa"/>
            <w:vAlign w:val="bottom"/>
          </w:tcPr>
          <w:p w:rsidRPr="001F165D" w:rsidR="00C5137B" w:rsidP="0058411F" w:rsidRDefault="00306381" w14:paraId="70C24170" w14:textId="68ABC4A9">
            <w:pPr>
              <w:autoSpaceDE w:val="0"/>
              <w:autoSpaceDN w:val="0"/>
              <w:jc w:val="left"/>
              <w:rPr>
                <w:lang w:val="en-GB"/>
              </w:rPr>
            </w:pPr>
            <w:r w:rsidRPr="001F165D">
              <w:rPr>
                <w:lang w:val="en-GB"/>
              </w:rPr>
              <w:t>Cl</w:t>
            </w:r>
            <w:r w:rsidRPr="001F165D" w:rsidR="00FB1F92">
              <w:rPr>
                <w:lang w:val="en-GB"/>
              </w:rPr>
              <w:t>audia Lozano</w:t>
            </w:r>
            <w:r w:rsidRPr="001F165D" w:rsidR="00964BF1">
              <w:rPr>
                <w:lang w:val="en-GB"/>
              </w:rPr>
              <w:t xml:space="preserve"> Rodriguez</w:t>
            </w:r>
            <w:r w:rsidRPr="001F165D" w:rsidDel="00FB1F92" w:rsidR="00964BF1">
              <w:rPr>
                <w:lang w:val="en-GB"/>
              </w:rPr>
              <w:t xml:space="preserve"> </w:t>
            </w:r>
          </w:p>
        </w:tc>
      </w:tr>
      <w:tr w:rsidRPr="001F165D" w:rsidR="00C5137B" w:rsidTr="00E15BF4" w14:paraId="0F2D8E06" w14:textId="77777777">
        <w:tc>
          <w:tcPr>
            <w:tcW w:w="3085" w:type="dxa"/>
          </w:tcPr>
          <w:p w:rsidRPr="001F165D" w:rsidR="00C5137B" w:rsidP="0058411F" w:rsidRDefault="00C5137B" w14:paraId="4CD317AD" w14:textId="77777777">
            <w:pPr>
              <w:autoSpaceDE w:val="0"/>
              <w:autoSpaceDN w:val="0"/>
              <w:jc w:val="left"/>
              <w:rPr>
                <w:szCs w:val="20"/>
                <w:lang w:val="en-GB"/>
              </w:rPr>
            </w:pPr>
          </w:p>
        </w:tc>
        <w:tc>
          <w:tcPr>
            <w:tcW w:w="6204" w:type="dxa"/>
            <w:vAlign w:val="bottom"/>
          </w:tcPr>
          <w:p w:rsidRPr="001F165D" w:rsidR="00C5137B" w:rsidP="0058411F" w:rsidRDefault="00C5137B" w14:paraId="59403491" w14:textId="77777777">
            <w:pPr>
              <w:autoSpaceDE w:val="0"/>
              <w:autoSpaceDN w:val="0"/>
              <w:jc w:val="left"/>
              <w:rPr>
                <w:lang w:val="en-GB"/>
              </w:rPr>
            </w:pPr>
          </w:p>
        </w:tc>
      </w:tr>
      <w:tr w:rsidRPr="001F165D" w:rsidR="00914683" w:rsidTr="00E15BF4" w14:paraId="3E385435" w14:textId="77777777">
        <w:tc>
          <w:tcPr>
            <w:tcW w:w="3085" w:type="dxa"/>
          </w:tcPr>
          <w:p w:rsidRPr="001F165D" w:rsidR="00914683" w:rsidP="0058411F" w:rsidRDefault="00914683" w14:paraId="3054D729" w14:textId="5D5B5FF6">
            <w:pPr>
              <w:autoSpaceDE w:val="0"/>
              <w:autoSpaceDN w:val="0"/>
              <w:jc w:val="left"/>
              <w:rPr>
                <w:szCs w:val="20"/>
                <w:lang w:val="en-GB"/>
              </w:rPr>
            </w:pPr>
            <w:r w:rsidRPr="001F165D">
              <w:rPr>
                <w:szCs w:val="20"/>
                <w:lang w:val="en-GB"/>
              </w:rPr>
              <w:t>Legal basis</w:t>
            </w:r>
          </w:p>
        </w:tc>
        <w:tc>
          <w:tcPr>
            <w:tcW w:w="6204" w:type="dxa"/>
            <w:vAlign w:val="bottom"/>
          </w:tcPr>
          <w:p w:rsidRPr="001F165D" w:rsidR="00914683" w:rsidP="0058411F" w:rsidRDefault="00914683" w14:paraId="41CF067A" w14:textId="0D6FB79C">
            <w:pPr>
              <w:autoSpaceDE w:val="0"/>
              <w:autoSpaceDN w:val="0"/>
              <w:jc w:val="left"/>
              <w:rPr>
                <w:lang w:val="en-GB"/>
              </w:rPr>
            </w:pPr>
            <w:r w:rsidRPr="001F165D">
              <w:rPr>
                <w:lang w:val="en-GB"/>
              </w:rPr>
              <w:t>Rule 52(</w:t>
            </w:r>
            <w:r w:rsidRPr="001F165D" w:rsidR="00360204">
              <w:rPr>
                <w:lang w:val="en-GB"/>
              </w:rPr>
              <w:t>3</w:t>
            </w:r>
            <w:r w:rsidRPr="001F165D">
              <w:rPr>
                <w:lang w:val="en-GB"/>
              </w:rPr>
              <w:t>) of the Rules of Procedure</w:t>
            </w:r>
          </w:p>
        </w:tc>
      </w:tr>
      <w:tr w:rsidRPr="001F165D" w:rsidR="00AC5114" w:rsidTr="00E15BF4" w14:paraId="0E2099A6" w14:textId="77777777">
        <w:tc>
          <w:tcPr>
            <w:tcW w:w="3085" w:type="dxa"/>
          </w:tcPr>
          <w:p w:rsidRPr="001F165D" w:rsidR="00AC5114" w:rsidP="0058411F" w:rsidRDefault="00AC5114" w14:paraId="0BC68BA5" w14:textId="77777777">
            <w:pPr>
              <w:autoSpaceDE w:val="0"/>
              <w:autoSpaceDN w:val="0"/>
              <w:jc w:val="left"/>
              <w:rPr>
                <w:lang w:val="en-GB"/>
              </w:rPr>
            </w:pPr>
            <w:r w:rsidRPr="001F165D">
              <w:rPr>
                <w:lang w:val="en-GB"/>
              </w:rPr>
              <w:t>Section responsible</w:t>
            </w:r>
          </w:p>
        </w:tc>
        <w:tc>
          <w:tcPr>
            <w:tcW w:w="6204" w:type="dxa"/>
            <w:vAlign w:val="bottom"/>
          </w:tcPr>
          <w:p w:rsidRPr="001F165D" w:rsidR="00AC5114" w:rsidP="0058411F" w:rsidRDefault="00094C5F" w14:paraId="5AE7EA9E" w14:textId="20A48906">
            <w:pPr>
              <w:autoSpaceDE w:val="0"/>
              <w:autoSpaceDN w:val="0"/>
              <w:jc w:val="left"/>
              <w:rPr>
                <w:lang w:val="en-GB"/>
              </w:rPr>
            </w:pPr>
            <w:r w:rsidRPr="001F165D">
              <w:rPr>
                <w:lang w:val="en-GB"/>
              </w:rPr>
              <w:t>External Relations</w:t>
            </w:r>
          </w:p>
        </w:tc>
      </w:tr>
      <w:tr w:rsidRPr="001F165D" w:rsidR="00AC5114" w:rsidTr="00E15BF4" w14:paraId="53972E32" w14:textId="77777777">
        <w:tc>
          <w:tcPr>
            <w:tcW w:w="3085" w:type="dxa"/>
          </w:tcPr>
          <w:p w:rsidRPr="001F165D" w:rsidR="00AC5114" w:rsidP="0058411F" w:rsidRDefault="00AC5114" w14:paraId="13B33E83" w14:textId="77777777">
            <w:pPr>
              <w:autoSpaceDE w:val="0"/>
              <w:autoSpaceDN w:val="0"/>
              <w:jc w:val="left"/>
              <w:rPr>
                <w:lang w:val="en-GB"/>
              </w:rPr>
            </w:pPr>
            <w:r w:rsidRPr="001F165D">
              <w:rPr>
                <w:lang w:val="en-GB"/>
              </w:rPr>
              <w:t>Adopted in section</w:t>
            </w:r>
          </w:p>
        </w:tc>
        <w:tc>
          <w:tcPr>
            <w:tcW w:w="6204" w:type="dxa"/>
            <w:vAlign w:val="bottom"/>
          </w:tcPr>
          <w:p w:rsidRPr="001F165D" w:rsidR="00AC5114" w:rsidP="0058411F" w:rsidRDefault="00B73B79" w14:paraId="5E71ECD2" w14:textId="467FD4ED">
            <w:pPr>
              <w:autoSpaceDE w:val="0"/>
              <w:autoSpaceDN w:val="0"/>
              <w:jc w:val="left"/>
              <w:rPr>
                <w:lang w:val="en-GB"/>
              </w:rPr>
            </w:pPr>
            <w:r w:rsidRPr="001F165D">
              <w:rPr>
                <w:lang w:val="en-GB"/>
              </w:rPr>
              <w:t>6/5/2025</w:t>
            </w:r>
          </w:p>
        </w:tc>
      </w:tr>
      <w:tr w:rsidRPr="001F165D" w:rsidR="0058411F" w:rsidTr="00E15BF4" w14:paraId="7AE47B93" w14:textId="77777777">
        <w:tc>
          <w:tcPr>
            <w:tcW w:w="3085" w:type="dxa"/>
          </w:tcPr>
          <w:p w:rsidRPr="001F165D" w:rsidR="0058411F" w:rsidP="0058411F" w:rsidRDefault="0058411F" w14:paraId="26DE3092" w14:textId="352FC8CA">
            <w:pPr>
              <w:autoSpaceDE w:val="0"/>
              <w:autoSpaceDN w:val="0"/>
              <w:jc w:val="left"/>
              <w:rPr>
                <w:lang w:val="en-GB"/>
              </w:rPr>
            </w:pPr>
            <w:r w:rsidRPr="001F165D">
              <w:rPr>
                <w:lang w:val="en-GB"/>
              </w:rPr>
              <w:t>Adopted at plenary</w:t>
            </w:r>
            <w:r w:rsidRPr="001F165D" w:rsidR="00C5137B">
              <w:rPr>
                <w:lang w:val="en-GB"/>
              </w:rPr>
              <w:t xml:space="preserve"> session</w:t>
            </w:r>
          </w:p>
        </w:tc>
        <w:tc>
          <w:tcPr>
            <w:tcW w:w="6204" w:type="dxa"/>
            <w:vAlign w:val="bottom"/>
          </w:tcPr>
          <w:p w:rsidRPr="001F165D" w:rsidR="0058411F" w:rsidP="0058411F" w:rsidRDefault="00B73B79" w14:paraId="34FA2183" w14:textId="31185D71">
            <w:pPr>
              <w:autoSpaceDE w:val="0"/>
              <w:autoSpaceDN w:val="0"/>
              <w:jc w:val="left"/>
              <w:rPr>
                <w:lang w:val="en-GB"/>
              </w:rPr>
            </w:pPr>
            <w:r w:rsidRPr="001F165D">
              <w:rPr>
                <w:lang w:val="en-GB"/>
              </w:rPr>
              <w:t>19/6/2025</w:t>
            </w:r>
          </w:p>
        </w:tc>
      </w:tr>
      <w:tr w:rsidRPr="001F165D" w:rsidR="0058411F" w:rsidTr="00E15BF4" w14:paraId="2FE8AE44" w14:textId="77777777">
        <w:tc>
          <w:tcPr>
            <w:tcW w:w="3085" w:type="dxa"/>
          </w:tcPr>
          <w:p w:rsidRPr="001F165D" w:rsidR="0058411F" w:rsidP="0058411F" w:rsidRDefault="0058411F" w14:paraId="2A65A034" w14:textId="77777777">
            <w:pPr>
              <w:autoSpaceDE w:val="0"/>
              <w:autoSpaceDN w:val="0"/>
              <w:jc w:val="left"/>
              <w:rPr>
                <w:lang w:val="en-GB"/>
              </w:rPr>
            </w:pPr>
            <w:r w:rsidRPr="001F165D">
              <w:rPr>
                <w:lang w:val="en-GB"/>
              </w:rPr>
              <w:t>Plenary session No</w:t>
            </w:r>
          </w:p>
        </w:tc>
        <w:tc>
          <w:tcPr>
            <w:tcW w:w="6204" w:type="dxa"/>
            <w:vAlign w:val="bottom"/>
          </w:tcPr>
          <w:p w:rsidRPr="001F165D" w:rsidR="0058411F" w:rsidP="0058411F" w:rsidRDefault="00094C5F" w14:paraId="17BFB0A7" w14:textId="0EC58D9F">
            <w:pPr>
              <w:autoSpaceDE w:val="0"/>
              <w:autoSpaceDN w:val="0"/>
              <w:jc w:val="left"/>
              <w:rPr>
                <w:lang w:val="en-GB"/>
              </w:rPr>
            </w:pPr>
            <w:r w:rsidRPr="001F165D">
              <w:rPr>
                <w:lang w:val="en-GB"/>
              </w:rPr>
              <w:t>597</w:t>
            </w:r>
          </w:p>
        </w:tc>
      </w:tr>
      <w:tr w:rsidRPr="001F165D" w:rsidR="0058411F" w:rsidTr="00E15BF4" w14:paraId="3889B17A" w14:textId="77777777">
        <w:tc>
          <w:tcPr>
            <w:tcW w:w="3085" w:type="dxa"/>
          </w:tcPr>
          <w:p w:rsidRPr="001F165D" w:rsidR="0058411F" w:rsidP="0058411F" w:rsidRDefault="0058411F" w14:paraId="0C723801" w14:textId="77777777">
            <w:pPr>
              <w:autoSpaceDE w:val="0"/>
              <w:autoSpaceDN w:val="0"/>
              <w:jc w:val="left"/>
              <w:rPr>
                <w:lang w:val="en-GB"/>
              </w:rPr>
            </w:pPr>
            <w:r w:rsidRPr="001F165D">
              <w:rPr>
                <w:lang w:val="en-GB"/>
              </w:rPr>
              <w:t>Outcome of vote</w:t>
            </w:r>
            <w:r w:rsidRPr="001F165D">
              <w:rPr>
                <w:lang w:val="en-GB"/>
              </w:rPr>
              <w:br/>
              <w:t>(for/against/abstentions)</w:t>
            </w:r>
          </w:p>
        </w:tc>
        <w:tc>
          <w:tcPr>
            <w:tcW w:w="6204" w:type="dxa"/>
            <w:vAlign w:val="bottom"/>
          </w:tcPr>
          <w:p w:rsidRPr="001F165D" w:rsidR="0058411F" w:rsidP="0058411F" w:rsidRDefault="00E05575" w14:paraId="14DB34EA" w14:textId="2CF1597F">
            <w:pPr>
              <w:autoSpaceDE w:val="0"/>
              <w:autoSpaceDN w:val="0"/>
              <w:jc w:val="left"/>
              <w:rPr>
                <w:lang w:val="en-GB"/>
              </w:rPr>
            </w:pPr>
            <w:r w:rsidRPr="001F165D">
              <w:rPr>
                <w:lang w:val="en-GB"/>
              </w:rPr>
              <w:t>103</w:t>
            </w:r>
            <w:r w:rsidRPr="001F165D" w:rsidR="0058411F">
              <w:rPr>
                <w:lang w:val="en-GB"/>
              </w:rPr>
              <w:t>/</w:t>
            </w:r>
            <w:r w:rsidRPr="001F165D">
              <w:rPr>
                <w:lang w:val="en-GB"/>
              </w:rPr>
              <w:t>2</w:t>
            </w:r>
            <w:r w:rsidRPr="001F165D" w:rsidR="0058411F">
              <w:rPr>
                <w:lang w:val="en-GB"/>
              </w:rPr>
              <w:t>/</w:t>
            </w:r>
            <w:r w:rsidRPr="001F165D">
              <w:rPr>
                <w:lang w:val="en-GB"/>
              </w:rPr>
              <w:t>0</w:t>
            </w:r>
          </w:p>
        </w:tc>
      </w:tr>
    </w:tbl>
    <w:p w:rsidRPr="001F165D" w:rsidR="00AC5114" w:rsidP="00574C9B" w:rsidRDefault="00AC5114" w14:paraId="156A5F34" w14:textId="77777777">
      <w:pPr>
        <w:rPr>
          <w:lang w:val="en-GB"/>
        </w:rPr>
      </w:pPr>
    </w:p>
    <w:p w:rsidRPr="001F165D" w:rsidR="00AC5114" w:rsidP="00574C9B" w:rsidRDefault="00AC5114" w14:paraId="2CD3051D" w14:textId="77777777">
      <w:pPr>
        <w:rPr>
          <w:lang w:val="en-GB"/>
        </w:rPr>
        <w:sectPr w:rsidRPr="001F165D" w:rsidR="00AC5114" w:rsidSect="00296BCE">
          <w:headerReference w:type="even" r:id="rId16"/>
          <w:headerReference w:type="default" r:id="rId17"/>
          <w:footerReference w:type="default" r:id="rId18"/>
          <w:headerReference w:type="first" r:id="rId19"/>
          <w:pgSz w:w="11907" w:h="16839" w:code="9"/>
          <w:pgMar w:top="5669" w:right="1418" w:bottom="1418" w:left="1418" w:header="709" w:footer="709" w:gutter="0"/>
          <w:cols w:space="720"/>
          <w:docGrid w:linePitch="360"/>
        </w:sectPr>
      </w:pPr>
    </w:p>
    <w:p w:rsidRPr="001F165D" w:rsidR="00C11E25" w:rsidP="00C11E25" w:rsidRDefault="00C11E25" w14:paraId="7286F6EC" w14:textId="77777777">
      <w:pPr>
        <w:pStyle w:val="Heading1"/>
        <w:rPr>
          <w:b/>
          <w:bCs/>
          <w:lang w:val="en-GB"/>
        </w:rPr>
      </w:pPr>
      <w:r w:rsidRPr="001F165D">
        <w:rPr>
          <w:b/>
          <w:bCs/>
          <w:lang w:val="en-GB"/>
        </w:rPr>
        <w:t>Introduction</w:t>
      </w:r>
    </w:p>
    <w:p w:rsidRPr="001F165D" w:rsidR="00C11E25" w:rsidP="00C11E25" w:rsidRDefault="00C11E25" w14:paraId="3EBBB844" w14:textId="77777777">
      <w:pPr>
        <w:rPr>
          <w:lang w:val="en-GB"/>
        </w:rPr>
      </w:pPr>
    </w:p>
    <w:p w:rsidRPr="001F165D" w:rsidR="00C11E25" w:rsidP="00C11E25" w:rsidRDefault="00C11E25" w14:paraId="4298DE59" w14:textId="77777777">
      <w:pPr>
        <w:pStyle w:val="Heading2"/>
        <w:rPr>
          <w:lang w:val="en-GB"/>
        </w:rPr>
      </w:pPr>
      <w:r w:rsidRPr="001F165D">
        <w:rPr>
          <w:lang w:val="en-GB"/>
        </w:rPr>
        <w:t xml:space="preserve">This report seeks to shed light on the evolving relationship between the Association of Southeast Asian Nations (ASEAN) and the European Union (EU), particularly in relation to the role of civil society and sustainable development in the context of trade and political cooperation. </w:t>
      </w:r>
    </w:p>
    <w:p w:rsidRPr="001F165D" w:rsidR="00C11E25" w:rsidP="00C11E25" w:rsidRDefault="00C11E25" w14:paraId="7D96C768" w14:textId="77777777">
      <w:pPr>
        <w:rPr>
          <w:lang w:val="en-GB"/>
        </w:rPr>
      </w:pPr>
    </w:p>
    <w:p w:rsidRPr="001F165D" w:rsidR="00C11E25" w:rsidP="00C11E25" w:rsidRDefault="00C11E25" w14:paraId="1C6CE123" w14:textId="77777777">
      <w:pPr>
        <w:pStyle w:val="Heading2"/>
        <w:rPr>
          <w:lang w:val="en-GB"/>
        </w:rPr>
      </w:pPr>
      <w:r w:rsidRPr="001F165D">
        <w:rPr>
          <w:lang w:val="en-GB"/>
        </w:rPr>
        <w:t>ASEAN is an intergovernmental organisation that ‘strictly adheres to sovereign equality’</w:t>
      </w:r>
      <w:r w:rsidRPr="001F165D">
        <w:rPr>
          <w:vertAlign w:val="superscript"/>
          <w:lang w:val="en-GB"/>
        </w:rPr>
        <w:footnoteReference w:id="1"/>
      </w:r>
      <w:r w:rsidRPr="001F165D">
        <w:rPr>
          <w:lang w:val="en-GB"/>
        </w:rPr>
        <w:t xml:space="preserve"> and takes a pragmatic approach to national interests. Collective decision-making reflects its member states’ diverse institutional capacities and economic models.</w:t>
      </w:r>
    </w:p>
    <w:p w:rsidRPr="001F165D" w:rsidR="00C11E25" w:rsidP="00C11E25" w:rsidRDefault="00C11E25" w14:paraId="1805B50A" w14:textId="77777777">
      <w:pPr>
        <w:rPr>
          <w:lang w:val="en-GB"/>
        </w:rPr>
      </w:pPr>
    </w:p>
    <w:p w:rsidRPr="001F165D" w:rsidR="00C11E25" w:rsidP="00C11E25" w:rsidRDefault="00C11E25" w14:paraId="2DFEF263" w14:textId="77777777">
      <w:pPr>
        <w:pStyle w:val="Heading2"/>
        <w:rPr>
          <w:lang w:val="en-GB"/>
        </w:rPr>
      </w:pPr>
      <w:r w:rsidRPr="001F165D">
        <w:rPr>
          <w:lang w:val="en-GB"/>
        </w:rPr>
        <w:t xml:space="preserve">While formal engagement between the EU and ASEAN spans nearly five decades, differences in priorities and governance frameworks prevent both sides from reaping the potential benefits of this partnership. In 2007, ambitious bloc-to-bloc Free Trade Agreement (FTA) negotiations were launched, which were suspended two years later. Since then, repeated attempts to deepen engagement have stalled, often stumbling over issues such as human rights, sanctions and sustainability. </w:t>
      </w:r>
    </w:p>
    <w:p w:rsidRPr="001F165D" w:rsidR="00C11E25" w:rsidP="00C11E25" w:rsidRDefault="00C11E25" w14:paraId="28A58AD2" w14:textId="77777777">
      <w:pPr>
        <w:rPr>
          <w:lang w:val="en-GB"/>
        </w:rPr>
      </w:pPr>
    </w:p>
    <w:p w:rsidRPr="001F165D" w:rsidR="00C11E25" w:rsidP="00C11E25" w:rsidRDefault="00C11E25" w14:paraId="71CB5F5F" w14:textId="77777777">
      <w:pPr>
        <w:pStyle w:val="Heading2"/>
        <w:rPr>
          <w:lang w:val="en-GB"/>
        </w:rPr>
      </w:pPr>
      <w:r w:rsidRPr="001F165D">
        <w:rPr>
          <w:lang w:val="en-GB"/>
        </w:rPr>
        <w:t>The two regions share more common ground than is often recognised. A meaningful EU-ASEAN partnership, grounded in principled cooperation and respect for each other’s policy approaches, serves as a stabilising force in an increasingly volatile global environment. Shared support for the rules-based multilateral order unites them, as does a commitment to peace and development. Yet both parties find themselves navigating an increasingly polarised world, caught between the United States (US) and China. Recognition for ‘ASEAN centrality’</w:t>
      </w:r>
      <w:r w:rsidRPr="001F165D">
        <w:rPr>
          <w:rStyle w:val="FootnoteReference"/>
          <w:lang w:val="en-GB"/>
        </w:rPr>
        <w:footnoteReference w:id="2"/>
      </w:r>
      <w:r w:rsidRPr="001F165D">
        <w:rPr>
          <w:lang w:val="en-GB"/>
        </w:rPr>
        <w:t xml:space="preserve"> in East Asia, along with Europe’s efforts to cultivate a more sustained regional presence, may help them both avoid a repetition of past mistakes driven by the ‘singularity trap’ – thus preventing individual issues from undermining broader strategic cooperation.</w:t>
      </w:r>
    </w:p>
    <w:p w:rsidRPr="001F165D" w:rsidR="00C11E25" w:rsidP="00C11E25" w:rsidRDefault="00C11E25" w14:paraId="2216AB7C" w14:textId="77777777">
      <w:pPr>
        <w:rPr>
          <w:lang w:val="en-GB"/>
        </w:rPr>
      </w:pPr>
    </w:p>
    <w:p w:rsidRPr="001F165D" w:rsidR="00C11E25" w:rsidP="00C11E25" w:rsidRDefault="00C11E25" w14:paraId="5ABD8425" w14:textId="77777777">
      <w:pPr>
        <w:pStyle w:val="Heading2"/>
        <w:rPr>
          <w:lang w:val="en-GB"/>
        </w:rPr>
      </w:pPr>
      <w:r w:rsidRPr="001F165D">
        <w:rPr>
          <w:lang w:val="en-GB"/>
        </w:rPr>
        <w:t>EU-ASEAN relations follow an established rhythm of annual meetings and working groups, including a joint committee that feeds into higher-level ministerial dialogues and industrial cooperation via specialised forums. Plans are also progressing for EU-ASEAN human rights dialogue in late 2025.</w:t>
      </w:r>
    </w:p>
    <w:p w:rsidRPr="001F165D" w:rsidR="00C11E25" w:rsidP="00C11E25" w:rsidRDefault="00C11E25" w14:paraId="33835FF3" w14:textId="77777777">
      <w:pPr>
        <w:pStyle w:val="Heading2"/>
        <w:numPr>
          <w:ilvl w:val="0"/>
          <w:numId w:val="0"/>
        </w:numPr>
        <w:spacing w:line="276" w:lineRule="auto"/>
        <w:rPr>
          <w:color w:val="000000" w:themeColor="text1"/>
          <w:lang w:val="en-GB"/>
        </w:rPr>
      </w:pPr>
    </w:p>
    <w:p w:rsidRPr="001F165D" w:rsidR="00C11E25" w:rsidP="00C11E25" w:rsidRDefault="00C11E25" w14:paraId="5204C551" w14:textId="77777777">
      <w:pPr>
        <w:pStyle w:val="Heading2"/>
        <w:rPr>
          <w:lang w:val="en-GB"/>
        </w:rPr>
      </w:pPr>
      <w:r w:rsidRPr="001F165D">
        <w:rPr>
          <w:lang w:val="en-GB"/>
        </w:rPr>
        <w:t>Civil society plays a pivotal role in fostering interregional cooperation, particularly in advancing participatory political processes and supporting region-to-region consolidation efforts. For like-minded countries, recognising Southeast Asia's intricate political, social and cultural realities – which may significantly differ from European expectations – is essential. Bridging these differences is key to cultivating institutionalised, open and inclusive dialogue, with meaningful participation of civil society. Such dialogue involves reconsidering engagement strategies and local realities, ensuring marginalised voices are included, especially grassroots organisations, women, ethnic and indigenous minorities, and young people. However, it also requires careful assessment when partnering with civil society organisations (CSOs).</w:t>
      </w:r>
    </w:p>
    <w:p w:rsidRPr="001F165D" w:rsidR="00C11E25" w:rsidP="00C11E25" w:rsidRDefault="00C11E25" w14:paraId="1C129EAD" w14:textId="77777777">
      <w:pPr>
        <w:rPr>
          <w:color w:val="000000" w:themeColor="text1"/>
          <w:lang w:val="en-GB"/>
        </w:rPr>
      </w:pPr>
    </w:p>
    <w:p w:rsidRPr="001F165D" w:rsidR="00C11E25" w:rsidP="00C11E25" w:rsidRDefault="00C11E25" w14:paraId="115E1C0E" w14:textId="77777777">
      <w:pPr>
        <w:pStyle w:val="Heading2"/>
        <w:rPr>
          <w:lang w:val="en-GB"/>
        </w:rPr>
      </w:pPr>
      <w:r w:rsidRPr="001F165D">
        <w:rPr>
          <w:lang w:val="en-GB"/>
        </w:rPr>
        <w:t>CSOs in Southeast Asia navigate complex political environments marked by varying degrees of openness. While most ASEAN members have formally acceded to the International Labour Organization’s (ILO) core conventions on freedom of association, collective bargaining, the abolition of forced labour, the abolition of child labour, and equality of opportunity and treatment</w:t>
      </w:r>
      <w:r w:rsidRPr="001F165D">
        <w:rPr>
          <w:sz w:val="24"/>
          <w:szCs w:val="24"/>
          <w:vertAlign w:val="superscript"/>
          <w:lang w:val="en-GB"/>
        </w:rPr>
        <w:footnoteReference w:id="3"/>
      </w:r>
      <w:r w:rsidRPr="001F165D">
        <w:rPr>
          <w:lang w:val="en-GB"/>
        </w:rPr>
        <w:t>, actual legal situations vary widely. Thus, finding CSOs that could be a counterpart for the EESC in terms of independence and legitimate representation might be difficult. Establishing clear benchmarks to assess the legitimacy of civil society actors safeguards collaborative efforts from co-optation and ensures alignment with democratic principles.</w:t>
      </w:r>
    </w:p>
    <w:p w:rsidRPr="001F165D" w:rsidR="00C11E25" w:rsidP="00C11E25" w:rsidRDefault="00C11E25" w14:paraId="62670A51" w14:textId="77777777">
      <w:pPr>
        <w:rPr>
          <w:lang w:val="en-GB"/>
        </w:rPr>
      </w:pPr>
    </w:p>
    <w:p w:rsidRPr="001F165D" w:rsidR="00C11E25" w:rsidP="00C11E25" w:rsidRDefault="00C11E25" w14:paraId="2603BF56" w14:textId="77777777">
      <w:pPr>
        <w:pStyle w:val="Heading2"/>
        <w:rPr>
          <w:lang w:val="en-GB"/>
        </w:rPr>
      </w:pPr>
      <w:r w:rsidRPr="001F165D">
        <w:rPr>
          <w:lang w:val="en-GB"/>
        </w:rPr>
        <w:t>Broader societal awareness of participatory governance and pluralism remains uneven across ASEAN. Initiatives demonstrating the tangible benefits of inclusive policymaking, mainly through grassroots forums, could foster greater receptiveness to civil society participation. Successful examples of regionally coordinated business forums, such as the EU-ASEAN Business Council (EU-ABC)</w:t>
      </w:r>
      <w:r w:rsidRPr="001F165D">
        <w:rPr>
          <w:rStyle w:val="FootnoteReference"/>
          <w:color w:val="000000" w:themeColor="text1"/>
          <w:lang w:val="en-GB"/>
        </w:rPr>
        <w:footnoteReference w:id="4"/>
      </w:r>
      <w:r w:rsidRPr="001F165D">
        <w:rPr>
          <w:lang w:val="en-GB"/>
        </w:rPr>
        <w:t>, illustrate how structured yet flexible platforms can facilitate productive exchanges between governments and private actors. These settings allow policy testing, off-the-record deliberation, and trust building to mitigate the tensions that sometimes arise from confrontational approaches.</w:t>
      </w:r>
    </w:p>
    <w:p w:rsidRPr="001F165D" w:rsidR="00C11E25" w:rsidP="00C11E25" w:rsidRDefault="00C11E25" w14:paraId="78D00E05" w14:textId="77777777">
      <w:pPr>
        <w:rPr>
          <w:color w:val="000000" w:themeColor="text1"/>
          <w:lang w:val="en-GB"/>
        </w:rPr>
      </w:pPr>
    </w:p>
    <w:p w:rsidRPr="001F165D" w:rsidR="00C11E25" w:rsidP="00C11E25" w:rsidRDefault="00C11E25" w14:paraId="60B6D677" w14:textId="77777777">
      <w:pPr>
        <w:pStyle w:val="Heading2"/>
        <w:rPr>
          <w:lang w:val="en-GB"/>
        </w:rPr>
      </w:pPr>
      <w:r w:rsidRPr="001F165D">
        <w:rPr>
          <w:lang w:val="en-GB"/>
        </w:rPr>
        <w:t>This report attaches particular importance to the intersection of trade policy and civil society engagement, specifically through the Trade and Sustainable Development (TSD) chapters embedded in Free Trade Agreements (FTAs). TSD chapters in already concluded FTAs – e.g., the EU-Singapore</w:t>
      </w:r>
      <w:r w:rsidRPr="001F165D">
        <w:rPr>
          <w:sz w:val="24"/>
          <w:szCs w:val="24"/>
          <w:vertAlign w:val="superscript"/>
          <w:lang w:val="en-GB"/>
        </w:rPr>
        <w:footnoteReference w:id="5"/>
      </w:r>
      <w:r w:rsidRPr="001F165D">
        <w:rPr>
          <w:lang w:val="en-GB"/>
        </w:rPr>
        <w:t xml:space="preserve"> and the EU-Viet Nam FTAs</w:t>
      </w:r>
      <w:r w:rsidRPr="001F165D">
        <w:rPr>
          <w:sz w:val="24"/>
          <w:szCs w:val="24"/>
          <w:vertAlign w:val="superscript"/>
          <w:lang w:val="en-GB"/>
        </w:rPr>
        <w:footnoteReference w:id="6"/>
      </w:r>
      <w:r w:rsidRPr="001F165D">
        <w:rPr>
          <w:lang w:val="en-GB"/>
        </w:rPr>
        <w:t xml:space="preserve"> – include binding provisions and commitments on international labour conventions and environmental protection, incorporating the core ILO Conventions and the Paris Agreement on Climate Change. </w:t>
      </w:r>
    </w:p>
    <w:p w:rsidRPr="001F165D" w:rsidR="00C11E25" w:rsidP="00C11E25" w:rsidRDefault="00C11E25" w14:paraId="614E8EC9" w14:textId="77777777">
      <w:pPr>
        <w:rPr>
          <w:lang w:val="en-GB"/>
        </w:rPr>
      </w:pPr>
    </w:p>
    <w:p w:rsidRPr="001F165D" w:rsidR="00C11E25" w:rsidP="00C11E25" w:rsidRDefault="00C11E25" w14:paraId="1DC8A304" w14:textId="77777777">
      <w:pPr>
        <w:pStyle w:val="Heading2"/>
        <w:rPr>
          <w:lang w:val="en-GB"/>
        </w:rPr>
      </w:pPr>
      <w:r w:rsidRPr="001F165D">
        <w:rPr>
          <w:lang w:val="en-GB"/>
        </w:rPr>
        <w:t>The remainder of this report is structured in three sections: the first is an introduction to ASEAN; the second is on civil society organisations in ASEAN – an overview and landscape; and the third is on EU–ASEAN Trade Relations – Trade and Sustainable Development.</w:t>
      </w:r>
    </w:p>
    <w:p w:rsidRPr="001F165D" w:rsidR="00C11E25" w:rsidP="00C11E25" w:rsidRDefault="00C11E25" w14:paraId="35229CCE" w14:textId="77777777">
      <w:pPr>
        <w:pStyle w:val="Heading2"/>
        <w:numPr>
          <w:ilvl w:val="0"/>
          <w:numId w:val="0"/>
        </w:numPr>
        <w:rPr>
          <w:lang w:val="en-GB"/>
        </w:rPr>
      </w:pPr>
    </w:p>
    <w:p w:rsidRPr="001F165D" w:rsidR="00C11E25" w:rsidP="00C11E25" w:rsidRDefault="00C11E25" w14:paraId="0BE66833" w14:textId="77777777">
      <w:pPr>
        <w:pStyle w:val="Heading1"/>
        <w:keepNext/>
        <w:keepLines/>
        <w:rPr>
          <w:b/>
          <w:bCs/>
          <w:lang w:val="en-GB"/>
        </w:rPr>
      </w:pPr>
      <w:r w:rsidRPr="001F165D">
        <w:rPr>
          <w:b/>
          <w:bCs/>
          <w:lang w:val="en-GB"/>
        </w:rPr>
        <w:t>Introduction to ASEAN</w:t>
      </w:r>
    </w:p>
    <w:p w:rsidRPr="001F165D" w:rsidR="00C11E25" w:rsidP="00C11E25" w:rsidRDefault="00C11E25" w14:paraId="21382C72" w14:textId="77777777">
      <w:pPr>
        <w:keepNext/>
        <w:keepLines/>
        <w:rPr>
          <w:lang w:val="en-GB"/>
        </w:rPr>
      </w:pPr>
    </w:p>
    <w:p w:rsidRPr="001F165D" w:rsidR="00C11E25" w:rsidP="00C11E25" w:rsidRDefault="00C11E25" w14:paraId="030DC292" w14:textId="77777777">
      <w:pPr>
        <w:pStyle w:val="Heading2"/>
        <w:rPr>
          <w:lang w:val="en-GB"/>
        </w:rPr>
      </w:pPr>
      <w:r w:rsidRPr="001F165D">
        <w:rPr>
          <w:lang w:val="en-GB"/>
        </w:rPr>
        <w:t xml:space="preserve">The members of ASEAN are Indonesia, Viet Nam, Laos, Brunei, Thailand, Myanmar, the Philippines, Cambodia, Singapore and Malaysia. Founded in 1967 with the Treaty of Amity and Cooperation in Southeast Asia, ASEAN initially brought together Indonesia, Malaysia, the Philippines, Singapore and Thailand, as a collective security arrangement during the Cold War. The organisation has since expanded its membership, with Timor-Leste being the latest to join ‘in principle’ in 2022. Timor-Leste is expected to attain full membership in 2025 or 2026. </w:t>
      </w:r>
    </w:p>
    <w:p w:rsidRPr="001F165D" w:rsidR="00C11E25" w:rsidP="00C11E25" w:rsidRDefault="00C11E25" w14:paraId="41EE1482" w14:textId="77777777">
      <w:pPr>
        <w:rPr>
          <w:lang w:val="en-GB"/>
        </w:rPr>
      </w:pPr>
    </w:p>
    <w:p w:rsidRPr="001F165D" w:rsidR="00C11E25" w:rsidP="00C11E25" w:rsidRDefault="00C11E25" w14:paraId="6595A547" w14:textId="77777777">
      <w:pPr>
        <w:pStyle w:val="Heading2"/>
        <w:rPr>
          <w:lang w:val="en-GB"/>
        </w:rPr>
      </w:pPr>
      <w:r w:rsidRPr="001F165D">
        <w:rPr>
          <w:lang w:val="en-GB"/>
        </w:rPr>
        <w:t>With a population of 692 million, ASEAN represents one of the world’s most economically dynamic regions. As the fifth-largest global economy, it accounts for 7.2% of global GDP (2024), reinforcing its role as a key driver of international trade</w:t>
      </w:r>
      <w:r w:rsidRPr="001F165D">
        <w:rPr>
          <w:sz w:val="24"/>
          <w:szCs w:val="24"/>
          <w:vertAlign w:val="superscript"/>
          <w:lang w:val="en-GB"/>
        </w:rPr>
        <w:footnoteReference w:id="7"/>
      </w:r>
      <w:r w:rsidRPr="001F165D">
        <w:rPr>
          <w:lang w:val="en-GB"/>
        </w:rPr>
        <w:t xml:space="preserve">. The EU and ASEAN maintain a highly institutionalised relationship, supported by dedicated programmes such as </w:t>
      </w:r>
      <w:hyperlink r:id="rId20">
        <w:r w:rsidRPr="001F165D">
          <w:rPr>
            <w:rStyle w:val="Hyperlink"/>
            <w:lang w:val="en-GB"/>
          </w:rPr>
          <w:t>ASEAN Regional Integration Support by the EU (the ARISE+ programme)</w:t>
        </w:r>
      </w:hyperlink>
      <w:r w:rsidRPr="001F165D">
        <w:rPr>
          <w:lang w:val="en-GB"/>
        </w:rPr>
        <w:t xml:space="preserve"> and the Enhanced Regional EU-ASEAN Dialogue Instrument (E-READI). Today, the EU ranks as ASEAN’s third-largest trading partner and foreign investor, trailing only China and the US</w:t>
      </w:r>
      <w:r w:rsidRPr="001F165D">
        <w:rPr>
          <w:rStyle w:val="FootnoteReference"/>
          <w:color w:val="000000" w:themeColor="text1"/>
          <w:lang w:val="en-GB"/>
        </w:rPr>
        <w:footnoteReference w:id="8"/>
      </w:r>
      <w:r w:rsidRPr="001F165D">
        <w:rPr>
          <w:lang w:val="en-GB"/>
        </w:rPr>
        <w:t>.</w:t>
      </w:r>
    </w:p>
    <w:p w:rsidRPr="001F165D" w:rsidR="00C11E25" w:rsidP="00C11E25" w:rsidRDefault="00C11E25" w14:paraId="38F294C5" w14:textId="77777777">
      <w:pPr>
        <w:rPr>
          <w:lang w:val="en-GB"/>
        </w:rPr>
      </w:pPr>
    </w:p>
    <w:p w:rsidRPr="001F165D" w:rsidR="00C11E25" w:rsidP="00C11E25" w:rsidRDefault="00C11E25" w14:paraId="4D422CB2" w14:textId="77777777">
      <w:pPr>
        <w:pStyle w:val="Heading2"/>
        <w:rPr>
          <w:lang w:val="en-GB"/>
        </w:rPr>
      </w:pPr>
      <w:r w:rsidRPr="001F165D">
        <w:rPr>
          <w:lang w:val="en-GB"/>
        </w:rPr>
        <w:t xml:space="preserve">The EU has also concluded two FTAs – with Singapore and Viet Nam – which entered into force in November 2019 and August 2020, respectively. Negotiations are under way with other ASEAN countries: Indonesia, Malaysia, the Philippines and Thailand. Negotiations between the EU and Myanmar on an investment protection agreement (IPA) have been put on hold. </w:t>
      </w:r>
    </w:p>
    <w:p w:rsidRPr="001F165D" w:rsidR="00C11E25" w:rsidP="00C11E25" w:rsidRDefault="00C11E25" w14:paraId="7EB98E6A" w14:textId="77777777">
      <w:pPr>
        <w:rPr>
          <w:color w:val="000000" w:themeColor="text1"/>
          <w:lang w:val="en-GB"/>
        </w:rPr>
      </w:pPr>
    </w:p>
    <w:p w:rsidRPr="001F165D" w:rsidR="00C11E25" w:rsidP="00C11E25" w:rsidRDefault="00C11E25" w14:paraId="2F996BF9" w14:textId="77777777">
      <w:pPr>
        <w:pStyle w:val="Heading2"/>
        <w:rPr>
          <w:lang w:val="en-GB"/>
        </w:rPr>
      </w:pPr>
      <w:r w:rsidRPr="001F165D">
        <w:rPr>
          <w:lang w:val="en-GB"/>
        </w:rPr>
        <w:t>ASEAN occupies a strategically significant position in international trade, both as a critical node in global value chains and a vital conduit for European commerce. The bloc has established an extensive network of trade agreements, including FTAs with Australia and New Zealand, China, India, Japan, Korea and Hong Kong. The Regional Comprehensive Economic Partnership (RCEP) is also centred on ASEAN. Singapore, Viet Nam, Malaysia and Brunei are part of the Comprehensive and Progressive Agreement for Trans-Pacific Partnership (CPTPP), with three others actively seeking accession.</w:t>
      </w:r>
    </w:p>
    <w:p w:rsidRPr="001F165D" w:rsidR="00C11E25" w:rsidP="00C11E25" w:rsidRDefault="00C11E25" w14:paraId="2BD005DA" w14:textId="77777777">
      <w:pPr>
        <w:rPr>
          <w:color w:val="000000" w:themeColor="text1"/>
          <w:lang w:val="en-GB"/>
        </w:rPr>
      </w:pPr>
    </w:p>
    <w:p w:rsidRPr="001F165D" w:rsidR="00C11E25" w:rsidP="00C11E25" w:rsidRDefault="00C11E25" w14:paraId="667D403A" w14:textId="77777777">
      <w:pPr>
        <w:pStyle w:val="Heading2"/>
        <w:rPr>
          <w:lang w:val="en-GB"/>
        </w:rPr>
      </w:pPr>
      <w:r w:rsidRPr="001F165D">
        <w:rPr>
          <w:lang w:val="en-GB"/>
        </w:rPr>
        <w:t>Guided by non-interference, sovereignty and peaceful conflict resolution principles, ASEAN formalised its institutional structure through the 2007 ASEAN Charter, establishing three core pillars: the ASEAN Economic Community (AEC), the ASEAN Political-Security Community, and the ASEAN Socio-Cultural Community. The region exhibits significant economic disparities alongside varied demographics, numerous religious and ethnic groups, and diverse political systems.</w:t>
      </w:r>
    </w:p>
    <w:p w:rsidRPr="001F165D" w:rsidR="00C11E25" w:rsidP="00C11E25" w:rsidRDefault="00C11E25" w14:paraId="6E15EE93" w14:textId="77777777">
      <w:pPr>
        <w:rPr>
          <w:color w:val="000000" w:themeColor="text1"/>
          <w:lang w:val="en-GB"/>
        </w:rPr>
      </w:pPr>
    </w:p>
    <w:p w:rsidRPr="001F165D" w:rsidR="00C11E25" w:rsidP="00C11E25" w:rsidRDefault="00C11E25" w14:paraId="5A6E60C2" w14:textId="77777777">
      <w:pPr>
        <w:pStyle w:val="Heading2"/>
        <w:rPr>
          <w:lang w:val="en-GB"/>
        </w:rPr>
      </w:pPr>
      <w:r w:rsidRPr="001F165D">
        <w:rPr>
          <w:lang w:val="en-GB"/>
        </w:rPr>
        <w:t>Establishment of the 1992 ASEAN Free Trade Area (AFTA) advanced regional economic integration, aligning with the broader objectives of the ASEAN Economic Community (AEC). However, full implementation of the AEC framework, initially targeted for 2015, is yet to be completed. Non-tariff barriers and protected sectors persist. Meanwhile, growing international calls to address the situation in Myanmar have compelled ASEAN to issue a political statement concerning the internal affairs of a member state; it released a statement in 2024 denouncing the violence in Myanmar, with a ‘Five-Point Consensus’ (5PC)</w:t>
      </w:r>
      <w:r w:rsidRPr="001F165D">
        <w:rPr>
          <w:sz w:val="24"/>
          <w:szCs w:val="24"/>
          <w:vertAlign w:val="superscript"/>
          <w:lang w:val="en-GB"/>
        </w:rPr>
        <w:footnoteReference w:id="9"/>
      </w:r>
      <w:r w:rsidRPr="001F165D">
        <w:rPr>
          <w:lang w:val="en-GB"/>
        </w:rPr>
        <w:t>.</w:t>
      </w:r>
    </w:p>
    <w:p w:rsidRPr="001F165D" w:rsidR="00C11E25" w:rsidP="00C11E25" w:rsidRDefault="00C11E25" w14:paraId="5782C6EB" w14:textId="77777777">
      <w:pPr>
        <w:rPr>
          <w:lang w:val="en-GB"/>
        </w:rPr>
      </w:pPr>
    </w:p>
    <w:p w:rsidRPr="001F165D" w:rsidR="00C11E25" w:rsidP="00067D46" w:rsidRDefault="00C11E25" w14:paraId="4F161A69" w14:textId="77777777">
      <w:pPr>
        <w:pStyle w:val="Heading1"/>
        <w:keepNext/>
        <w:keepLines/>
        <w:rPr>
          <w:b/>
          <w:bCs/>
          <w:lang w:val="en-GB"/>
        </w:rPr>
      </w:pPr>
      <w:r w:rsidRPr="001F165D">
        <w:rPr>
          <w:b/>
          <w:bCs/>
          <w:lang w:val="en-GB"/>
        </w:rPr>
        <w:t>Civil society organisations in ASEAN: overview and landscape</w:t>
      </w:r>
    </w:p>
    <w:p w:rsidRPr="001F165D" w:rsidR="00C11E25" w:rsidP="00067D46" w:rsidRDefault="00C11E25" w14:paraId="1DFFFD59" w14:textId="77777777">
      <w:pPr>
        <w:pStyle w:val="Heading2"/>
        <w:keepNext/>
        <w:keepLines/>
        <w:numPr>
          <w:ilvl w:val="0"/>
          <w:numId w:val="0"/>
        </w:numPr>
        <w:rPr>
          <w:lang w:val="en-GB"/>
        </w:rPr>
      </w:pPr>
    </w:p>
    <w:p w:rsidRPr="001F165D" w:rsidR="00C11E25" w:rsidP="00067D46" w:rsidRDefault="00C11E25" w14:paraId="00A6F296" w14:textId="5F7EC145">
      <w:pPr>
        <w:pStyle w:val="Heading2"/>
        <w:keepNext/>
        <w:keepLines/>
        <w:rPr>
          <w:color w:val="000000" w:themeColor="text1"/>
          <w:lang w:val="en-GB"/>
        </w:rPr>
      </w:pPr>
      <w:r w:rsidRPr="001F165D">
        <w:rPr>
          <w:color w:val="000000" w:themeColor="text1"/>
          <w:lang w:val="en-GB"/>
        </w:rPr>
        <w:t>The pan-ASEAN network of CSOs includes groups such as the ASEAN Civil Society Conference (ACSC), the ASEAN Intergovernmental Commission on Human Rights (AICHR)</w:t>
      </w:r>
      <w:r w:rsidRPr="001F165D">
        <w:rPr>
          <w:color w:val="000000" w:themeColor="text1"/>
          <w:sz w:val="24"/>
          <w:szCs w:val="24"/>
          <w:vertAlign w:val="superscript"/>
          <w:lang w:val="en-GB"/>
        </w:rPr>
        <w:footnoteReference w:id="10"/>
      </w:r>
      <w:r w:rsidRPr="001F165D">
        <w:rPr>
          <w:color w:val="000000" w:themeColor="text1"/>
          <w:lang w:val="en-GB"/>
        </w:rPr>
        <w:t>, the Asian Forum for Human Rights and Development (FORUM-ASIA)</w:t>
      </w:r>
      <w:r w:rsidRPr="001F165D">
        <w:rPr>
          <w:color w:val="000000" w:themeColor="text1"/>
          <w:sz w:val="24"/>
          <w:szCs w:val="24"/>
          <w:vertAlign w:val="superscript"/>
          <w:lang w:val="en-GB"/>
        </w:rPr>
        <w:footnoteReference w:id="11"/>
      </w:r>
      <w:r w:rsidRPr="001F165D">
        <w:rPr>
          <w:color w:val="000000" w:themeColor="text1"/>
          <w:lang w:val="en-GB"/>
        </w:rPr>
        <w:t>, the Southeast Asia Freedom of Expression Network (SAFEnet)</w:t>
      </w:r>
      <w:r w:rsidRPr="001F165D">
        <w:rPr>
          <w:color w:val="000000" w:themeColor="text1"/>
          <w:sz w:val="24"/>
          <w:szCs w:val="24"/>
          <w:vertAlign w:val="superscript"/>
          <w:lang w:val="en-GB"/>
        </w:rPr>
        <w:footnoteReference w:id="12"/>
      </w:r>
      <w:r w:rsidRPr="001F165D">
        <w:rPr>
          <w:color w:val="000000" w:themeColor="text1"/>
          <w:lang w:val="en-GB"/>
        </w:rPr>
        <w:t xml:space="preserve"> and the Asia-Pacific Resource and Research Centre for Women (ARROW)</w:t>
      </w:r>
      <w:r w:rsidRPr="001F165D">
        <w:rPr>
          <w:color w:val="000000" w:themeColor="text1"/>
          <w:sz w:val="24"/>
          <w:szCs w:val="24"/>
          <w:vertAlign w:val="superscript"/>
          <w:lang w:val="en-GB"/>
        </w:rPr>
        <w:footnoteReference w:id="13"/>
      </w:r>
      <w:r w:rsidRPr="001F165D">
        <w:rPr>
          <w:color w:val="000000" w:themeColor="text1"/>
          <w:lang w:val="en-GB"/>
        </w:rPr>
        <w:t xml:space="preserve"> , which focus on human rights, freedom of expression and gender equality. </w:t>
      </w:r>
    </w:p>
    <w:p w:rsidRPr="001F165D" w:rsidR="00C11E25" w:rsidP="00C11E25" w:rsidRDefault="00C11E25" w14:paraId="1FB52143" w14:textId="77777777">
      <w:pPr>
        <w:rPr>
          <w:lang w:val="en-GB"/>
        </w:rPr>
      </w:pPr>
    </w:p>
    <w:p w:rsidRPr="001F165D" w:rsidR="00C11E25" w:rsidP="00C11E25" w:rsidRDefault="00C11E25" w14:paraId="02C9C6BC" w14:textId="77777777">
      <w:pPr>
        <w:pStyle w:val="Heading2"/>
        <w:rPr>
          <w:color w:val="000000" w:themeColor="text1"/>
          <w:lang w:val="en-GB"/>
        </w:rPr>
      </w:pPr>
      <w:r w:rsidRPr="001F165D">
        <w:rPr>
          <w:color w:val="000000" w:themeColor="text1"/>
          <w:lang w:val="en-GB"/>
        </w:rPr>
        <w:t>Civil society remains underrepresented in ASEAN decision-making processes, and regional policies often fail to address the needs of local populations. However, the ASEAN Parliamentary Assembly (APA) and the SAPA (Solidarity for Asian People’s Advocacy)</w:t>
      </w:r>
      <w:r w:rsidRPr="001F165D">
        <w:rPr>
          <w:color w:val="000000" w:themeColor="text1"/>
          <w:sz w:val="24"/>
          <w:szCs w:val="24"/>
          <w:vertAlign w:val="superscript"/>
          <w:lang w:val="en-GB"/>
        </w:rPr>
        <w:footnoteReference w:id="14"/>
      </w:r>
      <w:r w:rsidRPr="001F165D">
        <w:rPr>
          <w:color w:val="000000" w:themeColor="text1"/>
          <w:lang w:val="en-GB"/>
        </w:rPr>
        <w:t xml:space="preserve"> are considered the most inclusive mechanisms for civil society to address national and regional concerns within</w:t>
      </w:r>
      <w:r w:rsidRPr="001F165D" w:rsidDel="008E6C30">
        <w:rPr>
          <w:color w:val="000000" w:themeColor="text1"/>
          <w:lang w:val="en-GB"/>
        </w:rPr>
        <w:t xml:space="preserve"> </w:t>
      </w:r>
      <w:r w:rsidRPr="001F165D">
        <w:rPr>
          <w:color w:val="000000" w:themeColor="text1"/>
          <w:lang w:val="en-GB"/>
        </w:rPr>
        <w:t>ASEAN.</w:t>
      </w:r>
    </w:p>
    <w:p w:rsidRPr="001F165D" w:rsidR="00C11E25" w:rsidP="00C11E25" w:rsidRDefault="00C11E25" w14:paraId="11D9CC8A" w14:textId="77777777">
      <w:pPr>
        <w:rPr>
          <w:lang w:val="en-GB"/>
        </w:rPr>
      </w:pPr>
    </w:p>
    <w:p w:rsidRPr="001F165D" w:rsidR="00C11E25" w:rsidP="00C11E25" w:rsidRDefault="00C11E25" w14:paraId="6B8888BC" w14:textId="77777777">
      <w:pPr>
        <w:pStyle w:val="Heading2"/>
        <w:rPr>
          <w:color w:val="000000" w:themeColor="text1"/>
          <w:lang w:val="en-GB"/>
        </w:rPr>
      </w:pPr>
      <w:r w:rsidRPr="001F165D">
        <w:rPr>
          <w:color w:val="000000" w:themeColor="text1"/>
          <w:lang w:val="en-GB"/>
        </w:rPr>
        <w:t>The constitutions of ASEAN members generally recognise freedom of association as a fundamental civil liberty, as well as the right to establish associations and social organisations</w:t>
      </w:r>
      <w:r w:rsidRPr="001F165D">
        <w:rPr>
          <w:color w:val="000000" w:themeColor="text1"/>
          <w:vertAlign w:val="superscript"/>
          <w:lang w:val="en-GB"/>
        </w:rPr>
        <w:footnoteReference w:id="15"/>
      </w:r>
      <w:r w:rsidRPr="001F165D">
        <w:rPr>
          <w:color w:val="000000" w:themeColor="text1"/>
          <w:lang w:val="en-GB"/>
        </w:rPr>
        <w:t>. However, some governments may restrict trade union rights on grounds of public order protection, national security, general welfare or good morals</w:t>
      </w:r>
      <w:r w:rsidRPr="001F165D">
        <w:rPr>
          <w:color w:val="000000" w:themeColor="text1"/>
          <w:vertAlign w:val="superscript"/>
          <w:lang w:val="en-GB"/>
        </w:rPr>
        <w:footnoteReference w:id="16"/>
      </w:r>
      <w:r w:rsidRPr="001F165D">
        <w:rPr>
          <w:color w:val="000000" w:themeColor="text1"/>
          <w:lang w:val="en-GB"/>
        </w:rPr>
        <w:t>. For instance, anti-terrorism and foreign funding laws can be manipulated to shut down organisations that are critical of the government and to limit freedom of association and assembly, making it difficult for CSOs to organise public demonstrations, hold meetings or engage in collective advocacy.</w:t>
      </w:r>
    </w:p>
    <w:p w:rsidRPr="001F165D" w:rsidR="00C11E25" w:rsidP="00C11E25" w:rsidRDefault="00C11E25" w14:paraId="6FF28F24" w14:textId="77777777">
      <w:pPr>
        <w:rPr>
          <w:lang w:val="en-GB"/>
        </w:rPr>
      </w:pPr>
    </w:p>
    <w:p w:rsidRPr="001F165D" w:rsidR="00C11E25" w:rsidP="00C11E25" w:rsidRDefault="00C11E25" w14:paraId="476A3D75" w14:textId="77777777">
      <w:pPr>
        <w:pStyle w:val="Heading2"/>
        <w:rPr>
          <w:color w:val="000000" w:themeColor="text1"/>
          <w:lang w:val="en-GB"/>
        </w:rPr>
      </w:pPr>
      <w:r w:rsidRPr="001F165D">
        <w:rPr>
          <w:color w:val="000000" w:themeColor="text1"/>
          <w:lang w:val="en-GB"/>
        </w:rPr>
        <w:t xml:space="preserve">Furthermore, some governments in ASEAN member states regulate CSOs through mandatory registration (with disclosure requirements on funding, membership and foreign donations) and obligations that otherwise result in </w:t>
      </w:r>
      <w:r w:rsidRPr="001F165D">
        <w:rPr>
          <w:i/>
          <w:iCs/>
          <w:color w:val="000000" w:themeColor="text1"/>
          <w:lang w:val="en-GB"/>
        </w:rPr>
        <w:t>de facto</w:t>
      </w:r>
      <w:r w:rsidRPr="001F165D">
        <w:rPr>
          <w:color w:val="000000" w:themeColor="text1"/>
          <w:lang w:val="en-GB"/>
        </w:rPr>
        <w:t xml:space="preserve"> bans through withheld registration. The European Parliament (EP) has reported that government-operated NGOs (GONGOs) increasingly marginalise independent civil society, distorting EU funding intentions, particularly in Cambodia</w:t>
      </w:r>
      <w:r w:rsidRPr="001F165D">
        <w:rPr>
          <w:color w:val="000000" w:themeColor="text1"/>
          <w:vertAlign w:val="superscript"/>
          <w:lang w:val="en-GB"/>
        </w:rPr>
        <w:footnoteReference w:id="17"/>
      </w:r>
      <w:r w:rsidRPr="001F165D">
        <w:rPr>
          <w:color w:val="000000" w:themeColor="text1"/>
          <w:lang w:val="en-GB"/>
        </w:rPr>
        <w:t>.</w:t>
      </w:r>
    </w:p>
    <w:p w:rsidRPr="001F165D" w:rsidR="00C11E25" w:rsidP="00C11E25" w:rsidRDefault="00C11E25" w14:paraId="51C48233" w14:textId="77777777">
      <w:pPr>
        <w:rPr>
          <w:lang w:val="en-GB"/>
        </w:rPr>
      </w:pPr>
    </w:p>
    <w:p w:rsidRPr="001F165D" w:rsidR="00C11E25" w:rsidP="00C11E25" w:rsidRDefault="00C11E25" w14:paraId="7AC3D06A" w14:textId="77777777">
      <w:pPr>
        <w:pStyle w:val="Heading2"/>
        <w:rPr>
          <w:color w:val="000000" w:themeColor="text1"/>
          <w:lang w:val="en-GB"/>
        </w:rPr>
      </w:pPr>
      <w:r w:rsidRPr="001F165D">
        <w:rPr>
          <w:color w:val="000000" w:themeColor="text1"/>
          <w:lang w:val="en-GB"/>
        </w:rPr>
        <w:t>The EP has observed a worrying global trend of shrinking civic space for dissenting perspectives in recent years</w:t>
      </w:r>
      <w:r w:rsidRPr="001F165D">
        <w:rPr>
          <w:color w:val="000000" w:themeColor="text1"/>
          <w:sz w:val="24"/>
          <w:vertAlign w:val="superscript"/>
          <w:lang w:val="en-GB"/>
        </w:rPr>
        <w:footnoteReference w:id="18"/>
      </w:r>
      <w:r w:rsidRPr="001F165D">
        <w:rPr>
          <w:color w:val="000000" w:themeColor="text1"/>
          <w:lang w:val="en-GB"/>
        </w:rPr>
        <w:t>. In countries like Myanmar (before and after the 2021 military coup), Thailand and Viet Nam, progress remains gradual, particularly for those involved in human rights or political activism</w:t>
      </w:r>
      <w:r w:rsidRPr="001F165D">
        <w:rPr>
          <w:color w:val="000000" w:themeColor="text1"/>
          <w:vertAlign w:val="superscript"/>
          <w:lang w:val="en-GB"/>
        </w:rPr>
        <w:footnoteReference w:id="19"/>
      </w:r>
      <w:r w:rsidRPr="001F165D">
        <w:rPr>
          <w:color w:val="000000" w:themeColor="text1"/>
          <w:lang w:val="en-GB"/>
        </w:rPr>
        <w:t>. Organisations operating in these jurisdictions often report that they are subject to intimidation, harassment, surveillance protocols and, in some cases, judicial prosecution for their advocacy work</w:t>
      </w:r>
      <w:r w:rsidRPr="001F165D">
        <w:rPr>
          <w:color w:val="000000" w:themeColor="text1"/>
          <w:vertAlign w:val="superscript"/>
          <w:lang w:val="en-GB"/>
        </w:rPr>
        <w:footnoteReference w:id="20"/>
      </w:r>
      <w:r w:rsidRPr="001F165D">
        <w:rPr>
          <w:color w:val="000000" w:themeColor="text1"/>
          <w:lang w:val="en-GB"/>
        </w:rPr>
        <w:t>. In Myanmar, since the military coup, the junta has arrested and silenced activists, shutting down many civil society organisations and stifling democratic movements.</w:t>
      </w:r>
    </w:p>
    <w:p w:rsidRPr="001F165D" w:rsidR="00C11E25" w:rsidP="00C11E25" w:rsidRDefault="00C11E25" w14:paraId="451F764F" w14:textId="77777777">
      <w:pPr>
        <w:pStyle w:val="Heading2"/>
        <w:numPr>
          <w:ilvl w:val="0"/>
          <w:numId w:val="0"/>
        </w:numPr>
        <w:rPr>
          <w:bCs/>
          <w:color w:val="000000" w:themeColor="text1"/>
          <w:lang w:val="en-GB"/>
        </w:rPr>
      </w:pPr>
    </w:p>
    <w:p w:rsidRPr="001F165D" w:rsidR="00C11E25" w:rsidP="00C11E25" w:rsidRDefault="00C11E25" w14:paraId="630A7BA8" w14:textId="77777777">
      <w:pPr>
        <w:pStyle w:val="Heading2"/>
        <w:keepNext/>
        <w:keepLines/>
        <w:numPr>
          <w:ilvl w:val="0"/>
          <w:numId w:val="0"/>
        </w:numPr>
        <w:rPr>
          <w:b/>
          <w:color w:val="000000" w:themeColor="text1"/>
          <w:lang w:val="en-GB"/>
        </w:rPr>
      </w:pPr>
      <w:r w:rsidRPr="001F165D">
        <w:rPr>
          <w:b/>
          <w:color w:val="000000" w:themeColor="text1"/>
          <w:lang w:val="en-GB"/>
        </w:rPr>
        <w:t>Digital governance</w:t>
      </w:r>
    </w:p>
    <w:p w:rsidRPr="001F165D" w:rsidR="00C11E25" w:rsidP="00C11E25" w:rsidRDefault="00C11E25" w14:paraId="2436B666" w14:textId="77777777">
      <w:pPr>
        <w:pStyle w:val="Heading2"/>
        <w:keepNext/>
        <w:keepLines/>
        <w:numPr>
          <w:ilvl w:val="0"/>
          <w:numId w:val="0"/>
        </w:numPr>
        <w:rPr>
          <w:color w:val="000000" w:themeColor="text1"/>
          <w:lang w:val="en-GB"/>
        </w:rPr>
      </w:pPr>
    </w:p>
    <w:p w:rsidRPr="001F165D" w:rsidR="00C11E25" w:rsidP="00C11E25" w:rsidRDefault="00C11E25" w14:paraId="62001CC7" w14:textId="77777777">
      <w:pPr>
        <w:pStyle w:val="Heading2"/>
        <w:rPr>
          <w:color w:val="000000" w:themeColor="text1"/>
          <w:lang w:val="en-GB"/>
        </w:rPr>
      </w:pPr>
      <w:r w:rsidRPr="001F165D">
        <w:rPr>
          <w:color w:val="000000" w:themeColor="text1"/>
          <w:lang w:val="en-GB"/>
        </w:rPr>
        <w:t>Southeast Asian countries have made considerable progress in enhancing their digital infrastructure and implementing e-government initiatives. But digital surveillance is prevalent across ASEAN member states, and some governments may exercise repression and political control through non-violent means, including censorship and control of information flows. These trends mirror global patterns of shrinking online freedoms, accelerated by pandemic-era measures. Opportunities for EU engagement include bolstering digital resilience by funding secure communication tools and digital rights training for activists.</w:t>
      </w:r>
    </w:p>
    <w:p w:rsidRPr="001F165D" w:rsidR="00C11E25" w:rsidP="00C11E25" w:rsidRDefault="00C11E25" w14:paraId="395CE133" w14:textId="77777777">
      <w:pPr>
        <w:rPr>
          <w:lang w:val="en-GB"/>
        </w:rPr>
      </w:pPr>
    </w:p>
    <w:p w:rsidRPr="001F165D" w:rsidR="00C11E25" w:rsidP="00C11E25" w:rsidRDefault="00C11E25" w14:paraId="3B383260" w14:textId="77777777">
      <w:pPr>
        <w:pStyle w:val="Heading1"/>
        <w:keepNext/>
        <w:keepLines/>
        <w:rPr>
          <w:b/>
          <w:bCs/>
          <w:lang w:val="en-GB"/>
        </w:rPr>
      </w:pPr>
      <w:r w:rsidRPr="001F165D">
        <w:rPr>
          <w:b/>
          <w:bCs/>
          <w:lang w:val="en-GB"/>
        </w:rPr>
        <w:t>EU-ASEAN trade relations: Trade and Sustainable Development</w:t>
      </w:r>
    </w:p>
    <w:p w:rsidRPr="001F165D" w:rsidR="00C11E25" w:rsidP="00C11E25" w:rsidRDefault="00C11E25" w14:paraId="75F16656" w14:textId="77777777">
      <w:pPr>
        <w:keepNext/>
        <w:keepLines/>
        <w:rPr>
          <w:lang w:val="en-GB"/>
        </w:rPr>
      </w:pPr>
    </w:p>
    <w:p w:rsidRPr="001F165D" w:rsidR="00C11E25" w:rsidP="00C11E25" w:rsidRDefault="00C11E25" w14:paraId="48EFECCC" w14:textId="77777777">
      <w:pPr>
        <w:pStyle w:val="Heading2"/>
        <w:rPr>
          <w:lang w:val="en-GB"/>
        </w:rPr>
      </w:pPr>
      <w:r w:rsidRPr="001F165D">
        <w:rPr>
          <w:lang w:val="en-GB"/>
        </w:rPr>
        <w:t>The EU and ASEAN pursue economic schemes through various avenues besides bilateral FTAs: Indonesia has access to the EU’s single market through reduced or removed EU import tariffs under the EU’s Generalised Scheme of Preferences (GSP); the Philippines enjoys GSP-plus incentives, a special arrangement conditional on higher standards of sustainable development and governance; Cambodia previously benefited from another unilateral scheme – Everything But Arms (EBA) – but its preferences have been partially and temporarily withdrawn; and Laos, Myanmar and prospective ASEAN member Timor-Leste also benefit from the EBA status.</w:t>
      </w:r>
    </w:p>
    <w:p w:rsidRPr="001F165D" w:rsidR="00C11E25" w:rsidP="00C11E25" w:rsidRDefault="00C11E25" w14:paraId="375C3C2E" w14:textId="77777777">
      <w:pPr>
        <w:pStyle w:val="Heading2"/>
        <w:numPr>
          <w:ilvl w:val="0"/>
          <w:numId w:val="0"/>
        </w:numPr>
        <w:rPr>
          <w:lang w:val="en-GB"/>
        </w:rPr>
      </w:pPr>
    </w:p>
    <w:p w:rsidRPr="001F165D" w:rsidR="00C11E25" w:rsidP="00C11E25" w:rsidRDefault="00C11E25" w14:paraId="687D8407" w14:textId="77777777">
      <w:pPr>
        <w:pStyle w:val="Heading2"/>
        <w:rPr>
          <w:lang w:val="en-GB"/>
        </w:rPr>
      </w:pPr>
      <w:r w:rsidRPr="001F165D">
        <w:rPr>
          <w:lang w:val="en-GB"/>
        </w:rPr>
        <w:t>In addition, two Domestic Advisory Groups (DAGs), established under the EU-Viet Nam and EU-Singapore FTAs, oversee the implementation of sustainable development commitments. Successful consultations depend on the independence of CSOs, yet current participation models disproportionately include government-affiliated or government-approved organisations.</w:t>
      </w:r>
    </w:p>
    <w:p w:rsidRPr="001F165D" w:rsidR="00C11E25" w:rsidP="00C11E25" w:rsidRDefault="00C11E25" w14:paraId="323F0026" w14:textId="77777777">
      <w:pPr>
        <w:pStyle w:val="Heading2"/>
        <w:numPr>
          <w:ilvl w:val="0"/>
          <w:numId w:val="0"/>
        </w:numPr>
        <w:rPr>
          <w:lang w:val="en-GB"/>
        </w:rPr>
      </w:pPr>
    </w:p>
    <w:p w:rsidRPr="001F165D" w:rsidR="00C11E25" w:rsidP="00C11E25" w:rsidRDefault="00C11E25" w14:paraId="35F57218" w14:textId="77777777">
      <w:pPr>
        <w:pStyle w:val="Heading2"/>
        <w:rPr>
          <w:lang w:val="en-GB"/>
        </w:rPr>
      </w:pPr>
      <w:r w:rsidRPr="001F165D">
        <w:rPr>
          <w:lang w:val="en-GB"/>
        </w:rPr>
        <w:t>Viet Nam has ratified ILO Convention 105 on forced labour, but ratification of Convention 87 concerning the ‘Freedom of Association and Protection of the Right to Organise’ is still pending. Furthermore, labour protections in Viet Nam have yet to fully extend to the informal sector, which represents over 68% of the workforce</w:t>
      </w:r>
      <w:r w:rsidRPr="001F165D">
        <w:rPr>
          <w:vertAlign w:val="superscript"/>
          <w:lang w:val="en-GB"/>
        </w:rPr>
        <w:footnoteReference w:id="21"/>
      </w:r>
      <w:r w:rsidRPr="001F165D">
        <w:rPr>
          <w:lang w:val="en-GB"/>
        </w:rPr>
        <w:t>. The EU-Viet Nam DAG has noted the continued absence of fully independent trade unions</w:t>
      </w:r>
      <w:r w:rsidRPr="001F165D">
        <w:rPr>
          <w:sz w:val="24"/>
          <w:szCs w:val="24"/>
          <w:vertAlign w:val="superscript"/>
          <w:lang w:val="en-GB"/>
        </w:rPr>
        <w:footnoteReference w:id="22"/>
      </w:r>
      <w:r w:rsidRPr="001F165D">
        <w:rPr>
          <w:lang w:val="en-GB"/>
        </w:rPr>
        <w:t xml:space="preserve">. </w:t>
      </w:r>
    </w:p>
    <w:p w:rsidRPr="001F165D" w:rsidR="00C11E25" w:rsidP="00C11E25" w:rsidRDefault="00C11E25" w14:paraId="2426D6B7" w14:textId="77777777">
      <w:pPr>
        <w:pStyle w:val="Heading2"/>
        <w:numPr>
          <w:ilvl w:val="0"/>
          <w:numId w:val="0"/>
        </w:numPr>
        <w:rPr>
          <w:lang w:val="en-GB"/>
        </w:rPr>
      </w:pPr>
    </w:p>
    <w:p w:rsidRPr="001F165D" w:rsidR="00C11E25" w:rsidP="00C11E25" w:rsidRDefault="00C11E25" w14:paraId="0107F5B6" w14:textId="77777777">
      <w:pPr>
        <w:pStyle w:val="Heading2"/>
        <w:rPr>
          <w:lang w:val="en-GB"/>
        </w:rPr>
      </w:pPr>
      <w:r w:rsidRPr="001F165D">
        <w:rPr>
          <w:lang w:val="en-GB"/>
        </w:rPr>
        <w:t>In March 2025, the EU-DAG reported to the EP’s International Trade Committee (INTA) on the challenges facing Vietnamese civil society, emphasising the continued importance of in-person civil society contacts in this setting</w:t>
      </w:r>
      <w:r w:rsidRPr="001F165D">
        <w:rPr>
          <w:sz w:val="24"/>
          <w:vertAlign w:val="superscript"/>
          <w:lang w:val="en-GB"/>
        </w:rPr>
        <w:footnoteReference w:id="23"/>
      </w:r>
      <w:r w:rsidRPr="001F165D">
        <w:rPr>
          <w:lang w:val="en-GB"/>
        </w:rPr>
        <w:t>.</w:t>
      </w:r>
    </w:p>
    <w:p w:rsidRPr="001F165D" w:rsidR="00C11E25" w:rsidP="00C11E25" w:rsidRDefault="00C11E25" w14:paraId="296A08AE" w14:textId="77777777">
      <w:pPr>
        <w:pStyle w:val="Heading2"/>
        <w:numPr>
          <w:ilvl w:val="0"/>
          <w:numId w:val="0"/>
        </w:numPr>
        <w:rPr>
          <w:lang w:val="en-GB"/>
        </w:rPr>
      </w:pPr>
    </w:p>
    <w:p w:rsidRPr="001F165D" w:rsidR="00C11E25" w:rsidP="00C11E25" w:rsidRDefault="00C11E25" w14:paraId="63DBD294" w14:textId="77777777">
      <w:pPr>
        <w:pStyle w:val="Heading2"/>
        <w:rPr>
          <w:lang w:val="en-GB"/>
        </w:rPr>
      </w:pPr>
      <w:r w:rsidRPr="001F165D">
        <w:rPr>
          <w:lang w:val="en-GB"/>
        </w:rPr>
        <w:t>The DAG established under the EU-Singapore FTA (EUSFTA)</w:t>
      </w:r>
      <w:r w:rsidRPr="001F165D">
        <w:rPr>
          <w:sz w:val="24"/>
          <w:vertAlign w:val="superscript"/>
          <w:lang w:val="en-GB"/>
        </w:rPr>
        <w:footnoteReference w:id="24"/>
      </w:r>
      <w:r w:rsidRPr="001F165D">
        <w:rPr>
          <w:lang w:val="en-GB"/>
        </w:rPr>
        <w:t xml:space="preserve"> is the latest of the four DAGs in the region, following agreements with Korea, Japan and Viet Nam. While civil society involvement and cooperation is well developed, TSD discussions continue on Singapore’s ratification of ILO Convention 87 and Convention 111 on employment and occupation discrimination. </w:t>
      </w:r>
      <w:r w:rsidRPr="001F165D">
        <w:rPr>
          <w:iCs/>
          <w:lang w:val="en-GB"/>
        </w:rPr>
        <w:t>Under the EUSFTA, both DAGs stress the critical importance of freedom of association as an enabling right for all other decent work objectives. Detailed gap analysis of domestic legislation for the ratification of outstanding fundamental ILO Conventions, with the technical assistance of the ILO, are considered an essential tool.</w:t>
      </w:r>
    </w:p>
    <w:p w:rsidRPr="001F165D" w:rsidR="00C11E25" w:rsidP="00C11E25" w:rsidRDefault="00C11E25" w14:paraId="032A552B" w14:textId="77777777">
      <w:pPr>
        <w:pStyle w:val="Heading2"/>
        <w:numPr>
          <w:ilvl w:val="0"/>
          <w:numId w:val="0"/>
        </w:numPr>
        <w:rPr>
          <w:lang w:val="en-GB"/>
        </w:rPr>
      </w:pPr>
    </w:p>
    <w:p w:rsidRPr="001F165D" w:rsidR="00C11E25" w:rsidP="00C11E25" w:rsidRDefault="00C11E25" w14:paraId="0A1202E1" w14:textId="74BFF51A">
      <w:pPr>
        <w:pStyle w:val="Heading2"/>
        <w:rPr>
          <w:lang w:val="en-GB"/>
        </w:rPr>
      </w:pPr>
      <w:r w:rsidRPr="4F547406">
        <w:rPr>
          <w:lang w:val="en-GB"/>
        </w:rPr>
        <w:t>The EU-Singapore and EU-Viet Nam agreements establish valuable frameworks for sustainable trade, with the TSD chapters representing a critical foundation. Building on this progress, there is a growing consensus that enhanced stakeholder involvement – particularly of SMEs and informal sector stakeholders – could make implementation more robust and inclusive. Such developments would further strengthen the agreements' core objectives of creating fair and sustainable trade relationships,</w:t>
      </w:r>
      <w:r w:rsidRPr="4F547406" w:rsidR="162344D0">
        <w:rPr>
          <w:lang w:val="en-GB"/>
        </w:rPr>
        <w:t xml:space="preserve"> </w:t>
      </w:r>
      <w:r w:rsidRPr="4F547406">
        <w:rPr>
          <w:lang w:val="en-GB"/>
        </w:rPr>
        <w:t>but would also require the parties to develop a joint understanding of the tasks, functioning and needs of the DAGs and other established civil society fora.</w:t>
      </w:r>
    </w:p>
    <w:p w:rsidRPr="001F165D" w:rsidR="00C11E25" w:rsidP="00C11E25" w:rsidRDefault="00C11E25" w14:paraId="70052451" w14:textId="77777777">
      <w:pPr>
        <w:pStyle w:val="Heading2"/>
        <w:numPr>
          <w:ilvl w:val="0"/>
          <w:numId w:val="0"/>
        </w:numPr>
        <w:rPr>
          <w:lang w:val="en-GB"/>
        </w:rPr>
      </w:pPr>
    </w:p>
    <w:p w:rsidRPr="001F165D" w:rsidR="00C11E25" w:rsidP="00C11E25" w:rsidRDefault="00C11E25" w14:paraId="104F1933" w14:textId="77777777">
      <w:pPr>
        <w:pStyle w:val="Heading2"/>
        <w:rPr>
          <w:lang w:val="en-GB"/>
        </w:rPr>
      </w:pPr>
      <w:r w:rsidRPr="001F165D">
        <w:rPr>
          <w:lang w:val="en-GB"/>
        </w:rPr>
        <w:t>According to the European Commission, inclusive dialogue, including public-private dialogue, could prove beneficial in ensuring that trade policies reflect the needs of all economic actors</w:t>
      </w:r>
      <w:r w:rsidRPr="001F165D">
        <w:rPr>
          <w:vertAlign w:val="superscript"/>
          <w:lang w:val="en-GB"/>
        </w:rPr>
        <w:footnoteReference w:id="25"/>
      </w:r>
      <w:r w:rsidRPr="001F165D">
        <w:rPr>
          <w:lang w:val="en-GB"/>
        </w:rPr>
        <w:t>. There is a need for:</w:t>
      </w:r>
    </w:p>
    <w:p w:rsidRPr="001F165D" w:rsidR="00C11E25" w:rsidP="00C11E25" w:rsidRDefault="00C11E25" w14:paraId="458685BB" w14:textId="77777777">
      <w:pPr>
        <w:pStyle w:val="Heading2"/>
        <w:numPr>
          <w:ilvl w:val="1"/>
          <w:numId w:val="3"/>
        </w:numPr>
        <w:ind w:left="851" w:hanging="284"/>
        <w:rPr>
          <w:lang w:val="en-GB"/>
        </w:rPr>
      </w:pPr>
      <w:r w:rsidRPr="001F165D">
        <w:rPr>
          <w:lang w:val="en-GB"/>
        </w:rPr>
        <w:t>access to technical information on trade regulations and compliance requirements;</w:t>
      </w:r>
    </w:p>
    <w:p w:rsidRPr="001F165D" w:rsidR="00C11E25" w:rsidP="00C11E25" w:rsidRDefault="00C11E25" w14:paraId="54C5265B" w14:textId="77777777">
      <w:pPr>
        <w:pStyle w:val="Heading2"/>
        <w:numPr>
          <w:ilvl w:val="1"/>
          <w:numId w:val="3"/>
        </w:numPr>
        <w:ind w:left="851" w:hanging="284"/>
        <w:rPr>
          <w:lang w:val="en-GB"/>
        </w:rPr>
      </w:pPr>
      <w:r w:rsidRPr="001F165D">
        <w:rPr>
          <w:lang w:val="en-GB"/>
        </w:rPr>
        <w:t>targeted capacity-building initiatives to strengthen the participation of SMEs and local business associations; and</w:t>
      </w:r>
    </w:p>
    <w:p w:rsidRPr="001F165D" w:rsidR="00C11E25" w:rsidP="00C11E25" w:rsidRDefault="00C11E25" w14:paraId="2A5D5F94" w14:textId="77777777">
      <w:pPr>
        <w:pStyle w:val="Heading2"/>
        <w:numPr>
          <w:ilvl w:val="1"/>
          <w:numId w:val="3"/>
        </w:numPr>
        <w:ind w:left="851" w:hanging="284"/>
        <w:rPr>
          <w:lang w:val="en-GB"/>
        </w:rPr>
      </w:pPr>
      <w:r w:rsidRPr="001F165D">
        <w:rPr>
          <w:lang w:val="en-GB"/>
        </w:rPr>
        <w:t>innovative consultation models, including digital platforms that enable safe and, where necessary, anonymous input; these are valuable in contexts where open criticism may carry professional or political risks.</w:t>
      </w:r>
    </w:p>
    <w:p w:rsidRPr="001F165D" w:rsidR="00C11E25" w:rsidP="00C11E25" w:rsidRDefault="00C11E25" w14:paraId="5B288788" w14:textId="77777777">
      <w:pPr>
        <w:pStyle w:val="Heading2"/>
        <w:numPr>
          <w:ilvl w:val="0"/>
          <w:numId w:val="0"/>
        </w:numPr>
        <w:rPr>
          <w:lang w:val="en-GB"/>
        </w:rPr>
      </w:pPr>
    </w:p>
    <w:p w:rsidRPr="001F165D" w:rsidR="00C11E25" w:rsidP="00C11E25" w:rsidRDefault="00C11E25" w14:paraId="3CE45349" w14:textId="77777777">
      <w:pPr>
        <w:pStyle w:val="Heading2"/>
        <w:rPr>
          <w:lang w:val="en-GB"/>
        </w:rPr>
      </w:pPr>
      <w:r w:rsidRPr="001F165D">
        <w:rPr>
          <w:lang w:val="en-GB"/>
        </w:rPr>
        <w:t>Future bilateral EU trade agreements with Indonesia, Malaysia, the Philippines and Thailand have the potential to raise living standards and wages for skilled and unskilled workers in the textiles, footwear and automotive sectors. Addressing these concerns requires a nuanced understanding of the interplay between wages, employment conditions and poverty reduction for vulnerable groups such as women, young people and minorities. For that reason, legal protections included in TSD chapters play a crucial role in developing economies, from ensuring adherence to international labour standards to upholding working conditions and safety in the workplace.</w:t>
      </w:r>
    </w:p>
    <w:p w:rsidRPr="001F165D" w:rsidR="00C11E25" w:rsidP="00C11E25" w:rsidRDefault="00C11E25" w14:paraId="1E5BDA0F" w14:textId="77777777">
      <w:pPr>
        <w:pStyle w:val="Heading2"/>
        <w:numPr>
          <w:ilvl w:val="0"/>
          <w:numId w:val="0"/>
        </w:numPr>
        <w:rPr>
          <w:lang w:val="en-GB"/>
        </w:rPr>
      </w:pPr>
    </w:p>
    <w:p w:rsidRPr="001F165D" w:rsidR="00C11E25" w:rsidP="00C11E25" w:rsidRDefault="00C11E25" w14:paraId="44C93050" w14:textId="77777777">
      <w:pPr>
        <w:pStyle w:val="Heading2"/>
        <w:keepNext/>
        <w:keepLines/>
        <w:numPr>
          <w:ilvl w:val="0"/>
          <w:numId w:val="0"/>
        </w:numPr>
        <w:rPr>
          <w:b/>
          <w:lang w:val="en-GB"/>
        </w:rPr>
      </w:pPr>
      <w:r w:rsidRPr="001F165D">
        <w:rPr>
          <w:b/>
          <w:lang w:val="en-GB"/>
        </w:rPr>
        <w:t>Labour rights and worker representation</w:t>
      </w:r>
    </w:p>
    <w:p w:rsidRPr="001F165D" w:rsidR="00C11E25" w:rsidP="00C11E25" w:rsidRDefault="00C11E25" w14:paraId="754F561C" w14:textId="77777777">
      <w:pPr>
        <w:pStyle w:val="Heading2"/>
        <w:keepNext/>
        <w:keepLines/>
        <w:numPr>
          <w:ilvl w:val="0"/>
          <w:numId w:val="0"/>
        </w:numPr>
        <w:rPr>
          <w:sz w:val="16"/>
          <w:szCs w:val="16"/>
          <w:lang w:val="en-GB"/>
        </w:rPr>
      </w:pPr>
    </w:p>
    <w:p w:rsidRPr="001F165D" w:rsidR="00C11E25" w:rsidP="00C11E25" w:rsidRDefault="00C11E25" w14:paraId="7FA76355" w14:textId="77777777">
      <w:pPr>
        <w:pStyle w:val="Heading2"/>
        <w:rPr>
          <w:lang w:val="en-GB"/>
        </w:rPr>
      </w:pPr>
      <w:r w:rsidRPr="001F165D">
        <w:rPr>
          <w:lang w:val="en-GB"/>
        </w:rPr>
        <w:t>EU-ASEAN dialogue on labour conditions carefully navigates disparities between regional standards and international benchmarks, with persistent gaps in wages, safety and union representation. The ILO has reported that many workers in the region still face decent work deficits</w:t>
      </w:r>
      <w:r w:rsidRPr="001F165D">
        <w:rPr>
          <w:sz w:val="24"/>
          <w:vertAlign w:val="superscript"/>
          <w:lang w:val="en-GB"/>
        </w:rPr>
        <w:footnoteReference w:id="26"/>
      </w:r>
      <w:r w:rsidRPr="001F165D">
        <w:rPr>
          <w:lang w:val="en-GB"/>
        </w:rPr>
        <w:t>. International confederations of trade unions are actively engaged in Southeast Asia; these include the International Trade Union Confederation - Asia Pacific (ITUC-AP)</w:t>
      </w:r>
      <w:r w:rsidRPr="001F165D">
        <w:rPr>
          <w:vertAlign w:val="superscript"/>
          <w:lang w:val="en-GB"/>
        </w:rPr>
        <w:footnoteReference w:id="27"/>
      </w:r>
      <w:r w:rsidRPr="001F165D">
        <w:rPr>
          <w:lang w:val="en-GB"/>
        </w:rPr>
        <w:t xml:space="preserve"> and the World Federation of Trade Unions (WFTU)</w:t>
      </w:r>
      <w:r w:rsidRPr="001F165D">
        <w:rPr>
          <w:vertAlign w:val="superscript"/>
          <w:lang w:val="en-GB"/>
        </w:rPr>
        <w:footnoteReference w:id="28"/>
      </w:r>
      <w:r w:rsidRPr="001F165D">
        <w:rPr>
          <w:lang w:val="en-GB"/>
        </w:rPr>
        <w:t>, including its Asia Pacific Region branch (WFTU-AP)</w:t>
      </w:r>
      <w:r w:rsidRPr="001F165D">
        <w:rPr>
          <w:vertAlign w:val="superscript"/>
          <w:lang w:val="en-GB"/>
        </w:rPr>
        <w:footnoteReference w:id="29"/>
      </w:r>
      <w:r w:rsidRPr="001F165D">
        <w:rPr>
          <w:lang w:val="en-GB"/>
        </w:rPr>
        <w:t>, alongside two key employer organisations, the ASEAN Confederation of Employers (ACE)</w:t>
      </w:r>
      <w:r w:rsidRPr="001F165D">
        <w:rPr>
          <w:vertAlign w:val="superscript"/>
          <w:lang w:val="en-GB"/>
        </w:rPr>
        <w:footnoteReference w:id="30"/>
      </w:r>
      <w:r w:rsidRPr="001F165D">
        <w:rPr>
          <w:lang w:val="en-GB"/>
        </w:rPr>
        <w:t xml:space="preserve"> and the Confederation of Asia-Pacific Employers (CAPE)</w:t>
      </w:r>
      <w:r w:rsidRPr="001F165D">
        <w:rPr>
          <w:vertAlign w:val="superscript"/>
          <w:lang w:val="en-GB"/>
        </w:rPr>
        <w:footnoteReference w:id="31"/>
      </w:r>
      <w:r w:rsidRPr="001F165D">
        <w:rPr>
          <w:lang w:val="en-GB"/>
        </w:rPr>
        <w:t xml:space="preserve">. </w:t>
      </w:r>
    </w:p>
    <w:p w:rsidRPr="001F165D" w:rsidR="00C11E25" w:rsidP="00C11E25" w:rsidRDefault="00C11E25" w14:paraId="539ABB20" w14:textId="77777777">
      <w:pPr>
        <w:pStyle w:val="Heading2"/>
        <w:numPr>
          <w:ilvl w:val="0"/>
          <w:numId w:val="0"/>
        </w:numPr>
        <w:rPr>
          <w:lang w:val="en-GB"/>
        </w:rPr>
      </w:pPr>
    </w:p>
    <w:p w:rsidRPr="001F165D" w:rsidR="00C11E25" w:rsidP="00C11E25" w:rsidRDefault="00C11E25" w14:paraId="72098F37" w14:textId="77777777">
      <w:pPr>
        <w:pStyle w:val="Heading2"/>
        <w:rPr>
          <w:lang w:val="en-GB"/>
        </w:rPr>
      </w:pPr>
      <w:r w:rsidRPr="001F165D">
        <w:rPr>
          <w:lang w:val="en-GB"/>
        </w:rPr>
        <w:t xml:space="preserve">ASEAN has witnessed a positive trend in labour mobility and resource reallocation across agriculture, industry and services over the last few decades. Nevertheless, vulnerable groups, including women and young people, are being left behind as they are often dependent on unpaid family labour and informal sector jobs, particularly among ethnic minorities. </w:t>
      </w:r>
    </w:p>
    <w:p w:rsidRPr="001F165D" w:rsidR="00C11E25" w:rsidP="00C11E25" w:rsidRDefault="00C11E25" w14:paraId="73C833F4" w14:textId="77777777">
      <w:pPr>
        <w:pStyle w:val="Heading2"/>
        <w:numPr>
          <w:ilvl w:val="0"/>
          <w:numId w:val="0"/>
        </w:numPr>
        <w:rPr>
          <w:lang w:val="en-GB"/>
        </w:rPr>
      </w:pPr>
    </w:p>
    <w:p w:rsidRPr="001F165D" w:rsidR="00C11E25" w:rsidP="00C11E25" w:rsidRDefault="00C11E25" w14:paraId="627E04F6" w14:textId="77777777">
      <w:pPr>
        <w:pStyle w:val="Heading2"/>
        <w:rPr>
          <w:lang w:val="en-GB"/>
        </w:rPr>
      </w:pPr>
      <w:r w:rsidRPr="001F165D">
        <w:rPr>
          <w:lang w:val="en-GB"/>
        </w:rPr>
        <w:t>The ILO further states that trade unions and civil society face persistent obstacles, including</w:t>
      </w:r>
      <w:r w:rsidRPr="001F165D">
        <w:rPr>
          <w:vertAlign w:val="superscript"/>
          <w:lang w:val="en-GB"/>
        </w:rPr>
        <w:footnoteReference w:id="32"/>
      </w:r>
      <w:r w:rsidRPr="001F165D">
        <w:rPr>
          <w:lang w:val="en-GB"/>
        </w:rPr>
        <w:t>:</w:t>
      </w:r>
    </w:p>
    <w:p w:rsidRPr="001F165D" w:rsidR="00C11E25" w:rsidP="00C11E25" w:rsidRDefault="00C11E25" w14:paraId="17912BCF" w14:textId="77777777">
      <w:pPr>
        <w:pStyle w:val="Heading2"/>
        <w:numPr>
          <w:ilvl w:val="1"/>
          <w:numId w:val="4"/>
        </w:numPr>
        <w:ind w:left="851" w:hanging="284"/>
        <w:rPr>
          <w:lang w:val="en-GB"/>
        </w:rPr>
      </w:pPr>
      <w:r w:rsidRPr="001F165D">
        <w:rPr>
          <w:lang w:val="en-GB"/>
        </w:rPr>
        <w:t xml:space="preserve">restrictions on trade union formation and collective bargaining; </w:t>
      </w:r>
    </w:p>
    <w:p w:rsidRPr="001F165D" w:rsidR="00C11E25" w:rsidP="00C11E25" w:rsidRDefault="00C11E25" w14:paraId="374A60E4" w14:textId="77777777">
      <w:pPr>
        <w:pStyle w:val="Heading2"/>
        <w:numPr>
          <w:ilvl w:val="1"/>
          <w:numId w:val="4"/>
        </w:numPr>
        <w:ind w:left="851" w:hanging="284"/>
        <w:rPr>
          <w:lang w:val="en-GB"/>
        </w:rPr>
      </w:pPr>
      <w:r w:rsidRPr="001F165D">
        <w:rPr>
          <w:lang w:val="en-GB"/>
        </w:rPr>
        <w:t xml:space="preserve">limited access to human rights (freedom of association and freedom to organise) for certain worker groups, particularly those in the informal sector; </w:t>
      </w:r>
    </w:p>
    <w:p w:rsidRPr="001F165D" w:rsidR="00C11E25" w:rsidP="00C11E25" w:rsidRDefault="00C11E25" w14:paraId="3B73E99D" w14:textId="77777777">
      <w:pPr>
        <w:pStyle w:val="Heading2"/>
        <w:numPr>
          <w:ilvl w:val="1"/>
          <w:numId w:val="4"/>
        </w:numPr>
        <w:ind w:left="851" w:hanging="284"/>
        <w:rPr>
          <w:lang w:val="en-GB"/>
        </w:rPr>
      </w:pPr>
      <w:r w:rsidRPr="001F165D">
        <w:rPr>
          <w:lang w:val="en-GB"/>
        </w:rPr>
        <w:t>a general decrease in union membership and collective bargaining coverage, alongside a rise in new working arrangements;</w:t>
      </w:r>
    </w:p>
    <w:p w:rsidRPr="001F165D" w:rsidR="00C11E25" w:rsidP="00C11E25" w:rsidRDefault="00C11E25" w14:paraId="68D5FD41" w14:textId="77777777">
      <w:pPr>
        <w:pStyle w:val="Heading2"/>
        <w:numPr>
          <w:ilvl w:val="1"/>
          <w:numId w:val="4"/>
        </w:numPr>
        <w:ind w:left="851" w:hanging="284"/>
        <w:rPr>
          <w:lang w:val="en-GB"/>
        </w:rPr>
      </w:pPr>
      <w:r w:rsidRPr="001F165D">
        <w:rPr>
          <w:lang w:val="en-GB"/>
        </w:rPr>
        <w:t>national policies restricting the right of association;</w:t>
      </w:r>
    </w:p>
    <w:p w:rsidRPr="001F165D" w:rsidR="00C11E25" w:rsidP="00C11E25" w:rsidRDefault="00C11E25" w14:paraId="7461A2EB" w14:textId="77777777">
      <w:pPr>
        <w:pStyle w:val="Heading2"/>
        <w:numPr>
          <w:ilvl w:val="1"/>
          <w:numId w:val="4"/>
        </w:numPr>
        <w:ind w:left="851" w:hanging="284"/>
        <w:rPr>
          <w:lang w:val="en-GB"/>
        </w:rPr>
      </w:pPr>
      <w:r w:rsidRPr="001F165D">
        <w:rPr>
          <w:lang w:val="en-GB"/>
        </w:rPr>
        <w:t>a lack of sufficient representation channels for workers;</w:t>
      </w:r>
    </w:p>
    <w:p w:rsidRPr="001F165D" w:rsidR="00C11E25" w:rsidP="00C11E25" w:rsidRDefault="00C11E25" w14:paraId="60B3F852" w14:textId="77777777">
      <w:pPr>
        <w:pStyle w:val="Heading2"/>
        <w:numPr>
          <w:ilvl w:val="1"/>
          <w:numId w:val="4"/>
        </w:numPr>
        <w:ind w:left="851" w:hanging="284"/>
        <w:rPr>
          <w:lang w:val="en-GB"/>
        </w:rPr>
      </w:pPr>
      <w:r w:rsidRPr="001F165D">
        <w:rPr>
          <w:lang w:val="en-GB"/>
        </w:rPr>
        <w:t>ineffective and unreliable labour dispute resolution systems;</w:t>
      </w:r>
    </w:p>
    <w:p w:rsidRPr="001F165D" w:rsidR="00C11E25" w:rsidP="00C11E25" w:rsidRDefault="00C11E25" w14:paraId="734A51CE" w14:textId="77777777">
      <w:pPr>
        <w:pStyle w:val="Heading2"/>
        <w:numPr>
          <w:ilvl w:val="1"/>
          <w:numId w:val="4"/>
        </w:numPr>
        <w:ind w:left="851" w:hanging="284"/>
        <w:rPr>
          <w:lang w:val="en-GB"/>
        </w:rPr>
      </w:pPr>
      <w:r w:rsidRPr="001F165D">
        <w:rPr>
          <w:lang w:val="en-GB"/>
        </w:rPr>
        <w:t>general policy gaps that focus on the application of fundamental rights for formal employment, excluding the informal sector; and</w:t>
      </w:r>
    </w:p>
    <w:p w:rsidRPr="001F165D" w:rsidR="00C11E25" w:rsidP="00C11E25" w:rsidRDefault="00C11E25" w14:paraId="05313AE2" w14:textId="77777777">
      <w:pPr>
        <w:pStyle w:val="Heading2"/>
        <w:numPr>
          <w:ilvl w:val="1"/>
          <w:numId w:val="4"/>
        </w:numPr>
        <w:ind w:left="851" w:hanging="284"/>
        <w:rPr>
          <w:lang w:val="en-GB"/>
        </w:rPr>
      </w:pPr>
      <w:r w:rsidRPr="001F165D">
        <w:rPr>
          <w:lang w:val="en-GB"/>
        </w:rPr>
        <w:t xml:space="preserve">a lack of protection of migrant workers’ rights. </w:t>
      </w:r>
    </w:p>
    <w:p w:rsidRPr="001F165D" w:rsidR="00C11E25" w:rsidP="00C11E25" w:rsidRDefault="00C11E25" w14:paraId="4CACAB12" w14:textId="77777777">
      <w:pPr>
        <w:pStyle w:val="Heading2"/>
        <w:numPr>
          <w:ilvl w:val="0"/>
          <w:numId w:val="0"/>
        </w:numPr>
        <w:rPr>
          <w:lang w:val="en-GB"/>
        </w:rPr>
      </w:pPr>
    </w:p>
    <w:p w:rsidRPr="001F165D" w:rsidR="00C11E25" w:rsidP="00C11E25" w:rsidRDefault="00C11E25" w14:paraId="172BA982" w14:textId="77777777">
      <w:pPr>
        <w:pStyle w:val="Heading2"/>
        <w:rPr>
          <w:lang w:val="en-GB"/>
        </w:rPr>
      </w:pPr>
      <w:r w:rsidRPr="001F165D">
        <w:rPr>
          <w:lang w:val="en-GB"/>
        </w:rPr>
        <w:t>Other issues include limited social security coverage, low wages and a large number of workers working overtime</w:t>
      </w:r>
      <w:r w:rsidRPr="001F165D">
        <w:rPr>
          <w:vertAlign w:val="superscript"/>
          <w:lang w:val="en-GB"/>
        </w:rPr>
        <w:footnoteReference w:id="33"/>
      </w:r>
      <w:r w:rsidRPr="001F165D">
        <w:rPr>
          <w:lang w:val="en-GB"/>
        </w:rPr>
        <w:t xml:space="preserve">. While Indonesia has established regional minimum wage standards, challenges persist in ensuring equitable compensation for lower-skilled workers. This reflects gaps in implementation capacity and collective bargaining mechanisms, particularly in factories where labour unions are absent. Indonesia recently withdrew from the ILO’s Underground Work (Women) Convention (No. 45, 1935) and is yet to ratify the Occupational Safety and Health Convention (No. 155, 1981) or adhere to the ILO Decent Work Agenda. </w:t>
      </w:r>
    </w:p>
    <w:p w:rsidRPr="001F165D" w:rsidR="00C11E25" w:rsidP="00C11E25" w:rsidRDefault="00C11E25" w14:paraId="01129D26" w14:textId="77777777">
      <w:pPr>
        <w:pStyle w:val="Heading2"/>
        <w:numPr>
          <w:ilvl w:val="0"/>
          <w:numId w:val="0"/>
        </w:numPr>
        <w:rPr>
          <w:lang w:val="en-GB"/>
        </w:rPr>
      </w:pPr>
    </w:p>
    <w:p w:rsidRPr="001F165D" w:rsidR="00C11E25" w:rsidP="00C11E25" w:rsidRDefault="00C11E25" w14:paraId="422361C5" w14:textId="77777777">
      <w:pPr>
        <w:pStyle w:val="Heading2"/>
        <w:rPr>
          <w:lang w:val="en-GB"/>
        </w:rPr>
      </w:pPr>
      <w:r w:rsidRPr="001F165D">
        <w:rPr>
          <w:lang w:val="en-GB"/>
        </w:rPr>
        <w:t>The Philippines has the most comprehensive legal framework for labour standards in any ASEAN country</w:t>
      </w:r>
      <w:r w:rsidRPr="001F165D">
        <w:rPr>
          <w:sz w:val="24"/>
          <w:vertAlign w:val="superscript"/>
          <w:lang w:val="en-GB"/>
        </w:rPr>
        <w:footnoteReference w:id="34"/>
      </w:r>
      <w:r w:rsidRPr="001F165D">
        <w:rPr>
          <w:lang w:val="en-GB"/>
        </w:rPr>
        <w:t xml:space="preserve">. However, formally employed workers remain a minority of the workforce. In addition, the Philippines' minimum wage workers enjoy higher wages than those in neighbouring countries, including Thailand, Viet Nam and Indonesia. </w:t>
      </w:r>
    </w:p>
    <w:p w:rsidRPr="001F165D" w:rsidR="00C11E25" w:rsidP="00C11E25" w:rsidRDefault="00C11E25" w14:paraId="626A876D" w14:textId="77777777">
      <w:pPr>
        <w:pStyle w:val="Heading2"/>
        <w:numPr>
          <w:ilvl w:val="0"/>
          <w:numId w:val="0"/>
        </w:numPr>
        <w:rPr>
          <w:lang w:val="en-GB"/>
        </w:rPr>
      </w:pPr>
    </w:p>
    <w:p w:rsidRPr="001F165D" w:rsidR="00C11E25" w:rsidP="00C11E25" w:rsidRDefault="00C11E25" w14:paraId="2BDA4321" w14:textId="77777777">
      <w:pPr>
        <w:pStyle w:val="Heading2"/>
        <w:rPr>
          <w:lang w:val="en-GB"/>
        </w:rPr>
      </w:pPr>
      <w:r w:rsidRPr="001F165D">
        <w:rPr>
          <w:lang w:val="en-GB"/>
        </w:rPr>
        <w:t>According to the United Nations Network on Migration, migrant workers in Thailand (from Myanmar and Cambodia) continue to encounter challenges relating to labour standards and conditions</w:t>
      </w:r>
      <w:r w:rsidRPr="001F165D">
        <w:rPr>
          <w:sz w:val="24"/>
          <w:vertAlign w:val="superscript"/>
          <w:lang w:val="en-GB"/>
        </w:rPr>
        <w:footnoteReference w:id="35"/>
      </w:r>
      <w:r w:rsidRPr="001F165D">
        <w:rPr>
          <w:lang w:val="en-GB"/>
        </w:rPr>
        <w:t xml:space="preserve">. Thailand is not a party to the 1951 Refugee Convention and has no effective national mechanisms to assess asylum claims. </w:t>
      </w:r>
    </w:p>
    <w:p w:rsidRPr="001F165D" w:rsidR="00C11E25" w:rsidP="00C11E25" w:rsidRDefault="00C11E25" w14:paraId="6F4E1D5B" w14:textId="77777777">
      <w:pPr>
        <w:pStyle w:val="Heading2"/>
        <w:numPr>
          <w:ilvl w:val="0"/>
          <w:numId w:val="0"/>
        </w:numPr>
        <w:rPr>
          <w:lang w:val="en-GB"/>
        </w:rPr>
      </w:pPr>
    </w:p>
    <w:p w:rsidRPr="001F165D" w:rsidR="00C11E25" w:rsidP="00C11E25" w:rsidRDefault="00C11E25" w14:paraId="22C91A21" w14:textId="77777777">
      <w:pPr>
        <w:pStyle w:val="Heading2"/>
        <w:keepNext/>
        <w:keepLines/>
        <w:numPr>
          <w:ilvl w:val="0"/>
          <w:numId w:val="0"/>
        </w:numPr>
        <w:rPr>
          <w:lang w:val="en-GB"/>
        </w:rPr>
      </w:pPr>
      <w:r w:rsidRPr="001F165D">
        <w:rPr>
          <w:b/>
          <w:lang w:val="en-GB"/>
        </w:rPr>
        <w:t>Environmental issues</w:t>
      </w:r>
    </w:p>
    <w:p w:rsidRPr="001F165D" w:rsidR="00C11E25" w:rsidP="00C11E25" w:rsidRDefault="00C11E25" w14:paraId="17FC3763" w14:textId="77777777">
      <w:pPr>
        <w:pStyle w:val="Heading2"/>
        <w:keepNext/>
        <w:keepLines/>
        <w:numPr>
          <w:ilvl w:val="0"/>
          <w:numId w:val="0"/>
        </w:numPr>
        <w:rPr>
          <w:sz w:val="16"/>
          <w:szCs w:val="16"/>
          <w:lang w:val="en-GB"/>
        </w:rPr>
      </w:pPr>
    </w:p>
    <w:p w:rsidRPr="001F165D" w:rsidR="00C11E25" w:rsidP="00C11E25" w:rsidRDefault="00C11E25" w14:paraId="41E58ACF" w14:textId="77777777">
      <w:pPr>
        <w:pStyle w:val="Heading2"/>
        <w:rPr>
          <w:lang w:val="en-GB"/>
        </w:rPr>
      </w:pPr>
      <w:r w:rsidRPr="001F165D">
        <w:rPr>
          <w:lang w:val="en-GB"/>
        </w:rPr>
        <w:t>The EU and ASEAN face recurring tensions stemming from divergent approaches to environmental governance. Several EU regulatory initiatives, including the Renewable Energy Directive (RED II), the Carbon Border Adjustment Mechanism (CBAM) and the Deforestation Regulation (EUDR), have raised concerns among ASEAN members.</w:t>
      </w:r>
    </w:p>
    <w:p w:rsidRPr="001F165D" w:rsidR="00C11E25" w:rsidP="00C11E25" w:rsidRDefault="00C11E25" w14:paraId="1E0B09BB" w14:textId="77777777">
      <w:pPr>
        <w:pStyle w:val="Heading2"/>
        <w:numPr>
          <w:ilvl w:val="0"/>
          <w:numId w:val="0"/>
        </w:numPr>
        <w:rPr>
          <w:lang w:val="en-GB"/>
        </w:rPr>
      </w:pPr>
    </w:p>
    <w:p w:rsidRPr="001F165D" w:rsidR="00C11E25" w:rsidP="00C11E25" w:rsidRDefault="00C11E25" w14:paraId="28811F4E" w14:textId="77777777">
      <w:pPr>
        <w:pStyle w:val="Heading2"/>
        <w:rPr>
          <w:lang w:val="en-GB"/>
        </w:rPr>
      </w:pPr>
      <w:r w:rsidRPr="001F165D">
        <w:rPr>
          <w:lang w:val="en-GB"/>
        </w:rPr>
        <w:t>These tensions are especially evident in the palm oil sector. Indonesia and Malaysia, which are major global palm oil exporters, account for 90% of worldwide production and support more than 4.5 million jobs in the sector. Since 2023, Indonesia and Malaysia have been part of the Joint Task Force with the European Commission set up to share views and proposals on palm oil. For several years, palm oil exporters to the European biodiesel market had to be certified to comply with strict environmental standards. In 2022, the RED II Directive forced palm oil to be removed from the EU’s market. In 2024, the World Trade Organization (WTO) upheld the EU’s ability to take this action, ruling that the EU did not need to withdraw its measure, but merely to adjust its laws to ensure compliance with WTO rules.</w:t>
      </w:r>
    </w:p>
    <w:p w:rsidRPr="001F165D" w:rsidR="00C11E25" w:rsidP="00C11E25" w:rsidRDefault="00C11E25" w14:paraId="7C9ABB0A" w14:textId="77777777">
      <w:pPr>
        <w:pStyle w:val="Heading2"/>
        <w:numPr>
          <w:ilvl w:val="0"/>
          <w:numId w:val="0"/>
        </w:numPr>
        <w:rPr>
          <w:lang w:val="en-GB"/>
        </w:rPr>
      </w:pPr>
    </w:p>
    <w:p w:rsidRPr="001F165D" w:rsidR="00C11E25" w:rsidP="00C11E25" w:rsidRDefault="00C11E25" w14:paraId="57066851" w14:textId="77777777">
      <w:pPr>
        <w:pStyle w:val="Heading2"/>
        <w:rPr>
          <w:lang w:val="en-GB"/>
        </w:rPr>
      </w:pPr>
      <w:r w:rsidRPr="001F165D">
        <w:rPr>
          <w:lang w:val="en-GB"/>
        </w:rPr>
        <w:t>The Deforestation Regulation (EUDR) has since been postponed to 2026 by EU agriculture ministers. Indonesia, which strongly opposes the EUDR, is leading regional efforts to forge a joint ASEAN-wide response based on the potential economic impact of such regulations on its key export commodities. Malaysia and Thailand also echo this position. In 2024, Singapore urged the EU to consider adopting a less onerous approach to reduce the industry’s compliance costs and ensure that the measures imposed did not restrict trade more than necessary. Indonesia’s constitutional recognition of indigenous rights has yet to be uniformly implemented, particularly in resource-rich areas where land disputes persist. The increasing demand for forestry and wood products could run the risk of increasing human rights violations.</w:t>
      </w:r>
    </w:p>
    <w:p w:rsidRPr="001F165D" w:rsidR="00C11E25" w:rsidP="00C11E25" w:rsidRDefault="00C11E25" w14:paraId="2BDCC4AB" w14:textId="77777777">
      <w:pPr>
        <w:pStyle w:val="Heading2"/>
        <w:numPr>
          <w:ilvl w:val="0"/>
          <w:numId w:val="0"/>
        </w:numPr>
        <w:rPr>
          <w:lang w:val="en-GB"/>
        </w:rPr>
      </w:pPr>
    </w:p>
    <w:p w:rsidRPr="001F165D" w:rsidR="00C11E25" w:rsidP="00C11E25" w:rsidRDefault="00C11E25" w14:paraId="4F719469" w14:textId="77777777">
      <w:pPr>
        <w:pStyle w:val="Heading2"/>
        <w:rPr>
          <w:lang w:val="en-GB"/>
        </w:rPr>
      </w:pPr>
      <w:r w:rsidRPr="001F165D">
        <w:rPr>
          <w:lang w:val="en-GB"/>
        </w:rPr>
        <w:t>Significant progress has been achieved under the Indian Ocean Tuna Commission (IOTC) with the adoption of eleven new conservation and management measures to enhance fisheries sustainability in the Indian Ocean</w:t>
      </w:r>
      <w:r w:rsidRPr="001F165D">
        <w:rPr>
          <w:vertAlign w:val="superscript"/>
          <w:lang w:val="en-GB"/>
        </w:rPr>
        <w:footnoteReference w:id="36"/>
      </w:r>
      <w:r w:rsidRPr="001F165D">
        <w:rPr>
          <w:lang w:val="en-GB"/>
        </w:rPr>
        <w:t>. Among the landmark decisions is a comprehensive framework for drifting Fish Aggregating Devices (FADs), including the immediate prohibition of fully non-biodegradable drifting FADs and the gradual phase-out of all non-biodegradable components, requiring a full transition to biodegradable FADs by 2030</w:t>
      </w:r>
      <w:r w:rsidRPr="001F165D">
        <w:rPr>
          <w:vertAlign w:val="superscript"/>
          <w:lang w:val="en-GB"/>
        </w:rPr>
        <w:footnoteReference w:id="37"/>
      </w:r>
      <w:r w:rsidRPr="001F165D">
        <w:rPr>
          <w:lang w:val="en-GB"/>
        </w:rPr>
        <w:t>.</w:t>
      </w:r>
    </w:p>
    <w:p w:rsidRPr="001F165D" w:rsidR="00C11E25" w:rsidP="00C11E25" w:rsidRDefault="00C11E25" w14:paraId="53575423" w14:textId="77777777">
      <w:pPr>
        <w:pStyle w:val="Heading2"/>
        <w:numPr>
          <w:ilvl w:val="0"/>
          <w:numId w:val="0"/>
        </w:numPr>
        <w:rPr>
          <w:lang w:val="en-GB"/>
        </w:rPr>
      </w:pPr>
    </w:p>
    <w:p w:rsidRPr="001F165D" w:rsidR="00C11E25" w:rsidP="00C11E25" w:rsidRDefault="00C11E25" w14:paraId="5843B44E" w14:textId="77777777">
      <w:pPr>
        <w:pStyle w:val="Heading2"/>
        <w:keepNext/>
        <w:keepLines/>
        <w:numPr>
          <w:ilvl w:val="0"/>
          <w:numId w:val="0"/>
        </w:numPr>
        <w:rPr>
          <w:b/>
          <w:lang w:val="en-GB"/>
        </w:rPr>
      </w:pPr>
      <w:r w:rsidRPr="001F165D">
        <w:rPr>
          <w:b/>
          <w:lang w:val="en-GB"/>
        </w:rPr>
        <w:t>Human rights</w:t>
      </w:r>
    </w:p>
    <w:p w:rsidRPr="001F165D" w:rsidR="00C11E25" w:rsidP="00C11E25" w:rsidRDefault="00C11E25" w14:paraId="3868FC43" w14:textId="77777777">
      <w:pPr>
        <w:pStyle w:val="Heading2"/>
        <w:keepNext/>
        <w:keepLines/>
        <w:numPr>
          <w:ilvl w:val="0"/>
          <w:numId w:val="0"/>
        </w:numPr>
        <w:rPr>
          <w:sz w:val="16"/>
          <w:szCs w:val="16"/>
          <w:lang w:val="en-GB"/>
        </w:rPr>
      </w:pPr>
    </w:p>
    <w:p w:rsidRPr="001F165D" w:rsidR="00C11E25" w:rsidP="00C11E25" w:rsidRDefault="00C11E25" w14:paraId="2EA26DB5" w14:textId="77777777">
      <w:pPr>
        <w:pStyle w:val="Heading2"/>
        <w:rPr>
          <w:lang w:val="en-GB"/>
        </w:rPr>
      </w:pPr>
      <w:r w:rsidRPr="001F165D">
        <w:rPr>
          <w:lang w:val="en-GB"/>
        </w:rPr>
        <w:t>Lastly, the trajectory of human rights development diverges considerably among ASEAN countries. The region is facing ongoing challenges with a rising number of refugees, human trafficking and drug-related issues. Here, developments in the Philippines warrant a special mention. After the 2022 election, President Ferdinand Marcos Jr pledged to improve human rights conditions following his predecessor Rodrigo Duterte’s ‘war on drugs’ and other controversial policies. Despite commitments that have been made, threats against CSOs, activists and indigenous groups – including ‘red-tagging’ and false charges – remain prevalent. Duterte is currently under investigation by the International Criminal Court (ICC). CSOs, political activists, environmentalists, indigenous people and trade unionists remain under threat, particularly from ‘red-tagging’ and the filing of false charges. In addition, the conflict between the government and the communist New People’s Army continues.</w:t>
      </w:r>
    </w:p>
    <w:p w:rsidRPr="001F165D" w:rsidR="00C11E25" w:rsidP="00C11E25" w:rsidRDefault="00C11E25" w14:paraId="28578AA7" w14:textId="77777777">
      <w:pPr>
        <w:pStyle w:val="Heading2"/>
        <w:numPr>
          <w:ilvl w:val="0"/>
          <w:numId w:val="0"/>
        </w:numPr>
        <w:rPr>
          <w:lang w:val="en-GB"/>
        </w:rPr>
      </w:pPr>
    </w:p>
    <w:p w:rsidRPr="001F165D" w:rsidR="00C11E25" w:rsidP="00C11E25" w:rsidRDefault="00C11E25" w14:paraId="416EF099" w14:textId="77777777">
      <w:pPr>
        <w:pStyle w:val="Heading2"/>
        <w:rPr>
          <w:lang w:val="en-GB"/>
        </w:rPr>
      </w:pPr>
      <w:r w:rsidRPr="001F165D">
        <w:rPr>
          <w:lang w:val="en-GB"/>
        </w:rPr>
        <w:t>Meanwhile, Malaysia has taken progressive steps, such as the abolition of the mandatory death penalty in 2023, other than for drug-trafficking offences.</w:t>
      </w:r>
    </w:p>
    <w:p w:rsidRPr="001F165D" w:rsidR="00C11E25" w:rsidP="00C11E25" w:rsidRDefault="00C11E25" w14:paraId="581105CE" w14:textId="77777777">
      <w:pPr>
        <w:rPr>
          <w:color w:val="000000" w:themeColor="text1"/>
          <w:lang w:val="en-GB"/>
        </w:rPr>
      </w:pPr>
    </w:p>
    <w:p w:rsidRPr="001F165D" w:rsidR="00C11E25" w:rsidP="00C11E25" w:rsidRDefault="00C11E25" w14:paraId="2018A314" w14:textId="77777777">
      <w:pPr>
        <w:keepNext/>
        <w:keepLines/>
        <w:rPr>
          <w:b/>
          <w:color w:val="000000" w:themeColor="text1"/>
          <w:lang w:val="en-GB"/>
        </w:rPr>
      </w:pPr>
      <w:r w:rsidRPr="001F165D">
        <w:rPr>
          <w:b/>
          <w:color w:val="000000" w:themeColor="text1"/>
          <w:lang w:val="en-GB"/>
        </w:rPr>
        <w:t>Conclusion</w:t>
      </w:r>
    </w:p>
    <w:p w:rsidRPr="00F537C0" w:rsidR="00C11E25" w:rsidP="00C11E25" w:rsidRDefault="00C11E25" w14:paraId="6C34F7AD" w14:textId="77777777">
      <w:pPr>
        <w:keepNext/>
        <w:keepLines/>
        <w:outlineLvl w:val="1"/>
        <w:rPr>
          <w:color w:val="000000" w:themeColor="text1"/>
          <w:lang w:val="en-GB"/>
        </w:rPr>
      </w:pPr>
    </w:p>
    <w:p w:rsidRPr="001F165D" w:rsidR="00C11E25" w:rsidP="00C11E25" w:rsidRDefault="00C11E25" w14:paraId="470E97A4" w14:textId="77777777">
      <w:pPr>
        <w:rPr>
          <w:bCs/>
          <w:color w:val="000000" w:themeColor="text1"/>
          <w:lang w:val="en-GB"/>
        </w:rPr>
      </w:pPr>
      <w:r w:rsidRPr="001F165D">
        <w:rPr>
          <w:bCs/>
          <w:color w:val="000000" w:themeColor="text1"/>
          <w:lang w:val="en-GB"/>
        </w:rPr>
        <w:t xml:space="preserve">As strategic partners with common interests, the EU and ASEAN can work together to pursue mutual economic and investment opportunities directly linked to a better working environment for CSOs. </w:t>
      </w:r>
    </w:p>
    <w:p w:rsidRPr="001F165D" w:rsidR="00C11E25" w:rsidP="00C11E25" w:rsidRDefault="00C11E25" w14:paraId="15DC48B8" w14:textId="77777777">
      <w:pPr>
        <w:rPr>
          <w:bCs/>
          <w:color w:val="000000" w:themeColor="text1"/>
          <w:lang w:val="en-GB"/>
        </w:rPr>
      </w:pPr>
    </w:p>
    <w:p w:rsidRPr="001F165D" w:rsidR="00C11E25" w:rsidP="00C11E25" w:rsidRDefault="00C11E25" w14:paraId="3EDE8207" w14:textId="77777777">
      <w:pPr>
        <w:rPr>
          <w:bCs/>
          <w:color w:val="000000" w:themeColor="text1"/>
          <w:lang w:val="en-GB"/>
        </w:rPr>
      </w:pPr>
      <w:r w:rsidRPr="001F165D">
        <w:rPr>
          <w:bCs/>
          <w:color w:val="000000" w:themeColor="text1"/>
          <w:lang w:val="en-GB"/>
        </w:rPr>
        <w:t xml:space="preserve">Legal protections in TSD chapters play a pivotal role in developing economies. Deepening this partnership also reinforces global norms and shared values, particularly in areas such as labour standards, workplace safety and inclusive development. </w:t>
      </w:r>
    </w:p>
    <w:p w:rsidRPr="001F165D" w:rsidR="00360204" w:rsidP="00ED0759" w:rsidRDefault="00360204" w14:paraId="186458E1" w14:textId="77777777">
      <w:pPr>
        <w:rPr>
          <w:lang w:val="en-GB"/>
        </w:rPr>
      </w:pPr>
    </w:p>
    <w:p w:rsidRPr="001F165D" w:rsidR="00360204" w:rsidP="00ED0759" w:rsidRDefault="00360204" w14:paraId="66784737" w14:textId="5EFE944B">
      <w:pPr>
        <w:rPr>
          <w:lang w:val="en-GB"/>
        </w:rPr>
      </w:pPr>
      <w:r w:rsidRPr="001F165D">
        <w:rPr>
          <w:lang w:val="en-GB"/>
        </w:rPr>
        <w:t>Brussels,</w:t>
      </w:r>
      <w:r w:rsidRPr="001F165D" w:rsidR="00876AF1">
        <w:rPr>
          <w:lang w:val="en-GB"/>
        </w:rPr>
        <w:t xml:space="preserve"> 19 June 2025</w:t>
      </w:r>
      <w:r w:rsidRPr="001F165D" w:rsidR="00DE06D7">
        <w:rPr>
          <w:lang w:val="en-GB"/>
        </w:rPr>
        <w:t>.</w:t>
      </w:r>
    </w:p>
    <w:p w:rsidRPr="001F165D" w:rsidR="005956FC" w:rsidP="00ED0759" w:rsidRDefault="005956FC" w14:paraId="4B414BE3" w14:textId="77777777">
      <w:pPr>
        <w:rPr>
          <w:lang w:val="en-GB"/>
        </w:rPr>
      </w:pPr>
    </w:p>
    <w:p w:rsidRPr="001F165D" w:rsidR="005956FC" w:rsidP="005956FC" w:rsidRDefault="005956FC" w14:paraId="74E5AAB7" w14:textId="13A72392">
      <w:pPr>
        <w:jc w:val="left"/>
        <w:rPr>
          <w:lang w:val="en-GB"/>
        </w:rPr>
      </w:pPr>
    </w:p>
    <w:p w:rsidRPr="001F165D" w:rsidR="00360204" w:rsidP="00360204" w:rsidRDefault="00360204" w14:paraId="7C4A0512" w14:textId="6009B4B6">
      <w:pPr>
        <w:rPr>
          <w:i/>
          <w:iCs/>
          <w:color w:val="000000" w:themeColor="text1"/>
          <w:lang w:val="en-GB"/>
        </w:rPr>
      </w:pPr>
      <w:r w:rsidRPr="001F165D">
        <w:rPr>
          <w:i/>
          <w:iCs/>
          <w:color w:val="000000" w:themeColor="text1"/>
          <w:lang w:val="en-GB"/>
        </w:rPr>
        <w:t xml:space="preserve">The </w:t>
      </w:r>
      <w:r w:rsidRPr="001F165D" w:rsidR="00C5137B">
        <w:rPr>
          <w:i/>
          <w:iCs/>
          <w:color w:val="000000" w:themeColor="text1"/>
          <w:lang w:val="en-GB"/>
        </w:rPr>
        <w:t>P</w:t>
      </w:r>
      <w:r w:rsidRPr="001F165D">
        <w:rPr>
          <w:i/>
          <w:iCs/>
          <w:color w:val="000000" w:themeColor="text1"/>
          <w:lang w:val="en-GB"/>
        </w:rPr>
        <w:t>resident of the European Economic and Social Committee</w:t>
      </w:r>
    </w:p>
    <w:p w:rsidRPr="001F165D" w:rsidR="00E2376B" w:rsidP="00E2376B" w:rsidRDefault="00964BF1" w14:paraId="3914066A" w14:textId="4D74C31B">
      <w:pPr>
        <w:rPr>
          <w:lang w:val="en-GB"/>
        </w:rPr>
      </w:pPr>
      <w:r w:rsidRPr="001F165D">
        <w:rPr>
          <w:lang w:val="en-GB"/>
        </w:rPr>
        <w:t>Oliver Röpke</w:t>
      </w:r>
    </w:p>
    <w:p w:rsidRPr="001F165D" w:rsidR="00ED0759" w:rsidP="00DB7F50" w:rsidRDefault="00E2376B" w14:paraId="46FCDD49" w14:textId="561D4155">
      <w:pPr>
        <w:jc w:val="center"/>
        <w:rPr>
          <w:lang w:val="en-GB"/>
        </w:rPr>
      </w:pPr>
      <w:r w:rsidRPr="001F165D">
        <w:rPr>
          <w:lang w:val="en-GB"/>
        </w:rPr>
        <w:t>_____________</w:t>
      </w:r>
    </w:p>
    <w:sectPr w:rsidRPr="001F165D" w:rsidR="00ED0759" w:rsidSect="001E74A1">
      <w:headerReference w:type="even" r:id="rId21"/>
      <w:headerReference w:type="default" r:id="rId22"/>
      <w:footerReference w:type="default" r:id="rId23"/>
      <w:headerReference w:type="first" r:id="rId24"/>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C28" w:rsidP="00F53370" w:rsidRDefault="001E3C28" w14:paraId="3289E2EF" w14:textId="77777777">
      <w:pPr>
        <w:spacing w:line="240" w:lineRule="auto"/>
      </w:pPr>
      <w:r>
        <w:separator/>
      </w:r>
    </w:p>
  </w:endnote>
  <w:endnote w:type="continuationSeparator" w:id="0">
    <w:p w:rsidR="001E3C28" w:rsidP="00F53370" w:rsidRDefault="001E3C28" w14:paraId="4BF32D8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D" w:rsidRDefault="00037DAD" w14:paraId="3AB4C1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D" w:rsidRDefault="00037DAD" w14:paraId="1687191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D" w:rsidRDefault="00037DAD" w14:paraId="5763861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574C9B" w14:paraId="3C2FD4B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065C9" w:rsidR="000A30FF" w:rsidP="00296BCE" w:rsidRDefault="00296BCE" w14:paraId="4583217E" w14:textId="4D53E566">
    <w:pPr>
      <w:pStyle w:val="Footer"/>
      <w:jc w:val="left"/>
    </w:pPr>
    <w:r>
      <w:t xml:space="preserve">REX/589 – EESC-2025-00840-00-02-RI-TRA (EN) </w:t>
    </w:r>
    <w:r>
      <w:fldChar w:fldCharType="begin"/>
    </w:r>
    <w:r>
      <w:instrText xml:space="preserve"> PAGE  \* Arabic  \* MERGEFORMAT </w:instrText>
    </w:r>
    <w:r>
      <w:fldChar w:fldCharType="separate"/>
    </w:r>
    <w:r>
      <w:rPr>
        <w:noProof/>
      </w:rPr>
      <w:t>9</w:t>
    </w:r>
    <w:r>
      <w:fldChar w:fldCharType="end"/>
    </w:r>
    <w:r>
      <w:t>/</w:t>
    </w:r>
    <w:r>
      <w:fldChar w:fldCharType="begin"/>
    </w:r>
    <w:r>
      <w:instrText xml:space="preserve"> = </w:instrText>
    </w:r>
    <w:r w:rsidR="002548EF">
      <w:fldChar w:fldCharType="begin"/>
    </w:r>
    <w:r w:rsidR="002548EF">
      <w:instrText xml:space="preserve"> NUMPAGES </w:instrText>
    </w:r>
    <w:r w:rsidR="002548EF">
      <w:fldChar w:fldCharType="separate"/>
    </w:r>
    <w:r w:rsidR="002548EF">
      <w:rPr>
        <w:noProof/>
      </w:rPr>
      <w:instrText>11</w:instrText>
    </w:r>
    <w:r w:rsidR="002548EF">
      <w:rPr>
        <w:noProof/>
      </w:rPr>
      <w:fldChar w:fldCharType="end"/>
    </w:r>
    <w:r>
      <w:instrText xml:space="preserve"> - 2 </w:instrText>
    </w:r>
    <w:r>
      <w:fldChar w:fldCharType="separate"/>
    </w:r>
    <w:r w:rsidR="002548EF">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C28" w:rsidP="00F53370" w:rsidRDefault="001E3C28" w14:paraId="7BD8E899" w14:textId="77777777">
      <w:pPr>
        <w:spacing w:line="240" w:lineRule="auto"/>
      </w:pPr>
      <w:r>
        <w:separator/>
      </w:r>
    </w:p>
  </w:footnote>
  <w:footnote w:type="continuationSeparator" w:id="0">
    <w:p w:rsidR="001E3C28" w:rsidP="00F53370" w:rsidRDefault="001E3C28" w14:paraId="4574EC56" w14:textId="77777777">
      <w:pPr>
        <w:spacing w:line="240" w:lineRule="auto"/>
      </w:pPr>
      <w:r>
        <w:continuationSeparator/>
      </w:r>
    </w:p>
  </w:footnote>
  <w:footnote w:id="1">
    <w:p w:rsidRPr="00895F23" w:rsidR="00C11E25" w:rsidP="00C11E25" w:rsidRDefault="00C11E25" w14:paraId="7B8E0B3A" w14:textId="73651BF0">
      <w:pPr>
        <w:spacing w:line="240" w:lineRule="auto"/>
        <w:ind w:left="567" w:hanging="567"/>
        <w:rPr>
          <w:sz w:val="16"/>
        </w:rPr>
      </w:pPr>
      <w:r>
        <w:rPr>
          <w:rStyle w:val="FootnoteReference"/>
        </w:rPr>
        <w:footnoteRef/>
      </w:r>
      <w:r>
        <w:rPr>
          <w:sz w:val="16"/>
          <w:szCs w:val="16"/>
        </w:rPr>
        <w:tab/>
      </w:r>
      <w:r w:rsidRPr="0040720E">
        <w:rPr>
          <w:i/>
          <w:iCs/>
          <w:sz w:val="16"/>
          <w:szCs w:val="16"/>
        </w:rPr>
        <w:t>ASEAN-EU Partnership: The Untold Story</w:t>
      </w:r>
      <w:r>
        <w:rPr>
          <w:sz w:val="16"/>
          <w:szCs w:val="16"/>
        </w:rPr>
        <w:t>,</w:t>
      </w:r>
      <w:r w:rsidRPr="00B8132C">
        <w:rPr>
          <w:sz w:val="16"/>
          <w:szCs w:val="16"/>
        </w:rPr>
        <w:t xml:space="preserve"> </w:t>
      </w:r>
      <w:r>
        <w:rPr>
          <w:sz w:val="16"/>
          <w:szCs w:val="16"/>
        </w:rPr>
        <w:t xml:space="preserve">Tommy </w:t>
      </w:r>
      <w:r w:rsidRPr="006173AD">
        <w:rPr>
          <w:sz w:val="16"/>
        </w:rPr>
        <w:t>Koh and Yeo Lay Hwee (2020).</w:t>
      </w:r>
    </w:p>
  </w:footnote>
  <w:footnote w:id="2">
    <w:p w:rsidRPr="001E242D" w:rsidR="00C11E25" w:rsidP="00C11E25" w:rsidRDefault="00C11E25" w14:paraId="1351A27D" w14:textId="77777777">
      <w:pPr>
        <w:pStyle w:val="FootnoteText"/>
      </w:pPr>
      <w:r>
        <w:rPr>
          <w:rStyle w:val="FootnoteReference"/>
        </w:rPr>
        <w:footnoteRef/>
      </w:r>
      <w:r>
        <w:tab/>
        <w:t xml:space="preserve">ASEAN ‘Centrality’: </w:t>
      </w:r>
      <w:r w:rsidRPr="001E242D">
        <w:t>a key element in regional security and Asia's multilateral cooperation</w:t>
      </w:r>
      <w:r>
        <w:t>.</w:t>
      </w:r>
    </w:p>
  </w:footnote>
  <w:footnote w:id="3">
    <w:p w:rsidR="00C11E25" w:rsidP="00DD73CC" w:rsidRDefault="00C11E25" w14:paraId="3DD356F9" w14:textId="77777777">
      <w:pPr>
        <w:keepLines/>
        <w:ind w:left="567" w:hanging="567"/>
        <w:rPr>
          <w:sz w:val="16"/>
          <w:szCs w:val="16"/>
        </w:rPr>
      </w:pPr>
      <w:r>
        <w:rPr>
          <w:rStyle w:val="FootnoteReference"/>
        </w:rPr>
        <w:footnoteRef/>
      </w:r>
      <w:r>
        <w:rPr>
          <w:sz w:val="16"/>
          <w:szCs w:val="16"/>
        </w:rPr>
        <w:tab/>
      </w:r>
      <w:hyperlink r:id="rId1">
        <w:r>
          <w:rPr>
            <w:color w:val="0000FF"/>
            <w:sz w:val="16"/>
            <w:szCs w:val="16"/>
            <w:u w:val="single"/>
          </w:rPr>
          <w:t>https://www.ilo.org/about-ilo/mission-and-impact-ilo/ilo-declaration-fundamental-principles-and-rights-work</w:t>
        </w:r>
      </w:hyperlink>
      <w:r w:rsidRPr="00895F23">
        <w:rPr>
          <w:sz w:val="16"/>
        </w:rPr>
        <w:t>.</w:t>
      </w:r>
    </w:p>
  </w:footnote>
  <w:footnote w:id="4">
    <w:p w:rsidRPr="00046D5C" w:rsidR="00C11E25" w:rsidP="00DD73CC" w:rsidRDefault="00C11E25" w14:paraId="6FBC65D2" w14:textId="77777777">
      <w:pPr>
        <w:pStyle w:val="FootnoteText"/>
        <w:spacing w:after="0" w:line="288" w:lineRule="auto"/>
      </w:pPr>
      <w:r>
        <w:rPr>
          <w:rStyle w:val="FootnoteReference"/>
        </w:rPr>
        <w:footnoteRef/>
      </w:r>
      <w:r>
        <w:tab/>
      </w:r>
      <w:hyperlink w:history="1" r:id="rId2">
        <w:r w:rsidRPr="00764288">
          <w:rPr>
            <w:rStyle w:val="Hyperlink"/>
          </w:rPr>
          <w:t>https://www.eu-asean.eu/</w:t>
        </w:r>
      </w:hyperlink>
      <w:r>
        <w:t>.</w:t>
      </w:r>
    </w:p>
  </w:footnote>
  <w:footnote w:id="5">
    <w:p w:rsidR="00C11E25" w:rsidP="00DD73CC" w:rsidRDefault="00C11E25" w14:paraId="299B218D" w14:textId="77777777">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szCs w:val="16"/>
        </w:rPr>
        <w:tab/>
      </w:r>
      <w:hyperlink w:anchor="page=96" r:id="rId3">
        <w:r>
          <w:rPr>
            <w:color w:val="0000FF"/>
            <w:sz w:val="16"/>
            <w:szCs w:val="16"/>
            <w:u w:val="single"/>
          </w:rPr>
          <w:t>https://eur-lex.europa.eu/legal-content/EN/TXT/PDF/?uri=CELEX:22019A1114(01)&amp;from=EN#page=96</w:t>
        </w:r>
      </w:hyperlink>
      <w:r w:rsidRPr="00895F23">
        <w:rPr>
          <w:sz w:val="16"/>
        </w:rPr>
        <w:t>.</w:t>
      </w:r>
    </w:p>
  </w:footnote>
  <w:footnote w:id="6">
    <w:p w:rsidR="00C11E25" w:rsidP="00DD73CC" w:rsidRDefault="00C11E25" w14:paraId="3F62E63B" w14:textId="77777777">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szCs w:val="16"/>
        </w:rPr>
        <w:tab/>
      </w:r>
      <w:hyperlink w:anchor="page=132" r:id="rId4">
        <w:r>
          <w:rPr>
            <w:color w:val="0000FF"/>
            <w:sz w:val="16"/>
            <w:szCs w:val="16"/>
            <w:u w:val="single"/>
          </w:rPr>
          <w:t>https://eur-lex.europa.eu/legal-content/EN/TXT/PDF/?uri=OJ:L:2020:186:FULL&amp;from=EN#page=132</w:t>
        </w:r>
      </w:hyperlink>
      <w:r w:rsidRPr="00895F23">
        <w:rPr>
          <w:sz w:val="16"/>
        </w:rPr>
        <w:t>.</w:t>
      </w:r>
    </w:p>
  </w:footnote>
  <w:footnote w:id="7">
    <w:p w:rsidR="00C11E25" w:rsidP="00C11E25" w:rsidRDefault="00C11E25" w14:paraId="50272E43" w14:textId="08EDCDF6">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w:history="1" r:id="rId5">
        <w:r w:rsidRPr="000705C1">
          <w:rPr>
            <w:rStyle w:val="Hyperlink"/>
            <w:sz w:val="16"/>
            <w:szCs w:val="16"/>
          </w:rPr>
          <w:t>https://www.worldeconomics.com/Regions/ASEAN/</w:t>
        </w:r>
      </w:hyperlink>
      <w:r w:rsidRPr="00895F23">
        <w:rPr>
          <w:sz w:val="16"/>
        </w:rPr>
        <w:t>.</w:t>
      </w:r>
    </w:p>
  </w:footnote>
  <w:footnote w:id="8">
    <w:p w:rsidRPr="00D2283E" w:rsidR="00C11E25" w:rsidP="00C11E25" w:rsidRDefault="00C11E25" w14:paraId="0A26AF76" w14:textId="26030EF1">
      <w:pPr>
        <w:pStyle w:val="FootnoteText"/>
        <w:jc w:val="left"/>
      </w:pPr>
      <w:r>
        <w:rPr>
          <w:rStyle w:val="FootnoteReference"/>
        </w:rPr>
        <w:footnoteRef/>
      </w:r>
      <w:r>
        <w:tab/>
      </w:r>
      <w:hyperlink w:history="1" w:anchor=":~:text=Bilateral%20trade%20in%20services%20amounted,accounted%20for%20%E2%82%AC400.1%20billion" r:id="rId6">
        <w:r w:rsidRPr="00D2283E">
          <w:rPr>
            <w:rStyle w:val="Hyperlink"/>
          </w:rPr>
          <w:t>https://policy.trade.ec.europa.eu/eu-trade-relationships-country-and-region/countries-and-regions/association-south-east-asian-nations-asean_en#:~:text=Bilateral%20trade%20in%20services%20amounted,accounted%20for%20%E2%82%AC400.1%20billion</w:t>
        </w:r>
      </w:hyperlink>
      <w:r w:rsidRPr="00D2283E">
        <w:t>.</w:t>
      </w:r>
    </w:p>
  </w:footnote>
  <w:footnote w:id="9">
    <w:p w:rsidRPr="00D2283E" w:rsidR="00C11E25" w:rsidP="00C11E25" w:rsidRDefault="00C11E25" w14:paraId="092603A8" w14:textId="5E60EC58">
      <w:pPr>
        <w:keepLines/>
        <w:pBdr>
          <w:top w:val="nil"/>
          <w:left w:val="nil"/>
          <w:bottom w:val="nil"/>
          <w:right w:val="nil"/>
          <w:between w:val="nil"/>
        </w:pBdr>
        <w:spacing w:after="60" w:line="240" w:lineRule="auto"/>
        <w:ind w:left="567" w:hanging="567"/>
      </w:pPr>
      <w:r w:rsidRPr="00D2283E">
        <w:rPr>
          <w:rStyle w:val="FootnoteReference"/>
        </w:rPr>
        <w:footnoteRef/>
      </w:r>
      <w:r w:rsidRPr="00D2283E">
        <w:rPr>
          <w:color w:val="000000"/>
          <w:sz w:val="16"/>
          <w:szCs w:val="16"/>
        </w:rPr>
        <w:tab/>
      </w:r>
      <w:hyperlink w:history="1" r:id="rId7">
        <w:r w:rsidRPr="00296BCE">
          <w:rPr>
            <w:rStyle w:val="Hyperlink"/>
            <w:sz w:val="16"/>
            <w:szCs w:val="16"/>
          </w:rPr>
          <w:t>https://asean.org/asean-leaders-review-and-decision-on-the-implementation-of-the-five-point-consensus-3/</w:t>
        </w:r>
      </w:hyperlink>
      <w:r w:rsidRPr="00D2283E">
        <w:rPr>
          <w:sz w:val="16"/>
        </w:rPr>
        <w:t>.</w:t>
      </w:r>
    </w:p>
  </w:footnote>
  <w:footnote w:id="10">
    <w:p w:rsidR="00C11E25" w:rsidP="00C11E25" w:rsidRDefault="00C11E25" w14:paraId="15F52816" w14:textId="4757E008">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w:history="1" r:id="rId8">
        <w:r w:rsidRPr="000705C1">
          <w:rPr>
            <w:rStyle w:val="Hyperlink"/>
            <w:sz w:val="16"/>
            <w:szCs w:val="16"/>
          </w:rPr>
          <w:t>https://aichr.org/</w:t>
        </w:r>
      </w:hyperlink>
      <w:r w:rsidRPr="00895F23">
        <w:rPr>
          <w:sz w:val="16"/>
        </w:rPr>
        <w:t>.</w:t>
      </w:r>
    </w:p>
  </w:footnote>
  <w:footnote w:id="11">
    <w:p w:rsidR="00C11E25" w:rsidP="00C11E25" w:rsidRDefault="00C11E25" w14:paraId="790F9D0B" w14:textId="77777777">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r:id="rId9">
        <w:r>
          <w:rPr>
            <w:color w:val="0000FF"/>
            <w:sz w:val="16"/>
            <w:szCs w:val="16"/>
            <w:u w:val="single"/>
          </w:rPr>
          <w:t>https://reliefweb.int/organization/forum-asia</w:t>
        </w:r>
      </w:hyperlink>
      <w:r w:rsidRPr="00895F23">
        <w:rPr>
          <w:color w:val="000000"/>
          <w:sz w:val="16"/>
          <w:szCs w:val="16"/>
        </w:rPr>
        <w:t>.</w:t>
      </w:r>
    </w:p>
  </w:footnote>
  <w:footnote w:id="12">
    <w:p w:rsidR="00C11E25" w:rsidP="00C11E25" w:rsidRDefault="00C11E25" w14:paraId="6708B305" w14:textId="113A7A9C">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w:history="1" r:id="rId10">
        <w:r w:rsidRPr="000705C1">
          <w:rPr>
            <w:rStyle w:val="Hyperlink"/>
            <w:sz w:val="16"/>
            <w:szCs w:val="16"/>
          </w:rPr>
          <w:t>https://safenet.or.id/</w:t>
        </w:r>
      </w:hyperlink>
      <w:r>
        <w:rPr>
          <w:color w:val="000000"/>
          <w:sz w:val="16"/>
          <w:szCs w:val="16"/>
        </w:rPr>
        <w:t>.</w:t>
      </w:r>
    </w:p>
  </w:footnote>
  <w:footnote w:id="13">
    <w:p w:rsidR="00C11E25" w:rsidP="00C11E25" w:rsidRDefault="00C11E25" w14:paraId="53C8A2C1" w14:textId="0B7E7523">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w:history="1" r:id="rId11">
        <w:r w:rsidRPr="00296BCE">
          <w:rPr>
            <w:rStyle w:val="Hyperlink"/>
            <w:sz w:val="16"/>
            <w:szCs w:val="16"/>
          </w:rPr>
          <w:t>https://arrow.org.my/</w:t>
        </w:r>
      </w:hyperlink>
      <w:r>
        <w:rPr>
          <w:color w:val="000000"/>
          <w:sz w:val="16"/>
          <w:szCs w:val="16"/>
        </w:rPr>
        <w:t>.</w:t>
      </w:r>
    </w:p>
  </w:footnote>
  <w:footnote w:id="14">
    <w:p w:rsidR="00C11E25" w:rsidP="00C11E25" w:rsidRDefault="00C11E25" w14:paraId="53189B15" w14:textId="0D60779D">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szCs w:val="16"/>
        </w:rPr>
        <w:tab/>
      </w:r>
      <w:hyperlink w:history="1" r:id="rId12">
        <w:r w:rsidRPr="000705C1">
          <w:rPr>
            <w:rStyle w:val="Hyperlink"/>
            <w:sz w:val="16"/>
            <w:szCs w:val="16"/>
          </w:rPr>
          <w:t>https://alternative-regionalisms.org/wp-content/uploads/2009/07/sapasubmissiononaseancharter-sociocultural.pdf</w:t>
        </w:r>
      </w:hyperlink>
      <w:r>
        <w:rPr>
          <w:color w:val="000000"/>
          <w:sz w:val="16"/>
          <w:szCs w:val="16"/>
        </w:rPr>
        <w:t>.</w:t>
      </w:r>
    </w:p>
  </w:footnote>
  <w:footnote w:id="15">
    <w:p w:rsidR="00C11E25" w:rsidP="00C11E25" w:rsidRDefault="00C11E25" w14:paraId="72024DB7" w14:textId="77777777">
      <w:pPr>
        <w:ind w:left="567" w:hanging="567"/>
        <w:jc w:val="left"/>
      </w:pPr>
      <w:r>
        <w:rPr>
          <w:rStyle w:val="FootnoteReference"/>
        </w:rPr>
        <w:footnoteRef/>
      </w:r>
      <w:r>
        <w:tab/>
      </w:r>
      <w:hyperlink w:history="1" r:id="rId13">
        <w:r w:rsidRPr="000705C1">
          <w:rPr>
            <w:rStyle w:val="Hyperlink"/>
            <w:sz w:val="16"/>
            <w:szCs w:val="16"/>
          </w:rPr>
          <w:t>https://www.ilo.org/publications/social-dialogue-public-services-selected-asean-countries</w:t>
        </w:r>
      </w:hyperlink>
      <w:r w:rsidRPr="00895F23">
        <w:rPr>
          <w:color w:val="000000"/>
          <w:sz w:val="16"/>
          <w:szCs w:val="16"/>
        </w:rPr>
        <w:t>.</w:t>
      </w:r>
    </w:p>
  </w:footnote>
  <w:footnote w:id="16">
    <w:p w:rsidRPr="00E92619" w:rsidR="00C11E25" w:rsidP="00C11E25" w:rsidRDefault="00C11E25" w14:paraId="5D6C648F" w14:textId="48D988D8">
      <w:pPr>
        <w:spacing w:line="240" w:lineRule="auto"/>
        <w:ind w:left="567" w:hanging="567"/>
      </w:pPr>
      <w:r>
        <w:rPr>
          <w:rStyle w:val="FootnoteReference"/>
        </w:rPr>
        <w:footnoteRef/>
      </w:r>
      <w:r>
        <w:rPr>
          <w:sz w:val="16"/>
          <w:szCs w:val="16"/>
        </w:rPr>
        <w:tab/>
      </w:r>
      <w:r w:rsidRPr="00E37A05">
        <w:rPr>
          <w:sz w:val="16"/>
          <w:szCs w:val="16"/>
        </w:rPr>
        <w:t>Indonesia, Malaysia, the Philippines, Singapore and Thailand</w:t>
      </w:r>
      <w:r>
        <w:rPr>
          <w:sz w:val="16"/>
          <w:szCs w:val="16"/>
        </w:rPr>
        <w:t>.</w:t>
      </w:r>
    </w:p>
  </w:footnote>
  <w:footnote w:id="17">
    <w:p w:rsidRPr="00E37A05" w:rsidR="00C11E25" w:rsidP="00C11E25" w:rsidRDefault="00C11E25" w14:paraId="225A9E30" w14:textId="77777777">
      <w:pPr>
        <w:spacing w:line="240" w:lineRule="auto"/>
        <w:ind w:left="567" w:hanging="567"/>
        <w:rPr>
          <w:sz w:val="20"/>
          <w:szCs w:val="20"/>
        </w:rPr>
      </w:pPr>
      <w:r>
        <w:rPr>
          <w:rStyle w:val="FootnoteReference"/>
        </w:rPr>
        <w:footnoteRef/>
      </w:r>
      <w:r w:rsidRPr="00E92619">
        <w:tab/>
      </w:r>
      <w:hyperlink w:history="1" r:id="rId14">
        <w:r w:rsidRPr="000705C1">
          <w:rPr>
            <w:rStyle w:val="Hyperlink"/>
            <w:sz w:val="16"/>
            <w:szCs w:val="16"/>
          </w:rPr>
          <w:t>https://www.europarl.europa.eu/doceo/document/TA-10-2024-0053_EN.html</w:t>
        </w:r>
      </w:hyperlink>
      <w:r w:rsidRPr="00895F23">
        <w:rPr>
          <w:color w:val="000000"/>
          <w:sz w:val="16"/>
          <w:szCs w:val="16"/>
        </w:rPr>
        <w:t>.</w:t>
      </w:r>
    </w:p>
  </w:footnote>
  <w:footnote w:id="18">
    <w:p w:rsidRPr="00A76BE7" w:rsidR="00C11E25" w:rsidP="00C11E25" w:rsidRDefault="00C11E25" w14:paraId="097361EB" w14:textId="77777777">
      <w:pPr>
        <w:pStyle w:val="FootnoteText"/>
      </w:pPr>
      <w:r>
        <w:rPr>
          <w:rStyle w:val="FootnoteReference"/>
        </w:rPr>
        <w:footnoteRef/>
      </w:r>
      <w:r>
        <w:tab/>
      </w:r>
      <w:hyperlink w:history="1" r:id="rId15">
        <w:r w:rsidRPr="00764288">
          <w:rPr>
            <w:rStyle w:val="Hyperlink"/>
          </w:rPr>
          <w:t>https://www.europarl.europa.eu/RegData/etudes/STUD/2021/653635/EXPO_STU(2021)653635_EN.pdf</w:t>
        </w:r>
      </w:hyperlink>
      <w:r>
        <w:t>.</w:t>
      </w:r>
    </w:p>
  </w:footnote>
  <w:footnote w:id="19">
    <w:p w:rsidRPr="00E92619" w:rsidR="00C11E25" w:rsidP="00C11E25" w:rsidRDefault="00C11E25" w14:paraId="2A803CFA" w14:textId="77777777">
      <w:pPr>
        <w:spacing w:line="240" w:lineRule="auto"/>
        <w:ind w:left="567" w:hanging="567"/>
      </w:pPr>
      <w:r>
        <w:rPr>
          <w:rStyle w:val="FootnoteReference"/>
        </w:rPr>
        <w:footnoteRef/>
      </w:r>
      <w:r w:rsidRPr="00E92619">
        <w:tab/>
      </w:r>
      <w:hyperlink w:history="1" r:id="rId16">
        <w:r w:rsidRPr="00E92619">
          <w:rPr>
            <w:rStyle w:val="Hyperlink"/>
            <w:sz w:val="16"/>
            <w:szCs w:val="16"/>
          </w:rPr>
          <w:t>EU annual report on human rights and democracy in the world</w:t>
        </w:r>
      </w:hyperlink>
      <w:r w:rsidRPr="00895F23">
        <w:rPr>
          <w:color w:val="000000"/>
          <w:sz w:val="16"/>
          <w:szCs w:val="16"/>
        </w:rPr>
        <w:t>.</w:t>
      </w:r>
    </w:p>
  </w:footnote>
  <w:footnote w:id="20">
    <w:p w:rsidRPr="00E92619" w:rsidR="00C11E25" w:rsidP="00C11E25" w:rsidRDefault="00C11E25" w14:paraId="14B01D09" w14:textId="136DB229">
      <w:pPr>
        <w:spacing w:line="240" w:lineRule="auto"/>
        <w:ind w:left="567" w:hanging="567"/>
        <w:rPr>
          <w:sz w:val="20"/>
          <w:szCs w:val="20"/>
        </w:rPr>
      </w:pPr>
      <w:r>
        <w:rPr>
          <w:rStyle w:val="FootnoteReference"/>
        </w:rPr>
        <w:footnoteRef/>
      </w:r>
      <w:r w:rsidRPr="00E92619">
        <w:rPr>
          <w:sz w:val="16"/>
          <w:szCs w:val="16"/>
        </w:rPr>
        <w:tab/>
      </w:r>
      <w:hyperlink w:history="1" r:id="rId17">
        <w:r w:rsidRPr="00E92619" w:rsidR="00AA334D">
          <w:rPr>
            <w:rStyle w:val="Hyperlink"/>
            <w:sz w:val="16"/>
            <w:szCs w:val="16"/>
          </w:rPr>
          <w:t>EU annual report on human rights and democracy in the world</w:t>
        </w:r>
      </w:hyperlink>
    </w:p>
  </w:footnote>
  <w:footnote w:id="21">
    <w:p w:rsidRPr="00895F23" w:rsidR="00C11E25" w:rsidP="00C11E25" w:rsidRDefault="00C11E25" w14:paraId="4356B06B" w14:textId="77777777">
      <w:pPr>
        <w:spacing w:line="240" w:lineRule="auto"/>
        <w:ind w:left="567" w:hanging="567"/>
        <w:rPr>
          <w:sz w:val="20"/>
          <w:szCs w:val="20"/>
        </w:rPr>
      </w:pPr>
      <w:r>
        <w:rPr>
          <w:rStyle w:val="FootnoteReference"/>
        </w:rPr>
        <w:footnoteRef/>
      </w:r>
      <w:r w:rsidRPr="00895F23">
        <w:tab/>
      </w:r>
      <w:hyperlink r:id="rId18">
        <w:r w:rsidRPr="00895F23">
          <w:rPr>
            <w:color w:val="0000FF"/>
            <w:sz w:val="16"/>
            <w:szCs w:val="16"/>
            <w:u w:val="single"/>
          </w:rPr>
          <w:t>https://www.ilo.org/publications/women-and-men-informal-economy-statistical-update</w:t>
        </w:r>
      </w:hyperlink>
      <w:r w:rsidRPr="00895F23">
        <w:rPr>
          <w:sz w:val="16"/>
          <w:szCs w:val="16"/>
        </w:rPr>
        <w:t>.</w:t>
      </w:r>
    </w:p>
  </w:footnote>
  <w:footnote w:id="22">
    <w:p w:rsidRPr="00895F23" w:rsidR="00C11E25" w:rsidP="00C11E25" w:rsidRDefault="00C11E25" w14:paraId="6FBAE404" w14:textId="5C6392E5">
      <w:pPr>
        <w:keepLines/>
        <w:spacing w:after="60" w:line="240" w:lineRule="auto"/>
        <w:ind w:left="567" w:hanging="567"/>
        <w:rPr>
          <w:sz w:val="16"/>
          <w:szCs w:val="16"/>
        </w:rPr>
      </w:pPr>
      <w:r>
        <w:rPr>
          <w:rStyle w:val="FootnoteReference"/>
        </w:rPr>
        <w:footnoteRef/>
      </w:r>
      <w:r w:rsidRPr="00895F23">
        <w:rPr>
          <w:sz w:val="16"/>
          <w:szCs w:val="16"/>
        </w:rPr>
        <w:tab/>
      </w:r>
      <w:hyperlink w:history="1" r:id="rId19">
        <w:r w:rsidRPr="00895F23">
          <w:rPr>
            <w:rStyle w:val="Hyperlink"/>
            <w:sz w:val="16"/>
            <w:szCs w:val="16"/>
          </w:rPr>
          <w:t>https://www.eesc.europa.eu/en/documents/statement-european-union-domestic-advisory-group-eu-viet-nam-free-trade-agreement-1</w:t>
        </w:r>
      </w:hyperlink>
      <w:r w:rsidRPr="00895F23">
        <w:rPr>
          <w:sz w:val="16"/>
          <w:szCs w:val="16"/>
        </w:rPr>
        <w:t>.</w:t>
      </w:r>
    </w:p>
  </w:footnote>
  <w:footnote w:id="23">
    <w:p w:rsidRPr="00895F23" w:rsidR="00C11E25" w:rsidP="00C11E25" w:rsidRDefault="00C11E25" w14:paraId="6FCA63EA" w14:textId="77777777">
      <w:pPr>
        <w:pStyle w:val="FootnoteText"/>
      </w:pPr>
      <w:r>
        <w:rPr>
          <w:rStyle w:val="FootnoteReference"/>
        </w:rPr>
        <w:footnoteRef/>
      </w:r>
      <w:r w:rsidRPr="00895F23">
        <w:tab/>
      </w:r>
      <w:hyperlink w:history="1" r:id="rId20">
        <w:r w:rsidRPr="00895F23">
          <w:rPr>
            <w:rStyle w:val="Hyperlink"/>
          </w:rPr>
          <w:t>https://multimedia.europarl.europa.eu/en/inta-committee-meeting_20250319-0900-COMMITTEE-INTA_vd</w:t>
        </w:r>
      </w:hyperlink>
      <w:r w:rsidRPr="00895F23">
        <w:t>.</w:t>
      </w:r>
    </w:p>
  </w:footnote>
  <w:footnote w:id="24">
    <w:p w:rsidRPr="00895F23" w:rsidR="00C11E25" w:rsidP="00C11E25" w:rsidRDefault="00C11E25" w14:paraId="4267E897" w14:textId="77777777">
      <w:pPr>
        <w:pStyle w:val="FootnoteText"/>
      </w:pPr>
      <w:r>
        <w:rPr>
          <w:rStyle w:val="FootnoteReference"/>
        </w:rPr>
        <w:footnoteRef/>
      </w:r>
      <w:r w:rsidRPr="00895F23">
        <w:tab/>
      </w:r>
      <w:hyperlink w:history="1" r:id="rId21">
        <w:r w:rsidRPr="00895F23">
          <w:rPr>
            <w:rStyle w:val="Hyperlink"/>
          </w:rPr>
          <w:t>https://www.eesc.europa.eu/en/sections-other-bodies/other/eu-singapore-domestic-advisory-group</w:t>
        </w:r>
      </w:hyperlink>
      <w:r w:rsidRPr="00895F23">
        <w:t>.</w:t>
      </w:r>
    </w:p>
  </w:footnote>
  <w:footnote w:id="25">
    <w:p w:rsidRPr="00895F23" w:rsidR="00C11E25" w:rsidP="00C11E25" w:rsidRDefault="00C11E25" w14:paraId="2752C7F1" w14:textId="77777777">
      <w:pPr>
        <w:spacing w:line="240" w:lineRule="auto"/>
        <w:ind w:left="567" w:hanging="567"/>
        <w:rPr>
          <w:sz w:val="20"/>
          <w:szCs w:val="20"/>
        </w:rPr>
      </w:pPr>
      <w:r>
        <w:rPr>
          <w:rStyle w:val="FootnoteReference"/>
        </w:rPr>
        <w:footnoteRef/>
      </w:r>
      <w:r w:rsidRPr="0040720E">
        <w:tab/>
      </w:r>
      <w:hyperlink r:id="rId22">
        <w:r w:rsidRPr="00895F23">
          <w:rPr>
            <w:color w:val="0000FF"/>
            <w:sz w:val="16"/>
            <w:szCs w:val="16"/>
            <w:u w:val="single"/>
          </w:rPr>
          <w:t>https://policy.trade.ec.europa.eu/analysis-and-assessment/eu-trade-meetings-civil-society/objectives_en</w:t>
        </w:r>
      </w:hyperlink>
      <w:r w:rsidRPr="00895F23">
        <w:rPr>
          <w:sz w:val="16"/>
          <w:szCs w:val="16"/>
        </w:rPr>
        <w:t>.</w:t>
      </w:r>
    </w:p>
  </w:footnote>
  <w:footnote w:id="26">
    <w:p w:rsidRPr="00895F23" w:rsidR="00C11E25" w:rsidP="00DD73CC" w:rsidRDefault="00C11E25" w14:paraId="2DCD2F49" w14:textId="73073F85">
      <w:pPr>
        <w:pStyle w:val="FootnoteText"/>
        <w:spacing w:after="0" w:line="288" w:lineRule="auto"/>
      </w:pPr>
      <w:r>
        <w:rPr>
          <w:rStyle w:val="FootnoteReference"/>
        </w:rPr>
        <w:footnoteRef/>
      </w:r>
      <w:r w:rsidRPr="00895F23">
        <w:tab/>
      </w:r>
      <w:hyperlink w:history="1" r:id="rId23">
        <w:r w:rsidRPr="00895F23">
          <w:rPr>
            <w:rStyle w:val="Hyperlink"/>
          </w:rPr>
          <w:t>https://www.ilo.org/resource/workers-organizations-asia-and-pacific</w:t>
        </w:r>
      </w:hyperlink>
      <w:r w:rsidRPr="00895F23">
        <w:t>.</w:t>
      </w:r>
    </w:p>
  </w:footnote>
  <w:footnote w:id="27">
    <w:p w:rsidRPr="00895F23" w:rsidR="00C11E25" w:rsidP="00DD73CC" w:rsidRDefault="00C11E25" w14:paraId="339BC8FB" w14:textId="781CB378">
      <w:pPr>
        <w:keepLines/>
        <w:pBdr>
          <w:top w:val="nil"/>
          <w:left w:val="nil"/>
          <w:bottom w:val="nil"/>
          <w:right w:val="nil"/>
          <w:between w:val="nil"/>
        </w:pBdr>
        <w:ind w:left="567" w:hanging="567"/>
        <w:rPr>
          <w:color w:val="000000"/>
          <w:sz w:val="16"/>
          <w:szCs w:val="16"/>
        </w:rPr>
      </w:pPr>
      <w:r>
        <w:rPr>
          <w:rStyle w:val="FootnoteReference"/>
        </w:rPr>
        <w:footnoteRef/>
      </w:r>
      <w:r w:rsidRPr="00895F23">
        <w:rPr>
          <w:color w:val="000000"/>
          <w:sz w:val="16"/>
          <w:szCs w:val="16"/>
        </w:rPr>
        <w:tab/>
      </w:r>
      <w:hyperlink w:history="1" r:id="rId24">
        <w:r w:rsidRPr="00895F23">
          <w:rPr>
            <w:rStyle w:val="Hyperlink"/>
            <w:sz w:val="16"/>
            <w:szCs w:val="16"/>
          </w:rPr>
          <w:t>https://www.ituc-ap.org/</w:t>
        </w:r>
      </w:hyperlink>
      <w:r w:rsidRPr="00895F23">
        <w:rPr>
          <w:color w:val="000000"/>
          <w:sz w:val="16"/>
          <w:szCs w:val="16"/>
        </w:rPr>
        <w:t>.</w:t>
      </w:r>
    </w:p>
  </w:footnote>
  <w:footnote w:id="28">
    <w:p w:rsidRPr="00895F23" w:rsidR="00C11E25" w:rsidP="00DD73CC" w:rsidRDefault="00C11E25" w14:paraId="7A7A0744" w14:textId="001E0101">
      <w:pPr>
        <w:keepLines/>
        <w:pBdr>
          <w:top w:val="nil"/>
          <w:left w:val="nil"/>
          <w:bottom w:val="nil"/>
          <w:right w:val="nil"/>
          <w:between w:val="nil"/>
        </w:pBdr>
        <w:ind w:left="567" w:hanging="567"/>
        <w:rPr>
          <w:color w:val="000000"/>
          <w:sz w:val="16"/>
          <w:szCs w:val="16"/>
        </w:rPr>
      </w:pPr>
      <w:r>
        <w:rPr>
          <w:rStyle w:val="FootnoteReference"/>
        </w:rPr>
        <w:footnoteRef/>
      </w:r>
      <w:r w:rsidRPr="00895F23">
        <w:rPr>
          <w:color w:val="000000"/>
          <w:sz w:val="16"/>
          <w:szCs w:val="16"/>
        </w:rPr>
        <w:tab/>
      </w:r>
      <w:hyperlink w:history="1" r:id="rId25">
        <w:r w:rsidRPr="00895F23">
          <w:rPr>
            <w:rStyle w:val="Hyperlink"/>
            <w:sz w:val="16"/>
            <w:szCs w:val="16"/>
          </w:rPr>
          <w:t>https://www.wftucentral.org/?lang=es</w:t>
        </w:r>
      </w:hyperlink>
      <w:r w:rsidRPr="00895F23">
        <w:rPr>
          <w:color w:val="000000"/>
          <w:sz w:val="16"/>
          <w:szCs w:val="16"/>
        </w:rPr>
        <w:t>.</w:t>
      </w:r>
    </w:p>
  </w:footnote>
  <w:footnote w:id="29">
    <w:p w:rsidRPr="00895F23" w:rsidR="00C11E25" w:rsidP="00DD73CC" w:rsidRDefault="00C11E25" w14:paraId="3675C3D9" w14:textId="1A1920F6">
      <w:pPr>
        <w:keepLines/>
        <w:pBdr>
          <w:top w:val="nil"/>
          <w:left w:val="nil"/>
          <w:bottom w:val="nil"/>
          <w:right w:val="nil"/>
          <w:between w:val="nil"/>
        </w:pBdr>
        <w:ind w:left="567" w:hanging="567"/>
        <w:rPr>
          <w:color w:val="000000"/>
          <w:sz w:val="16"/>
          <w:szCs w:val="16"/>
        </w:rPr>
      </w:pPr>
      <w:r>
        <w:rPr>
          <w:rStyle w:val="FootnoteReference"/>
        </w:rPr>
        <w:footnoteRef/>
      </w:r>
      <w:r w:rsidRPr="00895F23">
        <w:rPr>
          <w:color w:val="000000"/>
          <w:sz w:val="16"/>
          <w:szCs w:val="16"/>
        </w:rPr>
        <w:tab/>
      </w:r>
      <w:hyperlink w:history="1" r:id="rId26">
        <w:r w:rsidRPr="00895F23">
          <w:rPr>
            <w:rStyle w:val="Hyperlink"/>
            <w:sz w:val="16"/>
            <w:szCs w:val="16"/>
          </w:rPr>
          <w:t>https://www.ilo.org/resource/workers-organizations-asia-and-pacific</w:t>
        </w:r>
      </w:hyperlink>
      <w:r w:rsidRPr="00895F23">
        <w:rPr>
          <w:color w:val="000000"/>
          <w:sz w:val="16"/>
          <w:szCs w:val="16"/>
        </w:rPr>
        <w:t>.</w:t>
      </w:r>
    </w:p>
  </w:footnote>
  <w:footnote w:id="30">
    <w:p w:rsidRPr="00895F23" w:rsidR="00C11E25" w:rsidP="00DD73CC" w:rsidRDefault="00C11E25" w14:paraId="5EE73751" w14:textId="51124D8B">
      <w:pPr>
        <w:keepLines/>
        <w:pBdr>
          <w:top w:val="nil"/>
          <w:left w:val="nil"/>
          <w:bottom w:val="nil"/>
          <w:right w:val="nil"/>
          <w:between w:val="nil"/>
        </w:pBdr>
        <w:ind w:left="567" w:hanging="567"/>
        <w:rPr>
          <w:color w:val="000000"/>
          <w:sz w:val="16"/>
          <w:szCs w:val="16"/>
        </w:rPr>
      </w:pPr>
      <w:r>
        <w:rPr>
          <w:rStyle w:val="FootnoteReference"/>
        </w:rPr>
        <w:footnoteRef/>
      </w:r>
      <w:r w:rsidRPr="00895F23">
        <w:rPr>
          <w:color w:val="000000"/>
          <w:sz w:val="16"/>
          <w:szCs w:val="16"/>
        </w:rPr>
        <w:tab/>
      </w:r>
      <w:hyperlink w:history="1" r:id="rId27">
        <w:r w:rsidRPr="00895F23">
          <w:rPr>
            <w:rStyle w:val="Hyperlink"/>
            <w:sz w:val="16"/>
            <w:szCs w:val="16"/>
          </w:rPr>
          <w:t>https://www.ilo.org/meetings-and-events/asean-employers-empowering-people-priortizing-skills</w:t>
        </w:r>
      </w:hyperlink>
      <w:r w:rsidRPr="00895F23">
        <w:rPr>
          <w:color w:val="000000"/>
          <w:sz w:val="16"/>
          <w:szCs w:val="16"/>
        </w:rPr>
        <w:t>.</w:t>
      </w:r>
    </w:p>
  </w:footnote>
  <w:footnote w:id="31">
    <w:p w:rsidRPr="00895F23" w:rsidR="00C11E25" w:rsidP="00DD73CC" w:rsidRDefault="00C11E25" w14:paraId="6742164F" w14:textId="46359CFA">
      <w:pPr>
        <w:keepLines/>
        <w:pBdr>
          <w:top w:val="nil"/>
          <w:left w:val="nil"/>
          <w:bottom w:val="nil"/>
          <w:right w:val="nil"/>
          <w:between w:val="nil"/>
        </w:pBdr>
        <w:ind w:left="567" w:hanging="567"/>
        <w:rPr>
          <w:color w:val="000000"/>
          <w:sz w:val="16"/>
          <w:szCs w:val="16"/>
        </w:rPr>
      </w:pPr>
      <w:r>
        <w:rPr>
          <w:rStyle w:val="FootnoteReference"/>
        </w:rPr>
        <w:footnoteRef/>
      </w:r>
      <w:r w:rsidRPr="00895F23">
        <w:tab/>
      </w:r>
      <w:hyperlink w:history="1" r:id="rId28">
        <w:r w:rsidRPr="00895F23">
          <w:rPr>
            <w:rStyle w:val="Hyperlink"/>
            <w:sz w:val="16"/>
            <w:szCs w:val="16"/>
          </w:rPr>
          <w:t>https://www.cape-emp.org/home.aspx</w:t>
        </w:r>
      </w:hyperlink>
      <w:r w:rsidRPr="00895F23">
        <w:rPr>
          <w:color w:val="000000"/>
          <w:sz w:val="16"/>
          <w:szCs w:val="16"/>
        </w:rPr>
        <w:t>.</w:t>
      </w:r>
    </w:p>
  </w:footnote>
  <w:footnote w:id="32">
    <w:p w:rsidRPr="0040720E" w:rsidR="00C11E25" w:rsidP="00DD73CC" w:rsidRDefault="00C11E25" w14:paraId="6D5EC683" w14:textId="11D3F9D1">
      <w:pPr>
        <w:ind w:left="567" w:hanging="567"/>
        <w:jc w:val="left"/>
        <w:rPr>
          <w:sz w:val="20"/>
          <w:szCs w:val="20"/>
        </w:rPr>
      </w:pPr>
      <w:r>
        <w:rPr>
          <w:rStyle w:val="FootnoteReference"/>
        </w:rPr>
        <w:footnoteRef/>
      </w:r>
      <w:r w:rsidRPr="0040720E">
        <w:rPr>
          <w:sz w:val="16"/>
          <w:szCs w:val="16"/>
        </w:rPr>
        <w:tab/>
      </w:r>
      <w:hyperlink w:history="1" r:id="rId29">
        <w:r w:rsidRPr="0040720E">
          <w:rPr>
            <w:rStyle w:val="Hyperlink"/>
            <w:sz w:val="16"/>
            <w:szCs w:val="16"/>
          </w:rPr>
          <w:t>Migrant workers’ rights to freedom of association and collective bargaining</w:t>
        </w:r>
      </w:hyperlink>
      <w:r w:rsidRPr="00A22411">
        <w:rPr>
          <w:sz w:val="16"/>
          <w:szCs w:val="16"/>
        </w:rPr>
        <w:t>.</w:t>
      </w:r>
    </w:p>
  </w:footnote>
  <w:footnote w:id="33">
    <w:p w:rsidRPr="00F537C0" w:rsidR="00C11E25" w:rsidP="00DD73CC" w:rsidRDefault="00C11E25" w14:paraId="67F28C6B" w14:textId="0C2375FC">
      <w:pPr>
        <w:ind w:left="567" w:hanging="567"/>
        <w:rPr>
          <w:sz w:val="16"/>
          <w:szCs w:val="16"/>
        </w:rPr>
      </w:pPr>
      <w:r>
        <w:rPr>
          <w:rStyle w:val="FootnoteReference"/>
        </w:rPr>
        <w:footnoteRef/>
      </w:r>
      <w:r w:rsidRPr="00F537C0">
        <w:rPr>
          <w:sz w:val="16"/>
          <w:szCs w:val="16"/>
        </w:rPr>
        <w:tab/>
      </w:r>
      <w:hyperlink w:history="1" r:id="rId30">
        <w:r w:rsidRPr="0040720E" w:rsidR="005F34E9">
          <w:rPr>
            <w:rStyle w:val="Hyperlink"/>
            <w:sz w:val="16"/>
            <w:szCs w:val="16"/>
          </w:rPr>
          <w:t>Migrant workers’ rights to freedom of association and collective bargaining</w:t>
        </w:r>
      </w:hyperlink>
      <w:r w:rsidRPr="00A22411" w:rsidR="005F34E9">
        <w:rPr>
          <w:sz w:val="16"/>
          <w:szCs w:val="16"/>
        </w:rPr>
        <w:t>.</w:t>
      </w:r>
    </w:p>
  </w:footnote>
  <w:footnote w:id="34">
    <w:p w:rsidRPr="00F537C0" w:rsidR="00C11E25" w:rsidP="00DD73CC" w:rsidRDefault="00C11E25" w14:paraId="5F01D663" w14:textId="4771FAB8">
      <w:pPr>
        <w:pStyle w:val="FootnoteText"/>
        <w:spacing w:after="0" w:line="288" w:lineRule="auto"/>
      </w:pPr>
      <w:r>
        <w:rPr>
          <w:rStyle w:val="FootnoteReference"/>
        </w:rPr>
        <w:footnoteRef/>
      </w:r>
      <w:r w:rsidRPr="00F537C0">
        <w:tab/>
      </w:r>
      <w:hyperlink w:history="1" r:id="rId31">
        <w:r w:rsidRPr="00F537C0">
          <w:rPr>
            <w:rStyle w:val="Hyperlink"/>
          </w:rPr>
          <w:t>https://asean.org/wp-content/uploads/2023/07/ASEAN_employment_outlook_WEB_FIN.pdf</w:t>
        </w:r>
      </w:hyperlink>
      <w:r w:rsidRPr="00F537C0">
        <w:t>.</w:t>
      </w:r>
    </w:p>
  </w:footnote>
  <w:footnote w:id="35">
    <w:p w:rsidRPr="00F537C0" w:rsidR="00C11E25" w:rsidP="00DD73CC" w:rsidRDefault="00C11E25" w14:paraId="648A74EC" w14:textId="7AAC4B31">
      <w:pPr>
        <w:pStyle w:val="FootnoteText"/>
        <w:spacing w:after="0" w:line="288" w:lineRule="auto"/>
      </w:pPr>
      <w:r>
        <w:rPr>
          <w:rStyle w:val="FootnoteReference"/>
        </w:rPr>
        <w:footnoteRef/>
      </w:r>
      <w:r w:rsidRPr="00F537C0">
        <w:tab/>
      </w:r>
      <w:hyperlink w:history="1" r:id="rId32">
        <w:r w:rsidRPr="00F537C0">
          <w:rPr>
            <w:rStyle w:val="Hyperlink"/>
          </w:rPr>
          <w:t>https://thailand.iom.int/sites/g/files/tmzbdl1371/files/documents/2024-12/thailand-migration-report-2024.pdf</w:t>
        </w:r>
      </w:hyperlink>
      <w:r w:rsidRPr="00F537C0">
        <w:t>.</w:t>
      </w:r>
    </w:p>
  </w:footnote>
  <w:footnote w:id="36">
    <w:p w:rsidRPr="00F537C0" w:rsidR="00C11E25" w:rsidP="00DD73CC" w:rsidRDefault="00C11E25" w14:paraId="2EB45D39" w14:textId="3ECD9BA6">
      <w:pPr>
        <w:ind w:left="567" w:hanging="567"/>
        <w:rPr>
          <w:sz w:val="16"/>
          <w:szCs w:val="16"/>
        </w:rPr>
      </w:pPr>
      <w:r>
        <w:rPr>
          <w:rStyle w:val="FootnoteReference"/>
        </w:rPr>
        <w:footnoteRef/>
      </w:r>
      <w:r w:rsidRPr="00F537C0">
        <w:rPr>
          <w:sz w:val="16"/>
          <w:szCs w:val="16"/>
        </w:rPr>
        <w:tab/>
      </w:r>
      <w:hyperlink w:history="1" r:id="rId33">
        <w:r w:rsidRPr="00F537C0">
          <w:rPr>
            <w:rStyle w:val="Hyperlink"/>
            <w:sz w:val="16"/>
            <w:szCs w:val="16"/>
          </w:rPr>
          <w:t>https://iotc.org/meetings/28th-session-indian-ocean-tuna-commission</w:t>
        </w:r>
      </w:hyperlink>
      <w:r w:rsidRPr="00F537C0">
        <w:rPr>
          <w:sz w:val="16"/>
          <w:szCs w:val="16"/>
        </w:rPr>
        <w:t>.</w:t>
      </w:r>
    </w:p>
  </w:footnote>
  <w:footnote w:id="37">
    <w:p w:rsidRPr="00F537C0" w:rsidR="00C11E25" w:rsidP="00DD73CC" w:rsidRDefault="00C11E25" w14:paraId="5869253A" w14:textId="77777777">
      <w:pPr>
        <w:ind w:left="567" w:hanging="567"/>
        <w:rPr>
          <w:sz w:val="16"/>
          <w:szCs w:val="16"/>
        </w:rPr>
      </w:pPr>
      <w:r>
        <w:rPr>
          <w:rStyle w:val="FootnoteReference"/>
        </w:rPr>
        <w:footnoteRef/>
      </w:r>
      <w:r w:rsidRPr="00F537C0">
        <w:rPr>
          <w:sz w:val="16"/>
          <w:szCs w:val="16"/>
        </w:rPr>
        <w:tab/>
      </w:r>
      <w:hyperlink w:history="1" r:id="rId34">
        <w:r w:rsidRPr="00F537C0">
          <w:rPr>
            <w:rStyle w:val="Hyperlink"/>
            <w:sz w:val="16"/>
            <w:szCs w:val="16"/>
          </w:rPr>
          <w:t>https://ec.europa.eu/commission/presscorner/detail/en/ip_24_2683</w:t>
        </w:r>
      </w:hyperlink>
      <w:r w:rsidRPr="00F537C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1154A669" w14:textId="252CAFAF">
    <w:pPr>
      <w:pStyle w:val="Header"/>
    </w:pPr>
    <w:r>
      <w:rPr>
        <w:noProof/>
      </w:rPr>
      <w:pict w14:anchorId="3E5C97F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16" style="position:absolute;left:0;text-align:left;margin-left:0;margin-top:0;width:595.2pt;height:841.9pt;z-index:-251649024;mso-position-horizontal:center;mso-position-horizontal-relative:margin;mso-position-vertical:center;mso-position-vertical-relative:margin" o:spid="_x0000_s2060" o:allowincell="f" type="#_x0000_t75">
          <v:imagedata o:title="footer only" r:id="rId1"/>
          <w10:wrap anchorx="margin" anchory="margin"/>
        </v:shape>
      </w:pict>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20C95081" w14:textId="013FAB14">
    <w:pPr>
      <w:pStyle w:val="Header"/>
    </w:pPr>
    <w:r>
      <w:rPr>
        <w:noProof/>
      </w:rPr>
      <w:pict w14:anchorId="0292D81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17" style="position:absolute;left:0;text-align:left;margin-left:0;margin-top:0;width:595.2pt;height:841.9pt;z-index:-251648000;mso-position-horizontal:center;mso-position-horizontal-relative:page;mso-position-vertical:top;mso-position-vertical-relative:page" o:spid="_x0000_s2061" o:allowincell="f" type="#_x0000_t75">
          <v:imagedata o:title="footer only" r:id="rId1"/>
          <w10:wrap anchorx="page" anchory="page"/>
        </v:shape>
      </w:pict>
    </w:r>
    <w:r w:rsidR="00E27707">
      <w:rPr>
        <w:noProof/>
      </w:rPr>
      <w:drawing>
        <wp:anchor distT="0" distB="0" distL="114300" distR="114300" simplePos="0" relativeHeight="251658240" behindDoc="0" locked="0" layoutInCell="1" allowOverlap="1" wp14:editId="3BEFD26D" wp14:anchorId="32A48528">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2">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0855837F" w14:textId="007EBCA1">
    <w:pPr>
      <w:pStyle w:val="Header"/>
    </w:pPr>
    <w:r>
      <w:rPr>
        <w:noProof/>
      </w:rPr>
      <w:pict w14:anchorId="1917127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15" style="position:absolute;left:0;text-align:left;margin-left:0;margin-top:0;width:595.2pt;height:841.9pt;z-index:-251650048;mso-position-horizontal:center;mso-position-horizontal-relative:margin;mso-position-vertical:center;mso-position-vertical-relative:margin" o:spid="_x0000_s2059" o:allowincell="f" type="#_x0000_t75">
          <v:imagedata o:title="footer only"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73BB9C34" w14:textId="7FEF32E3">
    <w:pPr>
      <w:pStyle w:val="Header"/>
    </w:pPr>
    <w:r>
      <w:rPr>
        <w:noProof/>
      </w:rPr>
      <w:pict w14:anchorId="16802F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19" style="position:absolute;left:0;text-align:left;margin-left:0;margin-top:0;width:595.2pt;height:841.9pt;z-index:-251645952;mso-position-horizontal:center;mso-position-horizontal-relative:margin;mso-position-vertical:center;mso-position-vertical-relative:margin" o:spid="_x0000_s2063" o:allowincell="f" type="#_x0000_t75">
          <v:imagedata o:title="footer only" r:id="rId1"/>
          <w10:wrap anchorx="margin" anchory="margin"/>
        </v:shape>
      </w:pict>
    </w: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4A39FC7C" w14:textId="308D261F">
    <w:pPr>
      <w:pStyle w:val="Header"/>
    </w:pPr>
    <w:r>
      <w:rPr>
        <w:noProof/>
      </w:rPr>
      <w:pict w14:anchorId="31FC4AD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20" style="position:absolute;left:0;text-align:left;margin-left:0;margin-top:0;width:595.2pt;height:841.9pt;z-index:-251644928;visibility:hidden;mso-position-horizontal:center;mso-position-horizontal-relative:margin;mso-position-vertical:center;mso-position-vertical-relative:margin" o:spid="_x0000_s2064" o:allowincell="f" type="#_x0000_t75">
          <v:imagedata o:title="footer only" r:id="rId1"/>
          <w10:wrap anchorx="margin" anchory="margin"/>
        </v:shape>
      </w:pict>
    </w:r>
    <w:r w:rsidR="00574C9B">
      <w:rPr>
        <w:noProof/>
      </w:rPr>
      <w:drawing>
        <wp:anchor distT="0" distB="0" distL="114300" distR="114300" simplePos="0" relativeHeight="251659264" behindDoc="1" locked="0" layoutInCell="1" allowOverlap="1" wp14:editId="13AEE0F5" wp14:anchorId="5FA9E479">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C9B" w:rsidRDefault="00C634A7" w14:paraId="51F67873" w14:textId="56798CB4">
    <w:pPr>
      <w:pStyle w:val="Header"/>
    </w:pPr>
    <w:r>
      <w:rPr>
        <w:noProof/>
      </w:rPr>
      <w:pict w14:anchorId="1017B54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18" style="position:absolute;left:0;text-align:left;margin-left:0;margin-top:0;width:595.2pt;height:841.9pt;z-index:-251646976;mso-position-horizontal:center;mso-position-horizontal-relative:margin;mso-position-vertical:center;mso-position-vertical-relative:margin" o:spid="_x0000_s2062" o:allowincell="f" type="#_x0000_t75">
          <v:imagedata o:title="footer only" r:id="rId1"/>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1B8" w:rsidRDefault="00C634A7" w14:paraId="192FFAD5" w14:textId="60B66FCE">
    <w:pPr>
      <w:pStyle w:val="Header"/>
    </w:pPr>
    <w:r>
      <w:rPr>
        <w:noProof/>
      </w:rPr>
      <w:pict w14:anchorId="51EC150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22" style="position:absolute;left:0;text-align:left;margin-left:0;margin-top:0;width:595.2pt;height:841.9pt;z-index:-251642880;mso-position-horizontal:center;mso-position-horizontal-relative:margin;mso-position-vertical:center;mso-position-vertical-relative:margin" o:spid="_x0000_s2066" o:allowincell="f" type="#_x0000_t75">
          <v:imagedata o:title="footer only" r:id="rId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0FF" w:rsidRDefault="00C634A7" w14:paraId="44832120" w14:textId="43FA7B78">
    <w:pPr>
      <w:pStyle w:val="Header"/>
    </w:pPr>
    <w:r>
      <w:rPr>
        <w:noProof/>
      </w:rPr>
      <w:pict w14:anchorId="7B5F8F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23" style="position:absolute;left:0;text-align:left;margin-left:0;margin-top:0;width:595.2pt;height:841.9pt;z-index:-251641856;visibility:hidden;mso-position-horizontal:center;mso-position-horizontal-relative:margin;mso-position-vertical:center;mso-position-vertical-relative:margin" o:spid="_x0000_s2067" o:allowincell="f" type="#_x0000_t75">
          <v:imagedata o:title="footer only" r:id="rId1"/>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1B8" w:rsidRDefault="00C634A7" w14:paraId="75FEDF91" w14:textId="4DD3A706">
    <w:pPr>
      <w:pStyle w:val="Header"/>
    </w:pPr>
    <w:r>
      <w:rPr>
        <w:noProof/>
      </w:rPr>
      <w:pict w14:anchorId="4BBB7A0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7004021" style="position:absolute;left:0;text-align:left;margin-left:0;margin-top:0;width:595.2pt;height:841.9pt;z-index:-251643904;mso-position-horizontal:center;mso-position-horizontal-relative:margin;mso-position-vertical:center;mso-position-vertical-relative:margin" o:spid="_x0000_s2065" o:allowincell="f" type="#_x0000_t75">
          <v:imagedata o:title="footer only"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689317E"/>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7C8F54F7"/>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370"/>
    <w:rsid w:val="00000604"/>
    <w:rsid w:val="00003107"/>
    <w:rsid w:val="00020389"/>
    <w:rsid w:val="00037DAD"/>
    <w:rsid w:val="00037E5B"/>
    <w:rsid w:val="00053D00"/>
    <w:rsid w:val="00053FD2"/>
    <w:rsid w:val="00067D46"/>
    <w:rsid w:val="00094C5F"/>
    <w:rsid w:val="000A0F3B"/>
    <w:rsid w:val="000A30FF"/>
    <w:rsid w:val="000A4F52"/>
    <w:rsid w:val="00101C3E"/>
    <w:rsid w:val="00157022"/>
    <w:rsid w:val="00185E99"/>
    <w:rsid w:val="0019231D"/>
    <w:rsid w:val="001955B6"/>
    <w:rsid w:val="001A434B"/>
    <w:rsid w:val="001D571E"/>
    <w:rsid w:val="001D61AC"/>
    <w:rsid w:val="001E15AA"/>
    <w:rsid w:val="001E3C28"/>
    <w:rsid w:val="001E3FA1"/>
    <w:rsid w:val="001F165D"/>
    <w:rsid w:val="00200E87"/>
    <w:rsid w:val="00206D14"/>
    <w:rsid w:val="00214BDC"/>
    <w:rsid w:val="00215E81"/>
    <w:rsid w:val="0024727F"/>
    <w:rsid w:val="002548EF"/>
    <w:rsid w:val="00296BCE"/>
    <w:rsid w:val="002B6A7B"/>
    <w:rsid w:val="002E0282"/>
    <w:rsid w:val="00306381"/>
    <w:rsid w:val="00312116"/>
    <w:rsid w:val="003353D7"/>
    <w:rsid w:val="00360204"/>
    <w:rsid w:val="003659F9"/>
    <w:rsid w:val="00384833"/>
    <w:rsid w:val="003F1034"/>
    <w:rsid w:val="00401DE5"/>
    <w:rsid w:val="00412822"/>
    <w:rsid w:val="00461CAF"/>
    <w:rsid w:val="004751CF"/>
    <w:rsid w:val="00484DD4"/>
    <w:rsid w:val="004871B8"/>
    <w:rsid w:val="004A3D71"/>
    <w:rsid w:val="004B0887"/>
    <w:rsid w:val="0053281C"/>
    <w:rsid w:val="00566DF2"/>
    <w:rsid w:val="00574C9B"/>
    <w:rsid w:val="0058411F"/>
    <w:rsid w:val="005956FC"/>
    <w:rsid w:val="005961A4"/>
    <w:rsid w:val="005B55E2"/>
    <w:rsid w:val="005C2475"/>
    <w:rsid w:val="005C3BDB"/>
    <w:rsid w:val="005F34E9"/>
    <w:rsid w:val="005F6AC8"/>
    <w:rsid w:val="006125A1"/>
    <w:rsid w:val="00653E7D"/>
    <w:rsid w:val="00662207"/>
    <w:rsid w:val="00667F09"/>
    <w:rsid w:val="00671C08"/>
    <w:rsid w:val="006868CB"/>
    <w:rsid w:val="006B57A6"/>
    <w:rsid w:val="006D53A6"/>
    <w:rsid w:val="0072375C"/>
    <w:rsid w:val="00740EC9"/>
    <w:rsid w:val="00787837"/>
    <w:rsid w:val="00787ABB"/>
    <w:rsid w:val="007918CC"/>
    <w:rsid w:val="00793BB8"/>
    <w:rsid w:val="007B6C64"/>
    <w:rsid w:val="00822952"/>
    <w:rsid w:val="008311E5"/>
    <w:rsid w:val="00836505"/>
    <w:rsid w:val="00844B87"/>
    <w:rsid w:val="00853708"/>
    <w:rsid w:val="00876AF1"/>
    <w:rsid w:val="0089251B"/>
    <w:rsid w:val="008A6DD4"/>
    <w:rsid w:val="008E7D31"/>
    <w:rsid w:val="008F74D7"/>
    <w:rsid w:val="00904C42"/>
    <w:rsid w:val="00914683"/>
    <w:rsid w:val="00924C05"/>
    <w:rsid w:val="00937CF2"/>
    <w:rsid w:val="009451D6"/>
    <w:rsid w:val="009506A6"/>
    <w:rsid w:val="00964BF1"/>
    <w:rsid w:val="00976645"/>
    <w:rsid w:val="00976F77"/>
    <w:rsid w:val="0098228C"/>
    <w:rsid w:val="00992B39"/>
    <w:rsid w:val="009A734F"/>
    <w:rsid w:val="009C37A0"/>
    <w:rsid w:val="009C6F26"/>
    <w:rsid w:val="009E2100"/>
    <w:rsid w:val="00A310E1"/>
    <w:rsid w:val="00A3397C"/>
    <w:rsid w:val="00A36AB0"/>
    <w:rsid w:val="00AA334D"/>
    <w:rsid w:val="00AB37A3"/>
    <w:rsid w:val="00AC5114"/>
    <w:rsid w:val="00AE2782"/>
    <w:rsid w:val="00AE4394"/>
    <w:rsid w:val="00B25683"/>
    <w:rsid w:val="00B51901"/>
    <w:rsid w:val="00B65A84"/>
    <w:rsid w:val="00B73B79"/>
    <w:rsid w:val="00BB0A75"/>
    <w:rsid w:val="00BC4FD4"/>
    <w:rsid w:val="00BC7642"/>
    <w:rsid w:val="00BD50F6"/>
    <w:rsid w:val="00C0056A"/>
    <w:rsid w:val="00C073E1"/>
    <w:rsid w:val="00C11E25"/>
    <w:rsid w:val="00C25647"/>
    <w:rsid w:val="00C5137B"/>
    <w:rsid w:val="00C634A7"/>
    <w:rsid w:val="00C66AEA"/>
    <w:rsid w:val="00C9040A"/>
    <w:rsid w:val="00C91E4D"/>
    <w:rsid w:val="00CB110A"/>
    <w:rsid w:val="00CB7CD0"/>
    <w:rsid w:val="00D039AF"/>
    <w:rsid w:val="00D13128"/>
    <w:rsid w:val="00D16114"/>
    <w:rsid w:val="00D2283E"/>
    <w:rsid w:val="00D95232"/>
    <w:rsid w:val="00DB7F50"/>
    <w:rsid w:val="00DD73CC"/>
    <w:rsid w:val="00DE06D7"/>
    <w:rsid w:val="00DE30C7"/>
    <w:rsid w:val="00DF400F"/>
    <w:rsid w:val="00E05575"/>
    <w:rsid w:val="00E15BF4"/>
    <w:rsid w:val="00E2376B"/>
    <w:rsid w:val="00E2441D"/>
    <w:rsid w:val="00E26935"/>
    <w:rsid w:val="00E27707"/>
    <w:rsid w:val="00E333C8"/>
    <w:rsid w:val="00E47484"/>
    <w:rsid w:val="00E52B04"/>
    <w:rsid w:val="00E661B7"/>
    <w:rsid w:val="00E73266"/>
    <w:rsid w:val="00E7637E"/>
    <w:rsid w:val="00E8530C"/>
    <w:rsid w:val="00E869DE"/>
    <w:rsid w:val="00E90A9D"/>
    <w:rsid w:val="00ED0759"/>
    <w:rsid w:val="00F1723D"/>
    <w:rsid w:val="00F2069F"/>
    <w:rsid w:val="00F27167"/>
    <w:rsid w:val="00F53370"/>
    <w:rsid w:val="00F537C0"/>
    <w:rsid w:val="00F641E1"/>
    <w:rsid w:val="00F90BE2"/>
    <w:rsid w:val="00FA305D"/>
    <w:rsid w:val="00FB1AFF"/>
    <w:rsid w:val="00FB1D7A"/>
    <w:rsid w:val="00FB1F92"/>
    <w:rsid w:val="00FC0CEA"/>
    <w:rsid w:val="162344D0"/>
    <w:rsid w:val="4F54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22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16" Type="http://schemas.openxmlformats.org/officeDocument/2006/relationships/header" Target="header4.xml"/><Relationship Id="rId20" Type="http://schemas.openxmlformats.org/officeDocument/2006/relationships/hyperlink" Target="https://www.eeas.europa.eu/node/63333_en" TargetMode="External"/><Relationship Id="rId29" Type="http://schemas.openxmlformats.org/officeDocument/2006/relationships/customXml" Target="../customXml/item3.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aichr.org/" TargetMode="External"/><Relationship Id="rId13" Type="http://schemas.openxmlformats.org/officeDocument/2006/relationships/hyperlink" Target="https://www.ilo.org/publications/social-dialogue-public-services-selected-asean-countries" TargetMode="External"/><Relationship Id="rId18" Type="http://schemas.openxmlformats.org/officeDocument/2006/relationships/hyperlink" Target="https://www.ilo.org/publications/women-and-men-informal-economy-statistical-update" TargetMode="External"/><Relationship Id="rId26" Type="http://schemas.openxmlformats.org/officeDocument/2006/relationships/hyperlink" Target="https://www.ilo.org/resource/workers-organizations-asia-and-pacific" TargetMode="External"/><Relationship Id="rId3" Type="http://schemas.openxmlformats.org/officeDocument/2006/relationships/hyperlink" Target="https://eur-lex.europa.eu/legal-content/EN/TXT/PDF/?uri=CELEX:22019A1114(01)&amp;from=EN" TargetMode="External"/><Relationship Id="rId21" Type="http://schemas.openxmlformats.org/officeDocument/2006/relationships/hyperlink" Target="https://www.eesc.europa.eu/en/sections-other-bodies/other/eu-singapore-domestic-advisory-group" TargetMode="External"/><Relationship Id="rId34" Type="http://schemas.openxmlformats.org/officeDocument/2006/relationships/hyperlink" Target="https://ec.europa.eu/commission/presscorner/detail/en/ip_24_2683" TargetMode="External"/><Relationship Id="rId7" Type="http://schemas.openxmlformats.org/officeDocument/2006/relationships/hyperlink" Target="https://asean.org/asean-leaders-review-and-decision-on-the-implementation-of-the-five-point-consensus-3/" TargetMode="External"/><Relationship Id="rId12" Type="http://schemas.openxmlformats.org/officeDocument/2006/relationships/hyperlink" Target="https://alternative-regionalisms.org/wp-content/uploads/2009/07/sapasubmissiononaseancharter-sociocultural.pdf" TargetMode="External"/><Relationship Id="rId17" Type="http://schemas.openxmlformats.org/officeDocument/2006/relationships/hyperlink" Target="https://www.eeas.europa.eu/sites/default/files/documents/2024/2023%20EU%20country%20updates%20on%20human%20rights%20and%20democracy_0.pdf" TargetMode="External"/><Relationship Id="rId25" Type="http://schemas.openxmlformats.org/officeDocument/2006/relationships/hyperlink" Target="https://www.wftucentral.org/?lang=es" TargetMode="External"/><Relationship Id="rId33" Type="http://schemas.openxmlformats.org/officeDocument/2006/relationships/hyperlink" Target="https://iotc.org/meetings/28th-session-indian-ocean-tuna-commission" TargetMode="External"/><Relationship Id="rId2" Type="http://schemas.openxmlformats.org/officeDocument/2006/relationships/hyperlink" Target="https://www.eu-asean.eu/" TargetMode="External"/><Relationship Id="rId16" Type="http://schemas.openxmlformats.org/officeDocument/2006/relationships/hyperlink" Target="https://www.eeas.europa.eu/sites/default/files/documents/2024/2023%20EU%20country%20updates%20on%20human%20rights%20and%20democracy_0.pdf" TargetMode="External"/><Relationship Id="rId20" Type="http://schemas.openxmlformats.org/officeDocument/2006/relationships/hyperlink" Target="https://multimedia.europarl.europa.eu/en/inta-committee-meeting_20250319-0900-COMMITTEE-INTA_vd" TargetMode="External"/><Relationship Id="rId29" Type="http://schemas.openxmlformats.org/officeDocument/2006/relationships/hyperlink" Target="https://www.ilo.org/sites/default/files/wcmsp5/groups/public/@ed_protect/@protrav/@migrant/documents/publication/wcms_883446.pdf" TargetMode="External"/><Relationship Id="rId1" Type="http://schemas.openxmlformats.org/officeDocument/2006/relationships/hyperlink" Target="https://www.ilo.org/about-ilo/mission-and-impact-ilo/ilo-declaration-fundamental-principles-and-rights-work" TargetMode="External"/><Relationship Id="rId6" Type="http://schemas.openxmlformats.org/officeDocument/2006/relationships/hyperlink" Target="https://policy.trade.ec.europa.eu/eu-trade-relationships-country-and-region/countries-and-regions/association-south-east-asian-nations-asean_en" TargetMode="External"/><Relationship Id="rId11" Type="http://schemas.openxmlformats.org/officeDocument/2006/relationships/hyperlink" Target="https://arrow.org.my/" TargetMode="External"/><Relationship Id="rId24" Type="http://schemas.openxmlformats.org/officeDocument/2006/relationships/hyperlink" Target="https://www.ituc-ap.org/" TargetMode="External"/><Relationship Id="rId32" Type="http://schemas.openxmlformats.org/officeDocument/2006/relationships/hyperlink" Target="https://thailand.iom.int/sites/g/files/tmzbdl1371/files/documents/2024-12/thailand-migration-report-2024.pdf" TargetMode="External"/><Relationship Id="rId5" Type="http://schemas.openxmlformats.org/officeDocument/2006/relationships/hyperlink" Target="https://www.worldeconomics.com/Regions/ASEAN/" TargetMode="External"/><Relationship Id="rId15" Type="http://schemas.openxmlformats.org/officeDocument/2006/relationships/hyperlink" Target="https://www.europarl.europa.eu/RegData/etudes/STUD/2021/653635/EXPO_STU(2021)653635_EN.pdf" TargetMode="External"/><Relationship Id="rId23" Type="http://schemas.openxmlformats.org/officeDocument/2006/relationships/hyperlink" Target="https://www.ilo.org/resource/workers-organizations-asia-and-pacific" TargetMode="External"/><Relationship Id="rId28" Type="http://schemas.openxmlformats.org/officeDocument/2006/relationships/hyperlink" Target="https://www.cape-emp.org/home.aspx" TargetMode="External"/><Relationship Id="rId10" Type="http://schemas.openxmlformats.org/officeDocument/2006/relationships/hyperlink" Target="https://safenet.or.id/" TargetMode="External"/><Relationship Id="rId19" Type="http://schemas.openxmlformats.org/officeDocument/2006/relationships/hyperlink" Target="https://www.eesc.europa.eu/en/documents/statement-european-union-domestic-advisory-group-eu-viet-nam-free-trade-agreement-1" TargetMode="External"/><Relationship Id="rId31" Type="http://schemas.openxmlformats.org/officeDocument/2006/relationships/hyperlink" Target="https://asean.org/wp-content/uploads/2023/07/ASEAN_employment_outlook_WEB_FIN.pdf" TargetMode="External"/><Relationship Id="rId4" Type="http://schemas.openxmlformats.org/officeDocument/2006/relationships/hyperlink" Target="https://eur-lex.europa.eu/legal-content/EN/TXT/PDF/?uri=OJ:L:2020:186:FULL&amp;from=EN" TargetMode="External"/><Relationship Id="rId9" Type="http://schemas.openxmlformats.org/officeDocument/2006/relationships/hyperlink" Target="https://reliefweb.int/organization/forum-asia" TargetMode="External"/><Relationship Id="rId14" Type="http://schemas.openxmlformats.org/officeDocument/2006/relationships/hyperlink" Target="https://www.europarl.europa.eu/doceo/document/TA-10-2024-0053_EN.html" TargetMode="External"/><Relationship Id="rId22" Type="http://schemas.openxmlformats.org/officeDocument/2006/relationships/hyperlink" Target="https://policy.trade.ec.europa.eu/analysis-and-assessment/eu-trade-meetings-civil-society/objectives_en" TargetMode="External"/><Relationship Id="rId27" Type="http://schemas.openxmlformats.org/officeDocument/2006/relationships/hyperlink" Target="https://www.ilo.org/meetings-and-events/asean-employers-empowering-people-priortizing-skills" TargetMode="External"/><Relationship Id="rId30" Type="http://schemas.openxmlformats.org/officeDocument/2006/relationships/hyperlink" Target="https://www.ilo.org/sites/default/files/wcmsp5/groups/public/@ed_protect/@protrav/@migrant/documents/publication/wcms_8834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A6WAAD5KZT2Q-604569563-13089</_dlc_DocId>
    <_dlc_DocIdUrl xmlns="1a33af13-4045-4f88-9d7b-618e30f79918">
      <Url>http://dm/eesc/2025/_layouts/15/DocIdRedir.aspx?ID=A6WAAD5KZT2Q-604569563-13089</Url>
      <Description>A6WAAD5KZT2Q-604569563-13089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2025-06-30T12:00:00+00:00</ProductionDate>
    <FicheYear xmlns="1a33af13-4045-4f88-9d7b-618e30f79918" xsi:nil="true"/>
    <DocumentNumber xmlns="be3ca9a7-9286-4008-99ec-aebc20da9dc2">840</DocumentNumber>
    <DossierNumber xmlns="1a33af13-4045-4f88-9d7b-618e30f79918">589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1a33af13-4045-4f88-9d7b-618e30f79918">KOLLER &amp; PATER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6739</FicheNumber>
    <OriginalSender xmlns="1a33af13-4045-4f88-9d7b-618e30f79918">
      <UserInfo>
        <DisplayName>TDriveSVCUserProd</DisplayName>
        <AccountId>1358</AccountId>
        <AccountType/>
      </UserInfo>
    </OriginalSender>
    <DocumentPart xmlns="1a33af13-4045-4f88-9d7b-618e30f79918">0</DocumentPart>
    <AdoptionDate xmlns="1a33af13-4045-4f88-9d7b-618e30f79918">2025-06-19T12:00:00+00:00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2</DocumentVersion>
  </documentManagement>
</p:properties>
</file>

<file path=customXml/itemProps1.xml><?xml version="1.0" encoding="utf-8"?>
<ds:datastoreItem xmlns:ds="http://schemas.openxmlformats.org/officeDocument/2006/customXml" ds:itemID="{4A962E5A-BF18-41D2-B03D-CBAE864EC848}"/>
</file>

<file path=customXml/itemProps2.xml><?xml version="1.0" encoding="utf-8"?>
<ds:datastoreItem xmlns:ds="http://schemas.openxmlformats.org/officeDocument/2006/customXml" ds:itemID="{D12A7784-6A85-4B95-A5B6-2B42854AAD9D}"/>
</file>

<file path=customXml/itemProps3.xml><?xml version="1.0" encoding="utf-8"?>
<ds:datastoreItem xmlns:ds="http://schemas.openxmlformats.org/officeDocument/2006/customXml" ds:itemID="{BF7F693B-3833-4E05-95C8-BEB50506A8C3}"/>
</file>

<file path=customXml/itemProps4.xml><?xml version="1.0" encoding="utf-8"?>
<ds:datastoreItem xmlns:ds="http://schemas.openxmlformats.org/officeDocument/2006/customXml" ds:itemID="{32F08B3A-6149-4AA9-AAB2-471DFDF35B28}"/>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3565</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The situation of the civil society organisations in the ASEAN countries</vt:lpstr>
    </vt:vector>
  </TitlesOfParts>
  <Company>CESE-CdR</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situation of the civil society organisations in the ASEAN countries</dc:title>
  <dc:subject>Information report</dc:subject>
  <dc:creator>Francois Aude</dc:creator>
  <cp:keywords>EESC-2025-00840-00-02-RI-TRA-EN</cp:keywords>
  <dc:description>Rapporteur: - KOLLER &amp; PATER Original language: - EN Date of document: - 30/06/2025 Date of meeting: -  External documents: -  Administrator responsible: - MME FEVRE-BURDY Sylvia Gunilla</dc:description>
  <cp:lastModifiedBy>TDriveSVCUserProd</cp:lastModifiedBy>
  <cp:revision>7</cp:revision>
  <dcterms:created xsi:type="dcterms:W3CDTF">2025-06-30T15:56:00Z</dcterms:created>
  <dcterms:modified xsi:type="dcterms:W3CDTF">2025-06-30T16:16:00Z</dcterms:modified>
  <cp:category>REX/589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30/06/2025, 27/06/2025, 27/06/2025, 23/06/2025, 23/06/2025, 12/04/2024, 17/05/2022</vt:lpwstr>
  </property>
  <property fmtid="{D5CDD505-2E9C-101B-9397-08002B2CF9AE}" pid="4" name="Pref_Time">
    <vt:lpwstr>17:44:45, 10:56:37, 10:53:34, 14:28:35, 09:02:59, 12:04:59, 14:58:36</vt:lpwstr>
  </property>
  <property fmtid="{D5CDD505-2E9C-101B-9397-08002B2CF9AE}" pid="5" name="Pref_User">
    <vt:lpwstr>nnas, jhvi, jhvi, jhvi, jhvi, enied, enied</vt:lpwstr>
  </property>
  <property fmtid="{D5CDD505-2E9C-101B-9397-08002B2CF9AE}" pid="6" name="Pref_FileName">
    <vt:lpwstr>EESC-2025-00840-00-02-RI-ORI.docx, EESC-2025-00840-00-02-RI-TRA-EN_jhvi.docx, EESC-2025-00840-00-01-RI-TRA-EN (3).docx, eesc-2025-00840-00-01-RI-ORI.docx, eesc-2025-00840-00-00-ri-ori (3).docx, COR-EESC-2024-01326-27-00-ADMIN-ORI.docx, COR-EESC-2022-02592</vt:lpwstr>
  </property>
  <property fmtid="{D5CDD505-2E9C-101B-9397-08002B2CF9AE}" pid="7" name="ContentTypeId">
    <vt:lpwstr>0x010100EA97B91038054C99906057A708A1480A006BB3B767F3CF4149BF520211D4A86BC0</vt:lpwstr>
  </property>
  <property fmtid="{D5CDD505-2E9C-101B-9397-08002B2CF9AE}" pid="8" name="_dlc_DocIdItemGuid">
    <vt:lpwstr>3e34440c-af40-4b62-84c4-ea1bc1e40501</vt:lpwstr>
  </property>
  <property fmtid="{D5CDD505-2E9C-101B-9397-08002B2CF9AE}" pid="9" name="AvailableTranslations">
    <vt:lpwstr>40;#DA|5d49c027-8956-412b-aa16-e85a0f96ad0e;#37;#HU|6b229040-c589-4408-b4c1-4285663d20a8;#42;#EL|6d4f4d51-af9b-4650-94b4-4276bee85c91;#47;#BG|1a1b3951-7821-4e6a-85f5-5673fc08bd2c;#30;#LT|a7ff5ce7-6123-4f68-865a-a57c31810414;#31;#SL|98a412ae-eb01-49e9-ae3d-585a81724cfc;#46;#SK|46d9fce0-ef79-4f71-b89b-cd6aa82426b8;#41;#ET|ff6c3f4c-b02c-4c3c-ab07-2c37995a7a0a;#36;#RO|feb747a2-64cd-4299-af12-4833ddc30497;#32;#MT|7df99101-6854-4a26-b53a-b88c0da02c26;#33;#PT|50ccc04a-eadd-42ae-a0cb-acaf45f812ba;#39;#LV|46f7e311-5d9f-4663-b433-18aeccb7ace7;#34;#IT|0774613c-01ed-4e5d-a25d-11d2388de825;#16;#ES|e7a6b05b-ae16-40c8-add9-68b64b03aeba;#28;#SV|c2ed69e7-a339-43d7-8f22-d93680a92aa0;#35;#FI|87606a43-d45f-42d6-b8c9-e1a3457db5b7;#50;#HR|2f555653-ed1a-4fe6-8362-9082d95989e5;#24;#PL|1e03da61-4678-4e07-b136-b5024ca9197b;#23;#DE|f6b31e5a-26fa-4935-b661-318e46daf27e;#29;#CS|72f9705b-0217-4fd3-bea2-cbc7ed80e26e;#27;#NL|55c6556c-b4f4-441d-9acf-c498d4f838bd;#12;#FR|d2afafd3-4c81-4f60-8f52-ee33f2f54ff3;#5;#EN|f2175f21-25d7-44a3-96da-d6a61b075e1b;#43;#GA|762d2456-c427-4ecb-b312-af3dad8e258c</vt:lpwstr>
  </property>
  <property fmtid="{D5CDD505-2E9C-101B-9397-08002B2CF9AE}" pid="10" name="DocumentType_0">
    <vt:lpwstr>RI|0e66e8df-1601-4fe1-947b-eb539760261a</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840</vt:i4>
  </property>
  <property fmtid="{D5CDD505-2E9C-101B-9397-08002B2CF9AE}" pid="14" name="FicheYear">
    <vt:i4>2025</vt:i4>
  </property>
  <property fmtid="{D5CDD505-2E9C-101B-9397-08002B2CF9AE}" pid="15" name="DocumentVersion">
    <vt:i4>2</vt:i4>
  </property>
  <property fmtid="{D5CDD505-2E9C-101B-9397-08002B2CF9AE}" pid="16" name="DossierNumber">
    <vt:i4>589</vt:i4>
  </property>
  <property fmtid="{D5CDD505-2E9C-101B-9397-08002B2CF9AE}" pid="17" name="DocumentStatus">
    <vt:lpwstr>13;#TRA|150d2a88-1431-44e6-a8ca-0bb753ab8672</vt:lpwstr>
  </property>
  <property fmtid="{D5CDD505-2E9C-101B-9397-08002B2CF9AE}" pid="18" name="DossierName">
    <vt:lpwstr>2;#REX|6820eaf5-116e-436b-ad9c-156f8a94c2a1</vt:lpwstr>
  </property>
  <property fmtid="{D5CDD505-2E9C-101B-9397-08002B2CF9AE}" pid="19" name="RequestingService">
    <vt:lpwstr>Relations extérieures</vt:lpwstr>
  </property>
  <property fmtid="{D5CDD505-2E9C-101B-9397-08002B2CF9AE}" pid="20" name="Confidentiality">
    <vt:lpwstr>15;#Unrestricted|826e22d7-d029-4ec0-a450-0c28ff673572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5;#EN|f2175f21-25d7-44a3-96da-d6a61b075e1b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15;#Unrestricted|826e22d7-d029-4ec0-a450-0c28ff673572;#13;#TRA|150d2a88-1431-44e6-a8ca-0bb753ab8672;#246;#RI|0e66e8df-1601-4fe1-947b-eb539760261a;#5;#EN|f2175f21-25d7-44a3-96da-d6a61b075e1b;#2;#REX|6820eaf5-116e-436b-ad9c-156f8a94c2a1;#1;#EESC|422833ec-8d7e-4e65-8e4e-8bed07ffb729;#8;#Final|ea5e6674-7b27-4bac-b091-73adbb394efe</vt:lpwstr>
  </property>
  <property fmtid="{D5CDD505-2E9C-101B-9397-08002B2CF9AE}" pid="30" name="Rapporteur">
    <vt:lpwstr>KOLLER &amp; PATER</vt:lpwstr>
  </property>
  <property fmtid="{D5CDD505-2E9C-101B-9397-08002B2CF9AE}" pid="31" name="VersionStatus_0">
    <vt:lpwstr>Final|ea5e6674-7b27-4bac-b091-73adbb394efe</vt:lpwstr>
  </property>
  <property fmtid="{D5CDD505-2E9C-101B-9397-08002B2CF9AE}" pid="32" name="VersionStatus">
    <vt:lpwstr>8;#Final|ea5e6674-7b27-4bac-b091-73adbb394efe</vt:lpwstr>
  </property>
  <property fmtid="{D5CDD505-2E9C-101B-9397-08002B2CF9AE}" pid="33" name="DocumentYear">
    <vt:i4>2025</vt:i4>
  </property>
  <property fmtid="{D5CDD505-2E9C-101B-9397-08002B2CF9AE}" pid="34" name="FicheNumber">
    <vt:i4>6739</vt:i4>
  </property>
  <property fmtid="{D5CDD505-2E9C-101B-9397-08002B2CF9AE}" pid="35" name="DocumentPart">
    <vt:i4>0</vt:i4>
  </property>
  <property fmtid="{D5CDD505-2E9C-101B-9397-08002B2CF9AE}" pid="36" name="DocumentSource">
    <vt:lpwstr>1;#EESC|422833ec-8d7e-4e65-8e4e-8bed07ffb729</vt:lpwstr>
  </property>
  <property fmtid="{D5CDD505-2E9C-101B-9397-08002B2CF9AE}" pid="37" name="AdoptionDate">
    <vt:filetime>2025-06-19T12:00:00Z</vt:filetime>
  </property>
  <property fmtid="{D5CDD505-2E9C-101B-9397-08002B2CF9AE}" pid="38" name="DocumentType">
    <vt:lpwstr>246;#RI|0e66e8df-1601-4fe1-947b-eb539760261a</vt:lpwstr>
  </property>
  <property fmtid="{D5CDD505-2E9C-101B-9397-08002B2CF9AE}" pid="39" name="DocumentLanguage">
    <vt:lpwstr>5;#EN|f2175f21-25d7-44a3-96da-d6a61b075e1b</vt:lpwstr>
  </property>
  <property fmtid="{D5CDD505-2E9C-101B-9397-08002B2CF9AE}" pid="40" name="_docset_NoMedatataSyncRequired">
    <vt:lpwstr>False</vt:lpwstr>
  </property>
</Properties>
</file>