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1F165D" w:rsidR="00574C9B" w:rsidTr="008E4CC5" w14:paraId="4B18B74B" w14:textId="77777777">
        <w:trPr>
          <w:jc w:val="center"/>
        </w:trPr>
        <w:tc>
          <w:tcPr>
            <w:tcW w:w="5000" w:type="pct"/>
            <w:vAlign w:val="center"/>
          </w:tcPr>
          <w:p w:rsidRPr="001F165D" w:rsidR="00574C9B" w:rsidP="006125A1" w:rsidRDefault="00360204" w14:paraId="4B8F14AB" w14:textId="1DC17AD9">
            <w:pPr>
              <w:jc w:val="center"/>
              <w:rPr>
                <w:b/>
                <w:sz w:val="72"/>
                <w:szCs w:val="72"/>
              </w:rPr>
            </w:pPr>
            <w:r>
              <w:rPr>
                <w:b/>
                <w:sz w:val="72"/>
              </w:rPr>
              <w:t>TEABEARUANNE</w:t>
            </w:r>
          </w:p>
        </w:tc>
      </w:tr>
      <w:tr w:rsidRPr="001F165D" w:rsidR="00574C9B" w:rsidTr="008E4CC5" w14:paraId="428F80C1" w14:textId="77777777">
        <w:trPr>
          <w:trHeight w:val="567"/>
          <w:jc w:val="center"/>
        </w:trPr>
        <w:tc>
          <w:tcPr>
            <w:tcW w:w="5000" w:type="pct"/>
            <w:vAlign w:val="center"/>
          </w:tcPr>
          <w:p w:rsidRPr="001F165D" w:rsidR="00574C9B" w:rsidP="006125A1" w:rsidRDefault="00574C9B" w14:paraId="0E3C838D" w14:textId="126C60AA">
            <w:pPr>
              <w:jc w:val="center"/>
              <w:rPr>
                <w:sz w:val="24"/>
                <w:szCs w:val="24"/>
              </w:rPr>
            </w:pPr>
            <w:r>
              <w:rPr>
                <w:sz w:val="24"/>
              </w:rPr>
              <w:t>Euroopa Majandus- ja Sotsiaalkomitee</w:t>
            </w:r>
          </w:p>
        </w:tc>
      </w:tr>
      <w:tr w:rsidRPr="001F165D" w:rsidR="00574C9B" w:rsidTr="008E4CC5" w14:paraId="5FCA7EB1" w14:textId="77777777">
        <w:trPr>
          <w:jc w:val="center"/>
        </w:trPr>
        <w:tc>
          <w:tcPr>
            <w:tcW w:w="5000" w:type="pct"/>
            <w:vAlign w:val="center"/>
          </w:tcPr>
          <w:p w:rsidRPr="001F165D" w:rsidR="00574C9B" w:rsidP="006125A1" w:rsidRDefault="00384833" w14:paraId="164B3F5D" w14:textId="5D9FC059">
            <w:pPr>
              <w:jc w:val="center"/>
              <w:rPr>
                <w:b/>
                <w:sz w:val="44"/>
                <w:szCs w:val="44"/>
              </w:rPr>
            </w:pPr>
            <w:r>
              <w:rPr>
                <w:b/>
                <w:sz w:val="44"/>
              </w:rPr>
              <w:t>Kodanikuühiskonna organisatsioonide olukord ASEANi riikides</w:t>
            </w:r>
          </w:p>
        </w:tc>
      </w:tr>
      <w:tr w:rsidRPr="001F165D" w:rsidR="00574C9B" w:rsidTr="008E4CC5" w14:paraId="0A2CA787" w14:textId="77777777">
        <w:trPr>
          <w:jc w:val="center"/>
        </w:trPr>
        <w:tc>
          <w:tcPr>
            <w:tcW w:w="5000" w:type="pct"/>
            <w:vAlign w:val="center"/>
          </w:tcPr>
          <w:p w:rsidRPr="001F165D" w:rsidR="00574C9B" w:rsidP="006125A1" w:rsidRDefault="00574C9B" w14:paraId="766B3712" w14:textId="77777777">
            <w:pPr>
              <w:overflowPunct w:val="0"/>
              <w:autoSpaceDE w:val="0"/>
              <w:autoSpaceDN w:val="0"/>
              <w:adjustRightInd w:val="0"/>
              <w:jc w:val="center"/>
              <w:textAlignment w:val="baseline"/>
              <w:rPr>
                <w:b/>
                <w:position w:val="24"/>
                <w:sz w:val="24"/>
                <w:szCs w:val="24"/>
              </w:rPr>
            </w:pPr>
            <w:r>
              <w:rPr>
                <w:sz w:val="24"/>
              </w:rPr>
              <w:t>_____________</w:t>
            </w:r>
          </w:p>
        </w:tc>
      </w:tr>
      <w:tr w:rsidRPr="001F165D" w:rsidR="00574C9B" w:rsidTr="008E4CC5" w14:paraId="651BE820" w14:textId="77777777">
        <w:trPr>
          <w:jc w:val="center"/>
        </w:trPr>
        <w:tc>
          <w:tcPr>
            <w:tcW w:w="5000" w:type="pct"/>
            <w:vAlign w:val="center"/>
          </w:tcPr>
          <w:p w:rsidRPr="001F165D" w:rsidR="00574C9B" w:rsidP="00360204" w:rsidRDefault="007918CC" w14:paraId="6E238E6D" w14:textId="0C45FE3E">
            <w:pPr>
              <w:jc w:val="center"/>
              <w:rPr>
                <w:sz w:val="24"/>
                <w:szCs w:val="24"/>
              </w:rPr>
            </w:pPr>
            <w:r>
              <w:t>Kodanikuühiskonna organisatsioonide olukord ASEANi riikides</w:t>
            </w:r>
          </w:p>
        </w:tc>
      </w:tr>
      <w:tr w:rsidRPr="001F165D" w:rsidR="00574C9B" w:rsidTr="008E4CC5" w14:paraId="295584EE" w14:textId="77777777">
        <w:trPr>
          <w:jc w:val="center"/>
        </w:trPr>
        <w:tc>
          <w:tcPr>
            <w:tcW w:w="5000" w:type="pct"/>
            <w:vAlign w:val="center"/>
          </w:tcPr>
          <w:p w:rsidRPr="001F165D" w:rsidR="00574C9B" w:rsidP="006125A1" w:rsidRDefault="00574C9B" w14:paraId="7AA50FA1" w14:textId="77777777">
            <w:pPr>
              <w:jc w:val="center"/>
              <w:rPr>
                <w:sz w:val="24"/>
                <w:szCs w:val="24"/>
                <w:lang w:val="en-GB"/>
              </w:rPr>
            </w:pPr>
          </w:p>
        </w:tc>
      </w:tr>
      <w:tr w:rsidRPr="001F165D" w:rsidR="00574C9B" w:rsidTr="008E4CC5" w14:paraId="41F47321" w14:textId="77777777">
        <w:trPr>
          <w:jc w:val="center"/>
        </w:trPr>
        <w:tc>
          <w:tcPr>
            <w:tcW w:w="5000" w:type="pct"/>
            <w:vAlign w:val="center"/>
          </w:tcPr>
          <w:p w:rsidRPr="001F165D" w:rsidR="00574C9B" w:rsidP="006125A1" w:rsidRDefault="007918CC" w14:paraId="50D97899" w14:textId="308AC2EA">
            <w:pPr>
              <w:jc w:val="center"/>
              <w:rPr>
                <w:b/>
                <w:sz w:val="24"/>
                <w:szCs w:val="24"/>
              </w:rPr>
            </w:pPr>
            <w:r>
              <w:rPr>
                <w:b/>
                <w:sz w:val="24"/>
              </w:rPr>
              <w:t>REX/589</w:t>
            </w:r>
          </w:p>
        </w:tc>
      </w:tr>
      <w:tr w:rsidRPr="001F165D" w:rsidR="00574C9B" w:rsidTr="008E4CC5" w14:paraId="2110FDEB" w14:textId="77777777">
        <w:trPr>
          <w:jc w:val="center"/>
        </w:trPr>
        <w:tc>
          <w:tcPr>
            <w:tcW w:w="5000" w:type="pct"/>
            <w:vAlign w:val="center"/>
          </w:tcPr>
          <w:p w:rsidRPr="001F165D" w:rsidR="00574C9B" w:rsidP="006125A1" w:rsidRDefault="00574C9B" w14:paraId="59F181E4" w14:textId="77777777">
            <w:pPr>
              <w:jc w:val="center"/>
              <w:rPr>
                <w:sz w:val="24"/>
                <w:szCs w:val="24"/>
                <w:lang w:val="en-GB"/>
              </w:rPr>
            </w:pPr>
          </w:p>
        </w:tc>
      </w:tr>
      <w:tr w:rsidRPr="001F165D" w:rsidR="00574C9B" w:rsidTr="008E4CC5" w14:paraId="5DF7EBEA" w14:textId="77777777">
        <w:trPr>
          <w:jc w:val="center"/>
        </w:trPr>
        <w:tc>
          <w:tcPr>
            <w:tcW w:w="5000" w:type="pct"/>
            <w:vAlign w:val="center"/>
          </w:tcPr>
          <w:p w:rsidRPr="001F165D" w:rsidR="00F1723D" w:rsidP="00F1723D" w:rsidRDefault="00F1723D" w14:paraId="6A1138F4" w14:textId="566459AE">
            <w:pPr>
              <w:jc w:val="center"/>
              <w:rPr>
                <w:b/>
                <w:bCs/>
              </w:rPr>
            </w:pPr>
            <w:r>
              <w:t xml:space="preserve">Raportöör: </w:t>
            </w:r>
            <w:r>
              <w:rPr>
                <w:b/>
              </w:rPr>
              <w:t>Erika KOLLER</w:t>
            </w:r>
          </w:p>
          <w:p w:rsidRPr="001F165D" w:rsidR="00574C9B" w:rsidP="006125A1" w:rsidRDefault="00F1723D" w14:paraId="23E9DE0A" w14:textId="10E098E1">
            <w:pPr>
              <w:jc w:val="center"/>
              <w:rPr>
                <w:sz w:val="24"/>
                <w:szCs w:val="24"/>
              </w:rPr>
            </w:pPr>
            <w:r>
              <w:t xml:space="preserve">Kaasraportöör: </w:t>
            </w:r>
            <w:proofErr w:type="spellStart"/>
            <w:r>
              <w:rPr>
                <w:b/>
              </w:rPr>
              <w:t>Krzysztof</w:t>
            </w:r>
            <w:proofErr w:type="spellEnd"/>
            <w:r>
              <w:rPr>
                <w:b/>
              </w:rPr>
              <w:t xml:space="preserve"> PATER</w:t>
            </w:r>
          </w:p>
        </w:tc>
      </w:tr>
    </w:tbl>
    <w:p w:rsidRPr="001F165D" w:rsidR="00574C9B" w:rsidP="00574C9B" w:rsidRDefault="00574C9B" w14:paraId="0B225863" w14:textId="77777777">
      <w:r>
        <w:rPr>
          <w:noProof/>
          <w:sz w:val="20"/>
        </w:rPr>
        <mc:AlternateContent>
          <mc:Choice Requires="wps">
            <w:drawing>
              <wp:anchor distT="0" distB="0" distL="114300" distR="114300" simplePos="0" relativeHeight="251659264"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3B00903" w14:textId="77777777">
                      <w:pPr>
                        <w:jc w:val="center"/>
                      </w:pPr>
                      <w:r>
                        <w:rPr>
                          <w:rFonts w:ascii="Arial" w:hAnsi="Arial"/>
                          <w:b/>
                          <w:sz w:val="48"/>
                        </w:rPr>
                        <w:t>ET</w:t>
                      </w:r>
                    </w:p>
                  </w:txbxContent>
                </v:textbox>
                <w10:wrap anchorx="margin" anchory="page"/>
              </v:shape>
            </w:pict>
          </mc:Fallback>
        </mc:AlternateContent>
      </w:r>
    </w:p>
    <w:p w:rsidRPr="001F165D" w:rsidR="00574C9B" w:rsidP="00574C9B" w:rsidRDefault="00574C9B" w14:paraId="3FA5826A" w14:textId="77777777">
      <w:pPr>
        <w:rPr>
          <w:lang w:val="en-GB"/>
        </w:rPr>
      </w:pPr>
    </w:p>
    <w:p w:rsidRPr="001F165D" w:rsidR="00574C9B" w:rsidP="00574C9B" w:rsidRDefault="00574C9B" w14:paraId="4B88FC0A" w14:textId="77777777">
      <w:pPr>
        <w:rPr>
          <w:lang w:val="en-GB"/>
        </w:rPr>
        <w:sectPr w:rsidRPr="001F165D" w:rsidR="00574C9B" w:rsidSect="00296BCE">
          <w:headerReference w:type="even" r:id="rId10"/>
          <w:headerReference w:type="default" r:id="rId11"/>
          <w:footerReference w:type="even" r:id="rId12"/>
          <w:footerReference w:type="default" r:id="rId13"/>
          <w:headerReference w:type="first" r:id="rId14"/>
          <w:footerReference w:type="first" r:id="rId15"/>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1F165D" w:rsidR="00C5137B" w:rsidTr="00E15BF4" w14:paraId="6755593A" w14:textId="77777777">
        <w:tc>
          <w:tcPr>
            <w:tcW w:w="3085" w:type="dxa"/>
          </w:tcPr>
          <w:p w:rsidRPr="001F165D" w:rsidR="00C5137B" w:rsidP="0058411F" w:rsidRDefault="00C5137B" w14:paraId="5F91A05F" w14:textId="0D333D6B">
            <w:pPr>
              <w:autoSpaceDE w:val="0"/>
              <w:autoSpaceDN w:val="0"/>
              <w:jc w:val="left"/>
              <w:rPr>
                <w:szCs w:val="20"/>
              </w:rPr>
            </w:pPr>
            <w:r>
              <w:lastRenderedPageBreak/>
              <w:t>Nõustaja</w:t>
            </w:r>
          </w:p>
        </w:tc>
        <w:tc>
          <w:tcPr>
            <w:tcW w:w="6204" w:type="dxa"/>
            <w:vAlign w:val="bottom"/>
          </w:tcPr>
          <w:p w:rsidRPr="001F165D" w:rsidR="00C5137B" w:rsidP="0058411F" w:rsidRDefault="00306381" w14:paraId="70C24170" w14:textId="68ABC4A9">
            <w:pPr>
              <w:autoSpaceDE w:val="0"/>
              <w:autoSpaceDN w:val="0"/>
              <w:jc w:val="left"/>
            </w:pPr>
            <w:r>
              <w:t xml:space="preserve">Claudia </w:t>
            </w:r>
            <w:proofErr w:type="spellStart"/>
            <w:r>
              <w:t>Lozano</w:t>
            </w:r>
            <w:proofErr w:type="spellEnd"/>
            <w:r>
              <w:t xml:space="preserve"> </w:t>
            </w:r>
            <w:proofErr w:type="spellStart"/>
            <w:r>
              <w:t>Rodriguez</w:t>
            </w:r>
            <w:proofErr w:type="spellEnd"/>
            <w:r>
              <w:t xml:space="preserve"> </w:t>
            </w:r>
          </w:p>
        </w:tc>
      </w:tr>
      <w:tr w:rsidRPr="001F165D" w:rsidR="00C5137B" w:rsidTr="00E15BF4" w14:paraId="0F2D8E06" w14:textId="77777777">
        <w:tc>
          <w:tcPr>
            <w:tcW w:w="3085" w:type="dxa"/>
          </w:tcPr>
          <w:p w:rsidRPr="001F165D" w:rsidR="00C5137B" w:rsidP="0058411F" w:rsidRDefault="00C5137B" w14:paraId="4CD317AD" w14:textId="77777777">
            <w:pPr>
              <w:autoSpaceDE w:val="0"/>
              <w:autoSpaceDN w:val="0"/>
              <w:jc w:val="left"/>
              <w:rPr>
                <w:szCs w:val="20"/>
                <w:lang w:val="en-GB"/>
              </w:rPr>
            </w:pPr>
          </w:p>
        </w:tc>
        <w:tc>
          <w:tcPr>
            <w:tcW w:w="6204" w:type="dxa"/>
            <w:vAlign w:val="bottom"/>
          </w:tcPr>
          <w:p w:rsidRPr="001F165D" w:rsidR="00C5137B" w:rsidP="0058411F" w:rsidRDefault="00C5137B" w14:paraId="59403491" w14:textId="77777777">
            <w:pPr>
              <w:autoSpaceDE w:val="0"/>
              <w:autoSpaceDN w:val="0"/>
              <w:jc w:val="left"/>
              <w:rPr>
                <w:lang w:val="en-GB"/>
              </w:rPr>
            </w:pPr>
          </w:p>
        </w:tc>
      </w:tr>
      <w:tr w:rsidRPr="001F165D" w:rsidR="00914683" w:rsidTr="00E15BF4" w14:paraId="3E385435" w14:textId="77777777">
        <w:tc>
          <w:tcPr>
            <w:tcW w:w="3085" w:type="dxa"/>
          </w:tcPr>
          <w:p w:rsidRPr="001F165D" w:rsidR="00914683" w:rsidP="0058411F" w:rsidRDefault="00914683" w14:paraId="3054D729" w14:textId="5D5B5FF6">
            <w:pPr>
              <w:autoSpaceDE w:val="0"/>
              <w:autoSpaceDN w:val="0"/>
              <w:jc w:val="left"/>
              <w:rPr>
                <w:szCs w:val="20"/>
              </w:rPr>
            </w:pPr>
            <w:r>
              <w:t>Õiguslik alus</w:t>
            </w:r>
          </w:p>
        </w:tc>
        <w:tc>
          <w:tcPr>
            <w:tcW w:w="6204" w:type="dxa"/>
            <w:vAlign w:val="bottom"/>
          </w:tcPr>
          <w:p w:rsidRPr="001F165D" w:rsidR="00914683" w:rsidP="0058411F" w:rsidRDefault="00914683" w14:paraId="41CF067A" w14:textId="0D6FB79C">
            <w:pPr>
              <w:autoSpaceDE w:val="0"/>
              <w:autoSpaceDN w:val="0"/>
              <w:jc w:val="left"/>
            </w:pPr>
            <w:r>
              <w:t>kodukorra artikli 52 lõige 3</w:t>
            </w:r>
          </w:p>
        </w:tc>
      </w:tr>
      <w:tr w:rsidRPr="001F165D" w:rsidR="00AC5114" w:rsidTr="00E15BF4" w14:paraId="0E2099A6" w14:textId="77777777">
        <w:tc>
          <w:tcPr>
            <w:tcW w:w="3085" w:type="dxa"/>
          </w:tcPr>
          <w:p w:rsidRPr="001F165D" w:rsidR="00AC5114" w:rsidP="0058411F" w:rsidRDefault="00AC5114" w14:paraId="0BC68BA5" w14:textId="77777777">
            <w:pPr>
              <w:autoSpaceDE w:val="0"/>
              <w:autoSpaceDN w:val="0"/>
              <w:jc w:val="left"/>
            </w:pPr>
            <w:r>
              <w:t>Vastutav sektsioon</w:t>
            </w:r>
          </w:p>
        </w:tc>
        <w:tc>
          <w:tcPr>
            <w:tcW w:w="6204" w:type="dxa"/>
            <w:vAlign w:val="bottom"/>
          </w:tcPr>
          <w:p w:rsidRPr="001F165D" w:rsidR="00AC5114" w:rsidP="0058411F" w:rsidRDefault="00094C5F" w14:paraId="5AE7EA9E" w14:textId="20A48906">
            <w:pPr>
              <w:autoSpaceDE w:val="0"/>
              <w:autoSpaceDN w:val="0"/>
              <w:jc w:val="left"/>
            </w:pPr>
            <w:r>
              <w:t>välissuhete sektsioon</w:t>
            </w:r>
          </w:p>
        </w:tc>
      </w:tr>
      <w:tr w:rsidRPr="001F165D" w:rsidR="00AC5114" w:rsidTr="00E15BF4" w14:paraId="53972E32" w14:textId="77777777">
        <w:tc>
          <w:tcPr>
            <w:tcW w:w="3085" w:type="dxa"/>
          </w:tcPr>
          <w:p w:rsidRPr="001F165D" w:rsidR="00AC5114" w:rsidP="0058411F" w:rsidRDefault="00AC5114" w14:paraId="13B33E83" w14:textId="77777777">
            <w:pPr>
              <w:autoSpaceDE w:val="0"/>
              <w:autoSpaceDN w:val="0"/>
              <w:jc w:val="left"/>
            </w:pPr>
            <w:r>
              <w:t>Vastuvõtmine sektsioonis</w:t>
            </w:r>
          </w:p>
        </w:tc>
        <w:tc>
          <w:tcPr>
            <w:tcW w:w="6204" w:type="dxa"/>
            <w:vAlign w:val="bottom"/>
          </w:tcPr>
          <w:p w:rsidRPr="001F165D" w:rsidR="00AC5114" w:rsidP="0058411F" w:rsidRDefault="00B73B79" w14:paraId="5E71ECD2" w14:textId="467FD4ED">
            <w:pPr>
              <w:autoSpaceDE w:val="0"/>
              <w:autoSpaceDN w:val="0"/>
              <w:jc w:val="left"/>
            </w:pPr>
            <w:r>
              <w:t>6/5/2025</w:t>
            </w:r>
          </w:p>
        </w:tc>
      </w:tr>
      <w:tr w:rsidRPr="001F165D" w:rsidR="0058411F" w:rsidTr="00E15BF4" w14:paraId="7AE47B93" w14:textId="77777777">
        <w:tc>
          <w:tcPr>
            <w:tcW w:w="3085" w:type="dxa"/>
          </w:tcPr>
          <w:p w:rsidRPr="001F165D" w:rsidR="0058411F" w:rsidP="0058411F" w:rsidRDefault="0058411F" w14:paraId="26DE3092" w14:textId="352FC8CA">
            <w:pPr>
              <w:autoSpaceDE w:val="0"/>
              <w:autoSpaceDN w:val="0"/>
              <w:jc w:val="left"/>
            </w:pPr>
            <w:r>
              <w:t>Vastuvõtmine täiskogus</w:t>
            </w:r>
          </w:p>
        </w:tc>
        <w:tc>
          <w:tcPr>
            <w:tcW w:w="6204" w:type="dxa"/>
            <w:vAlign w:val="bottom"/>
          </w:tcPr>
          <w:p w:rsidRPr="001F165D" w:rsidR="0058411F" w:rsidP="0058411F" w:rsidRDefault="00B73B79" w14:paraId="34FA2183" w14:textId="31185D71">
            <w:pPr>
              <w:autoSpaceDE w:val="0"/>
              <w:autoSpaceDN w:val="0"/>
              <w:jc w:val="left"/>
            </w:pPr>
            <w:r>
              <w:t>19/6/2025</w:t>
            </w:r>
          </w:p>
        </w:tc>
      </w:tr>
      <w:tr w:rsidRPr="001F165D" w:rsidR="0058411F" w:rsidTr="00E15BF4" w14:paraId="2FE8AE44" w14:textId="77777777">
        <w:tc>
          <w:tcPr>
            <w:tcW w:w="3085" w:type="dxa"/>
          </w:tcPr>
          <w:p w:rsidRPr="001F165D" w:rsidR="0058411F" w:rsidP="0058411F" w:rsidRDefault="0058411F" w14:paraId="2A65A034" w14:textId="77777777">
            <w:pPr>
              <w:autoSpaceDE w:val="0"/>
              <w:autoSpaceDN w:val="0"/>
              <w:jc w:val="left"/>
            </w:pPr>
            <w:r>
              <w:t>Täiskogu istungjärk nr</w:t>
            </w:r>
          </w:p>
        </w:tc>
        <w:tc>
          <w:tcPr>
            <w:tcW w:w="6204" w:type="dxa"/>
            <w:vAlign w:val="bottom"/>
          </w:tcPr>
          <w:p w:rsidRPr="001F165D" w:rsidR="0058411F" w:rsidP="0058411F" w:rsidRDefault="00094C5F" w14:paraId="17BFB0A7" w14:textId="0EC58D9F">
            <w:pPr>
              <w:autoSpaceDE w:val="0"/>
              <w:autoSpaceDN w:val="0"/>
              <w:jc w:val="left"/>
            </w:pPr>
            <w:r>
              <w:t>597</w:t>
            </w:r>
          </w:p>
        </w:tc>
      </w:tr>
      <w:tr w:rsidRPr="001F165D" w:rsidR="0058411F" w:rsidTr="00E15BF4" w14:paraId="3889B17A" w14:textId="77777777">
        <w:tc>
          <w:tcPr>
            <w:tcW w:w="3085" w:type="dxa"/>
          </w:tcPr>
          <w:p w:rsidRPr="001F165D" w:rsidR="0058411F" w:rsidP="0058411F" w:rsidRDefault="0058411F" w14:paraId="0C723801" w14:textId="77777777">
            <w:pPr>
              <w:autoSpaceDE w:val="0"/>
              <w:autoSpaceDN w:val="0"/>
              <w:jc w:val="left"/>
            </w:pPr>
            <w:r>
              <w:t>Hääletuse tulemus</w:t>
            </w:r>
            <w:r>
              <w:br/>
              <w:t>(poolt/vastu/erapooletuid)</w:t>
            </w:r>
          </w:p>
        </w:tc>
        <w:tc>
          <w:tcPr>
            <w:tcW w:w="6204" w:type="dxa"/>
            <w:vAlign w:val="bottom"/>
          </w:tcPr>
          <w:p w:rsidRPr="001F165D" w:rsidR="0058411F" w:rsidP="0058411F" w:rsidRDefault="00E05575" w14:paraId="14DB34EA" w14:textId="2CF1597F">
            <w:pPr>
              <w:autoSpaceDE w:val="0"/>
              <w:autoSpaceDN w:val="0"/>
              <w:jc w:val="left"/>
            </w:pPr>
            <w:r>
              <w:t>103/2/0</w:t>
            </w:r>
          </w:p>
        </w:tc>
      </w:tr>
    </w:tbl>
    <w:p w:rsidRPr="001F165D" w:rsidR="00AC5114" w:rsidP="00574C9B" w:rsidRDefault="00AC5114" w14:paraId="156A5F34" w14:textId="77777777">
      <w:pPr>
        <w:rPr>
          <w:lang w:val="en-GB"/>
        </w:rPr>
      </w:pPr>
    </w:p>
    <w:p w:rsidRPr="001F165D" w:rsidR="00AC5114" w:rsidP="00574C9B" w:rsidRDefault="00AC5114" w14:paraId="2CD3051D" w14:textId="77777777">
      <w:pPr>
        <w:rPr>
          <w:lang w:val="en-GB"/>
        </w:rPr>
        <w:sectPr w:rsidRPr="001F165D" w:rsidR="00AC5114" w:rsidSect="00296BCE">
          <w:headerReference w:type="even" r:id="rId16"/>
          <w:headerReference w:type="default" r:id="rId17"/>
          <w:footerReference w:type="default" r:id="rId18"/>
          <w:headerReference w:type="first" r:id="rId19"/>
          <w:pgSz w:w="11907" w:h="16839" w:code="9"/>
          <w:pgMar w:top="5669" w:right="1418" w:bottom="1418" w:left="1418" w:header="709" w:footer="709" w:gutter="0"/>
          <w:cols w:space="720"/>
          <w:docGrid w:linePitch="360"/>
        </w:sectPr>
      </w:pPr>
    </w:p>
    <w:p w:rsidRPr="001F165D" w:rsidR="00C11E25" w:rsidP="00C11E25" w:rsidRDefault="00C11E25" w14:paraId="7286F6EC" w14:textId="77777777">
      <w:pPr>
        <w:pStyle w:val="Heading1"/>
        <w:rPr>
          <w:b/>
          <w:bCs/>
        </w:rPr>
      </w:pPr>
      <w:r>
        <w:rPr>
          <w:b/>
        </w:rPr>
        <w:lastRenderedPageBreak/>
        <w:t>Sissejuhatus</w:t>
      </w:r>
    </w:p>
    <w:p w:rsidRPr="001F165D" w:rsidR="00C11E25" w:rsidP="00C11E25" w:rsidRDefault="00C11E25" w14:paraId="3EBBB844" w14:textId="77777777">
      <w:pPr>
        <w:rPr>
          <w:lang w:val="en-GB"/>
        </w:rPr>
      </w:pPr>
    </w:p>
    <w:p w:rsidRPr="001F165D" w:rsidR="00C11E25" w:rsidP="00C11E25" w:rsidRDefault="00C11E25" w14:paraId="4298DE59" w14:textId="77777777">
      <w:pPr>
        <w:pStyle w:val="Heading2"/>
      </w:pPr>
      <w:r>
        <w:t xml:space="preserve">Teabearuande eesmärk on pakkuda teavet Kagu-Aasia Maade Assotsiatsiooni (ASEAN) ja Euroopa Liidu suhete arengu kohta, eelkõige seoses kodanikuühiskonna ja kestliku arengu rolliga kaubanduse ja poliitilise koostöö kontekstis. </w:t>
      </w:r>
    </w:p>
    <w:p w:rsidRPr="001F165D" w:rsidR="00C11E25" w:rsidP="00C11E25" w:rsidRDefault="00C11E25" w14:paraId="7D96C768" w14:textId="77777777">
      <w:pPr>
        <w:rPr>
          <w:lang w:val="en-GB"/>
        </w:rPr>
      </w:pPr>
    </w:p>
    <w:p w:rsidRPr="001F165D" w:rsidR="00C11E25" w:rsidP="00C11E25" w:rsidRDefault="00C11E25" w14:paraId="1C6CE123" w14:textId="77777777">
      <w:pPr>
        <w:pStyle w:val="Heading2"/>
      </w:pPr>
      <w:r>
        <w:t xml:space="preserve">ASEAN on </w:t>
      </w:r>
      <w:proofErr w:type="spellStart"/>
      <w:r>
        <w:t>valitsustevaheline</w:t>
      </w:r>
      <w:proofErr w:type="spellEnd"/>
      <w:r>
        <w:t xml:space="preserve"> organisatsioon, mis austab kindlalt suveräänset võrdsust</w:t>
      </w:r>
      <w:r w:rsidRPr="001F165D">
        <w:rPr>
          <w:vertAlign w:val="superscript"/>
          <w:lang w:val="en-GB"/>
        </w:rPr>
        <w:footnoteReference w:id="1"/>
      </w:r>
      <w:r>
        <w:t xml:space="preserve"> ja käsitab riiklikke huve pragmaatiliselt. Kollektiivne otsuste tegemine kajastab liikmesriikide erinevat institutsioonilist suutlikkust ja erinevaid majandusmudeleid.</w:t>
      </w:r>
    </w:p>
    <w:p w:rsidRPr="001F165D" w:rsidR="00C11E25" w:rsidP="00C11E25" w:rsidRDefault="00C11E25" w14:paraId="1805B50A" w14:textId="77777777">
      <w:pPr>
        <w:rPr>
          <w:lang w:val="en-GB"/>
        </w:rPr>
      </w:pPr>
    </w:p>
    <w:p w:rsidRPr="001F165D" w:rsidR="00C11E25" w:rsidP="00C11E25" w:rsidRDefault="00C11E25" w14:paraId="2DFEF263" w14:textId="77777777">
      <w:pPr>
        <w:pStyle w:val="Heading2"/>
      </w:pPr>
      <w:r>
        <w:t xml:space="preserve">Kuigi ELi ja ASEANi ametlik koostöö on kestnud peaaegu pool sajandit, ei lase prioriteetide ja juhtimisraamistike erinevused kummalgi poolel partnerluse võimalikke eeliseid kasutada. 2017. aastal alustati ambitsioonikaid läbirääkimisi </w:t>
      </w:r>
      <w:proofErr w:type="spellStart"/>
      <w:r>
        <w:t>blokkidevahelise</w:t>
      </w:r>
      <w:proofErr w:type="spellEnd"/>
      <w:r>
        <w:t xml:space="preserve"> vabakaubanduslepingu üle, kuid need peatati kaks aastat hiljem. Sellest ajast saati on korduvad püüdlused koostööd süvendada soikunud, põrkudes sageli muu hulgas inimõiguste, sanktsioonide ja kestlikkuse küsimustele. </w:t>
      </w:r>
    </w:p>
    <w:p w:rsidRPr="001F165D" w:rsidR="00C11E25" w:rsidP="00C11E25" w:rsidRDefault="00C11E25" w14:paraId="28A58AD2" w14:textId="77777777">
      <w:pPr>
        <w:rPr>
          <w:lang w:val="en-GB"/>
        </w:rPr>
      </w:pPr>
    </w:p>
    <w:p w:rsidRPr="001F165D" w:rsidR="00C11E25" w:rsidP="00C11E25" w:rsidRDefault="00C11E25" w14:paraId="71CB5F5F" w14:textId="77777777">
      <w:pPr>
        <w:pStyle w:val="Heading2"/>
      </w:pPr>
      <w:r>
        <w:t>Neil kahel piirkonnal on rohkem ühist, kui sageli tunnistatakse. ELi ja ASEANi sisukas partnerlus, mis rajaneb põhimõttelisele koostööle ja üksteise poliitiliste lähenemisviiside austamisele, on stabiliseeriv jõud üha muutlikumas ülemaailmses keskkonnas. Neid ühendab ühine toetus reeglitel põhinevale rahvusvahelisele korrale ning pühendumine rahule ja arengule. Siiski leiavad mõlemad pooled end üha polariseeruvamas maailmas, olles sattunud lõksu Ameerika Ühendriikide ja Hiina vahele. ASEANi keskse rolli</w:t>
      </w:r>
      <w:r w:rsidRPr="001F165D">
        <w:rPr>
          <w:rStyle w:val="FootnoteReference"/>
          <w:lang w:val="en-GB"/>
        </w:rPr>
        <w:footnoteReference w:id="2"/>
      </w:r>
      <w:r>
        <w:t xml:space="preserve"> tunnustamine Ida-Aasias ja Euroopa jõupingutused edendada püsivamat piirkondlikku kohalolekut võivad aidata neil mõlemal vältida mineviku vigade kordamist ja langemist nn erilisuse lõksu, mille korral ühe partneri probleemid hakkaksid laiemat strateegilist koostööd õõnestama.</w:t>
      </w:r>
    </w:p>
    <w:p w:rsidRPr="001F165D" w:rsidR="00C11E25" w:rsidP="00C11E25" w:rsidRDefault="00C11E25" w14:paraId="2216AB7C" w14:textId="77777777">
      <w:pPr>
        <w:rPr>
          <w:lang w:val="en-GB"/>
        </w:rPr>
      </w:pPr>
    </w:p>
    <w:p w:rsidRPr="001F165D" w:rsidR="00C11E25" w:rsidP="00C11E25" w:rsidRDefault="00C11E25" w14:paraId="5ABD8425" w14:textId="77777777">
      <w:pPr>
        <w:pStyle w:val="Heading2"/>
      </w:pPr>
      <w:r>
        <w:t xml:space="preserve">ELi ja ASEANi suhete aluseks on iga-aastaste kohtumiste ja töörühmade (sh </w:t>
      </w:r>
      <w:proofErr w:type="spellStart"/>
      <w:r>
        <w:t>ühiskomitee</w:t>
      </w:r>
      <w:proofErr w:type="spellEnd"/>
      <w:r>
        <w:t xml:space="preserve">) väljakujunenud rütm, mis aitab kaasa kõrgetasemelisele ministrite dialoogile ja tööstuskoostööle erifoorumite kaudu. Kavakohaselt peaks 2025. aasta lõpus toimuma ka ELi ja ASEANi </w:t>
      </w:r>
      <w:proofErr w:type="spellStart"/>
      <w:r>
        <w:t>inimõigustealane</w:t>
      </w:r>
      <w:proofErr w:type="spellEnd"/>
      <w:r>
        <w:t xml:space="preserve"> dialoog.</w:t>
      </w:r>
    </w:p>
    <w:p w:rsidRPr="001F165D" w:rsidR="00C11E25" w:rsidP="00C11E25" w:rsidRDefault="00C11E25" w14:paraId="33835FF3" w14:textId="77777777">
      <w:pPr>
        <w:pStyle w:val="Heading2"/>
        <w:numPr>
          <w:ilvl w:val="0"/>
          <w:numId w:val="0"/>
        </w:numPr>
        <w:spacing w:line="276" w:lineRule="auto"/>
        <w:rPr>
          <w:color w:val="000000" w:themeColor="text1"/>
          <w:lang w:val="en-GB"/>
        </w:rPr>
      </w:pPr>
    </w:p>
    <w:p w:rsidRPr="001F165D" w:rsidR="00C11E25" w:rsidP="00C11E25" w:rsidRDefault="00C11E25" w14:paraId="5204C551" w14:textId="77777777">
      <w:pPr>
        <w:pStyle w:val="Heading2"/>
      </w:pPr>
      <w:r>
        <w:t xml:space="preserve">Kodanikuühiskonnal on keskne roll </w:t>
      </w:r>
      <w:proofErr w:type="spellStart"/>
      <w:r>
        <w:t>piirkondadevahelise</w:t>
      </w:r>
      <w:proofErr w:type="spellEnd"/>
      <w:r>
        <w:t xml:space="preserve"> koostöö arendamisel, eelkõige poliitiliste osalusprotsesside edendamisel ja </w:t>
      </w:r>
      <w:proofErr w:type="spellStart"/>
      <w:r>
        <w:t>piirkondadevahelise</w:t>
      </w:r>
      <w:proofErr w:type="spellEnd"/>
      <w:r>
        <w:t xml:space="preserve"> konsolideerimise toetamisel. Sarnaselt meelestatud riikide jaoks on väga oluline tunnustada Kagu-Aasia keerulisi poliitilisi, sotsiaalseid ja kultuurilisi olusid, mis võivad Euroopa ootustest märkimisväärselt erineda. Erinevuste ületamine on väga tähtis, et edendada institutsionaliseeritud, avatud ja kaasavat dialoogi, millesse kodanikuühiskond on sisuliselt kaasatud. Selline dialoog hõlmab kaasamisstrateegiate ja kohalike olude uut käsitlust ning marginaliseeritud häälte, eelkõige rohujuuretasandi organisatsioonide, naiste, etniliste ja põliselanikest vähemuste ja noorte kaasamise tagamist. Siiski nõuab see ka kodanikuühiskonna organisatsioonidega sõlmitavate partnerluste hoolikamalt hindamist.</w:t>
      </w:r>
    </w:p>
    <w:p w:rsidRPr="001F165D" w:rsidR="00C11E25" w:rsidP="00C11E25" w:rsidRDefault="00C11E25" w14:paraId="1C129EAD" w14:textId="77777777">
      <w:pPr>
        <w:rPr>
          <w:color w:val="000000" w:themeColor="text1"/>
          <w:lang w:val="en-GB"/>
        </w:rPr>
      </w:pPr>
    </w:p>
    <w:p w:rsidRPr="001F165D" w:rsidR="00C11E25" w:rsidP="00C11E25" w:rsidRDefault="00C11E25" w14:paraId="115E1C0E" w14:textId="77777777">
      <w:pPr>
        <w:pStyle w:val="Heading2"/>
      </w:pPr>
      <w:r>
        <w:lastRenderedPageBreak/>
        <w:t>Kagu-Aasia kodanikuühiskonna organisatsioonid tegutsevad keerulises poliitilises olukorras, mida iseloomustab erinev avatuse tase. Kuigi enamik ASEANi liikmeid on ametlikult ühinenud Rahvusvahelise Tööorganisatsiooni (ILO) peamiste konventsioonidega ühinemisvabaduse, kollektiivläbirääkimiste, sunniviisilise töö kaotamise, lapstööjõu kasutamise kaotamise ning võrdsete võimaluste ja kohtlemise kohta,</w:t>
      </w:r>
      <w:r w:rsidRPr="001F165D">
        <w:rPr>
          <w:sz w:val="24"/>
          <w:szCs w:val="24"/>
          <w:vertAlign w:val="superscript"/>
          <w:lang w:val="en-GB"/>
        </w:rPr>
        <w:footnoteReference w:id="3"/>
      </w:r>
      <w:r>
        <w:t xml:space="preserve"> varieerub tegelik õiguslik olukord märkimisväärselt. Seega võib olla keeruline leida kodanikuühiskonna organisatsioone, kes võiksid olla sõltumatuse ja seadusliku esindatuse osas komiteele võrdväärsed partnerid. Selgete võrdlusaluste kehtestamine kodanikuühiskonna osalejate õiguspärasuse hindamiseks kaitseb koostööpüüdluste koopteerimise vastu ja tagab kooskõla demokraatlike põhimõtetega.</w:t>
      </w:r>
    </w:p>
    <w:p w:rsidRPr="001F165D" w:rsidR="00C11E25" w:rsidP="00C11E25" w:rsidRDefault="00C11E25" w14:paraId="62670A51" w14:textId="77777777">
      <w:pPr>
        <w:rPr>
          <w:lang w:val="en-GB"/>
        </w:rPr>
      </w:pPr>
    </w:p>
    <w:p w:rsidRPr="001F165D" w:rsidR="00C11E25" w:rsidP="00C11E25" w:rsidRDefault="00C11E25" w14:paraId="2603BF56" w14:textId="77777777">
      <w:pPr>
        <w:pStyle w:val="Heading2"/>
      </w:pPr>
      <w:r>
        <w:t>Laiema ühiskonna teadlikkus kaasavast juhtimisest ja pluralismist on ASEANi riikides endiselt ebaühtlane. Algatused, mis näitavad kaasava poliitikakujundamise tõelist kasu esmajoones rohujuure tasandi foorumite kaudu, võivad edendada suuremat heakskiitu kodanikuühiskonna osalemisele. Edukad piirkondlikult koordineeritud ettevõtlusfoorumid, näiteks ELi-ASEANi ärinõukogu,</w:t>
      </w:r>
      <w:r w:rsidRPr="001F165D">
        <w:rPr>
          <w:rStyle w:val="FootnoteReference"/>
          <w:color w:val="000000" w:themeColor="text1"/>
          <w:lang w:val="en-GB"/>
        </w:rPr>
        <w:footnoteReference w:id="4"/>
      </w:r>
      <w:r>
        <w:t xml:space="preserve"> osutavad, kuidas struktureeritud, kuid samas paindlikud platvormid võivad hõlbustada viljakat teabevahetust valitsuste ja erasektori osalejate vahel. Need kohtumised võimaldavad poliitika testimist, mitteametlikku arutelu ja usalduse loomist, et leevendada pingeid, mis mõnikord tekivad vastandava lähenemisviisi tõttu.</w:t>
      </w:r>
    </w:p>
    <w:p w:rsidRPr="001F165D" w:rsidR="00C11E25" w:rsidP="00C11E25" w:rsidRDefault="00C11E25" w14:paraId="78D00E05" w14:textId="77777777">
      <w:pPr>
        <w:rPr>
          <w:color w:val="000000" w:themeColor="text1"/>
          <w:lang w:val="en-GB"/>
        </w:rPr>
      </w:pPr>
    </w:p>
    <w:p w:rsidRPr="001F165D" w:rsidR="00C11E25" w:rsidP="00C11E25" w:rsidRDefault="00C11E25" w14:paraId="60B6D677" w14:textId="77777777">
      <w:pPr>
        <w:pStyle w:val="Heading2"/>
      </w:pPr>
      <w:r>
        <w:t>Käesolevas teabearuandes peetakse eriti oluliseks kaubanduspoliitika ja kodanikuühiskonna kaasamise kokkupuutepunkte, eelkõige vabakaubanduslepingutes sisalduvate kaubanduse ja kestliku arengu peatükkide kaudu. Juba sõlmitud vabakaubanduslepingute – nt ELi-Singapuri</w:t>
      </w:r>
      <w:r w:rsidRPr="001F165D">
        <w:rPr>
          <w:sz w:val="24"/>
          <w:szCs w:val="24"/>
          <w:vertAlign w:val="superscript"/>
          <w:lang w:val="en-GB"/>
        </w:rPr>
        <w:footnoteReference w:id="5"/>
      </w:r>
      <w:r>
        <w:t xml:space="preserve"> ning ELi-Vietnami</w:t>
      </w:r>
      <w:r w:rsidRPr="001F165D">
        <w:rPr>
          <w:sz w:val="24"/>
          <w:szCs w:val="24"/>
          <w:vertAlign w:val="superscript"/>
          <w:lang w:val="en-GB"/>
        </w:rPr>
        <w:footnoteReference w:id="6"/>
      </w:r>
      <w:r>
        <w:t xml:space="preserve"> vabakaubanduslepingute – kaubanduse ja kestliku arengu peatükid sisaldavad siduvaid sätteid ja kohustusi rahvusvaheliste töökonventsioonide ja keskkonnakaitse kohta, hõlmates ILO põhikonventsioone ja Pariisi kliimakokkulepet. </w:t>
      </w:r>
    </w:p>
    <w:p w:rsidRPr="001F165D" w:rsidR="00C11E25" w:rsidP="00C11E25" w:rsidRDefault="00C11E25" w14:paraId="614E8EC9" w14:textId="77777777">
      <w:pPr>
        <w:rPr>
          <w:lang w:val="en-GB"/>
        </w:rPr>
      </w:pPr>
    </w:p>
    <w:p w:rsidRPr="001F165D" w:rsidR="00C11E25" w:rsidP="00C11E25" w:rsidRDefault="00C11E25" w14:paraId="1DC8A304" w14:textId="77777777">
      <w:pPr>
        <w:pStyle w:val="Heading2"/>
      </w:pPr>
      <w:r>
        <w:t>Teabearuande ülejäänud osa on liigendatud kolmeks: kõigepealt ASEANi lühitutvustus, seejärel kodanikuühiskonna organisatsioonid ASEANi riikides – ülevaade ja maastik ning viimasena ELi ja ASEANi kaubandussuhted – kaubandus ja kestlik areng.</w:t>
      </w:r>
    </w:p>
    <w:p w:rsidRPr="001F165D" w:rsidR="00C11E25" w:rsidP="00C11E25" w:rsidRDefault="00C11E25" w14:paraId="35229CCE" w14:textId="77777777">
      <w:pPr>
        <w:pStyle w:val="Heading2"/>
        <w:numPr>
          <w:ilvl w:val="0"/>
          <w:numId w:val="0"/>
        </w:numPr>
        <w:rPr>
          <w:lang w:val="en-GB"/>
        </w:rPr>
      </w:pPr>
    </w:p>
    <w:p w:rsidRPr="001F165D" w:rsidR="00C11E25" w:rsidP="00C11E25" w:rsidRDefault="00C11E25" w14:paraId="0BE66833" w14:textId="77777777">
      <w:pPr>
        <w:pStyle w:val="Heading1"/>
        <w:keepNext/>
        <w:keepLines/>
        <w:rPr>
          <w:b/>
          <w:bCs/>
        </w:rPr>
      </w:pPr>
      <w:r>
        <w:rPr>
          <w:b/>
        </w:rPr>
        <w:t>ASEANi tutvustus</w:t>
      </w:r>
    </w:p>
    <w:p w:rsidRPr="001F165D" w:rsidR="00C11E25" w:rsidP="00C11E25" w:rsidRDefault="00C11E25" w14:paraId="21382C72" w14:textId="77777777">
      <w:pPr>
        <w:keepNext/>
        <w:keepLines/>
        <w:rPr>
          <w:lang w:val="en-GB"/>
        </w:rPr>
      </w:pPr>
    </w:p>
    <w:p w:rsidRPr="001F165D" w:rsidR="00C11E25" w:rsidP="00C11E25" w:rsidRDefault="00C11E25" w14:paraId="030DC292" w14:textId="77777777">
      <w:pPr>
        <w:pStyle w:val="Heading2"/>
      </w:pPr>
      <w:r>
        <w:t xml:space="preserve">ASEANi liikmed on Indoneesia, Vietnam, Laos, Brunei, Tai, Myanmar, Filipiinid, Kambodža, Singapur ja Malaisia. ASEAN asutati 1967. aastal Kagu-Aasia sõprus- ja koostöölepinguga ning algselt liitusid sellega Indoneesia, Malaisia, Filipiinid, Singapur ja Tai, et pakkuda külma sõja ajal kollektiivset julgeolekukorraldust. Pärast seda on organisatsioon oma </w:t>
      </w:r>
      <w:proofErr w:type="spellStart"/>
      <w:r>
        <w:t>liikmesust</w:t>
      </w:r>
      <w:proofErr w:type="spellEnd"/>
      <w:r>
        <w:t xml:space="preserve"> laiendanud ning 2022. aastal ühines sellega põhimõtteliselt viimasena Ida-Timor. Ida-Timor peaks saama täisliikmeks 2025. või 2026. aastal. </w:t>
      </w:r>
    </w:p>
    <w:p w:rsidRPr="001F165D" w:rsidR="00C11E25" w:rsidP="00C11E25" w:rsidRDefault="00C11E25" w14:paraId="41EE1482" w14:textId="77777777">
      <w:pPr>
        <w:rPr>
          <w:lang w:val="en-GB"/>
        </w:rPr>
      </w:pPr>
    </w:p>
    <w:p w:rsidRPr="001F165D" w:rsidR="00C11E25" w:rsidP="00C11E25" w:rsidRDefault="00C11E25" w14:paraId="6595A547" w14:textId="77777777">
      <w:pPr>
        <w:pStyle w:val="Heading2"/>
      </w:pPr>
      <w:r>
        <w:t xml:space="preserve">692 miljoni elanikuga ASEAN on üks maailma dünaamilisema majandusega piirkondi. Maailma suuruselt viienda majandusena annab see 7,2 % maailma </w:t>
      </w:r>
      <w:proofErr w:type="spellStart"/>
      <w:r>
        <w:t>SKPst</w:t>
      </w:r>
      <w:proofErr w:type="spellEnd"/>
      <w:r>
        <w:t xml:space="preserve"> (2024), millega </w:t>
      </w:r>
      <w:r>
        <w:lastRenderedPageBreak/>
        <w:t xml:space="preserve">tugevdab oma rolli rahvusvahelise kaubanduse peamise </w:t>
      </w:r>
      <w:proofErr w:type="spellStart"/>
      <w:r>
        <w:t>hoogustajana</w:t>
      </w:r>
      <w:proofErr w:type="spellEnd"/>
      <w:r w:rsidRPr="001F165D">
        <w:rPr>
          <w:sz w:val="24"/>
          <w:szCs w:val="24"/>
          <w:vertAlign w:val="superscript"/>
          <w:lang w:val="en-GB"/>
        </w:rPr>
        <w:footnoteReference w:id="7"/>
      </w:r>
      <w:r>
        <w:t xml:space="preserve">. ELil ja ASEANil on väga institutsionaliseeritud suhted, mida toetavad sellised sihtotstarbelised programmid nagu </w:t>
      </w:r>
      <w:hyperlink r:id="rId20">
        <w:r>
          <w:rPr>
            <w:rStyle w:val="Hyperlink"/>
          </w:rPr>
          <w:t>ELi loodud ASEANi piirkondliku integratsiooni tugiprogramm (programm ARISE+)</w:t>
        </w:r>
      </w:hyperlink>
      <w:r>
        <w:t xml:space="preserve"> ning ELi ja ASEANi tõhustatud piirkondlik dialoogivahend (e-READI). EL on praegu Hiina ja USA järel suuruselt kolmas ASEANi kaubanduspartner ja välisinvestor</w:t>
      </w:r>
      <w:r w:rsidRPr="001F165D">
        <w:rPr>
          <w:rStyle w:val="FootnoteReference"/>
          <w:color w:val="000000" w:themeColor="text1"/>
          <w:lang w:val="en-GB"/>
        </w:rPr>
        <w:footnoteReference w:id="8"/>
      </w:r>
      <w:r>
        <w:t>.</w:t>
      </w:r>
    </w:p>
    <w:p w:rsidRPr="001F165D" w:rsidR="00C11E25" w:rsidP="00C11E25" w:rsidRDefault="00C11E25" w14:paraId="38F294C5" w14:textId="77777777">
      <w:pPr>
        <w:rPr>
          <w:lang w:val="en-GB"/>
        </w:rPr>
      </w:pPr>
    </w:p>
    <w:p w:rsidRPr="001F165D" w:rsidR="00C11E25" w:rsidP="00C11E25" w:rsidRDefault="00C11E25" w14:paraId="4D422CB2" w14:textId="77777777">
      <w:pPr>
        <w:pStyle w:val="Heading2"/>
      </w:pPr>
      <w:r>
        <w:t xml:space="preserve">EL on sõlminud ka kaks vabakaubanduslepingut – Singapuri ja Vietnamiga –, mis jõustusid vastavalt 2019. aasta novembris ja 2020. aasta augustis. Läbirääkimised on käimas teiste ASEANi riikidega – Indoneesia, Malaisia, Filipiinide ja Taiga. ELi ja Myanmari vahelised läbirääkimised investeeringute kaitse lepingu üle on peatatud. </w:t>
      </w:r>
    </w:p>
    <w:p w:rsidRPr="001F165D" w:rsidR="00C11E25" w:rsidP="00C11E25" w:rsidRDefault="00C11E25" w14:paraId="7EB98E6A" w14:textId="77777777">
      <w:pPr>
        <w:rPr>
          <w:color w:val="000000" w:themeColor="text1"/>
          <w:lang w:val="en-GB"/>
        </w:rPr>
      </w:pPr>
    </w:p>
    <w:p w:rsidRPr="001F165D" w:rsidR="00C11E25" w:rsidP="00C11E25" w:rsidRDefault="00C11E25" w14:paraId="2F996BF9" w14:textId="77777777">
      <w:pPr>
        <w:pStyle w:val="Heading2"/>
      </w:pPr>
      <w:r>
        <w:t>ASEANil on rahvusvahelises kaubanduses strateegiliselt tugev positsioon nii ülemaailmsete väärtusahelate olulise sõlmena kui ka Euroopa kaubanduse kaaluka kanalina. EL on loonud ulatusliku kaubanduslepingute võrgustiku, sealhulgas vabakaubanduslepingud Austraalia ja Uus-Meremaa, Hiina, India, Jaapani, Korea ja Hongkongiga. Piirkondlik laiaulatuslik majanduspartnerlus keskendub ka ASEANile. Singapur, Vietnam, Malaisia ja Brunei kuuluvad laiaulatuslikku ja progressiivsesse Vaikse ookeani ülese partnerluse lepingusse, ning veel kolm riiki soovivad aktiivselt sellega ühineda.</w:t>
      </w:r>
    </w:p>
    <w:p w:rsidRPr="001F165D" w:rsidR="00C11E25" w:rsidP="00C11E25" w:rsidRDefault="00C11E25" w14:paraId="2BD005DA" w14:textId="77777777">
      <w:pPr>
        <w:rPr>
          <w:color w:val="000000" w:themeColor="text1"/>
          <w:lang w:val="en-GB"/>
        </w:rPr>
      </w:pPr>
    </w:p>
    <w:p w:rsidRPr="001F165D" w:rsidR="00C11E25" w:rsidP="00C11E25" w:rsidRDefault="00C11E25" w14:paraId="667D403A" w14:textId="77777777">
      <w:pPr>
        <w:pStyle w:val="Heading2"/>
      </w:pPr>
      <w:r>
        <w:t>Mittesekkumise, suveräänsuse ja konfliktide rahumeelse lahendamise põhimõtetest juhindudes vormistas ASEAN oma institutsioonilise struktuuri 2007. aasta ASEANi harta kaudu, kehtestades kolm põhisammast: ASEANi majandusühendus, ASEANi poliitika- ja julgeolekuühendus ning ASEANi sotsiaal-kultuuriline ühendus. Piirkonnas esineb suuri majanduslikke erinevusi ning seda ilmestab demograafiline mitmekesisus, arvukad usulised ja etnilised rühmad ning erinevad poliitilised süsteemid.</w:t>
      </w:r>
    </w:p>
    <w:p w:rsidRPr="001F165D" w:rsidR="00C11E25" w:rsidP="00C11E25" w:rsidRDefault="00C11E25" w14:paraId="6E15EE93" w14:textId="77777777">
      <w:pPr>
        <w:rPr>
          <w:color w:val="000000" w:themeColor="text1"/>
          <w:lang w:val="en-GB"/>
        </w:rPr>
      </w:pPr>
    </w:p>
    <w:p w:rsidRPr="001F165D" w:rsidR="00C11E25" w:rsidP="00C11E25" w:rsidRDefault="00C11E25" w14:paraId="5A6E60C2" w14:textId="77777777">
      <w:pPr>
        <w:pStyle w:val="Heading2"/>
      </w:pPr>
      <w:r>
        <w:t>ASEANi vabakaubanduspiirkonna loomine 1992. aastal edendas piirkondlikku majandusintegratsiooni, mis on kooskõlas ASEANi majandusühenduse laiemate eesmärkidega. Kuid ASEANi majandusühenduse raamistiku täielik rakendamine, mis oli algselt kavandatud 2015. aastaks, ei ole veel lõpule viidud. Mittetariifsed tõkked ja kaitstud sektorid püsivad. Üha sagenevad rahvusvahelised üleskutsed tegeleda Myanmari olukorraga on aga sundinud ASEANi esitama poliitilise avalduse liikmesriigi siseasjade kohta: 2024. aasta avalduses mõisteti hukka vägivald Myanmaris ning esitati viiepunktiline konsensus</w:t>
      </w:r>
      <w:r w:rsidRPr="001F165D">
        <w:rPr>
          <w:sz w:val="24"/>
          <w:szCs w:val="24"/>
          <w:vertAlign w:val="superscript"/>
          <w:lang w:val="en-GB"/>
        </w:rPr>
        <w:footnoteReference w:id="9"/>
      </w:r>
      <w:r>
        <w:t>.</w:t>
      </w:r>
    </w:p>
    <w:p w:rsidRPr="001F165D" w:rsidR="00C11E25" w:rsidP="00C11E25" w:rsidRDefault="00C11E25" w14:paraId="5782C6EB" w14:textId="77777777">
      <w:pPr>
        <w:rPr>
          <w:lang w:val="en-GB"/>
        </w:rPr>
      </w:pPr>
    </w:p>
    <w:p w:rsidRPr="001F165D" w:rsidR="00C11E25" w:rsidP="00067D46" w:rsidRDefault="00C11E25" w14:paraId="4F161A69" w14:textId="77777777">
      <w:pPr>
        <w:pStyle w:val="Heading1"/>
        <w:keepNext/>
        <w:keepLines/>
        <w:rPr>
          <w:b/>
          <w:bCs/>
        </w:rPr>
      </w:pPr>
      <w:r>
        <w:rPr>
          <w:b/>
        </w:rPr>
        <w:lastRenderedPageBreak/>
        <w:t>Kodanikuühiskonna organisatsioonid ASEANis: ülevaade ja maastik</w:t>
      </w:r>
    </w:p>
    <w:p w:rsidRPr="001F165D" w:rsidR="00C11E25" w:rsidP="00067D46" w:rsidRDefault="00C11E25" w14:paraId="1DFFFD59" w14:textId="77777777">
      <w:pPr>
        <w:pStyle w:val="Heading2"/>
        <w:keepNext/>
        <w:keepLines/>
        <w:numPr>
          <w:ilvl w:val="0"/>
          <w:numId w:val="0"/>
        </w:numPr>
        <w:rPr>
          <w:lang w:val="en-GB"/>
        </w:rPr>
      </w:pPr>
    </w:p>
    <w:p w:rsidRPr="001F165D" w:rsidR="00C11E25" w:rsidP="00067D46" w:rsidRDefault="00C11E25" w14:paraId="00A6F296" w14:textId="2223996C">
      <w:pPr>
        <w:pStyle w:val="Heading2"/>
        <w:keepNext/>
        <w:keepLines/>
        <w:rPr>
          <w:color w:val="000000" w:themeColor="text1"/>
        </w:rPr>
      </w:pPr>
      <w:r>
        <w:rPr>
          <w:color w:val="000000" w:themeColor="text1"/>
        </w:rPr>
        <w:t xml:space="preserve">Kogu ASEANi kodanikuühiskonna organisatsioone hõlmavasse võrgustikku kuuluvad muu hulgas ASEANi kodanikuühiskonna konverents, ASEANi </w:t>
      </w:r>
      <w:proofErr w:type="spellStart"/>
      <w:r>
        <w:rPr>
          <w:color w:val="000000" w:themeColor="text1"/>
        </w:rPr>
        <w:t>valitsustevaheline</w:t>
      </w:r>
      <w:proofErr w:type="spellEnd"/>
      <w:r>
        <w:rPr>
          <w:color w:val="000000" w:themeColor="text1"/>
        </w:rPr>
        <w:t xml:space="preserve"> inimõiguste komisjon,</w:t>
      </w:r>
      <w:r w:rsidRPr="001F165D">
        <w:rPr>
          <w:color w:val="000000" w:themeColor="text1"/>
          <w:sz w:val="24"/>
          <w:szCs w:val="24"/>
          <w:vertAlign w:val="superscript"/>
          <w:lang w:val="en-GB"/>
        </w:rPr>
        <w:footnoteReference w:id="10"/>
      </w:r>
      <w:r>
        <w:rPr>
          <w:color w:val="000000" w:themeColor="text1"/>
        </w:rPr>
        <w:t xml:space="preserve"> Aasia inimõiguste ja arengu foorum,</w:t>
      </w:r>
      <w:r w:rsidRPr="001F165D">
        <w:rPr>
          <w:color w:val="000000" w:themeColor="text1"/>
          <w:sz w:val="24"/>
          <w:szCs w:val="24"/>
          <w:vertAlign w:val="superscript"/>
          <w:lang w:val="en-GB"/>
        </w:rPr>
        <w:footnoteReference w:id="11"/>
      </w:r>
      <w:r>
        <w:rPr>
          <w:color w:val="000000" w:themeColor="text1"/>
        </w:rPr>
        <w:t xml:space="preserve"> Kagu-Aasia sõnavabaduse võrgustik</w:t>
      </w:r>
      <w:r w:rsidRPr="001F165D">
        <w:rPr>
          <w:color w:val="000000" w:themeColor="text1"/>
          <w:sz w:val="24"/>
          <w:szCs w:val="24"/>
          <w:vertAlign w:val="superscript"/>
          <w:lang w:val="en-GB"/>
        </w:rPr>
        <w:footnoteReference w:id="12"/>
      </w:r>
      <w:r>
        <w:rPr>
          <w:color w:val="000000" w:themeColor="text1"/>
        </w:rPr>
        <w:t xml:space="preserve"> ning Aasia ja Vaikse ookeani piirkonna naiste ressursi- ja uurimiskeskus,</w:t>
      </w:r>
      <w:r w:rsidRPr="001F165D">
        <w:rPr>
          <w:color w:val="000000" w:themeColor="text1"/>
          <w:sz w:val="24"/>
          <w:szCs w:val="24"/>
          <w:vertAlign w:val="superscript"/>
          <w:lang w:val="en-GB"/>
        </w:rPr>
        <w:footnoteReference w:id="13"/>
      </w:r>
      <w:r>
        <w:rPr>
          <w:color w:val="000000" w:themeColor="text1"/>
        </w:rPr>
        <w:t xml:space="preserve"> mis keskenduvad inimõigustele, sõnavabadusele ja soolisele võrdõiguslikkusele. </w:t>
      </w:r>
    </w:p>
    <w:p w:rsidRPr="001F165D" w:rsidR="00C11E25" w:rsidP="00C11E25" w:rsidRDefault="00C11E25" w14:paraId="1FB52143" w14:textId="77777777">
      <w:pPr>
        <w:rPr>
          <w:lang w:val="en-GB"/>
        </w:rPr>
      </w:pPr>
    </w:p>
    <w:p w:rsidRPr="001F165D" w:rsidR="00C11E25" w:rsidP="00C11E25" w:rsidRDefault="00C11E25" w14:paraId="02C9C6BC" w14:textId="77777777">
      <w:pPr>
        <w:pStyle w:val="Heading2"/>
        <w:rPr>
          <w:color w:val="000000" w:themeColor="text1"/>
        </w:rPr>
      </w:pPr>
      <w:r>
        <w:rPr>
          <w:color w:val="000000" w:themeColor="text1"/>
        </w:rPr>
        <w:t>Kodanikuühiskond on ASEANi otsustusprotsessides endiselt alaesindatud ning regionaalpoliitika ei vasta sageli kohaliku elanikkonna vajadustele. ASEANi rahvaassambleed ja ASEANi töörühma „</w:t>
      </w:r>
      <w:proofErr w:type="spellStart"/>
      <w:r>
        <w:rPr>
          <w:color w:val="000000" w:themeColor="text1"/>
        </w:rPr>
        <w:t>Solidarity</w:t>
      </w:r>
      <w:proofErr w:type="spellEnd"/>
      <w:r>
        <w:rPr>
          <w:color w:val="000000" w:themeColor="text1"/>
        </w:rPr>
        <w:t xml:space="preserve"> </w:t>
      </w:r>
      <w:proofErr w:type="spellStart"/>
      <w:r>
        <w:rPr>
          <w:color w:val="000000" w:themeColor="text1"/>
        </w:rPr>
        <w:t>for</w:t>
      </w:r>
      <w:proofErr w:type="spellEnd"/>
      <w:r>
        <w:rPr>
          <w:color w:val="000000" w:themeColor="text1"/>
        </w:rPr>
        <w:t xml:space="preserve"> </w:t>
      </w:r>
      <w:proofErr w:type="spellStart"/>
      <w:r>
        <w:rPr>
          <w:color w:val="000000" w:themeColor="text1"/>
        </w:rPr>
        <w:t>Asia</w:t>
      </w:r>
      <w:proofErr w:type="spellEnd"/>
      <w:r>
        <w:rPr>
          <w:color w:val="000000" w:themeColor="text1"/>
        </w:rPr>
        <w:t xml:space="preserve"> </w:t>
      </w:r>
      <w:proofErr w:type="spellStart"/>
      <w:r>
        <w:rPr>
          <w:color w:val="000000" w:themeColor="text1"/>
        </w:rPr>
        <w:t>People’s</w:t>
      </w:r>
      <w:proofErr w:type="spellEnd"/>
      <w:r>
        <w:rPr>
          <w:color w:val="000000" w:themeColor="text1"/>
        </w:rPr>
        <w:t xml:space="preserve"> </w:t>
      </w:r>
      <w:proofErr w:type="spellStart"/>
      <w:r>
        <w:rPr>
          <w:color w:val="000000" w:themeColor="text1"/>
        </w:rPr>
        <w:t>Advocacy</w:t>
      </w:r>
      <w:proofErr w:type="spellEnd"/>
      <w:r>
        <w:rPr>
          <w:color w:val="000000" w:themeColor="text1"/>
        </w:rPr>
        <w:t>“</w:t>
      </w:r>
      <w:r w:rsidRPr="001F165D">
        <w:rPr>
          <w:color w:val="000000" w:themeColor="text1"/>
          <w:sz w:val="24"/>
          <w:szCs w:val="24"/>
          <w:vertAlign w:val="superscript"/>
          <w:lang w:val="en-GB"/>
        </w:rPr>
        <w:footnoteReference w:id="14"/>
      </w:r>
      <w:r>
        <w:rPr>
          <w:color w:val="000000" w:themeColor="text1"/>
        </w:rPr>
        <w:t xml:space="preserve"> peetakse aga kodanikuühiskonna kõige kaasavamateks mehhanismideks ASEANi riiklike ja piirkondlike probleemide lahendamisel.</w:t>
      </w:r>
    </w:p>
    <w:p w:rsidRPr="001F165D" w:rsidR="00C11E25" w:rsidP="00C11E25" w:rsidRDefault="00C11E25" w14:paraId="11D9CC8A" w14:textId="77777777">
      <w:pPr>
        <w:rPr>
          <w:lang w:val="en-GB"/>
        </w:rPr>
      </w:pPr>
    </w:p>
    <w:p w:rsidRPr="001F165D" w:rsidR="00C11E25" w:rsidP="00C11E25" w:rsidRDefault="00C11E25" w14:paraId="6B8888BC" w14:textId="77777777">
      <w:pPr>
        <w:pStyle w:val="Heading2"/>
        <w:rPr>
          <w:color w:val="000000" w:themeColor="text1"/>
        </w:rPr>
      </w:pPr>
      <w:r>
        <w:rPr>
          <w:color w:val="000000" w:themeColor="text1"/>
        </w:rPr>
        <w:t>ASEANi liikmete põhiseadustes tunnustatakse üldiselt põhilise kodanikuvabadusena nii ühinemisvabadust kui ka õigust asutada ühendusi ja sotsiaalpartnerite organisatsioone</w:t>
      </w:r>
      <w:r w:rsidRPr="001F165D">
        <w:rPr>
          <w:color w:val="000000" w:themeColor="text1"/>
          <w:vertAlign w:val="superscript"/>
          <w:lang w:val="en-GB"/>
        </w:rPr>
        <w:footnoteReference w:id="15"/>
      </w:r>
      <w:r>
        <w:rPr>
          <w:color w:val="000000" w:themeColor="text1"/>
        </w:rPr>
        <w:t>. Osa valitsusi võivad siiski piirata ametiühingute õigusi avaliku korra kaitse, riikliku julgeoleku, üldise heaolu või heade kommete huvides</w:t>
      </w:r>
      <w:r w:rsidRPr="001F165D">
        <w:rPr>
          <w:color w:val="000000" w:themeColor="text1"/>
          <w:vertAlign w:val="superscript"/>
          <w:lang w:val="en-GB"/>
        </w:rPr>
        <w:footnoteReference w:id="16"/>
      </w:r>
      <w:r>
        <w:rPr>
          <w:color w:val="000000" w:themeColor="text1"/>
        </w:rPr>
        <w:t xml:space="preserve">. Näiteks võidakse manipuleerida terrorismivastaste ja </w:t>
      </w:r>
      <w:proofErr w:type="spellStart"/>
      <w:r>
        <w:rPr>
          <w:color w:val="000000" w:themeColor="text1"/>
        </w:rPr>
        <w:t>välisrahastamist</w:t>
      </w:r>
      <w:proofErr w:type="spellEnd"/>
      <w:r>
        <w:rPr>
          <w:color w:val="000000" w:themeColor="text1"/>
        </w:rPr>
        <w:t xml:space="preserve"> käsitlevate seadustega, et sulgeda valitsuse suhtes kriitilised organisatsioonid ning piirata ühinemis- ja kogunemisvabadust, et kodanikuühiskonna organisatsioonidel oleks keerulisem avalikke meeleavaldusi korraldada, koosolekuid pidada või tegeleda kollektiivse huvide kaitsega.</w:t>
      </w:r>
    </w:p>
    <w:p w:rsidRPr="001F165D" w:rsidR="00C11E25" w:rsidP="00C11E25" w:rsidRDefault="00C11E25" w14:paraId="6FF28F24" w14:textId="77777777">
      <w:pPr>
        <w:rPr>
          <w:lang w:val="en-GB"/>
        </w:rPr>
      </w:pPr>
    </w:p>
    <w:p w:rsidRPr="001F165D" w:rsidR="00C11E25" w:rsidP="00C11E25" w:rsidRDefault="00C11E25" w14:paraId="476A3D75" w14:textId="77777777">
      <w:pPr>
        <w:pStyle w:val="Heading2"/>
        <w:rPr>
          <w:color w:val="000000" w:themeColor="text1"/>
        </w:rPr>
      </w:pPr>
      <w:r>
        <w:rPr>
          <w:color w:val="000000" w:themeColor="text1"/>
        </w:rPr>
        <w:t xml:space="preserve">Lisaks reguleerivad mõne ASEANi liikmesriigi valitsused kodanikuühiskonna organisatsioonide tegevust kohustusliku registreerimise abil (nõue avalikustada rahastamine, </w:t>
      </w:r>
      <w:proofErr w:type="spellStart"/>
      <w:r>
        <w:rPr>
          <w:color w:val="000000" w:themeColor="text1"/>
        </w:rPr>
        <w:t>liikmesus</w:t>
      </w:r>
      <w:proofErr w:type="spellEnd"/>
      <w:r>
        <w:rPr>
          <w:color w:val="000000" w:themeColor="text1"/>
        </w:rPr>
        <w:t xml:space="preserve"> ja välismaised annetused) ja kohustustega – vastasel juhul ootab </w:t>
      </w:r>
      <w:r>
        <w:rPr>
          <w:i/>
          <w:color w:val="000000" w:themeColor="text1"/>
        </w:rPr>
        <w:t>de facto</w:t>
      </w:r>
      <w:r>
        <w:rPr>
          <w:color w:val="000000" w:themeColor="text1"/>
        </w:rPr>
        <w:t xml:space="preserve"> keeld registreerimisest keeldumise kujul. Euroopa Parlament on teatanud, et riiklikult organiseeritud valitsusvälised organisatsioonid tõrjuvad üha enam kõrvale sõltumatut kodanikuühiskonda, moonutades ELi rahastamiskavatsusi, eelkõige Kambodžas</w:t>
      </w:r>
      <w:r w:rsidRPr="001F165D">
        <w:rPr>
          <w:color w:val="000000" w:themeColor="text1"/>
          <w:vertAlign w:val="superscript"/>
          <w:lang w:val="en-GB"/>
        </w:rPr>
        <w:footnoteReference w:id="17"/>
      </w:r>
      <w:r>
        <w:rPr>
          <w:color w:val="000000" w:themeColor="text1"/>
        </w:rPr>
        <w:t>.</w:t>
      </w:r>
    </w:p>
    <w:p w:rsidRPr="001F165D" w:rsidR="00C11E25" w:rsidP="00C11E25" w:rsidRDefault="00C11E25" w14:paraId="51C48233" w14:textId="77777777">
      <w:pPr>
        <w:rPr>
          <w:lang w:val="en-GB"/>
        </w:rPr>
      </w:pPr>
    </w:p>
    <w:p w:rsidRPr="001F165D" w:rsidR="00C11E25" w:rsidP="00C11E25" w:rsidRDefault="00C11E25" w14:paraId="7AC3D06A" w14:textId="77777777">
      <w:pPr>
        <w:pStyle w:val="Heading2"/>
        <w:rPr>
          <w:color w:val="000000" w:themeColor="text1"/>
        </w:rPr>
      </w:pPr>
      <w:r>
        <w:rPr>
          <w:color w:val="000000" w:themeColor="text1"/>
        </w:rPr>
        <w:t>Euroopa Parlament on viimastel aastatel täheldanud murettekitavat ülemaailmset suundumust kitsendada teisitimõtlejate tegutsemisruumi kodanikuühiskonnas</w:t>
      </w:r>
      <w:r w:rsidRPr="001F165D">
        <w:rPr>
          <w:color w:val="000000" w:themeColor="text1"/>
          <w:sz w:val="24"/>
          <w:vertAlign w:val="superscript"/>
          <w:lang w:val="en-GB"/>
        </w:rPr>
        <w:footnoteReference w:id="18"/>
      </w:r>
      <w:r>
        <w:rPr>
          <w:color w:val="000000" w:themeColor="text1"/>
        </w:rPr>
        <w:t xml:space="preserve">. Sellistes riikides nagu Myanmar (enne ja pärast 2021. aasta sõjaväelist riigipööret), Tai ja Vietnam on edusammud endiselt vaevalised, eelkõige seoses inimõiguste või </w:t>
      </w:r>
      <w:proofErr w:type="spellStart"/>
      <w:r>
        <w:rPr>
          <w:color w:val="000000" w:themeColor="text1"/>
        </w:rPr>
        <w:t>poliitaktivismiga</w:t>
      </w:r>
      <w:proofErr w:type="spellEnd"/>
      <w:r w:rsidRPr="001F165D">
        <w:rPr>
          <w:color w:val="000000" w:themeColor="text1"/>
          <w:vertAlign w:val="superscript"/>
          <w:lang w:val="en-GB"/>
        </w:rPr>
        <w:footnoteReference w:id="19"/>
      </w:r>
      <w:r>
        <w:rPr>
          <w:color w:val="000000" w:themeColor="text1"/>
        </w:rPr>
        <w:t xml:space="preserve">. Neis jurisdiktsioonides </w:t>
      </w:r>
      <w:r>
        <w:rPr>
          <w:color w:val="000000" w:themeColor="text1"/>
        </w:rPr>
        <w:lastRenderedPageBreak/>
        <w:t>tegutsevad organisatsioonid teatavad sageli, et neid hirmutatakse, ahistatakse, jälgitakse ja mõnel juhul võetakse kohtulikule vastutusele teiste eest seismise eest</w:t>
      </w:r>
      <w:r w:rsidRPr="001F165D">
        <w:rPr>
          <w:color w:val="000000" w:themeColor="text1"/>
          <w:vertAlign w:val="superscript"/>
          <w:lang w:val="en-GB"/>
        </w:rPr>
        <w:footnoteReference w:id="20"/>
      </w:r>
      <w:r>
        <w:rPr>
          <w:color w:val="000000" w:themeColor="text1"/>
        </w:rPr>
        <w:t>. Myanmaris on hunta pärast sõjaväelist riigipööret vahistanud ja vaigistanud aktiviste, sulgenud paljud kodanikuühiskonna organisatsioonid ja lämmatanud demokraatlikke liikumisi.</w:t>
      </w:r>
    </w:p>
    <w:p w:rsidRPr="001F165D" w:rsidR="00C11E25" w:rsidP="00C11E25" w:rsidRDefault="00C11E25" w14:paraId="451F764F" w14:textId="77777777">
      <w:pPr>
        <w:pStyle w:val="Heading2"/>
        <w:numPr>
          <w:ilvl w:val="0"/>
          <w:numId w:val="0"/>
        </w:numPr>
        <w:rPr>
          <w:bCs/>
          <w:color w:val="000000" w:themeColor="text1"/>
          <w:lang w:val="en-GB"/>
        </w:rPr>
      </w:pPr>
    </w:p>
    <w:p w:rsidRPr="001F165D" w:rsidR="00C11E25" w:rsidP="00C11E25" w:rsidRDefault="00C11E25" w14:paraId="630A7BA8" w14:textId="77777777">
      <w:pPr>
        <w:pStyle w:val="Heading2"/>
        <w:keepNext/>
        <w:keepLines/>
        <w:numPr>
          <w:ilvl w:val="0"/>
          <w:numId w:val="0"/>
        </w:numPr>
        <w:rPr>
          <w:b/>
          <w:color w:val="000000" w:themeColor="text1"/>
        </w:rPr>
      </w:pPr>
      <w:r>
        <w:rPr>
          <w:b/>
          <w:color w:val="000000" w:themeColor="text1"/>
        </w:rPr>
        <w:t>Digitaalne juhtimine</w:t>
      </w:r>
    </w:p>
    <w:p w:rsidRPr="001F165D" w:rsidR="00C11E25" w:rsidP="00C11E25" w:rsidRDefault="00C11E25" w14:paraId="2436B666" w14:textId="77777777">
      <w:pPr>
        <w:pStyle w:val="Heading2"/>
        <w:keepNext/>
        <w:keepLines/>
        <w:numPr>
          <w:ilvl w:val="0"/>
          <w:numId w:val="0"/>
        </w:numPr>
        <w:rPr>
          <w:color w:val="000000" w:themeColor="text1"/>
          <w:lang w:val="en-GB"/>
        </w:rPr>
      </w:pPr>
    </w:p>
    <w:p w:rsidRPr="001F165D" w:rsidR="00C11E25" w:rsidP="00C11E25" w:rsidRDefault="00C11E25" w14:paraId="62001CC7" w14:textId="77777777">
      <w:pPr>
        <w:pStyle w:val="Heading2"/>
        <w:rPr>
          <w:color w:val="000000" w:themeColor="text1"/>
        </w:rPr>
      </w:pPr>
      <w:r>
        <w:rPr>
          <w:color w:val="000000" w:themeColor="text1"/>
        </w:rPr>
        <w:t>Kagu-Aasia riigid on teinud märkimisväärseid edusamme digitaristu parandamisel ja e-valitsuse algatuste rakendamisel. Kuid digitaalne jälgimine on ASEANi liikmesriikides üldlevinud ning mõned valitsused võivad teostada repressioone ja poliitilist kontrolli vägivallatute vahendite abil, sealhulgas tsensuuri ja teabevoogude kontrollimise kaudu. Need suundumused peegeldavad ülemaailmset internetivabaduste piiramise suundumust, mida on kiirendanud pandeemiaaegsed meetmed. EL võiks osaleda näiteks digitaalse tegevuskerksuse tugevdamisel turvaliste kommunikatsioonivahendite ja aktivistide digiõiguste alase koolituse rahastamise kaudu.</w:t>
      </w:r>
    </w:p>
    <w:p w:rsidRPr="001F165D" w:rsidR="00C11E25" w:rsidP="00C11E25" w:rsidRDefault="00C11E25" w14:paraId="395CE133" w14:textId="77777777">
      <w:pPr>
        <w:rPr>
          <w:lang w:val="en-GB"/>
        </w:rPr>
      </w:pPr>
    </w:p>
    <w:p w:rsidRPr="001F165D" w:rsidR="00C11E25" w:rsidP="00C11E25" w:rsidRDefault="00C11E25" w14:paraId="3B383260" w14:textId="77777777">
      <w:pPr>
        <w:pStyle w:val="Heading1"/>
        <w:keepNext/>
        <w:keepLines/>
        <w:rPr>
          <w:b/>
          <w:bCs/>
        </w:rPr>
      </w:pPr>
      <w:r>
        <w:rPr>
          <w:b/>
        </w:rPr>
        <w:t>ELi ja ASEANi kaubandussuhted: kaubandus ja kestlik areng</w:t>
      </w:r>
    </w:p>
    <w:p w:rsidRPr="001F165D" w:rsidR="00C11E25" w:rsidP="00C11E25" w:rsidRDefault="00C11E25" w14:paraId="75F16656" w14:textId="77777777">
      <w:pPr>
        <w:keepNext/>
        <w:keepLines/>
        <w:rPr>
          <w:lang w:val="en-GB"/>
        </w:rPr>
      </w:pPr>
    </w:p>
    <w:p w:rsidRPr="001F165D" w:rsidR="00C11E25" w:rsidP="00C11E25" w:rsidRDefault="00C11E25" w14:paraId="48EFECCC" w14:textId="77777777">
      <w:pPr>
        <w:pStyle w:val="Heading2"/>
      </w:pPr>
      <w:r>
        <w:t>Lisaks kahepoolsetele vabakaubanduslepingutele otsivad EL ja ASEAN mitmeid muid majanduskoostöö kanaleid. Indoneesial on juurdepääs ELi ühtsele turule tänu madalamatele või kaotatud ELi imporditariifidele ELi üldise soodustuste süsteemi raames. Filipiinid saavad kasu kestlikku arengut ja head valitsemistava stimuleerivast: erikorrast, mille tingimusteks on kestliku arengu ja hea valitsemistava kõrgemad standardid. Kambodža sai varem kasu teisest ühepoolsest erikorrast „Kõik peale relvade“, kuid selle pakutavad soodustused on osaliselt ja ajutiselt peatatud. Nimetatud erikorrast saavad kasu ka Laos, Myanmar ja tulevane ASEANi liige Ida-Timor.</w:t>
      </w:r>
    </w:p>
    <w:p w:rsidRPr="001F165D" w:rsidR="00C11E25" w:rsidP="00C11E25" w:rsidRDefault="00C11E25" w14:paraId="375C3C2E" w14:textId="77777777">
      <w:pPr>
        <w:pStyle w:val="Heading2"/>
        <w:numPr>
          <w:ilvl w:val="0"/>
          <w:numId w:val="0"/>
        </w:numPr>
        <w:rPr>
          <w:lang w:val="en-GB"/>
        </w:rPr>
      </w:pPr>
    </w:p>
    <w:p w:rsidRPr="001F165D" w:rsidR="00C11E25" w:rsidP="00C11E25" w:rsidRDefault="00C11E25" w14:paraId="687D8407" w14:textId="77777777">
      <w:pPr>
        <w:pStyle w:val="Heading2"/>
      </w:pPr>
      <w:r>
        <w:t xml:space="preserve">Lisaks jälgivad kestliku arengu kohustuste täitmist kaks ELi-Vietnami ja ELi-Singapuri vabakaubanduslepingu alusel loodud </w:t>
      </w:r>
      <w:proofErr w:type="spellStart"/>
      <w:r>
        <w:t>sisenõuanderühma</w:t>
      </w:r>
      <w:proofErr w:type="spellEnd"/>
      <w:r>
        <w:t>. Edukad konsultatsioonid sõltuvad kodanikuühiskonna organisatsioonide sõltumatusest, kuid praegustes osalemismudelites on valitsusega seotud või valitsuse heakskiiduga organisatsioonidel ebaproportsionaalselt suur esindatus.</w:t>
      </w:r>
    </w:p>
    <w:p w:rsidRPr="001F165D" w:rsidR="00C11E25" w:rsidP="00C11E25" w:rsidRDefault="00C11E25" w14:paraId="323F0026" w14:textId="77777777">
      <w:pPr>
        <w:pStyle w:val="Heading2"/>
        <w:numPr>
          <w:ilvl w:val="0"/>
          <w:numId w:val="0"/>
        </w:numPr>
        <w:rPr>
          <w:lang w:val="en-GB"/>
        </w:rPr>
      </w:pPr>
    </w:p>
    <w:p w:rsidRPr="001F165D" w:rsidR="00C11E25" w:rsidP="00C11E25" w:rsidRDefault="00C11E25" w14:paraId="35F57218" w14:textId="77777777">
      <w:pPr>
        <w:pStyle w:val="Heading2"/>
      </w:pPr>
      <w:r>
        <w:t>Vietnam on ratifitseerinud ILO konventsiooni nr 105 sunniviisilise töö kohta, kuid ühinemisvabaduse ja organiseerumisõiguse kaitse konventsiooni nr 87 ratifitseerimine on veel pooleli. Lisaks ei ole Vietnami töötajate kaitse veel täielikult laienenud mitteametlikule sektorile, kus on hõivatud üle 68 % tööjõust</w:t>
      </w:r>
      <w:r w:rsidRPr="001F165D">
        <w:rPr>
          <w:vertAlign w:val="superscript"/>
          <w:lang w:val="en-GB"/>
        </w:rPr>
        <w:footnoteReference w:id="21"/>
      </w:r>
      <w:r>
        <w:t xml:space="preserve">. ELi-Vietnami </w:t>
      </w:r>
      <w:proofErr w:type="spellStart"/>
      <w:r>
        <w:t>sisenõuanderühm</w:t>
      </w:r>
      <w:proofErr w:type="spellEnd"/>
      <w:r>
        <w:t xml:space="preserve"> on märkinud, et ikka veel puuduvad täielikult sõltumatud ametiühingud</w:t>
      </w:r>
      <w:r w:rsidRPr="001F165D">
        <w:rPr>
          <w:sz w:val="24"/>
          <w:szCs w:val="24"/>
          <w:vertAlign w:val="superscript"/>
          <w:lang w:val="en-GB"/>
        </w:rPr>
        <w:footnoteReference w:id="22"/>
      </w:r>
      <w:r>
        <w:t xml:space="preserve">. </w:t>
      </w:r>
    </w:p>
    <w:p w:rsidRPr="001F165D" w:rsidR="00C11E25" w:rsidP="00C11E25" w:rsidRDefault="00C11E25" w14:paraId="2426D6B7" w14:textId="77777777">
      <w:pPr>
        <w:pStyle w:val="Heading2"/>
        <w:numPr>
          <w:ilvl w:val="0"/>
          <w:numId w:val="0"/>
        </w:numPr>
        <w:rPr>
          <w:lang w:val="en-GB"/>
        </w:rPr>
      </w:pPr>
    </w:p>
    <w:p w:rsidRPr="001F165D" w:rsidR="00C11E25" w:rsidP="00C11E25" w:rsidRDefault="00C11E25" w14:paraId="0107F5B6" w14:textId="77777777">
      <w:pPr>
        <w:pStyle w:val="Heading2"/>
      </w:pPr>
      <w:r>
        <w:lastRenderedPageBreak/>
        <w:t xml:space="preserve">2025. aasta märtsis andis ELi </w:t>
      </w:r>
      <w:proofErr w:type="spellStart"/>
      <w:r>
        <w:t>sisenõuanderühm</w:t>
      </w:r>
      <w:proofErr w:type="spellEnd"/>
      <w:r>
        <w:t xml:space="preserve"> Euroopa Parlamendi rahvusvahelise kaubanduse komisjonile aru Vietnami kodanikuühiskonna ees seisvatest probleemidest, rõhutades kodanikuühiskonna vahetute kontaktide jätkuvat tähtsust selles kontekstis</w:t>
      </w:r>
      <w:r w:rsidRPr="001F165D">
        <w:rPr>
          <w:sz w:val="24"/>
          <w:vertAlign w:val="superscript"/>
          <w:lang w:val="en-GB"/>
        </w:rPr>
        <w:footnoteReference w:id="23"/>
      </w:r>
      <w:r>
        <w:t>.</w:t>
      </w:r>
    </w:p>
    <w:p w:rsidRPr="001F165D" w:rsidR="00C11E25" w:rsidP="00C11E25" w:rsidRDefault="00C11E25" w14:paraId="296A08AE" w14:textId="77777777">
      <w:pPr>
        <w:pStyle w:val="Heading2"/>
        <w:numPr>
          <w:ilvl w:val="0"/>
          <w:numId w:val="0"/>
        </w:numPr>
        <w:rPr>
          <w:lang w:val="en-GB"/>
        </w:rPr>
      </w:pPr>
    </w:p>
    <w:p w:rsidRPr="001F165D" w:rsidR="00C11E25" w:rsidP="00C11E25" w:rsidRDefault="00C11E25" w14:paraId="63DBD294" w14:textId="77777777">
      <w:pPr>
        <w:pStyle w:val="Heading2"/>
      </w:pPr>
      <w:r>
        <w:t xml:space="preserve">ELi-Singapuri vabakaubanduslepingu alusel loodud </w:t>
      </w:r>
      <w:proofErr w:type="spellStart"/>
      <w:r>
        <w:t>sisenõuanderühm</w:t>
      </w:r>
      <w:proofErr w:type="spellEnd"/>
      <w:r w:rsidRPr="001F165D">
        <w:rPr>
          <w:sz w:val="24"/>
          <w:vertAlign w:val="superscript"/>
          <w:lang w:val="en-GB"/>
        </w:rPr>
        <w:footnoteReference w:id="24"/>
      </w:r>
      <w:r>
        <w:t xml:space="preserve"> on pärast lepingute sõlmimist Korea, Jaapani ja Vietnamiga kõnealuse piirkonna neljast </w:t>
      </w:r>
      <w:proofErr w:type="spellStart"/>
      <w:r>
        <w:t>sisenõuanderühmast</w:t>
      </w:r>
      <w:proofErr w:type="spellEnd"/>
      <w:r>
        <w:t xml:space="preserve"> uusim. Kuigi kodanikuühiskonna kaasamine ja koostöö on hästi arenenud, jätkatakse kaubanduse ja kestliku arengu arutelusid ILO konventsiooni nr 87 ja nr 111 – mis käsitlevad töö- ja kutsealast diskrimineerimist – ratifitseerimise üle Singapuris. ELi-Singapuri vabakaubanduslepingu raames rõhutavad mõlemad </w:t>
      </w:r>
      <w:proofErr w:type="spellStart"/>
      <w:r>
        <w:t>sisenõuanderühmad</w:t>
      </w:r>
      <w:proofErr w:type="spellEnd"/>
      <w:r>
        <w:t xml:space="preserve"> ühinemisvabaduse tähtsust kõigi muude inimväärse töö eesmärkide saavutamist võimaldava õigusena. Üksikasjalikku siseriiklike õigusaktide puudujääkide analüüsi seoses ülejäänud peamiste ILO konventsioonide ratifitseerimisega ILO tehnilise abi toel tuleb seejuures käsitada olulise vahendina.</w:t>
      </w:r>
    </w:p>
    <w:p w:rsidRPr="001F165D" w:rsidR="00C11E25" w:rsidP="00C11E25" w:rsidRDefault="00C11E25" w14:paraId="032A552B" w14:textId="77777777">
      <w:pPr>
        <w:pStyle w:val="Heading2"/>
        <w:numPr>
          <w:ilvl w:val="0"/>
          <w:numId w:val="0"/>
        </w:numPr>
        <w:rPr>
          <w:lang w:val="en-GB"/>
        </w:rPr>
      </w:pPr>
    </w:p>
    <w:p w:rsidRPr="001F165D" w:rsidR="00C11E25" w:rsidP="00C11E25" w:rsidRDefault="00C11E25" w14:paraId="0A1202E1" w14:textId="74BFF51A">
      <w:pPr>
        <w:pStyle w:val="Heading2"/>
      </w:pPr>
      <w:r>
        <w:t xml:space="preserve">ELi-Singapuri ning ELi-Vietnami lepingutega luuakse väärtuslik raamistik kestliku kaubanduse jaoks, mille oluliseks aluseks on kaubanduse ja kestliku arengu peatükid. Sellele edule tuginedes ollakse üha enam üksmeelel, et sidusrühmade, eelkõige </w:t>
      </w:r>
      <w:proofErr w:type="spellStart"/>
      <w:r>
        <w:t>VKEde</w:t>
      </w:r>
      <w:proofErr w:type="spellEnd"/>
      <w:r>
        <w:t xml:space="preserve"> ja mitteametliku sektori sidusrühmade suurem kaasamine võib muuta rakendamise kindlamaks ja kaasavamaks. Selline areng edendaks veelgi lepingute põhieesmärke, milleks on õiglaste ja kestlike kaubandussuhete loomine, kuid nõuaks osalistelt ka ühisele arusaamale jõudmist </w:t>
      </w:r>
      <w:proofErr w:type="spellStart"/>
      <w:r>
        <w:t>sisenõuanderühmade</w:t>
      </w:r>
      <w:proofErr w:type="spellEnd"/>
      <w:r>
        <w:t xml:space="preserve"> ja muude kodanikuühiskonna foorumite ülesannetes, tegevuses ja vajadustes.</w:t>
      </w:r>
    </w:p>
    <w:p w:rsidRPr="001F165D" w:rsidR="00C11E25" w:rsidP="00C11E25" w:rsidRDefault="00C11E25" w14:paraId="70052451" w14:textId="77777777">
      <w:pPr>
        <w:pStyle w:val="Heading2"/>
        <w:numPr>
          <w:ilvl w:val="0"/>
          <w:numId w:val="0"/>
        </w:numPr>
        <w:rPr>
          <w:lang w:val="en-GB"/>
        </w:rPr>
      </w:pPr>
    </w:p>
    <w:p w:rsidRPr="001F165D" w:rsidR="00C11E25" w:rsidP="00C11E25" w:rsidRDefault="00C11E25" w14:paraId="104F1933" w14:textId="77777777">
      <w:pPr>
        <w:pStyle w:val="Heading2"/>
      </w:pPr>
      <w:r>
        <w:t>Euroopa Komisjoni sõnul võib kaasav dialoog, sealhulgas avaliku ja erasektori dialoog, osutuda kasulikuks, et tagada kõigi majandustegevuses osalejate vajaduste kajastumise kaubanduspoliitikas</w:t>
      </w:r>
      <w:r w:rsidRPr="001F165D">
        <w:rPr>
          <w:vertAlign w:val="superscript"/>
          <w:lang w:val="en-GB"/>
        </w:rPr>
        <w:footnoteReference w:id="25"/>
      </w:r>
      <w:r>
        <w:t>. Vaja on tagada</w:t>
      </w:r>
    </w:p>
    <w:p w:rsidRPr="001F165D" w:rsidR="00C11E25" w:rsidP="00C11E25" w:rsidRDefault="00C11E25" w14:paraId="458685BB" w14:textId="77777777">
      <w:pPr>
        <w:pStyle w:val="Heading2"/>
        <w:numPr>
          <w:ilvl w:val="1"/>
          <w:numId w:val="3"/>
        </w:numPr>
        <w:ind w:left="851" w:hanging="284"/>
      </w:pPr>
      <w:r>
        <w:t>juurdepääs tehnilisele teabele kaubanduseeskirjade ja vastavusnõuete kohta;</w:t>
      </w:r>
    </w:p>
    <w:p w:rsidRPr="001F165D" w:rsidR="00C11E25" w:rsidP="00C11E25" w:rsidRDefault="00C11E25" w14:paraId="54C5265B" w14:textId="77777777">
      <w:pPr>
        <w:pStyle w:val="Heading2"/>
        <w:numPr>
          <w:ilvl w:val="1"/>
          <w:numId w:val="3"/>
        </w:numPr>
        <w:ind w:left="851" w:hanging="284"/>
      </w:pPr>
      <w:r>
        <w:t xml:space="preserve">sihipärased suutlikkuse suurendamise algatused, et tugevdada </w:t>
      </w:r>
      <w:proofErr w:type="spellStart"/>
      <w:r>
        <w:t>VKEde</w:t>
      </w:r>
      <w:proofErr w:type="spellEnd"/>
      <w:r>
        <w:t xml:space="preserve"> ja kohalike ettevõtjate ühenduste osalemist;</w:t>
      </w:r>
    </w:p>
    <w:p w:rsidRPr="001F165D" w:rsidR="00C11E25" w:rsidP="00C11E25" w:rsidRDefault="00C11E25" w14:paraId="2A5D5F94" w14:textId="77777777">
      <w:pPr>
        <w:pStyle w:val="Heading2"/>
        <w:numPr>
          <w:ilvl w:val="1"/>
          <w:numId w:val="3"/>
        </w:numPr>
        <w:ind w:left="851" w:hanging="284"/>
      </w:pPr>
      <w:r>
        <w:t>uuenduslikud konsultatsioonimudelid, sealhulgas digiplatvormid, mis võimaldavad ohutut ja vajaduse korral anonüümset sisendit. Neil on suur väärtus olukorras, kus avalik kriitika võib põhjustada ametialaseid või poliitilisi riske.</w:t>
      </w:r>
    </w:p>
    <w:p w:rsidRPr="001F165D" w:rsidR="00C11E25" w:rsidP="00C11E25" w:rsidRDefault="00C11E25" w14:paraId="5B288788" w14:textId="77777777">
      <w:pPr>
        <w:pStyle w:val="Heading2"/>
        <w:numPr>
          <w:ilvl w:val="0"/>
          <w:numId w:val="0"/>
        </w:numPr>
        <w:rPr>
          <w:lang w:val="en-GB"/>
        </w:rPr>
      </w:pPr>
    </w:p>
    <w:p w:rsidRPr="001F165D" w:rsidR="00C11E25" w:rsidP="00C11E25" w:rsidRDefault="00C11E25" w14:paraId="3CE45349" w14:textId="77777777">
      <w:pPr>
        <w:pStyle w:val="Heading2"/>
      </w:pPr>
      <w:r>
        <w:t xml:space="preserve">ELi tulevased kahepoolsed kaubanduslepingud Indoneesia, Malaisia, Filipiinide ja Taiga võivad tõsta oskus-ja lihttööliste elatustaset ja palka tekstiili-, jalatsi- ja autotööstuses. Nende probleemide lahendamiseks tuleb süvitsi mõista haavatavate rühmade (nt naised, noored ja vähemused) palkade, töötingimuste ja vaesuse vähendamise omavahelist </w:t>
      </w:r>
      <w:proofErr w:type="spellStart"/>
      <w:r>
        <w:t>vastasmõju</w:t>
      </w:r>
      <w:proofErr w:type="spellEnd"/>
      <w:r>
        <w:t>. Seetõttu on kaubanduse ja kestliku arengu peatükkides sätestatud õiguskaitsel areneva majandusega riikides oluline roll, ulatudes rahvusvaheliste tööstandardite järgimise tagamisest töötingimuste ja -ohutuse tagamiseni töökohal.</w:t>
      </w:r>
    </w:p>
    <w:p w:rsidRPr="001F165D" w:rsidR="00C11E25" w:rsidP="00C11E25" w:rsidRDefault="00C11E25" w14:paraId="1E5BDA0F" w14:textId="77777777">
      <w:pPr>
        <w:pStyle w:val="Heading2"/>
        <w:numPr>
          <w:ilvl w:val="0"/>
          <w:numId w:val="0"/>
        </w:numPr>
        <w:rPr>
          <w:lang w:val="en-GB"/>
        </w:rPr>
      </w:pPr>
    </w:p>
    <w:p w:rsidRPr="001F165D" w:rsidR="00C11E25" w:rsidP="00C11E25" w:rsidRDefault="00C11E25" w14:paraId="44C93050" w14:textId="77777777">
      <w:pPr>
        <w:pStyle w:val="Heading2"/>
        <w:keepNext/>
        <w:keepLines/>
        <w:numPr>
          <w:ilvl w:val="0"/>
          <w:numId w:val="0"/>
        </w:numPr>
        <w:rPr>
          <w:b/>
        </w:rPr>
      </w:pPr>
      <w:r>
        <w:rPr>
          <w:b/>
        </w:rPr>
        <w:lastRenderedPageBreak/>
        <w:t>Töötajate õigused ja töötajate esindamine</w:t>
      </w:r>
    </w:p>
    <w:p w:rsidRPr="001F165D" w:rsidR="00C11E25" w:rsidP="00C11E25" w:rsidRDefault="00C11E25" w14:paraId="754F561C" w14:textId="77777777">
      <w:pPr>
        <w:pStyle w:val="Heading2"/>
        <w:keepNext/>
        <w:keepLines/>
        <w:numPr>
          <w:ilvl w:val="0"/>
          <w:numId w:val="0"/>
        </w:numPr>
        <w:rPr>
          <w:sz w:val="16"/>
          <w:szCs w:val="16"/>
          <w:lang w:val="en-GB"/>
        </w:rPr>
      </w:pPr>
    </w:p>
    <w:p w:rsidRPr="001F165D" w:rsidR="00C11E25" w:rsidP="00C11E25" w:rsidRDefault="00C11E25" w14:paraId="7FA76355" w14:textId="77777777">
      <w:pPr>
        <w:pStyle w:val="Heading2"/>
      </w:pPr>
      <w:r>
        <w:t>ELi ja ASEANi dialoogis töötingimuste üle laveeritakse ettevaatlikult piirkondlike standardite ja rahvusvaheliste võrdlusaluste erinevuste vahel. Palkade, ohutuse ja ametiühingute esindatuse osas esineb püsivaid puudusi. ILO kohaselt seisavad paljud piirkonna töötajad endiselt silmitsi inimväärse töö puudumisega</w:t>
      </w:r>
      <w:r w:rsidRPr="001F165D">
        <w:rPr>
          <w:sz w:val="24"/>
          <w:vertAlign w:val="superscript"/>
          <w:lang w:val="en-GB"/>
        </w:rPr>
        <w:footnoteReference w:id="26"/>
      </w:r>
      <w:r>
        <w:t>. Kagu-Aasias tegutsevad aktiivselt rahvusvahelised ametiühingute keskliidud, sealhulgas Rahvusvahelise Ametiühingute Konföderatsiooni Aasia ja Vaikse Ookeani piirkonna haru</w:t>
      </w:r>
      <w:r w:rsidRPr="001F165D">
        <w:rPr>
          <w:vertAlign w:val="superscript"/>
          <w:lang w:val="en-GB"/>
        </w:rPr>
        <w:footnoteReference w:id="27"/>
      </w:r>
      <w:r>
        <w:t xml:space="preserve"> ning Maailma Ametiühingute Liit</w:t>
      </w:r>
      <w:r w:rsidRPr="001F165D">
        <w:rPr>
          <w:vertAlign w:val="superscript"/>
          <w:lang w:val="en-GB"/>
        </w:rPr>
        <w:footnoteReference w:id="28"/>
      </w:r>
      <w:r>
        <w:t xml:space="preserve"> ja selle Aasia ja Vaikse Ookeani piirkonna haru,</w:t>
      </w:r>
      <w:r w:rsidRPr="001F165D">
        <w:rPr>
          <w:vertAlign w:val="superscript"/>
          <w:lang w:val="en-GB"/>
        </w:rPr>
        <w:footnoteReference w:id="29"/>
      </w:r>
      <w:r>
        <w:t xml:space="preserve"> samuti kaks olulist tööandjate organisatsiooni – ASEANi tööandjate keskliit</w:t>
      </w:r>
      <w:r w:rsidRPr="001F165D">
        <w:rPr>
          <w:vertAlign w:val="superscript"/>
          <w:lang w:val="en-GB"/>
        </w:rPr>
        <w:footnoteReference w:id="30"/>
      </w:r>
      <w:r>
        <w:t xml:space="preserve"> ning Aasia ja Vaikse Ookeani piirkonna tööandjate keskliit</w:t>
      </w:r>
      <w:r w:rsidRPr="001F165D">
        <w:rPr>
          <w:vertAlign w:val="superscript"/>
          <w:lang w:val="en-GB"/>
        </w:rPr>
        <w:footnoteReference w:id="31"/>
      </w:r>
      <w:r>
        <w:t xml:space="preserve">. </w:t>
      </w:r>
    </w:p>
    <w:p w:rsidRPr="001F165D" w:rsidR="00C11E25" w:rsidP="00C11E25" w:rsidRDefault="00C11E25" w14:paraId="539ABB20" w14:textId="77777777">
      <w:pPr>
        <w:pStyle w:val="Heading2"/>
        <w:numPr>
          <w:ilvl w:val="0"/>
          <w:numId w:val="0"/>
        </w:numPr>
        <w:rPr>
          <w:lang w:val="en-GB"/>
        </w:rPr>
      </w:pPr>
    </w:p>
    <w:p w:rsidRPr="001F165D" w:rsidR="00C11E25" w:rsidP="00C11E25" w:rsidRDefault="00C11E25" w14:paraId="72098F37" w14:textId="77777777">
      <w:pPr>
        <w:pStyle w:val="Heading2"/>
      </w:pPr>
      <w:r>
        <w:t xml:space="preserve">ASEAN on viimastel aastakümnetel täheldanud positiivset suundumust tööjõu liikuvuses ja ressursside ümberjaotamises põllumajanduse, tööstuse ja teenuste vahel. Sellest hoolimata jäetakse kõrvale haavatavad rühmad, sealhulgas naised ja noored, kuna nad sõltuvad sageli tasustamata peretööst ja mitteametliku sektori töökohtadest, eelkõige kui tegu on etniliste vähemustega. </w:t>
      </w:r>
    </w:p>
    <w:p w:rsidRPr="001F165D" w:rsidR="00C11E25" w:rsidP="00C11E25" w:rsidRDefault="00C11E25" w14:paraId="73C833F4" w14:textId="77777777">
      <w:pPr>
        <w:pStyle w:val="Heading2"/>
        <w:numPr>
          <w:ilvl w:val="0"/>
          <w:numId w:val="0"/>
        </w:numPr>
        <w:rPr>
          <w:lang w:val="en-GB"/>
        </w:rPr>
      </w:pPr>
    </w:p>
    <w:p w:rsidRPr="001F165D" w:rsidR="00C11E25" w:rsidP="00C11E25" w:rsidRDefault="00C11E25" w14:paraId="627E04F6" w14:textId="77777777">
      <w:pPr>
        <w:pStyle w:val="Heading2"/>
      </w:pPr>
      <w:r>
        <w:t>Lisaks märgib ILO, et ametiühingud ja kodanikuühiskond seisavad silmitsi järgmiste püsivate takistustega</w:t>
      </w:r>
      <w:r w:rsidRPr="001F165D">
        <w:rPr>
          <w:vertAlign w:val="superscript"/>
          <w:lang w:val="en-GB"/>
        </w:rPr>
        <w:footnoteReference w:id="32"/>
      </w:r>
      <w:r>
        <w:t>:</w:t>
      </w:r>
    </w:p>
    <w:p w:rsidRPr="001F165D" w:rsidR="00C11E25" w:rsidP="00C11E25" w:rsidRDefault="00C11E25" w14:paraId="17912BCF" w14:textId="77777777">
      <w:pPr>
        <w:pStyle w:val="Heading2"/>
        <w:numPr>
          <w:ilvl w:val="1"/>
          <w:numId w:val="4"/>
        </w:numPr>
        <w:ind w:left="851" w:hanging="284"/>
      </w:pPr>
      <w:r>
        <w:t xml:space="preserve">piirangud ametiühingute moodustamisel ja kollektiivläbirääkimistel; </w:t>
      </w:r>
    </w:p>
    <w:p w:rsidRPr="001F165D" w:rsidR="00C11E25" w:rsidP="00C11E25" w:rsidRDefault="00C11E25" w14:paraId="374A60E4" w14:textId="77777777">
      <w:pPr>
        <w:pStyle w:val="Heading2"/>
        <w:numPr>
          <w:ilvl w:val="1"/>
          <w:numId w:val="4"/>
        </w:numPr>
        <w:ind w:left="851" w:hanging="284"/>
      </w:pPr>
      <w:r>
        <w:t xml:space="preserve">teatavate töötajate rühmade piiratud juurdepääs inimõigustele (ühinemisvabadus ja organiseerumisvabadus), eriti mitteametlikus sektoris; </w:t>
      </w:r>
    </w:p>
    <w:p w:rsidRPr="001F165D" w:rsidR="00C11E25" w:rsidP="00C11E25" w:rsidRDefault="00C11E25" w14:paraId="3B73E99D" w14:textId="77777777">
      <w:pPr>
        <w:pStyle w:val="Heading2"/>
        <w:numPr>
          <w:ilvl w:val="1"/>
          <w:numId w:val="4"/>
        </w:numPr>
        <w:ind w:left="851" w:hanging="284"/>
      </w:pPr>
      <w:r>
        <w:t>ametiühingusse kuulumise ja kollektiivläbirääkimiste katvuse üldine vähenemine koos uute tööviiside suurema levikuga;</w:t>
      </w:r>
    </w:p>
    <w:p w:rsidRPr="001F165D" w:rsidR="00C11E25" w:rsidP="00C11E25" w:rsidRDefault="00C11E25" w14:paraId="68D5FD41" w14:textId="77777777">
      <w:pPr>
        <w:pStyle w:val="Heading2"/>
        <w:numPr>
          <w:ilvl w:val="1"/>
          <w:numId w:val="4"/>
        </w:numPr>
        <w:ind w:left="851" w:hanging="284"/>
      </w:pPr>
      <w:r>
        <w:t>ühinemisõigust piiravad riiklikud poliitikameetmed;</w:t>
      </w:r>
    </w:p>
    <w:p w:rsidRPr="001F165D" w:rsidR="00C11E25" w:rsidP="00C11E25" w:rsidRDefault="00C11E25" w14:paraId="7461A2EB" w14:textId="77777777">
      <w:pPr>
        <w:pStyle w:val="Heading2"/>
        <w:numPr>
          <w:ilvl w:val="1"/>
          <w:numId w:val="4"/>
        </w:numPr>
        <w:ind w:left="851" w:hanging="284"/>
      </w:pPr>
      <w:r>
        <w:t>töötajatel ei ole piisavalt esinduskanaleid;</w:t>
      </w:r>
    </w:p>
    <w:p w:rsidRPr="001F165D" w:rsidR="00C11E25" w:rsidP="00C11E25" w:rsidRDefault="00C11E25" w14:paraId="60B3F852" w14:textId="77777777">
      <w:pPr>
        <w:pStyle w:val="Heading2"/>
        <w:numPr>
          <w:ilvl w:val="1"/>
          <w:numId w:val="4"/>
        </w:numPr>
        <w:ind w:left="851" w:hanging="284"/>
      </w:pPr>
      <w:r>
        <w:t>ebatõhusad ja ebausaldusväärsed töövaidluste lahendamise süsteemid;</w:t>
      </w:r>
    </w:p>
    <w:p w:rsidRPr="001F165D" w:rsidR="00C11E25" w:rsidP="00C11E25" w:rsidRDefault="00C11E25" w14:paraId="734A51CE" w14:textId="77777777">
      <w:pPr>
        <w:pStyle w:val="Heading2"/>
        <w:numPr>
          <w:ilvl w:val="1"/>
          <w:numId w:val="4"/>
        </w:numPr>
        <w:ind w:left="851" w:hanging="284"/>
      </w:pPr>
      <w:r>
        <w:t>üldised poliitikalüngad, mis puudutavad põhiõiguste kohaldamist ametliku tööhõive puhul, jättes välja mitteametliku sektori;</w:t>
      </w:r>
    </w:p>
    <w:p w:rsidRPr="001F165D" w:rsidR="00C11E25" w:rsidP="00C11E25" w:rsidRDefault="00C11E25" w14:paraId="05313AE2" w14:textId="77777777">
      <w:pPr>
        <w:pStyle w:val="Heading2"/>
        <w:numPr>
          <w:ilvl w:val="1"/>
          <w:numId w:val="4"/>
        </w:numPr>
        <w:ind w:left="851" w:hanging="284"/>
      </w:pPr>
      <w:proofErr w:type="spellStart"/>
      <w:r>
        <w:t>võõrtöötajate</w:t>
      </w:r>
      <w:proofErr w:type="spellEnd"/>
      <w:r>
        <w:t xml:space="preserve"> õiguste puudulik kaitse. </w:t>
      </w:r>
    </w:p>
    <w:p w:rsidRPr="001F165D" w:rsidR="00C11E25" w:rsidP="00C11E25" w:rsidRDefault="00C11E25" w14:paraId="4CACAB12" w14:textId="77777777">
      <w:pPr>
        <w:pStyle w:val="Heading2"/>
        <w:numPr>
          <w:ilvl w:val="0"/>
          <w:numId w:val="0"/>
        </w:numPr>
        <w:rPr>
          <w:lang w:val="en-GB"/>
        </w:rPr>
      </w:pPr>
    </w:p>
    <w:p w:rsidRPr="001F165D" w:rsidR="00C11E25" w:rsidP="00C11E25" w:rsidRDefault="00C11E25" w14:paraId="172BA982" w14:textId="77777777">
      <w:pPr>
        <w:pStyle w:val="Heading2"/>
      </w:pPr>
      <w:r>
        <w:t>Muud probleemid hõlmavad piiratud sotsiaalkindlustuskatet, madalaid palku ja arvukaid ületunnitööd tegevaid töötajaid</w:t>
      </w:r>
      <w:r w:rsidRPr="001F165D">
        <w:rPr>
          <w:vertAlign w:val="superscript"/>
          <w:lang w:val="en-GB"/>
        </w:rPr>
        <w:footnoteReference w:id="33"/>
      </w:r>
      <w:r>
        <w:t xml:space="preserve">. Kuigi Indoneesia on kehtestanud piirkondlikud miinimumpalga standardid, on endiselt probleeme madalama kvalifikatsiooniga töötajatele õiglase hüvitise tagamisega. See kajastab puudujääke rakendamissuutlikkuses ja kollektiivläbirääkimiste mehhanismides, eelkõige tehastes, kus ametiühingud puuduvad. </w:t>
      </w:r>
      <w:r>
        <w:lastRenderedPageBreak/>
        <w:t xml:space="preserve">Indoneesia taganes hiljuti ILO allmaatöö (naised) konventsioonist (nr 45, 1935) ning ei ole veel ratifitseerinud tööohutuse ja töötervishoiu konventsiooni (nr 155, 1981) ega pea kinni ILO inimväärse töö tegevuskavast. </w:t>
      </w:r>
    </w:p>
    <w:p w:rsidRPr="001F165D" w:rsidR="00C11E25" w:rsidP="00C11E25" w:rsidRDefault="00C11E25" w14:paraId="01129D26" w14:textId="77777777">
      <w:pPr>
        <w:pStyle w:val="Heading2"/>
        <w:numPr>
          <w:ilvl w:val="0"/>
          <w:numId w:val="0"/>
        </w:numPr>
        <w:rPr>
          <w:lang w:val="en-GB"/>
        </w:rPr>
      </w:pPr>
    </w:p>
    <w:p w:rsidRPr="001F165D" w:rsidR="00C11E25" w:rsidP="00C11E25" w:rsidRDefault="00C11E25" w14:paraId="422361C5" w14:textId="77777777">
      <w:pPr>
        <w:pStyle w:val="Heading2"/>
      </w:pPr>
      <w:r>
        <w:t>Filipiinidel on ASEANi riikidest kõige terviklikum tööstandardite õigusraamistik</w:t>
      </w:r>
      <w:r w:rsidRPr="001F165D">
        <w:rPr>
          <w:sz w:val="24"/>
          <w:vertAlign w:val="superscript"/>
          <w:lang w:val="en-GB"/>
        </w:rPr>
        <w:footnoteReference w:id="34"/>
      </w:r>
      <w:r>
        <w:t xml:space="preserve">. Ametlikult palgatud töötajad moodustavad siiski endiselt väikese osa tööjõust. Lisaks saavad Filipiinide miinimumpalgaga töötajad suuremat palka kui naaberriikides, sealhulgas Tais, Vietnamis ja Indoneesias. </w:t>
      </w:r>
    </w:p>
    <w:p w:rsidRPr="001F165D" w:rsidR="00C11E25" w:rsidP="00C11E25" w:rsidRDefault="00C11E25" w14:paraId="626A876D" w14:textId="77777777">
      <w:pPr>
        <w:pStyle w:val="Heading2"/>
        <w:numPr>
          <w:ilvl w:val="0"/>
          <w:numId w:val="0"/>
        </w:numPr>
        <w:rPr>
          <w:lang w:val="en-GB"/>
        </w:rPr>
      </w:pPr>
    </w:p>
    <w:p w:rsidRPr="001F165D" w:rsidR="00C11E25" w:rsidP="00C11E25" w:rsidRDefault="00C11E25" w14:paraId="2BDA4321" w14:textId="77777777">
      <w:pPr>
        <w:pStyle w:val="Heading2"/>
      </w:pPr>
      <w:r>
        <w:t xml:space="preserve">ÜRO rändevõrgustiku andmetel seisavad Tais elavad Myanmarist ja Kambodžast pärit </w:t>
      </w:r>
      <w:proofErr w:type="spellStart"/>
      <w:r>
        <w:t>võõrtöötajad</w:t>
      </w:r>
      <w:proofErr w:type="spellEnd"/>
      <w:r>
        <w:t xml:space="preserve"> jätkuvalt silmitsi probleemidega tööstandardite ja -tingimuste valdkonnas</w:t>
      </w:r>
      <w:r w:rsidRPr="001F165D">
        <w:rPr>
          <w:sz w:val="24"/>
          <w:vertAlign w:val="superscript"/>
          <w:lang w:val="en-GB"/>
        </w:rPr>
        <w:footnoteReference w:id="35"/>
      </w:r>
      <w:r>
        <w:t xml:space="preserve">. Tai ei ole 1951. aasta pagulasseisundi konventsiooni osaline ja seal puuduvad tõhusad riiklikud mehhanismid varjupaigataotluste hindamiseks. </w:t>
      </w:r>
    </w:p>
    <w:p w:rsidRPr="001F165D" w:rsidR="00C11E25" w:rsidP="00C11E25" w:rsidRDefault="00C11E25" w14:paraId="6F4E1D5B" w14:textId="77777777">
      <w:pPr>
        <w:pStyle w:val="Heading2"/>
        <w:numPr>
          <w:ilvl w:val="0"/>
          <w:numId w:val="0"/>
        </w:numPr>
        <w:rPr>
          <w:lang w:val="en-GB"/>
        </w:rPr>
      </w:pPr>
    </w:p>
    <w:p w:rsidRPr="001F165D" w:rsidR="00C11E25" w:rsidP="00C11E25" w:rsidRDefault="00C11E25" w14:paraId="22C91A21" w14:textId="77777777">
      <w:pPr>
        <w:pStyle w:val="Heading2"/>
        <w:keepNext/>
        <w:keepLines/>
        <w:numPr>
          <w:ilvl w:val="0"/>
          <w:numId w:val="0"/>
        </w:numPr>
      </w:pPr>
      <w:r>
        <w:rPr>
          <w:b/>
        </w:rPr>
        <w:t>Keskkonnaküsimused</w:t>
      </w:r>
    </w:p>
    <w:p w:rsidRPr="001F165D" w:rsidR="00C11E25" w:rsidP="00C11E25" w:rsidRDefault="00C11E25" w14:paraId="17FC3763" w14:textId="77777777">
      <w:pPr>
        <w:pStyle w:val="Heading2"/>
        <w:keepNext/>
        <w:keepLines/>
        <w:numPr>
          <w:ilvl w:val="0"/>
          <w:numId w:val="0"/>
        </w:numPr>
        <w:rPr>
          <w:sz w:val="16"/>
          <w:szCs w:val="16"/>
          <w:lang w:val="en-GB"/>
        </w:rPr>
      </w:pPr>
    </w:p>
    <w:p w:rsidRPr="001F165D" w:rsidR="00C11E25" w:rsidP="00C11E25" w:rsidRDefault="00C11E25" w14:paraId="41E58ACF" w14:textId="77777777">
      <w:pPr>
        <w:pStyle w:val="Heading2"/>
      </w:pPr>
      <w:r>
        <w:t>EL ja ASEANi vahel tekib sageli pingeid, mis tulenevad keskkonnaalase juhtimise lähenemisviiside erinevusest. ASEANi liikmed on mures ELi mitme regulatiivse algatuse pärast, sealhulgas taastuvenergiadirektiiv (II taastuvenergiadirektiiv), süsiniku piirimeede ja raadamist käsitlev määrus.</w:t>
      </w:r>
    </w:p>
    <w:p w:rsidRPr="001F165D" w:rsidR="00C11E25" w:rsidP="00C11E25" w:rsidRDefault="00C11E25" w14:paraId="1E0B09BB" w14:textId="77777777">
      <w:pPr>
        <w:pStyle w:val="Heading2"/>
        <w:numPr>
          <w:ilvl w:val="0"/>
          <w:numId w:val="0"/>
        </w:numPr>
        <w:rPr>
          <w:lang w:val="en-GB"/>
        </w:rPr>
      </w:pPr>
    </w:p>
    <w:p w:rsidRPr="001F165D" w:rsidR="00C11E25" w:rsidP="00C11E25" w:rsidRDefault="00C11E25" w14:paraId="28811F4E" w14:textId="77777777">
      <w:pPr>
        <w:pStyle w:val="Heading2"/>
      </w:pPr>
      <w:r>
        <w:t>Pinged tulevad eriti teravalt esile palmiõlisektoris. Indoneesia ja Malaisia, kes on maailma suurimad palmiõli eksportijad, toodavad 90 % maailma toodangust ja selles sektoris on neil rohkem kui 4,5 miljonit töökohta. Alates 2023. aastast on Indoneesia ja Malaisia osalenud Euroopa Komisjoniga ühiselt moodustatud rakkerühmas, mis loodi eesmärgiga jagada arvamusi ja ettepanekuid palmiõli kohta. Euroopa biodiislikütuse turule palmiõli eksportijatele kehtib juba aastaid sertifitseerimiskohustus, et nad vastaksid rangetele keskkonnastandarditele. II taastuvenergia direktiivis on sätestatud, et palmiõli tuleb 2022. aastal ELi turult kõrvaldada. 2024. aastal kinnitas Maailma Kaubandusorganisatsioon, et EL võib seda meedet rakendada. Otsuse kohaselt ei pea EL meedet tühistama, vaid üksnes kohandama oma õigusakte, et need vastaksid Maailma Kaubandusorganisatsiooni eeskirjadele.</w:t>
      </w:r>
    </w:p>
    <w:p w:rsidRPr="001F165D" w:rsidR="00C11E25" w:rsidP="00C11E25" w:rsidRDefault="00C11E25" w14:paraId="7C9ABB0A" w14:textId="77777777">
      <w:pPr>
        <w:pStyle w:val="Heading2"/>
        <w:numPr>
          <w:ilvl w:val="0"/>
          <w:numId w:val="0"/>
        </w:numPr>
        <w:rPr>
          <w:lang w:val="en-GB"/>
        </w:rPr>
      </w:pPr>
    </w:p>
    <w:p w:rsidRPr="001F165D" w:rsidR="00C11E25" w:rsidP="00C11E25" w:rsidRDefault="00C11E25" w14:paraId="57066851" w14:textId="77777777">
      <w:pPr>
        <w:pStyle w:val="Heading2"/>
      </w:pPr>
      <w:r>
        <w:t>ELi põllumajandusministrid on raadamist käsitleva määruse edasi lükanud 2026. aastasse. Indoneesia, kes on kindlalt vastu nimetatud määrusele, juhib piirkondlikke jõupingutusi, et anda kogu ASEANi hõlmav ühine vastus, võttes arvesse selle õigusakti võimalikku majanduslikku mõju oma peamistele ekspordikaupadele. Sama seisukohta jagavad ka Malaisia ja Tai. 2024. aastal nõudis Singapur, et EL kaaluks vähem koormavat lähenemisviisi, et vähendada asjaomase tootmisharu nõuete täitmisega seotud kulusid ja tagada, et kehtestatud meetmed ei piiraks kaubandust rohkem kui vajalik. Põlisrahvaste õiguste põhiseaduslikku tunnustamist ei ole Indoneesias veel ühetaoliselt rakendatud, eelkõige ressursirikastes piirkondades, kus maavaidlused kestavad. Kasvav nõudlus metsandus- ja puittoodete järele võib põhjustada inimõiguste rikkumiste sagenemist.</w:t>
      </w:r>
    </w:p>
    <w:p w:rsidRPr="001F165D" w:rsidR="00C11E25" w:rsidP="00C11E25" w:rsidRDefault="00C11E25" w14:paraId="2BDCC4AB" w14:textId="77777777">
      <w:pPr>
        <w:pStyle w:val="Heading2"/>
        <w:numPr>
          <w:ilvl w:val="0"/>
          <w:numId w:val="0"/>
        </w:numPr>
        <w:rPr>
          <w:lang w:val="en-GB"/>
        </w:rPr>
      </w:pPr>
    </w:p>
    <w:p w:rsidRPr="001F165D" w:rsidR="00C11E25" w:rsidP="00C11E25" w:rsidRDefault="00C11E25" w14:paraId="4F719469" w14:textId="77777777">
      <w:pPr>
        <w:pStyle w:val="Heading2"/>
      </w:pPr>
      <w:r>
        <w:lastRenderedPageBreak/>
        <w:t>India Ookeani Tuunikomisjonis on saavutatud olulisi edusamme tänu üheteistkümne uue kaitse- ja majandamismeetme vastuvõtmisele, et stimuleerida India ookeanis kestlikku kalapüüki</w:t>
      </w:r>
      <w:r w:rsidRPr="001F165D">
        <w:rPr>
          <w:vertAlign w:val="superscript"/>
          <w:lang w:val="en-GB"/>
        </w:rPr>
        <w:footnoteReference w:id="36"/>
      </w:r>
      <w:r>
        <w:t>. Pöördeliste otsuste hulgas on triivivate peibutuspüügivahendite terviklik raamistik, sealhulgas mittetäielikult biolagunevate triivivate peibutuspüügivahendite viivitamatu keelustamine ja kõigi mittebiolagunevate komponentide järkjärguline kasutuselt kõrvaldamine, mis nõuab täielikku üleminekut biolagunevatele peibutuspüügivahenditele 2030. aastaks</w:t>
      </w:r>
      <w:r w:rsidRPr="001F165D">
        <w:rPr>
          <w:vertAlign w:val="superscript"/>
          <w:lang w:val="en-GB"/>
        </w:rPr>
        <w:footnoteReference w:id="37"/>
      </w:r>
      <w:r>
        <w:t>.</w:t>
      </w:r>
    </w:p>
    <w:p w:rsidRPr="001F165D" w:rsidR="00C11E25" w:rsidP="00C11E25" w:rsidRDefault="00C11E25" w14:paraId="53575423" w14:textId="77777777">
      <w:pPr>
        <w:pStyle w:val="Heading2"/>
        <w:numPr>
          <w:ilvl w:val="0"/>
          <w:numId w:val="0"/>
        </w:numPr>
        <w:rPr>
          <w:lang w:val="en-GB"/>
        </w:rPr>
      </w:pPr>
    </w:p>
    <w:p w:rsidRPr="001F165D" w:rsidR="00C11E25" w:rsidP="00C11E25" w:rsidRDefault="00C11E25" w14:paraId="5843B44E" w14:textId="77777777">
      <w:pPr>
        <w:pStyle w:val="Heading2"/>
        <w:keepNext/>
        <w:keepLines/>
        <w:numPr>
          <w:ilvl w:val="0"/>
          <w:numId w:val="0"/>
        </w:numPr>
        <w:rPr>
          <w:b/>
        </w:rPr>
      </w:pPr>
      <w:r>
        <w:rPr>
          <w:b/>
        </w:rPr>
        <w:t>Inimõigused</w:t>
      </w:r>
    </w:p>
    <w:p w:rsidRPr="001F165D" w:rsidR="00C11E25" w:rsidP="00C11E25" w:rsidRDefault="00C11E25" w14:paraId="3868FC43" w14:textId="77777777">
      <w:pPr>
        <w:pStyle w:val="Heading2"/>
        <w:keepNext/>
        <w:keepLines/>
        <w:numPr>
          <w:ilvl w:val="0"/>
          <w:numId w:val="0"/>
        </w:numPr>
        <w:rPr>
          <w:sz w:val="16"/>
          <w:szCs w:val="16"/>
          <w:lang w:val="en-GB"/>
        </w:rPr>
      </w:pPr>
    </w:p>
    <w:p w:rsidRPr="001F165D" w:rsidR="00C11E25" w:rsidP="00C11E25" w:rsidRDefault="00C11E25" w14:paraId="2EA26DB5" w14:textId="77777777">
      <w:pPr>
        <w:pStyle w:val="Heading2"/>
      </w:pPr>
      <w:r>
        <w:t xml:space="preserve">Inimõiguste arengutee varieerub ASEANi riikides märkimisväärselt. Piirkond seisab silmitsi jätkuvate probleemidega, mida iseloomustavad pagulaste arvu suurenemine, inimkaubandus ja uimastitega seotud probleemid. Erilist tähelepanu väärivad Filipiinidel toimuvad muutused. 2022. aasta valimiste järel lubas president </w:t>
      </w:r>
      <w:proofErr w:type="spellStart"/>
      <w:r>
        <w:t>Ferdinand</w:t>
      </w:r>
      <w:proofErr w:type="spellEnd"/>
      <w:r>
        <w:t xml:space="preserve"> Marcos noorem pärast oma eelkäija </w:t>
      </w:r>
      <w:proofErr w:type="spellStart"/>
      <w:r>
        <w:t>Rodrigo</w:t>
      </w:r>
      <w:proofErr w:type="spellEnd"/>
      <w:r>
        <w:t xml:space="preserve"> </w:t>
      </w:r>
      <w:proofErr w:type="spellStart"/>
      <w:r>
        <w:t>Duterte</w:t>
      </w:r>
      <w:proofErr w:type="spellEnd"/>
      <w:r>
        <w:t xml:space="preserve"> uimastisõda ja muid vastuolulisi poliitikameetmeid inimõiguste olukorda parandada. Võetud kohustustest hoolimata esineb endiselt laialdaselt kodanikuühiskonna organisatsioonide, aktivistide ja põlisrahvaste rühmade vastu suunatud ähvardusi, sealhulgas kommunistideks tembeldamine ja valesüüdistused. </w:t>
      </w:r>
      <w:proofErr w:type="spellStart"/>
      <w:r>
        <w:t>Duterte</w:t>
      </w:r>
      <w:proofErr w:type="spellEnd"/>
      <w:r>
        <w:t xml:space="preserve"> ise on praegu Rahvusvahelise Kriminaalkohtu uurimise all. Kodanikuühiskonna organisatsioonid, </w:t>
      </w:r>
      <w:proofErr w:type="spellStart"/>
      <w:r>
        <w:t>poliitaktivistid</w:t>
      </w:r>
      <w:proofErr w:type="spellEnd"/>
      <w:r>
        <w:t>, keskkonnakaitsjad, põlisrahvad ja ametiühinguliikmed on endiselt ohus, eelkõige kommunistideks tembeldamise ja valesüüdistuste esitamise tõttu. Lisaks jätkub konflikt valitsuse ja kommunistliku Uue Rahvaarmee vahel.</w:t>
      </w:r>
    </w:p>
    <w:p w:rsidRPr="001F165D" w:rsidR="00C11E25" w:rsidP="00C11E25" w:rsidRDefault="00C11E25" w14:paraId="28578AA7" w14:textId="77777777">
      <w:pPr>
        <w:pStyle w:val="Heading2"/>
        <w:numPr>
          <w:ilvl w:val="0"/>
          <w:numId w:val="0"/>
        </w:numPr>
        <w:rPr>
          <w:lang w:val="en-GB"/>
        </w:rPr>
      </w:pPr>
    </w:p>
    <w:p w:rsidRPr="001F165D" w:rsidR="00C11E25" w:rsidP="00C11E25" w:rsidRDefault="00C11E25" w14:paraId="416EF099" w14:textId="77777777">
      <w:pPr>
        <w:pStyle w:val="Heading2"/>
      </w:pPr>
      <w:r>
        <w:t>Malaisia seevastu on võtnud edumeelseid meetmeid, näiteks kaotati 2023. aastal kohustuslik surmanuhtlus muude kui uimastikaubandusega seotud süütegude puhul.</w:t>
      </w:r>
    </w:p>
    <w:p w:rsidRPr="001F165D" w:rsidR="00C11E25" w:rsidP="00C11E25" w:rsidRDefault="00C11E25" w14:paraId="581105CE" w14:textId="77777777">
      <w:pPr>
        <w:rPr>
          <w:color w:val="000000" w:themeColor="text1"/>
          <w:lang w:val="en-GB"/>
        </w:rPr>
      </w:pPr>
    </w:p>
    <w:p w:rsidRPr="001F165D" w:rsidR="00C11E25" w:rsidP="00C11E25" w:rsidRDefault="00C11E25" w14:paraId="2018A314" w14:textId="77777777">
      <w:pPr>
        <w:keepNext/>
        <w:keepLines/>
        <w:rPr>
          <w:b/>
          <w:color w:val="000000" w:themeColor="text1"/>
        </w:rPr>
      </w:pPr>
      <w:r>
        <w:rPr>
          <w:b/>
          <w:color w:val="000000" w:themeColor="text1"/>
        </w:rPr>
        <w:t>Järeldused</w:t>
      </w:r>
    </w:p>
    <w:p w:rsidRPr="00F537C0" w:rsidR="00C11E25" w:rsidP="00C11E25" w:rsidRDefault="00C11E25" w14:paraId="6C34F7AD" w14:textId="77777777">
      <w:pPr>
        <w:keepNext/>
        <w:keepLines/>
        <w:outlineLvl w:val="1"/>
        <w:rPr>
          <w:color w:val="000000" w:themeColor="text1"/>
          <w:lang w:val="en-GB"/>
        </w:rPr>
      </w:pPr>
    </w:p>
    <w:p w:rsidRPr="001F165D" w:rsidR="00C11E25" w:rsidP="00C11E25" w:rsidRDefault="00C11E25" w14:paraId="470E97A4" w14:textId="77777777">
      <w:pPr>
        <w:rPr>
          <w:bCs/>
          <w:color w:val="000000" w:themeColor="text1"/>
        </w:rPr>
      </w:pPr>
      <w:r>
        <w:rPr>
          <w:color w:val="000000" w:themeColor="text1"/>
        </w:rPr>
        <w:t xml:space="preserve">Ühiste huvidega strateegiliste partneritena saavad EL ja ASEAN teha koostööd, et edendada vastastikuseid majandus- ja investeerimisvõimalusi, mis on vahetult seotud kodanikuühiskonna organisatsioonide parema töökeskkonnaga. </w:t>
      </w:r>
    </w:p>
    <w:p w:rsidRPr="001F165D" w:rsidR="00C11E25" w:rsidP="00C11E25" w:rsidRDefault="00C11E25" w14:paraId="15DC48B8" w14:textId="77777777">
      <w:pPr>
        <w:rPr>
          <w:bCs/>
          <w:color w:val="000000" w:themeColor="text1"/>
          <w:lang w:val="en-GB"/>
        </w:rPr>
      </w:pPr>
    </w:p>
    <w:p w:rsidRPr="001F165D" w:rsidR="00C11E25" w:rsidP="00C11E25" w:rsidRDefault="00C11E25" w14:paraId="3EDE8207" w14:textId="77777777">
      <w:pPr>
        <w:rPr>
          <w:bCs/>
          <w:color w:val="000000" w:themeColor="text1"/>
        </w:rPr>
      </w:pPr>
      <w:r>
        <w:rPr>
          <w:color w:val="000000" w:themeColor="text1"/>
        </w:rPr>
        <w:t xml:space="preserve">Kaubanduse ja kestliku arengu peatükkide õiguskaitsel on arenguriikides keskne roll. Selle partnerluse süvendamine tugevdab ka ülemaailmseid norme ja ühiseid väärtusi, eriti sellistes valdkondades nagu tööstandardid, tööohutus ja kaasav areng. </w:t>
      </w:r>
    </w:p>
    <w:p w:rsidRPr="001F165D" w:rsidR="00360204" w:rsidP="00ED0759" w:rsidRDefault="00360204" w14:paraId="186458E1" w14:textId="77777777">
      <w:pPr>
        <w:rPr>
          <w:lang w:val="en-GB"/>
        </w:rPr>
      </w:pPr>
    </w:p>
    <w:p w:rsidRPr="001F165D" w:rsidR="00360204" w:rsidP="00ED0759" w:rsidRDefault="00360204" w14:paraId="66784737" w14:textId="5EFE944B">
      <w:r>
        <w:t>Brüssel, 19. juuni 2025</w:t>
      </w:r>
    </w:p>
    <w:p w:rsidRPr="001F165D" w:rsidR="005956FC" w:rsidP="00ED0759" w:rsidRDefault="005956FC" w14:paraId="4B414BE3" w14:textId="77777777">
      <w:pPr>
        <w:rPr>
          <w:lang w:val="en-GB"/>
        </w:rPr>
      </w:pPr>
    </w:p>
    <w:p w:rsidRPr="001F165D" w:rsidR="005956FC" w:rsidP="005956FC" w:rsidRDefault="005956FC" w14:paraId="74E5AAB7" w14:textId="13A72392">
      <w:pPr>
        <w:jc w:val="left"/>
        <w:rPr>
          <w:lang w:val="en-GB"/>
        </w:rPr>
      </w:pPr>
    </w:p>
    <w:p w:rsidRPr="001F165D" w:rsidR="00360204" w:rsidP="00360204" w:rsidRDefault="00360204" w14:paraId="7C4A0512" w14:textId="6009B4B6">
      <w:pPr>
        <w:rPr>
          <w:i/>
          <w:iCs/>
          <w:color w:val="000000" w:themeColor="text1"/>
        </w:rPr>
      </w:pPr>
      <w:r>
        <w:rPr>
          <w:i/>
          <w:color w:val="000000" w:themeColor="text1"/>
        </w:rPr>
        <w:t>Euroopa Majandus- ja Sotsiaalkomitee president</w:t>
      </w:r>
    </w:p>
    <w:p w:rsidRPr="001F165D" w:rsidR="00E2376B" w:rsidP="00E2376B" w:rsidRDefault="00964BF1" w14:paraId="3914066A" w14:textId="4D74C31B">
      <w:r>
        <w:t>Oliver RÖPKE</w:t>
      </w:r>
    </w:p>
    <w:p w:rsidRPr="001F165D" w:rsidR="00ED0759" w:rsidP="00DB7F50" w:rsidRDefault="00E2376B" w14:paraId="46FCDD49" w14:textId="561D4155">
      <w:pPr>
        <w:jc w:val="center"/>
      </w:pPr>
      <w:r>
        <w:t>_____________</w:t>
      </w:r>
    </w:p>
    <w:sectPr w:rsidRPr="001F165D" w:rsidR="00ED0759"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E2EF" w14:textId="77777777" w:rsidR="001E3C28" w:rsidRDefault="001E3C28" w:rsidP="00F53370">
      <w:pPr>
        <w:spacing w:line="240" w:lineRule="auto"/>
      </w:pPr>
      <w:r>
        <w:separator/>
      </w:r>
    </w:p>
  </w:endnote>
  <w:endnote w:type="continuationSeparator" w:id="0">
    <w:p w14:paraId="4BF32D87" w14:textId="77777777" w:rsidR="001E3C28" w:rsidRDefault="001E3C28"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C10A" w14:textId="77777777" w:rsidR="00037DAD" w:rsidRDefault="00037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1913" w14:textId="77777777" w:rsidR="00037DAD" w:rsidRDefault="00037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861E" w14:textId="77777777" w:rsidR="00037DAD" w:rsidRDefault="00037D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7A536046" w:rsidR="000A30FF" w:rsidRPr="003065C9" w:rsidRDefault="00296BCE" w:rsidP="00296BCE">
    <w:pPr>
      <w:pStyle w:val="Footer"/>
      <w:jc w:val="left"/>
    </w:pPr>
    <w:r>
      <w:t xml:space="preserve">REX/589 – EESC-2025-00840-00-02-RI-TRA (EN) </w:t>
    </w:r>
    <w:r>
      <w:fldChar w:fldCharType="begin"/>
    </w:r>
    <w:r>
      <w:instrText xml:space="preserve"> PAGE  \* Arabic  \* MERGEFORMAT </w:instrText>
    </w:r>
    <w:r>
      <w:fldChar w:fldCharType="separate"/>
    </w:r>
    <w:r>
      <w:t>9</w:t>
    </w:r>
    <w:r>
      <w:fldChar w:fldCharType="end"/>
    </w:r>
    <w:r>
      <w:t>/</w:t>
    </w:r>
    <w:r>
      <w:fldChar w:fldCharType="begin"/>
    </w:r>
    <w:r>
      <w:instrText xml:space="preserve"> = </w:instrText>
    </w:r>
    <w:fldSimple w:instr=" NUMPAGES ">
      <w:r w:rsidR="00EA3C61">
        <w:rPr>
          <w:noProof/>
        </w:rPr>
        <w:instrText>11</w:instrText>
      </w:r>
    </w:fldSimple>
    <w:r>
      <w:instrText xml:space="preserve"> - 2 </w:instrText>
    </w:r>
    <w:r>
      <w:fldChar w:fldCharType="separate"/>
    </w:r>
    <w:r w:rsidR="00EA3C61">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E899" w14:textId="77777777" w:rsidR="001E3C28" w:rsidRDefault="001E3C28" w:rsidP="00F53370">
      <w:pPr>
        <w:spacing w:line="240" w:lineRule="auto"/>
      </w:pPr>
      <w:r>
        <w:separator/>
      </w:r>
    </w:p>
  </w:footnote>
  <w:footnote w:type="continuationSeparator" w:id="0">
    <w:p w14:paraId="4574EC56" w14:textId="77777777" w:rsidR="001E3C28" w:rsidRDefault="001E3C28" w:rsidP="00F53370">
      <w:pPr>
        <w:spacing w:line="240" w:lineRule="auto"/>
      </w:pPr>
      <w:r>
        <w:continuationSeparator/>
      </w:r>
    </w:p>
  </w:footnote>
  <w:footnote w:id="1">
    <w:p w14:paraId="7B8E0B3A" w14:textId="7EE02755" w:rsidR="00C11E25" w:rsidRPr="00895F23" w:rsidRDefault="00C11E25" w:rsidP="00C11E25">
      <w:pPr>
        <w:spacing w:line="240" w:lineRule="auto"/>
        <w:ind w:left="567" w:hanging="567"/>
        <w:rPr>
          <w:sz w:val="16"/>
        </w:rPr>
      </w:pPr>
      <w:r>
        <w:rPr>
          <w:rStyle w:val="FootnoteReference"/>
        </w:rPr>
        <w:footnoteRef/>
      </w:r>
      <w:r>
        <w:rPr>
          <w:sz w:val="16"/>
        </w:rPr>
        <w:tab/>
      </w:r>
      <w:r>
        <w:rPr>
          <w:i/>
          <w:sz w:val="16"/>
        </w:rPr>
        <w:t>ASEAN-EU Partnership: The Untold Story</w:t>
      </w:r>
      <w:r>
        <w:rPr>
          <w:sz w:val="16"/>
        </w:rPr>
        <w:t>, Tommy Koh and Yeo Lay Hwee (2020).</w:t>
      </w:r>
    </w:p>
  </w:footnote>
  <w:footnote w:id="2">
    <w:p w14:paraId="1351A27D" w14:textId="77777777" w:rsidR="00C11E25" w:rsidRPr="001E242D" w:rsidRDefault="00C11E25" w:rsidP="00C11E25">
      <w:pPr>
        <w:pStyle w:val="FootnoteText"/>
      </w:pPr>
      <w:r>
        <w:rPr>
          <w:rStyle w:val="FootnoteReference"/>
        </w:rPr>
        <w:footnoteRef/>
      </w:r>
      <w:r>
        <w:tab/>
        <w:t>ASEANi keskne roll on piirkonna julgeoleku ja Aasia rahvusvahelise koostöö põhielement.</w:t>
      </w:r>
    </w:p>
  </w:footnote>
  <w:footnote w:id="3">
    <w:p w14:paraId="3DD356F9" w14:textId="77777777" w:rsidR="00C11E25" w:rsidRDefault="00C11E25" w:rsidP="00320852">
      <w:pPr>
        <w:keepLines/>
        <w:ind w:left="567" w:hanging="567"/>
        <w:rPr>
          <w:sz w:val="16"/>
          <w:szCs w:val="16"/>
        </w:rPr>
      </w:pPr>
      <w:r>
        <w:rPr>
          <w:rStyle w:val="FootnoteReference"/>
        </w:rPr>
        <w:footnoteRef/>
      </w:r>
      <w:r>
        <w:rPr>
          <w:sz w:val="16"/>
        </w:rPr>
        <w:tab/>
      </w:r>
      <w:hyperlink r:id="rId1">
        <w:r>
          <w:rPr>
            <w:color w:val="0000FF"/>
            <w:sz w:val="16"/>
            <w:u w:val="single"/>
          </w:rPr>
          <w:t>https://www.ilo.org/about-ilo/mission-and-impact-ilo/ilo-declaration-fundamental-principles-and-rights-work</w:t>
        </w:r>
      </w:hyperlink>
      <w:r>
        <w:rPr>
          <w:sz w:val="16"/>
        </w:rPr>
        <w:t>.</w:t>
      </w:r>
    </w:p>
  </w:footnote>
  <w:footnote w:id="4">
    <w:p w14:paraId="6FBC65D2" w14:textId="77777777" w:rsidR="00C11E25" w:rsidRPr="00046D5C" w:rsidRDefault="00C11E25" w:rsidP="00320852">
      <w:pPr>
        <w:pStyle w:val="FootnoteText"/>
        <w:spacing w:after="0" w:line="288" w:lineRule="auto"/>
      </w:pPr>
      <w:r>
        <w:rPr>
          <w:rStyle w:val="FootnoteReference"/>
        </w:rPr>
        <w:footnoteRef/>
      </w:r>
      <w:r>
        <w:tab/>
      </w:r>
      <w:hyperlink r:id="rId2" w:history="1">
        <w:r>
          <w:rPr>
            <w:rStyle w:val="Hyperlink"/>
          </w:rPr>
          <w:t>https://www.eu-asean.eu/</w:t>
        </w:r>
      </w:hyperlink>
      <w:r>
        <w:t>.</w:t>
      </w:r>
    </w:p>
  </w:footnote>
  <w:footnote w:id="5">
    <w:p w14:paraId="299B218D" w14:textId="77777777" w:rsidR="00C11E25"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3" w:anchor="page=96">
        <w:r>
          <w:rPr>
            <w:color w:val="0000FF"/>
            <w:sz w:val="16"/>
            <w:u w:val="single"/>
          </w:rPr>
          <w:t>https://eur-lex.europa.eu/legal-content/ET/TXT/PDF/?uri=CELEX:22019A1114(01)&amp;from=ET#page=96</w:t>
        </w:r>
      </w:hyperlink>
      <w:r>
        <w:rPr>
          <w:sz w:val="16"/>
        </w:rPr>
        <w:t>.</w:t>
      </w:r>
    </w:p>
  </w:footnote>
  <w:footnote w:id="6">
    <w:p w14:paraId="3F62E63B" w14:textId="77777777" w:rsidR="00C11E25"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4" w:anchor="page=132">
        <w:r>
          <w:rPr>
            <w:color w:val="0000FF"/>
            <w:sz w:val="16"/>
            <w:u w:val="single"/>
          </w:rPr>
          <w:t>https://eur-lex.europa.eu/legal-content/ET/TXT/PDF/?uri=OJ:L:2020:186:FULL&amp;from=ET#page=132</w:t>
        </w:r>
      </w:hyperlink>
      <w:r>
        <w:rPr>
          <w:sz w:val="16"/>
        </w:rPr>
        <w:t>.</w:t>
      </w:r>
    </w:p>
  </w:footnote>
  <w:footnote w:id="7">
    <w:p w14:paraId="50272E43" w14:textId="7851E408"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5" w:history="1">
        <w:r>
          <w:rPr>
            <w:rStyle w:val="Hyperlink"/>
            <w:sz w:val="16"/>
          </w:rPr>
          <w:t>https://www.worldeconomics.com/Regions/ASEAN/</w:t>
        </w:r>
      </w:hyperlink>
      <w:r>
        <w:rPr>
          <w:sz w:val="16"/>
        </w:rPr>
        <w:t>.</w:t>
      </w:r>
    </w:p>
  </w:footnote>
  <w:footnote w:id="8">
    <w:p w14:paraId="0A26AF76" w14:textId="78A6065B" w:rsidR="00C11E25" w:rsidRPr="00D2283E" w:rsidRDefault="00C11E25" w:rsidP="00C11E25">
      <w:pPr>
        <w:pStyle w:val="FootnoteText"/>
        <w:jc w:val="left"/>
      </w:pPr>
      <w:r>
        <w:rPr>
          <w:rStyle w:val="FootnoteReference"/>
        </w:rPr>
        <w:footnoteRef/>
      </w:r>
      <w:r>
        <w:tab/>
      </w:r>
      <w:hyperlink r:id="rId6" w:anchor=":~:text=Bilateral%20trade%20in%20services%20amounted,accounted%20for%20%E2%82%AC400.1%20billion" w:history="1">
        <w:r>
          <w:rPr>
            <w:rStyle w:val="Hyperlink"/>
          </w:rPr>
          <w:t>https://policy.trade.ec.europa.eu/eu-trade-relationships-country-and-region/countries-and-regions/association-south-east-asian-nations-asean_en#:~:text=Bilateral%20trade%20in%20services%20amounted,accounted%20for%20%E2%82%AC400.1%20billion</w:t>
        </w:r>
      </w:hyperlink>
      <w:r>
        <w:t>.</w:t>
      </w:r>
    </w:p>
  </w:footnote>
  <w:footnote w:id="9">
    <w:p w14:paraId="092603A8" w14:textId="144ED037" w:rsidR="00C11E25" w:rsidRPr="00D2283E" w:rsidRDefault="00C11E25" w:rsidP="00C11E25">
      <w:pPr>
        <w:keepLines/>
        <w:pBdr>
          <w:top w:val="nil"/>
          <w:left w:val="nil"/>
          <w:bottom w:val="nil"/>
          <w:right w:val="nil"/>
          <w:between w:val="nil"/>
        </w:pBdr>
        <w:spacing w:after="60" w:line="240" w:lineRule="auto"/>
        <w:ind w:left="567" w:hanging="567"/>
      </w:pPr>
      <w:r>
        <w:rPr>
          <w:rStyle w:val="FootnoteReference"/>
        </w:rPr>
        <w:footnoteRef/>
      </w:r>
      <w:r>
        <w:rPr>
          <w:color w:val="000000"/>
          <w:sz w:val="16"/>
        </w:rPr>
        <w:tab/>
      </w:r>
      <w:hyperlink r:id="rId7" w:history="1">
        <w:r>
          <w:rPr>
            <w:rStyle w:val="Hyperlink"/>
            <w:sz w:val="16"/>
          </w:rPr>
          <w:t>https://asean.org/asean-leaders-review-and-decision-on-the-implementation-of-the-five-point-consensus-3/</w:t>
        </w:r>
      </w:hyperlink>
      <w:r>
        <w:rPr>
          <w:sz w:val="16"/>
        </w:rPr>
        <w:t>.</w:t>
      </w:r>
    </w:p>
  </w:footnote>
  <w:footnote w:id="10">
    <w:p w14:paraId="15F52816" w14:textId="2E968AE6"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8" w:history="1">
        <w:r>
          <w:rPr>
            <w:rStyle w:val="Hyperlink"/>
            <w:sz w:val="16"/>
          </w:rPr>
          <w:t>https://aichr.org/</w:t>
        </w:r>
      </w:hyperlink>
      <w:r>
        <w:rPr>
          <w:sz w:val="16"/>
        </w:rPr>
        <w:t>.</w:t>
      </w:r>
    </w:p>
  </w:footnote>
  <w:footnote w:id="11">
    <w:p w14:paraId="790F9D0B" w14:textId="77777777"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9">
        <w:r>
          <w:rPr>
            <w:color w:val="0000FF"/>
            <w:sz w:val="16"/>
            <w:u w:val="single"/>
          </w:rPr>
          <w:t>https://reliefweb.int/organization/forum-asia</w:t>
        </w:r>
      </w:hyperlink>
      <w:r>
        <w:rPr>
          <w:color w:val="000000"/>
          <w:sz w:val="16"/>
        </w:rPr>
        <w:t>.</w:t>
      </w:r>
    </w:p>
  </w:footnote>
  <w:footnote w:id="12">
    <w:p w14:paraId="6708B305" w14:textId="605B66E1"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10" w:history="1">
        <w:r>
          <w:rPr>
            <w:rStyle w:val="Hyperlink"/>
            <w:sz w:val="16"/>
          </w:rPr>
          <w:t>https://safenet.or.id/</w:t>
        </w:r>
      </w:hyperlink>
      <w:r>
        <w:rPr>
          <w:color w:val="000000"/>
          <w:sz w:val="16"/>
        </w:rPr>
        <w:t>.</w:t>
      </w:r>
    </w:p>
  </w:footnote>
  <w:footnote w:id="13">
    <w:p w14:paraId="53C8A2C1" w14:textId="2D86B0F6"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11" w:history="1">
        <w:r>
          <w:rPr>
            <w:rStyle w:val="Hyperlink"/>
            <w:sz w:val="16"/>
          </w:rPr>
          <w:t>https://arrow.org.my/</w:t>
        </w:r>
      </w:hyperlink>
      <w:r>
        <w:rPr>
          <w:color w:val="000000"/>
          <w:sz w:val="16"/>
        </w:rPr>
        <w:t>.</w:t>
      </w:r>
    </w:p>
  </w:footnote>
  <w:footnote w:id="14">
    <w:p w14:paraId="53189B15" w14:textId="233FA470" w:rsidR="00C11E25" w:rsidRDefault="00C11E25" w:rsidP="00C11E25">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rPr>
          <w:color w:val="000000"/>
          <w:sz w:val="16"/>
        </w:rPr>
        <w:tab/>
      </w:r>
      <w:hyperlink r:id="rId12" w:history="1">
        <w:r>
          <w:rPr>
            <w:rStyle w:val="Hyperlink"/>
            <w:sz w:val="16"/>
          </w:rPr>
          <w:t>https://alternative-regionalisms.org/wp-content/uploads/2009/07/sapasubmissiononaseancharter-sociocultural.pdf</w:t>
        </w:r>
      </w:hyperlink>
      <w:r>
        <w:rPr>
          <w:color w:val="000000"/>
          <w:sz w:val="16"/>
        </w:rPr>
        <w:t>.</w:t>
      </w:r>
    </w:p>
  </w:footnote>
  <w:footnote w:id="15">
    <w:p w14:paraId="72024DB7" w14:textId="77777777" w:rsidR="00C11E25" w:rsidRDefault="00C11E25" w:rsidP="00C11E25">
      <w:pPr>
        <w:ind w:left="567" w:hanging="567"/>
        <w:jc w:val="left"/>
      </w:pPr>
      <w:r>
        <w:rPr>
          <w:rStyle w:val="FootnoteReference"/>
        </w:rPr>
        <w:footnoteRef/>
      </w:r>
      <w:r>
        <w:tab/>
      </w:r>
      <w:hyperlink r:id="rId13" w:history="1">
        <w:r>
          <w:rPr>
            <w:rStyle w:val="Hyperlink"/>
            <w:sz w:val="16"/>
          </w:rPr>
          <w:t>https://www.ilo.org/publications/social-dialogue-public-services-selected-asean-countries</w:t>
        </w:r>
      </w:hyperlink>
      <w:r>
        <w:rPr>
          <w:color w:val="000000"/>
          <w:sz w:val="16"/>
        </w:rPr>
        <w:t>.</w:t>
      </w:r>
    </w:p>
  </w:footnote>
  <w:footnote w:id="16">
    <w:p w14:paraId="5D6C648F" w14:textId="5B9412B6" w:rsidR="00C11E25" w:rsidRPr="00E92619" w:rsidRDefault="00C11E25" w:rsidP="00C11E25">
      <w:pPr>
        <w:spacing w:line="240" w:lineRule="auto"/>
        <w:ind w:left="567" w:hanging="567"/>
      </w:pPr>
      <w:r>
        <w:rPr>
          <w:rStyle w:val="FootnoteReference"/>
        </w:rPr>
        <w:footnoteRef/>
      </w:r>
      <w:r>
        <w:rPr>
          <w:sz w:val="16"/>
        </w:rPr>
        <w:tab/>
        <w:t>Indoneesia, Malaisia, Filipiinid, Singapur ja Tai.</w:t>
      </w:r>
    </w:p>
  </w:footnote>
  <w:footnote w:id="17">
    <w:p w14:paraId="225A9E30" w14:textId="77777777" w:rsidR="00C11E25" w:rsidRPr="00E37A05" w:rsidRDefault="00C11E25" w:rsidP="00C11E25">
      <w:pPr>
        <w:spacing w:line="240" w:lineRule="auto"/>
        <w:ind w:left="567" w:hanging="567"/>
        <w:rPr>
          <w:sz w:val="20"/>
          <w:szCs w:val="20"/>
        </w:rPr>
      </w:pPr>
      <w:r>
        <w:rPr>
          <w:rStyle w:val="FootnoteReference"/>
        </w:rPr>
        <w:footnoteRef/>
      </w:r>
      <w:r>
        <w:tab/>
      </w:r>
      <w:hyperlink r:id="rId14" w:history="1">
        <w:r>
          <w:rPr>
            <w:rStyle w:val="Hyperlink"/>
            <w:sz w:val="16"/>
          </w:rPr>
          <w:t>https://www.europarl.europa.eu/doceo/document/TA-10-2024-0053_ET.html</w:t>
        </w:r>
      </w:hyperlink>
      <w:r>
        <w:t>.</w:t>
      </w:r>
    </w:p>
  </w:footnote>
  <w:footnote w:id="18">
    <w:p w14:paraId="097361EB" w14:textId="77777777" w:rsidR="00C11E25" w:rsidRPr="00A76BE7" w:rsidRDefault="00C11E25" w:rsidP="00C11E25">
      <w:pPr>
        <w:pStyle w:val="FootnoteText"/>
      </w:pPr>
      <w:r>
        <w:rPr>
          <w:rStyle w:val="FootnoteReference"/>
        </w:rPr>
        <w:footnoteRef/>
      </w:r>
      <w:r>
        <w:tab/>
      </w:r>
      <w:hyperlink r:id="rId15" w:history="1">
        <w:r>
          <w:rPr>
            <w:rStyle w:val="Hyperlink"/>
          </w:rPr>
          <w:t>https://www.europarl.europa.eu/RegData/etudes/STUD/2021/653635/EXPO_STU(2021)653635_EN.pdf</w:t>
        </w:r>
      </w:hyperlink>
      <w:r>
        <w:t>.</w:t>
      </w:r>
    </w:p>
  </w:footnote>
  <w:footnote w:id="19">
    <w:p w14:paraId="2A803CFA" w14:textId="77777777" w:rsidR="00C11E25" w:rsidRPr="00E92619" w:rsidRDefault="00C11E25" w:rsidP="00C11E25">
      <w:pPr>
        <w:spacing w:line="240" w:lineRule="auto"/>
        <w:ind w:left="567" w:hanging="567"/>
      </w:pPr>
      <w:r>
        <w:rPr>
          <w:rStyle w:val="FootnoteReference"/>
        </w:rPr>
        <w:footnoteRef/>
      </w:r>
      <w:r>
        <w:tab/>
      </w:r>
      <w:hyperlink r:id="rId16" w:history="1">
        <w:r>
          <w:rPr>
            <w:rStyle w:val="Hyperlink"/>
            <w:sz w:val="16"/>
          </w:rPr>
          <w:t>ELi aastaaruanne inimõiguste ja demokraatia kohta maailmas</w:t>
        </w:r>
      </w:hyperlink>
      <w:r>
        <w:rPr>
          <w:color w:val="000000"/>
          <w:sz w:val="16"/>
        </w:rPr>
        <w:t>.</w:t>
      </w:r>
    </w:p>
  </w:footnote>
  <w:footnote w:id="20">
    <w:p w14:paraId="14B01D09" w14:textId="136DB229" w:rsidR="00C11E25" w:rsidRPr="00E92619" w:rsidRDefault="00C11E25" w:rsidP="00C11E25">
      <w:pPr>
        <w:spacing w:line="240" w:lineRule="auto"/>
        <w:ind w:left="567" w:hanging="567"/>
        <w:rPr>
          <w:sz w:val="20"/>
          <w:szCs w:val="20"/>
        </w:rPr>
      </w:pPr>
      <w:r>
        <w:rPr>
          <w:rStyle w:val="FootnoteReference"/>
        </w:rPr>
        <w:footnoteRef/>
      </w:r>
      <w:r>
        <w:rPr>
          <w:sz w:val="16"/>
        </w:rPr>
        <w:tab/>
      </w:r>
      <w:hyperlink r:id="rId17" w:history="1">
        <w:r>
          <w:rPr>
            <w:rStyle w:val="Hyperlink"/>
            <w:sz w:val="16"/>
          </w:rPr>
          <w:t>ELi aastaaruanne inimõiguste ja demokraatia kohta maailmas</w:t>
        </w:r>
      </w:hyperlink>
    </w:p>
  </w:footnote>
  <w:footnote w:id="21">
    <w:p w14:paraId="4356B06B" w14:textId="77777777" w:rsidR="00C11E25" w:rsidRPr="00895F23" w:rsidRDefault="00C11E25" w:rsidP="00C11E25">
      <w:pPr>
        <w:spacing w:line="240" w:lineRule="auto"/>
        <w:ind w:left="567" w:hanging="567"/>
        <w:rPr>
          <w:sz w:val="20"/>
          <w:szCs w:val="20"/>
        </w:rPr>
      </w:pPr>
      <w:r>
        <w:rPr>
          <w:rStyle w:val="FootnoteReference"/>
        </w:rPr>
        <w:footnoteRef/>
      </w:r>
      <w:r>
        <w:tab/>
      </w:r>
      <w:hyperlink r:id="rId18">
        <w:r>
          <w:rPr>
            <w:color w:val="0000FF"/>
            <w:sz w:val="16"/>
            <w:u w:val="single"/>
          </w:rPr>
          <w:t>https://www.ilo.org/publications/women-and-men-informal-economy-statistical-update</w:t>
        </w:r>
      </w:hyperlink>
      <w:r>
        <w:rPr>
          <w:sz w:val="16"/>
        </w:rPr>
        <w:t>.</w:t>
      </w:r>
    </w:p>
  </w:footnote>
  <w:footnote w:id="22">
    <w:p w14:paraId="6FBAE404" w14:textId="5A9EA888" w:rsidR="00C11E25" w:rsidRPr="00895F23" w:rsidRDefault="00C11E25" w:rsidP="00C11E25">
      <w:pPr>
        <w:keepLines/>
        <w:spacing w:after="60" w:line="240" w:lineRule="auto"/>
        <w:ind w:left="567" w:hanging="567"/>
        <w:rPr>
          <w:sz w:val="16"/>
          <w:szCs w:val="16"/>
        </w:rPr>
      </w:pPr>
      <w:r>
        <w:rPr>
          <w:rStyle w:val="FootnoteReference"/>
        </w:rPr>
        <w:footnoteRef/>
      </w:r>
      <w:r>
        <w:rPr>
          <w:sz w:val="16"/>
        </w:rPr>
        <w:tab/>
      </w:r>
      <w:hyperlink r:id="rId19" w:history="1">
        <w:r>
          <w:rPr>
            <w:rStyle w:val="Hyperlink"/>
            <w:sz w:val="16"/>
          </w:rPr>
          <w:t>https://www.eesc.europa.eu/en/documents/statement-european-union-domestic-advisory-group-eu-viet-nam-free-trade-agreement-1</w:t>
        </w:r>
      </w:hyperlink>
      <w:r>
        <w:rPr>
          <w:sz w:val="16"/>
        </w:rPr>
        <w:t>.</w:t>
      </w:r>
    </w:p>
  </w:footnote>
  <w:footnote w:id="23">
    <w:p w14:paraId="6FCA63EA" w14:textId="77777777" w:rsidR="00C11E25" w:rsidRPr="00895F23" w:rsidRDefault="00C11E25" w:rsidP="00C11E25">
      <w:pPr>
        <w:pStyle w:val="FootnoteText"/>
      </w:pPr>
      <w:r>
        <w:rPr>
          <w:rStyle w:val="FootnoteReference"/>
        </w:rPr>
        <w:footnoteRef/>
      </w:r>
      <w:r>
        <w:tab/>
      </w:r>
      <w:hyperlink r:id="rId20" w:history="1">
        <w:r>
          <w:rPr>
            <w:rStyle w:val="Hyperlink"/>
          </w:rPr>
          <w:t>https://multimedia.europarl.europa.eu/en/inta-committee-meeting_20250319-0900-COMMITTEE-INTA_vd</w:t>
        </w:r>
      </w:hyperlink>
      <w:r>
        <w:t>.</w:t>
      </w:r>
    </w:p>
  </w:footnote>
  <w:footnote w:id="24">
    <w:p w14:paraId="4267E897" w14:textId="77777777" w:rsidR="00C11E25" w:rsidRPr="00895F23" w:rsidRDefault="00C11E25" w:rsidP="00C11E25">
      <w:pPr>
        <w:pStyle w:val="FootnoteText"/>
      </w:pPr>
      <w:r>
        <w:rPr>
          <w:rStyle w:val="FootnoteReference"/>
        </w:rPr>
        <w:footnoteRef/>
      </w:r>
      <w:r>
        <w:tab/>
      </w:r>
      <w:hyperlink r:id="rId21" w:history="1">
        <w:r>
          <w:rPr>
            <w:rStyle w:val="Hyperlink"/>
          </w:rPr>
          <w:t>https://www.eesc.europa.eu/en/sections-other-bodies/other/eu-singapore-domestic-advisory-group</w:t>
        </w:r>
      </w:hyperlink>
      <w:r>
        <w:t>.</w:t>
      </w:r>
    </w:p>
  </w:footnote>
  <w:footnote w:id="25">
    <w:p w14:paraId="2752C7F1" w14:textId="77777777" w:rsidR="00C11E25" w:rsidRPr="00895F23" w:rsidRDefault="00C11E25" w:rsidP="00C11E25">
      <w:pPr>
        <w:spacing w:line="240" w:lineRule="auto"/>
        <w:ind w:left="567" w:hanging="567"/>
        <w:rPr>
          <w:sz w:val="20"/>
          <w:szCs w:val="20"/>
        </w:rPr>
      </w:pPr>
      <w:r>
        <w:rPr>
          <w:rStyle w:val="FootnoteReference"/>
        </w:rPr>
        <w:footnoteRef/>
      </w:r>
      <w:r>
        <w:tab/>
      </w:r>
      <w:hyperlink r:id="rId22">
        <w:r>
          <w:rPr>
            <w:color w:val="0000FF"/>
            <w:sz w:val="16"/>
            <w:u w:val="single"/>
          </w:rPr>
          <w:t>https://policy.trade.ec.europa.eu/analysis-and-assessment/eu-trade-meetings-civil-society/objectives_en</w:t>
        </w:r>
      </w:hyperlink>
      <w:r>
        <w:rPr>
          <w:sz w:val="16"/>
        </w:rPr>
        <w:t>.</w:t>
      </w:r>
    </w:p>
  </w:footnote>
  <w:footnote w:id="26">
    <w:p w14:paraId="2DCD2F49" w14:textId="13B45023" w:rsidR="00C11E25" w:rsidRPr="00895F23" w:rsidRDefault="00C11E25" w:rsidP="00320852">
      <w:pPr>
        <w:pStyle w:val="FootnoteText"/>
        <w:spacing w:after="0" w:line="288" w:lineRule="auto"/>
      </w:pPr>
      <w:r>
        <w:rPr>
          <w:rStyle w:val="FootnoteReference"/>
        </w:rPr>
        <w:footnoteRef/>
      </w:r>
      <w:r>
        <w:tab/>
      </w:r>
      <w:hyperlink r:id="rId23" w:history="1">
        <w:r>
          <w:rPr>
            <w:rStyle w:val="Hyperlink"/>
          </w:rPr>
          <w:t>https://www.ilo.org/resource/workers-organizations-asia-and-pacific</w:t>
        </w:r>
      </w:hyperlink>
      <w:r>
        <w:t>.</w:t>
      </w:r>
    </w:p>
  </w:footnote>
  <w:footnote w:id="27">
    <w:p w14:paraId="339BC8FB" w14:textId="07730351" w:rsidR="00C11E25" w:rsidRPr="00895F23"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24" w:history="1">
        <w:r>
          <w:rPr>
            <w:rStyle w:val="Hyperlink"/>
            <w:sz w:val="16"/>
          </w:rPr>
          <w:t>https://www.ituc-ap.org/</w:t>
        </w:r>
      </w:hyperlink>
      <w:r>
        <w:rPr>
          <w:color w:val="000000"/>
          <w:sz w:val="16"/>
        </w:rPr>
        <w:t>.</w:t>
      </w:r>
    </w:p>
  </w:footnote>
  <w:footnote w:id="28">
    <w:p w14:paraId="7A7A0744" w14:textId="62530188" w:rsidR="00C11E25" w:rsidRPr="00895F23"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25" w:history="1">
        <w:r>
          <w:rPr>
            <w:rStyle w:val="Hyperlink"/>
            <w:sz w:val="16"/>
          </w:rPr>
          <w:t>https://www.wftucentral.org</w:t>
        </w:r>
      </w:hyperlink>
      <w:r>
        <w:t>.</w:t>
      </w:r>
    </w:p>
  </w:footnote>
  <w:footnote w:id="29">
    <w:p w14:paraId="3675C3D9" w14:textId="256EA6B5" w:rsidR="00C11E25" w:rsidRPr="00895F23"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26" w:history="1">
        <w:r>
          <w:rPr>
            <w:rStyle w:val="Hyperlink"/>
            <w:sz w:val="16"/>
          </w:rPr>
          <w:t>https://www.ilo.org/resource/workers-organizations-asia-and-pacific</w:t>
        </w:r>
      </w:hyperlink>
      <w:r>
        <w:rPr>
          <w:color w:val="000000"/>
          <w:sz w:val="16"/>
        </w:rPr>
        <w:t>.</w:t>
      </w:r>
    </w:p>
  </w:footnote>
  <w:footnote w:id="30">
    <w:p w14:paraId="5EE73751" w14:textId="20FE419A" w:rsidR="00C11E25" w:rsidRPr="00895F23"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rPr>
          <w:color w:val="000000"/>
          <w:sz w:val="16"/>
        </w:rPr>
        <w:tab/>
      </w:r>
      <w:hyperlink r:id="rId27" w:history="1">
        <w:r>
          <w:rPr>
            <w:rStyle w:val="Hyperlink"/>
            <w:sz w:val="16"/>
          </w:rPr>
          <w:t>https://www.ilo.org/meetings-and-events/asean-employers-empowering-people-priortizing-skills</w:t>
        </w:r>
      </w:hyperlink>
      <w:r>
        <w:rPr>
          <w:color w:val="000000"/>
          <w:sz w:val="16"/>
        </w:rPr>
        <w:t>.</w:t>
      </w:r>
    </w:p>
  </w:footnote>
  <w:footnote w:id="31">
    <w:p w14:paraId="6742164F" w14:textId="55276E3C" w:rsidR="00C11E25" w:rsidRPr="00895F23" w:rsidRDefault="00C11E25" w:rsidP="00320852">
      <w:pPr>
        <w:keepLines/>
        <w:pBdr>
          <w:top w:val="nil"/>
          <w:left w:val="nil"/>
          <w:bottom w:val="nil"/>
          <w:right w:val="nil"/>
          <w:between w:val="nil"/>
        </w:pBdr>
        <w:ind w:left="567" w:hanging="567"/>
        <w:rPr>
          <w:color w:val="000000"/>
          <w:sz w:val="16"/>
          <w:szCs w:val="16"/>
        </w:rPr>
      </w:pPr>
      <w:r>
        <w:rPr>
          <w:rStyle w:val="FootnoteReference"/>
        </w:rPr>
        <w:footnoteRef/>
      </w:r>
      <w:r>
        <w:tab/>
      </w:r>
      <w:hyperlink r:id="rId28" w:history="1">
        <w:r>
          <w:rPr>
            <w:rStyle w:val="Hyperlink"/>
            <w:sz w:val="16"/>
          </w:rPr>
          <w:t>https://www.cape-emp.org/home.aspx</w:t>
        </w:r>
      </w:hyperlink>
      <w:r>
        <w:rPr>
          <w:color w:val="000000"/>
          <w:sz w:val="16"/>
        </w:rPr>
        <w:t>.</w:t>
      </w:r>
    </w:p>
  </w:footnote>
  <w:footnote w:id="32">
    <w:p w14:paraId="6D5EC683" w14:textId="64BCE3F6" w:rsidR="00C11E25" w:rsidRPr="0040720E" w:rsidRDefault="00C11E25" w:rsidP="00320852">
      <w:pPr>
        <w:ind w:left="567" w:hanging="567"/>
        <w:jc w:val="left"/>
        <w:rPr>
          <w:sz w:val="20"/>
          <w:szCs w:val="20"/>
        </w:rPr>
      </w:pPr>
      <w:r>
        <w:rPr>
          <w:rStyle w:val="FootnoteReference"/>
        </w:rPr>
        <w:footnoteRef/>
      </w:r>
      <w:r>
        <w:rPr>
          <w:sz w:val="16"/>
        </w:rPr>
        <w:tab/>
      </w:r>
      <w:hyperlink r:id="rId29" w:history="1">
        <w:r>
          <w:rPr>
            <w:rStyle w:val="Hyperlink"/>
            <w:sz w:val="16"/>
          </w:rPr>
          <w:t>Võõrtöötajate õigus ühinemisvabadusele ja kollektiivläbirääkimistele</w:t>
        </w:r>
      </w:hyperlink>
      <w:r>
        <w:rPr>
          <w:sz w:val="16"/>
        </w:rPr>
        <w:t>.</w:t>
      </w:r>
    </w:p>
  </w:footnote>
  <w:footnote w:id="33">
    <w:p w14:paraId="67F28C6B" w14:textId="3D825159" w:rsidR="00C11E25" w:rsidRPr="00F537C0" w:rsidRDefault="00C11E25" w:rsidP="00320852">
      <w:pPr>
        <w:ind w:left="567" w:hanging="567"/>
        <w:rPr>
          <w:sz w:val="16"/>
          <w:szCs w:val="16"/>
        </w:rPr>
      </w:pPr>
      <w:r>
        <w:rPr>
          <w:rStyle w:val="FootnoteReference"/>
        </w:rPr>
        <w:footnoteRef/>
      </w:r>
      <w:r>
        <w:rPr>
          <w:sz w:val="16"/>
        </w:rPr>
        <w:tab/>
      </w:r>
      <w:hyperlink r:id="rId30" w:history="1">
        <w:r>
          <w:rPr>
            <w:rStyle w:val="Hyperlink"/>
            <w:sz w:val="16"/>
          </w:rPr>
          <w:t>Võõrtöötajate õigus ühinemisvabadusele ja kollektiivläbirääkimistele</w:t>
        </w:r>
      </w:hyperlink>
      <w:r>
        <w:rPr>
          <w:sz w:val="16"/>
        </w:rPr>
        <w:t>.</w:t>
      </w:r>
    </w:p>
  </w:footnote>
  <w:footnote w:id="34">
    <w:p w14:paraId="5F01D663" w14:textId="4B779C46" w:rsidR="00C11E25" w:rsidRPr="00F537C0" w:rsidRDefault="00C11E25" w:rsidP="00320852">
      <w:pPr>
        <w:pStyle w:val="FootnoteText"/>
        <w:spacing w:after="0" w:line="288" w:lineRule="auto"/>
      </w:pPr>
      <w:r>
        <w:rPr>
          <w:rStyle w:val="FootnoteReference"/>
        </w:rPr>
        <w:footnoteRef/>
      </w:r>
      <w:r>
        <w:tab/>
      </w:r>
      <w:hyperlink r:id="rId31" w:history="1">
        <w:r>
          <w:rPr>
            <w:rStyle w:val="Hyperlink"/>
          </w:rPr>
          <w:t>https://asean.org/wp-content/uploads/2023/07/ASEAN_employment_outlook_WEB_FIN.pdf</w:t>
        </w:r>
      </w:hyperlink>
      <w:r>
        <w:t>.</w:t>
      </w:r>
    </w:p>
  </w:footnote>
  <w:footnote w:id="35">
    <w:p w14:paraId="648A74EC" w14:textId="46B2F435" w:rsidR="00C11E25" w:rsidRPr="00F537C0" w:rsidRDefault="00C11E25" w:rsidP="00320852">
      <w:pPr>
        <w:pStyle w:val="FootnoteText"/>
        <w:spacing w:after="0" w:line="288" w:lineRule="auto"/>
      </w:pPr>
      <w:r>
        <w:rPr>
          <w:rStyle w:val="FootnoteReference"/>
        </w:rPr>
        <w:footnoteRef/>
      </w:r>
      <w:r>
        <w:tab/>
      </w:r>
      <w:hyperlink r:id="rId32" w:history="1">
        <w:r>
          <w:rPr>
            <w:rStyle w:val="Hyperlink"/>
          </w:rPr>
          <w:t>https://thailand.iom.int/sites/g/files/tmzbdl1371/files/documents/2024-12/thailand-migration-report-2024.pdf</w:t>
        </w:r>
      </w:hyperlink>
      <w:r>
        <w:t>.</w:t>
      </w:r>
    </w:p>
  </w:footnote>
  <w:footnote w:id="36">
    <w:p w14:paraId="2EB45D39" w14:textId="5A4F79BB" w:rsidR="00C11E25" w:rsidRPr="00F537C0" w:rsidRDefault="00C11E25" w:rsidP="00320852">
      <w:pPr>
        <w:ind w:left="567" w:hanging="567"/>
        <w:rPr>
          <w:sz w:val="16"/>
          <w:szCs w:val="16"/>
        </w:rPr>
      </w:pPr>
      <w:r>
        <w:rPr>
          <w:rStyle w:val="FootnoteReference"/>
        </w:rPr>
        <w:footnoteRef/>
      </w:r>
      <w:r>
        <w:rPr>
          <w:sz w:val="16"/>
        </w:rPr>
        <w:tab/>
      </w:r>
      <w:hyperlink r:id="rId33" w:history="1">
        <w:r>
          <w:rPr>
            <w:rStyle w:val="Hyperlink"/>
            <w:sz w:val="16"/>
          </w:rPr>
          <w:t>https://iotc.org/meetings/28th-session-indian-ocean-tuna-commission</w:t>
        </w:r>
      </w:hyperlink>
      <w:r>
        <w:rPr>
          <w:sz w:val="16"/>
        </w:rPr>
        <w:t>.</w:t>
      </w:r>
    </w:p>
  </w:footnote>
  <w:footnote w:id="37">
    <w:p w14:paraId="5869253A" w14:textId="77777777" w:rsidR="00C11E25" w:rsidRPr="00F537C0" w:rsidRDefault="00C11E25" w:rsidP="00320852">
      <w:pPr>
        <w:ind w:left="567" w:hanging="567"/>
        <w:rPr>
          <w:sz w:val="16"/>
          <w:szCs w:val="16"/>
        </w:rPr>
      </w:pPr>
      <w:r>
        <w:rPr>
          <w:rStyle w:val="FootnoteReference"/>
        </w:rPr>
        <w:footnoteRef/>
      </w:r>
      <w:r>
        <w:rPr>
          <w:sz w:val="16"/>
        </w:rPr>
        <w:tab/>
      </w:r>
      <w:hyperlink r:id="rId34" w:history="1">
        <w:r>
          <w:rPr>
            <w:rStyle w:val="Hyperlink"/>
            <w:sz w:val="16"/>
          </w:rPr>
          <w:t>https://ec.europa.eu/commission/presscorner/detail/en/ip_24_2683</w:t>
        </w:r>
      </w:hyperlink>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662107">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7FC8C4D6" w:rsidR="00574C9B" w:rsidRDefault="001A1946">
    <w:pPr>
      <w:pStyle w:val="Header"/>
    </w:pPr>
    <w:r>
      <w:rPr>
        <w:noProof/>
      </w:rPr>
      <w:drawing>
        <wp:anchor distT="0" distB="0" distL="114300" distR="114300" simplePos="0" relativeHeight="251658240" behindDoc="0" locked="0" layoutInCell="1" allowOverlap="1" wp14:anchorId="32A48528" wp14:editId="776933DB">
          <wp:simplePos x="898497" y="453224"/>
          <wp:positionH relativeFrom="page">
            <wp:align>center</wp:align>
          </wp:positionH>
          <wp:positionV relativeFrom="page">
            <wp:posOffset>288290</wp:posOffset>
          </wp:positionV>
          <wp:extent cx="6944360" cy="33439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662107">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662107">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662107">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662107">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955A3F">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662107">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662107">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0A30FF" w:rsidRDefault="00662107">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662107">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689317E"/>
    <w:multiLevelType w:val="multilevel"/>
    <w:tmpl w:val="38860000"/>
    <w:lvl w:ilvl="0">
      <w:start w:val="1"/>
      <w:numFmt w:val="decimal"/>
      <w:lvlText w:val="%1."/>
      <w:lvlJc w:val="left"/>
      <w:pPr>
        <w:ind w:left="0" w:firstLine="0"/>
      </w:pPr>
      <w:rPr>
        <w:rFonts w:hint="default"/>
        <w:b w:val="0"/>
      </w:rPr>
    </w:lvl>
    <w:lvl w:ilvl="1">
      <w:start w:val="1"/>
      <w:numFmt w:val="bullet"/>
      <w:lvlText w:val=""/>
      <w:lvlJc w:val="left"/>
      <w:pPr>
        <w:ind w:left="360" w:hanging="36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7C8F54F7"/>
    <w:multiLevelType w:val="multilevel"/>
    <w:tmpl w:val="38860000"/>
    <w:lvl w:ilvl="0">
      <w:start w:val="1"/>
      <w:numFmt w:val="decimal"/>
      <w:lvlText w:val="%1."/>
      <w:lvlJc w:val="left"/>
      <w:pPr>
        <w:ind w:left="0" w:firstLine="0"/>
      </w:pPr>
      <w:rPr>
        <w:rFonts w:hint="default"/>
        <w:b w:val="0"/>
      </w:rPr>
    </w:lvl>
    <w:lvl w:ilvl="1">
      <w:start w:val="1"/>
      <w:numFmt w:val="bullet"/>
      <w:lvlText w:val=""/>
      <w:lvlJc w:val="left"/>
      <w:pPr>
        <w:ind w:left="360" w:hanging="36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0604"/>
    <w:rsid w:val="00003107"/>
    <w:rsid w:val="00020389"/>
    <w:rsid w:val="00037DAD"/>
    <w:rsid w:val="00037E5B"/>
    <w:rsid w:val="00053D00"/>
    <w:rsid w:val="00053FD2"/>
    <w:rsid w:val="00067D46"/>
    <w:rsid w:val="00094C5F"/>
    <w:rsid w:val="000A0F3B"/>
    <w:rsid w:val="000A30FF"/>
    <w:rsid w:val="000A4F52"/>
    <w:rsid w:val="00101C3E"/>
    <w:rsid w:val="00157022"/>
    <w:rsid w:val="00185E99"/>
    <w:rsid w:val="0019231D"/>
    <w:rsid w:val="001955B6"/>
    <w:rsid w:val="001A1946"/>
    <w:rsid w:val="001A434B"/>
    <w:rsid w:val="001D571E"/>
    <w:rsid w:val="001D61AC"/>
    <w:rsid w:val="001E15AA"/>
    <w:rsid w:val="001E3C28"/>
    <w:rsid w:val="001E3FA1"/>
    <w:rsid w:val="001F165D"/>
    <w:rsid w:val="00200E87"/>
    <w:rsid w:val="00206D14"/>
    <w:rsid w:val="00214BDC"/>
    <w:rsid w:val="00215E81"/>
    <w:rsid w:val="0024727F"/>
    <w:rsid w:val="002548EF"/>
    <w:rsid w:val="00296BCE"/>
    <w:rsid w:val="002B6A7B"/>
    <w:rsid w:val="002E0282"/>
    <w:rsid w:val="00306381"/>
    <w:rsid w:val="00320852"/>
    <w:rsid w:val="003353D7"/>
    <w:rsid w:val="00360204"/>
    <w:rsid w:val="003659F9"/>
    <w:rsid w:val="00384833"/>
    <w:rsid w:val="003F1034"/>
    <w:rsid w:val="00401DE5"/>
    <w:rsid w:val="00412822"/>
    <w:rsid w:val="00461CAF"/>
    <w:rsid w:val="004751CF"/>
    <w:rsid w:val="00484DD4"/>
    <w:rsid w:val="004871B8"/>
    <w:rsid w:val="004A3D71"/>
    <w:rsid w:val="004B0887"/>
    <w:rsid w:val="004D31AF"/>
    <w:rsid w:val="0053281C"/>
    <w:rsid w:val="00551711"/>
    <w:rsid w:val="00566DF2"/>
    <w:rsid w:val="00574C9B"/>
    <w:rsid w:val="0058411F"/>
    <w:rsid w:val="005956FC"/>
    <w:rsid w:val="005961A4"/>
    <w:rsid w:val="005B55E2"/>
    <w:rsid w:val="005C2475"/>
    <w:rsid w:val="005C3BDB"/>
    <w:rsid w:val="005F34E9"/>
    <w:rsid w:val="005F6AC8"/>
    <w:rsid w:val="006125A1"/>
    <w:rsid w:val="00653E7D"/>
    <w:rsid w:val="00662107"/>
    <w:rsid w:val="00662207"/>
    <w:rsid w:val="00667F09"/>
    <w:rsid w:val="00671C08"/>
    <w:rsid w:val="006868CB"/>
    <w:rsid w:val="006B57A6"/>
    <w:rsid w:val="006D53A6"/>
    <w:rsid w:val="0072375C"/>
    <w:rsid w:val="00740EC9"/>
    <w:rsid w:val="00787837"/>
    <w:rsid w:val="00787ABB"/>
    <w:rsid w:val="007918CC"/>
    <w:rsid w:val="00793BB8"/>
    <w:rsid w:val="007B6C64"/>
    <w:rsid w:val="00822952"/>
    <w:rsid w:val="008311E5"/>
    <w:rsid w:val="00836505"/>
    <w:rsid w:val="00844B87"/>
    <w:rsid w:val="00853708"/>
    <w:rsid w:val="00876AF1"/>
    <w:rsid w:val="0089251B"/>
    <w:rsid w:val="008A6DD4"/>
    <w:rsid w:val="008E7D31"/>
    <w:rsid w:val="008F74D7"/>
    <w:rsid w:val="00904C42"/>
    <w:rsid w:val="00914683"/>
    <w:rsid w:val="00924C05"/>
    <w:rsid w:val="00937CF2"/>
    <w:rsid w:val="009451D6"/>
    <w:rsid w:val="009506A6"/>
    <w:rsid w:val="00955A3F"/>
    <w:rsid w:val="00964BF1"/>
    <w:rsid w:val="00976645"/>
    <w:rsid w:val="00976F77"/>
    <w:rsid w:val="0098228C"/>
    <w:rsid w:val="00992B39"/>
    <w:rsid w:val="009A734F"/>
    <w:rsid w:val="009C37A0"/>
    <w:rsid w:val="009C6F26"/>
    <w:rsid w:val="009E2100"/>
    <w:rsid w:val="00A310E1"/>
    <w:rsid w:val="00A3397C"/>
    <w:rsid w:val="00A36AB0"/>
    <w:rsid w:val="00AA334D"/>
    <w:rsid w:val="00AB37A3"/>
    <w:rsid w:val="00AC5114"/>
    <w:rsid w:val="00AE2782"/>
    <w:rsid w:val="00AE4394"/>
    <w:rsid w:val="00B25683"/>
    <w:rsid w:val="00B51901"/>
    <w:rsid w:val="00B65A84"/>
    <w:rsid w:val="00B73B79"/>
    <w:rsid w:val="00BB0A75"/>
    <w:rsid w:val="00BC4FD4"/>
    <w:rsid w:val="00BC7642"/>
    <w:rsid w:val="00BD50F6"/>
    <w:rsid w:val="00C0056A"/>
    <w:rsid w:val="00C073E1"/>
    <w:rsid w:val="00C11E25"/>
    <w:rsid w:val="00C25647"/>
    <w:rsid w:val="00C5137B"/>
    <w:rsid w:val="00C66AEA"/>
    <w:rsid w:val="00C9040A"/>
    <w:rsid w:val="00C91E4D"/>
    <w:rsid w:val="00CB110A"/>
    <w:rsid w:val="00CB7CD0"/>
    <w:rsid w:val="00D039AF"/>
    <w:rsid w:val="00D13128"/>
    <w:rsid w:val="00D16114"/>
    <w:rsid w:val="00D2283E"/>
    <w:rsid w:val="00D95232"/>
    <w:rsid w:val="00DB7F50"/>
    <w:rsid w:val="00DE06D7"/>
    <w:rsid w:val="00DE30C7"/>
    <w:rsid w:val="00DF400F"/>
    <w:rsid w:val="00E05575"/>
    <w:rsid w:val="00E15BF4"/>
    <w:rsid w:val="00E2376B"/>
    <w:rsid w:val="00E2441D"/>
    <w:rsid w:val="00E26935"/>
    <w:rsid w:val="00E27707"/>
    <w:rsid w:val="00E333C8"/>
    <w:rsid w:val="00E47484"/>
    <w:rsid w:val="00E52B04"/>
    <w:rsid w:val="00E661B7"/>
    <w:rsid w:val="00E73266"/>
    <w:rsid w:val="00E7637E"/>
    <w:rsid w:val="00E8530C"/>
    <w:rsid w:val="00E869DE"/>
    <w:rsid w:val="00E90A9D"/>
    <w:rsid w:val="00EA3C61"/>
    <w:rsid w:val="00ED0759"/>
    <w:rsid w:val="00F1723D"/>
    <w:rsid w:val="00F2069F"/>
    <w:rsid w:val="00F27167"/>
    <w:rsid w:val="00F53370"/>
    <w:rsid w:val="00F537C0"/>
    <w:rsid w:val="00F641E1"/>
    <w:rsid w:val="00F90BE2"/>
    <w:rsid w:val="00FA305D"/>
    <w:rsid w:val="00FB1AFF"/>
    <w:rsid w:val="00FB1D7A"/>
    <w:rsid w:val="00FB1F92"/>
    <w:rsid w:val="00FC0CEA"/>
    <w:rsid w:val="162344D0"/>
    <w:rsid w:val="4F54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22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16" Type="http://schemas.openxmlformats.org/officeDocument/2006/relationships/header" Target="header4.xml"/><Relationship Id="rId20" Type="http://schemas.openxmlformats.org/officeDocument/2006/relationships/hyperlink" Target="https://www.eeas.europa.eu/node/63333_en" TargetMode="External"/><Relationship Id="rId29" Type="http://schemas.openxmlformats.org/officeDocument/2006/relationships/customXml" Target="../customXml/item3.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aichr.org/" TargetMode="External"/><Relationship Id="rId13" Type="http://schemas.openxmlformats.org/officeDocument/2006/relationships/hyperlink" Target="https://www.ilo.org/publications/social-dialogue-public-services-selected-asean-countries" TargetMode="External"/><Relationship Id="rId18" Type="http://schemas.openxmlformats.org/officeDocument/2006/relationships/hyperlink" Target="https://www.ilo.org/publications/women-and-men-informal-economy-statistical-update" TargetMode="External"/><Relationship Id="rId26" Type="http://schemas.openxmlformats.org/officeDocument/2006/relationships/hyperlink" Target="https://www.ilo.org/resource/workers-organizations-asia-and-pacific" TargetMode="External"/><Relationship Id="rId3" Type="http://schemas.openxmlformats.org/officeDocument/2006/relationships/hyperlink" Target="https://eur-lex.europa.eu/legal-content/ET/TXT/PDF/?uri=CELEX:22019A1114(01)&amp;from=ET" TargetMode="External"/><Relationship Id="rId21" Type="http://schemas.openxmlformats.org/officeDocument/2006/relationships/hyperlink" Target="https://www.eesc.europa.eu/et/sections-other-bodies/other/eli-ja-singapuri-vabakaubanduslepingu-raames-tegutsev-eli-sisenouanderuhm" TargetMode="External"/><Relationship Id="rId34" Type="http://schemas.openxmlformats.org/officeDocument/2006/relationships/hyperlink" Target="https://ec.europa.eu/commission/presscorner/detail/en/ip_24_2683" TargetMode="External"/><Relationship Id="rId7" Type="http://schemas.openxmlformats.org/officeDocument/2006/relationships/hyperlink" Target="https://asean.org/asean-leaders-review-and-decision-on-the-implementation-of-the-five-point-consensus-3/" TargetMode="External"/><Relationship Id="rId12" Type="http://schemas.openxmlformats.org/officeDocument/2006/relationships/hyperlink" Target="https://alternative-regionalisms.org/wp-content/uploads/2009/07/sapasubmissiononaseancharter-sociocultural.pdf" TargetMode="External"/><Relationship Id="rId17" Type="http://schemas.openxmlformats.org/officeDocument/2006/relationships/hyperlink" Target="https://www.eeas.europa.eu/sites/default/files/documents/2024/2023%20EU%20country%20updates%20on%20human%20rights%20and%20democracy_0.pdf" TargetMode="External"/><Relationship Id="rId25" Type="http://schemas.openxmlformats.org/officeDocument/2006/relationships/hyperlink" Target="https://www.wftucentral.org" TargetMode="External"/><Relationship Id="rId33" Type="http://schemas.openxmlformats.org/officeDocument/2006/relationships/hyperlink" Target="https://iotc.org/meetings/28th-session-indian-ocean-tuna-commission" TargetMode="External"/><Relationship Id="rId2" Type="http://schemas.openxmlformats.org/officeDocument/2006/relationships/hyperlink" Target="https://www.eu-asean.eu/" TargetMode="External"/><Relationship Id="rId16" Type="http://schemas.openxmlformats.org/officeDocument/2006/relationships/hyperlink" Target="https://www.eeas.europa.eu/sites/default/files/documents/2024/2023%20EU%20country%20updates%20on%20human%20rights%20and%20democracy_0.pdf" TargetMode="External"/><Relationship Id="rId20" Type="http://schemas.openxmlformats.org/officeDocument/2006/relationships/hyperlink" Target="https://multimedia.europarl.europa.eu/en/inta-committee-meeting_20250319-0900-COMMITTEE-INTA_vd" TargetMode="External"/><Relationship Id="rId29" Type="http://schemas.openxmlformats.org/officeDocument/2006/relationships/hyperlink" Target="https://www.ilo.org/sites/default/files/wcmsp5/groups/public/%40ed_protect/%40protrav/%40migrant/documents/publication/wcms_883446.pdf" TargetMode="External"/><Relationship Id="rId1" Type="http://schemas.openxmlformats.org/officeDocument/2006/relationships/hyperlink" Target="https://www.ilo.org/about-ilo/mission-and-impact-ilo/ilo-declaration-fundamental-principles-and-rights-work" TargetMode="External"/><Relationship Id="rId6" Type="http://schemas.openxmlformats.org/officeDocument/2006/relationships/hyperlink" Target="https://policy.trade.ec.europa.eu/eu-trade-relationships-country-and-region/countries-and-regions/association-south-east-asian-nations-asean_en" TargetMode="External"/><Relationship Id="rId11" Type="http://schemas.openxmlformats.org/officeDocument/2006/relationships/hyperlink" Target="https://arrow.org.my/" TargetMode="External"/><Relationship Id="rId24" Type="http://schemas.openxmlformats.org/officeDocument/2006/relationships/hyperlink" Target="https://www.ituc-ap.org/" TargetMode="External"/><Relationship Id="rId32" Type="http://schemas.openxmlformats.org/officeDocument/2006/relationships/hyperlink" Target="https://thailand.iom.int/sites/g/files/tmzbdl1371/files/documents/2024-12/thailand-migration-report-2024.pdf" TargetMode="External"/><Relationship Id="rId5" Type="http://schemas.openxmlformats.org/officeDocument/2006/relationships/hyperlink" Target="https://www.worldeconomics.com/Regions/ASEAN/" TargetMode="External"/><Relationship Id="rId15" Type="http://schemas.openxmlformats.org/officeDocument/2006/relationships/hyperlink" Target="https://www.europarl.europa.eu/RegData/etudes/STUD/2021/653635/EXPO_STU(2021)653635_EN.pdf" TargetMode="External"/><Relationship Id="rId23" Type="http://schemas.openxmlformats.org/officeDocument/2006/relationships/hyperlink" Target="https://www.ilo.org/resource/workers-organizations-asia-and-pacific" TargetMode="External"/><Relationship Id="rId28" Type="http://schemas.openxmlformats.org/officeDocument/2006/relationships/hyperlink" Target="https://www.cape-emp.org/home.aspx" TargetMode="External"/><Relationship Id="rId10" Type="http://schemas.openxmlformats.org/officeDocument/2006/relationships/hyperlink" Target="https://safenet.or.id/" TargetMode="External"/><Relationship Id="rId19" Type="http://schemas.openxmlformats.org/officeDocument/2006/relationships/hyperlink" Target="https://www.eesc.europa.eu/en/documents/statement-european-union-domestic-advisory-group-eu-viet-nam-free-trade-agreement-1" TargetMode="External"/><Relationship Id="rId31" Type="http://schemas.openxmlformats.org/officeDocument/2006/relationships/hyperlink" Target="https://asean.org/wp-content/uploads/2023/07/ASEAN_employment_outlook_WEB_FIN.pdf" TargetMode="External"/><Relationship Id="rId4" Type="http://schemas.openxmlformats.org/officeDocument/2006/relationships/hyperlink" Target="https://eur-lex.europa.eu/legal-content/ET/TXT/PDF/?uri=OJ:L:2020:186:FULL&amp;from=ET" TargetMode="External"/><Relationship Id="rId9" Type="http://schemas.openxmlformats.org/officeDocument/2006/relationships/hyperlink" Target="https://reliefweb.int/organization/forum-asia" TargetMode="External"/><Relationship Id="rId14" Type="http://schemas.openxmlformats.org/officeDocument/2006/relationships/hyperlink" Target="https://www.europarl.europa.eu/doceo/document/TA-10-2024-0053_ET.html" TargetMode="External"/><Relationship Id="rId22" Type="http://schemas.openxmlformats.org/officeDocument/2006/relationships/hyperlink" Target="https://policy.trade.ec.europa.eu/analysis-and-assessment/eu-trade-meetings-civil-society/objectives_en" TargetMode="External"/><Relationship Id="rId27" Type="http://schemas.openxmlformats.org/officeDocument/2006/relationships/hyperlink" Target="https://www.ilo.org/meetings-and-events/asean-employers-empowering-people-priortizing-skills" TargetMode="External"/><Relationship Id="rId30" Type="http://schemas.openxmlformats.org/officeDocument/2006/relationships/hyperlink" Target="https://www.ilo.org/sites/default/files/wcmsp5/groups/public/%40ed_protect/%40protrav/%40migrant/documents/publication/wcms_88344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A6WAAD5KZT2Q-604569563-13110</_dlc_DocId>
    <_dlc_DocIdUrl xmlns="1a33af13-4045-4f88-9d7b-618e30f79918">
      <Url>http://dm/eesc/2025/_layouts/15/DocIdRedir.aspx?ID=A6WAAD5KZT2Q-604569563-13110</Url>
      <Description>A6WAAD5KZT2Q-604569563-13110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2025-07-01T12:00:00+00:00</ProductionDate>
    <DocumentNumber xmlns="be3ca9a7-9286-4008-99ec-aebc20da9dc2">840</DocumentNumber>
    <FicheYear xmlns="1a33af13-4045-4f88-9d7b-618e30f79918" xsi:nil="true"/>
    <DossierNumber xmlns="1a33af13-4045-4f88-9d7b-618e30f79918">589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246</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Rapporteur xmlns="1a33af13-4045-4f88-9d7b-618e30f79918">KOLLER &amp; PATER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6739</FicheNumber>
    <OriginalSender xmlns="1a33af13-4045-4f88-9d7b-618e30f79918">
      <UserInfo>
        <DisplayName>Rosenberg Aili</DisplayName>
        <AccountId>1509</AccountId>
        <AccountType/>
      </UserInfo>
    </OriginalSender>
    <DocumentPart xmlns="1a33af13-4045-4f88-9d7b-618e30f79918">0</DocumentPart>
    <AdoptionDate xmlns="1a33af13-4045-4f88-9d7b-618e30f79918">2025-06-19T12:00:00+00:00</AdoptionDate>
    <RequestingService xmlns="1a33af13-4045-4f88-9d7b-618e30f79918">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2</DocumentVersion>
  </documentManagement>
</p:properties>
</file>

<file path=customXml/itemProps1.xml><?xml version="1.0" encoding="utf-8"?>
<ds:datastoreItem xmlns:ds="http://schemas.openxmlformats.org/officeDocument/2006/customXml" ds:itemID="{E3D7376A-36B4-4D84-B8ED-C35554522C01}"/>
</file>

<file path=customXml/itemProps2.xml><?xml version="1.0" encoding="utf-8"?>
<ds:datastoreItem xmlns:ds="http://schemas.openxmlformats.org/officeDocument/2006/customXml" ds:itemID="{2BCF5CF0-F418-4DCA-85D6-8777BC1B64E8}"/>
</file>

<file path=customXml/itemProps3.xml><?xml version="1.0" encoding="utf-8"?>
<ds:datastoreItem xmlns:ds="http://schemas.openxmlformats.org/officeDocument/2006/customXml" ds:itemID="{3CDA638D-6818-483B-8CB1-4AA97DBF48C7}"/>
</file>

<file path=customXml/itemProps4.xml><?xml version="1.0" encoding="utf-8"?>
<ds:datastoreItem xmlns:ds="http://schemas.openxmlformats.org/officeDocument/2006/customXml" ds:itemID="{A16C35B2-67BC-4D67-8248-725FC536C8BE}"/>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The situation of the civil society organisations in the ASEAN countries</vt:lpstr>
    </vt:vector>
  </TitlesOfParts>
  <Company>CESE-CdR</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Kodanikuühiskonna organisatsioonide olukord ASEANi riikides</dc:title>
  <dc:subject>RI</dc:subject>
  <dc:creator>Francois Aude</dc:creator>
  <cp:keywords>EESC-2025-00840-00-02-RI-TRA-EN</cp:keywords>
  <dc:description>Rapporteur: KOLLER &amp; PATER - Original language: EN - Date of document: 01/07/2025 - Date of meeting:  - External documents:  - Administrator: MME FEVRE-BURDY Sylvia Gunilla</dc:description>
  <cp:lastModifiedBy>Rosenberg Aili</cp:lastModifiedBy>
  <cp:revision>12</cp:revision>
  <dcterms:created xsi:type="dcterms:W3CDTF">2025-06-30T15:56:00Z</dcterms:created>
  <dcterms:modified xsi:type="dcterms:W3CDTF">2025-07-01T07:25:00Z</dcterms:modified>
  <cp:category>REX/589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30/06/2025, 27/06/2025, 27/06/2025, 23/06/2025, 23/06/2025, 12/04/2024, 17/05/2022</vt:lpwstr>
  </property>
  <property fmtid="{D5CDD505-2E9C-101B-9397-08002B2CF9AE}" pid="4" name="Pref_Time">
    <vt:lpwstr>17:44:45, 10:56:37, 10:53:34, 14:28:35, 09:02:59, 12:04:59, 14:58:36</vt:lpwstr>
  </property>
  <property fmtid="{D5CDD505-2E9C-101B-9397-08002B2CF9AE}" pid="5" name="Pref_User">
    <vt:lpwstr>nnas, jhvi, jhvi, jhvi, jhvi, enied, enied</vt:lpwstr>
  </property>
  <property fmtid="{D5CDD505-2E9C-101B-9397-08002B2CF9AE}" pid="6" name="Pref_FileName">
    <vt:lpwstr>EESC-2025-00840-00-02-RI-ORI.docx, EESC-2025-00840-00-02-RI-TRA-EN_jhvi.docx, EESC-2025-00840-00-01-RI-TRA-EN (3).docx, eesc-2025-00840-00-01-RI-ORI.docx, eesc-2025-00840-00-00-ri-ori (3).docx, COR-EESC-2024-01326-27-00-ADMIN-ORI.docx, COR-EESC-2022-02592</vt:lpwstr>
  </property>
  <property fmtid="{D5CDD505-2E9C-101B-9397-08002B2CF9AE}" pid="7" name="ContentTypeId">
    <vt:lpwstr>0x010100EA97B91038054C99906057A708A1480A006BB3B767F3CF4149BF520211D4A86BC0</vt:lpwstr>
  </property>
  <property fmtid="{D5CDD505-2E9C-101B-9397-08002B2CF9AE}" pid="8" name="_dlc_DocIdItemGuid">
    <vt:lpwstr>8c93d015-cd47-44b5-96e6-5f179fb5d94a</vt:lpwstr>
  </property>
  <property fmtid="{D5CDD505-2E9C-101B-9397-08002B2CF9AE}" pid="9" name="AvailableTranslations">
    <vt:lpwstr>40;#DA|5d49c027-8956-412b-aa16-e85a0f96ad0e;#37;#HU|6b229040-c589-4408-b4c1-4285663d20a8;#42;#EL|6d4f4d51-af9b-4650-94b4-4276bee85c91;#47;#BG|1a1b3951-7821-4e6a-85f5-5673fc08bd2c;#30;#LT|a7ff5ce7-6123-4f68-865a-a57c31810414;#31;#SL|98a412ae-eb01-49e9-ae3d-585a81724cfc;#46;#SK|46d9fce0-ef79-4f71-b89b-cd6aa82426b8;#41;#ET|ff6c3f4c-b02c-4c3c-ab07-2c37995a7a0a;#36;#RO|feb747a2-64cd-4299-af12-4833ddc30497;#32;#MT|7df99101-6854-4a26-b53a-b88c0da02c26;#33;#PT|50ccc04a-eadd-42ae-a0cb-acaf45f812ba;#39;#LV|46f7e311-5d9f-4663-b433-18aeccb7ace7;#34;#IT|0774613c-01ed-4e5d-a25d-11d2388de825;#16;#ES|e7a6b05b-ae16-40c8-add9-68b64b03aeba;#28;#SV|c2ed69e7-a339-43d7-8f22-d93680a92aa0;#35;#FI|87606a43-d45f-42d6-b8c9-e1a3457db5b7;#50;#HR|2f555653-ed1a-4fe6-8362-9082d95989e5;#24;#PL|1e03da61-4678-4e07-b136-b5024ca9197b;#23;#DE|f6b31e5a-26fa-4935-b661-318e46daf27e;#29;#CS|72f9705b-0217-4fd3-bea2-cbc7ed80e26e;#27;#NL|55c6556c-b4f4-441d-9acf-c498d4f838bd;#12;#FR|d2afafd3-4c81-4f60-8f52-ee33f2f54ff3;#5;#EN|f2175f21-25d7-44a3-96da-d6a61b075e1b;#43;#GA|762d2456-c427-4ecb-b312-af3dad8e258c</vt:lpwstr>
  </property>
  <property fmtid="{D5CDD505-2E9C-101B-9397-08002B2CF9AE}" pid="10" name="DocumentType_0">
    <vt:lpwstr>RI|0e66e8df-1601-4fe1-947b-eb539760261a</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840</vt:i4>
  </property>
  <property fmtid="{D5CDD505-2E9C-101B-9397-08002B2CF9AE}" pid="14" name="DocumentVersion">
    <vt:i4>2</vt:i4>
  </property>
  <property fmtid="{D5CDD505-2E9C-101B-9397-08002B2CF9AE}" pid="15" name="DossierNumber">
    <vt:i4>589</vt:i4>
  </property>
  <property fmtid="{D5CDD505-2E9C-101B-9397-08002B2CF9AE}" pid="16" name="DocumentStatus">
    <vt:lpwstr>13;#TRA|150d2a88-1431-44e6-a8ca-0bb753ab8672</vt:lpwstr>
  </property>
  <property fmtid="{D5CDD505-2E9C-101B-9397-08002B2CF9AE}" pid="17" name="DossierName">
    <vt:lpwstr>2;#REX|6820eaf5-116e-436b-ad9c-156f8a94c2a1</vt:lpwstr>
  </property>
  <property fmtid="{D5CDD505-2E9C-101B-9397-08002B2CF9AE}" pid="18" name="RequestingService">
    <vt:lpwstr>Relations extérieures</vt:lpwstr>
  </property>
  <property fmtid="{D5CDD505-2E9C-101B-9397-08002B2CF9AE}" pid="19" name="Confidentiality">
    <vt:lpwstr>15;#Unrestricted|826e22d7-d029-4ec0-a450-0c28ff673572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DA|5d49c027-8956-412b-aa16-e85a0f96ad0e;HU|6b229040-c589-4408-b4c1-4285663d20a8;BG|1a1b3951-7821-4e6a-85f5-5673fc08bd2c;LT|a7ff5ce7-6123-4f68-865a-a57c31810414;SK|46d9fce0-ef79-4f71-b89b-cd6aa82426b8;FI|87606a43-d45f-42d6-b8c9-e1a3457db5b7;FR|d2afafd3-4c81-4f60-8f52-ee33f2f54ff3;EN|f2175f21-25d7-44a3-96da-d6a61b075e1b</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35;#FI|87606a43-d45f-42d6-b8c9-e1a3457db5b7;#30;#LT|a7ff5ce7-6123-4f68-865a-a57c31810414;#246;#RI|0e66e8df-1601-4fe1-947b-eb539760261a;#15;#Unrestricted|826e22d7-d029-4ec0-a450-0c28ff673572;#13;#TRA|150d2a88-1431-44e6-a8ca-0bb753ab8672;#12;#FR|d2afafd3-4c81-4f60-8f52-ee33f2f54ff3;#47;#BG|1a1b3951-7821-4e6a-85f5-5673fc08bd2c;#46;#SK|46d9fce0-ef79-4f71-b89b-cd6aa82426b8;#8;#Final|ea5e6674-7b27-4bac-b091-73adbb394efe;#5;#EN|f2175f21-25d7-44a3-96da-d6a61b075e1b;#40;#DA|5d49c027-8956-412b-aa16-e85a0f96ad0e;#2;#REX|6820eaf5-116e-436b-ad9c-156f8a94c2a1;#1;#EESC|422833ec-8d7e-4e65-8e4e-8bed07ffb729;#37;#HU|6b229040-c589-4408-b4c1-4285663d20a8</vt:lpwstr>
  </property>
  <property fmtid="{D5CDD505-2E9C-101B-9397-08002B2CF9AE}" pid="29" name="Rapporteur">
    <vt:lpwstr>KOLLER &amp; PATER</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6739</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2025-06-19T12:00:00Z</vt:filetime>
  </property>
  <property fmtid="{D5CDD505-2E9C-101B-9397-08002B2CF9AE}" pid="37" name="DocumentType">
    <vt:lpwstr>246;#RI|0e66e8df-1601-4fe1-947b-eb539760261a</vt:lpwstr>
  </property>
  <property fmtid="{D5CDD505-2E9C-101B-9397-08002B2CF9AE}" pid="38" name="DocumentLanguage">
    <vt:lpwstr>41;#ET|ff6c3f4c-b02c-4c3c-ab07-2c37995a7a0a</vt:lpwstr>
  </property>
  <property fmtid="{D5CDD505-2E9C-101B-9397-08002B2CF9AE}" pid="39" name="_docset_NoMedatataSyncRequired">
    <vt:lpwstr>False</vt:lpwstr>
  </property>
</Properties>
</file>