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9.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1F165D" w:rsidR="00574C9B" w:rsidTr="008E4CC5" w14:paraId="4B18B74B" w14:textId="77777777">
        <w:trPr>
          <w:jc w:val="center"/>
        </w:trPr>
        <w:tc>
          <w:tcPr>
            <w:tcW w:w="5000" w:type="pct"/>
            <w:vAlign w:val="center"/>
          </w:tcPr>
          <w:p w:rsidRPr="001F165D" w:rsidR="00574C9B" w:rsidP="006125A1" w:rsidRDefault="00360204" w14:paraId="4B8F14AB" w14:textId="1DC17AD9">
            <w:pPr>
              <w:jc w:val="center"/>
              <w:rPr>
                <w:b/>
                <w:sz w:val="72"/>
                <w:szCs w:val="72"/>
              </w:rPr>
            </w:pPr>
            <w:r>
              <w:rPr>
                <w:b/>
                <w:sz w:val="72"/>
              </w:rPr>
              <w:t>RAPPORT D’INFORMATION</w:t>
            </w:r>
          </w:p>
        </w:tc>
      </w:tr>
      <w:tr w:rsidRPr="001F165D" w:rsidR="00574C9B" w:rsidTr="008E4CC5" w14:paraId="428F80C1" w14:textId="77777777">
        <w:trPr>
          <w:trHeight w:val="567"/>
          <w:jc w:val="center"/>
        </w:trPr>
        <w:tc>
          <w:tcPr>
            <w:tcW w:w="5000" w:type="pct"/>
            <w:vAlign w:val="center"/>
          </w:tcPr>
          <w:p w:rsidRPr="001F165D" w:rsidR="00574C9B" w:rsidP="006125A1" w:rsidRDefault="00574C9B" w14:paraId="0E3C838D" w14:textId="126C60AA">
            <w:pPr>
              <w:jc w:val="center"/>
              <w:rPr>
                <w:sz w:val="24"/>
                <w:szCs w:val="24"/>
              </w:rPr>
            </w:pPr>
            <w:r>
              <w:rPr>
                <w:sz w:val="24"/>
              </w:rPr>
              <w:t>Comité économique et social européen</w:t>
            </w:r>
          </w:p>
        </w:tc>
      </w:tr>
      <w:tr w:rsidRPr="001F165D" w:rsidR="00574C9B" w:rsidTr="008E4CC5" w14:paraId="5FCA7EB1" w14:textId="77777777">
        <w:trPr>
          <w:jc w:val="center"/>
        </w:trPr>
        <w:tc>
          <w:tcPr>
            <w:tcW w:w="5000" w:type="pct"/>
            <w:vAlign w:val="center"/>
          </w:tcPr>
          <w:p w:rsidRPr="001F165D" w:rsidR="00574C9B" w:rsidP="006125A1" w:rsidRDefault="00384833" w14:paraId="164B3F5D" w14:textId="3014D980">
            <w:pPr>
              <w:jc w:val="center"/>
              <w:rPr>
                <w:b/>
                <w:sz w:val="44"/>
                <w:szCs w:val="44"/>
              </w:rPr>
            </w:pPr>
            <w:r>
              <w:rPr>
                <w:b/>
                <w:sz w:val="44"/>
              </w:rPr>
              <w:t>La situation des organisations de la société civile dans les pays de l’ASEAN</w:t>
            </w:r>
          </w:p>
        </w:tc>
      </w:tr>
      <w:tr w:rsidRPr="001F165D" w:rsidR="00574C9B" w:rsidTr="008E4CC5" w14:paraId="0A2CA787" w14:textId="77777777">
        <w:trPr>
          <w:jc w:val="center"/>
        </w:trPr>
        <w:tc>
          <w:tcPr>
            <w:tcW w:w="5000" w:type="pct"/>
            <w:vAlign w:val="center"/>
          </w:tcPr>
          <w:p w:rsidRPr="001F165D" w:rsidR="00574C9B" w:rsidP="006125A1" w:rsidRDefault="00574C9B" w14:paraId="766B3712" w14:textId="77777777">
            <w:pPr>
              <w:overflowPunct w:val="0"/>
              <w:autoSpaceDE w:val="0"/>
              <w:autoSpaceDN w:val="0"/>
              <w:adjustRightInd w:val="0"/>
              <w:jc w:val="center"/>
              <w:textAlignment w:val="baseline"/>
              <w:rPr>
                <w:b/>
                <w:position w:val="24"/>
                <w:sz w:val="24"/>
                <w:szCs w:val="24"/>
              </w:rPr>
            </w:pPr>
            <w:r>
              <w:rPr>
                <w:sz w:val="24"/>
              </w:rPr>
              <w:t>_____________</w:t>
            </w:r>
          </w:p>
        </w:tc>
      </w:tr>
      <w:tr w:rsidRPr="001F165D" w:rsidR="00574C9B" w:rsidTr="008E4CC5" w14:paraId="651BE820" w14:textId="77777777">
        <w:trPr>
          <w:jc w:val="center"/>
        </w:trPr>
        <w:tc>
          <w:tcPr>
            <w:tcW w:w="5000" w:type="pct"/>
            <w:vAlign w:val="center"/>
          </w:tcPr>
          <w:p w:rsidRPr="001F165D" w:rsidR="00574C9B" w:rsidP="00360204" w:rsidRDefault="007918CC" w14:paraId="6E238E6D" w14:textId="2F4A1380">
            <w:pPr>
              <w:jc w:val="center"/>
              <w:rPr>
                <w:sz w:val="24"/>
                <w:szCs w:val="24"/>
              </w:rPr>
            </w:pPr>
            <w:r>
              <w:t>La situation des organisations de la société civile dans les pays de l’ASEAN</w:t>
            </w:r>
          </w:p>
        </w:tc>
      </w:tr>
      <w:tr w:rsidRPr="001F165D" w:rsidR="00574C9B" w:rsidTr="008E4CC5" w14:paraId="295584EE" w14:textId="77777777">
        <w:trPr>
          <w:jc w:val="center"/>
        </w:trPr>
        <w:tc>
          <w:tcPr>
            <w:tcW w:w="5000" w:type="pct"/>
            <w:vAlign w:val="center"/>
          </w:tcPr>
          <w:p w:rsidRPr="00D51A3C" w:rsidR="00574C9B" w:rsidP="006125A1" w:rsidRDefault="00574C9B" w14:paraId="7AA50FA1" w14:textId="77777777">
            <w:pPr>
              <w:jc w:val="center"/>
              <w:rPr>
                <w:sz w:val="24"/>
                <w:szCs w:val="24"/>
                <w:lang w:val="fr-BE"/>
              </w:rPr>
            </w:pPr>
          </w:p>
        </w:tc>
      </w:tr>
      <w:tr w:rsidRPr="001F165D" w:rsidR="00574C9B" w:rsidTr="008E4CC5" w14:paraId="41F47321" w14:textId="77777777">
        <w:trPr>
          <w:jc w:val="center"/>
        </w:trPr>
        <w:tc>
          <w:tcPr>
            <w:tcW w:w="5000" w:type="pct"/>
            <w:vAlign w:val="center"/>
          </w:tcPr>
          <w:p w:rsidRPr="001F165D" w:rsidR="00574C9B" w:rsidP="006125A1" w:rsidRDefault="007918CC" w14:paraId="50D97899" w14:textId="308AC2EA">
            <w:pPr>
              <w:jc w:val="center"/>
              <w:rPr>
                <w:b/>
                <w:sz w:val="24"/>
                <w:szCs w:val="24"/>
              </w:rPr>
            </w:pPr>
            <w:r>
              <w:rPr>
                <w:b/>
                <w:sz w:val="24"/>
              </w:rPr>
              <w:t>REX/589</w:t>
            </w:r>
          </w:p>
        </w:tc>
      </w:tr>
      <w:tr w:rsidRPr="001F165D" w:rsidR="00574C9B" w:rsidTr="008E4CC5" w14:paraId="2110FDEB" w14:textId="77777777">
        <w:trPr>
          <w:jc w:val="center"/>
        </w:trPr>
        <w:tc>
          <w:tcPr>
            <w:tcW w:w="5000" w:type="pct"/>
            <w:vAlign w:val="center"/>
          </w:tcPr>
          <w:p w:rsidRPr="001F165D" w:rsidR="00574C9B" w:rsidP="006125A1" w:rsidRDefault="00574C9B" w14:paraId="59F181E4" w14:textId="77777777">
            <w:pPr>
              <w:jc w:val="center"/>
              <w:rPr>
                <w:sz w:val="24"/>
                <w:szCs w:val="24"/>
                <w:lang w:val="en-GB"/>
              </w:rPr>
            </w:pPr>
          </w:p>
        </w:tc>
      </w:tr>
      <w:tr w:rsidRPr="001F165D" w:rsidR="00574C9B" w:rsidTr="008E4CC5" w14:paraId="5DF7EBEA" w14:textId="77777777">
        <w:trPr>
          <w:jc w:val="center"/>
        </w:trPr>
        <w:tc>
          <w:tcPr>
            <w:tcW w:w="5000" w:type="pct"/>
            <w:vAlign w:val="center"/>
          </w:tcPr>
          <w:p w:rsidRPr="001F165D" w:rsidR="00F1723D" w:rsidP="00F1723D" w:rsidRDefault="00F1723D" w14:paraId="6A1138F4" w14:textId="566459AE">
            <w:pPr>
              <w:jc w:val="center"/>
              <w:rPr>
                <w:b/>
                <w:bCs/>
              </w:rPr>
            </w:pPr>
            <w:r>
              <w:t xml:space="preserve">Rapporteure: </w:t>
            </w:r>
            <w:r>
              <w:rPr>
                <w:b/>
              </w:rPr>
              <w:t>Erika KOLLER</w:t>
            </w:r>
          </w:p>
          <w:p w:rsidRPr="001F165D" w:rsidR="00574C9B" w:rsidP="006125A1" w:rsidRDefault="00F1723D" w14:paraId="23E9DE0A" w14:textId="10E098E1">
            <w:pPr>
              <w:jc w:val="center"/>
              <w:rPr>
                <w:sz w:val="24"/>
                <w:szCs w:val="24"/>
              </w:rPr>
            </w:pPr>
            <w:r>
              <w:t xml:space="preserve">Corapporteur: </w:t>
            </w:r>
            <w:r>
              <w:rPr>
                <w:b/>
              </w:rPr>
              <w:t>Krzysztof PATER</w:t>
            </w:r>
          </w:p>
        </w:tc>
      </w:tr>
    </w:tbl>
    <w:p w:rsidRPr="001F165D" w:rsidR="00574C9B" w:rsidP="00574C9B" w:rsidRDefault="00574C9B" w14:paraId="0B225863" w14:textId="77777777">
      <w:r>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FR</w:t>
                      </w:r>
                    </w:p>
                  </w:txbxContent>
                </v:textbox>
                <w10:wrap anchorx="margin" anchory="page"/>
              </v:shape>
            </w:pict>
          </mc:Fallback>
        </mc:AlternateContent>
      </w:r>
    </w:p>
    <w:p w:rsidRPr="001F165D" w:rsidR="00574C9B" w:rsidP="00574C9B" w:rsidRDefault="00574C9B" w14:paraId="3FA5826A" w14:textId="77777777">
      <w:pPr>
        <w:rPr>
          <w:lang w:val="en-GB"/>
        </w:rPr>
      </w:pPr>
    </w:p>
    <w:p w:rsidRPr="001F165D" w:rsidR="00574C9B" w:rsidP="00574C9B" w:rsidRDefault="00574C9B" w14:paraId="4B88FC0A" w14:textId="77777777">
      <w:pPr>
        <w:rPr>
          <w:lang w:val="en-GB"/>
        </w:rPr>
        <w:sectPr w:rsidRPr="001F165D" w:rsidR="00574C9B" w:rsidSect="00296BCE">
          <w:headerReference w:type="even" r:id="rId10"/>
          <w:headerReference w:type="default" r:id="rId11"/>
          <w:headerReference w:type="first" r:id="rId12"/>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1F165D" w:rsidR="00C5137B" w:rsidTr="00E15BF4" w14:paraId="6755593A" w14:textId="77777777">
        <w:tc>
          <w:tcPr>
            <w:tcW w:w="3085" w:type="dxa"/>
          </w:tcPr>
          <w:p w:rsidRPr="001F165D" w:rsidR="00C5137B" w:rsidP="0058411F" w:rsidRDefault="00C5137B" w14:paraId="5F91A05F" w14:textId="0D333D6B">
            <w:pPr>
              <w:autoSpaceDE w:val="0"/>
              <w:autoSpaceDN w:val="0"/>
              <w:jc w:val="left"/>
              <w:rPr>
                <w:szCs w:val="20"/>
              </w:rPr>
            </w:pPr>
            <w:r>
              <w:lastRenderedPageBreak/>
              <w:t>Conseillère</w:t>
            </w:r>
          </w:p>
        </w:tc>
        <w:tc>
          <w:tcPr>
            <w:tcW w:w="6204" w:type="dxa"/>
            <w:vAlign w:val="bottom"/>
          </w:tcPr>
          <w:p w:rsidRPr="001F165D" w:rsidR="00C5137B" w:rsidP="0058411F" w:rsidRDefault="00306381" w14:paraId="70C24170" w14:textId="68ABC4A9">
            <w:pPr>
              <w:autoSpaceDE w:val="0"/>
              <w:autoSpaceDN w:val="0"/>
              <w:jc w:val="left"/>
            </w:pPr>
            <w:r>
              <w:t xml:space="preserve">Claudia LOZANO RODRIGUEZ </w:t>
            </w:r>
          </w:p>
        </w:tc>
      </w:tr>
      <w:tr w:rsidRPr="001F165D" w:rsidR="00C5137B" w:rsidTr="00E15BF4" w14:paraId="0F2D8E06" w14:textId="77777777">
        <w:tc>
          <w:tcPr>
            <w:tcW w:w="3085" w:type="dxa"/>
          </w:tcPr>
          <w:p w:rsidRPr="001F165D" w:rsidR="00C5137B" w:rsidP="0058411F" w:rsidRDefault="00C5137B" w14:paraId="4CD317AD" w14:textId="77777777">
            <w:pPr>
              <w:autoSpaceDE w:val="0"/>
              <w:autoSpaceDN w:val="0"/>
              <w:jc w:val="left"/>
              <w:rPr>
                <w:szCs w:val="20"/>
                <w:lang w:val="en-GB"/>
              </w:rPr>
            </w:pPr>
          </w:p>
        </w:tc>
        <w:tc>
          <w:tcPr>
            <w:tcW w:w="6204" w:type="dxa"/>
            <w:vAlign w:val="bottom"/>
          </w:tcPr>
          <w:p w:rsidRPr="001F165D" w:rsidR="00C5137B" w:rsidP="0058411F" w:rsidRDefault="00C5137B" w14:paraId="59403491" w14:textId="77777777">
            <w:pPr>
              <w:autoSpaceDE w:val="0"/>
              <w:autoSpaceDN w:val="0"/>
              <w:jc w:val="left"/>
              <w:rPr>
                <w:lang w:val="en-GB"/>
              </w:rPr>
            </w:pPr>
          </w:p>
        </w:tc>
      </w:tr>
      <w:tr w:rsidRPr="001F165D" w:rsidR="00914683" w:rsidTr="00E15BF4" w14:paraId="3E385435" w14:textId="77777777">
        <w:tc>
          <w:tcPr>
            <w:tcW w:w="3085" w:type="dxa"/>
          </w:tcPr>
          <w:p w:rsidRPr="001F165D" w:rsidR="00914683" w:rsidP="0058411F" w:rsidRDefault="00914683" w14:paraId="3054D729" w14:textId="5D5B5FF6">
            <w:pPr>
              <w:autoSpaceDE w:val="0"/>
              <w:autoSpaceDN w:val="0"/>
              <w:jc w:val="left"/>
              <w:rPr>
                <w:szCs w:val="20"/>
              </w:rPr>
            </w:pPr>
            <w:r>
              <w:t>Base juridique</w:t>
            </w:r>
          </w:p>
        </w:tc>
        <w:tc>
          <w:tcPr>
            <w:tcW w:w="6204" w:type="dxa"/>
            <w:vAlign w:val="bottom"/>
          </w:tcPr>
          <w:p w:rsidRPr="001F165D" w:rsidR="00914683" w:rsidP="0058411F" w:rsidRDefault="00914683" w14:paraId="41CF067A" w14:textId="0D6FB79C">
            <w:pPr>
              <w:autoSpaceDE w:val="0"/>
              <w:autoSpaceDN w:val="0"/>
              <w:jc w:val="left"/>
            </w:pPr>
            <w:r>
              <w:t>Article 52, paragraphe 3, du règlement intérieur</w:t>
            </w:r>
          </w:p>
        </w:tc>
      </w:tr>
      <w:tr w:rsidRPr="001F165D" w:rsidR="00AC5114" w:rsidTr="00E15BF4" w14:paraId="0E2099A6" w14:textId="77777777">
        <w:tc>
          <w:tcPr>
            <w:tcW w:w="3085" w:type="dxa"/>
          </w:tcPr>
          <w:p w:rsidRPr="001F165D" w:rsidR="00AC5114" w:rsidP="0058411F" w:rsidRDefault="00AC5114" w14:paraId="0BC68BA5" w14:textId="77777777">
            <w:pPr>
              <w:autoSpaceDE w:val="0"/>
              <w:autoSpaceDN w:val="0"/>
              <w:jc w:val="left"/>
            </w:pPr>
            <w:r>
              <w:t>Compétence</w:t>
            </w:r>
          </w:p>
        </w:tc>
        <w:tc>
          <w:tcPr>
            <w:tcW w:w="6204" w:type="dxa"/>
            <w:vAlign w:val="bottom"/>
          </w:tcPr>
          <w:p w:rsidRPr="001F165D" w:rsidR="00AC5114" w:rsidP="0058411F" w:rsidRDefault="00094C5F" w14:paraId="5AE7EA9E" w14:textId="20A48906">
            <w:pPr>
              <w:autoSpaceDE w:val="0"/>
              <w:autoSpaceDN w:val="0"/>
              <w:jc w:val="left"/>
            </w:pPr>
            <w:r>
              <w:t>Section «Relations extérieures»</w:t>
            </w:r>
          </w:p>
        </w:tc>
      </w:tr>
      <w:tr w:rsidRPr="001F165D" w:rsidR="00AC5114" w:rsidTr="00E15BF4" w14:paraId="53972E32" w14:textId="77777777">
        <w:tc>
          <w:tcPr>
            <w:tcW w:w="3085" w:type="dxa"/>
          </w:tcPr>
          <w:p w:rsidRPr="001F165D" w:rsidR="00AC5114" w:rsidP="0058411F" w:rsidRDefault="00AC5114" w14:paraId="13B33E83" w14:textId="77777777">
            <w:pPr>
              <w:autoSpaceDE w:val="0"/>
              <w:autoSpaceDN w:val="0"/>
              <w:jc w:val="left"/>
            </w:pPr>
            <w:r>
              <w:t>Adoption en section</w:t>
            </w:r>
          </w:p>
        </w:tc>
        <w:tc>
          <w:tcPr>
            <w:tcW w:w="6204" w:type="dxa"/>
            <w:vAlign w:val="bottom"/>
          </w:tcPr>
          <w:p w:rsidRPr="001F165D" w:rsidR="00AC5114" w:rsidP="0058411F" w:rsidRDefault="00B73B79" w14:paraId="5E71ECD2" w14:textId="467FD4ED">
            <w:pPr>
              <w:autoSpaceDE w:val="0"/>
              <w:autoSpaceDN w:val="0"/>
              <w:jc w:val="left"/>
            </w:pPr>
            <w:r>
              <w:t>6/5/2025</w:t>
            </w:r>
          </w:p>
        </w:tc>
      </w:tr>
      <w:tr w:rsidRPr="001F165D" w:rsidR="0058411F" w:rsidTr="00E15BF4" w14:paraId="7AE47B93" w14:textId="77777777">
        <w:tc>
          <w:tcPr>
            <w:tcW w:w="3085" w:type="dxa"/>
          </w:tcPr>
          <w:p w:rsidRPr="001F165D" w:rsidR="0058411F" w:rsidP="0058411F" w:rsidRDefault="0058411F" w14:paraId="26DE3092" w14:textId="352FC8CA">
            <w:pPr>
              <w:autoSpaceDE w:val="0"/>
              <w:autoSpaceDN w:val="0"/>
              <w:jc w:val="left"/>
            </w:pPr>
            <w:r>
              <w:t>Adoption en session plénière</w:t>
            </w:r>
          </w:p>
        </w:tc>
        <w:tc>
          <w:tcPr>
            <w:tcW w:w="6204" w:type="dxa"/>
            <w:vAlign w:val="bottom"/>
          </w:tcPr>
          <w:p w:rsidRPr="001F165D" w:rsidR="0058411F" w:rsidP="0058411F" w:rsidRDefault="00B73B79" w14:paraId="34FA2183" w14:textId="31185D71">
            <w:pPr>
              <w:autoSpaceDE w:val="0"/>
              <w:autoSpaceDN w:val="0"/>
              <w:jc w:val="left"/>
            </w:pPr>
            <w:r>
              <w:t>19/6/2025</w:t>
            </w:r>
          </w:p>
        </w:tc>
      </w:tr>
      <w:tr w:rsidRPr="001F165D" w:rsidR="0058411F" w:rsidTr="00E15BF4" w14:paraId="2FE8AE44" w14:textId="77777777">
        <w:tc>
          <w:tcPr>
            <w:tcW w:w="3085" w:type="dxa"/>
          </w:tcPr>
          <w:p w:rsidRPr="001F165D" w:rsidR="0058411F" w:rsidP="0058411F" w:rsidRDefault="0058411F" w14:paraId="2A65A034" w14:textId="77777777">
            <w:pPr>
              <w:autoSpaceDE w:val="0"/>
              <w:autoSpaceDN w:val="0"/>
              <w:jc w:val="left"/>
            </w:pPr>
            <w:r>
              <w:t>Session plénière nº</w:t>
            </w:r>
          </w:p>
        </w:tc>
        <w:tc>
          <w:tcPr>
            <w:tcW w:w="6204" w:type="dxa"/>
            <w:vAlign w:val="bottom"/>
          </w:tcPr>
          <w:p w:rsidRPr="001F165D" w:rsidR="0058411F" w:rsidP="0058411F" w:rsidRDefault="00094C5F" w14:paraId="17BFB0A7" w14:textId="0EC58D9F">
            <w:pPr>
              <w:autoSpaceDE w:val="0"/>
              <w:autoSpaceDN w:val="0"/>
              <w:jc w:val="left"/>
            </w:pPr>
            <w:r>
              <w:t>597</w:t>
            </w:r>
          </w:p>
        </w:tc>
      </w:tr>
      <w:tr w:rsidRPr="001F165D" w:rsidR="0058411F" w:rsidTr="00E15BF4" w14:paraId="3889B17A" w14:textId="77777777">
        <w:tc>
          <w:tcPr>
            <w:tcW w:w="3085" w:type="dxa"/>
          </w:tcPr>
          <w:p w:rsidRPr="001F165D" w:rsidR="0058411F" w:rsidP="0058411F" w:rsidRDefault="0058411F" w14:paraId="0C723801" w14:textId="77777777">
            <w:pPr>
              <w:autoSpaceDE w:val="0"/>
              <w:autoSpaceDN w:val="0"/>
              <w:jc w:val="left"/>
            </w:pPr>
            <w:r>
              <w:t>Résultat du vote</w:t>
            </w:r>
            <w:r>
              <w:br/>
              <w:t>(pour/contre/abstentions)</w:t>
            </w:r>
          </w:p>
        </w:tc>
        <w:tc>
          <w:tcPr>
            <w:tcW w:w="6204" w:type="dxa"/>
            <w:vAlign w:val="bottom"/>
          </w:tcPr>
          <w:p w:rsidRPr="001F165D" w:rsidR="0058411F" w:rsidP="0058411F" w:rsidRDefault="00E05575" w14:paraId="14DB34EA" w14:textId="2CF1597F">
            <w:pPr>
              <w:autoSpaceDE w:val="0"/>
              <w:autoSpaceDN w:val="0"/>
              <w:jc w:val="left"/>
            </w:pPr>
            <w:r>
              <w:t>103/2/0</w:t>
            </w:r>
          </w:p>
        </w:tc>
      </w:tr>
    </w:tbl>
    <w:p w:rsidRPr="001F165D" w:rsidR="00AC5114" w:rsidP="00574C9B" w:rsidRDefault="00AC5114" w14:paraId="156A5F34" w14:textId="77777777">
      <w:pPr>
        <w:rPr>
          <w:lang w:val="en-GB"/>
        </w:rPr>
      </w:pPr>
    </w:p>
    <w:p w:rsidRPr="001F165D" w:rsidR="00AC5114" w:rsidP="00574C9B" w:rsidRDefault="00AC5114" w14:paraId="2CD3051D" w14:textId="77777777">
      <w:pPr>
        <w:rPr>
          <w:lang w:val="en-GB"/>
        </w:rPr>
        <w:sectPr w:rsidRPr="001F165D" w:rsidR="00AC5114" w:rsidSect="00296BCE">
          <w:headerReference w:type="even" r:id="rId13"/>
          <w:headerReference w:type="default" r:id="rId14"/>
          <w:footerReference w:type="default" r:id="rId15"/>
          <w:headerReference w:type="first" r:id="rId16"/>
          <w:pgSz w:w="11907" w:h="16839" w:code="9"/>
          <w:pgMar w:top="5669" w:right="1418" w:bottom="1418" w:left="1418" w:header="709" w:footer="709" w:gutter="0"/>
          <w:cols w:space="720"/>
          <w:docGrid w:linePitch="360"/>
        </w:sectPr>
      </w:pPr>
    </w:p>
    <w:p w:rsidRPr="001F165D" w:rsidR="00C11E25" w:rsidP="00C11E25" w:rsidRDefault="00C11E25" w14:paraId="7286F6EC" w14:textId="77777777">
      <w:pPr>
        <w:pStyle w:val="Heading1"/>
        <w:rPr>
          <w:b/>
          <w:bCs/>
        </w:rPr>
      </w:pPr>
      <w:r>
        <w:rPr>
          <w:b/>
        </w:rPr>
        <w:t>Introduction</w:t>
      </w:r>
    </w:p>
    <w:p w:rsidRPr="001F165D" w:rsidR="00C11E25" w:rsidP="00C11E25" w:rsidRDefault="00C11E25" w14:paraId="3EBBB844" w14:textId="77777777">
      <w:pPr>
        <w:rPr>
          <w:lang w:val="en-GB"/>
        </w:rPr>
      </w:pPr>
    </w:p>
    <w:p w:rsidRPr="001F165D" w:rsidR="00C11E25" w:rsidP="00C11E25" w:rsidRDefault="00C11E25" w14:paraId="4298DE59" w14:textId="77777777">
      <w:pPr>
        <w:pStyle w:val="Heading2"/>
      </w:pPr>
      <w:r>
        <w:t xml:space="preserve">Le présent rapport vise à mettre en lumière l’évolution des relations entre l’Association des nations de l’Asie du Sud-Est (ASEAN) et l’Union européenne, notamment en ce qui concerne le rôle de la société civile et le développement durable dans le cadre du commerce et de la coopération politique. </w:t>
      </w:r>
    </w:p>
    <w:p w:rsidRPr="00D51A3C" w:rsidR="00C11E25" w:rsidP="00C11E25" w:rsidRDefault="00C11E25" w14:paraId="7D96C768" w14:textId="77777777">
      <w:pPr>
        <w:rPr>
          <w:lang w:val="fr-BE"/>
        </w:rPr>
      </w:pPr>
    </w:p>
    <w:p w:rsidRPr="001F165D" w:rsidR="00C11E25" w:rsidP="00C11E25" w:rsidRDefault="00C11E25" w14:paraId="1C6CE123" w14:textId="77777777">
      <w:pPr>
        <w:pStyle w:val="Heading2"/>
      </w:pPr>
      <w:r>
        <w:t>L’ASEAN est une organisation intergouvernementale qui «adhère strictement au principe de l’égalité souveraine»</w:t>
      </w:r>
      <w:r w:rsidRPr="001F165D">
        <w:rPr>
          <w:vertAlign w:val="superscript"/>
          <w:lang w:val="en-GB"/>
        </w:rPr>
        <w:footnoteReference w:id="1"/>
      </w:r>
      <w:r>
        <w:t xml:space="preserve"> et adopte une approche pragmatique des intérêts nationaux. La prise de décision collective reflète la diversité des capacités institutionnelles et des modèles économiques de ses États membres.</w:t>
      </w:r>
    </w:p>
    <w:p w:rsidRPr="00D51A3C" w:rsidR="00C11E25" w:rsidP="00C11E25" w:rsidRDefault="00C11E25" w14:paraId="1805B50A" w14:textId="77777777">
      <w:pPr>
        <w:rPr>
          <w:lang w:val="fr-BE"/>
        </w:rPr>
      </w:pPr>
    </w:p>
    <w:p w:rsidRPr="001F165D" w:rsidR="00C11E25" w:rsidP="00C11E25" w:rsidRDefault="00C11E25" w14:paraId="2DFEF263" w14:textId="77777777">
      <w:pPr>
        <w:pStyle w:val="Heading2"/>
      </w:pPr>
      <w:r>
        <w:t xml:space="preserve">Bien que l’engagement officiel entre l’UE et l’ASEAN s’étende sur près de cinq décennies, les priorités et cadres de gouvernance divergents des deux parties les empêchent de récolter les fruits potentiels de ce partenariat. En 2007, d’ambitieuses négociations sur un accord de libre-échange (ALE) de «bloc à bloc» ont été lancées, mais suspendues deux ans plus tard. Depuis lors, les tentatives répétées d’approfondissement de l’engagement ont toutes échoué, achoppant souvent sur des questions liées aux droits de l’homme, aux sanctions et à la durabilité. </w:t>
      </w:r>
    </w:p>
    <w:p w:rsidRPr="00D51A3C" w:rsidR="00C11E25" w:rsidP="00C11E25" w:rsidRDefault="00C11E25" w14:paraId="28A58AD2" w14:textId="77777777">
      <w:pPr>
        <w:rPr>
          <w:lang w:val="fr-BE"/>
        </w:rPr>
      </w:pPr>
    </w:p>
    <w:p w:rsidRPr="001F165D" w:rsidR="00C11E25" w:rsidP="00C11E25" w:rsidRDefault="00C11E25" w14:paraId="71CB5F5F" w14:textId="77777777">
      <w:pPr>
        <w:pStyle w:val="Heading2"/>
      </w:pPr>
      <w:r>
        <w:t>Les deux régions ont davantage en commun qu’il n’y paraît. Un partenariat constructif entre l’Union et l’ASEAN, axé sur une coopération respectant les principes et approches politiques respectives, sert de force stabilisatrice dans un environnement mondial de plus en plus incertain. Les deux parties sont unies par leur adhésion commune à l’ordre multilatéral fondé sur des règles, ainsi que par leur engagement en faveur de la paix et du développement. Pourtant, elles évoluent dans un monde de plus en plus polarisé, coincées entre les États-Unis et la Chine. La reconnaissance de la «centralité de l’ASEAN»</w:t>
      </w:r>
      <w:r w:rsidRPr="001F165D">
        <w:rPr>
          <w:rStyle w:val="FootnoteReference"/>
          <w:lang w:val="en-GB"/>
        </w:rPr>
        <w:footnoteReference w:id="2"/>
      </w:r>
      <w:r>
        <w:t xml:space="preserve"> en Asie de l’Est, ainsi que les efforts déployés par l’Europe pour maintenir une présence régionale plus durable, peuvent les aider à éviter, l’une comme l’autre, de répéter les erreurs du passé induites par le «piège de la singularité», et empêcher ainsi que des questions ponctuelles compromettent une coopération stratégique plus large.</w:t>
      </w:r>
    </w:p>
    <w:p w:rsidRPr="00D51A3C" w:rsidR="00C11E25" w:rsidP="00C11E25" w:rsidRDefault="00C11E25" w14:paraId="2216AB7C" w14:textId="77777777">
      <w:pPr>
        <w:rPr>
          <w:lang w:val="fr-BE"/>
        </w:rPr>
      </w:pPr>
    </w:p>
    <w:p w:rsidRPr="001F165D" w:rsidR="00C11E25" w:rsidP="00C11E25" w:rsidRDefault="00C11E25" w14:paraId="5ABD8425" w14:textId="77777777">
      <w:pPr>
        <w:pStyle w:val="Heading2"/>
      </w:pPr>
      <w:r>
        <w:t>Les relations entre l’Union et l’ASEAN évoluent selon un rythme bien établi de réunions annuelles et de groupes de travail, y compris un comité mixte qui alimente les dialogues ministériels de haut niveau et la coopération industrielle par l’intermédiaire de forums spécialisés. Les préparatifs avancent également en ce qui concerne le dialogue UE-ASEAN sur les droits de l’homme prévu à la fin de l’année 2025.</w:t>
      </w:r>
    </w:p>
    <w:p w:rsidRPr="00D51A3C" w:rsidR="00C11E25" w:rsidP="00C11E25" w:rsidRDefault="00C11E25" w14:paraId="33835FF3" w14:textId="77777777">
      <w:pPr>
        <w:pStyle w:val="Heading2"/>
        <w:numPr>
          <w:ilvl w:val="0"/>
          <w:numId w:val="0"/>
        </w:numPr>
        <w:spacing w:line="276" w:lineRule="auto"/>
        <w:rPr>
          <w:color w:val="000000" w:themeColor="text1"/>
          <w:lang w:val="fr-BE"/>
        </w:rPr>
      </w:pPr>
    </w:p>
    <w:p w:rsidRPr="001F165D" w:rsidR="00C11E25" w:rsidP="00C11E25" w:rsidRDefault="00C11E25" w14:paraId="5204C551" w14:textId="77777777">
      <w:pPr>
        <w:pStyle w:val="Heading2"/>
      </w:pPr>
      <w:r>
        <w:t>La société civile joue un rôle central dans la promotion de la coopération interrégionale, notamment en faisant progresser les processus politiques participatifs et en soutenant les efforts de consolidation interrégionale. Il est essentiel que les pays partageant les mêmes valeurs reconnaissent les réalités politiques, sociales et culturelles complexes de l’Asie du Sud-Est, qui peuvent différer sensiblement des attentes européennes. Il est primordial de combler ces différences pour pouvoir entretenir un dialogue institutionnalisé, ouvert et inclusif, auquel la société civile serait utilement associée. Ce dialogue implique de revoir les stratégies d’engagement et les réalités locales, en veillant à y inclure les points de vue marginalisés, en particulier ceux des organisations de terrain, des femmes, des minorités ethniques et autochtones et des jeunes. Toutefois, il convient également de procéder à une évaluation minutieuse avant de nouer des partenariats avec des organisations de la société civile (OSC).</w:t>
      </w:r>
    </w:p>
    <w:p w:rsidRPr="00D51A3C" w:rsidR="00C11E25" w:rsidP="00C11E25" w:rsidRDefault="00C11E25" w14:paraId="1C129EAD" w14:textId="77777777">
      <w:pPr>
        <w:rPr>
          <w:color w:val="000000" w:themeColor="text1"/>
          <w:lang w:val="fr-BE"/>
        </w:rPr>
      </w:pPr>
    </w:p>
    <w:p w:rsidRPr="001F165D" w:rsidR="00C11E25" w:rsidP="00C11E25" w:rsidRDefault="00C11E25" w14:paraId="115E1C0E" w14:textId="77777777">
      <w:pPr>
        <w:pStyle w:val="Heading2"/>
      </w:pPr>
      <w:r>
        <w:t>Les OSC d’Asie du Sud-Est évoluent dans des environnements politiques complexes, caractérisés par des degrés divers d’ouverture. Si la plupart des États membres de l’ASEAN ont officiellement adhéré aux conventions fondamentales de l’Organisation internationale du travail (OIT) sur la liberté d’association, la négociation collective, l’élimination du travail forcé, l’abolition du travail des enfants et l’égalité des chances et de traitement</w:t>
      </w:r>
      <w:r w:rsidRPr="001F165D">
        <w:rPr>
          <w:sz w:val="24"/>
          <w:szCs w:val="24"/>
          <w:vertAlign w:val="superscript"/>
          <w:lang w:val="en-GB"/>
        </w:rPr>
        <w:footnoteReference w:id="3"/>
      </w:r>
      <w:r>
        <w:t>, les situations juridiques réelles varient considérablement d’un pays à l’autre. Il pourrait dès lors être difficile de trouver des OSC équivalentes au CESE sur le plan de l’indépendance et de la représentation légitime. La définition de critères clairs pour évaluer la légitimité des acteurs de la société civile protège les efforts de collaboration contre la cooptation et garantit le respect des valeurs démocratiques.</w:t>
      </w:r>
    </w:p>
    <w:p w:rsidRPr="00D51A3C" w:rsidR="00C11E25" w:rsidP="00C11E25" w:rsidRDefault="00C11E25" w14:paraId="62670A51" w14:textId="77777777">
      <w:pPr>
        <w:rPr>
          <w:lang w:val="fr-BE"/>
        </w:rPr>
      </w:pPr>
    </w:p>
    <w:p w:rsidRPr="001F165D" w:rsidR="00C11E25" w:rsidP="00C11E25" w:rsidRDefault="00C11E25" w14:paraId="2603BF56" w14:textId="77777777">
      <w:pPr>
        <w:pStyle w:val="Heading2"/>
      </w:pPr>
      <w:r>
        <w:t>S’agissant de la gouvernance participative et du pluralisme, la sensibilisation de la société en général reste inégale au sein de l’ASEAN. Des initiatives démontrant les avantages tangibles de l’élaboration de politiques inclusives, principalement par l’intermédiaire d’espaces de dialogue de terrain, pourraient favoriser une plus grande réceptivité de la population à la participation de la société civile. Des exemples concluants de forums d’affaires coordonnés au niveau régional, tels que le Conseil des affaires UE-ASEAN</w:t>
      </w:r>
      <w:r w:rsidRPr="001F165D">
        <w:rPr>
          <w:rStyle w:val="FootnoteReference"/>
          <w:color w:val="000000" w:themeColor="text1"/>
          <w:lang w:val="en-GB"/>
        </w:rPr>
        <w:footnoteReference w:id="4"/>
      </w:r>
      <w:r>
        <w:t>, illustrent la manière dont des plateformes structurées mais flexibles peuvent faciliter des échanges productifs entre les pouvoirs publics et les acteurs privés. Ces cadres permettent de tester les politiques, de mener des délibérations officieuses et d’instaurer la confiance afin d’atténuer les tensions qui découlent parfois d’approches conflictuelles.</w:t>
      </w:r>
    </w:p>
    <w:p w:rsidRPr="00D51A3C" w:rsidR="00C11E25" w:rsidP="00C11E25" w:rsidRDefault="00C11E25" w14:paraId="78D00E05" w14:textId="77777777">
      <w:pPr>
        <w:rPr>
          <w:color w:val="000000" w:themeColor="text1"/>
          <w:lang w:val="fr-BE"/>
        </w:rPr>
      </w:pPr>
    </w:p>
    <w:p w:rsidRPr="001F165D" w:rsidR="00C11E25" w:rsidP="00C11E25" w:rsidRDefault="00C11E25" w14:paraId="60B6D677" w14:textId="77777777">
      <w:pPr>
        <w:pStyle w:val="Heading2"/>
      </w:pPr>
      <w:r>
        <w:t>Le présent rapport attache une importance particulière au point d’intersection entre la politique commerciale et l’engagement de la société civile, en particulier grâce aux chapitres sur le commerce et le développement durable (CDD) intégrés aux accords de libre-échange. Les chapitres sur le commerce et le développement durable figurant dans les ALE existants — par exemple, ceux que l’Union a conclus avec Singapour</w:t>
      </w:r>
      <w:r w:rsidRPr="001F165D">
        <w:rPr>
          <w:sz w:val="24"/>
          <w:szCs w:val="24"/>
          <w:vertAlign w:val="superscript"/>
          <w:lang w:val="en-GB"/>
        </w:rPr>
        <w:footnoteReference w:id="5"/>
      </w:r>
      <w:r>
        <w:t xml:space="preserve"> et le Viêt Nam</w:t>
      </w:r>
      <w:r w:rsidRPr="001F165D">
        <w:rPr>
          <w:sz w:val="24"/>
          <w:szCs w:val="24"/>
          <w:vertAlign w:val="superscript"/>
          <w:lang w:val="en-GB"/>
        </w:rPr>
        <w:footnoteReference w:id="6"/>
      </w:r>
      <w:r>
        <w:t xml:space="preserve"> — comprennent des dispositions et des engagements contraignants en ce qui concerne les accords multilatéraux en matière de travail et de protection de l’environnement, englobant les principales conventions de l’OIT et l’accord de Paris sur le changement climatique. </w:t>
      </w:r>
    </w:p>
    <w:p w:rsidRPr="00D51A3C" w:rsidR="00C11E25" w:rsidP="00C11E25" w:rsidRDefault="00C11E25" w14:paraId="614E8EC9" w14:textId="77777777">
      <w:pPr>
        <w:rPr>
          <w:lang w:val="fr-BE"/>
        </w:rPr>
      </w:pPr>
    </w:p>
    <w:p w:rsidRPr="001F165D" w:rsidR="00C11E25" w:rsidP="00C11E25" w:rsidRDefault="00C11E25" w14:paraId="1DC8A304" w14:textId="77777777">
      <w:pPr>
        <w:pStyle w:val="Heading2"/>
      </w:pPr>
      <w:r>
        <w:t>La suite du présent rapport est structurée en trois sections: la première est une présentation de l’ASEAN, la seconde offre une vue d’ensemble des organisations de la société civile dans les États membres de l’ASEAN, et la troisième porte sur les relations commerciales entre l’UE et l’ASEAN, en lien avec le développement durable.</w:t>
      </w:r>
    </w:p>
    <w:p w:rsidRPr="00D51A3C" w:rsidR="00C11E25" w:rsidP="00C11E25" w:rsidRDefault="00C11E25" w14:paraId="35229CCE" w14:textId="77777777">
      <w:pPr>
        <w:pStyle w:val="Heading2"/>
        <w:numPr>
          <w:ilvl w:val="0"/>
          <w:numId w:val="0"/>
        </w:numPr>
        <w:rPr>
          <w:lang w:val="fr-BE"/>
        </w:rPr>
      </w:pPr>
    </w:p>
    <w:p w:rsidRPr="001F165D" w:rsidR="00C11E25" w:rsidP="00C11E25" w:rsidRDefault="00C11E25" w14:paraId="0BE66833" w14:textId="77777777">
      <w:pPr>
        <w:pStyle w:val="Heading1"/>
        <w:keepNext/>
        <w:keepLines/>
        <w:rPr>
          <w:b/>
          <w:bCs/>
        </w:rPr>
      </w:pPr>
      <w:r>
        <w:rPr>
          <w:b/>
        </w:rPr>
        <w:t>Présentation de l’ASEAN</w:t>
      </w:r>
    </w:p>
    <w:p w:rsidRPr="001F165D" w:rsidR="00C11E25" w:rsidP="00C11E25" w:rsidRDefault="00C11E25" w14:paraId="21382C72" w14:textId="77777777">
      <w:pPr>
        <w:keepNext/>
        <w:keepLines/>
        <w:rPr>
          <w:lang w:val="en-GB"/>
        </w:rPr>
      </w:pPr>
    </w:p>
    <w:p w:rsidRPr="001F165D" w:rsidR="00C11E25" w:rsidP="00C11E25" w:rsidRDefault="00C11E25" w14:paraId="030DC292" w14:textId="77777777">
      <w:pPr>
        <w:pStyle w:val="Heading2"/>
      </w:pPr>
      <w:r>
        <w:t xml:space="preserve">Les membres de l’ASEAN sont l’Indonésie, le Viêt Nam, le Laos, le Brunei, la Thaïlande, le Myanmar/la Birmanie, les Philippines, le Cambodge, Singapour et la Malaisie. Fondée en 1967 par le traité d’amitié et de coopération dans l’Asie du Sud-Est, l’ASEAN, conçue comme un dispositif collectif de sécurité pendant la guerre froide, réunissait initialement l’Indonésie, la Malaisie, les Philippines, Singapour et la Thaïlande. Depuis lors, d’autres membres l’ont rejointe, le dernier en date étant le Timor-Oriental, dont l’adhésion a reçu un accord «de principe» en 2022. Le Timor-Oriental devrait devenir membre à part entière de l’ASEAN en 2025 ou 2026. </w:t>
      </w:r>
    </w:p>
    <w:p w:rsidRPr="00D51A3C" w:rsidR="00C11E25" w:rsidP="00C11E25" w:rsidRDefault="00C11E25" w14:paraId="41EE1482" w14:textId="77777777">
      <w:pPr>
        <w:rPr>
          <w:lang w:val="fr-BE"/>
        </w:rPr>
      </w:pPr>
    </w:p>
    <w:p w:rsidRPr="001F165D" w:rsidR="00C11E25" w:rsidP="00C11E25" w:rsidRDefault="00C11E25" w14:paraId="6595A547" w14:textId="77777777">
      <w:pPr>
        <w:pStyle w:val="Heading2"/>
      </w:pPr>
      <w:r>
        <w:t>Avec une population de 692 millions habitants, les pays de l’ASEAN composent l’une des régions les plus dynamiques au monde sur le plan économique. En tant que cinquième économie mondiale, cette région représente 7,2 % du PIB mondial (2024), ce qui renforce son rôle de moteur essentiel du commerce international</w:t>
      </w:r>
      <w:r w:rsidRPr="001F165D">
        <w:rPr>
          <w:sz w:val="24"/>
          <w:szCs w:val="24"/>
          <w:vertAlign w:val="superscript"/>
          <w:lang w:val="en-GB"/>
        </w:rPr>
        <w:footnoteReference w:id="7"/>
      </w:r>
      <w:r>
        <w:t xml:space="preserve">. L’UE et l’ASEAN entretiennent une relation fortement institutionnalisée, soutenue par des programmes spécifiques tels que le </w:t>
      </w:r>
      <w:hyperlink r:id="rId17">
        <w:r>
          <w:rPr>
            <w:rStyle w:val="Hyperlink"/>
          </w:rPr>
          <w:t>programme de soutien de l’UE à l’intégration régionale de l’ASEAN (ARISE +)</w:t>
        </w:r>
      </w:hyperlink>
      <w:r>
        <w:t xml:space="preserve"> et l’instrument de dialogue régional UE-ASEAN amélioré (E-READI). Aujourd’hui, l’UE se classe au troisième rang des partenaires commerciaux et des investisseurs étrangers de l’ASEAN, derrière la Chine et les États-Unis</w:t>
      </w:r>
      <w:r w:rsidRPr="001F165D">
        <w:rPr>
          <w:rStyle w:val="FootnoteReference"/>
          <w:color w:val="000000" w:themeColor="text1"/>
          <w:lang w:val="en-GB"/>
        </w:rPr>
        <w:footnoteReference w:id="8"/>
      </w:r>
      <w:r>
        <w:t>.</w:t>
      </w:r>
    </w:p>
    <w:p w:rsidRPr="00D51A3C" w:rsidR="00C11E25" w:rsidP="00C11E25" w:rsidRDefault="00C11E25" w14:paraId="38F294C5" w14:textId="77777777">
      <w:pPr>
        <w:rPr>
          <w:lang w:val="fr-BE"/>
        </w:rPr>
      </w:pPr>
    </w:p>
    <w:p w:rsidRPr="001F165D" w:rsidR="00C11E25" w:rsidP="00C11E25" w:rsidRDefault="00C11E25" w14:paraId="4D422CB2" w14:textId="77777777">
      <w:pPr>
        <w:pStyle w:val="Heading2"/>
      </w:pPr>
      <w:r>
        <w:t xml:space="preserve">L’Union a également conclu deux ALE — avec Singapour et le Viêt Nam — qui sont entrés en vigueur respectivement en novembre 2019 et août 2020. Des négociations sont en cours avec d’autres pays de l’ASEAN, à savoir l’Indonésie, la Malaisie, les Philippines et la Thaïlande. Les négociations entre l’Union et le Myanmar sur un accord de protection des investissements (API) ont été suspendues. </w:t>
      </w:r>
    </w:p>
    <w:p w:rsidRPr="00D51A3C" w:rsidR="00C11E25" w:rsidP="00C11E25" w:rsidRDefault="00C11E25" w14:paraId="7EB98E6A" w14:textId="77777777">
      <w:pPr>
        <w:rPr>
          <w:color w:val="000000" w:themeColor="text1"/>
          <w:lang w:val="fr-BE"/>
        </w:rPr>
      </w:pPr>
    </w:p>
    <w:p w:rsidRPr="001F165D" w:rsidR="00C11E25" w:rsidP="00C11E25" w:rsidRDefault="00C11E25" w14:paraId="2F996BF9" w14:textId="77777777">
      <w:pPr>
        <w:pStyle w:val="Heading2"/>
      </w:pPr>
      <w:r>
        <w:t>L’ASEAN occupe une position stratégique importante dans le commerce international, à la fois en tant que nœud critique des chaînes de valeur mondiales et plaque tournante essentielle pour le commerce européen. Elle a mis en place un vaste réseau d’accords commerciaux, notamment des accords de libre-échange avec l’Australie et la Nouvelle-Zélande, la Chine, l’Inde, le Japon, la Corée et Hong Kong. Le partenariat économique global régional (RCEP) est également axé sur l’ASEAN. Singapour, le Viêt Nam, la Malaisie et le Brunei sont parties à l’accord de partenariat transpacifique global et progressiste (PTPGP), et trois autres pays s’efforcent activement d’y adhérer.</w:t>
      </w:r>
    </w:p>
    <w:p w:rsidRPr="00D51A3C" w:rsidR="00C11E25" w:rsidP="00C11E25" w:rsidRDefault="00C11E25" w14:paraId="2BD005DA" w14:textId="77777777">
      <w:pPr>
        <w:rPr>
          <w:color w:val="000000" w:themeColor="text1"/>
          <w:lang w:val="fr-BE"/>
        </w:rPr>
      </w:pPr>
    </w:p>
    <w:p w:rsidRPr="001F165D" w:rsidR="00C11E25" w:rsidP="00C11E25" w:rsidRDefault="00C11E25" w14:paraId="667D403A" w14:textId="77777777">
      <w:pPr>
        <w:pStyle w:val="Heading2"/>
      </w:pPr>
      <w:r>
        <w:t>Guidée par les principes de non-ingérence, de souveraineté et de règlement pacifique des différends, l’ASEAN a officialisé sa structure institutionnelle au moyen de la charte de l’ASEAN de 2007, qui établit trois piliers essentiels: la communauté politique et de sécurité de l’ASEAN, la communauté économique de l’ASEAN (AEC) et la communauté socioculturelle de l’ASEAN. La région présente d’importantes disparités économiques, mais aussi un paysage démographique très varié ainsi qu’une grande diversité de groupes religieux et ethniques et de systèmes politiques.</w:t>
      </w:r>
    </w:p>
    <w:p w:rsidRPr="00D51A3C" w:rsidR="00C11E25" w:rsidP="00C11E25" w:rsidRDefault="00C11E25" w14:paraId="6E15EE93" w14:textId="77777777">
      <w:pPr>
        <w:rPr>
          <w:color w:val="000000" w:themeColor="text1"/>
          <w:lang w:val="fr-BE"/>
        </w:rPr>
      </w:pPr>
    </w:p>
    <w:p w:rsidRPr="001F165D" w:rsidR="00C11E25" w:rsidP="00C11E25" w:rsidRDefault="00C11E25" w14:paraId="5A6E60C2" w14:textId="77777777">
      <w:pPr>
        <w:pStyle w:val="Heading2"/>
      </w:pPr>
      <w:r>
        <w:t>La zone de libre-échange de l’ASEAN, créée en 1992, a fait progresser l’intégration économique régionale en s’alignant sur les objectifs plus larges de la communauté économique de l’ASEAN (AEC). Toutefois, la mise en œuvre intégrale du cadre de l’AEC, initialement prévue pour 2015, n’a pas encore été achevée. Des obstacles non tarifaires et des secteurs protégés persistent. Dans le même temps, les appels de plus en plus pressants de la communauté internationale à remédier à la situation au Myanmar ont contraint l’ASEAN à publier une déclaration politique concernant les affaires intérieures de l’un de ses États membres: en 2024, elle a en effet publié une déclaration dénonçant la violence au Myanmar, assortie d’un «consensus en cinq points»</w:t>
      </w:r>
      <w:r w:rsidRPr="001F165D">
        <w:rPr>
          <w:sz w:val="24"/>
          <w:szCs w:val="24"/>
          <w:vertAlign w:val="superscript"/>
          <w:lang w:val="en-GB"/>
        </w:rPr>
        <w:footnoteReference w:id="9"/>
      </w:r>
      <w:r>
        <w:t>.</w:t>
      </w:r>
    </w:p>
    <w:p w:rsidRPr="00D51A3C" w:rsidR="00C11E25" w:rsidP="00C11E25" w:rsidRDefault="00C11E25" w14:paraId="5782C6EB" w14:textId="77777777">
      <w:pPr>
        <w:rPr>
          <w:lang w:val="fr-BE"/>
        </w:rPr>
      </w:pPr>
    </w:p>
    <w:p w:rsidRPr="001F165D" w:rsidR="00C11E25" w:rsidP="00067D46" w:rsidRDefault="00C11E25" w14:paraId="4F161A69" w14:textId="77777777">
      <w:pPr>
        <w:pStyle w:val="Heading1"/>
        <w:keepNext/>
        <w:keepLines/>
        <w:rPr>
          <w:b/>
          <w:bCs/>
        </w:rPr>
      </w:pPr>
      <w:r>
        <w:rPr>
          <w:b/>
        </w:rPr>
        <w:t>Les organisations de la société civile au sein de l’ASEAN: vue d’ensemble et paysage</w:t>
      </w:r>
    </w:p>
    <w:p w:rsidRPr="00D51A3C" w:rsidR="00C11E25" w:rsidP="00067D46" w:rsidRDefault="00C11E25" w14:paraId="1DFFFD59" w14:textId="77777777">
      <w:pPr>
        <w:pStyle w:val="Heading2"/>
        <w:keepNext/>
        <w:keepLines/>
        <w:numPr>
          <w:ilvl w:val="0"/>
          <w:numId w:val="0"/>
        </w:numPr>
        <w:rPr>
          <w:lang w:val="fr-BE"/>
        </w:rPr>
      </w:pPr>
    </w:p>
    <w:p w:rsidRPr="001F165D" w:rsidR="00C11E25" w:rsidP="00067D46" w:rsidRDefault="00C11E25" w14:paraId="00A6F296" w14:textId="2223996C">
      <w:pPr>
        <w:pStyle w:val="Heading2"/>
        <w:keepNext/>
        <w:keepLines/>
        <w:rPr>
          <w:color w:val="000000" w:themeColor="text1"/>
        </w:rPr>
      </w:pPr>
      <w:r>
        <w:rPr>
          <w:color w:val="000000" w:themeColor="text1"/>
        </w:rPr>
        <w:t>Le réseau des OSC au sein de l’ASEAN comprend des groupes tels que la conférence de la société civile de l’ASEAN, la commission intergouvernementale des droits de l’homme de l’ASEAN (AICHR)</w:t>
      </w:r>
      <w:r w:rsidRPr="001F165D">
        <w:rPr>
          <w:color w:val="000000" w:themeColor="text1"/>
          <w:sz w:val="24"/>
          <w:szCs w:val="24"/>
          <w:vertAlign w:val="superscript"/>
          <w:lang w:val="en-GB"/>
        </w:rPr>
        <w:footnoteReference w:id="10"/>
      </w:r>
      <w:r>
        <w:rPr>
          <w:color w:val="000000" w:themeColor="text1"/>
        </w:rPr>
        <w:t>, le forum asiatique pour les droits de l’homme et le développement (FORUM-ASIA)</w:t>
      </w:r>
      <w:r w:rsidRPr="001F165D">
        <w:rPr>
          <w:color w:val="000000" w:themeColor="text1"/>
          <w:sz w:val="24"/>
          <w:szCs w:val="24"/>
          <w:vertAlign w:val="superscript"/>
          <w:lang w:val="en-GB"/>
        </w:rPr>
        <w:footnoteReference w:id="11"/>
      </w:r>
      <w:r>
        <w:rPr>
          <w:color w:val="000000" w:themeColor="text1"/>
        </w:rPr>
        <w:t>, le réseau pour la liberté d’expression en Asie du Sud-Est (SAFEnet)</w:t>
      </w:r>
      <w:r w:rsidRPr="001F165D">
        <w:rPr>
          <w:color w:val="000000" w:themeColor="text1"/>
          <w:sz w:val="24"/>
          <w:szCs w:val="24"/>
          <w:vertAlign w:val="superscript"/>
          <w:lang w:val="en-GB"/>
        </w:rPr>
        <w:footnoteReference w:id="12"/>
      </w:r>
      <w:r>
        <w:rPr>
          <w:color w:val="000000" w:themeColor="text1"/>
        </w:rPr>
        <w:t xml:space="preserve"> et le centre de ressources et de recherche Asie-Pacifique pour les femmes (ARROW)</w:t>
      </w:r>
      <w:r w:rsidRPr="001F165D">
        <w:rPr>
          <w:color w:val="000000" w:themeColor="text1"/>
          <w:sz w:val="24"/>
          <w:szCs w:val="24"/>
          <w:vertAlign w:val="superscript"/>
          <w:lang w:val="en-GB"/>
        </w:rPr>
        <w:footnoteReference w:id="13"/>
      </w:r>
      <w:r>
        <w:rPr>
          <w:color w:val="000000" w:themeColor="text1"/>
        </w:rPr>
        <w:t xml:space="preserve">, dont les travaux sont axés sur les droits de l’homme, la liberté d’expression et l’égalité entre les hommes et les femmes. </w:t>
      </w:r>
    </w:p>
    <w:p w:rsidRPr="00D51A3C" w:rsidR="00C11E25" w:rsidP="00C11E25" w:rsidRDefault="00C11E25" w14:paraId="1FB52143" w14:textId="77777777">
      <w:pPr>
        <w:rPr>
          <w:lang w:val="fr-BE"/>
        </w:rPr>
      </w:pPr>
    </w:p>
    <w:p w:rsidRPr="001F165D" w:rsidR="00C11E25" w:rsidP="00C11E25" w:rsidRDefault="00C11E25" w14:paraId="02C9C6BC" w14:textId="77777777">
      <w:pPr>
        <w:pStyle w:val="Heading2"/>
        <w:rPr>
          <w:color w:val="000000" w:themeColor="text1"/>
        </w:rPr>
      </w:pPr>
      <w:r>
        <w:rPr>
          <w:color w:val="000000" w:themeColor="text1"/>
        </w:rPr>
        <w:t>La société civile reste sous-représentée dans les processus décisionnels de l’ASEAN, et les politiques régionales ne répondent souvent pas aux besoins des populations locales. Toutefois, l’assemblée parlementaire de l’ASEAN (APA) et le réseau «Solidarity for Asian People’s Advocacy» (Solidarité pour la défense des peuples d’Asie — SAPA)</w:t>
      </w:r>
      <w:r w:rsidRPr="001F165D">
        <w:rPr>
          <w:color w:val="000000" w:themeColor="text1"/>
          <w:sz w:val="24"/>
          <w:szCs w:val="24"/>
          <w:vertAlign w:val="superscript"/>
          <w:lang w:val="en-GB"/>
        </w:rPr>
        <w:footnoteReference w:id="14"/>
      </w:r>
      <w:r>
        <w:rPr>
          <w:color w:val="000000" w:themeColor="text1"/>
        </w:rPr>
        <w:t xml:space="preserve"> sont considérés comme les mécanismes les plus inclusifs permettant à la société civile d’apporter des réponses aux préoccupations nationales et régionales au sein de l’ASEAN.</w:t>
      </w:r>
    </w:p>
    <w:p w:rsidRPr="00D51A3C" w:rsidR="00C11E25" w:rsidP="00C11E25" w:rsidRDefault="00C11E25" w14:paraId="11D9CC8A" w14:textId="77777777">
      <w:pPr>
        <w:rPr>
          <w:lang w:val="fr-BE"/>
        </w:rPr>
      </w:pPr>
    </w:p>
    <w:p w:rsidRPr="001F165D" w:rsidR="00C11E25" w:rsidP="00C11E25" w:rsidRDefault="00C11E25" w14:paraId="6B8888BC" w14:textId="77777777">
      <w:pPr>
        <w:pStyle w:val="Heading2"/>
        <w:rPr>
          <w:color w:val="000000" w:themeColor="text1"/>
        </w:rPr>
      </w:pPr>
      <w:r>
        <w:rPr>
          <w:color w:val="000000" w:themeColor="text1"/>
        </w:rPr>
        <w:t>Les constitutions des États membres de l’ASEAN reconnaissent généralement la liberté d’association comme une liberté civile fondamentale, ainsi que le droit de créer des associations et des organisations sociales</w:t>
      </w:r>
      <w:r w:rsidRPr="001F165D">
        <w:rPr>
          <w:color w:val="000000" w:themeColor="text1"/>
          <w:vertAlign w:val="superscript"/>
          <w:lang w:val="en-GB"/>
        </w:rPr>
        <w:footnoteReference w:id="15"/>
      </w:r>
      <w:r>
        <w:rPr>
          <w:color w:val="000000" w:themeColor="text1"/>
        </w:rPr>
        <w:t>. Toutefois, certains gouvernements peuvent restreindre les droits syndicaux pour des raisons de protection de l’ordre public, de sécurité nationale, de bien-être général ou de bonnes mœurs</w:t>
      </w:r>
      <w:r w:rsidRPr="001F165D">
        <w:rPr>
          <w:color w:val="000000" w:themeColor="text1"/>
          <w:vertAlign w:val="superscript"/>
          <w:lang w:val="en-GB"/>
        </w:rPr>
        <w:footnoteReference w:id="16"/>
      </w:r>
      <w:r>
        <w:rPr>
          <w:color w:val="000000" w:themeColor="text1"/>
        </w:rPr>
        <w:t>. Ainsi, les lois relatives à la lutte contre le terrorisme et au financement étranger peuvent être détournées afin de mettre fin aux activités des organisations qui critiquent le gouvernement et de limiter la liberté d’association et de réunion, et il est donc compliqué, pour les OSC, d’organiser des manifestations publiques ou des réunions, ou de mener des actions collectives.</w:t>
      </w:r>
    </w:p>
    <w:p w:rsidRPr="00D51A3C" w:rsidR="00C11E25" w:rsidP="00C11E25" w:rsidRDefault="00C11E25" w14:paraId="6FF28F24" w14:textId="77777777">
      <w:pPr>
        <w:rPr>
          <w:lang w:val="fr-BE"/>
        </w:rPr>
      </w:pPr>
    </w:p>
    <w:p w:rsidRPr="001F165D" w:rsidR="00C11E25" w:rsidP="00C11E25" w:rsidRDefault="00C11E25" w14:paraId="476A3D75" w14:textId="77777777">
      <w:pPr>
        <w:pStyle w:val="Heading2"/>
        <w:rPr>
          <w:color w:val="000000" w:themeColor="text1"/>
        </w:rPr>
      </w:pPr>
      <w:r>
        <w:rPr>
          <w:color w:val="000000" w:themeColor="text1"/>
        </w:rPr>
        <w:t>En outre, certains gouvernements des États membres de l’ASEAN réglementent les organisations de la société civile en leur imposant un enregistrement obligatoire (assorti d’exigences en matière de communication d’information sur leur financement, leurs membres et les dons étrangers qu’ils reçoivent) et des obligations qui aboutissent par ailleurs à des interdictions de fait par le biais de refus d’enregistrement. Le Parlement européen a signalé que des organisations non gouvernementales organisées par le gouvernement (ONGOG) marginalisent de plus en plus la société civile indépendante, ce qui fausse les intentions de financement de l’Union, en particulier au Cambodge</w:t>
      </w:r>
      <w:r w:rsidRPr="001F165D">
        <w:rPr>
          <w:color w:val="000000" w:themeColor="text1"/>
          <w:vertAlign w:val="superscript"/>
          <w:lang w:val="en-GB"/>
        </w:rPr>
        <w:footnoteReference w:id="17"/>
      </w:r>
      <w:r>
        <w:rPr>
          <w:color w:val="000000" w:themeColor="text1"/>
        </w:rPr>
        <w:t>.</w:t>
      </w:r>
    </w:p>
    <w:p w:rsidRPr="00D51A3C" w:rsidR="00C11E25" w:rsidP="00C11E25" w:rsidRDefault="00C11E25" w14:paraId="51C48233" w14:textId="77777777">
      <w:pPr>
        <w:rPr>
          <w:lang w:val="fr-BE"/>
        </w:rPr>
      </w:pPr>
    </w:p>
    <w:p w:rsidRPr="001F165D" w:rsidR="00C11E25" w:rsidP="00C11E25" w:rsidRDefault="00C11E25" w14:paraId="7AC3D06A" w14:textId="77777777">
      <w:pPr>
        <w:pStyle w:val="Heading2"/>
        <w:rPr>
          <w:color w:val="000000" w:themeColor="text1"/>
        </w:rPr>
      </w:pPr>
      <w:r>
        <w:rPr>
          <w:color w:val="000000" w:themeColor="text1"/>
        </w:rPr>
        <w:t>Ces dernières années, le Parlement européen a observé, au niveau mondial, une tendance inquiétante au rétrécissement de l’espace civique en ce qui concerne les voix dissidentes</w:t>
      </w:r>
      <w:r w:rsidRPr="001F165D">
        <w:rPr>
          <w:color w:val="000000" w:themeColor="text1"/>
          <w:sz w:val="24"/>
          <w:vertAlign w:val="superscript"/>
          <w:lang w:val="en-GB"/>
        </w:rPr>
        <w:footnoteReference w:id="18"/>
      </w:r>
      <w:r>
        <w:rPr>
          <w:color w:val="000000" w:themeColor="text1"/>
        </w:rPr>
        <w:t>. Dans des pays tels que le Myanmar (avant et après le coup d’État militaire de 2021), la Thaïlande et le Viêt Nam, les avancées restent progressives, en particulier pour les défenseurs des droits de l’homme ou les militants politiques</w:t>
      </w:r>
      <w:r w:rsidRPr="001F165D">
        <w:rPr>
          <w:color w:val="000000" w:themeColor="text1"/>
          <w:vertAlign w:val="superscript"/>
          <w:lang w:val="en-GB"/>
        </w:rPr>
        <w:footnoteReference w:id="19"/>
      </w:r>
      <w:r>
        <w:rPr>
          <w:color w:val="000000" w:themeColor="text1"/>
        </w:rPr>
        <w:t>. Les organisations actives sur ces territoires signalent souvent faire l’objet d’actes d’intimidation, de harcèlement, de mesures de surveillance et, dans certains cas, de poursuites judiciaires en raison de leurs activités de plaidoyer</w:t>
      </w:r>
      <w:r w:rsidRPr="001F165D">
        <w:rPr>
          <w:color w:val="000000" w:themeColor="text1"/>
          <w:vertAlign w:val="superscript"/>
          <w:lang w:val="en-GB"/>
        </w:rPr>
        <w:footnoteReference w:id="20"/>
      </w:r>
      <w:r>
        <w:rPr>
          <w:color w:val="000000" w:themeColor="text1"/>
        </w:rPr>
        <w:t>. Au Myanmar, depuis le coup d’État militaire, la junte a arrêté des militants et les a réduits au silence, mettant ainsi un terme aux activités de nombreuses organisations de la société civile et étouffant les mouvements démocratiques.</w:t>
      </w:r>
    </w:p>
    <w:p w:rsidRPr="00D51A3C" w:rsidR="00C11E25" w:rsidP="00C11E25" w:rsidRDefault="00C11E25" w14:paraId="451F764F" w14:textId="77777777">
      <w:pPr>
        <w:pStyle w:val="Heading2"/>
        <w:numPr>
          <w:ilvl w:val="0"/>
          <w:numId w:val="0"/>
        </w:numPr>
        <w:rPr>
          <w:bCs/>
          <w:color w:val="000000" w:themeColor="text1"/>
          <w:lang w:val="fr-BE"/>
        </w:rPr>
      </w:pPr>
    </w:p>
    <w:p w:rsidRPr="001F165D" w:rsidR="00C11E25" w:rsidP="00C11E25" w:rsidRDefault="00C11E25" w14:paraId="630A7BA8" w14:textId="77777777">
      <w:pPr>
        <w:pStyle w:val="Heading2"/>
        <w:keepNext/>
        <w:keepLines/>
        <w:numPr>
          <w:ilvl w:val="0"/>
          <w:numId w:val="0"/>
        </w:numPr>
        <w:rPr>
          <w:b/>
          <w:color w:val="000000" w:themeColor="text1"/>
        </w:rPr>
      </w:pPr>
      <w:r>
        <w:rPr>
          <w:b/>
          <w:color w:val="000000" w:themeColor="text1"/>
        </w:rPr>
        <w:t>Administration numérique</w:t>
      </w:r>
    </w:p>
    <w:p w:rsidRPr="001F165D" w:rsidR="00C11E25" w:rsidP="00C11E25" w:rsidRDefault="00C11E25" w14:paraId="2436B666" w14:textId="77777777">
      <w:pPr>
        <w:pStyle w:val="Heading2"/>
        <w:keepNext/>
        <w:keepLines/>
        <w:numPr>
          <w:ilvl w:val="0"/>
          <w:numId w:val="0"/>
        </w:numPr>
        <w:rPr>
          <w:color w:val="000000" w:themeColor="text1"/>
          <w:lang w:val="en-GB"/>
        </w:rPr>
      </w:pPr>
    </w:p>
    <w:p w:rsidRPr="001F165D" w:rsidR="00C11E25" w:rsidP="00C11E25" w:rsidRDefault="00C11E25" w14:paraId="62001CC7" w14:textId="77777777">
      <w:pPr>
        <w:pStyle w:val="Heading2"/>
        <w:rPr>
          <w:color w:val="000000" w:themeColor="text1"/>
        </w:rPr>
      </w:pPr>
      <w:r>
        <w:rPr>
          <w:color w:val="000000" w:themeColor="text1"/>
        </w:rPr>
        <w:t>Les pays d’Asie du Sud-Est ont accompli des progrès considérables dans l’amélioration de leurs infrastructures numériques et la mise en œuvre d’initiatives d’administration en ligne. Toutefois, la surveillance numérique est répandue dans tous les États membres de l’ASEAN, et certains gouvernements peuvent exercer une répression et un contrôle politique par des moyens non violents, notamment la censure et le contrôle des flux d’informations. Ces tendances font écho à la réduction des libertés en ligne observée à l’échelle mondiale, qui a été accélérée par les mesures prises pendant la pandémie. Les possibilités d’engagement de l’Union à cet égard consistent notamment à renforcer la résilience numérique en finançant des outils de communication sécurisés et une formation aux droits numériques pour les militants.</w:t>
      </w:r>
    </w:p>
    <w:p w:rsidRPr="00D51A3C" w:rsidR="00C11E25" w:rsidP="00C11E25" w:rsidRDefault="00C11E25" w14:paraId="395CE133" w14:textId="77777777">
      <w:pPr>
        <w:rPr>
          <w:lang w:val="fr-BE"/>
        </w:rPr>
      </w:pPr>
    </w:p>
    <w:p w:rsidRPr="001F165D" w:rsidR="00C11E25" w:rsidP="00C11E25" w:rsidRDefault="00C11E25" w14:paraId="3B383260" w14:textId="77777777">
      <w:pPr>
        <w:pStyle w:val="Heading1"/>
        <w:keepNext/>
        <w:keepLines/>
        <w:rPr>
          <w:b/>
          <w:bCs/>
        </w:rPr>
      </w:pPr>
      <w:r>
        <w:rPr>
          <w:b/>
        </w:rPr>
        <w:t>Relations commerciales UE-ASEAN: commerce et développement durable</w:t>
      </w:r>
    </w:p>
    <w:p w:rsidRPr="00D51A3C" w:rsidR="00C11E25" w:rsidP="00C11E25" w:rsidRDefault="00C11E25" w14:paraId="75F16656" w14:textId="77777777">
      <w:pPr>
        <w:keepNext/>
        <w:keepLines/>
        <w:rPr>
          <w:lang w:val="fr-BE"/>
        </w:rPr>
      </w:pPr>
    </w:p>
    <w:p w:rsidRPr="001F165D" w:rsidR="00C11E25" w:rsidP="00C11E25" w:rsidRDefault="00C11E25" w14:paraId="48EFECCC" w14:textId="77777777">
      <w:pPr>
        <w:pStyle w:val="Heading2"/>
      </w:pPr>
      <w:r>
        <w:t>Outre les ALE bilatéraux, l’Union et l’ASEAN entretiennent des relations économiques par différents moyens: l’Indonésie a accès au marché unique européen grâce à la réduction, voire la suppression des droits de douane à l’importation dans le cadre du système de préférences généralisées (SPG) de l’Union; les Philippines bénéficient d’incitations au titre du «SPG plus», un régime spécial subordonné à des normes plus élevées en matière de développement durable et de gouvernance; le Cambodge a bénéficié précédemment d’un autre régime unilatéral — «Tout sauf les armes» (TSA) — mais s’est vu retirer partiellement et temporairement les avantages qui lui avaient été accordés; enfin, le Laos, le Myanmar et le Timor-Oriental, futur membre de l’ASEAN, bénéficient également du statut TSA.</w:t>
      </w:r>
    </w:p>
    <w:p w:rsidRPr="00D51A3C" w:rsidR="00C11E25" w:rsidP="00C11E25" w:rsidRDefault="00C11E25" w14:paraId="375C3C2E" w14:textId="77777777">
      <w:pPr>
        <w:pStyle w:val="Heading2"/>
        <w:numPr>
          <w:ilvl w:val="0"/>
          <w:numId w:val="0"/>
        </w:numPr>
        <w:rPr>
          <w:lang w:val="fr-BE"/>
        </w:rPr>
      </w:pPr>
    </w:p>
    <w:p w:rsidRPr="001F165D" w:rsidR="00C11E25" w:rsidP="00C11E25" w:rsidRDefault="00C11E25" w14:paraId="687D8407" w14:textId="77777777">
      <w:pPr>
        <w:pStyle w:val="Heading2"/>
      </w:pPr>
      <w:r>
        <w:t>En outre, deux groupes consultatifs internes (GCI), institués dans le cadre des ALE UE-Viêt Nam et UE-Singapour, supervisent la mise en œuvre des engagements en matière de développement durable. Le succès des consultations dépend de l’indépendance des OSC, alors que les modèles de participation actuels associent de manière disproportionnée des organisations affiliées au gouvernement ou approuvées par ce dernier.</w:t>
      </w:r>
    </w:p>
    <w:p w:rsidRPr="00D51A3C" w:rsidR="00C11E25" w:rsidP="00C11E25" w:rsidRDefault="00C11E25" w14:paraId="323F0026" w14:textId="77777777">
      <w:pPr>
        <w:pStyle w:val="Heading2"/>
        <w:numPr>
          <w:ilvl w:val="0"/>
          <w:numId w:val="0"/>
        </w:numPr>
        <w:rPr>
          <w:lang w:val="fr-BE"/>
        </w:rPr>
      </w:pPr>
    </w:p>
    <w:p w:rsidRPr="001F165D" w:rsidR="00C11E25" w:rsidP="00C11E25" w:rsidRDefault="00C11E25" w14:paraId="35F57218" w14:textId="77777777">
      <w:pPr>
        <w:pStyle w:val="Heading2"/>
      </w:pPr>
      <w:r>
        <w:t>Le Viêt Nam a ratifié la convention nº 105 de l’OIT sur le travail forcé, mais la ratification de la convention nº 87 sur la liberté syndicale et la protection du droit syndical est toujours en suspens. En outre, la protection des travailleurs au Viêt Nam n’a pas encore été totalement étendue au secteur informel, qui représente plus de 68 % de la main-d’œuvre</w:t>
      </w:r>
      <w:r w:rsidRPr="001F165D">
        <w:rPr>
          <w:vertAlign w:val="superscript"/>
          <w:lang w:val="en-GB"/>
        </w:rPr>
        <w:footnoteReference w:id="21"/>
      </w:r>
      <w:r>
        <w:t>. Le GCI UE-Viêt Nam a constaté l’absence persistante de syndicats totalement indépendants</w:t>
      </w:r>
      <w:r w:rsidRPr="001F165D">
        <w:rPr>
          <w:sz w:val="24"/>
          <w:szCs w:val="24"/>
          <w:vertAlign w:val="superscript"/>
          <w:lang w:val="en-GB"/>
        </w:rPr>
        <w:footnoteReference w:id="22"/>
      </w:r>
      <w:r>
        <w:t xml:space="preserve">. </w:t>
      </w:r>
    </w:p>
    <w:p w:rsidRPr="00D51A3C" w:rsidR="00C11E25" w:rsidP="00C11E25" w:rsidRDefault="00C11E25" w14:paraId="2426D6B7" w14:textId="77777777">
      <w:pPr>
        <w:pStyle w:val="Heading2"/>
        <w:numPr>
          <w:ilvl w:val="0"/>
          <w:numId w:val="0"/>
        </w:numPr>
        <w:rPr>
          <w:lang w:val="fr-BE"/>
        </w:rPr>
      </w:pPr>
    </w:p>
    <w:p w:rsidRPr="001F165D" w:rsidR="00C11E25" w:rsidP="00C11E25" w:rsidRDefault="00C11E25" w14:paraId="0107F5B6" w14:textId="77777777">
      <w:pPr>
        <w:pStyle w:val="Heading2"/>
      </w:pPr>
      <w:r>
        <w:t>En mars 2025, ce GCI a présenté à la commission du commerce international (INTA) du Parlement européen un compte rendu des difficultés auxquelles doit faire face la société civile vietnamienne, en soulignant qu’il demeurait important, dans ce contexte, d’entretenir des contacts interpersonnels avec la société civile</w:t>
      </w:r>
      <w:r w:rsidRPr="001F165D">
        <w:rPr>
          <w:sz w:val="24"/>
          <w:vertAlign w:val="superscript"/>
          <w:lang w:val="en-GB"/>
        </w:rPr>
        <w:footnoteReference w:id="23"/>
      </w:r>
      <w:r>
        <w:t>.</w:t>
      </w:r>
    </w:p>
    <w:p w:rsidRPr="00D51A3C" w:rsidR="00C11E25" w:rsidP="00C11E25" w:rsidRDefault="00C11E25" w14:paraId="296A08AE" w14:textId="77777777">
      <w:pPr>
        <w:pStyle w:val="Heading2"/>
        <w:numPr>
          <w:ilvl w:val="0"/>
          <w:numId w:val="0"/>
        </w:numPr>
        <w:rPr>
          <w:lang w:val="fr-BE"/>
        </w:rPr>
      </w:pPr>
    </w:p>
    <w:p w:rsidRPr="001F165D" w:rsidR="00C11E25" w:rsidP="00C11E25" w:rsidRDefault="00C11E25" w14:paraId="63DBD294" w14:textId="77777777">
      <w:pPr>
        <w:pStyle w:val="Heading2"/>
      </w:pPr>
      <w:r>
        <w:t>Le groupe consultatif interne établi au titre de l’ALE entre l’UE et Singapour</w:t>
      </w:r>
      <w:r w:rsidRPr="001F165D">
        <w:rPr>
          <w:sz w:val="24"/>
          <w:vertAlign w:val="superscript"/>
          <w:lang w:val="en-GB"/>
        </w:rPr>
        <w:footnoteReference w:id="24"/>
      </w:r>
      <w:r>
        <w:t xml:space="preserve"> est le dernier des quatre GCI de la région, après les accords conclus avec la Corée, le Japon et le Viêt Nam. Si la participation et la coopération de la société civile sont bien développées, les discussions sur le commerce et le développement durable se poursuivent en ce qui concerne la ratification, par Singapour, de la convention nº 87 de l’OIT et de la convention nº 111 concernant la discrimination (emploi et profession). Dans le cadre de l’ALE entre l’UE et Singapour, les deux GCI mettent en évidence l’importance cruciale de la liberté d’association en tant que droit qui sous-tend la réalisation de tous les autres objectifs en matière de travail décent. Une analyse détaillée des lacunes de la législation nationale en vue de la ratification des conventions fondamentales de l’OIT en suspens, menée avec une assistance technique de la part de l’OIT, est considérée comme un instrument essentiel à cet égard.</w:t>
      </w:r>
    </w:p>
    <w:p w:rsidRPr="00D51A3C" w:rsidR="00C11E25" w:rsidP="00C11E25" w:rsidRDefault="00C11E25" w14:paraId="032A552B" w14:textId="77777777">
      <w:pPr>
        <w:pStyle w:val="Heading2"/>
        <w:numPr>
          <w:ilvl w:val="0"/>
          <w:numId w:val="0"/>
        </w:numPr>
        <w:rPr>
          <w:lang w:val="fr-BE"/>
        </w:rPr>
      </w:pPr>
    </w:p>
    <w:p w:rsidRPr="001F165D" w:rsidR="00C11E25" w:rsidP="00C11E25" w:rsidRDefault="00C11E25" w14:paraId="0A1202E1" w14:textId="74BFF51A">
      <w:pPr>
        <w:pStyle w:val="Heading2"/>
      </w:pPr>
      <w:r>
        <w:t>Les accords entre l’Union et Singapour et entre l’Union et le Viêt Nam établissent des cadres précieux pour le commerce durable, l’un des éléments fondamentaux étant les chapitres sur le commerce et le développement durable. Sur la base de ces progrès, un consensus croissant se dégage sur le fait qu’une participation accrue des parties prenantes — en particulier des PME et des acteurs du secteur informel — pourrait améliorer la robustesse et l’inclusivité de la mise en œuvre. Une telle évolution ferait progresser encore davantage la réalisation des objectifs centraux des accords, à savoir la création de relations commerciales équitables et durables, ce qui nécessiterait toutefois que les parties parviennent à une compréhension commune des tâches, du fonctionnement et des besoins des GCI et d’autres forums établis de la société civile.</w:t>
      </w:r>
    </w:p>
    <w:p w:rsidRPr="00D51A3C" w:rsidR="00C11E25" w:rsidP="00C11E25" w:rsidRDefault="00C11E25" w14:paraId="70052451" w14:textId="77777777">
      <w:pPr>
        <w:pStyle w:val="Heading2"/>
        <w:numPr>
          <w:ilvl w:val="0"/>
          <w:numId w:val="0"/>
        </w:numPr>
        <w:rPr>
          <w:lang w:val="fr-BE"/>
        </w:rPr>
      </w:pPr>
    </w:p>
    <w:p w:rsidRPr="001F165D" w:rsidR="00C11E25" w:rsidP="00C11E25" w:rsidRDefault="00C11E25" w14:paraId="104F1933" w14:textId="77777777">
      <w:pPr>
        <w:pStyle w:val="Heading2"/>
      </w:pPr>
      <w:r>
        <w:t>Selon la Commission européenne, un dialogue inclusif, y compris entre les secteurs public et privé, pourrait s’avérer bénéfique pour faire en sorte que les politiques commerciales reflètent les besoins de tous les acteurs économiques</w:t>
      </w:r>
      <w:r w:rsidRPr="001F165D">
        <w:rPr>
          <w:vertAlign w:val="superscript"/>
          <w:lang w:val="en-GB"/>
        </w:rPr>
        <w:footnoteReference w:id="25"/>
      </w:r>
      <w:r>
        <w:t>. Il est indispensable de prévoir:</w:t>
      </w:r>
    </w:p>
    <w:p w:rsidRPr="001F165D" w:rsidR="00C11E25" w:rsidP="00C11E25" w:rsidRDefault="00C11E25" w14:paraId="458685BB" w14:textId="77777777">
      <w:pPr>
        <w:pStyle w:val="Heading2"/>
        <w:numPr>
          <w:ilvl w:val="1"/>
          <w:numId w:val="3"/>
        </w:numPr>
        <w:ind w:left="851" w:hanging="284"/>
      </w:pPr>
      <w:r>
        <w:t>l’accès aux informations techniques sur les réglementations commerciales et les exigences de conformité;</w:t>
      </w:r>
    </w:p>
    <w:p w:rsidRPr="001F165D" w:rsidR="00C11E25" w:rsidP="00C11E25" w:rsidRDefault="00C11E25" w14:paraId="54C5265B" w14:textId="77777777">
      <w:pPr>
        <w:pStyle w:val="Heading2"/>
        <w:numPr>
          <w:ilvl w:val="1"/>
          <w:numId w:val="3"/>
        </w:numPr>
        <w:ind w:left="851" w:hanging="284"/>
      </w:pPr>
      <w:r>
        <w:t>des initiatives ciblées de renforcement des capacités visant à conforter la participation des PME et des associations d’entreprises locales; et</w:t>
      </w:r>
    </w:p>
    <w:p w:rsidRPr="001F165D" w:rsidR="00C11E25" w:rsidP="00C11E25" w:rsidRDefault="00C11E25" w14:paraId="2A5D5F94" w14:textId="77777777">
      <w:pPr>
        <w:pStyle w:val="Heading2"/>
        <w:numPr>
          <w:ilvl w:val="1"/>
          <w:numId w:val="3"/>
        </w:numPr>
        <w:ind w:left="851" w:hanging="284"/>
      </w:pPr>
      <w:r>
        <w:t>des modèles de consultation innovants, y compris des plateformes numériques qui permettent aux acteurs concernés d’apporter leur contribution de manière sûre et, le cas échéant, anonymement; celles-ci sont précieuses dans les contextes où la critique ouverte peut comporter des risques professionnels ou politiques.</w:t>
      </w:r>
    </w:p>
    <w:p w:rsidRPr="00D51A3C" w:rsidR="00C11E25" w:rsidP="00C11E25" w:rsidRDefault="00C11E25" w14:paraId="5B288788" w14:textId="77777777">
      <w:pPr>
        <w:pStyle w:val="Heading2"/>
        <w:numPr>
          <w:ilvl w:val="0"/>
          <w:numId w:val="0"/>
        </w:numPr>
        <w:rPr>
          <w:lang w:val="fr-BE"/>
        </w:rPr>
      </w:pPr>
    </w:p>
    <w:p w:rsidRPr="001F165D" w:rsidR="00C11E25" w:rsidP="00C11E25" w:rsidRDefault="00C11E25" w14:paraId="3CE45349" w14:textId="77777777">
      <w:pPr>
        <w:pStyle w:val="Heading2"/>
      </w:pPr>
      <w:r>
        <w:t>Les futurs accords commerciaux bilatéraux de l’UE avec l’Indonésie, la Malaisie, les Philippines et la Thaïlande sont susceptibles d’augmenter le niveau de vie et les salaires des travailleurs, qualifiés ou non, dans les secteurs du textile, de la chaussure et de l’automobile. La réponse à ces préoccupations requiert une compréhension nuancée de l’interaction entre les salaires, les conditions d’emploi et la réduction de la pauvreté pour les groupes vulnérables tels que les femmes, les jeunes et les minorités. Les protections juridiques prévues dans les chapitres sur le commerce et le développement durable, qu’il s’agisse du respect des normes internationales du travail ou de la protection des conditions de travail et de la sécurité sur le lieu de travail, jouent par conséquent un rôle crucial dans les économies en développement.</w:t>
      </w:r>
    </w:p>
    <w:p w:rsidRPr="00D51A3C" w:rsidR="00C11E25" w:rsidP="00C11E25" w:rsidRDefault="00C11E25" w14:paraId="1E5BDA0F" w14:textId="77777777">
      <w:pPr>
        <w:pStyle w:val="Heading2"/>
        <w:numPr>
          <w:ilvl w:val="0"/>
          <w:numId w:val="0"/>
        </w:numPr>
        <w:rPr>
          <w:lang w:val="fr-BE"/>
        </w:rPr>
      </w:pPr>
    </w:p>
    <w:p w:rsidRPr="001F165D" w:rsidR="00C11E25" w:rsidP="00C11E25" w:rsidRDefault="00C11E25" w14:paraId="44C93050" w14:textId="77777777">
      <w:pPr>
        <w:pStyle w:val="Heading2"/>
        <w:keepNext/>
        <w:keepLines/>
        <w:numPr>
          <w:ilvl w:val="0"/>
          <w:numId w:val="0"/>
        </w:numPr>
        <w:rPr>
          <w:b/>
        </w:rPr>
      </w:pPr>
      <w:r>
        <w:rPr>
          <w:b/>
        </w:rPr>
        <w:t>Droits et représentation des travailleurs</w:t>
      </w:r>
    </w:p>
    <w:p w:rsidRPr="001F165D" w:rsidR="00C11E25" w:rsidP="00C11E25" w:rsidRDefault="00C11E25" w14:paraId="754F561C" w14:textId="77777777">
      <w:pPr>
        <w:pStyle w:val="Heading2"/>
        <w:keepNext/>
        <w:keepLines/>
        <w:numPr>
          <w:ilvl w:val="0"/>
          <w:numId w:val="0"/>
        </w:numPr>
        <w:rPr>
          <w:sz w:val="16"/>
          <w:szCs w:val="16"/>
          <w:lang w:val="en-GB"/>
        </w:rPr>
      </w:pPr>
    </w:p>
    <w:p w:rsidRPr="001F165D" w:rsidR="00C11E25" w:rsidP="00C11E25" w:rsidRDefault="00C11E25" w14:paraId="7FA76355" w14:textId="77777777">
      <w:pPr>
        <w:pStyle w:val="Heading2"/>
      </w:pPr>
      <w:r>
        <w:t>Le dialogue entre l’Union et l’ASEAN sur les conditions de travail aborde avec prudence la question des disparités entre les normes régionales et les critères de référence internationaux, qui se traduisent par des écarts persistants en matière de salaires, de sécurité et de représentation syndicale. L’OIT a indiqué que des déficits de travail décent persistent pour de nombreux travailleurs de la région</w:t>
      </w:r>
      <w:r w:rsidRPr="001F165D">
        <w:rPr>
          <w:sz w:val="24"/>
          <w:vertAlign w:val="superscript"/>
          <w:lang w:val="en-GB"/>
        </w:rPr>
        <w:footnoteReference w:id="26"/>
      </w:r>
      <w:r>
        <w:t>. Les confédérations syndicales internationales sont actives en Asie du Sud-Est; il s’agit notamment de la Confédération syndicale internationale Asie-Pacifique (CSI-AP)</w:t>
      </w:r>
      <w:r w:rsidRPr="001F165D">
        <w:rPr>
          <w:vertAlign w:val="superscript"/>
          <w:lang w:val="en-GB"/>
        </w:rPr>
        <w:footnoteReference w:id="27"/>
      </w:r>
      <w:r>
        <w:t xml:space="preserve"> et de la Fédération syndicale mondiale (FSM)</w:t>
      </w:r>
      <w:r w:rsidRPr="001F165D">
        <w:rPr>
          <w:vertAlign w:val="superscript"/>
          <w:lang w:val="en-GB"/>
        </w:rPr>
        <w:footnoteReference w:id="28"/>
      </w:r>
      <w:r>
        <w:t>, y compris sa branche régionale Asie-Pacifique (FSM-AP)</w:t>
      </w:r>
      <w:r w:rsidRPr="001F165D">
        <w:rPr>
          <w:vertAlign w:val="superscript"/>
          <w:lang w:val="en-GB"/>
        </w:rPr>
        <w:footnoteReference w:id="29"/>
      </w:r>
      <w:r>
        <w:t>, ainsi que de deux grandes organisations patronales, la Confédération des employeurs de l’ASEAN (ACE)</w:t>
      </w:r>
      <w:r w:rsidRPr="001F165D">
        <w:rPr>
          <w:vertAlign w:val="superscript"/>
          <w:lang w:val="en-GB"/>
        </w:rPr>
        <w:footnoteReference w:id="30"/>
      </w:r>
      <w:r>
        <w:t xml:space="preserve"> et la Confédération des employeurs d’Asie et du Pacifique (CAPE)</w:t>
      </w:r>
      <w:r w:rsidRPr="001F165D">
        <w:rPr>
          <w:vertAlign w:val="superscript"/>
          <w:lang w:val="en-GB"/>
        </w:rPr>
        <w:footnoteReference w:id="31"/>
      </w:r>
      <w:r>
        <w:t xml:space="preserve">. </w:t>
      </w:r>
    </w:p>
    <w:p w:rsidRPr="00D51A3C" w:rsidR="00C11E25" w:rsidP="00C11E25" w:rsidRDefault="00C11E25" w14:paraId="539ABB20" w14:textId="77777777">
      <w:pPr>
        <w:pStyle w:val="Heading2"/>
        <w:numPr>
          <w:ilvl w:val="0"/>
          <w:numId w:val="0"/>
        </w:numPr>
        <w:rPr>
          <w:lang w:val="fr-BE"/>
        </w:rPr>
      </w:pPr>
    </w:p>
    <w:p w:rsidRPr="001F165D" w:rsidR="00C11E25" w:rsidP="00C11E25" w:rsidRDefault="00C11E25" w14:paraId="72098F37" w14:textId="77777777">
      <w:pPr>
        <w:pStyle w:val="Heading2"/>
      </w:pPr>
      <w:r>
        <w:t xml:space="preserve">Au cours des dernières décennies, une tendance positive s’est dégagée dans les pays de l’ASEAN en ce qui concerne la mobilité de la main-d’œuvre et la réaffectation des ressources entre l’agriculture, l’industrie et les services. Néanmoins, les groupes vulnérables, y compris les femmes et les jeunes, sont laissés pour compte car ils dépendent souvent d’un travail familial non rémunéré et d’emplois relevant du secteur informel, en particulier s’ils sont issus de minorités ethniques. </w:t>
      </w:r>
    </w:p>
    <w:p w:rsidRPr="00D51A3C" w:rsidR="00C11E25" w:rsidP="00C11E25" w:rsidRDefault="00C11E25" w14:paraId="73C833F4" w14:textId="77777777">
      <w:pPr>
        <w:pStyle w:val="Heading2"/>
        <w:numPr>
          <w:ilvl w:val="0"/>
          <w:numId w:val="0"/>
        </w:numPr>
        <w:rPr>
          <w:lang w:val="fr-BE"/>
        </w:rPr>
      </w:pPr>
    </w:p>
    <w:p w:rsidRPr="001F165D" w:rsidR="00C11E25" w:rsidP="00C11E25" w:rsidRDefault="00C11E25" w14:paraId="627E04F6" w14:textId="77777777">
      <w:pPr>
        <w:pStyle w:val="Heading2"/>
      </w:pPr>
      <w:r>
        <w:t>L’OIT affirme en outre que les syndicats et la société civile font face à des obstacles persistants, notamment</w:t>
      </w:r>
      <w:r w:rsidRPr="001F165D">
        <w:rPr>
          <w:vertAlign w:val="superscript"/>
          <w:lang w:val="en-GB"/>
        </w:rPr>
        <w:footnoteReference w:id="32"/>
      </w:r>
      <w:r>
        <w:t>:</w:t>
      </w:r>
    </w:p>
    <w:p w:rsidRPr="001F165D" w:rsidR="00C11E25" w:rsidP="00C11E25" w:rsidRDefault="00C11E25" w14:paraId="17912BCF" w14:textId="77777777">
      <w:pPr>
        <w:pStyle w:val="Heading2"/>
        <w:numPr>
          <w:ilvl w:val="1"/>
          <w:numId w:val="4"/>
        </w:numPr>
        <w:ind w:left="851" w:hanging="284"/>
      </w:pPr>
      <w:r>
        <w:t xml:space="preserve">les restrictions à la constitution d’un syndicat et aux droits de négociation collective; </w:t>
      </w:r>
    </w:p>
    <w:p w:rsidRPr="001F165D" w:rsidR="00C11E25" w:rsidP="00C11E25" w:rsidRDefault="00C11E25" w14:paraId="374A60E4" w14:textId="77777777">
      <w:pPr>
        <w:pStyle w:val="Heading2"/>
        <w:numPr>
          <w:ilvl w:val="1"/>
          <w:numId w:val="4"/>
        </w:numPr>
        <w:ind w:left="851" w:hanging="284"/>
      </w:pPr>
      <w:r>
        <w:t xml:space="preserve">l’accès limité aux droits de l’homme (liberté d’association et liberté d’organisation) pour certains groupes de travailleurs, en particulier ceux du secteur informel; </w:t>
      </w:r>
    </w:p>
    <w:p w:rsidRPr="001F165D" w:rsidR="00C11E25" w:rsidP="00C11E25" w:rsidRDefault="00C11E25" w14:paraId="3B73E99D" w14:textId="77777777">
      <w:pPr>
        <w:pStyle w:val="Heading2"/>
        <w:numPr>
          <w:ilvl w:val="1"/>
          <w:numId w:val="4"/>
        </w:numPr>
        <w:ind w:left="851" w:hanging="284"/>
      </w:pPr>
      <w:r>
        <w:t>une diminution générale de l’affiliation syndicale et de la couverture des négociations collectives, parallèlement à une augmentation des nouvelles modalités de travail;</w:t>
      </w:r>
    </w:p>
    <w:p w:rsidRPr="001F165D" w:rsidR="00C11E25" w:rsidP="00C11E25" w:rsidRDefault="00C11E25" w14:paraId="68D5FD41" w14:textId="77777777">
      <w:pPr>
        <w:pStyle w:val="Heading2"/>
        <w:numPr>
          <w:ilvl w:val="1"/>
          <w:numId w:val="4"/>
        </w:numPr>
        <w:ind w:left="851" w:hanging="284"/>
      </w:pPr>
      <w:r>
        <w:t>les politiques nationales restreignant le droit d’association;</w:t>
      </w:r>
    </w:p>
    <w:p w:rsidRPr="001F165D" w:rsidR="00C11E25" w:rsidP="00C11E25" w:rsidRDefault="00C11E25" w14:paraId="7461A2EB" w14:textId="77777777">
      <w:pPr>
        <w:pStyle w:val="Heading2"/>
        <w:numPr>
          <w:ilvl w:val="1"/>
          <w:numId w:val="4"/>
        </w:numPr>
        <w:ind w:left="851" w:hanging="284"/>
      </w:pPr>
      <w:r>
        <w:t>l’absence de canaux de représentation suffisants pour les travailleurs;</w:t>
      </w:r>
    </w:p>
    <w:p w:rsidRPr="001F165D" w:rsidR="00C11E25" w:rsidP="00C11E25" w:rsidRDefault="00C11E25" w14:paraId="60B3F852" w14:textId="77777777">
      <w:pPr>
        <w:pStyle w:val="Heading2"/>
        <w:numPr>
          <w:ilvl w:val="1"/>
          <w:numId w:val="4"/>
        </w:numPr>
        <w:ind w:left="851" w:hanging="284"/>
      </w:pPr>
      <w:r>
        <w:t>des mécanismes inefficaces et peu fiables de résolution des différends en lien avec le travail;</w:t>
      </w:r>
    </w:p>
    <w:p w:rsidRPr="001F165D" w:rsidR="00C11E25" w:rsidP="00C11E25" w:rsidRDefault="00C11E25" w14:paraId="734A51CE" w14:textId="77777777">
      <w:pPr>
        <w:pStyle w:val="Heading2"/>
        <w:numPr>
          <w:ilvl w:val="1"/>
          <w:numId w:val="4"/>
        </w:numPr>
        <w:ind w:left="851" w:hanging="284"/>
      </w:pPr>
      <w:r>
        <w:t>les lacunes générales des politiques qui mettent l’accent sur l’application des droits fondamentaux dans le secteur formel et ne tiennent pas compte des emplois informels; et</w:t>
      </w:r>
    </w:p>
    <w:p w:rsidRPr="001F165D" w:rsidR="00C11E25" w:rsidP="00C11E25" w:rsidRDefault="00C11E25" w14:paraId="05313AE2" w14:textId="77777777">
      <w:pPr>
        <w:pStyle w:val="Heading2"/>
        <w:numPr>
          <w:ilvl w:val="1"/>
          <w:numId w:val="4"/>
        </w:numPr>
        <w:ind w:left="851" w:hanging="284"/>
      </w:pPr>
      <w:r>
        <w:t xml:space="preserve">le manque de protection des droits des travailleurs migrants. </w:t>
      </w:r>
    </w:p>
    <w:p w:rsidRPr="00D51A3C" w:rsidR="00C11E25" w:rsidP="00C11E25" w:rsidRDefault="00C11E25" w14:paraId="4CACAB12" w14:textId="77777777">
      <w:pPr>
        <w:pStyle w:val="Heading2"/>
        <w:numPr>
          <w:ilvl w:val="0"/>
          <w:numId w:val="0"/>
        </w:numPr>
        <w:rPr>
          <w:lang w:val="fr-BE"/>
        </w:rPr>
      </w:pPr>
    </w:p>
    <w:p w:rsidRPr="001F165D" w:rsidR="00C11E25" w:rsidP="00C11E25" w:rsidRDefault="00C11E25" w14:paraId="172BA982" w14:textId="77777777">
      <w:pPr>
        <w:pStyle w:val="Heading2"/>
      </w:pPr>
      <w:r>
        <w:t>D’autres problèmes sont encore cités, notamment la couverture sociale limitée, les bas salaires et la prestation d’heures supplémentaires par un grand nombre de travailleurs</w:t>
      </w:r>
      <w:r w:rsidRPr="001F165D">
        <w:rPr>
          <w:vertAlign w:val="superscript"/>
          <w:lang w:val="en-GB"/>
        </w:rPr>
        <w:footnoteReference w:id="33"/>
      </w:r>
      <w:r>
        <w:t xml:space="preserve">. Bien que l’Indonésie ait établi des normes régionales en matière de salaire minimum, des difficultés subsistent en ce qui concerne la garantie d’une rémunération équitable pour les travailleurs peu qualifiés. Cette situation témoigne de lacunes sur le plan des capacités de mise en œuvre et des mécanismes de négociation collective, en particulier dans les usines dont les syndicats sont absents. L’Indonésie s’est récemment retirée de la convention des travaux souterrains (femmes) de l’OIT (nº 45, 1935) et n’a pas encore ratifié la convention sur la sécurité et la santé des travailleurs (nº 155, 1981) ni adhéré au programme de l’OIT pour un travail décent. </w:t>
      </w:r>
    </w:p>
    <w:p w:rsidRPr="00D51A3C" w:rsidR="00C11E25" w:rsidP="00C11E25" w:rsidRDefault="00C11E25" w14:paraId="01129D26" w14:textId="77777777">
      <w:pPr>
        <w:pStyle w:val="Heading2"/>
        <w:numPr>
          <w:ilvl w:val="0"/>
          <w:numId w:val="0"/>
        </w:numPr>
        <w:rPr>
          <w:lang w:val="fr-BE"/>
        </w:rPr>
      </w:pPr>
    </w:p>
    <w:p w:rsidRPr="001F165D" w:rsidR="00C11E25" w:rsidP="00C11E25" w:rsidRDefault="00C11E25" w14:paraId="422361C5" w14:textId="77777777">
      <w:pPr>
        <w:pStyle w:val="Heading2"/>
      </w:pPr>
      <w:r>
        <w:t>De tous les pays de l’ASEAN, ce sont les Philippines qui disposent du cadre juridique le plus complet en matière de normes de travail</w:t>
      </w:r>
      <w:r w:rsidRPr="001F165D">
        <w:rPr>
          <w:sz w:val="24"/>
          <w:vertAlign w:val="superscript"/>
          <w:lang w:val="en-GB"/>
        </w:rPr>
        <w:footnoteReference w:id="34"/>
      </w:r>
      <w:r>
        <w:t xml:space="preserve">. Toutefois, les travailleurs employés officiellement représentent toujours une minorité de la main-d’œuvre. En outre, les travailleurs philippins rémunérés au salaire minimum bénéficient de salaires plus élevés que dans les pays voisins, notamment en Thaïlande, au Viêt Nam et en Indonésie. </w:t>
      </w:r>
    </w:p>
    <w:p w:rsidRPr="00D51A3C" w:rsidR="00C11E25" w:rsidP="00C11E25" w:rsidRDefault="00C11E25" w14:paraId="626A876D" w14:textId="77777777">
      <w:pPr>
        <w:pStyle w:val="Heading2"/>
        <w:numPr>
          <w:ilvl w:val="0"/>
          <w:numId w:val="0"/>
        </w:numPr>
        <w:rPr>
          <w:lang w:val="fr-BE"/>
        </w:rPr>
      </w:pPr>
    </w:p>
    <w:p w:rsidRPr="001F165D" w:rsidR="00C11E25" w:rsidP="00C11E25" w:rsidRDefault="00C11E25" w14:paraId="2BDA4321" w14:textId="77777777">
      <w:pPr>
        <w:pStyle w:val="Heading2"/>
      </w:pPr>
      <w:r>
        <w:t>Selon le réseau des Nations unies sur les migrations, les travailleurs migrants en Thaïlande (provenant du Myanmar et du Cambodge) continuent de rencontrer des difficultés en matière de normes et de conditions de travail</w:t>
      </w:r>
      <w:r w:rsidRPr="001F165D">
        <w:rPr>
          <w:sz w:val="24"/>
          <w:vertAlign w:val="superscript"/>
          <w:lang w:val="en-GB"/>
        </w:rPr>
        <w:footnoteReference w:id="35"/>
      </w:r>
      <w:r>
        <w:t xml:space="preserve">. La Thaïlande n’est pas partie à la convention de 1951 relative au statut des réfugiés et ne dispose pas de mécanismes nationaux efficaces pour évaluer les demandes d’asile. </w:t>
      </w:r>
    </w:p>
    <w:p w:rsidRPr="00D51A3C" w:rsidR="00C11E25" w:rsidP="00C11E25" w:rsidRDefault="00C11E25" w14:paraId="6F4E1D5B" w14:textId="77777777">
      <w:pPr>
        <w:pStyle w:val="Heading2"/>
        <w:numPr>
          <w:ilvl w:val="0"/>
          <w:numId w:val="0"/>
        </w:numPr>
        <w:rPr>
          <w:lang w:val="fr-BE"/>
        </w:rPr>
      </w:pPr>
    </w:p>
    <w:p w:rsidRPr="001F165D" w:rsidR="00C11E25" w:rsidP="00C11E25" w:rsidRDefault="00C11E25" w14:paraId="22C91A21" w14:textId="77777777">
      <w:pPr>
        <w:pStyle w:val="Heading2"/>
        <w:keepNext/>
        <w:keepLines/>
        <w:numPr>
          <w:ilvl w:val="0"/>
          <w:numId w:val="0"/>
        </w:numPr>
      </w:pPr>
      <w:r>
        <w:rPr>
          <w:b/>
        </w:rPr>
        <w:t>Questions environnementales</w:t>
      </w:r>
    </w:p>
    <w:p w:rsidRPr="001F165D" w:rsidR="00C11E25" w:rsidP="00C11E25" w:rsidRDefault="00C11E25" w14:paraId="17FC3763" w14:textId="77777777">
      <w:pPr>
        <w:pStyle w:val="Heading2"/>
        <w:keepNext/>
        <w:keepLines/>
        <w:numPr>
          <w:ilvl w:val="0"/>
          <w:numId w:val="0"/>
        </w:numPr>
        <w:rPr>
          <w:sz w:val="16"/>
          <w:szCs w:val="16"/>
          <w:lang w:val="en-GB"/>
        </w:rPr>
      </w:pPr>
    </w:p>
    <w:p w:rsidRPr="001F165D" w:rsidR="00C11E25" w:rsidP="00C11E25" w:rsidRDefault="00C11E25" w14:paraId="41E58ACF" w14:textId="77777777">
      <w:pPr>
        <w:pStyle w:val="Heading2"/>
      </w:pPr>
      <w:r>
        <w:t>Des approches divergentes en matière de gouvernance environnementale sont régulièrement source de tensions entre l’UE et l’ASEAN. Plusieurs initiatives réglementaires de l’UE, dont la directive révisée sur les énergies renouvelables (RED II), le mécanisme d’ajustement carbone aux frontières (MACF) et le règlement sur la déforestation (RDUE), ont suscité des inquiétudes parmi les États membres de l’ASEAN.</w:t>
      </w:r>
    </w:p>
    <w:p w:rsidRPr="00D51A3C" w:rsidR="00C11E25" w:rsidP="00C11E25" w:rsidRDefault="00C11E25" w14:paraId="1E0B09BB" w14:textId="77777777">
      <w:pPr>
        <w:pStyle w:val="Heading2"/>
        <w:numPr>
          <w:ilvl w:val="0"/>
          <w:numId w:val="0"/>
        </w:numPr>
        <w:rPr>
          <w:lang w:val="fr-BE"/>
        </w:rPr>
      </w:pPr>
    </w:p>
    <w:p w:rsidRPr="001F165D" w:rsidR="00C11E25" w:rsidP="00C11E25" w:rsidRDefault="00C11E25" w14:paraId="28811F4E" w14:textId="77777777">
      <w:pPr>
        <w:pStyle w:val="Heading2"/>
      </w:pPr>
      <w:r>
        <w:t>Ces tensions sont particulièrement manifestes dans le secteur de l’huile de palme. L’Indonésie et la Malaisie, qui sont les principaux exportateurs mondiaux d’huile de palme, représentent 90 % de la production mondiale et contribuent à plus de 4,5 millions d’emplois dans ce secteur. Depuis 2023, l’Indonésie et la Malaisie font partie de la task force conjointe mise en place avec la Commission européenne pour échanger des points de vue et des propositions sur l’huile de palme. Pendant plusieurs années, les exportateurs d’huile de palme vers le marché européen du biodiesel étaient soumis à une procédure de certification permettant de garantir le respect de normes environnementales strictes. En 2022, la directive RED II a interdit l’importation de l’huile de palme sur le marché européen. En 2024, l’Organisation mondiale du commerce (OMC) a confirmé la capacité de l’UE à agir en ce sens, jugeant que cette dernière n’avait pas besoin de retirer sa mesure, mais simplement d’adapter sa législation pour garantir sa conformité avec les règles de l’OMC.</w:t>
      </w:r>
    </w:p>
    <w:p w:rsidRPr="00D51A3C" w:rsidR="00C11E25" w:rsidP="00C11E25" w:rsidRDefault="00C11E25" w14:paraId="7C9ABB0A" w14:textId="77777777">
      <w:pPr>
        <w:pStyle w:val="Heading2"/>
        <w:numPr>
          <w:ilvl w:val="0"/>
          <w:numId w:val="0"/>
        </w:numPr>
        <w:rPr>
          <w:lang w:val="fr-BE"/>
        </w:rPr>
      </w:pPr>
    </w:p>
    <w:p w:rsidRPr="001F165D" w:rsidR="00C11E25" w:rsidP="00C11E25" w:rsidRDefault="00C11E25" w14:paraId="57066851" w14:textId="77777777">
      <w:pPr>
        <w:pStyle w:val="Heading2"/>
      </w:pPr>
      <w:r>
        <w:t>Les ministres de l’agriculture de l’UE ont depuis lors reporté à 2026 l’application du règlement sur la déforestation. L’Indonésie, qui est fermement opposée à ce règlement, a pris la tête d’une action régionale visant à bâtir une réaction conjointe à l’échelle de l’ASEAN, eu égard à l’incidence économique potentielle de ces réglementations sur ses principaux produits d’exportation. La Malaisie et la Thaïlande se sont également ralliées à cette position. En 2024, Singapour a exhorté l’Union à envisager l’adoption d’une approche moins contraignante pour réduire les coûts de mise en conformité de l’industrie et veiller à ce que les mesures imposées ne restreignent pas les échanges plus que nécessaire. La reconnaissance constitutionnelle des droits des peuples autochtones par l’Indonésie doit encore être mise en œuvre de manière uniforme, en particulier dans les zones riches en ressources où des différends fonciers persistent. La demande croissante de produits forestiers et ligneux pourrait s’accompagner d’un risque croissant de violations des droits de l’homme.</w:t>
      </w:r>
    </w:p>
    <w:p w:rsidRPr="00D51A3C" w:rsidR="00C11E25" w:rsidP="00C11E25" w:rsidRDefault="00C11E25" w14:paraId="2BDCC4AB" w14:textId="77777777">
      <w:pPr>
        <w:pStyle w:val="Heading2"/>
        <w:numPr>
          <w:ilvl w:val="0"/>
          <w:numId w:val="0"/>
        </w:numPr>
        <w:rPr>
          <w:lang w:val="fr-BE"/>
        </w:rPr>
      </w:pPr>
    </w:p>
    <w:p w:rsidRPr="001F165D" w:rsidR="00C11E25" w:rsidP="00C11E25" w:rsidRDefault="00C11E25" w14:paraId="4F719469" w14:textId="77777777">
      <w:pPr>
        <w:pStyle w:val="Heading2"/>
      </w:pPr>
      <w:r>
        <w:t>Des progrès significatifs ont été accomplis dans le cadre de la Commission des thons de l’océan Indien (CTOI) avec l’adoption de onze nouvelles mesures de conservation et de gestion visant à améliorer la durabilité des pêches dans l’océan Indien</w:t>
      </w:r>
      <w:r w:rsidRPr="001F165D">
        <w:rPr>
          <w:vertAlign w:val="superscript"/>
          <w:lang w:val="en-GB"/>
        </w:rPr>
        <w:footnoteReference w:id="36"/>
      </w:r>
      <w:r>
        <w:t>. L’une des principales décisions concerne un cadre global pour les dispositifs de concentration de poissons dérivants (DCPD), prévoyant notamment l’interdiction immédiate des DCPD qui ne sont pas totalement biodégradables et l’élimination progressive de tous les matériaux non biodégradables, ce qui nécessite une transition complète vers des DCPD biodégradables d’ici à 2030</w:t>
      </w:r>
      <w:r w:rsidRPr="001F165D">
        <w:rPr>
          <w:vertAlign w:val="superscript"/>
          <w:lang w:val="en-GB"/>
        </w:rPr>
        <w:footnoteReference w:id="37"/>
      </w:r>
      <w:r>
        <w:t>.</w:t>
      </w:r>
    </w:p>
    <w:p w:rsidRPr="00D51A3C" w:rsidR="00C11E25" w:rsidP="00C11E25" w:rsidRDefault="00C11E25" w14:paraId="53575423" w14:textId="77777777">
      <w:pPr>
        <w:pStyle w:val="Heading2"/>
        <w:numPr>
          <w:ilvl w:val="0"/>
          <w:numId w:val="0"/>
        </w:numPr>
        <w:rPr>
          <w:lang w:val="fr-BE"/>
        </w:rPr>
      </w:pPr>
    </w:p>
    <w:p w:rsidRPr="001F165D" w:rsidR="00C11E25" w:rsidP="00C11E25" w:rsidRDefault="00C11E25" w14:paraId="5843B44E" w14:textId="77777777">
      <w:pPr>
        <w:pStyle w:val="Heading2"/>
        <w:keepNext/>
        <w:keepLines/>
        <w:numPr>
          <w:ilvl w:val="0"/>
          <w:numId w:val="0"/>
        </w:numPr>
        <w:rPr>
          <w:b/>
        </w:rPr>
      </w:pPr>
      <w:r>
        <w:rPr>
          <w:b/>
        </w:rPr>
        <w:t>Droits de l’homme</w:t>
      </w:r>
    </w:p>
    <w:p w:rsidRPr="001F165D" w:rsidR="00C11E25" w:rsidP="00C11E25" w:rsidRDefault="00C11E25" w14:paraId="3868FC43" w14:textId="77777777">
      <w:pPr>
        <w:pStyle w:val="Heading2"/>
        <w:keepNext/>
        <w:keepLines/>
        <w:numPr>
          <w:ilvl w:val="0"/>
          <w:numId w:val="0"/>
        </w:numPr>
        <w:rPr>
          <w:sz w:val="16"/>
          <w:szCs w:val="16"/>
          <w:lang w:val="en-GB"/>
        </w:rPr>
      </w:pPr>
    </w:p>
    <w:p w:rsidRPr="001F165D" w:rsidR="00C11E25" w:rsidP="00C11E25" w:rsidRDefault="00C11E25" w14:paraId="2EA26DB5" w14:textId="77777777">
      <w:pPr>
        <w:pStyle w:val="Heading2"/>
      </w:pPr>
      <w:r>
        <w:t>Enfin, les voies de développement des droits de l’homme varient considérablement d’un pays à l’autre de l’ASEAN. La région est confrontée à des défis persistants tels que le nombre croissant de réfugiés, la traite des êtres humains et les problèmes liés à la drogue. À cet égard, l’évolution de la situation aux Philippines mérite d’être mentionnée. Après l’élection de 2022, le président Ferdinand Marcos Jr s’est engagé à améliorer la situation des droits de l’homme à la suite de la «guerre contre la drogue» et d’autres politiques controversées menées par son prédécesseur, Rodrigo Duterte. Malgré ces promesses, les menaces à l’encontre des OSC, des militants et des groupes autochtones — y compris le «marquage rouge» et les fausses accusations — restent monnaie courante. Rodrigo Duterte fait actuellement l’objet d’une enquête de la Cour pénale internationale (CPI). Les OSC, les militants politiques, les défenseurs de l’environnement, les peuples autochtones et les syndicalistes sont toujours menacés, en particulier par le «marquage rouge» et le dépôt de fausses accusations. En outre, le conflit entre le gouvernement et la Nouvelle armée populaire communiste se poursuit.</w:t>
      </w:r>
    </w:p>
    <w:p w:rsidRPr="00D51A3C" w:rsidR="00C11E25" w:rsidP="00C11E25" w:rsidRDefault="00C11E25" w14:paraId="28578AA7" w14:textId="77777777">
      <w:pPr>
        <w:pStyle w:val="Heading2"/>
        <w:numPr>
          <w:ilvl w:val="0"/>
          <w:numId w:val="0"/>
        </w:numPr>
        <w:rPr>
          <w:lang w:val="fr-BE"/>
        </w:rPr>
      </w:pPr>
    </w:p>
    <w:p w:rsidRPr="001F165D" w:rsidR="00C11E25" w:rsidP="00C11E25" w:rsidRDefault="00C11E25" w14:paraId="416EF099" w14:textId="77777777">
      <w:pPr>
        <w:pStyle w:val="Heading2"/>
      </w:pPr>
      <w:r>
        <w:t>Entre-temps, la Malaisie a pris des mesures progressives, telles que l’abolition, en 2023, de la peine de mort obligatoire, sauf pour les infractions liées au trafic de drogue.</w:t>
      </w:r>
    </w:p>
    <w:p w:rsidRPr="00D51A3C" w:rsidR="00C11E25" w:rsidP="00C11E25" w:rsidRDefault="00C11E25" w14:paraId="581105CE" w14:textId="77777777">
      <w:pPr>
        <w:rPr>
          <w:color w:val="000000" w:themeColor="text1"/>
          <w:lang w:val="fr-BE"/>
        </w:rPr>
      </w:pPr>
    </w:p>
    <w:p w:rsidRPr="001F165D" w:rsidR="00C11E25" w:rsidP="00C11E25" w:rsidRDefault="00C11E25" w14:paraId="2018A314" w14:textId="77777777">
      <w:pPr>
        <w:keepNext/>
        <w:keepLines/>
        <w:rPr>
          <w:b/>
          <w:color w:val="000000" w:themeColor="text1"/>
        </w:rPr>
      </w:pPr>
      <w:r>
        <w:rPr>
          <w:b/>
          <w:color w:val="000000" w:themeColor="text1"/>
        </w:rPr>
        <w:t>Conclusion</w:t>
      </w:r>
    </w:p>
    <w:p w:rsidRPr="00D51A3C" w:rsidR="00C11E25" w:rsidP="00C11E25" w:rsidRDefault="00C11E25" w14:paraId="6C34F7AD" w14:textId="77777777">
      <w:pPr>
        <w:keepNext/>
        <w:keepLines/>
        <w:outlineLvl w:val="1"/>
        <w:rPr>
          <w:color w:val="000000" w:themeColor="text1"/>
          <w:lang w:val="fr-BE"/>
        </w:rPr>
      </w:pPr>
    </w:p>
    <w:p w:rsidRPr="001F165D" w:rsidR="00C11E25" w:rsidP="00C11E25" w:rsidRDefault="00C11E25" w14:paraId="470E97A4" w14:textId="77777777">
      <w:pPr>
        <w:rPr>
          <w:bCs/>
          <w:color w:val="000000" w:themeColor="text1"/>
        </w:rPr>
      </w:pPr>
      <w:r>
        <w:rPr>
          <w:color w:val="000000" w:themeColor="text1"/>
        </w:rPr>
        <w:t xml:space="preserve">En tant que partenaires stratégiques ayant des intérêts communs, l’Union européenne et l’ASEAN peuvent œuvrer de concert à la recherche de possibilités économiques et d’investissement mutuelles directement liées à un meilleur environnement de travail pour les OSC. </w:t>
      </w:r>
    </w:p>
    <w:p w:rsidRPr="00D51A3C" w:rsidR="00C11E25" w:rsidP="00C11E25" w:rsidRDefault="00C11E25" w14:paraId="15DC48B8" w14:textId="77777777">
      <w:pPr>
        <w:rPr>
          <w:bCs/>
          <w:color w:val="000000" w:themeColor="text1"/>
          <w:lang w:val="fr-BE"/>
        </w:rPr>
      </w:pPr>
    </w:p>
    <w:p w:rsidRPr="001F165D" w:rsidR="00C11E25" w:rsidP="00C11E25" w:rsidRDefault="00C11E25" w14:paraId="3EDE8207" w14:textId="77777777">
      <w:pPr>
        <w:rPr>
          <w:bCs/>
          <w:color w:val="000000" w:themeColor="text1"/>
        </w:rPr>
      </w:pPr>
      <w:r>
        <w:rPr>
          <w:color w:val="000000" w:themeColor="text1"/>
        </w:rPr>
        <w:t xml:space="preserve">Les protections juridiques prévues dans les chapitres sur le commerce et le développement durable jouent un rôle central dans les économies en développement. L’approfondissement de ce partenariat renforce également les normes mondiales et les valeurs communes, en particulier dans des domaines tels que les normes du travail, la sécurité sur le lieu de travail et le développement inclusif. </w:t>
      </w:r>
    </w:p>
    <w:p w:rsidRPr="00D51A3C" w:rsidR="00360204" w:rsidP="00ED0759" w:rsidRDefault="00360204" w14:paraId="186458E1" w14:textId="77777777">
      <w:pPr>
        <w:rPr>
          <w:lang w:val="fr-BE"/>
        </w:rPr>
      </w:pPr>
    </w:p>
    <w:p w:rsidRPr="001F165D" w:rsidR="00360204" w:rsidP="00ED0759" w:rsidRDefault="00360204" w14:paraId="66784737" w14:textId="5EFE944B">
      <w:r>
        <w:t>Bruxelles, le 19 juin 2025</w:t>
      </w:r>
    </w:p>
    <w:p w:rsidRPr="00D51A3C" w:rsidR="005956FC" w:rsidP="00ED0759" w:rsidRDefault="005956FC" w14:paraId="4B414BE3" w14:textId="77777777">
      <w:pPr>
        <w:rPr>
          <w:lang w:val="fr-BE"/>
        </w:rPr>
      </w:pPr>
    </w:p>
    <w:p w:rsidRPr="00D51A3C" w:rsidR="005956FC" w:rsidP="005956FC" w:rsidRDefault="005956FC" w14:paraId="74E5AAB7" w14:textId="13A72392">
      <w:pPr>
        <w:jc w:val="left"/>
        <w:rPr>
          <w:lang w:val="fr-BE"/>
        </w:rPr>
      </w:pPr>
    </w:p>
    <w:p w:rsidRPr="001F165D" w:rsidR="00360204" w:rsidP="00360204" w:rsidRDefault="00360204" w14:paraId="7C4A0512" w14:textId="6009B4B6">
      <w:pPr>
        <w:rPr>
          <w:i/>
          <w:iCs/>
          <w:color w:val="000000" w:themeColor="text1"/>
        </w:rPr>
      </w:pPr>
      <w:r>
        <w:rPr>
          <w:i/>
          <w:color w:val="000000" w:themeColor="text1"/>
        </w:rPr>
        <w:t>Le président du Comité économique et social européen</w:t>
      </w:r>
    </w:p>
    <w:p w:rsidRPr="001F165D" w:rsidR="00E2376B" w:rsidP="00E2376B" w:rsidRDefault="00964BF1" w14:paraId="3914066A" w14:textId="4D74C31B">
      <w:r>
        <w:t>Oliver RÖPKE</w:t>
      </w:r>
    </w:p>
    <w:p w:rsidRPr="001F165D" w:rsidR="00ED0759" w:rsidP="00DB7F50" w:rsidRDefault="00E2376B" w14:paraId="46FCDD49" w14:textId="561D4155">
      <w:pPr>
        <w:jc w:val="center"/>
      </w:pPr>
      <w:r>
        <w:t>_____________</w:t>
      </w:r>
    </w:p>
    <w:sectPr w:rsidRPr="001F165D" w:rsidR="00ED0759" w:rsidSect="001E74A1">
      <w:headerReference w:type="even" r:id="rId18"/>
      <w:headerReference w:type="default" r:id="rId19"/>
      <w:footerReference w:type="default" r:id="rId20"/>
      <w:headerReference w:type="first" r:id="rId21"/>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9E2EF" w14:textId="77777777" w:rsidR="001E3C28" w:rsidRDefault="001E3C28" w:rsidP="00F53370">
      <w:pPr>
        <w:spacing w:line="240" w:lineRule="auto"/>
      </w:pPr>
      <w:r>
        <w:separator/>
      </w:r>
    </w:p>
  </w:endnote>
  <w:endnote w:type="continuationSeparator" w:id="0">
    <w:p w14:paraId="4BF32D87" w14:textId="77777777" w:rsidR="001E3C28" w:rsidRDefault="001E3C28"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217E" w14:textId="4CCC8FE4" w:rsidR="000A30FF" w:rsidRPr="003065C9" w:rsidRDefault="00296BCE" w:rsidP="00296BCE">
    <w:pPr>
      <w:pStyle w:val="Footer"/>
      <w:jc w:val="left"/>
    </w:pPr>
    <w:r>
      <w:t xml:space="preserve">REX/589 – EESC-2025-00840-00-02-RI-TRA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fldSimple w:instr=" NUMPAGES ">
      <w:r w:rsidR="00D51A3C">
        <w:rPr>
          <w:noProof/>
        </w:rPr>
        <w:instrText>13</w:instrText>
      </w:r>
    </w:fldSimple>
    <w:r>
      <w:instrText xml:space="preserve"> - 2 </w:instrText>
    </w:r>
    <w:r>
      <w:fldChar w:fldCharType="separate"/>
    </w:r>
    <w:r w:rsidR="00D51A3C">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8E899" w14:textId="77777777" w:rsidR="001E3C28" w:rsidRDefault="001E3C28" w:rsidP="00F53370">
      <w:pPr>
        <w:spacing w:line="240" w:lineRule="auto"/>
      </w:pPr>
      <w:r>
        <w:separator/>
      </w:r>
    </w:p>
  </w:footnote>
  <w:footnote w:type="continuationSeparator" w:id="0">
    <w:p w14:paraId="4574EC56" w14:textId="77777777" w:rsidR="001E3C28" w:rsidRDefault="001E3C28" w:rsidP="00F53370">
      <w:pPr>
        <w:spacing w:line="240" w:lineRule="auto"/>
      </w:pPr>
      <w:r>
        <w:continuationSeparator/>
      </w:r>
    </w:p>
  </w:footnote>
  <w:footnote w:id="1">
    <w:p w14:paraId="7B8E0B3A" w14:textId="7EE02755" w:rsidR="00C11E25" w:rsidRPr="00D51A3C" w:rsidRDefault="00C11E25" w:rsidP="00C11E25">
      <w:pPr>
        <w:spacing w:line="240" w:lineRule="auto"/>
        <w:ind w:left="567" w:hanging="567"/>
        <w:rPr>
          <w:sz w:val="16"/>
          <w:lang w:val="en-US"/>
        </w:rPr>
      </w:pPr>
      <w:r>
        <w:rPr>
          <w:rStyle w:val="FootnoteReference"/>
        </w:rPr>
        <w:footnoteRef/>
      </w:r>
      <w:r w:rsidRPr="00D51A3C">
        <w:rPr>
          <w:sz w:val="16"/>
          <w:lang w:val="en-US"/>
        </w:rPr>
        <w:tab/>
        <w:t xml:space="preserve">Tommy Koh et Yeo Lay Hwee, </w:t>
      </w:r>
      <w:r w:rsidRPr="00D51A3C">
        <w:rPr>
          <w:i/>
          <w:sz w:val="16"/>
          <w:lang w:val="en-US"/>
        </w:rPr>
        <w:t>ASEAN-EU Partnership: The Untold Story</w:t>
      </w:r>
      <w:r w:rsidRPr="00D51A3C">
        <w:rPr>
          <w:sz w:val="16"/>
          <w:lang w:val="en-US"/>
        </w:rPr>
        <w:t>, 2020.</w:t>
      </w:r>
    </w:p>
  </w:footnote>
  <w:footnote w:id="2">
    <w:p w14:paraId="1351A27D" w14:textId="77777777" w:rsidR="00C11E25" w:rsidRPr="001E242D" w:rsidRDefault="00C11E25" w:rsidP="00C11E25">
      <w:pPr>
        <w:pStyle w:val="FootnoteText"/>
      </w:pPr>
      <w:r>
        <w:rPr>
          <w:rStyle w:val="FootnoteReference"/>
        </w:rPr>
        <w:footnoteRef/>
      </w:r>
      <w:r>
        <w:tab/>
        <w:t>La «centralité de l’ASEAN» est un élément essentiel de la sécurité et de la coopération multilatérale en Asie.</w:t>
      </w:r>
    </w:p>
  </w:footnote>
  <w:footnote w:id="3">
    <w:p w14:paraId="3DD356F9" w14:textId="77777777" w:rsidR="00C11E25" w:rsidRDefault="00C11E25" w:rsidP="00320852">
      <w:pPr>
        <w:keepLines/>
        <w:ind w:left="567" w:hanging="567"/>
        <w:rPr>
          <w:sz w:val="16"/>
          <w:szCs w:val="16"/>
        </w:rPr>
      </w:pPr>
      <w:r>
        <w:rPr>
          <w:rStyle w:val="FootnoteReference"/>
        </w:rPr>
        <w:footnoteRef/>
      </w:r>
      <w:r>
        <w:rPr>
          <w:sz w:val="16"/>
        </w:rPr>
        <w:tab/>
      </w:r>
      <w:hyperlink r:id="rId1">
        <w:r>
          <w:rPr>
            <w:color w:val="0000FF"/>
            <w:sz w:val="16"/>
            <w:u w:val="single"/>
          </w:rPr>
          <w:t>https://www.ilo.org/fr/propos-de-loit/mission-et-impact-de-loit/declaration-de-loit-relative-aux-principes-et-droits-fondamentaux-au</w:t>
        </w:r>
      </w:hyperlink>
      <w:r>
        <w:t>.</w:t>
      </w:r>
    </w:p>
  </w:footnote>
  <w:footnote w:id="4">
    <w:p w14:paraId="6FBC65D2" w14:textId="77777777" w:rsidR="00C11E25" w:rsidRPr="00046D5C" w:rsidRDefault="00C11E25" w:rsidP="00320852">
      <w:pPr>
        <w:pStyle w:val="FootnoteText"/>
        <w:spacing w:after="0" w:line="288" w:lineRule="auto"/>
      </w:pPr>
      <w:r>
        <w:rPr>
          <w:rStyle w:val="FootnoteReference"/>
        </w:rPr>
        <w:footnoteRef/>
      </w:r>
      <w:r>
        <w:tab/>
      </w:r>
      <w:hyperlink r:id="rId2" w:history="1">
        <w:r>
          <w:rPr>
            <w:rStyle w:val="Hyperlink"/>
          </w:rPr>
          <w:t>https://www.eu-asean.eu/</w:t>
        </w:r>
      </w:hyperlink>
      <w:r>
        <w:t>.</w:t>
      </w:r>
    </w:p>
  </w:footnote>
  <w:footnote w:id="5">
    <w:p w14:paraId="299B218D" w14:textId="77777777" w:rsidR="00C11E25"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3" w:anchor="page=96">
        <w:r>
          <w:rPr>
            <w:color w:val="0000FF"/>
            <w:sz w:val="16"/>
            <w:u w:val="single"/>
          </w:rPr>
          <w:t>https://eur-lex.europa.eu/legal-content/FR/TXT/PDF/?uri=CELEX:22019A1114(01)&amp;from=FR#page=96</w:t>
        </w:r>
      </w:hyperlink>
      <w:r>
        <w:t>.</w:t>
      </w:r>
    </w:p>
  </w:footnote>
  <w:footnote w:id="6">
    <w:p w14:paraId="3F62E63B" w14:textId="77777777" w:rsidR="00C11E25"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4" w:anchor="page=132">
        <w:r>
          <w:rPr>
            <w:color w:val="0000FF"/>
            <w:sz w:val="16"/>
            <w:u w:val="single"/>
          </w:rPr>
          <w:t>https://eur-lex.europa.eu/legal-content/FR/TXT/PDF/?uri=OJ:L:2020:186:FULL&amp;from=FR#page=132</w:t>
        </w:r>
      </w:hyperlink>
      <w:r>
        <w:t>.</w:t>
      </w:r>
    </w:p>
  </w:footnote>
  <w:footnote w:id="7">
    <w:p w14:paraId="50272E43" w14:textId="7851E408"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5" w:history="1">
        <w:r>
          <w:rPr>
            <w:rStyle w:val="Hyperlink"/>
            <w:sz w:val="16"/>
          </w:rPr>
          <w:t>https://www.worldeconomics.com/Regions/ASEAN/</w:t>
        </w:r>
      </w:hyperlink>
      <w:r>
        <w:rPr>
          <w:sz w:val="16"/>
        </w:rPr>
        <w:t>.</w:t>
      </w:r>
    </w:p>
  </w:footnote>
  <w:footnote w:id="8">
    <w:p w14:paraId="0A26AF76" w14:textId="78A6065B" w:rsidR="00C11E25" w:rsidRPr="00D2283E" w:rsidRDefault="00C11E25" w:rsidP="00C11E25">
      <w:pPr>
        <w:pStyle w:val="FootnoteText"/>
        <w:jc w:val="left"/>
      </w:pPr>
      <w:r>
        <w:rPr>
          <w:rStyle w:val="FootnoteReference"/>
        </w:rPr>
        <w:footnoteRef/>
      </w:r>
      <w:r>
        <w:tab/>
      </w:r>
      <w:hyperlink r:id="rId6" w:anchor=":~:text=Bilateral%20trade%20in%20services%20amounted,accounted%20for%20%E2%82%AC400.1%20billion" w:history="1">
        <w:r>
          <w:rPr>
            <w:rStyle w:val="Hyperlink"/>
          </w:rPr>
          <w:t>https://policy.trade.ec.europa.eu/eu-trade-relationships-country-and-region/countries-and-regions/association-south-east-asian-nations-asean_en#:~:text=Bilateral%20trade%20in%20services%20amounted,accounted%20for%20%E2%82%AC400.1%20billion</w:t>
        </w:r>
      </w:hyperlink>
      <w:r>
        <w:t>.</w:t>
      </w:r>
    </w:p>
  </w:footnote>
  <w:footnote w:id="9">
    <w:p w14:paraId="092603A8" w14:textId="144ED037" w:rsidR="00C11E25" w:rsidRPr="00D2283E" w:rsidRDefault="00C11E25" w:rsidP="00C11E25">
      <w:pPr>
        <w:keepLines/>
        <w:pBdr>
          <w:top w:val="nil"/>
          <w:left w:val="nil"/>
          <w:bottom w:val="nil"/>
          <w:right w:val="nil"/>
          <w:between w:val="nil"/>
        </w:pBdr>
        <w:spacing w:after="60" w:line="240" w:lineRule="auto"/>
        <w:ind w:left="567" w:hanging="567"/>
      </w:pPr>
      <w:r>
        <w:rPr>
          <w:rStyle w:val="FootnoteReference"/>
        </w:rPr>
        <w:footnoteRef/>
      </w:r>
      <w:r>
        <w:rPr>
          <w:color w:val="000000"/>
          <w:sz w:val="16"/>
        </w:rPr>
        <w:tab/>
      </w:r>
      <w:hyperlink r:id="rId7" w:history="1">
        <w:r>
          <w:rPr>
            <w:rStyle w:val="Hyperlink"/>
            <w:sz w:val="16"/>
          </w:rPr>
          <w:t>https://asean.org/asean-leaders-review-and-decision-on-the-implementation-of-the-five-point-consensus-3/</w:t>
        </w:r>
      </w:hyperlink>
      <w:r>
        <w:rPr>
          <w:sz w:val="16"/>
        </w:rPr>
        <w:t>.</w:t>
      </w:r>
    </w:p>
  </w:footnote>
  <w:footnote w:id="10">
    <w:p w14:paraId="15F52816" w14:textId="2E968AE6"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8" w:history="1">
        <w:r>
          <w:rPr>
            <w:rStyle w:val="Hyperlink"/>
            <w:sz w:val="16"/>
          </w:rPr>
          <w:t>https://aichr.org/</w:t>
        </w:r>
      </w:hyperlink>
      <w:r>
        <w:rPr>
          <w:sz w:val="16"/>
        </w:rPr>
        <w:t>.</w:t>
      </w:r>
    </w:p>
  </w:footnote>
  <w:footnote w:id="11">
    <w:p w14:paraId="790F9D0B" w14:textId="77777777"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9">
        <w:r>
          <w:rPr>
            <w:color w:val="0000FF"/>
            <w:sz w:val="16"/>
            <w:u w:val="single"/>
          </w:rPr>
          <w:t>https://reliefweb.int/organization/forum-asia</w:t>
        </w:r>
      </w:hyperlink>
      <w:r>
        <w:rPr>
          <w:color w:val="000000"/>
          <w:sz w:val="16"/>
        </w:rPr>
        <w:t>.</w:t>
      </w:r>
    </w:p>
  </w:footnote>
  <w:footnote w:id="12">
    <w:p w14:paraId="6708B305" w14:textId="605B66E1"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10" w:history="1">
        <w:r>
          <w:rPr>
            <w:rStyle w:val="Hyperlink"/>
            <w:sz w:val="16"/>
          </w:rPr>
          <w:t>https://safenet.or.id/</w:t>
        </w:r>
      </w:hyperlink>
      <w:r>
        <w:rPr>
          <w:color w:val="000000"/>
          <w:sz w:val="16"/>
        </w:rPr>
        <w:t>.</w:t>
      </w:r>
    </w:p>
  </w:footnote>
  <w:footnote w:id="13">
    <w:p w14:paraId="53C8A2C1" w14:textId="2D86B0F6"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11" w:history="1">
        <w:r>
          <w:rPr>
            <w:rStyle w:val="Hyperlink"/>
            <w:sz w:val="16"/>
          </w:rPr>
          <w:t>https://arrow.org.my/</w:t>
        </w:r>
      </w:hyperlink>
      <w:r>
        <w:rPr>
          <w:color w:val="000000"/>
          <w:sz w:val="16"/>
        </w:rPr>
        <w:t>.</w:t>
      </w:r>
    </w:p>
  </w:footnote>
  <w:footnote w:id="14">
    <w:p w14:paraId="53189B15" w14:textId="233FA470" w:rsidR="00C11E25" w:rsidRDefault="00C11E25" w:rsidP="00C11E25">
      <w:pPr>
        <w:keepLines/>
        <w:pBdr>
          <w:top w:val="nil"/>
          <w:left w:val="nil"/>
          <w:bottom w:val="nil"/>
          <w:right w:val="nil"/>
          <w:between w:val="nil"/>
        </w:pBdr>
        <w:spacing w:after="60" w:line="240" w:lineRule="auto"/>
        <w:ind w:left="567" w:hanging="567"/>
        <w:rPr>
          <w:color w:val="000000"/>
          <w:sz w:val="16"/>
          <w:szCs w:val="16"/>
        </w:rPr>
      </w:pPr>
      <w:r>
        <w:rPr>
          <w:rStyle w:val="FootnoteReference"/>
        </w:rPr>
        <w:footnoteRef/>
      </w:r>
      <w:r>
        <w:rPr>
          <w:color w:val="000000"/>
          <w:sz w:val="16"/>
        </w:rPr>
        <w:tab/>
      </w:r>
      <w:hyperlink r:id="rId12" w:history="1">
        <w:r>
          <w:rPr>
            <w:rStyle w:val="Hyperlink"/>
            <w:sz w:val="16"/>
          </w:rPr>
          <w:t>https://alternative-regionalisms.org/wp-content/uploads/2009/07/sapasubmissiononaseancharter-sociocultural.pdf</w:t>
        </w:r>
      </w:hyperlink>
      <w:r>
        <w:rPr>
          <w:color w:val="000000"/>
          <w:sz w:val="16"/>
        </w:rPr>
        <w:t>.</w:t>
      </w:r>
    </w:p>
  </w:footnote>
  <w:footnote w:id="15">
    <w:p w14:paraId="72024DB7" w14:textId="77777777" w:rsidR="00C11E25" w:rsidRDefault="00C11E25" w:rsidP="00C11E25">
      <w:pPr>
        <w:ind w:left="567" w:hanging="567"/>
        <w:jc w:val="left"/>
      </w:pPr>
      <w:r>
        <w:rPr>
          <w:rStyle w:val="FootnoteReference"/>
        </w:rPr>
        <w:footnoteRef/>
      </w:r>
      <w:r>
        <w:tab/>
      </w:r>
      <w:hyperlink r:id="rId13" w:history="1">
        <w:r>
          <w:rPr>
            <w:rStyle w:val="Hyperlink"/>
            <w:sz w:val="16"/>
          </w:rPr>
          <w:t>https://www.ilo.org/publications/social-dialogue-public-services-selected-asean-countries</w:t>
        </w:r>
      </w:hyperlink>
      <w:r>
        <w:t>.</w:t>
      </w:r>
    </w:p>
  </w:footnote>
  <w:footnote w:id="16">
    <w:p w14:paraId="5D6C648F" w14:textId="5B9412B6" w:rsidR="00C11E25" w:rsidRPr="00E92619" w:rsidRDefault="00C11E25" w:rsidP="00C11E25">
      <w:pPr>
        <w:spacing w:line="240" w:lineRule="auto"/>
        <w:ind w:left="567" w:hanging="567"/>
      </w:pPr>
      <w:r>
        <w:rPr>
          <w:rStyle w:val="FootnoteReference"/>
        </w:rPr>
        <w:footnoteRef/>
      </w:r>
      <w:r>
        <w:rPr>
          <w:sz w:val="16"/>
        </w:rPr>
        <w:tab/>
        <w:t>En Indonésie, en Malaisie, aux Philippines, à Singapour et en Thaïlande.</w:t>
      </w:r>
    </w:p>
  </w:footnote>
  <w:footnote w:id="17">
    <w:p w14:paraId="225A9E30" w14:textId="77777777" w:rsidR="00C11E25" w:rsidRPr="00E37A05" w:rsidRDefault="00C11E25" w:rsidP="00C11E25">
      <w:pPr>
        <w:spacing w:line="240" w:lineRule="auto"/>
        <w:ind w:left="567" w:hanging="567"/>
        <w:rPr>
          <w:sz w:val="20"/>
          <w:szCs w:val="20"/>
        </w:rPr>
      </w:pPr>
      <w:r>
        <w:rPr>
          <w:rStyle w:val="FootnoteReference"/>
        </w:rPr>
        <w:footnoteRef/>
      </w:r>
      <w:r>
        <w:tab/>
      </w:r>
      <w:hyperlink r:id="rId14" w:history="1">
        <w:r>
          <w:rPr>
            <w:rStyle w:val="Hyperlink"/>
            <w:sz w:val="16"/>
          </w:rPr>
          <w:t>https://www.europarl.europa.eu/doceo/document/TA-10-2024-0053_FR.html</w:t>
        </w:r>
      </w:hyperlink>
      <w:r>
        <w:rPr>
          <w:color w:val="000000"/>
          <w:sz w:val="16"/>
        </w:rPr>
        <w:t>.</w:t>
      </w:r>
    </w:p>
  </w:footnote>
  <w:footnote w:id="18">
    <w:p w14:paraId="097361EB" w14:textId="77777777" w:rsidR="00C11E25" w:rsidRPr="00A76BE7" w:rsidRDefault="00C11E25" w:rsidP="00C11E25">
      <w:pPr>
        <w:pStyle w:val="FootnoteText"/>
      </w:pPr>
      <w:r>
        <w:rPr>
          <w:rStyle w:val="FootnoteReference"/>
        </w:rPr>
        <w:footnoteRef/>
      </w:r>
      <w:r>
        <w:tab/>
      </w:r>
      <w:hyperlink r:id="rId15" w:history="1">
        <w:r>
          <w:rPr>
            <w:rStyle w:val="Hyperlink"/>
          </w:rPr>
          <w:t>https://www.europarl.europa.eu/RegData/etudes/STUD/2021/653635/IPOL_STU(2021)653635_EN.pdf</w:t>
        </w:r>
      </w:hyperlink>
      <w:r>
        <w:t>.</w:t>
      </w:r>
    </w:p>
  </w:footnote>
  <w:footnote w:id="19">
    <w:p w14:paraId="2A803CFA" w14:textId="77777777" w:rsidR="00C11E25" w:rsidRPr="00E92619" w:rsidRDefault="00C11E25" w:rsidP="00C11E25">
      <w:pPr>
        <w:spacing w:line="240" w:lineRule="auto"/>
        <w:ind w:left="567" w:hanging="567"/>
      </w:pPr>
      <w:r>
        <w:rPr>
          <w:rStyle w:val="FootnoteReference"/>
        </w:rPr>
        <w:footnoteRef/>
      </w:r>
      <w:r>
        <w:tab/>
      </w:r>
      <w:hyperlink r:id="rId16" w:history="1">
        <w:r>
          <w:rPr>
            <w:rStyle w:val="Hyperlink"/>
            <w:sz w:val="16"/>
          </w:rPr>
          <w:t>Rapport annuel de l’UE sur les droits de l’homme et la démocratie dans le monde</w:t>
        </w:r>
      </w:hyperlink>
      <w:r>
        <w:rPr>
          <w:color w:val="000000"/>
          <w:sz w:val="16"/>
        </w:rPr>
        <w:t xml:space="preserve"> (en anglais).</w:t>
      </w:r>
    </w:p>
  </w:footnote>
  <w:footnote w:id="20">
    <w:p w14:paraId="14B01D09" w14:textId="136DB229" w:rsidR="00C11E25" w:rsidRPr="00E92619" w:rsidRDefault="00C11E25" w:rsidP="00C11E25">
      <w:pPr>
        <w:spacing w:line="240" w:lineRule="auto"/>
        <w:ind w:left="567" w:hanging="567"/>
        <w:rPr>
          <w:sz w:val="20"/>
          <w:szCs w:val="20"/>
        </w:rPr>
      </w:pPr>
      <w:r>
        <w:rPr>
          <w:rStyle w:val="FootnoteReference"/>
        </w:rPr>
        <w:footnoteRef/>
      </w:r>
      <w:r>
        <w:rPr>
          <w:sz w:val="16"/>
        </w:rPr>
        <w:tab/>
      </w:r>
      <w:r>
        <w:tab/>
      </w:r>
      <w:hyperlink r:id="rId17" w:history="1">
        <w:r>
          <w:rPr>
            <w:rStyle w:val="Hyperlink"/>
            <w:sz w:val="16"/>
          </w:rPr>
          <w:t>Rapport annuel de l’UE sur les droits de l’homme et la démocratie dans le monde</w:t>
        </w:r>
      </w:hyperlink>
      <w:r>
        <w:t xml:space="preserve"> (en anglais).</w:t>
      </w:r>
    </w:p>
  </w:footnote>
  <w:footnote w:id="21">
    <w:p w14:paraId="4356B06B" w14:textId="77777777" w:rsidR="00C11E25" w:rsidRPr="00895F23" w:rsidRDefault="00C11E25" w:rsidP="00C11E25">
      <w:pPr>
        <w:spacing w:line="240" w:lineRule="auto"/>
        <w:ind w:left="567" w:hanging="567"/>
        <w:rPr>
          <w:sz w:val="20"/>
          <w:szCs w:val="20"/>
        </w:rPr>
      </w:pPr>
      <w:r>
        <w:rPr>
          <w:rStyle w:val="FootnoteReference"/>
        </w:rPr>
        <w:footnoteRef/>
      </w:r>
      <w:r>
        <w:tab/>
      </w:r>
      <w:hyperlink r:id="rId18">
        <w:r>
          <w:rPr>
            <w:color w:val="0000FF"/>
            <w:sz w:val="16"/>
            <w:u w:val="single"/>
          </w:rPr>
          <w:t>https://www.ilo.org/publications/social-dialogue-public-services-selected-asean-countries</w:t>
        </w:r>
      </w:hyperlink>
      <w:r>
        <w:t>.</w:t>
      </w:r>
    </w:p>
  </w:footnote>
  <w:footnote w:id="22">
    <w:p w14:paraId="6FBAE404" w14:textId="5A9EA888" w:rsidR="00C11E25" w:rsidRPr="00895F23" w:rsidRDefault="00C11E25" w:rsidP="00C11E25">
      <w:pPr>
        <w:keepLines/>
        <w:spacing w:after="60" w:line="240" w:lineRule="auto"/>
        <w:ind w:left="567" w:hanging="567"/>
        <w:rPr>
          <w:sz w:val="16"/>
          <w:szCs w:val="16"/>
        </w:rPr>
      </w:pPr>
      <w:r>
        <w:rPr>
          <w:rStyle w:val="FootnoteReference"/>
        </w:rPr>
        <w:footnoteRef/>
      </w:r>
      <w:r>
        <w:rPr>
          <w:sz w:val="16"/>
        </w:rPr>
        <w:tab/>
      </w:r>
      <w:hyperlink r:id="rId19" w:history="1">
        <w:r>
          <w:rPr>
            <w:rStyle w:val="Hyperlink"/>
            <w:sz w:val="16"/>
          </w:rPr>
          <w:t>https://www.eesc.europa.eu/en/documents/statement-european-union-domestic-advisory-group-eu-viet-nam-free-trade-agreement-1</w:t>
        </w:r>
      </w:hyperlink>
      <w:r>
        <w:rPr>
          <w:sz w:val="16"/>
        </w:rPr>
        <w:t>.</w:t>
      </w:r>
    </w:p>
  </w:footnote>
  <w:footnote w:id="23">
    <w:p w14:paraId="6FCA63EA" w14:textId="77777777" w:rsidR="00C11E25" w:rsidRPr="00895F23" w:rsidRDefault="00C11E25" w:rsidP="00C11E25">
      <w:pPr>
        <w:pStyle w:val="FootnoteText"/>
      </w:pPr>
      <w:r>
        <w:rPr>
          <w:rStyle w:val="FootnoteReference"/>
        </w:rPr>
        <w:footnoteRef/>
      </w:r>
      <w:r>
        <w:tab/>
      </w:r>
      <w:hyperlink r:id="rId20" w:history="1">
        <w:r>
          <w:rPr>
            <w:rStyle w:val="Hyperlink"/>
          </w:rPr>
          <w:t>https://multimedia.europarl.europa.eu/en/inta-committee-meeting_20250319-0900-COMMITTEE-INTA_vd</w:t>
        </w:r>
      </w:hyperlink>
      <w:r>
        <w:t>.</w:t>
      </w:r>
    </w:p>
  </w:footnote>
  <w:footnote w:id="24">
    <w:p w14:paraId="4267E897" w14:textId="77777777" w:rsidR="00C11E25" w:rsidRPr="00895F23" w:rsidRDefault="00C11E25" w:rsidP="00C11E25">
      <w:pPr>
        <w:pStyle w:val="FootnoteText"/>
      </w:pPr>
      <w:r>
        <w:rPr>
          <w:rStyle w:val="FootnoteReference"/>
        </w:rPr>
        <w:footnoteRef/>
      </w:r>
      <w:r>
        <w:tab/>
      </w:r>
      <w:hyperlink r:id="rId21" w:history="1">
        <w:r>
          <w:rPr>
            <w:rStyle w:val="Hyperlink"/>
          </w:rPr>
          <w:t>https://www.eesc.europa.eu/fr/sections-other-bodies/other/le-groupe-consultatif-interne-de-lue-au-titre-de-laccord-de-libre-echange-entre-lue-et-singapour</w:t>
        </w:r>
      </w:hyperlink>
      <w:r>
        <w:t>.</w:t>
      </w:r>
    </w:p>
  </w:footnote>
  <w:footnote w:id="25">
    <w:p w14:paraId="2752C7F1" w14:textId="77777777" w:rsidR="00C11E25" w:rsidRPr="00895F23" w:rsidRDefault="00C11E25" w:rsidP="00C11E25">
      <w:pPr>
        <w:spacing w:line="240" w:lineRule="auto"/>
        <w:ind w:left="567" w:hanging="567"/>
        <w:rPr>
          <w:sz w:val="20"/>
          <w:szCs w:val="20"/>
        </w:rPr>
      </w:pPr>
      <w:r>
        <w:rPr>
          <w:rStyle w:val="FootnoteReference"/>
        </w:rPr>
        <w:footnoteRef/>
      </w:r>
      <w:r>
        <w:tab/>
      </w:r>
      <w:hyperlink r:id="rId22">
        <w:r>
          <w:rPr>
            <w:color w:val="0000FF"/>
            <w:sz w:val="16"/>
            <w:u w:val="single"/>
          </w:rPr>
          <w:t>https://policy.trade.ec.europa.eu/analysis-and-assessment/eu-trade-meetings-civil-society/objectives_en</w:t>
        </w:r>
      </w:hyperlink>
      <w:r>
        <w:t>.</w:t>
      </w:r>
    </w:p>
  </w:footnote>
  <w:footnote w:id="26">
    <w:p w14:paraId="2DCD2F49" w14:textId="13B45023" w:rsidR="00C11E25" w:rsidRPr="00895F23" w:rsidRDefault="00C11E25" w:rsidP="00320852">
      <w:pPr>
        <w:pStyle w:val="FootnoteText"/>
        <w:spacing w:after="0" w:line="288" w:lineRule="auto"/>
      </w:pPr>
      <w:r>
        <w:rPr>
          <w:rStyle w:val="FootnoteReference"/>
        </w:rPr>
        <w:footnoteRef/>
      </w:r>
      <w:r>
        <w:tab/>
      </w:r>
      <w:hyperlink r:id="rId23" w:history="1">
        <w:r>
          <w:rPr>
            <w:rStyle w:val="Hyperlink"/>
          </w:rPr>
          <w:t>https://www.ilo.org/resource/workers-organizations-asia-and-pacific</w:t>
        </w:r>
      </w:hyperlink>
      <w:r>
        <w:t>.</w:t>
      </w:r>
    </w:p>
  </w:footnote>
  <w:footnote w:id="27">
    <w:p w14:paraId="339BC8FB" w14:textId="07730351"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4" w:history="1">
        <w:r>
          <w:rPr>
            <w:rStyle w:val="Hyperlink"/>
            <w:sz w:val="16"/>
          </w:rPr>
          <w:t>https://www.ituc-ap.org/</w:t>
        </w:r>
      </w:hyperlink>
      <w:r>
        <w:rPr>
          <w:color w:val="000000"/>
          <w:sz w:val="16"/>
        </w:rPr>
        <w:t>.</w:t>
      </w:r>
    </w:p>
  </w:footnote>
  <w:footnote w:id="28">
    <w:p w14:paraId="7A7A0744" w14:textId="62530188"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5" w:history="1">
        <w:r>
          <w:rPr>
            <w:rStyle w:val="Hyperlink"/>
            <w:sz w:val="16"/>
          </w:rPr>
          <w:t>https://www.wftucentral.org/?lang=fr</w:t>
        </w:r>
      </w:hyperlink>
      <w:r>
        <w:rPr>
          <w:color w:val="000000"/>
          <w:sz w:val="16"/>
        </w:rPr>
        <w:t>.</w:t>
      </w:r>
    </w:p>
  </w:footnote>
  <w:footnote w:id="29">
    <w:p w14:paraId="3675C3D9" w14:textId="256EA6B5"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6" w:history="1">
        <w:r>
          <w:rPr>
            <w:rStyle w:val="Hyperlink"/>
            <w:sz w:val="16"/>
          </w:rPr>
          <w:t>https://www.ilo.org/resource/workers-organizations-asia-and-pacific</w:t>
        </w:r>
      </w:hyperlink>
      <w:r>
        <w:rPr>
          <w:color w:val="000000"/>
          <w:sz w:val="16"/>
        </w:rPr>
        <w:t>.</w:t>
      </w:r>
    </w:p>
  </w:footnote>
  <w:footnote w:id="30">
    <w:p w14:paraId="5EE73751" w14:textId="20FE419A"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rPr>
          <w:color w:val="000000"/>
          <w:sz w:val="16"/>
        </w:rPr>
        <w:tab/>
      </w:r>
      <w:hyperlink r:id="rId27" w:history="1">
        <w:r>
          <w:rPr>
            <w:rStyle w:val="Hyperlink"/>
            <w:sz w:val="16"/>
          </w:rPr>
          <w:t>https://www.ilo.org/meetings-and-events/asean-employers-empowering-people-priortizing-skills</w:t>
        </w:r>
      </w:hyperlink>
      <w:r>
        <w:rPr>
          <w:color w:val="000000"/>
          <w:sz w:val="16"/>
        </w:rPr>
        <w:t>.</w:t>
      </w:r>
    </w:p>
  </w:footnote>
  <w:footnote w:id="31">
    <w:p w14:paraId="6742164F" w14:textId="55276E3C" w:rsidR="00C11E25" w:rsidRPr="00895F23" w:rsidRDefault="00C11E25" w:rsidP="00320852">
      <w:pPr>
        <w:keepLines/>
        <w:pBdr>
          <w:top w:val="nil"/>
          <w:left w:val="nil"/>
          <w:bottom w:val="nil"/>
          <w:right w:val="nil"/>
          <w:between w:val="nil"/>
        </w:pBdr>
        <w:ind w:left="567" w:hanging="567"/>
        <w:rPr>
          <w:color w:val="000000"/>
          <w:sz w:val="16"/>
          <w:szCs w:val="16"/>
        </w:rPr>
      </w:pPr>
      <w:r>
        <w:rPr>
          <w:rStyle w:val="FootnoteReference"/>
        </w:rPr>
        <w:footnoteRef/>
      </w:r>
      <w:r>
        <w:tab/>
      </w:r>
      <w:hyperlink r:id="rId28" w:history="1">
        <w:r>
          <w:rPr>
            <w:rStyle w:val="Hyperlink"/>
            <w:sz w:val="16"/>
          </w:rPr>
          <w:t>https://www.cape-emp.org/home.aspx</w:t>
        </w:r>
      </w:hyperlink>
      <w:r>
        <w:t>.</w:t>
      </w:r>
    </w:p>
  </w:footnote>
  <w:footnote w:id="32">
    <w:p w14:paraId="6D5EC683" w14:textId="64BCE3F6" w:rsidR="00C11E25" w:rsidRPr="0040720E" w:rsidRDefault="00C11E25" w:rsidP="00320852">
      <w:pPr>
        <w:ind w:left="567" w:hanging="567"/>
        <w:jc w:val="left"/>
        <w:rPr>
          <w:sz w:val="20"/>
          <w:szCs w:val="20"/>
        </w:rPr>
      </w:pPr>
      <w:r>
        <w:rPr>
          <w:rStyle w:val="FootnoteReference"/>
        </w:rPr>
        <w:footnoteRef/>
      </w:r>
      <w:r>
        <w:rPr>
          <w:sz w:val="16"/>
        </w:rPr>
        <w:tab/>
      </w:r>
      <w:hyperlink r:id="rId29" w:history="1">
        <w:r>
          <w:rPr>
            <w:rStyle w:val="Hyperlink"/>
            <w:sz w:val="16"/>
          </w:rPr>
          <w:t>Liberté syndicale et négociation collective: quels droits pour les travailleurs migrants?</w:t>
        </w:r>
      </w:hyperlink>
    </w:p>
  </w:footnote>
  <w:footnote w:id="33">
    <w:p w14:paraId="67F28C6B" w14:textId="3D825159" w:rsidR="00C11E25" w:rsidRPr="00F537C0" w:rsidRDefault="00C11E25" w:rsidP="00320852">
      <w:pPr>
        <w:ind w:left="567" w:hanging="567"/>
        <w:rPr>
          <w:sz w:val="16"/>
          <w:szCs w:val="16"/>
        </w:rPr>
      </w:pPr>
      <w:r>
        <w:rPr>
          <w:rStyle w:val="FootnoteReference"/>
        </w:rPr>
        <w:footnoteRef/>
      </w:r>
      <w:r>
        <w:rPr>
          <w:sz w:val="16"/>
        </w:rPr>
        <w:tab/>
      </w:r>
      <w:hyperlink r:id="rId30" w:history="1">
        <w:r>
          <w:rPr>
            <w:rStyle w:val="Hyperlink"/>
            <w:sz w:val="16"/>
          </w:rPr>
          <w:t>Liberté syndicale et négociation collective: quels droits pour les travailleurs migrants?</w:t>
        </w:r>
      </w:hyperlink>
    </w:p>
  </w:footnote>
  <w:footnote w:id="34">
    <w:p w14:paraId="5F01D663" w14:textId="4B779C46" w:rsidR="00C11E25" w:rsidRPr="00F537C0" w:rsidRDefault="00C11E25" w:rsidP="00320852">
      <w:pPr>
        <w:pStyle w:val="FootnoteText"/>
        <w:spacing w:after="0" w:line="288" w:lineRule="auto"/>
      </w:pPr>
      <w:r>
        <w:rPr>
          <w:rStyle w:val="FootnoteReference"/>
        </w:rPr>
        <w:footnoteRef/>
      </w:r>
      <w:r>
        <w:tab/>
      </w:r>
      <w:hyperlink r:id="rId31" w:history="1">
        <w:r>
          <w:rPr>
            <w:rStyle w:val="Hyperlink"/>
          </w:rPr>
          <w:t>https://asean.org/wp-content/uploads/2023/07/ASEAN_employment_outlook_WEB_FIN.pdf</w:t>
        </w:r>
      </w:hyperlink>
      <w:r>
        <w:t>.</w:t>
      </w:r>
    </w:p>
  </w:footnote>
  <w:footnote w:id="35">
    <w:p w14:paraId="648A74EC" w14:textId="46B2F435" w:rsidR="00C11E25" w:rsidRPr="00F537C0" w:rsidRDefault="00C11E25" w:rsidP="00320852">
      <w:pPr>
        <w:pStyle w:val="FootnoteText"/>
        <w:spacing w:after="0" w:line="288" w:lineRule="auto"/>
      </w:pPr>
      <w:r>
        <w:rPr>
          <w:rStyle w:val="FootnoteReference"/>
        </w:rPr>
        <w:footnoteRef/>
      </w:r>
      <w:r>
        <w:tab/>
      </w:r>
      <w:hyperlink r:id="rId32" w:history="1">
        <w:r>
          <w:rPr>
            <w:rStyle w:val="Hyperlink"/>
          </w:rPr>
          <w:t>https://thailand.iom.int/sites/g/files/tmzbdl1371/files/documents/2024-12/thailand-migration-report-2024.pdf</w:t>
        </w:r>
      </w:hyperlink>
      <w:r>
        <w:t>.</w:t>
      </w:r>
    </w:p>
  </w:footnote>
  <w:footnote w:id="36">
    <w:p w14:paraId="2EB45D39" w14:textId="5A4F79BB" w:rsidR="00C11E25" w:rsidRPr="00F537C0" w:rsidRDefault="00C11E25" w:rsidP="00320852">
      <w:pPr>
        <w:ind w:left="567" w:hanging="567"/>
        <w:rPr>
          <w:sz w:val="16"/>
          <w:szCs w:val="16"/>
        </w:rPr>
      </w:pPr>
      <w:r>
        <w:rPr>
          <w:rStyle w:val="FootnoteReference"/>
        </w:rPr>
        <w:footnoteRef/>
      </w:r>
      <w:r>
        <w:rPr>
          <w:sz w:val="16"/>
        </w:rPr>
        <w:tab/>
      </w:r>
      <w:hyperlink r:id="rId33" w:history="1">
        <w:r>
          <w:rPr>
            <w:rStyle w:val="Hyperlink"/>
            <w:sz w:val="16"/>
          </w:rPr>
          <w:t>https://iotc.org/fr/reunions/28e-session-de-la-commission-des-thons-de-locean-indien</w:t>
        </w:r>
      </w:hyperlink>
      <w:r>
        <w:rPr>
          <w:sz w:val="16"/>
        </w:rPr>
        <w:t>.</w:t>
      </w:r>
    </w:p>
  </w:footnote>
  <w:footnote w:id="37">
    <w:p w14:paraId="5869253A" w14:textId="77777777" w:rsidR="00C11E25" w:rsidRPr="00F537C0" w:rsidRDefault="00C11E25" w:rsidP="00320852">
      <w:pPr>
        <w:ind w:left="567" w:hanging="567"/>
        <w:rPr>
          <w:sz w:val="16"/>
          <w:szCs w:val="16"/>
        </w:rPr>
      </w:pPr>
      <w:r>
        <w:rPr>
          <w:rStyle w:val="FootnoteReference"/>
        </w:rPr>
        <w:footnoteRef/>
      </w:r>
      <w:r>
        <w:rPr>
          <w:sz w:val="16"/>
        </w:rPr>
        <w:tab/>
      </w:r>
      <w:hyperlink r:id="rId34" w:history="1">
        <w:r>
          <w:rPr>
            <w:rStyle w:val="Hyperlink"/>
            <w:sz w:val="16"/>
          </w:rPr>
          <w:t>https://ec.europa.eu/commission/presscorner/detail/fr/ip_24_2683</w:t>
        </w:r>
      </w:hyperlink>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6A3620">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13DDBD4F" w:rsidR="00574C9B" w:rsidRDefault="00D51A3C">
    <w:pPr>
      <w:pStyle w:val="Header"/>
    </w:pPr>
    <w:r>
      <w:rPr>
        <w:noProof/>
      </w:rPr>
      <w:drawing>
        <wp:anchor distT="0" distB="0" distL="114300" distR="114300" simplePos="0" relativeHeight="251658752" behindDoc="0" locked="0" layoutInCell="1" allowOverlap="1" wp14:anchorId="3CB43307" wp14:editId="3A767886">
          <wp:simplePos x="0" y="0"/>
          <wp:positionH relativeFrom="page">
            <wp:posOffset>305189</wp:posOffset>
          </wp:positionH>
          <wp:positionV relativeFrom="page">
            <wp:posOffset>257601</wp:posOffset>
          </wp:positionV>
          <wp:extent cx="6944360" cy="33439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910"/>
                  </a:xfrm>
                  <a:prstGeom prst="rect">
                    <a:avLst/>
                  </a:prstGeom>
                </pic:spPr>
              </pic:pic>
            </a:graphicData>
          </a:graphic>
          <wp14:sizeRelH relativeFrom="margin">
            <wp14:pctWidth>0</wp14:pctWidth>
          </wp14:sizeRelH>
          <wp14:sizeRelV relativeFrom="margin">
            <wp14:pctHeight>0</wp14:pctHeight>
          </wp14:sizeRelV>
        </wp:anchor>
      </w:drawing>
    </w:r>
    <w:r w:rsidR="006A3620">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r w:rsidR="00EC6755">
      <w:rPr>
        <w:noProof/>
      </w:rPr>
      <w:drawing>
        <wp:anchor distT="0" distB="0" distL="114300" distR="114300" simplePos="0" relativeHeight="251657728" behindDoc="0" locked="0" layoutInCell="1" allowOverlap="1" wp14:anchorId="32A48528" wp14:editId="3BEFD26D">
          <wp:simplePos x="898497" y="453224"/>
          <wp:positionH relativeFrom="page">
            <wp:align>center</wp:align>
          </wp:positionH>
          <wp:positionV relativeFrom="page">
            <wp:posOffset>288290</wp:posOffset>
          </wp:positionV>
          <wp:extent cx="6944398" cy="3344276"/>
          <wp:effectExtent l="0" t="0" r="0" b="8890"/>
          <wp:wrapNone/>
          <wp:docPr id="9" name="Picture 9" title="EESCLogo2021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EESCLogo2021_EN"/>
                  <pic:cNvPicPr/>
                </pic:nvPicPr>
                <pic:blipFill>
                  <a:blip r:embed="rId3">
                    <a:extLst>
                      <a:ext uri="{28A0092B-C50C-407E-A947-70E740481C1C}">
                        <a14:useLocalDpi xmlns:a14="http://schemas.microsoft.com/office/drawing/2010/main" val="0"/>
                      </a:ext>
                    </a:extLst>
                  </a:blip>
                  <a:stretch>
                    <a:fillRect/>
                  </a:stretch>
                </pic:blipFill>
                <pic:spPr>
                  <a:xfrm>
                    <a:off x="0" y="0"/>
                    <a:ext cx="6944398" cy="334427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6A3620">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6A3620">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6A3620">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EC6755">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6A3620">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6A3620">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0A30FF" w:rsidRDefault="006A3620">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6A3620">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689317E"/>
    <w:multiLevelType w:val="multilevel"/>
    <w:tmpl w:val="38860000"/>
    <w:lvl w:ilvl="0">
      <w:start w:val="1"/>
      <w:numFmt w:val="decimal"/>
      <w:lvlText w:val="%1."/>
      <w:lvlJc w:val="left"/>
      <w:pPr>
        <w:ind w:left="0" w:firstLine="0"/>
      </w:pPr>
      <w:rPr>
        <w:rFonts w:hint="default"/>
        <w:b w:val="0"/>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7C8F54F7"/>
    <w:multiLevelType w:val="multilevel"/>
    <w:tmpl w:val="38860000"/>
    <w:lvl w:ilvl="0">
      <w:start w:val="1"/>
      <w:numFmt w:val="decimal"/>
      <w:lvlText w:val="%1."/>
      <w:lvlJc w:val="left"/>
      <w:pPr>
        <w:ind w:left="0" w:firstLine="0"/>
      </w:pPr>
      <w:rPr>
        <w:rFonts w:hint="default"/>
        <w:b w:val="0"/>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Symbol" w:hAnsi="Symbol"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0604"/>
    <w:rsid w:val="00003107"/>
    <w:rsid w:val="00020389"/>
    <w:rsid w:val="00037DAD"/>
    <w:rsid w:val="00037E5B"/>
    <w:rsid w:val="00053D00"/>
    <w:rsid w:val="00053FD2"/>
    <w:rsid w:val="00067D46"/>
    <w:rsid w:val="00094C5F"/>
    <w:rsid w:val="000A0F3B"/>
    <w:rsid w:val="000A30FF"/>
    <w:rsid w:val="000A4F52"/>
    <w:rsid w:val="00101C3E"/>
    <w:rsid w:val="00157022"/>
    <w:rsid w:val="00185E99"/>
    <w:rsid w:val="0019231D"/>
    <w:rsid w:val="001955B6"/>
    <w:rsid w:val="001A434B"/>
    <w:rsid w:val="001D571E"/>
    <w:rsid w:val="001D61AC"/>
    <w:rsid w:val="001E15AA"/>
    <w:rsid w:val="001E3C28"/>
    <w:rsid w:val="001E3FA1"/>
    <w:rsid w:val="001F165D"/>
    <w:rsid w:val="00200E87"/>
    <w:rsid w:val="00206D14"/>
    <w:rsid w:val="00214BDC"/>
    <w:rsid w:val="00215E81"/>
    <w:rsid w:val="0024727F"/>
    <w:rsid w:val="002548EF"/>
    <w:rsid w:val="00296BCE"/>
    <w:rsid w:val="002B6A7B"/>
    <w:rsid w:val="002E0282"/>
    <w:rsid w:val="00306381"/>
    <w:rsid w:val="00320852"/>
    <w:rsid w:val="003353D7"/>
    <w:rsid w:val="00360204"/>
    <w:rsid w:val="003659F9"/>
    <w:rsid w:val="00384833"/>
    <w:rsid w:val="003F1034"/>
    <w:rsid w:val="00401DE5"/>
    <w:rsid w:val="00412822"/>
    <w:rsid w:val="00461CAF"/>
    <w:rsid w:val="004751CF"/>
    <w:rsid w:val="00484DD4"/>
    <w:rsid w:val="004871B8"/>
    <w:rsid w:val="004A3D71"/>
    <w:rsid w:val="004B0887"/>
    <w:rsid w:val="0053281C"/>
    <w:rsid w:val="00566DF2"/>
    <w:rsid w:val="00574C9B"/>
    <w:rsid w:val="0058411F"/>
    <w:rsid w:val="005956FC"/>
    <w:rsid w:val="005961A4"/>
    <w:rsid w:val="005B55E2"/>
    <w:rsid w:val="005C2475"/>
    <w:rsid w:val="005C3BDB"/>
    <w:rsid w:val="005F34E9"/>
    <w:rsid w:val="005F6AC8"/>
    <w:rsid w:val="006125A1"/>
    <w:rsid w:val="00653E7D"/>
    <w:rsid w:val="00662207"/>
    <w:rsid w:val="00667F09"/>
    <w:rsid w:val="00671C08"/>
    <w:rsid w:val="006868CB"/>
    <w:rsid w:val="006A3620"/>
    <w:rsid w:val="006B57A6"/>
    <w:rsid w:val="006D53A6"/>
    <w:rsid w:val="0072375C"/>
    <w:rsid w:val="00740EC9"/>
    <w:rsid w:val="00787837"/>
    <w:rsid w:val="00787ABB"/>
    <w:rsid w:val="007918CC"/>
    <w:rsid w:val="00793BB8"/>
    <w:rsid w:val="007B6C64"/>
    <w:rsid w:val="00822952"/>
    <w:rsid w:val="008311E5"/>
    <w:rsid w:val="00836505"/>
    <w:rsid w:val="00844B87"/>
    <w:rsid w:val="00853708"/>
    <w:rsid w:val="00876AF1"/>
    <w:rsid w:val="0089251B"/>
    <w:rsid w:val="008A6DD4"/>
    <w:rsid w:val="008E7D31"/>
    <w:rsid w:val="008F74D7"/>
    <w:rsid w:val="00904C42"/>
    <w:rsid w:val="00914683"/>
    <w:rsid w:val="00924C05"/>
    <w:rsid w:val="00937CF2"/>
    <w:rsid w:val="009451D6"/>
    <w:rsid w:val="009506A6"/>
    <w:rsid w:val="00964BF1"/>
    <w:rsid w:val="00976645"/>
    <w:rsid w:val="00976F77"/>
    <w:rsid w:val="0098228C"/>
    <w:rsid w:val="00992B39"/>
    <w:rsid w:val="009A734F"/>
    <w:rsid w:val="009C37A0"/>
    <w:rsid w:val="009C6F26"/>
    <w:rsid w:val="009E2100"/>
    <w:rsid w:val="00A310E1"/>
    <w:rsid w:val="00A3397C"/>
    <w:rsid w:val="00A36AB0"/>
    <w:rsid w:val="00AA334D"/>
    <w:rsid w:val="00AB37A3"/>
    <w:rsid w:val="00AC5114"/>
    <w:rsid w:val="00AE2782"/>
    <w:rsid w:val="00AE4394"/>
    <w:rsid w:val="00B25683"/>
    <w:rsid w:val="00B51901"/>
    <w:rsid w:val="00B65A84"/>
    <w:rsid w:val="00B73B79"/>
    <w:rsid w:val="00BB0A75"/>
    <w:rsid w:val="00BC4FD4"/>
    <w:rsid w:val="00BC7642"/>
    <w:rsid w:val="00BD50F6"/>
    <w:rsid w:val="00C0056A"/>
    <w:rsid w:val="00C073E1"/>
    <w:rsid w:val="00C11E25"/>
    <w:rsid w:val="00C25647"/>
    <w:rsid w:val="00C5137B"/>
    <w:rsid w:val="00C66AEA"/>
    <w:rsid w:val="00C9040A"/>
    <w:rsid w:val="00C91E4D"/>
    <w:rsid w:val="00CB110A"/>
    <w:rsid w:val="00CB7CD0"/>
    <w:rsid w:val="00D039AF"/>
    <w:rsid w:val="00D13128"/>
    <w:rsid w:val="00D16114"/>
    <w:rsid w:val="00D2283E"/>
    <w:rsid w:val="00D51A3C"/>
    <w:rsid w:val="00D95232"/>
    <w:rsid w:val="00DB7F50"/>
    <w:rsid w:val="00DE06D7"/>
    <w:rsid w:val="00DE30C7"/>
    <w:rsid w:val="00DF400F"/>
    <w:rsid w:val="00E05575"/>
    <w:rsid w:val="00E15BF4"/>
    <w:rsid w:val="00E2376B"/>
    <w:rsid w:val="00E2441D"/>
    <w:rsid w:val="00E26935"/>
    <w:rsid w:val="00E27707"/>
    <w:rsid w:val="00E333C8"/>
    <w:rsid w:val="00E47484"/>
    <w:rsid w:val="00E52B04"/>
    <w:rsid w:val="00E661B7"/>
    <w:rsid w:val="00E73266"/>
    <w:rsid w:val="00E7637E"/>
    <w:rsid w:val="00E8530C"/>
    <w:rsid w:val="00E869DE"/>
    <w:rsid w:val="00E90A9D"/>
    <w:rsid w:val="00EC6755"/>
    <w:rsid w:val="00ED0759"/>
    <w:rsid w:val="00F1723D"/>
    <w:rsid w:val="00F2069F"/>
    <w:rsid w:val="00F27167"/>
    <w:rsid w:val="00F53370"/>
    <w:rsid w:val="00F537C0"/>
    <w:rsid w:val="00F641E1"/>
    <w:rsid w:val="00F90BE2"/>
    <w:rsid w:val="00FA305D"/>
    <w:rsid w:val="00FB1AFF"/>
    <w:rsid w:val="00FB1D7A"/>
    <w:rsid w:val="00FB1F92"/>
    <w:rsid w:val="00FC0CEA"/>
    <w:rsid w:val="162344D0"/>
    <w:rsid w:val="4F547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22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www.eeas.europa.eu/node/63333_en" TargetMode="External"/><Relationship Id="rId25"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footer" Target="footer2.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fontTable" Target="fontTable.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aichr.org/" TargetMode="External"/><Relationship Id="rId13" Type="http://schemas.openxmlformats.org/officeDocument/2006/relationships/hyperlink" Target="https://www.ilo.org/publications/social-dialogue-public-services-selected-asean-countries" TargetMode="External"/><Relationship Id="rId18" Type="http://schemas.openxmlformats.org/officeDocument/2006/relationships/hyperlink" Target="https://www.ilo.org/publications/women-and-men-informal-economy-statistical-update" TargetMode="External"/><Relationship Id="rId26" Type="http://schemas.openxmlformats.org/officeDocument/2006/relationships/hyperlink" Target="https://www.ilo.org/resource/workers-organizations-asia-and-pacific" TargetMode="External"/><Relationship Id="rId3" Type="http://schemas.openxmlformats.org/officeDocument/2006/relationships/hyperlink" Target="https://eur-lex.europa.eu/legal-content/FR/TXT/PDF/?uri=CELEX:22019A1114(01)&amp;from=FR" TargetMode="External"/><Relationship Id="rId21" Type="http://schemas.openxmlformats.org/officeDocument/2006/relationships/hyperlink" Target="https://www.eesc.europa.eu/fr/sections-other-bodies/other/le-groupe-consultatif-interne-de-lue-au-titre-de-laccord-de-libre-echange-entre-lue-et-singapour" TargetMode="External"/><Relationship Id="rId34" Type="http://schemas.openxmlformats.org/officeDocument/2006/relationships/hyperlink" Target="https://ec.europa.eu/commission/presscorner/detail/en/ip_24_2683" TargetMode="External"/><Relationship Id="rId7" Type="http://schemas.openxmlformats.org/officeDocument/2006/relationships/hyperlink" Target="https://asean.org/asean-leaders-review-and-decision-on-the-implementation-of-the-five-point-consensus-3/" TargetMode="External"/><Relationship Id="rId12" Type="http://schemas.openxmlformats.org/officeDocument/2006/relationships/hyperlink" Target="https://alternative-regionalisms.org/wp-content/uploads/2009/07/sapasubmissiononaseancharter-sociocultural.pdf" TargetMode="External"/><Relationship Id="rId17" Type="http://schemas.openxmlformats.org/officeDocument/2006/relationships/hyperlink" Target="https://www.eeas.europa.eu/sites/default/files/documents/2024/2023%20EU%20country%20updates%20on%20human%20rights%20and%20democracy_0.pdf" TargetMode="External"/><Relationship Id="rId25" Type="http://schemas.openxmlformats.org/officeDocument/2006/relationships/hyperlink" Target="https://www.wftucentral.org/?lang=fr" TargetMode="External"/><Relationship Id="rId33" Type="http://schemas.openxmlformats.org/officeDocument/2006/relationships/hyperlink" Target="https://iotc.org/fr/reunions/28e-session-de-la-commission-des-thons-de-locean-indien" TargetMode="External"/><Relationship Id="rId2" Type="http://schemas.openxmlformats.org/officeDocument/2006/relationships/hyperlink" Target="https://www.eu-asean.eu/" TargetMode="External"/><Relationship Id="rId16" Type="http://schemas.openxmlformats.org/officeDocument/2006/relationships/hyperlink" Target="https://www.eeas.europa.eu/sites/default/files/documents/2024/2023%20EU%20country%20updates%20on%20human%20rights%20and%20democracy_0.pdf" TargetMode="External"/><Relationship Id="rId20" Type="http://schemas.openxmlformats.org/officeDocument/2006/relationships/hyperlink" Target="https://multimedia.europarl.europa.eu/en/inta-committee-meeting_20250319-0900-COMMITTEE-INTA_vd" TargetMode="External"/><Relationship Id="rId29" Type="http://schemas.openxmlformats.org/officeDocument/2006/relationships/hyperlink" Target="https://www.ilo.org/sites/default/files/wcmsp5/groups/public/%40ed_protect/%40protrav/%40migrant/documents/publication/wcms_901908.pdf" TargetMode="External"/><Relationship Id="rId1" Type="http://schemas.openxmlformats.org/officeDocument/2006/relationships/hyperlink" Target="https://www.ilo.org/fr/propos-de-loit/mission-et-impact-de-loit/declaration-de-loit-relative-aux-principes-et-droits-fondamentaux-au" TargetMode="External"/><Relationship Id="rId6" Type="http://schemas.openxmlformats.org/officeDocument/2006/relationships/hyperlink" Target="https://policy.trade.ec.europa.eu/eu-trade-relationships-country-and-region/countries-and-regions/association-south-east-asian-nations-asean_en" TargetMode="External"/><Relationship Id="rId11" Type="http://schemas.openxmlformats.org/officeDocument/2006/relationships/hyperlink" Target="https://arrow.org.my/" TargetMode="External"/><Relationship Id="rId24" Type="http://schemas.openxmlformats.org/officeDocument/2006/relationships/hyperlink" Target="https://www.ituc-ap.org/" TargetMode="External"/><Relationship Id="rId32" Type="http://schemas.openxmlformats.org/officeDocument/2006/relationships/hyperlink" Target="https://thailand.iom.int/sites/g/files/tmzbdl1371/files/documents/2024-12/thailand-migration-report-2024.pdf" TargetMode="External"/><Relationship Id="rId5" Type="http://schemas.openxmlformats.org/officeDocument/2006/relationships/hyperlink" Target="https://www.worldeconomics.com/Regions/ASEAN/" TargetMode="External"/><Relationship Id="rId15" Type="http://schemas.openxmlformats.org/officeDocument/2006/relationships/hyperlink" Target="https://www.europarl.europa.eu/RegData/etudes/STUD/2021/653635/EXPO_STU(2021)653635_EN.pdf" TargetMode="External"/><Relationship Id="rId23" Type="http://schemas.openxmlformats.org/officeDocument/2006/relationships/hyperlink" Target="https://www.ilo.org/resource/workers-organizations-asia-and-pacific" TargetMode="External"/><Relationship Id="rId28" Type="http://schemas.openxmlformats.org/officeDocument/2006/relationships/hyperlink" Target="https://www.cape-emp.org/home.aspx" TargetMode="External"/><Relationship Id="rId10" Type="http://schemas.openxmlformats.org/officeDocument/2006/relationships/hyperlink" Target="https://safenet.or.id/" TargetMode="External"/><Relationship Id="rId19" Type="http://schemas.openxmlformats.org/officeDocument/2006/relationships/hyperlink" Target="https://www.eesc.europa.eu/en/documents/statement-european-union-domestic-advisory-group-eu-viet-nam-free-trade-agreement-1" TargetMode="External"/><Relationship Id="rId31" Type="http://schemas.openxmlformats.org/officeDocument/2006/relationships/hyperlink" Target="https://asean.org/wp-content/uploads/2023/07/ASEAN_employment_outlook_WEB_FIN.pdf" TargetMode="External"/><Relationship Id="rId4" Type="http://schemas.openxmlformats.org/officeDocument/2006/relationships/hyperlink" Target="https://eur-lex.europa.eu/legal-content/FR/TXT/PDF/?uri=OJ:L:2020:186:FULL&amp;from=FR" TargetMode="External"/><Relationship Id="rId9" Type="http://schemas.openxmlformats.org/officeDocument/2006/relationships/hyperlink" Target="https://reliefweb.int/organization/forum-asia" TargetMode="External"/><Relationship Id="rId14" Type="http://schemas.openxmlformats.org/officeDocument/2006/relationships/hyperlink" Target="https://www.europarl.europa.eu/doceo/document/TA-10-2024-0053_FR.html" TargetMode="External"/><Relationship Id="rId22" Type="http://schemas.openxmlformats.org/officeDocument/2006/relationships/hyperlink" Target="https://policy.trade.ec.europa.eu/analysis-and-assessment/eu-trade-meetings-civil-society/objectives_en" TargetMode="External"/><Relationship Id="rId27" Type="http://schemas.openxmlformats.org/officeDocument/2006/relationships/hyperlink" Target="https://www.ilo.org/meetings-and-events/asean-employers-empowering-people-priortizing-skills" TargetMode="External"/><Relationship Id="rId30" Type="http://schemas.openxmlformats.org/officeDocument/2006/relationships/hyperlink" Target="https://www.ilo.org/sites/default/files/wcmsp5/groups/public/%40ed_protect/%40protrav/%40migrant/documents/publication/wcms_90190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A6WAAD5KZT2Q-604569563-13090</_dlc_DocId>
    <_dlc_DocIdUrl xmlns="1a33af13-4045-4f88-9d7b-618e30f79918">
      <Url>http://dm/eesc/2025/_layouts/15/DocIdRedir.aspx?ID=A6WAAD5KZT2Q-604569563-13090</Url>
      <Description>A6WAAD5KZT2Q-604569563-13090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RI</TermName>
          <TermId xmlns="http://schemas.microsoft.com/office/infopath/2007/PartnerControls">0e66e8df-1601-4fe1-947b-eb539760261a</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2025-06-30T12:00:00+00:00</ProductionDate>
    <DocumentNumber xmlns="be3ca9a7-9286-4008-99ec-aebc20da9dc2">840</DocumentNumber>
    <FicheYear xmlns="1a33af13-4045-4f88-9d7b-618e30f79918" xsi:nil="true"/>
    <DossierNumber xmlns="1a33af13-4045-4f88-9d7b-618e30f79918">589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 xsi:nil="true"/>
    <TaxCatchAll xmlns="1a33af13-4045-4f88-9d7b-618e30f79918">
      <Value>246</Value>
      <Value>50</Value>
      <Value>47</Value>
      <Value>46</Value>
      <Value>43</Value>
      <Value>42</Value>
      <Value>41</Value>
      <Value>40</Value>
      <Value>39</Value>
      <Value>37</Value>
      <Value>36</Value>
      <Value>35</Value>
      <Value>34</Value>
      <Value>33</Value>
      <Value>32</Value>
      <Value>31</Value>
      <Value>30</Value>
      <Value>29</Value>
      <Value>28</Value>
      <Value>27</Value>
      <Value>24</Value>
      <Value>23</Value>
      <Value>16</Value>
      <Value>15</Value>
      <Value>13</Value>
      <Value>12</Value>
      <Value>8</Value>
      <Value>5</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Rapporteur xmlns="1a33af13-4045-4f88-9d7b-618e30f79918">KOLLER &amp; PATER</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6739</FicheNumber>
    <OriginalSender xmlns="1a33af13-4045-4f88-9d7b-618e30f79918">
      <UserInfo>
        <DisplayName>Lacroix Grégory</DisplayName>
        <AccountId>1634</AccountId>
        <AccountType/>
      </UserInfo>
    </OriginalSender>
    <DocumentPart xmlns="1a33af13-4045-4f88-9d7b-618e30f79918">0</DocumentPart>
    <AdoptionDate xmlns="1a33af13-4045-4f88-9d7b-618e30f79918">2025-06-19T12:00:00+00:00</AdoptionDate>
    <RequestingService xmlns="1a33af13-4045-4f88-9d7b-618e30f79918">Relations extérieures</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2</DocumentVersion>
  </documentManagement>
</p:properties>
</file>

<file path=customXml/itemProps1.xml><?xml version="1.0" encoding="utf-8"?>
<ds:datastoreItem xmlns:ds="http://schemas.openxmlformats.org/officeDocument/2006/customXml" ds:itemID="{8178D3D7-3665-4796-8B57-85E2632CCF61}"/>
</file>

<file path=customXml/itemProps2.xml><?xml version="1.0" encoding="utf-8"?>
<ds:datastoreItem xmlns:ds="http://schemas.openxmlformats.org/officeDocument/2006/customXml" ds:itemID="{E392047B-0121-4C24-8620-419B06C0A9B6}"/>
</file>

<file path=customXml/itemProps3.xml><?xml version="1.0" encoding="utf-8"?>
<ds:datastoreItem xmlns:ds="http://schemas.openxmlformats.org/officeDocument/2006/customXml" ds:itemID="{537C0FC3-87A2-4036-8E03-5C1F775E0107}"/>
</file>

<file path=customXml/itemProps4.xml><?xml version="1.0" encoding="utf-8"?>
<ds:datastoreItem xmlns:ds="http://schemas.openxmlformats.org/officeDocument/2006/customXml" ds:itemID="{22BA477F-F687-4B43-BACB-3A948E96C288}"/>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4645</Words>
  <Characters>25551</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The situation of the civil society organisations in the ASEAN countries</vt:lpstr>
    </vt:vector>
  </TitlesOfParts>
  <Company>CESE-CdR</Company>
  <LinksUpToDate>false</LinksUpToDate>
  <CharactersWithSpaces>30136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situation des organisations de la société civile dans les pays de l’ASEAN</dc:title>
  <dc:subject>RI</dc:subject>
  <dc:creator>Francois Aude</dc:creator>
  <cp:keywords>EESC-2025-00840-00-02-RI-TRA-EN</cp:keywords>
  <dc:description>Rapporteur: KOLLER &amp; PATER - Original language: EN - Date of document: 30-06-2025 - Date of meeting:  - External documents:  - Administrator: MME FEVRE-BURDY Sylvia Gunilla</dc:description>
  <cp:lastModifiedBy>Lacroix Grégory</cp:lastModifiedBy>
  <cp:revision>9</cp:revision>
  <dcterms:created xsi:type="dcterms:W3CDTF">2025-06-30T15:56:00Z</dcterms:created>
  <dcterms:modified xsi:type="dcterms:W3CDTF">2025-06-30T17:06:00Z</dcterms:modified>
  <cp:category>REX/589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30/06/2025, 27/06/2025, 27/06/2025, 23/06/2025, 23/06/2025, 12/04/2024, 17/05/2022</vt:lpwstr>
  </property>
  <property fmtid="{D5CDD505-2E9C-101B-9397-08002B2CF9AE}" pid="4" name="Pref_Time">
    <vt:lpwstr>17:44:45, 10:56:37, 10:53:34, 14:28:35, 09:02:59, 12:04:59, 14:58:36</vt:lpwstr>
  </property>
  <property fmtid="{D5CDD505-2E9C-101B-9397-08002B2CF9AE}" pid="5" name="Pref_User">
    <vt:lpwstr>nnas, jhvi, jhvi, jhvi, jhvi, enied, enied</vt:lpwstr>
  </property>
  <property fmtid="{D5CDD505-2E9C-101B-9397-08002B2CF9AE}" pid="6" name="Pref_FileName">
    <vt:lpwstr>EESC-2025-00840-00-02-RI-ORI.docx, EESC-2025-00840-00-02-RI-TRA-EN_jhvi.docx, EESC-2025-00840-00-01-RI-TRA-EN (3).docx, eesc-2025-00840-00-01-RI-ORI.docx, eesc-2025-00840-00-00-ri-ori (3).docx, COR-EESC-2024-01326-27-00-ADMIN-ORI.docx, COR-EESC-2022-02592</vt:lpwstr>
  </property>
  <property fmtid="{D5CDD505-2E9C-101B-9397-08002B2CF9AE}" pid="7" name="ContentTypeId">
    <vt:lpwstr>0x010100EA97B91038054C99906057A708A1480A006BB3B767F3CF4149BF520211D4A86BC0</vt:lpwstr>
  </property>
  <property fmtid="{D5CDD505-2E9C-101B-9397-08002B2CF9AE}" pid="8" name="_dlc_DocIdItemGuid">
    <vt:lpwstr>4ef0f31f-75b4-428d-b7f9-e816ce9caae8</vt:lpwstr>
  </property>
  <property fmtid="{D5CDD505-2E9C-101B-9397-08002B2CF9AE}" pid="9" name="AvailableTranslations">
    <vt:lpwstr>40;#DA|5d49c027-8956-412b-aa16-e85a0f96ad0e;#37;#HU|6b229040-c589-4408-b4c1-4285663d20a8;#42;#EL|6d4f4d51-af9b-4650-94b4-4276bee85c91;#47;#BG|1a1b3951-7821-4e6a-85f5-5673fc08bd2c;#30;#LT|a7ff5ce7-6123-4f68-865a-a57c31810414;#31;#SL|98a412ae-eb01-49e9-ae3d-585a81724cfc;#46;#SK|46d9fce0-ef79-4f71-b89b-cd6aa82426b8;#41;#ET|ff6c3f4c-b02c-4c3c-ab07-2c37995a7a0a;#36;#RO|feb747a2-64cd-4299-af12-4833ddc30497;#32;#MT|7df99101-6854-4a26-b53a-b88c0da02c26;#33;#PT|50ccc04a-eadd-42ae-a0cb-acaf45f812ba;#39;#LV|46f7e311-5d9f-4663-b433-18aeccb7ace7;#34;#IT|0774613c-01ed-4e5d-a25d-11d2388de825;#16;#ES|e7a6b05b-ae16-40c8-add9-68b64b03aeba;#28;#SV|c2ed69e7-a339-43d7-8f22-d93680a92aa0;#35;#FI|87606a43-d45f-42d6-b8c9-e1a3457db5b7;#50;#HR|2f555653-ed1a-4fe6-8362-9082d95989e5;#24;#PL|1e03da61-4678-4e07-b136-b5024ca9197b;#23;#DE|f6b31e5a-26fa-4935-b661-318e46daf27e;#29;#CS|72f9705b-0217-4fd3-bea2-cbc7ed80e26e;#27;#NL|55c6556c-b4f4-441d-9acf-c498d4f838bd;#12;#FR|d2afafd3-4c81-4f60-8f52-ee33f2f54ff3;#5;#EN|f2175f21-25d7-44a3-96da-d6a61b075e1b;#43;#GA|762d2456-c427-4ecb-b312-af3dad8e258c</vt:lpwstr>
  </property>
  <property fmtid="{D5CDD505-2E9C-101B-9397-08002B2CF9AE}" pid="10" name="DocumentType_0">
    <vt:lpwstr>RI|0e66e8df-1601-4fe1-947b-eb539760261a</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840</vt:i4>
  </property>
  <property fmtid="{D5CDD505-2E9C-101B-9397-08002B2CF9AE}" pid="14" name="DocumentVersion">
    <vt:i4>2</vt:i4>
  </property>
  <property fmtid="{D5CDD505-2E9C-101B-9397-08002B2CF9AE}" pid="15" name="DossierNumber">
    <vt:i4>589</vt:i4>
  </property>
  <property fmtid="{D5CDD505-2E9C-101B-9397-08002B2CF9AE}" pid="16" name="DocumentStatus">
    <vt:lpwstr>13;#TRA|150d2a88-1431-44e6-a8ca-0bb753ab8672</vt:lpwstr>
  </property>
  <property fmtid="{D5CDD505-2E9C-101B-9397-08002B2CF9AE}" pid="17" name="DossierName">
    <vt:lpwstr>2;#REX|6820eaf5-116e-436b-ad9c-156f8a94c2a1</vt:lpwstr>
  </property>
  <property fmtid="{D5CDD505-2E9C-101B-9397-08002B2CF9AE}" pid="18" name="RequestingService">
    <vt:lpwstr>Relations extérieures</vt:lpwstr>
  </property>
  <property fmtid="{D5CDD505-2E9C-101B-9397-08002B2CF9AE}" pid="19" name="Confidentiality">
    <vt:lpwstr>15;#Unrestricted|826e22d7-d029-4ec0-a450-0c28ff673572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EN|f2175f21-25d7-44a3-96da-d6a61b075e1b</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15;#Unrestricted|826e22d7-d029-4ec0-a450-0c28ff673572;#13;#TRA|150d2a88-1431-44e6-a8ca-0bb753ab8672;#246;#RI|0e66e8df-1601-4fe1-947b-eb539760261a;#5;#EN|f2175f21-25d7-44a3-96da-d6a61b075e1b;#2;#REX|6820eaf5-116e-436b-ad9c-156f8a94c2a1;#1;#EESC|422833ec-8d7e-4e65-8e4e-8bed07ffb729;#8;#Final|ea5e6674-7b27-4bac-b091-73adbb394efe</vt:lpwstr>
  </property>
  <property fmtid="{D5CDD505-2E9C-101B-9397-08002B2CF9AE}" pid="29" name="Rapporteur">
    <vt:lpwstr>KOLLER &amp; PATER</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6739</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2025-06-19T12:00:00Z</vt:filetime>
  </property>
  <property fmtid="{D5CDD505-2E9C-101B-9397-08002B2CF9AE}" pid="37" name="DocumentType">
    <vt:lpwstr>246;#RI|0e66e8df-1601-4fe1-947b-eb539760261a</vt:lpwstr>
  </property>
  <property fmtid="{D5CDD505-2E9C-101B-9397-08002B2CF9AE}" pid="38" name="DocumentLanguage">
    <vt:lpwstr>12;#FR|d2afafd3-4c81-4f60-8f52-ee33f2f54ff3</vt:lpwstr>
  </property>
  <property fmtid="{D5CDD505-2E9C-101B-9397-08002B2CF9AE}" pid="39" name="_docset_NoMedatataSyncRequired">
    <vt:lpwstr>False</vt:lpwstr>
  </property>
</Properties>
</file>