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89"/>
      </w:tblGrid>
      <w:tr w:rsidRPr="001F165D" w:rsidR="00574C9B" w:rsidTr="008E4CC5" w14:paraId="4B18B74B" w14:textId="77777777">
        <w:trPr>
          <w:jc w:val="center"/>
        </w:trPr>
        <w:tc>
          <w:tcPr>
            <w:tcW w:w="5000" w:type="pct"/>
            <w:vAlign w:val="center"/>
          </w:tcPr>
          <w:p w:rsidRPr="001F165D" w:rsidR="00574C9B" w:rsidP="006125A1" w:rsidRDefault="00360204" w14:paraId="4B8F14AB" w14:textId="1DC17AD9">
            <w:pPr>
              <w:jc w:val="center"/>
              <w:rPr>
                <w:b/>
                <w:sz w:val="72"/>
                <w:szCs w:val="72"/>
              </w:rPr>
            </w:pPr>
            <w:r>
              <w:rPr>
                <w:b/>
                <w:sz w:val="72"/>
              </w:rPr>
              <w:t>INFORMATIVNO IZVJEŠĆE</w:t>
            </w:r>
          </w:p>
        </w:tc>
      </w:tr>
      <w:tr w:rsidRPr="001F165D" w:rsidR="00574C9B" w:rsidTr="008E4CC5" w14:paraId="428F80C1" w14:textId="77777777">
        <w:trPr>
          <w:trHeight w:val="567"/>
          <w:jc w:val="center"/>
        </w:trPr>
        <w:tc>
          <w:tcPr>
            <w:tcW w:w="5000" w:type="pct"/>
            <w:vAlign w:val="center"/>
          </w:tcPr>
          <w:p w:rsidRPr="001F165D" w:rsidR="00574C9B" w:rsidP="006125A1" w:rsidRDefault="00574C9B" w14:paraId="0E3C838D" w14:textId="126C60AA">
            <w:pPr>
              <w:jc w:val="center"/>
              <w:rPr>
                <w:sz w:val="24"/>
                <w:szCs w:val="24"/>
              </w:rPr>
            </w:pPr>
            <w:r>
              <w:rPr>
                <w:sz w:val="24"/>
              </w:rPr>
              <w:t>Europski gospodarski i socijalni odbor</w:t>
            </w:r>
          </w:p>
        </w:tc>
      </w:tr>
      <w:tr w:rsidRPr="001F165D" w:rsidR="00574C9B" w:rsidTr="008E4CC5" w14:paraId="5FCA7EB1" w14:textId="77777777">
        <w:trPr>
          <w:jc w:val="center"/>
        </w:trPr>
        <w:tc>
          <w:tcPr>
            <w:tcW w:w="5000" w:type="pct"/>
            <w:vAlign w:val="center"/>
          </w:tcPr>
          <w:p w:rsidRPr="001F165D" w:rsidR="00574C9B" w:rsidP="006125A1" w:rsidRDefault="00384833" w14:paraId="164B3F5D" w14:textId="3014D980">
            <w:pPr>
              <w:jc w:val="center"/>
              <w:rPr>
                <w:b/>
                <w:sz w:val="44"/>
                <w:szCs w:val="44"/>
              </w:rPr>
            </w:pPr>
            <w:r>
              <w:rPr>
                <w:b/>
                <w:sz w:val="44"/>
              </w:rPr>
              <w:t>Stanje organizacija civilnog društva u zemljama ASEAN-a</w:t>
            </w:r>
          </w:p>
        </w:tc>
      </w:tr>
      <w:tr w:rsidRPr="001F165D" w:rsidR="00574C9B" w:rsidTr="008E4CC5" w14:paraId="0A2CA787" w14:textId="77777777">
        <w:trPr>
          <w:jc w:val="center"/>
        </w:trPr>
        <w:tc>
          <w:tcPr>
            <w:tcW w:w="5000" w:type="pct"/>
            <w:vAlign w:val="center"/>
          </w:tcPr>
          <w:p w:rsidRPr="001F165D" w:rsidR="00574C9B" w:rsidP="006125A1" w:rsidRDefault="00574C9B" w14:paraId="766B3712" w14:textId="77777777">
            <w:pPr>
              <w:overflowPunct w:val="0"/>
              <w:autoSpaceDE w:val="0"/>
              <w:autoSpaceDN w:val="0"/>
              <w:adjustRightInd w:val="0"/>
              <w:jc w:val="center"/>
              <w:textAlignment w:val="baseline"/>
              <w:rPr>
                <w:b/>
                <w:position w:val="24"/>
                <w:sz w:val="24"/>
                <w:szCs w:val="24"/>
              </w:rPr>
            </w:pPr>
            <w:r>
              <w:rPr>
                <w:sz w:val="24"/>
              </w:rPr>
              <w:t>_____________</w:t>
            </w:r>
          </w:p>
        </w:tc>
      </w:tr>
      <w:tr w:rsidRPr="001F165D" w:rsidR="00574C9B" w:rsidTr="008E4CC5" w14:paraId="651BE820" w14:textId="77777777">
        <w:trPr>
          <w:jc w:val="center"/>
        </w:trPr>
        <w:tc>
          <w:tcPr>
            <w:tcW w:w="5000" w:type="pct"/>
            <w:vAlign w:val="center"/>
          </w:tcPr>
          <w:p w:rsidRPr="001F165D" w:rsidR="00574C9B" w:rsidP="00360204" w:rsidRDefault="007918CC" w14:paraId="6E238E6D" w14:textId="2F4A1380">
            <w:pPr>
              <w:jc w:val="center"/>
              <w:rPr>
                <w:sz w:val="24"/>
                <w:szCs w:val="24"/>
              </w:rPr>
            </w:pPr>
            <w:r>
              <w:t>Stanje organizacija civilnog društva u zemljama ASEAN-a</w:t>
            </w:r>
          </w:p>
        </w:tc>
      </w:tr>
      <w:tr w:rsidRPr="001F165D" w:rsidR="00574C9B" w:rsidTr="008E4CC5" w14:paraId="295584EE" w14:textId="77777777">
        <w:trPr>
          <w:jc w:val="center"/>
        </w:trPr>
        <w:tc>
          <w:tcPr>
            <w:tcW w:w="5000" w:type="pct"/>
            <w:vAlign w:val="center"/>
          </w:tcPr>
          <w:p w:rsidRPr="001F165D" w:rsidR="00574C9B" w:rsidP="006125A1" w:rsidRDefault="00574C9B" w14:paraId="7AA50FA1" w14:textId="77777777">
            <w:pPr>
              <w:jc w:val="center"/>
              <w:rPr>
                <w:sz w:val="24"/>
                <w:szCs w:val="24"/>
                <w:lang w:val="en-GB"/>
              </w:rPr>
            </w:pPr>
          </w:p>
        </w:tc>
      </w:tr>
      <w:tr w:rsidRPr="001F165D" w:rsidR="00574C9B" w:rsidTr="008E4CC5" w14:paraId="41F47321" w14:textId="77777777">
        <w:trPr>
          <w:jc w:val="center"/>
        </w:trPr>
        <w:tc>
          <w:tcPr>
            <w:tcW w:w="5000" w:type="pct"/>
            <w:vAlign w:val="center"/>
          </w:tcPr>
          <w:p w:rsidRPr="001F165D" w:rsidR="00574C9B" w:rsidP="006125A1" w:rsidRDefault="007918CC" w14:paraId="50D97899" w14:textId="308AC2EA">
            <w:pPr>
              <w:jc w:val="center"/>
              <w:rPr>
                <w:b/>
                <w:sz w:val="24"/>
                <w:szCs w:val="24"/>
              </w:rPr>
            </w:pPr>
            <w:r>
              <w:rPr>
                <w:b/>
                <w:sz w:val="24"/>
              </w:rPr>
              <w:t>REX/589</w:t>
            </w:r>
          </w:p>
        </w:tc>
      </w:tr>
      <w:tr w:rsidRPr="001F165D" w:rsidR="00574C9B" w:rsidTr="008E4CC5" w14:paraId="2110FDEB" w14:textId="77777777">
        <w:trPr>
          <w:jc w:val="center"/>
        </w:trPr>
        <w:tc>
          <w:tcPr>
            <w:tcW w:w="5000" w:type="pct"/>
            <w:vAlign w:val="center"/>
          </w:tcPr>
          <w:p w:rsidRPr="001F165D" w:rsidR="00574C9B" w:rsidP="006125A1" w:rsidRDefault="00574C9B" w14:paraId="59F181E4" w14:textId="77777777">
            <w:pPr>
              <w:jc w:val="center"/>
              <w:rPr>
                <w:sz w:val="24"/>
                <w:szCs w:val="24"/>
                <w:lang w:val="en-GB"/>
              </w:rPr>
            </w:pPr>
          </w:p>
        </w:tc>
      </w:tr>
      <w:tr w:rsidRPr="001F165D" w:rsidR="00574C9B" w:rsidTr="008E4CC5" w14:paraId="5DF7EBEA" w14:textId="77777777">
        <w:trPr>
          <w:jc w:val="center"/>
        </w:trPr>
        <w:tc>
          <w:tcPr>
            <w:tcW w:w="5000" w:type="pct"/>
            <w:vAlign w:val="center"/>
          </w:tcPr>
          <w:p w:rsidRPr="001F165D" w:rsidR="00F1723D" w:rsidP="00F1723D" w:rsidRDefault="00F1723D" w14:paraId="6A1138F4" w14:textId="566459AE">
            <w:pPr>
              <w:jc w:val="center"/>
              <w:rPr>
                <w:b/>
                <w:bCs/>
              </w:rPr>
            </w:pPr>
            <w:r>
              <w:t xml:space="preserve">Izvjestiteljica: </w:t>
            </w:r>
            <w:r>
              <w:rPr>
                <w:b/>
              </w:rPr>
              <w:t>Erika KOLLER</w:t>
            </w:r>
          </w:p>
          <w:p w:rsidRPr="001F165D" w:rsidR="00574C9B" w:rsidP="006125A1" w:rsidRDefault="00F1723D" w14:paraId="23E9DE0A" w14:textId="10E098E1">
            <w:pPr>
              <w:jc w:val="center"/>
              <w:rPr>
                <w:sz w:val="24"/>
                <w:szCs w:val="24"/>
              </w:rPr>
            </w:pPr>
            <w:r>
              <w:t xml:space="preserve">Suizvjestitelj: </w:t>
            </w:r>
            <w:r>
              <w:rPr>
                <w:b/>
              </w:rPr>
              <w:t>Krzysztof BALON</w:t>
            </w:r>
          </w:p>
        </w:tc>
      </w:tr>
    </w:tbl>
    <w:p w:rsidRPr="001F165D" w:rsidR="00574C9B" w:rsidP="00574C9B" w:rsidRDefault="00574C9B" w14:paraId="0B225863" w14:textId="77777777">
      <w:r>
        <w:rPr>
          <w:noProof/>
          <w:sz w:val="20"/>
        </w:rPr>
        <mc:AlternateContent>
          <mc:Choice Requires="wps">
            <w:drawing>
              <wp:anchor distT="0" distB="0" distL="114300" distR="114300" simplePos="0" relativeHeight="251659264"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HR</w:t>
                      </w:r>
                    </w:p>
                  </w:txbxContent>
                </v:textbox>
                <w10:wrap anchorx="margin" anchory="page"/>
              </v:shape>
            </w:pict>
          </mc:Fallback>
        </mc:AlternateContent>
      </w:r>
    </w:p>
    <w:p w:rsidRPr="001F165D" w:rsidR="00574C9B" w:rsidP="00574C9B" w:rsidRDefault="00574C9B" w14:paraId="3FA5826A" w14:textId="77777777">
      <w:pPr>
        <w:rPr>
          <w:lang w:val="en-GB"/>
        </w:rPr>
      </w:pPr>
    </w:p>
    <w:p w:rsidRPr="001F165D" w:rsidR="00574C9B" w:rsidP="00574C9B" w:rsidRDefault="00574C9B" w14:paraId="4B88FC0A" w14:textId="77777777">
      <w:pPr>
        <w:rPr>
          <w:lang w:val="en-GB"/>
        </w:rPr>
        <w:sectPr w:rsidRPr="001F165D" w:rsidR="00574C9B" w:rsidSect="00296BCE">
          <w:headerReference w:type="even" r:id="rId10"/>
          <w:headerReference w:type="default" r:id="rId11"/>
          <w:footerReference w:type="even" r:id="rId12"/>
          <w:footerReference w:type="default" r:id="rId13"/>
          <w:headerReference w:type="first" r:id="rId14"/>
          <w:footerReference w:type="first" r:id="rId15"/>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1F165D" w:rsidR="00C5137B" w:rsidTr="00E15BF4" w14:paraId="6755593A" w14:textId="77777777">
        <w:tc>
          <w:tcPr>
            <w:tcW w:w="3085" w:type="dxa"/>
          </w:tcPr>
          <w:p w:rsidRPr="001F165D" w:rsidR="00C5137B" w:rsidP="0058411F" w:rsidRDefault="00C5137B" w14:paraId="5F91A05F" w14:textId="0D333D6B">
            <w:pPr>
              <w:autoSpaceDE w:val="0"/>
              <w:autoSpaceDN w:val="0"/>
              <w:jc w:val="left"/>
              <w:rPr>
                <w:szCs w:val="20"/>
              </w:rPr>
            </w:pPr>
            <w:r>
              <w:lastRenderedPageBreak/>
              <w:t>Savjetnik/ica:</w:t>
            </w:r>
          </w:p>
        </w:tc>
        <w:tc>
          <w:tcPr>
            <w:tcW w:w="6204" w:type="dxa"/>
            <w:vAlign w:val="bottom"/>
          </w:tcPr>
          <w:p w:rsidRPr="001F165D" w:rsidR="00C5137B" w:rsidP="0058411F" w:rsidRDefault="00306381" w14:paraId="70C24170" w14:textId="68ABC4A9">
            <w:pPr>
              <w:autoSpaceDE w:val="0"/>
              <w:autoSpaceDN w:val="0"/>
              <w:jc w:val="left"/>
            </w:pPr>
            <w:r>
              <w:t xml:space="preserve">Claudia Lozano Rodriguez </w:t>
            </w:r>
          </w:p>
        </w:tc>
      </w:tr>
      <w:tr w:rsidRPr="001F165D" w:rsidR="00C5137B" w:rsidTr="00E15BF4" w14:paraId="0F2D8E06" w14:textId="77777777">
        <w:tc>
          <w:tcPr>
            <w:tcW w:w="3085" w:type="dxa"/>
          </w:tcPr>
          <w:p w:rsidRPr="001F165D" w:rsidR="00C5137B" w:rsidP="0058411F" w:rsidRDefault="00C5137B" w14:paraId="4CD317AD" w14:textId="77777777">
            <w:pPr>
              <w:autoSpaceDE w:val="0"/>
              <w:autoSpaceDN w:val="0"/>
              <w:jc w:val="left"/>
              <w:rPr>
                <w:szCs w:val="20"/>
                <w:lang w:val="en-GB"/>
              </w:rPr>
            </w:pPr>
          </w:p>
        </w:tc>
        <w:tc>
          <w:tcPr>
            <w:tcW w:w="6204" w:type="dxa"/>
            <w:vAlign w:val="bottom"/>
          </w:tcPr>
          <w:p w:rsidRPr="001F165D" w:rsidR="00C5137B" w:rsidP="0058411F" w:rsidRDefault="00C5137B" w14:paraId="59403491" w14:textId="77777777">
            <w:pPr>
              <w:autoSpaceDE w:val="0"/>
              <w:autoSpaceDN w:val="0"/>
              <w:jc w:val="left"/>
              <w:rPr>
                <w:lang w:val="en-GB"/>
              </w:rPr>
            </w:pPr>
          </w:p>
        </w:tc>
      </w:tr>
      <w:tr w:rsidRPr="001F165D" w:rsidR="00914683" w:rsidTr="00E15BF4" w14:paraId="3E385435" w14:textId="77777777">
        <w:tc>
          <w:tcPr>
            <w:tcW w:w="3085" w:type="dxa"/>
          </w:tcPr>
          <w:p w:rsidRPr="001F165D" w:rsidR="00914683" w:rsidP="0058411F" w:rsidRDefault="00914683" w14:paraId="3054D729" w14:textId="5D5B5FF6">
            <w:pPr>
              <w:autoSpaceDE w:val="0"/>
              <w:autoSpaceDN w:val="0"/>
              <w:jc w:val="left"/>
              <w:rPr>
                <w:szCs w:val="20"/>
              </w:rPr>
            </w:pPr>
            <w:r>
              <w:t>Pravna osnova:</w:t>
            </w:r>
          </w:p>
        </w:tc>
        <w:tc>
          <w:tcPr>
            <w:tcW w:w="6204" w:type="dxa"/>
            <w:vAlign w:val="bottom"/>
          </w:tcPr>
          <w:p w:rsidRPr="001F165D" w:rsidR="00914683" w:rsidP="0058411F" w:rsidRDefault="00914683" w14:paraId="41CF067A" w14:textId="0D6FB79C">
            <w:pPr>
              <w:autoSpaceDE w:val="0"/>
              <w:autoSpaceDN w:val="0"/>
              <w:jc w:val="left"/>
            </w:pPr>
            <w:r>
              <w:t>pravilo 52. stavak 3. Poslovnika</w:t>
            </w:r>
          </w:p>
        </w:tc>
      </w:tr>
      <w:tr w:rsidRPr="001F165D" w:rsidR="00AC5114" w:rsidTr="00E15BF4" w14:paraId="0E2099A6" w14:textId="77777777">
        <w:tc>
          <w:tcPr>
            <w:tcW w:w="3085" w:type="dxa"/>
          </w:tcPr>
          <w:p w:rsidRPr="001F165D" w:rsidR="00AC5114" w:rsidP="0058411F" w:rsidRDefault="00AC5114" w14:paraId="0BC68BA5" w14:textId="77777777">
            <w:pPr>
              <w:autoSpaceDE w:val="0"/>
              <w:autoSpaceDN w:val="0"/>
              <w:jc w:val="left"/>
            </w:pPr>
            <w:r>
              <w:t>Nadležna stručna skupina:</w:t>
            </w:r>
          </w:p>
        </w:tc>
        <w:tc>
          <w:tcPr>
            <w:tcW w:w="6204" w:type="dxa"/>
            <w:vAlign w:val="bottom"/>
          </w:tcPr>
          <w:p w:rsidRPr="001F165D" w:rsidR="00AC5114" w:rsidP="0058411F" w:rsidRDefault="00094C5F" w14:paraId="5AE7EA9E" w14:textId="20A48906">
            <w:pPr>
              <w:autoSpaceDE w:val="0"/>
              <w:autoSpaceDN w:val="0"/>
              <w:jc w:val="left"/>
            </w:pPr>
            <w:r>
              <w:t>Stručna skupina za vanjske odnose</w:t>
            </w:r>
          </w:p>
        </w:tc>
      </w:tr>
      <w:tr w:rsidRPr="001F165D" w:rsidR="00AC5114" w:rsidTr="00E15BF4" w14:paraId="53972E32" w14:textId="77777777">
        <w:tc>
          <w:tcPr>
            <w:tcW w:w="3085" w:type="dxa"/>
          </w:tcPr>
          <w:p w:rsidRPr="001F165D" w:rsidR="00AC5114" w:rsidP="0058411F" w:rsidRDefault="00AC5114" w14:paraId="13B33E83" w14:textId="77777777">
            <w:pPr>
              <w:autoSpaceDE w:val="0"/>
              <w:autoSpaceDN w:val="0"/>
              <w:jc w:val="left"/>
            </w:pPr>
            <w:r>
              <w:t>Datum usvajanja u Stručnoj skupini:</w:t>
            </w:r>
          </w:p>
        </w:tc>
        <w:tc>
          <w:tcPr>
            <w:tcW w:w="6204" w:type="dxa"/>
            <w:vAlign w:val="bottom"/>
          </w:tcPr>
          <w:p w:rsidRPr="001F165D" w:rsidR="00AC5114" w:rsidP="0058411F" w:rsidRDefault="00B73B79" w14:paraId="5E71ECD2" w14:textId="467FD4ED">
            <w:pPr>
              <w:autoSpaceDE w:val="0"/>
              <w:autoSpaceDN w:val="0"/>
              <w:jc w:val="left"/>
            </w:pPr>
            <w:r>
              <w:t>6/5/2025</w:t>
            </w:r>
          </w:p>
        </w:tc>
      </w:tr>
      <w:tr w:rsidRPr="001F165D" w:rsidR="0058411F" w:rsidTr="00E15BF4" w14:paraId="7AE47B93" w14:textId="77777777">
        <w:tc>
          <w:tcPr>
            <w:tcW w:w="3085" w:type="dxa"/>
          </w:tcPr>
          <w:p w:rsidRPr="001F165D" w:rsidR="0058411F" w:rsidP="0058411F" w:rsidRDefault="0058411F" w14:paraId="26DE3092" w14:textId="352FC8CA">
            <w:pPr>
              <w:autoSpaceDE w:val="0"/>
              <w:autoSpaceDN w:val="0"/>
              <w:jc w:val="left"/>
            </w:pPr>
            <w:r>
              <w:t>Datum usvajanja na plenarnom zasjedanju:</w:t>
            </w:r>
          </w:p>
        </w:tc>
        <w:tc>
          <w:tcPr>
            <w:tcW w:w="6204" w:type="dxa"/>
            <w:vAlign w:val="bottom"/>
          </w:tcPr>
          <w:p w:rsidRPr="001F165D" w:rsidR="0058411F" w:rsidP="0058411F" w:rsidRDefault="00B73B79" w14:paraId="34FA2183" w14:textId="31185D71">
            <w:pPr>
              <w:autoSpaceDE w:val="0"/>
              <w:autoSpaceDN w:val="0"/>
              <w:jc w:val="left"/>
            </w:pPr>
            <w:r>
              <w:t>19/6/2025</w:t>
            </w:r>
          </w:p>
        </w:tc>
      </w:tr>
      <w:tr w:rsidRPr="001F165D" w:rsidR="0058411F" w:rsidTr="00E15BF4" w14:paraId="2FE8AE44" w14:textId="77777777">
        <w:tc>
          <w:tcPr>
            <w:tcW w:w="3085" w:type="dxa"/>
          </w:tcPr>
          <w:p w:rsidRPr="001F165D" w:rsidR="0058411F" w:rsidP="0058411F" w:rsidRDefault="0058411F" w14:paraId="2A65A034" w14:textId="77777777">
            <w:pPr>
              <w:autoSpaceDE w:val="0"/>
              <w:autoSpaceDN w:val="0"/>
              <w:jc w:val="left"/>
            </w:pPr>
            <w:r>
              <w:t>Plenarno zasjedanje br.:</w:t>
            </w:r>
          </w:p>
        </w:tc>
        <w:tc>
          <w:tcPr>
            <w:tcW w:w="6204" w:type="dxa"/>
            <w:vAlign w:val="bottom"/>
          </w:tcPr>
          <w:p w:rsidRPr="001F165D" w:rsidR="0058411F" w:rsidP="0058411F" w:rsidRDefault="00094C5F" w14:paraId="17BFB0A7" w14:textId="0EC58D9F">
            <w:pPr>
              <w:autoSpaceDE w:val="0"/>
              <w:autoSpaceDN w:val="0"/>
              <w:jc w:val="left"/>
            </w:pPr>
            <w:r>
              <w:t>597</w:t>
            </w:r>
          </w:p>
        </w:tc>
      </w:tr>
      <w:tr w:rsidRPr="001F165D" w:rsidR="0058411F" w:rsidTr="00E15BF4" w14:paraId="3889B17A" w14:textId="77777777">
        <w:tc>
          <w:tcPr>
            <w:tcW w:w="3085" w:type="dxa"/>
          </w:tcPr>
          <w:p w:rsidRPr="001F165D" w:rsidR="0058411F" w:rsidP="0058411F" w:rsidRDefault="0058411F" w14:paraId="0C723801" w14:textId="77777777">
            <w:pPr>
              <w:autoSpaceDE w:val="0"/>
              <w:autoSpaceDN w:val="0"/>
              <w:jc w:val="left"/>
            </w:pPr>
            <w:r>
              <w:t>Rezultat glasanja (za/protiv/suzdržani):</w:t>
            </w:r>
          </w:p>
        </w:tc>
        <w:tc>
          <w:tcPr>
            <w:tcW w:w="6204" w:type="dxa"/>
            <w:vAlign w:val="bottom"/>
          </w:tcPr>
          <w:p w:rsidRPr="001F165D" w:rsidR="0058411F" w:rsidP="0058411F" w:rsidRDefault="00E05575" w14:paraId="14DB34EA" w14:textId="2CF1597F">
            <w:pPr>
              <w:autoSpaceDE w:val="0"/>
              <w:autoSpaceDN w:val="0"/>
              <w:jc w:val="left"/>
            </w:pPr>
            <w:r>
              <w:t>103/2/0</w:t>
            </w:r>
          </w:p>
        </w:tc>
      </w:tr>
    </w:tbl>
    <w:p w:rsidRPr="001F165D" w:rsidR="00AC5114" w:rsidP="00574C9B" w:rsidRDefault="00AC5114" w14:paraId="156A5F34" w14:textId="77777777">
      <w:pPr>
        <w:rPr>
          <w:lang w:val="en-GB"/>
        </w:rPr>
      </w:pPr>
    </w:p>
    <w:p w:rsidRPr="001F165D" w:rsidR="00AC5114" w:rsidP="00574C9B" w:rsidRDefault="00AC5114" w14:paraId="2CD3051D" w14:textId="77777777">
      <w:pPr>
        <w:rPr>
          <w:lang w:val="en-GB"/>
        </w:rPr>
        <w:sectPr w:rsidRPr="001F165D" w:rsidR="00AC5114" w:rsidSect="00296BCE">
          <w:headerReference w:type="even" r:id="rId16"/>
          <w:headerReference w:type="default" r:id="rId17"/>
          <w:footerReference w:type="default" r:id="rId18"/>
          <w:headerReference w:type="first" r:id="rId19"/>
          <w:pgSz w:w="11907" w:h="16839" w:code="9"/>
          <w:pgMar w:top="5669" w:right="1418" w:bottom="1418" w:left="1418" w:header="709" w:footer="709" w:gutter="0"/>
          <w:cols w:space="720"/>
          <w:docGrid w:linePitch="360"/>
        </w:sectPr>
      </w:pPr>
    </w:p>
    <w:p w:rsidRPr="001F165D" w:rsidR="00C11E25" w:rsidP="00C11E25" w:rsidRDefault="00C11E25" w14:paraId="7286F6EC" w14:textId="77777777">
      <w:pPr>
        <w:pStyle w:val="Heading1"/>
        <w:rPr>
          <w:b/>
          <w:bCs/>
        </w:rPr>
      </w:pPr>
      <w:r>
        <w:rPr>
          <w:b/>
        </w:rPr>
        <w:lastRenderedPageBreak/>
        <w:t>Uvod</w:t>
      </w:r>
    </w:p>
    <w:p w:rsidRPr="001F165D" w:rsidR="00C11E25" w:rsidP="00C11E25" w:rsidRDefault="00C11E25" w14:paraId="3EBBB844" w14:textId="77777777">
      <w:pPr>
        <w:rPr>
          <w:lang w:val="en-GB"/>
        </w:rPr>
      </w:pPr>
    </w:p>
    <w:p w:rsidRPr="001F165D" w:rsidR="00C11E25" w:rsidP="00C11E25" w:rsidRDefault="00C11E25" w14:paraId="4298DE59" w14:textId="77777777">
      <w:pPr>
        <w:pStyle w:val="Heading2"/>
      </w:pPr>
      <w:r>
        <w:t xml:space="preserve">Ovim se izvješćem nastoji razjasniti razvoj odnosa između Udruženja država jugoistočne Azije (ASEAN) i Europske unije (EU), posebno u pogledu uloge civilnog društva i održivog razvoja u kontekstu trgovinske i političke suradnje. </w:t>
      </w:r>
    </w:p>
    <w:p w:rsidRPr="001F165D" w:rsidR="00C11E25" w:rsidP="00C11E25" w:rsidRDefault="00C11E25" w14:paraId="7D96C768" w14:textId="77777777">
      <w:pPr>
        <w:rPr>
          <w:lang w:val="en-GB"/>
        </w:rPr>
      </w:pPr>
    </w:p>
    <w:p w:rsidRPr="001F165D" w:rsidR="00C11E25" w:rsidP="00C11E25" w:rsidRDefault="00C11E25" w14:paraId="1C6CE123" w14:textId="77777777">
      <w:pPr>
        <w:pStyle w:val="Heading2"/>
      </w:pPr>
      <w:r>
        <w:t>ASEAN je međuvladina organizacija koja „strogo poštuje suverenu jednakost”</w:t>
      </w:r>
      <w:r w:rsidRPr="001F165D">
        <w:rPr>
          <w:vertAlign w:val="superscript"/>
          <w:lang w:val="en-GB"/>
        </w:rPr>
        <w:footnoteReference w:id="1"/>
      </w:r>
      <w:r>
        <w:t xml:space="preserve"> i pragmatično pristupa nacionalnim interesima. Zajedničko donošenje odluka odražava različite institucionalne kapacitete i gospodarske modele država članica.</w:t>
      </w:r>
    </w:p>
    <w:p w:rsidRPr="001F165D" w:rsidR="00C11E25" w:rsidP="00C11E25" w:rsidRDefault="00C11E25" w14:paraId="1805B50A" w14:textId="77777777">
      <w:pPr>
        <w:rPr>
          <w:lang w:val="en-GB"/>
        </w:rPr>
      </w:pPr>
    </w:p>
    <w:p w:rsidRPr="001F165D" w:rsidR="00C11E25" w:rsidP="00C11E25" w:rsidRDefault="00C11E25" w14:paraId="2DFEF263" w14:textId="77777777">
      <w:pPr>
        <w:pStyle w:val="Heading2"/>
      </w:pPr>
      <w:r>
        <w:t xml:space="preserve">Iako formalna suradnja između EU-a i ASEAN-a traje gotovo pet desetljeća, razlike u prioritetima i okvirima upravljanja sprečavaju obje strane da iskoriste potencijalne koristi partnerstva. Godine 2007. pokrenuti su ambiciozni pregovori o sporazumu o slobodnoj trgovini između blokova, koji su dvije godine kasnije obustavljeni. Od tada su svi pokušaji produbljivanja suradnje bili neuspješni, često zbog problema povezanih s ljudskim pravima, sankcijama i održivosti. </w:t>
      </w:r>
    </w:p>
    <w:p w:rsidRPr="001F165D" w:rsidR="00C11E25" w:rsidP="00C11E25" w:rsidRDefault="00C11E25" w14:paraId="28A58AD2" w14:textId="77777777">
      <w:pPr>
        <w:rPr>
          <w:lang w:val="en-GB"/>
        </w:rPr>
      </w:pPr>
    </w:p>
    <w:p w:rsidRPr="001F165D" w:rsidR="00C11E25" w:rsidP="00C11E25" w:rsidRDefault="00C11E25" w14:paraId="71CB5F5F" w14:textId="77777777">
      <w:pPr>
        <w:pStyle w:val="Heading2"/>
      </w:pPr>
      <w:r>
        <w:t>Obje regije dijele više zajedničkih točaka nego što se često priznaje. Smisleno partnerstvo EU-a i ASEAN-a, utemeljeno na načelnoj suradnji i poštovanju različitih političkih pristupa, ima stabilizacijsku ulogu u sve nestabilnijem globalnom okruženju. Povezuje ih zajednička potpora multilateralnom poretku utemeljenom na pravilima, kao i predanost miru i razvoju. Međutim, obje strane djeluju u sve polariziranijem svijetu, između dvije fronte, Sjedinjenih Američkih Država i Kine. Priznanje „središnje uloge ASEAN-a”</w:t>
      </w:r>
      <w:r w:rsidRPr="001F165D">
        <w:rPr>
          <w:rStyle w:val="FootnoteReference"/>
          <w:lang w:val="en-GB"/>
        </w:rPr>
        <w:footnoteReference w:id="2"/>
      </w:r>
      <w:r>
        <w:t xml:space="preserve"> u istočnoj Aziji, zajedno s nastojanjima Europe u pogledu trajnije regionalne prisutnosti, može pomoći da se izbjegne ponavljanje pogrešaka iz prošlosti do kojih je došlo zbog „zamke singularnosti”, čime bi se spriječilo da individualna pitanja potkopavaju širu stratešku suradnju.</w:t>
      </w:r>
    </w:p>
    <w:p w:rsidRPr="001F165D" w:rsidR="00C11E25" w:rsidP="00C11E25" w:rsidRDefault="00C11E25" w14:paraId="2216AB7C" w14:textId="77777777">
      <w:pPr>
        <w:rPr>
          <w:lang w:val="en-GB"/>
        </w:rPr>
      </w:pPr>
    </w:p>
    <w:p w:rsidRPr="001F165D" w:rsidR="00C11E25" w:rsidP="00C11E25" w:rsidRDefault="00C11E25" w14:paraId="5ABD8425" w14:textId="77777777">
      <w:pPr>
        <w:pStyle w:val="Heading2"/>
      </w:pPr>
      <w:r>
        <w:t>Odnosi EU-a i ASEAN-a odvijaju se u utvrđenom ritmu godišnjih sastanaka i radnih skupina, uključujući zajednički odbor koji doprinosi ministarskim dijalozima na višoj razini i industrijsku suradnju putem specijaliziranih foruma. Napreduju i planovi za dijalog EU-a i ASEAN-a o ljudskim pravima krajem 2025.</w:t>
      </w:r>
    </w:p>
    <w:p w:rsidRPr="001F165D" w:rsidR="00C11E25" w:rsidP="00C11E25" w:rsidRDefault="00C11E25" w14:paraId="33835FF3" w14:textId="77777777">
      <w:pPr>
        <w:pStyle w:val="Heading2"/>
        <w:numPr>
          <w:ilvl w:val="0"/>
          <w:numId w:val="0"/>
        </w:numPr>
        <w:spacing w:line="276" w:lineRule="auto"/>
        <w:rPr>
          <w:color w:val="000000" w:themeColor="text1"/>
          <w:lang w:val="en-GB"/>
        </w:rPr>
      </w:pPr>
    </w:p>
    <w:p w:rsidRPr="001F165D" w:rsidR="00C11E25" w:rsidP="00C11E25" w:rsidRDefault="00C11E25" w14:paraId="5204C551" w14:textId="77777777">
      <w:pPr>
        <w:pStyle w:val="Heading2"/>
      </w:pPr>
      <w:r>
        <w:t>Civilno društvo ima ključnu ulogu u poticanju međuregionalne suradnje, posebno u promicanju participativnih političkih procesa i podupiranju napora za konsolidaciju među regijama. Važno je da zemlje istomišljenice prepoznaju složene političke, društvene i kulturne okolnosti u jugoistočnoj Aziji, koje se mogu znatno razlikovati od europskih očekivanja. Premošćivanje tih razlika ključno je za poticanje institucionaliziranog, otvorenog i uključivog dijaloga, u kojem smisleno sudjeluje civilno društvo. Za takav dijalog potrebno je ponovno razmotriti strategije za sudjelovanje i lokalne okolnosti kako bi se osiguralo uključivanje marginaliziranih glasova, posebno lokalnih organizacija, žena, etničkih i autohtonih manjina te mladih. Međutim, potrebna je i pažljiva procjena prilikom sklapanja partnerstva s organizacijama civilnog društva.</w:t>
      </w:r>
    </w:p>
    <w:p w:rsidRPr="001F165D" w:rsidR="00C11E25" w:rsidP="00C11E25" w:rsidRDefault="00C11E25" w14:paraId="1C129EAD" w14:textId="77777777">
      <w:pPr>
        <w:rPr>
          <w:color w:val="000000" w:themeColor="text1"/>
          <w:lang w:val="en-GB"/>
        </w:rPr>
      </w:pPr>
    </w:p>
    <w:p w:rsidRPr="001F165D" w:rsidR="00C11E25" w:rsidP="00C11E25" w:rsidRDefault="00C11E25" w14:paraId="115E1C0E" w14:textId="77777777">
      <w:pPr>
        <w:pStyle w:val="Heading2"/>
      </w:pPr>
      <w:r>
        <w:lastRenderedPageBreak/>
        <w:t>Organizacije civilnog društva u jugoistočnoj Aziji snalaze se u složenom političkom okruženju obilježenom različitim stupnjevima otvorenosti. Iako je većina članica ASEAN-a službeno pristupila temeljnim konvencijama Međunarodne organizacije rada (MOR-a) o slobodi udruživanja, kolektivnom pregovaranju, ukidanju prisilnog rada, ukidanju dječjeg rada te jednakim mogućnostima i postupanju</w:t>
      </w:r>
      <w:r w:rsidRPr="001F165D">
        <w:rPr>
          <w:sz w:val="24"/>
          <w:szCs w:val="24"/>
          <w:vertAlign w:val="superscript"/>
          <w:lang w:val="en-GB"/>
        </w:rPr>
        <w:footnoteReference w:id="3"/>
      </w:r>
      <w:r>
        <w:t>, stvarne pravne situacije mogu se uvelike razlikovati. Stoga bi moglo biti teško pronaći organizacije civilnog društva koje bi mogle biti partner EGSO-u u smislu neovisnosti i legitimnog zastupanja. Uspostavom jasnih kriterija za procjenu legitimnosti aktera civilnog društva moglo bi se izbjeći da se zajednički napori koriste u druge svrhe i osigurati usklađenost s demokratskim načelima.</w:t>
      </w:r>
    </w:p>
    <w:p w:rsidRPr="001F165D" w:rsidR="00C11E25" w:rsidP="00C11E25" w:rsidRDefault="00C11E25" w14:paraId="62670A51" w14:textId="77777777">
      <w:pPr>
        <w:rPr>
          <w:lang w:val="en-GB"/>
        </w:rPr>
      </w:pPr>
    </w:p>
    <w:p w:rsidRPr="001F165D" w:rsidR="00C11E25" w:rsidP="00C11E25" w:rsidRDefault="00C11E25" w14:paraId="2603BF56" w14:textId="77777777">
      <w:pPr>
        <w:pStyle w:val="Heading2"/>
      </w:pPr>
      <w:r>
        <w:t>Šira društvena svijest o participativnom upravljanju i pluralizmu i dalje je neujednačena diljem ASEAN-a. Inicijative koje pokazuju konkretne koristi uključivog oblikovanja politika, uglavnom putem foruma na lokalnoj razini, mogle bi potaknuti veću otvorenost za sudjelovanje civilnog društva. Uspješni primjeri poslovnih foruma koordiniranih na regionalnoj razini, kao što je Poslovno vijeće EU-a i ASEAN-a (EU-ABC)</w:t>
      </w:r>
      <w:r w:rsidRPr="001F165D">
        <w:rPr>
          <w:rStyle w:val="FootnoteReference"/>
          <w:color w:val="000000" w:themeColor="text1"/>
          <w:lang w:val="en-GB"/>
        </w:rPr>
        <w:footnoteReference w:id="4"/>
      </w:r>
      <w:r>
        <w:t>, pokazuju kako strukturirane i istovremeno fleksibilne platforme mogu omogućiti produktivnu razmjenu između vlada i privatnih aktera. Takvo okruženje omogućuje testiranje politika, neslužbeno savjetovanje i izgradnju povjerenja, čime se ublažavaju napetosti koje ponekad proizlaze iz konfliktnih pristupa.</w:t>
      </w:r>
    </w:p>
    <w:p w:rsidRPr="001F165D" w:rsidR="00C11E25" w:rsidP="00C11E25" w:rsidRDefault="00C11E25" w14:paraId="78D00E05" w14:textId="77777777">
      <w:pPr>
        <w:rPr>
          <w:color w:val="000000" w:themeColor="text1"/>
          <w:lang w:val="en-GB"/>
        </w:rPr>
      </w:pPr>
    </w:p>
    <w:p w:rsidRPr="001F165D" w:rsidR="00C11E25" w:rsidP="00C11E25" w:rsidRDefault="00C11E25" w14:paraId="60B6D677" w14:textId="77777777">
      <w:pPr>
        <w:pStyle w:val="Heading2"/>
      </w:pPr>
      <w:r>
        <w:t>U ovom se izvješću posebna pozornost pridaje sjecištu trgovinske politike i angažmana civilnog društva, konkretno putem poglavljâ o trgovini i održivom razvoju sadržanih u sporazumima o slobodnoj trgovini. Poglavlja o trgovini i održivom razvoju u već sklopljenim sporazumima o slobodnoj trgovini, npr. sporazumima o slobodnoj trgovini između EU-a i Singapura</w:t>
      </w:r>
      <w:r w:rsidRPr="001F165D">
        <w:rPr>
          <w:sz w:val="24"/>
          <w:szCs w:val="24"/>
          <w:vertAlign w:val="superscript"/>
          <w:lang w:val="en-GB"/>
        </w:rPr>
        <w:footnoteReference w:id="5"/>
      </w:r>
      <w:r>
        <w:t xml:space="preserve"> te između EU-a i Vijetnama</w:t>
      </w:r>
      <w:r w:rsidRPr="001F165D">
        <w:rPr>
          <w:sz w:val="24"/>
          <w:szCs w:val="24"/>
          <w:vertAlign w:val="superscript"/>
          <w:lang w:val="en-GB"/>
        </w:rPr>
        <w:footnoteReference w:id="6"/>
      </w:r>
      <w:r>
        <w:t xml:space="preserve">, sadržavaju obvezujuće odredbe i obveze u pogledu međunarodnih konvencija o radu i zaštite okoliša, uključujući temeljne konvencije MOR-a i Pariški sporazum o klimatskim promjenama. </w:t>
      </w:r>
    </w:p>
    <w:p w:rsidRPr="001F165D" w:rsidR="00C11E25" w:rsidP="00C11E25" w:rsidRDefault="00C11E25" w14:paraId="614E8EC9" w14:textId="77777777">
      <w:pPr>
        <w:rPr>
          <w:lang w:val="en-GB"/>
        </w:rPr>
      </w:pPr>
    </w:p>
    <w:p w:rsidRPr="001F165D" w:rsidR="00C11E25" w:rsidP="00C11E25" w:rsidRDefault="00C11E25" w14:paraId="1DC8A304" w14:textId="77777777">
      <w:pPr>
        <w:pStyle w:val="Heading2"/>
      </w:pPr>
      <w:r>
        <w:t>Preostali dio ovog izvješća strukturiran je u tri odjeljka: uvod u ASEAN; organizacije civilnog društva u zemljama ASEAN-a: pregled i okruženje; trgovinski odnosi EU-a i ASEAN-a: trgovina i održivi razvoj.</w:t>
      </w:r>
    </w:p>
    <w:p w:rsidRPr="001F165D" w:rsidR="00C11E25" w:rsidP="00C11E25" w:rsidRDefault="00C11E25" w14:paraId="35229CCE" w14:textId="77777777">
      <w:pPr>
        <w:pStyle w:val="Heading2"/>
        <w:numPr>
          <w:ilvl w:val="0"/>
          <w:numId w:val="0"/>
        </w:numPr>
        <w:rPr>
          <w:lang w:val="en-GB"/>
        </w:rPr>
      </w:pPr>
    </w:p>
    <w:p w:rsidRPr="001F165D" w:rsidR="00C11E25" w:rsidP="00C11E25" w:rsidRDefault="00C11E25" w14:paraId="0BE66833" w14:textId="77777777">
      <w:pPr>
        <w:pStyle w:val="Heading1"/>
        <w:keepNext/>
        <w:keepLines/>
        <w:rPr>
          <w:b/>
          <w:bCs/>
        </w:rPr>
      </w:pPr>
      <w:r>
        <w:rPr>
          <w:b/>
        </w:rPr>
        <w:t>Uvod u ASEAN</w:t>
      </w:r>
    </w:p>
    <w:p w:rsidRPr="001F165D" w:rsidR="00C11E25" w:rsidP="00C11E25" w:rsidRDefault="00C11E25" w14:paraId="21382C72" w14:textId="77777777">
      <w:pPr>
        <w:keepNext/>
        <w:keepLines/>
        <w:rPr>
          <w:lang w:val="en-GB"/>
        </w:rPr>
      </w:pPr>
    </w:p>
    <w:p w:rsidRPr="001F165D" w:rsidR="00C11E25" w:rsidP="00C11E25" w:rsidRDefault="00C11E25" w14:paraId="030DC292" w14:textId="77777777">
      <w:pPr>
        <w:pStyle w:val="Heading2"/>
      </w:pPr>
      <w:r>
        <w:t xml:space="preserve">Članice ASEAN-a su Indonezija, Vijetnam, Laos, Brunej, Tajland, Mjanmar, Filipini, Kambodža, Singapur i Malezija. ASEAN, osnovan 1967. Ugovorom o prijateljstvu i suradnji u jugoistočnoj Aziji, prvotno je okupio Indoneziju, Maleziju, Filipine, Singapur i Tajland kao kolektivni sporazum o sigurnosti tijekom hladnog rata. Broj članica u organizaciji se otada povećao, a posljednji se u 2022. „načelno” pridružio Timor-Leste. Očekuje se da će Timor-Leste steći punopravno članstvo 2025. ili 2026. </w:t>
      </w:r>
    </w:p>
    <w:p w:rsidRPr="001F165D" w:rsidR="00C11E25" w:rsidP="00C11E25" w:rsidRDefault="00C11E25" w14:paraId="41EE1482" w14:textId="77777777">
      <w:pPr>
        <w:rPr>
          <w:lang w:val="en-GB"/>
        </w:rPr>
      </w:pPr>
    </w:p>
    <w:p w:rsidRPr="001F165D" w:rsidR="00C11E25" w:rsidP="00C11E25" w:rsidRDefault="00C11E25" w14:paraId="6595A547" w14:textId="77777777">
      <w:pPr>
        <w:pStyle w:val="Heading2"/>
      </w:pPr>
      <w:r>
        <w:lastRenderedPageBreak/>
        <w:t>Sa 692 milijuna stanovnika, ASEAN jedna je od gospodarski najdinamičnijih regija na svijetu. Kao peto najveće svjetsko gospodarstvo, ASEAN čini 7,2 % svjetskog BDP-a (podatak iz 2024.), što potvrđuje njegovu ulogu ključnog pokretača međunarodne trgovine.</w:t>
      </w:r>
      <w:r w:rsidRPr="001F165D">
        <w:rPr>
          <w:sz w:val="24"/>
          <w:szCs w:val="24"/>
          <w:vertAlign w:val="superscript"/>
          <w:lang w:val="en-GB"/>
        </w:rPr>
        <w:footnoteReference w:id="7"/>
      </w:r>
      <w:r>
        <w:t xml:space="preserve"> EU i ASEAN održavaju visoko institucionaliziran odnos, uz potporu namjenskih programa kao što su </w:t>
      </w:r>
      <w:hyperlink r:id="rId20">
        <w:r>
          <w:rPr>
            <w:rStyle w:val="Hyperlink"/>
          </w:rPr>
          <w:t>program podrške regionalnoj integraciji ASEAN-a (ARISE+)</w:t>
        </w:r>
      </w:hyperlink>
      <w:r>
        <w:t xml:space="preserve"> i Instrument EU-a i ASEAN-a za poboljšani regionalni dijalog (E-READI). EU je danas treći najveći trgovinski partner ASEAN-a i strani ulagač, pri čemu zaostaje samo za Kinom i SAD-om.</w:t>
      </w:r>
      <w:r w:rsidRPr="001F165D">
        <w:rPr>
          <w:rStyle w:val="FootnoteReference"/>
          <w:color w:val="000000" w:themeColor="text1"/>
          <w:lang w:val="en-GB"/>
        </w:rPr>
        <w:footnoteReference w:id="8"/>
      </w:r>
    </w:p>
    <w:p w:rsidRPr="001F165D" w:rsidR="00C11E25" w:rsidP="00C11E25" w:rsidRDefault="00C11E25" w14:paraId="38F294C5" w14:textId="77777777">
      <w:pPr>
        <w:rPr>
          <w:lang w:val="en-GB"/>
        </w:rPr>
      </w:pPr>
    </w:p>
    <w:p w:rsidRPr="001F165D" w:rsidR="00C11E25" w:rsidP="00C11E25" w:rsidRDefault="00C11E25" w14:paraId="4D422CB2" w14:textId="77777777">
      <w:pPr>
        <w:pStyle w:val="Heading2"/>
      </w:pPr>
      <w:r>
        <w:t xml:space="preserve">EU je sklopio i dva sporazuma o slobodnoj trgovini, sa Singapurom i Vijetnamom, koji su stupili na snagu u studenome 2019. odnosno kolovozu 2020. U tijeku su pregovori s drugim zemljama ASEAN-a: Indonezijom, Malezijom, Filipinima i Tajlandom. Pregovori između EU-a i Mjanmara o sporazumu o zaštiti ulaganja stavljeni su na čekanje. </w:t>
      </w:r>
    </w:p>
    <w:p w:rsidRPr="001F165D" w:rsidR="00C11E25" w:rsidP="00C11E25" w:rsidRDefault="00C11E25" w14:paraId="7EB98E6A" w14:textId="77777777">
      <w:pPr>
        <w:rPr>
          <w:color w:val="000000" w:themeColor="text1"/>
          <w:lang w:val="en-GB"/>
        </w:rPr>
      </w:pPr>
    </w:p>
    <w:p w:rsidRPr="001F165D" w:rsidR="00C11E25" w:rsidP="00C11E25" w:rsidRDefault="00C11E25" w14:paraId="2F996BF9" w14:textId="77777777">
      <w:pPr>
        <w:pStyle w:val="Heading2"/>
      </w:pPr>
      <w:r>
        <w:t>ASEAN zauzima strateški važan položaj u međunarodnoj trgovini, djeluje kao ključno čvorište u globalnim lancima vrijednosti i kao ključna tranzitna točka za europsku trgovinu. Taj je blok uspostavio opsežnu mrežu trgovinskih sporazuma, uključujući sporazume o slobodnoj trgovini s Australijom i Novim Zelandom, Kinom, Indijom, Japanom, Korejom i Hong Kongom. Regionalno sveobuhvatno gospodarsko partnerstvo (RCEP) također je usmjereno na ASEAN. Singapur, Vijetnam, Malezija i Brunej članice su Sveobuhvatnog i progresivnog sporazuma za transpacifičko partnerstvo (CPTTP), a još tri aktivno traže pristupanje.</w:t>
      </w:r>
    </w:p>
    <w:p w:rsidRPr="001F165D" w:rsidR="00C11E25" w:rsidP="00C11E25" w:rsidRDefault="00C11E25" w14:paraId="2BD005DA" w14:textId="77777777">
      <w:pPr>
        <w:rPr>
          <w:color w:val="000000" w:themeColor="text1"/>
          <w:lang w:val="en-GB"/>
        </w:rPr>
      </w:pPr>
    </w:p>
    <w:p w:rsidRPr="001F165D" w:rsidR="00C11E25" w:rsidP="00C11E25" w:rsidRDefault="00C11E25" w14:paraId="667D403A" w14:textId="77777777">
      <w:pPr>
        <w:pStyle w:val="Heading2"/>
      </w:pPr>
      <w:r>
        <w:t>U skladu s načelima nemiješanja, suvereniteta i mirnog rješavanja sukoba, ASEAN je Poveljom iz 2007. formalizirao svoju institucionalnu strukturu i utvrdio tri temeljna stupa: ekonomsku zajednicu ASEAN-a, političko-sigurnosnu zajednicu ASEAN-a i društveno-kulturnu zajednicu ASEAN-a. Regiju odlikuju značajne gospodarske i demografske razlike te veliki broj vjerskih i etničkih skupina i različitih političkih sustava.</w:t>
      </w:r>
    </w:p>
    <w:p w:rsidRPr="001F165D" w:rsidR="00C11E25" w:rsidP="00C11E25" w:rsidRDefault="00C11E25" w14:paraId="6E15EE93" w14:textId="77777777">
      <w:pPr>
        <w:rPr>
          <w:color w:val="000000" w:themeColor="text1"/>
          <w:lang w:val="en-GB"/>
        </w:rPr>
      </w:pPr>
    </w:p>
    <w:p w:rsidRPr="001F165D" w:rsidR="00C11E25" w:rsidP="00C11E25" w:rsidRDefault="00C11E25" w14:paraId="5A6E60C2" w14:textId="77777777">
      <w:pPr>
        <w:pStyle w:val="Heading2"/>
      </w:pPr>
      <w:r>
        <w:t>Uspostava područja slobodne trgovine ASEAN-a (AFTA) potaknula je 1992. regionalnu gospodarsku integraciju, u skladu sa širim ciljevima ekonomske zajednice ASEAN-a. Ipak, potpuna provedba okvira ekonomske zajednice, koja je prvotno bila predviđena do 2015., još nije dovršena. Necarinske prepreke i zaštićeni sektori i dalje su prisutni. U međuvremenu, sve veći broj međunarodnih poziva na rješavanje situacije u Mjanmaru prisilio je ASEAN da izda političku izjavu o unutarnjim poslovima države članice; ASEAN je 2024. dao izjavu kojom se osuđuje nasilje u Mjanmaru, s „konsenzusom u pet točaka”.</w:t>
      </w:r>
      <w:r w:rsidRPr="001F165D">
        <w:rPr>
          <w:sz w:val="24"/>
          <w:szCs w:val="24"/>
          <w:vertAlign w:val="superscript"/>
          <w:lang w:val="en-GB"/>
        </w:rPr>
        <w:footnoteReference w:id="9"/>
      </w:r>
    </w:p>
    <w:p w:rsidRPr="001F165D" w:rsidR="00C11E25" w:rsidP="00C11E25" w:rsidRDefault="00C11E25" w14:paraId="5782C6EB" w14:textId="77777777">
      <w:pPr>
        <w:rPr>
          <w:lang w:val="en-GB"/>
        </w:rPr>
      </w:pPr>
    </w:p>
    <w:p w:rsidRPr="001F165D" w:rsidR="00C11E25" w:rsidP="00067D46" w:rsidRDefault="00C11E25" w14:paraId="4F161A69" w14:textId="77777777">
      <w:pPr>
        <w:pStyle w:val="Heading1"/>
        <w:keepNext/>
        <w:keepLines/>
        <w:rPr>
          <w:b/>
          <w:bCs/>
        </w:rPr>
      </w:pPr>
      <w:r>
        <w:rPr>
          <w:b/>
        </w:rPr>
        <w:lastRenderedPageBreak/>
        <w:t>Organizacije civilnog društva u zemljama ASEAN-a: pregled i okruženje</w:t>
      </w:r>
    </w:p>
    <w:p w:rsidRPr="001F165D" w:rsidR="00C11E25" w:rsidP="00067D46" w:rsidRDefault="00C11E25" w14:paraId="1DFFFD59" w14:textId="77777777">
      <w:pPr>
        <w:pStyle w:val="Heading2"/>
        <w:keepNext/>
        <w:keepLines/>
        <w:numPr>
          <w:ilvl w:val="0"/>
          <w:numId w:val="0"/>
        </w:numPr>
        <w:rPr>
          <w:lang w:val="en-GB"/>
        </w:rPr>
      </w:pPr>
    </w:p>
    <w:p w:rsidRPr="001F165D" w:rsidR="00C11E25" w:rsidP="00067D46" w:rsidRDefault="00C11E25" w14:paraId="00A6F296" w14:textId="2223996C">
      <w:pPr>
        <w:pStyle w:val="Heading2"/>
        <w:keepNext/>
        <w:keepLines/>
        <w:rPr>
          <w:color w:val="000000" w:themeColor="text1"/>
        </w:rPr>
      </w:pPr>
      <w:r>
        <w:rPr>
          <w:color w:val="000000" w:themeColor="text1"/>
        </w:rPr>
        <w:t>Mreža organizacija civilnog društva unutar ASEAN-a uključuje skupine poput Konferencije civilnog društva ASEAN-a (ACSC), Međuvladine komisije ASEAN-a za ljudska prava (AICHR)</w:t>
      </w:r>
      <w:r w:rsidRPr="001F165D">
        <w:rPr>
          <w:color w:val="000000" w:themeColor="text1"/>
          <w:sz w:val="24"/>
          <w:szCs w:val="24"/>
          <w:vertAlign w:val="superscript"/>
          <w:lang w:val="en-GB"/>
        </w:rPr>
        <w:footnoteReference w:id="10"/>
      </w:r>
      <w:r>
        <w:rPr>
          <w:color w:val="000000" w:themeColor="text1"/>
        </w:rPr>
        <w:t>, Azijskog foruma za ljudska prava i razvoj (FORUM-ASIA)</w:t>
      </w:r>
      <w:r w:rsidRPr="001F165D">
        <w:rPr>
          <w:color w:val="000000" w:themeColor="text1"/>
          <w:sz w:val="24"/>
          <w:szCs w:val="24"/>
          <w:vertAlign w:val="superscript"/>
          <w:lang w:val="en-GB"/>
        </w:rPr>
        <w:footnoteReference w:id="11"/>
      </w:r>
      <w:r>
        <w:rPr>
          <w:color w:val="000000" w:themeColor="text1"/>
        </w:rPr>
        <w:t>, Mreže za slobodu izražavanja jugoistočne Azije (SAFEnet)</w:t>
      </w:r>
      <w:r w:rsidRPr="001F165D">
        <w:rPr>
          <w:color w:val="000000" w:themeColor="text1"/>
          <w:sz w:val="24"/>
          <w:szCs w:val="24"/>
          <w:vertAlign w:val="superscript"/>
          <w:lang w:val="en-GB"/>
        </w:rPr>
        <w:footnoteReference w:id="12"/>
      </w:r>
      <w:r>
        <w:rPr>
          <w:color w:val="000000" w:themeColor="text1"/>
        </w:rPr>
        <w:t xml:space="preserve"> i Azijsko-pacifičkog centra za resurse i istraživanja za žene (ARROW)</w:t>
      </w:r>
      <w:r w:rsidRPr="001F165D">
        <w:rPr>
          <w:color w:val="000000" w:themeColor="text1"/>
          <w:sz w:val="24"/>
          <w:szCs w:val="24"/>
          <w:vertAlign w:val="superscript"/>
          <w:lang w:val="en-GB"/>
        </w:rPr>
        <w:footnoteReference w:id="13"/>
      </w:r>
      <w:r>
        <w:rPr>
          <w:color w:val="000000" w:themeColor="text1"/>
        </w:rPr>
        <w:t xml:space="preserve">, čije je djelovanje usmjereno na ljudska prava, slobodu izražavanja i rodnu ravnopravnost. </w:t>
      </w:r>
    </w:p>
    <w:p w:rsidRPr="001F165D" w:rsidR="00C11E25" w:rsidP="00C11E25" w:rsidRDefault="00C11E25" w14:paraId="1FB52143" w14:textId="77777777">
      <w:pPr>
        <w:rPr>
          <w:lang w:val="en-GB"/>
        </w:rPr>
      </w:pPr>
    </w:p>
    <w:p w:rsidRPr="001F165D" w:rsidR="00C11E25" w:rsidP="00C11E25" w:rsidRDefault="00C11E25" w14:paraId="02C9C6BC" w14:textId="77777777">
      <w:pPr>
        <w:pStyle w:val="Heading2"/>
        <w:rPr>
          <w:color w:val="000000" w:themeColor="text1"/>
        </w:rPr>
      </w:pPr>
      <w:r>
        <w:rPr>
          <w:color w:val="000000" w:themeColor="text1"/>
        </w:rPr>
        <w:t>Civilno društvo i dalje je nedovoljno zastupljeno u okviru postupaka donošenja odluka ASEAN-a, a regionalne politike često ne zadovoljavaju potrebe lokalnog stanovništva. Međutim, Parlamentarna skupština ASEAN-a (APA) i Solidarnost za azijsko narodno zagovaranje (SAPA)</w:t>
      </w:r>
      <w:r w:rsidRPr="001F165D">
        <w:rPr>
          <w:color w:val="000000" w:themeColor="text1"/>
          <w:sz w:val="24"/>
          <w:szCs w:val="24"/>
          <w:vertAlign w:val="superscript"/>
          <w:lang w:val="en-GB"/>
        </w:rPr>
        <w:footnoteReference w:id="14"/>
      </w:r>
      <w:r>
        <w:rPr>
          <w:color w:val="000000" w:themeColor="text1"/>
        </w:rPr>
        <w:t xml:space="preserve"> smatraju se najuključivijim mehanizmima za rješavanje nacionalnih i regionalnih pitanja u okviru ASEAN-a.</w:t>
      </w:r>
    </w:p>
    <w:p w:rsidRPr="001F165D" w:rsidR="00C11E25" w:rsidP="00C11E25" w:rsidRDefault="00C11E25" w14:paraId="11D9CC8A" w14:textId="77777777">
      <w:pPr>
        <w:rPr>
          <w:lang w:val="en-GB"/>
        </w:rPr>
      </w:pPr>
    </w:p>
    <w:p w:rsidRPr="001F165D" w:rsidR="00C11E25" w:rsidP="00C11E25" w:rsidRDefault="00C11E25" w14:paraId="6B8888BC" w14:textId="77777777">
      <w:pPr>
        <w:pStyle w:val="Heading2"/>
        <w:rPr>
          <w:color w:val="000000" w:themeColor="text1"/>
        </w:rPr>
      </w:pPr>
      <w:r>
        <w:rPr>
          <w:color w:val="000000" w:themeColor="text1"/>
        </w:rPr>
        <w:t>U ustavima država članica ASEAN-a općenito se priznaju sloboda udruživanja kao temeljna građanska sloboda i pravo na osnivanje udruga i socijalnih organizacija.</w:t>
      </w:r>
      <w:r w:rsidRPr="001F165D">
        <w:rPr>
          <w:color w:val="000000" w:themeColor="text1"/>
          <w:vertAlign w:val="superscript"/>
          <w:lang w:val="en-GB"/>
        </w:rPr>
        <w:footnoteReference w:id="15"/>
      </w:r>
      <w:r>
        <w:rPr>
          <w:color w:val="000000" w:themeColor="text1"/>
        </w:rPr>
        <w:t xml:space="preserve"> Međutim, neke vlade mogu ograničavati sindikalna prava u svrhu zaštite javnog reda, nacionalne sigurnosti, općeg dobra ili dobrog morala.</w:t>
      </w:r>
      <w:r w:rsidRPr="001F165D">
        <w:rPr>
          <w:color w:val="000000" w:themeColor="text1"/>
          <w:vertAlign w:val="superscript"/>
          <w:lang w:val="en-GB"/>
        </w:rPr>
        <w:footnoteReference w:id="16"/>
      </w:r>
      <w:r>
        <w:rPr>
          <w:color w:val="000000" w:themeColor="text1"/>
        </w:rPr>
        <w:t xml:space="preserve"> Na primjer, može se manipulirati zakonima o borbi protiv terorizma ili o inozemnom financiranju kako bi se onemogućilo djelovanje organizacija koje kritiziraju vladu i ograničila sloboda udruživanja i okupljanja, čime se organizacijama civilnog društva otežava organizacija javnih prosvjeda, održavanje sastanaka ili sudjelovanje u kolektivnom zagovaranju.</w:t>
      </w:r>
    </w:p>
    <w:p w:rsidRPr="001F165D" w:rsidR="00C11E25" w:rsidP="00C11E25" w:rsidRDefault="00C11E25" w14:paraId="6FF28F24" w14:textId="77777777">
      <w:pPr>
        <w:rPr>
          <w:lang w:val="en-GB"/>
        </w:rPr>
      </w:pPr>
    </w:p>
    <w:p w:rsidRPr="001F165D" w:rsidR="00C11E25" w:rsidP="00C11E25" w:rsidRDefault="00C11E25" w14:paraId="476A3D75" w14:textId="77777777">
      <w:pPr>
        <w:pStyle w:val="Heading2"/>
        <w:rPr>
          <w:color w:val="000000" w:themeColor="text1"/>
        </w:rPr>
      </w:pPr>
      <w:r>
        <w:rPr>
          <w:color w:val="000000" w:themeColor="text1"/>
        </w:rPr>
        <w:t xml:space="preserve">Nadalje, neke vlade u državama članicama ASEAN-a uređuju djelovanje organizacija civilnog društva putem obvezne registracije (primjerice zahtjevima za objavljivanje informacija o financiranju, članstvu i stranim donacijama) i obvezama koje u protivnom dovode do </w:t>
      </w:r>
      <w:r>
        <w:rPr>
          <w:i/>
          <w:color w:val="000000" w:themeColor="text1"/>
        </w:rPr>
        <w:t>de facto</w:t>
      </w:r>
      <w:r>
        <w:rPr>
          <w:color w:val="000000" w:themeColor="text1"/>
        </w:rPr>
        <w:t xml:space="preserve"> zabrana zbog uskraćene registracije. Europski parlament (EP) izvijestio je da nevladine organizacije kojima upravlja vlada (GONGO) sve više marginaliziraju neovisno civilno društvo, čime se narušavaju namjere financiranja sredstvima EU-a, posebno u Kambodži.</w:t>
      </w:r>
      <w:r w:rsidRPr="001F165D">
        <w:rPr>
          <w:color w:val="000000" w:themeColor="text1"/>
          <w:vertAlign w:val="superscript"/>
          <w:lang w:val="en-GB"/>
        </w:rPr>
        <w:footnoteReference w:id="17"/>
      </w:r>
    </w:p>
    <w:p w:rsidRPr="001F165D" w:rsidR="00C11E25" w:rsidP="00C11E25" w:rsidRDefault="00C11E25" w14:paraId="51C48233" w14:textId="77777777">
      <w:pPr>
        <w:rPr>
          <w:lang w:val="en-GB"/>
        </w:rPr>
      </w:pPr>
    </w:p>
    <w:p w:rsidRPr="001F165D" w:rsidR="00C11E25" w:rsidP="00657498" w:rsidRDefault="00C11E25" w14:paraId="7AC3D06A" w14:textId="77777777">
      <w:pPr>
        <w:pStyle w:val="Heading2"/>
        <w:keepNext/>
        <w:keepLines/>
        <w:rPr>
          <w:color w:val="000000" w:themeColor="text1"/>
        </w:rPr>
      </w:pPr>
      <w:r>
        <w:rPr>
          <w:color w:val="000000" w:themeColor="text1"/>
        </w:rPr>
        <w:lastRenderedPageBreak/>
        <w:t>Europski parlament posljednjih je godina primijetio zabrinjavajući globalni trend smanjenja građanskog prostora za slobodno izražavanje mišljenja.</w:t>
      </w:r>
      <w:r w:rsidRPr="001F165D">
        <w:rPr>
          <w:color w:val="000000" w:themeColor="text1"/>
          <w:sz w:val="24"/>
          <w:vertAlign w:val="superscript"/>
          <w:lang w:val="en-GB"/>
        </w:rPr>
        <w:footnoteReference w:id="18"/>
      </w:r>
      <w:r>
        <w:rPr>
          <w:color w:val="000000" w:themeColor="text1"/>
        </w:rPr>
        <w:t xml:space="preserve"> U zemljama kao što su Mjanmar (prije i nakon vojnog udara 2021.), Tajland i Vijetnam napredak je i dalje postupan, osobito za aktere koje se bave ljudskim pravima ili političkim aktivizmom.</w:t>
      </w:r>
      <w:r w:rsidRPr="001F165D">
        <w:rPr>
          <w:color w:val="000000" w:themeColor="text1"/>
          <w:vertAlign w:val="superscript"/>
          <w:lang w:val="en-GB"/>
        </w:rPr>
        <w:footnoteReference w:id="19"/>
      </w:r>
      <w:r>
        <w:rPr>
          <w:color w:val="000000" w:themeColor="text1"/>
        </w:rPr>
        <w:t xml:space="preserve"> Organizacije koje djeluju u tim zemljama često izvještavaju da su suočene sa zastrašivanjem, uznemiravanjem i nadzornim protokolima, a u nekim slučajevima i sudskim progonom zbog svojih aktivnosti zagovaranja.</w:t>
      </w:r>
      <w:r w:rsidRPr="001F165D">
        <w:rPr>
          <w:color w:val="000000" w:themeColor="text1"/>
          <w:vertAlign w:val="superscript"/>
          <w:lang w:val="en-GB"/>
        </w:rPr>
        <w:footnoteReference w:id="20"/>
      </w:r>
      <w:r>
        <w:rPr>
          <w:color w:val="000000" w:themeColor="text1"/>
        </w:rPr>
        <w:t xml:space="preserve"> U Mjanmaru hunta nakon vojnog udara provodi sustavna uhićenja i ušutkivanja aktivista, zatvorila je brojne organizacije civilnog društva i ugušila demokratske pokrete.</w:t>
      </w:r>
    </w:p>
    <w:p w:rsidRPr="001F165D" w:rsidR="00C11E25" w:rsidP="00C11E25" w:rsidRDefault="00C11E25" w14:paraId="451F764F" w14:textId="77777777">
      <w:pPr>
        <w:pStyle w:val="Heading2"/>
        <w:numPr>
          <w:ilvl w:val="0"/>
          <w:numId w:val="0"/>
        </w:numPr>
        <w:rPr>
          <w:bCs/>
          <w:color w:val="000000" w:themeColor="text1"/>
          <w:lang w:val="en-GB"/>
        </w:rPr>
      </w:pPr>
    </w:p>
    <w:p w:rsidRPr="001F165D" w:rsidR="00C11E25" w:rsidP="00C11E25" w:rsidRDefault="00C11E25" w14:paraId="630A7BA8" w14:textId="77777777">
      <w:pPr>
        <w:pStyle w:val="Heading2"/>
        <w:keepNext/>
        <w:keepLines/>
        <w:numPr>
          <w:ilvl w:val="0"/>
          <w:numId w:val="0"/>
        </w:numPr>
        <w:rPr>
          <w:b/>
          <w:color w:val="000000" w:themeColor="text1"/>
        </w:rPr>
      </w:pPr>
      <w:r>
        <w:rPr>
          <w:b/>
          <w:color w:val="000000" w:themeColor="text1"/>
        </w:rPr>
        <w:t>Digitalno upravljanje</w:t>
      </w:r>
    </w:p>
    <w:p w:rsidRPr="001F165D" w:rsidR="00C11E25" w:rsidP="00C11E25" w:rsidRDefault="00C11E25" w14:paraId="2436B666" w14:textId="77777777">
      <w:pPr>
        <w:pStyle w:val="Heading2"/>
        <w:keepNext/>
        <w:keepLines/>
        <w:numPr>
          <w:ilvl w:val="0"/>
          <w:numId w:val="0"/>
        </w:numPr>
        <w:rPr>
          <w:color w:val="000000" w:themeColor="text1"/>
          <w:lang w:val="en-GB"/>
        </w:rPr>
      </w:pPr>
    </w:p>
    <w:p w:rsidRPr="001F165D" w:rsidR="00C11E25" w:rsidP="00C11E25" w:rsidRDefault="00C11E25" w14:paraId="62001CC7" w14:textId="77777777">
      <w:pPr>
        <w:pStyle w:val="Heading2"/>
        <w:rPr>
          <w:color w:val="000000" w:themeColor="text1"/>
        </w:rPr>
      </w:pPr>
      <w:r>
        <w:rPr>
          <w:color w:val="000000" w:themeColor="text1"/>
        </w:rPr>
        <w:t>Zemlje jugoistočne Azije ostvarile su znatan napredak u poboljšanju svoje digitalne infrastrukture i provedbi inicijativa e-uprave. Međutim, digitalni nadzor prevladava u državama članicama ASEAN-a, a neke vlade mogu vršiti represiju i političku kontrolu putem nenasilnih sredstava, uključujući cenzuru i kontrolu protoka informacija. Ti trendovi odražavaju globalne obrasce smanjenja slobode na internetu, koji su ubrzani mjerama iz razdoblja pandemije. Mogućnosti za angažman EU-a uključuju jačanje digitalne otpornosti kroz financiranje sigurnih komunikacijskih alata i osposobljavanja u području digitalnih prava za aktiviste.</w:t>
      </w:r>
    </w:p>
    <w:p w:rsidRPr="001F165D" w:rsidR="00C11E25" w:rsidP="00C11E25" w:rsidRDefault="00C11E25" w14:paraId="395CE133" w14:textId="77777777">
      <w:pPr>
        <w:rPr>
          <w:lang w:val="en-GB"/>
        </w:rPr>
      </w:pPr>
    </w:p>
    <w:p w:rsidRPr="001F165D" w:rsidR="00C11E25" w:rsidP="00C11E25" w:rsidRDefault="00C11E25" w14:paraId="3B383260" w14:textId="77777777">
      <w:pPr>
        <w:pStyle w:val="Heading1"/>
        <w:keepNext/>
        <w:keepLines/>
        <w:rPr>
          <w:b/>
          <w:bCs/>
        </w:rPr>
      </w:pPr>
      <w:r>
        <w:rPr>
          <w:b/>
        </w:rPr>
        <w:t>Trgovinski odnosi EU-a i ASEAN-a: trgovina i održivi razvoj</w:t>
      </w:r>
    </w:p>
    <w:p w:rsidRPr="001F165D" w:rsidR="00C11E25" w:rsidP="00C11E25" w:rsidRDefault="00C11E25" w14:paraId="75F16656" w14:textId="77777777">
      <w:pPr>
        <w:keepNext/>
        <w:keepLines/>
        <w:rPr>
          <w:lang w:val="en-GB"/>
        </w:rPr>
      </w:pPr>
    </w:p>
    <w:p w:rsidRPr="001F165D" w:rsidR="00C11E25" w:rsidP="00C11E25" w:rsidRDefault="00C11E25" w14:paraId="48EFECCC" w14:textId="77777777">
      <w:pPr>
        <w:pStyle w:val="Heading2"/>
      </w:pPr>
      <w:r>
        <w:t>Osim bilateralnih sporazuma o slobodnoj trgovini, EU i ASEAN provode gospodarske programe putem drugih dogovora: Indonezija ima pristup jedinstvenom tržištu EU-a zahvaljujući smanjenim ili ukinutim uvoznim carinama EU-a u okviru općeg sustava povlastica EU-a (OSP); s Filipinima je sklopljen posebni dogovor o poticajima za održivi razvoj i dobro upravljanje (OSP+); Kambodža je prethodno uživala prednosti unilateralnog programa „sve osim oružja”, ali njezine su povlastice u međuvremenu djelomično i privremeno ukinute; Laos, Mjanmar i budući član ASEAN-a Timor-Leste također uživaju status „sve osim oružja”.</w:t>
      </w:r>
    </w:p>
    <w:p w:rsidRPr="001F165D" w:rsidR="00C11E25" w:rsidP="00C11E25" w:rsidRDefault="00C11E25" w14:paraId="375C3C2E" w14:textId="77777777">
      <w:pPr>
        <w:pStyle w:val="Heading2"/>
        <w:numPr>
          <w:ilvl w:val="0"/>
          <w:numId w:val="0"/>
        </w:numPr>
        <w:rPr>
          <w:lang w:val="en-GB"/>
        </w:rPr>
      </w:pPr>
    </w:p>
    <w:p w:rsidRPr="001F165D" w:rsidR="00C11E25" w:rsidP="00C11E25" w:rsidRDefault="00C11E25" w14:paraId="687D8407" w14:textId="77777777">
      <w:pPr>
        <w:pStyle w:val="Heading2"/>
      </w:pPr>
      <w:r>
        <w:t>Osim toga, dvije unutarnje savjetodavne skupine, osnovane u okviru sporazuma o slobodnoj trgovini između EU-a i Vijetnama te EU-a i Singapura, nadziru provedbu obveza održivog razvoja. Uspješna savjetovanja ovise o neovisnosti organizacija civilnog društva, no postojeći modeli sudjelovanja nerazmjerno uključuju organizacije povezane s vladom ili organizacije koje je odobrila vlada.</w:t>
      </w:r>
    </w:p>
    <w:p w:rsidRPr="001F165D" w:rsidR="00C11E25" w:rsidP="00C11E25" w:rsidRDefault="00C11E25" w14:paraId="323F0026" w14:textId="77777777">
      <w:pPr>
        <w:pStyle w:val="Heading2"/>
        <w:numPr>
          <w:ilvl w:val="0"/>
          <w:numId w:val="0"/>
        </w:numPr>
        <w:rPr>
          <w:lang w:val="en-GB"/>
        </w:rPr>
      </w:pPr>
    </w:p>
    <w:p w:rsidRPr="001F165D" w:rsidR="00C11E25" w:rsidP="00C11E25" w:rsidRDefault="00C11E25" w14:paraId="35F57218" w14:textId="77777777">
      <w:pPr>
        <w:pStyle w:val="Heading2"/>
      </w:pPr>
      <w:r>
        <w:t>Vijetnam je ratificirao Konvenciju MOR-a br. 105 o prisilnom radu, međutim još nije ratificirana Konvencija br. 87 o slobodi udruživanja i zaštiti prava na organiziranje. Nadalje, zaštita radnika u Vijetnamu tek se treba u potpunosti proširiti na neformalni sektor, koji obuhvaća više od 68 % radne snage.</w:t>
      </w:r>
      <w:r w:rsidRPr="001F165D">
        <w:rPr>
          <w:vertAlign w:val="superscript"/>
          <w:lang w:val="en-GB"/>
        </w:rPr>
        <w:footnoteReference w:id="21"/>
      </w:r>
      <w:r>
        <w:t xml:space="preserve"> Unutarnja savjetodavna skupina EU-a za Vijetnam primijetila je da i dalje nema potpuno neovisnih sindikata.</w:t>
      </w:r>
      <w:r w:rsidRPr="001F165D">
        <w:rPr>
          <w:sz w:val="24"/>
          <w:szCs w:val="24"/>
          <w:vertAlign w:val="superscript"/>
          <w:lang w:val="en-GB"/>
        </w:rPr>
        <w:footnoteReference w:id="22"/>
      </w:r>
      <w:r>
        <w:t xml:space="preserve"> </w:t>
      </w:r>
    </w:p>
    <w:p w:rsidRPr="001F165D" w:rsidR="00C11E25" w:rsidP="00C11E25" w:rsidRDefault="00C11E25" w14:paraId="0107F5B6" w14:textId="77777777">
      <w:pPr>
        <w:pStyle w:val="Heading2"/>
      </w:pPr>
      <w:r>
        <w:lastRenderedPageBreak/>
        <w:t>U ožujku 2025. Unutarnja savjetodavna skupina EU-a izvijestila je Odbor EP-a za međunarodnu trgovinu (INTA) o izazovima s kojima se suočava vijetnamsko civilno društvo, naglašavajući kontinuiranu važnost osobnih kontakata s civilnim društvom u tom kontekstu.</w:t>
      </w:r>
      <w:r w:rsidRPr="001F165D">
        <w:rPr>
          <w:sz w:val="24"/>
          <w:vertAlign w:val="superscript"/>
          <w:lang w:val="en-GB"/>
        </w:rPr>
        <w:footnoteReference w:id="23"/>
      </w:r>
    </w:p>
    <w:p w:rsidRPr="001F165D" w:rsidR="00C11E25" w:rsidP="00C11E25" w:rsidRDefault="00C11E25" w14:paraId="296A08AE" w14:textId="77777777">
      <w:pPr>
        <w:pStyle w:val="Heading2"/>
        <w:numPr>
          <w:ilvl w:val="0"/>
          <w:numId w:val="0"/>
        </w:numPr>
        <w:rPr>
          <w:lang w:val="en-GB"/>
        </w:rPr>
      </w:pPr>
    </w:p>
    <w:p w:rsidRPr="001F165D" w:rsidR="00C11E25" w:rsidP="00C11E25" w:rsidRDefault="00C11E25" w14:paraId="63DBD294" w14:textId="77777777">
      <w:pPr>
        <w:pStyle w:val="Heading2"/>
      </w:pPr>
      <w:r>
        <w:t>Unutarnja savjetodavna skupina osnovana u okviru Sporazuma o slobodnoj trgovini između EU-a i Singapura (EUSFTA)</w:t>
      </w:r>
      <w:r w:rsidRPr="001F165D">
        <w:rPr>
          <w:sz w:val="24"/>
          <w:vertAlign w:val="superscript"/>
          <w:lang w:val="en-GB"/>
        </w:rPr>
        <w:footnoteReference w:id="24"/>
      </w:r>
      <w:r>
        <w:t xml:space="preserve"> najnovija je od četiriju unutarnjih savjetodavnih skupina u regiji nakon sporazuma s Korejom, Japanom i Vijetnamom. Unatoč dobro razvijenoj suradnji i uključenosti civilnog društva, nastavljaju se rasprave o ratifikaciji Konvencije MOR-a br. 87 i Konvencije br. 111 o diskriminaciji pri zapošljavanju i obavljanju zanimanja u Singapuru. Obje unutarnje savjetodavne skupine u okviru Sporazuma o slobodnoj trgovini između EU-a i Singapura (EUSFTA) naglašavaju ključnu važnost slobode udruživanja kao prava koje omogućuje ostvarenje svih drugih ciljeva dostojanstvenog rada. Detaljna analiza nedostataka u nacionalnom zakonodavstvu radi ratifikacije preostalih temeljnih konvencija ILO-a, uz tehničku pomoć ILO-a, smatra se ključnim alatom.</w:t>
      </w:r>
    </w:p>
    <w:p w:rsidRPr="001F165D" w:rsidR="00C11E25" w:rsidP="00C11E25" w:rsidRDefault="00C11E25" w14:paraId="032A552B" w14:textId="77777777">
      <w:pPr>
        <w:pStyle w:val="Heading2"/>
        <w:numPr>
          <w:ilvl w:val="0"/>
          <w:numId w:val="0"/>
        </w:numPr>
        <w:rPr>
          <w:lang w:val="en-GB"/>
        </w:rPr>
      </w:pPr>
    </w:p>
    <w:p w:rsidRPr="001F165D" w:rsidR="00C11E25" w:rsidP="00C11E25" w:rsidRDefault="00C11E25" w14:paraId="0A1202E1" w14:textId="74BFF51A">
      <w:pPr>
        <w:pStyle w:val="Heading2"/>
      </w:pPr>
      <w:r>
        <w:t>Sporazumima između EU-a i Singapura te EU-a i Vijetnama uspostavljaju se vrijedni okviri za održivu trgovinu, pri čemu poglavlja o trgovini i održivom razvoju čine ključan temelj. Nadovezujući se na taj napredak, sve je veći konsenzus da bi veća uključenost dionika, posebno MSP-ova i dionika iz neformalnog sektora, mogla učiniti provedbu čvršćom i uključivijom. Takvim bi se razvojem dodatno ojačali temeljni ciljevi stvaranja pravednih i održivih trgovinskih odnosa, a stranke bi trebale razviti zajedničko razumijevanje zadaća, funkcioniranja i potreba unutarnjih savjetodavnih skupina i drugih uspostavljenih foruma civilnog društva.</w:t>
      </w:r>
    </w:p>
    <w:p w:rsidRPr="001F165D" w:rsidR="00C11E25" w:rsidP="00C11E25" w:rsidRDefault="00C11E25" w14:paraId="70052451" w14:textId="77777777">
      <w:pPr>
        <w:pStyle w:val="Heading2"/>
        <w:numPr>
          <w:ilvl w:val="0"/>
          <w:numId w:val="0"/>
        </w:numPr>
        <w:rPr>
          <w:lang w:val="en-GB"/>
        </w:rPr>
      </w:pPr>
    </w:p>
    <w:p w:rsidRPr="001F165D" w:rsidR="00C11E25" w:rsidP="00C11E25" w:rsidRDefault="00C11E25" w14:paraId="104F1933" w14:textId="77777777">
      <w:pPr>
        <w:pStyle w:val="Heading2"/>
      </w:pPr>
      <w:r>
        <w:t>Prema Europskoj komisiji, uključivi dijalog, uključujući javno-privatni dijalog, mogao bi biti koristan u osiguravanju da trgovinske politike odražavaju potrebe svih gospodarskih subjekata.</w:t>
      </w:r>
      <w:r w:rsidRPr="001F165D">
        <w:rPr>
          <w:vertAlign w:val="superscript"/>
          <w:lang w:val="en-GB"/>
        </w:rPr>
        <w:footnoteReference w:id="25"/>
      </w:r>
      <w:r>
        <w:t xml:space="preserve"> Postoji potreba za:</w:t>
      </w:r>
    </w:p>
    <w:p w:rsidRPr="001F165D" w:rsidR="00C11E25" w:rsidP="00C11E25" w:rsidRDefault="00C11E25" w14:paraId="458685BB" w14:textId="77777777">
      <w:pPr>
        <w:pStyle w:val="Heading2"/>
        <w:numPr>
          <w:ilvl w:val="1"/>
          <w:numId w:val="3"/>
        </w:numPr>
        <w:ind w:left="851" w:hanging="284"/>
      </w:pPr>
      <w:r>
        <w:t>pristupom tehničkim informacijama o trgovinskim propisima i zahtjevima u pogledu usklađenosti;</w:t>
      </w:r>
    </w:p>
    <w:p w:rsidRPr="001F165D" w:rsidR="00C11E25" w:rsidP="00C11E25" w:rsidRDefault="00C11E25" w14:paraId="54C5265B" w14:textId="77777777">
      <w:pPr>
        <w:pStyle w:val="Heading2"/>
        <w:numPr>
          <w:ilvl w:val="1"/>
          <w:numId w:val="3"/>
        </w:numPr>
        <w:ind w:left="851" w:hanging="284"/>
      </w:pPr>
      <w:r>
        <w:t>ciljanim inicijativama za izgradnju kapaciteta kako bi se ojačalo sudjelovanje MSP-ova i lokalnih poslovnih udruženja;</w:t>
      </w:r>
    </w:p>
    <w:p w:rsidRPr="001F165D" w:rsidR="00C11E25" w:rsidP="00C11E25" w:rsidRDefault="00C11E25" w14:paraId="2A5D5F94" w14:textId="77777777">
      <w:pPr>
        <w:pStyle w:val="Heading2"/>
        <w:numPr>
          <w:ilvl w:val="1"/>
          <w:numId w:val="3"/>
        </w:numPr>
        <w:ind w:left="851" w:hanging="284"/>
      </w:pPr>
      <w:r>
        <w:t>inovativnim modelima savjetovanja, uključujući digitalne platforme koje omogućuju siguran i, prema potrebi, anoniman doprinos, što je posebno značajno u kontekstima u kojima otvorene kritike mogu donijeti profesionalne ili političke rizike.</w:t>
      </w:r>
    </w:p>
    <w:p w:rsidRPr="001F165D" w:rsidR="00C11E25" w:rsidP="00C11E25" w:rsidRDefault="00C11E25" w14:paraId="5B288788" w14:textId="77777777">
      <w:pPr>
        <w:pStyle w:val="Heading2"/>
        <w:numPr>
          <w:ilvl w:val="0"/>
          <w:numId w:val="0"/>
        </w:numPr>
        <w:rPr>
          <w:lang w:val="en-GB"/>
        </w:rPr>
      </w:pPr>
    </w:p>
    <w:p w:rsidRPr="001F165D" w:rsidR="00C11E25" w:rsidP="00C11E25" w:rsidRDefault="00C11E25" w14:paraId="3CE45349" w14:textId="77777777">
      <w:pPr>
        <w:pStyle w:val="Heading2"/>
      </w:pPr>
      <w:r>
        <w:t>Budući bilateralni trgovinski sporazumi EU-a s Indonezijom, Malezijom, Filipinima i Tajlandom mogli bi povećati životni standard i plaće kvalificiranih i nekvalificiranih radnika u tekstilnom sektoru, sektoru obuće i automobilskom sektoru. Za rješavanje tih pitanja potrebno je detaljno razumijevanje međudjelovanja plaća, uvjeta zapošljavanja i smanjenja siromaštva među ranjivim skupinama, kao što su žene, mladi i manjine. Zbog toga pravna zaštita uključena u poglavlja o trgovini i održivom razvoju ima ključnu ulogu u gospodarstvima u razvoju, od osiguravanja poštovanja međunarodnih standarda rada do očuvanja radnih uvjeta i sigurnosti na radnom mjestu.</w:t>
      </w:r>
    </w:p>
    <w:p w:rsidRPr="001F165D" w:rsidR="00C11E25" w:rsidP="00C11E25" w:rsidRDefault="00C11E25" w14:paraId="44C93050" w14:textId="77777777">
      <w:pPr>
        <w:pStyle w:val="Heading2"/>
        <w:keepNext/>
        <w:keepLines/>
        <w:numPr>
          <w:ilvl w:val="0"/>
          <w:numId w:val="0"/>
        </w:numPr>
        <w:rPr>
          <w:b/>
        </w:rPr>
      </w:pPr>
      <w:r>
        <w:rPr>
          <w:b/>
        </w:rPr>
        <w:lastRenderedPageBreak/>
        <w:t>Radnička prava i zastupanje radnika</w:t>
      </w:r>
    </w:p>
    <w:p w:rsidRPr="001F165D" w:rsidR="00C11E25" w:rsidP="00C11E25" w:rsidRDefault="00C11E25" w14:paraId="754F561C" w14:textId="77777777">
      <w:pPr>
        <w:pStyle w:val="Heading2"/>
        <w:keepNext/>
        <w:keepLines/>
        <w:numPr>
          <w:ilvl w:val="0"/>
          <w:numId w:val="0"/>
        </w:numPr>
        <w:rPr>
          <w:sz w:val="16"/>
          <w:szCs w:val="16"/>
          <w:lang w:val="en-GB"/>
        </w:rPr>
      </w:pPr>
    </w:p>
    <w:p w:rsidRPr="001F165D" w:rsidR="00C11E25" w:rsidP="00C11E25" w:rsidRDefault="00C11E25" w14:paraId="7FA76355" w14:textId="77777777">
      <w:pPr>
        <w:pStyle w:val="Heading2"/>
      </w:pPr>
      <w:r>
        <w:t>U okviru dijaloga EU-a i ASEAN-a pažljivo se pristupa razlikama u pogledu regionalnih standarda i međunarodnih mjerila, pri čemu su još uvijek prisutne razlike u smislu plaća, sigurnosti i sindikalnog zastupanja. ILO je izvijestio da se mnogi radnici u regiji i dalje suočavaju s manjkom dostojanstvenih radnih mjesta.</w:t>
      </w:r>
      <w:r w:rsidRPr="001F165D">
        <w:rPr>
          <w:sz w:val="24"/>
          <w:vertAlign w:val="superscript"/>
          <w:lang w:val="en-GB"/>
        </w:rPr>
        <w:footnoteReference w:id="26"/>
      </w:r>
      <w:r>
        <w:t xml:space="preserve"> U jugoistočnoj Aziji aktivno djeluju međunarodne konfederacije sindikata: Međunarodna konfederacija sindikata – Azija i Pacifik (ITUC-AP)</w:t>
      </w:r>
      <w:r w:rsidRPr="001F165D">
        <w:rPr>
          <w:vertAlign w:val="superscript"/>
          <w:lang w:val="en-GB"/>
        </w:rPr>
        <w:footnoteReference w:id="27"/>
      </w:r>
      <w:r>
        <w:t xml:space="preserve"> i Svjetska federacija sindikata</w:t>
      </w:r>
      <w:r w:rsidRPr="001F165D">
        <w:rPr>
          <w:vertAlign w:val="superscript"/>
          <w:lang w:val="en-GB"/>
        </w:rPr>
        <w:footnoteReference w:id="28"/>
      </w:r>
      <w:r>
        <w:t>, uključujući njezinu podružnicu za azijsko-pacifičku regiju (WFTU-AP)</w:t>
      </w:r>
      <w:r w:rsidRPr="001F165D">
        <w:rPr>
          <w:vertAlign w:val="superscript"/>
          <w:lang w:val="en-GB"/>
        </w:rPr>
        <w:footnoteReference w:id="29"/>
      </w:r>
      <w:r>
        <w:t>, kao i dvije ključne organizacije poslodavaca: Konfederacija poslodavaca ASEAN-a (ACE)</w:t>
      </w:r>
      <w:r w:rsidRPr="001F165D">
        <w:rPr>
          <w:vertAlign w:val="superscript"/>
          <w:lang w:val="en-GB"/>
        </w:rPr>
        <w:footnoteReference w:id="30"/>
      </w:r>
      <w:r>
        <w:t xml:space="preserve"> i Konfederacija poslodavaca Azije i Pacifika (CAPE)</w:t>
      </w:r>
      <w:r w:rsidRPr="001F165D">
        <w:rPr>
          <w:vertAlign w:val="superscript"/>
          <w:lang w:val="en-GB"/>
        </w:rPr>
        <w:footnoteReference w:id="31"/>
      </w:r>
      <w:r>
        <w:t xml:space="preserve">. </w:t>
      </w:r>
    </w:p>
    <w:p w:rsidRPr="001F165D" w:rsidR="00C11E25" w:rsidP="00C11E25" w:rsidRDefault="00C11E25" w14:paraId="539ABB20" w14:textId="77777777">
      <w:pPr>
        <w:pStyle w:val="Heading2"/>
        <w:numPr>
          <w:ilvl w:val="0"/>
          <w:numId w:val="0"/>
        </w:numPr>
        <w:rPr>
          <w:lang w:val="en-GB"/>
        </w:rPr>
      </w:pPr>
    </w:p>
    <w:p w:rsidRPr="001F165D" w:rsidR="00C11E25" w:rsidP="00C11E25" w:rsidRDefault="00C11E25" w14:paraId="72098F37" w14:textId="77777777">
      <w:pPr>
        <w:pStyle w:val="Heading2"/>
      </w:pPr>
      <w:r>
        <w:t xml:space="preserve">ASEAN je posljednjih nekoliko desetljeća zabilježio pozitivan trend u mobilnosti radne snage i preraspodjeli resursa u poljoprivredi, industriji i uslugama. Međutim, taj trend je zaobišao ranjive skupine, uključujući žene i mlade, a naročito pripadnike etničkih manjina, jer one često ovise o neplaćenom obiteljskom radu i poslovima u neformalnom sektoru. </w:t>
      </w:r>
    </w:p>
    <w:p w:rsidRPr="001F165D" w:rsidR="00C11E25" w:rsidP="00C11E25" w:rsidRDefault="00C11E25" w14:paraId="73C833F4" w14:textId="77777777">
      <w:pPr>
        <w:pStyle w:val="Heading2"/>
        <w:numPr>
          <w:ilvl w:val="0"/>
          <w:numId w:val="0"/>
        </w:numPr>
        <w:rPr>
          <w:lang w:val="en-GB"/>
        </w:rPr>
      </w:pPr>
    </w:p>
    <w:p w:rsidRPr="001F165D" w:rsidR="00C11E25" w:rsidP="00C11E25" w:rsidRDefault="00C11E25" w14:paraId="627E04F6" w14:textId="77777777">
      <w:pPr>
        <w:pStyle w:val="Heading2"/>
      </w:pPr>
      <w:r>
        <w:t>MOR dalje navodi da se sindikati i civilno društvo suočavaju sa stalnim preprekama, uključujući:</w:t>
      </w:r>
      <w:r w:rsidRPr="001F165D">
        <w:rPr>
          <w:vertAlign w:val="superscript"/>
          <w:lang w:val="en-GB"/>
        </w:rPr>
        <w:footnoteReference w:id="32"/>
      </w:r>
    </w:p>
    <w:p w:rsidRPr="001F165D" w:rsidR="00C11E25" w:rsidP="00C11E25" w:rsidRDefault="00C11E25" w14:paraId="17912BCF" w14:textId="77777777">
      <w:pPr>
        <w:pStyle w:val="Heading2"/>
        <w:numPr>
          <w:ilvl w:val="1"/>
          <w:numId w:val="4"/>
        </w:numPr>
        <w:ind w:left="851" w:hanging="284"/>
      </w:pPr>
      <w:r>
        <w:t xml:space="preserve">ograničenja za osnivanje sindikata i kolektivno pregovaranje; </w:t>
      </w:r>
    </w:p>
    <w:p w:rsidRPr="001F165D" w:rsidR="00C11E25" w:rsidP="00C11E25" w:rsidRDefault="00C11E25" w14:paraId="374A60E4" w14:textId="77777777">
      <w:pPr>
        <w:pStyle w:val="Heading2"/>
        <w:numPr>
          <w:ilvl w:val="1"/>
          <w:numId w:val="4"/>
        </w:numPr>
        <w:ind w:left="851" w:hanging="284"/>
      </w:pPr>
      <w:r>
        <w:t xml:space="preserve">ograničen pristup ljudskim pravima (pravo na udruživanje, pravo na organiziranje) za određene skupine radnika, osobito one u neformalnom sektoru; </w:t>
      </w:r>
    </w:p>
    <w:p w:rsidRPr="001F165D" w:rsidR="00C11E25" w:rsidP="00C11E25" w:rsidRDefault="00C11E25" w14:paraId="3B73E99D" w14:textId="77777777">
      <w:pPr>
        <w:pStyle w:val="Heading2"/>
        <w:numPr>
          <w:ilvl w:val="1"/>
          <w:numId w:val="4"/>
        </w:numPr>
        <w:ind w:left="851" w:hanging="284"/>
      </w:pPr>
      <w:r>
        <w:t>opće smanjenje broja članova u sindikatima i uključenosti u kolektivno pregovaranje, uz povećanje novih vrsta radnih dogovora;</w:t>
      </w:r>
    </w:p>
    <w:p w:rsidRPr="001F165D" w:rsidR="00C11E25" w:rsidP="00C11E25" w:rsidRDefault="00C11E25" w14:paraId="68D5FD41" w14:textId="77777777">
      <w:pPr>
        <w:pStyle w:val="Heading2"/>
        <w:numPr>
          <w:ilvl w:val="1"/>
          <w:numId w:val="4"/>
        </w:numPr>
        <w:ind w:left="851" w:hanging="284"/>
      </w:pPr>
      <w:r>
        <w:t>nacionalne politike kojima se ograničava pravo na udruživanje;</w:t>
      </w:r>
    </w:p>
    <w:p w:rsidRPr="001F165D" w:rsidR="00C11E25" w:rsidP="00C11E25" w:rsidRDefault="00C11E25" w14:paraId="7461A2EB" w14:textId="77777777">
      <w:pPr>
        <w:pStyle w:val="Heading2"/>
        <w:numPr>
          <w:ilvl w:val="1"/>
          <w:numId w:val="4"/>
        </w:numPr>
        <w:ind w:left="851" w:hanging="284"/>
      </w:pPr>
      <w:r>
        <w:t>nedovoljan broj kanala za zastupanje radnika;</w:t>
      </w:r>
    </w:p>
    <w:p w:rsidRPr="001F165D" w:rsidR="00C11E25" w:rsidP="00C11E25" w:rsidRDefault="00C11E25" w14:paraId="60B3F852" w14:textId="77777777">
      <w:pPr>
        <w:pStyle w:val="Heading2"/>
        <w:numPr>
          <w:ilvl w:val="1"/>
          <w:numId w:val="4"/>
        </w:numPr>
        <w:ind w:left="851" w:hanging="284"/>
      </w:pPr>
      <w:r>
        <w:t>neučinkoviti i nepouzdani sustavi rješavanja radnih sporova;</w:t>
      </w:r>
    </w:p>
    <w:p w:rsidRPr="001F165D" w:rsidR="00C11E25" w:rsidP="00C11E25" w:rsidRDefault="00C11E25" w14:paraId="734A51CE" w14:textId="77777777">
      <w:pPr>
        <w:pStyle w:val="Heading2"/>
        <w:numPr>
          <w:ilvl w:val="1"/>
          <w:numId w:val="4"/>
        </w:numPr>
        <w:ind w:left="851" w:hanging="284"/>
      </w:pPr>
      <w:r>
        <w:t>opći nedostaci politika usmjereni na primjenu temeljnih prava u formalnom zapošljavanju, isključivši neformalni sektor; i</w:t>
      </w:r>
    </w:p>
    <w:p w:rsidRPr="001F165D" w:rsidR="00C11E25" w:rsidP="00C11E25" w:rsidRDefault="00C11E25" w14:paraId="05313AE2" w14:textId="77777777">
      <w:pPr>
        <w:pStyle w:val="Heading2"/>
        <w:numPr>
          <w:ilvl w:val="1"/>
          <w:numId w:val="4"/>
        </w:numPr>
        <w:ind w:left="851" w:hanging="284"/>
      </w:pPr>
      <w:r>
        <w:t xml:space="preserve">nedovoljna zaštita prava radnika migranata. </w:t>
      </w:r>
    </w:p>
    <w:p w:rsidRPr="001F165D" w:rsidR="00C11E25" w:rsidP="00C11E25" w:rsidRDefault="00C11E25" w14:paraId="4CACAB12" w14:textId="77777777">
      <w:pPr>
        <w:pStyle w:val="Heading2"/>
        <w:numPr>
          <w:ilvl w:val="0"/>
          <w:numId w:val="0"/>
        </w:numPr>
        <w:rPr>
          <w:lang w:val="en-GB"/>
        </w:rPr>
      </w:pPr>
    </w:p>
    <w:p w:rsidR="00657498" w:rsidP="00C11E25" w:rsidRDefault="00C11E25" w14:paraId="63E5F3C3" w14:textId="77777777">
      <w:pPr>
        <w:pStyle w:val="Heading2"/>
      </w:pPr>
      <w:r>
        <w:t>Druga pitanja uključuju ograničeno socijalno osiguranje, niske plaće i prekovremeni rad mnogih radnika.</w:t>
      </w:r>
      <w:r w:rsidRPr="001F165D">
        <w:rPr>
          <w:vertAlign w:val="superscript"/>
          <w:lang w:val="en-GB"/>
        </w:rPr>
        <w:footnoteReference w:id="33"/>
      </w:r>
      <w:r>
        <w:t xml:space="preserve"> Iako je Indonezija uspostavila regionalne standarde minimalne plaće, i dalje postoje izazovi u osiguravanju pravedne naknade za niskokvalificirane radnike. To je odraz nedostataka u provedbenim kapacitetima i mehanizmima kolektivnog pregovaranja, posebno u tvornicama u kojima nema sindikata. </w:t>
      </w:r>
    </w:p>
    <w:p w:rsidRPr="001F165D" w:rsidR="00C11E25" w:rsidP="00657498" w:rsidRDefault="00C11E25" w14:paraId="172BA982" w14:textId="14FDB3C3">
      <w:pPr>
        <w:pStyle w:val="Heading2"/>
        <w:numPr>
          <w:ilvl w:val="0"/>
          <w:numId w:val="0"/>
        </w:numPr>
        <w:ind w:left="567"/>
      </w:pPr>
      <w:r>
        <w:lastRenderedPageBreak/>
        <w:t xml:space="preserve">Indonezija se nedavno povukla iz Konvencije MOR-a o radu pod zemljom (žene) (br. 45, 1935.) i tek treba ratificirati Konvenciju o sigurnosti i zdravlju na radu (br. 155, 1981.) i pristupiti Programu MOR-a o dostojanstvenom radu. </w:t>
      </w:r>
    </w:p>
    <w:p w:rsidRPr="001F165D" w:rsidR="00C11E25" w:rsidP="00C11E25" w:rsidRDefault="00C11E25" w14:paraId="01129D26" w14:textId="77777777">
      <w:pPr>
        <w:pStyle w:val="Heading2"/>
        <w:numPr>
          <w:ilvl w:val="0"/>
          <w:numId w:val="0"/>
        </w:numPr>
        <w:rPr>
          <w:lang w:val="en-GB"/>
        </w:rPr>
      </w:pPr>
    </w:p>
    <w:p w:rsidRPr="001F165D" w:rsidR="00C11E25" w:rsidP="00C11E25" w:rsidRDefault="00C11E25" w14:paraId="422361C5" w14:textId="77777777">
      <w:pPr>
        <w:pStyle w:val="Heading2"/>
      </w:pPr>
      <w:r>
        <w:t>Filipini imaju najsveobuhvatniji pravni okvir za radne standarde u svim zemljama ASEAN-a.</w:t>
      </w:r>
      <w:r w:rsidRPr="001F165D">
        <w:rPr>
          <w:sz w:val="24"/>
          <w:vertAlign w:val="superscript"/>
          <w:lang w:val="en-GB"/>
        </w:rPr>
        <w:footnoteReference w:id="34"/>
      </w:r>
      <w:r>
        <w:t xml:space="preserve"> Međutim, formalno zaposleni radnici i dalje su manji dio radne snage. Usto, filipinski radnici s minimalnom plaćom primaju veće plaće nego radnici u susjednim zemljama, uključujući Tajland, Vijetnam i Indoneziju. </w:t>
      </w:r>
    </w:p>
    <w:p w:rsidRPr="001F165D" w:rsidR="00C11E25" w:rsidP="00C11E25" w:rsidRDefault="00C11E25" w14:paraId="626A876D" w14:textId="77777777">
      <w:pPr>
        <w:pStyle w:val="Heading2"/>
        <w:numPr>
          <w:ilvl w:val="0"/>
          <w:numId w:val="0"/>
        </w:numPr>
        <w:rPr>
          <w:lang w:val="en-GB"/>
        </w:rPr>
      </w:pPr>
    </w:p>
    <w:p w:rsidRPr="001F165D" w:rsidR="00C11E25" w:rsidP="00C11E25" w:rsidRDefault="00C11E25" w14:paraId="2BDA4321" w14:textId="77777777">
      <w:pPr>
        <w:pStyle w:val="Heading2"/>
      </w:pPr>
      <w:r>
        <w:t>Prema podacima Mreže Ujedinjenih naroda za migracije, radnici migranti u Tajlandu (iz Mjanmara i Kambodže) i dalje se suočavaju s izazovima povezanima sa standardima i uvjetima rada.</w:t>
      </w:r>
      <w:r w:rsidRPr="001F165D">
        <w:rPr>
          <w:sz w:val="24"/>
          <w:vertAlign w:val="superscript"/>
          <w:lang w:val="en-GB"/>
        </w:rPr>
        <w:footnoteReference w:id="35"/>
      </w:r>
      <w:r>
        <w:t xml:space="preserve"> Tajland nije stranka Konvencije o izbjeglicama iz 1951. i nema učinkovite nacionalne mehanizme za procjenu zahtjeva za azil. </w:t>
      </w:r>
    </w:p>
    <w:p w:rsidRPr="001F165D" w:rsidR="00C11E25" w:rsidP="00C11E25" w:rsidRDefault="00C11E25" w14:paraId="6F4E1D5B" w14:textId="77777777">
      <w:pPr>
        <w:pStyle w:val="Heading2"/>
        <w:numPr>
          <w:ilvl w:val="0"/>
          <w:numId w:val="0"/>
        </w:numPr>
        <w:rPr>
          <w:lang w:val="en-GB"/>
        </w:rPr>
      </w:pPr>
    </w:p>
    <w:p w:rsidRPr="001F165D" w:rsidR="00C11E25" w:rsidP="00C11E25" w:rsidRDefault="00C11E25" w14:paraId="22C91A21" w14:textId="77777777">
      <w:pPr>
        <w:pStyle w:val="Heading2"/>
        <w:keepNext/>
        <w:keepLines/>
        <w:numPr>
          <w:ilvl w:val="0"/>
          <w:numId w:val="0"/>
        </w:numPr>
      </w:pPr>
      <w:r>
        <w:rPr>
          <w:b/>
        </w:rPr>
        <w:t>Pitanja u vezi sa zaštitom okoliša</w:t>
      </w:r>
    </w:p>
    <w:p w:rsidRPr="001F165D" w:rsidR="00C11E25" w:rsidP="00C11E25" w:rsidRDefault="00C11E25" w14:paraId="17FC3763" w14:textId="77777777">
      <w:pPr>
        <w:pStyle w:val="Heading2"/>
        <w:keepNext/>
        <w:keepLines/>
        <w:numPr>
          <w:ilvl w:val="0"/>
          <w:numId w:val="0"/>
        </w:numPr>
        <w:rPr>
          <w:sz w:val="16"/>
          <w:szCs w:val="16"/>
          <w:lang w:val="en-GB"/>
        </w:rPr>
      </w:pPr>
    </w:p>
    <w:p w:rsidRPr="001F165D" w:rsidR="00C11E25" w:rsidP="00C11E25" w:rsidRDefault="00C11E25" w14:paraId="41E58ACF" w14:textId="77777777">
      <w:pPr>
        <w:pStyle w:val="Heading2"/>
      </w:pPr>
      <w:r>
        <w:t>EU i ASEAN suočavaju se s opetovanim napetostima koje proizlaze iz različitih pristupa upravljanju okolišem. Nekoliko regulatornih inicijativa EU-a, uključujući Direktivu o obnovljivoj energiji (RED II), mehanizam za ugljičnu prilagodbu na granicama i Uredbu o deforestaciji, izazvalo je zabrinutost među članicama ASEAN-a.</w:t>
      </w:r>
    </w:p>
    <w:p w:rsidRPr="001F165D" w:rsidR="00C11E25" w:rsidP="00C11E25" w:rsidRDefault="00C11E25" w14:paraId="1E0B09BB" w14:textId="77777777">
      <w:pPr>
        <w:pStyle w:val="Heading2"/>
        <w:numPr>
          <w:ilvl w:val="0"/>
          <w:numId w:val="0"/>
        </w:numPr>
        <w:rPr>
          <w:lang w:val="en-GB"/>
        </w:rPr>
      </w:pPr>
    </w:p>
    <w:p w:rsidRPr="001F165D" w:rsidR="00C11E25" w:rsidP="00C11E25" w:rsidRDefault="00C11E25" w14:paraId="28811F4E" w14:textId="77777777">
      <w:pPr>
        <w:pStyle w:val="Heading2"/>
      </w:pPr>
      <w:r>
        <w:t>Te su napetosti posebno vidljive u sektoru palminog ulja. Indonezija i Malezija, koje su veliki svjetski izvoznici palminog ulja, osiguravaju 90 % svjetske proizvodnje i više od 4,5 milijuna radnih mjesta u tom sektoru. Od 2023. Indonezija i Malezija dio su zajedničke radne skupine s Europskom komisijom osnovane radi razmjene mišljenja i prijedloga o palminom ulju. Već nekoliko godina izvoznici palminog ulja na europsko tržište biodizela moraju biti certificirani i pridržavati se strogih standarda zaštite okoliša. Direktivom RED II zabranjen je 2022. uvoz palminog ulja na tržište EU-a. Svjetska trgovinska organizacija potvrdila je 2024. pravovaljanost ove mjere EU-a, presudivši da EU ne mora povući svoju mjeru, nego samo prilagoditi svoje zakone kako bi se osigurala usklađenost s pravilima WTO-a.</w:t>
      </w:r>
    </w:p>
    <w:p w:rsidRPr="001F165D" w:rsidR="00C11E25" w:rsidP="00C11E25" w:rsidRDefault="00C11E25" w14:paraId="7C9ABB0A" w14:textId="77777777">
      <w:pPr>
        <w:pStyle w:val="Heading2"/>
        <w:numPr>
          <w:ilvl w:val="0"/>
          <w:numId w:val="0"/>
        </w:numPr>
        <w:rPr>
          <w:lang w:val="en-GB"/>
        </w:rPr>
      </w:pPr>
    </w:p>
    <w:p w:rsidRPr="001F165D" w:rsidR="00C11E25" w:rsidP="00C11E25" w:rsidRDefault="00C11E25" w14:paraId="57066851" w14:textId="77777777">
      <w:pPr>
        <w:pStyle w:val="Heading2"/>
      </w:pPr>
      <w:r>
        <w:t>Ministri i ministrice poljoprivrede EU-a u međuvremenu su odgodili stupanje na snagu Uredbe o deforestaciji (EUDR) na 2026. Indonezija, koja se snažno protivi toj Uredbi, predvodi regionalne napore za stvaranje zajedničkog odgovora na razini ASEAN-a koji bi se temeljio na mogućem gospodarskom učinku takvih propisa na ključne izvozne proizvode. Malezija i Tajland također podržavaju to stajalište. Singapur je 2024. pozvao EU da razmotri usvajanje manje nepovoljnog pristupa kako bi se smanjili troškovi usklađivanja u industriji i osiguralo da uvedene mjere trgovinu ne ograničavaju više nego što je potrebno. Prava autohtonih naroda priznata u indonezijskom ustavu tek se moraju početi ujednačeno provoditi, posebno u područjima bogatima resursima u kojima i dalje postoje zemljišni sporovi. Sve veća potražnja za šumskim i drvnim proizvodima mogla bi dovesti do povećanja kršenja ljudskih prava.</w:t>
      </w:r>
    </w:p>
    <w:p w:rsidRPr="001F165D" w:rsidR="00C11E25" w:rsidP="00C11E25" w:rsidRDefault="00C11E25" w14:paraId="2BDCC4AB" w14:textId="77777777">
      <w:pPr>
        <w:pStyle w:val="Heading2"/>
        <w:numPr>
          <w:ilvl w:val="0"/>
          <w:numId w:val="0"/>
        </w:numPr>
        <w:rPr>
          <w:lang w:val="en-GB"/>
        </w:rPr>
      </w:pPr>
    </w:p>
    <w:p w:rsidRPr="001F165D" w:rsidR="00C11E25" w:rsidP="00C11E25" w:rsidRDefault="00C11E25" w14:paraId="4F719469" w14:textId="77777777">
      <w:pPr>
        <w:pStyle w:val="Heading2"/>
      </w:pPr>
      <w:r>
        <w:lastRenderedPageBreak/>
        <w:t>U okviru Komisije za tunu u Indijskom oceanu (IOTC) postignut je znatan napredak donošenjem jedanaest novih mjera očuvanja i upravljanja za poboljšanje održivosti ribarstva u Indijskom oceanu.</w:t>
      </w:r>
      <w:r w:rsidRPr="001F165D">
        <w:rPr>
          <w:vertAlign w:val="superscript"/>
          <w:lang w:val="en-GB"/>
        </w:rPr>
        <w:footnoteReference w:id="36"/>
      </w:r>
      <w:r>
        <w:t xml:space="preserve"> Jedno od ključnih postignuća je sveobuhvatan okvir za ploveće uređaje za privlačenje ribe, uključujući neposrednu zabranu takvih uređaja koji nisu u potpunosti biorazgradivi i postupno ukidanje svih komponenti koje nisu biorazgradive, što zahtijeva potpuni prijelaz na biorazgradive uređaje za privlačenje ribe do 2030.</w:t>
      </w:r>
      <w:r w:rsidRPr="001F165D">
        <w:rPr>
          <w:vertAlign w:val="superscript"/>
          <w:lang w:val="en-GB"/>
        </w:rPr>
        <w:footnoteReference w:id="37"/>
      </w:r>
    </w:p>
    <w:p w:rsidRPr="001F165D" w:rsidR="00C11E25" w:rsidP="00C11E25" w:rsidRDefault="00C11E25" w14:paraId="53575423" w14:textId="77777777">
      <w:pPr>
        <w:pStyle w:val="Heading2"/>
        <w:numPr>
          <w:ilvl w:val="0"/>
          <w:numId w:val="0"/>
        </w:numPr>
        <w:rPr>
          <w:lang w:val="en-GB"/>
        </w:rPr>
      </w:pPr>
    </w:p>
    <w:p w:rsidRPr="001F165D" w:rsidR="00C11E25" w:rsidP="00C11E25" w:rsidRDefault="00C11E25" w14:paraId="5843B44E" w14:textId="77777777">
      <w:pPr>
        <w:pStyle w:val="Heading2"/>
        <w:keepNext/>
        <w:keepLines/>
        <w:numPr>
          <w:ilvl w:val="0"/>
          <w:numId w:val="0"/>
        </w:numPr>
        <w:rPr>
          <w:b/>
        </w:rPr>
      </w:pPr>
      <w:r>
        <w:rPr>
          <w:b/>
        </w:rPr>
        <w:t>Ljudska prava</w:t>
      </w:r>
    </w:p>
    <w:p w:rsidRPr="001F165D" w:rsidR="00C11E25" w:rsidP="00C11E25" w:rsidRDefault="00C11E25" w14:paraId="3868FC43" w14:textId="77777777">
      <w:pPr>
        <w:pStyle w:val="Heading2"/>
        <w:keepNext/>
        <w:keepLines/>
        <w:numPr>
          <w:ilvl w:val="0"/>
          <w:numId w:val="0"/>
        </w:numPr>
        <w:rPr>
          <w:sz w:val="16"/>
          <w:szCs w:val="16"/>
          <w:lang w:val="en-GB"/>
        </w:rPr>
      </w:pPr>
    </w:p>
    <w:p w:rsidRPr="001F165D" w:rsidR="00C11E25" w:rsidP="00C11E25" w:rsidRDefault="00C11E25" w14:paraId="2EA26DB5" w14:textId="77777777">
      <w:pPr>
        <w:pStyle w:val="Heading2"/>
      </w:pPr>
      <w:r>
        <w:t>Naposljetku, napredak u području ljudskih prava znatno se razlikuje među zemljama ASEAN-a. Regija se suočava s aktualnim izazovima zbog sve većeg broja izbjeglica, trgovine ljudima i problema povezanih s drogom. Ovdje je potrebno posebno spomenuti razvoj događaja na Filipinima. Nakon izbora 2022. predsjednik Ferdinand Marcos Jr. obvezao se da će poboljšati uvjete povezane s ljudskim pravima nakon „rata protiv droge” koji je vodio njegov prethodnik Rodrigo Duterte i drugih kontroverznih politika. Unatoč tim obećanjima, organizacije civilnog društva, aktivisti i autohtone skupine i dalje se suočavaju s brojnim prijetnjama, uključujući optužbe da su komunisti, kao i druge optužbe. Međunarodni kazneni sud trenutačno istražuje predsjednika Dutertea. Organizacije civilnog društva, politički aktivisti, aktivisti za zaštitu okoliša, autohtoni narodi i sindikalisti i dalje su ugroženi, naročito zbog optužbi da su komunisti i drugih lažnih optužbi. Usto, nastavlja se sukob između vlade i komunističke Nove narodne vojske.</w:t>
      </w:r>
    </w:p>
    <w:p w:rsidRPr="001F165D" w:rsidR="00C11E25" w:rsidP="00C11E25" w:rsidRDefault="00C11E25" w14:paraId="28578AA7" w14:textId="77777777">
      <w:pPr>
        <w:pStyle w:val="Heading2"/>
        <w:numPr>
          <w:ilvl w:val="0"/>
          <w:numId w:val="0"/>
        </w:numPr>
        <w:rPr>
          <w:lang w:val="en-GB"/>
        </w:rPr>
      </w:pPr>
    </w:p>
    <w:p w:rsidRPr="001F165D" w:rsidR="00C11E25" w:rsidP="00C11E25" w:rsidRDefault="00C11E25" w14:paraId="416EF099" w14:textId="77777777">
      <w:pPr>
        <w:pStyle w:val="Heading2"/>
      </w:pPr>
      <w:r>
        <w:t>U međuvremenu je Malezija poduzela postupne korake, kao što je ukidanje obvezne smrtne kazne u 2023., osim za kaznena djela trgovine drogom.</w:t>
      </w:r>
    </w:p>
    <w:p w:rsidRPr="001F165D" w:rsidR="00C11E25" w:rsidP="00C11E25" w:rsidRDefault="00C11E25" w14:paraId="581105CE" w14:textId="77777777">
      <w:pPr>
        <w:rPr>
          <w:color w:val="000000" w:themeColor="text1"/>
          <w:lang w:val="en-GB"/>
        </w:rPr>
      </w:pPr>
    </w:p>
    <w:p w:rsidRPr="001F165D" w:rsidR="00C11E25" w:rsidP="00C11E25" w:rsidRDefault="00C11E25" w14:paraId="2018A314" w14:textId="77777777">
      <w:pPr>
        <w:keepNext/>
        <w:keepLines/>
        <w:rPr>
          <w:b/>
          <w:color w:val="000000" w:themeColor="text1"/>
        </w:rPr>
      </w:pPr>
      <w:r>
        <w:rPr>
          <w:b/>
          <w:color w:val="000000" w:themeColor="text1"/>
        </w:rPr>
        <w:t>Zaključak</w:t>
      </w:r>
    </w:p>
    <w:p w:rsidRPr="00F537C0" w:rsidR="00C11E25" w:rsidP="00C11E25" w:rsidRDefault="00C11E25" w14:paraId="6C34F7AD" w14:textId="77777777">
      <w:pPr>
        <w:keepNext/>
        <w:keepLines/>
        <w:outlineLvl w:val="1"/>
        <w:rPr>
          <w:color w:val="000000" w:themeColor="text1"/>
          <w:lang w:val="en-GB"/>
        </w:rPr>
      </w:pPr>
    </w:p>
    <w:p w:rsidRPr="001F165D" w:rsidR="00C11E25" w:rsidP="00C11E25" w:rsidRDefault="00C11E25" w14:paraId="470E97A4" w14:textId="77777777">
      <w:pPr>
        <w:rPr>
          <w:bCs/>
          <w:color w:val="000000" w:themeColor="text1"/>
        </w:rPr>
      </w:pPr>
      <w:r>
        <w:rPr>
          <w:color w:val="000000" w:themeColor="text1"/>
        </w:rPr>
        <w:t xml:space="preserve">Kao strateški partneri sa zajedničkim interesima EU i ASEAN mogu surađivati na ostvarivanju zajedničkih gospodarskih i ulagačkih mogućnosti izravno povezanih s boljim radnim okruženjem za organizacije civilnog društva. </w:t>
      </w:r>
    </w:p>
    <w:p w:rsidRPr="001F165D" w:rsidR="00C11E25" w:rsidP="00C11E25" w:rsidRDefault="00C11E25" w14:paraId="15DC48B8" w14:textId="77777777">
      <w:pPr>
        <w:rPr>
          <w:bCs/>
          <w:color w:val="000000" w:themeColor="text1"/>
          <w:lang w:val="en-GB"/>
        </w:rPr>
      </w:pPr>
    </w:p>
    <w:p w:rsidRPr="001F165D" w:rsidR="00C11E25" w:rsidP="00C11E25" w:rsidRDefault="00C11E25" w14:paraId="3EDE8207" w14:textId="77777777">
      <w:pPr>
        <w:rPr>
          <w:bCs/>
          <w:color w:val="000000" w:themeColor="text1"/>
        </w:rPr>
      </w:pPr>
      <w:r>
        <w:rPr>
          <w:color w:val="000000" w:themeColor="text1"/>
        </w:rPr>
        <w:t xml:space="preserve">Pravna zaštita u poglavljima o trgovini i održivom razvoju ima ključnu ulogu u gospodarstvima u razvoju. Produbljivanjem partnerstva jačat će se i poštovanje globalnih normi i zajedničkih vrijednosti, osobito u područjima kao što su radni standardi, sigurnost na radnom mjestu i uključivi razvoj. </w:t>
      </w:r>
    </w:p>
    <w:p w:rsidRPr="001F165D" w:rsidR="00360204" w:rsidP="00ED0759" w:rsidRDefault="00360204" w14:paraId="186458E1" w14:textId="77777777">
      <w:pPr>
        <w:rPr>
          <w:lang w:val="en-GB"/>
        </w:rPr>
      </w:pPr>
    </w:p>
    <w:p w:rsidRPr="001F165D" w:rsidR="00360204" w:rsidP="00ED0759" w:rsidRDefault="00360204" w14:paraId="66784737" w14:textId="5EFE944B">
      <w:r>
        <w:t>Bruxelles, 19. lipnja 2025.</w:t>
      </w:r>
    </w:p>
    <w:p w:rsidRPr="001F165D" w:rsidR="005956FC" w:rsidP="00ED0759" w:rsidRDefault="005956FC" w14:paraId="4B414BE3" w14:textId="77777777">
      <w:pPr>
        <w:rPr>
          <w:lang w:val="en-GB"/>
        </w:rPr>
      </w:pPr>
    </w:p>
    <w:p w:rsidRPr="001F165D" w:rsidR="005956FC" w:rsidP="005956FC" w:rsidRDefault="005956FC" w14:paraId="74E5AAB7" w14:textId="13A72392">
      <w:pPr>
        <w:jc w:val="left"/>
        <w:rPr>
          <w:lang w:val="en-GB"/>
        </w:rPr>
      </w:pPr>
    </w:p>
    <w:p w:rsidRPr="001F165D" w:rsidR="00360204" w:rsidP="00360204" w:rsidRDefault="00360204" w14:paraId="7C4A0512" w14:textId="6009B4B6">
      <w:pPr>
        <w:rPr>
          <w:i/>
          <w:iCs/>
          <w:color w:val="000000" w:themeColor="text1"/>
        </w:rPr>
      </w:pPr>
      <w:r>
        <w:rPr>
          <w:i/>
          <w:color w:val="000000" w:themeColor="text1"/>
        </w:rPr>
        <w:t>Predsjednik Europskog gospodarskog i socijalnog odbora</w:t>
      </w:r>
    </w:p>
    <w:p w:rsidRPr="001F165D" w:rsidR="00E2376B" w:rsidP="00E2376B" w:rsidRDefault="00964BF1" w14:paraId="3914066A" w14:textId="4D74C31B">
      <w:r>
        <w:t>Oliver Röpke</w:t>
      </w:r>
    </w:p>
    <w:p w:rsidRPr="001F165D" w:rsidR="00ED0759" w:rsidP="00DB7F50" w:rsidRDefault="00E2376B" w14:paraId="46FCDD49" w14:textId="561D4155">
      <w:pPr>
        <w:jc w:val="center"/>
      </w:pPr>
      <w:r>
        <w:t>_____________</w:t>
      </w:r>
    </w:p>
    <w:sectPr w:rsidRPr="001F165D" w:rsidR="00ED0759" w:rsidSect="001E74A1">
      <w:headerReference w:type="even" r:id="rId21"/>
      <w:headerReference w:type="default" r:id="rId22"/>
      <w:footerReference w:type="default" r:id="rId23"/>
      <w:headerReference w:type="first" r:id="rId24"/>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9E2EF" w14:textId="77777777" w:rsidR="001E3C28" w:rsidRDefault="001E3C28" w:rsidP="00F53370">
      <w:pPr>
        <w:spacing w:line="240" w:lineRule="auto"/>
      </w:pPr>
      <w:r>
        <w:separator/>
      </w:r>
    </w:p>
  </w:endnote>
  <w:endnote w:type="continuationSeparator" w:id="0">
    <w:p w14:paraId="4BF32D87" w14:textId="77777777" w:rsidR="001E3C28" w:rsidRDefault="001E3C28"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C10A" w14:textId="77777777" w:rsidR="00037DAD" w:rsidRDefault="00037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71913" w14:textId="77777777" w:rsidR="00037DAD" w:rsidRDefault="00037D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861E" w14:textId="77777777" w:rsidR="00037DAD" w:rsidRDefault="00037D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217E" w14:textId="1E6BB274" w:rsidR="000A30FF" w:rsidRPr="003065C9" w:rsidRDefault="00296BCE" w:rsidP="00296BCE">
    <w:pPr>
      <w:pStyle w:val="Footer"/>
      <w:jc w:val="left"/>
    </w:pPr>
    <w:r>
      <w:t xml:space="preserve">REX/589 – EESC-2025-00840-00-02-RI-TRA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r w:rsidR="00C53281">
      <w:fldChar w:fldCharType="begin"/>
    </w:r>
    <w:r w:rsidR="00C53281">
      <w:instrText xml:space="preserve"> NUMPAGES </w:instrText>
    </w:r>
    <w:r w:rsidR="00C53281">
      <w:fldChar w:fldCharType="separate"/>
    </w:r>
    <w:r w:rsidR="00D7527F">
      <w:rPr>
        <w:noProof/>
      </w:rPr>
      <w:instrText>11</w:instrText>
    </w:r>
    <w:r w:rsidR="00C53281">
      <w:fldChar w:fldCharType="end"/>
    </w:r>
    <w:r>
      <w:instrText xml:space="preserve"> - 2 </w:instrText>
    </w:r>
    <w:r>
      <w:fldChar w:fldCharType="separate"/>
    </w:r>
    <w:r w:rsidR="00D7527F">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8E899" w14:textId="77777777" w:rsidR="001E3C28" w:rsidRDefault="001E3C28" w:rsidP="00F53370">
      <w:pPr>
        <w:spacing w:line="240" w:lineRule="auto"/>
      </w:pPr>
      <w:r>
        <w:separator/>
      </w:r>
    </w:p>
  </w:footnote>
  <w:footnote w:type="continuationSeparator" w:id="0">
    <w:p w14:paraId="4574EC56" w14:textId="77777777" w:rsidR="001E3C28" w:rsidRDefault="001E3C28" w:rsidP="00F53370">
      <w:pPr>
        <w:spacing w:line="240" w:lineRule="auto"/>
      </w:pPr>
      <w:r>
        <w:continuationSeparator/>
      </w:r>
    </w:p>
  </w:footnote>
  <w:footnote w:id="1">
    <w:p w14:paraId="7B8E0B3A" w14:textId="7EE02755" w:rsidR="00C11E25" w:rsidRPr="00895F23" w:rsidRDefault="00C11E25" w:rsidP="00C11E25">
      <w:pPr>
        <w:spacing w:line="240" w:lineRule="auto"/>
        <w:ind w:left="567" w:hanging="567"/>
        <w:rPr>
          <w:sz w:val="16"/>
        </w:rPr>
      </w:pPr>
      <w:r>
        <w:rPr>
          <w:rStyle w:val="FootnoteReference"/>
        </w:rPr>
        <w:footnoteRef/>
      </w:r>
      <w:r>
        <w:rPr>
          <w:sz w:val="16"/>
        </w:rPr>
        <w:tab/>
      </w:r>
      <w:r>
        <w:rPr>
          <w:i/>
          <w:sz w:val="16"/>
        </w:rPr>
        <w:t xml:space="preserve">ASEAN-EU Partnership: The Untold Story </w:t>
      </w:r>
      <w:r w:rsidRPr="00657498">
        <w:rPr>
          <w:sz w:val="16"/>
          <w:szCs w:val="16"/>
        </w:rPr>
        <w:t>(Partnerstvo ASEAN-a i EU-a: Neispričana priča),</w:t>
      </w:r>
      <w:r>
        <w:rPr>
          <w:sz w:val="16"/>
        </w:rPr>
        <w:t xml:space="preserve"> Tommy Koh i Yeo Lay Hwee (2020.).</w:t>
      </w:r>
    </w:p>
  </w:footnote>
  <w:footnote w:id="2">
    <w:p w14:paraId="1351A27D" w14:textId="77777777" w:rsidR="00C11E25" w:rsidRPr="001E242D" w:rsidRDefault="00C11E25" w:rsidP="00C11E25">
      <w:pPr>
        <w:pStyle w:val="FootnoteText"/>
      </w:pPr>
      <w:r>
        <w:rPr>
          <w:rStyle w:val="FootnoteReference"/>
        </w:rPr>
        <w:footnoteRef/>
      </w:r>
      <w:r>
        <w:tab/>
      </w:r>
      <w:r>
        <w:t>„Središnja uloga ASEAN-a”’: ključni element za regionalnu sigurnost i multilateralnu suradnju u Aziji.</w:t>
      </w:r>
    </w:p>
  </w:footnote>
  <w:footnote w:id="3">
    <w:p w14:paraId="3DD356F9" w14:textId="77777777" w:rsidR="00C11E25" w:rsidRDefault="00C11E25" w:rsidP="00320852">
      <w:pPr>
        <w:keepLines/>
        <w:ind w:left="567" w:hanging="567"/>
        <w:rPr>
          <w:sz w:val="16"/>
          <w:szCs w:val="16"/>
        </w:rPr>
      </w:pPr>
      <w:r>
        <w:rPr>
          <w:rStyle w:val="FootnoteReference"/>
        </w:rPr>
        <w:footnoteRef/>
      </w:r>
      <w:r>
        <w:rPr>
          <w:sz w:val="16"/>
        </w:rPr>
        <w:tab/>
      </w:r>
      <w:hyperlink r:id="rId1">
        <w:r>
          <w:rPr>
            <w:color w:val="0000FF"/>
            <w:sz w:val="16"/>
            <w:u w:val="single"/>
          </w:rPr>
          <w:t>https://www.ilo.org/about-ilo/mission-and-impact-ilo/ilo-declaration-fundamental-principles-and-rights-work</w:t>
        </w:r>
      </w:hyperlink>
      <w:r>
        <w:rPr>
          <w:sz w:val="16"/>
        </w:rPr>
        <w:t>.</w:t>
      </w:r>
    </w:p>
  </w:footnote>
  <w:footnote w:id="4">
    <w:p w14:paraId="6FBC65D2" w14:textId="77777777" w:rsidR="00C11E25" w:rsidRPr="00046D5C" w:rsidRDefault="00C11E25" w:rsidP="00320852">
      <w:pPr>
        <w:pStyle w:val="FootnoteText"/>
        <w:spacing w:after="0" w:line="288" w:lineRule="auto"/>
      </w:pPr>
      <w:r>
        <w:rPr>
          <w:rStyle w:val="FootnoteReference"/>
        </w:rPr>
        <w:footnoteRef/>
      </w:r>
      <w:r>
        <w:tab/>
      </w:r>
      <w:hyperlink r:id="rId2" w:history="1">
        <w:r>
          <w:rPr>
            <w:rStyle w:val="Hyperlink"/>
          </w:rPr>
          <w:t>https://www.eu-asean.eu/</w:t>
        </w:r>
      </w:hyperlink>
      <w:r>
        <w:t>.</w:t>
      </w:r>
    </w:p>
  </w:footnote>
  <w:footnote w:id="5">
    <w:p w14:paraId="299B218D" w14:textId="77777777" w:rsidR="00C11E25"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rPr>
        <w:tab/>
      </w:r>
      <w:hyperlink r:id="rId3" w:anchor="page=96">
        <w:r>
          <w:rPr>
            <w:color w:val="0000FF"/>
            <w:sz w:val="16"/>
            <w:u w:val="single"/>
          </w:rPr>
          <w:t>https://eur-lex.europa.eu/legal-content/HR/TXT/PDF/?uri=CELEX:22019A1114(01)&amp;from=HR#page=96</w:t>
        </w:r>
      </w:hyperlink>
      <w:r>
        <w:t>.</w:t>
      </w:r>
    </w:p>
  </w:footnote>
  <w:footnote w:id="6">
    <w:p w14:paraId="3F62E63B" w14:textId="77777777" w:rsidR="00C11E25"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rPr>
        <w:tab/>
      </w:r>
      <w:hyperlink r:id="rId4" w:anchor="page=132">
        <w:r>
          <w:rPr>
            <w:color w:val="0000FF"/>
            <w:sz w:val="16"/>
            <w:u w:val="single"/>
          </w:rPr>
          <w:t>https://eur-lex.europa.eu/legal-content/HR/TXT/PDF/?uri=OJ:L:2020:186:FULL&amp;from=HR#page=132</w:t>
        </w:r>
      </w:hyperlink>
      <w:r>
        <w:t>.</w:t>
      </w:r>
    </w:p>
  </w:footnote>
  <w:footnote w:id="7">
    <w:p w14:paraId="50272E43" w14:textId="7851E408" w:rsidR="00C11E25" w:rsidRDefault="00C11E25" w:rsidP="00C11E25">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rPr>
        <w:tab/>
      </w:r>
      <w:hyperlink r:id="rId5" w:history="1">
        <w:r>
          <w:rPr>
            <w:rStyle w:val="Hyperlink"/>
            <w:sz w:val="16"/>
          </w:rPr>
          <w:t>https://www.worldeconomics.com/Regions/ASEAN/</w:t>
        </w:r>
      </w:hyperlink>
      <w:r>
        <w:rPr>
          <w:sz w:val="16"/>
        </w:rPr>
        <w:t>.</w:t>
      </w:r>
    </w:p>
  </w:footnote>
  <w:footnote w:id="8">
    <w:p w14:paraId="0A26AF76" w14:textId="78A6065B" w:rsidR="00C11E25" w:rsidRPr="00D2283E" w:rsidRDefault="00C11E25" w:rsidP="00C11E25">
      <w:pPr>
        <w:pStyle w:val="FootnoteText"/>
        <w:jc w:val="left"/>
      </w:pPr>
      <w:r>
        <w:rPr>
          <w:rStyle w:val="FootnoteReference"/>
        </w:rPr>
        <w:footnoteRef/>
      </w:r>
      <w:r>
        <w:tab/>
      </w:r>
      <w:hyperlink r:id="rId6" w:anchor=":~:text=Bilateral%20trade%20in%20services%20amounted,accounted%20for%20%E2%82%AC400.1%20billion" w:history="1">
        <w:r>
          <w:rPr>
            <w:rStyle w:val="Hyperlink"/>
          </w:rPr>
          <w:t>https://policy.trade.ec.europa.eu/eu-trade-relationships-country-and-region/countries-and-regions/association-south-east-asian-nations-asean_en#:~:text=Bilateral%20trade%20in%20services%20amounted,accounted%20for%20%E2%82%AC400.1%20billion</w:t>
        </w:r>
      </w:hyperlink>
      <w:r>
        <w:t>.</w:t>
      </w:r>
    </w:p>
  </w:footnote>
  <w:footnote w:id="9">
    <w:p w14:paraId="092603A8" w14:textId="144ED037" w:rsidR="00C11E25" w:rsidRPr="00D2283E" w:rsidRDefault="00C11E25" w:rsidP="00C11E25">
      <w:pPr>
        <w:keepLines/>
        <w:pBdr>
          <w:top w:val="nil"/>
          <w:left w:val="nil"/>
          <w:bottom w:val="nil"/>
          <w:right w:val="nil"/>
          <w:between w:val="nil"/>
        </w:pBdr>
        <w:spacing w:after="60" w:line="240" w:lineRule="auto"/>
        <w:ind w:left="567" w:hanging="567"/>
      </w:pPr>
      <w:r>
        <w:rPr>
          <w:rStyle w:val="FootnoteReference"/>
        </w:rPr>
        <w:footnoteRef/>
      </w:r>
      <w:r>
        <w:rPr>
          <w:color w:val="000000"/>
          <w:sz w:val="16"/>
        </w:rPr>
        <w:tab/>
      </w:r>
      <w:hyperlink r:id="rId7" w:history="1">
        <w:r>
          <w:rPr>
            <w:rStyle w:val="Hyperlink"/>
            <w:sz w:val="16"/>
          </w:rPr>
          <w:t>https://asean.org/asean-leaders-review-and-decision-on-the-implementation-of-the-five-point-consensus-3/</w:t>
        </w:r>
      </w:hyperlink>
      <w:r>
        <w:rPr>
          <w:sz w:val="16"/>
        </w:rPr>
        <w:t>.</w:t>
      </w:r>
    </w:p>
  </w:footnote>
  <w:footnote w:id="10">
    <w:p w14:paraId="15F52816" w14:textId="2E968AE6" w:rsidR="00C11E25" w:rsidRDefault="00C11E25" w:rsidP="00C11E25">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rPr>
        <w:tab/>
      </w:r>
      <w:hyperlink r:id="rId8" w:history="1">
        <w:r>
          <w:rPr>
            <w:rStyle w:val="Hyperlink"/>
            <w:sz w:val="16"/>
          </w:rPr>
          <w:t>https://aichr.org/</w:t>
        </w:r>
      </w:hyperlink>
      <w:r>
        <w:rPr>
          <w:sz w:val="16"/>
        </w:rPr>
        <w:t>.</w:t>
      </w:r>
    </w:p>
  </w:footnote>
  <w:footnote w:id="11">
    <w:p w14:paraId="790F9D0B" w14:textId="77777777" w:rsidR="00C11E25" w:rsidRDefault="00C11E25" w:rsidP="00C11E25">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rPr>
        <w:tab/>
      </w:r>
      <w:hyperlink r:id="rId9">
        <w:r>
          <w:rPr>
            <w:color w:val="0000FF"/>
            <w:sz w:val="16"/>
            <w:u w:val="single"/>
          </w:rPr>
          <w:t>https://reliefweb.int/organization/forum-asia</w:t>
        </w:r>
      </w:hyperlink>
      <w:r>
        <w:rPr>
          <w:color w:val="000000"/>
          <w:sz w:val="16"/>
        </w:rPr>
        <w:t>.</w:t>
      </w:r>
    </w:p>
  </w:footnote>
  <w:footnote w:id="12">
    <w:p w14:paraId="6708B305" w14:textId="605B66E1" w:rsidR="00C11E25" w:rsidRDefault="00C11E25" w:rsidP="00C11E25">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rPr>
        <w:tab/>
      </w:r>
      <w:hyperlink r:id="rId10" w:history="1">
        <w:r>
          <w:rPr>
            <w:rStyle w:val="Hyperlink"/>
            <w:sz w:val="16"/>
          </w:rPr>
          <w:t>https://safenet.or.id/</w:t>
        </w:r>
      </w:hyperlink>
      <w:r>
        <w:rPr>
          <w:color w:val="000000"/>
          <w:sz w:val="16"/>
        </w:rPr>
        <w:t>.</w:t>
      </w:r>
    </w:p>
  </w:footnote>
  <w:footnote w:id="13">
    <w:p w14:paraId="53C8A2C1" w14:textId="2D86B0F6" w:rsidR="00C11E25" w:rsidRDefault="00C11E25" w:rsidP="00C11E25">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rPr>
        <w:tab/>
      </w:r>
      <w:hyperlink r:id="rId11" w:history="1">
        <w:r>
          <w:rPr>
            <w:rStyle w:val="Hyperlink"/>
            <w:sz w:val="16"/>
          </w:rPr>
          <w:t>https://arrow.org.my/</w:t>
        </w:r>
      </w:hyperlink>
      <w:r>
        <w:rPr>
          <w:color w:val="000000"/>
          <w:sz w:val="16"/>
        </w:rPr>
        <w:t>.</w:t>
      </w:r>
    </w:p>
  </w:footnote>
  <w:footnote w:id="14">
    <w:p w14:paraId="53189B15" w14:textId="233FA470" w:rsidR="00C11E25" w:rsidRDefault="00C11E25" w:rsidP="00C11E25">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rPr>
        <w:tab/>
      </w:r>
      <w:hyperlink r:id="rId12" w:history="1">
        <w:r>
          <w:rPr>
            <w:rStyle w:val="Hyperlink"/>
            <w:sz w:val="16"/>
          </w:rPr>
          <w:t>https://alternative-regionalisms.org/wp-content/uploads/2009/07/sapasubmissiononaseancharter-sociocultural.pdf</w:t>
        </w:r>
      </w:hyperlink>
      <w:r>
        <w:rPr>
          <w:color w:val="000000"/>
          <w:sz w:val="16"/>
        </w:rPr>
        <w:t>.</w:t>
      </w:r>
    </w:p>
  </w:footnote>
  <w:footnote w:id="15">
    <w:p w14:paraId="72024DB7" w14:textId="77777777" w:rsidR="00C11E25" w:rsidRDefault="00C11E25" w:rsidP="00C11E25">
      <w:pPr>
        <w:ind w:left="567" w:hanging="567"/>
        <w:jc w:val="left"/>
      </w:pPr>
      <w:r>
        <w:rPr>
          <w:rStyle w:val="FootnoteReference"/>
        </w:rPr>
        <w:footnoteRef/>
      </w:r>
      <w:r>
        <w:tab/>
      </w:r>
      <w:hyperlink r:id="rId13" w:history="1">
        <w:r>
          <w:rPr>
            <w:rStyle w:val="Hyperlink"/>
            <w:sz w:val="16"/>
          </w:rPr>
          <w:t>https://www.ilo.org/publications/social-dialogue-public-services-selected-asean-countries</w:t>
        </w:r>
      </w:hyperlink>
      <w:r>
        <w:rPr>
          <w:color w:val="000000"/>
          <w:sz w:val="16"/>
        </w:rPr>
        <w:t>.</w:t>
      </w:r>
    </w:p>
  </w:footnote>
  <w:footnote w:id="16">
    <w:p w14:paraId="5D6C648F" w14:textId="5B9412B6" w:rsidR="00C11E25" w:rsidRPr="00E92619" w:rsidRDefault="00C11E25" w:rsidP="00C11E25">
      <w:pPr>
        <w:spacing w:line="240" w:lineRule="auto"/>
        <w:ind w:left="567" w:hanging="567"/>
      </w:pPr>
      <w:r>
        <w:rPr>
          <w:rStyle w:val="FootnoteReference"/>
        </w:rPr>
        <w:footnoteRef/>
      </w:r>
      <w:r>
        <w:rPr>
          <w:sz w:val="16"/>
        </w:rPr>
        <w:tab/>
      </w:r>
      <w:r w:rsidRPr="00657498">
        <w:rPr>
          <w:sz w:val="16"/>
          <w:szCs w:val="16"/>
        </w:rPr>
        <w:t>Indonezija, Malezija, Filipini, Singapur i Tajland.</w:t>
      </w:r>
    </w:p>
  </w:footnote>
  <w:footnote w:id="17">
    <w:p w14:paraId="225A9E30" w14:textId="77777777" w:rsidR="00C11E25" w:rsidRPr="00E37A05" w:rsidRDefault="00C11E25" w:rsidP="00C11E25">
      <w:pPr>
        <w:spacing w:line="240" w:lineRule="auto"/>
        <w:ind w:left="567" w:hanging="567"/>
        <w:rPr>
          <w:sz w:val="20"/>
          <w:szCs w:val="20"/>
        </w:rPr>
      </w:pPr>
      <w:r>
        <w:rPr>
          <w:rStyle w:val="FootnoteReference"/>
        </w:rPr>
        <w:footnoteRef/>
      </w:r>
      <w:r>
        <w:tab/>
      </w:r>
      <w:hyperlink r:id="rId14" w:history="1">
        <w:r>
          <w:rPr>
            <w:rStyle w:val="Hyperlink"/>
            <w:sz w:val="16"/>
          </w:rPr>
          <w:t>https://www.europarl.europa.eu/doceo/document/TA-10-2024-0053_HR.html.</w:t>
        </w:r>
      </w:hyperlink>
    </w:p>
  </w:footnote>
  <w:footnote w:id="18">
    <w:p w14:paraId="097361EB" w14:textId="77777777" w:rsidR="00C11E25" w:rsidRPr="00A76BE7" w:rsidRDefault="00C11E25" w:rsidP="00C11E25">
      <w:pPr>
        <w:pStyle w:val="FootnoteText"/>
      </w:pPr>
      <w:r>
        <w:rPr>
          <w:rStyle w:val="FootnoteReference"/>
        </w:rPr>
        <w:footnoteRef/>
      </w:r>
      <w:r>
        <w:tab/>
      </w:r>
      <w:hyperlink r:id="rId15" w:history="1">
        <w:r>
          <w:rPr>
            <w:rStyle w:val="Hyperlink"/>
          </w:rPr>
          <w:t>https://www.europarl.europa.e</w:t>
        </w:r>
        <w:r>
          <w:rPr>
            <w:rStyle w:val="Hyperlink"/>
          </w:rPr>
          <w:t>u/RegData/etudes/STUD/2021/653635/EXPO_STU(2021)653635_EN.pdf</w:t>
        </w:r>
      </w:hyperlink>
      <w:r>
        <w:t>.</w:t>
      </w:r>
    </w:p>
  </w:footnote>
  <w:footnote w:id="19">
    <w:p w14:paraId="2A803CFA" w14:textId="77777777" w:rsidR="00C11E25" w:rsidRPr="00E92619" w:rsidRDefault="00C11E25" w:rsidP="00C11E25">
      <w:pPr>
        <w:spacing w:line="240" w:lineRule="auto"/>
        <w:ind w:left="567" w:hanging="567"/>
      </w:pPr>
      <w:r>
        <w:rPr>
          <w:rStyle w:val="FootnoteReference"/>
        </w:rPr>
        <w:footnoteRef/>
      </w:r>
      <w:r>
        <w:tab/>
      </w:r>
      <w:hyperlink r:id="rId16" w:history="1">
        <w:r>
          <w:rPr>
            <w:rStyle w:val="Hyperlink"/>
            <w:sz w:val="16"/>
          </w:rPr>
          <w:t>Godišnje izvješće EU-a o ljudskim pravima i demokraciji u svijetu</w:t>
        </w:r>
      </w:hyperlink>
    </w:p>
  </w:footnote>
  <w:footnote w:id="20">
    <w:p w14:paraId="14B01D09" w14:textId="136DB229" w:rsidR="00C11E25" w:rsidRPr="00E92619" w:rsidRDefault="00C11E25" w:rsidP="00C11E25">
      <w:pPr>
        <w:spacing w:line="240" w:lineRule="auto"/>
        <w:ind w:left="567" w:hanging="567"/>
        <w:rPr>
          <w:sz w:val="20"/>
          <w:szCs w:val="20"/>
        </w:rPr>
      </w:pPr>
      <w:r>
        <w:rPr>
          <w:rStyle w:val="FootnoteReference"/>
        </w:rPr>
        <w:footnoteRef/>
      </w:r>
      <w:r>
        <w:rPr>
          <w:sz w:val="16"/>
        </w:rPr>
        <w:tab/>
      </w:r>
      <w:hyperlink r:id="rId17" w:history="1">
        <w:r>
          <w:rPr>
            <w:rStyle w:val="Hyperlink"/>
            <w:sz w:val="16"/>
          </w:rPr>
          <w:t>Godišnje izvješće EU-a o ljudskim pravima i demokraciji u svijetu</w:t>
        </w:r>
      </w:hyperlink>
    </w:p>
  </w:footnote>
  <w:footnote w:id="21">
    <w:p w14:paraId="4356B06B" w14:textId="77777777" w:rsidR="00C11E25" w:rsidRPr="00895F23" w:rsidRDefault="00C11E25" w:rsidP="00C11E25">
      <w:pPr>
        <w:spacing w:line="240" w:lineRule="auto"/>
        <w:ind w:left="567" w:hanging="567"/>
        <w:rPr>
          <w:sz w:val="20"/>
          <w:szCs w:val="20"/>
        </w:rPr>
      </w:pPr>
      <w:r>
        <w:rPr>
          <w:rStyle w:val="FootnoteReference"/>
        </w:rPr>
        <w:footnoteRef/>
      </w:r>
      <w:r>
        <w:tab/>
      </w:r>
      <w:hyperlink r:id="rId18">
        <w:r>
          <w:rPr>
            <w:color w:val="0000FF"/>
            <w:sz w:val="16"/>
            <w:u w:val="single"/>
          </w:rPr>
          <w:t>https://www.ilo.org/publications/women-and-men-informal-economy-statistical-update</w:t>
        </w:r>
      </w:hyperlink>
      <w:r>
        <w:rPr>
          <w:sz w:val="16"/>
        </w:rPr>
        <w:t>.</w:t>
      </w:r>
    </w:p>
  </w:footnote>
  <w:footnote w:id="22">
    <w:p w14:paraId="6FBAE404" w14:textId="5A9EA888" w:rsidR="00C11E25" w:rsidRPr="00895F23" w:rsidRDefault="00C11E25" w:rsidP="00C11E25">
      <w:pPr>
        <w:keepLines/>
        <w:spacing w:after="60" w:line="240" w:lineRule="auto"/>
        <w:ind w:left="567" w:hanging="567"/>
        <w:rPr>
          <w:sz w:val="16"/>
          <w:szCs w:val="16"/>
        </w:rPr>
      </w:pPr>
      <w:r>
        <w:rPr>
          <w:rStyle w:val="FootnoteReference"/>
        </w:rPr>
        <w:footnoteRef/>
      </w:r>
      <w:r>
        <w:rPr>
          <w:sz w:val="16"/>
        </w:rPr>
        <w:tab/>
      </w:r>
      <w:hyperlink r:id="rId19" w:history="1">
        <w:r>
          <w:rPr>
            <w:rStyle w:val="Hyperlink"/>
            <w:sz w:val="16"/>
          </w:rPr>
          <w:t>https://www.eesc.europa.eu/hr/documents/statement-european-union-domestic-advisory-group-eu-viet-nam-free-trade-agreement-1</w:t>
        </w:r>
      </w:hyperlink>
      <w:r>
        <w:rPr>
          <w:sz w:val="16"/>
        </w:rPr>
        <w:t>.</w:t>
      </w:r>
    </w:p>
  </w:footnote>
  <w:footnote w:id="23">
    <w:p w14:paraId="6FCA63EA" w14:textId="77777777" w:rsidR="00C11E25" w:rsidRPr="00895F23" w:rsidRDefault="00C11E25" w:rsidP="00C11E25">
      <w:pPr>
        <w:pStyle w:val="FootnoteText"/>
      </w:pPr>
      <w:r>
        <w:rPr>
          <w:rStyle w:val="FootnoteReference"/>
        </w:rPr>
        <w:footnoteRef/>
      </w:r>
      <w:r>
        <w:tab/>
      </w:r>
      <w:hyperlink r:id="rId20" w:history="1">
        <w:r>
          <w:rPr>
            <w:rStyle w:val="Hyperlink"/>
          </w:rPr>
          <w:t>https://multimedia.europarl.europa.eu/hr/inta-committee-meeting_20250319-0900-COMMITTEE-INTA_vd</w:t>
        </w:r>
      </w:hyperlink>
      <w:r>
        <w:t>.</w:t>
      </w:r>
    </w:p>
  </w:footnote>
  <w:footnote w:id="24">
    <w:p w14:paraId="4267E897" w14:textId="77777777" w:rsidR="00C11E25" w:rsidRPr="00895F23" w:rsidRDefault="00C11E25" w:rsidP="00C11E25">
      <w:pPr>
        <w:pStyle w:val="FootnoteText"/>
      </w:pPr>
      <w:r>
        <w:rPr>
          <w:rStyle w:val="FootnoteReference"/>
        </w:rPr>
        <w:footnoteRef/>
      </w:r>
      <w:r>
        <w:tab/>
      </w:r>
      <w:hyperlink r:id="rId21" w:history="1">
        <w:r>
          <w:rPr>
            <w:rStyle w:val="Hyperlink"/>
          </w:rPr>
          <w:t>https://www.eesc.europa.eu/hr/sections-other-bodies/other/eu-singapore-domestic-advisory-group</w:t>
        </w:r>
      </w:hyperlink>
      <w:r>
        <w:t>.</w:t>
      </w:r>
    </w:p>
  </w:footnote>
  <w:footnote w:id="25">
    <w:p w14:paraId="2752C7F1" w14:textId="77777777" w:rsidR="00C11E25" w:rsidRPr="00895F23" w:rsidRDefault="00C11E25" w:rsidP="00C11E25">
      <w:pPr>
        <w:spacing w:line="240" w:lineRule="auto"/>
        <w:ind w:left="567" w:hanging="567"/>
        <w:rPr>
          <w:sz w:val="20"/>
          <w:szCs w:val="20"/>
        </w:rPr>
      </w:pPr>
      <w:r>
        <w:rPr>
          <w:rStyle w:val="FootnoteReference"/>
        </w:rPr>
        <w:footnoteRef/>
      </w:r>
      <w:r>
        <w:tab/>
      </w:r>
      <w:hyperlink r:id="rId22">
        <w:r>
          <w:rPr>
            <w:color w:val="0000FF"/>
            <w:sz w:val="16"/>
            <w:u w:val="single"/>
          </w:rPr>
          <w:t>https://policy.trade.ec.europa.eu/analysis-and-assessment/eu-trade-meetings-civil-society/objectives_en</w:t>
        </w:r>
      </w:hyperlink>
      <w:r>
        <w:rPr>
          <w:sz w:val="16"/>
        </w:rPr>
        <w:t>.</w:t>
      </w:r>
    </w:p>
  </w:footnote>
  <w:footnote w:id="26">
    <w:p w14:paraId="2DCD2F49" w14:textId="13B45023" w:rsidR="00C11E25" w:rsidRPr="00895F23" w:rsidRDefault="00C11E25" w:rsidP="00320852">
      <w:pPr>
        <w:pStyle w:val="FootnoteText"/>
        <w:spacing w:after="0" w:line="288" w:lineRule="auto"/>
      </w:pPr>
      <w:r>
        <w:rPr>
          <w:rStyle w:val="FootnoteReference"/>
        </w:rPr>
        <w:footnoteRef/>
      </w:r>
      <w:r>
        <w:tab/>
      </w:r>
      <w:hyperlink r:id="rId23" w:history="1">
        <w:r>
          <w:rPr>
            <w:rStyle w:val="Hyperlink"/>
          </w:rPr>
          <w:t>https://www.ilo.org/resource/workers-organizations-asia-and-pacific</w:t>
        </w:r>
      </w:hyperlink>
      <w:r>
        <w:t>.</w:t>
      </w:r>
    </w:p>
  </w:footnote>
  <w:footnote w:id="27">
    <w:p w14:paraId="339BC8FB" w14:textId="07730351" w:rsidR="00C11E25" w:rsidRPr="00895F23"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rPr>
        <w:tab/>
      </w:r>
      <w:hyperlink r:id="rId24" w:history="1">
        <w:r>
          <w:rPr>
            <w:rStyle w:val="Hyperlink"/>
            <w:sz w:val="16"/>
          </w:rPr>
          <w:t>https://www.ituc-ap.org/</w:t>
        </w:r>
      </w:hyperlink>
      <w:r>
        <w:rPr>
          <w:color w:val="000000"/>
          <w:sz w:val="16"/>
        </w:rPr>
        <w:t>.</w:t>
      </w:r>
    </w:p>
  </w:footnote>
  <w:footnote w:id="28">
    <w:p w14:paraId="7A7A0744" w14:textId="62530188" w:rsidR="00C11E25" w:rsidRPr="00895F23"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rPr>
        <w:tab/>
      </w:r>
      <w:hyperlink r:id="rId25" w:history="1">
        <w:r>
          <w:rPr>
            <w:rStyle w:val="Hyperlink"/>
            <w:sz w:val="16"/>
          </w:rPr>
          <w:t>https://www.wftucentral.org/?lang=es</w:t>
        </w:r>
      </w:hyperlink>
      <w:r>
        <w:rPr>
          <w:color w:val="000000"/>
          <w:sz w:val="16"/>
        </w:rPr>
        <w:t>.</w:t>
      </w:r>
    </w:p>
  </w:footnote>
  <w:footnote w:id="29">
    <w:p w14:paraId="3675C3D9" w14:textId="256EA6B5" w:rsidR="00C11E25" w:rsidRPr="00895F23"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rPr>
        <w:tab/>
      </w:r>
      <w:hyperlink r:id="rId26" w:history="1">
        <w:r>
          <w:rPr>
            <w:rStyle w:val="Hyperlink"/>
            <w:sz w:val="16"/>
          </w:rPr>
          <w:t>https://www.ilo.org/resource/workers-organizations-asia-and-pacific</w:t>
        </w:r>
      </w:hyperlink>
      <w:r>
        <w:rPr>
          <w:color w:val="000000"/>
          <w:sz w:val="16"/>
        </w:rPr>
        <w:t>.</w:t>
      </w:r>
    </w:p>
  </w:footnote>
  <w:footnote w:id="30">
    <w:p w14:paraId="5EE73751" w14:textId="20FE419A" w:rsidR="00C11E25" w:rsidRPr="00895F23"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rPr>
        <w:tab/>
      </w:r>
      <w:hyperlink r:id="rId27" w:history="1">
        <w:r>
          <w:rPr>
            <w:rStyle w:val="Hyperlink"/>
            <w:sz w:val="16"/>
          </w:rPr>
          <w:t>https://www.ilo.org/meetings-and-events/asean-employers-empowering-people-priortizing-skills</w:t>
        </w:r>
      </w:hyperlink>
      <w:r>
        <w:rPr>
          <w:color w:val="000000"/>
          <w:sz w:val="16"/>
        </w:rPr>
        <w:t>.</w:t>
      </w:r>
    </w:p>
  </w:footnote>
  <w:footnote w:id="31">
    <w:p w14:paraId="6742164F" w14:textId="55276E3C" w:rsidR="00C11E25" w:rsidRPr="00895F23"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tab/>
      </w:r>
      <w:hyperlink r:id="rId28" w:history="1">
        <w:r>
          <w:rPr>
            <w:rStyle w:val="Hyperlink"/>
            <w:sz w:val="16"/>
          </w:rPr>
          <w:t>https://www.cape-emp.org/home.aspx</w:t>
        </w:r>
      </w:hyperlink>
      <w:r>
        <w:rPr>
          <w:color w:val="000000"/>
          <w:sz w:val="16"/>
        </w:rPr>
        <w:t>.</w:t>
      </w:r>
    </w:p>
  </w:footnote>
  <w:footnote w:id="32">
    <w:p w14:paraId="6D5EC683" w14:textId="64BCE3F6" w:rsidR="00C11E25" w:rsidRPr="0040720E" w:rsidRDefault="00C11E25" w:rsidP="00320852">
      <w:pPr>
        <w:ind w:left="567" w:hanging="567"/>
        <w:jc w:val="left"/>
        <w:rPr>
          <w:sz w:val="20"/>
          <w:szCs w:val="20"/>
        </w:rPr>
      </w:pPr>
      <w:r>
        <w:rPr>
          <w:rStyle w:val="FootnoteReference"/>
        </w:rPr>
        <w:footnoteRef/>
      </w:r>
      <w:r>
        <w:rPr>
          <w:sz w:val="16"/>
        </w:rPr>
        <w:tab/>
      </w:r>
      <w:hyperlink r:id="rId29" w:history="1">
        <w:r>
          <w:rPr>
            <w:rStyle w:val="Hyperlink"/>
            <w:sz w:val="16"/>
          </w:rPr>
          <w:t>Prava radnika migranata na slobodu udruživanja i kolektivnog pregovaranja</w:t>
        </w:r>
      </w:hyperlink>
      <w:r>
        <w:t>.</w:t>
      </w:r>
    </w:p>
  </w:footnote>
  <w:footnote w:id="33">
    <w:p w14:paraId="67F28C6B" w14:textId="3D825159" w:rsidR="00C11E25" w:rsidRPr="00F537C0" w:rsidRDefault="00C11E25" w:rsidP="00320852">
      <w:pPr>
        <w:ind w:left="567" w:hanging="567"/>
        <w:rPr>
          <w:sz w:val="16"/>
          <w:szCs w:val="16"/>
        </w:rPr>
      </w:pPr>
      <w:r>
        <w:rPr>
          <w:rStyle w:val="FootnoteReference"/>
        </w:rPr>
        <w:footnoteRef/>
      </w:r>
      <w:r>
        <w:rPr>
          <w:sz w:val="16"/>
        </w:rPr>
        <w:tab/>
      </w:r>
      <w:hyperlink r:id="rId30" w:history="1">
        <w:r>
          <w:rPr>
            <w:rStyle w:val="Hyperlink"/>
            <w:sz w:val="16"/>
          </w:rPr>
          <w:t>Prava radnika migranata na slobodu udruživanja i kolektivnog pregovaranja</w:t>
        </w:r>
      </w:hyperlink>
      <w:r>
        <w:t>.</w:t>
      </w:r>
    </w:p>
  </w:footnote>
  <w:footnote w:id="34">
    <w:p w14:paraId="5F01D663" w14:textId="4B779C46" w:rsidR="00C11E25" w:rsidRPr="00F537C0" w:rsidRDefault="00C11E25" w:rsidP="00320852">
      <w:pPr>
        <w:pStyle w:val="FootnoteText"/>
        <w:spacing w:after="0" w:line="288" w:lineRule="auto"/>
      </w:pPr>
      <w:r>
        <w:rPr>
          <w:rStyle w:val="FootnoteReference"/>
        </w:rPr>
        <w:footnoteRef/>
      </w:r>
      <w:r>
        <w:tab/>
      </w:r>
      <w:hyperlink r:id="rId31" w:history="1">
        <w:r>
          <w:rPr>
            <w:rStyle w:val="Hyperlink"/>
          </w:rPr>
          <w:t>https://asean.org/wp-content/uploads/2023/07/ASEAN_employment_outlook_WEB_FIN.pdf</w:t>
        </w:r>
      </w:hyperlink>
      <w:r>
        <w:t>.</w:t>
      </w:r>
    </w:p>
  </w:footnote>
  <w:footnote w:id="35">
    <w:p w14:paraId="648A74EC" w14:textId="46B2F435" w:rsidR="00C11E25" w:rsidRPr="00F537C0" w:rsidRDefault="00C11E25" w:rsidP="00320852">
      <w:pPr>
        <w:pStyle w:val="FootnoteText"/>
        <w:spacing w:after="0" w:line="288" w:lineRule="auto"/>
      </w:pPr>
      <w:r>
        <w:rPr>
          <w:rStyle w:val="FootnoteReference"/>
        </w:rPr>
        <w:footnoteRef/>
      </w:r>
      <w:r>
        <w:tab/>
      </w:r>
      <w:hyperlink r:id="rId32" w:history="1">
        <w:r>
          <w:rPr>
            <w:rStyle w:val="Hyperlink"/>
          </w:rPr>
          <w:t>https://thailand.iom.int/sites/g/files/tmzbdl1371/files/documents/2024-12/thailand-migration-report-2024.pdf</w:t>
        </w:r>
      </w:hyperlink>
      <w:r>
        <w:t>.</w:t>
      </w:r>
    </w:p>
  </w:footnote>
  <w:footnote w:id="36">
    <w:p w14:paraId="2EB45D39" w14:textId="5A4F79BB" w:rsidR="00C11E25" w:rsidRPr="00F537C0" w:rsidRDefault="00C11E25" w:rsidP="00320852">
      <w:pPr>
        <w:ind w:left="567" w:hanging="567"/>
        <w:rPr>
          <w:sz w:val="16"/>
          <w:szCs w:val="16"/>
        </w:rPr>
      </w:pPr>
      <w:r>
        <w:rPr>
          <w:rStyle w:val="FootnoteReference"/>
        </w:rPr>
        <w:footnoteRef/>
      </w:r>
      <w:r>
        <w:rPr>
          <w:sz w:val="16"/>
        </w:rPr>
        <w:tab/>
      </w:r>
      <w:hyperlink r:id="rId33" w:history="1">
        <w:r>
          <w:rPr>
            <w:rStyle w:val="Hyperlink"/>
            <w:sz w:val="16"/>
          </w:rPr>
          <w:t>https://iotc.org/meetings/28th-session-indian-ocean-tuna-commission</w:t>
        </w:r>
      </w:hyperlink>
      <w:r>
        <w:rPr>
          <w:sz w:val="16"/>
        </w:rPr>
        <w:t>.</w:t>
      </w:r>
    </w:p>
  </w:footnote>
  <w:footnote w:id="37">
    <w:p w14:paraId="5869253A" w14:textId="77777777" w:rsidR="00C11E25" w:rsidRPr="00F537C0" w:rsidRDefault="00C11E25" w:rsidP="00320852">
      <w:pPr>
        <w:ind w:left="567" w:hanging="567"/>
        <w:rPr>
          <w:sz w:val="16"/>
          <w:szCs w:val="16"/>
        </w:rPr>
      </w:pPr>
      <w:r>
        <w:rPr>
          <w:rStyle w:val="FootnoteReference"/>
        </w:rPr>
        <w:footnoteRef/>
      </w:r>
      <w:r>
        <w:rPr>
          <w:sz w:val="16"/>
        </w:rPr>
        <w:tab/>
      </w:r>
      <w:hyperlink r:id="rId34" w:history="1">
        <w:r>
          <w:rPr>
            <w:rStyle w:val="Hyperlink"/>
            <w:sz w:val="16"/>
          </w:rPr>
          <w:t>https://ec.europa.eu/commission/presscorner/detail/hr/ip_24_2683</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C53281">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6A89" w14:textId="77777777" w:rsidR="00657498" w:rsidRDefault="00657498" w:rsidP="00657498">
    <w:pPr>
      <w:pStyle w:val="Header"/>
    </w:pPr>
    <w:r>
      <w:rPr>
        <w:noProof/>
      </w:rPr>
      <w:drawing>
        <wp:anchor distT="0" distB="0" distL="114300" distR="114300" simplePos="0" relativeHeight="251676672" behindDoc="0" locked="0" layoutInCell="1" allowOverlap="1" wp14:anchorId="5C36D958" wp14:editId="3F3CDB10">
          <wp:simplePos x="898497" y="453224"/>
          <wp:positionH relativeFrom="page">
            <wp:align>center</wp:align>
          </wp:positionH>
          <wp:positionV relativeFrom="page">
            <wp:posOffset>288290</wp:posOffset>
          </wp:positionV>
          <wp:extent cx="6944360" cy="3338830"/>
          <wp:effectExtent l="0" t="0" r="889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944398" cy="3338896"/>
                  </a:xfrm>
                  <a:prstGeom prst="rect">
                    <a:avLst/>
                  </a:prstGeom>
                </pic:spPr>
              </pic:pic>
            </a:graphicData>
          </a:graphic>
          <wp14:sizeRelH relativeFrom="margin">
            <wp14:pctWidth>0</wp14:pctWidth>
          </wp14:sizeRelH>
          <wp14:sizeRelV relativeFrom="margin">
            <wp14:pctHeight>0</wp14:pctHeight>
          </wp14:sizeRelV>
        </wp:anchor>
      </w:drawing>
    </w:r>
    <w:r>
      <w:pict w14:anchorId="2FF9CA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8" type="#_x0000_t75" style="position:absolute;left:0;text-align:left;margin-left:0;margin-top:0;width:595.2pt;height:841.9pt;z-index:-251638784;mso-position-horizontal:center;mso-position-horizontal-relative:page;mso-position-vertical:top;mso-position-vertical-relative:page" o:allowincell="f">
          <v:imagedata r:id="rId2" o:title="footer only"/>
          <w10:wrap anchorx="page" anchory="page"/>
        </v:shape>
      </w:pict>
    </w:r>
  </w:p>
  <w:p w14:paraId="20C95081" w14:textId="43C3C8C0" w:rsidR="00574C9B" w:rsidRPr="00657498" w:rsidRDefault="00574C9B" w:rsidP="006574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C53281">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C53281">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C53281">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243D9E">
      <w:rPr>
        <w:noProof/>
      </w:rPr>
      <w:drawing>
        <wp:anchor distT="0" distB="0" distL="114300" distR="114300" simplePos="0" relativeHeight="251659264"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C53281">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C53281">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0A30FF" w:rsidRDefault="00C53281">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C53281">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689317E"/>
    <w:multiLevelType w:val="multilevel"/>
    <w:tmpl w:val="38860000"/>
    <w:lvl w:ilvl="0">
      <w:start w:val="1"/>
      <w:numFmt w:val="decimal"/>
      <w:lvlText w:val="%1."/>
      <w:lvlJc w:val="left"/>
      <w:pPr>
        <w:ind w:left="0" w:firstLine="0"/>
      </w:pPr>
      <w:rPr>
        <w:rFonts w:hint="default"/>
        <w:b w:val="0"/>
      </w:rPr>
    </w:lvl>
    <w:lvl w:ilvl="1">
      <w:start w:val="1"/>
      <w:numFmt w:val="bullet"/>
      <w:lvlText w:val=""/>
      <w:lvlJc w:val="left"/>
      <w:pPr>
        <w:ind w:left="360" w:hanging="360"/>
      </w:pPr>
      <w:rPr>
        <w:rFonts w:ascii="Symbol" w:hAnsi="Symbol" w:hint="default"/>
      </w:rPr>
    </w:lvl>
    <w:lvl w:ilvl="2">
      <w:start w:val="1"/>
      <w:numFmt w:val="bullet"/>
      <w:lvlText w:val=""/>
      <w:lvlJc w:val="left"/>
      <w:pPr>
        <w:ind w:left="0" w:firstLine="0"/>
      </w:pPr>
      <w:rPr>
        <w:rFonts w:ascii="Symbol" w:hAnsi="Symbol"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7C8F54F7"/>
    <w:multiLevelType w:val="multilevel"/>
    <w:tmpl w:val="38860000"/>
    <w:lvl w:ilvl="0">
      <w:start w:val="1"/>
      <w:numFmt w:val="decimal"/>
      <w:lvlText w:val="%1."/>
      <w:lvlJc w:val="left"/>
      <w:pPr>
        <w:ind w:left="0" w:firstLine="0"/>
      </w:pPr>
      <w:rPr>
        <w:rFonts w:hint="default"/>
        <w:b w:val="0"/>
      </w:rPr>
    </w:lvl>
    <w:lvl w:ilvl="1">
      <w:start w:val="1"/>
      <w:numFmt w:val="bullet"/>
      <w:lvlText w:val=""/>
      <w:lvlJc w:val="left"/>
      <w:pPr>
        <w:ind w:left="360" w:hanging="360"/>
      </w:pPr>
      <w:rPr>
        <w:rFonts w:ascii="Symbol" w:hAnsi="Symbol" w:hint="default"/>
      </w:rPr>
    </w:lvl>
    <w:lvl w:ilvl="2">
      <w:start w:val="1"/>
      <w:numFmt w:val="bullet"/>
      <w:lvlText w:val=""/>
      <w:lvlJc w:val="left"/>
      <w:pPr>
        <w:ind w:left="0" w:firstLine="0"/>
      </w:pPr>
      <w:rPr>
        <w:rFonts w:ascii="Symbol" w:hAnsi="Symbol"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00604"/>
    <w:rsid w:val="00003107"/>
    <w:rsid w:val="00020389"/>
    <w:rsid w:val="00037DAD"/>
    <w:rsid w:val="00037E5B"/>
    <w:rsid w:val="00053D00"/>
    <w:rsid w:val="00053FD2"/>
    <w:rsid w:val="00067D46"/>
    <w:rsid w:val="00094C5F"/>
    <w:rsid w:val="000A0F3B"/>
    <w:rsid w:val="000A30FF"/>
    <w:rsid w:val="000A4F52"/>
    <w:rsid w:val="00101C3E"/>
    <w:rsid w:val="00157022"/>
    <w:rsid w:val="00185E99"/>
    <w:rsid w:val="0019231D"/>
    <w:rsid w:val="001955B6"/>
    <w:rsid w:val="001A434B"/>
    <w:rsid w:val="001D571E"/>
    <w:rsid w:val="001D61AC"/>
    <w:rsid w:val="001E15AA"/>
    <w:rsid w:val="001E3C28"/>
    <w:rsid w:val="001E3FA1"/>
    <w:rsid w:val="001F165D"/>
    <w:rsid w:val="00200E87"/>
    <w:rsid w:val="00206D14"/>
    <w:rsid w:val="00214BDC"/>
    <w:rsid w:val="00215E81"/>
    <w:rsid w:val="00243D9E"/>
    <w:rsid w:val="0024727F"/>
    <w:rsid w:val="002548EF"/>
    <w:rsid w:val="00296BCE"/>
    <w:rsid w:val="002B6A7B"/>
    <w:rsid w:val="002E0282"/>
    <w:rsid w:val="00306381"/>
    <w:rsid w:val="00320852"/>
    <w:rsid w:val="003353D7"/>
    <w:rsid w:val="00360204"/>
    <w:rsid w:val="003659F9"/>
    <w:rsid w:val="00384833"/>
    <w:rsid w:val="003F1034"/>
    <w:rsid w:val="00401DE5"/>
    <w:rsid w:val="00412822"/>
    <w:rsid w:val="00461CAF"/>
    <w:rsid w:val="004751CF"/>
    <w:rsid w:val="00484DD4"/>
    <w:rsid w:val="004871B8"/>
    <w:rsid w:val="004A3D71"/>
    <w:rsid w:val="004B0887"/>
    <w:rsid w:val="0053281C"/>
    <w:rsid w:val="00566DF2"/>
    <w:rsid w:val="00574C9B"/>
    <w:rsid w:val="0058411F"/>
    <w:rsid w:val="005956FC"/>
    <w:rsid w:val="005961A4"/>
    <w:rsid w:val="005B55E2"/>
    <w:rsid w:val="005C2475"/>
    <w:rsid w:val="005C3BDB"/>
    <w:rsid w:val="005F34E9"/>
    <w:rsid w:val="005F6AC8"/>
    <w:rsid w:val="006125A1"/>
    <w:rsid w:val="00653E7D"/>
    <w:rsid w:val="00657498"/>
    <w:rsid w:val="00662207"/>
    <w:rsid w:val="00667F09"/>
    <w:rsid w:val="00671C08"/>
    <w:rsid w:val="006868CB"/>
    <w:rsid w:val="006B57A6"/>
    <w:rsid w:val="006D53A6"/>
    <w:rsid w:val="0072375C"/>
    <w:rsid w:val="00740EC9"/>
    <w:rsid w:val="00787837"/>
    <w:rsid w:val="00787ABB"/>
    <w:rsid w:val="007918CC"/>
    <w:rsid w:val="00793BB8"/>
    <w:rsid w:val="007B6C64"/>
    <w:rsid w:val="00822952"/>
    <w:rsid w:val="008311E5"/>
    <w:rsid w:val="008315DE"/>
    <w:rsid w:val="00836505"/>
    <w:rsid w:val="00844B87"/>
    <w:rsid w:val="00853708"/>
    <w:rsid w:val="00876AF1"/>
    <w:rsid w:val="0089251B"/>
    <w:rsid w:val="008A6DD4"/>
    <w:rsid w:val="008E7D31"/>
    <w:rsid w:val="008F74D7"/>
    <w:rsid w:val="00904C42"/>
    <w:rsid w:val="00914683"/>
    <w:rsid w:val="00924C05"/>
    <w:rsid w:val="00937CF2"/>
    <w:rsid w:val="009451D6"/>
    <w:rsid w:val="009506A6"/>
    <w:rsid w:val="00964BF1"/>
    <w:rsid w:val="00976645"/>
    <w:rsid w:val="00976F77"/>
    <w:rsid w:val="0098228C"/>
    <w:rsid w:val="00992B39"/>
    <w:rsid w:val="009A734F"/>
    <w:rsid w:val="009C37A0"/>
    <w:rsid w:val="009C6F26"/>
    <w:rsid w:val="009D762C"/>
    <w:rsid w:val="009E2100"/>
    <w:rsid w:val="00A310E1"/>
    <w:rsid w:val="00A3397C"/>
    <w:rsid w:val="00A36AB0"/>
    <w:rsid w:val="00AA334D"/>
    <w:rsid w:val="00AB37A3"/>
    <w:rsid w:val="00AC5114"/>
    <w:rsid w:val="00AE2782"/>
    <w:rsid w:val="00AE4394"/>
    <w:rsid w:val="00B25683"/>
    <w:rsid w:val="00B51901"/>
    <w:rsid w:val="00B65A84"/>
    <w:rsid w:val="00B73B79"/>
    <w:rsid w:val="00BB0A75"/>
    <w:rsid w:val="00BC4FD4"/>
    <w:rsid w:val="00BC7642"/>
    <w:rsid w:val="00BD50F6"/>
    <w:rsid w:val="00C0056A"/>
    <w:rsid w:val="00C073E1"/>
    <w:rsid w:val="00C11E25"/>
    <w:rsid w:val="00C25647"/>
    <w:rsid w:val="00C5137B"/>
    <w:rsid w:val="00C53281"/>
    <w:rsid w:val="00C66AEA"/>
    <w:rsid w:val="00C9040A"/>
    <w:rsid w:val="00C91E4D"/>
    <w:rsid w:val="00CB110A"/>
    <w:rsid w:val="00CB7CD0"/>
    <w:rsid w:val="00D039AF"/>
    <w:rsid w:val="00D13128"/>
    <w:rsid w:val="00D16114"/>
    <w:rsid w:val="00D2283E"/>
    <w:rsid w:val="00D7527F"/>
    <w:rsid w:val="00D95232"/>
    <w:rsid w:val="00DB7F50"/>
    <w:rsid w:val="00DE06D7"/>
    <w:rsid w:val="00DE30C7"/>
    <w:rsid w:val="00DF400F"/>
    <w:rsid w:val="00E05575"/>
    <w:rsid w:val="00E15BF4"/>
    <w:rsid w:val="00E2376B"/>
    <w:rsid w:val="00E2441D"/>
    <w:rsid w:val="00E26935"/>
    <w:rsid w:val="00E27707"/>
    <w:rsid w:val="00E333C8"/>
    <w:rsid w:val="00E47484"/>
    <w:rsid w:val="00E52B04"/>
    <w:rsid w:val="00E661B7"/>
    <w:rsid w:val="00E73266"/>
    <w:rsid w:val="00E7637E"/>
    <w:rsid w:val="00E8530C"/>
    <w:rsid w:val="00E869DE"/>
    <w:rsid w:val="00E90A9D"/>
    <w:rsid w:val="00ED0759"/>
    <w:rsid w:val="00F1723D"/>
    <w:rsid w:val="00F2069F"/>
    <w:rsid w:val="00F27167"/>
    <w:rsid w:val="00F53370"/>
    <w:rsid w:val="00F537C0"/>
    <w:rsid w:val="00F641E1"/>
    <w:rsid w:val="00F90BE2"/>
    <w:rsid w:val="00FA305D"/>
    <w:rsid w:val="00FB1AFF"/>
    <w:rsid w:val="00FB1D7A"/>
    <w:rsid w:val="00FB1F92"/>
    <w:rsid w:val="00FC0CEA"/>
    <w:rsid w:val="162344D0"/>
    <w:rsid w:val="4F547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D228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16" Type="http://schemas.openxmlformats.org/officeDocument/2006/relationships/header" Target="header4.xml"/><Relationship Id="rId20" Type="http://schemas.openxmlformats.org/officeDocument/2006/relationships/hyperlink" Target="https://www.eeas.europa.eu/node/63333_en" TargetMode="External"/><Relationship Id="rId29" Type="http://schemas.openxmlformats.org/officeDocument/2006/relationships/customXml" Target="../customXml/item3.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customXml" Target="../customXml/item2.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customXml" Target="../customXml/item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8" Type="http://schemas.openxmlformats.org/officeDocument/2006/relationships/hyperlink" Target="https://aichr.org/" TargetMode="External"/><Relationship Id="rId13" Type="http://schemas.openxmlformats.org/officeDocument/2006/relationships/hyperlink" Target="https://www.ilo.org/publications/social-dialogue-public-services-selected-asean-countries" TargetMode="External"/><Relationship Id="rId18" Type="http://schemas.openxmlformats.org/officeDocument/2006/relationships/hyperlink" Target="https://www.ilo.org/publications/women-and-men-informal-economy-statistical-update" TargetMode="External"/><Relationship Id="rId26" Type="http://schemas.openxmlformats.org/officeDocument/2006/relationships/hyperlink" Target="https://www.ilo.org/resource/workers-organizations-asia-and-pacific" TargetMode="External"/><Relationship Id="rId3" Type="http://schemas.openxmlformats.org/officeDocument/2006/relationships/hyperlink" Target="https://eur-lex.europa.eu/legal-content/HR/TXT/PDF/?uri=CELEX:22019A1114(01)&amp;from=HR" TargetMode="External"/><Relationship Id="rId21" Type="http://schemas.openxmlformats.org/officeDocument/2006/relationships/hyperlink" Target="https://www.eesc.europa.eu/hr/sections-other-bodies/other/eu-singapore-domestic-advisory-group" TargetMode="External"/><Relationship Id="rId34" Type="http://schemas.openxmlformats.org/officeDocument/2006/relationships/hyperlink" Target="https://ec.europa.eu/commission/presscorner/detail/hr/ip_24_2683" TargetMode="External"/><Relationship Id="rId7" Type="http://schemas.openxmlformats.org/officeDocument/2006/relationships/hyperlink" Target="https://asean.org/asean-leaders-review-and-decision-on-the-implementation-of-the-five-point-consensus-3/" TargetMode="External"/><Relationship Id="rId12" Type="http://schemas.openxmlformats.org/officeDocument/2006/relationships/hyperlink" Target="https://alternative-regionalisms.org/wp-content/uploads/2009/07/sapasubmissiononaseancharter-sociocultural.pdf" TargetMode="External"/><Relationship Id="rId17" Type="http://schemas.openxmlformats.org/officeDocument/2006/relationships/hyperlink" Target="https://www.eeas.europa.eu/sites/default/files/documents/2024/2023%20EU%20country%20updates%20on%20human%20rights%20and%20democracy_0.pdf" TargetMode="External"/><Relationship Id="rId25" Type="http://schemas.openxmlformats.org/officeDocument/2006/relationships/hyperlink" Target="https://www.wftucentral.org/?lang=es" TargetMode="External"/><Relationship Id="rId33" Type="http://schemas.openxmlformats.org/officeDocument/2006/relationships/hyperlink" Target="https://iotc.org/meetings/28th-session-indian-ocean-tuna-commission" TargetMode="External"/><Relationship Id="rId2" Type="http://schemas.openxmlformats.org/officeDocument/2006/relationships/hyperlink" Target="https://www.eu-asean.eu/" TargetMode="External"/><Relationship Id="rId16" Type="http://schemas.openxmlformats.org/officeDocument/2006/relationships/hyperlink" Target="https://www.eeas.europa.eu/sites/default/files/documents/2024/2023%20EU%20country%20updates%20on%20human%20rights%20and%20democracy_0.pdf" TargetMode="External"/><Relationship Id="rId20" Type="http://schemas.openxmlformats.org/officeDocument/2006/relationships/hyperlink" Target="https://multimedia.europarl.europa.eu/hr/inta-committee-meeting_20250319-0900-COMMITTEE-INTA_vd" TargetMode="External"/><Relationship Id="rId29" Type="http://schemas.openxmlformats.org/officeDocument/2006/relationships/hyperlink" Target="https://www.ilo.org/sites/default/files/wcmsp5/groups/public/%40ed_protect/%40protrav/%40migrant/documents/publication/wcms_883446.pdf" TargetMode="External"/><Relationship Id="rId1" Type="http://schemas.openxmlformats.org/officeDocument/2006/relationships/hyperlink" Target="https://www.ilo.org/about-ilo/mission-and-impact-ilo/ilo-declaration-fundamental-principles-and-rights-work" TargetMode="External"/><Relationship Id="rId6" Type="http://schemas.openxmlformats.org/officeDocument/2006/relationships/hyperlink" Target="https://policy.trade.ec.europa.eu/eu-trade-relationships-country-and-region/countries-and-regions/association-south-east-asian-nations-asean_en" TargetMode="External"/><Relationship Id="rId11" Type="http://schemas.openxmlformats.org/officeDocument/2006/relationships/hyperlink" Target="https://arrow.org.my/" TargetMode="External"/><Relationship Id="rId24" Type="http://schemas.openxmlformats.org/officeDocument/2006/relationships/hyperlink" Target="https://www.ituc-ap.org/" TargetMode="External"/><Relationship Id="rId32" Type="http://schemas.openxmlformats.org/officeDocument/2006/relationships/hyperlink" Target="https://thailand.iom.int/sites/g/files/tmzbdl1371/files/documents/2024-12/thailand-migration-report-2024.pdf" TargetMode="External"/><Relationship Id="rId5" Type="http://schemas.openxmlformats.org/officeDocument/2006/relationships/hyperlink" Target="https://www.worldeconomics.com/Regions/ASEAN/" TargetMode="External"/><Relationship Id="rId15" Type="http://schemas.openxmlformats.org/officeDocument/2006/relationships/hyperlink" Target="https://www.europarl.europa.eu/RegData/etudes/STUD/2021/653635/EXPO_STU(2021)653635_EN.pdf" TargetMode="External"/><Relationship Id="rId23" Type="http://schemas.openxmlformats.org/officeDocument/2006/relationships/hyperlink" Target="https://www.ilo.org/resource/workers-organizations-asia-and-pacific" TargetMode="External"/><Relationship Id="rId28" Type="http://schemas.openxmlformats.org/officeDocument/2006/relationships/hyperlink" Target="https://www.cape-emp.org/home.aspx" TargetMode="External"/><Relationship Id="rId10" Type="http://schemas.openxmlformats.org/officeDocument/2006/relationships/hyperlink" Target="https://safenet.or.id/" TargetMode="External"/><Relationship Id="rId19" Type="http://schemas.openxmlformats.org/officeDocument/2006/relationships/hyperlink" Target="https://www.eesc.europa.eu/hr/documents/statement-european-union-domestic-advisory-group-eu-viet-nam-free-trade-agreement-1" TargetMode="External"/><Relationship Id="rId31" Type="http://schemas.openxmlformats.org/officeDocument/2006/relationships/hyperlink" Target="https://asean.org/wp-content/uploads/2023/07/ASEAN_employment_outlook_WEB_FIN.pdf" TargetMode="External"/><Relationship Id="rId4" Type="http://schemas.openxmlformats.org/officeDocument/2006/relationships/hyperlink" Target="https://eur-lex.europa.eu/legal-content/HR/TXT/HTML/?uri=OJ:C:2020:186:FULL&amp;from%20EN" TargetMode="External"/><Relationship Id="rId9" Type="http://schemas.openxmlformats.org/officeDocument/2006/relationships/hyperlink" Target="https://reliefweb.int/organization/forum-asia" TargetMode="External"/><Relationship Id="rId14" Type="http://schemas.openxmlformats.org/officeDocument/2006/relationships/hyperlink" Target="https://www.europarl.europa.eu/doceo/document/TA-10-2024-0053_HR.html" TargetMode="External"/><Relationship Id="rId22" Type="http://schemas.openxmlformats.org/officeDocument/2006/relationships/hyperlink" Target="https://policy.trade.ec.europa.eu/analysis-and-assessment/eu-trade-meetings-civil-society/objectives_en" TargetMode="External"/><Relationship Id="rId27" Type="http://schemas.openxmlformats.org/officeDocument/2006/relationships/hyperlink" Target="https://www.ilo.org/meetings-and-events/asean-employers-empowering-people-priortizing-skills" TargetMode="External"/><Relationship Id="rId30" Type="http://schemas.openxmlformats.org/officeDocument/2006/relationships/hyperlink" Target="https://www.ilo.org/sites/default/files/wcmsp5/groups/public/%40ed_protect/%40protrav/%40migrant/documents/publication/wcms_88344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6BB3B767F3CF4149BF520211D4A86BC0" ma:contentTypeVersion="4" ma:contentTypeDescription="Defines the documents for Document Manager V2" ma:contentTypeScope="" ma:versionID="8f2b3a3e062f062a7ee8ba210ef02323">
  <xsd:schema xmlns:xsd="http://www.w3.org/2001/XMLSchema" xmlns:xs="http://www.w3.org/2001/XMLSchema" xmlns:p="http://schemas.microsoft.com/office/2006/metadata/properties" xmlns:ns2="1a33af13-4045-4f88-9d7b-618e30f79918" xmlns:ns3="http://schemas.microsoft.com/sharepoint/v3/fields" xmlns:ns4="be3ca9a7-9286-4008-99ec-aebc20da9dc2" targetNamespace="http://schemas.microsoft.com/office/2006/metadata/properties" ma:root="true" ma:fieldsID="f021f5764e4548d9eb17bdf3b768072d" ns2:_="" ns3:_="" ns4:_="">
    <xsd:import namespace="1a33af13-4045-4f88-9d7b-618e30f79918"/>
    <xsd:import namespace="http://schemas.microsoft.com/sharepoint/v3/fields"/>
    <xsd:import namespace="be3ca9a7-9286-4008-99ec-aebc20da9dc2"/>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3ca9a7-9286-4008-99ec-aebc20da9dc2"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A6WAAD5KZT2Q-604569563-13141</_dlc_DocId>
    <_dlc_DocIdUrl xmlns="1a33af13-4045-4f88-9d7b-618e30f79918">
      <Url>http://dm/eesc/2025/_layouts/15/DocIdRedir.aspx?ID=A6WAAD5KZT2Q-604569563-13141</Url>
      <Description>A6WAAD5KZT2Q-604569563-13141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RI</TermName>
          <TermId xmlns="http://schemas.microsoft.com/office/infopath/2007/PartnerControls">0e66e8df-1601-4fe1-947b-eb539760261a</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2025-07-01T12:00:00+00:00</ProductionDate>
    <DocumentNumber xmlns="be3ca9a7-9286-4008-99ec-aebc20da9dc2">840</DocumentNumber>
    <FicheYear xmlns="1a33af13-4045-4f88-9d7b-618e30f79918" xsi:nil="true"/>
    <DossierNumber xmlns="1a33af13-4045-4f88-9d7b-618e30f79918">589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1a33af13-4045-4f88-9d7b-618e30f79918" xsi:nil="true"/>
    <TaxCatchAll xmlns="1a33af13-4045-4f88-9d7b-618e30f79918">
      <Value>246</Value>
      <Value>50</Value>
      <Value>47</Value>
      <Value>46</Value>
      <Value>43</Value>
      <Value>42</Value>
      <Value>41</Value>
      <Value>40</Value>
      <Value>39</Value>
      <Value>37</Value>
      <Value>36</Value>
      <Value>35</Value>
      <Value>34</Value>
      <Value>33</Value>
      <Value>32</Value>
      <Value>31</Value>
      <Value>30</Value>
      <Value>29</Value>
      <Value>28</Value>
      <Value>27</Value>
      <Value>24</Value>
      <Value>23</Value>
      <Value>16</Value>
      <Value>15</Value>
      <Value>13</Value>
      <Value>12</Value>
      <Value>8</Value>
      <Value>5</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2f555653-ed1a-4fe6-8362-9082d95989e5</TermId>
        </TermInfo>
      </Terms>
    </DocumentLanguage_0>
    <Rapporteur xmlns="1a33af13-4045-4f88-9d7b-618e30f79918">KOLLER &amp; PATER</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1a33af13-4045-4f88-9d7b-618e30f79918">2025</DocumentYear>
    <FicheNumber xmlns="1a33af13-4045-4f88-9d7b-618e30f79918">6739</FicheNumber>
    <OriginalSender xmlns="1a33af13-4045-4f88-9d7b-618e30f79918">
      <UserInfo>
        <DisplayName>Briski Petra</DisplayName>
        <AccountId>1551</AccountId>
        <AccountType/>
      </UserInfo>
    </OriginalSender>
    <DocumentPart xmlns="1a33af13-4045-4f88-9d7b-618e30f79918">0</DocumentPart>
    <AdoptionDate xmlns="1a33af13-4045-4f88-9d7b-618e30f79918">2025-06-19T12:00:00+00:00</AdoptionDate>
    <RequestingService xmlns="1a33af13-4045-4f88-9d7b-618e30f79918">Relations extérieures</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be3ca9a7-9286-4008-99ec-aebc20da9dc2"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REX</TermName>
          <TermId xmlns="http://schemas.microsoft.com/office/infopath/2007/PartnerControls">6820eaf5-116e-436b-ad9c-156f8a94c2a1</TermId>
        </TermInfo>
      </Terms>
    </DossierName_0>
    <DocumentVersion xmlns="1a33af13-4045-4f88-9d7b-618e30f79918">2</DocumentVersion>
  </documentManagement>
</p:properties>
</file>

<file path=customXml/itemProps1.xml><?xml version="1.0" encoding="utf-8"?>
<ds:datastoreItem xmlns:ds="http://schemas.openxmlformats.org/officeDocument/2006/customXml" ds:itemID="{49302477-8E05-4798-B346-C1D4D66FE711}"/>
</file>

<file path=customXml/itemProps2.xml><?xml version="1.0" encoding="utf-8"?>
<ds:datastoreItem xmlns:ds="http://schemas.openxmlformats.org/officeDocument/2006/customXml" ds:itemID="{E4D5F879-8638-4B43-8FB1-A705CC161E25}"/>
</file>

<file path=customXml/itemProps3.xml><?xml version="1.0" encoding="utf-8"?>
<ds:datastoreItem xmlns:ds="http://schemas.openxmlformats.org/officeDocument/2006/customXml" ds:itemID="{1D1E8441-CB3D-4BFA-943E-4037B70F8BB2}"/>
</file>

<file path=customXml/itemProps4.xml><?xml version="1.0" encoding="utf-8"?>
<ds:datastoreItem xmlns:ds="http://schemas.openxmlformats.org/officeDocument/2006/customXml" ds:itemID="{AE9962E1-CF65-40EA-B038-A144539B26B5}"/>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Template>
  <TotalTime>5</TotalTime>
  <Pages>11</Pages>
  <Words>3767</Words>
  <Characters>20720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The situation of the civil society organisations in the ASEAN countries</vt:lpstr>
    </vt:vector>
  </TitlesOfParts>
  <Company>CESE-CdR</Company>
  <LinksUpToDate>false</LinksUpToDate>
  <CharactersWithSpaces>24439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Stanje organizacija civilnog društva u zemljama ASEAN-a</dc:title>
  <dc:subject>RI</dc:subject>
  <dc:creator>Francois Aude</dc:creator>
  <cp:keywords>EESC-2025-00840-00-02-RI-TRA-EN</cp:keywords>
  <dc:description>Rapporteur: KOLLER &amp; PATER - Original language: EN - Date of document: 01/07/2025 - Date of meeting:  - External documents:  - Administrator: MME FEVRE-BURDY Sylvia Gunilla</dc:description>
  <cp:lastModifiedBy>Briski Petra</cp:lastModifiedBy>
  <cp:revision>12</cp:revision>
  <dcterms:created xsi:type="dcterms:W3CDTF">2025-06-30T15:56:00Z</dcterms:created>
  <dcterms:modified xsi:type="dcterms:W3CDTF">2025-07-01T09:14:00Z</dcterms:modified>
  <cp:category>REX/589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30/06/2025, 27/06/2025, 27/06/2025, 23/06/2025, 23/06/2025, 12/04/2024, 17/05/2022</vt:lpwstr>
  </property>
  <property fmtid="{D5CDD505-2E9C-101B-9397-08002B2CF9AE}" pid="4" name="Pref_Time">
    <vt:lpwstr>17:44:45, 10:56:37, 10:53:34, 14:28:35, 09:02:59, 12:04:59, 14:58:36</vt:lpwstr>
  </property>
  <property fmtid="{D5CDD505-2E9C-101B-9397-08002B2CF9AE}" pid="5" name="Pref_User">
    <vt:lpwstr>nnas, jhvi, jhvi, jhvi, jhvi, enied, enied</vt:lpwstr>
  </property>
  <property fmtid="{D5CDD505-2E9C-101B-9397-08002B2CF9AE}" pid="6" name="Pref_FileName">
    <vt:lpwstr>EESC-2025-00840-00-02-RI-ORI.docx, EESC-2025-00840-00-02-RI-TRA-EN_jhvi.docx, EESC-2025-00840-00-01-RI-TRA-EN (3).docx, eesc-2025-00840-00-01-RI-ORI.docx, eesc-2025-00840-00-00-ri-ori (3).docx, COR-EESC-2024-01326-27-00-ADMIN-ORI.docx, COR-EESC-2022-02592</vt:lpwstr>
  </property>
  <property fmtid="{D5CDD505-2E9C-101B-9397-08002B2CF9AE}" pid="7" name="ContentTypeId">
    <vt:lpwstr>0x010100EA97B91038054C99906057A708A1480A006BB3B767F3CF4149BF520211D4A86BC0</vt:lpwstr>
  </property>
  <property fmtid="{D5CDD505-2E9C-101B-9397-08002B2CF9AE}" pid="8" name="_dlc_DocIdItemGuid">
    <vt:lpwstr>6eace610-8038-4711-bb58-cbe95b6c2379</vt:lpwstr>
  </property>
  <property fmtid="{D5CDD505-2E9C-101B-9397-08002B2CF9AE}" pid="9" name="AvailableTranslations">
    <vt:lpwstr>40;#DA|5d49c027-8956-412b-aa16-e85a0f96ad0e;#37;#HU|6b229040-c589-4408-b4c1-4285663d20a8;#42;#EL|6d4f4d51-af9b-4650-94b4-4276bee85c91;#47;#BG|1a1b3951-7821-4e6a-85f5-5673fc08bd2c;#30;#LT|a7ff5ce7-6123-4f68-865a-a57c31810414;#31;#SL|98a412ae-eb01-49e9-ae3d-585a81724cfc;#46;#SK|46d9fce0-ef79-4f71-b89b-cd6aa82426b8;#41;#ET|ff6c3f4c-b02c-4c3c-ab07-2c37995a7a0a;#36;#RO|feb747a2-64cd-4299-af12-4833ddc30497;#32;#MT|7df99101-6854-4a26-b53a-b88c0da02c26;#33;#PT|50ccc04a-eadd-42ae-a0cb-acaf45f812ba;#39;#LV|46f7e311-5d9f-4663-b433-18aeccb7ace7;#34;#IT|0774613c-01ed-4e5d-a25d-11d2388de825;#16;#ES|e7a6b05b-ae16-40c8-add9-68b64b03aeba;#28;#SV|c2ed69e7-a339-43d7-8f22-d93680a92aa0;#35;#FI|87606a43-d45f-42d6-b8c9-e1a3457db5b7;#50;#HR|2f555653-ed1a-4fe6-8362-9082d95989e5;#24;#PL|1e03da61-4678-4e07-b136-b5024ca9197b;#23;#DE|f6b31e5a-26fa-4935-b661-318e46daf27e;#29;#CS|72f9705b-0217-4fd3-bea2-cbc7ed80e26e;#27;#NL|55c6556c-b4f4-441d-9acf-c498d4f838bd;#12;#FR|d2afafd3-4c81-4f60-8f52-ee33f2f54ff3;#5;#EN|f2175f21-25d7-44a3-96da-d6a61b075e1b;#43;#GA|762d2456-c427-4ecb-b312-af3dad8e258c</vt:lpwstr>
  </property>
  <property fmtid="{D5CDD505-2E9C-101B-9397-08002B2CF9AE}" pid="10" name="DocumentType_0">
    <vt:lpwstr>RI|0e66e8df-1601-4fe1-947b-eb539760261a</vt:lpwstr>
  </property>
  <property fmtid="{D5CDD505-2E9C-101B-9397-08002B2CF9AE}" pid="11" name="DossierName_0">
    <vt:lpwstr>REX|6820eaf5-116e-436b-ad9c-156f8a94c2a1</vt:lpwstr>
  </property>
  <property fmtid="{D5CDD505-2E9C-101B-9397-08002B2CF9AE}" pid="12" name="DocumentSource_0">
    <vt:lpwstr>EESC|422833ec-8d7e-4e65-8e4e-8bed07ffb729</vt:lpwstr>
  </property>
  <property fmtid="{D5CDD505-2E9C-101B-9397-08002B2CF9AE}" pid="13" name="DocumentNumber">
    <vt:i4>840</vt:i4>
  </property>
  <property fmtid="{D5CDD505-2E9C-101B-9397-08002B2CF9AE}" pid="14" name="DocumentVersion">
    <vt:i4>2</vt:i4>
  </property>
  <property fmtid="{D5CDD505-2E9C-101B-9397-08002B2CF9AE}" pid="15" name="DossierNumber">
    <vt:i4>589</vt:i4>
  </property>
  <property fmtid="{D5CDD505-2E9C-101B-9397-08002B2CF9AE}" pid="16" name="DocumentStatus">
    <vt:lpwstr>13;#TRA|150d2a88-1431-44e6-a8ca-0bb753ab8672</vt:lpwstr>
  </property>
  <property fmtid="{D5CDD505-2E9C-101B-9397-08002B2CF9AE}" pid="17" name="DossierName">
    <vt:lpwstr>2;#REX|6820eaf5-116e-436b-ad9c-156f8a94c2a1</vt:lpwstr>
  </property>
  <property fmtid="{D5CDD505-2E9C-101B-9397-08002B2CF9AE}" pid="18" name="RequestingService">
    <vt:lpwstr>Relations extérieures</vt:lpwstr>
  </property>
  <property fmtid="{D5CDD505-2E9C-101B-9397-08002B2CF9AE}" pid="19" name="Confidentiality">
    <vt:lpwstr>15;#Unrestricted|826e22d7-d029-4ec0-a450-0c28ff673572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DA|5d49c027-8956-412b-aa16-e85a0f96ad0e;HU|6b229040-c589-4408-b4c1-4285663d20a8;BG|1a1b3951-7821-4e6a-85f5-5673fc08bd2c;LT|a7ff5ce7-6123-4f68-865a-a57c31810414;SL|98a412ae-eb01-49e9-ae3d-585a81724cfc;SK|46d9fce0-ef79-4f71-b89b-cd6aa82426b8;ET|ff6c3f4c-b02c-4c3c-ab07-2c37995a7a0a;RO|feb747a2-64cd-4299-af12-4833ddc30497;MT|7df99101-6854-4a26-b53a-b88c0da02c26;PT|50ccc04a-eadd-42ae-a0cb-acaf45f812ba;IT|0774613c-01ed-4e5d-a25d-11d2388de825;ES|e7a6b05b-ae16-40c8-add9-68b64b03aeba;FI|87606a43-d45f-42d6-b8c9-e1a3457db5b7;PL|1e03da61-4678-4e07-b136-b5024ca9197b;NL|55c6556c-b4f4-441d-9acf-c498d4f838bd;FR|d2afafd3-4c81-4f60-8f52-ee33f2f54ff3;EN|f2175f21-25d7-44a3-96da-d6a61b075e1b</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36;#RO|feb747a2-64cd-4299-af12-4833ddc30497;#35;#FI|87606a43-d45f-42d6-b8c9-e1a3457db5b7;#34;#IT|0774613c-01ed-4e5d-a25d-11d2388de825;#33;#PT|50ccc04a-eadd-42ae-a0cb-acaf45f812ba;#32;#MT|7df99101-6854-4a26-b53a-b88c0da02c26;#31;#SL|98a412ae-eb01-49e9-ae3d-585a81724cfc;#30;#LT|a7ff5ce7-6123-4f68-865a-a57c31810414;#27;#NL|55c6556c-b4f4-441d-9acf-c498d4f838bd;#24;#PL|1e03da61-4678-4e07-b136-b5024ca9197b;#246;#RI|0e66e8df-1601-4fe1-947b-eb539760261a;#16;#ES|e7a6b05b-ae16-40c8-add9-68b64b03aeba;#15;#Unrestricted|826e22d7-d029-4ec0-a450-0c28ff673572;#13;#TRA|150d2a88-1431-44e6-a8ca-0bb753ab8672;#12;#FR|d2afafd3-4c81-4f60-8f52-ee33f2f54ff3;#47;#BG|1a1b3951-7821-4e6a-85f5-5673fc08bd2c;#46;#SK|46d9fce0-ef79-4f71-b89b-cd6aa82426b8;#8;#Final|ea5e6674-7b27-4bac-b091-73adbb394efe;#5;#EN|f2175f21-25d7-44a3-96da-d6a61b075e1b;#41;#ET|ff6c3f4c-b02c-4c3c-ab07-2c37995a7a0a;#40;#DA|5d49c027-8956-412b-aa16-e85a0f96ad0e;#2;#REX|6820eaf5-116e-436b-ad9c-156f8a94c2a1;#1;#EESC|422833ec-8d7e-4e65-8e4e-8bed07ffb729;#37;#HU|6b229040-c589-4408-b4c1-4285663d20a8</vt:lpwstr>
  </property>
  <property fmtid="{D5CDD505-2E9C-101B-9397-08002B2CF9AE}" pid="29" name="Rapporteur">
    <vt:lpwstr>KOLLER &amp; PATER</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2025</vt:i4>
  </property>
  <property fmtid="{D5CDD505-2E9C-101B-9397-08002B2CF9AE}" pid="33" name="FicheNumber">
    <vt:i4>6739</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2025-06-19T12:00:00Z</vt:filetime>
  </property>
  <property fmtid="{D5CDD505-2E9C-101B-9397-08002B2CF9AE}" pid="37" name="DocumentType">
    <vt:lpwstr>246;#RI|0e66e8df-1601-4fe1-947b-eb539760261a</vt:lpwstr>
  </property>
  <property fmtid="{D5CDD505-2E9C-101B-9397-08002B2CF9AE}" pid="38" name="DocumentLanguage">
    <vt:lpwstr>50;#HR|2f555653-ed1a-4fe6-8362-9082d95989e5</vt:lpwstr>
  </property>
</Properties>
</file>