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574C9B" w:rsidRPr="00CA3853" w14:paraId="4B18B74B" w14:textId="77777777" w:rsidTr="008E4CC5">
        <w:trPr>
          <w:jc w:val="center"/>
        </w:trPr>
        <w:tc>
          <w:tcPr>
            <w:tcW w:w="5000" w:type="pct"/>
            <w:vAlign w:val="center"/>
          </w:tcPr>
          <w:p w14:paraId="4B8F14AB" w14:textId="1DC17AD9" w:rsidR="00574C9B" w:rsidRPr="00CA3853" w:rsidRDefault="00360204" w:rsidP="00454EBC">
            <w:pPr>
              <w:jc w:val="center"/>
              <w:rPr>
                <w:b/>
                <w:sz w:val="72"/>
                <w:szCs w:val="72"/>
              </w:rPr>
            </w:pPr>
            <w:r>
              <w:rPr>
                <w:b/>
                <w:sz w:val="72"/>
              </w:rPr>
              <w:t>ΕΝΗΜΕΡΩΤΙΚΗ ΕΚΘΕΣΗ</w:t>
            </w:r>
          </w:p>
        </w:tc>
      </w:tr>
      <w:tr w:rsidR="00574C9B" w:rsidRPr="00CA3853" w14:paraId="428F80C1" w14:textId="77777777" w:rsidTr="008E4CC5">
        <w:trPr>
          <w:trHeight w:val="567"/>
          <w:jc w:val="center"/>
        </w:trPr>
        <w:tc>
          <w:tcPr>
            <w:tcW w:w="5000" w:type="pct"/>
            <w:vAlign w:val="center"/>
          </w:tcPr>
          <w:p w14:paraId="0E3C838D" w14:textId="2E0F4618" w:rsidR="00574C9B" w:rsidRPr="00CA3853" w:rsidRDefault="00574C9B" w:rsidP="00454EBC">
            <w:pPr>
              <w:jc w:val="center"/>
              <w:rPr>
                <w:sz w:val="24"/>
                <w:szCs w:val="24"/>
              </w:rPr>
            </w:pPr>
            <w:r>
              <w:rPr>
                <w:sz w:val="24"/>
              </w:rPr>
              <w:t>Ευρωπαϊκή Οικονομική και Κοινωνική Επιτροπή</w:t>
            </w:r>
          </w:p>
        </w:tc>
      </w:tr>
      <w:tr w:rsidR="00574C9B" w:rsidRPr="00CA3853" w14:paraId="5FCA7EB1" w14:textId="77777777" w:rsidTr="008E4CC5">
        <w:trPr>
          <w:jc w:val="center"/>
        </w:trPr>
        <w:tc>
          <w:tcPr>
            <w:tcW w:w="5000" w:type="pct"/>
            <w:vAlign w:val="center"/>
          </w:tcPr>
          <w:p w14:paraId="164B3F5D" w14:textId="2736567A" w:rsidR="00574C9B" w:rsidRPr="00CA3853" w:rsidRDefault="005247BD" w:rsidP="00454EBC">
            <w:pPr>
              <w:jc w:val="center"/>
              <w:rPr>
                <w:b/>
                <w:sz w:val="44"/>
                <w:szCs w:val="44"/>
              </w:rPr>
            </w:pPr>
            <w:r>
              <w:rPr>
                <w:b/>
                <w:sz w:val="44"/>
              </w:rPr>
              <w:t>Τα μέσα κοινωνικής δικτύωσης και οι αλγόριθμοι της τεχνητής νοημοσύνης: διασφάλιση του δικαιώματος πρόσβασης σε ακριβείς πληροφορίες και η προβολή περιεχομένου υψηλής ποιότητας σε όλη την Ευρώπη, κυρίως όσον αφορά την Ανατολική και Κεντρική Ευρώπη</w:t>
            </w:r>
          </w:p>
        </w:tc>
      </w:tr>
      <w:tr w:rsidR="00574C9B" w:rsidRPr="00CA3853" w14:paraId="0A2CA787" w14:textId="77777777" w:rsidTr="008E4CC5">
        <w:trPr>
          <w:jc w:val="center"/>
        </w:trPr>
        <w:tc>
          <w:tcPr>
            <w:tcW w:w="5000" w:type="pct"/>
            <w:vAlign w:val="center"/>
          </w:tcPr>
          <w:p w14:paraId="766B3712" w14:textId="77777777" w:rsidR="00574C9B" w:rsidRPr="00CA3853" w:rsidRDefault="00574C9B" w:rsidP="00454EBC">
            <w:pPr>
              <w:overflowPunct w:val="0"/>
              <w:autoSpaceDE w:val="0"/>
              <w:autoSpaceDN w:val="0"/>
              <w:adjustRightInd w:val="0"/>
              <w:jc w:val="center"/>
              <w:textAlignment w:val="baseline"/>
              <w:rPr>
                <w:b/>
                <w:position w:val="24"/>
                <w:sz w:val="24"/>
                <w:szCs w:val="24"/>
              </w:rPr>
            </w:pPr>
            <w:r>
              <w:rPr>
                <w:sz w:val="24"/>
              </w:rPr>
              <w:t>_____________</w:t>
            </w:r>
          </w:p>
        </w:tc>
      </w:tr>
      <w:tr w:rsidR="00574C9B" w:rsidRPr="00CA3853" w14:paraId="651BE820" w14:textId="77777777" w:rsidTr="008E4CC5">
        <w:trPr>
          <w:jc w:val="center"/>
        </w:trPr>
        <w:tc>
          <w:tcPr>
            <w:tcW w:w="5000" w:type="pct"/>
            <w:vAlign w:val="center"/>
          </w:tcPr>
          <w:p w14:paraId="6E238E6D" w14:textId="35C07B4E" w:rsidR="005247BD" w:rsidRPr="00CA3853" w:rsidRDefault="005247BD" w:rsidP="00454EBC">
            <w:pPr>
              <w:jc w:val="center"/>
              <w:rPr>
                <w:sz w:val="24"/>
                <w:szCs w:val="24"/>
              </w:rPr>
            </w:pPr>
            <w:r>
              <w:rPr>
                <w:sz w:val="24"/>
              </w:rPr>
              <w:t>Τα μέσα κοινωνικής δικτύωσης και οι αλγόριθμοι της τεχνητής νοημοσύνης: διασφάλιση του δικαιώματος πρόσβασης σε ακριβείς πληροφορίες και η προβολή περιεχομένου υψηλής ποιότητας σε όλη την Ευρώπη, κυρίως όσον αφορά την Ανατολική και Κεντρική Ευρώπη</w:t>
            </w:r>
          </w:p>
        </w:tc>
      </w:tr>
      <w:tr w:rsidR="00574C9B" w:rsidRPr="00CA3853" w14:paraId="295584EE" w14:textId="77777777" w:rsidTr="008E4CC5">
        <w:trPr>
          <w:jc w:val="center"/>
        </w:trPr>
        <w:tc>
          <w:tcPr>
            <w:tcW w:w="5000" w:type="pct"/>
            <w:vAlign w:val="center"/>
          </w:tcPr>
          <w:p w14:paraId="7AA50FA1" w14:textId="77777777" w:rsidR="00574C9B" w:rsidRPr="00CA3853" w:rsidRDefault="00574C9B" w:rsidP="00454EBC">
            <w:pPr>
              <w:jc w:val="center"/>
              <w:rPr>
                <w:sz w:val="24"/>
                <w:szCs w:val="24"/>
                <w:lang w:val="en-GB"/>
              </w:rPr>
            </w:pPr>
          </w:p>
        </w:tc>
      </w:tr>
      <w:tr w:rsidR="00574C9B" w:rsidRPr="00CA3853" w14:paraId="41F47321" w14:textId="77777777" w:rsidTr="008E4CC5">
        <w:trPr>
          <w:jc w:val="center"/>
        </w:trPr>
        <w:tc>
          <w:tcPr>
            <w:tcW w:w="5000" w:type="pct"/>
            <w:vAlign w:val="center"/>
          </w:tcPr>
          <w:p w14:paraId="50D97899" w14:textId="4BD8FE75" w:rsidR="00574C9B" w:rsidRPr="00CA3853" w:rsidRDefault="005247BD" w:rsidP="00454EBC">
            <w:pPr>
              <w:jc w:val="center"/>
              <w:rPr>
                <w:b/>
                <w:sz w:val="24"/>
                <w:szCs w:val="24"/>
              </w:rPr>
            </w:pPr>
            <w:r>
              <w:rPr>
                <w:b/>
                <w:sz w:val="24"/>
              </w:rPr>
              <w:t>REX/601</w:t>
            </w:r>
          </w:p>
        </w:tc>
      </w:tr>
      <w:tr w:rsidR="00574C9B" w:rsidRPr="00CA3853" w14:paraId="2110FDEB" w14:textId="77777777" w:rsidTr="008E4CC5">
        <w:trPr>
          <w:jc w:val="center"/>
        </w:trPr>
        <w:tc>
          <w:tcPr>
            <w:tcW w:w="5000" w:type="pct"/>
            <w:vAlign w:val="center"/>
          </w:tcPr>
          <w:p w14:paraId="59F181E4" w14:textId="77777777" w:rsidR="00574C9B" w:rsidRPr="00CA3853" w:rsidRDefault="00574C9B" w:rsidP="00454EBC">
            <w:pPr>
              <w:jc w:val="center"/>
              <w:rPr>
                <w:sz w:val="24"/>
                <w:szCs w:val="24"/>
                <w:lang w:val="en-GB"/>
              </w:rPr>
            </w:pPr>
          </w:p>
        </w:tc>
      </w:tr>
      <w:tr w:rsidR="00574C9B" w:rsidRPr="00CA3853" w14:paraId="5DF7EBEA" w14:textId="77777777" w:rsidTr="008E4CC5">
        <w:trPr>
          <w:jc w:val="center"/>
        </w:trPr>
        <w:tc>
          <w:tcPr>
            <w:tcW w:w="5000" w:type="pct"/>
            <w:vAlign w:val="center"/>
          </w:tcPr>
          <w:p w14:paraId="23E9DE0A" w14:textId="0D8B0CE9" w:rsidR="00574C9B" w:rsidRPr="00CA3853" w:rsidRDefault="00574C9B" w:rsidP="00454EBC">
            <w:pPr>
              <w:jc w:val="center"/>
              <w:rPr>
                <w:sz w:val="24"/>
                <w:szCs w:val="24"/>
              </w:rPr>
            </w:pPr>
            <w:r>
              <w:rPr>
                <w:sz w:val="24"/>
              </w:rPr>
              <w:t xml:space="preserve">Εισηγήτρια: </w:t>
            </w:r>
            <w:proofErr w:type="spellStart"/>
            <w:r>
              <w:rPr>
                <w:b/>
                <w:sz w:val="24"/>
              </w:rPr>
              <w:t>Tatjana</w:t>
            </w:r>
            <w:proofErr w:type="spellEnd"/>
            <w:r>
              <w:rPr>
                <w:b/>
                <w:sz w:val="24"/>
              </w:rPr>
              <w:t xml:space="preserve"> BABRAUSKIENĖ</w:t>
            </w:r>
          </w:p>
        </w:tc>
      </w:tr>
      <w:tr w:rsidR="00CB7CD0" w:rsidRPr="00CA3853" w14:paraId="1AE590E4" w14:textId="77777777" w:rsidTr="008E4CC5">
        <w:trPr>
          <w:jc w:val="center"/>
        </w:trPr>
        <w:tc>
          <w:tcPr>
            <w:tcW w:w="5000" w:type="pct"/>
            <w:vAlign w:val="center"/>
          </w:tcPr>
          <w:p w14:paraId="3CA82D7B" w14:textId="19D6F4B5" w:rsidR="00CB7CD0" w:rsidRPr="00CA3853" w:rsidRDefault="00CB7CD0" w:rsidP="00454EBC">
            <w:pPr>
              <w:jc w:val="center"/>
              <w:rPr>
                <w:sz w:val="24"/>
                <w:szCs w:val="24"/>
              </w:rPr>
            </w:pPr>
            <w:proofErr w:type="spellStart"/>
            <w:r>
              <w:rPr>
                <w:sz w:val="24"/>
              </w:rPr>
              <w:t>Συνεισηγητής</w:t>
            </w:r>
            <w:proofErr w:type="spellEnd"/>
            <w:r>
              <w:rPr>
                <w:sz w:val="24"/>
              </w:rPr>
              <w:t xml:space="preserve">: </w:t>
            </w:r>
            <w:proofErr w:type="spellStart"/>
            <w:r>
              <w:rPr>
                <w:b/>
                <w:sz w:val="24"/>
              </w:rPr>
              <w:t>Andris</w:t>
            </w:r>
            <w:proofErr w:type="spellEnd"/>
            <w:r>
              <w:rPr>
                <w:b/>
                <w:sz w:val="24"/>
              </w:rPr>
              <w:t xml:space="preserve"> GOBIŅŠ</w:t>
            </w:r>
          </w:p>
        </w:tc>
      </w:tr>
    </w:tbl>
    <w:p w14:paraId="0B225863" w14:textId="77777777" w:rsidR="00574C9B" w:rsidRPr="00CA3853" w:rsidRDefault="00574C9B" w:rsidP="00454EBC">
      <w:r>
        <w:rPr>
          <w:noProof/>
          <w:sz w:val="20"/>
        </w:rPr>
        <mc:AlternateContent>
          <mc:Choice Requires="wps">
            <w:drawing>
              <wp:anchor distT="0" distB="0" distL="114300" distR="114300" simplePos="0" relativeHeight="25166438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EL</w:t>
                      </w:r>
                    </w:p>
                  </w:txbxContent>
                </v:textbox>
                <w10:wrap anchorx="margin" anchory="page"/>
              </v:shape>
            </w:pict>
          </mc:Fallback>
        </mc:AlternateContent>
      </w:r>
    </w:p>
    <w:p w14:paraId="3FA5826A" w14:textId="77777777" w:rsidR="00574C9B" w:rsidRPr="00CA3853" w:rsidRDefault="00574C9B" w:rsidP="00454EBC">
      <w:pPr>
        <w:rPr>
          <w:lang w:val="en-GB"/>
        </w:rPr>
      </w:pPr>
    </w:p>
    <w:p w14:paraId="4B88FC0A" w14:textId="77777777" w:rsidR="00574C9B" w:rsidRPr="00CA3853" w:rsidRDefault="00574C9B" w:rsidP="00454EBC">
      <w:pPr>
        <w:rPr>
          <w:lang w:val="en-GB"/>
        </w:rPr>
        <w:sectPr w:rsidR="00574C9B" w:rsidRPr="00CA3853" w:rsidSect="00AC5114">
          <w:headerReference w:type="even" r:id="rId11"/>
          <w:headerReference w:type="default" r:id="rId12"/>
          <w:headerReference w:type="first" r:id="rId13"/>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5137B" w:rsidRPr="00CA3853" w14:paraId="6755593A" w14:textId="77777777" w:rsidTr="00E15BF4">
        <w:tc>
          <w:tcPr>
            <w:tcW w:w="3085" w:type="dxa"/>
          </w:tcPr>
          <w:p w14:paraId="5F91A05F" w14:textId="0D333D6B" w:rsidR="00C5137B" w:rsidRPr="00CA3853" w:rsidRDefault="00C5137B" w:rsidP="00454EBC">
            <w:pPr>
              <w:autoSpaceDE w:val="0"/>
              <w:autoSpaceDN w:val="0"/>
              <w:jc w:val="left"/>
              <w:rPr>
                <w:szCs w:val="20"/>
              </w:rPr>
            </w:pPr>
            <w:r>
              <w:lastRenderedPageBreak/>
              <w:t>Σύμβουλος</w:t>
            </w:r>
          </w:p>
        </w:tc>
        <w:tc>
          <w:tcPr>
            <w:tcW w:w="6204" w:type="dxa"/>
            <w:vAlign w:val="bottom"/>
          </w:tcPr>
          <w:p w14:paraId="70C24170" w14:textId="481A71DA" w:rsidR="00C5137B" w:rsidRPr="00CA3853" w:rsidRDefault="005247BD" w:rsidP="00454EBC">
            <w:pPr>
              <w:autoSpaceDE w:val="0"/>
              <w:autoSpaceDN w:val="0"/>
              <w:jc w:val="left"/>
            </w:pPr>
            <w:proofErr w:type="spellStart"/>
            <w:r>
              <w:t>Hanna</w:t>
            </w:r>
            <w:proofErr w:type="spellEnd"/>
            <w:r>
              <w:t xml:space="preserve"> LIUBAKOVA</w:t>
            </w:r>
          </w:p>
        </w:tc>
      </w:tr>
      <w:tr w:rsidR="00C5137B" w:rsidRPr="00CA3853" w14:paraId="0F2D8E06" w14:textId="77777777" w:rsidTr="00E15BF4">
        <w:tc>
          <w:tcPr>
            <w:tcW w:w="3085" w:type="dxa"/>
          </w:tcPr>
          <w:p w14:paraId="4CD317AD" w14:textId="77777777" w:rsidR="00C5137B" w:rsidRPr="00CA3853" w:rsidRDefault="00C5137B" w:rsidP="00454EBC">
            <w:pPr>
              <w:autoSpaceDE w:val="0"/>
              <w:autoSpaceDN w:val="0"/>
              <w:jc w:val="left"/>
              <w:rPr>
                <w:szCs w:val="20"/>
                <w:lang w:val="en-GB"/>
              </w:rPr>
            </w:pPr>
          </w:p>
        </w:tc>
        <w:tc>
          <w:tcPr>
            <w:tcW w:w="6204" w:type="dxa"/>
            <w:vAlign w:val="bottom"/>
          </w:tcPr>
          <w:p w14:paraId="59403491" w14:textId="77777777" w:rsidR="00C5137B" w:rsidRPr="00CA3853" w:rsidRDefault="00C5137B" w:rsidP="00454EBC">
            <w:pPr>
              <w:autoSpaceDE w:val="0"/>
              <w:autoSpaceDN w:val="0"/>
              <w:jc w:val="left"/>
              <w:rPr>
                <w:lang w:val="en-GB"/>
              </w:rPr>
            </w:pPr>
          </w:p>
        </w:tc>
      </w:tr>
      <w:tr w:rsidR="00914683" w:rsidRPr="00CA3853" w14:paraId="3E385435" w14:textId="77777777" w:rsidTr="00E15BF4">
        <w:tc>
          <w:tcPr>
            <w:tcW w:w="3085" w:type="dxa"/>
          </w:tcPr>
          <w:p w14:paraId="3054D729" w14:textId="5D5B5FF6" w:rsidR="00914683" w:rsidRPr="00CA3853" w:rsidRDefault="00914683" w:rsidP="00454EBC">
            <w:pPr>
              <w:autoSpaceDE w:val="0"/>
              <w:autoSpaceDN w:val="0"/>
              <w:jc w:val="left"/>
              <w:rPr>
                <w:szCs w:val="20"/>
              </w:rPr>
            </w:pPr>
            <w:r>
              <w:t>Νομική βάση</w:t>
            </w:r>
          </w:p>
        </w:tc>
        <w:tc>
          <w:tcPr>
            <w:tcW w:w="6204" w:type="dxa"/>
            <w:vAlign w:val="bottom"/>
          </w:tcPr>
          <w:p w14:paraId="41CF067A" w14:textId="0D6FB79C" w:rsidR="00914683" w:rsidRPr="00CA3853" w:rsidRDefault="00914683" w:rsidP="00454EBC">
            <w:pPr>
              <w:autoSpaceDE w:val="0"/>
              <w:autoSpaceDN w:val="0"/>
              <w:jc w:val="left"/>
            </w:pPr>
            <w:r>
              <w:t>Άρθρο 52 παράγραφος 3 του Εσωτερικού Κανονισμού</w:t>
            </w:r>
          </w:p>
        </w:tc>
      </w:tr>
      <w:tr w:rsidR="00AC5114" w:rsidRPr="00CA3853" w14:paraId="0E2099A6" w14:textId="77777777" w:rsidTr="00E15BF4">
        <w:tc>
          <w:tcPr>
            <w:tcW w:w="3085" w:type="dxa"/>
          </w:tcPr>
          <w:p w14:paraId="0BC68BA5" w14:textId="77777777" w:rsidR="00AC5114" w:rsidRPr="00CA3853" w:rsidRDefault="00AC5114" w:rsidP="00454EBC">
            <w:pPr>
              <w:autoSpaceDE w:val="0"/>
              <w:autoSpaceDN w:val="0"/>
              <w:jc w:val="left"/>
            </w:pPr>
            <w:r>
              <w:t>Αρμόδιο όργανο</w:t>
            </w:r>
          </w:p>
        </w:tc>
        <w:tc>
          <w:tcPr>
            <w:tcW w:w="6204" w:type="dxa"/>
            <w:vAlign w:val="bottom"/>
          </w:tcPr>
          <w:p w14:paraId="5AE7EA9E" w14:textId="266F319F" w:rsidR="00AC5114" w:rsidRPr="00CA3853" w:rsidRDefault="005247BD" w:rsidP="00454EBC">
            <w:pPr>
              <w:autoSpaceDE w:val="0"/>
              <w:autoSpaceDN w:val="0"/>
              <w:jc w:val="left"/>
            </w:pPr>
            <w:r>
              <w:t>Τμήμα «Εξωτερικές σχέσεις»</w:t>
            </w:r>
          </w:p>
        </w:tc>
      </w:tr>
      <w:tr w:rsidR="00AC5114" w:rsidRPr="00CA3853" w14:paraId="53972E32" w14:textId="77777777" w:rsidTr="00E15BF4">
        <w:tc>
          <w:tcPr>
            <w:tcW w:w="3085" w:type="dxa"/>
          </w:tcPr>
          <w:p w14:paraId="13B33E83" w14:textId="77777777" w:rsidR="00AC5114" w:rsidRPr="00CA3853" w:rsidRDefault="00AC5114" w:rsidP="00454EBC">
            <w:pPr>
              <w:autoSpaceDE w:val="0"/>
              <w:autoSpaceDN w:val="0"/>
              <w:jc w:val="left"/>
            </w:pPr>
            <w:r>
              <w:t>Έγκριση από το τμήμα</w:t>
            </w:r>
          </w:p>
        </w:tc>
        <w:tc>
          <w:tcPr>
            <w:tcW w:w="6204" w:type="dxa"/>
            <w:vAlign w:val="bottom"/>
          </w:tcPr>
          <w:p w14:paraId="5E71ECD2" w14:textId="724DC4F5" w:rsidR="00AC5114" w:rsidRPr="00CA3853" w:rsidRDefault="005247BD" w:rsidP="00454EBC">
            <w:pPr>
              <w:autoSpaceDE w:val="0"/>
              <w:autoSpaceDN w:val="0"/>
              <w:jc w:val="left"/>
            </w:pPr>
            <w:r>
              <w:t>9/7/2025</w:t>
            </w:r>
          </w:p>
        </w:tc>
      </w:tr>
      <w:tr w:rsidR="0058411F" w:rsidRPr="00CA3853" w14:paraId="7AE47B93" w14:textId="77777777" w:rsidTr="00E15BF4">
        <w:tc>
          <w:tcPr>
            <w:tcW w:w="3085" w:type="dxa"/>
          </w:tcPr>
          <w:p w14:paraId="26DE3092" w14:textId="352FC8CA" w:rsidR="0058411F" w:rsidRPr="00CA3853" w:rsidRDefault="0058411F" w:rsidP="00454EBC">
            <w:pPr>
              <w:autoSpaceDE w:val="0"/>
              <w:autoSpaceDN w:val="0"/>
              <w:jc w:val="left"/>
            </w:pPr>
            <w:r>
              <w:t>Έγκριση από την Ολομέλεια</w:t>
            </w:r>
          </w:p>
        </w:tc>
        <w:tc>
          <w:tcPr>
            <w:tcW w:w="6204" w:type="dxa"/>
            <w:vAlign w:val="bottom"/>
          </w:tcPr>
          <w:p w14:paraId="34FA2183" w14:textId="716AF036" w:rsidR="0058411F" w:rsidRPr="00CA3853" w:rsidRDefault="005247BD" w:rsidP="00454EBC">
            <w:pPr>
              <w:autoSpaceDE w:val="0"/>
              <w:autoSpaceDN w:val="0"/>
              <w:jc w:val="left"/>
            </w:pPr>
            <w:r>
              <w:t>18/09/2025</w:t>
            </w:r>
          </w:p>
        </w:tc>
      </w:tr>
      <w:tr w:rsidR="0058411F" w:rsidRPr="00CA3853" w14:paraId="2FE8AE44" w14:textId="77777777" w:rsidTr="00E15BF4">
        <w:tc>
          <w:tcPr>
            <w:tcW w:w="3085" w:type="dxa"/>
          </w:tcPr>
          <w:p w14:paraId="2A65A034" w14:textId="77777777" w:rsidR="0058411F" w:rsidRPr="00CA3853" w:rsidRDefault="0058411F" w:rsidP="00454EBC">
            <w:pPr>
              <w:autoSpaceDE w:val="0"/>
              <w:autoSpaceDN w:val="0"/>
              <w:jc w:val="left"/>
            </w:pPr>
            <w:r>
              <w:t>Σύνοδος ολομέλειας αριθ.</w:t>
            </w:r>
          </w:p>
        </w:tc>
        <w:tc>
          <w:tcPr>
            <w:tcW w:w="6204" w:type="dxa"/>
            <w:vAlign w:val="bottom"/>
          </w:tcPr>
          <w:p w14:paraId="17BFB0A7" w14:textId="7F7E24EE" w:rsidR="0058411F" w:rsidRPr="00CA3853" w:rsidRDefault="002A77F4" w:rsidP="00454EBC">
            <w:pPr>
              <w:autoSpaceDE w:val="0"/>
              <w:autoSpaceDN w:val="0"/>
              <w:jc w:val="left"/>
            </w:pPr>
            <w:r>
              <w:t>599</w:t>
            </w:r>
          </w:p>
        </w:tc>
      </w:tr>
      <w:tr w:rsidR="0058411F" w:rsidRPr="00CA3853" w14:paraId="3889B17A" w14:textId="77777777" w:rsidTr="00E15BF4">
        <w:tc>
          <w:tcPr>
            <w:tcW w:w="3085" w:type="dxa"/>
          </w:tcPr>
          <w:p w14:paraId="0C723801" w14:textId="77777777" w:rsidR="0058411F" w:rsidRPr="00CA3853" w:rsidRDefault="0058411F" w:rsidP="00454EBC">
            <w:pPr>
              <w:autoSpaceDE w:val="0"/>
              <w:autoSpaceDN w:val="0"/>
              <w:jc w:val="left"/>
            </w:pPr>
            <w:r>
              <w:t>Αποτέλεσμα της ψηφοφορίας</w:t>
            </w:r>
            <w:r>
              <w:br/>
              <w:t>(υπέρ/κατά/αποχές)</w:t>
            </w:r>
          </w:p>
        </w:tc>
        <w:tc>
          <w:tcPr>
            <w:tcW w:w="6204" w:type="dxa"/>
            <w:vAlign w:val="bottom"/>
          </w:tcPr>
          <w:p w14:paraId="14DB34EA" w14:textId="61802F6B" w:rsidR="0058411F" w:rsidRPr="00CA3853" w:rsidRDefault="004A5B45" w:rsidP="00454EBC">
            <w:pPr>
              <w:autoSpaceDE w:val="0"/>
              <w:autoSpaceDN w:val="0"/>
              <w:jc w:val="left"/>
            </w:pPr>
            <w:r>
              <w:t>141/0/2</w:t>
            </w:r>
          </w:p>
        </w:tc>
      </w:tr>
    </w:tbl>
    <w:p w14:paraId="156A5F34" w14:textId="77777777" w:rsidR="00AC5114" w:rsidRPr="00CA3853" w:rsidRDefault="00AC5114" w:rsidP="00454EBC">
      <w:pPr>
        <w:rPr>
          <w:lang w:val="en-GB"/>
        </w:rPr>
      </w:pPr>
    </w:p>
    <w:p w14:paraId="2CD3051D" w14:textId="77777777" w:rsidR="00AC5114" w:rsidRPr="00CA3853" w:rsidRDefault="00AC5114" w:rsidP="00454EBC">
      <w:pPr>
        <w:rPr>
          <w:lang w:val="en-GB"/>
        </w:rPr>
        <w:sectPr w:rsidR="00AC5114" w:rsidRPr="00CA3853" w:rsidSect="00653E7D">
          <w:headerReference w:type="even" r:id="rId14"/>
          <w:headerReference w:type="default" r:id="rId15"/>
          <w:footerReference w:type="default" r:id="rId16"/>
          <w:headerReference w:type="first" r:id="rId17"/>
          <w:pgSz w:w="11907" w:h="16839" w:code="9"/>
          <w:pgMar w:top="5670" w:right="1418" w:bottom="1418" w:left="1418" w:header="709" w:footer="709" w:gutter="0"/>
          <w:cols w:space="720"/>
          <w:docGrid w:linePitch="360"/>
        </w:sectPr>
      </w:pPr>
    </w:p>
    <w:p w14:paraId="075834E6" w14:textId="77777777" w:rsidR="005247BD" w:rsidRPr="004E5902" w:rsidRDefault="005247BD" w:rsidP="00454EBC">
      <w:pPr>
        <w:pStyle w:val="Heading1"/>
        <w:rPr>
          <w:b/>
          <w:bCs/>
        </w:rPr>
      </w:pPr>
      <w:r>
        <w:rPr>
          <w:b/>
        </w:rPr>
        <w:lastRenderedPageBreak/>
        <w:t>Σύνοψη</w:t>
      </w:r>
    </w:p>
    <w:p w14:paraId="5DF2176C" w14:textId="77777777" w:rsidR="005247BD" w:rsidRPr="004E5902" w:rsidRDefault="005247BD" w:rsidP="00454EBC">
      <w:pPr>
        <w:rPr>
          <w:lang w:val="en-GB"/>
        </w:rPr>
      </w:pPr>
    </w:p>
    <w:p w14:paraId="2B796918" w14:textId="77777777" w:rsidR="005247BD" w:rsidRPr="004E5902" w:rsidRDefault="005247BD" w:rsidP="00454EBC">
      <w:pPr>
        <w:pStyle w:val="Heading2"/>
      </w:pPr>
      <w:r>
        <w:t>Ο υβριδικός πόλεμος κατά της δημοκρατίας στην Ανατολική Ευρώπη εκτείνεται πέραν των στρατιωτικών δράσεων και περιλαμβάνει εξελιγμένες εκστρατείες παραπληροφόρησης που αποσκοπούν στην υπονόμευση της εμπιστοσύνης στους δημοκρατικούς θεσμούς. Οι εκστρατείες αυτές εκμεταλλεύονται τον κοινωνικό διχασμό, στοχεύοντας σε ευάλωτους πληθυσμούς με εξατομικευμένα αφηγήματα που ενσταλάζουν φόβο και αβεβαιότητα. Ο ρόλος των μέσων κοινωνικής δικτύωσης και των αλγορίθμων της τεχνητής νοημοσύνης (ΤΝ) είναι ζωτικής σημασίας, καθώς μπορούν να στηρίξουν, αλλά και να αποδυναμώσουν τους δημοκρατικούς κανόνες. Η παρούσα έκθεση τονίζει την επείγουσα ανάγκη για ολοκληρωμένες απαντήσεις για να αντιμετωπιστούν επιτυχώς αυτές οι απειλές, με την υποστήριξη της διεθνούς συνεργασίας για ενίσχυση της δημοκρατικής ακεραιότητας και την ενδυνάμωση των πολιτών ώστε να διακρίνουν τις αξιόπιστες πληροφορίες σε ένα σύνθετο ψηφιακό τοπίο.</w:t>
      </w:r>
    </w:p>
    <w:p w14:paraId="6BC195E8" w14:textId="77777777" w:rsidR="005247BD" w:rsidRPr="004E5902" w:rsidRDefault="005247BD" w:rsidP="00454EBC">
      <w:pPr>
        <w:rPr>
          <w:lang w:val="en-GB"/>
        </w:rPr>
      </w:pPr>
    </w:p>
    <w:p w14:paraId="7CA0DD76" w14:textId="77777777" w:rsidR="005247BD" w:rsidRPr="004E5902" w:rsidRDefault="005247BD" w:rsidP="00454EBC">
      <w:pPr>
        <w:pStyle w:val="Heading2"/>
      </w:pPr>
      <w:r>
        <w:t xml:space="preserve">Οι πλατφόρμες των μέσων κοινωνικής δικτύωσης και οι αλγόριθμοι της ΤΝ συντείνουν σήμερα αποφασιστικά στη διαμόρφωση του δημόσιου διαλόγου και των πληροφοριών με τις οποίες οι Ευρωπαίοι έρχονται σε επαφή, ενισχύοντας συχνά το </w:t>
      </w:r>
      <w:proofErr w:type="spellStart"/>
      <w:r>
        <w:t>εντυπωσιοθηρικό</w:t>
      </w:r>
      <w:proofErr w:type="spellEnd"/>
      <w:r>
        <w:t xml:space="preserve"> ή διχαστικό περιεχόμενο εις βάρος της υψηλής ποιότητας δημοσιογραφίας. Δίνοντας προτεραιότητα στη συμμετοχή έναντι της ακρίβειας, ο σχεδιασμός τους τείνει να υποβαθμίζει τις ανεξάρτητες φωνές —ιδίως από την Ανατολική Ευρώπη— ενώ το πολωτικό περιεχόμενο ευδοκιμεί. Η παρούσα έκθεση εξετάζει τον τρόπο με τον οποίο οι παράγοντες αυτοί, παράλληλα με τις εξωτερικές παρεμβάσεις, στρεβλώνουν τις πληροφορίες σχετικά με την Ανατολική Ευρώπη και διερευνά τις πιθανές απαντήσεις πολιτικής.</w:t>
      </w:r>
    </w:p>
    <w:p w14:paraId="425D058F" w14:textId="77777777" w:rsidR="005247BD" w:rsidRPr="004E5902" w:rsidRDefault="005247BD" w:rsidP="00454EBC">
      <w:pPr>
        <w:pStyle w:val="Heading2"/>
        <w:numPr>
          <w:ilvl w:val="0"/>
          <w:numId w:val="0"/>
        </w:numPr>
        <w:rPr>
          <w:lang w:val="en-GB"/>
        </w:rPr>
      </w:pPr>
    </w:p>
    <w:p w14:paraId="05AB0503" w14:textId="77777777" w:rsidR="005247BD" w:rsidRPr="004E5902" w:rsidRDefault="005247BD" w:rsidP="00454EBC">
      <w:pPr>
        <w:pStyle w:val="Heading2"/>
      </w:pPr>
      <w:r>
        <w:t xml:space="preserve">Ο χώρος της πληροφόρησης στην Κεντρική και Ανατολική Ευρώπη είναι ιδιαίτερα ευάλωτος. Η παραπληροφόρηση —που προέρχεται κυρίως από τη Ρωσία, αλλά όλο και περισσότερο από και την Κίνα— είναι προσαρμοσμένη στις τοπικές γλώσσες και το τοπικό περιεχόμενο, εκμεταλλευόμενη τις εντάσεις και την κυριαρχία του </w:t>
      </w:r>
      <w:proofErr w:type="spellStart"/>
      <w:r>
        <w:t>ρωσόγλωσσου</w:t>
      </w:r>
      <w:proofErr w:type="spellEnd"/>
      <w:r>
        <w:t xml:space="preserve"> περιεχομένου. Οι αλλαγές αλγορίθμων, οι οποίες συχνά αντικατοπτρίζουν τις ιδεολογίες των ιδιοκτητών, μπορούν επίσης να προκαλέσουν βλάβη. </w:t>
      </w:r>
    </w:p>
    <w:p w14:paraId="0CEBF133" w14:textId="77777777" w:rsidR="005247BD" w:rsidRPr="00CA3853" w:rsidRDefault="005247BD" w:rsidP="00454EBC">
      <w:pPr>
        <w:pStyle w:val="ListParagraph"/>
        <w:ind w:left="0"/>
      </w:pPr>
    </w:p>
    <w:p w14:paraId="5290F257" w14:textId="77777777" w:rsidR="005247BD" w:rsidRPr="004E5902" w:rsidRDefault="005247BD" w:rsidP="00454EBC">
      <w:pPr>
        <w:pStyle w:val="Heading2"/>
      </w:pPr>
      <w:r>
        <w:t xml:space="preserve">Ενώ οι περισσότερες γειτονικές χώρες της ΕΕ — και ορισμένα κράτη μέλη— έρχονται αντιμέτωπες με αυτά τα ζητήματα, η παρούσα έκθεση επικεντρώνεται στην Ανατολική Ευρώπη λόγω της στρατηγικής σημασίας της και της αυξημένης έκθεσής της σε χειραγώγηση από το εξωτερικό. Τα </w:t>
      </w:r>
      <w:proofErr w:type="spellStart"/>
      <w:r>
        <w:t>ρωσόγλωσσα</w:t>
      </w:r>
      <w:proofErr w:type="spellEnd"/>
      <w:r>
        <w:t xml:space="preserve"> αφηγήματα κυριαρχούν στους ψηφιακούς χώρους, ενώ οι ανεξάρτητες φωνές είναι περιθωριοποιημένες. Δημοφιλείς πλατφόρμες όπως το </w:t>
      </w:r>
      <w:proofErr w:type="spellStart"/>
      <w:r>
        <w:t>Telegram</w:t>
      </w:r>
      <w:proofErr w:type="spellEnd"/>
      <w:r>
        <w:t xml:space="preserve"> και το </w:t>
      </w:r>
      <w:proofErr w:type="spellStart"/>
      <w:r>
        <w:t>VKontakte</w:t>
      </w:r>
      <w:proofErr w:type="spellEnd"/>
      <w:r>
        <w:t xml:space="preserve"> </w:t>
      </w:r>
      <w:hyperlink r:id="rId18">
        <w:r>
          <w:rPr>
            <w:color w:val="1155CC"/>
            <w:u w:val="single"/>
          </w:rPr>
          <w:t>δεν εμπίπτουν στη νομοθεσ</w:t>
        </w:r>
        <w:r>
          <w:rPr>
            <w:color w:val="1155CC"/>
            <w:u w:val="single"/>
          </w:rPr>
          <w:t>ί</w:t>
        </w:r>
        <w:r>
          <w:rPr>
            <w:color w:val="1155CC"/>
            <w:u w:val="single"/>
          </w:rPr>
          <w:t>α της ΕΕ</w:t>
        </w:r>
      </w:hyperlink>
      <w:r>
        <w:t xml:space="preserve">, αποτελώντας τυφλά σημεία. Η ανεπαρκής επιβολή των οικείων κανόνων και τα περιορισμένα πρόστιμα συνεπάγονται το χαμηλό επίπεδο συμμόρφωσης των </w:t>
      </w:r>
      <w:proofErr w:type="spellStart"/>
      <w:r>
        <w:t>πλατφορμών</w:t>
      </w:r>
      <w:proofErr w:type="spellEnd"/>
      <w:r>
        <w:t xml:space="preserve"> με τις κανονιστικές ρυθμίσεις. Αυτά τα ρυθμιστικά κενά απαιτούν δράση με ειδικούς αποδέκτες για τη διασφάλιση της πολυφωνίας των ΜΜΕ και της ανθεκτικότητας της δημοκρατίας.</w:t>
      </w:r>
    </w:p>
    <w:p w14:paraId="1DADD204" w14:textId="77777777" w:rsidR="005247BD" w:rsidRPr="00CA3853" w:rsidRDefault="005247BD" w:rsidP="00454EBC">
      <w:pPr>
        <w:pStyle w:val="ListParagraph"/>
        <w:ind w:left="0"/>
      </w:pPr>
    </w:p>
    <w:p w14:paraId="305EB833" w14:textId="77777777" w:rsidR="005247BD" w:rsidRPr="004E5902" w:rsidRDefault="005247BD" w:rsidP="00454EBC">
      <w:pPr>
        <w:pStyle w:val="Heading2"/>
      </w:pPr>
      <w:r>
        <w:t xml:space="preserve">Η Λευκορωσία αποτελεί χαρακτηριστικό παράδειγμα αυτών των προβλημάτων. Με τον συνδυασμό της καταστολής, της ψηφιακής περιθωριοποίησης και η αλγοριθμική παραμέληση φιμώνονται οι αντιφρονούντες, ενισχύεται η προπαγάνδα και διαμορφώνεται, εν τέλει, η αντίληψη περί ΕΕ. Παρόμοια δυναμική υπάρχει σε όλες τις χώρες της Κεντρικής και </w:t>
      </w:r>
      <w:r>
        <w:lastRenderedPageBreak/>
        <w:t xml:space="preserve">Ανατολικής Ευρώπης, όπου οι πλατφόρμες συχνά δεν διαθέτουν τοπικές πολιτικές και τα εργαλεία ΤΝ εκπαιδεύονται με αναξιόπιστες πηγές πληροφόρησης. Υπηρεσίες όπως η </w:t>
      </w:r>
      <w:proofErr w:type="spellStart"/>
      <w:r>
        <w:t>Telegram</w:t>
      </w:r>
      <w:proofErr w:type="spellEnd"/>
      <w:r>
        <w:t xml:space="preserve"> </w:t>
      </w:r>
      <w:proofErr w:type="spellStart"/>
      <w:r>
        <w:t>εκφεύγουν</w:t>
      </w:r>
      <w:proofErr w:type="spellEnd"/>
      <w:r>
        <w:t xml:space="preserve"> της εποπτείας της ΕΕ.</w:t>
      </w:r>
    </w:p>
    <w:p w14:paraId="3CCD40B6" w14:textId="77777777" w:rsidR="005247BD" w:rsidRPr="00CA3853" w:rsidRDefault="005247BD" w:rsidP="00454EBC">
      <w:pPr>
        <w:pStyle w:val="ListParagraph"/>
        <w:ind w:left="0"/>
      </w:pPr>
    </w:p>
    <w:p w14:paraId="29386B32" w14:textId="77777777" w:rsidR="005247BD" w:rsidRPr="004E5902" w:rsidRDefault="005247BD" w:rsidP="00454EBC">
      <w:pPr>
        <w:pStyle w:val="Heading2"/>
      </w:pPr>
      <w:r>
        <w:t>Ενώ μέσα όπως η Πράξη για τις ψηφιακές υπηρεσίες, ο Κανονισμός για την τεχνητή νοημοσύνη και ο Ευρωπαϊκός κανονισμός για την ελευθερία των ΜΜΕ αποσκοπούν στην ενίσχυση της διαφάνειας και της λογοδοσίας, η επιβολή των διατάξεών τους είναι άνιση και εξακολουθούν να υπάρχουν κενά. Οι γλωσσικές και αφηγηματικές προκαταλήψεις —για παράδειγμα η συνεχιζόμενη χρήση όρων όπως «</w:t>
      </w:r>
      <w:proofErr w:type="spellStart"/>
      <w:r>
        <w:t>μετασοβιετικός</w:t>
      </w:r>
      <w:proofErr w:type="spellEnd"/>
      <w:r>
        <w:t>»— στρεβλώνουν περαιτέρω τις διαφορετικές ταυτότητες και ιστορίες.</w:t>
      </w:r>
    </w:p>
    <w:p w14:paraId="74753846" w14:textId="77777777" w:rsidR="005247BD" w:rsidRPr="00CA3853" w:rsidRDefault="005247BD" w:rsidP="00454EBC">
      <w:pPr>
        <w:pStyle w:val="ListParagraph"/>
        <w:ind w:left="0"/>
      </w:pPr>
    </w:p>
    <w:p w14:paraId="4FFCD0D6" w14:textId="77777777" w:rsidR="005247BD" w:rsidRPr="004E5902" w:rsidRDefault="005247BD" w:rsidP="00454EBC">
      <w:pPr>
        <w:pStyle w:val="Heading2"/>
      </w:pPr>
      <w:r>
        <w:t xml:space="preserve">Η παρούσα έκθεση υποστηρίζει την ανάπτυξη πλαισίων που διασφαλίζουν την προβολή υψηλής ποιότητας περιεχομένου από την Ανατολική Ευρώπη το οποίο έχει ρίζες σε τοπικό επίπεδο. Τάσσεται υπέρ της ενίσχυσης του </w:t>
      </w:r>
      <w:proofErr w:type="spellStart"/>
      <w:r>
        <w:t>γραμματισμού</w:t>
      </w:r>
      <w:proofErr w:type="spellEnd"/>
      <w:r>
        <w:t xml:space="preserve"> στα μέσα επικοινωνίας, της αλγοριθμικής λογοδοσίας και της διασυνοριακής συνεργασίας για την αντιμετώπιση της παραπληροφόρησης και την προάσπιση των δημοκρατικών αξιών. Η τελική έκδοση της έκθεσης θα υποβληθεί στην Ευρωπαϊκή Επιτροπή, στο Ευρωπαϊκό Κοινοβούλιο και σε βασικά ενδιαφερόμενα μέρη για να τροφοδοτήσει τον σχεδιασμό της πολιτικής για τις ψηφιακές πλατφόρμες και την ακεραιότητα των ΜΜΕ.</w:t>
      </w:r>
    </w:p>
    <w:p w14:paraId="30E481E0" w14:textId="77777777" w:rsidR="005247BD" w:rsidRPr="004E5902" w:rsidRDefault="005247BD" w:rsidP="00454EBC">
      <w:pPr>
        <w:pStyle w:val="Heading2"/>
        <w:numPr>
          <w:ilvl w:val="0"/>
          <w:numId w:val="0"/>
        </w:numPr>
        <w:rPr>
          <w:lang w:val="en-GB"/>
        </w:rPr>
      </w:pPr>
    </w:p>
    <w:p w14:paraId="495749F0" w14:textId="77777777" w:rsidR="005247BD" w:rsidRPr="004E5902" w:rsidRDefault="005247BD" w:rsidP="00454EBC">
      <w:pPr>
        <w:pStyle w:val="Heading1"/>
        <w:keepNext/>
        <w:rPr>
          <w:b/>
          <w:bCs/>
        </w:rPr>
      </w:pPr>
      <w:r>
        <w:rPr>
          <w:b/>
        </w:rPr>
        <w:t>Ο ρόλος των αλγορίθμων ΤΝ και των μέσων κοινωνικής δικτύωσης στη διαμόρφωση της προβολής περιεχομένου</w:t>
      </w:r>
    </w:p>
    <w:p w14:paraId="34BC54AE" w14:textId="77777777" w:rsidR="005247BD" w:rsidRPr="004E5902" w:rsidRDefault="005247BD" w:rsidP="00454EBC">
      <w:pPr>
        <w:keepNext/>
        <w:rPr>
          <w:lang w:val="en-GB"/>
        </w:rPr>
      </w:pPr>
    </w:p>
    <w:p w14:paraId="38095E8B" w14:textId="77777777" w:rsidR="005247BD" w:rsidRPr="004E5902" w:rsidRDefault="005247BD" w:rsidP="00454EBC">
      <w:pPr>
        <w:pStyle w:val="Heading2"/>
      </w:pPr>
      <w:r>
        <w:t>Τα μέσα κοινωνικής δικτύωσης και οι ψηφιακές πλατφόρμες χρησιμοποιούν αλγόριθμους που βασίζονται στην ΤΝ για τον προσδιορισμό του περιεχομένου που βλέπουν οι χρήστες, βασιζόμενοι σε δείκτες μέτρησης συμμετοχής, όπως οι επισημάνσεις «μου αρέσει» (</w:t>
      </w:r>
      <w:proofErr w:type="spellStart"/>
      <w:r>
        <w:t>likes</w:t>
      </w:r>
      <w:proofErr w:type="spellEnd"/>
      <w:r>
        <w:t>), οι κοινοποιήσεις (</w:t>
      </w:r>
      <w:proofErr w:type="spellStart"/>
      <w:r>
        <w:t>shares</w:t>
      </w:r>
      <w:proofErr w:type="spellEnd"/>
      <w:r>
        <w:t xml:space="preserve">) και ο χρόνος παρακολούθησης. Τεχνικές όπως το συνεργατικό φιλτράρισμα, η επεξεργασία φυσικής γλώσσας και η ενίσχυση της μάθησης επιτρέπουν στα συστήματα αυτά να προβλέπουν και να μεγιστοποιούν την αλληλεπίδραση των χρηστών, συχνά όμως εις βάρος της ακρίβειας και της ποικιλομορφίας. Ως εκ τούτου, συχνά δίνεται προτεραιότητα στο </w:t>
      </w:r>
      <w:proofErr w:type="spellStart"/>
      <w:r>
        <w:t>εντυπωσιοθηρικό</w:t>
      </w:r>
      <w:proofErr w:type="spellEnd"/>
      <w:r>
        <w:t xml:space="preserve"> ή πολωτικό περιεχόμενο, ενισχύοντας τα στερεότυπα και δημιουργώντας φυσαλίδες φίλτρων. </w:t>
      </w:r>
    </w:p>
    <w:p w14:paraId="5A7CD156" w14:textId="77777777" w:rsidR="005247BD" w:rsidRPr="00CA3853" w:rsidRDefault="005247BD" w:rsidP="00454EBC">
      <w:pPr>
        <w:pStyle w:val="ListParagraph"/>
        <w:ind w:left="0"/>
        <w:rPr>
          <w:b/>
          <w:bCs/>
        </w:rPr>
      </w:pPr>
    </w:p>
    <w:p w14:paraId="0177BE17" w14:textId="77777777" w:rsidR="005247BD" w:rsidRPr="004E5902" w:rsidRDefault="005247BD" w:rsidP="00454EBC">
      <w:pPr>
        <w:pStyle w:val="Heading2"/>
      </w:pPr>
      <w:r>
        <w:t xml:space="preserve">Οι αλγόριθμοι σε πλατφόρμες όπως το </w:t>
      </w:r>
      <w:proofErr w:type="spellStart"/>
      <w:r>
        <w:t>YouTube</w:t>
      </w:r>
      <w:proofErr w:type="spellEnd"/>
      <w:r>
        <w:t xml:space="preserve">, το Facebook, το </w:t>
      </w:r>
      <w:proofErr w:type="spellStart"/>
      <w:r>
        <w:t>TikTok</w:t>
      </w:r>
      <w:proofErr w:type="spellEnd"/>
      <w:r>
        <w:t xml:space="preserve">, το X και το </w:t>
      </w:r>
      <w:proofErr w:type="spellStart"/>
      <w:r>
        <w:t>Telegram</w:t>
      </w:r>
      <w:proofErr w:type="spellEnd"/>
      <w:r>
        <w:t xml:space="preserve"> ευνοούν συστηματικά περιεχόμενο που προκαλεί αντιδράσεις —συχνά </w:t>
      </w:r>
      <w:proofErr w:type="spellStart"/>
      <w:r>
        <w:t>εντυπωσιοθηρικό</w:t>
      </w:r>
      <w:proofErr w:type="spellEnd"/>
      <w:r>
        <w:t xml:space="preserve"> ή πολωτικό— ενώ υποβαθμίζουν τις διαφοροποιημένες, τεκμηριωμένες αναφορές. Η δυναμική αυτή επιτρέπει τόσο στην οργανική όσο και στην ενορχηστρωμένη δέσμευση να στρεβλώσουν την κατανόηση του κοινού, να βαθύνουν τα διάφορα χάσματα και να παρακάμψουν την ανεξάρτητη δημοσιογραφία και τις τοπικές φωνές.</w:t>
      </w:r>
    </w:p>
    <w:p w14:paraId="69C436C5" w14:textId="77777777" w:rsidR="005247BD" w:rsidRPr="004E5902" w:rsidRDefault="005247BD" w:rsidP="00454EBC">
      <w:pPr>
        <w:rPr>
          <w:lang w:val="en-GB"/>
        </w:rPr>
      </w:pPr>
    </w:p>
    <w:p w14:paraId="2776092C" w14:textId="2F8008C0" w:rsidR="005247BD" w:rsidRPr="004E5902" w:rsidRDefault="005247BD" w:rsidP="00454EBC">
      <w:pPr>
        <w:pStyle w:val="Heading2"/>
      </w:pPr>
      <w:r>
        <w:t xml:space="preserve">Τα τρωτά αυτά σημεία αξιοποιούνται ενεργά από εκστρατείες χειραγώγησης των πληροφοριών και παρεμβάσεων από το εξωτερικό, ιδίως από τη Ρωσία και την Κίνα. Τέτοιες λειτουργίες αναπτύσσονται από συντονισμένα δίκτυα από </w:t>
      </w:r>
      <w:proofErr w:type="spellStart"/>
      <w:r>
        <w:t>bots</w:t>
      </w:r>
      <w:proofErr w:type="spellEnd"/>
      <w:r>
        <w:t xml:space="preserve"> (διαδικτυακά ρομπότ), ψευδείς λογαριασμούς και αμειβόμενους παράγοντες επιρροής με σκοπό την προώθηση διχαστικών αφηγημάτων, συχνά σε τοπικές γλώσσες και προσαρμοσμένων στα ειδικά χαρακτηριστικά της πλατφόρμας. Το 2024 η Ευρωπαϊκή Υπηρεσία Εξωτερικής Δράσης (ΕΥΕΔ) </w:t>
      </w:r>
      <w:hyperlink r:id="rId19" w:history="1">
        <w:r>
          <w:rPr>
            <w:rStyle w:val="Hyperlink"/>
          </w:rPr>
          <w:t>κατέγ</w:t>
        </w:r>
        <w:r>
          <w:rPr>
            <w:rStyle w:val="Hyperlink"/>
          </w:rPr>
          <w:t>ρ</w:t>
        </w:r>
        <w:r>
          <w:rPr>
            <w:rStyle w:val="Hyperlink"/>
          </w:rPr>
          <w:t>αψε</w:t>
        </w:r>
      </w:hyperlink>
      <w:r>
        <w:t xml:space="preserve"> </w:t>
      </w:r>
      <w:r>
        <w:lastRenderedPageBreak/>
        <w:t>505</w:t>
      </w:r>
      <w:r w:rsidR="006602AB">
        <w:rPr>
          <w:lang w:val="en-GB"/>
        </w:rPr>
        <w:t> </w:t>
      </w:r>
      <w:r>
        <w:t>περιστατικά FIMI στα οποία συμμετείχαν 38 000 δίαυλοι σε 25 πλατφόρμες, με βασικούς στόχους λόγου χάρη τα θεσμικά όργανα της ΕΕ, τα κράτη μέλη και τις γειτονικές χώρες.</w:t>
      </w:r>
    </w:p>
    <w:p w14:paraId="764AA79C" w14:textId="77777777" w:rsidR="005247BD" w:rsidRPr="00CA3853" w:rsidRDefault="005247BD" w:rsidP="00454EBC">
      <w:pPr>
        <w:pStyle w:val="ListParagraph"/>
        <w:ind w:left="0"/>
      </w:pPr>
    </w:p>
    <w:p w14:paraId="290D0894" w14:textId="77777777" w:rsidR="005247BD" w:rsidRPr="004E5902" w:rsidRDefault="005247BD" w:rsidP="00454EBC">
      <w:pPr>
        <w:pStyle w:val="Heading2"/>
      </w:pPr>
      <w:r>
        <w:t xml:space="preserve">Τα επιχειρηματικά μοντέλα πλατφόρμας παρέχουν περαιτέρω </w:t>
      </w:r>
      <w:hyperlink r:id="rId20" w:history="1">
        <w:r>
          <w:rPr>
            <w:rStyle w:val="Hyperlink"/>
          </w:rPr>
          <w:t>κίνητρα για παρ</w:t>
        </w:r>
        <w:r>
          <w:rPr>
            <w:rStyle w:val="Hyperlink"/>
          </w:rPr>
          <w:t>α</w:t>
        </w:r>
        <w:r>
          <w:rPr>
            <w:rStyle w:val="Hyperlink"/>
          </w:rPr>
          <w:t>πληροφόρηση</w:t>
        </w:r>
      </w:hyperlink>
      <w:r>
        <w:t>. Η χρηματική αποτίμηση μέσω αμειβόμενων διαφημίσεων και εκστρατειών επηρεασμού δημιουργεί ελάχιστα κίνητρα για την αφαίρεση ή την υποβάθμιση του παραπλανητικού περιεχομένου, ιδίως όταν οι διαφημίσεις αυτές φθάνουν σε δεκάδες εκατομμύρια άτομα, όπως διαπιστώθηκε στις εκλογές της ΕΕ του 2024. </w:t>
      </w:r>
    </w:p>
    <w:p w14:paraId="740EE7CF" w14:textId="77777777" w:rsidR="005247BD" w:rsidRPr="00CA3853" w:rsidRDefault="005247BD" w:rsidP="00454EBC">
      <w:pPr>
        <w:pStyle w:val="ListParagraph"/>
        <w:ind w:left="0"/>
      </w:pPr>
    </w:p>
    <w:p w14:paraId="7ADFEC6D" w14:textId="77777777" w:rsidR="005247BD" w:rsidRPr="004E5902" w:rsidRDefault="009839F5" w:rsidP="00454EBC">
      <w:pPr>
        <w:pStyle w:val="Heading2"/>
      </w:pPr>
      <w:hyperlink r:id="rId21" w:history="1">
        <w:r w:rsidR="00CA3853">
          <w:rPr>
            <w:rStyle w:val="Hyperlink"/>
          </w:rPr>
          <w:t>Πρόσφατα στοιχεία του 202</w:t>
        </w:r>
        <w:r w:rsidR="00CA3853">
          <w:rPr>
            <w:rStyle w:val="Hyperlink"/>
          </w:rPr>
          <w:t>4</w:t>
        </w:r>
        <w:r w:rsidR="00CA3853">
          <w:rPr>
            <w:rStyle w:val="Hyperlink"/>
          </w:rPr>
          <w:t xml:space="preserve"> καταδεικνύουν</w:t>
        </w:r>
      </w:hyperlink>
      <w:r w:rsidR="00CA3853">
        <w:t xml:space="preserve"> ότι οι περισσότερες μεγάλες πλατφόρμες —συμπεριλαμβανομένων των Facebook, </w:t>
      </w:r>
      <w:proofErr w:type="spellStart"/>
      <w:r w:rsidR="00CA3853">
        <w:t>Instagram</w:t>
      </w:r>
      <w:proofErr w:type="spellEnd"/>
      <w:r w:rsidR="00CA3853">
        <w:t xml:space="preserve">, </w:t>
      </w:r>
      <w:proofErr w:type="spellStart"/>
      <w:r w:rsidR="00CA3853">
        <w:t>TikTok</w:t>
      </w:r>
      <w:proofErr w:type="spellEnd"/>
      <w:r w:rsidR="00CA3853">
        <w:t xml:space="preserve">, </w:t>
      </w:r>
      <w:proofErr w:type="spellStart"/>
      <w:r w:rsidR="00CA3853">
        <w:t>YouTube</w:t>
      </w:r>
      <w:proofErr w:type="spellEnd"/>
      <w:r w:rsidR="00CA3853">
        <w:t xml:space="preserve">, X (πρώην Twitter) και </w:t>
      </w:r>
      <w:proofErr w:type="spellStart"/>
      <w:r w:rsidR="00CA3853">
        <w:t>VKontakte</w:t>
      </w:r>
      <w:proofErr w:type="spellEnd"/>
      <w:r w:rsidR="00CA3853">
        <w:t>— παραμένουν αργές και σε μεγάλο βαθμό αναποτελεσματικές όσον αφορά την αφαίρεση ψευδών λογαριασμών και μη γνήσιων δραστηριοτήτων. Ακόμη και μετά την καταγγελία, η συντριπτική πλειονότητα των δραστηριοτήτων χειραγώγησης παραμένει στο διαδίκτυο για εβδομάδες, με μικρές μόνο βελτιώσεις από το 2022.</w:t>
      </w:r>
    </w:p>
    <w:p w14:paraId="7B7E1817" w14:textId="77777777" w:rsidR="005247BD" w:rsidRPr="00CA3853" w:rsidRDefault="005247BD" w:rsidP="00454EBC">
      <w:pPr>
        <w:pStyle w:val="ListParagraph"/>
        <w:ind w:left="0"/>
      </w:pPr>
    </w:p>
    <w:p w14:paraId="2F6F2C5B" w14:textId="77777777" w:rsidR="005247BD" w:rsidRPr="004E5902" w:rsidRDefault="005247BD" w:rsidP="00454EBC">
      <w:pPr>
        <w:pStyle w:val="Heading1"/>
        <w:keepNext/>
        <w:rPr>
          <w:b/>
          <w:bCs/>
        </w:rPr>
      </w:pPr>
      <w:r>
        <w:rPr>
          <w:b/>
        </w:rPr>
        <w:t>Εξωτερική χειραγώγηση: Κλίμακα, τακτικές και κενά στις πλατφόρμες</w:t>
      </w:r>
    </w:p>
    <w:p w14:paraId="57057E97" w14:textId="77777777" w:rsidR="005247BD" w:rsidRPr="004E5902" w:rsidRDefault="005247BD" w:rsidP="00454EBC">
      <w:pPr>
        <w:keepNext/>
        <w:rPr>
          <w:lang w:val="en-GB"/>
        </w:rPr>
      </w:pPr>
    </w:p>
    <w:p w14:paraId="08D65767" w14:textId="77777777" w:rsidR="005247BD" w:rsidRPr="004E5902" w:rsidRDefault="005247BD" w:rsidP="00454EBC">
      <w:pPr>
        <w:pStyle w:val="Heading2"/>
      </w:pPr>
      <w:r>
        <w:t xml:space="preserve">Τα περιστατικά χειραγώγησης πληροφοριών και παρεμβάσεων από το εξωτερικό είναι μια ταχέως κλιμακούμενη απειλή στην Ευρώπη, ειδικά στην Κεντρική και Ανατολική Ευρώπη: η Ουκρανία είναι η μόνη χώρα που </w:t>
      </w:r>
      <w:hyperlink r:id="rId22" w:history="1">
        <w:r>
          <w:rPr>
            <w:rStyle w:val="Hyperlink"/>
          </w:rPr>
          <w:t>αποτελε</w:t>
        </w:r>
        <w:r>
          <w:rPr>
            <w:rStyle w:val="Hyperlink"/>
          </w:rPr>
          <w:t>ί</w:t>
        </w:r>
        <w:r>
          <w:rPr>
            <w:rStyle w:val="Hyperlink"/>
          </w:rPr>
          <w:t xml:space="preserve"> στόχο</w:t>
        </w:r>
      </w:hyperlink>
      <w:r>
        <w:t xml:space="preserve"> ως επί το </w:t>
      </w:r>
      <w:proofErr w:type="spellStart"/>
      <w:r>
        <w:t>πλείστον</w:t>
      </w:r>
      <w:proofErr w:type="spellEnd"/>
      <w:r>
        <w:t>, συγκεντρώνοντας σχεδόν τα μισά περιστατικά τόσο το 2023 όσο και το 2024. Η ρωσική υποδομή για περιστατικά χειραγώγησης πληροφοριών και παρεμβάσεων από το εξωτερικό προσαρμόζει τα μηνύματά της σε διαφορετικό κοινό: αφενός για να διαβρώσει την αντίσταση εντός της Ουκρανίας, και αφετέρου για να υπονομεύσει τη στήριξη προς την Ουκρανία μεταξύ των δυτικών συμμάχων, με έμφαση στη Γερμανία και την Πολωνία.</w:t>
      </w:r>
    </w:p>
    <w:p w14:paraId="21E3B727" w14:textId="77777777" w:rsidR="005247BD" w:rsidRPr="00CA3853" w:rsidRDefault="005247BD" w:rsidP="00454EBC">
      <w:pPr>
        <w:pStyle w:val="ListParagraph"/>
        <w:ind w:left="0"/>
        <w:rPr>
          <w:b/>
          <w:bCs/>
        </w:rPr>
      </w:pPr>
    </w:p>
    <w:p w14:paraId="37F61781" w14:textId="77777777" w:rsidR="005247BD" w:rsidRPr="004E5902" w:rsidRDefault="005247BD" w:rsidP="00454EBC">
      <w:pPr>
        <w:pStyle w:val="Heading2"/>
      </w:pPr>
      <w:r>
        <w:t xml:space="preserve">Οι παράγοντες περιστατικών χειραγώγησης πληροφοριών και παρεμβάσεων από το εξωτερικό προσαρμόζουν συχνά τις δραστηριότητές τους στο τοπικό κοινό, χρησιμοποιώντας τεχνικές τοπικής προσαρμογής περιεχομένου για τη μεγιστοποίηση της αξιοπιστίας και του αντικτύπου. Το </w:t>
      </w:r>
      <w:hyperlink r:id="rId23" w:history="1">
        <w:r>
          <w:rPr>
            <w:rStyle w:val="Hyperlink"/>
          </w:rPr>
          <w:t>20</w:t>
        </w:r>
        <w:r>
          <w:rPr>
            <w:rStyle w:val="Hyperlink"/>
          </w:rPr>
          <w:t>2</w:t>
        </w:r>
        <w:r>
          <w:rPr>
            <w:rStyle w:val="Hyperlink"/>
          </w:rPr>
          <w:t>3</w:t>
        </w:r>
      </w:hyperlink>
      <w:r>
        <w:t>, τουλάχιστον 349 τεκμηριωμένα περιστατικά περιλάμβαναν την προσαρμογή μηνυμάτων στις καταναλωτικές συνήθειες της περιοχής-στόχου, συμπεριλαμβανομένων της χρήσης τοπικών γλωσσών, αναφορών σε πολιτιστικές εκδηλώσεις και αφηγημάτων συγκεκριμένου πλαισίου.</w:t>
      </w:r>
    </w:p>
    <w:p w14:paraId="76F07C83" w14:textId="77777777" w:rsidR="005247BD" w:rsidRPr="00CA3853" w:rsidRDefault="005247BD" w:rsidP="00454EBC">
      <w:pPr>
        <w:pStyle w:val="ListParagraph"/>
        <w:ind w:left="0"/>
      </w:pPr>
    </w:p>
    <w:p w14:paraId="02E5A6D4" w14:textId="77777777" w:rsidR="005247BD" w:rsidRPr="004E5902" w:rsidRDefault="005247BD" w:rsidP="00454EBC">
      <w:pPr>
        <w:pStyle w:val="Heading2"/>
      </w:pPr>
      <w:r>
        <w:t xml:space="preserve">Η Μολδαβία αποτέλεσε σημαντικό στόχο το 2024, ιδίως την περίοδο γύρω από τις προεδρικές εκλογές και το δημοψήφισμα προσχώρησης στην ΕΕ. Οι ρωσικές μεθοδεύσεις περιλάμβαναν βίντεο </w:t>
      </w:r>
      <w:proofErr w:type="spellStart"/>
      <w:r>
        <w:t>βαθυπαραποίησης</w:t>
      </w:r>
      <w:proofErr w:type="spellEnd"/>
      <w:r>
        <w:t xml:space="preserve"> (</w:t>
      </w:r>
      <w:proofErr w:type="spellStart"/>
      <w:r>
        <w:t>deep</w:t>
      </w:r>
      <w:proofErr w:type="spellEnd"/>
      <w:r>
        <w:t xml:space="preserve"> </w:t>
      </w:r>
      <w:proofErr w:type="spellStart"/>
      <w:r>
        <w:t>fake</w:t>
      </w:r>
      <w:proofErr w:type="spellEnd"/>
      <w:r>
        <w:t xml:space="preserve">: σύνθεση ανθρώπινης εικόνας και φωνής με χρήση ΤΝ), συντονισμένες επιθέσεις κατά της προέδρου της χώρας κ. </w:t>
      </w:r>
      <w:proofErr w:type="spellStart"/>
      <w:r>
        <w:t>Maia</w:t>
      </w:r>
      <w:proofErr w:type="spellEnd"/>
      <w:r>
        <w:t xml:space="preserve"> </w:t>
      </w:r>
      <w:proofErr w:type="spellStart"/>
      <w:r>
        <w:t>Sandu</w:t>
      </w:r>
      <w:proofErr w:type="spellEnd"/>
      <w:r>
        <w:t xml:space="preserve">, καθώς και ψευδή αφηγήματα που κατέκλυσαν τα μέσα κοινωνικής δικτύωσης σχετικά με την </w:t>
      </w:r>
      <w:proofErr w:type="spellStart"/>
      <w:r>
        <w:t>Υπερδνειστερία</w:t>
      </w:r>
      <w:proofErr w:type="spellEnd"/>
      <w:r>
        <w:t xml:space="preserve"> και την εμπλοκή της Μολδαβίας στον πόλεμο της Ουκρανίας. Οι προσπάθειες αυτές συνδύασαν την ψηφιακή χειραγώγηση με τακτικές εκτός διαδικτύου, όπως η συγκεκαλυμμένη χρηματοδότηση και οι απόπειρες υποκίνησης αναταραχών, καταδεικνύοντας τον τρόπο με τον οποίο οι παράγοντες χειραγώγησης των πληροφοριών και των παρεμβάσεων από το εξωτερικό εκμεταλλεύονται τόσο τα ψηφιακά όσο και τα κοινωνικά τρωτά σημεία για να επηρεάσουν τα αποτελέσματα και να υπονομεύσουν την ολοκλήρωση της ΕΕ.</w:t>
      </w:r>
    </w:p>
    <w:p w14:paraId="3F3DC298" w14:textId="77777777" w:rsidR="005247BD" w:rsidRPr="00CA3853" w:rsidRDefault="005247BD" w:rsidP="00454EBC">
      <w:pPr>
        <w:pStyle w:val="ListParagraph"/>
        <w:ind w:left="0"/>
      </w:pPr>
    </w:p>
    <w:p w14:paraId="3F5F282C" w14:textId="77777777" w:rsidR="005247BD" w:rsidRPr="004E5902" w:rsidRDefault="005247BD" w:rsidP="00454EBC">
      <w:pPr>
        <w:pStyle w:val="Heading2"/>
      </w:pPr>
      <w:r>
        <w:t xml:space="preserve">Χαρακτηριστικό παράδειγμα αδράνειας της πλατφόρμας σημειώθηκε τον Μάιο του 2024, όταν </w:t>
      </w:r>
      <w:hyperlink r:id="rId24" w:history="1">
        <w:r>
          <w:rPr>
            <w:rStyle w:val="Hyperlink"/>
          </w:rPr>
          <w:t>οι Δημοσιογράφοι Χωρ</w:t>
        </w:r>
        <w:r>
          <w:rPr>
            <w:rStyle w:val="Hyperlink"/>
          </w:rPr>
          <w:t>ί</w:t>
        </w:r>
        <w:r>
          <w:rPr>
            <w:rStyle w:val="Hyperlink"/>
          </w:rPr>
          <w:t>ς Σύνορα υπέβαλαν καταγγελία κατά του X (πρώην Twitter)</w:t>
        </w:r>
      </w:hyperlink>
      <w:r>
        <w:t xml:space="preserve"> γιατί επέτρεψε σε ψευδείς λογαριασμούς να προβούν στην πλαστοπροσωπία ΜΜΕ και δημοσιογράφων. Οι λογαριασμοί αυτοί διαδίδουν κατασκευασμένες ειδήσεις, υπονομεύοντας την εμπιστοσύνη στη νόμιμη δημοσιογραφία, και έτσι τονίζεται η επείγουσα ανάγκη για αυστηρή επαλήθευση της ταυτότητας και για λήψη προληπτικών μέτρων κατά της πλαστοπροσωπίας, ιδίως κατά τη διάρκεια των εκλογών.</w:t>
      </w:r>
    </w:p>
    <w:p w14:paraId="4095007E" w14:textId="77777777" w:rsidR="005247BD" w:rsidRPr="00CA3853" w:rsidRDefault="005247BD" w:rsidP="00454EBC">
      <w:pPr>
        <w:pStyle w:val="ListParagraph"/>
        <w:ind w:left="0"/>
      </w:pPr>
    </w:p>
    <w:p w14:paraId="2F40B9D1" w14:textId="77777777" w:rsidR="005247BD" w:rsidRPr="004E5902" w:rsidRDefault="005247BD" w:rsidP="00454EBC">
      <w:pPr>
        <w:pStyle w:val="Heading2"/>
      </w:pPr>
      <w:r>
        <w:t xml:space="preserve">Με τη βοήθεια της χειραγώγησης πληροφοριών και των παρεμβάσεων από το εξωτερικό αξιοποιείται το διασυνδεδεμένο ψηφιακό οικοσύστημα και διαδίδεται περιεχόμενο στα X, Facebook, </w:t>
      </w:r>
      <w:proofErr w:type="spellStart"/>
      <w:r>
        <w:t>Telegram</w:t>
      </w:r>
      <w:proofErr w:type="spellEnd"/>
      <w:r>
        <w:t xml:space="preserve">, </w:t>
      </w:r>
      <w:proofErr w:type="spellStart"/>
      <w:r>
        <w:t>VKontakte</w:t>
      </w:r>
      <w:proofErr w:type="spellEnd"/>
      <w:r>
        <w:t xml:space="preserve">, </w:t>
      </w:r>
      <w:proofErr w:type="spellStart"/>
      <w:r>
        <w:t>TikTok</w:t>
      </w:r>
      <w:proofErr w:type="spellEnd"/>
      <w:r>
        <w:t xml:space="preserve">, </w:t>
      </w:r>
      <w:proofErr w:type="spellStart"/>
      <w:r>
        <w:t>YouTube</w:t>
      </w:r>
      <w:proofErr w:type="spellEnd"/>
      <w:r>
        <w:t xml:space="preserve">, καθώς και σε παραπλανητικούς </w:t>
      </w:r>
      <w:proofErr w:type="spellStart"/>
      <w:r>
        <w:t>ιστοτόπους</w:t>
      </w:r>
      <w:proofErr w:type="spellEnd"/>
      <w:r>
        <w:t xml:space="preserve">. </w:t>
      </w:r>
      <w:hyperlink r:id="rId25" w:history="1">
        <w:r>
          <w:rPr>
            <w:rStyle w:val="Hyperlink"/>
          </w:rPr>
          <w:t>Το 2024, στ</w:t>
        </w:r>
        <w:r>
          <w:rPr>
            <w:rStyle w:val="Hyperlink"/>
          </w:rPr>
          <w:t>ο</w:t>
        </w:r>
        <w:r>
          <w:rPr>
            <w:rStyle w:val="Hyperlink"/>
          </w:rPr>
          <w:t xml:space="preserve"> X αντιστοιχούσε το 88 % των </w:t>
        </w:r>
        <w:proofErr w:type="spellStart"/>
        <w:r>
          <w:rPr>
            <w:rStyle w:val="Hyperlink"/>
          </w:rPr>
          <w:t>εντοπισθέντων</w:t>
        </w:r>
        <w:proofErr w:type="spellEnd"/>
        <w:r>
          <w:rPr>
            <w:rStyle w:val="Hyperlink"/>
          </w:rPr>
          <w:t xml:space="preserve"> περιστατικών χειραγώγησης πληροφοριών και παρεμβάσεων από το εξωτερικό</w:t>
        </w:r>
      </w:hyperlink>
      <w:r>
        <w:t>. Εκστρατείες όπως η «</w:t>
      </w:r>
      <w:proofErr w:type="spellStart"/>
      <w:r>
        <w:t>Doppelgänger</w:t>
      </w:r>
      <w:proofErr w:type="spellEnd"/>
      <w:r>
        <w:t>» χρησιμοποιούν χιλιάδες τομείς του διαδικτύου και συντονισμένους λογαριασμούς για να χειραγωγήσουν αλγόριθμους και να μιμηθούν τα ειδησεογραφικά πρακτορεία, διαβρώνοντας περαιτέρω την εμπιστοσύνη στις επίσημες πηγές.</w:t>
      </w:r>
    </w:p>
    <w:p w14:paraId="61254ACF" w14:textId="77777777" w:rsidR="005247BD" w:rsidRPr="00CA3853" w:rsidRDefault="005247BD" w:rsidP="00454EBC">
      <w:pPr>
        <w:pStyle w:val="ListParagraph"/>
        <w:ind w:left="0"/>
      </w:pPr>
    </w:p>
    <w:p w14:paraId="6EB3D6C4" w14:textId="77777777" w:rsidR="005247BD" w:rsidRPr="004E5902" w:rsidRDefault="005247BD" w:rsidP="00454EBC">
      <w:pPr>
        <w:pStyle w:val="Heading2"/>
      </w:pPr>
      <w:r>
        <w:t xml:space="preserve">Η ΤΝ χρησιμοποιείται ολοένα και περισσότερο στις εκστρατείες χειραγώγησης πληροφοριών και των παρεμβάσεων από το εξωτερικό. Το 2024 η ΕΥΕΔ κατέγραψε περίπου 41 περιπτώσεις στις οποίες η ΤΝ χρησιμοποιήθηκε για τη χειραγώγηση πληροφοριών, κυρίως μέσω της δημιουργίας μη γνήσιου περιεχομένου, όπως οπτικοακουστικών προϊόντων </w:t>
      </w:r>
      <w:proofErr w:type="spellStart"/>
      <w:r>
        <w:t>βαθυπαραποίησης</w:t>
      </w:r>
      <w:proofErr w:type="spellEnd"/>
      <w:r>
        <w:t xml:space="preserve">, καθώς και μέσω μεγάλης κλίμακας αυτοματοποιημένης διάδοσης μέσω δικτύων από </w:t>
      </w:r>
      <w:proofErr w:type="spellStart"/>
      <w:r>
        <w:t>bots</w:t>
      </w:r>
      <w:proofErr w:type="spellEnd"/>
      <w:r>
        <w:t xml:space="preserve"> (διαδικτυακά ρομπότ).</w:t>
      </w:r>
    </w:p>
    <w:p w14:paraId="044308CE" w14:textId="77777777" w:rsidR="005247BD" w:rsidRPr="00CA3853" w:rsidRDefault="005247BD" w:rsidP="00454EBC">
      <w:pPr>
        <w:pStyle w:val="ListParagraph"/>
        <w:ind w:left="0"/>
      </w:pPr>
    </w:p>
    <w:p w14:paraId="1AB57405" w14:textId="77777777" w:rsidR="005247BD" w:rsidRPr="004E5902" w:rsidRDefault="005247BD" w:rsidP="00454EBC">
      <w:pPr>
        <w:pStyle w:val="Heading2"/>
      </w:pPr>
      <w:r>
        <w:t xml:space="preserve">Οι επιχειρήσεις χειραγώγησης πληροφοριών και παρεμβάσεων από το εξωτερικό είναι πολύπλοκες και αποκεντρωμένες, με </w:t>
      </w:r>
      <w:hyperlink r:id="rId26" w:history="1">
        <w:r>
          <w:rPr>
            <w:rStyle w:val="Hyperlink"/>
          </w:rPr>
          <w:t>ρωσικά</w:t>
        </w:r>
        <w:r>
          <w:rPr>
            <w:rStyle w:val="Hyperlink"/>
          </w:rPr>
          <w:t xml:space="preserve"> </w:t>
        </w:r>
        <w:r>
          <w:rPr>
            <w:rStyle w:val="Hyperlink"/>
          </w:rPr>
          <w:t>δίκτυα που λειτουργούν</w:t>
        </w:r>
      </w:hyperlink>
      <w:r>
        <w:t xml:space="preserve"> μέσω κρατικά ελεγχόμενων μέσων, διπλωματικών λογαριασμών και μιας ευρείας περιφέρειας καναλιών και καθοδηγητών γνώμης που δεν </w:t>
      </w:r>
      <w:proofErr w:type="spellStart"/>
      <w:r>
        <w:t>ταυτοποιούνται</w:t>
      </w:r>
      <w:proofErr w:type="spellEnd"/>
      <w:r>
        <w:t>. Η έκθεση της ΕΥΕΔ επισημαίνει ότι πολλά κανάλια επιρροής που εμπλέκονται σε περιστατικά χειραγώγησης πληροφοριών και παρεμβάσεων από το εξωτερικό δεν μπορούν να συνδέονται άμεσα με συγκεκριμένους παράγοντες απειλής, γεγονός που περιπλέκει σημαντικά τις προσπάθειες εντοπισμού και αντίδρασης. Αυτή η αποκεντρωμένη υποδομή επιτρέπει στους φορείς χειραγώγησης πληροφοριών και παρεμβάσεων από το εξωτερικό να αποφεύγουν την απόδοση ευθυνών και να στηρίζουν επίμονες εκστρατείες.</w:t>
      </w:r>
    </w:p>
    <w:p w14:paraId="3E30AB99" w14:textId="77777777" w:rsidR="005247BD" w:rsidRPr="004E5902" w:rsidRDefault="005247BD" w:rsidP="00454EBC">
      <w:pPr>
        <w:pStyle w:val="Heading2"/>
        <w:numPr>
          <w:ilvl w:val="0"/>
          <w:numId w:val="0"/>
        </w:numPr>
        <w:rPr>
          <w:lang w:val="en-GB"/>
        </w:rPr>
      </w:pPr>
    </w:p>
    <w:p w14:paraId="6C33E6DE" w14:textId="77777777" w:rsidR="005247BD" w:rsidRPr="004E5902" w:rsidRDefault="005247BD" w:rsidP="00454EBC">
      <w:pPr>
        <w:pStyle w:val="Heading1"/>
        <w:keepNext/>
        <w:rPr>
          <w:b/>
          <w:bCs/>
        </w:rPr>
      </w:pPr>
      <w:r>
        <w:rPr>
          <w:b/>
        </w:rPr>
        <w:t>Η Λευκορωσία ως περιπτωσιολογική μελέτη: Ψηφιακή καταστολή και αλγοριθμική περιθωριοποίηση</w:t>
      </w:r>
    </w:p>
    <w:p w14:paraId="1E2CCE22" w14:textId="77777777" w:rsidR="005247BD" w:rsidRPr="004E5902" w:rsidRDefault="005247BD" w:rsidP="00454EBC">
      <w:pPr>
        <w:keepNext/>
        <w:rPr>
          <w:lang w:val="en-GB"/>
        </w:rPr>
      </w:pPr>
    </w:p>
    <w:p w14:paraId="37ECAF04" w14:textId="77777777" w:rsidR="005247BD" w:rsidRPr="004E5902" w:rsidRDefault="005247BD" w:rsidP="00454EBC">
      <w:pPr>
        <w:pStyle w:val="Heading2"/>
      </w:pPr>
      <w:r>
        <w:t xml:space="preserve">Στην περίπτωση της Λευκορωσίας απεικονίζεται ξεκάθαρα ο τρόπος με τον οποίο η κρατική καταστολή, η αλγοριθμική μεροληψία και τα κενά πολιτικής των ψηφιακών </w:t>
      </w:r>
      <w:proofErr w:type="spellStart"/>
      <w:r>
        <w:t>πλατφορμών</w:t>
      </w:r>
      <w:proofErr w:type="spellEnd"/>
      <w:r>
        <w:t xml:space="preserve"> συνδυάζονται για την περιθωριοποίηση των ανεξάρτητων ΜΜΕ και την ενίσχυση της παραπληροφόρησης. Από το 2020 το καθεστώς της Λευκορωσίας επιδιώκει τη συστημική καταστολή της ανεξάρτητης δημοσιογραφίας, συμπεριλαμβανομένων της δίωξης και της φυλάκισης δημοσιογράφων, του αποκλεισμού ειδησεογραφικών </w:t>
      </w:r>
      <w:proofErr w:type="spellStart"/>
      <w:r>
        <w:t>ιστοτόπων</w:t>
      </w:r>
      <w:proofErr w:type="spellEnd"/>
      <w:r>
        <w:t xml:space="preserve"> και της ποινικοποίησης της κατανάλωσης ή της ανταλλαγής «εξτρεμιστικού» περιεχομένου.</w:t>
      </w:r>
    </w:p>
    <w:p w14:paraId="0E02FCEE" w14:textId="77777777" w:rsidR="005247BD" w:rsidRPr="00CA3853" w:rsidRDefault="005247BD" w:rsidP="00454EBC">
      <w:pPr>
        <w:pStyle w:val="ListParagraph"/>
        <w:ind w:left="0"/>
        <w:rPr>
          <w:b/>
          <w:bCs/>
        </w:rPr>
      </w:pPr>
    </w:p>
    <w:p w14:paraId="23ADED16" w14:textId="77777777" w:rsidR="005247BD" w:rsidRPr="004E5902" w:rsidRDefault="005247BD" w:rsidP="00454EBC">
      <w:pPr>
        <w:pStyle w:val="Heading2"/>
      </w:pPr>
      <w:r>
        <w:t xml:space="preserve">Οι ψηφιακές πλατφόρμες δεν διαθέτουν ειδικές πολιτικές για τη Λευκορωσία, με προεπιλογή για έλεγχο και αναζήτηση στη ρωσική γλώσσα. Αυτό δίνει προτεραιότητα σε κρατικά ελεγχόμενες και ρωσικές πηγές, ενώ το ανεξάρτητο και </w:t>
      </w:r>
      <w:proofErr w:type="spellStart"/>
      <w:r>
        <w:t>λευκορωσικό</w:t>
      </w:r>
      <w:proofErr w:type="spellEnd"/>
      <w:r>
        <w:t xml:space="preserve"> περιεχόμενο υποβαθμίζεται ή αποκλείεται, με αποτέλεσμα να επιταχύνεται η «</w:t>
      </w:r>
      <w:proofErr w:type="spellStart"/>
      <w:r>
        <w:t>ρωσοποίηση</w:t>
      </w:r>
      <w:proofErr w:type="spellEnd"/>
      <w:r>
        <w:t>» και να ενισχύεται η ρωσική επιρροή.</w:t>
      </w:r>
    </w:p>
    <w:p w14:paraId="626D286D" w14:textId="77777777" w:rsidR="005247BD" w:rsidRPr="00CA3853" w:rsidRDefault="005247BD" w:rsidP="00454EBC">
      <w:pPr>
        <w:pStyle w:val="ListParagraph"/>
        <w:ind w:left="0"/>
      </w:pPr>
    </w:p>
    <w:p w14:paraId="10B4C9B9" w14:textId="77777777" w:rsidR="005247BD" w:rsidRPr="004E5902" w:rsidRDefault="005247BD" w:rsidP="00454EBC">
      <w:pPr>
        <w:pStyle w:val="Heading2"/>
      </w:pPr>
      <w:r>
        <w:t xml:space="preserve">Οι αναζητήσεις για «Λευκορωσία» ή </w:t>
      </w:r>
      <w:proofErr w:type="spellStart"/>
      <w:r>
        <w:t>λευκορωσικές</w:t>
      </w:r>
      <w:proofErr w:type="spellEnd"/>
      <w:r>
        <w:t xml:space="preserve"> ειδήσεις, ακόμη και από την ΕΕ, εμφανίζουν κυρίως κρατικά ελεγχόμενα μέσα προπαγάνδας. Αυτό οφείλεται στις πλατφόρμες που αντιμετωπίζουν τη Λευκορωσία ως μέρος του ρωσικού ψηφιακού τμήματος και δεν διαθέτουν ειδική προσέγγιση για τη Λευκορωσία, με αποτέλεσμα να παρακάμπτονται ανεξάρτητες αγορές τόσο για τους χρήστες της Λευκορωσίας όσο και για τους χρήστες της ΕΕ.</w:t>
      </w:r>
    </w:p>
    <w:p w14:paraId="02AB75CF" w14:textId="77777777" w:rsidR="005247BD" w:rsidRPr="00CA3853" w:rsidRDefault="005247BD" w:rsidP="00454EBC">
      <w:pPr>
        <w:pStyle w:val="ListParagraph"/>
        <w:ind w:left="0"/>
      </w:pPr>
    </w:p>
    <w:p w14:paraId="06D33123" w14:textId="77777777" w:rsidR="005247BD" w:rsidRPr="004E5902" w:rsidRDefault="005247BD" w:rsidP="00454EBC">
      <w:pPr>
        <w:pStyle w:val="Heading2"/>
      </w:pPr>
      <w:r>
        <w:t xml:space="preserve">Στη συντριπτική τους πλειονότητα, οι πλατφόρμες τάσσονται υπέρ της Ρωσίας έναντι της Λευκορωσίας, καθιστώντας σχεδόν αδύνατο τον κατάλληλο έλεγχο, την προώθηση ή τη χρηματική αποτίμηση του περιεχομένου στη </w:t>
      </w:r>
      <w:proofErr w:type="spellStart"/>
      <w:r>
        <w:t>λευκορωσική</w:t>
      </w:r>
      <w:proofErr w:type="spellEnd"/>
      <w:r>
        <w:t xml:space="preserve"> γλώσσα. Οι δημιουργοί περιεχομένου δεν μπορούν να χρησιμοποιούν </w:t>
      </w:r>
      <w:proofErr w:type="spellStart"/>
      <w:r>
        <w:t>στοχευμένη</w:t>
      </w:r>
      <w:proofErr w:type="spellEnd"/>
      <w:r>
        <w:t xml:space="preserve"> διαφήμιση στη Λευκορωσία και ο έλεγχος συχνά αγνοεί το τοπικό πλαίσιο, υπονομεύοντας την εθνική ταυτότητα και αποθαρρύνοντας το περιεχόμενο στη </w:t>
      </w:r>
      <w:proofErr w:type="spellStart"/>
      <w:r>
        <w:t>λευκορωσική</w:t>
      </w:r>
      <w:proofErr w:type="spellEnd"/>
      <w:r>
        <w:t xml:space="preserve"> γλώσσα.</w:t>
      </w:r>
    </w:p>
    <w:p w14:paraId="6F10C243" w14:textId="77777777" w:rsidR="005247BD" w:rsidRPr="00CA3853" w:rsidRDefault="005247BD" w:rsidP="00454EBC">
      <w:pPr>
        <w:pStyle w:val="ListParagraph"/>
        <w:ind w:left="0"/>
      </w:pPr>
    </w:p>
    <w:p w14:paraId="70F97E29" w14:textId="77777777" w:rsidR="005247BD" w:rsidRPr="004E5902" w:rsidRDefault="005247BD" w:rsidP="00454EBC">
      <w:pPr>
        <w:pStyle w:val="Heading2"/>
      </w:pPr>
      <w:r>
        <w:t>Δεκάδες ανεξάρτητα ΜΜΕ αποκλείονται και χαρακτηρίζονται «εξτρεμιστικά», γεγονός που δημιουργεί ποινική ευθύνη για την ανταλλαγή του περιεχομένου τους. Τα ανεξάρτητα ΜΜΕ χρησιμοποιούν εικονικά ιδιωτικά δίκτυα (</w:t>
      </w:r>
      <w:proofErr w:type="spellStart"/>
      <w:r>
        <w:t>VPNs</w:t>
      </w:r>
      <w:proofErr w:type="spellEnd"/>
      <w:r>
        <w:t xml:space="preserve">), </w:t>
      </w:r>
      <w:proofErr w:type="spellStart"/>
      <w:r>
        <w:t>ιστότοπους</w:t>
      </w:r>
      <w:proofErr w:type="spellEnd"/>
      <w:r>
        <w:t xml:space="preserve"> καθρέφτες (</w:t>
      </w:r>
      <w:proofErr w:type="spellStart"/>
      <w:r>
        <w:t>mirror</w:t>
      </w:r>
      <w:proofErr w:type="spellEnd"/>
      <w:r>
        <w:t xml:space="preserve"> </w:t>
      </w:r>
      <w:proofErr w:type="spellStart"/>
      <w:r>
        <w:t>sites</w:t>
      </w:r>
      <w:proofErr w:type="spellEnd"/>
      <w:r>
        <w:t xml:space="preserve">), καθώς και </w:t>
      </w:r>
      <w:proofErr w:type="spellStart"/>
      <w:r>
        <w:t>προφορτωμένες</w:t>
      </w:r>
      <w:proofErr w:type="spellEnd"/>
      <w:r>
        <w:t xml:space="preserve"> σελίδες για κινητά (σελίδες AMP) για να προσεγγίσουν το κοινό, αλλά οι αποτυχημένες προσπάθειες πρόσβασης οδηγούν σε αλγοριθμική υποβάθμιση, με αποτέλεσμα οι χρήστες στη Λευκορωσία να βλέπουν κυρίως εγκεκριμένες από το κράτος πηγές, οι οποίες δεν επισημαίνονται ως τέτοιες.</w:t>
      </w:r>
    </w:p>
    <w:p w14:paraId="2E69E94D" w14:textId="77777777" w:rsidR="005247BD" w:rsidRPr="00CA3853" w:rsidRDefault="005247BD" w:rsidP="00454EBC">
      <w:pPr>
        <w:pStyle w:val="ListParagraph"/>
        <w:ind w:left="0"/>
      </w:pPr>
    </w:p>
    <w:p w14:paraId="3027F2EF" w14:textId="77777777" w:rsidR="005247BD" w:rsidRPr="004E5902" w:rsidRDefault="005247BD" w:rsidP="00454EBC">
      <w:pPr>
        <w:pStyle w:val="Heading2"/>
      </w:pPr>
      <w:r>
        <w:t xml:space="preserve">Το καθεστώς </w:t>
      </w:r>
      <w:proofErr w:type="spellStart"/>
      <w:r>
        <w:t>ποινικοποιεί</w:t>
      </w:r>
      <w:proofErr w:type="spellEnd"/>
      <w:r>
        <w:t xml:space="preserve"> όχι μόνο την παραγωγή υλικού στα ΜΜΕ, αλλά και την πρόσληψή του και τη συμμετοχή. Η ανταλλαγή ή η αλληλεπίδραση με «εξτρεμιστικό» περιεχόμενο μπορεί να οδηγήσει σε δίωξη, ενώ η έλλειψη συμμετοχής έχει ως αποτέλεσμα την αλγοριθμική υποβάθμιση της κατάταξης, με αποτέλεσμα να μειώνεται περαιτέρω η εμβέλεια και να αποθαρρύνονται τόσο οι δημιουργοί όσο και οι καταναλωτές της ανεξάρτητης δημοσιογραφίας.</w:t>
      </w:r>
    </w:p>
    <w:p w14:paraId="079F8B00" w14:textId="77777777" w:rsidR="005247BD" w:rsidRPr="00CA3853" w:rsidRDefault="005247BD" w:rsidP="00454EBC">
      <w:pPr>
        <w:pStyle w:val="ListParagraph"/>
        <w:ind w:left="0"/>
      </w:pPr>
    </w:p>
    <w:p w14:paraId="0EA4401E" w14:textId="77777777" w:rsidR="005247BD" w:rsidRPr="004E5902" w:rsidRDefault="005247BD" w:rsidP="00454EBC">
      <w:pPr>
        <w:pStyle w:val="Heading2"/>
      </w:pPr>
      <w:r>
        <w:t xml:space="preserve">Οι προσπάθειες των ανεξάρτητων ΜΜΕ και της κοινωνίας των πολιτών να συνεργαστούν με τις ψηφιακές πλατφόρμες έχουν αποφέρει περιορισμένους μόνο καρπούς ανά θέμα. Τα διαρθρωτικά προβλήματα εξακολουθούν να υφίστανται: έλλειψη τοπικών υπηρεσιών, υπερβολική συμμόρφωση με την κρατική λογοκρισία και απουσία συστηματικού διαλόγου. Οι προτάσεις περιλαμβάνουν την </w:t>
      </w:r>
      <w:proofErr w:type="spellStart"/>
      <w:r>
        <w:t>τοπικοποίηση</w:t>
      </w:r>
      <w:proofErr w:type="spellEnd"/>
      <w:r>
        <w:t xml:space="preserve"> των υπηρεσιών για τη Λευκορωσία, την ιεράρχηση των ειδήσεων της Λευκορωσίας, τη μη συμμόρφωση με τους κατασταλτικούς κανονισμούς και τη σύσταση ομάδας εργασίας με τις αρχές της ΕΕ, τις πλατφόρμες και την κοινωνία των πολιτών. </w:t>
      </w:r>
    </w:p>
    <w:p w14:paraId="4E3C6C74" w14:textId="77777777" w:rsidR="005247BD" w:rsidRPr="004E5902" w:rsidRDefault="005247BD" w:rsidP="00454EBC">
      <w:pPr>
        <w:pStyle w:val="Heading2"/>
        <w:numPr>
          <w:ilvl w:val="0"/>
          <w:numId w:val="0"/>
        </w:numPr>
        <w:rPr>
          <w:lang w:val="en-GB"/>
        </w:rPr>
      </w:pPr>
    </w:p>
    <w:p w14:paraId="7F1988C3" w14:textId="77777777" w:rsidR="005247BD" w:rsidRPr="004E5902" w:rsidRDefault="005247BD" w:rsidP="00454EBC">
      <w:pPr>
        <w:pStyle w:val="Heading1"/>
        <w:keepNext/>
        <w:rPr>
          <w:b/>
          <w:bCs/>
        </w:rPr>
      </w:pPr>
      <w:r>
        <w:rPr>
          <w:b/>
        </w:rPr>
        <w:lastRenderedPageBreak/>
        <w:t>Κανονιστικά κενά, προκλήσεις στον τομέα της επιβολής και προτεραιότητες πολιτικής</w:t>
      </w:r>
    </w:p>
    <w:p w14:paraId="11A08CE4" w14:textId="77777777" w:rsidR="005247BD" w:rsidRPr="004E5902" w:rsidRDefault="005247BD" w:rsidP="00454EBC">
      <w:pPr>
        <w:keepNext/>
        <w:rPr>
          <w:lang w:val="en-GB"/>
        </w:rPr>
      </w:pPr>
    </w:p>
    <w:p w14:paraId="5749B79B" w14:textId="77777777" w:rsidR="005247BD" w:rsidRPr="004E5902" w:rsidRDefault="005247BD" w:rsidP="00454EBC">
      <w:pPr>
        <w:pStyle w:val="Heading2"/>
      </w:pPr>
      <w:r>
        <w:t>Η ΕΕ έχει θεσπίσει ένα ολοκληρωμένο κανονιστικό πλαίσιο για την αντιμετώπιση των κινδύνων που ενέχουν οι πλατφόρμες μέσων κοινωνικής δικτύωσης και οι αλγόριθμοι ΤΝ για τον ψηφιακό χώρο πληροφοριών. Στα βασικά μέσα περιλαμβάνονται η Πράξη για τις ψηφιακές υπηρεσίες, ο Κανονισμός για την τεχνητή νοημοσύνη και ο Ευρωπαϊκός κανονισμός για την ελευθερία των μέσων ενημέρωσης, τα οποία αποσκοπούν στην ενίσχυση της διαφάνειας, της λογοδοσίας και της ενδυνάμωσης των χρηστών, διασφαλίζοντας παράλληλα την πολυφωνία των ΜΜΕ και τις δημοκρατικές αξίες.</w:t>
      </w:r>
    </w:p>
    <w:p w14:paraId="421598AA" w14:textId="77777777" w:rsidR="005247BD" w:rsidRPr="00CA3853" w:rsidRDefault="005247BD" w:rsidP="00454EBC">
      <w:pPr>
        <w:pStyle w:val="ListParagraph"/>
        <w:ind w:left="0"/>
        <w:rPr>
          <w:b/>
          <w:bCs/>
        </w:rPr>
      </w:pPr>
    </w:p>
    <w:p w14:paraId="518E860D" w14:textId="77777777" w:rsidR="005247BD" w:rsidRPr="004E5902" w:rsidRDefault="005247BD" w:rsidP="00454EBC">
      <w:pPr>
        <w:pStyle w:val="Heading2"/>
      </w:pPr>
      <w:r>
        <w:t xml:space="preserve">Η Πράξη για τις ψηφιακές υπηρεσίες σηματοδοτεί τη μετάβαση από την εθελοντική αυτορρύθμιση στις δεσμευτικές υποχρεώσεις για τις διαδικτυακές πλατφόρμες, ιδίως δε τις πολύ μεγάλες (VLOP). Απαιτεί ετήσιες εκτιμήσεις συστημικού κινδύνου, διαφανή έλεγχο περιεχομένου και φιλικούς προς τον χρήστη μηχανισμούς αναφοράς για παράνομο περιεχόμενο. Οι αξιολογήσεις αυτές πρέπει να εξετάζουν τον αντίκτυπο των αλγορίθμων στα θεμελιώδη δικαιώματα, τον πολιτικό λόγο και την ακεραιότητα των εκλογών, και υπόκεινται σε ανεξάρτητο έλεγχο και εποπτεία από τους εθνικούς </w:t>
      </w:r>
      <w:hyperlink r:id="rId27" w:history="1">
        <w:r>
          <w:rPr>
            <w:rStyle w:val="Hyperlink"/>
          </w:rPr>
          <w:t>σ</w:t>
        </w:r>
        <w:r>
          <w:rPr>
            <w:rStyle w:val="Hyperlink"/>
          </w:rPr>
          <w:t>υ</w:t>
        </w:r>
        <w:r>
          <w:rPr>
            <w:rStyle w:val="Hyperlink"/>
          </w:rPr>
          <w:t>ντονιστές ψηφιακών υπηρεσιών</w:t>
        </w:r>
      </w:hyperlink>
      <w:r>
        <w:t xml:space="preserve"> και την Ευρωπαϊκή Επιτροπή.</w:t>
      </w:r>
    </w:p>
    <w:p w14:paraId="63B987D2" w14:textId="77777777" w:rsidR="005247BD" w:rsidRPr="00CA3853" w:rsidRDefault="005247BD" w:rsidP="00454EBC">
      <w:pPr>
        <w:pStyle w:val="ListParagraph"/>
        <w:ind w:left="0"/>
      </w:pPr>
    </w:p>
    <w:p w14:paraId="5F9C8118" w14:textId="77777777" w:rsidR="005247BD" w:rsidRPr="004E5902" w:rsidRDefault="005247BD" w:rsidP="00454EBC">
      <w:pPr>
        <w:pStyle w:val="Heading2"/>
      </w:pPr>
      <w:r>
        <w:t xml:space="preserve">Παρά την πρόοδο αυτή, η εφαρμογή της πράξης για τις ψηφιακές υπηρεσίες αποκάλυψε σημαντικές προκλήσεις. Η επιβολή παραμένει ασυνεπής σε όλα τα κράτη μέλη, καθώς οι καθυστερήσεις στον διορισμό και την εξουσιοδότηση των συντονιστών ψηφιακών υπηρεσιών περιορίζουν την εθνική εποπτεία. Η Ευρωπαϊκή Επιτροπή έχει </w:t>
      </w:r>
      <w:hyperlink r:id="rId28" w:history="1">
        <w:r>
          <w:rPr>
            <w:rStyle w:val="Hyperlink"/>
          </w:rPr>
          <w:t>κινήσ</w:t>
        </w:r>
        <w:r>
          <w:rPr>
            <w:rStyle w:val="Hyperlink"/>
          </w:rPr>
          <w:t>ε</w:t>
        </w:r>
        <w:r>
          <w:rPr>
            <w:rStyle w:val="Hyperlink"/>
          </w:rPr>
          <w:t>ι</w:t>
        </w:r>
      </w:hyperlink>
      <w:r>
        <w:t xml:space="preserve"> διαδικασίες επί </w:t>
      </w:r>
      <w:proofErr w:type="spellStart"/>
      <w:r>
        <w:t>παραβάσει</w:t>
      </w:r>
      <w:proofErr w:type="spellEnd"/>
      <w:r>
        <w:t xml:space="preserve"> κατά αρκετών κρατών μελών και έχει κινήσει επίσημες διαδικασίες κατά σημαντικών </w:t>
      </w:r>
      <w:proofErr w:type="spellStart"/>
      <w:r>
        <w:t>πλατφορμών</w:t>
      </w:r>
      <w:proofErr w:type="spellEnd"/>
      <w:r>
        <w:t xml:space="preserve"> για εικαζόμενη μη συμμόρφωση. Η αποτελεσματικότητα νέων φορέων, όπως το Ευρωπαϊκό Συμβούλιο Ψηφιακών Υπηρεσιών και το Ευρωπαϊκό Κέντρο για την Αλγοριθμική Διαφάνεια, θα εξαρτηθεί από κατάλληλους πόρους και συνεργασία τόσο σε </w:t>
      </w:r>
      <w:proofErr w:type="spellStart"/>
      <w:r>
        <w:t>ενωσιακό</w:t>
      </w:r>
      <w:proofErr w:type="spellEnd"/>
      <w:r>
        <w:t xml:space="preserve"> όσο και σε εθνικό επίπεδο.</w:t>
      </w:r>
    </w:p>
    <w:p w14:paraId="12114E96" w14:textId="77777777" w:rsidR="005247BD" w:rsidRPr="00CA3853" w:rsidRDefault="005247BD" w:rsidP="00454EBC">
      <w:pPr>
        <w:pStyle w:val="ListParagraph"/>
        <w:ind w:left="0"/>
      </w:pPr>
    </w:p>
    <w:p w14:paraId="3D00944E" w14:textId="77777777" w:rsidR="005247BD" w:rsidRPr="004E5902" w:rsidRDefault="005247BD" w:rsidP="00454EBC">
      <w:pPr>
        <w:pStyle w:val="Heading2"/>
      </w:pPr>
      <w:r>
        <w:t>Στον κανονισμό για την τεχνητή νοημοσύνη θεσπίζονται αυστηρότερες απαιτήσεις για τη διαφάνεια, τη δικαιοσύνη και την ανθρώπινη εποπτεία των συστημάτων ΤΝ, συμπεριλαμβανομένων εκείνων που χρησιμοποιούνται για τον έλεγχο περιεχομένου και τις συστάσεις. Η ΕΟΚΕ και ανεξάρτητοι εμπειρογνώμονες τονίζουν την ανάγκη για ισχυρή διαφάνεια και διασφαλίσεις για την προστασία των θεμελιωδών δικαιωμάτων και της εμπιστοσύνης του κοινού, ιδίως όταν η ΤΝ διαμορφώνει την πρόσβαση στην πληροφόρηση και την πολυφωνία των ΜΜΕ.</w:t>
      </w:r>
    </w:p>
    <w:p w14:paraId="5A463692" w14:textId="77777777" w:rsidR="005247BD" w:rsidRPr="00CA3853" w:rsidRDefault="005247BD" w:rsidP="00454EBC">
      <w:pPr>
        <w:pStyle w:val="ListParagraph"/>
        <w:ind w:left="0"/>
      </w:pPr>
    </w:p>
    <w:p w14:paraId="52A86EC2" w14:textId="77777777" w:rsidR="005247BD" w:rsidRPr="004E5902" w:rsidRDefault="009839F5" w:rsidP="00454EBC">
      <w:pPr>
        <w:pStyle w:val="Heading2"/>
      </w:pPr>
      <w:hyperlink r:id="rId29" w:history="1">
        <w:r w:rsidR="00CA3853">
          <w:rPr>
            <w:rStyle w:val="Hyperlink"/>
          </w:rPr>
          <w:t>Ο ευρωπαϊκός κανονισμός για την ελευθερία των μέσων ενημέρωσης (ΕΚΕΜΕ) έχει ως στόχο την ενίσχυση της ελευθερίας και της πολυφωνίας των Μ</w:t>
        </w:r>
        <w:r w:rsidR="00CA3853">
          <w:rPr>
            <w:rStyle w:val="Hyperlink"/>
          </w:rPr>
          <w:t>Μ</w:t>
        </w:r>
        <w:r w:rsidR="00CA3853">
          <w:rPr>
            <w:rStyle w:val="Hyperlink"/>
          </w:rPr>
          <w:t>Ε</w:t>
        </w:r>
      </w:hyperlink>
      <w:r w:rsidR="00CA3853">
        <w:t xml:space="preserve"> με την προστασία της συντακτικής ανεξαρτησίας, την πρόληψη της αδικαιολόγητης αφαίρεσης περιεχομένου και την αντιμετώπιση των κινδύνων συγκέντρωσης της αγοράς. Τα μέτρα αυτά είναι ιδιαίτερα σημαντικά σε περιοχές ευάλωτες στην παραπληροφόρηση και τις εξωτερικές παρεμβάσεις.</w:t>
      </w:r>
    </w:p>
    <w:p w14:paraId="22ADDBA6" w14:textId="77777777" w:rsidR="005247BD" w:rsidRPr="00CA3853" w:rsidRDefault="005247BD" w:rsidP="00454EBC">
      <w:pPr>
        <w:pStyle w:val="ListParagraph"/>
        <w:ind w:left="0"/>
      </w:pPr>
    </w:p>
    <w:p w14:paraId="02D03A9D" w14:textId="77777777" w:rsidR="005247BD" w:rsidRPr="004E5902" w:rsidRDefault="005247BD" w:rsidP="00454EBC">
      <w:pPr>
        <w:pStyle w:val="Heading2"/>
      </w:pPr>
      <w:r>
        <w:t xml:space="preserve">Εξακολουθούν να υπάρχουν κενά στο ισχύον κανονιστικό τοπίο. Οι εκθέσεις διαφάνειας από τις πλατφόρμες είναι συχνά ασυνεπείς και δεν διαθέτουν επαρκείς λεπτομέρειες για ουσιαστικό έλεγχο. Πολλές πλατφόρμες με σημαντική εμβέλεια στην Κεντρική και Ανατολική Ευρώπη, </w:t>
      </w:r>
      <w:r>
        <w:lastRenderedPageBreak/>
        <w:t xml:space="preserve">όπως το </w:t>
      </w:r>
      <w:proofErr w:type="spellStart"/>
      <w:r>
        <w:t>Telegram</w:t>
      </w:r>
      <w:proofErr w:type="spellEnd"/>
      <w:r>
        <w:t xml:space="preserve"> και το </w:t>
      </w:r>
      <w:proofErr w:type="spellStart"/>
      <w:r>
        <w:t>VKontakte</w:t>
      </w:r>
      <w:proofErr w:type="spellEnd"/>
      <w:r>
        <w:t>, δεν καλύπτονται από την πράξη για τις ψηφιακές υπηρεσίες, δημιουργώντας κανονιστικά τυφλά σημεία. Η πρόσβαση των ερευνητών και της κοινωνίας των πολιτών σε δεδομένα πλατφόρμας παραμένει περιορισμένη, γεγονός που εμποδίζει την αποτελεσματική παρακολούθηση της παραπληροφόρησης και της αλγοριθμικής μεροληψίας.</w:t>
      </w:r>
    </w:p>
    <w:p w14:paraId="09653B35" w14:textId="77777777" w:rsidR="005247BD" w:rsidRPr="004E5902" w:rsidRDefault="005247BD" w:rsidP="00454EBC">
      <w:pPr>
        <w:pStyle w:val="Heading2"/>
        <w:numPr>
          <w:ilvl w:val="0"/>
          <w:numId w:val="0"/>
        </w:numPr>
        <w:ind w:left="567"/>
        <w:rPr>
          <w:lang w:val="en-GB"/>
        </w:rPr>
      </w:pPr>
    </w:p>
    <w:p w14:paraId="0B9D0D24" w14:textId="77777777" w:rsidR="005247BD" w:rsidRPr="004E5902" w:rsidRDefault="005247BD" w:rsidP="00454EBC">
      <w:pPr>
        <w:pStyle w:val="Heading1"/>
        <w:keepNext/>
        <w:rPr>
          <w:b/>
          <w:bCs/>
        </w:rPr>
      </w:pPr>
      <w:r>
        <w:rPr>
          <w:b/>
        </w:rPr>
        <w:t>Γλωσσική και αφηγηματική μεροληψία</w:t>
      </w:r>
    </w:p>
    <w:p w14:paraId="230DE0FB" w14:textId="77777777" w:rsidR="005247BD" w:rsidRPr="004E5902" w:rsidRDefault="005247BD" w:rsidP="00454EBC">
      <w:pPr>
        <w:keepNext/>
        <w:rPr>
          <w:lang w:val="en-GB"/>
        </w:rPr>
      </w:pPr>
    </w:p>
    <w:p w14:paraId="667CCFA1" w14:textId="77777777" w:rsidR="005247BD" w:rsidRPr="004E5902" w:rsidRDefault="005247BD" w:rsidP="00454EBC">
      <w:pPr>
        <w:pStyle w:val="Heading2"/>
      </w:pPr>
      <w:r>
        <w:t xml:space="preserve">Τα εργαλεία ΤΝ —ιδίως τα μεγάλα γλωσσικά μοντέλα (LLM)— τείνουν να είναι ευρύτερα και πιο εξελιγμένα σε τομείς με άφθονα, υψηλής ποιότητας δεδομένα εκπαίδευσης (όπως τα αγγλόγλωσσα θέματα και τα θέματα με επίκεντρο τη Δύση), αλλά παραμένουν περιορισμένα όσον αφορά την κάλυψη της Ανατολικής Ευρώπης και των γειτονικών χωρών της ΕΕ, καθώς και την προβολή των εκεί λεπτών διαφορών. Αυτό οφείλεται στην </w:t>
      </w:r>
      <w:proofErr w:type="spellStart"/>
      <w:r>
        <w:t>υποεκπροσώπηση</w:t>
      </w:r>
      <w:proofErr w:type="spellEnd"/>
      <w:r>
        <w:t xml:space="preserve"> των τοπικών γλωσσών και των αξιόπιστων πηγών και προοπτικών στα σύνολα δεδομένων που χρησιμοποιούνται για την εκπαίδευση των συστημάτων ΤΝ. Τα ανθρώπινα δικαιώματα και οι βασικές αξίες της ΕΕ ενδέχεται να μην ενσωματώνονται επαρκώς στα αποτελέσματα. </w:t>
      </w:r>
    </w:p>
    <w:p w14:paraId="5D36539D" w14:textId="77777777" w:rsidR="005247BD" w:rsidRPr="00CA3853" w:rsidRDefault="005247BD" w:rsidP="00454EBC">
      <w:pPr>
        <w:pStyle w:val="ListParagraph"/>
        <w:ind w:left="0"/>
        <w:rPr>
          <w:b/>
          <w:bCs/>
        </w:rPr>
      </w:pPr>
    </w:p>
    <w:p w14:paraId="08329F1B" w14:textId="77777777" w:rsidR="005247BD" w:rsidRPr="004E5902" w:rsidRDefault="005247BD" w:rsidP="00454EBC">
      <w:pPr>
        <w:pStyle w:val="Heading2"/>
      </w:pPr>
      <w:r>
        <w:t>Η γλώσσα που χρησιμοποιείται για την περιγραφή των χωρών της Κεντρικής και Ανατολικής Ευρώπης συντείνει καίρια στη διαμόρφωση τόσο των αντιλήψεων του κοινού όσο και των πολιτικών προσεγγίσεων. Όροι όπως «πρώην δημοκρατίες της Σοβιετικής Ένωσης» ή «</w:t>
      </w:r>
      <w:proofErr w:type="spellStart"/>
      <w:r>
        <w:t>μετασοβιετικές</w:t>
      </w:r>
      <w:proofErr w:type="spellEnd"/>
      <w:r>
        <w:t xml:space="preserve">» χρησιμοποιούνται ευρέως στα διεθνή ΜΜΕ, στα έγγραφα πολιτικής, ακόμη και στον πανεπιστημιακό λόγο. Ωστόσο, οι χαρακτηρισμοί αυτοί επικρίνονται όλο και περισσότερο για τη διαιώνιση μειωτικών και πολιτικά επικριτικών στερεοτύπων που αποκρύπτουν την πολυμορφία, την αυτενέργεια και τις μοναδικές πορείες των οικείων χωρών. </w:t>
      </w:r>
    </w:p>
    <w:p w14:paraId="190E85F5" w14:textId="77777777" w:rsidR="005247BD" w:rsidRPr="00CA3853" w:rsidRDefault="005247BD" w:rsidP="00454EBC">
      <w:pPr>
        <w:pStyle w:val="ListParagraph"/>
        <w:ind w:left="0"/>
        <w:rPr>
          <w:b/>
          <w:bCs/>
        </w:rPr>
      </w:pPr>
    </w:p>
    <w:p w14:paraId="5D35D5DA" w14:textId="77777777" w:rsidR="005247BD" w:rsidRPr="004E5902" w:rsidRDefault="005247BD" w:rsidP="00454EBC">
      <w:pPr>
        <w:pStyle w:val="Heading2"/>
      </w:pPr>
      <w:r>
        <w:t>Πρόσφατη επιστημονική ανάλυση ανέδειξε τον προβληματικό χαρακτήρα αυτής της ορολογίας. Η χρήση του όρου «</w:t>
      </w:r>
      <w:proofErr w:type="spellStart"/>
      <w:r>
        <w:t>μετασοβιετικός</w:t>
      </w:r>
      <w:proofErr w:type="spellEnd"/>
      <w:r>
        <w:t xml:space="preserve">/-ή» ως προσδιοριστικό επίθετο ενισχύει την αποικιοκρατική νοοτροπία και προβάλλει την περιοχή ως εναπομένοντα χώρο που ορίζεται από τους ιστορικούς δεσμούς της με μια πάλαι ποτέ Σοβιετική αυτοκρατορία. Αυτό όχι μόνο στερεί την εκπροσώπηση των λαών της Κεντρικής και Ανατολικής Ευρώπης, αλλά νομιμοποιεί και αφηγήματα που τοποθετούν την περιοχή στη σφαίρα επιρροής της Ρωσίας. </w:t>
      </w:r>
    </w:p>
    <w:p w14:paraId="755A01D4" w14:textId="77777777" w:rsidR="005247BD" w:rsidRPr="004E5902" w:rsidRDefault="005247BD" w:rsidP="00454EBC">
      <w:pPr>
        <w:rPr>
          <w:lang w:val="en-GB"/>
        </w:rPr>
      </w:pPr>
    </w:p>
    <w:p w14:paraId="190528F7" w14:textId="77777777" w:rsidR="005247BD" w:rsidRPr="004E5902" w:rsidRDefault="005247BD" w:rsidP="00454EBC">
      <w:pPr>
        <w:pStyle w:val="Heading2"/>
      </w:pPr>
      <w:r>
        <w:t xml:space="preserve">Η ΕΟΚΕ πιστεύει ότι η εξάλειψη των γλωσσικών και αφηγηματικών </w:t>
      </w:r>
      <w:proofErr w:type="spellStart"/>
      <w:r>
        <w:t>μεροληψιών</w:t>
      </w:r>
      <w:proofErr w:type="spellEnd"/>
      <w:r>
        <w:t xml:space="preserve"> απαιτεί συντονισμένες προσπάθειες τόσο από τα παραδοσιακά ΜΜΕ όσο και από τις ψηφιακές πλατφόρμες. Με την </w:t>
      </w:r>
      <w:proofErr w:type="spellStart"/>
      <w:r>
        <w:t>επικαιροποίηση</w:t>
      </w:r>
      <w:proofErr w:type="spellEnd"/>
      <w:r>
        <w:t xml:space="preserve"> παρωχημένης γλώσσας, τη μεταρρύθμιση των αλγορίθμων ώστε να δοθεί προτεραιότητα στην ποικιλομορφία και την ακρίβεια, καθώς και τη στήριξη του </w:t>
      </w:r>
      <w:proofErr w:type="spellStart"/>
      <w:r>
        <w:t>γραμματισμού</w:t>
      </w:r>
      <w:proofErr w:type="spellEnd"/>
      <w:r>
        <w:t xml:space="preserve"> στα ΜΜΕ και της ανεξάρτητης δημοσιογραφίας, μπορούμε να προωθήσουμε μια πιο συμπεριληπτική και ακριβή εικόνα των λαών της Ανατολικής Ευρώπης. Οι στρατηγικές αυτές όχι μόνο θα συμβάλουν στην καταπολέμηση των επιβλαβών στερεοτύπων, αλλά και θα διασφαλίσουν ότι ο δημόσιος διάλογος είναι πιο ισορροπημένος, ενημερωμένος, καθώς και ότι αντικατοπτρίζει την πραγματική πολυπλοκότητα της περιοχής.</w:t>
      </w:r>
    </w:p>
    <w:p w14:paraId="76014473" w14:textId="77777777" w:rsidR="005247BD" w:rsidRPr="004E5902" w:rsidRDefault="005247BD" w:rsidP="00454EBC">
      <w:pPr>
        <w:rPr>
          <w:lang w:val="en-GB"/>
        </w:rPr>
      </w:pPr>
    </w:p>
    <w:p w14:paraId="29ABDCE0" w14:textId="77777777" w:rsidR="005247BD" w:rsidRPr="004E5902" w:rsidRDefault="005247BD" w:rsidP="00454EBC">
      <w:pPr>
        <w:pStyle w:val="Heading1"/>
        <w:keepNext/>
        <w:keepLines/>
      </w:pPr>
      <w:r>
        <w:rPr>
          <w:b/>
          <w:color w:val="222222"/>
        </w:rPr>
        <w:lastRenderedPageBreak/>
        <w:t>Από τα ανωτέρω συνάγεται το συμπέρασμα ότι η κατάσταση θα μπορούσε να βελτιωθεί με μέτρα όπως τα ακόλουθα</w:t>
      </w:r>
      <w:r>
        <w:t>:</w:t>
      </w:r>
    </w:p>
    <w:p w14:paraId="1921CDD5" w14:textId="77777777" w:rsidR="005247BD" w:rsidRPr="004E5902" w:rsidRDefault="005247BD" w:rsidP="00454EBC">
      <w:pPr>
        <w:pStyle w:val="Heading2"/>
        <w:keepNext/>
        <w:keepLines/>
        <w:numPr>
          <w:ilvl w:val="0"/>
          <w:numId w:val="0"/>
        </w:numPr>
        <w:ind w:left="567"/>
        <w:rPr>
          <w:b/>
          <w:bCs/>
          <w:lang w:val="en-GB"/>
        </w:rPr>
      </w:pPr>
    </w:p>
    <w:p w14:paraId="40E21FCC" w14:textId="77777777" w:rsidR="005247BD" w:rsidRPr="004E5902" w:rsidRDefault="005247BD" w:rsidP="00454EBC">
      <w:pPr>
        <w:pStyle w:val="Heading2"/>
      </w:pPr>
      <w:r>
        <w:t xml:space="preserve">Απαίτηση από όλες τις μεγάλες πλατφόρμες μέσων κοινωνικής δικτύωσης να δημοσιοποιούν τις αλγοριθμικές διεργασίες και τις αλλαγές τους, συμπεριλαμβανομένου του τρόπου ιεράρχησης και ελέγχου του περιεχομένου, σύμφωνα με τις υποχρεώσεις διαφάνειας που προβλέπονται στην </w:t>
      </w:r>
      <w:r>
        <w:rPr>
          <w:i/>
        </w:rPr>
        <w:t>Πράξη για τις ψηφιακές υπηρεσίες</w:t>
      </w:r>
      <w:r>
        <w:t xml:space="preserve">. </w:t>
      </w:r>
    </w:p>
    <w:p w14:paraId="3DEAB086" w14:textId="77777777" w:rsidR="005247BD" w:rsidRPr="004E5902" w:rsidRDefault="005247BD" w:rsidP="00454EBC">
      <w:pPr>
        <w:rPr>
          <w:lang w:val="en-GB"/>
        </w:rPr>
      </w:pPr>
    </w:p>
    <w:p w14:paraId="6F82CF3B" w14:textId="77777777" w:rsidR="005247BD" w:rsidRPr="004E5902" w:rsidRDefault="005247BD" w:rsidP="00454EBC">
      <w:pPr>
        <w:pStyle w:val="Heading2"/>
      </w:pPr>
      <w:r>
        <w:t>Εφαρμογή τυποποιημένου πλαισίου για αλγοριθμικές αξιολογήσεις, το οποίο θα περιλαμβάνει ανεξάρτητους ελέγχους για τον εντοπισμό μεροληψίας και για τη διασφάλιση δίκαιης μεταχείρισης ποικίλου περιεχομένου. Επανεξέταση και δημοσιοποίηση εκτιμήσεων κινδύνου, όπως ορίζεται στο άρθρο 34 της Πράξης για τις ψηφιακές υπηρεσίες, με έμφαση στους συστημικούς κινδύνους για τα θεμελιώδη δικαιώματα, την ελευθερία των ΜΜΕ και τον δημοκρατικό διάλογο.</w:t>
      </w:r>
    </w:p>
    <w:p w14:paraId="08550060" w14:textId="77777777" w:rsidR="005247BD" w:rsidRPr="00CA3853" w:rsidRDefault="005247BD" w:rsidP="00454EBC">
      <w:pPr>
        <w:pStyle w:val="ListParagraph"/>
        <w:ind w:left="0"/>
      </w:pPr>
    </w:p>
    <w:p w14:paraId="3FFC12C1" w14:textId="77777777" w:rsidR="005247BD" w:rsidRPr="004E5902" w:rsidRDefault="005247BD" w:rsidP="00454EBC">
      <w:pPr>
        <w:pStyle w:val="Heading2"/>
      </w:pPr>
      <w:r>
        <w:t xml:space="preserve">Σύσταση ταμείου της ΕΕ με σημαντικό όγκο κονδυλίων ειδικά εστιασμένου στη διαρθρωτική στήριξη των ανεξάρτητων ΜΜΕ στην Κεντρική και Ανατολική Ευρώπη. Το ταμείο αυτό θα μπορούσε να παρέχει υποτροφίες, εκπαίδευση και μέσα για την ερευνητική δημοσιογραφία, τα προγράμματα </w:t>
      </w:r>
      <w:proofErr w:type="spellStart"/>
      <w:r>
        <w:t>γραμματισμού</w:t>
      </w:r>
      <w:proofErr w:type="spellEnd"/>
      <w:r>
        <w:t xml:space="preserve"> στα ΜΜΕ και την τεχνολογία για την ενίσχυση της ψηφιακής παρουσίας και ανθεκτικότητας.</w:t>
      </w:r>
    </w:p>
    <w:p w14:paraId="44685293" w14:textId="77777777" w:rsidR="005247BD" w:rsidRPr="00CA3853" w:rsidRDefault="005247BD" w:rsidP="00454EBC">
      <w:pPr>
        <w:pStyle w:val="ListParagraph"/>
        <w:ind w:left="0"/>
      </w:pPr>
    </w:p>
    <w:p w14:paraId="7134B0C9" w14:textId="77777777" w:rsidR="005247BD" w:rsidRPr="004E5902" w:rsidRDefault="005247BD" w:rsidP="00454EBC">
      <w:pPr>
        <w:pStyle w:val="Heading2"/>
      </w:pPr>
      <w:r>
        <w:t xml:space="preserve">Χάραξη ολοκληρωμένης στρατηγικής για την καταπολέμηση περιστατικών χειραγώγησης των πληροφοριών και παρεμβάσεων από το εξωτερικό, συμπεριλαμβανομένης της επιβολής αυστηρότερων κυρώσεων σε όσες πλατφόρμες δεν αφαιρούν ή δεν διορθώνουν περιεχόμενο χειραγώγησης. Επιβολής στις πλατφόρμες της υποχρέωσης να αναπτύσσουν και να διατηρούν προληπτικά μέτρα για τον εντοπισμό και τον μετριασμό δραστηριοτήτων περιστατικών χειραγώγησης των πληροφοριών και παρεμβάσεων από το εξωτερικό, συμπεριλαμβανομένων συμπράξεων με εταιρείες </w:t>
      </w:r>
      <w:proofErr w:type="spellStart"/>
      <w:r>
        <w:t>κυβερνοασφάλειας</w:t>
      </w:r>
      <w:proofErr w:type="spellEnd"/>
      <w:r>
        <w:t xml:space="preserve"> και πανεπιστημιακά ιδρύματα, τα οποία θα έχουν πρόσβαση σε όλα τα αναγκαία δεδομένα. </w:t>
      </w:r>
    </w:p>
    <w:p w14:paraId="0D6EF1A1" w14:textId="77777777" w:rsidR="005247BD" w:rsidRPr="00CA3853" w:rsidRDefault="005247BD" w:rsidP="00454EBC">
      <w:pPr>
        <w:pStyle w:val="ListParagraph"/>
        <w:ind w:left="0"/>
      </w:pPr>
    </w:p>
    <w:p w14:paraId="74386276" w14:textId="77777777" w:rsidR="005247BD" w:rsidRPr="004E5902" w:rsidRDefault="005247BD" w:rsidP="00454EBC">
      <w:pPr>
        <w:pStyle w:val="Heading2"/>
      </w:pPr>
      <w:r>
        <w:t>Υποστήριξη και εφαρμογή ισχυρότερης νομικής προστασίας για τους δημοσιογράφους και τα ανεξάρτητα ΜΜΕ στην Ανατολική Ευρώπη, συμπεριλαμβανομένης της προστασίας από την παρενόχληση, τη λογοκρισία και την κρατική καταστολή. Αυτό θα μπορούσε να περιλαμβάνει πρωτοβουλίες νομικής στήριξης και τη δημιουργία ασφαλών διαύλων καταγγελίας για δημοσιογράφους που αντιμετωπίζουν απειλές.</w:t>
      </w:r>
    </w:p>
    <w:p w14:paraId="322632D1" w14:textId="77777777" w:rsidR="005247BD" w:rsidRPr="00CA3853" w:rsidRDefault="005247BD" w:rsidP="00454EBC">
      <w:pPr>
        <w:pStyle w:val="ListParagraph"/>
        <w:ind w:left="0"/>
      </w:pPr>
    </w:p>
    <w:p w14:paraId="7E784FC4" w14:textId="77777777" w:rsidR="005247BD" w:rsidRPr="004E5902" w:rsidRDefault="005247BD" w:rsidP="00454EBC">
      <w:pPr>
        <w:pStyle w:val="Heading2"/>
      </w:pPr>
      <w:r>
        <w:t xml:space="preserve">Ενσωμάτωση ολοκληρωμένης εκπαίδευσης για τον ψηφιακό </w:t>
      </w:r>
      <w:proofErr w:type="spellStart"/>
      <w:r>
        <w:t>γραμματισμό</w:t>
      </w:r>
      <w:proofErr w:type="spellEnd"/>
      <w:r>
        <w:t xml:space="preserve"> στα σχολικά προγράμματα σε ολόκληρη την Ευρώπη, με έμφαση στην κριτική σκέψη, την κατανάλωση ΜΜΕ και τον εντοπισμό της παραπληροφόρησης. Συνεργασία με εκπαιδευτικά ιδρύματα και μη κυβερνητικών οργανώσεων (ΜΚΟ) για την ανάπτυξη ελκυστικών πόρων και κατάρτισης τόσο για τους σπουδαστές όσο και για τους εκπαιδευτικούς.</w:t>
      </w:r>
    </w:p>
    <w:p w14:paraId="68991C38" w14:textId="77777777" w:rsidR="005247BD" w:rsidRPr="00CA3853" w:rsidRDefault="005247BD" w:rsidP="00454EBC">
      <w:pPr>
        <w:pStyle w:val="ListParagraph"/>
        <w:ind w:left="0"/>
      </w:pPr>
    </w:p>
    <w:p w14:paraId="54DC80A9" w14:textId="77777777" w:rsidR="005247BD" w:rsidRPr="004E5902" w:rsidRDefault="005247BD" w:rsidP="00454EBC">
      <w:pPr>
        <w:pStyle w:val="Heading2"/>
      </w:pPr>
      <w:r>
        <w:t xml:space="preserve">Απαίτηση από τις πλατφόρμες να αναπτύξουν πολιτικές ελέγχου περιεχομένου που θα λαμβάνουν υπόψη τις γλώσσες, οι οποίες θα διασφαλίζουν τη δίκαιη μεταχείριση των μειονοτικών γλωσσών και των τοπικών διαλέκτων. Αυτό περιλαμβάνει την πρόσληψη και την </w:t>
      </w:r>
      <w:r>
        <w:lastRenderedPageBreak/>
        <w:t>εκπαίδευση συντονιστών που είναι εξοικειωμένοι με το κοινωνικοπολιτικό πλαίσιο συγκεκριμένων περιφερειών, ιδίως στην Κεντρική και Ανατολική Ευρώπη.</w:t>
      </w:r>
    </w:p>
    <w:p w14:paraId="2A40B7F3" w14:textId="77777777" w:rsidR="005247BD" w:rsidRPr="004E5902" w:rsidRDefault="005247BD" w:rsidP="00454EBC">
      <w:pPr>
        <w:jc w:val="left"/>
        <w:rPr>
          <w:lang w:val="en-GB"/>
        </w:rPr>
      </w:pPr>
    </w:p>
    <w:p w14:paraId="0FDDB5FA" w14:textId="77777777" w:rsidR="005247BD" w:rsidRPr="004E5902" w:rsidRDefault="005247BD" w:rsidP="00454EBC">
      <w:pPr>
        <w:pStyle w:val="Heading2"/>
      </w:pPr>
      <w:r>
        <w:t>Ανάληψη πρωτοβουλιών με στόχο την αναδιαμόρφωση του τρόπου με τον οποίο οι χώρες της Κεντρικής και της Ανατολικής Ευρώπης εκπροσωπούνται στις συζητήσεις για τα ΜΜΕ και τις πολιτικές. Ενθάρρυνση της χρήσης αφηγηματικών πλαισίων που τονίζουν τη μοναδική ιστορία και ταυτότητα αυτών των εθνών, απομακρύνοντάς τα από παρωχημένους χαρακτηρισμούς όπως «</w:t>
      </w:r>
      <w:proofErr w:type="spellStart"/>
      <w:r>
        <w:t>μετασοβιετικά</w:t>
      </w:r>
      <w:proofErr w:type="spellEnd"/>
      <w:r>
        <w:t>».</w:t>
      </w:r>
    </w:p>
    <w:p w14:paraId="479B0359" w14:textId="77777777" w:rsidR="005247BD" w:rsidRPr="004E5902" w:rsidRDefault="005247BD" w:rsidP="00454EBC">
      <w:pPr>
        <w:rPr>
          <w:lang w:val="en-GB"/>
        </w:rPr>
      </w:pPr>
    </w:p>
    <w:p w14:paraId="20DC4AC5" w14:textId="77777777" w:rsidR="005247BD" w:rsidRPr="004E5902" w:rsidRDefault="005247BD" w:rsidP="00454EBC">
      <w:pPr>
        <w:pStyle w:val="Heading2"/>
      </w:pPr>
      <w:proofErr w:type="spellStart"/>
      <w:r>
        <w:t>Επανεξισορρόπηση</w:t>
      </w:r>
      <w:proofErr w:type="spellEnd"/>
      <w:r>
        <w:t xml:space="preserve"> της ψηφιακής διαφημιστικής αγοράς με την επιβολή αντιμονοπωλιακών κανονισμών και της πράξης για τις ψηφιακές αγορές με σκοπό την εξάλειψη των μονοπωλιακών πρακτικών και τη διασφάλιση θεμιτού ανταγωνισμού. Στήριξη της λήψης διαρθρωτικών διορθωτικών μέτρων, όπως ο διαχωρισμός των επιχειρήσεων διαφημιστικής τεχνολογίας, ώστε οι διαφημιζόμενοι και οι εκδότες να έχουν μεγαλύτερο έλεγχο επί της θέσης τοποθέτησης των διαφημίσεων και να διοχετεύονται περισσότερα κονδύλια σε ποιοτική δημοσιογραφία και ανεξάρτητα ΜΜΕ.</w:t>
      </w:r>
    </w:p>
    <w:p w14:paraId="3E2D2E73" w14:textId="77777777" w:rsidR="005247BD" w:rsidRPr="004E5902" w:rsidRDefault="005247BD" w:rsidP="00454EBC">
      <w:pPr>
        <w:rPr>
          <w:lang w:val="en-GB"/>
        </w:rPr>
      </w:pPr>
    </w:p>
    <w:p w14:paraId="665BC52C" w14:textId="7F987824" w:rsidR="005247BD" w:rsidRPr="004E5902" w:rsidRDefault="005247BD" w:rsidP="00454EBC">
      <w:r>
        <w:t>Βρυξέλλες, 18 Σεπτεμβρίου 2025.</w:t>
      </w:r>
    </w:p>
    <w:p w14:paraId="69A80931" w14:textId="77777777" w:rsidR="005247BD" w:rsidRPr="004E5902" w:rsidRDefault="005247BD" w:rsidP="00454EBC">
      <w:pPr>
        <w:rPr>
          <w:lang w:val="en-GB"/>
        </w:rPr>
      </w:pPr>
    </w:p>
    <w:p w14:paraId="6E757F54" w14:textId="77777777" w:rsidR="005247BD" w:rsidRPr="004E5902" w:rsidRDefault="005247BD" w:rsidP="00454EBC">
      <w:pPr>
        <w:rPr>
          <w:lang w:val="en-GB"/>
        </w:rPr>
      </w:pPr>
    </w:p>
    <w:p w14:paraId="27C6A95B" w14:textId="1D3A16DF" w:rsidR="00CA3853" w:rsidRPr="004E5902" w:rsidRDefault="005247BD" w:rsidP="00454EBC">
      <w:r>
        <w:rPr>
          <w:i/>
          <w:color w:val="000000" w:themeColor="text1"/>
        </w:rPr>
        <w:t>O Πρόεδρος της Ευρωπαϊκής Οικονομικής και Κοινωνικής Επιτροπής</w:t>
      </w:r>
    </w:p>
    <w:p w14:paraId="78E9C31A" w14:textId="588C38F6" w:rsidR="005247BD" w:rsidRPr="004E5902" w:rsidRDefault="005247BD" w:rsidP="00454EBC">
      <w:proofErr w:type="spellStart"/>
      <w:r>
        <w:t>Oliver</w:t>
      </w:r>
      <w:proofErr w:type="spellEnd"/>
      <w:r>
        <w:t xml:space="preserve"> RÖPKE</w:t>
      </w:r>
    </w:p>
    <w:p w14:paraId="3AEEC411" w14:textId="77777777" w:rsidR="005247BD" w:rsidRPr="004E5902" w:rsidRDefault="005247BD" w:rsidP="00454EBC">
      <w:pPr>
        <w:rPr>
          <w:lang w:val="en-GB"/>
        </w:rPr>
      </w:pPr>
    </w:p>
    <w:p w14:paraId="74E49152" w14:textId="77777777" w:rsidR="005247BD" w:rsidRPr="004E5902" w:rsidRDefault="005247BD" w:rsidP="00454EBC">
      <w:pPr>
        <w:jc w:val="center"/>
      </w:pPr>
      <w:r>
        <w:t>_____________</w:t>
      </w:r>
    </w:p>
    <w:p w14:paraId="7636A56F" w14:textId="77777777" w:rsidR="005247BD" w:rsidRPr="006602AB" w:rsidRDefault="005247BD" w:rsidP="00454EBC">
      <w:pPr>
        <w:pStyle w:val="Heading1"/>
        <w:numPr>
          <w:ilvl w:val="0"/>
          <w:numId w:val="0"/>
        </w:numPr>
        <w:overflowPunct w:val="0"/>
        <w:autoSpaceDE w:val="0"/>
        <w:autoSpaceDN w:val="0"/>
        <w:adjustRightInd w:val="0"/>
        <w:ind w:left="567"/>
        <w:textAlignment w:val="baseline"/>
        <w:rPr>
          <w:b/>
          <w:lang w:val="en-GB"/>
        </w:rPr>
      </w:pPr>
    </w:p>
    <w:sectPr w:rsidR="005247BD" w:rsidRPr="006602AB" w:rsidSect="001E74A1">
      <w:headerReference w:type="even" r:id="rId30"/>
      <w:headerReference w:type="default" r:id="rId31"/>
      <w:footerReference w:type="default" r:id="rId32"/>
      <w:headerReference w:type="first" r:id="rId33"/>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2401" w14:textId="77777777" w:rsidR="00DE14FE" w:rsidRDefault="00DE14FE" w:rsidP="00F53370">
      <w:pPr>
        <w:spacing w:line="240" w:lineRule="auto"/>
      </w:pPr>
      <w:r>
        <w:separator/>
      </w:r>
    </w:p>
  </w:endnote>
  <w:endnote w:type="continuationSeparator" w:id="0">
    <w:p w14:paraId="111F8891" w14:textId="77777777" w:rsidR="00DE14FE" w:rsidRDefault="00DE14FE"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2E1325A6" w:rsidR="004A5B45" w:rsidRPr="003065C9" w:rsidRDefault="005247BD" w:rsidP="003065C9">
    <w:pPr>
      <w:pStyle w:val="Footer"/>
    </w:pPr>
    <w:r>
      <w:t xml:space="preserve">REX/601 – EESC-2025-00907-00-00-RI-TRA (EN) </w:t>
    </w:r>
    <w:r w:rsidR="008A6DD4">
      <w:fldChar w:fldCharType="begin"/>
    </w:r>
    <w:r w:rsidR="008A6DD4">
      <w:instrText xml:space="preserve"> PAGE   \* MERGEFORMAT </w:instrText>
    </w:r>
    <w:r w:rsidR="008A6DD4">
      <w:fldChar w:fldCharType="separate"/>
    </w:r>
    <w:r w:rsidR="00E52B04">
      <w:t>1</w:t>
    </w:r>
    <w:r w:rsidR="008A6DD4">
      <w:fldChar w:fldCharType="end"/>
    </w:r>
    <w:r>
      <w:t>/</w:t>
    </w:r>
    <w:fldSimple w:instr=" SECTIONPAGES   \* MERGEFORMAT ">
      <w:r w:rsidR="009839F5">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A10F" w14:textId="77777777" w:rsidR="00DE14FE" w:rsidRDefault="00DE14FE" w:rsidP="00F53370">
      <w:pPr>
        <w:spacing w:line="240" w:lineRule="auto"/>
      </w:pPr>
      <w:r>
        <w:separator/>
      </w:r>
    </w:p>
  </w:footnote>
  <w:footnote w:type="continuationSeparator" w:id="0">
    <w:p w14:paraId="55A4C62B" w14:textId="77777777" w:rsidR="00DE14FE" w:rsidRDefault="00DE14FE"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9839F5">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3159EC06" w:rsidR="00574C9B" w:rsidRDefault="006602AB">
    <w:pPr>
      <w:pStyle w:val="Header"/>
    </w:pPr>
    <w:r>
      <w:rPr>
        <w:noProof/>
      </w:rPr>
      <w:drawing>
        <wp:anchor distT="0" distB="0" distL="114300" distR="114300" simplePos="0" relativeHeight="251657216" behindDoc="0" locked="0" layoutInCell="1" allowOverlap="1" wp14:anchorId="32A48528" wp14:editId="60DD490F">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9839F5">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9839F5">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9839F5">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9839F5">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8828E3">
      <w:rPr>
        <w:noProof/>
      </w:rPr>
      <w:drawing>
        <wp:anchor distT="0" distB="0" distL="114300" distR="114300" simplePos="0" relativeHeight="251663360"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9839F5">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9839F5">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4A5B45" w:rsidRDefault="009839F5">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9839F5">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0F7F02"/>
    <w:rsid w:val="00185E99"/>
    <w:rsid w:val="0019231D"/>
    <w:rsid w:val="001955B6"/>
    <w:rsid w:val="001B3B99"/>
    <w:rsid w:val="001D61AC"/>
    <w:rsid w:val="001E15AA"/>
    <w:rsid w:val="001E3FA1"/>
    <w:rsid w:val="00200E87"/>
    <w:rsid w:val="00206D14"/>
    <w:rsid w:val="00214BDC"/>
    <w:rsid w:val="00215E81"/>
    <w:rsid w:val="0024727F"/>
    <w:rsid w:val="002A2970"/>
    <w:rsid w:val="002A77F4"/>
    <w:rsid w:val="002B6A7B"/>
    <w:rsid w:val="003353D7"/>
    <w:rsid w:val="00360204"/>
    <w:rsid w:val="003659F9"/>
    <w:rsid w:val="00401DE5"/>
    <w:rsid w:val="00454EBC"/>
    <w:rsid w:val="00461CAF"/>
    <w:rsid w:val="004871B8"/>
    <w:rsid w:val="004A5B45"/>
    <w:rsid w:val="004E5902"/>
    <w:rsid w:val="005247BD"/>
    <w:rsid w:val="00574C9B"/>
    <w:rsid w:val="0058411F"/>
    <w:rsid w:val="005961A4"/>
    <w:rsid w:val="005B55E2"/>
    <w:rsid w:val="005C2475"/>
    <w:rsid w:val="00602365"/>
    <w:rsid w:val="006125A1"/>
    <w:rsid w:val="00612BCC"/>
    <w:rsid w:val="00653E7D"/>
    <w:rsid w:val="006602AB"/>
    <w:rsid w:val="00662207"/>
    <w:rsid w:val="00667F09"/>
    <w:rsid w:val="006868CB"/>
    <w:rsid w:val="006B57A6"/>
    <w:rsid w:val="006D53A6"/>
    <w:rsid w:val="00787837"/>
    <w:rsid w:val="00787896"/>
    <w:rsid w:val="00787ABB"/>
    <w:rsid w:val="007B6C64"/>
    <w:rsid w:val="00822952"/>
    <w:rsid w:val="00836505"/>
    <w:rsid w:val="00844B87"/>
    <w:rsid w:val="008828E3"/>
    <w:rsid w:val="0089251B"/>
    <w:rsid w:val="008A6DD4"/>
    <w:rsid w:val="008F74D7"/>
    <w:rsid w:val="00904C42"/>
    <w:rsid w:val="00914683"/>
    <w:rsid w:val="00924C05"/>
    <w:rsid w:val="00937CF2"/>
    <w:rsid w:val="009451D6"/>
    <w:rsid w:val="009506A6"/>
    <w:rsid w:val="00976645"/>
    <w:rsid w:val="00976F77"/>
    <w:rsid w:val="0098228C"/>
    <w:rsid w:val="009839F5"/>
    <w:rsid w:val="009A734F"/>
    <w:rsid w:val="009C37A0"/>
    <w:rsid w:val="009E2100"/>
    <w:rsid w:val="00A310E1"/>
    <w:rsid w:val="00A3397C"/>
    <w:rsid w:val="00A36AB0"/>
    <w:rsid w:val="00AB37A3"/>
    <w:rsid w:val="00AC5114"/>
    <w:rsid w:val="00AC52B0"/>
    <w:rsid w:val="00AE4394"/>
    <w:rsid w:val="00B25683"/>
    <w:rsid w:val="00B51901"/>
    <w:rsid w:val="00BB0A75"/>
    <w:rsid w:val="00BC4FD4"/>
    <w:rsid w:val="00BD50F6"/>
    <w:rsid w:val="00C0056A"/>
    <w:rsid w:val="00C073E1"/>
    <w:rsid w:val="00C25647"/>
    <w:rsid w:val="00C5137B"/>
    <w:rsid w:val="00C66AEA"/>
    <w:rsid w:val="00C9040A"/>
    <w:rsid w:val="00C91E4D"/>
    <w:rsid w:val="00CA3853"/>
    <w:rsid w:val="00CB110A"/>
    <w:rsid w:val="00CB7CD0"/>
    <w:rsid w:val="00D039AF"/>
    <w:rsid w:val="00D13128"/>
    <w:rsid w:val="00D95232"/>
    <w:rsid w:val="00DB7F50"/>
    <w:rsid w:val="00DE14FE"/>
    <w:rsid w:val="00DE30C7"/>
    <w:rsid w:val="00DF400F"/>
    <w:rsid w:val="00E15BF4"/>
    <w:rsid w:val="00E2376B"/>
    <w:rsid w:val="00E2441D"/>
    <w:rsid w:val="00E26935"/>
    <w:rsid w:val="00E27707"/>
    <w:rsid w:val="00E333C8"/>
    <w:rsid w:val="00E47484"/>
    <w:rsid w:val="00E52B04"/>
    <w:rsid w:val="00E661B7"/>
    <w:rsid w:val="00E90A9D"/>
    <w:rsid w:val="00ED0759"/>
    <w:rsid w:val="00F2069F"/>
    <w:rsid w:val="00F53370"/>
    <w:rsid w:val="00F5376E"/>
    <w:rsid w:val="00F90BE2"/>
    <w:rsid w:val="00FA305D"/>
    <w:rsid w:val="00FB1D7A"/>
    <w:rsid w:val="00FB4D0C"/>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ListParagraph">
    <w:name w:val="List Paragraph"/>
    <w:basedOn w:val="Normal"/>
    <w:qFormat/>
    <w:rsid w:val="005247BD"/>
    <w:pPr>
      <w:ind w:left="720"/>
      <w:contextualSpacing/>
    </w:pPr>
  </w:style>
  <w:style w:type="character" w:styleId="FollowedHyperlink">
    <w:name w:val="FollowedHyperlink"/>
    <w:basedOn w:val="DefaultParagraphFont"/>
    <w:uiPriority w:val="99"/>
    <w:semiHidden/>
    <w:unhideWhenUsed/>
    <w:rsid w:val="00660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euronews.com/next/2025/02/19/whatsapp-faces-strictest-eu-platform-rules-but-not-telegram" TargetMode="External"/><Relationship Id="rId26" Type="http://schemas.openxmlformats.org/officeDocument/2006/relationships/hyperlink" Target="https://euvsdisinfo.eu/the-architecture-of-russias-fimi-operations/" TargetMode="External"/><Relationship Id="rId3" Type="http://schemas.openxmlformats.org/officeDocument/2006/relationships/customXml" Target="../customXml/item3.xml"/><Relationship Id="rId21" Type="http://schemas.openxmlformats.org/officeDocument/2006/relationships/hyperlink" Target="https://stratcomcoe.org/publications/social-media-manipulation-for-sale-experiment-on-platform-capabilities-to-detect-and-counter-inauthentic-social-media-engagement/31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eeas.europa.eu/sites/default/files/documents/2025/EEAS-3nd-ThreatReport-March-2025-05-Digital-HD.pdf"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isinfo.eu/publications/platforms-policies-on-elections-misinformation/?tztc=1" TargetMode="External"/><Relationship Id="rId29" Type="http://schemas.openxmlformats.org/officeDocument/2006/relationships/hyperlink" Target="https://commission.europa.eu/strategy-and-policy/priorities-2019-2024/new-push-european-democracy/protecting-democracy/european-media-freedom-act_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sf.org/en/rsf-presses-criminal-charges-against-x-formerly-twitter-its-participation-identity-theft-and"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s://www.eeas.europa.eu/sites/default/files/documents/2024/EEAS-2nd-Report%20on%20FIMI%20Threats-January-2024_0.pdf" TargetMode="External"/><Relationship Id="rId28" Type="http://schemas.openxmlformats.org/officeDocument/2006/relationships/hyperlink" Target="https://digital-strategy.ec.europa.eu/el/news/commission-decides-refer-czechia-spain-cyprus-poland-and-portugal-court-justice-european-union-due" TargetMode="External"/><Relationship Id="rId10" Type="http://schemas.openxmlformats.org/officeDocument/2006/relationships/endnotes" Target="endnotes.xml"/><Relationship Id="rId19" Type="http://schemas.openxmlformats.org/officeDocument/2006/relationships/hyperlink" Target="https://www.eeas.europa.eu/sites/default/files/documents/2025/EEAS-3nd-ThreatReport-March-2025-05-Digital-HD.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eeas.europa.eu/sites/default/files/documents/2025/EEAS-3nd-ThreatReport-March-2025-05-Digital-HD.pdf" TargetMode="External"/><Relationship Id="rId27" Type="http://schemas.openxmlformats.org/officeDocument/2006/relationships/hyperlink" Target="https://digital-strategy.ec.europa.eu/el/policies/dsa-dscs" TargetMode="External"/><Relationship Id="rId30" Type="http://schemas.openxmlformats.org/officeDocument/2006/relationships/header" Target="header7.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A6WAAD5KZT2Q-604569563-15933</_dlc_DocId>
    <_dlc_DocIdUrl xmlns="1a33af13-4045-4f88-9d7b-618e30f79918">
      <Url>http://dm/eesc/2025/_layouts/15/DocIdRedir.aspx?ID=A6WAAD5KZT2Q-604569563-15933</Url>
      <Description>A6WAAD5KZT2Q-604569563-15933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2025-09-19T12:00:00+00:00</ProductionDate>
    <DocumentNumber xmlns="be3ca9a7-9286-4008-99ec-aebc20da9dc2">907</DocumentNumber>
    <FicheYear xmlns="1a33af13-4045-4f88-9d7b-618e30f79918" xsi:nil="true"/>
    <DossierNumber xmlns="1a33af13-4045-4f88-9d7b-618e30f79918">601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246</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BABRAUSKIENĖ &amp; GOBIŅŠ</Rapporteur>
    <DocumentYear xmlns="1a33af13-4045-4f88-9d7b-618e30f79918">2025</DocumentYear>
    <FicheNumber xmlns="1a33af13-4045-4f88-9d7b-618e30f79918">288114</FicheNumber>
    <OriginalSender xmlns="1a33af13-4045-4f88-9d7b-618e30f79918">
      <UserInfo>
        <DisplayName>Kavousanou Marilena</DisplayName>
        <AccountId>1902</AccountId>
        <AccountType/>
      </UserInfo>
    </OriginalSender>
    <DocumentPart xmlns="1a33af13-4045-4f88-9d7b-618e30f79918">0</DocumentPart>
    <AdoptionDate xmlns="1a33af13-4045-4f88-9d7b-618e30f79918">2025-09-18T12:00:00+00:00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49465-BFAD-442C-B100-1DE65236AC8A}">
  <ds:schemaRefs>
    <ds:schemaRef ds:uri="http://schemas.microsoft.com/sharepoint/events"/>
  </ds:schemaRefs>
</ds:datastoreItem>
</file>

<file path=customXml/itemProps2.xml><?xml version="1.0" encoding="utf-8"?>
<ds:datastoreItem xmlns:ds="http://schemas.openxmlformats.org/officeDocument/2006/customXml" ds:itemID="{C8720ABA-9DE9-444E-9059-CD03CCA84D74}"/>
</file>

<file path=customXml/itemProps3.xml><?xml version="1.0" encoding="utf-8"?>
<ds:datastoreItem xmlns:ds="http://schemas.openxmlformats.org/officeDocument/2006/customXml" ds:itemID="{9ADC2426-B49C-41F3-B8CD-9A19E8A7C14A}">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customXml/itemProps4.xml><?xml version="1.0" encoding="utf-8"?>
<ds:datastoreItem xmlns:ds="http://schemas.openxmlformats.org/officeDocument/2006/customXml" ds:itemID="{9667EE92-B602-40AC-9704-782F2DA35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EESC RI - Model</vt:lpstr>
    </vt:vector>
  </TitlesOfParts>
  <Manager/>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μέσα κοινωνικής δικτύωσης και οι αλγόριθμοι της τεχνητής νοημοσύνης: ευθύνη για την προβολή υψηλής ποιότητας και τεκμηριωμένων πληροφοριών όσον αφορά την Ανατολική Ευρώπη</dc:title>
  <dc:creator/>
  <cp:keywords>COR-EESC-2024-01326-27-01-ADMIN-TRA-EN</cp:keywords>
  <dc:description>Rapporteur: -  Original language: - EN Date of document: - 17/04/2024 Date of meeting: -  External documents: -  Administrator responsible: -  SUCIU Serban</dc:description>
  <cp:lastModifiedBy/>
  <cp:revision>10</cp:revision>
  <dcterms:created xsi:type="dcterms:W3CDTF">2025-09-19T07:04:00Z</dcterms:created>
  <dcterms:modified xsi:type="dcterms:W3CDTF">2025-09-19T08:57:00Z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19/09/2025, 12/04/2024, 17/05/2022</vt:lpwstr>
  </property>
  <property fmtid="{D5CDD505-2E9C-101B-9397-08002B2CF9AE}" pid="4" name="Pref_Time">
    <vt:lpwstr>09:04:24, 12:04:59, 14:58:36</vt:lpwstr>
  </property>
  <property fmtid="{D5CDD505-2E9C-101B-9397-08002B2CF9AE}" pid="5" name="Pref_User">
    <vt:lpwstr>amett, enied, enied</vt:lpwstr>
  </property>
  <property fmtid="{D5CDD505-2E9C-101B-9397-08002B2CF9AE}" pid="6" name="Pref_FileName">
    <vt:lpwstr>EESC-2025-00907-00-00-RI-TRA-EN-CRR.docx, COR-EESC-2024-01326-27-00-ADMIN-ORI.docx, COR-EESC-2022-02592-00-00-ADMIN-ORI.docx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4a359b81-e58c-4385-8235-a6931aa1132e</vt:lpwstr>
  </property>
  <property fmtid="{D5CDD505-2E9C-101B-9397-08002B2CF9AE}" pid="9" name="AvailableTranslations">
    <vt:lpwstr>5;#EN|f2175f21-25d7-44a3-96da-d6a61b075e1b;#12;#FR|d2afafd3-4c81-4f60-8f52-ee33f2f54ff3;#50;#HR|2f555653-ed1a-4fe6-8362-9082d95989e5;#47;#BG|1a1b3951-7821-4e6a-85f5-5673fc08bd2c;#35;#FI|87606a43-d45f-42d6-b8c9-e1a3457db5b7;#24;#PL|1e03da61-4678-4e07-b136-b5024ca9197b;#30;#LT|a7ff5ce7-6123-4f68-865a-a57c31810414;#43;#GA|762d2456-c427-4ecb-b312-af3dad8e258c;#28;#SV|c2ed69e7-a339-43d7-8f22-d93680a92aa0;#39;#LV|46f7e311-5d9f-4663-b433-18aeccb7ace7;#46;#SK|46d9fce0-ef79-4f71-b89b-cd6aa82426b8;#36;#RO|feb747a2-64cd-4299-af12-4833ddc30497;#31;#SL|98a412ae-eb01-49e9-ae3d-585a81724cfc;#16;#ES|e7a6b05b-ae16-40c8-add9-68b64b03aeba;#32;#MT|7df99101-6854-4a26-b53a-b88c0da02c26;#34;#IT|0774613c-01ed-4e5d-a25d-11d2388de825;#23;#DE|f6b31e5a-26fa-4935-b661-318e46daf27e;#42;#EL|6d4f4d51-af9b-4650-94b4-4276bee85c91;#40;#DA|5d49c027-8956-412b-aa16-e85a0f96ad0e;#29;#CS|72f9705b-0217-4fd3-bea2-cbc7ed80e26e;#37;#HU|6b229040-c589-4408-b4c1-4285663d20a8;#27;#NL|55c6556c-b4f4-441d-9acf-c498d4f838bd;#33;#PT|50ccc04a-eadd-42ae-a0cb-acaf45f812ba;#41;#ET|ff6c3f4c-b02c-4c3c-ab07-2c37995a7a0a</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907</vt:i4>
  </property>
  <property fmtid="{D5CDD505-2E9C-101B-9397-08002B2CF9AE}" pid="14" name="FicheYear">
    <vt:i4>2024</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2;#REX|6820eaf5-116e-436b-ad9c-156f8a94c2a1</vt:lpwstr>
  </property>
  <property fmtid="{D5CDD505-2E9C-101B-9397-08002B2CF9AE}" pid="19" name="DocumentSource">
    <vt:lpwstr>1;#EESC|422833ec-8d7e-4e65-8e4e-8bed07ffb729</vt:lpwstr>
  </property>
  <property fmtid="{D5CDD505-2E9C-101B-9397-08002B2CF9AE}" pid="20" name="DocumentType">
    <vt:lpwstr>246;#RI|0e66e8df-1601-4fe1-947b-eb539760261a</vt:lpwstr>
  </property>
  <property fmtid="{D5CDD505-2E9C-101B-9397-08002B2CF9AE}" pid="21" name="RequestingService">
    <vt:lpwstr>Relations extérieures</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15;#Unrestricted|826e22d7-d029-4ec0-a450-0c28ff673572;#13;#TRA|150d2a88-1431-44e6-a8ca-0bb753ab8672;#246;#RI|0e66e8df-1601-4fe1-947b-eb539760261a;#5;#EN|f2175f21-25d7-44a3-96da-d6a61b075e1b;#4;#EN|f2175f21-25d7-44a3-96da-d6a61b075e1b;#2;#REX|6820eaf5-116e-436b-ad9c-156f8a94c2a1;#1;#EESC|422833ec-8d7e-4e65-8e4e-8bed07ffb729;#8;#Final|ea5e6674-7b27-4bac-b091-73adbb394efe</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288114</vt:i4>
  </property>
  <property fmtid="{D5CDD505-2E9C-101B-9397-08002B2CF9AE}" pid="35" name="DocumentLanguage">
    <vt:lpwstr>42;#EL|6d4f4d51-af9b-4650-94b4-4276bee85c91</vt:lpwstr>
  </property>
  <property fmtid="{D5CDD505-2E9C-101B-9397-08002B2CF9AE}" pid="36" name="_docset_NoMedatataSyncRequired">
    <vt:lpwstr>False</vt:lpwstr>
  </property>
  <property fmtid="{D5CDD505-2E9C-101B-9397-08002B2CF9AE}" pid="37" name="DossierNumber">
    <vt:i4>601</vt:i4>
  </property>
  <property fmtid="{D5CDD505-2E9C-101B-9397-08002B2CF9AE}" pid="38" name="DocumentLanguage_0">
    <vt:lpwstr>EN|f2175f21-25d7-44a3-96da-d6a61b075e1b</vt:lpwstr>
  </property>
  <property fmtid="{D5CDD505-2E9C-101B-9397-08002B2CF9AE}" pid="40" name="Rapporteur">
    <vt:lpwstr>BABRAUSKIENĖ &amp; GOBIŅŠ</vt:lpwstr>
  </property>
  <property fmtid="{D5CDD505-2E9C-101B-9397-08002B2CF9AE}" pid="41" name="AdoptionDate">
    <vt:filetime>2025-09-18T12:00:00Z</vt:filetime>
  </property>
</Properties>
</file>