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574C9B" w:rsidRPr="00CA3853" w14:paraId="4B18B74B" w14:textId="77777777" w:rsidTr="008E4CC5">
        <w:trPr>
          <w:jc w:val="center"/>
        </w:trPr>
        <w:tc>
          <w:tcPr>
            <w:tcW w:w="5000" w:type="pct"/>
            <w:vAlign w:val="center"/>
          </w:tcPr>
          <w:p w14:paraId="4B8F14AB" w14:textId="1DC17AD9" w:rsidR="00574C9B" w:rsidRPr="00CA3853" w:rsidRDefault="00360204" w:rsidP="00454EBC">
            <w:pPr>
              <w:jc w:val="center"/>
              <w:rPr>
                <w:b/>
                <w:sz w:val="72"/>
                <w:szCs w:val="72"/>
              </w:rPr>
            </w:pPr>
            <w:r>
              <w:rPr>
                <w:b/>
                <w:sz w:val="72"/>
              </w:rPr>
              <w:t>RAPPORT D’INFORMATION</w:t>
            </w:r>
          </w:p>
        </w:tc>
      </w:tr>
      <w:tr w:rsidR="00574C9B" w:rsidRPr="00CA3853" w14:paraId="428F80C1" w14:textId="77777777" w:rsidTr="008E4CC5">
        <w:trPr>
          <w:trHeight w:val="567"/>
          <w:jc w:val="center"/>
        </w:trPr>
        <w:tc>
          <w:tcPr>
            <w:tcW w:w="5000" w:type="pct"/>
            <w:vAlign w:val="center"/>
          </w:tcPr>
          <w:p w14:paraId="0E3C838D" w14:textId="2E0F4618" w:rsidR="00574C9B" w:rsidRPr="00CA3853" w:rsidRDefault="00574C9B" w:rsidP="00454EBC">
            <w:pPr>
              <w:jc w:val="center"/>
              <w:rPr>
                <w:sz w:val="24"/>
                <w:szCs w:val="24"/>
              </w:rPr>
            </w:pPr>
            <w:r>
              <w:rPr>
                <w:sz w:val="24"/>
              </w:rPr>
              <w:t>Comité économique et social européen</w:t>
            </w:r>
          </w:p>
        </w:tc>
      </w:tr>
      <w:tr w:rsidR="00574C9B" w:rsidRPr="00CA3853" w14:paraId="5FCA7EB1" w14:textId="77777777" w:rsidTr="008E4CC5">
        <w:trPr>
          <w:jc w:val="center"/>
        </w:trPr>
        <w:tc>
          <w:tcPr>
            <w:tcW w:w="5000" w:type="pct"/>
            <w:vAlign w:val="center"/>
          </w:tcPr>
          <w:p w14:paraId="164B3F5D" w14:textId="574E2ABF" w:rsidR="00574C9B" w:rsidRPr="00CA3853" w:rsidRDefault="005247BD" w:rsidP="00454EBC">
            <w:pPr>
              <w:jc w:val="center"/>
              <w:rPr>
                <w:b/>
                <w:sz w:val="44"/>
                <w:szCs w:val="44"/>
              </w:rPr>
            </w:pPr>
            <w:r>
              <w:rPr>
                <w:b/>
                <w:sz w:val="44"/>
              </w:rPr>
              <w:t xml:space="preserve">Les médias sociaux et les algorithmes d’intelligence </w:t>
            </w:r>
            <w:proofErr w:type="gramStart"/>
            <w:r>
              <w:rPr>
                <w:b/>
                <w:sz w:val="44"/>
              </w:rPr>
              <w:t>artificielle:</w:t>
            </w:r>
            <w:proofErr w:type="gramEnd"/>
            <w:r>
              <w:rPr>
                <w:b/>
                <w:sz w:val="44"/>
              </w:rPr>
              <w:t xml:space="preserve"> garantir partout </w:t>
            </w:r>
            <w:r w:rsidR="00E8469F">
              <w:rPr>
                <w:b/>
                <w:sz w:val="44"/>
              </w:rPr>
              <w:br/>
            </w:r>
            <w:r>
              <w:rPr>
                <w:b/>
                <w:sz w:val="44"/>
              </w:rPr>
              <w:t xml:space="preserve">en Europe le droit à une information exacte </w:t>
            </w:r>
            <w:r w:rsidR="00E8469F">
              <w:rPr>
                <w:b/>
                <w:sz w:val="44"/>
              </w:rPr>
              <w:br/>
            </w:r>
            <w:r>
              <w:rPr>
                <w:b/>
                <w:sz w:val="44"/>
              </w:rPr>
              <w:t>et la visibilité des contenus de qualité, notamment sur l’Europe centrale et orientale</w:t>
            </w:r>
          </w:p>
        </w:tc>
      </w:tr>
      <w:tr w:rsidR="00574C9B" w:rsidRPr="00CA3853" w14:paraId="0A2CA787" w14:textId="77777777" w:rsidTr="008E4CC5">
        <w:trPr>
          <w:jc w:val="center"/>
        </w:trPr>
        <w:tc>
          <w:tcPr>
            <w:tcW w:w="5000" w:type="pct"/>
            <w:vAlign w:val="center"/>
          </w:tcPr>
          <w:p w14:paraId="766B3712" w14:textId="77777777" w:rsidR="00574C9B" w:rsidRPr="00CA3853" w:rsidRDefault="00574C9B" w:rsidP="00454EBC">
            <w:pPr>
              <w:overflowPunct w:val="0"/>
              <w:autoSpaceDE w:val="0"/>
              <w:autoSpaceDN w:val="0"/>
              <w:adjustRightInd w:val="0"/>
              <w:jc w:val="center"/>
              <w:textAlignment w:val="baseline"/>
              <w:rPr>
                <w:b/>
                <w:position w:val="24"/>
                <w:sz w:val="24"/>
                <w:szCs w:val="24"/>
              </w:rPr>
            </w:pPr>
            <w:r>
              <w:rPr>
                <w:sz w:val="24"/>
              </w:rPr>
              <w:t>_____________</w:t>
            </w:r>
          </w:p>
        </w:tc>
      </w:tr>
      <w:tr w:rsidR="00574C9B" w:rsidRPr="00CA3853" w14:paraId="651BE820" w14:textId="77777777" w:rsidTr="008E4CC5">
        <w:trPr>
          <w:jc w:val="center"/>
        </w:trPr>
        <w:tc>
          <w:tcPr>
            <w:tcW w:w="5000" w:type="pct"/>
            <w:vAlign w:val="center"/>
          </w:tcPr>
          <w:p w14:paraId="6E238E6D" w14:textId="70A3B3E5" w:rsidR="005247BD" w:rsidRPr="00CA3853" w:rsidRDefault="005247BD" w:rsidP="00454EBC">
            <w:pPr>
              <w:jc w:val="center"/>
              <w:rPr>
                <w:sz w:val="24"/>
                <w:szCs w:val="24"/>
              </w:rPr>
            </w:pPr>
            <w:r>
              <w:rPr>
                <w:sz w:val="24"/>
              </w:rPr>
              <w:t xml:space="preserve">Les médias sociaux et les algorithmes d’intelligence </w:t>
            </w:r>
            <w:proofErr w:type="gramStart"/>
            <w:r>
              <w:rPr>
                <w:sz w:val="24"/>
              </w:rPr>
              <w:t>artificielle:</w:t>
            </w:r>
            <w:proofErr w:type="gramEnd"/>
            <w:r>
              <w:rPr>
                <w:sz w:val="24"/>
              </w:rPr>
              <w:t xml:space="preserve"> garantir partout en Europe </w:t>
            </w:r>
            <w:r w:rsidR="00E8469F">
              <w:rPr>
                <w:sz w:val="24"/>
              </w:rPr>
              <w:br/>
            </w:r>
            <w:r>
              <w:rPr>
                <w:sz w:val="24"/>
              </w:rPr>
              <w:t xml:space="preserve">le droit à une information exacte et la visibilité des contenus de qualité, </w:t>
            </w:r>
            <w:r w:rsidR="00E8469F">
              <w:rPr>
                <w:sz w:val="24"/>
              </w:rPr>
              <w:br/>
            </w:r>
            <w:r>
              <w:rPr>
                <w:sz w:val="24"/>
              </w:rPr>
              <w:t>notamment sur l’Europe centrale et orientale</w:t>
            </w:r>
          </w:p>
        </w:tc>
      </w:tr>
      <w:tr w:rsidR="00574C9B" w:rsidRPr="00CA3853" w14:paraId="295584EE" w14:textId="77777777" w:rsidTr="008E4CC5">
        <w:trPr>
          <w:jc w:val="center"/>
        </w:trPr>
        <w:tc>
          <w:tcPr>
            <w:tcW w:w="5000" w:type="pct"/>
            <w:vAlign w:val="center"/>
          </w:tcPr>
          <w:p w14:paraId="7AA50FA1" w14:textId="77777777" w:rsidR="00574C9B" w:rsidRPr="00CA3853" w:rsidRDefault="00574C9B" w:rsidP="00454EBC">
            <w:pPr>
              <w:jc w:val="center"/>
              <w:rPr>
                <w:sz w:val="24"/>
                <w:szCs w:val="24"/>
                <w:lang w:val="en-GB"/>
              </w:rPr>
            </w:pPr>
          </w:p>
        </w:tc>
      </w:tr>
      <w:tr w:rsidR="00574C9B" w:rsidRPr="00CA3853" w14:paraId="41F47321" w14:textId="77777777" w:rsidTr="008E4CC5">
        <w:trPr>
          <w:jc w:val="center"/>
        </w:trPr>
        <w:tc>
          <w:tcPr>
            <w:tcW w:w="5000" w:type="pct"/>
            <w:vAlign w:val="center"/>
          </w:tcPr>
          <w:p w14:paraId="50D97899" w14:textId="4BD8FE75" w:rsidR="00574C9B" w:rsidRPr="00CA3853" w:rsidRDefault="005247BD" w:rsidP="00454EBC">
            <w:pPr>
              <w:jc w:val="center"/>
              <w:rPr>
                <w:b/>
                <w:sz w:val="24"/>
                <w:szCs w:val="24"/>
              </w:rPr>
            </w:pPr>
            <w:r>
              <w:rPr>
                <w:b/>
                <w:sz w:val="24"/>
              </w:rPr>
              <w:t>REX/601</w:t>
            </w:r>
          </w:p>
        </w:tc>
      </w:tr>
      <w:tr w:rsidR="00574C9B" w:rsidRPr="00CA3853" w14:paraId="2110FDEB" w14:textId="77777777" w:rsidTr="008E4CC5">
        <w:trPr>
          <w:jc w:val="center"/>
        </w:trPr>
        <w:tc>
          <w:tcPr>
            <w:tcW w:w="5000" w:type="pct"/>
            <w:vAlign w:val="center"/>
          </w:tcPr>
          <w:p w14:paraId="59F181E4" w14:textId="77777777" w:rsidR="00574C9B" w:rsidRPr="00CA3853" w:rsidRDefault="00574C9B" w:rsidP="00454EBC">
            <w:pPr>
              <w:jc w:val="center"/>
              <w:rPr>
                <w:sz w:val="24"/>
                <w:szCs w:val="24"/>
                <w:lang w:val="en-GB"/>
              </w:rPr>
            </w:pPr>
          </w:p>
        </w:tc>
      </w:tr>
      <w:tr w:rsidR="00574C9B" w:rsidRPr="00CA3853" w14:paraId="5DF7EBEA" w14:textId="77777777" w:rsidTr="008E4CC5">
        <w:trPr>
          <w:jc w:val="center"/>
        </w:trPr>
        <w:tc>
          <w:tcPr>
            <w:tcW w:w="5000" w:type="pct"/>
            <w:vAlign w:val="center"/>
          </w:tcPr>
          <w:p w14:paraId="23E9DE0A" w14:textId="0D8B0CE9" w:rsidR="00574C9B" w:rsidRPr="00CA3853" w:rsidRDefault="00574C9B" w:rsidP="00454EBC">
            <w:pPr>
              <w:jc w:val="center"/>
              <w:rPr>
                <w:sz w:val="24"/>
                <w:szCs w:val="24"/>
              </w:rPr>
            </w:pPr>
            <w:proofErr w:type="gramStart"/>
            <w:r>
              <w:rPr>
                <w:sz w:val="24"/>
              </w:rPr>
              <w:t>Rapporteure:</w:t>
            </w:r>
            <w:proofErr w:type="gramEnd"/>
            <w:r>
              <w:rPr>
                <w:sz w:val="24"/>
              </w:rPr>
              <w:t xml:space="preserve"> </w:t>
            </w:r>
            <w:r>
              <w:rPr>
                <w:b/>
                <w:sz w:val="24"/>
              </w:rPr>
              <w:t>Tatjana BABRAUSKIENĖ</w:t>
            </w:r>
          </w:p>
        </w:tc>
      </w:tr>
      <w:tr w:rsidR="00CB7CD0" w:rsidRPr="00CA3853" w14:paraId="1AE590E4" w14:textId="77777777" w:rsidTr="008E4CC5">
        <w:trPr>
          <w:jc w:val="center"/>
        </w:trPr>
        <w:tc>
          <w:tcPr>
            <w:tcW w:w="5000" w:type="pct"/>
            <w:vAlign w:val="center"/>
          </w:tcPr>
          <w:p w14:paraId="3CA82D7B" w14:textId="19D6F4B5" w:rsidR="00CB7CD0" w:rsidRPr="00CA3853" w:rsidRDefault="00CB7CD0" w:rsidP="00454EBC">
            <w:pPr>
              <w:jc w:val="center"/>
              <w:rPr>
                <w:sz w:val="24"/>
                <w:szCs w:val="24"/>
              </w:rPr>
            </w:pPr>
            <w:proofErr w:type="gramStart"/>
            <w:r>
              <w:rPr>
                <w:sz w:val="24"/>
              </w:rPr>
              <w:t>Corapporteur:</w:t>
            </w:r>
            <w:proofErr w:type="gramEnd"/>
            <w:r>
              <w:rPr>
                <w:sz w:val="24"/>
              </w:rPr>
              <w:t xml:space="preserve"> </w:t>
            </w:r>
            <w:proofErr w:type="spellStart"/>
            <w:r>
              <w:rPr>
                <w:b/>
                <w:sz w:val="24"/>
              </w:rPr>
              <w:t>Andris</w:t>
            </w:r>
            <w:proofErr w:type="spellEnd"/>
            <w:r>
              <w:rPr>
                <w:b/>
                <w:sz w:val="24"/>
              </w:rPr>
              <w:t> GOBIŅŠ</w:t>
            </w:r>
          </w:p>
        </w:tc>
      </w:tr>
    </w:tbl>
    <w:p w14:paraId="0B225863" w14:textId="77777777" w:rsidR="00574C9B" w:rsidRPr="00CA3853" w:rsidRDefault="00574C9B" w:rsidP="00454EBC">
      <w:r>
        <w:rPr>
          <w:noProof/>
          <w:sz w:val="20"/>
        </w:rPr>
        <mc:AlternateContent>
          <mc:Choice Requires="wps">
            <w:drawing>
              <wp:anchor distT="0" distB="0" distL="114300" distR="114300" simplePos="0" relativeHeight="251664384" behindDoc="1" locked="0" layoutInCell="0" allowOverlap="1" wp14:anchorId="3735E109" wp14:editId="3357AC0E">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00903" w14:textId="77777777" w:rsidR="00574C9B" w:rsidRDefault="00574C9B" w:rsidP="00574C9B">
                            <w:pPr>
                              <w:jc w:val="cente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5E109"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2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o:allowincell="f" filled="f" stroked="f">
                <v:textbox>
                  <w:txbxContent>
                    <w:p w14:paraId="03B00903" w14:textId="77777777" w:rsidR="00574C9B" w:rsidRDefault="00574C9B" w:rsidP="00574C9B">
                      <w:pPr>
                        <w:jc w:val="center"/>
                      </w:pPr>
                      <w:r>
                        <w:rPr>
                          <w:rFonts w:ascii="Arial" w:hAnsi="Arial"/>
                          <w:b/>
                          <w:sz w:val="48"/>
                        </w:rPr>
                        <w:t>FR</w:t>
                      </w:r>
                    </w:p>
                  </w:txbxContent>
                </v:textbox>
                <w10:wrap anchorx="margin" anchory="page"/>
              </v:shape>
            </w:pict>
          </mc:Fallback>
        </mc:AlternateContent>
      </w:r>
    </w:p>
    <w:p w14:paraId="3FA5826A" w14:textId="77777777" w:rsidR="00574C9B" w:rsidRPr="00CA3853" w:rsidRDefault="00574C9B" w:rsidP="00454EBC">
      <w:pPr>
        <w:rPr>
          <w:lang w:val="en-GB"/>
        </w:rPr>
      </w:pPr>
    </w:p>
    <w:p w14:paraId="4B88FC0A" w14:textId="77777777" w:rsidR="00574C9B" w:rsidRPr="00CA3853" w:rsidRDefault="00574C9B" w:rsidP="00454EBC">
      <w:pPr>
        <w:rPr>
          <w:lang w:val="en-GB"/>
        </w:rPr>
        <w:sectPr w:rsidR="00574C9B" w:rsidRPr="00CA3853" w:rsidSect="00AC5114">
          <w:headerReference w:type="even" r:id="rId11"/>
          <w:headerReference w:type="default" r:id="rId12"/>
          <w:footerReference w:type="even" r:id="rId13"/>
          <w:footerReference w:type="default" r:id="rId14"/>
          <w:headerReference w:type="first" r:id="rId15"/>
          <w:footerReference w:type="first" r:id="rId16"/>
          <w:pgSz w:w="11907" w:h="16839" w:code="9"/>
          <w:pgMar w:top="5670" w:right="1418" w:bottom="1418" w:left="1418"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C5137B" w:rsidRPr="00CA3853" w14:paraId="6755593A" w14:textId="77777777" w:rsidTr="00E15BF4">
        <w:tc>
          <w:tcPr>
            <w:tcW w:w="3085" w:type="dxa"/>
          </w:tcPr>
          <w:p w14:paraId="5F91A05F" w14:textId="0D333D6B" w:rsidR="00C5137B" w:rsidRPr="00CA3853" w:rsidRDefault="00C5137B" w:rsidP="00454EBC">
            <w:pPr>
              <w:autoSpaceDE w:val="0"/>
              <w:autoSpaceDN w:val="0"/>
              <w:jc w:val="left"/>
              <w:rPr>
                <w:szCs w:val="20"/>
              </w:rPr>
            </w:pPr>
            <w:r>
              <w:lastRenderedPageBreak/>
              <w:t>Conseillère</w:t>
            </w:r>
          </w:p>
        </w:tc>
        <w:tc>
          <w:tcPr>
            <w:tcW w:w="6204" w:type="dxa"/>
            <w:vAlign w:val="bottom"/>
          </w:tcPr>
          <w:p w14:paraId="70C24170" w14:textId="481A71DA" w:rsidR="00C5137B" w:rsidRPr="00CA3853" w:rsidRDefault="005247BD" w:rsidP="00454EBC">
            <w:pPr>
              <w:autoSpaceDE w:val="0"/>
              <w:autoSpaceDN w:val="0"/>
              <w:jc w:val="left"/>
            </w:pPr>
            <w:r>
              <w:t>Hanna LIUBAKOVA</w:t>
            </w:r>
          </w:p>
        </w:tc>
      </w:tr>
      <w:tr w:rsidR="00C5137B" w:rsidRPr="00CA3853" w14:paraId="0F2D8E06" w14:textId="77777777" w:rsidTr="00E15BF4">
        <w:tc>
          <w:tcPr>
            <w:tcW w:w="3085" w:type="dxa"/>
          </w:tcPr>
          <w:p w14:paraId="4CD317AD" w14:textId="77777777" w:rsidR="00C5137B" w:rsidRPr="00CA3853" w:rsidRDefault="00C5137B" w:rsidP="00454EBC">
            <w:pPr>
              <w:autoSpaceDE w:val="0"/>
              <w:autoSpaceDN w:val="0"/>
              <w:jc w:val="left"/>
              <w:rPr>
                <w:szCs w:val="20"/>
                <w:lang w:val="en-GB"/>
              </w:rPr>
            </w:pPr>
          </w:p>
        </w:tc>
        <w:tc>
          <w:tcPr>
            <w:tcW w:w="6204" w:type="dxa"/>
            <w:vAlign w:val="bottom"/>
          </w:tcPr>
          <w:p w14:paraId="59403491" w14:textId="77777777" w:rsidR="00C5137B" w:rsidRPr="00CA3853" w:rsidRDefault="00C5137B" w:rsidP="00454EBC">
            <w:pPr>
              <w:autoSpaceDE w:val="0"/>
              <w:autoSpaceDN w:val="0"/>
              <w:jc w:val="left"/>
              <w:rPr>
                <w:lang w:val="en-GB"/>
              </w:rPr>
            </w:pPr>
          </w:p>
        </w:tc>
      </w:tr>
      <w:tr w:rsidR="00914683" w:rsidRPr="00CA3853" w14:paraId="3E385435" w14:textId="77777777" w:rsidTr="00E15BF4">
        <w:tc>
          <w:tcPr>
            <w:tcW w:w="3085" w:type="dxa"/>
          </w:tcPr>
          <w:p w14:paraId="3054D729" w14:textId="5D5B5FF6" w:rsidR="00914683" w:rsidRPr="00CA3853" w:rsidRDefault="00914683" w:rsidP="00454EBC">
            <w:pPr>
              <w:autoSpaceDE w:val="0"/>
              <w:autoSpaceDN w:val="0"/>
              <w:jc w:val="left"/>
              <w:rPr>
                <w:szCs w:val="20"/>
              </w:rPr>
            </w:pPr>
            <w:r>
              <w:t>Base juridique</w:t>
            </w:r>
          </w:p>
        </w:tc>
        <w:tc>
          <w:tcPr>
            <w:tcW w:w="6204" w:type="dxa"/>
            <w:vAlign w:val="bottom"/>
          </w:tcPr>
          <w:p w14:paraId="41CF067A" w14:textId="0D6FB79C" w:rsidR="00914683" w:rsidRPr="00CA3853" w:rsidRDefault="00914683" w:rsidP="00454EBC">
            <w:pPr>
              <w:autoSpaceDE w:val="0"/>
              <w:autoSpaceDN w:val="0"/>
              <w:jc w:val="left"/>
            </w:pPr>
            <w:r>
              <w:t>Article 52, paragraphe 3, du règlement intérieur</w:t>
            </w:r>
          </w:p>
        </w:tc>
      </w:tr>
      <w:tr w:rsidR="00AC5114" w:rsidRPr="00CA3853" w14:paraId="0E2099A6" w14:textId="77777777" w:rsidTr="00E15BF4">
        <w:tc>
          <w:tcPr>
            <w:tcW w:w="3085" w:type="dxa"/>
          </w:tcPr>
          <w:p w14:paraId="0BC68BA5" w14:textId="77777777" w:rsidR="00AC5114" w:rsidRPr="00CA3853" w:rsidRDefault="00AC5114" w:rsidP="00454EBC">
            <w:pPr>
              <w:autoSpaceDE w:val="0"/>
              <w:autoSpaceDN w:val="0"/>
              <w:jc w:val="left"/>
            </w:pPr>
            <w:r>
              <w:t>Compétence</w:t>
            </w:r>
          </w:p>
        </w:tc>
        <w:tc>
          <w:tcPr>
            <w:tcW w:w="6204" w:type="dxa"/>
            <w:vAlign w:val="bottom"/>
          </w:tcPr>
          <w:p w14:paraId="5AE7EA9E" w14:textId="266F319F" w:rsidR="00AC5114" w:rsidRPr="00CA3853" w:rsidRDefault="005247BD" w:rsidP="00454EBC">
            <w:pPr>
              <w:autoSpaceDE w:val="0"/>
              <w:autoSpaceDN w:val="0"/>
              <w:jc w:val="left"/>
            </w:pPr>
            <w:r>
              <w:t>Section</w:t>
            </w:r>
            <w:proofErr w:type="gramStart"/>
            <w:r>
              <w:t xml:space="preserve"> «Relations</w:t>
            </w:r>
            <w:proofErr w:type="gramEnd"/>
            <w:r>
              <w:t xml:space="preserve"> extérieures»</w:t>
            </w:r>
          </w:p>
        </w:tc>
      </w:tr>
      <w:tr w:rsidR="00AC5114" w:rsidRPr="00CA3853" w14:paraId="53972E32" w14:textId="77777777" w:rsidTr="00E15BF4">
        <w:tc>
          <w:tcPr>
            <w:tcW w:w="3085" w:type="dxa"/>
          </w:tcPr>
          <w:p w14:paraId="13B33E83" w14:textId="77777777" w:rsidR="00AC5114" w:rsidRPr="00CA3853" w:rsidRDefault="00AC5114" w:rsidP="00454EBC">
            <w:pPr>
              <w:autoSpaceDE w:val="0"/>
              <w:autoSpaceDN w:val="0"/>
              <w:jc w:val="left"/>
            </w:pPr>
            <w:r>
              <w:t>Adoption en section</w:t>
            </w:r>
          </w:p>
        </w:tc>
        <w:tc>
          <w:tcPr>
            <w:tcW w:w="6204" w:type="dxa"/>
            <w:vAlign w:val="bottom"/>
          </w:tcPr>
          <w:p w14:paraId="5E71ECD2" w14:textId="724DC4F5" w:rsidR="00AC5114" w:rsidRPr="00CA3853" w:rsidRDefault="005247BD" w:rsidP="00454EBC">
            <w:pPr>
              <w:autoSpaceDE w:val="0"/>
              <w:autoSpaceDN w:val="0"/>
              <w:jc w:val="left"/>
            </w:pPr>
            <w:r>
              <w:t>9/7/2025</w:t>
            </w:r>
          </w:p>
        </w:tc>
      </w:tr>
      <w:tr w:rsidR="0058411F" w:rsidRPr="00CA3853" w14:paraId="7AE47B93" w14:textId="77777777" w:rsidTr="00E15BF4">
        <w:tc>
          <w:tcPr>
            <w:tcW w:w="3085" w:type="dxa"/>
          </w:tcPr>
          <w:p w14:paraId="26DE3092" w14:textId="352FC8CA" w:rsidR="0058411F" w:rsidRPr="00CA3853" w:rsidRDefault="0058411F" w:rsidP="00454EBC">
            <w:pPr>
              <w:autoSpaceDE w:val="0"/>
              <w:autoSpaceDN w:val="0"/>
              <w:jc w:val="left"/>
            </w:pPr>
            <w:r>
              <w:t>Adoption en session plénière</w:t>
            </w:r>
          </w:p>
        </w:tc>
        <w:tc>
          <w:tcPr>
            <w:tcW w:w="6204" w:type="dxa"/>
            <w:vAlign w:val="bottom"/>
          </w:tcPr>
          <w:p w14:paraId="34FA2183" w14:textId="716AF036" w:rsidR="0058411F" w:rsidRPr="00CA3853" w:rsidRDefault="005247BD" w:rsidP="00454EBC">
            <w:pPr>
              <w:autoSpaceDE w:val="0"/>
              <w:autoSpaceDN w:val="0"/>
              <w:jc w:val="left"/>
            </w:pPr>
            <w:r>
              <w:t>18/9/2025</w:t>
            </w:r>
          </w:p>
        </w:tc>
      </w:tr>
      <w:tr w:rsidR="0058411F" w:rsidRPr="00CA3853" w14:paraId="2FE8AE44" w14:textId="77777777" w:rsidTr="00E15BF4">
        <w:tc>
          <w:tcPr>
            <w:tcW w:w="3085" w:type="dxa"/>
          </w:tcPr>
          <w:p w14:paraId="2A65A034" w14:textId="77777777" w:rsidR="0058411F" w:rsidRPr="00CA3853" w:rsidRDefault="0058411F" w:rsidP="00454EBC">
            <w:pPr>
              <w:autoSpaceDE w:val="0"/>
              <w:autoSpaceDN w:val="0"/>
              <w:jc w:val="left"/>
            </w:pPr>
            <w:r>
              <w:t>Session plénière nº</w:t>
            </w:r>
          </w:p>
        </w:tc>
        <w:tc>
          <w:tcPr>
            <w:tcW w:w="6204" w:type="dxa"/>
            <w:vAlign w:val="bottom"/>
          </w:tcPr>
          <w:p w14:paraId="17BFB0A7" w14:textId="7F7E24EE" w:rsidR="0058411F" w:rsidRPr="00CA3853" w:rsidRDefault="002A77F4" w:rsidP="00454EBC">
            <w:pPr>
              <w:autoSpaceDE w:val="0"/>
              <w:autoSpaceDN w:val="0"/>
              <w:jc w:val="left"/>
            </w:pPr>
            <w:r>
              <w:t>599</w:t>
            </w:r>
          </w:p>
        </w:tc>
      </w:tr>
      <w:tr w:rsidR="0058411F" w:rsidRPr="00CA3853" w14:paraId="3889B17A" w14:textId="77777777" w:rsidTr="00E15BF4">
        <w:tc>
          <w:tcPr>
            <w:tcW w:w="3085" w:type="dxa"/>
          </w:tcPr>
          <w:p w14:paraId="0C723801" w14:textId="77777777" w:rsidR="0058411F" w:rsidRPr="00CA3853" w:rsidRDefault="0058411F" w:rsidP="00454EBC">
            <w:pPr>
              <w:autoSpaceDE w:val="0"/>
              <w:autoSpaceDN w:val="0"/>
              <w:jc w:val="left"/>
            </w:pPr>
            <w:r>
              <w:t>Résultat du vote</w:t>
            </w:r>
            <w:r>
              <w:br/>
              <w:t>(pour/contre/abstentions)</w:t>
            </w:r>
          </w:p>
        </w:tc>
        <w:tc>
          <w:tcPr>
            <w:tcW w:w="6204" w:type="dxa"/>
            <w:vAlign w:val="bottom"/>
          </w:tcPr>
          <w:p w14:paraId="14DB34EA" w14:textId="61802F6B" w:rsidR="0058411F" w:rsidRPr="00CA3853" w:rsidRDefault="004A5B45" w:rsidP="00454EBC">
            <w:pPr>
              <w:autoSpaceDE w:val="0"/>
              <w:autoSpaceDN w:val="0"/>
              <w:jc w:val="left"/>
            </w:pPr>
            <w:r>
              <w:t>141/0/2</w:t>
            </w:r>
          </w:p>
        </w:tc>
      </w:tr>
    </w:tbl>
    <w:p w14:paraId="156A5F34" w14:textId="77777777" w:rsidR="00AC5114" w:rsidRPr="00CA3853" w:rsidRDefault="00AC5114" w:rsidP="00454EBC">
      <w:pPr>
        <w:rPr>
          <w:lang w:val="en-GB"/>
        </w:rPr>
      </w:pPr>
    </w:p>
    <w:p w14:paraId="2CD3051D" w14:textId="77777777" w:rsidR="00AC5114" w:rsidRPr="00CA3853" w:rsidRDefault="00AC5114" w:rsidP="00454EBC">
      <w:pPr>
        <w:rPr>
          <w:lang w:val="en-GB"/>
        </w:rPr>
        <w:sectPr w:rsidR="00AC5114" w:rsidRPr="00CA3853" w:rsidSect="00653E7D">
          <w:headerReference w:type="even" r:id="rId17"/>
          <w:headerReference w:type="default" r:id="rId18"/>
          <w:footerReference w:type="default" r:id="rId19"/>
          <w:headerReference w:type="first" r:id="rId20"/>
          <w:pgSz w:w="11907" w:h="16839" w:code="9"/>
          <w:pgMar w:top="5670" w:right="1418" w:bottom="1418" w:left="1418" w:header="709" w:footer="709" w:gutter="0"/>
          <w:cols w:space="720"/>
          <w:docGrid w:linePitch="360"/>
        </w:sectPr>
      </w:pPr>
    </w:p>
    <w:p w14:paraId="075834E6" w14:textId="77777777" w:rsidR="005247BD" w:rsidRPr="004E5902" w:rsidRDefault="005247BD" w:rsidP="00454EBC">
      <w:pPr>
        <w:pStyle w:val="Heading1"/>
        <w:rPr>
          <w:b/>
          <w:bCs/>
        </w:rPr>
      </w:pPr>
      <w:r>
        <w:rPr>
          <w:b/>
        </w:rPr>
        <w:lastRenderedPageBreak/>
        <w:t>Synthèse</w:t>
      </w:r>
    </w:p>
    <w:p w14:paraId="5DF2176C" w14:textId="77777777" w:rsidR="005247BD" w:rsidRPr="004E5902" w:rsidRDefault="005247BD" w:rsidP="00454EBC">
      <w:pPr>
        <w:rPr>
          <w:lang w:val="en-GB"/>
        </w:rPr>
      </w:pPr>
    </w:p>
    <w:p w14:paraId="2B796918" w14:textId="77777777" w:rsidR="005247BD" w:rsidRPr="004E5902" w:rsidRDefault="005247BD" w:rsidP="00454EBC">
      <w:pPr>
        <w:pStyle w:val="Heading2"/>
      </w:pPr>
      <w:r>
        <w:t>La guerre hybride qui est menée contre la démocratie en Europe orientale va au-delà des actions militaires et comporte des campagnes de désinformation sophistiquées visant à saper la confiance dans les institutions démocratiques. Ces campagnes exploitent les divisions sociétales et ciblent les populations vulnérables au moyen de discours qui leur sont adaptés et qui suscitent la peur et l’incertitude. Les médias sociaux et les algorithmes d’intelligence artificielle (IA) jouent un rôle crucial, compte tenu de leur capacité à soutenir ou à affaiblir les normes démocratiques. Le présent rapport souligne qu’il est urgent d’apporter des réponses globales pour contrer ces menaces et préconise une collaboration internationale afin de renforcer l’intégrité démocratique et de donner aux citoyens les moyens de discerner les informations crédibles dans un paysage numérique complexe.</w:t>
      </w:r>
    </w:p>
    <w:p w14:paraId="6BC195E8" w14:textId="77777777" w:rsidR="005247BD" w:rsidRPr="004E5902" w:rsidRDefault="005247BD" w:rsidP="00454EBC">
      <w:pPr>
        <w:rPr>
          <w:lang w:val="en-GB"/>
        </w:rPr>
      </w:pPr>
    </w:p>
    <w:p w14:paraId="7CA0DD76" w14:textId="77777777" w:rsidR="005247BD" w:rsidRPr="004E5902" w:rsidRDefault="005247BD" w:rsidP="00454EBC">
      <w:pPr>
        <w:pStyle w:val="Heading2"/>
      </w:pPr>
      <w:r>
        <w:t>Les plateformes de médias sociaux et les algorithmes d’IA orientent aujourd’hui de façon décisive le débat public et les informations que les Européens consultent, et ils amplifient souvent les contenus sensationnels ou controversés au détriment d’un journalisme de haute qualité. En donnant la priorité à l’engagement plutôt qu’à la précision, leur conception tend à déclasser les voix indépendantes, en particulier celles d’Europe orientale, tandis que les contenus clivants foisonnent. Le présent rapport examine la manière dont ces facteurs, outre les ingérences étrangères, faussent les informations concernant l’Europe orientale et il étudie les réponses que l’on peut apporter sur le plan de l’action politique.</w:t>
      </w:r>
    </w:p>
    <w:p w14:paraId="425D058F" w14:textId="77777777" w:rsidR="005247BD" w:rsidRPr="004E5902" w:rsidRDefault="005247BD" w:rsidP="00454EBC">
      <w:pPr>
        <w:pStyle w:val="Heading2"/>
        <w:numPr>
          <w:ilvl w:val="0"/>
          <w:numId w:val="0"/>
        </w:numPr>
        <w:rPr>
          <w:lang w:val="en-GB"/>
        </w:rPr>
      </w:pPr>
    </w:p>
    <w:p w14:paraId="05AB0503" w14:textId="77777777" w:rsidR="005247BD" w:rsidRPr="004E5902" w:rsidRDefault="005247BD" w:rsidP="00454EBC">
      <w:pPr>
        <w:pStyle w:val="Heading2"/>
      </w:pPr>
      <w:r>
        <w:t>En Europe centrale et orientale, l’espace de l’information est particulièrement vulnérable. La désinformation, émanant principalement de la Russie, mais aussi de plus en plus de la Chine, est adaptée aux langues et contenus locaux et exploite les tensions et la prédominance de contenus en langue russe. Les changements d’algorithmes, qui reflètent souvent les idéologies des propriétaires de plateformes, peuvent également causer des préjudices. </w:t>
      </w:r>
    </w:p>
    <w:p w14:paraId="0CEBF133" w14:textId="77777777" w:rsidR="005247BD" w:rsidRPr="00CA3853" w:rsidRDefault="005247BD" w:rsidP="00454EBC">
      <w:pPr>
        <w:pStyle w:val="ListParagraph"/>
        <w:ind w:left="0"/>
      </w:pPr>
    </w:p>
    <w:p w14:paraId="5290F257" w14:textId="77777777" w:rsidR="005247BD" w:rsidRPr="004E5902" w:rsidRDefault="005247BD" w:rsidP="00454EBC">
      <w:pPr>
        <w:pStyle w:val="Heading2"/>
      </w:pPr>
      <w:r>
        <w:t xml:space="preserve">Si la plupart des voisins de l’Union, ainsi que certains États membres, sont confrontés à ces problèmes, le présent rapport met l’accent sur l’Europe orientale en raison de son importance stratégique et de son exposition accrue aux manipulations étrangères. Les discours en langue russe dominent les espaces numériques, tandis que les voix indépendantes sont marginalisées. Des plateformes populaires telles que </w:t>
      </w:r>
      <w:proofErr w:type="spellStart"/>
      <w:r>
        <w:t>Telegram</w:t>
      </w:r>
      <w:proofErr w:type="spellEnd"/>
      <w:r>
        <w:t xml:space="preserve"> et </w:t>
      </w:r>
      <w:proofErr w:type="spellStart"/>
      <w:r>
        <w:t>VKontakte</w:t>
      </w:r>
      <w:proofErr w:type="spellEnd"/>
      <w:r>
        <w:t xml:space="preserve"> </w:t>
      </w:r>
      <w:hyperlink r:id="rId21">
        <w:r>
          <w:rPr>
            <w:color w:val="1155CC"/>
            <w:u w:val="single"/>
          </w:rPr>
          <w:t>échappent à la réglementation de l’Union</w:t>
        </w:r>
      </w:hyperlink>
      <w:r>
        <w:t>, ce qui crée des angles morts. Vu l’application insuffisante de la législation et la faiblesse des amendes, les plateformes ne respectent que peu les réglementations. Ces lacunes réglementaires exigent des mesures ciblées pour préserver le pluralisme des médias et la résilience démocratique.</w:t>
      </w:r>
    </w:p>
    <w:p w14:paraId="1DADD204" w14:textId="77777777" w:rsidR="005247BD" w:rsidRPr="00CA3853" w:rsidRDefault="005247BD" w:rsidP="00454EBC">
      <w:pPr>
        <w:pStyle w:val="ListParagraph"/>
        <w:ind w:left="0"/>
      </w:pPr>
    </w:p>
    <w:p w14:paraId="305EB833" w14:textId="77777777" w:rsidR="005247BD" w:rsidRPr="004E5902" w:rsidRDefault="005247BD" w:rsidP="00454EBC">
      <w:pPr>
        <w:pStyle w:val="Heading2"/>
      </w:pPr>
      <w:r>
        <w:t xml:space="preserve">La Biélorussie met clairement ces défis en lumière. La répression, la marginalisation numérique et la négligence algorithmique convergent pour réduire au silence les voix dissidentes et renforcer la propagande, ce qui oriente les impressions européennes. Une dynamique similaire existe dans toute l’Europe centrale et orientale, où les plateformes manquent souvent de politiques locales et où les outils d’IA sont entraînés sur des sources non fiables. Des services tels que </w:t>
      </w:r>
      <w:proofErr w:type="spellStart"/>
      <w:r>
        <w:t>Telegram</w:t>
      </w:r>
      <w:proofErr w:type="spellEnd"/>
      <w:r>
        <w:t xml:space="preserve"> échappent au contrôle de l’Union.</w:t>
      </w:r>
    </w:p>
    <w:p w14:paraId="3CCD40B6" w14:textId="77777777" w:rsidR="005247BD" w:rsidRPr="00CA3853" w:rsidRDefault="005247BD" w:rsidP="00454EBC">
      <w:pPr>
        <w:pStyle w:val="ListParagraph"/>
        <w:ind w:left="0"/>
      </w:pPr>
    </w:p>
    <w:p w14:paraId="29386B32" w14:textId="77777777" w:rsidR="005247BD" w:rsidRPr="004E5902" w:rsidRDefault="005247BD" w:rsidP="00454EBC">
      <w:pPr>
        <w:pStyle w:val="Heading2"/>
      </w:pPr>
      <w:r>
        <w:lastRenderedPageBreak/>
        <w:t>Si des instruments tels que le règlement sur les services numériques, le règlement sur l’intelligence artificielle et le règlement européen sur la liberté des médias visent à améliorer la transparence et la responsabilité, leur application est inégale et des lacunes subsistent. Des biais linguistiques et narratifs, comme l’utilisation continue du terme</w:t>
      </w:r>
      <w:proofErr w:type="gramStart"/>
      <w:r>
        <w:t xml:space="preserve"> «ex</w:t>
      </w:r>
      <w:proofErr w:type="gramEnd"/>
      <w:r>
        <w:t>-soviétique», faussent encore davantage des identités et des histoires très diverses.</w:t>
      </w:r>
    </w:p>
    <w:p w14:paraId="74753846" w14:textId="77777777" w:rsidR="005247BD" w:rsidRPr="00CA3853" w:rsidRDefault="005247BD" w:rsidP="00454EBC">
      <w:pPr>
        <w:pStyle w:val="ListParagraph"/>
        <w:ind w:left="0"/>
      </w:pPr>
    </w:p>
    <w:p w14:paraId="4FFCD0D6" w14:textId="77777777" w:rsidR="005247BD" w:rsidRPr="004E5902" w:rsidRDefault="005247BD" w:rsidP="00454EBC">
      <w:pPr>
        <w:pStyle w:val="Heading2"/>
      </w:pPr>
      <w:r>
        <w:t>Le présent rapport soutient l’élaboration de cadres garantissant la visibilité de contenus en provenance d’Europe orientale qui soient de haute qualité et ancrés localement. Il plaide en faveur d’une meilleure éducation aux médias, d’une plus grande responsabilité en matière d’algorithmes et d’une coopération transfrontière renforcée pour lutter contre la désinformation et défendre les valeurs démocratiques. Sa version définitive sera soumise à la Commission européenne, au Parlement européen et aux principales parties prenantes afin d’éclairer les actions prises dans le domaine des plateformes numériques et de l’intégrité des médias.</w:t>
      </w:r>
    </w:p>
    <w:p w14:paraId="30E481E0" w14:textId="77777777" w:rsidR="005247BD" w:rsidRPr="004E5902" w:rsidRDefault="005247BD" w:rsidP="00454EBC">
      <w:pPr>
        <w:pStyle w:val="Heading2"/>
        <w:numPr>
          <w:ilvl w:val="0"/>
          <w:numId w:val="0"/>
        </w:numPr>
        <w:rPr>
          <w:lang w:val="en-GB"/>
        </w:rPr>
      </w:pPr>
    </w:p>
    <w:p w14:paraId="495749F0" w14:textId="77777777" w:rsidR="005247BD" w:rsidRPr="004E5902" w:rsidRDefault="005247BD" w:rsidP="00454EBC">
      <w:pPr>
        <w:pStyle w:val="Heading1"/>
        <w:keepNext/>
        <w:rPr>
          <w:b/>
          <w:bCs/>
        </w:rPr>
      </w:pPr>
      <w:r>
        <w:rPr>
          <w:b/>
        </w:rPr>
        <w:t>Le rôle des algorithmes d’intelligence artificielle et des médias sociaux pour ce qui est d’orienter la visibilité des contenus</w:t>
      </w:r>
    </w:p>
    <w:p w14:paraId="34BC54AE" w14:textId="77777777" w:rsidR="005247BD" w:rsidRPr="004E5902" w:rsidRDefault="005247BD" w:rsidP="00454EBC">
      <w:pPr>
        <w:keepNext/>
        <w:rPr>
          <w:lang w:val="en-GB"/>
        </w:rPr>
      </w:pPr>
    </w:p>
    <w:p w14:paraId="38095E8B" w14:textId="77777777" w:rsidR="005247BD" w:rsidRPr="004E5902" w:rsidRDefault="005247BD" w:rsidP="00454EBC">
      <w:pPr>
        <w:pStyle w:val="Heading2"/>
      </w:pPr>
      <w:r>
        <w:t>Les médias sociaux et les plateformes numériques utilisent des algorithmes fondés sur l’IA pour déterminer quels contenus sont proposés aux utilisateurs, et s’appuient, pour ce faire, sur des indicateurs d’engagement tels que les mentions</w:t>
      </w:r>
      <w:proofErr w:type="gramStart"/>
      <w:r>
        <w:t xml:space="preserve"> «j’aime</w:t>
      </w:r>
      <w:proofErr w:type="gramEnd"/>
      <w:r>
        <w:t xml:space="preserve">», les partages et les durées de visionnage. Des techniques comme le filtrage collaboratif, le traitement du langage naturel et l’apprentissage par renforcement permettent à ces systèmes de prédire et de maximiser les interactions avec les utilisateurs, mais souvent au détriment de la précision et de la diversité. En conséquence, des contenus sensationnels ou clivants se voient souvent donner la priorité, ce qui renforce les stéréotypes et crée des bulles de filtres. </w:t>
      </w:r>
    </w:p>
    <w:p w14:paraId="5A7CD156" w14:textId="77777777" w:rsidR="005247BD" w:rsidRPr="00CA3853" w:rsidRDefault="005247BD" w:rsidP="00454EBC">
      <w:pPr>
        <w:pStyle w:val="ListParagraph"/>
        <w:ind w:left="0"/>
        <w:rPr>
          <w:b/>
          <w:bCs/>
        </w:rPr>
      </w:pPr>
    </w:p>
    <w:p w14:paraId="0177BE17" w14:textId="77777777" w:rsidR="005247BD" w:rsidRPr="004E5902" w:rsidRDefault="005247BD" w:rsidP="00454EBC">
      <w:pPr>
        <w:pStyle w:val="Heading2"/>
      </w:pPr>
      <w:r>
        <w:t xml:space="preserve">Les algorithmes utilisés sur des plateformes comme YouTube, Facebook, </w:t>
      </w:r>
      <w:proofErr w:type="spellStart"/>
      <w:r>
        <w:t>TikTok</w:t>
      </w:r>
      <w:proofErr w:type="spellEnd"/>
      <w:r>
        <w:t xml:space="preserve">, 𝕏 et </w:t>
      </w:r>
      <w:proofErr w:type="spellStart"/>
      <w:r>
        <w:t>Telegram</w:t>
      </w:r>
      <w:proofErr w:type="spellEnd"/>
      <w:r>
        <w:t xml:space="preserve"> favorisent systématiquement les contenus qui suscitent des réactions, souvent de nature sensationnaliste ou qui sèment la division, tout en déclassant les informations nuancées et fondées sur des faits. Du fait de cette dynamique, d’aucuns se mobilisent, de façon tantôt naturelle tantôt orchestrée, pour fausser la compréhension par le public, aggraver les fractures et mettre sur la touche le journalisme indépendant et les voix de l’échelon local.</w:t>
      </w:r>
    </w:p>
    <w:p w14:paraId="69C436C5" w14:textId="77777777" w:rsidR="005247BD" w:rsidRPr="004E5902" w:rsidRDefault="005247BD" w:rsidP="00454EBC">
      <w:pPr>
        <w:rPr>
          <w:lang w:val="en-GB"/>
        </w:rPr>
      </w:pPr>
    </w:p>
    <w:p w14:paraId="2776092C" w14:textId="77777777" w:rsidR="005247BD" w:rsidRPr="004E5902" w:rsidRDefault="005247BD" w:rsidP="00454EBC">
      <w:pPr>
        <w:pStyle w:val="Heading2"/>
      </w:pPr>
      <w:r>
        <w:t xml:space="preserve">Ces vulnérabilités sont activement exploitées dans le cadre de campagnes de manipulation de l’information et d’ingérence menées depuis l’étranger, émanant en particulier de la Russie et de la Chine. Les opérations réalisées dans ce contexte consistent à déployer des réseaux coordonnés de bots, de faux comptes et d’influenceurs stipendiés afin d’encourager les discours porteurs de division, souvent dans les langues locales et dans un format adapté aux caractéristiques propres aux plateformes. </w:t>
      </w:r>
      <w:hyperlink r:id="rId22" w:history="1">
        <w:r>
          <w:rPr>
            <w:rStyle w:val="Hyperlink"/>
          </w:rPr>
          <w:t>En 2024, le Service européen pour l’action extérieure (SEAE) a enregistré</w:t>
        </w:r>
      </w:hyperlink>
      <w:r>
        <w:t xml:space="preserve"> 505 incidents de manipulation de l’information et d’ingérence étrangères impliquant 38 000 canaux sur 25 plateformes et ciblant notamment les institutions de l’Union, ses États membres et les pays voisins.</w:t>
      </w:r>
    </w:p>
    <w:p w14:paraId="764AA79C" w14:textId="77777777" w:rsidR="005247BD" w:rsidRPr="00CA3853" w:rsidRDefault="005247BD" w:rsidP="00454EBC">
      <w:pPr>
        <w:pStyle w:val="ListParagraph"/>
        <w:ind w:left="0"/>
      </w:pPr>
    </w:p>
    <w:p w14:paraId="290D0894" w14:textId="77777777" w:rsidR="005247BD" w:rsidRPr="004E5902" w:rsidRDefault="005247BD" w:rsidP="00454EBC">
      <w:pPr>
        <w:pStyle w:val="Heading2"/>
      </w:pPr>
      <w:r>
        <w:t xml:space="preserve">Les modèles économiques des plateformes </w:t>
      </w:r>
      <w:hyperlink r:id="rId23" w:history="1">
        <w:r>
          <w:rPr>
            <w:rStyle w:val="Hyperlink"/>
          </w:rPr>
          <w:t>encouragent davantage la désinformation</w:t>
        </w:r>
      </w:hyperlink>
      <w:r>
        <w:t xml:space="preserve">. La monétisation au moyen de publicités payantes et de campagnes d’influence n’incite guère à </w:t>
      </w:r>
      <w:r>
        <w:lastRenderedPageBreak/>
        <w:t>supprimer ou à déclasser les contenus trompeurs, en particulier lorsque ces publicités touchent des dizaines de millions de personnes, comme l’ont montré les élections européennes de 2024. </w:t>
      </w:r>
    </w:p>
    <w:p w14:paraId="740EE7CF" w14:textId="77777777" w:rsidR="005247BD" w:rsidRPr="00CA3853" w:rsidRDefault="005247BD" w:rsidP="00454EBC">
      <w:pPr>
        <w:pStyle w:val="ListParagraph"/>
        <w:ind w:left="0"/>
      </w:pPr>
    </w:p>
    <w:p w14:paraId="7ADFEC6D" w14:textId="77777777" w:rsidR="005247BD" w:rsidRPr="004E5902" w:rsidRDefault="00F62AA6" w:rsidP="00454EBC">
      <w:pPr>
        <w:pStyle w:val="Heading2"/>
      </w:pPr>
      <w:hyperlink r:id="rId24" w:history="1">
        <w:r w:rsidR="00CA3853">
          <w:rPr>
            <w:rStyle w:val="Hyperlink"/>
          </w:rPr>
          <w:t>Des données récentes, datant de 2024</w:t>
        </w:r>
      </w:hyperlink>
      <w:r w:rsidR="00CA3853">
        <w:t xml:space="preserve">, montrent que la plupart des grandes plateformes, dont Facebook, Instagram, </w:t>
      </w:r>
      <w:proofErr w:type="spellStart"/>
      <w:r w:rsidR="00CA3853">
        <w:t>TikTok</w:t>
      </w:r>
      <w:proofErr w:type="spellEnd"/>
      <w:r w:rsidR="00CA3853">
        <w:t xml:space="preserve">, YouTube, 𝕏 (anciennement Twitter) et </w:t>
      </w:r>
      <w:proofErr w:type="spellStart"/>
      <w:r w:rsidR="00CA3853">
        <w:t>VKontakte</w:t>
      </w:r>
      <w:proofErr w:type="spellEnd"/>
      <w:r w:rsidR="00CA3853">
        <w:t>, continuent de supprimer les faux comptes et les activités non authentiques de manière lente et largement inefficace. Même après avoir été signalés, la grande majorité des contenus manipulateurs restent en ligne pendant plusieurs semaines, et seules des améliorations mineures sont constatées depuis 2022.</w:t>
      </w:r>
    </w:p>
    <w:p w14:paraId="7B7E1817" w14:textId="77777777" w:rsidR="005247BD" w:rsidRPr="00CA3853" w:rsidRDefault="005247BD" w:rsidP="00454EBC">
      <w:pPr>
        <w:pStyle w:val="ListParagraph"/>
        <w:ind w:left="0"/>
      </w:pPr>
    </w:p>
    <w:p w14:paraId="2F6F2C5B" w14:textId="77777777" w:rsidR="005247BD" w:rsidRPr="004E5902" w:rsidRDefault="005247BD" w:rsidP="00454EBC">
      <w:pPr>
        <w:pStyle w:val="Heading1"/>
        <w:keepNext/>
        <w:rPr>
          <w:b/>
          <w:bCs/>
        </w:rPr>
      </w:pPr>
      <w:r>
        <w:rPr>
          <w:b/>
        </w:rPr>
        <w:t xml:space="preserve">Manipulation </w:t>
      </w:r>
      <w:proofErr w:type="gramStart"/>
      <w:r>
        <w:rPr>
          <w:b/>
        </w:rPr>
        <w:t>étrangère:</w:t>
      </w:r>
      <w:proofErr w:type="gramEnd"/>
      <w:r>
        <w:rPr>
          <w:b/>
        </w:rPr>
        <w:t xml:space="preserve"> ampleur, tactiques et lacunes des plateformes</w:t>
      </w:r>
    </w:p>
    <w:p w14:paraId="57057E97" w14:textId="77777777" w:rsidR="005247BD" w:rsidRPr="004E5902" w:rsidRDefault="005247BD" w:rsidP="00454EBC">
      <w:pPr>
        <w:keepNext/>
        <w:rPr>
          <w:lang w:val="en-GB"/>
        </w:rPr>
      </w:pPr>
    </w:p>
    <w:p w14:paraId="08D65767" w14:textId="77777777" w:rsidR="005247BD" w:rsidRPr="004E5902" w:rsidRDefault="005247BD" w:rsidP="00454EBC">
      <w:pPr>
        <w:pStyle w:val="Heading2"/>
      </w:pPr>
      <w:r>
        <w:t xml:space="preserve">Les activités de manipulation de l’information et d’ingérence menées depuis l’étranger représentent des menaces qui s’aggravent rapidement en Europe, en particulier dans ses régions centrale et orientale. L’Ukraine est ainsi le pays le plus </w:t>
      </w:r>
      <w:hyperlink r:id="rId25" w:history="1">
        <w:r>
          <w:rPr>
            <w:rStyle w:val="Hyperlink"/>
          </w:rPr>
          <w:t>ciblé</w:t>
        </w:r>
      </w:hyperlink>
      <w:r>
        <w:t xml:space="preserve"> et recense près de la moitié de l’ensemble des incidents enregistrés en 2023 et 2024. Les acteurs russes qui mènent des activités de manipulation de l’information et d’ingérence adaptent leurs messages à des publics distincts afin de mettre à mal la résistance en Ukraine et de saper le soutien que les alliés occidentaux apportent à ce pays, en ciblant tout particulièrement l’Allemagne et la Pologne.</w:t>
      </w:r>
    </w:p>
    <w:p w14:paraId="21E3B727" w14:textId="77777777" w:rsidR="005247BD" w:rsidRPr="00CA3853" w:rsidRDefault="005247BD" w:rsidP="00454EBC">
      <w:pPr>
        <w:pStyle w:val="ListParagraph"/>
        <w:ind w:left="0"/>
        <w:rPr>
          <w:b/>
          <w:bCs/>
        </w:rPr>
      </w:pPr>
    </w:p>
    <w:p w14:paraId="37F61781" w14:textId="77777777" w:rsidR="005247BD" w:rsidRPr="004E5902" w:rsidRDefault="005247BD" w:rsidP="00454EBC">
      <w:pPr>
        <w:pStyle w:val="Heading2"/>
      </w:pPr>
      <w:r>
        <w:t xml:space="preserve">Les protagonistes de la manipulation de l’information et de l’ingérence étrangères adaptent souvent leurs opérations aux publics locaux, en recourant à des techniques de localisation des contenus afin de maximiser la crédibilité et l’incidence de leurs activités. En </w:t>
      </w:r>
      <w:hyperlink r:id="rId26" w:history="1">
        <w:r>
          <w:rPr>
            <w:rStyle w:val="Hyperlink"/>
          </w:rPr>
          <w:t>2023</w:t>
        </w:r>
      </w:hyperlink>
      <w:r>
        <w:t>, dans le cas d’au moins 349 incidents recensés, les messages ont été adaptés aux habitudes de consommation de la zone ciblée, notamment par l’utilisation de langues locales, de références à des manifestations culturelles et de discours adaptés au contexte.</w:t>
      </w:r>
    </w:p>
    <w:p w14:paraId="76F07C83" w14:textId="77777777" w:rsidR="005247BD" w:rsidRPr="00CA3853" w:rsidRDefault="005247BD" w:rsidP="00454EBC">
      <w:pPr>
        <w:pStyle w:val="ListParagraph"/>
        <w:ind w:left="0"/>
      </w:pPr>
    </w:p>
    <w:p w14:paraId="02E5A6D4" w14:textId="77777777" w:rsidR="005247BD" w:rsidRPr="004E5902" w:rsidRDefault="005247BD" w:rsidP="00454EBC">
      <w:pPr>
        <w:pStyle w:val="Heading2"/>
      </w:pPr>
      <w:r>
        <w:t xml:space="preserve">La Moldavie a été une cible importante en 2024, en particulier au moment des élections présidentielles et du référendum au sujet de son adhésion à l’UE. Parmi les opérations russes ont figuré des </w:t>
      </w:r>
      <w:proofErr w:type="spellStart"/>
      <w:r>
        <w:t>hypertrucages</w:t>
      </w:r>
      <w:proofErr w:type="spellEnd"/>
      <w:r>
        <w:t xml:space="preserve"> vidéo (</w:t>
      </w:r>
      <w:proofErr w:type="spellStart"/>
      <w:r>
        <w:rPr>
          <w:i/>
        </w:rPr>
        <w:t>deep</w:t>
      </w:r>
      <w:proofErr w:type="spellEnd"/>
      <w:r>
        <w:rPr>
          <w:i/>
        </w:rPr>
        <w:t xml:space="preserve"> fakes</w:t>
      </w:r>
      <w:r>
        <w:t xml:space="preserve">), des attaques coordonnées contre la présidente Maia </w:t>
      </w:r>
      <w:proofErr w:type="spellStart"/>
      <w:r>
        <w:t>Sandu</w:t>
      </w:r>
      <w:proofErr w:type="spellEnd"/>
      <w:r>
        <w:t>, ainsi que des actions consistant à inonder les médias sociaux de faux discours sur la Transnistrie et l’implication de la Moldavie en Ukraine. Ces actes associaient des manipulations numériques à des actions tactiques hors ligne, telles que des financements occultes et des tentatives de fomenter des troubles, démontrant comment les acteurs de la manipulation de l’information et de l’ingérence étrangères exploitent les vulnérabilités tant numériques que sociétales pour influencer les résultats et porter atteinte à l’intégration à l’Union.</w:t>
      </w:r>
    </w:p>
    <w:p w14:paraId="3F3DC298" w14:textId="77777777" w:rsidR="005247BD" w:rsidRPr="00CA3853" w:rsidRDefault="005247BD" w:rsidP="00454EBC">
      <w:pPr>
        <w:pStyle w:val="ListParagraph"/>
        <w:ind w:left="0"/>
      </w:pPr>
    </w:p>
    <w:p w14:paraId="3F5F282C" w14:textId="77777777" w:rsidR="005247BD" w:rsidRPr="004E5902" w:rsidRDefault="005247BD" w:rsidP="00454EBC">
      <w:pPr>
        <w:pStyle w:val="Heading2"/>
      </w:pPr>
      <w:r>
        <w:t xml:space="preserve">Un exemple remarquable d’inaction de la part d’une plateforme a été mis en lumière en mai 2024, lorsque </w:t>
      </w:r>
      <w:hyperlink r:id="rId27" w:history="1">
        <w:r>
          <w:rPr>
            <w:rStyle w:val="Hyperlink"/>
          </w:rPr>
          <w:t>Reporters sans frontières a déposé une plainte contre 𝕏</w:t>
        </w:r>
      </w:hyperlink>
      <w:r>
        <w:t xml:space="preserve"> (anciennement Twitter) pour avoir permis à de faux comptes d’usurper l’identité de médias et de journalistes. Ces comptes avaient diffusé des nouvelles truquées, ce qui affaiblit la confiance dans le journalisme de bon aloi et souligne la nécessité urgente de procéder à une vérification d’identité rigoureuse et de prendre des mesures proactives contre l’usurpation d’identité, en particulier lors d’élections.</w:t>
      </w:r>
    </w:p>
    <w:p w14:paraId="4095007E" w14:textId="77777777" w:rsidR="005247BD" w:rsidRPr="00CA3853" w:rsidRDefault="005247BD" w:rsidP="00454EBC">
      <w:pPr>
        <w:pStyle w:val="ListParagraph"/>
        <w:ind w:left="0"/>
      </w:pPr>
    </w:p>
    <w:p w14:paraId="2F40B9D1" w14:textId="77777777" w:rsidR="005247BD" w:rsidRPr="004E5902" w:rsidRDefault="005247BD" w:rsidP="00454EBC">
      <w:pPr>
        <w:pStyle w:val="Heading2"/>
      </w:pPr>
      <w:r>
        <w:lastRenderedPageBreak/>
        <w:t xml:space="preserve">Les opérations de manipulation de l’information et d’ingérence étrangères exploitent l’écosystème numérique interconnecté, en diffusant des contenus sur 𝕏, Facebook, </w:t>
      </w:r>
      <w:proofErr w:type="spellStart"/>
      <w:r>
        <w:t>Telegram</w:t>
      </w:r>
      <w:proofErr w:type="spellEnd"/>
      <w:r>
        <w:t xml:space="preserve">, </w:t>
      </w:r>
      <w:proofErr w:type="spellStart"/>
      <w:r>
        <w:t>VKontakte</w:t>
      </w:r>
      <w:proofErr w:type="spellEnd"/>
      <w:r>
        <w:t xml:space="preserve">, </w:t>
      </w:r>
      <w:proofErr w:type="spellStart"/>
      <w:r>
        <w:t>TikTok</w:t>
      </w:r>
      <w:proofErr w:type="spellEnd"/>
      <w:r>
        <w:t xml:space="preserve">, YouTube et des sites web trompeurs. </w:t>
      </w:r>
      <w:hyperlink r:id="rId28" w:history="1">
        <w:r>
          <w:rPr>
            <w:rStyle w:val="Hyperlink"/>
          </w:rPr>
          <w:t>En 2024, 88 % des activités de ce type recensées étaient enregistrées sur 𝕏</w:t>
        </w:r>
      </w:hyperlink>
      <w:r>
        <w:t>. Des campagnes telles que celle intitulée</w:t>
      </w:r>
      <w:proofErr w:type="gramStart"/>
      <w:r>
        <w:t xml:space="preserve"> «</w:t>
      </w:r>
      <w:proofErr w:type="spellStart"/>
      <w:r>
        <w:t>Doppelgänger</w:t>
      </w:r>
      <w:proofErr w:type="spellEnd"/>
      <w:proofErr w:type="gramEnd"/>
      <w:r>
        <w:t>» utilisent des milliers de domaines et de comptes coordonnés pour manipuler les algorithmes et se faire passer pour des médias d’information, ce qui érode encore davantage la confiance dans les sources officielles.</w:t>
      </w:r>
    </w:p>
    <w:p w14:paraId="61254ACF" w14:textId="77777777" w:rsidR="005247BD" w:rsidRPr="00CA3853" w:rsidRDefault="005247BD" w:rsidP="00454EBC">
      <w:pPr>
        <w:pStyle w:val="ListParagraph"/>
        <w:ind w:left="0"/>
      </w:pPr>
    </w:p>
    <w:p w14:paraId="6EB3D6C4" w14:textId="77777777" w:rsidR="005247BD" w:rsidRPr="004E5902" w:rsidRDefault="005247BD" w:rsidP="00454EBC">
      <w:pPr>
        <w:pStyle w:val="Heading2"/>
      </w:pPr>
      <w:r>
        <w:t xml:space="preserve">L’IA joue un rôle de plus en plus important dans les campagnes de manipulation de l’information et d’ingérence menées depuis l’étranger. En 2024, le SEAE a recensé environ 41 cas dans lesquels l’IA a été utilisée pour manipuler des informations, principalement par la création de contenus non authentiques tels que des </w:t>
      </w:r>
      <w:proofErr w:type="spellStart"/>
      <w:r>
        <w:t>hypertrucages</w:t>
      </w:r>
      <w:proofErr w:type="spellEnd"/>
      <w:r>
        <w:t xml:space="preserve"> audio et vidéo, ainsi que par une diffusion automatisée à grande échelle au moyen de réseaux de bots.</w:t>
      </w:r>
    </w:p>
    <w:p w14:paraId="044308CE" w14:textId="77777777" w:rsidR="005247BD" w:rsidRPr="00CA3853" w:rsidRDefault="005247BD" w:rsidP="00454EBC">
      <w:pPr>
        <w:pStyle w:val="ListParagraph"/>
        <w:ind w:left="0"/>
      </w:pPr>
    </w:p>
    <w:p w14:paraId="1AB57405" w14:textId="77777777" w:rsidR="005247BD" w:rsidRPr="004E5902" w:rsidRDefault="005247BD" w:rsidP="00454EBC">
      <w:pPr>
        <w:pStyle w:val="Heading2"/>
      </w:pPr>
      <w:r>
        <w:t xml:space="preserve">Les opérations de manipulation de l’information et d’ingérence étrangères sont complexes et décentralisées, les </w:t>
      </w:r>
      <w:hyperlink r:id="rId29" w:history="1">
        <w:r>
          <w:rPr>
            <w:rStyle w:val="Hyperlink"/>
          </w:rPr>
          <w:t>réseaux russes opérant</w:t>
        </w:r>
      </w:hyperlink>
      <w:r>
        <w:t xml:space="preserve"> au moyen de médias contrôlés par leur État, de comptes diplomatiques, et d’une vaste périphérie de canaux non attribués et d’influenceurs. Le rapport du SEAE souligne que de nombreux canaux influents impliqués dans des activités de ce type ne peuvent pas être directement liés à des acteurs malveillants précis, ce qui complique considérablement les efforts de détection et de réaction. Cette infrastructure décentralisée permet aux protagonistes de brouiller les incriminations et de mener des campagnes sur une longue période.</w:t>
      </w:r>
    </w:p>
    <w:p w14:paraId="3E30AB99" w14:textId="77777777" w:rsidR="005247BD" w:rsidRPr="004E5902" w:rsidRDefault="005247BD" w:rsidP="00454EBC">
      <w:pPr>
        <w:pStyle w:val="Heading2"/>
        <w:numPr>
          <w:ilvl w:val="0"/>
          <w:numId w:val="0"/>
        </w:numPr>
        <w:rPr>
          <w:lang w:val="en-GB"/>
        </w:rPr>
      </w:pPr>
    </w:p>
    <w:p w14:paraId="6C33E6DE" w14:textId="77777777" w:rsidR="005247BD" w:rsidRPr="004E5902" w:rsidRDefault="005247BD" w:rsidP="00454EBC">
      <w:pPr>
        <w:pStyle w:val="Heading1"/>
        <w:keepNext/>
        <w:rPr>
          <w:b/>
          <w:bCs/>
        </w:rPr>
      </w:pPr>
      <w:r>
        <w:rPr>
          <w:b/>
        </w:rPr>
        <w:t xml:space="preserve">La Biélorussie comme étude de </w:t>
      </w:r>
      <w:proofErr w:type="gramStart"/>
      <w:r>
        <w:rPr>
          <w:b/>
        </w:rPr>
        <w:t>cas:</w:t>
      </w:r>
      <w:proofErr w:type="gramEnd"/>
      <w:r>
        <w:rPr>
          <w:b/>
        </w:rPr>
        <w:t xml:space="preserve"> suppression numérique et marginalisation algorithmique</w:t>
      </w:r>
    </w:p>
    <w:p w14:paraId="1E2CCE22" w14:textId="77777777" w:rsidR="005247BD" w:rsidRPr="004E5902" w:rsidRDefault="005247BD" w:rsidP="00454EBC">
      <w:pPr>
        <w:keepNext/>
        <w:rPr>
          <w:lang w:val="en-GB"/>
        </w:rPr>
      </w:pPr>
    </w:p>
    <w:p w14:paraId="37ECAF04" w14:textId="77777777" w:rsidR="005247BD" w:rsidRPr="004E5902" w:rsidRDefault="005247BD" w:rsidP="00454EBC">
      <w:pPr>
        <w:pStyle w:val="Heading2"/>
      </w:pPr>
      <w:r>
        <w:t>La Biélorussie illustre clairement la manière dont la répression étatique, les biais algorithmiques et les lacunes stratégiques des plateformes numériques se combinent pour marginaliser les médias indépendants et amplifier la désinformation. Depuis 2020, le régime biélorusse mène une répression systémique du journalisme indépendant, notamment en poursuivant et en emprisonnant les journalistes, en bloquant des sites d’information, ainsi qu’en criminalisant la consommation ou le partage de contenus qu’il qualifie d</w:t>
      </w:r>
      <w:proofErr w:type="gramStart"/>
      <w:r>
        <w:t>’«extrémistes</w:t>
      </w:r>
      <w:proofErr w:type="gramEnd"/>
      <w:r>
        <w:t>».</w:t>
      </w:r>
    </w:p>
    <w:p w14:paraId="0E02FCEE" w14:textId="77777777" w:rsidR="005247BD" w:rsidRPr="00CA3853" w:rsidRDefault="005247BD" w:rsidP="00454EBC">
      <w:pPr>
        <w:pStyle w:val="ListParagraph"/>
        <w:ind w:left="0"/>
        <w:rPr>
          <w:b/>
          <w:bCs/>
        </w:rPr>
      </w:pPr>
    </w:p>
    <w:p w14:paraId="23ADED16" w14:textId="77777777" w:rsidR="005247BD" w:rsidRPr="004E5902" w:rsidRDefault="005247BD" w:rsidP="00454EBC">
      <w:pPr>
        <w:pStyle w:val="Heading2"/>
      </w:pPr>
      <w:r>
        <w:t>Les plateformes numériques ne disposent pas de politiques spécifiques pour la Biélorussie, et recourent, par défaut, à une modération et des recherches en langue russe. Leur utilisation donne ainsi la priorité aux sources contrôlées par l’État et aux sources russes, tandis que les contenus indépendants et en langue biélorusse sont déclassés ou exclus, ce qui accélère la russification et amplifie l’influence de la Russie.</w:t>
      </w:r>
    </w:p>
    <w:p w14:paraId="626D286D" w14:textId="77777777" w:rsidR="005247BD" w:rsidRPr="00CA3853" w:rsidRDefault="005247BD" w:rsidP="00454EBC">
      <w:pPr>
        <w:pStyle w:val="ListParagraph"/>
        <w:ind w:left="0"/>
      </w:pPr>
    </w:p>
    <w:p w14:paraId="10B4C9B9" w14:textId="77777777" w:rsidR="005247BD" w:rsidRPr="004E5902" w:rsidRDefault="005247BD" w:rsidP="00454EBC">
      <w:pPr>
        <w:pStyle w:val="Heading2"/>
      </w:pPr>
      <w:r>
        <w:t>Les recherches en ligne sur la Biélorussie ou sur l’actualité de ce pays proposent, même au sein de l’UE, principalement des résultats qui renvoient à des médias de propagande contrôlés par l’État. Cette situation est due au fait que les plateformes considèrent la Biélorussie comme faisant partie du segment numérique russe et qu’elles ne disposent pas d’une approche spécifique à ce pays, ce qui fait que les médias indépendants sont marginalisés pour les utilisateurs tant biélorusses qu’européens.</w:t>
      </w:r>
    </w:p>
    <w:p w14:paraId="02AB75CF" w14:textId="77777777" w:rsidR="005247BD" w:rsidRPr="00CA3853" w:rsidRDefault="005247BD" w:rsidP="00454EBC">
      <w:pPr>
        <w:pStyle w:val="ListParagraph"/>
        <w:ind w:left="0"/>
      </w:pPr>
    </w:p>
    <w:p w14:paraId="06D33123" w14:textId="77777777" w:rsidR="005247BD" w:rsidRPr="004E5902" w:rsidRDefault="005247BD" w:rsidP="00454EBC">
      <w:pPr>
        <w:pStyle w:val="Heading2"/>
      </w:pPr>
      <w:r>
        <w:lastRenderedPageBreak/>
        <w:t>Les plateformes privilégient très largement le russe par rapport au biélorusse, rendant presque impossible de modérer, promouvoir ou monétiser comme il se devrait les contenus en langue biélorusse. Les créateurs de contenu ne peuvent pas utiliser de publicités ciblées dans cette langue et les modérateurs ignorent souvent le contexte local, ce qui ébranle l’identité nationale et décourage la production de contenu en biélorusse.</w:t>
      </w:r>
    </w:p>
    <w:p w14:paraId="6F10C243" w14:textId="77777777" w:rsidR="005247BD" w:rsidRPr="00CA3853" w:rsidRDefault="005247BD" w:rsidP="00454EBC">
      <w:pPr>
        <w:pStyle w:val="ListParagraph"/>
        <w:ind w:left="0"/>
      </w:pPr>
    </w:p>
    <w:p w14:paraId="70F97E29" w14:textId="77777777" w:rsidR="005247BD" w:rsidRPr="004E5902" w:rsidRDefault="005247BD" w:rsidP="00454EBC">
      <w:pPr>
        <w:pStyle w:val="Heading2"/>
      </w:pPr>
      <w:r>
        <w:t>Des dizaines de médias indépendants sont bloqués et taxés d</w:t>
      </w:r>
      <w:proofErr w:type="gramStart"/>
      <w:r>
        <w:t>’«extrémistes</w:t>
      </w:r>
      <w:proofErr w:type="gramEnd"/>
      <w:r>
        <w:t>», ce qui a pour effet que le partage de leurs contenus engage une responsabilité pénale. Les médias indépendants utilisent des VPN, des miroirs et des pages mobiles accélérées (</w:t>
      </w:r>
      <w:proofErr w:type="spellStart"/>
      <w:r>
        <w:rPr>
          <w:i/>
        </w:rPr>
        <w:t>accelerated</w:t>
      </w:r>
      <w:proofErr w:type="spellEnd"/>
      <w:r>
        <w:rPr>
          <w:i/>
        </w:rPr>
        <w:t xml:space="preserve"> mobile pages</w:t>
      </w:r>
      <w:r>
        <w:t>, AMP) pour toucher le public, mais leurs tentatives d’accès infructueuses entraînent leur déclassement algorithmique, de sorte que les utilisateurs en Biélorussie se voient proposer principalement des sources approuvées par l’État, qui ne sont pas cataloguées en tant que telles.</w:t>
      </w:r>
    </w:p>
    <w:p w14:paraId="2E69E94D" w14:textId="77777777" w:rsidR="005247BD" w:rsidRPr="00CA3853" w:rsidRDefault="005247BD" w:rsidP="00454EBC">
      <w:pPr>
        <w:pStyle w:val="ListParagraph"/>
        <w:ind w:left="0"/>
      </w:pPr>
    </w:p>
    <w:p w14:paraId="3027F2EF" w14:textId="77777777" w:rsidR="005247BD" w:rsidRPr="004E5902" w:rsidRDefault="005247BD" w:rsidP="00454EBC">
      <w:pPr>
        <w:pStyle w:val="Heading2"/>
      </w:pPr>
      <w:r>
        <w:t>Le régime criminalise non seulement la production médiatique, mais aussi la consommation des produits médiatiques et les activités d’interaction avec les médias. Ainsi, le fait de partager des contenus soi-disant</w:t>
      </w:r>
      <w:proofErr w:type="gramStart"/>
      <w:r>
        <w:t xml:space="preserve"> «extrémistes</w:t>
      </w:r>
      <w:proofErr w:type="gramEnd"/>
      <w:r>
        <w:t>» ou d’y réagir peut conduire à des poursuites, tandis que le manque d’activités entraîne leur déclassement algorithmique, ce qui réduit encore leur portée et décourage tant les créateurs que les consommateurs de contenu journalistique indépendant.</w:t>
      </w:r>
    </w:p>
    <w:p w14:paraId="079F8B00" w14:textId="77777777" w:rsidR="005247BD" w:rsidRPr="00CA3853" w:rsidRDefault="005247BD" w:rsidP="00454EBC">
      <w:pPr>
        <w:pStyle w:val="ListParagraph"/>
        <w:ind w:left="0"/>
      </w:pPr>
    </w:p>
    <w:p w14:paraId="0EA4401E" w14:textId="77777777" w:rsidR="005247BD" w:rsidRPr="004E5902" w:rsidRDefault="005247BD" w:rsidP="00454EBC">
      <w:pPr>
        <w:pStyle w:val="Heading2"/>
      </w:pPr>
      <w:r>
        <w:t>Les tentatives que les médias indépendants et la société civile entreprennent pour interpeller les plateformes numériques n’ont produit que des résultats limités dans des cas particuliers. Des problèmes structurels persistent, tels que le manque de services localisés, la soumission excessive à la censure d’État et l’absence de dialogue systématique. Il est ainsi notamment proposé d’assurer la localisation des services pour la Biélorussie, de donner la priorité aux actualités biélorusses, de refuser de se conformer à des réglementations répressives ou encore de créer un groupe de travail rassemblant les pouvoirs publics de l’Union, les plateformes et la société civile. </w:t>
      </w:r>
    </w:p>
    <w:p w14:paraId="4E3C6C74" w14:textId="77777777" w:rsidR="005247BD" w:rsidRPr="004E5902" w:rsidRDefault="005247BD" w:rsidP="00454EBC">
      <w:pPr>
        <w:pStyle w:val="Heading2"/>
        <w:numPr>
          <w:ilvl w:val="0"/>
          <w:numId w:val="0"/>
        </w:numPr>
        <w:rPr>
          <w:lang w:val="en-GB"/>
        </w:rPr>
      </w:pPr>
    </w:p>
    <w:p w14:paraId="7F1988C3" w14:textId="77777777" w:rsidR="005247BD" w:rsidRPr="004E5902" w:rsidRDefault="005247BD" w:rsidP="00454EBC">
      <w:pPr>
        <w:pStyle w:val="Heading1"/>
        <w:keepNext/>
        <w:rPr>
          <w:b/>
          <w:bCs/>
        </w:rPr>
      </w:pPr>
      <w:r>
        <w:rPr>
          <w:b/>
        </w:rPr>
        <w:t>Lacunes réglementaires, défis en matière de mise en œuvre et priorités stratégiques</w:t>
      </w:r>
    </w:p>
    <w:p w14:paraId="11A08CE4" w14:textId="77777777" w:rsidR="005247BD" w:rsidRPr="004E5902" w:rsidRDefault="005247BD" w:rsidP="00454EBC">
      <w:pPr>
        <w:keepNext/>
        <w:rPr>
          <w:lang w:val="en-GB"/>
        </w:rPr>
      </w:pPr>
    </w:p>
    <w:p w14:paraId="5749B79B" w14:textId="77777777" w:rsidR="005247BD" w:rsidRPr="004E5902" w:rsidRDefault="005247BD" w:rsidP="00454EBC">
      <w:pPr>
        <w:pStyle w:val="Heading2"/>
      </w:pPr>
      <w:r>
        <w:t>L’Union européenne a mis en place un cadre réglementaire complet pour faire face aux risques que posent, pour l’espace de l’information numérique, les plateformes de médias sociaux et les algorithmes d’IA. Parmi ses principaux instruments figurent le règlement sur les services numériques, le règlement sur l’intelligence artificielle et le règlement européen sur la liberté des médias, qui visent à renforcer la transparence, la responsabilité et l’autonomisation des utilisateurs tout en préservant le pluralisme des médias et les valeurs démocratiques.</w:t>
      </w:r>
    </w:p>
    <w:p w14:paraId="421598AA" w14:textId="77777777" w:rsidR="005247BD" w:rsidRPr="00CA3853" w:rsidRDefault="005247BD" w:rsidP="00454EBC">
      <w:pPr>
        <w:pStyle w:val="ListParagraph"/>
        <w:ind w:left="0"/>
        <w:rPr>
          <w:b/>
          <w:bCs/>
        </w:rPr>
      </w:pPr>
    </w:p>
    <w:p w14:paraId="518E860D" w14:textId="77777777" w:rsidR="005247BD" w:rsidRPr="004E5902" w:rsidRDefault="005247BD" w:rsidP="00454EBC">
      <w:pPr>
        <w:pStyle w:val="Heading2"/>
      </w:pPr>
      <w:r>
        <w:t>Le règlement sur les services numériques marque un passage de l’autoréglementation volontaire à des obligations contraignantes pour les plateformes en ligne, en particulier celles de très grande taille (les</w:t>
      </w:r>
      <w:proofErr w:type="gramStart"/>
      <w:r>
        <w:t xml:space="preserve"> «très</w:t>
      </w:r>
      <w:proofErr w:type="gramEnd"/>
      <w:r>
        <w:t xml:space="preserve"> grandes plateformes en ligne», TGPL). Il impose des évaluations annuelles des risques systémiques, une modération transparente des contenus et des mécanismes conviviaux pour le signalement de contenus illicites. Ces évaluations doivent porter sur l’incidence des algorithmes sur les droits fondamentaux, le discours civique et l’intégrité des processus électoraux, et font l’objet d’un audit et d’un contrôle indépendants de la part des </w:t>
      </w:r>
      <w:hyperlink r:id="rId30" w:history="1">
        <w:r>
          <w:rPr>
            <w:rStyle w:val="Hyperlink"/>
          </w:rPr>
          <w:t>coordinateurs nationaux pour les services numériques</w:t>
        </w:r>
      </w:hyperlink>
      <w:r>
        <w:t xml:space="preserve"> et de la Commission européenne.</w:t>
      </w:r>
    </w:p>
    <w:p w14:paraId="63B987D2" w14:textId="77777777" w:rsidR="005247BD" w:rsidRPr="00CA3853" w:rsidRDefault="005247BD" w:rsidP="00454EBC">
      <w:pPr>
        <w:pStyle w:val="ListParagraph"/>
        <w:ind w:left="0"/>
      </w:pPr>
    </w:p>
    <w:p w14:paraId="5F9C8118" w14:textId="77777777" w:rsidR="005247BD" w:rsidRPr="004E5902" w:rsidRDefault="005247BD" w:rsidP="00454EBC">
      <w:pPr>
        <w:pStyle w:val="Heading2"/>
      </w:pPr>
      <w:r>
        <w:lastRenderedPageBreak/>
        <w:t xml:space="preserve">Malgré ces progrès, la mise en œuvre du règlement sur les services numériques a mis en évidence d’importants défis. L’application du règlement reste incohérente d’un État membre à l’autre, les retards dans la désignation et l’habilitation des coordinateurs pour les services numériques limitant la surveillance nationale. La Commission européenne a </w:t>
      </w:r>
      <w:hyperlink r:id="rId31" w:history="1">
        <w:r>
          <w:rPr>
            <w:rStyle w:val="Hyperlink"/>
          </w:rPr>
          <w:t>engagé</w:t>
        </w:r>
      </w:hyperlink>
      <w:r>
        <w:t xml:space="preserve"> des procédures d’infraction à l’encontre de plusieurs États membres et a entamé des procédures formelles contre de grandes plateformes pour non-respect présumé. L’efficacité des nouveaux organismes tels que le comité européen des services numériques et le Centre européen pour la transparence des algorithmes dépendra du caractère adéquat des ressources et de la coopération, tant au niveau de l’Union qu’à celui de chacun des États membres.</w:t>
      </w:r>
    </w:p>
    <w:p w14:paraId="12114E96" w14:textId="77777777" w:rsidR="005247BD" w:rsidRPr="00CA3853" w:rsidRDefault="005247BD" w:rsidP="00454EBC">
      <w:pPr>
        <w:pStyle w:val="ListParagraph"/>
        <w:ind w:left="0"/>
      </w:pPr>
    </w:p>
    <w:p w14:paraId="3D00944E" w14:textId="77777777" w:rsidR="005247BD" w:rsidRPr="004E5902" w:rsidRDefault="005247BD" w:rsidP="00454EBC">
      <w:pPr>
        <w:pStyle w:val="Heading2"/>
      </w:pPr>
      <w:r>
        <w:t>Le règlement sur l’intelligence artificielle introduit des exigences plus strictes en matière de transparence, d’équité et de contrôle humain des systèmes d’IA, y compris ceux utilisés pour la modération des contenus et les recommandations. Le CESE et des experts indépendants soulignent la nécessité d’une transparence et de garanties solides pour préserver les droits fondamentaux et la confiance du public, en particulier lorsque l’IA définit l’accès à l’information et le pluralisme des médias.</w:t>
      </w:r>
    </w:p>
    <w:p w14:paraId="5A463692" w14:textId="77777777" w:rsidR="005247BD" w:rsidRPr="00CA3853" w:rsidRDefault="005247BD" w:rsidP="00454EBC">
      <w:pPr>
        <w:pStyle w:val="ListParagraph"/>
        <w:ind w:left="0"/>
      </w:pPr>
    </w:p>
    <w:p w14:paraId="52A86EC2" w14:textId="77777777" w:rsidR="005247BD" w:rsidRPr="004E5902" w:rsidRDefault="00F62AA6" w:rsidP="00454EBC">
      <w:pPr>
        <w:pStyle w:val="Heading2"/>
      </w:pPr>
      <w:hyperlink r:id="rId32" w:history="1">
        <w:r w:rsidR="00CA3853">
          <w:rPr>
            <w:rStyle w:val="Hyperlink"/>
          </w:rPr>
          <w:t>La législation européenne sur la liberté des médias</w:t>
        </w:r>
      </w:hyperlink>
      <w:r w:rsidR="00CA3853">
        <w:t xml:space="preserve"> vise à renforcer la liberté et le pluralisme des médias en protégeant l’indépendance éditoriale, en empêchant la suppression injustifiée de contenus et en s’attaquant aux risques de concentration du marché. Ces mesures sont particulièrement importantes dans les régions vulnérables à la désinformation et aux ingérences extérieures.</w:t>
      </w:r>
    </w:p>
    <w:p w14:paraId="22ADDBA6" w14:textId="77777777" w:rsidR="005247BD" w:rsidRPr="00CA3853" w:rsidRDefault="005247BD" w:rsidP="00454EBC">
      <w:pPr>
        <w:pStyle w:val="ListParagraph"/>
        <w:ind w:left="0"/>
      </w:pPr>
    </w:p>
    <w:p w14:paraId="02D03A9D" w14:textId="77777777" w:rsidR="005247BD" w:rsidRPr="004E5902" w:rsidRDefault="005247BD" w:rsidP="00454EBC">
      <w:pPr>
        <w:pStyle w:val="Heading2"/>
      </w:pPr>
      <w:r>
        <w:t xml:space="preserve">Des lacunes persistantes subsistent dans le paysage réglementaire actuel. Les rapports de transparence des plateformes sont souvent incohérents et ne sont pas suffisamment détaillés pour permettre un contrôle significatif. De nombreuses plateformes ayant une portée notable en Europe centrale et orientale, telles que </w:t>
      </w:r>
      <w:proofErr w:type="spellStart"/>
      <w:r>
        <w:t>Telegram</w:t>
      </w:r>
      <w:proofErr w:type="spellEnd"/>
      <w:r>
        <w:t xml:space="preserve"> et </w:t>
      </w:r>
      <w:proofErr w:type="spellStart"/>
      <w:r>
        <w:t>VKontakte</w:t>
      </w:r>
      <w:proofErr w:type="spellEnd"/>
      <w:r>
        <w:t>, ne sont pas couvertes par le règlement sur les services numériques, ce qui crée des angles morts réglementaires. Les chercheurs et la société civile ne disposent que d’un accès limité aux données des plateformes, ce qui empêche un suivi efficace de la désinformation et des biais algorithmiques.</w:t>
      </w:r>
    </w:p>
    <w:p w14:paraId="09653B35" w14:textId="77777777" w:rsidR="005247BD" w:rsidRPr="004E5902" w:rsidRDefault="005247BD" w:rsidP="00454EBC">
      <w:pPr>
        <w:pStyle w:val="Heading2"/>
        <w:numPr>
          <w:ilvl w:val="0"/>
          <w:numId w:val="0"/>
        </w:numPr>
        <w:ind w:left="567"/>
        <w:rPr>
          <w:lang w:val="en-GB"/>
        </w:rPr>
      </w:pPr>
    </w:p>
    <w:p w14:paraId="0B9D0D24" w14:textId="77777777" w:rsidR="005247BD" w:rsidRPr="004E5902" w:rsidRDefault="005247BD" w:rsidP="00454EBC">
      <w:pPr>
        <w:pStyle w:val="Heading1"/>
        <w:keepNext/>
        <w:rPr>
          <w:b/>
          <w:bCs/>
        </w:rPr>
      </w:pPr>
      <w:r>
        <w:rPr>
          <w:b/>
        </w:rPr>
        <w:t>Biais linguistiques et narratifs</w:t>
      </w:r>
    </w:p>
    <w:p w14:paraId="230DE0FB" w14:textId="77777777" w:rsidR="005247BD" w:rsidRPr="004E5902" w:rsidRDefault="005247BD" w:rsidP="00454EBC">
      <w:pPr>
        <w:keepNext/>
        <w:rPr>
          <w:lang w:val="en-GB"/>
        </w:rPr>
      </w:pPr>
    </w:p>
    <w:p w14:paraId="667CCFA1" w14:textId="77777777" w:rsidR="005247BD" w:rsidRPr="004E5902" w:rsidRDefault="005247BD" w:rsidP="00454EBC">
      <w:pPr>
        <w:pStyle w:val="Heading2"/>
      </w:pPr>
      <w:r>
        <w:t>Les outils d’IA, en particulier les grands modèles de langage (GML), ont tendance à être vastes et pointus dans des domaines où les données d’entraînement sont nombreuses et de haute qualité (tels que les sujets présentés en langue anglaise et centrés sur l’Occident), mais leur couverture et leur nuance restent limitées en ce qui concerne l’Europe orientale et les pays voisins de l’Union. Cette situation est due à la sous-représentation des langues locales et des sources et points de vue fiables dans les ensembles de données utilisés pour les entraîner. Les droits de l’homme et les valeurs fondamentales de l’Union pourraient ne pas être suffisamment pris en compte dans les résultats. </w:t>
      </w:r>
    </w:p>
    <w:p w14:paraId="5D36539D" w14:textId="77777777" w:rsidR="005247BD" w:rsidRPr="00CA3853" w:rsidRDefault="005247BD" w:rsidP="00454EBC">
      <w:pPr>
        <w:pStyle w:val="ListParagraph"/>
        <w:ind w:left="0"/>
        <w:rPr>
          <w:b/>
          <w:bCs/>
        </w:rPr>
      </w:pPr>
    </w:p>
    <w:p w14:paraId="08329F1B" w14:textId="77777777" w:rsidR="005247BD" w:rsidRPr="004E5902" w:rsidRDefault="005247BD" w:rsidP="00454EBC">
      <w:pPr>
        <w:pStyle w:val="Heading2"/>
      </w:pPr>
      <w:r>
        <w:t>Le langage utilisé pour décrire les pays d’Europe centrale et orientale joue un rôle essentiel dans l’élaboration des perceptions publiques et des approches politiques. Des termes tels que</w:t>
      </w:r>
      <w:proofErr w:type="gramStart"/>
      <w:r>
        <w:t xml:space="preserve"> «anciennes</w:t>
      </w:r>
      <w:proofErr w:type="gramEnd"/>
      <w:r>
        <w:t xml:space="preserve"> républiques de l’Union soviétique» ou «post-soviétique» sont largement utilisés dans les médias internationaux, les documents stratégiques, voire les discours des chercheurs. </w:t>
      </w:r>
      <w:r>
        <w:lastRenderedPageBreak/>
        <w:t xml:space="preserve">Toutefois, il est de plus en plus reproché à ces désignations de perpétuer des stéréotypes réducteurs et à forte connotation politique, qui occultent la diversité, le pouvoir d’agir et les trajectoires uniques des pays concernés. </w:t>
      </w:r>
    </w:p>
    <w:p w14:paraId="190E85F5" w14:textId="77777777" w:rsidR="005247BD" w:rsidRPr="00CA3853" w:rsidRDefault="005247BD" w:rsidP="00454EBC">
      <w:pPr>
        <w:pStyle w:val="ListParagraph"/>
        <w:ind w:left="0"/>
        <w:rPr>
          <w:b/>
          <w:bCs/>
        </w:rPr>
      </w:pPr>
    </w:p>
    <w:p w14:paraId="5D35D5DA" w14:textId="77777777" w:rsidR="005247BD" w:rsidRPr="004E5902" w:rsidRDefault="005247BD" w:rsidP="00454EBC">
      <w:pPr>
        <w:pStyle w:val="Heading2"/>
      </w:pPr>
      <w:r>
        <w:t>Une analyse scientifique récente a mis en évidence le caractère problématique de cette terminologie. L’utilisation du qualificatif</w:t>
      </w:r>
      <w:proofErr w:type="gramStart"/>
      <w:r>
        <w:t xml:space="preserve"> «post</w:t>
      </w:r>
      <w:proofErr w:type="gramEnd"/>
      <w:r>
        <w:t xml:space="preserve">-soviétique» renforce un état d’esprit colonial et cantonne la région à un espace résiduel, défini par ses liens historiques avec le défunt empire soviétique. De la sorte, non seulement on nie l’autonomie d’action des pays d’Europe centrale et orientale, mais on légitime également les discours qui placent cette région dans la sphère d’influence de la Russie. </w:t>
      </w:r>
    </w:p>
    <w:p w14:paraId="755A01D4" w14:textId="77777777" w:rsidR="005247BD" w:rsidRPr="004E5902" w:rsidRDefault="005247BD" w:rsidP="00454EBC">
      <w:pPr>
        <w:rPr>
          <w:lang w:val="en-GB"/>
        </w:rPr>
      </w:pPr>
    </w:p>
    <w:p w14:paraId="190528F7" w14:textId="77777777" w:rsidR="005247BD" w:rsidRPr="004E5902" w:rsidRDefault="005247BD" w:rsidP="00454EBC">
      <w:pPr>
        <w:pStyle w:val="Heading2"/>
      </w:pPr>
      <w:r>
        <w:t>Le CESE estime que l’élimination des biais linguistiques et narratifs nécessite des efforts concertés de la part tant des médias traditionnels que des plateformes numériques. En mettant à jour un langage obsolète, en réformant les algorithmes afin de donner la priorité à la diversité et à l’exactitude, et en soutenant l’éducation aux médias et le journalisme indépendant, nous pouvons favoriser une représentation des nations d’Europe orientale plus inclusive et plus conforme à la réalité. Ces stratégies contribueront non seulement à lutter contre des stéréotypes préjudiciables, mais aussi à faire en sorte que le discours public soit plus équilibré, plus éclairé et plus représentatif de la véritable complexité de la région.</w:t>
      </w:r>
    </w:p>
    <w:p w14:paraId="76014473" w14:textId="77777777" w:rsidR="005247BD" w:rsidRPr="004E5902" w:rsidRDefault="005247BD" w:rsidP="00454EBC">
      <w:pPr>
        <w:rPr>
          <w:lang w:val="en-GB"/>
        </w:rPr>
      </w:pPr>
    </w:p>
    <w:p w14:paraId="29ABDCE0" w14:textId="77777777" w:rsidR="005247BD" w:rsidRPr="004E5902" w:rsidRDefault="005247BD" w:rsidP="00454EBC">
      <w:pPr>
        <w:pStyle w:val="Heading1"/>
        <w:keepNext/>
        <w:keepLines/>
      </w:pPr>
      <w:r>
        <w:rPr>
          <w:b/>
          <w:color w:val="222222"/>
        </w:rPr>
        <w:t xml:space="preserve">Il ressort de ce qui précède que des mesures similaires aux suivantes pourraient améliorer la </w:t>
      </w:r>
      <w:proofErr w:type="gramStart"/>
      <w:r>
        <w:rPr>
          <w:b/>
          <w:color w:val="222222"/>
        </w:rPr>
        <w:t>situation</w:t>
      </w:r>
      <w:r>
        <w:t>:</w:t>
      </w:r>
      <w:proofErr w:type="gramEnd"/>
    </w:p>
    <w:p w14:paraId="1921CDD5" w14:textId="77777777" w:rsidR="005247BD" w:rsidRPr="004E5902" w:rsidRDefault="005247BD" w:rsidP="00454EBC">
      <w:pPr>
        <w:pStyle w:val="Heading2"/>
        <w:keepNext/>
        <w:keepLines/>
        <w:numPr>
          <w:ilvl w:val="0"/>
          <w:numId w:val="0"/>
        </w:numPr>
        <w:ind w:left="567"/>
        <w:rPr>
          <w:b/>
          <w:bCs/>
          <w:lang w:val="en-GB"/>
        </w:rPr>
      </w:pPr>
    </w:p>
    <w:p w14:paraId="40E21FCC" w14:textId="77777777" w:rsidR="005247BD" w:rsidRPr="004E5902" w:rsidRDefault="005247BD" w:rsidP="00454EBC">
      <w:pPr>
        <w:pStyle w:val="Heading2"/>
      </w:pPr>
      <w:proofErr w:type="gramStart"/>
      <w:r>
        <w:t>exiger</w:t>
      </w:r>
      <w:proofErr w:type="gramEnd"/>
      <w:r>
        <w:t xml:space="preserve"> de toutes les grandes plateformes de médias sociaux qu’elles divulguent publiquement leurs processus et leurs changements algorithmiques, y compris la manière dont les contenus sont hiérarchisés et modérés, conformément aux obligations en matière de transparence relevant du règlement sur les services numériques; </w:t>
      </w:r>
    </w:p>
    <w:p w14:paraId="3DEAB086" w14:textId="77777777" w:rsidR="005247BD" w:rsidRPr="004E5902" w:rsidRDefault="005247BD" w:rsidP="00454EBC">
      <w:pPr>
        <w:rPr>
          <w:lang w:val="en-GB"/>
        </w:rPr>
      </w:pPr>
    </w:p>
    <w:p w14:paraId="6F82CF3B" w14:textId="77777777" w:rsidR="005247BD" w:rsidRPr="004E5902" w:rsidRDefault="005247BD" w:rsidP="00454EBC">
      <w:pPr>
        <w:pStyle w:val="Heading2"/>
      </w:pPr>
      <w:proofErr w:type="gramStart"/>
      <w:r>
        <w:t>mettre</w:t>
      </w:r>
      <w:proofErr w:type="gramEnd"/>
      <w:r>
        <w:t xml:space="preserve"> en œuvre, pour les évaluations de l’incidence algorithmique, un cadre normalisé comprenant des audits indépendants afin de recenser les biais et de garantir un traitement équitable des différents contenus; examiner et publier les évaluations des risques conformément à l’article 34 du règlement sur les services numériques, en mettant l’accent sur les risques systémiques pour les droits fondamentaux, la liberté des médias et le débat démocratique;</w:t>
      </w:r>
    </w:p>
    <w:p w14:paraId="08550060" w14:textId="77777777" w:rsidR="005247BD" w:rsidRPr="00CA3853" w:rsidRDefault="005247BD" w:rsidP="00454EBC">
      <w:pPr>
        <w:pStyle w:val="ListParagraph"/>
        <w:ind w:left="0"/>
      </w:pPr>
    </w:p>
    <w:p w14:paraId="3FFC12C1" w14:textId="77777777" w:rsidR="005247BD" w:rsidRPr="004E5902" w:rsidRDefault="005247BD" w:rsidP="00454EBC">
      <w:pPr>
        <w:pStyle w:val="Heading2"/>
      </w:pPr>
      <w:proofErr w:type="gramStart"/>
      <w:r>
        <w:t>mettre</w:t>
      </w:r>
      <w:proofErr w:type="gramEnd"/>
      <w:r>
        <w:t xml:space="preserve"> en place un fonds substantiel de l’Union spécifiquement destiné à apporter un soutien structurel aux médias indépendants en Europe centrale et orientale. Ce fonds pourrait fournir des subventions, des formations et des ressources en faveur du journalisme d’investigation, des programmes d’éducation aux médias et des technologies visant à renforcer la présence et la résilience </w:t>
      </w:r>
      <w:proofErr w:type="gramStart"/>
      <w:r>
        <w:t>numériques;</w:t>
      </w:r>
      <w:proofErr w:type="gramEnd"/>
    </w:p>
    <w:p w14:paraId="44685293" w14:textId="77777777" w:rsidR="005247BD" w:rsidRPr="00CA3853" w:rsidRDefault="005247BD" w:rsidP="00454EBC">
      <w:pPr>
        <w:pStyle w:val="ListParagraph"/>
        <w:ind w:left="0"/>
      </w:pPr>
    </w:p>
    <w:p w14:paraId="7134B0C9" w14:textId="77777777" w:rsidR="005247BD" w:rsidRPr="004E5902" w:rsidRDefault="005247BD" w:rsidP="00454EBC">
      <w:pPr>
        <w:pStyle w:val="Heading2"/>
      </w:pPr>
      <w:r>
        <w:t xml:space="preserve">élaborer une stratégie globale de lutte contre les manipulations de l’information et l’ingérence étrangères, qui prévoit également des sanctions plus sévères pour les plateformes qui ne suppriment pas les contenus manipulateurs ou n’y réagissent pas; exiger des plateformes qu’elles élaborent et maintiennent des mesures proactives pour détecter et atténuer les activités de manipulation de l’information et d’ingérence étrangères, notamment par des partenariats avec </w:t>
      </w:r>
      <w:r>
        <w:lastRenderedPageBreak/>
        <w:t>des entreprises de cybersécurité et des établissements universitaires, qui doivent avoir accès à toutes les données nécessaires; </w:t>
      </w:r>
    </w:p>
    <w:p w14:paraId="0D6EF1A1" w14:textId="77777777" w:rsidR="005247BD" w:rsidRPr="00CA3853" w:rsidRDefault="005247BD" w:rsidP="00454EBC">
      <w:pPr>
        <w:pStyle w:val="ListParagraph"/>
        <w:ind w:left="0"/>
      </w:pPr>
    </w:p>
    <w:p w14:paraId="74386276" w14:textId="77777777" w:rsidR="005247BD" w:rsidRPr="004E5902" w:rsidRDefault="005247BD" w:rsidP="00454EBC">
      <w:pPr>
        <w:pStyle w:val="Heading2"/>
      </w:pPr>
      <w:proofErr w:type="gramStart"/>
      <w:r>
        <w:t>défendre</w:t>
      </w:r>
      <w:proofErr w:type="gramEnd"/>
      <w:r>
        <w:t xml:space="preserve"> et mettre en œuvre des protections juridiques renforcées pour les journalistes et les médias indépendants en Europe orientale, y compris des protections contre le harcèlement, la censure et la répression d’État. Il pourrait s’agir d’initiatives de soutien juridique et de la mise en place de canaux de signalement sûrs pour les journalistes confrontés à des </w:t>
      </w:r>
      <w:proofErr w:type="gramStart"/>
      <w:r>
        <w:t>menaces;</w:t>
      </w:r>
      <w:proofErr w:type="gramEnd"/>
    </w:p>
    <w:p w14:paraId="322632D1" w14:textId="77777777" w:rsidR="005247BD" w:rsidRPr="00CA3853" w:rsidRDefault="005247BD" w:rsidP="00454EBC">
      <w:pPr>
        <w:pStyle w:val="ListParagraph"/>
        <w:ind w:left="0"/>
      </w:pPr>
    </w:p>
    <w:p w14:paraId="7E784FC4" w14:textId="77777777" w:rsidR="005247BD" w:rsidRPr="004E5902" w:rsidRDefault="005247BD" w:rsidP="00454EBC">
      <w:pPr>
        <w:pStyle w:val="Heading2"/>
      </w:pPr>
      <w:proofErr w:type="gramStart"/>
      <w:r>
        <w:t>intégrer</w:t>
      </w:r>
      <w:proofErr w:type="gramEnd"/>
      <w:r>
        <w:t xml:space="preserve"> une éducation globale aux médias numériques dans les programmes scolaires dans toute l’Europe, en mettant l’accent sur l’esprit critique, la consommation de médias et la détection de la désinformation; établir des partenariats avec des établissements d’enseignement et des ONG afin de mettre au point des ressources et des formations attrayantes tant pour les étudiants que pour les éducateurs;</w:t>
      </w:r>
    </w:p>
    <w:p w14:paraId="68991C38" w14:textId="77777777" w:rsidR="005247BD" w:rsidRPr="00CA3853" w:rsidRDefault="005247BD" w:rsidP="00454EBC">
      <w:pPr>
        <w:pStyle w:val="ListParagraph"/>
        <w:ind w:left="0"/>
      </w:pPr>
    </w:p>
    <w:p w14:paraId="54DC80A9" w14:textId="77777777" w:rsidR="005247BD" w:rsidRPr="004E5902" w:rsidRDefault="005247BD" w:rsidP="00454EBC">
      <w:pPr>
        <w:pStyle w:val="Heading2"/>
      </w:pPr>
      <w:proofErr w:type="gramStart"/>
      <w:r>
        <w:t>exiger</w:t>
      </w:r>
      <w:proofErr w:type="gramEnd"/>
      <w:r>
        <w:t xml:space="preserve"> des plateformes qu’elles élaborent des politiques de modération des contenus qui tiennent compte des langues et qui garantissent un traitement équitable des langues minoritaires et des dialectes locaux. Il s’agirait notamment d’embaucher et de former des modérateurs familiarisés avec les contextes sociopolitiques de régions données, en particulier en Europe centrale et </w:t>
      </w:r>
      <w:proofErr w:type="gramStart"/>
      <w:r>
        <w:t>orientale;</w:t>
      </w:r>
      <w:proofErr w:type="gramEnd"/>
    </w:p>
    <w:p w14:paraId="2A40B7F3" w14:textId="77777777" w:rsidR="005247BD" w:rsidRPr="004E5902" w:rsidRDefault="005247BD" w:rsidP="00454EBC">
      <w:pPr>
        <w:jc w:val="left"/>
        <w:rPr>
          <w:lang w:val="en-GB"/>
        </w:rPr>
      </w:pPr>
    </w:p>
    <w:p w14:paraId="0FDDB5FA" w14:textId="77777777" w:rsidR="005247BD" w:rsidRPr="004E5902" w:rsidRDefault="005247BD" w:rsidP="00454EBC">
      <w:pPr>
        <w:pStyle w:val="Heading2"/>
      </w:pPr>
      <w:proofErr w:type="gramStart"/>
      <w:r>
        <w:t>lancer</w:t>
      </w:r>
      <w:proofErr w:type="gramEnd"/>
      <w:r>
        <w:t xml:space="preserve"> des initiatives visant à redéfinir la manière dont les pays d’Europe centrale et orientale sont représentés dans les médias et les débats politiques; encourager l’utilisation de cadres narratifs qui mettent l’accent sur les histoires et les identités uniques de ces nations, en se départant de l’usage de descripteurs obsolètes tels que «post-soviétique»;</w:t>
      </w:r>
    </w:p>
    <w:p w14:paraId="479B0359" w14:textId="77777777" w:rsidR="005247BD" w:rsidRPr="004E5902" w:rsidRDefault="005247BD" w:rsidP="00454EBC">
      <w:pPr>
        <w:rPr>
          <w:lang w:val="en-GB"/>
        </w:rPr>
      </w:pPr>
    </w:p>
    <w:p w14:paraId="20DC4AC5" w14:textId="77777777" w:rsidR="005247BD" w:rsidRPr="004E5902" w:rsidRDefault="005247BD" w:rsidP="00454EBC">
      <w:pPr>
        <w:pStyle w:val="Heading2"/>
      </w:pPr>
      <w:r>
        <w:t>rééquilibrer le marché de la publicité numérique en appliquant les réglementations relatives aux pratiques anticoncurrentielles et le règlement sur les marchés numériques afin de mettre un terme aux pratiques monopolistiques et de garantir une concurrence loyale; soutenir des mesures correctives structurelles, telles que la séparation des entreprises de technologie publicitaire, afin que les annonceurs et les éditeurs puissent mieux contrôler l’emplacement des publicités et que davantage de fonds soient affectés au journalisme de qualité et aux médias indépendants.</w:t>
      </w:r>
    </w:p>
    <w:p w14:paraId="3E2D2E73" w14:textId="77777777" w:rsidR="005247BD" w:rsidRPr="004E5902" w:rsidRDefault="005247BD" w:rsidP="00454EBC">
      <w:pPr>
        <w:rPr>
          <w:lang w:val="en-GB"/>
        </w:rPr>
      </w:pPr>
    </w:p>
    <w:p w14:paraId="665BC52C" w14:textId="7F987824" w:rsidR="005247BD" w:rsidRPr="004E5902" w:rsidRDefault="005247BD" w:rsidP="00454EBC">
      <w:r>
        <w:t>Bruxelles, le 18 septembre 2025</w:t>
      </w:r>
    </w:p>
    <w:p w14:paraId="69A80931" w14:textId="77777777" w:rsidR="005247BD" w:rsidRPr="004E5902" w:rsidRDefault="005247BD" w:rsidP="00454EBC">
      <w:pPr>
        <w:rPr>
          <w:lang w:val="en-GB"/>
        </w:rPr>
      </w:pPr>
    </w:p>
    <w:p w14:paraId="6E757F54" w14:textId="77777777" w:rsidR="005247BD" w:rsidRPr="004E5902" w:rsidRDefault="005247BD" w:rsidP="00454EBC">
      <w:pPr>
        <w:rPr>
          <w:lang w:val="en-GB"/>
        </w:rPr>
      </w:pPr>
    </w:p>
    <w:p w14:paraId="27C6A95B" w14:textId="1D3A16DF" w:rsidR="00CA3853" w:rsidRPr="004E5902" w:rsidRDefault="005247BD" w:rsidP="00454EBC">
      <w:r>
        <w:rPr>
          <w:i/>
          <w:color w:val="000000" w:themeColor="text1"/>
        </w:rPr>
        <w:t>Le président du Comité économique et social européen</w:t>
      </w:r>
    </w:p>
    <w:p w14:paraId="78E9C31A" w14:textId="588C38F6" w:rsidR="005247BD" w:rsidRPr="004E5902" w:rsidRDefault="005247BD" w:rsidP="00454EBC">
      <w:r>
        <w:t>Oliver RÖPKE</w:t>
      </w:r>
    </w:p>
    <w:p w14:paraId="3AEEC411" w14:textId="77777777" w:rsidR="005247BD" w:rsidRPr="004E5902" w:rsidRDefault="005247BD" w:rsidP="00454EBC">
      <w:pPr>
        <w:rPr>
          <w:lang w:val="en-GB"/>
        </w:rPr>
      </w:pPr>
    </w:p>
    <w:p w14:paraId="74E49152" w14:textId="77777777" w:rsidR="005247BD" w:rsidRPr="004E5902" w:rsidRDefault="005247BD" w:rsidP="00454EBC">
      <w:pPr>
        <w:jc w:val="center"/>
      </w:pPr>
      <w:r>
        <w:t>_____________</w:t>
      </w:r>
    </w:p>
    <w:p w14:paraId="7636A56F" w14:textId="77777777" w:rsidR="005247BD" w:rsidRPr="00E8469F" w:rsidRDefault="005247BD" w:rsidP="00E8469F">
      <w:pPr>
        <w:pStyle w:val="Heading1"/>
        <w:numPr>
          <w:ilvl w:val="0"/>
          <w:numId w:val="0"/>
        </w:numPr>
        <w:overflowPunct w:val="0"/>
        <w:autoSpaceDE w:val="0"/>
        <w:autoSpaceDN w:val="0"/>
        <w:adjustRightInd w:val="0"/>
        <w:textAlignment w:val="baseline"/>
        <w:rPr>
          <w:bCs/>
          <w:lang w:val="en-GB"/>
        </w:rPr>
      </w:pPr>
    </w:p>
    <w:sectPr w:rsidR="005247BD" w:rsidRPr="00E8469F" w:rsidSect="001E74A1">
      <w:headerReference w:type="even" r:id="rId33"/>
      <w:headerReference w:type="default" r:id="rId34"/>
      <w:footerReference w:type="default" r:id="rId35"/>
      <w:headerReference w:type="first" r:id="rId36"/>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D2401" w14:textId="77777777" w:rsidR="00DE14FE" w:rsidRDefault="00DE14FE" w:rsidP="00F53370">
      <w:pPr>
        <w:spacing w:line="240" w:lineRule="auto"/>
      </w:pPr>
      <w:r>
        <w:separator/>
      </w:r>
    </w:p>
  </w:endnote>
  <w:endnote w:type="continuationSeparator" w:id="0">
    <w:p w14:paraId="111F8891" w14:textId="77777777" w:rsidR="00DE14FE" w:rsidRDefault="00DE14FE"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B356" w14:textId="77777777" w:rsidR="00787896" w:rsidRDefault="00787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CAAFE" w14:textId="77777777" w:rsidR="00787896" w:rsidRDefault="007878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EEB0" w14:textId="77777777" w:rsidR="00787896" w:rsidRDefault="00787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17E" w14:textId="56695066" w:rsidR="004A5B45" w:rsidRPr="003065C9" w:rsidRDefault="005247BD" w:rsidP="003065C9">
    <w:pPr>
      <w:pStyle w:val="Footer"/>
    </w:pPr>
    <w:r>
      <w:t xml:space="preserve">REX/601 – EESC-2025-00907-00-00-RI-TRA (EN) </w:t>
    </w:r>
    <w:r w:rsidR="008A6DD4">
      <w:fldChar w:fldCharType="begin"/>
    </w:r>
    <w:r w:rsidR="008A6DD4">
      <w:instrText xml:space="preserve"> PAGE   \* MERGEFORMAT </w:instrText>
    </w:r>
    <w:r w:rsidR="008A6DD4">
      <w:fldChar w:fldCharType="separate"/>
    </w:r>
    <w:r w:rsidR="00E52B04">
      <w:t>1</w:t>
    </w:r>
    <w:r w:rsidR="008A6DD4">
      <w:fldChar w:fldCharType="end"/>
    </w:r>
    <w:r>
      <w:t>/</w:t>
    </w:r>
    <w:fldSimple w:instr=" SECTIONPAGES   \* MERGEFORMAT ">
      <w:r w:rsidR="00F62AA6">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DA10F" w14:textId="77777777" w:rsidR="00DE14FE" w:rsidRDefault="00DE14FE" w:rsidP="00F53370">
      <w:pPr>
        <w:spacing w:line="240" w:lineRule="auto"/>
      </w:pPr>
      <w:r>
        <w:separator/>
      </w:r>
    </w:p>
  </w:footnote>
  <w:footnote w:type="continuationSeparator" w:id="0">
    <w:p w14:paraId="55A4C62B" w14:textId="77777777" w:rsidR="00DE14FE" w:rsidRDefault="00DE14FE" w:rsidP="00F53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252CAFAF" w:rsidR="00574C9B" w:rsidRDefault="00F62AA6">
    <w:pPr>
      <w:pStyle w:val="Header"/>
    </w:pPr>
    <w:r>
      <w:pict w14:anchorId="3E5C9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24AE" w14:textId="77777777" w:rsidR="00E8469F" w:rsidRDefault="00E8469F" w:rsidP="00E8469F">
    <w:pPr>
      <w:pStyle w:val="Header"/>
    </w:pPr>
    <w:r>
      <w:rPr>
        <w:noProof/>
      </w:rPr>
      <w:drawing>
        <wp:anchor distT="0" distB="0" distL="114300" distR="114300" simplePos="0" relativeHeight="251676672" behindDoc="0" locked="0" layoutInCell="1" allowOverlap="1" wp14:anchorId="2C7EED1F" wp14:editId="1C5B83CC">
          <wp:simplePos x="898497" y="453224"/>
          <wp:positionH relativeFrom="page">
            <wp:align>center</wp:align>
          </wp:positionH>
          <wp:positionV relativeFrom="page">
            <wp:posOffset>288290</wp:posOffset>
          </wp:positionV>
          <wp:extent cx="6944360" cy="3343910"/>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r>
      <w:pict w14:anchorId="398B7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8" type="#_x0000_t75" style="position:absolute;left:0;text-align:left;margin-left:0;margin-top:0;width:595.2pt;height:841.9pt;z-index:-251638784;mso-position-horizontal:center;mso-position-horizontal-relative:page;mso-position-vertical:top;mso-position-vertical-relative:page" o:allowincell="f">
          <v:imagedata r:id="rId2" o:title="footer only"/>
          <w10:wrap anchorx="page" anchory="page"/>
        </v:shape>
      </w:pict>
    </w:r>
  </w:p>
  <w:p w14:paraId="20C95081" w14:textId="7DC4F030" w:rsidR="00574C9B" w:rsidRPr="00E8469F" w:rsidRDefault="00574C9B" w:rsidP="00E84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007EBCA1" w:rsidR="00574C9B" w:rsidRDefault="00F62AA6">
    <w:pPr>
      <w:pStyle w:val="Header"/>
    </w:pPr>
    <w:r>
      <w:pict w14:anchorId="19171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FEF32E3" w:rsidR="00574C9B" w:rsidRDefault="00F62AA6">
    <w:pPr>
      <w:pStyle w:val="Header"/>
    </w:pPr>
    <w:r>
      <w:pict w14:anchorId="16802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308D261F" w:rsidR="00574C9B" w:rsidRDefault="00F62AA6">
    <w:pPr>
      <w:pStyle w:val="Header"/>
    </w:pPr>
    <w:r>
      <w:pict w14:anchorId="31FC4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8C6B54">
      <w:rPr>
        <w:noProof/>
      </w:rPr>
      <w:drawing>
        <wp:anchor distT="0" distB="0" distL="114300" distR="114300" simplePos="0" relativeHeight="251663360"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56798CB4" w:rsidR="00574C9B" w:rsidRDefault="00F62AA6">
    <w:pPr>
      <w:pStyle w:val="Header"/>
    </w:pPr>
    <w:r>
      <w:pict w14:anchorId="1017B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AD5" w14:textId="60B66FCE" w:rsidR="004871B8" w:rsidRDefault="00F62AA6">
    <w:pPr>
      <w:pStyle w:val="Header"/>
    </w:pPr>
    <w:r>
      <w:pict w14:anchorId="51EC1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43FA7B78" w:rsidR="004A5B45" w:rsidRDefault="00F62AA6">
    <w:pPr>
      <w:pStyle w:val="Header"/>
    </w:pPr>
    <w:r>
      <w:pict w14:anchorId="7B5F8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DF91" w14:textId="4DD3A706" w:rsidR="004871B8" w:rsidRDefault="00F62AA6">
    <w:pPr>
      <w:pStyle w:val="Header"/>
    </w:pPr>
    <w:r>
      <w:pict w14:anchorId="4BBB7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03107"/>
    <w:rsid w:val="00020389"/>
    <w:rsid w:val="00053D00"/>
    <w:rsid w:val="000A0F3B"/>
    <w:rsid w:val="000F7F02"/>
    <w:rsid w:val="00185E99"/>
    <w:rsid w:val="0019231D"/>
    <w:rsid w:val="001955B6"/>
    <w:rsid w:val="001B3B99"/>
    <w:rsid w:val="001D61AC"/>
    <w:rsid w:val="001E15AA"/>
    <w:rsid w:val="001E3FA1"/>
    <w:rsid w:val="00200E87"/>
    <w:rsid w:val="00206D14"/>
    <w:rsid w:val="00214BDC"/>
    <w:rsid w:val="00215E81"/>
    <w:rsid w:val="0024727F"/>
    <w:rsid w:val="002A77F4"/>
    <w:rsid w:val="002B6A7B"/>
    <w:rsid w:val="003353D7"/>
    <w:rsid w:val="00360204"/>
    <w:rsid w:val="003659F9"/>
    <w:rsid w:val="00401DE5"/>
    <w:rsid w:val="00454EBC"/>
    <w:rsid w:val="00461CAF"/>
    <w:rsid w:val="004871B8"/>
    <w:rsid w:val="004A5B45"/>
    <w:rsid w:val="004E5902"/>
    <w:rsid w:val="005247BD"/>
    <w:rsid w:val="00574C9B"/>
    <w:rsid w:val="0058411F"/>
    <w:rsid w:val="005961A4"/>
    <w:rsid w:val="005B55E2"/>
    <w:rsid w:val="005C2475"/>
    <w:rsid w:val="00602365"/>
    <w:rsid w:val="006125A1"/>
    <w:rsid w:val="00612BCC"/>
    <w:rsid w:val="00653E7D"/>
    <w:rsid w:val="00662207"/>
    <w:rsid w:val="00667F09"/>
    <w:rsid w:val="006868CB"/>
    <w:rsid w:val="006B57A6"/>
    <w:rsid w:val="006D53A6"/>
    <w:rsid w:val="00787837"/>
    <w:rsid w:val="00787896"/>
    <w:rsid w:val="00787ABB"/>
    <w:rsid w:val="007B6C64"/>
    <w:rsid w:val="00822952"/>
    <w:rsid w:val="00836505"/>
    <w:rsid w:val="00844B87"/>
    <w:rsid w:val="0089251B"/>
    <w:rsid w:val="008A6DD4"/>
    <w:rsid w:val="008C6B54"/>
    <w:rsid w:val="008F74D7"/>
    <w:rsid w:val="00904C42"/>
    <w:rsid w:val="00914683"/>
    <w:rsid w:val="00924C05"/>
    <w:rsid w:val="00937CF2"/>
    <w:rsid w:val="009451D6"/>
    <w:rsid w:val="009506A6"/>
    <w:rsid w:val="00976645"/>
    <w:rsid w:val="00976F77"/>
    <w:rsid w:val="0098228C"/>
    <w:rsid w:val="009A734F"/>
    <w:rsid w:val="009C37A0"/>
    <w:rsid w:val="009E2100"/>
    <w:rsid w:val="00A310E1"/>
    <w:rsid w:val="00A3397C"/>
    <w:rsid w:val="00A36AB0"/>
    <w:rsid w:val="00AB37A3"/>
    <w:rsid w:val="00AC5114"/>
    <w:rsid w:val="00AC52B0"/>
    <w:rsid w:val="00AE4394"/>
    <w:rsid w:val="00B25683"/>
    <w:rsid w:val="00B51901"/>
    <w:rsid w:val="00BB0A75"/>
    <w:rsid w:val="00BC4FD4"/>
    <w:rsid w:val="00BD50F6"/>
    <w:rsid w:val="00C0056A"/>
    <w:rsid w:val="00C073E1"/>
    <w:rsid w:val="00C25647"/>
    <w:rsid w:val="00C5137B"/>
    <w:rsid w:val="00C66AEA"/>
    <w:rsid w:val="00C9040A"/>
    <w:rsid w:val="00C91E4D"/>
    <w:rsid w:val="00CA3853"/>
    <w:rsid w:val="00CB110A"/>
    <w:rsid w:val="00CB7CD0"/>
    <w:rsid w:val="00D039AF"/>
    <w:rsid w:val="00D13128"/>
    <w:rsid w:val="00D95232"/>
    <w:rsid w:val="00DB7F50"/>
    <w:rsid w:val="00DE14FE"/>
    <w:rsid w:val="00DE30C7"/>
    <w:rsid w:val="00DF400F"/>
    <w:rsid w:val="00E15BF4"/>
    <w:rsid w:val="00E2376B"/>
    <w:rsid w:val="00E2441D"/>
    <w:rsid w:val="00E26935"/>
    <w:rsid w:val="00E27707"/>
    <w:rsid w:val="00E333C8"/>
    <w:rsid w:val="00E47484"/>
    <w:rsid w:val="00E52B04"/>
    <w:rsid w:val="00E661B7"/>
    <w:rsid w:val="00E8469F"/>
    <w:rsid w:val="00E90A9D"/>
    <w:rsid w:val="00EC3B3B"/>
    <w:rsid w:val="00ED0759"/>
    <w:rsid w:val="00F2069F"/>
    <w:rsid w:val="00F53370"/>
    <w:rsid w:val="00F5376E"/>
    <w:rsid w:val="00F62AA6"/>
    <w:rsid w:val="00F90BE2"/>
    <w:rsid w:val="00FA305D"/>
    <w:rsid w:val="00FB1D7A"/>
    <w:rsid w:val="00FB4D0C"/>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3F46F6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ListParagraph">
    <w:name w:val="List Paragraph"/>
    <w:basedOn w:val="Normal"/>
    <w:qFormat/>
    <w:rsid w:val="005247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eeas.europa.eu/sites/default/files/documents/2024/EEAS-2nd-Report%20on%20FIMI%20Threats-January-2024_0.pdf" TargetMode="External"/><Relationship Id="rId3" Type="http://schemas.openxmlformats.org/officeDocument/2006/relationships/customXml" Target="../customXml/item3.xml"/><Relationship Id="rId21" Type="http://schemas.openxmlformats.org/officeDocument/2006/relationships/hyperlink" Target="https://www.euronews.com/next/2025/02/19/whatsapp-faces-strictest-eu-platform-rules-but-not-telegram" TargetMode="Externa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eeas.europa.eu/sites/default/files/documents/2025/EEAS-3nd-ThreatReport-March-2025-05-Digital-HD.pdf"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https://euvsdisinfo.eu/fr/larchitecture-des-operations-fimi-de-la-russ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tratcomcoe.org/publications/social-media-manipulation-for-sale-experiment-on-platform-capabilities-to-detect-and-counter-inauthentic-social-media-engagement/311" TargetMode="External"/><Relationship Id="rId32" Type="http://schemas.openxmlformats.org/officeDocument/2006/relationships/hyperlink" Target="https://commission.europa.eu/strategy-and-policy/priorities-2019-2024/new-push-european-democracy/protecting-democracy/european-media-freedom-act_fr"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disinfo.eu/publications/platforms-policies-on-elections-misinformation/?tztc=1" TargetMode="External"/><Relationship Id="rId28" Type="http://schemas.openxmlformats.org/officeDocument/2006/relationships/hyperlink" Target="https://www.eeas.europa.eu/sites/default/files/documents/2025/EEAS-3nd-ThreatReport-March-2025-05-Digital-HD.pdf" TargetMode="Externa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digital-strategy.ec.europa.eu/en/news/commission-decides-refer-czechia-spain-cyprus-poland-and-portugal-court-justice-european-union-d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eas.europa.eu/sites/default/files/documents/2025/EEAS-3nd-ThreatReport-March-2025-05-Digital-HD.pdf" TargetMode="External"/><Relationship Id="rId27" Type="http://schemas.openxmlformats.org/officeDocument/2006/relationships/hyperlink" Target="https://rsf.org/fr/rsf-porte-plainte-contre-x-ex-twitter-pour-diffusion-de-fausses-informations-et-usurpation-d" TargetMode="External"/><Relationship Id="rId30" Type="http://schemas.openxmlformats.org/officeDocument/2006/relationships/hyperlink" Target="https://digital-strategy.ec.europa.eu/fr/policies/dsa-dscs" TargetMode="External"/><Relationship Id="rId35"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A6WAAD5KZT2Q-604569563-15944</_dlc_DocId>
    <_dlc_DocIdUrl xmlns="1a33af13-4045-4f88-9d7b-618e30f79918">
      <Url>http://dm/eesc/2025/_layouts/15/DocIdRedir.aspx?ID=A6WAAD5KZT2Q-604569563-15944</Url>
      <Description>A6WAAD5KZT2Q-604569563-15944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RI</TermName>
          <TermId xmlns="http://schemas.microsoft.com/office/infopath/2007/PartnerControls">0e66e8df-1601-4fe1-947b-eb539760261a</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2025-09-19T12:00:00+00:00</ProductionDate>
    <DocumentNumber xmlns="be3ca9a7-9286-4008-99ec-aebc20da9dc2">907</DocumentNumber>
    <FicheYear xmlns="1a33af13-4045-4f88-9d7b-618e30f79918" xsi:nil="true"/>
    <DossierNumber xmlns="1a33af13-4045-4f88-9d7b-618e30f79918">601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246</Value>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15</Value>
      <Value>13</Value>
      <Value>12</Value>
      <Value>8</Value>
      <Value>5</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BABRAUSKIENĖ &amp; GOBIŅŠ</Rapporteur>
    <DocumentYear xmlns="1a33af13-4045-4f88-9d7b-618e30f79918">2025</DocumentYear>
    <FicheNumber xmlns="1a33af13-4045-4f88-9d7b-618e30f79918">288114</FicheNumber>
    <OriginalSender xmlns="1a33af13-4045-4f88-9d7b-618e30f79918">
      <UserInfo>
        <DisplayName>Reniere Nathalie</DisplayName>
        <AccountId>1462</AccountId>
        <AccountType/>
      </UserInfo>
    </OriginalSender>
    <DocumentPart xmlns="1a33af13-4045-4f88-9d7b-618e30f79918">0</DocumentPart>
    <AdoptionDate xmlns="1a33af13-4045-4f88-9d7b-618e30f79918">2025-09-18T12:00:00+00:00</AdoptionDate>
    <RequestingService xmlns="1a33af13-4045-4f88-9d7b-618e30f79918">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9667EE92-B602-40AC-9704-782F2DA35557}">
  <ds:schemaRefs>
    <ds:schemaRef ds:uri="http://schemas.microsoft.com/sharepoint/v3/contenttype/forms"/>
  </ds:schemaRefs>
</ds:datastoreItem>
</file>

<file path=customXml/itemProps2.xml><?xml version="1.0" encoding="utf-8"?>
<ds:datastoreItem xmlns:ds="http://schemas.openxmlformats.org/officeDocument/2006/customXml" ds:itemID="{F8749465-BFAD-442C-B100-1DE65236AC8A}">
  <ds:schemaRefs>
    <ds:schemaRef ds:uri="http://schemas.microsoft.com/sharepoint/events"/>
  </ds:schemaRefs>
</ds:datastoreItem>
</file>

<file path=customXml/itemProps3.xml><?xml version="1.0" encoding="utf-8"?>
<ds:datastoreItem xmlns:ds="http://schemas.openxmlformats.org/officeDocument/2006/customXml" ds:itemID="{DD7C05CD-FDF4-475E-B97C-6C7567A782F2}"/>
</file>

<file path=customXml/itemProps4.xml><?xml version="1.0" encoding="utf-8"?>
<ds:datastoreItem xmlns:ds="http://schemas.openxmlformats.org/officeDocument/2006/customXml" ds:itemID="{9ADC2426-B49C-41F3-B8CD-9A19E8A7C14A}">
  <ds:schemaRefs>
    <ds:schemaRef ds:uri="http://schemas.microsoft.com/office/2006/metadata/properties"/>
    <ds:schemaRef ds:uri="http://schemas.microsoft.com/office/infopath/2007/PartnerControls"/>
    <ds:schemaRef ds:uri="7f5f1cb4-0383-4061-857a-33cec58cd7c1"/>
    <ds:schemaRef ds:uri="http://schemas.microsoft.com/sharepoint/v3/fields"/>
    <ds:schemaRef ds:uri="c9ea33bc-6b33-4207-b3ed-ef4abb1c6b6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4355</Words>
  <Characters>23954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EESC RI - Model</vt:lpstr>
    </vt:vector>
  </TitlesOfParts>
  <Manager/>
  <Company/>
  <LinksUpToDate>false</LinksUpToDate>
  <CharactersWithSpaces>28253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médias sociaux et les algorithmes d'intelligence artificielle: garantir partout en Europe le droit à une information exacte et la visibilité des contenus de qualité, notamment sur l'Europe centrale et orientale</dc:title>
  <dc:creator/>
  <cp:keywords>COR-EESC-2024-01326-27-01-ADMIN-TRA-EN</cp:keywords>
  <dc:description>Rapporteur: -  Original language: - EN Date of document: - 17/04/2024 Date of meeting: -  External documents: -  Administrator responsible: -  SUCIU Serban</dc:description>
  <cp:lastModifiedBy/>
  <cp:revision>10</cp:revision>
  <dcterms:created xsi:type="dcterms:W3CDTF">2025-09-19T07:04:00Z</dcterms:created>
  <dcterms:modified xsi:type="dcterms:W3CDTF">2025-09-19T09:44:00Z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19/09/2025, 12/04/2024, 17/05/2022</vt:lpwstr>
  </property>
  <property fmtid="{D5CDD505-2E9C-101B-9397-08002B2CF9AE}" pid="4" name="Pref_Time">
    <vt:lpwstr>09:04:24, 12:04:59, 14:58:36</vt:lpwstr>
  </property>
  <property fmtid="{D5CDD505-2E9C-101B-9397-08002B2CF9AE}" pid="5" name="Pref_User">
    <vt:lpwstr>amett, enied, enied</vt:lpwstr>
  </property>
  <property fmtid="{D5CDD505-2E9C-101B-9397-08002B2CF9AE}" pid="6" name="Pref_FileName">
    <vt:lpwstr>EESC-2025-00907-00-00-RI-TRA-EN-CRR.docx, COR-EESC-2024-01326-27-00-ADMIN-ORI.docx, COR-EESC-2022-02592-00-00-ADMIN-ORI.docx</vt:lpwstr>
  </property>
  <property fmtid="{D5CDD505-2E9C-101B-9397-08002B2CF9AE}" pid="7" name="ContentTypeId">
    <vt:lpwstr>0x010100EA97B91038054C99906057A708A1480A006BB3B767F3CF4149BF520211D4A86BC0</vt:lpwstr>
  </property>
  <property fmtid="{D5CDD505-2E9C-101B-9397-08002B2CF9AE}" pid="8" name="_dlc_DocIdItemGuid">
    <vt:lpwstr>0cf118eb-ecfb-4a6f-8460-08e53d777a6a</vt:lpwstr>
  </property>
  <property fmtid="{D5CDD505-2E9C-101B-9397-08002B2CF9AE}" pid="9" name="AvailableTranslations">
    <vt:lpwstr>5;#EN|f2175f21-25d7-44a3-96da-d6a61b075e1b;#12;#FR|d2afafd3-4c81-4f60-8f52-ee33f2f54ff3;#50;#HR|2f555653-ed1a-4fe6-8362-9082d95989e5;#47;#BG|1a1b3951-7821-4e6a-85f5-5673fc08bd2c;#35;#FI|87606a43-d45f-42d6-b8c9-e1a3457db5b7;#24;#PL|1e03da61-4678-4e07-b136-b5024ca9197b;#30;#LT|a7ff5ce7-6123-4f68-865a-a57c31810414;#43;#GA|762d2456-c427-4ecb-b312-af3dad8e258c;#28;#SV|c2ed69e7-a339-43d7-8f22-d93680a92aa0;#39;#LV|46f7e311-5d9f-4663-b433-18aeccb7ace7;#46;#SK|46d9fce0-ef79-4f71-b89b-cd6aa82426b8;#36;#RO|feb747a2-64cd-4299-af12-4833ddc30497;#31;#SL|98a412ae-eb01-49e9-ae3d-585a81724cfc;#16;#ES|e7a6b05b-ae16-40c8-add9-68b64b03aeba;#32;#MT|7df99101-6854-4a26-b53a-b88c0da02c26;#34;#IT|0774613c-01ed-4e5d-a25d-11d2388de825;#23;#DE|f6b31e5a-26fa-4935-b661-318e46daf27e;#42;#EL|6d4f4d51-af9b-4650-94b4-4276bee85c91;#40;#DA|5d49c027-8956-412b-aa16-e85a0f96ad0e;#29;#CS|72f9705b-0217-4fd3-bea2-cbc7ed80e26e;#37;#HU|6b229040-c589-4408-b4c1-4285663d20a8;#27;#NL|55c6556c-b4f4-441d-9acf-c498d4f838bd;#33;#PT|50ccc04a-eadd-42ae-a0cb-acaf45f812ba;#41;#ET|ff6c3f4c-b02c-4c3c-ab07-2c37995a7a0a</vt:lpwstr>
  </property>
  <property fmtid="{D5CDD505-2E9C-101B-9397-08002B2CF9AE}" pid="10" name="DocumentType_0">
    <vt:lpwstr>RI|0e66e8df-1601-4fe1-947b-eb539760261a</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907</vt:i4>
  </property>
  <property fmtid="{D5CDD505-2E9C-101B-9397-08002B2CF9AE}" pid="14" name="FicheYear">
    <vt:i4>2024</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2;#REX|6820eaf5-116e-436b-ad9c-156f8a94c2a1</vt:lpwstr>
  </property>
  <property fmtid="{D5CDD505-2E9C-101B-9397-08002B2CF9AE}" pid="19" name="DocumentSource">
    <vt:lpwstr>1;#EESC|422833ec-8d7e-4e65-8e4e-8bed07ffb729</vt:lpwstr>
  </property>
  <property fmtid="{D5CDD505-2E9C-101B-9397-08002B2CF9AE}" pid="20" name="DocumentType">
    <vt:lpwstr>246;#RI|0e66e8df-1601-4fe1-947b-eb539760261a</vt:lpwstr>
  </property>
  <property fmtid="{D5CDD505-2E9C-101B-9397-08002B2CF9AE}" pid="21" name="RequestingService">
    <vt:lpwstr>Relations extérieures</vt:lpwstr>
  </property>
  <property fmtid="{D5CDD505-2E9C-101B-9397-08002B2CF9AE}" pid="22" name="Confidentiality">
    <vt:lpwstr>15;#Unrestricted|826e22d7-d029-4ec0-a450-0c28ff673572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EN|f2175f21-25d7-44a3-96da-d6a61b075e1b;EL|6d4f4d51-af9b-4650-94b4-4276bee85c91;HU|6b229040-c589-4408-b4c1-4285663d20a8</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15;#Unrestricted|826e22d7-d029-4ec0-a450-0c28ff673572;#13;#TRA|150d2a88-1431-44e6-a8ca-0bb753ab8672;#42;#EL|6d4f4d51-af9b-4650-94b4-4276bee85c91;#246;#RI|0e66e8df-1601-4fe1-947b-eb539760261a;#5;#EN|f2175f21-25d7-44a3-96da-d6a61b075e1b;#4;#EN|f2175f21-25d7-44a3-96da-d6a61b075e1b;#37;#HU|6b229040-c589-4408-b4c1-4285663d20a8;#2;#REX|6820eaf5-116e-436b-ad9c-156f8a94c2a1;#1;#EESC|422833ec-8d7e-4e65-8e4e-8bed07ffb729;#8;#Final|ea5e6674-7b27-4bac-b091-73adbb394efe</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288114</vt:i4>
  </property>
  <property fmtid="{D5CDD505-2E9C-101B-9397-08002B2CF9AE}" pid="35" name="DocumentLanguage">
    <vt:lpwstr>12;#FR|d2afafd3-4c81-4f60-8f52-ee33f2f54ff3</vt:lpwstr>
  </property>
  <property fmtid="{D5CDD505-2E9C-101B-9397-08002B2CF9AE}" pid="36" name="_docset_NoMedatataSyncRequired">
    <vt:lpwstr>False</vt:lpwstr>
  </property>
  <property fmtid="{D5CDD505-2E9C-101B-9397-08002B2CF9AE}" pid="37" name="DossierNumber">
    <vt:i4>601</vt:i4>
  </property>
  <property fmtid="{D5CDD505-2E9C-101B-9397-08002B2CF9AE}" pid="38" name="DocumentLanguage_0">
    <vt:lpwstr>EN|f2175f21-25d7-44a3-96da-d6a61b075e1b</vt:lpwstr>
  </property>
  <property fmtid="{D5CDD505-2E9C-101B-9397-08002B2CF9AE}" pid="40" name="Rapporteur">
    <vt:lpwstr>BABRAUSKIENĖ &amp; GOBIŅŠ</vt:lpwstr>
  </property>
  <property fmtid="{D5CDD505-2E9C-101B-9397-08002B2CF9AE}" pid="41" name="AdoptionDate">
    <vt:filetime>2025-09-18T12:00:00Z</vt:filetime>
  </property>
</Properties>
</file>