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2.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87"/>
      </w:tblGrid>
      <w:tr w:rsidR="00574C9B" w:rsidRPr="00CA3853" w14:paraId="4B18B74B" w14:textId="77777777" w:rsidTr="008E4CC5">
        <w:trPr>
          <w:jc w:val="center"/>
        </w:trPr>
        <w:tc>
          <w:tcPr>
            <w:tcW w:w="5000" w:type="pct"/>
            <w:vAlign w:val="center"/>
          </w:tcPr>
          <w:p w14:paraId="4B8F14AB" w14:textId="1DC17AD9" w:rsidR="00574C9B" w:rsidRPr="00CA3853" w:rsidRDefault="00360204" w:rsidP="00454EBC">
            <w:pPr>
              <w:jc w:val="center"/>
              <w:rPr>
                <w:b/>
                <w:sz w:val="72"/>
                <w:szCs w:val="72"/>
              </w:rPr>
            </w:pPr>
            <w:r>
              <w:rPr>
                <w:b/>
                <w:sz w:val="72"/>
              </w:rPr>
              <w:t>INFORMATIEF RAPPORT</w:t>
            </w:r>
          </w:p>
        </w:tc>
      </w:tr>
      <w:tr w:rsidR="00574C9B" w:rsidRPr="00CA3853" w14:paraId="428F80C1" w14:textId="77777777" w:rsidTr="008E4CC5">
        <w:trPr>
          <w:trHeight w:val="567"/>
          <w:jc w:val="center"/>
        </w:trPr>
        <w:tc>
          <w:tcPr>
            <w:tcW w:w="5000" w:type="pct"/>
            <w:vAlign w:val="center"/>
          </w:tcPr>
          <w:p w14:paraId="0E3C838D" w14:textId="2E0F4618" w:rsidR="00574C9B" w:rsidRPr="00CA3853" w:rsidRDefault="00574C9B" w:rsidP="00454EBC">
            <w:pPr>
              <w:jc w:val="center"/>
              <w:rPr>
                <w:sz w:val="24"/>
                <w:szCs w:val="24"/>
              </w:rPr>
            </w:pPr>
            <w:r>
              <w:rPr>
                <w:sz w:val="24"/>
              </w:rPr>
              <w:t>Europees Economisch en Sociaal Comité</w:t>
            </w:r>
          </w:p>
        </w:tc>
      </w:tr>
      <w:tr w:rsidR="00574C9B" w:rsidRPr="00CA3853" w14:paraId="5FCA7EB1" w14:textId="77777777" w:rsidTr="008E4CC5">
        <w:trPr>
          <w:jc w:val="center"/>
        </w:trPr>
        <w:tc>
          <w:tcPr>
            <w:tcW w:w="5000" w:type="pct"/>
            <w:vAlign w:val="center"/>
          </w:tcPr>
          <w:p w14:paraId="164B3F5D" w14:textId="2736567A" w:rsidR="00574C9B" w:rsidRPr="00CA3853" w:rsidRDefault="005247BD" w:rsidP="00454EBC">
            <w:pPr>
              <w:jc w:val="center"/>
              <w:rPr>
                <w:b/>
                <w:sz w:val="44"/>
                <w:szCs w:val="44"/>
              </w:rPr>
            </w:pPr>
            <w:r>
              <w:rPr>
                <w:b/>
                <w:sz w:val="44"/>
              </w:rPr>
              <w:t>Sociale media en AI-algoritmen: waarborgen van het recht op accurate informatie en de zichtbaarheid van hoogwaardige inhoud in heel Europa, met name over Midden- en Oost-Europa</w:t>
            </w:r>
          </w:p>
        </w:tc>
      </w:tr>
      <w:tr w:rsidR="00574C9B" w:rsidRPr="00CA3853" w14:paraId="0A2CA787" w14:textId="77777777" w:rsidTr="008E4CC5">
        <w:trPr>
          <w:jc w:val="center"/>
        </w:trPr>
        <w:tc>
          <w:tcPr>
            <w:tcW w:w="5000" w:type="pct"/>
            <w:vAlign w:val="center"/>
          </w:tcPr>
          <w:p w14:paraId="766B3712" w14:textId="77777777" w:rsidR="00574C9B" w:rsidRPr="00CA3853" w:rsidRDefault="00574C9B" w:rsidP="00454EBC">
            <w:pPr>
              <w:overflowPunct w:val="0"/>
              <w:autoSpaceDE w:val="0"/>
              <w:autoSpaceDN w:val="0"/>
              <w:adjustRightInd w:val="0"/>
              <w:jc w:val="center"/>
              <w:textAlignment w:val="baseline"/>
              <w:rPr>
                <w:b/>
                <w:position w:val="24"/>
                <w:sz w:val="24"/>
                <w:szCs w:val="24"/>
              </w:rPr>
            </w:pPr>
            <w:r>
              <w:rPr>
                <w:sz w:val="24"/>
              </w:rPr>
              <w:t>_____________</w:t>
            </w:r>
          </w:p>
        </w:tc>
      </w:tr>
      <w:tr w:rsidR="00574C9B" w:rsidRPr="00CA3853" w14:paraId="651BE820" w14:textId="77777777" w:rsidTr="008E4CC5">
        <w:trPr>
          <w:jc w:val="center"/>
        </w:trPr>
        <w:tc>
          <w:tcPr>
            <w:tcW w:w="5000" w:type="pct"/>
            <w:vAlign w:val="center"/>
          </w:tcPr>
          <w:p w14:paraId="6E238E6D" w14:textId="35C07B4E" w:rsidR="005247BD" w:rsidRPr="00CA3853" w:rsidRDefault="005247BD" w:rsidP="00454EBC">
            <w:pPr>
              <w:jc w:val="center"/>
              <w:rPr>
                <w:sz w:val="24"/>
                <w:szCs w:val="24"/>
              </w:rPr>
            </w:pPr>
            <w:r>
              <w:rPr>
                <w:sz w:val="24"/>
              </w:rPr>
              <w:t>Sociale media en AI-algoritmen: waarborgen van het recht op accurate informatie en de zichtbaarheid van hoogwaardige inhoud in heel Europa, met name over Midden- en Oost-Europa</w:t>
            </w:r>
          </w:p>
        </w:tc>
      </w:tr>
      <w:tr w:rsidR="00574C9B" w:rsidRPr="00CA3853" w14:paraId="295584EE" w14:textId="77777777" w:rsidTr="008E4CC5">
        <w:trPr>
          <w:jc w:val="center"/>
        </w:trPr>
        <w:tc>
          <w:tcPr>
            <w:tcW w:w="5000" w:type="pct"/>
            <w:vAlign w:val="center"/>
          </w:tcPr>
          <w:p w14:paraId="7AA50FA1" w14:textId="77777777" w:rsidR="00574C9B" w:rsidRPr="00CA3853" w:rsidRDefault="00574C9B" w:rsidP="00454EBC">
            <w:pPr>
              <w:jc w:val="center"/>
              <w:rPr>
                <w:sz w:val="24"/>
                <w:szCs w:val="24"/>
                <w:lang w:val="en-GB"/>
              </w:rPr>
            </w:pPr>
          </w:p>
        </w:tc>
      </w:tr>
      <w:tr w:rsidR="00574C9B" w:rsidRPr="00CA3853" w14:paraId="41F47321" w14:textId="77777777" w:rsidTr="008E4CC5">
        <w:trPr>
          <w:jc w:val="center"/>
        </w:trPr>
        <w:tc>
          <w:tcPr>
            <w:tcW w:w="5000" w:type="pct"/>
            <w:vAlign w:val="center"/>
          </w:tcPr>
          <w:p w14:paraId="50D97899" w14:textId="4BD8FE75" w:rsidR="00574C9B" w:rsidRPr="00CA3853" w:rsidRDefault="005247BD" w:rsidP="00454EBC">
            <w:pPr>
              <w:jc w:val="center"/>
              <w:rPr>
                <w:b/>
                <w:sz w:val="24"/>
                <w:szCs w:val="24"/>
              </w:rPr>
            </w:pPr>
            <w:r>
              <w:rPr>
                <w:b/>
                <w:sz w:val="24"/>
              </w:rPr>
              <w:t>REX/601</w:t>
            </w:r>
          </w:p>
        </w:tc>
      </w:tr>
      <w:tr w:rsidR="00574C9B" w:rsidRPr="00CA3853" w14:paraId="2110FDEB" w14:textId="77777777" w:rsidTr="008E4CC5">
        <w:trPr>
          <w:jc w:val="center"/>
        </w:trPr>
        <w:tc>
          <w:tcPr>
            <w:tcW w:w="5000" w:type="pct"/>
            <w:vAlign w:val="center"/>
          </w:tcPr>
          <w:p w14:paraId="59F181E4" w14:textId="77777777" w:rsidR="00574C9B" w:rsidRPr="00CA3853" w:rsidRDefault="00574C9B" w:rsidP="00454EBC">
            <w:pPr>
              <w:jc w:val="center"/>
              <w:rPr>
                <w:sz w:val="24"/>
                <w:szCs w:val="24"/>
                <w:lang w:val="en-GB"/>
              </w:rPr>
            </w:pPr>
          </w:p>
        </w:tc>
      </w:tr>
      <w:tr w:rsidR="00574C9B" w:rsidRPr="00CA3853" w14:paraId="5DF7EBEA" w14:textId="77777777" w:rsidTr="008E4CC5">
        <w:trPr>
          <w:jc w:val="center"/>
        </w:trPr>
        <w:tc>
          <w:tcPr>
            <w:tcW w:w="5000" w:type="pct"/>
            <w:vAlign w:val="center"/>
          </w:tcPr>
          <w:p w14:paraId="23E9DE0A" w14:textId="0D8B0CE9" w:rsidR="00574C9B" w:rsidRPr="00CA3853" w:rsidRDefault="00574C9B" w:rsidP="00454EBC">
            <w:pPr>
              <w:jc w:val="center"/>
              <w:rPr>
                <w:sz w:val="24"/>
                <w:szCs w:val="24"/>
              </w:rPr>
            </w:pPr>
            <w:r>
              <w:rPr>
                <w:sz w:val="24"/>
              </w:rPr>
              <w:t xml:space="preserve">Rapporteur: </w:t>
            </w:r>
            <w:r>
              <w:rPr>
                <w:b/>
                <w:sz w:val="24"/>
              </w:rPr>
              <w:t>Tatjana BABRAUSKIENĖ</w:t>
            </w:r>
          </w:p>
        </w:tc>
      </w:tr>
      <w:tr w:rsidR="00CB7CD0" w:rsidRPr="00CA3853" w14:paraId="1AE590E4" w14:textId="77777777" w:rsidTr="008E4CC5">
        <w:trPr>
          <w:jc w:val="center"/>
        </w:trPr>
        <w:tc>
          <w:tcPr>
            <w:tcW w:w="5000" w:type="pct"/>
            <w:vAlign w:val="center"/>
          </w:tcPr>
          <w:p w14:paraId="3CA82D7B" w14:textId="19D6F4B5" w:rsidR="00CB7CD0" w:rsidRPr="00CA3853" w:rsidRDefault="00CB7CD0" w:rsidP="00454EBC">
            <w:pPr>
              <w:jc w:val="center"/>
              <w:rPr>
                <w:sz w:val="24"/>
                <w:szCs w:val="24"/>
              </w:rPr>
            </w:pPr>
            <w:r>
              <w:rPr>
                <w:sz w:val="24"/>
              </w:rPr>
              <w:t xml:space="preserve">Corapporteur: </w:t>
            </w:r>
            <w:r>
              <w:rPr>
                <w:b/>
                <w:sz w:val="24"/>
              </w:rPr>
              <w:t>Andris GOBIŅŠ</w:t>
            </w:r>
          </w:p>
        </w:tc>
      </w:tr>
    </w:tbl>
    <w:p w14:paraId="0B225863" w14:textId="77777777" w:rsidR="00574C9B" w:rsidRPr="00CA3853" w:rsidRDefault="00574C9B" w:rsidP="00454EBC">
      <w:r>
        <w:rPr>
          <w:noProof/>
          <w:sz w:val="20"/>
        </w:rPr>
        <mc:AlternateContent>
          <mc:Choice Requires="wps">
            <w:drawing>
              <wp:anchor distT="0" distB="0" distL="114300" distR="114300" simplePos="0" relativeHeight="251664384" behindDoc="1" locked="0" layoutInCell="0" allowOverlap="1" wp14:anchorId="3735E109" wp14:editId="3357AC0E">
                <wp:simplePos x="0" y="0"/>
                <wp:positionH relativeFrom="rightMargin">
                  <wp:posOffset>-201930</wp:posOffset>
                </wp:positionH>
                <wp:positionV relativeFrom="page">
                  <wp:posOffset>9486900</wp:posOffset>
                </wp:positionV>
                <wp:extent cx="741600" cy="432000"/>
                <wp:effectExtent l="0" t="0" r="0" b="635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600" cy="43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B00903" w14:textId="77777777" w:rsidR="00574C9B" w:rsidRDefault="00574C9B" w:rsidP="00574C9B">
                            <w:pPr>
                              <w:jc w:val="center"/>
                            </w:pPr>
                            <w:r>
                              <w:rPr>
                                <w:rFonts w:ascii="Arial" w:hAnsi="Arial"/>
                                <w:b/>
                                <w:sz w:val="48"/>
                              </w:rPr>
                              <w:t>NL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35E109" id="_x0000_t202" coordsize="21600,21600" o:spt="202" path="m,l,21600r21600,l21600,xe">
                <v:stroke joinstyle="miter"/>
                <v:path gradientshapeok="t" o:connecttype="rect"/>
              </v:shapetype>
              <v:shape id="Text Box 17" o:spid="_x0000_s1026" type="#_x0000_t202" style="position:absolute;left:0;text-align:left;margin-left:-15.9pt;margin-top:747pt;width:58.4pt;height:34pt;z-index:-25165209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" o:allowincell="f" filled="f" stroked="f">
                <v:textbox>
                  <w:txbxContent>
                    <w:p w14:paraId="03B00903" w14:textId="77777777" w:rsidR="00574C9B" w:rsidRDefault="00574C9B" w:rsidP="00574C9B">
                      <w:pPr>
                        <w:jc w:val="center"/>
                      </w:pPr>
                      <w:r>
                        <w:rPr>
                          <w:rFonts w:ascii="Arial" w:hAnsi="Arial"/>
                          <w:b/>
                          <w:sz w:val="48"/>
                        </w:rPr>
                        <w:t>NL</w:t>
                      </w:r>
                    </w:p>
                  </w:txbxContent>
                </v:textbox>
                <w10:wrap anchorx="margin" anchory="page"/>
              </v:shape>
            </w:pict>
          </mc:Fallback>
        </mc:AlternateContent>
      </w:r>
    </w:p>
    <w:p w14:paraId="3FA5826A" w14:textId="77777777" w:rsidR="00574C9B" w:rsidRPr="00CA3853" w:rsidRDefault="00574C9B" w:rsidP="00454EBC">
      <w:pPr>
        <w:rPr>
          <w:lang w:val="en-GB"/>
        </w:rPr>
      </w:pPr>
    </w:p>
    <w:p w14:paraId="4B88FC0A" w14:textId="77777777" w:rsidR="00574C9B" w:rsidRPr="00CA3853" w:rsidRDefault="00574C9B" w:rsidP="00454EBC">
      <w:pPr>
        <w:rPr>
          <w:lang w:val="en-GB"/>
        </w:rPr>
        <w:sectPr w:rsidR="00574C9B" w:rsidRPr="00CA3853" w:rsidSect="00AC5114">
          <w:headerReference w:type="even" r:id="rId11"/>
          <w:headerReference w:type="default" r:id="rId12"/>
          <w:headerReference w:type="first" r:id="rId13"/>
          <w:pgSz w:w="11907" w:h="16839" w:code="9"/>
          <w:pgMar w:top="5670" w:right="1418" w:bottom="1418" w:left="1418" w:header="709" w:footer="709" w:gutter="0"/>
          <w:cols w:space="720"/>
          <w:docGrid w:linePitch="360"/>
        </w:sectPr>
      </w:pPr>
    </w:p>
    <w:tbl>
      <w:tblPr>
        <w:tblpPr w:leftFromText="181" w:rightFromText="181" w:tblpYSpec="bottom"/>
        <w:tblOverlap w:val="never"/>
        <w:tblW w:w="9289" w:type="dxa"/>
        <w:tblLayout w:type="fixed"/>
        <w:tblLook w:val="04A0" w:firstRow="1" w:lastRow="0" w:firstColumn="1" w:lastColumn="0" w:noHBand="0" w:noVBand="1"/>
      </w:tblPr>
      <w:tblGrid>
        <w:gridCol w:w="3085"/>
        <w:gridCol w:w="6204"/>
      </w:tblGrid>
      <w:tr w:rsidR="00C5137B" w:rsidRPr="00CA3853" w14:paraId="6755593A" w14:textId="77777777" w:rsidTr="00E15BF4">
        <w:tc>
          <w:tcPr>
            <w:tcW w:w="3085" w:type="dxa"/>
          </w:tcPr>
          <w:p w14:paraId="5F91A05F" w14:textId="0D333D6B" w:rsidR="00C5137B" w:rsidRPr="00CA3853" w:rsidRDefault="00C5137B" w:rsidP="00454EBC">
            <w:pPr>
              <w:autoSpaceDE w:val="0"/>
              <w:autoSpaceDN w:val="0"/>
              <w:jc w:val="left"/>
              <w:rPr>
                <w:szCs w:val="20"/>
              </w:rPr>
            </w:pPr>
            <w:r>
              <w:lastRenderedPageBreak/>
              <w:t>Adviseur</w:t>
            </w:r>
          </w:p>
        </w:tc>
        <w:tc>
          <w:tcPr>
            <w:tcW w:w="6204" w:type="dxa"/>
            <w:vAlign w:val="bottom"/>
          </w:tcPr>
          <w:p w14:paraId="70C24170" w14:textId="481A71DA" w:rsidR="00C5137B" w:rsidRPr="00CA3853" w:rsidRDefault="005247BD" w:rsidP="00454EBC">
            <w:pPr>
              <w:autoSpaceDE w:val="0"/>
              <w:autoSpaceDN w:val="0"/>
              <w:jc w:val="left"/>
            </w:pPr>
            <w:r>
              <w:t>Hanna LIUBAKOVA</w:t>
            </w:r>
          </w:p>
        </w:tc>
      </w:tr>
      <w:tr w:rsidR="00C5137B" w:rsidRPr="00CA3853" w14:paraId="0F2D8E06" w14:textId="77777777" w:rsidTr="00E15BF4">
        <w:tc>
          <w:tcPr>
            <w:tcW w:w="3085" w:type="dxa"/>
          </w:tcPr>
          <w:p w14:paraId="4CD317AD" w14:textId="77777777" w:rsidR="00C5137B" w:rsidRPr="00CA3853" w:rsidRDefault="00C5137B" w:rsidP="00454EBC">
            <w:pPr>
              <w:autoSpaceDE w:val="0"/>
              <w:autoSpaceDN w:val="0"/>
              <w:jc w:val="left"/>
              <w:rPr>
                <w:szCs w:val="20"/>
                <w:lang w:val="en-GB"/>
              </w:rPr>
            </w:pPr>
          </w:p>
        </w:tc>
        <w:tc>
          <w:tcPr>
            <w:tcW w:w="6204" w:type="dxa"/>
            <w:vAlign w:val="bottom"/>
          </w:tcPr>
          <w:p w14:paraId="59403491" w14:textId="77777777" w:rsidR="00C5137B" w:rsidRPr="00CA3853" w:rsidRDefault="00C5137B" w:rsidP="00454EBC">
            <w:pPr>
              <w:autoSpaceDE w:val="0"/>
              <w:autoSpaceDN w:val="0"/>
              <w:jc w:val="left"/>
              <w:rPr>
                <w:lang w:val="en-GB"/>
              </w:rPr>
            </w:pPr>
          </w:p>
        </w:tc>
      </w:tr>
      <w:tr w:rsidR="00914683" w:rsidRPr="00CA3853" w14:paraId="3E385435" w14:textId="77777777" w:rsidTr="00E15BF4">
        <w:tc>
          <w:tcPr>
            <w:tcW w:w="3085" w:type="dxa"/>
          </w:tcPr>
          <w:p w14:paraId="3054D729" w14:textId="5D5B5FF6" w:rsidR="00914683" w:rsidRPr="00CA3853" w:rsidRDefault="00914683" w:rsidP="00454EBC">
            <w:pPr>
              <w:autoSpaceDE w:val="0"/>
              <w:autoSpaceDN w:val="0"/>
              <w:jc w:val="left"/>
              <w:rPr>
                <w:szCs w:val="20"/>
              </w:rPr>
            </w:pPr>
            <w:r>
              <w:t>Rechtsgrond</w:t>
            </w:r>
          </w:p>
        </w:tc>
        <w:tc>
          <w:tcPr>
            <w:tcW w:w="6204" w:type="dxa"/>
            <w:vAlign w:val="bottom"/>
          </w:tcPr>
          <w:p w14:paraId="41CF067A" w14:textId="0D6FB79C" w:rsidR="00914683" w:rsidRPr="00CA3853" w:rsidRDefault="00914683" w:rsidP="00454EBC">
            <w:pPr>
              <w:autoSpaceDE w:val="0"/>
              <w:autoSpaceDN w:val="0"/>
              <w:jc w:val="left"/>
            </w:pPr>
            <w:r>
              <w:t>Artikel 52, lid 3, van het reglement van orde</w:t>
            </w:r>
          </w:p>
        </w:tc>
      </w:tr>
      <w:tr w:rsidR="00AC5114" w:rsidRPr="00CA3853" w14:paraId="0E2099A6" w14:textId="77777777" w:rsidTr="00E15BF4">
        <w:tc>
          <w:tcPr>
            <w:tcW w:w="3085" w:type="dxa"/>
          </w:tcPr>
          <w:p w14:paraId="0BC68BA5" w14:textId="77777777" w:rsidR="00AC5114" w:rsidRPr="00CA3853" w:rsidRDefault="00AC5114" w:rsidP="00454EBC">
            <w:pPr>
              <w:autoSpaceDE w:val="0"/>
              <w:autoSpaceDN w:val="0"/>
              <w:jc w:val="left"/>
            </w:pPr>
            <w:r>
              <w:t>Bevoegde afdeling</w:t>
            </w:r>
          </w:p>
        </w:tc>
        <w:tc>
          <w:tcPr>
            <w:tcW w:w="6204" w:type="dxa"/>
            <w:vAlign w:val="bottom"/>
          </w:tcPr>
          <w:p w14:paraId="5AE7EA9E" w14:textId="266F319F" w:rsidR="00AC5114" w:rsidRPr="00CA3853" w:rsidRDefault="005247BD" w:rsidP="00454EBC">
            <w:pPr>
              <w:autoSpaceDE w:val="0"/>
              <w:autoSpaceDN w:val="0"/>
              <w:jc w:val="left"/>
            </w:pPr>
            <w:r>
              <w:t>Externe Betrekkingen</w:t>
            </w:r>
          </w:p>
        </w:tc>
      </w:tr>
      <w:tr w:rsidR="00AC5114" w:rsidRPr="00CA3853" w14:paraId="53972E32" w14:textId="77777777" w:rsidTr="00E15BF4">
        <w:tc>
          <w:tcPr>
            <w:tcW w:w="3085" w:type="dxa"/>
          </w:tcPr>
          <w:p w14:paraId="13B33E83" w14:textId="77777777" w:rsidR="00AC5114" w:rsidRPr="00CA3853" w:rsidRDefault="00AC5114" w:rsidP="00454EBC">
            <w:pPr>
              <w:autoSpaceDE w:val="0"/>
              <w:autoSpaceDN w:val="0"/>
              <w:jc w:val="left"/>
            </w:pPr>
            <w:r>
              <w:t>Goedkeuring door de afdeling</w:t>
            </w:r>
          </w:p>
        </w:tc>
        <w:tc>
          <w:tcPr>
            <w:tcW w:w="6204" w:type="dxa"/>
            <w:vAlign w:val="bottom"/>
          </w:tcPr>
          <w:p w14:paraId="5E71ECD2" w14:textId="724DC4F5" w:rsidR="00AC5114" w:rsidRPr="00CA3853" w:rsidRDefault="005247BD" w:rsidP="00454EBC">
            <w:pPr>
              <w:autoSpaceDE w:val="0"/>
              <w:autoSpaceDN w:val="0"/>
              <w:jc w:val="left"/>
            </w:pPr>
            <w:r>
              <w:t>9/7/2025</w:t>
            </w:r>
          </w:p>
        </w:tc>
      </w:tr>
      <w:tr w:rsidR="0058411F" w:rsidRPr="00CA3853" w14:paraId="7AE47B93" w14:textId="77777777" w:rsidTr="00E15BF4">
        <w:tc>
          <w:tcPr>
            <w:tcW w:w="3085" w:type="dxa"/>
          </w:tcPr>
          <w:p w14:paraId="26DE3092" w14:textId="352FC8CA" w:rsidR="0058411F" w:rsidRPr="00CA3853" w:rsidRDefault="0058411F" w:rsidP="00454EBC">
            <w:pPr>
              <w:autoSpaceDE w:val="0"/>
              <w:autoSpaceDN w:val="0"/>
              <w:jc w:val="left"/>
            </w:pPr>
            <w:r>
              <w:t>Goedkeuring door de voltallige vergadering</w:t>
            </w:r>
          </w:p>
        </w:tc>
        <w:tc>
          <w:tcPr>
            <w:tcW w:w="6204" w:type="dxa"/>
            <w:vAlign w:val="bottom"/>
          </w:tcPr>
          <w:p w14:paraId="34FA2183" w14:textId="716AF036" w:rsidR="0058411F" w:rsidRPr="00CA3853" w:rsidRDefault="005247BD" w:rsidP="00454EBC">
            <w:pPr>
              <w:autoSpaceDE w:val="0"/>
              <w:autoSpaceDN w:val="0"/>
              <w:jc w:val="left"/>
            </w:pPr>
            <w:r>
              <w:t>18/9/2025</w:t>
            </w:r>
          </w:p>
        </w:tc>
      </w:tr>
      <w:tr w:rsidR="0058411F" w:rsidRPr="00CA3853" w14:paraId="2FE8AE44" w14:textId="77777777" w:rsidTr="00E15BF4">
        <w:tc>
          <w:tcPr>
            <w:tcW w:w="3085" w:type="dxa"/>
          </w:tcPr>
          <w:p w14:paraId="2A65A034" w14:textId="77777777" w:rsidR="0058411F" w:rsidRPr="00CA3853" w:rsidRDefault="0058411F" w:rsidP="00454EBC">
            <w:pPr>
              <w:autoSpaceDE w:val="0"/>
              <w:autoSpaceDN w:val="0"/>
              <w:jc w:val="left"/>
            </w:pPr>
            <w:r>
              <w:t>Zitting nr.</w:t>
            </w:r>
          </w:p>
        </w:tc>
        <w:tc>
          <w:tcPr>
            <w:tcW w:w="6204" w:type="dxa"/>
            <w:vAlign w:val="bottom"/>
          </w:tcPr>
          <w:p w14:paraId="17BFB0A7" w14:textId="7F7E24EE" w:rsidR="0058411F" w:rsidRPr="00CA3853" w:rsidRDefault="002A77F4" w:rsidP="00454EBC">
            <w:pPr>
              <w:autoSpaceDE w:val="0"/>
              <w:autoSpaceDN w:val="0"/>
              <w:jc w:val="left"/>
            </w:pPr>
            <w:r>
              <w:t>599</w:t>
            </w:r>
          </w:p>
        </w:tc>
      </w:tr>
      <w:tr w:rsidR="0058411F" w:rsidRPr="00CA3853" w14:paraId="3889B17A" w14:textId="77777777" w:rsidTr="00E15BF4">
        <w:tc>
          <w:tcPr>
            <w:tcW w:w="3085" w:type="dxa"/>
          </w:tcPr>
          <w:p w14:paraId="0C723801" w14:textId="77777777" w:rsidR="0058411F" w:rsidRPr="00CA3853" w:rsidRDefault="0058411F" w:rsidP="00454EBC">
            <w:pPr>
              <w:autoSpaceDE w:val="0"/>
              <w:autoSpaceDN w:val="0"/>
              <w:jc w:val="left"/>
            </w:pPr>
            <w:r>
              <w:t>Stemuitslag</w:t>
            </w:r>
            <w:r>
              <w:br/>
              <w:t>(voor/tegen/onthoudingen)</w:t>
            </w:r>
          </w:p>
        </w:tc>
        <w:tc>
          <w:tcPr>
            <w:tcW w:w="6204" w:type="dxa"/>
            <w:vAlign w:val="bottom"/>
          </w:tcPr>
          <w:p w14:paraId="14DB34EA" w14:textId="61802F6B" w:rsidR="0058411F" w:rsidRPr="00CA3853" w:rsidRDefault="004A5B45" w:rsidP="00454EBC">
            <w:pPr>
              <w:autoSpaceDE w:val="0"/>
              <w:autoSpaceDN w:val="0"/>
              <w:jc w:val="left"/>
            </w:pPr>
            <w:r>
              <w:t>141/0/2</w:t>
            </w:r>
          </w:p>
        </w:tc>
      </w:tr>
    </w:tbl>
    <w:p w14:paraId="156A5F34" w14:textId="77777777" w:rsidR="00AC5114" w:rsidRPr="00CA3853" w:rsidRDefault="00AC5114" w:rsidP="00454EBC">
      <w:pPr>
        <w:rPr>
          <w:lang w:val="en-GB"/>
        </w:rPr>
      </w:pPr>
    </w:p>
    <w:p w14:paraId="2CD3051D" w14:textId="77777777" w:rsidR="00AC5114" w:rsidRPr="00CA3853" w:rsidRDefault="00AC5114" w:rsidP="00454EBC">
      <w:pPr>
        <w:rPr>
          <w:lang w:val="en-GB"/>
        </w:rPr>
        <w:sectPr w:rsidR="00AC5114" w:rsidRPr="00CA3853" w:rsidSect="00653E7D">
          <w:headerReference w:type="even" r:id="rId14"/>
          <w:headerReference w:type="default" r:id="rId15"/>
          <w:footerReference w:type="default" r:id="rId16"/>
          <w:headerReference w:type="first" r:id="rId17"/>
          <w:pgSz w:w="11907" w:h="16839" w:code="9"/>
          <w:pgMar w:top="5670" w:right="1418" w:bottom="1418" w:left="1418" w:header="709" w:footer="709" w:gutter="0"/>
          <w:cols w:space="720"/>
          <w:docGrid w:linePitch="360"/>
        </w:sectPr>
      </w:pPr>
    </w:p>
    <w:p w14:paraId="075834E6" w14:textId="77777777" w:rsidR="005247BD" w:rsidRPr="004E5902" w:rsidRDefault="005247BD" w:rsidP="00454EBC">
      <w:pPr>
        <w:pStyle w:val="Heading1"/>
        <w:rPr>
          <w:b/>
          <w:bCs/>
        </w:rPr>
      </w:pPr>
      <w:r>
        <w:rPr>
          <w:b/>
        </w:rPr>
        <w:lastRenderedPageBreak/>
        <w:t>Samenvatting</w:t>
      </w:r>
    </w:p>
    <w:p w14:paraId="5DF2176C" w14:textId="77777777" w:rsidR="005247BD" w:rsidRPr="004E5902" w:rsidRDefault="005247BD" w:rsidP="00454EBC">
      <w:pPr>
        <w:rPr>
          <w:lang w:val="en-GB"/>
        </w:rPr>
      </w:pPr>
    </w:p>
    <w:p w14:paraId="2B796918" w14:textId="77777777" w:rsidR="005247BD" w:rsidRPr="004E5902" w:rsidRDefault="005247BD" w:rsidP="00454EBC">
      <w:pPr>
        <w:pStyle w:val="Heading2"/>
      </w:pPr>
      <w:r>
        <w:t>De hybride oorlog tegen de democratie in Oost-Europa omvat naast militaire acties ook geraffineerde desinformatiecampagnes die erop zijn gericht het vertrouwen in democratische instellingen te ondermijnen. Deze campagnes buiten maatschappelijke verdeeldheid uit door kwetsbare bevolkingsgroepen te bestoken met speciaal op hen afgestemde narratieven die angst en onzekerheid inboezemen. Sociale media en AI-algoritmen spelen een cruciale rol, omdat ze democratische normen kunnen ondersteunen of juist ondergraven. In dit rapport wordt benadrukt dat er dringend behoefte is aan een alomvattende aanpak om deze bedreigingen het hoofd te bieden en wordt gepleit voor internationale samenwerking om de democratische integriteit te vergroten en burgers de middelen te geven in het complexe digitale landschap vast te stellen welke informatie betrouwbaar is.</w:t>
      </w:r>
    </w:p>
    <w:p w14:paraId="6BC195E8" w14:textId="77777777" w:rsidR="005247BD" w:rsidRPr="004E5902" w:rsidRDefault="005247BD" w:rsidP="00454EBC">
      <w:pPr>
        <w:rPr>
          <w:lang w:val="en-GB"/>
        </w:rPr>
      </w:pPr>
    </w:p>
    <w:p w14:paraId="7CA0DD76" w14:textId="77777777" w:rsidR="005247BD" w:rsidRPr="004E5902" w:rsidRDefault="005247BD" w:rsidP="00454EBC">
      <w:pPr>
        <w:pStyle w:val="Heading2"/>
      </w:pPr>
      <w:r>
        <w:t>Socialemediaplatforms en AI-algoritmen zijn vandaag de dag doorslaggevend voor het verloop van publieke debatten en bepalen welke informatie Europeanen te zien krijgen, waarbij sensationele of verdeeldheid zaaiende inhoud vaak veel meer en prominenter wordt getoond dan hoogwaardige journalistieke berichten. De platforms en algoritmen geven prioriteit aan informatie waarop veel wordt gereageerd en die veel wordt gedeeld ten koste van accurate informatie en zijn zo ontworpen dat onafhankelijke stemmen, met name uit Oost-Europa, eerder worden afgewaardeerd, terwijl polariserende inhoud het goed doet. In dit rapport wordt besproken hoe deze factoren, samen met buitenlandse inmenging, informatie over Oost-Europa vertekenen en hoe hier met beleidsmaatregelen op kan worden gereageerd.</w:t>
      </w:r>
    </w:p>
    <w:p w14:paraId="425D058F" w14:textId="77777777" w:rsidR="005247BD" w:rsidRPr="004E5902" w:rsidRDefault="005247BD" w:rsidP="00454EBC">
      <w:pPr>
        <w:pStyle w:val="Heading2"/>
        <w:numPr>
          <w:ilvl w:val="0"/>
          <w:numId w:val="0"/>
        </w:numPr>
        <w:rPr>
          <w:lang w:val="en-GB"/>
        </w:rPr>
      </w:pPr>
    </w:p>
    <w:p w14:paraId="05AB0503" w14:textId="6DC54900" w:rsidR="005247BD" w:rsidRPr="004E5902" w:rsidRDefault="005247BD" w:rsidP="00454EBC">
      <w:pPr>
        <w:pStyle w:val="Heading2"/>
      </w:pPr>
      <w:r>
        <w:t>De informatieruimte in Midden- en Oost-Europa is bijzonder kwetsbaar. Desinformatie, voornamelijk afkomstig uit Rusland maar in toenemende mate ook uit China, is afgestemd op lokaal gebruikte talen en lokale inhoud, waarbij spanningen worden uitgebuit en van oorsprong Russische inhoud domineert. Wijzigingen van algoritmen, vaak ingegeven door de ideologie van de platformeigenaren, kunnen ook schade berokkenen.</w:t>
      </w:r>
    </w:p>
    <w:p w14:paraId="0CEBF133" w14:textId="77777777" w:rsidR="005247BD" w:rsidRPr="00CA3853" w:rsidRDefault="005247BD" w:rsidP="00454EBC">
      <w:pPr>
        <w:pStyle w:val="ListParagraph"/>
        <w:ind w:left="0"/>
      </w:pPr>
    </w:p>
    <w:p w14:paraId="5290F257" w14:textId="77777777" w:rsidR="005247BD" w:rsidRPr="004E5902" w:rsidRDefault="005247BD" w:rsidP="00454EBC">
      <w:pPr>
        <w:pStyle w:val="Heading2"/>
      </w:pPr>
      <w:r>
        <w:t xml:space="preserve">Hoewel de meeste buurlanden van de EU, en sommige EU-lidstaten, met deze problemen te kampen hebben, staat in dit rapport Oost-Europa centraal vanwege het strategische belang van deze regio en de verhoogde blootstelling ervan aan buitenlandse manipulatie. Narratieven in het Russisch domineren er de digitale ruimte terwijl onafhankelijke stemmen buitenspel worden gezet. Populaire platforms als Telegram en VKontakte </w:t>
      </w:r>
      <w:hyperlink r:id="rId18">
        <w:r>
          <w:rPr>
            <w:color w:val="1155CC"/>
            <w:u w:val="single"/>
          </w:rPr>
          <w:t>vallen buiten de EU-wetgeving</w:t>
        </w:r>
      </w:hyperlink>
      <w:r>
        <w:t>, hetgeen leidt tot blinde vlekken. Door zwakke handhaving en lage boetes zijn platforms niet geneigd zich aan de regels te houden. Deze lacunes in de regelgeving vereisen gerichte maatregelen om de pluriformiteit van de media en de democratische veerkracht te waarborgen.</w:t>
      </w:r>
    </w:p>
    <w:p w14:paraId="1DADD204" w14:textId="77777777" w:rsidR="005247BD" w:rsidRPr="00CA3853" w:rsidRDefault="005247BD" w:rsidP="00454EBC">
      <w:pPr>
        <w:pStyle w:val="ListParagraph"/>
        <w:ind w:left="0"/>
      </w:pPr>
    </w:p>
    <w:p w14:paraId="305EB833" w14:textId="77777777" w:rsidR="005247BD" w:rsidRPr="004E5902" w:rsidRDefault="005247BD" w:rsidP="00454EBC">
      <w:pPr>
        <w:pStyle w:val="Heading2"/>
      </w:pPr>
      <w:r>
        <w:t>De situatie in Belarus illustreert de beschreven problematiek goed. Onderdrukking, digitale marginalisatie en algoritmische verwaarlozing worden er tegelijkertijd benut om dissidenten het zwijgen op te leggen, propaganda te versterken en een beeld van de EU te creëren. Een soortgelijke dynamiek bestaat in Midden- en Oost-Europa, waar vaak geen lokaal beleid voor platforms bestaat en AI-instrumenten worden getraind met onbetrouwbare bronnen. Diensten zoals Telegram onttrekken zich aan EU-toezicht.</w:t>
      </w:r>
    </w:p>
    <w:p w14:paraId="3CCD40B6" w14:textId="77777777" w:rsidR="005247BD" w:rsidRPr="00CA3853" w:rsidRDefault="005247BD" w:rsidP="00454EBC">
      <w:pPr>
        <w:pStyle w:val="ListParagraph"/>
        <w:ind w:left="0"/>
      </w:pPr>
    </w:p>
    <w:p w14:paraId="29386B32" w14:textId="77777777" w:rsidR="005247BD" w:rsidRPr="004E5902" w:rsidRDefault="005247BD" w:rsidP="00454EBC">
      <w:pPr>
        <w:pStyle w:val="Heading2"/>
      </w:pPr>
      <w:r>
        <w:lastRenderedPageBreak/>
        <w:t>Hoewel instrumenten als de digitaledienstenverordening, de verordening artificiële intelligentie en de Europese wetgeving over mediavrijheid zijn gericht op meer transparantie en verantwoordingsplicht, is de handhaving ongelijk en blijven er lacunes bestaan. Ook taalkundige en narratieve vooringenomenheid, zoals het aanhoudende gebruik van de term “post-Sovjet”, leidt tot een vertekende perceptie van de identiteit en geschiedenis van diverse groepen.</w:t>
      </w:r>
    </w:p>
    <w:p w14:paraId="74753846" w14:textId="77777777" w:rsidR="005247BD" w:rsidRPr="00CA3853" w:rsidRDefault="005247BD" w:rsidP="00454EBC">
      <w:pPr>
        <w:pStyle w:val="ListParagraph"/>
        <w:ind w:left="0"/>
      </w:pPr>
    </w:p>
    <w:p w14:paraId="4FFCD0D6" w14:textId="77777777" w:rsidR="005247BD" w:rsidRPr="004E5902" w:rsidRDefault="005247BD" w:rsidP="00454EBC">
      <w:pPr>
        <w:pStyle w:val="Heading2"/>
      </w:pPr>
      <w:r>
        <w:t>Dit rapport dient ter ondersteuning van de ontwikkeling van kaders om de zichtbaarheid van hoogwaardige, lokale inhoud uit Oost-Europa te waarborgen. Het bepleit een grotere mediageletterdheid, verantwoordingsplicht voor algoritmen en grensoverschrijdende samenwerking ter bestrijding van desinformatie om de democratische waarden hoog te houden. De definitieve versie van dit rapport zal worden voorgelegd aan de Europese Commissie, het Europees Parlement en de belangrijkste belanghebbenden als bijdrage aan het beleid voor digitale platforms en media-integriteit.</w:t>
      </w:r>
    </w:p>
    <w:p w14:paraId="30E481E0" w14:textId="77777777" w:rsidR="005247BD" w:rsidRPr="004E5902" w:rsidRDefault="005247BD" w:rsidP="00454EBC">
      <w:pPr>
        <w:pStyle w:val="Heading2"/>
        <w:numPr>
          <w:ilvl w:val="0"/>
          <w:numId w:val="0"/>
        </w:numPr>
        <w:rPr>
          <w:lang w:val="en-GB"/>
        </w:rPr>
      </w:pPr>
    </w:p>
    <w:p w14:paraId="495749F0" w14:textId="77777777" w:rsidR="005247BD" w:rsidRPr="004E5902" w:rsidRDefault="005247BD" w:rsidP="00454EBC">
      <w:pPr>
        <w:pStyle w:val="Heading1"/>
        <w:keepNext/>
        <w:rPr>
          <w:b/>
          <w:bCs/>
        </w:rPr>
      </w:pPr>
      <w:r>
        <w:rPr>
          <w:b/>
        </w:rPr>
        <w:t>De rol van AI-algoritmen en sociale media bij het bepalen van de zichtbaarheid van inhoud</w:t>
      </w:r>
    </w:p>
    <w:p w14:paraId="34BC54AE" w14:textId="77777777" w:rsidR="005247BD" w:rsidRPr="004E5902" w:rsidRDefault="005247BD" w:rsidP="00454EBC">
      <w:pPr>
        <w:keepNext/>
        <w:rPr>
          <w:lang w:val="en-GB"/>
        </w:rPr>
      </w:pPr>
    </w:p>
    <w:p w14:paraId="38095E8B" w14:textId="77777777" w:rsidR="005247BD" w:rsidRPr="004E5902" w:rsidRDefault="005247BD" w:rsidP="00454EBC">
      <w:pPr>
        <w:pStyle w:val="Heading2"/>
      </w:pPr>
      <w:r>
        <w:t xml:space="preserve">Sociale media en digitale platforms maken gebruik van door AI aangedreven algoritmen om te bepalen welke inhoud gebruikers te zien krijgen, waarbij ze zich baseren op interactiemetingen zoals likes, shares en kijktijd. Technieken als collaboratieve filtering, natuurlijke-taalverwerking en reinforcement learning stellen deze systemen in staat om gebruikersinteractie te voorspellen en te maximaliseren, hetgeen echter vaak ten koste gaat van de nauwkeurigheid en diversiteit. Als gevolg hiervan krijgt sensationele of polariserende inhoud vaak voorrang, waardoor stereotypen worden versterkt en informatiebubbels ontstaan. </w:t>
      </w:r>
    </w:p>
    <w:p w14:paraId="5A7CD156" w14:textId="77777777" w:rsidR="005247BD" w:rsidRPr="00CA3853" w:rsidRDefault="005247BD" w:rsidP="00454EBC">
      <w:pPr>
        <w:pStyle w:val="ListParagraph"/>
        <w:ind w:left="0"/>
        <w:rPr>
          <w:b/>
          <w:bCs/>
        </w:rPr>
      </w:pPr>
    </w:p>
    <w:p w14:paraId="0177BE17" w14:textId="77777777" w:rsidR="005247BD" w:rsidRPr="004E5902" w:rsidRDefault="005247BD" w:rsidP="00454EBC">
      <w:pPr>
        <w:pStyle w:val="Heading2"/>
      </w:pPr>
      <w:r>
        <w:t>Algoritmen op platforms zoals YouTube, Facebook, TikTok, X en Telegram geven systematisch de voorkeur aan inhoud die reacties losmaakt — vaak sensationeel of polariserend — terwijl genuanceerde, op feiten gebaseerde berichtgeving minder prioriteit krijgt. Deze dynamiek zorgt ervoor dat zowel organische als georkestreerde interactie het begrip bij het publiek kan vertekenen, polarisering kan versterken en onafhankelijke journalistiek en lokale stemmen buitenspel kan zetten.</w:t>
      </w:r>
    </w:p>
    <w:p w14:paraId="69C436C5" w14:textId="77777777" w:rsidR="005247BD" w:rsidRPr="004E5902" w:rsidRDefault="005247BD" w:rsidP="00454EBC">
      <w:pPr>
        <w:rPr>
          <w:lang w:val="en-GB"/>
        </w:rPr>
      </w:pPr>
    </w:p>
    <w:p w14:paraId="2776092C" w14:textId="77777777" w:rsidR="005247BD" w:rsidRPr="004E5902" w:rsidRDefault="005247BD" w:rsidP="00454EBC">
      <w:pPr>
        <w:pStyle w:val="Heading2"/>
      </w:pPr>
      <w:r>
        <w:t xml:space="preserve">Deze kwetsbaarheden worden actief uitgebuit in buitenlandse informatiemanipulatie- en inmengingscampagnes, vooral vanuit Rusland en China. Voor dergelijke operaties wordt gebruikgemaakt van gecoördineerde netwerken van bots, nepaccounts en betaalde influencers om een polariserend narratief te stimuleren, vaak in lokale talen en afgestemd op platformspecifieke kenmerken. </w:t>
      </w:r>
      <w:hyperlink r:id="rId19" w:history="1">
        <w:r>
          <w:rPr>
            <w:rStyle w:val="Hyperlink"/>
          </w:rPr>
          <w:t>In 2024 registreerde de EDEO</w:t>
        </w:r>
      </w:hyperlink>
      <w:r>
        <w:t xml:space="preserve"> 505 incidenten van buitenlandse informatiemanipulatie en inmenging waarbij 38 000 kanalen op 25 platforms betrokken waren, met als belangrijkste doelwitten onder meer EU-instellingen, lidstaten en buurlanden.</w:t>
      </w:r>
    </w:p>
    <w:p w14:paraId="764AA79C" w14:textId="77777777" w:rsidR="005247BD" w:rsidRPr="00CA3853" w:rsidRDefault="005247BD" w:rsidP="00454EBC">
      <w:pPr>
        <w:pStyle w:val="ListParagraph"/>
        <w:ind w:left="0"/>
      </w:pPr>
    </w:p>
    <w:p w14:paraId="290D0894" w14:textId="77777777" w:rsidR="005247BD" w:rsidRPr="004E5902" w:rsidRDefault="005247BD" w:rsidP="00454EBC">
      <w:pPr>
        <w:pStyle w:val="Heading2"/>
      </w:pPr>
      <w:r>
        <w:t xml:space="preserve">De bedrijfsmodellen van platforms </w:t>
      </w:r>
      <w:hyperlink r:id="rId20" w:history="1">
        <w:r>
          <w:rPr>
            <w:rStyle w:val="Hyperlink"/>
          </w:rPr>
          <w:t>wakkeren desinformatie verder aan</w:t>
        </w:r>
      </w:hyperlink>
      <w:r>
        <w:t>. Monetisatie via betaalde advertenties en influencercampagnes zet niet bepaald aan tot het verwijderen of afwaarderen van misleidende inhoud, vooral wanneer dergelijke advertenties tientallen miljoenen keren worden bekeken, zoals bij de EU-verkiezingen van 2024. </w:t>
      </w:r>
    </w:p>
    <w:p w14:paraId="740EE7CF" w14:textId="77777777" w:rsidR="005247BD" w:rsidRPr="00CA3853" w:rsidRDefault="005247BD" w:rsidP="00454EBC">
      <w:pPr>
        <w:pStyle w:val="ListParagraph"/>
        <w:ind w:left="0"/>
      </w:pPr>
    </w:p>
    <w:p w14:paraId="7ADFEC6D" w14:textId="77777777" w:rsidR="005247BD" w:rsidRPr="004E5902" w:rsidRDefault="00DD3A4A" w:rsidP="00454EBC">
      <w:pPr>
        <w:pStyle w:val="Heading2"/>
      </w:pPr>
      <w:hyperlink r:id="rId21" w:history="1">
        <w:r w:rsidR="00CA3853">
          <w:rPr>
            <w:rStyle w:val="Hyperlink"/>
          </w:rPr>
          <w:t>Uit recente gegevens uit 2024</w:t>
        </w:r>
      </w:hyperlink>
      <w:r w:rsidR="00CA3853">
        <w:t xml:space="preserve"> blijkt dat de meeste grote platforms — waaronder Facebook, Instagram, TikTok, YouTube, X (voorheen Twitter) en VKontakte — nog altijd traag en grotendeels ondoeltreffend reageren wat het verwijderen van nepaccounts en niet-authentieke activiteiten betreft. Zelfs na een melding blijft de overgrote meerderheid van de manipulatieve interactie nog weken online staan. Sinds 2022 is hierin slechts beperkt verbetering gekomen.</w:t>
      </w:r>
    </w:p>
    <w:p w14:paraId="7B7E1817" w14:textId="77777777" w:rsidR="005247BD" w:rsidRPr="00CA3853" w:rsidRDefault="005247BD" w:rsidP="00454EBC">
      <w:pPr>
        <w:pStyle w:val="ListParagraph"/>
        <w:ind w:left="0"/>
      </w:pPr>
    </w:p>
    <w:p w14:paraId="2F6F2C5B" w14:textId="77777777" w:rsidR="005247BD" w:rsidRPr="004E5902" w:rsidRDefault="005247BD" w:rsidP="00454EBC">
      <w:pPr>
        <w:pStyle w:val="Heading1"/>
        <w:keepNext/>
        <w:rPr>
          <w:b/>
          <w:bCs/>
        </w:rPr>
      </w:pPr>
      <w:r>
        <w:rPr>
          <w:b/>
        </w:rPr>
        <w:t>Buitenlandse manipulatie: schaal, tactieken en lacunes bij platforms</w:t>
      </w:r>
    </w:p>
    <w:p w14:paraId="57057E97" w14:textId="77777777" w:rsidR="005247BD" w:rsidRPr="004E5902" w:rsidRDefault="005247BD" w:rsidP="00454EBC">
      <w:pPr>
        <w:keepNext/>
        <w:rPr>
          <w:lang w:val="en-GB"/>
        </w:rPr>
      </w:pPr>
    </w:p>
    <w:p w14:paraId="08D65767" w14:textId="77777777" w:rsidR="005247BD" w:rsidRPr="004E5902" w:rsidRDefault="005247BD" w:rsidP="00454EBC">
      <w:pPr>
        <w:pStyle w:val="Heading2"/>
      </w:pPr>
      <w:r>
        <w:t xml:space="preserve">Buitenlandse informatiemanipulatie en inmenging vormen een snel escalerende dreiging in Europa, met name in Midden- en Oost-Europa. Oekraïne is veruit het meest </w:t>
      </w:r>
      <w:hyperlink r:id="rId22" w:history="1">
        <w:r>
          <w:rPr>
            <w:rStyle w:val="Hyperlink"/>
          </w:rPr>
          <w:t>geviseerde</w:t>
        </w:r>
      </w:hyperlink>
      <w:r>
        <w:t xml:space="preserve"> land, goed voor bijna de helft van alle incidenten in zowel 2023 als 2024. De Russische infrastructuur voor buitenlandse informatiemanipulatie en inmenging stemt haar berichtgeving af op verschillende doelgroepen: om het verzet in Oekraïne uit te hollen, en om de steun voor Oekraïne bij de westerse bondgenoten te ondermijnen, met name in Duitsland en Polen.</w:t>
      </w:r>
    </w:p>
    <w:p w14:paraId="21E3B727" w14:textId="77777777" w:rsidR="005247BD" w:rsidRPr="00D52805" w:rsidRDefault="005247BD" w:rsidP="00D52805">
      <w:pPr>
        <w:pStyle w:val="ListParagraph"/>
        <w:spacing w:line="240" w:lineRule="auto"/>
        <w:ind w:left="0"/>
      </w:pPr>
    </w:p>
    <w:p w14:paraId="37F61781" w14:textId="77777777" w:rsidR="005247BD" w:rsidRPr="004E5902" w:rsidRDefault="005247BD" w:rsidP="00454EBC">
      <w:pPr>
        <w:pStyle w:val="Heading2"/>
      </w:pPr>
      <w:r>
        <w:t xml:space="preserve">Actoren die zich bezighouden met buitenlandse informatiemanipulatie en inmenging stemmen hun activiteiten vaak af op het lokale publiek en maken daarbij gebruik van technieken om hun inhoud te lokaliseren, om zo de geloofwaardigheid en impact ervan te maximaliseren. In </w:t>
      </w:r>
      <w:hyperlink r:id="rId23" w:history="1">
        <w:r>
          <w:rPr>
            <w:rStyle w:val="Hyperlink"/>
          </w:rPr>
          <w:t>2023</w:t>
        </w:r>
      </w:hyperlink>
      <w:r>
        <w:t xml:space="preserve"> werden minstens 349 incidenten gedocumenteerd waarbij berichten werden afgestemd op de gewoonten in het doelgebied, onder meer via het gebruik van lokale talen, verwijzingen naar culturele gebeurtenissen en contextspecifieke narratieven.</w:t>
      </w:r>
    </w:p>
    <w:p w14:paraId="76F07C83" w14:textId="77777777" w:rsidR="005247BD" w:rsidRPr="00CA3853" w:rsidRDefault="005247BD" w:rsidP="00454EBC">
      <w:pPr>
        <w:pStyle w:val="ListParagraph"/>
        <w:ind w:left="0"/>
      </w:pPr>
    </w:p>
    <w:p w14:paraId="02E5A6D4" w14:textId="77777777" w:rsidR="005247BD" w:rsidRPr="004E5902" w:rsidRDefault="005247BD" w:rsidP="00454EBC">
      <w:pPr>
        <w:pStyle w:val="Heading2"/>
      </w:pPr>
      <w:r>
        <w:t>In 2024 was Moldavië een belangrijk doelwit, vooral rond de presidentsverkiezingen en het referendum over toetreding tot de EU. De Russische operaties bestonden onder andere uit deepfakevideo’s, gecoördineerde aanvallen op president Maia Sandu en het overspoelen van sociale media met valse verhalen over Transnistrië en de betrokkenheid van Moldavië bij de oorlog in Oekraïne. Hierbij werd digitale manipulatie gecombineerd met offline tactieken, zoals heimelijke financiering en pogingen om onrust te stoken. Dit laat zien hoe actoren die zich bezighouden met buitenlandse informatiemanipulatie en inmenging zowel digitale als maatschappelijke kwetsbaarheden uitbuiten om mensen te beïnvloeden en de integratie in de EU te ondermijnen.</w:t>
      </w:r>
    </w:p>
    <w:p w14:paraId="3F3DC298" w14:textId="77777777" w:rsidR="005247BD" w:rsidRPr="00CA3853" w:rsidRDefault="005247BD" w:rsidP="00454EBC">
      <w:pPr>
        <w:pStyle w:val="ListParagraph"/>
        <w:ind w:left="0"/>
      </w:pPr>
    </w:p>
    <w:p w14:paraId="3F5F282C" w14:textId="77777777" w:rsidR="005247BD" w:rsidRPr="004E5902" w:rsidRDefault="005247BD" w:rsidP="00454EBC">
      <w:pPr>
        <w:pStyle w:val="Heading2"/>
      </w:pPr>
      <w:r>
        <w:t xml:space="preserve">Een duidelijk voorbeeld van passiviteit bij platforms vond plaats in mei 2024, toen </w:t>
      </w:r>
      <w:hyperlink r:id="rId24" w:history="1">
        <w:r>
          <w:rPr>
            <w:rStyle w:val="Hyperlink"/>
          </w:rPr>
          <w:t>Verslaggevers Zonder Grenzen een klacht indiende tegen X</w:t>
        </w:r>
      </w:hyperlink>
      <w:r>
        <w:t xml:space="preserve"> (voorheen Twitter) omdat het nepaccounts in staat stelde zich voor te doen als media en journalisten. Deze accounts verspreidden nepnieuws, hetgeen het vertrouwen in legitieme journalistiek ondermijnt en de dringende behoefte benadrukt aan robuuste identiteitsverificatie en proactieve maatregelen tegen het aannemen van een valse hoedanigheid, met name tijdens verkiezingen.</w:t>
      </w:r>
    </w:p>
    <w:p w14:paraId="4095007E" w14:textId="77777777" w:rsidR="005247BD" w:rsidRPr="00CA3853" w:rsidRDefault="005247BD" w:rsidP="00454EBC">
      <w:pPr>
        <w:pStyle w:val="ListParagraph"/>
        <w:ind w:left="0"/>
      </w:pPr>
    </w:p>
    <w:p w14:paraId="2F40B9D1" w14:textId="77777777" w:rsidR="005247BD" w:rsidRPr="004E5902" w:rsidRDefault="005247BD" w:rsidP="00454EBC">
      <w:pPr>
        <w:pStyle w:val="Heading2"/>
      </w:pPr>
      <w:r>
        <w:t xml:space="preserve">Buitenlandse informatiemanipulatie- en inmengingsoperaties maken gebruik van het onderling verbonden digitale ecosysteem en verspreiden inhoud via X, Facebook, Telegram, VKontakte, TikTok, YouTube en misleidende websites. </w:t>
      </w:r>
      <w:hyperlink r:id="rId25" w:history="1">
        <w:r>
          <w:rPr>
            <w:rStyle w:val="Hyperlink"/>
          </w:rPr>
          <w:t>X was goed voor 88 % van de vastgestelde activiteit met betrekking tot buitenlandse informatiemanipulatie en inmenging in 2024</w:t>
        </w:r>
      </w:hyperlink>
      <w:r>
        <w:t>. Campagnes zoals Doppelgänger gebruiken duizenden domeinen en gecoördineerde accounts om algoritmen te manipuleren en zich voor te doen als nieuwsbronnen, waardoor het vertrouwen in officiële bronnen verder afbrokkelt.</w:t>
      </w:r>
    </w:p>
    <w:p w14:paraId="61254ACF" w14:textId="77777777" w:rsidR="005247BD" w:rsidRPr="00D52805" w:rsidRDefault="005247BD" w:rsidP="00D52805">
      <w:pPr>
        <w:pStyle w:val="ListParagraph"/>
        <w:spacing w:line="240" w:lineRule="auto"/>
        <w:ind w:left="0"/>
        <w:rPr>
          <w:sz w:val="6"/>
          <w:szCs w:val="6"/>
        </w:rPr>
      </w:pPr>
    </w:p>
    <w:p w14:paraId="6EB3D6C4" w14:textId="679606C4" w:rsidR="005247BD" w:rsidRPr="004E5902" w:rsidRDefault="005247BD" w:rsidP="00454EBC">
      <w:pPr>
        <w:pStyle w:val="Heading2"/>
      </w:pPr>
      <w:r>
        <w:lastRenderedPageBreak/>
        <w:t xml:space="preserve">Artificiële intelligentie (AI) speelt een steeds grotere rol in buitenlandse informatiemanipulatie- en inmengingscampagnes. In 2024 registreerde de EDEO ongeveer 41 gevallen waarin AI werd gebruikt om informatie te manipuleren, voornamelijk door nepinhoud zoals deepfakeaudio en </w:t>
      </w:r>
      <w:r w:rsidR="00D52805">
        <w:noBreakHyphen/>
      </w:r>
      <w:r>
        <w:t>video te creëren en gebruik te maken van grootschalige geautomatiseerde verspreiding via botnetwerken.</w:t>
      </w:r>
    </w:p>
    <w:p w14:paraId="044308CE" w14:textId="77777777" w:rsidR="005247BD" w:rsidRPr="00CA3853" w:rsidRDefault="005247BD" w:rsidP="00454EBC">
      <w:pPr>
        <w:pStyle w:val="ListParagraph"/>
        <w:ind w:left="0"/>
      </w:pPr>
    </w:p>
    <w:p w14:paraId="1AB57405" w14:textId="77777777" w:rsidR="005247BD" w:rsidRPr="004E5902" w:rsidRDefault="005247BD" w:rsidP="00454EBC">
      <w:pPr>
        <w:pStyle w:val="Heading2"/>
      </w:pPr>
      <w:r>
        <w:t xml:space="preserve">Buitenlandse informatiemanipulatie- en inmengingsoperaties zijn complex en gedecentraliseerd, waarbij </w:t>
      </w:r>
      <w:hyperlink r:id="rId26" w:history="1">
        <w:r>
          <w:rPr>
            <w:rStyle w:val="Hyperlink"/>
          </w:rPr>
          <w:t>Russische netwerken opereren</w:t>
        </w:r>
      </w:hyperlink>
      <w:r>
        <w:t xml:space="preserve"> met behulp van door de staat gecontroleerde kanalen, diplomatieke accounts en een brede periferie van niet-toegewezen kanalen en influencers. In het verslag van de EDEO wordt benadrukt dat veel invloedrijke kanalen die betrokken zijn bij buitenlandse informatiemanipulatie en inmenging niet rechtstreeks kunnen worden gekoppeld aan specifieke dreigingsactoren, hetgeen de inspanningen op het gebied van opsporing en respons aanzienlijk bemoeilijkt. Door deze gedecentraliseerde infrastructuur kunnen actoren die zich bezighouden met buitenlandse informatiemanipulatie en inmenging hun betrokkenheid verdoezelen en campagnes blijven voeren.</w:t>
      </w:r>
    </w:p>
    <w:p w14:paraId="3E30AB99" w14:textId="77777777" w:rsidR="005247BD" w:rsidRPr="004E5902" w:rsidRDefault="005247BD" w:rsidP="00454EBC">
      <w:pPr>
        <w:pStyle w:val="Heading2"/>
        <w:numPr>
          <w:ilvl w:val="0"/>
          <w:numId w:val="0"/>
        </w:numPr>
        <w:rPr>
          <w:lang w:val="en-GB"/>
        </w:rPr>
      </w:pPr>
    </w:p>
    <w:p w14:paraId="6C33E6DE" w14:textId="77777777" w:rsidR="005247BD" w:rsidRPr="004E5902" w:rsidRDefault="005247BD" w:rsidP="00454EBC">
      <w:pPr>
        <w:pStyle w:val="Heading1"/>
        <w:keepNext/>
        <w:rPr>
          <w:b/>
          <w:bCs/>
        </w:rPr>
      </w:pPr>
      <w:r>
        <w:rPr>
          <w:b/>
        </w:rPr>
        <w:t>Belarus als casestudy: digitale onderdrukking en marginalisering door algoritmen</w:t>
      </w:r>
    </w:p>
    <w:p w14:paraId="1E2CCE22" w14:textId="77777777" w:rsidR="005247BD" w:rsidRPr="004E5902" w:rsidRDefault="005247BD" w:rsidP="00454EBC">
      <w:pPr>
        <w:keepNext/>
        <w:rPr>
          <w:lang w:val="en-GB"/>
        </w:rPr>
      </w:pPr>
    </w:p>
    <w:p w14:paraId="37ECAF04" w14:textId="77777777" w:rsidR="005247BD" w:rsidRPr="004E5902" w:rsidRDefault="005247BD" w:rsidP="00454EBC">
      <w:pPr>
        <w:pStyle w:val="Heading2"/>
      </w:pPr>
      <w:r>
        <w:t>Belarus laat duidelijk zien hoe onderdrukking door de staat, algoritmische vertekening en lacunes in het beleid van digitale platforms kunnen worden gecombineerd om onafhankelijke media te marginaliseren en desinformatie te versterken. Sinds 2020 onderdrukt het Belarussische regime systematisch de onafhankelijke journalistiek in het land. Zo worden journalisten vervolgd en gevangengezet, nieuwssites geblokkeerd en is het consumeren of delen van “extremistische” inhoud strafbaar gesteld.</w:t>
      </w:r>
    </w:p>
    <w:p w14:paraId="0E02FCEE" w14:textId="77777777" w:rsidR="005247BD" w:rsidRPr="00D52805" w:rsidRDefault="005247BD" w:rsidP="00454EBC">
      <w:pPr>
        <w:pStyle w:val="ListParagraph"/>
        <w:ind w:left="0"/>
      </w:pPr>
    </w:p>
    <w:p w14:paraId="23ADED16" w14:textId="77777777" w:rsidR="005247BD" w:rsidRPr="004E5902" w:rsidRDefault="005247BD" w:rsidP="00454EBC">
      <w:pPr>
        <w:pStyle w:val="Heading2"/>
      </w:pPr>
      <w:r>
        <w:t>Digitale platforms hebben geen specifiek beleid voor Belarus en gebruiken standaardmoderatie en een zoekfunctie in het Russisch. Hierdoor krijgen door de staat gecontroleerde en Russische bronnen voorrang, terwijl onafhankelijke inhoud en inhoud in het Belarussisch worden afgewaardeerd of uitgesloten, hetgeen de russificatie versnelt en de Russische invloed versterkt.</w:t>
      </w:r>
    </w:p>
    <w:p w14:paraId="626D286D" w14:textId="77777777" w:rsidR="005247BD" w:rsidRPr="00CA3853" w:rsidRDefault="005247BD" w:rsidP="00454EBC">
      <w:pPr>
        <w:pStyle w:val="ListParagraph"/>
        <w:ind w:left="0"/>
      </w:pPr>
    </w:p>
    <w:p w14:paraId="10B4C9B9" w14:textId="77777777" w:rsidR="005247BD" w:rsidRPr="004E5902" w:rsidRDefault="005247BD" w:rsidP="00454EBC">
      <w:pPr>
        <w:pStyle w:val="Heading2"/>
      </w:pPr>
      <w:r>
        <w:t>Zoekopdrachten naar “Belarus” of Belarussisch nieuws geven, zelfs vanuit de EU, voornamelijk door de staat gecontroleerde propagandakanalen weer. Dit komt doordat platforms Belarus behandelen als onderdeel van het Russische digitale segment en geen specifieke aanpak voor Belarus hebben, waardoor onafhankelijke kanalen op een zijspoor belanden voor gebruikers uit zowel Belarus als de EU.</w:t>
      </w:r>
    </w:p>
    <w:p w14:paraId="02AB75CF" w14:textId="77777777" w:rsidR="005247BD" w:rsidRPr="00CA3853" w:rsidRDefault="005247BD" w:rsidP="00454EBC">
      <w:pPr>
        <w:pStyle w:val="ListParagraph"/>
        <w:ind w:left="0"/>
      </w:pPr>
    </w:p>
    <w:p w14:paraId="06D33123" w14:textId="77777777" w:rsidR="005247BD" w:rsidRPr="004E5902" w:rsidRDefault="005247BD" w:rsidP="00454EBC">
      <w:pPr>
        <w:pStyle w:val="Heading2"/>
      </w:pPr>
      <w:r>
        <w:t>Platforms geven op overweldigende wijze de voorkeur aan het Russisch boven het Belarussisch, waardoor een goede moderatie, promotie of monetisatie van inhoud in het Belarussisch bijna onmogelijk wordt gemaakt. Contentcreators kunnen geen gebruikmaken van gerichte reclame in het Belarussisch, en bij moderatie wordt de lokale context vaak genegeerd, waardoor de nationale identiteit wordt ondermijnd en inhoud in het Belarussisch wordt ontmoedigd.</w:t>
      </w:r>
    </w:p>
    <w:p w14:paraId="6F10C243" w14:textId="77777777" w:rsidR="005247BD" w:rsidRPr="00CA3853" w:rsidRDefault="005247BD" w:rsidP="00454EBC">
      <w:pPr>
        <w:pStyle w:val="ListParagraph"/>
        <w:ind w:left="0"/>
      </w:pPr>
    </w:p>
    <w:p w14:paraId="70F97E29" w14:textId="77777777" w:rsidR="005247BD" w:rsidRPr="004E5902" w:rsidRDefault="005247BD" w:rsidP="00454EBC">
      <w:pPr>
        <w:pStyle w:val="Heading2"/>
      </w:pPr>
      <w:r>
        <w:t xml:space="preserve">Tientallen onafhankelijke kanalen zijn geblokkeerd en als “extremistisch” bestempeld, waardoor het delen van hun inhoud strafbaar is. Onafhankelijke media maken gebruik van VPN’s, spiegelservers en AMP-pagina’s om het publiek te bereiken, maar doordat hun toegangspogingen mislukken, worden zij door algoritmen afgewaardeerd. Op die manier krijgen </w:t>
      </w:r>
      <w:r>
        <w:lastRenderedPageBreak/>
        <w:t>gebruikers in Belarus voornamelijk door de staat goedgekeurde bronnen te zien die niet als zodanig worden aangeduid.</w:t>
      </w:r>
    </w:p>
    <w:p w14:paraId="2E69E94D" w14:textId="77777777" w:rsidR="005247BD" w:rsidRPr="00CA3853" w:rsidRDefault="005247BD" w:rsidP="00454EBC">
      <w:pPr>
        <w:pStyle w:val="ListParagraph"/>
        <w:ind w:left="0"/>
      </w:pPr>
    </w:p>
    <w:p w14:paraId="3027F2EF" w14:textId="77777777" w:rsidR="005247BD" w:rsidRPr="004E5902" w:rsidRDefault="005247BD" w:rsidP="00454EBC">
      <w:pPr>
        <w:pStyle w:val="Heading2"/>
      </w:pPr>
      <w:r>
        <w:t>Het regime stelt niet alleen de productie van media strafbaar, maar ook de consumptie ervan en interactie ermee. Het delen van of reageren op “extremistische” inhoud kan leiden tot vervolging, terwijl een gebrek aan consumptie en interactie leidt tot afwaardering door algoritmen, waardoor het bereik verder afneemt en zowel makers als consumenten van onafhankelijke journalistiek worden ontmoedigd.</w:t>
      </w:r>
    </w:p>
    <w:p w14:paraId="079F8B00" w14:textId="77777777" w:rsidR="005247BD" w:rsidRPr="00CA3853" w:rsidRDefault="005247BD" w:rsidP="00454EBC">
      <w:pPr>
        <w:pStyle w:val="ListParagraph"/>
        <w:ind w:left="0"/>
      </w:pPr>
    </w:p>
    <w:p w14:paraId="0EA4401E" w14:textId="77777777" w:rsidR="005247BD" w:rsidRPr="004E5902" w:rsidRDefault="005247BD" w:rsidP="00454EBC">
      <w:pPr>
        <w:pStyle w:val="Heading2"/>
      </w:pPr>
      <w:r>
        <w:t>Pogingen van onafhankelijke media en het maatschappelijk middenveld om contact te leggen met digitale platforms hebben slechts tot beperkte resultaten voor specifieke aspecten geleid. De structurele problemen houden aan: gebrek aan gelokaliseerde diensten, overmatige naleving van de overheidscensuur en het ontbreken van een systematische dialoog. Voorgesteld is onder meer om diensten voor Belarus te lokaliseren, prioriteit te geven aan Belarussisch nieuws, repressieve regelgeving niet na te leven en een werkgroep met EU-autoriteiten, platforms en het maatschappelijk middenveld op te richten. </w:t>
      </w:r>
    </w:p>
    <w:p w14:paraId="4E3C6C74" w14:textId="77777777" w:rsidR="005247BD" w:rsidRPr="004E5902" w:rsidRDefault="005247BD" w:rsidP="00454EBC">
      <w:pPr>
        <w:pStyle w:val="Heading2"/>
        <w:numPr>
          <w:ilvl w:val="0"/>
          <w:numId w:val="0"/>
        </w:numPr>
        <w:rPr>
          <w:lang w:val="en-GB"/>
        </w:rPr>
      </w:pPr>
    </w:p>
    <w:p w14:paraId="7F1988C3" w14:textId="77777777" w:rsidR="005247BD" w:rsidRPr="004E5902" w:rsidRDefault="005247BD" w:rsidP="00454EBC">
      <w:pPr>
        <w:pStyle w:val="Heading1"/>
        <w:keepNext/>
        <w:rPr>
          <w:b/>
          <w:bCs/>
        </w:rPr>
      </w:pPr>
      <w:r>
        <w:rPr>
          <w:b/>
        </w:rPr>
        <w:t>Lacunes in de regelgeving, uitdagingen op het gebied van handhaving en beleidsprioriteiten</w:t>
      </w:r>
    </w:p>
    <w:p w14:paraId="11A08CE4" w14:textId="77777777" w:rsidR="005247BD" w:rsidRPr="004E5902" w:rsidRDefault="005247BD" w:rsidP="00454EBC">
      <w:pPr>
        <w:keepNext/>
        <w:rPr>
          <w:lang w:val="en-GB"/>
        </w:rPr>
      </w:pPr>
    </w:p>
    <w:p w14:paraId="5749B79B" w14:textId="77777777" w:rsidR="005247BD" w:rsidRPr="004E5902" w:rsidRDefault="005247BD" w:rsidP="00454EBC">
      <w:pPr>
        <w:pStyle w:val="Heading2"/>
      </w:pPr>
      <w:r>
        <w:t>De Europese Unie heeft een uitgebreid regelgevingskader ingevoerd om de risico’s van socialemediaplatforms en AI-algoritmen voor de digitale informatieruimte aan te pakken. Belangrijke instrumenten zijn onder andere de digitaledienstenverordening, de verordening artificiële intelligentie en de Europese wetgeving over mediavrijheid, die tot doel hebben transparantie en verantwoordingsplicht alsmede de zeggenschap van gebruikers te vergroten en tegelijkertijd de pluriformiteit van de media en de democratische waarden te waarborgen.</w:t>
      </w:r>
    </w:p>
    <w:p w14:paraId="421598AA" w14:textId="77777777" w:rsidR="005247BD" w:rsidRPr="00CA3853" w:rsidRDefault="005247BD" w:rsidP="00454EBC">
      <w:pPr>
        <w:pStyle w:val="ListParagraph"/>
        <w:ind w:left="0"/>
        <w:rPr>
          <w:b/>
          <w:bCs/>
        </w:rPr>
      </w:pPr>
    </w:p>
    <w:p w14:paraId="518E860D" w14:textId="77777777" w:rsidR="005247BD" w:rsidRPr="004E5902" w:rsidRDefault="005247BD" w:rsidP="00454EBC">
      <w:pPr>
        <w:pStyle w:val="Heading2"/>
      </w:pPr>
      <w:r>
        <w:t xml:space="preserve">Voor onlineplatforms, en met name voor “zeer grote onlineplatforms”, houdt de digitaledienstenverordening een verschuiving in van vrijwillige zelfregulering naar bindende verplichtingen. In dit verband zijn jaarlijkse systeemrisicobeoordelingen, transparante inhoudsmoderatie en gebruiksvriendelijke meldingsmechanismen voor illegale inhoud vereist. Bedoelde beoordelingen moeten betrekking hebben op de impact van algoritmen op de grondrechten, het maatschappelijk debat en de integriteit van verkiezingen, en zijn onderworpen aan onafhankelijke controles en toezicht door nationale </w:t>
      </w:r>
      <w:hyperlink r:id="rId27" w:history="1">
        <w:r>
          <w:rPr>
            <w:rStyle w:val="Hyperlink"/>
          </w:rPr>
          <w:t>coördinatoren voor digitale diensten</w:t>
        </w:r>
      </w:hyperlink>
      <w:r>
        <w:t xml:space="preserve"> en de Europese Commissie.</w:t>
      </w:r>
    </w:p>
    <w:p w14:paraId="63B987D2" w14:textId="77777777" w:rsidR="005247BD" w:rsidRPr="00CA3853" w:rsidRDefault="005247BD" w:rsidP="00454EBC">
      <w:pPr>
        <w:pStyle w:val="ListParagraph"/>
        <w:ind w:left="0"/>
      </w:pPr>
    </w:p>
    <w:p w14:paraId="5F9C8118" w14:textId="77777777" w:rsidR="005247BD" w:rsidRPr="004E5902" w:rsidRDefault="005247BD" w:rsidP="00454EBC">
      <w:pPr>
        <w:pStyle w:val="Heading2"/>
      </w:pPr>
      <w:r>
        <w:t xml:space="preserve">Ondanks deze vooruitgang heeft de uitvoering van de digitaledienstenverordening aanzienlijke uitdagingen aan het licht gebracht. De handhaving in de lidstaten is nog altijd inconsequent, en vertragingen bij de aanwijzing en machtiging van de coördinatoren voor digitale diensten beperken het nationale toezicht. De Europese Commissie heeft tegen verschillende lidstaten inbreukprocedures </w:t>
      </w:r>
      <w:hyperlink r:id="rId28" w:history="1">
        <w:r>
          <w:rPr>
            <w:rStyle w:val="Hyperlink"/>
          </w:rPr>
          <w:t>ingeleid</w:t>
        </w:r>
      </w:hyperlink>
      <w:r>
        <w:t xml:space="preserve"> en is tegen grote platforms formele procedures gestart wegens vermeende niet-naleving. De doeltreffendheid van nieuwe organen zoals de Europese Raad voor digitale diensten en het Europees Centrum voor algoritmetransparantie zal afhangen van de toereikendheid van de middelen die ze krijgen en van samenwerking op zowel EU- als nationaal niveau.</w:t>
      </w:r>
    </w:p>
    <w:p w14:paraId="12114E96" w14:textId="77777777" w:rsidR="005247BD" w:rsidRPr="00CA3853" w:rsidRDefault="005247BD" w:rsidP="00454EBC">
      <w:pPr>
        <w:pStyle w:val="ListParagraph"/>
        <w:ind w:left="0"/>
      </w:pPr>
    </w:p>
    <w:p w14:paraId="3D00944E" w14:textId="77777777" w:rsidR="005247BD" w:rsidRPr="004E5902" w:rsidRDefault="005247BD" w:rsidP="00454EBC">
      <w:pPr>
        <w:pStyle w:val="Heading2"/>
      </w:pPr>
      <w:r>
        <w:lastRenderedPageBreak/>
        <w:t>Met de verordening artificiële intelligentie worden strengere eisen voor transparantie, billijkheid en menselijk toezicht op AI-systemen ingevoerd, met inbegrip van de systemen die worden gebruikt voor inhoudsmoderatie en aanbevelingen. Het EESC en onafhankelijke deskundigen benadrukken dat er robuuste transparantie en waarborgen nodig zijn om de grondrechten te beschermen en het vertrouwen van het publiek te behouden, met name wanneer AI invloed heeft op de toegang tot informatie en de pluriformiteit van de media.</w:t>
      </w:r>
    </w:p>
    <w:p w14:paraId="5A463692" w14:textId="77777777" w:rsidR="005247BD" w:rsidRPr="00CA3853" w:rsidRDefault="005247BD" w:rsidP="00454EBC">
      <w:pPr>
        <w:pStyle w:val="ListParagraph"/>
        <w:ind w:left="0"/>
      </w:pPr>
    </w:p>
    <w:p w14:paraId="52A86EC2" w14:textId="77777777" w:rsidR="005247BD" w:rsidRPr="004E5902" w:rsidRDefault="00DD3A4A" w:rsidP="00454EBC">
      <w:pPr>
        <w:pStyle w:val="Heading2"/>
      </w:pPr>
      <w:hyperlink r:id="rId29" w:history="1">
        <w:r w:rsidR="00CA3853">
          <w:rPr>
            <w:rStyle w:val="Hyperlink"/>
          </w:rPr>
          <w:t>De Europese wetgeving over mediavrijheid heeft tot doel de vrijheid en de pluriformiteit van de media te versterken</w:t>
        </w:r>
      </w:hyperlink>
      <w:r w:rsidR="00CA3853">
        <w:t xml:space="preserve"> door de redactionele onafhankelijkheid te beschermen, de ongerechtvaardigde verwijdering van inhoud te voorkomen en de risico’s van marktconcentratie aan te pakken. Deze maatregelen zijn vooral belangrijk in regio’s die kwetsbaar zijn voor desinformatie en inmenging van buitenaf.</w:t>
      </w:r>
    </w:p>
    <w:p w14:paraId="22ADDBA6" w14:textId="77777777" w:rsidR="005247BD" w:rsidRPr="00CA3853" w:rsidRDefault="005247BD" w:rsidP="00454EBC">
      <w:pPr>
        <w:pStyle w:val="ListParagraph"/>
        <w:ind w:left="0"/>
      </w:pPr>
    </w:p>
    <w:p w14:paraId="02D03A9D" w14:textId="77777777" w:rsidR="005247BD" w:rsidRPr="004E5902" w:rsidRDefault="005247BD" w:rsidP="00454EBC">
      <w:pPr>
        <w:pStyle w:val="Heading2"/>
      </w:pPr>
      <w:r>
        <w:t>Er bestaan nog steeds hardnekkige lacunes in het huidige regelgevingslandschap. Transparantieverslagen van platforms zijn vaak inconsequent en onvoldoende gedetailleerd voor een zinvol onderzoek. Veel platforms met een aanzienlijk bereik in Midden- en Oost-Europa, zoals Telegram en VKontakte, vallen niet onder de digitaledienstenverordening, waardoor er blinde vlekken in de regelgeving ontstaan. De toegang tot platformgegevens blijft beperkt voor onderzoekers en maatschappelijke organisaties, hetgeen een doeltreffend toezicht op desinformatie en algoritmische vertekening belemmert.</w:t>
      </w:r>
    </w:p>
    <w:p w14:paraId="09653B35" w14:textId="77777777" w:rsidR="005247BD" w:rsidRPr="004E5902" w:rsidRDefault="005247BD" w:rsidP="00454EBC">
      <w:pPr>
        <w:pStyle w:val="Heading2"/>
        <w:numPr>
          <w:ilvl w:val="0"/>
          <w:numId w:val="0"/>
        </w:numPr>
        <w:ind w:left="567"/>
        <w:rPr>
          <w:lang w:val="en-GB"/>
        </w:rPr>
      </w:pPr>
    </w:p>
    <w:p w14:paraId="0B9D0D24" w14:textId="77777777" w:rsidR="005247BD" w:rsidRPr="004E5902" w:rsidRDefault="005247BD" w:rsidP="00454EBC">
      <w:pPr>
        <w:pStyle w:val="Heading1"/>
        <w:keepNext/>
        <w:rPr>
          <w:b/>
          <w:bCs/>
        </w:rPr>
      </w:pPr>
      <w:r>
        <w:rPr>
          <w:b/>
        </w:rPr>
        <w:t>Vooringenomenheid op het gebied van taal en narratief</w:t>
      </w:r>
    </w:p>
    <w:p w14:paraId="230DE0FB" w14:textId="77777777" w:rsidR="005247BD" w:rsidRPr="004E5902" w:rsidRDefault="005247BD" w:rsidP="00454EBC">
      <w:pPr>
        <w:keepNext/>
        <w:rPr>
          <w:lang w:val="en-GB"/>
        </w:rPr>
      </w:pPr>
    </w:p>
    <w:p w14:paraId="667CCFA1" w14:textId="77777777" w:rsidR="005247BD" w:rsidRPr="004E5902" w:rsidRDefault="005247BD" w:rsidP="00454EBC">
      <w:pPr>
        <w:pStyle w:val="Heading2"/>
      </w:pPr>
      <w:r>
        <w:t>AI-instrumenten, met name grote taalmodellen, hebben de neiging om breed en diepgaand te zijn op gebieden met overvloedige, hoogwaardige trainingsgegevens — zoals Engelstalige en westerse onderwerpen — maar blijven beperkt qua dekking en nuance met betrekking tot Oost-Europa en buurlanden van EU-lidstaten. Dit is te wijten aan de ondervertegenwoordiging van lokale talen en een gebrek aan betrouwbare bronnen en perspectieven in de gegevenssets die voor training worden gebruikt. Ook is het mogelijk dat de output onvoldoende strookt met mensenrechten en fundamentele EU-waarden. </w:t>
      </w:r>
    </w:p>
    <w:p w14:paraId="5D36539D" w14:textId="77777777" w:rsidR="005247BD" w:rsidRPr="00CA3853" w:rsidRDefault="005247BD" w:rsidP="00454EBC">
      <w:pPr>
        <w:pStyle w:val="ListParagraph"/>
        <w:ind w:left="0"/>
        <w:rPr>
          <w:b/>
          <w:bCs/>
        </w:rPr>
      </w:pPr>
    </w:p>
    <w:p w14:paraId="08329F1B" w14:textId="77777777" w:rsidR="005247BD" w:rsidRPr="004E5902" w:rsidRDefault="005247BD" w:rsidP="00454EBC">
      <w:pPr>
        <w:pStyle w:val="Heading2"/>
      </w:pPr>
      <w:r>
        <w:t xml:space="preserve">De terminologie die wordt gebruikt om landen in Midden- en Oost-Europa te beschrijven, speelt een cruciale rol in de vorming van zowel de publieke perceptie als de beleidsaanpak. Termen als “voormalige Sovjetrepublieken” of “post-Sovjet” worden vaak gebruikt in internationale media, beleidsdocumenten en zelfs in academische verhandelingen. Deze aanduidingen worden echter steeds vaker bekritiseerd omdat ze kortzichtige en politiek geladen stereotypen in stand houden die de diversiteit, zeggenschap en unieke geschiedenis van de betrokken landen tekortdoen. </w:t>
      </w:r>
    </w:p>
    <w:p w14:paraId="190E85F5" w14:textId="77777777" w:rsidR="005247BD" w:rsidRPr="00CA3853" w:rsidRDefault="005247BD" w:rsidP="00454EBC">
      <w:pPr>
        <w:pStyle w:val="ListParagraph"/>
        <w:ind w:left="0"/>
        <w:rPr>
          <w:b/>
          <w:bCs/>
        </w:rPr>
      </w:pPr>
    </w:p>
    <w:p w14:paraId="5D35D5DA" w14:textId="77777777" w:rsidR="005247BD" w:rsidRPr="004E5902" w:rsidRDefault="005247BD" w:rsidP="00454EBC">
      <w:pPr>
        <w:pStyle w:val="Heading2"/>
      </w:pPr>
      <w:r>
        <w:t xml:space="preserve">Recente wetenschappelijke analyses hebben de problematische aard van dergelijke terminologie aangetoond. Het gebruik van “post-Sovjet” als kwalificatie versterkt een koloniale denkwijze en veronderstelt dat de regio een restruimte is die gedefinieerd wordt door haar historische banden met een verdwenen Sovjetrijk. Dit doet niet alleen tekort aan de autonomie van de landen in Midden- en Oost-Europa, maar legitimeert ook het narratief dat de regio binnen de Russische invloedssfeer plaatst. </w:t>
      </w:r>
    </w:p>
    <w:p w14:paraId="755A01D4" w14:textId="77777777" w:rsidR="005247BD" w:rsidRPr="004E5902" w:rsidRDefault="005247BD" w:rsidP="00454EBC">
      <w:pPr>
        <w:rPr>
          <w:lang w:val="en-GB"/>
        </w:rPr>
      </w:pPr>
    </w:p>
    <w:p w14:paraId="190528F7" w14:textId="77777777" w:rsidR="005247BD" w:rsidRPr="004E5902" w:rsidRDefault="005247BD" w:rsidP="00454EBC">
      <w:pPr>
        <w:pStyle w:val="Heading2"/>
      </w:pPr>
      <w:r>
        <w:lastRenderedPageBreak/>
        <w:t>Het EESC is van mening dat zowel de traditionele media als de digitale platforms hun krachten moeten bundelen om vooringenomen taalgebruik en narratieven de wereld uit te helpen. Door achterhaald taalgebruik te actualiseren, algoritmen te hervormen zodat diversiteit en nauwkeurigheid prioriteit krijgen, en mediageletterdheid en onafhankelijke journalistiek te ondersteunen, kan een inclusiever en correcter beeld van Oost-Europese naties worden bevorderd. Zulke strategieën helpen niet alleen om schadelijke stereotypen te bestrijden, maar zorgen er ook voor dat het publieke debat evenwichtiger en grondiger onderbouwd is en de werkelijke complexiteit van de regio beter weerspiegelt.</w:t>
      </w:r>
    </w:p>
    <w:p w14:paraId="76014473" w14:textId="77777777" w:rsidR="005247BD" w:rsidRPr="004E5902" w:rsidRDefault="005247BD" w:rsidP="00D52805">
      <w:pPr>
        <w:spacing w:line="240" w:lineRule="auto"/>
        <w:rPr>
          <w:lang w:val="en-GB"/>
        </w:rPr>
      </w:pPr>
    </w:p>
    <w:p w14:paraId="29ABDCE0" w14:textId="77777777" w:rsidR="005247BD" w:rsidRPr="004E5902" w:rsidRDefault="005247BD" w:rsidP="00454EBC">
      <w:pPr>
        <w:pStyle w:val="Heading1"/>
        <w:keepNext/>
        <w:keepLines/>
      </w:pPr>
      <w:r>
        <w:rPr>
          <w:b/>
        </w:rPr>
        <w:t>Op basis van bovenstaande wordt geconcludeerd dat de situatie kan worden verbeterd door de volgende of soortgelijke maatregelen te nemen:</w:t>
      </w:r>
    </w:p>
    <w:p w14:paraId="1921CDD5" w14:textId="77777777" w:rsidR="005247BD" w:rsidRPr="00D52805" w:rsidRDefault="005247BD" w:rsidP="00454EBC">
      <w:pPr>
        <w:pStyle w:val="Heading2"/>
        <w:keepNext/>
        <w:keepLines/>
        <w:numPr>
          <w:ilvl w:val="0"/>
          <w:numId w:val="0"/>
        </w:numPr>
        <w:ind w:left="567"/>
        <w:rPr>
          <w:lang w:val="en-GB"/>
        </w:rPr>
      </w:pPr>
    </w:p>
    <w:p w14:paraId="40E21FCC" w14:textId="77777777" w:rsidR="005247BD" w:rsidRPr="004E5902" w:rsidRDefault="005247BD" w:rsidP="00454EBC">
      <w:pPr>
        <w:pStyle w:val="Heading2"/>
      </w:pPr>
      <w:r>
        <w:t xml:space="preserve">Verplichten dat alle grote socialemediaplatforms hun algoritmische processen en wijzigingen daarvan openbaar maken, met inbegrip van de manier waarop inhoud prioriteit krijgt en wordt gemodereerd, in overeenstemming met de transparantieverplichtingen uit de digitaledienstenverordening. </w:t>
      </w:r>
    </w:p>
    <w:p w14:paraId="3DEAB086" w14:textId="77777777" w:rsidR="005247BD" w:rsidRPr="004E5902" w:rsidRDefault="005247BD" w:rsidP="00454EBC">
      <w:pPr>
        <w:rPr>
          <w:lang w:val="en-GB"/>
        </w:rPr>
      </w:pPr>
    </w:p>
    <w:p w14:paraId="6F82CF3B" w14:textId="77777777" w:rsidR="005247BD" w:rsidRPr="004E5902" w:rsidRDefault="005247BD" w:rsidP="00454EBC">
      <w:pPr>
        <w:pStyle w:val="Heading2"/>
      </w:pPr>
      <w:r>
        <w:t>De toepassing van een gestandaardiseerd kader voor algoritmebeoordelingen dat onafhankelijke audits omvat om vooringenomenheid op te sporen en een eerlijke behandeling van diverse inhoud te garanderen. De evaluatie en openbaarmaking van de risicobeoordelingen die zijn vereist op grond van artikel 34 van de digitaledienstenverordening, met bijzondere aandacht voor systeemrisico’s voor grondrechten, mediavrijheid en het democratische debat.</w:t>
      </w:r>
    </w:p>
    <w:p w14:paraId="08550060" w14:textId="77777777" w:rsidR="005247BD" w:rsidRPr="00CA3853" w:rsidRDefault="005247BD" w:rsidP="00454EBC">
      <w:pPr>
        <w:pStyle w:val="ListParagraph"/>
        <w:ind w:left="0"/>
      </w:pPr>
    </w:p>
    <w:p w14:paraId="3FFC12C1" w14:textId="77777777" w:rsidR="005247BD" w:rsidRPr="004E5902" w:rsidRDefault="005247BD" w:rsidP="00454EBC">
      <w:pPr>
        <w:pStyle w:val="Heading2"/>
      </w:pPr>
      <w:r>
        <w:t>De oprichting van een substantieel EU-fonds dat specifiek gericht is op structurele steun voor onafhankelijke mediakanalen in Midden- en Oost-Europa. Dit fonds zou subsidies, opleidingen en middelen kunnen verstrekken voor onderzoeksjournalistiek, mediageletterdheidsprogramma’s en technologie om de digitale aanwezigheid en veerkracht te verbeteren.</w:t>
      </w:r>
    </w:p>
    <w:p w14:paraId="44685293" w14:textId="77777777" w:rsidR="005247BD" w:rsidRPr="00CA3853" w:rsidRDefault="005247BD" w:rsidP="00454EBC">
      <w:pPr>
        <w:pStyle w:val="ListParagraph"/>
        <w:ind w:left="0"/>
      </w:pPr>
    </w:p>
    <w:p w14:paraId="7134B0C9" w14:textId="77777777" w:rsidR="005247BD" w:rsidRPr="004E5902" w:rsidRDefault="005247BD" w:rsidP="00454EBC">
      <w:pPr>
        <w:pStyle w:val="Heading2"/>
      </w:pPr>
      <w:r>
        <w:t>De ontwikkeling van een alomvattende strategie om buitenlandse informatiemanipulatie en inmenging te bestrijden, inclusief strengere straffen voor platforms die manipulatieve inhoud niet verwijderen of aanpakken. Platforms verplichten om proactief maatregelen te ontwikkelen en te handhaven om buitenlandse informatiemanipulatie- en inmengingsactiviteiten op te sporen en te beperken, waaronder partnerschappen met cyberbeveiligingsbedrijven en academische instellingen, die toegang moeten krijgen tot alle benodigde gegevens. </w:t>
      </w:r>
    </w:p>
    <w:p w14:paraId="0D6EF1A1" w14:textId="77777777" w:rsidR="005247BD" w:rsidRPr="00CA3853" w:rsidRDefault="005247BD" w:rsidP="00454EBC">
      <w:pPr>
        <w:pStyle w:val="ListParagraph"/>
        <w:ind w:left="0"/>
      </w:pPr>
    </w:p>
    <w:p w14:paraId="74386276" w14:textId="77777777" w:rsidR="005247BD" w:rsidRPr="004E5902" w:rsidRDefault="005247BD" w:rsidP="00454EBC">
      <w:pPr>
        <w:pStyle w:val="Heading2"/>
      </w:pPr>
      <w:r>
        <w:t>Pleiten voor en toepassen van sterkere wettelijke bescherming van journalisten en onafhankelijke media in Oost-Europa, waaronder bescherming tegen intimidatie, censuur en onderdrukking door de staat. Dit kan gebeuren in de vorm van initiatieven voor juridische ondersteuning, alsook het opzetten van veilige rapportagekanalen voor bedreigde journalisten omvatten.</w:t>
      </w:r>
    </w:p>
    <w:p w14:paraId="322632D1" w14:textId="77777777" w:rsidR="005247BD" w:rsidRPr="00CA3853" w:rsidRDefault="005247BD" w:rsidP="00454EBC">
      <w:pPr>
        <w:pStyle w:val="ListParagraph"/>
        <w:ind w:left="0"/>
      </w:pPr>
    </w:p>
    <w:p w14:paraId="7E784FC4" w14:textId="77777777" w:rsidR="005247BD" w:rsidRPr="004E5902" w:rsidRDefault="005247BD" w:rsidP="00454EBC">
      <w:pPr>
        <w:pStyle w:val="Heading2"/>
      </w:pPr>
      <w:r>
        <w:t>De integratie van uitgebreid onderwijs op het gebied van digitale geletterdheid in het lesprogramma van scholen in heel Europa, met de nadruk op kritisch denken, mediaconsumptie en het herkennen van desinformatie. De krachten bundelen met onderwijsinstellingen en ngo’s om aantrekkelijke materialen en opleidingen te ontwikkelen voor zowel leerlingen als docenten.</w:t>
      </w:r>
    </w:p>
    <w:p w14:paraId="68991C38" w14:textId="77777777" w:rsidR="005247BD" w:rsidRPr="00D52805" w:rsidRDefault="005247BD" w:rsidP="00D52805">
      <w:pPr>
        <w:pStyle w:val="ListParagraph"/>
        <w:spacing w:line="240" w:lineRule="auto"/>
        <w:ind w:left="0"/>
        <w:rPr>
          <w:sz w:val="6"/>
          <w:szCs w:val="6"/>
        </w:rPr>
      </w:pPr>
    </w:p>
    <w:p w14:paraId="54DC80A9" w14:textId="77777777" w:rsidR="005247BD" w:rsidRPr="004E5902" w:rsidRDefault="005247BD" w:rsidP="00454EBC">
      <w:pPr>
        <w:pStyle w:val="Heading2"/>
      </w:pPr>
      <w:r>
        <w:lastRenderedPageBreak/>
        <w:t>Platforms verplichten een taalgevoelig beleid inzake inhoudsmoderatie te ontwikkelen dat een eerlijke behandeling van minderheidstalen en lokale dialecten waarborgt. Dit zou het aanwerven en opleiden van moderatoren moeten omvatten die vertrouwd zijn met de sociaal-politieke context van specifieke regio’s, vooral in Midden- en Oost-Europa.</w:t>
      </w:r>
    </w:p>
    <w:p w14:paraId="2A40B7F3" w14:textId="77777777" w:rsidR="005247BD" w:rsidRPr="004E5902" w:rsidRDefault="005247BD" w:rsidP="00454EBC">
      <w:pPr>
        <w:jc w:val="left"/>
        <w:rPr>
          <w:lang w:val="en-GB"/>
        </w:rPr>
      </w:pPr>
    </w:p>
    <w:p w14:paraId="0FDDB5FA" w14:textId="77777777" w:rsidR="005247BD" w:rsidRPr="004E5902" w:rsidRDefault="005247BD" w:rsidP="00454EBC">
      <w:pPr>
        <w:pStyle w:val="Heading2"/>
      </w:pPr>
      <w:r>
        <w:t>Het op poten zetten van initiatieven om de manier waarop landen in Midden- en Oost-Europa worden afgebeeld in de media en in beleidsdiscussies te veranderen. Het gebruik van narratieve kaders stimuleren waarin de unieke geschiedenis en identiteit van deze naties wordt benadrukt en afstand nemen van achterhaalde beschrijvingen als “post-Sovjet”.</w:t>
      </w:r>
    </w:p>
    <w:p w14:paraId="479B0359" w14:textId="77777777" w:rsidR="005247BD" w:rsidRPr="004E5902" w:rsidRDefault="005247BD" w:rsidP="00454EBC">
      <w:pPr>
        <w:rPr>
          <w:lang w:val="en-GB"/>
        </w:rPr>
      </w:pPr>
    </w:p>
    <w:p w14:paraId="20DC4AC5" w14:textId="77777777" w:rsidR="005247BD" w:rsidRPr="004E5902" w:rsidRDefault="005247BD" w:rsidP="00454EBC">
      <w:pPr>
        <w:pStyle w:val="Heading2"/>
      </w:pPr>
      <w:r>
        <w:t>De markt voor digitale reclame opnieuw in evenwicht brengen door de antitrustregels en de digitalemarktenverordening te handhaven, teneinde monopolistische praktijken te doorbreken en eerlijke concurrentie te waarborgen. De ondersteuning van structurele oplossingen, zoals de afscheiding van reclametechnologiebedrijven, om adverteerders en uitgevers meer controle te geven over waar advertenties worden geplaatst en om meer middelen te bestemmen voor kwaliteitsjournalistiek en onafhankelijke media.</w:t>
      </w:r>
    </w:p>
    <w:p w14:paraId="3E2D2E73" w14:textId="77777777" w:rsidR="005247BD" w:rsidRPr="004E5902" w:rsidRDefault="005247BD" w:rsidP="00454EBC">
      <w:pPr>
        <w:rPr>
          <w:lang w:val="en-GB"/>
        </w:rPr>
      </w:pPr>
    </w:p>
    <w:p w14:paraId="665BC52C" w14:textId="7F987824" w:rsidR="005247BD" w:rsidRPr="004E5902" w:rsidRDefault="005247BD" w:rsidP="00454EBC">
      <w:r>
        <w:t>Brussel, 18 september 2025.</w:t>
      </w:r>
    </w:p>
    <w:p w14:paraId="69A80931" w14:textId="77777777" w:rsidR="005247BD" w:rsidRPr="004E5902" w:rsidRDefault="005247BD" w:rsidP="00454EBC">
      <w:pPr>
        <w:rPr>
          <w:lang w:val="en-GB"/>
        </w:rPr>
      </w:pPr>
    </w:p>
    <w:p w14:paraId="6E757F54" w14:textId="77777777" w:rsidR="005247BD" w:rsidRPr="004E5902" w:rsidRDefault="005247BD" w:rsidP="00454EBC">
      <w:pPr>
        <w:rPr>
          <w:lang w:val="en-GB"/>
        </w:rPr>
      </w:pPr>
    </w:p>
    <w:p w14:paraId="27C6A95B" w14:textId="1D3A16DF" w:rsidR="00CA3853" w:rsidRPr="004E5902" w:rsidRDefault="005247BD" w:rsidP="00454EBC">
      <w:r>
        <w:rPr>
          <w:i/>
          <w:color w:val="000000" w:themeColor="text1"/>
        </w:rPr>
        <w:t>De voorzitter van het Europees Economisch en Sociaal Comité</w:t>
      </w:r>
    </w:p>
    <w:p w14:paraId="78E9C31A" w14:textId="588C38F6" w:rsidR="005247BD" w:rsidRPr="004E5902" w:rsidRDefault="005247BD" w:rsidP="00454EBC">
      <w:r>
        <w:t>Oliver RÖPKE</w:t>
      </w:r>
    </w:p>
    <w:p w14:paraId="3AEEC411" w14:textId="77777777" w:rsidR="005247BD" w:rsidRPr="004E5902" w:rsidRDefault="005247BD" w:rsidP="00454EBC">
      <w:pPr>
        <w:rPr>
          <w:lang w:val="en-GB"/>
        </w:rPr>
      </w:pPr>
    </w:p>
    <w:p w14:paraId="74E49152" w14:textId="77777777" w:rsidR="005247BD" w:rsidRPr="004E5902" w:rsidRDefault="005247BD" w:rsidP="00454EBC">
      <w:pPr>
        <w:jc w:val="center"/>
      </w:pPr>
      <w:r>
        <w:t>_____________</w:t>
      </w:r>
    </w:p>
    <w:p w14:paraId="7636A56F" w14:textId="77777777" w:rsidR="005247BD" w:rsidRPr="00D52805" w:rsidRDefault="005247BD" w:rsidP="00D52805">
      <w:pPr>
        <w:rPr>
          <w:lang w:val="en-GB"/>
        </w:rPr>
      </w:pPr>
    </w:p>
    <w:sectPr w:rsidR="005247BD" w:rsidRPr="00D52805" w:rsidSect="001E74A1">
      <w:headerReference w:type="even" r:id="rId30"/>
      <w:headerReference w:type="default" r:id="rId31"/>
      <w:footerReference w:type="default" r:id="rId32"/>
      <w:headerReference w:type="first" r:id="rId33"/>
      <w:pgSz w:w="11907" w:h="16839" w:code="9"/>
      <w:pgMar w:top="1418" w:right="1418" w:bottom="1418" w:left="1418" w:header="709"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1D2401" w14:textId="77777777" w:rsidR="00DE14FE" w:rsidRDefault="00DE14FE" w:rsidP="00F53370">
      <w:pPr>
        <w:spacing w:line="240" w:lineRule="auto"/>
      </w:pPr>
      <w:r>
        <w:separator/>
      </w:r>
    </w:p>
  </w:endnote>
  <w:endnote w:type="continuationSeparator" w:id="0">
    <w:p w14:paraId="111F8891" w14:textId="77777777" w:rsidR="00DE14FE" w:rsidRDefault="00DE14FE" w:rsidP="00F5337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FD4BD" w14:textId="77777777" w:rsidR="00574C9B" w:rsidRDefault="00574C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3217E" w14:textId="3F93E994" w:rsidR="004A5B45" w:rsidRPr="003065C9" w:rsidRDefault="005247BD" w:rsidP="003065C9">
    <w:pPr>
      <w:pStyle w:val="Footer"/>
    </w:pPr>
    <w:r>
      <w:t xml:space="preserve">REX/601 – EESC-2025-00907-00-00-RI-TRA (EN) </w:t>
    </w:r>
    <w:r w:rsidR="008A6DD4">
      <w:fldChar w:fldCharType="begin"/>
    </w:r>
    <w:r w:rsidR="008A6DD4">
      <w:instrText xml:space="preserve"> PAGE   \* MERGEFORMAT </w:instrText>
    </w:r>
    <w:r w:rsidR="008A6DD4">
      <w:fldChar w:fldCharType="separate"/>
    </w:r>
    <w:r w:rsidR="00E52B04">
      <w:t>1</w:t>
    </w:r>
    <w:r w:rsidR="008A6DD4">
      <w:fldChar w:fldCharType="end"/>
    </w:r>
    <w:r>
      <w:t>/</w:t>
    </w:r>
    <w:fldSimple w:instr=" SECTIONPAGES   \* MERGEFORMAT ">
      <w:r w:rsidR="009F3E94">
        <w:rPr>
          <w:noProof/>
        </w:rPr>
        <w:t>8</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BDA10F" w14:textId="77777777" w:rsidR="00DE14FE" w:rsidRDefault="00DE14FE" w:rsidP="00F53370">
      <w:pPr>
        <w:spacing w:line="240" w:lineRule="auto"/>
      </w:pPr>
      <w:r>
        <w:separator/>
      </w:r>
    </w:p>
  </w:footnote>
  <w:footnote w:type="continuationSeparator" w:id="0">
    <w:p w14:paraId="55A4C62B" w14:textId="77777777" w:rsidR="00DE14FE" w:rsidRDefault="00DE14FE" w:rsidP="00F5337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4A669" w14:textId="252CAFAF" w:rsidR="00574C9B" w:rsidRDefault="00DD3A4A">
    <w:pPr>
      <w:pStyle w:val="Header"/>
    </w:pPr>
    <w:r>
      <w:pict w14:anchorId="3E5C97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04016" o:spid="_x0000_s2060" type="#_x0000_t75" style="position:absolute;left:0;text-align:left;margin-left:0;margin-top:0;width:595.2pt;height:841.9pt;z-index:-251649024;mso-position-horizontal:center;mso-position-horizontal-relative:margin;mso-position-vertical:center;mso-position-vertical-relative:margin" o:allowincell="f">
          <v:imagedata r:id="rId1" o:title="footer only"/>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95081" w14:textId="03954271" w:rsidR="00574C9B" w:rsidRDefault="00D52805">
    <w:pPr>
      <w:pStyle w:val="Header"/>
    </w:pPr>
    <w:r>
      <w:rPr>
        <w:noProof/>
      </w:rPr>
      <w:drawing>
        <wp:anchor distT="0" distB="0" distL="114300" distR="114300" simplePos="0" relativeHeight="251659776" behindDoc="0" locked="0" layoutInCell="1" allowOverlap="1" wp14:anchorId="6CC1EF59" wp14:editId="19DFFCCF">
          <wp:simplePos x="0" y="0"/>
          <wp:positionH relativeFrom="page">
            <wp:posOffset>343011</wp:posOffset>
          </wp:positionH>
          <wp:positionV relativeFrom="page">
            <wp:posOffset>350685</wp:posOffset>
          </wp:positionV>
          <wp:extent cx="6944360" cy="3343275"/>
          <wp:effectExtent l="0" t="0" r="8890" b="9525"/>
          <wp:wrapNone/>
          <wp:docPr id="1" name="Picture 1" title="EESCLogo2021_NL"/>
          <wp:cNvGraphicFramePr/>
          <a:graphic xmlns:a="http://schemas.openxmlformats.org/drawingml/2006/main">
            <a:graphicData uri="http://schemas.openxmlformats.org/drawingml/2006/picture">
              <pic:pic xmlns:pic="http://schemas.openxmlformats.org/drawingml/2006/picture">
                <pic:nvPicPr>
                  <pic:cNvPr id="1" name="Picture 1" title="EESCLogo2021_NL"/>
                  <pic:cNvPicPr/>
                </pic:nvPicPr>
                <pic:blipFill>
                  <a:blip r:embed="rId1">
                    <a:extLst>
                      <a:ext uri="{28A0092B-C50C-407E-A947-70E740481C1C}">
                        <a14:useLocalDpi xmlns:a14="http://schemas.microsoft.com/office/drawing/2010/main" val="0"/>
                      </a:ext>
                    </a:extLst>
                  </a:blip>
                  <a:stretch>
                    <a:fillRect/>
                  </a:stretch>
                </pic:blipFill>
                <pic:spPr>
                  <a:xfrm>
                    <a:off x="0" y="0"/>
                    <a:ext cx="6944360" cy="3343275"/>
                  </a:xfrm>
                  <a:prstGeom prst="rect">
                    <a:avLst/>
                  </a:prstGeom>
                </pic:spPr>
              </pic:pic>
            </a:graphicData>
          </a:graphic>
          <wp14:sizeRelH relativeFrom="margin">
            <wp14:pctWidth>0</wp14:pctWidth>
          </wp14:sizeRelH>
          <wp14:sizeRelV relativeFrom="margin">
            <wp14:pctHeight>0</wp14:pctHeight>
          </wp14:sizeRelV>
        </wp:anchor>
      </w:drawing>
    </w:r>
    <w:r w:rsidR="00DD3A4A">
      <w:pict w14:anchorId="0292D8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04017" o:spid="_x0000_s2061" type="#_x0000_t75" style="position:absolute;left:0;text-align:left;margin-left:0;margin-top:0;width:595.2pt;height:841.9pt;z-index:-251648000;mso-position-horizontal:center;mso-position-horizontal-relative:page;mso-position-vertical:top;mso-position-vertical-relative:page" o:allowincell="f">
          <v:imagedata r:id="rId2" o:title="footer only"/>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5837F" w14:textId="007EBCA1" w:rsidR="00574C9B" w:rsidRDefault="00DD3A4A">
    <w:pPr>
      <w:pStyle w:val="Header"/>
    </w:pPr>
    <w:r>
      <w:pict w14:anchorId="191712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04015" o:spid="_x0000_s2059" type="#_x0000_t75" style="position:absolute;left:0;text-align:left;margin-left:0;margin-top:0;width:595.2pt;height:841.9pt;z-index:-251650048;mso-position-horizontal:center;mso-position-horizontal-relative:margin;mso-position-vertical:center;mso-position-vertical-relative:margin" o:allowincell="f">
          <v:imagedata r:id="rId1" o:title="footer only"/>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B9C34" w14:textId="7FEF32E3" w:rsidR="00574C9B" w:rsidRDefault="00DD3A4A">
    <w:pPr>
      <w:pStyle w:val="Header"/>
    </w:pPr>
    <w:r>
      <w:pict w14:anchorId="16802F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04019" o:spid="_x0000_s2063" type="#_x0000_t75" style="position:absolute;left:0;text-align:left;margin-left:0;margin-top:0;width:595.2pt;height:841.9pt;z-index:-251645952;mso-position-horizontal:center;mso-position-horizontal-relative:margin;mso-position-vertical:center;mso-position-vertical-relative:margin" o:allowincell="f">
          <v:imagedata r:id="rId1" o:title="footer only"/>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9FC7C" w14:textId="308D261F" w:rsidR="00574C9B" w:rsidRDefault="00DD3A4A">
    <w:pPr>
      <w:pStyle w:val="Header"/>
    </w:pPr>
    <w:r>
      <w:pict w14:anchorId="31FC4A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04020" o:spid="_x0000_s2064" type="#_x0000_t75" style="position:absolute;left:0;text-align:left;margin-left:0;margin-top:0;width:595.2pt;height:841.9pt;z-index:-251644928;visibility:hidden;mso-position-horizontal:center;mso-position-horizontal-relative:margin;mso-position-vertical:center;mso-position-vertical-relative:margin" o:allowincell="f">
          <v:imagedata r:id="rId1" o:title="footer only"/>
          <w10:wrap anchorx="margin" anchory="margin"/>
        </v:shape>
      </w:pict>
    </w:r>
    <w:r w:rsidR="00F179FA">
      <w:rPr>
        <w:noProof/>
      </w:rPr>
      <w:drawing>
        <wp:anchor distT="0" distB="0" distL="114300" distR="114300" simplePos="0" relativeHeight="251663360" behindDoc="1" locked="0" layoutInCell="1" allowOverlap="1" wp14:anchorId="5FA9E479" wp14:editId="13AEE0F5">
          <wp:simplePos x="0" y="0"/>
          <wp:positionH relativeFrom="page">
            <wp:posOffset>-10571</wp:posOffset>
          </wp:positionH>
          <wp:positionV relativeFrom="page">
            <wp:posOffset>-221993</wp:posOffset>
          </wp:positionV>
          <wp:extent cx="7581265" cy="10898802"/>
          <wp:effectExtent l="0" t="0" r="63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ackground (footer) recto.png"/>
                  <pic:cNvPicPr/>
                </pic:nvPicPr>
                <pic:blipFill>
                  <a:blip r:embed="rId2">
                    <a:extLst>
                      <a:ext uri="{28A0092B-C50C-407E-A947-70E740481C1C}">
                        <a14:useLocalDpi xmlns:a14="http://schemas.microsoft.com/office/drawing/2010/main" val="0"/>
                      </a:ext>
                    </a:extLst>
                  </a:blip>
                  <a:stretch>
                    <a:fillRect/>
                  </a:stretch>
                </pic:blipFill>
                <pic:spPr>
                  <a:xfrm>
                    <a:off x="0" y="0"/>
                    <a:ext cx="7585107" cy="10904325"/>
                  </a:xfrm>
                  <a:prstGeom prst="rect">
                    <a:avLst/>
                  </a:prstGeom>
                </pic:spPr>
              </pic:pic>
            </a:graphicData>
          </a:graphic>
          <wp14:sizeRelH relativeFrom="margin">
            <wp14:pctWidth>0</wp14:pctWidth>
          </wp14:sizeRelH>
          <wp14:sizeRelV relativeFrom="margin">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67873" w14:textId="56798CB4" w:rsidR="00574C9B" w:rsidRDefault="00DD3A4A">
    <w:pPr>
      <w:pStyle w:val="Header"/>
    </w:pPr>
    <w:r>
      <w:pict w14:anchorId="1017B5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04018" o:spid="_x0000_s2062" type="#_x0000_t75" style="position:absolute;left:0;text-align:left;margin-left:0;margin-top:0;width:595.2pt;height:841.9pt;z-index:-251646976;mso-position-horizontal:center;mso-position-horizontal-relative:margin;mso-position-vertical:center;mso-position-vertical-relative:margin" o:allowincell="f">
          <v:imagedata r:id="rId1" o:title="footer only"/>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FFAD5" w14:textId="60B66FCE" w:rsidR="004871B8" w:rsidRDefault="00DD3A4A">
    <w:pPr>
      <w:pStyle w:val="Header"/>
    </w:pPr>
    <w:r>
      <w:pict w14:anchorId="51EC15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04022" o:spid="_x0000_s2066" type="#_x0000_t75" style="position:absolute;left:0;text-align:left;margin-left:0;margin-top:0;width:595.2pt;height:841.9pt;z-index:-251642880;mso-position-horizontal:center;mso-position-horizontal-relative:margin;mso-position-vertical:center;mso-position-vertical-relative:margin" o:allowincell="f">
          <v:imagedata r:id="rId1" o:title="footer only"/>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32120" w14:textId="43FA7B78" w:rsidR="004A5B45" w:rsidRDefault="00DD3A4A">
    <w:pPr>
      <w:pStyle w:val="Header"/>
    </w:pPr>
    <w:r>
      <w:pict w14:anchorId="7B5F8F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04023" o:spid="_x0000_s2067" type="#_x0000_t75" style="position:absolute;left:0;text-align:left;margin-left:0;margin-top:0;width:595.2pt;height:841.9pt;z-index:-251641856;visibility:hidden;mso-position-horizontal:center;mso-position-horizontal-relative:margin;mso-position-vertical:center;mso-position-vertical-relative:margin" o:allowincell="f">
          <v:imagedata r:id="rId1" o:title="footer only"/>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EDF91" w14:textId="4DD3A706" w:rsidR="004871B8" w:rsidRDefault="00DD3A4A">
    <w:pPr>
      <w:pStyle w:val="Header"/>
    </w:pPr>
    <w:r>
      <w:pict w14:anchorId="4BBB7A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04021" o:spid="_x0000_s2065" type="#_x0000_t75" style="position:absolute;left:0;text-align:left;margin-left:0;margin-top:0;width:595.2pt;height:841.9pt;z-index:-251643904;mso-position-horizontal:center;mso-position-horizontal-relative:margin;mso-position-vertical:center;mso-position-vertical-relative:margin" o:allowincell="f">
          <v:imagedata r:id="rId1" o:title="footer only"/>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2DDCE010"/>
    <w:lvl w:ilvl="0">
      <w:start w:val="1"/>
      <w:numFmt w:val="decimal"/>
      <w:pStyle w:val="Heading1"/>
      <w:lvlText w:val="%1."/>
      <w:legacy w:legacy="1" w:legacySpace="0" w:legacyIndent="0"/>
      <w:lvlJc w:val="left"/>
      <w:rPr>
        <w:b w:val="0"/>
      </w:rPr>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68"/>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370"/>
    <w:rsid w:val="00003107"/>
    <w:rsid w:val="00020389"/>
    <w:rsid w:val="00053D00"/>
    <w:rsid w:val="000A0F3B"/>
    <w:rsid w:val="000F7F02"/>
    <w:rsid w:val="00185E99"/>
    <w:rsid w:val="0019231D"/>
    <w:rsid w:val="001955B6"/>
    <w:rsid w:val="001B3B99"/>
    <w:rsid w:val="001D61AC"/>
    <w:rsid w:val="001E15AA"/>
    <w:rsid w:val="001E3FA1"/>
    <w:rsid w:val="00200E87"/>
    <w:rsid w:val="00206D14"/>
    <w:rsid w:val="00214BDC"/>
    <w:rsid w:val="00215E81"/>
    <w:rsid w:val="0024727F"/>
    <w:rsid w:val="002A77F4"/>
    <w:rsid w:val="002B6A7B"/>
    <w:rsid w:val="002D4B4A"/>
    <w:rsid w:val="003353D7"/>
    <w:rsid w:val="00360204"/>
    <w:rsid w:val="003659F9"/>
    <w:rsid w:val="00401DE5"/>
    <w:rsid w:val="00454EBC"/>
    <w:rsid w:val="00461CAF"/>
    <w:rsid w:val="004871B8"/>
    <w:rsid w:val="004A5B45"/>
    <w:rsid w:val="004E5902"/>
    <w:rsid w:val="005247BD"/>
    <w:rsid w:val="00574C9B"/>
    <w:rsid w:val="0058411F"/>
    <w:rsid w:val="005961A4"/>
    <w:rsid w:val="005B55E2"/>
    <w:rsid w:val="005C2475"/>
    <w:rsid w:val="00602365"/>
    <w:rsid w:val="006125A1"/>
    <w:rsid w:val="00612BCC"/>
    <w:rsid w:val="00653E7D"/>
    <w:rsid w:val="00662207"/>
    <w:rsid w:val="00667F09"/>
    <w:rsid w:val="006868CB"/>
    <w:rsid w:val="006B57A6"/>
    <w:rsid w:val="006D53A6"/>
    <w:rsid w:val="00787837"/>
    <w:rsid w:val="00787896"/>
    <w:rsid w:val="00787ABB"/>
    <w:rsid w:val="007B6C64"/>
    <w:rsid w:val="00822952"/>
    <w:rsid w:val="00836505"/>
    <w:rsid w:val="00844B87"/>
    <w:rsid w:val="0089251B"/>
    <w:rsid w:val="008A6DD4"/>
    <w:rsid w:val="008F74D7"/>
    <w:rsid w:val="00904C42"/>
    <w:rsid w:val="00914683"/>
    <w:rsid w:val="00924C05"/>
    <w:rsid w:val="00937CF2"/>
    <w:rsid w:val="009451D6"/>
    <w:rsid w:val="009506A6"/>
    <w:rsid w:val="00976645"/>
    <w:rsid w:val="00976F77"/>
    <w:rsid w:val="0098228C"/>
    <w:rsid w:val="009A734F"/>
    <w:rsid w:val="009C37A0"/>
    <w:rsid w:val="009E2100"/>
    <w:rsid w:val="009F3E94"/>
    <w:rsid w:val="00A310E1"/>
    <w:rsid w:val="00A3397C"/>
    <w:rsid w:val="00A36AB0"/>
    <w:rsid w:val="00AB37A3"/>
    <w:rsid w:val="00AC5114"/>
    <w:rsid w:val="00AC52B0"/>
    <w:rsid w:val="00AE4394"/>
    <w:rsid w:val="00B25683"/>
    <w:rsid w:val="00B51901"/>
    <w:rsid w:val="00BB0A75"/>
    <w:rsid w:val="00BC4FD4"/>
    <w:rsid w:val="00BD50F6"/>
    <w:rsid w:val="00C0056A"/>
    <w:rsid w:val="00C073E1"/>
    <w:rsid w:val="00C25647"/>
    <w:rsid w:val="00C5137B"/>
    <w:rsid w:val="00C66AEA"/>
    <w:rsid w:val="00C9040A"/>
    <w:rsid w:val="00C91E4D"/>
    <w:rsid w:val="00CA3853"/>
    <w:rsid w:val="00CB110A"/>
    <w:rsid w:val="00CB7CD0"/>
    <w:rsid w:val="00D039AF"/>
    <w:rsid w:val="00D13128"/>
    <w:rsid w:val="00D52805"/>
    <w:rsid w:val="00D95232"/>
    <w:rsid w:val="00DB7F50"/>
    <w:rsid w:val="00DE14FE"/>
    <w:rsid w:val="00DE30C7"/>
    <w:rsid w:val="00DF400F"/>
    <w:rsid w:val="00E15BF4"/>
    <w:rsid w:val="00E2376B"/>
    <w:rsid w:val="00E2441D"/>
    <w:rsid w:val="00E26935"/>
    <w:rsid w:val="00E27707"/>
    <w:rsid w:val="00E333C8"/>
    <w:rsid w:val="00E47484"/>
    <w:rsid w:val="00E52B04"/>
    <w:rsid w:val="00E661B7"/>
    <w:rsid w:val="00E90A9D"/>
    <w:rsid w:val="00ED0759"/>
    <w:rsid w:val="00F179FA"/>
    <w:rsid w:val="00F2069F"/>
    <w:rsid w:val="00F53370"/>
    <w:rsid w:val="00F5376E"/>
    <w:rsid w:val="00F90BE2"/>
    <w:rsid w:val="00FA305D"/>
    <w:rsid w:val="00FB1D7A"/>
    <w:rsid w:val="00FB4D0C"/>
    <w:rsid w:val="00FC0C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8"/>
    <o:shapelayout v:ext="edit">
      <o:idmap v:ext="edit" data="1"/>
    </o:shapelayout>
  </w:shapeDefaults>
  <w:decimalSymbol w:val=","/>
  <w:listSeparator w:val=";"/>
  <w14:docId w14:val="3F46F69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4C9B"/>
    <w:pPr>
      <w:spacing w:after="0" w:line="288" w:lineRule="auto"/>
      <w:jc w:val="both"/>
    </w:pPr>
    <w:rPr>
      <w:rFonts w:ascii="Times New Roman" w:eastAsia="Times New Roman" w:hAnsi="Times New Roman" w:cs="Times New Roman"/>
    </w:rPr>
  </w:style>
  <w:style w:type="paragraph" w:styleId="Heading1">
    <w:name w:val="heading 1"/>
    <w:basedOn w:val="Normal"/>
    <w:next w:val="Normal"/>
    <w:link w:val="Heading1Char"/>
    <w:qFormat/>
    <w:rsid w:val="00F53370"/>
    <w:pPr>
      <w:numPr>
        <w:numId w:val="1"/>
      </w:numPr>
      <w:ind w:left="567" w:hanging="567"/>
      <w:outlineLvl w:val="0"/>
    </w:pPr>
    <w:rPr>
      <w:kern w:val="28"/>
    </w:rPr>
  </w:style>
  <w:style w:type="paragraph" w:styleId="Heading2">
    <w:name w:val="heading 2"/>
    <w:basedOn w:val="Normal"/>
    <w:next w:val="Normal"/>
    <w:link w:val="Heading2Char"/>
    <w:qFormat/>
    <w:rsid w:val="00F53370"/>
    <w:pPr>
      <w:numPr>
        <w:ilvl w:val="1"/>
        <w:numId w:val="1"/>
      </w:numPr>
      <w:ind w:left="567" w:hanging="567"/>
      <w:outlineLvl w:val="1"/>
    </w:pPr>
  </w:style>
  <w:style w:type="paragraph" w:styleId="Heading3">
    <w:name w:val="heading 3"/>
    <w:basedOn w:val="Normal"/>
    <w:next w:val="Normal"/>
    <w:link w:val="Heading3Char"/>
    <w:qFormat/>
    <w:rsid w:val="00F53370"/>
    <w:pPr>
      <w:numPr>
        <w:ilvl w:val="2"/>
        <w:numId w:val="1"/>
      </w:numPr>
      <w:ind w:left="567" w:hanging="567"/>
      <w:outlineLvl w:val="2"/>
    </w:pPr>
  </w:style>
  <w:style w:type="paragraph" w:styleId="Heading4">
    <w:name w:val="heading 4"/>
    <w:basedOn w:val="Normal"/>
    <w:next w:val="Normal"/>
    <w:link w:val="Heading4Char"/>
    <w:qFormat/>
    <w:rsid w:val="00F53370"/>
    <w:pPr>
      <w:numPr>
        <w:ilvl w:val="3"/>
        <w:numId w:val="1"/>
      </w:numPr>
      <w:ind w:left="567" w:hanging="567"/>
      <w:outlineLvl w:val="3"/>
    </w:pPr>
  </w:style>
  <w:style w:type="paragraph" w:styleId="Heading5">
    <w:name w:val="heading 5"/>
    <w:basedOn w:val="Normal"/>
    <w:next w:val="Normal"/>
    <w:link w:val="Heading5Char"/>
    <w:qFormat/>
    <w:rsid w:val="00F53370"/>
    <w:pPr>
      <w:numPr>
        <w:ilvl w:val="4"/>
        <w:numId w:val="1"/>
      </w:numPr>
      <w:ind w:left="567" w:hanging="567"/>
      <w:outlineLvl w:val="4"/>
    </w:pPr>
  </w:style>
  <w:style w:type="paragraph" w:styleId="Heading6">
    <w:name w:val="heading 6"/>
    <w:basedOn w:val="Normal"/>
    <w:next w:val="Normal"/>
    <w:link w:val="Heading6Char"/>
    <w:qFormat/>
    <w:rsid w:val="00F53370"/>
    <w:pPr>
      <w:numPr>
        <w:ilvl w:val="5"/>
        <w:numId w:val="1"/>
      </w:numPr>
      <w:ind w:left="567" w:hanging="567"/>
      <w:outlineLvl w:val="5"/>
    </w:pPr>
  </w:style>
  <w:style w:type="paragraph" w:styleId="Heading7">
    <w:name w:val="heading 7"/>
    <w:basedOn w:val="Normal"/>
    <w:next w:val="Normal"/>
    <w:link w:val="Heading7Char"/>
    <w:qFormat/>
    <w:rsid w:val="00F53370"/>
    <w:pPr>
      <w:numPr>
        <w:ilvl w:val="6"/>
        <w:numId w:val="1"/>
      </w:numPr>
      <w:ind w:left="567" w:hanging="567"/>
      <w:outlineLvl w:val="6"/>
    </w:pPr>
  </w:style>
  <w:style w:type="paragraph" w:styleId="Heading8">
    <w:name w:val="heading 8"/>
    <w:basedOn w:val="Normal"/>
    <w:next w:val="Normal"/>
    <w:link w:val="Heading8Char"/>
    <w:qFormat/>
    <w:rsid w:val="00F53370"/>
    <w:pPr>
      <w:numPr>
        <w:ilvl w:val="7"/>
        <w:numId w:val="1"/>
      </w:numPr>
      <w:ind w:left="567" w:hanging="567"/>
      <w:outlineLvl w:val="7"/>
    </w:pPr>
  </w:style>
  <w:style w:type="paragraph" w:styleId="Heading9">
    <w:name w:val="heading 9"/>
    <w:basedOn w:val="Normal"/>
    <w:next w:val="Normal"/>
    <w:link w:val="Heading9Char"/>
    <w:qFormat/>
    <w:rsid w:val="00F53370"/>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53370"/>
    <w:rPr>
      <w:rFonts w:ascii="Times New Roman" w:eastAsia="Times New Roman" w:hAnsi="Times New Roman" w:cs="Times New Roman"/>
      <w:kern w:val="28"/>
    </w:rPr>
  </w:style>
  <w:style w:type="character" w:customStyle="1" w:styleId="Heading2Char">
    <w:name w:val="Heading 2 Char"/>
    <w:basedOn w:val="DefaultParagraphFont"/>
    <w:link w:val="Heading2"/>
    <w:rsid w:val="00F53370"/>
    <w:rPr>
      <w:rFonts w:ascii="Times New Roman" w:eastAsia="Times New Roman" w:hAnsi="Times New Roman" w:cs="Times New Roman"/>
    </w:rPr>
  </w:style>
  <w:style w:type="character" w:customStyle="1" w:styleId="Heading3Char">
    <w:name w:val="Heading 3 Char"/>
    <w:basedOn w:val="DefaultParagraphFont"/>
    <w:link w:val="Heading3"/>
    <w:rsid w:val="00F53370"/>
    <w:rPr>
      <w:rFonts w:ascii="Times New Roman" w:eastAsia="Times New Roman" w:hAnsi="Times New Roman" w:cs="Times New Roman"/>
    </w:rPr>
  </w:style>
  <w:style w:type="character" w:customStyle="1" w:styleId="Heading4Char">
    <w:name w:val="Heading 4 Char"/>
    <w:basedOn w:val="DefaultParagraphFont"/>
    <w:link w:val="Heading4"/>
    <w:rsid w:val="00F53370"/>
    <w:rPr>
      <w:rFonts w:ascii="Times New Roman" w:eastAsia="Times New Roman" w:hAnsi="Times New Roman" w:cs="Times New Roman"/>
    </w:rPr>
  </w:style>
  <w:style w:type="character" w:customStyle="1" w:styleId="Heading5Char">
    <w:name w:val="Heading 5 Char"/>
    <w:basedOn w:val="DefaultParagraphFont"/>
    <w:link w:val="Heading5"/>
    <w:rsid w:val="00F53370"/>
    <w:rPr>
      <w:rFonts w:ascii="Times New Roman" w:eastAsia="Times New Roman" w:hAnsi="Times New Roman" w:cs="Times New Roman"/>
    </w:rPr>
  </w:style>
  <w:style w:type="character" w:customStyle="1" w:styleId="Heading6Char">
    <w:name w:val="Heading 6 Char"/>
    <w:basedOn w:val="DefaultParagraphFont"/>
    <w:link w:val="Heading6"/>
    <w:rsid w:val="00F53370"/>
    <w:rPr>
      <w:rFonts w:ascii="Times New Roman" w:eastAsia="Times New Roman" w:hAnsi="Times New Roman" w:cs="Times New Roman"/>
    </w:rPr>
  </w:style>
  <w:style w:type="character" w:customStyle="1" w:styleId="Heading7Char">
    <w:name w:val="Heading 7 Char"/>
    <w:basedOn w:val="DefaultParagraphFont"/>
    <w:link w:val="Heading7"/>
    <w:rsid w:val="00F53370"/>
    <w:rPr>
      <w:rFonts w:ascii="Times New Roman" w:eastAsia="Times New Roman" w:hAnsi="Times New Roman" w:cs="Times New Roman"/>
    </w:rPr>
  </w:style>
  <w:style w:type="character" w:customStyle="1" w:styleId="Heading8Char">
    <w:name w:val="Heading 8 Char"/>
    <w:basedOn w:val="DefaultParagraphFont"/>
    <w:link w:val="Heading8"/>
    <w:rsid w:val="00F53370"/>
    <w:rPr>
      <w:rFonts w:ascii="Times New Roman" w:eastAsia="Times New Roman" w:hAnsi="Times New Roman" w:cs="Times New Roman"/>
    </w:rPr>
  </w:style>
  <w:style w:type="character" w:customStyle="1" w:styleId="Heading9Char">
    <w:name w:val="Heading 9 Char"/>
    <w:basedOn w:val="DefaultParagraphFont"/>
    <w:link w:val="Heading9"/>
    <w:rsid w:val="00F53370"/>
    <w:rPr>
      <w:rFonts w:ascii="Times New Roman" w:eastAsia="Times New Roman" w:hAnsi="Times New Roman" w:cs="Times New Roman"/>
    </w:rPr>
  </w:style>
  <w:style w:type="paragraph" w:styleId="Footer">
    <w:name w:val="footer"/>
    <w:basedOn w:val="Normal"/>
    <w:link w:val="FooterChar"/>
    <w:qFormat/>
    <w:rsid w:val="00F53370"/>
  </w:style>
  <w:style w:type="character" w:customStyle="1" w:styleId="FooterChar">
    <w:name w:val="Footer Char"/>
    <w:basedOn w:val="DefaultParagraphFont"/>
    <w:link w:val="Footer"/>
    <w:rsid w:val="00F53370"/>
    <w:rPr>
      <w:rFonts w:ascii="Times New Roman" w:eastAsia="Times New Roman" w:hAnsi="Times New Roman" w:cs="Times New Roman"/>
    </w:rPr>
  </w:style>
  <w:style w:type="paragraph" w:styleId="FootnoteText">
    <w:name w:val="footnote text"/>
    <w:aliases w:val="stile 1,Footnote,Footnote1,Footnote2,Footnote3,Footnote4,Footnote5,Footnote6,Footnote7,Footnote8,Footnote9,Footnote10,Footnote11,Footnote21,Footnote31,Footnote41,Footnote51,Footnote61,Footnote71,Footnote81,Footnote91,FA,FA Fu,fn"/>
    <w:basedOn w:val="Normal"/>
    <w:link w:val="FootnoteTextChar"/>
    <w:qFormat/>
    <w:rsid w:val="00F53370"/>
    <w:pPr>
      <w:keepLines/>
      <w:spacing w:after="60" w:line="240" w:lineRule="auto"/>
      <w:ind w:left="567" w:hanging="567"/>
    </w:pPr>
    <w:rPr>
      <w:sz w:val="16"/>
    </w:rPr>
  </w:style>
  <w:style w:type="character" w:customStyle="1" w:styleId="FootnoteTextChar">
    <w:name w:val="Footnote Text Char"/>
    <w:aliases w:val="stile 1 Char,Footnote Char,Footnote1 Char,Footnote2 Char,Footnote3 Char,Footnote4 Char,Footnote5 Char,Footnote6 Char,Footnote7 Char,Footnote8 Char,Footnote9 Char,Footnote10 Char,Footnote11 Char,Footnote21 Char,Footnote31 Char,FA Char"/>
    <w:basedOn w:val="DefaultParagraphFont"/>
    <w:link w:val="FootnoteText"/>
    <w:rsid w:val="00F53370"/>
    <w:rPr>
      <w:rFonts w:ascii="Times New Roman" w:eastAsia="Times New Roman" w:hAnsi="Times New Roman" w:cs="Times New Roman"/>
      <w:sz w:val="16"/>
    </w:rPr>
  </w:style>
  <w:style w:type="paragraph" w:styleId="Header">
    <w:name w:val="header"/>
    <w:basedOn w:val="Normal"/>
    <w:link w:val="HeaderChar"/>
    <w:qFormat/>
    <w:rsid w:val="00F53370"/>
  </w:style>
  <w:style w:type="character" w:customStyle="1" w:styleId="HeaderChar">
    <w:name w:val="Header Char"/>
    <w:basedOn w:val="DefaultParagraphFont"/>
    <w:link w:val="Header"/>
    <w:rsid w:val="00F53370"/>
    <w:rPr>
      <w:rFonts w:ascii="Times New Roman" w:eastAsia="Times New Roman" w:hAnsi="Times New Roman" w:cs="Times New Roman"/>
    </w:rPr>
  </w:style>
  <w:style w:type="paragraph" w:customStyle="1" w:styleId="quotes">
    <w:name w:val="quotes"/>
    <w:basedOn w:val="Normal"/>
    <w:next w:val="Normal"/>
    <w:rsid w:val="00F53370"/>
    <w:pPr>
      <w:ind w:left="720"/>
    </w:pPr>
    <w:rPr>
      <w:i/>
    </w:rPr>
  </w:style>
  <w:style w:type="character" w:styleId="FootnoteReference">
    <w:name w:val="footnote reference"/>
    <w:aliases w:val="Footnote symbol"/>
    <w:basedOn w:val="DefaultParagraphFont"/>
    <w:unhideWhenUsed/>
    <w:qFormat/>
    <w:rsid w:val="00F53370"/>
    <w:rPr>
      <w:sz w:val="24"/>
      <w:vertAlign w:val="superscript"/>
    </w:rPr>
  </w:style>
  <w:style w:type="table" w:styleId="TableGrid">
    <w:name w:val="Table Grid"/>
    <w:basedOn w:val="TableNormal"/>
    <w:uiPriority w:val="39"/>
    <w:rsid w:val="00F53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8A6DD4"/>
    <w:rPr>
      <w:color w:val="0000FF"/>
      <w:u w:val="single"/>
    </w:rPr>
  </w:style>
  <w:style w:type="paragraph" w:styleId="Revision">
    <w:name w:val="Revision"/>
    <w:hidden/>
    <w:uiPriority w:val="99"/>
    <w:semiHidden/>
    <w:rsid w:val="00976F77"/>
    <w:pPr>
      <w:spacing w:after="0" w:line="240" w:lineRule="auto"/>
    </w:pPr>
    <w:rPr>
      <w:rFonts w:ascii="Times New Roman" w:eastAsia="Times New Roman" w:hAnsi="Times New Roman" w:cs="Times New Roman"/>
    </w:rPr>
  </w:style>
  <w:style w:type="paragraph" w:styleId="ListParagraph">
    <w:name w:val="List Paragraph"/>
    <w:basedOn w:val="Normal"/>
    <w:qFormat/>
    <w:rsid w:val="005247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18" Type="http://schemas.openxmlformats.org/officeDocument/2006/relationships/hyperlink" Target="https://www.euronews.com/next/2025/02/19/whatsapp-faces-strictest-eu-platform-rules-but-not-telegram" TargetMode="External"/><Relationship Id="rId26" Type="http://schemas.openxmlformats.org/officeDocument/2006/relationships/hyperlink" Target="https://euvsdisinfo.eu/the-architecture-of-russias-fimi-operations/" TargetMode="External"/><Relationship Id="rId3" Type="http://schemas.openxmlformats.org/officeDocument/2006/relationships/customXml" Target="../customXml/item3.xml"/><Relationship Id="rId21" Type="http://schemas.openxmlformats.org/officeDocument/2006/relationships/hyperlink" Target="https://stratcomcoe.org/publications/social-media-manipulation-for-sale-experiment-on-platform-capabilities-to-detect-and-counter-inauthentic-social-media-engagement/311"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6.xml"/><Relationship Id="rId25" Type="http://schemas.openxmlformats.org/officeDocument/2006/relationships/hyperlink" Target="https://www.eeas.europa.eu/sites/default/files/documents/2025/EEAS-3nd-ThreatReport-March-2025-05-Digital-HD.pdf" TargetMode="External"/><Relationship Id="rId33"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disinfo.eu/publications/platforms-policies-on-elections-misinformation/?tztc=1" TargetMode="External"/><Relationship Id="rId29" Type="http://schemas.openxmlformats.org/officeDocument/2006/relationships/hyperlink" Target="https://commission.europa.eu/strategy-and-policy/priorities-2019-2024/new-push-european-democracy/protecting-democracy/european-media-freedom-act_n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rsf.org/en/rsf-presses-criminal-charges-against-x-formerly-twitter-its-participation-identity-theft-and" TargetMode="External"/><Relationship Id="rId32"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eader" Target="header5.xml"/><Relationship Id="rId23" Type="http://schemas.openxmlformats.org/officeDocument/2006/relationships/hyperlink" Target="https://www.eeas.europa.eu/sites/default/files/documents/2024/EEAS-2nd-Report%20on%20FIMI%20Threats-January-2024_0.pdf" TargetMode="External"/><Relationship Id="rId28" Type="http://schemas.openxmlformats.org/officeDocument/2006/relationships/hyperlink" Target="https://digital-strategy.ec.europa.eu/nl/news/commission-decides-refer-czechia-spain-cyprus-poland-and-portugal-court-justice-european-union-due" TargetMode="External"/><Relationship Id="rId10" Type="http://schemas.openxmlformats.org/officeDocument/2006/relationships/endnotes" Target="endnotes.xml"/><Relationship Id="rId19" Type="http://schemas.openxmlformats.org/officeDocument/2006/relationships/hyperlink" Target="https://www.eeas.europa.eu/sites/default/files/documents/2025/EEAS-3nd-ThreatReport-March-2025-05-Digital-HD.pdf" TargetMode="External"/><Relationship Id="rId31" Type="http://schemas.openxmlformats.org/officeDocument/2006/relationships/header" Target="header8.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4.xml"/><Relationship Id="rId22" Type="http://schemas.openxmlformats.org/officeDocument/2006/relationships/hyperlink" Target="https://www.eeas.europa.eu/sites/default/files/documents/2025/EEAS-3nd-ThreatReport-March-2025-05-Digital-HD.pdf" TargetMode="External"/><Relationship Id="rId27" Type="http://schemas.openxmlformats.org/officeDocument/2006/relationships/hyperlink" Target="https://digital-strategy.ec.europa.eu/nl/policies/dsa-dscs" TargetMode="External"/><Relationship Id="rId30" Type="http://schemas.openxmlformats.org/officeDocument/2006/relationships/header" Target="header7.xml"/><Relationship Id="rId35"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M Document" ma:contentTypeID="0x010100EA97B91038054C99906057A708A1480A006BB3B767F3CF4149BF520211D4A86BC0" ma:contentTypeVersion="4" ma:contentTypeDescription="Defines the documents for Document Manager V2" ma:contentTypeScope="" ma:versionID="8f2b3a3e062f062a7ee8ba210ef02323">
  <xsd:schema xmlns:xsd="http://www.w3.org/2001/XMLSchema" xmlns:xs="http://www.w3.org/2001/XMLSchema" xmlns:p="http://schemas.microsoft.com/office/2006/metadata/properties" xmlns:ns2="1a33af13-4045-4f88-9d7b-618e30f79918" xmlns:ns3="http://schemas.microsoft.com/sharepoint/v3/fields" xmlns:ns4="be3ca9a7-9286-4008-99ec-aebc20da9dc2" targetNamespace="http://schemas.microsoft.com/office/2006/metadata/properties" ma:root="true" ma:fieldsID="f021f5764e4548d9eb17bdf3b768072d" ns2:_="" ns3:_="" ns4:_="">
    <xsd:import namespace="1a33af13-4045-4f88-9d7b-618e30f79918"/>
    <xsd:import namespace="http://schemas.microsoft.com/sharepoint/v3/fields"/>
    <xsd:import namespace="be3ca9a7-9286-4008-99ec-aebc20da9dc2"/>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3af13-4045-4f88-9d7b-618e30f7991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c795c8aa-ad9d-4177-b7c3-7e58e1f2dfdf}" ma:internalName="TaxCatchAll" ma:showField="CatchAllData"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c795c8aa-ad9d-4177-b7c3-7e58e1f2dfdf}" ma:internalName="TaxCatchAllLabel" ma:readOnly="true" ma:showField="CatchAllDataLabel"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e3ca9a7-9286-4008-99ec-aebc20da9dc2"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1a33af13-4045-4f88-9d7b-618e30f79918">A6WAAD5KZT2Q-604569563-16131</_dlc_DocId>
    <_dlc_DocIdUrl xmlns="1a33af13-4045-4f88-9d7b-618e30f79918">
      <Url>http://dm/eesc/2025/_layouts/15/DocIdRedir.aspx?ID=A6WAAD5KZT2Q-604569563-16131</Url>
      <Description>A6WAAD5KZT2Q-604569563-16131</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RI</TermName>
          <TermId xmlns="http://schemas.microsoft.com/office/infopath/2007/PartnerControls">0e66e8df-1601-4fe1-947b-eb539760261a</TermId>
        </TermInfo>
      </Terms>
    </DocumentType_0>
    <Procedure xmlns="1a33af13-4045-4f88-9d7b-618e30f79918"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1a33af13-4045-4f88-9d7b-618e30f79918">2025-09-22T12:00:00+00:00</ProductionDate>
    <DocumentNumber xmlns="be3ca9a7-9286-4008-99ec-aebc20da9dc2">907</DocumentNumber>
    <FicheYear xmlns="1a33af13-4045-4f88-9d7b-618e30f79918" xsi:nil="true"/>
    <DossierNumber xmlns="1a33af13-4045-4f88-9d7b-618e30f79918">601</DossierNumber>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TaxCatchAll xmlns="1a33af13-4045-4f88-9d7b-618e30f79918">
      <Value>246</Value>
      <Value>50</Value>
      <Value>47</Value>
      <Value>46</Value>
      <Value>43</Value>
      <Value>42</Value>
      <Value>41</Value>
      <Value>40</Value>
      <Value>39</Value>
      <Value>37</Value>
      <Value>36</Value>
      <Value>35</Value>
      <Value>34</Value>
      <Value>33</Value>
      <Value>32</Value>
      <Value>31</Value>
      <Value>30</Value>
      <Value>29</Value>
      <Value>28</Value>
      <Value>27</Value>
      <Value>24</Value>
      <Value>23</Value>
      <Value>16</Value>
      <Value>15</Value>
      <Value>13</Value>
      <Value>12</Value>
      <Value>8</Value>
      <Value>5</Value>
      <Value>2</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NL</TermName>
          <TermId xmlns="http://schemas.microsoft.com/office/infopath/2007/PartnerControls">55c6556c-b4f4-441d-9acf-c498d4f838bd</TermId>
        </TermInfo>
      </Terms>
    </DocumentLanguage_0>
    <MeetingDate xmlns="1a33af13-4045-4f88-9d7b-618e30f79918" xsi:nil="true"/>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1a33af13-4045-4f88-9d7b-618e30f79918">BABRAUSKIENĖ &amp; GOBIŅŠ</Rapporteur>
    <DocumentYear xmlns="1a33af13-4045-4f88-9d7b-618e30f79918">2025</DocumentYear>
    <FicheNumber xmlns="1a33af13-4045-4f88-9d7b-618e30f79918">288114</FicheNumber>
    <OriginalSender xmlns="1a33af13-4045-4f88-9d7b-618e30f79918">
      <UserInfo>
        <DisplayName>Bialkowska Anna Maria</DisplayName>
        <AccountId>1525</AccountId>
        <AccountType/>
      </UserInfo>
    </OriginalSender>
    <DocumentPart xmlns="1a33af13-4045-4f88-9d7b-618e30f79918">0</DocumentPart>
    <AdoptionDate xmlns="1a33af13-4045-4f88-9d7b-618e30f79918">2025-09-18T12:00:00+00:00</AdoptionDate>
    <RequestingService xmlns="1a33af13-4045-4f88-9d7b-618e30f79918">Relations extérieures</RequestingService>
    <MeetingName_0 xmlns="http://schemas.microsoft.com/sharepoint/v3/fields">
      <Terms xmlns="http://schemas.microsoft.com/office/infopath/2007/PartnerControl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GA</TermName>
          <TermId xmlns="http://schemas.microsoft.com/office/infopath/2007/PartnerControls">762d2456-c427-4ecb-b312-af3dad8e258c</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be3ca9a7-9286-4008-99ec-aebc20da9dc2" xsi:nil="true"/>
    <DossierName_0 xmlns="http://schemas.microsoft.com/sharepoint/v3/fields">
      <Terms xmlns="http://schemas.microsoft.com/office/infopath/2007/PartnerControls">
        <TermInfo xmlns="http://schemas.microsoft.com/office/infopath/2007/PartnerControls">
          <TermName xmlns="http://schemas.microsoft.com/office/infopath/2007/PartnerControls">REX</TermName>
          <TermId xmlns="http://schemas.microsoft.com/office/infopath/2007/PartnerControls">6820eaf5-116e-436b-ad9c-156f8a94c2a1</TermId>
        </TermInfo>
      </Terms>
    </DossierName_0>
    <DocumentVersion xmlns="1a33af13-4045-4f88-9d7b-618e30f79918">0</DocumentVersion>
  </documentManagement>
</p:properties>
</file>

<file path=customXml/itemProps1.xml><?xml version="1.0" encoding="utf-8"?>
<ds:datastoreItem xmlns:ds="http://schemas.openxmlformats.org/officeDocument/2006/customXml" ds:itemID="{9667EE92-B602-40AC-9704-782F2DA35557}">
  <ds:schemaRefs>
    <ds:schemaRef ds:uri="http://schemas.microsoft.com/sharepoint/v3/contenttype/forms"/>
  </ds:schemaRefs>
</ds:datastoreItem>
</file>

<file path=customXml/itemProps2.xml><?xml version="1.0" encoding="utf-8"?>
<ds:datastoreItem xmlns:ds="http://schemas.openxmlformats.org/officeDocument/2006/customXml" ds:itemID="{F8749465-BFAD-442C-B100-1DE65236AC8A}">
  <ds:schemaRefs>
    <ds:schemaRef ds:uri="http://schemas.microsoft.com/sharepoint/events"/>
  </ds:schemaRefs>
</ds:datastoreItem>
</file>

<file path=customXml/itemProps3.xml><?xml version="1.0" encoding="utf-8"?>
<ds:datastoreItem xmlns:ds="http://schemas.openxmlformats.org/officeDocument/2006/customXml" ds:itemID="{1D9DC9CF-6C63-4A95-A07E-AC79CD7A24E0}"/>
</file>

<file path=customXml/itemProps4.xml><?xml version="1.0" encoding="utf-8"?>
<ds:datastoreItem xmlns:ds="http://schemas.openxmlformats.org/officeDocument/2006/customXml" ds:itemID="{9ADC2426-B49C-41F3-B8CD-9A19E8A7C14A}">
  <ds:schemaRefs>
    <ds:schemaRef ds:uri="http://schemas.microsoft.com/office/2006/metadata/properties"/>
    <ds:schemaRef ds:uri="http://schemas.microsoft.com/office/infopath/2007/PartnerControls"/>
    <ds:schemaRef ds:uri="7f5f1cb4-0383-4061-857a-33cec58cd7c1"/>
    <ds:schemaRef ds:uri="http://schemas.microsoft.com/sharepoint/v3/fields"/>
    <ds:schemaRef ds:uri="c9ea33bc-6b33-4207-b3ed-ef4abb1c6b6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4050</Words>
  <Characters>22280</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EESC RI - Model</vt:lpstr>
    </vt:vector>
  </TitlesOfParts>
  <Manager/>
  <Company/>
  <LinksUpToDate>false</LinksUpToDate>
  <CharactersWithSpaces>26278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Sociale media en AI-algoritmen: waarborgen van het recht op accurate informatie en de zichtbaarheid van hoogwaardige inhoud in heel Europa, met name over Midden- en Oost-Europa</dc:title>
  <dc:creator/>
  <cp:keywords>COR-EESC-2024-01326-27-01-ADMIN-TRA-EN</cp:keywords>
  <dc:description>Rapporteur: -  Original language: - EN Date of document: - 17/04/2024 Date of meeting: -  External documents: -  Administrator responsible: -  SUCIU Serban</dc:description>
  <cp:lastModifiedBy/>
  <cp:revision>11</cp:revision>
  <dcterms:created xsi:type="dcterms:W3CDTF">2025-09-19T07:04:00Z</dcterms:created>
  <dcterms:modified xsi:type="dcterms:W3CDTF">2025-09-22T14:21:00Z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19/09/2025, 12/04/2024, 17/05/2022</vt:lpwstr>
  </property>
  <property fmtid="{D5CDD505-2E9C-101B-9397-08002B2CF9AE}" pid="4" name="Pref_Time">
    <vt:lpwstr>09:04:24, 12:04:59, 14:58:36</vt:lpwstr>
  </property>
  <property fmtid="{D5CDD505-2E9C-101B-9397-08002B2CF9AE}" pid="5" name="Pref_User">
    <vt:lpwstr>amett, enied, enied</vt:lpwstr>
  </property>
  <property fmtid="{D5CDD505-2E9C-101B-9397-08002B2CF9AE}" pid="6" name="Pref_FileName">
    <vt:lpwstr>EESC-2025-00907-00-00-RI-TRA-EN-CRR.docx, COR-EESC-2024-01326-27-00-ADMIN-ORI.docx, COR-EESC-2022-02592-00-00-ADMIN-ORI.docx</vt:lpwstr>
  </property>
  <property fmtid="{D5CDD505-2E9C-101B-9397-08002B2CF9AE}" pid="7" name="ContentTypeId">
    <vt:lpwstr>0x010100EA97B91038054C99906057A708A1480A006BB3B767F3CF4149BF520211D4A86BC0</vt:lpwstr>
  </property>
  <property fmtid="{D5CDD505-2E9C-101B-9397-08002B2CF9AE}" pid="8" name="_dlc_DocIdItemGuid">
    <vt:lpwstr>9786d0f5-8076-4ed8-a02f-c0a60fa68a87</vt:lpwstr>
  </property>
  <property fmtid="{D5CDD505-2E9C-101B-9397-08002B2CF9AE}" pid="9" name="AvailableTranslations">
    <vt:lpwstr>5;#EN|f2175f21-25d7-44a3-96da-d6a61b075e1b;#12;#FR|d2afafd3-4c81-4f60-8f52-ee33f2f54ff3;#50;#HR|2f555653-ed1a-4fe6-8362-9082d95989e5;#47;#BG|1a1b3951-7821-4e6a-85f5-5673fc08bd2c;#35;#FI|87606a43-d45f-42d6-b8c9-e1a3457db5b7;#24;#PL|1e03da61-4678-4e07-b136-b5024ca9197b;#30;#LT|a7ff5ce7-6123-4f68-865a-a57c31810414;#43;#GA|762d2456-c427-4ecb-b312-af3dad8e258c;#28;#SV|c2ed69e7-a339-43d7-8f22-d93680a92aa0;#39;#LV|46f7e311-5d9f-4663-b433-18aeccb7ace7;#46;#SK|46d9fce0-ef79-4f71-b89b-cd6aa82426b8;#36;#RO|feb747a2-64cd-4299-af12-4833ddc30497;#31;#SL|98a412ae-eb01-49e9-ae3d-585a81724cfc;#16;#ES|e7a6b05b-ae16-40c8-add9-68b64b03aeba;#32;#MT|7df99101-6854-4a26-b53a-b88c0da02c26;#34;#IT|0774613c-01ed-4e5d-a25d-11d2388de825;#23;#DE|f6b31e5a-26fa-4935-b661-318e46daf27e;#42;#EL|6d4f4d51-af9b-4650-94b4-4276bee85c91;#40;#DA|5d49c027-8956-412b-aa16-e85a0f96ad0e;#29;#CS|72f9705b-0217-4fd3-bea2-cbc7ed80e26e;#37;#HU|6b229040-c589-4408-b4c1-4285663d20a8;#27;#NL|55c6556c-b4f4-441d-9acf-c498d4f838bd;#33;#PT|50ccc04a-eadd-42ae-a0cb-acaf45f812ba;#41;#ET|ff6c3f4c-b02c-4c3c-ab07-2c37995a7a0a</vt:lpwstr>
  </property>
  <property fmtid="{D5CDD505-2E9C-101B-9397-08002B2CF9AE}" pid="10" name="DocumentType_0">
    <vt:lpwstr>RI|0e66e8df-1601-4fe1-947b-eb539760261a</vt:lpwstr>
  </property>
  <property fmtid="{D5CDD505-2E9C-101B-9397-08002B2CF9AE}" pid="11" name="DossierName_0">
    <vt:lpwstr>REX|6820eaf5-116e-436b-ad9c-156f8a94c2a1</vt:lpwstr>
  </property>
  <property fmtid="{D5CDD505-2E9C-101B-9397-08002B2CF9AE}" pid="12" name="DocumentSource_0">
    <vt:lpwstr>EESC|422833ec-8d7e-4e65-8e4e-8bed07ffb729</vt:lpwstr>
  </property>
  <property fmtid="{D5CDD505-2E9C-101B-9397-08002B2CF9AE}" pid="13" name="DocumentNumber">
    <vt:i4>907</vt:i4>
  </property>
  <property fmtid="{D5CDD505-2E9C-101B-9397-08002B2CF9AE}" pid="14" name="FicheYear">
    <vt:i4>2024</vt:i4>
  </property>
  <property fmtid="{D5CDD505-2E9C-101B-9397-08002B2CF9AE}" pid="15" name="DocumentVersion">
    <vt:i4>0</vt:i4>
  </property>
  <property fmtid="{D5CDD505-2E9C-101B-9397-08002B2CF9AE}" pid="16" name="DocumentStatus">
    <vt:lpwstr>13;#TRA|150d2a88-1431-44e6-a8ca-0bb753ab8672</vt:lpwstr>
  </property>
  <property fmtid="{D5CDD505-2E9C-101B-9397-08002B2CF9AE}" pid="17" name="DocumentPart">
    <vt:i4>0</vt:i4>
  </property>
  <property fmtid="{D5CDD505-2E9C-101B-9397-08002B2CF9AE}" pid="18" name="DossierName">
    <vt:lpwstr>2;#REX|6820eaf5-116e-436b-ad9c-156f8a94c2a1</vt:lpwstr>
  </property>
  <property fmtid="{D5CDD505-2E9C-101B-9397-08002B2CF9AE}" pid="19" name="DocumentSource">
    <vt:lpwstr>1;#EESC|422833ec-8d7e-4e65-8e4e-8bed07ffb729</vt:lpwstr>
  </property>
  <property fmtid="{D5CDD505-2E9C-101B-9397-08002B2CF9AE}" pid="20" name="DocumentType">
    <vt:lpwstr>246;#RI|0e66e8df-1601-4fe1-947b-eb539760261a</vt:lpwstr>
  </property>
  <property fmtid="{D5CDD505-2E9C-101B-9397-08002B2CF9AE}" pid="21" name="RequestingService">
    <vt:lpwstr>Relations extérieures</vt:lpwstr>
  </property>
  <property fmtid="{D5CDD505-2E9C-101B-9397-08002B2CF9AE}" pid="22" name="Confidentiality">
    <vt:lpwstr>15;#Unrestricted|826e22d7-d029-4ec0-a450-0c28ff673572</vt:lpwstr>
  </property>
  <property fmtid="{D5CDD505-2E9C-101B-9397-08002B2CF9AE}" pid="23" name="MeetingName_0">
    <vt:lpwstr/>
  </property>
  <property fmtid="{D5CDD505-2E9C-101B-9397-08002B2CF9AE}" pid="24" name="Confidentiality_0">
    <vt:lpwstr>Unrestricted|826e22d7-d029-4ec0-a450-0c28ff673572</vt:lpwstr>
  </property>
  <property fmtid="{D5CDD505-2E9C-101B-9397-08002B2CF9AE}" pid="25" name="OriginalLanguage">
    <vt:lpwstr>5;#EN|f2175f21-25d7-44a3-96da-d6a61b075e1b</vt:lpwstr>
  </property>
  <property fmtid="{D5CDD505-2E9C-101B-9397-08002B2CF9AE}" pid="26" name="MeetingName">
    <vt:lpwstr/>
  </property>
  <property fmtid="{D5CDD505-2E9C-101B-9397-08002B2CF9AE}" pid="27" name="AvailableTranslations_0">
    <vt:lpwstr>EN|f2175f21-25d7-44a3-96da-d6a61b075e1b;FR|d2afafd3-4c81-4f60-8f52-ee33f2f54ff3;HR|2f555653-ed1a-4fe6-8362-9082d95989e5;BG|1a1b3951-7821-4e6a-85f5-5673fc08bd2c;FI|87606a43-d45f-42d6-b8c9-e1a3457db5b7;PL|1e03da61-4678-4e07-b136-b5024ca9197b;LT|a7ff5ce7-6123-4f68-865a-a57c31810414;GA|762d2456-c427-4ecb-b312-af3dad8e258c;LV|46f7e311-5d9f-4663-b433-18aeccb7ace7;SK|46d9fce0-ef79-4f71-b89b-cd6aa82426b8;RO|feb747a2-64cd-4299-af12-4833ddc30497;SL|98a412ae-eb01-49e9-ae3d-585a81724cfc;ES|e7a6b05b-ae16-40c8-add9-68b64b03aeba;MT|7df99101-6854-4a26-b53a-b88c0da02c26;IT|0774613c-01ed-4e5d-a25d-11d2388de825;DE|f6b31e5a-26fa-4935-b661-318e46daf27e;EL|6d4f4d51-af9b-4650-94b4-4276bee85c91;DA|5d49c027-8956-412b-aa16-e85a0f96ad0e;CS|72f9705b-0217-4fd3-bea2-cbc7ed80e26e;HU|6b229040-c589-4408-b4c1-4285663d20a8;PT|50ccc04a-eadd-42ae-a0cb-acaf45f812ba;ET|ff6c3f4c-b02c-4c3c-ab07-2c37995a7a0a</vt:lpwstr>
  </property>
  <property fmtid="{D5CDD505-2E9C-101B-9397-08002B2CF9AE}" pid="28" name="DocumentStatus_0">
    <vt:lpwstr>TRA|150d2a88-1431-44e6-a8ca-0bb753ab8672</vt:lpwstr>
  </property>
  <property fmtid="{D5CDD505-2E9C-101B-9397-08002B2CF9AE}" pid="29" name="OriginalLanguage_0">
    <vt:lpwstr>EN|f2175f21-25d7-44a3-96da-d6a61b075e1b</vt:lpwstr>
  </property>
  <property fmtid="{D5CDD505-2E9C-101B-9397-08002B2CF9AE}" pid="30" name="TaxCatchAll">
    <vt:lpwstr>246;#RI|0e66e8df-1601-4fe1-947b-eb539760261a;#50;#HR|2f555653-ed1a-4fe6-8362-9082d95989e5;#47;#BG|1a1b3951-7821-4e6a-85f5-5673fc08bd2c;#46;#SK|46d9fce0-ef79-4f71-b89b-cd6aa82426b8;#43;#GA|762d2456-c427-4ecb-b312-af3dad8e258c;#42;#EL|6d4f4d51-af9b-4650-94b4-4276bee85c91;#41;#ET|ff6c3f4c-b02c-4c3c-ab07-2c37995a7a0a;#40;#DA|5d49c027-8956-412b-aa16-e85a0f96ad0e;#39;#LV|46f7e311-5d9f-4663-b433-18aeccb7ace7;#37;#HU|6b229040-c589-4408-b4c1-4285663d20a8;#36;#RO|feb747a2-64cd-4299-af12-4833ddc30497;#35;#FI|87606a43-d45f-42d6-b8c9-e1a3457db5b7;#34;#IT|0774613c-01ed-4e5d-a25d-11d2388de825;#33;#PT|50ccc04a-eadd-42ae-a0cb-acaf45f812ba;#32;#MT|7df99101-6854-4a26-b53a-b88c0da02c26;#31;#SL|98a412ae-eb01-49e9-ae3d-585a81724cfc;#30;#LT|a7ff5ce7-6123-4f68-865a-a57c31810414;#29;#CS|72f9705b-0217-4fd3-bea2-cbc7ed80e26e;#24;#PL|1e03da61-4678-4e07-b136-b5024ca9197b;#23;#DE|f6b31e5a-26fa-4935-b661-318e46daf27e;#16;#ES|e7a6b05b-ae16-40c8-add9-68b64b03aeba;#15;#Unrestricted|826e22d7-d029-4ec0-a450-0c28ff673572;#13;#TRA|150d2a88-1431-44e6-a8ca-0bb753ab8672;#12;#FR|d2afafd3-4c81-4f60-8f52-ee33f2f54ff3;#8;#Final|ea5e6674-7b27-4bac-b091-73adbb394efe;#5;#EN|f2175f21-25d7-44a3-96da-d6a61b075e1b;#4;#EN|f2175f21-25d7-44a3-96da-d6a61b075e1b;#2;#REX|6820eaf5-116e-436b-ad9c-156f8a94c2a1;#1;#EESC|422833ec-8d7e-4e65-8e4e-8bed07ffb729</vt:lpwstr>
  </property>
  <property fmtid="{D5CDD505-2E9C-101B-9397-08002B2CF9AE}" pid="31" name="VersionStatus_0">
    <vt:lpwstr>Final|ea5e6674-7b27-4bac-b091-73adbb394efe</vt:lpwstr>
  </property>
  <property fmtid="{D5CDD505-2E9C-101B-9397-08002B2CF9AE}" pid="32" name="VersionStatus">
    <vt:lpwstr>8;#Final|ea5e6674-7b27-4bac-b091-73adbb394efe</vt:lpwstr>
  </property>
  <property fmtid="{D5CDD505-2E9C-101B-9397-08002B2CF9AE}" pid="33" name="DocumentYear">
    <vt:i4>2025</vt:i4>
  </property>
  <property fmtid="{D5CDD505-2E9C-101B-9397-08002B2CF9AE}" pid="34" name="FicheNumber">
    <vt:i4>288114</vt:i4>
  </property>
  <property fmtid="{D5CDD505-2E9C-101B-9397-08002B2CF9AE}" pid="35" name="DocumentLanguage">
    <vt:lpwstr>27;#NL|55c6556c-b4f4-441d-9acf-c498d4f838bd</vt:lpwstr>
  </property>
  <property fmtid="{D5CDD505-2E9C-101B-9397-08002B2CF9AE}" pid="36" name="_docset_NoMedatataSyncRequired">
    <vt:lpwstr>False</vt:lpwstr>
  </property>
  <property fmtid="{D5CDD505-2E9C-101B-9397-08002B2CF9AE}" pid="37" name="DossierNumber">
    <vt:i4>601</vt:i4>
  </property>
  <property fmtid="{D5CDD505-2E9C-101B-9397-08002B2CF9AE}" pid="38" name="DocumentLanguage_0">
    <vt:lpwstr>EN|f2175f21-25d7-44a3-96da-d6a61b075e1b</vt:lpwstr>
  </property>
  <property fmtid="{D5CDD505-2E9C-101B-9397-08002B2CF9AE}" pid="40" name="Rapporteur">
    <vt:lpwstr>BABRAUSKIENĖ &amp; GOBIŅŠ</vt:lpwstr>
  </property>
  <property fmtid="{D5CDD505-2E9C-101B-9397-08002B2CF9AE}" pid="41" name="AdoptionDate">
    <vt:filetime>2025-09-18T12:00:00Z</vt:filetime>
  </property>
</Properties>
</file>