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BE56A" w14:textId="4D10CFBA" w:rsidR="00646AC2" w:rsidRPr="002B4C1D" w:rsidRDefault="00B60E7F" w:rsidP="005A7AC8">
      <w:pPr>
        <w:suppressAutoHyphens/>
        <w:jc w:val="center"/>
      </w:pPr>
      <w:r w:rsidRPr="002B4C1D">
        <w:rPr>
          <w:noProof/>
        </w:rPr>
        <w:drawing>
          <wp:inline distT="0" distB="0" distL="0" distR="0" wp14:anchorId="3795BE6E" wp14:editId="080F4683">
            <wp:extent cx="1792605" cy="1239520"/>
            <wp:effectExtent l="0" t="0" r="0" b="0"/>
            <wp:docPr id="1" name="Picture 1" title="EESCLogo_SL"/>
            <wp:cNvGraphicFramePr/>
            <a:graphic xmlns:a="http://schemas.openxmlformats.org/drawingml/2006/main">
              <a:graphicData uri="http://schemas.openxmlformats.org/drawingml/2006/picture">
                <pic:pic xmlns:pic="http://schemas.openxmlformats.org/drawingml/2006/picture">
                  <pic:nvPicPr>
                    <pic:cNvPr id="1" name="Picture 1" title="EESCLogo_SL"/>
                    <pic:cNvPicPr/>
                  </pic:nvPicPr>
                  <pic:blipFill>
                    <a:blip r:embed="rId12"/>
                    <a:stretch>
                      <a:fillRect/>
                    </a:stretch>
                  </pic:blipFill>
                  <pic:spPr>
                    <a:xfrm>
                      <a:off x="0" y="0"/>
                      <a:ext cx="1792605" cy="1239520"/>
                    </a:xfrm>
                    <a:prstGeom prst="rect">
                      <a:avLst/>
                    </a:prstGeom>
                  </pic:spPr>
                </pic:pic>
              </a:graphicData>
            </a:graphic>
          </wp:inline>
        </w:drawing>
      </w:r>
      <w:r w:rsidR="008C74D9" w:rsidRPr="002B4C1D">
        <w:rPr>
          <w:noProof/>
          <w:sz w:val="20"/>
        </w:rPr>
        <mc:AlternateContent>
          <mc:Choice Requires="wps">
            <w:drawing>
              <wp:anchor distT="0" distB="0" distL="114300" distR="114300" simplePos="0" relativeHeight="251658752" behindDoc="1" locked="0" layoutInCell="0" allowOverlap="1" wp14:anchorId="131133D6" wp14:editId="18FDFEFF">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60660" w14:textId="77777777" w:rsidR="002C1DB1" w:rsidRPr="00260E65" w:rsidRDefault="002C1DB1">
                            <w:pPr>
                              <w:jc w:val="center"/>
                              <w:rPr>
                                <w:rFonts w:ascii="Arial" w:hAnsi="Arial" w:cs="Arial"/>
                                <w:b/>
                                <w:bCs/>
                                <w:sz w:val="48"/>
                              </w:rPr>
                            </w:pPr>
                            <w:r>
                              <w:rPr>
                                <w:rFonts w:ascii="Arial" w:hAnsi="Arial"/>
                                <w:b/>
                                <w:sz w:val="48"/>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133D6"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5060660" w14:textId="77777777" w:rsidR="002C1DB1" w:rsidRPr="00260E65" w:rsidRDefault="002C1DB1">
                      <w:pPr>
                        <w:jc w:val="center"/>
                        <w:rPr>
                          <w:rFonts w:ascii="Arial" w:hAnsi="Arial" w:cs="Arial"/>
                          <w:b/>
                          <w:bCs/>
                          <w:sz w:val="48"/>
                        </w:rPr>
                      </w:pPr>
                      <w:r>
                        <w:rPr>
                          <w:rFonts w:ascii="Arial" w:hAnsi="Arial"/>
                          <w:b/>
                          <w:sz w:val="48"/>
                        </w:rPr>
                        <w:t>SL</w:t>
                      </w:r>
                    </w:p>
                  </w:txbxContent>
                </v:textbox>
                <w10:wrap anchorx="page" anchory="page"/>
              </v:shape>
            </w:pict>
          </mc:Fallback>
        </mc:AlternateContent>
      </w:r>
    </w:p>
    <w:p w14:paraId="5E7A16AD" w14:textId="77777777" w:rsidR="008C74D9" w:rsidRPr="002B4C1D" w:rsidRDefault="008C74D9" w:rsidP="005A7AC8">
      <w:pPr>
        <w:suppressAutoHyphens/>
      </w:pPr>
    </w:p>
    <w:p w14:paraId="5B3BE56B" w14:textId="6FEA3142" w:rsidR="00646AC2" w:rsidRPr="002B4C1D" w:rsidRDefault="00D94919" w:rsidP="005A7AC8">
      <w:pPr>
        <w:suppressAutoHyphens/>
        <w:jc w:val="right"/>
      </w:pPr>
      <w:r w:rsidRPr="002B4C1D">
        <w:rPr>
          <w:b/>
        </w:rPr>
        <w:t>ECO/683</w:t>
      </w:r>
    </w:p>
    <w:p w14:paraId="5B3BE56C" w14:textId="066D6A1C" w:rsidR="00563C84" w:rsidRPr="002B4C1D" w:rsidRDefault="00EA79EF" w:rsidP="005A7AC8">
      <w:pPr>
        <w:suppressAutoHyphens/>
        <w:jc w:val="right"/>
        <w:rPr>
          <w:b/>
          <w:bCs/>
        </w:rPr>
      </w:pPr>
      <w:r w:rsidRPr="002B4C1D">
        <w:rPr>
          <w:b/>
        </w:rPr>
        <w:t>Evropski sklad za kohezijo, kmetijstvo in podeželje, ribištvo in pomorstvo ter blaginjo in varnost</w:t>
      </w:r>
    </w:p>
    <w:p w14:paraId="5B3BE56D" w14:textId="77777777" w:rsidR="009B30AA" w:rsidRPr="002B4C1D" w:rsidRDefault="009B30AA" w:rsidP="005A7AC8">
      <w:pPr>
        <w:suppressAutoHyphens/>
      </w:pPr>
    </w:p>
    <w:p w14:paraId="5B3BE56E" w14:textId="77777777" w:rsidR="009B30AA" w:rsidRPr="002B4C1D" w:rsidRDefault="009B30AA" w:rsidP="005A7AC8">
      <w:pPr>
        <w:suppressAutoHyphens/>
      </w:pPr>
    </w:p>
    <w:p w14:paraId="3C09B2EE" w14:textId="11D20681" w:rsidR="0048754F" w:rsidRPr="002B4C1D" w:rsidRDefault="00197F90" w:rsidP="005A7AC8">
      <w:pPr>
        <w:suppressAutoHyphens/>
        <w:jc w:val="center"/>
        <w:rPr>
          <w:b/>
          <w:bCs/>
          <w:sz w:val="28"/>
          <w:szCs w:val="28"/>
        </w:rPr>
      </w:pPr>
      <w:r w:rsidRPr="002B4C1D">
        <w:rPr>
          <w:b/>
          <w:sz w:val="28"/>
        </w:rPr>
        <w:t>MNENJE</w:t>
      </w:r>
    </w:p>
    <w:p w14:paraId="34368F6A" w14:textId="77777777" w:rsidR="0048754F" w:rsidRPr="002B4C1D" w:rsidRDefault="0048754F" w:rsidP="005A7AC8">
      <w:pPr>
        <w:suppressAutoHyphens/>
        <w:jc w:val="center"/>
      </w:pPr>
    </w:p>
    <w:p w14:paraId="7D40B1DD" w14:textId="61B64730" w:rsidR="0048754F" w:rsidRPr="002B4C1D" w:rsidRDefault="00D94919" w:rsidP="005A7AC8">
      <w:pPr>
        <w:suppressAutoHyphens/>
        <w:jc w:val="center"/>
      </w:pPr>
      <w:r w:rsidRPr="002B4C1D">
        <w:t>Strokovna skupina za ekonomsko in monetarno unijo ter ekonomsko in socialno kohezijo</w:t>
      </w:r>
    </w:p>
    <w:p w14:paraId="046C48E8" w14:textId="77777777" w:rsidR="0048754F" w:rsidRPr="002B4C1D" w:rsidRDefault="0048754F" w:rsidP="005A7AC8">
      <w:pPr>
        <w:suppressAutoHyphens/>
        <w:jc w:val="center"/>
      </w:pPr>
    </w:p>
    <w:p w14:paraId="4CC1C769" w14:textId="51C5AB9A" w:rsidR="00D94919" w:rsidRPr="002B4C1D" w:rsidRDefault="007B1FCE" w:rsidP="005A7AC8">
      <w:pPr>
        <w:suppressAutoHyphens/>
        <w:jc w:val="center"/>
        <w:rPr>
          <w:b/>
          <w:bCs/>
        </w:rPr>
      </w:pPr>
      <w:r w:rsidRPr="002B4C1D">
        <w:rPr>
          <w:b/>
        </w:rPr>
        <w:t>Predlog uredbe Evropskega parlamenta in Sveta o vzpostavitvi Evropskega sklada za ekonomsko, socialno in teritorialno kohezijo, kmetijstvo in podeželje, ribištvo in pomorstvo ter blaginjo in varnost za obdobje 2028–2034 ter spremembi Uredbe (EU) 2023/955 in Uredbe (EU, Euratom) 2024/2509</w:t>
      </w:r>
    </w:p>
    <w:p w14:paraId="5B3BE56F" w14:textId="599F36FE" w:rsidR="00646AC2" w:rsidRPr="002B4C1D" w:rsidRDefault="007D304F" w:rsidP="005A7AC8">
      <w:pPr>
        <w:suppressAutoHyphens/>
        <w:jc w:val="center"/>
      </w:pPr>
      <w:r w:rsidRPr="002B4C1D">
        <w:t>(COM(2025) 565 final – 2025/0240 (COD))</w:t>
      </w:r>
    </w:p>
    <w:p w14:paraId="5B3BE570" w14:textId="77777777" w:rsidR="009B30AA" w:rsidRPr="002B4C1D" w:rsidRDefault="009B30AA" w:rsidP="005A7AC8">
      <w:pPr>
        <w:suppressAutoHyphens/>
        <w:jc w:val="cente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5A7AC8" w:rsidRPr="002B4C1D" w14:paraId="5B3BE572" w14:textId="77777777" w:rsidTr="005A7AC8">
        <w:trPr>
          <w:trHeight w:val="142"/>
        </w:trPr>
        <w:tc>
          <w:tcPr>
            <w:tcW w:w="9289" w:type="dxa"/>
            <w:gridSpan w:val="2"/>
          </w:tcPr>
          <w:p w14:paraId="5B3BE571" w14:textId="2B259761" w:rsidR="005A7AC8" w:rsidRPr="002B4C1D" w:rsidRDefault="005A7AC8" w:rsidP="005A7AC8">
            <w:pPr>
              <w:suppressAutoHyphens/>
              <w:jc w:val="left"/>
            </w:pPr>
          </w:p>
        </w:tc>
      </w:tr>
      <w:tr w:rsidR="005A7AC8" w:rsidRPr="002B4C1D" w14:paraId="5B3BE577" w14:textId="77777777" w:rsidTr="005A7AC8">
        <w:trPr>
          <w:trHeight w:val="274"/>
        </w:trPr>
        <w:tc>
          <w:tcPr>
            <w:tcW w:w="3085" w:type="dxa"/>
          </w:tcPr>
          <w:p w14:paraId="5B3BE575" w14:textId="131C13D2" w:rsidR="005A7AC8" w:rsidRPr="002B4C1D" w:rsidRDefault="005A7AC8" w:rsidP="00156AC9">
            <w:pPr>
              <w:suppressAutoHyphens/>
              <w:jc w:val="left"/>
            </w:pPr>
            <w:r w:rsidRPr="002B4C1D">
              <w:t>Kontakt</w:t>
            </w:r>
          </w:p>
        </w:tc>
        <w:tc>
          <w:tcPr>
            <w:tcW w:w="6204" w:type="dxa"/>
          </w:tcPr>
          <w:p w14:paraId="5B3BE576" w14:textId="74DD01A4" w:rsidR="005A7AC8" w:rsidRPr="002B4C1D" w:rsidRDefault="005A7AC8" w:rsidP="006C1359">
            <w:pPr>
              <w:suppressAutoHyphens/>
              <w:jc w:val="left"/>
            </w:pPr>
            <w:hyperlink r:id="rId13" w:history="1">
              <w:r w:rsidRPr="002B4C1D">
                <w:rPr>
                  <w:rStyle w:val="Hyperlink"/>
                </w:rPr>
                <w:t>eco@eesc.europa.eu</w:t>
              </w:r>
            </w:hyperlink>
          </w:p>
        </w:tc>
      </w:tr>
      <w:tr w:rsidR="00FF3759" w:rsidRPr="002B4C1D" w14:paraId="5B3BE57D" w14:textId="77777777" w:rsidTr="00BB6649">
        <w:tc>
          <w:tcPr>
            <w:tcW w:w="3085" w:type="dxa"/>
          </w:tcPr>
          <w:p w14:paraId="5B3BE57B" w14:textId="77777777" w:rsidR="00FF3759" w:rsidRPr="002B4C1D" w:rsidRDefault="03385EDC" w:rsidP="005A7AC8">
            <w:pPr>
              <w:suppressAutoHyphens/>
              <w:jc w:val="left"/>
            </w:pPr>
            <w:r w:rsidRPr="002B4C1D">
              <w:t>Administrator</w:t>
            </w:r>
          </w:p>
        </w:tc>
        <w:tc>
          <w:tcPr>
            <w:tcW w:w="6204" w:type="dxa"/>
          </w:tcPr>
          <w:p w14:paraId="5B3BE57C" w14:textId="5CFADCD6" w:rsidR="00FF3759" w:rsidRPr="002B4C1D" w:rsidRDefault="007B1FCE" w:rsidP="005A7AC8">
            <w:pPr>
              <w:suppressAutoHyphens/>
              <w:jc w:val="left"/>
            </w:pPr>
            <w:r w:rsidRPr="002B4C1D">
              <w:t>Georgios MELEAS</w:t>
            </w:r>
          </w:p>
        </w:tc>
      </w:tr>
      <w:tr w:rsidR="00FF3759" w:rsidRPr="002B4C1D" w14:paraId="5B3BE580" w14:textId="77777777" w:rsidTr="00BB6649">
        <w:tc>
          <w:tcPr>
            <w:tcW w:w="3085" w:type="dxa"/>
          </w:tcPr>
          <w:p w14:paraId="5B3BE57E" w14:textId="77777777" w:rsidR="00FF3759" w:rsidRPr="002B4C1D" w:rsidRDefault="03385EDC" w:rsidP="005A7AC8">
            <w:pPr>
              <w:suppressAutoHyphens/>
              <w:jc w:val="left"/>
            </w:pPr>
            <w:r w:rsidRPr="002B4C1D">
              <w:t>Datum dokumenta</w:t>
            </w:r>
          </w:p>
        </w:tc>
        <w:tc>
          <w:tcPr>
            <w:tcW w:w="6204" w:type="dxa"/>
          </w:tcPr>
          <w:p w14:paraId="5B3BE57F" w14:textId="52475118" w:rsidR="00FF3759" w:rsidRPr="002B4C1D" w:rsidRDefault="00C13202" w:rsidP="005A7AC8">
            <w:pPr>
              <w:suppressAutoHyphens/>
              <w:jc w:val="left"/>
            </w:pPr>
            <w:r w:rsidRPr="002B4C1D">
              <w:t>12. 1. 2026</w:t>
            </w:r>
          </w:p>
        </w:tc>
      </w:tr>
    </w:tbl>
    <w:p w14:paraId="67915520" w14:textId="14C1618A" w:rsidR="007D54C2" w:rsidRPr="002B4C1D" w:rsidRDefault="03385EDC" w:rsidP="005A7AC8">
      <w:pPr>
        <w:suppressAutoHyphens/>
        <w:jc w:val="center"/>
        <w:rPr>
          <w:bCs/>
        </w:rPr>
      </w:pPr>
      <w:r w:rsidRPr="002B4C1D">
        <w:t xml:space="preserve">Poročevalec: </w:t>
      </w:r>
      <w:r w:rsidRPr="002B4C1D">
        <w:rPr>
          <w:b/>
        </w:rPr>
        <w:t>Florian MARIN</w:t>
      </w:r>
    </w:p>
    <w:p w14:paraId="7B2ACFE7" w14:textId="7F61E75B" w:rsidR="00812061" w:rsidRPr="002B4C1D" w:rsidRDefault="0048754F" w:rsidP="005A7AC8">
      <w:pPr>
        <w:suppressAutoHyphens/>
        <w:jc w:val="center"/>
        <w:rPr>
          <w:bCs/>
        </w:rPr>
      </w:pPr>
      <w:r w:rsidRPr="002B4C1D">
        <w:t xml:space="preserve">Soporočevalec: </w:t>
      </w:r>
      <w:r w:rsidRPr="002B4C1D">
        <w:rPr>
          <w:b/>
        </w:rPr>
        <w:t>David SVENTEK</w:t>
      </w:r>
    </w:p>
    <w:p w14:paraId="5B3BE582" w14:textId="6F8F6800" w:rsidR="00E32DC6" w:rsidRPr="002B4C1D" w:rsidRDefault="00E32DC6" w:rsidP="005A7AC8">
      <w:pPr>
        <w:suppressAutoHyphens/>
      </w:pPr>
    </w:p>
    <w:p w14:paraId="5B3BE583" w14:textId="77777777" w:rsidR="00E32DC6" w:rsidRPr="002B4C1D" w:rsidRDefault="00E32DC6" w:rsidP="005A7AC8">
      <w:pPr>
        <w:suppressAutoHyphens/>
      </w:pPr>
    </w:p>
    <w:p w14:paraId="5B3BE584" w14:textId="77777777" w:rsidR="00E32DC6" w:rsidRPr="002B4C1D" w:rsidRDefault="00E32DC6" w:rsidP="005A7AC8">
      <w:pPr>
        <w:suppressAutoHyphens/>
        <w:sectPr w:rsidR="00E32DC6" w:rsidRPr="002B4C1D" w:rsidSect="00CF28AF">
          <w:footerReference w:type="default" r:id="rId14"/>
          <w:pgSz w:w="11907" w:h="16839" w:code="9"/>
          <w:pgMar w:top="1417" w:right="1417" w:bottom="1417" w:left="1417" w:header="709" w:footer="709" w:gutter="0"/>
          <w:pgNumType w:start="1"/>
          <w:cols w:space="720"/>
          <w:docGrid w:linePitch="299"/>
        </w:sectPr>
      </w:pPr>
    </w:p>
    <w:p w14:paraId="07B72EC3" w14:textId="68080F1A" w:rsidR="00ED6244" w:rsidRPr="002B4C1D" w:rsidRDefault="00ED6244" w:rsidP="005A7AC8">
      <w:pPr>
        <w:suppressAutoHyphens/>
      </w:pPr>
    </w:p>
    <w:tbl>
      <w:tblPr>
        <w:tblW w:w="0" w:type="auto"/>
        <w:tblInd w:w="-108" w:type="dxa"/>
        <w:tblLook w:val="04A0" w:firstRow="1" w:lastRow="0" w:firstColumn="1" w:lastColumn="0" w:noHBand="0" w:noVBand="1"/>
      </w:tblPr>
      <w:tblGrid>
        <w:gridCol w:w="3055"/>
        <w:gridCol w:w="6092"/>
      </w:tblGrid>
      <w:tr w:rsidR="00ED6244" w:rsidRPr="002B4C1D" w14:paraId="42B2332D" w14:textId="77777777" w:rsidTr="00ED6244">
        <w:tc>
          <w:tcPr>
            <w:tcW w:w="3055" w:type="dxa"/>
          </w:tcPr>
          <w:p w14:paraId="6DF2BD3D" w14:textId="77777777" w:rsidR="00ED6244" w:rsidRPr="002B4C1D" w:rsidRDefault="00ED6244" w:rsidP="005A7AC8">
            <w:pPr>
              <w:suppressAutoHyphens/>
            </w:pPr>
            <w:r w:rsidRPr="002B4C1D">
              <w:t>Svetovalec</w:t>
            </w:r>
          </w:p>
        </w:tc>
        <w:tc>
          <w:tcPr>
            <w:tcW w:w="6092" w:type="dxa"/>
          </w:tcPr>
          <w:p w14:paraId="1452AC8C" w14:textId="0F6ED2A9" w:rsidR="00ED6244" w:rsidRPr="002B4C1D" w:rsidRDefault="00ED6244" w:rsidP="005A7AC8">
            <w:pPr>
              <w:suppressAutoHyphens/>
            </w:pPr>
            <w:r w:rsidRPr="002B4C1D">
              <w:t>Petr ZAHRADNÍK (za poročevalca)</w:t>
            </w:r>
          </w:p>
        </w:tc>
      </w:tr>
      <w:tr w:rsidR="00ED6244" w:rsidRPr="002B4C1D" w14:paraId="46CA3735" w14:textId="77777777" w:rsidTr="00ED6244">
        <w:tc>
          <w:tcPr>
            <w:tcW w:w="3055" w:type="dxa"/>
          </w:tcPr>
          <w:p w14:paraId="496227A7" w14:textId="77777777" w:rsidR="00ED6244" w:rsidRPr="002B4C1D" w:rsidRDefault="00ED6244" w:rsidP="005A7AC8">
            <w:pPr>
              <w:suppressAutoHyphens/>
            </w:pPr>
          </w:p>
        </w:tc>
        <w:tc>
          <w:tcPr>
            <w:tcW w:w="6092" w:type="dxa"/>
          </w:tcPr>
          <w:p w14:paraId="5598177F" w14:textId="77777777" w:rsidR="00ED6244" w:rsidRPr="002B4C1D" w:rsidRDefault="00ED6244" w:rsidP="005A7AC8">
            <w:pPr>
              <w:suppressAutoHyphens/>
            </w:pPr>
          </w:p>
        </w:tc>
      </w:tr>
      <w:tr w:rsidR="00ED6244" w:rsidRPr="002B4C1D" w14:paraId="33DD9CDF" w14:textId="77777777" w:rsidTr="00ED6244">
        <w:tc>
          <w:tcPr>
            <w:tcW w:w="3055" w:type="dxa"/>
          </w:tcPr>
          <w:p w14:paraId="56B4BE73" w14:textId="77777777" w:rsidR="00ED6244" w:rsidRPr="002B4C1D" w:rsidRDefault="00ED6244" w:rsidP="005A7AC8">
            <w:pPr>
              <w:suppressAutoHyphens/>
            </w:pPr>
            <w:r w:rsidRPr="002B4C1D">
              <w:t>Zakonodajni postopek</w:t>
            </w:r>
          </w:p>
        </w:tc>
        <w:tc>
          <w:tcPr>
            <w:tcW w:w="6092" w:type="dxa"/>
          </w:tcPr>
          <w:p w14:paraId="6EFB2594" w14:textId="0B0214C9" w:rsidR="00ED6244" w:rsidRPr="002B4C1D" w:rsidRDefault="00646151" w:rsidP="005A7AC8">
            <w:pPr>
              <w:suppressAutoHyphens/>
            </w:pPr>
            <w:hyperlink r:id="rId15" w:history="1">
              <w:r w:rsidR="00B60E7F" w:rsidRPr="002B4C1D">
                <w:rPr>
                  <w:rStyle w:val="Hyperlink"/>
                </w:rPr>
                <w:t xml:space="preserve">EU </w:t>
              </w:r>
              <w:proofErr w:type="spellStart"/>
              <w:r w:rsidR="00B60E7F" w:rsidRPr="002B4C1D">
                <w:rPr>
                  <w:rStyle w:val="Hyperlink"/>
                </w:rPr>
                <w:t>Law</w:t>
              </w:r>
              <w:proofErr w:type="spellEnd"/>
              <w:r w:rsidR="00B60E7F" w:rsidRPr="002B4C1D">
                <w:rPr>
                  <w:rStyle w:val="Hyperlink"/>
                </w:rPr>
                <w:t xml:space="preserve"> </w:t>
              </w:r>
              <w:proofErr w:type="spellStart"/>
              <w:r w:rsidR="00B60E7F" w:rsidRPr="002B4C1D">
                <w:rPr>
                  <w:rStyle w:val="Hyperlink"/>
                </w:rPr>
                <w:t>Tracker</w:t>
              </w:r>
              <w:proofErr w:type="spellEnd"/>
            </w:hyperlink>
          </w:p>
        </w:tc>
      </w:tr>
      <w:tr w:rsidR="00ED6244" w:rsidRPr="002B4C1D" w14:paraId="3608BAA8" w14:textId="77777777" w:rsidTr="00ED6244">
        <w:tc>
          <w:tcPr>
            <w:tcW w:w="3055" w:type="dxa"/>
          </w:tcPr>
          <w:p w14:paraId="57D7E576" w14:textId="77777777" w:rsidR="00ED6244" w:rsidRPr="002B4C1D" w:rsidRDefault="00ED6244" w:rsidP="005A7AC8">
            <w:pPr>
              <w:suppressAutoHyphens/>
            </w:pPr>
            <w:r w:rsidRPr="002B4C1D">
              <w:t>Zaprosilo</w:t>
            </w:r>
          </w:p>
        </w:tc>
        <w:tc>
          <w:tcPr>
            <w:tcW w:w="6092" w:type="dxa"/>
          </w:tcPr>
          <w:p w14:paraId="108AC087" w14:textId="77777777" w:rsidR="00ED6244" w:rsidRPr="002B4C1D" w:rsidRDefault="00ED6244" w:rsidP="005A7AC8">
            <w:pPr>
              <w:suppressAutoHyphens/>
            </w:pPr>
            <w:r w:rsidRPr="002B4C1D">
              <w:t>Evropska komisija, 17. 7. 2025</w:t>
            </w:r>
          </w:p>
        </w:tc>
      </w:tr>
      <w:tr w:rsidR="00ED6244" w:rsidRPr="002B4C1D" w14:paraId="569A4D0B" w14:textId="77777777" w:rsidTr="00ED6244">
        <w:trPr>
          <w:trHeight w:val="251"/>
        </w:trPr>
        <w:tc>
          <w:tcPr>
            <w:tcW w:w="3055" w:type="dxa"/>
          </w:tcPr>
          <w:p w14:paraId="07EDA10B" w14:textId="77777777" w:rsidR="00ED6244" w:rsidRPr="002B4C1D" w:rsidRDefault="00ED6244" w:rsidP="005A7AC8">
            <w:pPr>
              <w:suppressAutoHyphens/>
            </w:pPr>
            <w:r w:rsidRPr="002B4C1D">
              <w:t>Pravna podlaga</w:t>
            </w:r>
          </w:p>
        </w:tc>
        <w:tc>
          <w:tcPr>
            <w:tcW w:w="6092" w:type="dxa"/>
          </w:tcPr>
          <w:p w14:paraId="4247C696" w14:textId="77777777" w:rsidR="00ED6244" w:rsidRPr="002B4C1D" w:rsidRDefault="00ED6244" w:rsidP="005A7AC8">
            <w:pPr>
              <w:suppressAutoHyphens/>
            </w:pPr>
            <w:r w:rsidRPr="002B4C1D">
              <w:t>člen 42, člen 43(3), člen 46(d), člen 91(1)(d), člen 149, člen 153(2)(a), členi 164, 175, 177 in 178, člen 192(1), člen 194(2), člen 209(1), člen 212(2), člen 294, člen 322(1)(a) ter člena 349 in 304 Pogodbe o delovanju Evropske unije</w:t>
            </w:r>
          </w:p>
        </w:tc>
      </w:tr>
      <w:tr w:rsidR="00ED6244" w:rsidRPr="002B4C1D" w14:paraId="05ECF6F0" w14:textId="77777777" w:rsidTr="00ED6244">
        <w:tc>
          <w:tcPr>
            <w:tcW w:w="3055" w:type="dxa"/>
          </w:tcPr>
          <w:p w14:paraId="788A960E" w14:textId="77777777" w:rsidR="00ED6244" w:rsidRPr="002B4C1D" w:rsidRDefault="00ED6244" w:rsidP="005A7AC8">
            <w:pPr>
              <w:suppressAutoHyphens/>
              <w:jc w:val="left"/>
            </w:pPr>
            <w:r w:rsidRPr="002B4C1D">
              <w:t>Dokumenta Evropske komisije</w:t>
            </w:r>
          </w:p>
        </w:tc>
        <w:tc>
          <w:tcPr>
            <w:tcW w:w="6092" w:type="dxa"/>
            <w:vAlign w:val="bottom"/>
          </w:tcPr>
          <w:p w14:paraId="77AB88F9" w14:textId="7D975EFB" w:rsidR="00ED6244" w:rsidRPr="002B4C1D" w:rsidRDefault="00646151" w:rsidP="005A7AC8">
            <w:pPr>
              <w:suppressAutoHyphens/>
              <w:rPr>
                <w:u w:val="single"/>
              </w:rPr>
            </w:pPr>
            <w:hyperlink r:id="rId16" w:history="1">
              <w:r w:rsidR="00B60E7F" w:rsidRPr="002B4C1D">
                <w:rPr>
                  <w:rStyle w:val="Hyperlink"/>
                </w:rPr>
                <w:t>COM(2025) 565 final – 2025/0240 (COD)</w:t>
              </w:r>
            </w:hyperlink>
          </w:p>
          <w:p w14:paraId="0AB2BC42" w14:textId="5DD26260" w:rsidR="00ED6244" w:rsidRPr="002B4C1D" w:rsidRDefault="00ED6244" w:rsidP="005A7AC8">
            <w:pPr>
              <w:suppressAutoHyphens/>
            </w:pPr>
            <w:r w:rsidRPr="002B4C1D">
              <w:rPr>
                <w:u w:val="single"/>
              </w:rPr>
              <w:t>povzetek</w:t>
            </w:r>
            <w:r w:rsidRPr="002B4C1D">
              <w:t xml:space="preserve"> COM(2025) 565 final – 2025/0240 (COD)</w:t>
            </w:r>
          </w:p>
        </w:tc>
      </w:tr>
      <w:tr w:rsidR="00ED6244" w:rsidRPr="002B4C1D" w14:paraId="5866F6EF" w14:textId="77777777" w:rsidTr="00ED6244">
        <w:tc>
          <w:tcPr>
            <w:tcW w:w="3055" w:type="dxa"/>
          </w:tcPr>
          <w:p w14:paraId="57CF5286" w14:textId="77777777" w:rsidR="00ED6244" w:rsidRPr="002B4C1D" w:rsidRDefault="00ED6244" w:rsidP="005A7AC8">
            <w:pPr>
              <w:suppressAutoHyphens/>
              <w:jc w:val="left"/>
            </w:pPr>
            <w:r w:rsidRPr="002B4C1D">
              <w:t>Ustrezna cilja trajnostnega razvoja</w:t>
            </w:r>
          </w:p>
        </w:tc>
        <w:tc>
          <w:tcPr>
            <w:tcW w:w="6092" w:type="dxa"/>
            <w:vAlign w:val="bottom"/>
          </w:tcPr>
          <w:p w14:paraId="0A1B4837" w14:textId="77777777" w:rsidR="00ED6244" w:rsidRPr="002B4C1D" w:rsidRDefault="00646151" w:rsidP="005A7AC8">
            <w:pPr>
              <w:suppressAutoHyphens/>
              <w:rPr>
                <w:u w:val="single"/>
              </w:rPr>
            </w:pPr>
            <w:hyperlink r:id="rId17" w:history="1">
              <w:r w:rsidR="00B60E7F" w:rsidRPr="002B4C1D">
                <w:rPr>
                  <w:rStyle w:val="Hyperlink"/>
                </w:rPr>
                <w:t>cilj trajnostnega razvoja 8 – dostojno delo in gospodarska rast</w:t>
              </w:r>
            </w:hyperlink>
          </w:p>
          <w:p w14:paraId="53AE14F6" w14:textId="77777777" w:rsidR="00ED6244" w:rsidRPr="002B4C1D" w:rsidRDefault="00646151" w:rsidP="005A7AC8">
            <w:pPr>
              <w:suppressAutoHyphens/>
              <w:rPr>
                <w:u w:val="single"/>
              </w:rPr>
            </w:pPr>
            <w:hyperlink r:id="rId18" w:history="1">
              <w:r w:rsidR="00B60E7F" w:rsidRPr="002B4C1D">
                <w:rPr>
                  <w:rStyle w:val="Hyperlink"/>
                </w:rPr>
                <w:t>cilj trajnostnega razvoja 11 – poskrbeti za odprta, varna, vzdržljiva in trajnostna mesta in naselja</w:t>
              </w:r>
            </w:hyperlink>
          </w:p>
        </w:tc>
      </w:tr>
      <w:tr w:rsidR="00ED6244" w:rsidRPr="002B4C1D" w14:paraId="5122B014" w14:textId="77777777" w:rsidTr="00ED6244">
        <w:tc>
          <w:tcPr>
            <w:tcW w:w="3055" w:type="dxa"/>
          </w:tcPr>
          <w:p w14:paraId="011C194D" w14:textId="77777777" w:rsidR="00ED6244" w:rsidRPr="002B4C1D" w:rsidRDefault="00ED6244" w:rsidP="005A7AC8">
            <w:pPr>
              <w:suppressAutoHyphens/>
            </w:pPr>
          </w:p>
        </w:tc>
        <w:tc>
          <w:tcPr>
            <w:tcW w:w="6092" w:type="dxa"/>
          </w:tcPr>
          <w:p w14:paraId="2E0356B9" w14:textId="77777777" w:rsidR="00ED6244" w:rsidRPr="002B4C1D" w:rsidRDefault="00ED6244" w:rsidP="005A7AC8">
            <w:pPr>
              <w:suppressAutoHyphens/>
            </w:pPr>
          </w:p>
        </w:tc>
      </w:tr>
      <w:tr w:rsidR="00ED6244" w:rsidRPr="002B4C1D" w14:paraId="701DE5E5" w14:textId="77777777" w:rsidTr="00ED6244">
        <w:tc>
          <w:tcPr>
            <w:tcW w:w="3055" w:type="dxa"/>
          </w:tcPr>
          <w:p w14:paraId="3AC9CF70" w14:textId="77777777" w:rsidR="00ED6244" w:rsidRPr="002B4C1D" w:rsidRDefault="00ED6244" w:rsidP="005A7AC8">
            <w:pPr>
              <w:suppressAutoHyphens/>
            </w:pPr>
            <w:r w:rsidRPr="002B4C1D">
              <w:t>Pristojnost</w:t>
            </w:r>
          </w:p>
        </w:tc>
        <w:tc>
          <w:tcPr>
            <w:tcW w:w="6092" w:type="dxa"/>
          </w:tcPr>
          <w:p w14:paraId="6B27C783" w14:textId="77777777" w:rsidR="00ED6244" w:rsidRPr="002B4C1D" w:rsidRDefault="00ED6244" w:rsidP="005A7AC8">
            <w:pPr>
              <w:suppressAutoHyphens/>
            </w:pPr>
            <w:r w:rsidRPr="002B4C1D">
              <w:t>strokovna skupina za ekonomsko in monetarno unijo ter ekonomsko in socialno kohezijo</w:t>
            </w:r>
          </w:p>
        </w:tc>
      </w:tr>
      <w:tr w:rsidR="00ED6244" w:rsidRPr="002B4C1D" w14:paraId="55EEEAAC" w14:textId="77777777" w:rsidTr="005A7AC8">
        <w:tc>
          <w:tcPr>
            <w:tcW w:w="3055" w:type="dxa"/>
          </w:tcPr>
          <w:p w14:paraId="46098564" w14:textId="77777777" w:rsidR="00ED6244" w:rsidRPr="002B4C1D" w:rsidRDefault="00ED6244" w:rsidP="005A7AC8">
            <w:pPr>
              <w:suppressAutoHyphens/>
            </w:pPr>
            <w:r w:rsidRPr="002B4C1D">
              <w:t>Datum sprejetja na seji strokovne skupine</w:t>
            </w:r>
          </w:p>
        </w:tc>
        <w:tc>
          <w:tcPr>
            <w:tcW w:w="6092" w:type="dxa"/>
            <w:vAlign w:val="bottom"/>
          </w:tcPr>
          <w:p w14:paraId="764F2943" w14:textId="3BD309B0" w:rsidR="00ED6244" w:rsidRPr="002B4C1D" w:rsidRDefault="00EE1D11" w:rsidP="005A7AC8">
            <w:pPr>
              <w:suppressAutoHyphens/>
            </w:pPr>
            <w:r w:rsidRPr="002B4C1D">
              <w:t>7. 1. 2026</w:t>
            </w:r>
          </w:p>
        </w:tc>
      </w:tr>
      <w:tr w:rsidR="00ED6244" w:rsidRPr="002B4C1D" w14:paraId="28B9F7EB" w14:textId="77777777" w:rsidTr="005A7AC8">
        <w:tc>
          <w:tcPr>
            <w:tcW w:w="3055" w:type="dxa"/>
          </w:tcPr>
          <w:p w14:paraId="49ADA1B9" w14:textId="77777777" w:rsidR="00ED6244" w:rsidRPr="002B4C1D" w:rsidRDefault="00ED6244" w:rsidP="005A7AC8">
            <w:pPr>
              <w:suppressAutoHyphens/>
              <w:jc w:val="left"/>
            </w:pPr>
            <w:r w:rsidRPr="002B4C1D">
              <w:t>Rezultat glasovanja</w:t>
            </w:r>
            <w:r w:rsidRPr="002B4C1D">
              <w:br/>
              <w:t>(za/proti/vzdržani)</w:t>
            </w:r>
          </w:p>
        </w:tc>
        <w:tc>
          <w:tcPr>
            <w:tcW w:w="6092" w:type="dxa"/>
            <w:vAlign w:val="bottom"/>
          </w:tcPr>
          <w:p w14:paraId="25221CDC" w14:textId="2A2787FF" w:rsidR="00ED6244" w:rsidRPr="002B4C1D" w:rsidRDefault="00A6637B" w:rsidP="005A7AC8">
            <w:pPr>
              <w:suppressAutoHyphens/>
            </w:pPr>
            <w:r w:rsidRPr="002B4C1D">
              <w:t>69/0/2</w:t>
            </w:r>
          </w:p>
        </w:tc>
      </w:tr>
      <w:tr w:rsidR="00ED6244" w:rsidRPr="002B4C1D" w14:paraId="3A881898" w14:textId="77777777" w:rsidTr="005A7AC8">
        <w:tc>
          <w:tcPr>
            <w:tcW w:w="3055" w:type="dxa"/>
          </w:tcPr>
          <w:p w14:paraId="0168BD9A" w14:textId="77777777" w:rsidR="00ED6244" w:rsidRPr="002B4C1D" w:rsidRDefault="00ED6244" w:rsidP="005A7AC8">
            <w:pPr>
              <w:suppressAutoHyphens/>
              <w:jc w:val="left"/>
            </w:pPr>
            <w:r w:rsidRPr="002B4C1D">
              <w:t>Datum sprejetja na plenarnem zasedanju</w:t>
            </w:r>
          </w:p>
        </w:tc>
        <w:tc>
          <w:tcPr>
            <w:tcW w:w="6092" w:type="dxa"/>
            <w:vAlign w:val="bottom"/>
          </w:tcPr>
          <w:p w14:paraId="2A3E7E82" w14:textId="77777777" w:rsidR="00ED6244" w:rsidRPr="002B4C1D" w:rsidRDefault="00ED6244" w:rsidP="005A7AC8">
            <w:pPr>
              <w:suppressAutoHyphens/>
            </w:pPr>
            <w:r w:rsidRPr="002B4C1D">
              <w:t>...</w:t>
            </w:r>
          </w:p>
        </w:tc>
      </w:tr>
      <w:tr w:rsidR="00ED6244" w:rsidRPr="002B4C1D" w14:paraId="1D61A265" w14:textId="77777777" w:rsidTr="005A7AC8">
        <w:tc>
          <w:tcPr>
            <w:tcW w:w="3055" w:type="dxa"/>
          </w:tcPr>
          <w:p w14:paraId="12245C9F" w14:textId="77777777" w:rsidR="00ED6244" w:rsidRPr="002B4C1D" w:rsidRDefault="00ED6244" w:rsidP="005A7AC8">
            <w:pPr>
              <w:suppressAutoHyphens/>
              <w:jc w:val="left"/>
            </w:pPr>
            <w:r w:rsidRPr="002B4C1D">
              <w:t>Plenarno zasedanje št.</w:t>
            </w:r>
          </w:p>
        </w:tc>
        <w:tc>
          <w:tcPr>
            <w:tcW w:w="6092" w:type="dxa"/>
            <w:vAlign w:val="bottom"/>
          </w:tcPr>
          <w:p w14:paraId="1801F005" w14:textId="77777777" w:rsidR="00ED6244" w:rsidRPr="002B4C1D" w:rsidRDefault="00ED6244" w:rsidP="005A7AC8">
            <w:pPr>
              <w:suppressAutoHyphens/>
            </w:pPr>
            <w:r w:rsidRPr="002B4C1D">
              <w:t>…</w:t>
            </w:r>
          </w:p>
        </w:tc>
      </w:tr>
      <w:tr w:rsidR="00ED6244" w:rsidRPr="002B4C1D" w14:paraId="23E541A2" w14:textId="77777777" w:rsidTr="005A7AC8">
        <w:tc>
          <w:tcPr>
            <w:tcW w:w="3055" w:type="dxa"/>
          </w:tcPr>
          <w:p w14:paraId="459FC778" w14:textId="77777777" w:rsidR="00ED6244" w:rsidRPr="002B4C1D" w:rsidRDefault="00ED6244" w:rsidP="005A7AC8">
            <w:pPr>
              <w:suppressAutoHyphens/>
              <w:jc w:val="left"/>
            </w:pPr>
            <w:r w:rsidRPr="002B4C1D">
              <w:t>Rezultat glasovanja</w:t>
            </w:r>
            <w:r w:rsidRPr="002B4C1D">
              <w:br/>
              <w:t>(za/proti/vzdržani)</w:t>
            </w:r>
          </w:p>
        </w:tc>
        <w:tc>
          <w:tcPr>
            <w:tcW w:w="6092" w:type="dxa"/>
            <w:vAlign w:val="bottom"/>
          </w:tcPr>
          <w:p w14:paraId="1DB42B13" w14:textId="77777777" w:rsidR="00ED6244" w:rsidRPr="002B4C1D" w:rsidRDefault="00ED6244" w:rsidP="005A7AC8">
            <w:pPr>
              <w:suppressAutoHyphens/>
            </w:pPr>
            <w:r w:rsidRPr="002B4C1D">
              <w:t>…/…/…</w:t>
            </w:r>
          </w:p>
        </w:tc>
      </w:tr>
    </w:tbl>
    <w:p w14:paraId="1838349C" w14:textId="77777777" w:rsidR="00ED6244" w:rsidRPr="002B4C1D" w:rsidRDefault="00ED6244" w:rsidP="005A7AC8">
      <w:pPr>
        <w:suppressAutoHyphens/>
      </w:pPr>
    </w:p>
    <w:p w14:paraId="5B3BE5D2" w14:textId="5F4F7E8F" w:rsidR="00646AC2" w:rsidRPr="002B4C1D" w:rsidRDefault="00646AC2" w:rsidP="005A7AC8">
      <w:pPr>
        <w:suppressAutoHyphens/>
      </w:pPr>
      <w:r w:rsidRPr="002B4C1D">
        <w:br w:type="page"/>
      </w:r>
    </w:p>
    <w:p w14:paraId="6DBEB5C6" w14:textId="10551EBA" w:rsidR="004D75FC" w:rsidRPr="002B4C1D" w:rsidRDefault="004D75FC" w:rsidP="005A7AC8">
      <w:pPr>
        <w:pStyle w:val="Heading1"/>
        <w:suppressAutoHyphens/>
        <w:ind w:left="567" w:hanging="567"/>
      </w:pPr>
      <w:r w:rsidRPr="002B4C1D">
        <w:lastRenderedPageBreak/>
        <w:t>PRIPOROČILA</w:t>
      </w:r>
    </w:p>
    <w:p w14:paraId="48506D0F" w14:textId="77777777" w:rsidR="004D75FC" w:rsidRPr="002B4C1D" w:rsidRDefault="004D75FC" w:rsidP="005A7AC8">
      <w:pPr>
        <w:suppressAutoHyphens/>
        <w:autoSpaceDE w:val="0"/>
        <w:autoSpaceDN w:val="0"/>
        <w:jc w:val="left"/>
        <w:rPr>
          <w:szCs w:val="20"/>
        </w:rPr>
      </w:pPr>
    </w:p>
    <w:p w14:paraId="5074A34D" w14:textId="77777777" w:rsidR="004D75FC" w:rsidRPr="002B4C1D" w:rsidRDefault="004D75FC" w:rsidP="005A7AC8">
      <w:pPr>
        <w:suppressAutoHyphens/>
        <w:autoSpaceDE w:val="0"/>
        <w:autoSpaceDN w:val="0"/>
        <w:jc w:val="left"/>
        <w:rPr>
          <w:i/>
          <w:iCs/>
          <w:szCs w:val="20"/>
        </w:rPr>
      </w:pPr>
      <w:r w:rsidRPr="002B4C1D">
        <w:t>Evropski ekonomsko-socialni odbor (EESO)</w:t>
      </w:r>
    </w:p>
    <w:p w14:paraId="670647B8" w14:textId="77777777" w:rsidR="00126BF4" w:rsidRPr="002B4C1D" w:rsidRDefault="00126BF4" w:rsidP="005A7AC8"/>
    <w:p w14:paraId="48EF1B14" w14:textId="06D07808" w:rsidR="00126BF4" w:rsidRPr="002B4C1D" w:rsidRDefault="00126BF4" w:rsidP="005A7AC8">
      <w:pPr>
        <w:suppressAutoHyphens/>
        <w:overflowPunct w:val="0"/>
        <w:autoSpaceDE w:val="0"/>
        <w:autoSpaceDN w:val="0"/>
        <w:adjustRightInd w:val="0"/>
        <w:textAlignment w:val="baseline"/>
        <w:rPr>
          <w:szCs w:val="20"/>
        </w:rPr>
      </w:pPr>
      <w:r w:rsidRPr="002B4C1D">
        <w:rPr>
          <w:b/>
        </w:rPr>
        <w:t>Upravljanje in partnerstvo</w:t>
      </w:r>
    </w:p>
    <w:p w14:paraId="17EEB48C" w14:textId="77777777" w:rsidR="00126BF4" w:rsidRPr="002B4C1D" w:rsidRDefault="00126BF4" w:rsidP="005A7AC8">
      <w:pPr>
        <w:suppressAutoHyphens/>
        <w:overflowPunct w:val="0"/>
        <w:autoSpaceDE w:val="0"/>
        <w:autoSpaceDN w:val="0"/>
        <w:adjustRightInd w:val="0"/>
        <w:ind w:left="567" w:hanging="567"/>
        <w:textAlignment w:val="baseline"/>
        <w:rPr>
          <w:szCs w:val="20"/>
        </w:rPr>
      </w:pPr>
    </w:p>
    <w:p w14:paraId="2B70F6AA" w14:textId="20F6CCCE" w:rsidR="000D2F4B" w:rsidRPr="002B4C1D" w:rsidRDefault="009315A5" w:rsidP="005A7AC8">
      <w:pPr>
        <w:pStyle w:val="Heading2"/>
        <w:suppressAutoHyphens/>
      </w:pPr>
      <w:r w:rsidRPr="002B4C1D">
        <w:t>pozdravlja prizadevanja Komisije za poenostavitev in večjo prožnost, vendar meni, da so za učinkovitost predlagane poenostavitve potrebna konkretna jamstva. Da bi ohranili posebne značilnosti in glavne cilje ključnih politik EU, morajo te ostati specifične, prepoznavne in predvidljive ter še naprej uresničevati dolgoročne cilje, pri čemer ta prožnost ne sme škodovati regijam, skupnostim in najranljivejšim skupinam, ki jim te politike najbolj koristijo;</w:t>
      </w:r>
    </w:p>
    <w:p w14:paraId="793782AE" w14:textId="77777777" w:rsidR="000D2F4B" w:rsidRPr="002B4C1D" w:rsidRDefault="000D2F4B" w:rsidP="005A7AC8"/>
    <w:p w14:paraId="7C0ADD13" w14:textId="1D15E34A" w:rsidR="009315A5" w:rsidRPr="002B4C1D" w:rsidRDefault="009315A5" w:rsidP="005A7AC8">
      <w:pPr>
        <w:numPr>
          <w:ilvl w:val="1"/>
          <w:numId w:val="1"/>
        </w:numPr>
        <w:suppressAutoHyphens/>
        <w:overflowPunct w:val="0"/>
        <w:autoSpaceDE w:val="0"/>
        <w:autoSpaceDN w:val="0"/>
        <w:adjustRightInd w:val="0"/>
        <w:ind w:left="567" w:hanging="567"/>
        <w:textAlignment w:val="baseline"/>
        <w:outlineLvl w:val="1"/>
      </w:pPr>
      <w:r w:rsidRPr="002B4C1D">
        <w:t>izraža zaskrbljenost, ker bi lahko z združevanjem različnih naložbenih potreb, na primer na področju kmetijstva, ribištva, kohezije in varnosti, v en sklop ustvarili konkurenco med prednostnimi nalogami in oslabili dolgoročna jamstva; odločno nasprotuje temu pristopu, saj obstaja tveganje, da bi to privedlo do razpršitve sredstev, omejevanja prizadevanj za podnebni in digitalni prehod, zmanjšanja odgovornosti ter odtegnitve stabilne podpore kmetom, ribičem ter ranljivim regijam in skupinam, ki jo nujno potrebujejo. To lahko povzroči tudi zmanjšanje občutka pripadnosti EU in morda tudi zaupanja vanjo, zato EESO predlaga, naj se združevanje skladov omeji. Združevati bi morali samo sklade z zelo podobnimi cilji;</w:t>
      </w:r>
    </w:p>
    <w:p w14:paraId="4B58F705" w14:textId="77777777" w:rsidR="004714FE" w:rsidRPr="002B4C1D" w:rsidRDefault="004714FE" w:rsidP="005A7AC8"/>
    <w:p w14:paraId="6427E7FB" w14:textId="02ACEF7E" w:rsidR="006A6DDF" w:rsidRPr="002B4C1D" w:rsidRDefault="004714FE" w:rsidP="005A7AC8">
      <w:pPr>
        <w:numPr>
          <w:ilvl w:val="1"/>
          <w:numId w:val="1"/>
        </w:numPr>
        <w:suppressAutoHyphens/>
        <w:overflowPunct w:val="0"/>
        <w:autoSpaceDE w:val="0"/>
        <w:autoSpaceDN w:val="0"/>
        <w:adjustRightInd w:val="0"/>
        <w:ind w:left="567" w:hanging="567"/>
        <w:textAlignment w:val="baseline"/>
        <w:outlineLvl w:val="1"/>
      </w:pPr>
      <w:r w:rsidRPr="002B4C1D">
        <w:t>poleg tega izrecno opozarja, da bi lahko zaradi strukture z več skladi prišlo do navzkrižij pri dodeljevanju sredstev. Tako na začetku prihodnjega obdobja financiranja kot med njegovim izvajanjem obstaja tveganje strukturne konkurence med socialno razsežnostjo, regionalnim razvojem in razvojem podeželja ter cilji na področju varnostne in migracijske politike. Sredstva, ki so prvotno namenjena za kohezijo, vključevanje in enake življenjske pogoje, bodo morda vse pogosteje prerazporejena, da bi izpolnili kratkoročne prednostne naloge na področju varnosti;</w:t>
      </w:r>
    </w:p>
    <w:p w14:paraId="472022EC" w14:textId="77777777" w:rsidR="00126BF4" w:rsidRPr="002B4C1D" w:rsidRDefault="00126BF4" w:rsidP="005A7AC8"/>
    <w:p w14:paraId="36E89DCA" w14:textId="398E7328" w:rsidR="00126BF4" w:rsidRPr="002B4C1D" w:rsidRDefault="00126BF4" w:rsidP="005A7AC8">
      <w:pPr>
        <w:numPr>
          <w:ilvl w:val="1"/>
          <w:numId w:val="1"/>
        </w:numPr>
        <w:suppressAutoHyphens/>
        <w:overflowPunct w:val="0"/>
        <w:autoSpaceDE w:val="0"/>
        <w:autoSpaceDN w:val="0"/>
        <w:adjustRightInd w:val="0"/>
        <w:ind w:left="567" w:hanging="567"/>
        <w:textAlignment w:val="baseline"/>
        <w:outlineLvl w:val="1"/>
      </w:pPr>
      <w:r w:rsidRPr="002B4C1D">
        <w:t xml:space="preserve">nasprotuje prenosu odgovornosti z regionalne na nacionalno raven, saj to spodkopava načela subsidiarnosti, </w:t>
      </w:r>
      <w:proofErr w:type="spellStart"/>
      <w:r w:rsidRPr="002B4C1D">
        <w:t>teritorialnosti</w:t>
      </w:r>
      <w:proofErr w:type="spellEnd"/>
      <w:r w:rsidRPr="002B4C1D">
        <w:t xml:space="preserve"> in upravljanja na več ravneh ter zaupanje v EU in bi lahko vplivalo na izvajanje člena 3 PEU (cilji Unije o teritorialni koheziji in solidarnosti). Regije bi morale ohraniti neposredno povezavo s Komisijo, načelo deljenega upravljanja pa mora biti bolj vključujoče in prilagojeno tej novi stvarnosti;</w:t>
      </w:r>
    </w:p>
    <w:p w14:paraId="14FA10FF" w14:textId="77777777" w:rsidR="00126BF4" w:rsidRPr="002B4C1D" w:rsidRDefault="00126BF4" w:rsidP="005A7AC8">
      <w:pPr>
        <w:suppressAutoHyphens/>
      </w:pPr>
    </w:p>
    <w:p w14:paraId="586ACC78" w14:textId="3A47EDBD" w:rsidR="00126BF4" w:rsidRPr="002B4C1D" w:rsidRDefault="00126BF4" w:rsidP="005A7AC8">
      <w:pPr>
        <w:numPr>
          <w:ilvl w:val="1"/>
          <w:numId w:val="1"/>
        </w:numPr>
        <w:suppressAutoHyphens/>
        <w:overflowPunct w:val="0"/>
        <w:autoSpaceDE w:val="0"/>
        <w:autoSpaceDN w:val="0"/>
        <w:adjustRightInd w:val="0"/>
        <w:ind w:left="567" w:hanging="567"/>
        <w:textAlignment w:val="baseline"/>
        <w:outlineLvl w:val="1"/>
      </w:pPr>
      <w:r w:rsidRPr="002B4C1D">
        <w:t>poudarja, da bo za učinkovito izvajanje načrtov za nacionalna in regionalna partnerstva potrebna močna in učinkovita vključenost lokalnih in regionalnih partnerjev, socialnih partnerjev in organizacij civilne družbe ter predstavnikov sektorjev in industrij, tako v fazi načrtovanja programov kot pri izvajanju, upravljanju, spremljanju, ocenjevanju in nadzoru; poudarja tudi, da mora biti partnerstvo zajeto v vseh poglavjih teh načrtov ter da je treba poskrbeti za uravnoteženo zastopanost ustreznih partnerjev v odborih za spremljanje; predlaga, da se v načrte vključi poglavje, ki se nanaša na vse regije, ali poglavje, ki se nanaša na posamezno regijo, ter predvidi poseben odbor za spremljanje;</w:t>
      </w:r>
    </w:p>
    <w:p w14:paraId="1432FC86" w14:textId="77777777" w:rsidR="00126BF4" w:rsidRPr="002B4C1D" w:rsidRDefault="00126BF4" w:rsidP="005A7AC8">
      <w:pPr>
        <w:suppressAutoHyphens/>
      </w:pPr>
    </w:p>
    <w:p w14:paraId="4A997CFF" w14:textId="6ABED1D3" w:rsidR="004C594E" w:rsidRPr="002B4C1D" w:rsidRDefault="00126BF4" w:rsidP="005A7AC8">
      <w:pPr>
        <w:numPr>
          <w:ilvl w:val="1"/>
          <w:numId w:val="1"/>
        </w:numPr>
        <w:suppressAutoHyphens/>
        <w:overflowPunct w:val="0"/>
        <w:autoSpaceDE w:val="0"/>
        <w:autoSpaceDN w:val="0"/>
        <w:adjustRightInd w:val="0"/>
        <w:ind w:left="567" w:hanging="567"/>
        <w:textAlignment w:val="baseline"/>
        <w:outlineLvl w:val="1"/>
      </w:pPr>
      <w:r w:rsidRPr="002B4C1D">
        <w:t xml:space="preserve">poziva Evropsko komisijo, naj čim prej izvede revizijo Evropskega kodeksa dobre prakse za partnerstvo, pri čemer naj upošteva različne in dopolnjujoče se vloge partnerjev in </w:t>
      </w:r>
      <w:r w:rsidRPr="002B4C1D">
        <w:lastRenderedPageBreak/>
        <w:t>institucionalnih predstavnikov, saj se utegnejo načela partnerstva oslabiti; meni, da je potreben minimalni evropski standard za posvetovanje in da je treba olajšati postopke za upravičence;</w:t>
      </w:r>
    </w:p>
    <w:p w14:paraId="06C619FC" w14:textId="77777777" w:rsidR="004C594E" w:rsidRPr="002B4C1D" w:rsidRDefault="004C594E" w:rsidP="005A7AC8">
      <w:pPr>
        <w:suppressAutoHyphens/>
      </w:pPr>
    </w:p>
    <w:p w14:paraId="4EAE9B60" w14:textId="5314CD98" w:rsidR="00581848" w:rsidRPr="002B4C1D" w:rsidRDefault="00F30DFD" w:rsidP="005A7AC8">
      <w:pPr>
        <w:numPr>
          <w:ilvl w:val="1"/>
          <w:numId w:val="1"/>
        </w:numPr>
        <w:suppressAutoHyphens/>
        <w:overflowPunct w:val="0"/>
        <w:autoSpaceDE w:val="0"/>
        <w:autoSpaceDN w:val="0"/>
        <w:adjustRightInd w:val="0"/>
        <w:ind w:left="567" w:hanging="567"/>
        <w:textAlignment w:val="baseline"/>
        <w:outlineLvl w:val="1"/>
      </w:pPr>
      <w:r w:rsidRPr="002B4C1D">
        <w:t>predlaga uvedbo sistema sankcij v primeru, ko ni učinkovitega, smiselnega in horizontalnega vključevanja socialnih partnerjev in organizacij civilne družbe;</w:t>
      </w:r>
    </w:p>
    <w:p w14:paraId="5B9947D8" w14:textId="77777777" w:rsidR="00126BF4" w:rsidRPr="002B4C1D" w:rsidRDefault="00126BF4" w:rsidP="005A7AC8">
      <w:pPr>
        <w:suppressAutoHyphens/>
      </w:pPr>
    </w:p>
    <w:p w14:paraId="2E50B911" w14:textId="77777777" w:rsidR="00ED4A88" w:rsidRPr="002B4C1D" w:rsidRDefault="00ED4A88" w:rsidP="005A7AC8">
      <w:pPr>
        <w:suppressAutoHyphens/>
        <w:overflowPunct w:val="0"/>
        <w:autoSpaceDE w:val="0"/>
        <w:autoSpaceDN w:val="0"/>
        <w:adjustRightInd w:val="0"/>
        <w:textAlignment w:val="baseline"/>
        <w:outlineLvl w:val="1"/>
        <w:rPr>
          <w:b/>
          <w:bCs/>
          <w:color w:val="000000"/>
        </w:rPr>
      </w:pPr>
      <w:r w:rsidRPr="002B4C1D">
        <w:rPr>
          <w:b/>
          <w:color w:val="000000"/>
        </w:rPr>
        <w:t>Socialna in teritorialna razsežnost</w:t>
      </w:r>
    </w:p>
    <w:p w14:paraId="3F6BACEF" w14:textId="77777777" w:rsidR="00126BF4" w:rsidRPr="002B4C1D" w:rsidRDefault="00126BF4" w:rsidP="005A7AC8">
      <w:pPr>
        <w:suppressAutoHyphens/>
      </w:pPr>
    </w:p>
    <w:p w14:paraId="20D62338" w14:textId="0DC5565C" w:rsidR="00126BF4" w:rsidRPr="002B4C1D" w:rsidRDefault="004B0242" w:rsidP="005A7AC8">
      <w:pPr>
        <w:numPr>
          <w:ilvl w:val="1"/>
          <w:numId w:val="1"/>
        </w:numPr>
        <w:suppressAutoHyphens/>
        <w:overflowPunct w:val="0"/>
        <w:autoSpaceDE w:val="0"/>
        <w:autoSpaceDN w:val="0"/>
        <w:adjustRightInd w:val="0"/>
        <w:ind w:left="567" w:hanging="567"/>
        <w:textAlignment w:val="baseline"/>
        <w:outlineLvl w:val="1"/>
      </w:pPr>
      <w:r w:rsidRPr="002B4C1D">
        <w:t>meni, da je v predlogu kohezijska politika oslabljena in bi jo morali dodatno utrditi; poziva k jamstvom za zaščito regij in mest, zlasti v primeru, ko jih lahko države članice izključijo iz sklada.</w:t>
      </w:r>
      <w:r w:rsidRPr="002B4C1D">
        <w:rPr>
          <w:color w:val="000000"/>
        </w:rPr>
        <w:t xml:space="preserve"> </w:t>
      </w:r>
      <w:r w:rsidRPr="002B4C1D">
        <w:t>Kohezijska sredstva morajo v skladu s členom 175 PDEU o koheziji ostati na voljo vsem ozemljem in regijam iz členov 174 in 349 PDEU, tudi če se ugotovi nespoštovanje načel EU na nacionalni ravni;</w:t>
      </w:r>
    </w:p>
    <w:p w14:paraId="5211DF61" w14:textId="77777777" w:rsidR="00126BF4" w:rsidRPr="002B4C1D" w:rsidRDefault="00126BF4" w:rsidP="005A7AC8">
      <w:pPr>
        <w:suppressAutoHyphens/>
      </w:pPr>
    </w:p>
    <w:p w14:paraId="12B36362" w14:textId="0AE18F89" w:rsidR="00126BF4" w:rsidRPr="002B4C1D" w:rsidRDefault="00126BF4" w:rsidP="005A7AC8">
      <w:pPr>
        <w:numPr>
          <w:ilvl w:val="1"/>
          <w:numId w:val="1"/>
        </w:numPr>
        <w:suppressAutoHyphens/>
        <w:overflowPunct w:val="0"/>
        <w:autoSpaceDE w:val="0"/>
        <w:autoSpaceDN w:val="0"/>
        <w:adjustRightInd w:val="0"/>
        <w:ind w:left="567" w:hanging="567"/>
        <w:textAlignment w:val="baseline"/>
        <w:outlineLvl w:val="1"/>
      </w:pPr>
      <w:r w:rsidRPr="002B4C1D">
        <w:rPr>
          <w:color w:val="000000"/>
        </w:rPr>
        <w:t>poudarja, da so potrebna strožja pravila za omogočanje sodelovanja lokalnih akterjev in mest ter da v primeru kršitev načel pravne države na nacionalni ravni ne smejo biti oškodovani interesi podnacionalnih ravni;</w:t>
      </w:r>
    </w:p>
    <w:p w14:paraId="772E92B0" w14:textId="77777777" w:rsidR="00126BF4" w:rsidRPr="002B4C1D" w:rsidRDefault="00126BF4" w:rsidP="005A7AC8">
      <w:pPr>
        <w:suppressAutoHyphens/>
        <w:overflowPunct w:val="0"/>
        <w:autoSpaceDE w:val="0"/>
        <w:autoSpaceDN w:val="0"/>
        <w:adjustRightInd w:val="0"/>
        <w:textAlignment w:val="baseline"/>
        <w:rPr>
          <w:szCs w:val="20"/>
        </w:rPr>
      </w:pPr>
    </w:p>
    <w:p w14:paraId="390773C3" w14:textId="108337AB" w:rsidR="00104514" w:rsidRPr="002B4C1D" w:rsidRDefault="00126BF4" w:rsidP="005A7AC8">
      <w:pPr>
        <w:numPr>
          <w:ilvl w:val="1"/>
          <w:numId w:val="1"/>
        </w:numPr>
        <w:suppressAutoHyphens/>
        <w:overflowPunct w:val="0"/>
        <w:autoSpaceDE w:val="0"/>
        <w:autoSpaceDN w:val="0"/>
        <w:adjustRightInd w:val="0"/>
        <w:ind w:left="567" w:hanging="567"/>
        <w:textAlignment w:val="baseline"/>
        <w:outlineLvl w:val="1"/>
        <w:rPr>
          <w:szCs w:val="20"/>
        </w:rPr>
      </w:pPr>
      <w:r w:rsidRPr="002B4C1D">
        <w:rPr>
          <w:color w:val="000000"/>
        </w:rPr>
        <w:t xml:space="preserve">se zavzema za tematsko osredotočenost predvsem na področjih prehranske varnosti, neenakosti, dostojnega staranja in državljanskega udejstvovanja ter podpore ranljivim skupinam, prostovoljcem in akterjem socialnega gospodarstva; </w:t>
      </w:r>
      <w:r w:rsidRPr="002B4C1D">
        <w:t>meni, da je treba dodatno financiranje izrecno nameniti državam in regijam ob vzhodni meji EU z Rusijo in Belorusijo, da bi lahko povečale svojo gospodarsko in družbeno odpornost ter odpornost na področju varnosti. To bi moralo vključevati ukrepe za to, da tam prebivalstvo ostane oziroma se tja seli, ter za podpiranje infrastrukture z dvojno rabo za civilne in varnostne namene;</w:t>
      </w:r>
    </w:p>
    <w:p w14:paraId="37FE2FD4" w14:textId="77777777" w:rsidR="00104514" w:rsidRPr="002B4C1D" w:rsidRDefault="00104514" w:rsidP="005A7AC8"/>
    <w:p w14:paraId="50BE67BE" w14:textId="0FB56F59" w:rsidR="00126BF4" w:rsidRPr="002B4C1D" w:rsidRDefault="006D3331" w:rsidP="005A7AC8">
      <w:pPr>
        <w:numPr>
          <w:ilvl w:val="1"/>
          <w:numId w:val="1"/>
        </w:numPr>
        <w:suppressAutoHyphens/>
        <w:overflowPunct w:val="0"/>
        <w:autoSpaceDE w:val="0"/>
        <w:autoSpaceDN w:val="0"/>
        <w:adjustRightInd w:val="0"/>
        <w:ind w:left="567" w:hanging="567"/>
        <w:textAlignment w:val="baseline"/>
        <w:outlineLvl w:val="1"/>
        <w:rPr>
          <w:szCs w:val="20"/>
        </w:rPr>
      </w:pPr>
      <w:r w:rsidRPr="002B4C1D">
        <w:rPr>
          <w:color w:val="000000"/>
        </w:rPr>
        <w:t>opozarja, da je treba jasno opredeliti socialne cilje, in poudarja, da bi moral biti cilj dodelitve 14 % sredstev za socialne izdatke povezan izključno s cilji ESS, kot so kvalifikacije in usposabljanje ter podpora ranljivim in prikrajšanim skupinam; zato predlaga revizijo uredbe o okviru smotrnosti, pri čemer je treba v skladu s prednostnimi nalogami uredbe o ESS+ socialne izdatke natančneje in ožje opredeliti;</w:t>
      </w:r>
    </w:p>
    <w:p w14:paraId="339ED3E4" w14:textId="77777777" w:rsidR="00126BF4" w:rsidRPr="002B4C1D" w:rsidRDefault="00126BF4" w:rsidP="005A7AC8">
      <w:pPr>
        <w:suppressAutoHyphens/>
      </w:pPr>
    </w:p>
    <w:p w14:paraId="6F33B2EF" w14:textId="35D2D0B0" w:rsidR="00126BF4" w:rsidRPr="002B4C1D" w:rsidRDefault="00126BF4" w:rsidP="005A7AC8">
      <w:pPr>
        <w:numPr>
          <w:ilvl w:val="1"/>
          <w:numId w:val="1"/>
        </w:numPr>
        <w:suppressAutoHyphens/>
        <w:overflowPunct w:val="0"/>
        <w:autoSpaceDE w:val="0"/>
        <w:autoSpaceDN w:val="0"/>
        <w:adjustRightInd w:val="0"/>
        <w:ind w:left="567" w:hanging="567"/>
        <w:textAlignment w:val="baseline"/>
        <w:outlineLvl w:val="1"/>
      </w:pPr>
      <w:r w:rsidRPr="002B4C1D">
        <w:t>priporoča, naj se v načrtih za nacionalna in regionalna partnerstva spodbujajo visokokakovostna delovna mesta, pravično plačilo, varni pogoji in zmanjšanje revščine ter uravnoteženo in trajnostno povežeta kohezija in konkurenčnost; zato predlaga, naj bo financiranje EU v okviru uredbe o enotnem skladu pogojeno s socialnimi merili, ki jih je treba oblikovati skupaj z nacionalnimi socialnimi partnerji;</w:t>
      </w:r>
    </w:p>
    <w:p w14:paraId="2D646440" w14:textId="77777777" w:rsidR="00126BF4" w:rsidRPr="002B4C1D" w:rsidRDefault="00126BF4" w:rsidP="005A7AC8">
      <w:pPr>
        <w:suppressAutoHyphens/>
      </w:pPr>
    </w:p>
    <w:p w14:paraId="7F66B49A" w14:textId="413C4E0D" w:rsidR="00126BF4" w:rsidRPr="002B4C1D" w:rsidRDefault="00126BF4" w:rsidP="005A7AC8">
      <w:pPr>
        <w:numPr>
          <w:ilvl w:val="1"/>
          <w:numId w:val="1"/>
        </w:numPr>
        <w:suppressAutoHyphens/>
        <w:overflowPunct w:val="0"/>
        <w:autoSpaceDE w:val="0"/>
        <w:autoSpaceDN w:val="0"/>
        <w:adjustRightInd w:val="0"/>
        <w:ind w:left="567" w:hanging="567"/>
        <w:textAlignment w:val="baseline"/>
        <w:outlineLvl w:val="1"/>
      </w:pPr>
      <w:r w:rsidRPr="002B4C1D">
        <w:t>predlaga, naj se delež finančnih sredstev za doseganje socialnih ciljev EU poveča s 14 % na 20 % sredstev in socialna pogojenost uvede kot horizontalni cilj enotnega sklada, pri čemer bi se oprli na obstoječo prakso na področju SKP in tako zagotovili, da se v skladu z akcijskim načrtom za evropski steber socialnih pravic s sredstvi EU revščina in neenakost zmanjšujeta in ne povečujeta;</w:t>
      </w:r>
    </w:p>
    <w:p w14:paraId="222B717B" w14:textId="77777777" w:rsidR="00126BF4" w:rsidRPr="002B4C1D" w:rsidRDefault="00126BF4" w:rsidP="005A7AC8">
      <w:pPr>
        <w:suppressAutoHyphens/>
      </w:pPr>
    </w:p>
    <w:p w14:paraId="2805EFAF" w14:textId="47921D24" w:rsidR="00F9739A" w:rsidRPr="002B4C1D" w:rsidRDefault="00126BF4" w:rsidP="005A7AC8">
      <w:pPr>
        <w:pStyle w:val="Heading2"/>
        <w:suppressAutoHyphens/>
      </w:pPr>
      <w:r w:rsidRPr="002B4C1D">
        <w:t xml:space="preserve">predlaga uvedbo teritorialne pogojenosti in poudarja, da je treba v skladu s členom 174 PDEU o zmanjševanju razlik, Teritorialno agendo 2030, Leipziško listino o trajnostnih evropskih mestih, </w:t>
      </w:r>
      <w:r w:rsidRPr="002B4C1D">
        <w:lastRenderedPageBreak/>
        <w:t>Ljubljanskim dogovorom in dolgoročno vizijo EU za podeželska območja do leta 2040 pri izbiri operacij in dodeljevanju sredstev upoštevati ozemeljsko ravnovesje;</w:t>
      </w:r>
    </w:p>
    <w:p w14:paraId="5CFDCFE1" w14:textId="77777777" w:rsidR="00126BF4" w:rsidRPr="002B4C1D" w:rsidRDefault="00126BF4" w:rsidP="005A7AC8">
      <w:pPr>
        <w:suppressAutoHyphens/>
        <w:overflowPunct w:val="0"/>
        <w:autoSpaceDE w:val="0"/>
        <w:autoSpaceDN w:val="0"/>
        <w:adjustRightInd w:val="0"/>
        <w:textAlignment w:val="baseline"/>
        <w:outlineLvl w:val="1"/>
        <w:rPr>
          <w:szCs w:val="20"/>
        </w:rPr>
      </w:pPr>
    </w:p>
    <w:p w14:paraId="101CD584" w14:textId="39EE50EE" w:rsidR="00126BF4" w:rsidRPr="002B4C1D" w:rsidRDefault="00104514" w:rsidP="005A7AC8">
      <w:pPr>
        <w:numPr>
          <w:ilvl w:val="1"/>
          <w:numId w:val="1"/>
        </w:numPr>
        <w:suppressAutoHyphens/>
        <w:overflowPunct w:val="0"/>
        <w:autoSpaceDE w:val="0"/>
        <w:autoSpaceDN w:val="0"/>
        <w:adjustRightInd w:val="0"/>
        <w:ind w:left="567" w:hanging="567"/>
        <w:textAlignment w:val="baseline"/>
        <w:outlineLvl w:val="1"/>
        <w:rPr>
          <w:szCs w:val="20"/>
        </w:rPr>
      </w:pPr>
      <w:r w:rsidRPr="002B4C1D">
        <w:t>močno obžaluje, da ni namenskega sklada za pravični prehod, in svari pred združevanjem pravičnega in čistega prehoda v isti sklop. Koncept pravičnega prehoda je treba utrditi, ne pa ga kombinirati s čistim prehodom, saj dvojni prehod ni zgolj tehnološki izziv;</w:t>
      </w:r>
    </w:p>
    <w:p w14:paraId="3D37D636" w14:textId="77777777" w:rsidR="00126BF4" w:rsidRPr="002B4C1D" w:rsidRDefault="00126BF4" w:rsidP="005A7AC8">
      <w:pPr>
        <w:suppressAutoHyphens/>
      </w:pPr>
    </w:p>
    <w:p w14:paraId="2221A45E" w14:textId="6CD8FD79" w:rsidR="00126BF4" w:rsidRPr="002B4C1D" w:rsidRDefault="00126BF4" w:rsidP="005A7AC8">
      <w:pPr>
        <w:numPr>
          <w:ilvl w:val="1"/>
          <w:numId w:val="1"/>
        </w:numPr>
        <w:suppressAutoHyphens/>
        <w:overflowPunct w:val="0"/>
        <w:autoSpaceDE w:val="0"/>
        <w:autoSpaceDN w:val="0"/>
        <w:adjustRightInd w:val="0"/>
        <w:ind w:left="567" w:hanging="567"/>
        <w:textAlignment w:val="baseline"/>
        <w:outlineLvl w:val="1"/>
      </w:pPr>
      <w:r w:rsidRPr="002B4C1D">
        <w:t>priporoča utrditev pravičnega prehoda z namenskim finančnim kritjem v višini do 6 % finančnih sredstev, da bo proces prehoda pravičen in da nobena regija ne bo zapostavljena;</w:t>
      </w:r>
    </w:p>
    <w:p w14:paraId="0E48CDE3" w14:textId="77777777" w:rsidR="00571ED8" w:rsidRPr="002B4C1D" w:rsidRDefault="00571ED8" w:rsidP="005A7AC8">
      <w:pPr>
        <w:suppressAutoHyphens/>
      </w:pPr>
    </w:p>
    <w:p w14:paraId="2A7B0F5B" w14:textId="328DB17B" w:rsidR="00571ED8" w:rsidRPr="002B4C1D" w:rsidRDefault="00571ED8" w:rsidP="005A7AC8">
      <w:pPr>
        <w:numPr>
          <w:ilvl w:val="1"/>
          <w:numId w:val="1"/>
        </w:numPr>
        <w:suppressAutoHyphens/>
        <w:overflowPunct w:val="0"/>
        <w:autoSpaceDE w:val="0"/>
        <w:autoSpaceDN w:val="0"/>
        <w:adjustRightInd w:val="0"/>
        <w:ind w:left="567" w:hanging="567"/>
        <w:textAlignment w:val="baseline"/>
        <w:outlineLvl w:val="1"/>
      </w:pPr>
      <w:r w:rsidRPr="002B4C1D">
        <w:rPr>
          <w:color w:val="000000"/>
        </w:rPr>
        <w:t>priporoča, naj se v skladu s cilji zelenega dogovora prepovejo naložbe, ki zelo škodujejo okolju;</w:t>
      </w:r>
    </w:p>
    <w:p w14:paraId="7FAB8050" w14:textId="77777777" w:rsidR="00126BF4" w:rsidRPr="002B4C1D" w:rsidRDefault="00126BF4" w:rsidP="005A7AC8">
      <w:pPr>
        <w:suppressAutoHyphens/>
      </w:pPr>
    </w:p>
    <w:p w14:paraId="716678EB" w14:textId="77777777" w:rsidR="00126BF4" w:rsidRPr="002B4C1D" w:rsidRDefault="00126BF4" w:rsidP="005A7AC8">
      <w:pPr>
        <w:suppressAutoHyphens/>
        <w:rPr>
          <w:color w:val="000000"/>
        </w:rPr>
      </w:pPr>
      <w:r w:rsidRPr="002B4C1D">
        <w:rPr>
          <w:b/>
          <w:color w:val="000000"/>
        </w:rPr>
        <w:t>Spremljanje in preglednost</w:t>
      </w:r>
    </w:p>
    <w:p w14:paraId="0339B2F4" w14:textId="77777777" w:rsidR="00126BF4" w:rsidRPr="002B4C1D" w:rsidRDefault="00126BF4" w:rsidP="005A7AC8">
      <w:pPr>
        <w:suppressAutoHyphens/>
      </w:pPr>
    </w:p>
    <w:p w14:paraId="5792FD8D" w14:textId="31E3104C" w:rsidR="00126BF4" w:rsidRPr="002B4C1D" w:rsidRDefault="00126BF4" w:rsidP="005A7AC8">
      <w:pPr>
        <w:numPr>
          <w:ilvl w:val="1"/>
          <w:numId w:val="1"/>
        </w:numPr>
        <w:suppressAutoHyphens/>
        <w:overflowPunct w:val="0"/>
        <w:autoSpaceDE w:val="0"/>
        <w:autoSpaceDN w:val="0"/>
        <w:adjustRightInd w:val="0"/>
        <w:ind w:left="567" w:hanging="567"/>
        <w:textAlignment w:val="baseline"/>
        <w:outlineLvl w:val="1"/>
        <w:rPr>
          <w:i/>
          <w:iCs/>
          <w:szCs w:val="20"/>
        </w:rPr>
      </w:pPr>
      <w:r w:rsidRPr="002B4C1D">
        <w:t>poziva k okrepitvi odborov za spremljanje z ustrezno tehnično pomočjo ter k večji in trdnejši preglednosti, smiselni vključenosti in mehanizmom, ki omogočajo in olajšujejo pravilno delovanje civilne družbe, ter boljšemu in uravnoteženemu sodelovanju socialnih partnerjev in organizacij civilne družbe, ki bi morali imeti vsaj 50 % glasov v vseh ustanovljenih odborih za spremljanje;</w:t>
      </w:r>
    </w:p>
    <w:p w14:paraId="3D15EBEF" w14:textId="77777777" w:rsidR="00126BF4" w:rsidRPr="002B4C1D" w:rsidRDefault="00126BF4" w:rsidP="005A7AC8">
      <w:pPr>
        <w:suppressAutoHyphens/>
      </w:pPr>
    </w:p>
    <w:p w14:paraId="0D08F4E9" w14:textId="491D7171" w:rsidR="00126BF4" w:rsidRPr="002B4C1D" w:rsidRDefault="00126BF4" w:rsidP="005A7AC8">
      <w:pPr>
        <w:numPr>
          <w:ilvl w:val="1"/>
          <w:numId w:val="1"/>
        </w:numPr>
        <w:suppressAutoHyphens/>
        <w:overflowPunct w:val="0"/>
        <w:autoSpaceDE w:val="0"/>
        <w:autoSpaceDN w:val="0"/>
        <w:adjustRightInd w:val="0"/>
        <w:ind w:left="567" w:hanging="567"/>
        <w:textAlignment w:val="baseline"/>
        <w:outlineLvl w:val="1"/>
        <w:rPr>
          <w:i/>
          <w:iCs/>
          <w:szCs w:val="20"/>
        </w:rPr>
      </w:pPr>
      <w:r w:rsidRPr="002B4C1D">
        <w:t>priporoča, da se na nacionalni in regionalni ravni vzpostavi odbor za spremljanje za vsak organ upravljanja, ki naj se sestane vsaj dvakrat letno ter sodeluje pri odločitvah o prerazporeditvah sredstev med poglavji in razvoju procesa izvajanja;</w:t>
      </w:r>
    </w:p>
    <w:p w14:paraId="2BA85441" w14:textId="77777777" w:rsidR="00126BF4" w:rsidRPr="002B4C1D" w:rsidRDefault="00126BF4" w:rsidP="005A7AC8">
      <w:pPr>
        <w:suppressAutoHyphens/>
      </w:pPr>
    </w:p>
    <w:p w14:paraId="047273C2" w14:textId="73FED2B3" w:rsidR="00126BF4" w:rsidRPr="002B4C1D" w:rsidRDefault="00126BF4" w:rsidP="005A7AC8">
      <w:pPr>
        <w:numPr>
          <w:ilvl w:val="1"/>
          <w:numId w:val="1"/>
        </w:numPr>
        <w:suppressAutoHyphens/>
        <w:overflowPunct w:val="0"/>
        <w:autoSpaceDE w:val="0"/>
        <w:autoSpaceDN w:val="0"/>
        <w:adjustRightInd w:val="0"/>
        <w:ind w:left="567" w:hanging="567"/>
        <w:textAlignment w:val="baseline"/>
        <w:outlineLvl w:val="1"/>
      </w:pPr>
      <w:r w:rsidRPr="002B4C1D">
        <w:t>poudarja, da bi morali biti odbori obveščeni tudi o finančnih popravkih, ki jih uvede Komisija, in o večfaznem izvajanju;</w:t>
      </w:r>
    </w:p>
    <w:p w14:paraId="3457EB3B" w14:textId="77777777" w:rsidR="00A03850" w:rsidRPr="002B4C1D" w:rsidRDefault="00A03850" w:rsidP="005A7AC8">
      <w:pPr>
        <w:suppressAutoHyphens/>
      </w:pPr>
    </w:p>
    <w:p w14:paraId="35CF8F5A" w14:textId="0913BA8C" w:rsidR="00126BF4" w:rsidRPr="002B4C1D" w:rsidRDefault="00126BF4" w:rsidP="005A7AC8">
      <w:pPr>
        <w:suppressAutoHyphens/>
        <w:rPr>
          <w:color w:val="000000"/>
        </w:rPr>
      </w:pPr>
      <w:r w:rsidRPr="002B4C1D">
        <w:rPr>
          <w:b/>
          <w:color w:val="000000"/>
        </w:rPr>
        <w:t>Finančna struktura</w:t>
      </w:r>
    </w:p>
    <w:p w14:paraId="76BB3A2C" w14:textId="77777777" w:rsidR="00126BF4" w:rsidRPr="002B4C1D" w:rsidRDefault="00126BF4" w:rsidP="005A7AC8">
      <w:pPr>
        <w:suppressAutoHyphens/>
      </w:pPr>
    </w:p>
    <w:p w14:paraId="07B398F5" w14:textId="25908FAA" w:rsidR="00126BF4" w:rsidRPr="002B4C1D" w:rsidRDefault="00126BF4" w:rsidP="005A7AC8">
      <w:pPr>
        <w:numPr>
          <w:ilvl w:val="1"/>
          <w:numId w:val="1"/>
        </w:numPr>
        <w:suppressAutoHyphens/>
        <w:overflowPunct w:val="0"/>
        <w:autoSpaceDE w:val="0"/>
        <w:autoSpaceDN w:val="0"/>
        <w:adjustRightInd w:val="0"/>
        <w:ind w:left="567" w:hanging="567"/>
        <w:textAlignment w:val="baseline"/>
        <w:outlineLvl w:val="1"/>
        <w:rPr>
          <w:szCs w:val="20"/>
        </w:rPr>
      </w:pPr>
      <w:r w:rsidRPr="002B4C1D">
        <w:t>je seznanjen s predlogom za uporabo posojil v višini do 150 milijard EUR in poziva k zaščitnim ukrepom, da posojila ne bodo nadomestila nepovratnih sredstev, temveč jih dopolnjevala, ter da se ne bo povečala neenakost med državami članicami;</w:t>
      </w:r>
    </w:p>
    <w:p w14:paraId="0FFFA2EF" w14:textId="77777777" w:rsidR="00126BF4" w:rsidRPr="002B4C1D" w:rsidRDefault="00126BF4" w:rsidP="005A7AC8">
      <w:pPr>
        <w:suppressAutoHyphens/>
      </w:pPr>
    </w:p>
    <w:p w14:paraId="5D1A5994" w14:textId="0CBDE393" w:rsidR="00126BF4" w:rsidRPr="002B4C1D" w:rsidRDefault="00126BF4" w:rsidP="005A7AC8">
      <w:pPr>
        <w:numPr>
          <w:ilvl w:val="1"/>
          <w:numId w:val="1"/>
        </w:numPr>
        <w:suppressAutoHyphens/>
        <w:overflowPunct w:val="0"/>
        <w:autoSpaceDE w:val="0"/>
        <w:autoSpaceDN w:val="0"/>
        <w:adjustRightInd w:val="0"/>
        <w:ind w:left="567" w:hanging="567"/>
        <w:textAlignment w:val="baseline"/>
        <w:outlineLvl w:val="1"/>
        <w:rPr>
          <w:szCs w:val="20"/>
        </w:rPr>
      </w:pPr>
      <w:r w:rsidRPr="002B4C1D">
        <w:t>meni, da bi bilo treba večfazno izvajanje omejiti na največ 5 % nacionalnih dodelitev, da bi preprečili regionalne razlike in razdrobljenost naložb;</w:t>
      </w:r>
    </w:p>
    <w:p w14:paraId="56EB69CA" w14:textId="77777777" w:rsidR="00126BF4" w:rsidRPr="002B4C1D" w:rsidRDefault="00126BF4" w:rsidP="005A7AC8">
      <w:pPr>
        <w:suppressAutoHyphens/>
      </w:pPr>
    </w:p>
    <w:p w14:paraId="20466139" w14:textId="54ED957B" w:rsidR="00126BF4" w:rsidRPr="002B4C1D" w:rsidRDefault="00126BF4" w:rsidP="005A7AC8">
      <w:pPr>
        <w:numPr>
          <w:ilvl w:val="1"/>
          <w:numId w:val="1"/>
        </w:numPr>
        <w:suppressAutoHyphens/>
        <w:overflowPunct w:val="0"/>
        <w:autoSpaceDE w:val="0"/>
        <w:autoSpaceDN w:val="0"/>
        <w:adjustRightInd w:val="0"/>
        <w:ind w:left="567" w:hanging="567"/>
        <w:textAlignment w:val="baseline"/>
        <w:outlineLvl w:val="1"/>
      </w:pPr>
      <w:r w:rsidRPr="002B4C1D">
        <w:t>podpira krepitev instrumentov celostnih teritorialnih naložb, lokalnega razvoja, ki ga vodi skupnost, in LEADER, poziva, naj se v instrument lokalnega razvoja, ki ga vodi skupnost, izrecno vključijo mestna območja, ter podpira namensko financiranje instrumentov lokalnega razvoja, ki ga vodi skupnost, in LEADER;</w:t>
      </w:r>
    </w:p>
    <w:p w14:paraId="4EAAB830" w14:textId="77777777" w:rsidR="00B15A5E" w:rsidRPr="002B4C1D" w:rsidRDefault="00B15A5E" w:rsidP="005A7AC8"/>
    <w:p w14:paraId="01774740" w14:textId="7AF92D57" w:rsidR="00B15A5E" w:rsidRPr="002B4C1D" w:rsidRDefault="008F1541" w:rsidP="005A7AC8">
      <w:pPr>
        <w:numPr>
          <w:ilvl w:val="1"/>
          <w:numId w:val="1"/>
        </w:numPr>
        <w:suppressAutoHyphens/>
        <w:overflowPunct w:val="0"/>
        <w:autoSpaceDE w:val="0"/>
        <w:autoSpaceDN w:val="0"/>
        <w:adjustRightInd w:val="0"/>
        <w:ind w:left="567" w:hanging="567"/>
        <w:textAlignment w:val="baseline"/>
        <w:outlineLvl w:val="1"/>
        <w:rPr>
          <w:szCs w:val="20"/>
        </w:rPr>
      </w:pPr>
      <w:r w:rsidRPr="002B4C1D">
        <w:t>meni, da bi morali z naložbami v varnost prispevati h konsolidaciji usklajevanja in dopolnjevanja ter k zaščiti kohezije ter da si ti vidiki ne bi smeli konkurirati;</w:t>
      </w:r>
    </w:p>
    <w:p w14:paraId="470C7E54" w14:textId="77777777" w:rsidR="00126BF4" w:rsidRPr="002B4C1D" w:rsidRDefault="00126BF4" w:rsidP="005A7AC8">
      <w:pPr>
        <w:suppressAutoHyphens/>
      </w:pPr>
    </w:p>
    <w:p w14:paraId="45574650" w14:textId="398C761C" w:rsidR="00126BF4" w:rsidRPr="002B4C1D" w:rsidRDefault="00126BF4" w:rsidP="005A7AC8">
      <w:pPr>
        <w:pageBreakBefore/>
        <w:suppressAutoHyphens/>
        <w:overflowPunct w:val="0"/>
        <w:autoSpaceDE w:val="0"/>
        <w:autoSpaceDN w:val="0"/>
        <w:adjustRightInd w:val="0"/>
        <w:textAlignment w:val="baseline"/>
        <w:outlineLvl w:val="1"/>
        <w:rPr>
          <w:b/>
          <w:bCs/>
          <w:color w:val="000000"/>
        </w:rPr>
      </w:pPr>
      <w:r w:rsidRPr="002B4C1D">
        <w:rPr>
          <w:b/>
          <w:color w:val="000000"/>
        </w:rPr>
        <w:lastRenderedPageBreak/>
        <w:t>Dodeljevanje sredstev in evropski semester</w:t>
      </w:r>
    </w:p>
    <w:p w14:paraId="4031572F" w14:textId="77777777" w:rsidR="00126BF4" w:rsidRPr="002B4C1D" w:rsidRDefault="00126BF4" w:rsidP="005A7AC8">
      <w:pPr>
        <w:suppressAutoHyphens/>
        <w:overflowPunct w:val="0"/>
        <w:autoSpaceDE w:val="0"/>
        <w:autoSpaceDN w:val="0"/>
        <w:adjustRightInd w:val="0"/>
        <w:textAlignment w:val="baseline"/>
        <w:outlineLvl w:val="1"/>
        <w:rPr>
          <w:i/>
          <w:iCs/>
          <w:szCs w:val="20"/>
        </w:rPr>
      </w:pPr>
    </w:p>
    <w:p w14:paraId="3FEA8409" w14:textId="77E8DC90" w:rsidR="00126BF4" w:rsidRPr="002B4C1D" w:rsidRDefault="00126BF4" w:rsidP="005A7AC8">
      <w:pPr>
        <w:pStyle w:val="Heading2"/>
        <w:suppressAutoHyphens/>
      </w:pPr>
      <w:r w:rsidRPr="002B4C1D">
        <w:t xml:space="preserve">poziva Evropsko komisijo k ohranitvi dopolnjevanja z drugimi politikami EU, ustvarjanju socialnega in ekonomskega </w:t>
      </w:r>
      <w:proofErr w:type="spellStart"/>
      <w:r w:rsidRPr="002B4C1D">
        <w:t>multiplikacijskega</w:t>
      </w:r>
      <w:proofErr w:type="spellEnd"/>
      <w:r w:rsidRPr="002B4C1D">
        <w:t xml:space="preserve"> učinka in ustrezni uporabi sredstev, saj kohezijska razsežnost ne konkurira strateškim prednostnim nalogam EU, temveč jih dopolnjuje;</w:t>
      </w:r>
    </w:p>
    <w:p w14:paraId="22D81E92" w14:textId="77777777" w:rsidR="00126BF4" w:rsidRPr="002B4C1D" w:rsidRDefault="00126BF4" w:rsidP="005A7AC8">
      <w:pPr>
        <w:suppressAutoHyphens/>
      </w:pPr>
    </w:p>
    <w:p w14:paraId="52E92BE6" w14:textId="4037FC4C" w:rsidR="002C713A" w:rsidRPr="002B4C1D" w:rsidRDefault="00126BF4" w:rsidP="005A7AC8">
      <w:pPr>
        <w:numPr>
          <w:ilvl w:val="1"/>
          <w:numId w:val="1"/>
        </w:numPr>
        <w:suppressAutoHyphens/>
        <w:overflowPunct w:val="0"/>
        <w:autoSpaceDE w:val="0"/>
        <w:autoSpaceDN w:val="0"/>
        <w:adjustRightInd w:val="0"/>
        <w:ind w:left="567" w:hanging="567"/>
        <w:textAlignment w:val="baseline"/>
        <w:outlineLvl w:val="1"/>
        <w:rPr>
          <w:i/>
          <w:iCs/>
        </w:rPr>
      </w:pPr>
      <w:r w:rsidRPr="002B4C1D">
        <w:rPr>
          <w:color w:val="000000"/>
        </w:rPr>
        <w:t>poziva Komisijo, naj natančno pojasni način dodeljevanja sredstev državam članicam, zlasti spremembe obsega sredstev med programskimi obdobji, in naj spodbuja ključne prednostne naloge, da ne bi ustvarjali konkurence med različnimi prednostnimi nalogami na ravni držav članic. V predlogu bi morali bolje predstaviti pomen instrumentov, kot je sedanji ESRR;</w:t>
      </w:r>
    </w:p>
    <w:p w14:paraId="3E1C22CC" w14:textId="77777777" w:rsidR="002C713A" w:rsidRPr="002B4C1D" w:rsidRDefault="002C713A" w:rsidP="005A7AC8"/>
    <w:p w14:paraId="58197D96" w14:textId="142A2AF4" w:rsidR="00126BF4" w:rsidRPr="002B4C1D" w:rsidRDefault="004D0F4F" w:rsidP="005A7AC8">
      <w:pPr>
        <w:numPr>
          <w:ilvl w:val="1"/>
          <w:numId w:val="1"/>
        </w:numPr>
        <w:suppressAutoHyphens/>
        <w:overflowPunct w:val="0"/>
        <w:autoSpaceDE w:val="0"/>
        <w:autoSpaceDN w:val="0"/>
        <w:adjustRightInd w:val="0"/>
        <w:ind w:left="567" w:hanging="567"/>
        <w:textAlignment w:val="baseline"/>
        <w:outlineLvl w:val="1"/>
        <w:rPr>
          <w:i/>
          <w:iCs/>
        </w:rPr>
      </w:pPr>
      <w:r w:rsidRPr="002B4C1D">
        <w:t>nasprotuje vsakršnemu makroekonomskemu pogojevanju v zvezi z evropskim semestrom. Izplačevanje sredstev EU ne bi smelo biti pogojeno z nepovezanimi predlogi strukturnih reform. Vlogo evropskega semestra pri usmerjanju naložb bi morali pojasniti; meni, da bi bilo treba dodatno okrepiti povezavo s cilji trajnostnega razvoja, zlasti cilji 8, 10, 11, 13 in 16, ter poleg nacionalnih socialnih kazalnikov uporabiti evropski okvir za socialno konvergenco.</w:t>
      </w:r>
    </w:p>
    <w:p w14:paraId="5B3BE5E5" w14:textId="22B75182" w:rsidR="00646AC2" w:rsidRPr="002B4C1D" w:rsidRDefault="00646AC2" w:rsidP="005A7AC8"/>
    <w:p w14:paraId="1645B894" w14:textId="58A3BF4B" w:rsidR="002D4F61" w:rsidRPr="002B4C1D" w:rsidRDefault="002D4F61" w:rsidP="005A7AC8">
      <w:pPr>
        <w:pStyle w:val="Heading1"/>
        <w:suppressAutoHyphens/>
        <w:ind w:left="567" w:hanging="567"/>
      </w:pPr>
      <w:r w:rsidRPr="002B4C1D">
        <w:t>POJASNILA</w:t>
      </w:r>
    </w:p>
    <w:p w14:paraId="6C44284C" w14:textId="77777777" w:rsidR="00DD5516" w:rsidRPr="002B4C1D" w:rsidRDefault="00DD5516" w:rsidP="005A7AC8"/>
    <w:p w14:paraId="19245449" w14:textId="5BEA4E42" w:rsidR="00126BF4" w:rsidRPr="002B4C1D" w:rsidRDefault="00126BF4" w:rsidP="005A7AC8">
      <w:pPr>
        <w:pStyle w:val="Heading2"/>
        <w:suppressAutoHyphens/>
      </w:pPr>
      <w:r w:rsidRPr="002B4C1D">
        <w:t>Evropska komisija v predlogu večletnega finančnega okvira EU 2028–2034 predvideva oblikovanje celovitega in integriranega sklada (Evropskega sklada za ekonomsko, socialno in teritorialno kohezijo, kmetijstvo in podeželje, ribištvo in pomorstvo ter blaginjo in varnost), ki bi nadomestil 14 obstoječih skladov, ki se trenutno uporabljajo na teh področjih.</w:t>
      </w:r>
    </w:p>
    <w:p w14:paraId="21C22C0B" w14:textId="77777777" w:rsidR="00126BF4" w:rsidRPr="002B4C1D" w:rsidRDefault="00126BF4" w:rsidP="005A7AC8"/>
    <w:p w14:paraId="31206C54" w14:textId="09044F42" w:rsidR="00126BF4" w:rsidRPr="002B4C1D" w:rsidRDefault="00126BF4" w:rsidP="005A7AC8">
      <w:pPr>
        <w:pStyle w:val="Heading2"/>
        <w:suppressAutoHyphens/>
      </w:pPr>
      <w:r w:rsidRPr="002B4C1D">
        <w:t>Sklad zajema običajni področji kohezijske politike in skupne kmetijske politike, poleg tega pa še azilno, migracijsko in vizumsko politiko, zaščito meja in notranje zadeve. To je celovit sklop zajamčenih sredstev, namenjenih posameznim državam članicam EU. V tem smislu se v predlogu večletnega finančnega okvira predvideva, da bo približno 44 % vseh dodeljenih sredstev razdeljenih v obliki zajamčenih sredstev za države članice (trenutno približno 63 %).</w:t>
      </w:r>
    </w:p>
    <w:p w14:paraId="43E88D2F" w14:textId="77777777" w:rsidR="00126BF4" w:rsidRPr="002B4C1D" w:rsidRDefault="00126BF4" w:rsidP="005A7AC8">
      <w:pPr>
        <w:suppressAutoHyphens/>
      </w:pPr>
    </w:p>
    <w:p w14:paraId="4B7D2688" w14:textId="0091B465" w:rsidR="00126BF4" w:rsidRPr="002B4C1D" w:rsidRDefault="00126BF4" w:rsidP="005A7AC8">
      <w:pPr>
        <w:pStyle w:val="Heading2"/>
        <w:suppressAutoHyphens/>
      </w:pPr>
      <w:r w:rsidRPr="002B4C1D">
        <w:t>Sklad je s finančnimi sredstvi v višini 865,1 milijarde EUR največji sklop večletnega finančnega okvira in omogoča financiranje načrtov za nacionalna in regionalna partnerstva (782,9 milijarde EUR), ki dopolnjujejo drugi novi instrument v večletnem finančnem okviru, tj. Instrument EU (71,9 milijarde EUR) in obstoječi program Interreg (10,3 milijarde EUR). Dodeljenih proračunskih sredstev ni dovolj, da bi obvladali številna in vse bolj raznolika tveganja na regionalni ravni. EESO meni, da bi bilo treba z uvedbo namenskih sredstev za podeželje proračun povečati za vsaj 5 %, proračun za SKP pa na raven, ki ustreza 0,5 % BDP EU.</w:t>
      </w:r>
    </w:p>
    <w:p w14:paraId="1B3BFCCF" w14:textId="77777777" w:rsidR="00126BF4" w:rsidRPr="002B4C1D" w:rsidRDefault="00126BF4" w:rsidP="005A7AC8">
      <w:pPr>
        <w:suppressAutoHyphens/>
      </w:pPr>
    </w:p>
    <w:p w14:paraId="675E5D06" w14:textId="6E7F6FFC" w:rsidR="00126BF4" w:rsidRPr="002B4C1D" w:rsidRDefault="00E20959" w:rsidP="005A7AC8">
      <w:pPr>
        <w:numPr>
          <w:ilvl w:val="1"/>
          <w:numId w:val="1"/>
        </w:numPr>
        <w:suppressAutoHyphens/>
        <w:overflowPunct w:val="0"/>
        <w:autoSpaceDE w:val="0"/>
        <w:autoSpaceDN w:val="0"/>
        <w:adjustRightInd w:val="0"/>
        <w:ind w:left="567" w:hanging="567"/>
        <w:textAlignment w:val="baseline"/>
        <w:outlineLvl w:val="1"/>
      </w:pPr>
      <w:r w:rsidRPr="002B4C1D">
        <w:t xml:space="preserve">EESO predlaga sprejetje izrecnih določb o izvajanju načela partnerstva ter vključevanju socialnih partnerjev in organizacij civilne družbe v oblikovanje, izvajanje, spremljanje, upravljanje, ocenjevanje in nadzor načrtov za nacionalna in regionalna partnerstva. Stalno horizontalno vključevanje ekonomskih in socialnih partnerjev ključno prispeva k uspehu, saj bi se lahko zaradi večje prožnosti in centralizacije, predvidenih v predlogu, zmanjšalo zaupanje v EU ter oslabila lokalni pristop in upravljanje na več ravneh, kar bi negativno vplivalo na uravnoteženost pristopa glede strateških ciljev. Lokalni pristop na področju kohezijske politike in mehanizmi za stabilnost v okviru SKP preprečujejo razdrobljenost. Brez tega utegne priti do </w:t>
      </w:r>
      <w:r w:rsidRPr="002B4C1D">
        <w:lastRenderedPageBreak/>
        <w:t>centralizacije, zmanjšanja legitimnosti in izgube zaupanja. EESO meni, da uredba o enotnem skladu ne vključuje ustreznih obveznih mehanizmov za učinkovito vključevanje deležnikov. Uvesti bi bilo treba pritožbeni mehanizem za deležnike. V primeru, da vlade ne bi poskrbele za učinkovito vključevanje deležnikov, bi bilo treba uvesti ustrezne pogoje in zaščitne ukrepe za izboljšanje sodelovanja. EESO meni, da se s preverjanjem na regionalni ravni, ki ga predlaga Evropska komisija, ne zagotavlja učinkovitega vključevanja deležnikov v zadostni meri, saj je poudarek zgolj na vključevanju vladnih organov na različnih ravneh upravljanja (regionalni, lokalni itd.), socialni partnerji in organizacije civilne družbe pa se ne upoštevajo. Predlagano je samo, naj se poroča o vključevanju, ni pa predvidenih posledic v primerih, ko vključevanje velja za neučinkovito. EESO zato predlaga, da se poleg preverjanja na regionalni ravni uvede preverjanje v povezavi s socialnimi partnerji in organizacijami civilne družbe.</w:t>
      </w:r>
    </w:p>
    <w:p w14:paraId="1380D2B4" w14:textId="77777777" w:rsidR="00B8450A" w:rsidRPr="002B4C1D" w:rsidRDefault="00B8450A" w:rsidP="005A7AC8"/>
    <w:p w14:paraId="1E25966C" w14:textId="1366487B" w:rsidR="00B8450A" w:rsidRPr="002B4C1D" w:rsidRDefault="00B8450A" w:rsidP="005A7AC8">
      <w:pPr>
        <w:suppressAutoHyphens/>
      </w:pPr>
      <w:r w:rsidRPr="002B4C1D">
        <w:rPr>
          <w:i/>
        </w:rPr>
        <w:t>Utemeljitev priporočila 1.2</w:t>
      </w:r>
    </w:p>
    <w:p w14:paraId="23086D73" w14:textId="77777777" w:rsidR="00B8450A" w:rsidRPr="002B4C1D" w:rsidRDefault="00B8450A" w:rsidP="005A7AC8">
      <w:pPr>
        <w:suppressAutoHyphens/>
      </w:pPr>
    </w:p>
    <w:p w14:paraId="155BA1CE" w14:textId="3ED6BBF6" w:rsidR="00B8450A" w:rsidRPr="002B4C1D" w:rsidRDefault="00B8450A" w:rsidP="005A7AC8">
      <w:pPr>
        <w:numPr>
          <w:ilvl w:val="1"/>
          <w:numId w:val="1"/>
        </w:numPr>
        <w:suppressAutoHyphens/>
        <w:overflowPunct w:val="0"/>
        <w:autoSpaceDE w:val="0"/>
        <w:autoSpaceDN w:val="0"/>
        <w:adjustRightInd w:val="0"/>
        <w:ind w:left="567" w:hanging="567"/>
        <w:textAlignment w:val="baseline"/>
        <w:outlineLvl w:val="1"/>
      </w:pPr>
      <w:r w:rsidRPr="002B4C1D">
        <w:t>EESO meni, da morajo načrti za nacionalna in regionalna partnerstva vsebovati poglavje, ki se nanaša na vse regije, ali poglavje, ki se nanaša na posamezno regijo, ter da morajo predlogi vsebovati dodatna jamstva. Treba je dosledno obravnavati vprašanje odgovornosti, zlasti vpliv na mesta ali podnacionalne interese, kadar se načelo pravne države ne upošteva, na primer na nacionalni ravni, če se upravičene regije ne bodo mogle neposredno pogajati z Evropsko komisijo.</w:t>
      </w:r>
    </w:p>
    <w:p w14:paraId="5A14A417" w14:textId="77777777" w:rsidR="00B8450A" w:rsidRPr="002B4C1D" w:rsidRDefault="00B8450A" w:rsidP="005A7AC8"/>
    <w:p w14:paraId="1EBD5E4B" w14:textId="559F4486" w:rsidR="00B8450A" w:rsidRPr="002B4C1D" w:rsidRDefault="00B8450A" w:rsidP="005A7AC8">
      <w:pPr>
        <w:suppressAutoHyphens/>
      </w:pPr>
      <w:r w:rsidRPr="002B4C1D">
        <w:rPr>
          <w:i/>
        </w:rPr>
        <w:t>Utemeljitev priporočila 1.2</w:t>
      </w:r>
    </w:p>
    <w:p w14:paraId="61D7275B" w14:textId="77777777" w:rsidR="00B8450A" w:rsidRPr="002B4C1D" w:rsidRDefault="00B8450A" w:rsidP="005A7AC8"/>
    <w:p w14:paraId="160DAC2C" w14:textId="77777777" w:rsidR="00B8450A" w:rsidRPr="002B4C1D" w:rsidRDefault="00B8450A" w:rsidP="005A7AC8">
      <w:pPr>
        <w:numPr>
          <w:ilvl w:val="1"/>
          <w:numId w:val="1"/>
        </w:numPr>
        <w:suppressAutoHyphens/>
        <w:overflowPunct w:val="0"/>
        <w:autoSpaceDE w:val="0"/>
        <w:autoSpaceDN w:val="0"/>
        <w:adjustRightInd w:val="0"/>
        <w:ind w:left="567" w:hanging="567"/>
        <w:textAlignment w:val="baseline"/>
        <w:outlineLvl w:val="1"/>
        <w:rPr>
          <w:szCs w:val="20"/>
        </w:rPr>
      </w:pPr>
      <w:r w:rsidRPr="002B4C1D">
        <w:t>V centraliziranih sistemih se kot težava kaže preglednost, za napredek pa so potrebne naložbe in reforme, ki vključujejo nacionalne in regionalne strukture upravljanja. Z večjim številom sestankov na leto bomo utrdili načeli partnerstva in upravljanja na več ravneh ter s tem prispevali k ustreznemu obveščanju o napredku pri izvajanju.</w:t>
      </w:r>
    </w:p>
    <w:p w14:paraId="246BAEBD" w14:textId="77777777" w:rsidR="00B8450A" w:rsidRPr="002B4C1D" w:rsidRDefault="00B8450A" w:rsidP="005A7AC8"/>
    <w:p w14:paraId="4292A1DC" w14:textId="0CEE136B" w:rsidR="00B8450A" w:rsidRPr="002B4C1D" w:rsidRDefault="00B8450A" w:rsidP="005A7AC8">
      <w:pPr>
        <w:suppressAutoHyphens/>
        <w:autoSpaceDE w:val="0"/>
        <w:autoSpaceDN w:val="0"/>
        <w:ind w:left="567" w:hanging="567"/>
        <w:rPr>
          <w:i/>
          <w:iCs/>
          <w:szCs w:val="20"/>
        </w:rPr>
      </w:pPr>
      <w:r w:rsidRPr="002B4C1D">
        <w:rPr>
          <w:i/>
        </w:rPr>
        <w:t>Utemeljitev priporočila 1.3</w:t>
      </w:r>
    </w:p>
    <w:p w14:paraId="0E583C2F" w14:textId="77777777" w:rsidR="00B8450A" w:rsidRPr="002B4C1D" w:rsidRDefault="00B8450A" w:rsidP="005A7AC8">
      <w:pPr>
        <w:suppressAutoHyphens/>
      </w:pPr>
    </w:p>
    <w:p w14:paraId="6A098095" w14:textId="7BC07B84" w:rsidR="00B8450A" w:rsidRPr="002B4C1D" w:rsidRDefault="00B8450A" w:rsidP="005A7AC8">
      <w:pPr>
        <w:numPr>
          <w:ilvl w:val="1"/>
          <w:numId w:val="1"/>
        </w:numPr>
        <w:suppressAutoHyphens/>
        <w:overflowPunct w:val="0"/>
        <w:autoSpaceDE w:val="0"/>
        <w:autoSpaceDN w:val="0"/>
        <w:adjustRightInd w:val="0"/>
        <w:ind w:left="567" w:hanging="567"/>
        <w:textAlignment w:val="baseline"/>
        <w:outlineLvl w:val="1"/>
      </w:pPr>
      <w:r w:rsidRPr="002B4C1D">
        <w:t>EESO meni, da bi morali v načrtih za nacionalna in regionalna partnerstva predvideti ocene teritorialnega učinka večjih naložb in reform, da se preveri, kako vplivajo na regionalne razlike in teritorialno kohezijo, ter vanje vključiti poglavje o tem, kako se bo z naložbami uravnotežil razvoj podeželja in mest, vključno s primestnimi območji. To je namreč pomembno, da se prepreči prekomerna koncentracija sredstev na metropolitanskih območjih in poskrbi za nadaljnjo podporo podeželskim območjem (vključno z regijami, ki se soočajo z odseljevanjem in staranjem prebivalstva) na podlagi posebnega preverjanja učinkov ukrepov na podeželje. Z načrti za nacionalna in regionalna partnerstva bi morali v skladu s členoma 174 in 349 PDEU ter prakso kohezijske politike tudi poskrbeti za naložbe v funkcionalna območja (otoki, gorske regije, redko poseljena območja in najbolj oddaljene regije).</w:t>
      </w:r>
    </w:p>
    <w:p w14:paraId="2A23A87E" w14:textId="77777777" w:rsidR="00126BF4" w:rsidRPr="002B4C1D" w:rsidRDefault="00126BF4" w:rsidP="005A7AC8"/>
    <w:p w14:paraId="3503A02C" w14:textId="5BC3A07C" w:rsidR="00126BF4" w:rsidRPr="002B4C1D" w:rsidRDefault="00126BF4" w:rsidP="005A7AC8">
      <w:pPr>
        <w:suppressAutoHyphens/>
        <w:autoSpaceDE w:val="0"/>
        <w:autoSpaceDN w:val="0"/>
        <w:ind w:left="567" w:hanging="567"/>
        <w:rPr>
          <w:i/>
          <w:iCs/>
          <w:szCs w:val="20"/>
        </w:rPr>
      </w:pPr>
      <w:r w:rsidRPr="002B4C1D">
        <w:rPr>
          <w:i/>
        </w:rPr>
        <w:t>Utemeljitev priporočil 1.4 in 1.5</w:t>
      </w:r>
    </w:p>
    <w:p w14:paraId="003D65DD" w14:textId="77777777" w:rsidR="00126BF4" w:rsidRPr="002B4C1D" w:rsidRDefault="00126BF4" w:rsidP="005A7AC8"/>
    <w:p w14:paraId="4E7985C2" w14:textId="7E2CD804" w:rsidR="00126BF4" w:rsidRPr="002B4C1D" w:rsidRDefault="00627E5A" w:rsidP="005A7AC8">
      <w:pPr>
        <w:numPr>
          <w:ilvl w:val="1"/>
          <w:numId w:val="1"/>
        </w:numPr>
        <w:suppressAutoHyphens/>
        <w:overflowPunct w:val="0"/>
        <w:autoSpaceDE w:val="0"/>
        <w:autoSpaceDN w:val="0"/>
        <w:adjustRightInd w:val="0"/>
        <w:ind w:left="567" w:hanging="567"/>
        <w:textAlignment w:val="baseline"/>
        <w:outlineLvl w:val="1"/>
      </w:pPr>
      <w:r w:rsidRPr="002B4C1D">
        <w:t xml:space="preserve">V načrtih za nacionalna in regionalna partnerstva je treba pokazati, da so socialni partnerji, organizacije civilne družbe ter lokalne in regionalne oblasti učinkovito vključeni v odbore za upravljanje in spremljanje ter imajo odločilno vlogo pri odločitvah, ki vplivajo na njihovo </w:t>
      </w:r>
      <w:r w:rsidRPr="002B4C1D">
        <w:lastRenderedPageBreak/>
        <w:t>ozemlje, kar je v skladu s spodbujanjem prevzemanja odgovornosti in upravljanja na več ravneh. EESO poudarja, da je treba ta partnerstva zajeti v vseh poglavjih omenjenih načrtov in da morajo biti ustrezni partnerji uravnoteženo zastopani.</w:t>
      </w:r>
    </w:p>
    <w:p w14:paraId="6B8ABA71" w14:textId="77777777" w:rsidR="00B8450A" w:rsidRPr="002B4C1D" w:rsidRDefault="00B8450A" w:rsidP="005A7AC8"/>
    <w:p w14:paraId="5905C732" w14:textId="1968061F" w:rsidR="00B8450A" w:rsidRPr="002B4C1D" w:rsidRDefault="00B8450A" w:rsidP="005A7AC8">
      <w:pPr>
        <w:suppressAutoHyphens/>
      </w:pPr>
      <w:r w:rsidRPr="002B4C1D">
        <w:rPr>
          <w:i/>
        </w:rPr>
        <w:t>Utemeljitev priporočila 1.5</w:t>
      </w:r>
    </w:p>
    <w:p w14:paraId="4DB7A7CC" w14:textId="77777777" w:rsidR="00B8450A" w:rsidRPr="002B4C1D" w:rsidRDefault="00B8450A" w:rsidP="005A7AC8">
      <w:pPr>
        <w:suppressAutoHyphens/>
      </w:pPr>
    </w:p>
    <w:p w14:paraId="19AD26C3" w14:textId="77777777" w:rsidR="00B8450A" w:rsidRPr="002B4C1D" w:rsidRDefault="00B8450A" w:rsidP="005A7AC8">
      <w:pPr>
        <w:numPr>
          <w:ilvl w:val="1"/>
          <w:numId w:val="1"/>
        </w:numPr>
        <w:suppressAutoHyphens/>
        <w:overflowPunct w:val="0"/>
        <w:autoSpaceDE w:val="0"/>
        <w:autoSpaceDN w:val="0"/>
        <w:adjustRightInd w:val="0"/>
        <w:ind w:left="567" w:hanging="567"/>
        <w:textAlignment w:val="baseline"/>
        <w:outlineLvl w:val="1"/>
        <w:rPr>
          <w:color w:val="000000"/>
        </w:rPr>
      </w:pPr>
      <w:r w:rsidRPr="002B4C1D">
        <w:t>Zaradi večje prožnosti je treba povezavo z najpomembnejšimi družbenimi izzivi obravnavati v okviru tematskih osredotočenosti, na primer na področju prehranske varnosti, neenakosti, dostojnega staranja in državljanskega udejstvovanja, da se ohrani namenskost skladov.</w:t>
      </w:r>
      <w:r w:rsidRPr="002B4C1D">
        <w:rPr>
          <w:color w:val="000000"/>
        </w:rPr>
        <w:t xml:space="preserve"> EESO predlaga, da se izrecno predvidijo namenska finančna sredstva za navedene tematske osredotočenosti, kar je nujno, da se okrepi povezava s cilji trajnostnega razvoja, zlasti s cilji 8, 10, 11, 13 in 16 o krepitvi socialne in teritorialne pravičnosti.</w:t>
      </w:r>
    </w:p>
    <w:p w14:paraId="270D3F58" w14:textId="77777777" w:rsidR="00126BF4" w:rsidRPr="002B4C1D" w:rsidRDefault="00126BF4" w:rsidP="005A7AC8"/>
    <w:p w14:paraId="4243C8FE" w14:textId="3B929E7D" w:rsidR="00126BF4" w:rsidRPr="002B4C1D" w:rsidRDefault="00126BF4" w:rsidP="005A7AC8">
      <w:pPr>
        <w:suppressAutoHyphens/>
        <w:autoSpaceDE w:val="0"/>
        <w:autoSpaceDN w:val="0"/>
        <w:ind w:left="567" w:hanging="567"/>
        <w:rPr>
          <w:i/>
          <w:iCs/>
          <w:szCs w:val="20"/>
        </w:rPr>
      </w:pPr>
      <w:r w:rsidRPr="002B4C1D">
        <w:rPr>
          <w:i/>
        </w:rPr>
        <w:t>Utemeljitev priporočil 1.6 in 1.7</w:t>
      </w:r>
    </w:p>
    <w:p w14:paraId="3D8290B0" w14:textId="77777777" w:rsidR="00126BF4" w:rsidRPr="002B4C1D" w:rsidRDefault="00126BF4" w:rsidP="005A7AC8">
      <w:pPr>
        <w:suppressAutoHyphens/>
      </w:pPr>
    </w:p>
    <w:p w14:paraId="54F596AA" w14:textId="2A30A5C1" w:rsidR="00126BF4" w:rsidRPr="002B4C1D" w:rsidRDefault="00590E2A" w:rsidP="005A7AC8">
      <w:pPr>
        <w:numPr>
          <w:ilvl w:val="1"/>
          <w:numId w:val="1"/>
        </w:numPr>
        <w:suppressAutoHyphens/>
        <w:overflowPunct w:val="0"/>
        <w:autoSpaceDE w:val="0"/>
        <w:autoSpaceDN w:val="0"/>
        <w:adjustRightInd w:val="0"/>
        <w:ind w:left="567" w:hanging="567"/>
        <w:textAlignment w:val="baseline"/>
        <w:outlineLvl w:val="1"/>
      </w:pPr>
      <w:r w:rsidRPr="002B4C1D">
        <w:t>Zaradi prevzemanja odgovornosti glede načrtov bi bilo treba v fazo nadzora vključiti tudi nacionalne in podnacionalne partnerje, saj se sklad ne bi smel omejevati na formalno načelo partnerstva, sodelovanje partnerjev pa bi moralo potekati na vključujoč in povezovalen način. Poleg tega je bistveno zagotoviti legitimnost in podrobno obravnavo, da bi obvladovali potrebe v skladu z lokalnim pristopom.</w:t>
      </w:r>
    </w:p>
    <w:p w14:paraId="0573C717" w14:textId="77777777" w:rsidR="00126BF4" w:rsidRPr="002B4C1D" w:rsidRDefault="00126BF4" w:rsidP="005A7AC8">
      <w:pPr>
        <w:suppressAutoHyphens/>
      </w:pPr>
    </w:p>
    <w:p w14:paraId="45A96A8A" w14:textId="02D6FE8D" w:rsidR="00126BF4" w:rsidRPr="002B4C1D" w:rsidRDefault="00126BF4" w:rsidP="005A7AC8">
      <w:pPr>
        <w:suppressAutoHyphens/>
      </w:pPr>
      <w:r w:rsidRPr="002B4C1D">
        <w:rPr>
          <w:i/>
        </w:rPr>
        <w:t>Utemeljitev priporočil 1.8, 1.9 in 1.10</w:t>
      </w:r>
    </w:p>
    <w:p w14:paraId="0F68F7EB" w14:textId="77777777" w:rsidR="00126BF4" w:rsidRPr="002B4C1D" w:rsidRDefault="00126BF4" w:rsidP="005A7AC8">
      <w:pPr>
        <w:suppressAutoHyphens/>
      </w:pPr>
    </w:p>
    <w:p w14:paraId="511EE279" w14:textId="4EF5A9BA" w:rsidR="004C594E" w:rsidRPr="002B4C1D" w:rsidRDefault="00FD52E3" w:rsidP="005A7AC8">
      <w:pPr>
        <w:numPr>
          <w:ilvl w:val="1"/>
          <w:numId w:val="1"/>
        </w:numPr>
        <w:suppressAutoHyphens/>
        <w:overflowPunct w:val="0"/>
        <w:autoSpaceDE w:val="0"/>
        <w:autoSpaceDN w:val="0"/>
        <w:adjustRightInd w:val="0"/>
        <w:ind w:left="567" w:hanging="567"/>
        <w:textAlignment w:val="baseline"/>
        <w:outlineLvl w:val="1"/>
      </w:pPr>
      <w:r w:rsidRPr="002B4C1D">
        <w:t>EESO predlaga, da se regijam, socialnim partnerjem in organizacijam civilne družbe dajo konkretna jamstva ter tako poskrbi za ustrezno izvajanje evropskega stebra socialnih pravic, zadostne naložbe v blaginjo delavcev in državljanov EU, okrepitev socialne razsežnosti konkurenčnosti in financiranje socialnih vidikov dvojnega prehoda.</w:t>
      </w:r>
    </w:p>
    <w:p w14:paraId="2CAF13E0" w14:textId="77777777" w:rsidR="00B8450A" w:rsidRPr="002B4C1D" w:rsidRDefault="00B8450A" w:rsidP="005A7AC8"/>
    <w:p w14:paraId="49DD48E0" w14:textId="0CF0123C" w:rsidR="00B8450A" w:rsidRPr="002B4C1D" w:rsidRDefault="00B8450A" w:rsidP="005A7AC8">
      <w:pPr>
        <w:suppressAutoHyphens/>
        <w:rPr>
          <w:i/>
          <w:iCs/>
          <w:szCs w:val="20"/>
        </w:rPr>
      </w:pPr>
      <w:r w:rsidRPr="002B4C1D">
        <w:rPr>
          <w:i/>
        </w:rPr>
        <w:t>Utemeljitev priporočila 1.13</w:t>
      </w:r>
    </w:p>
    <w:p w14:paraId="49419CBB" w14:textId="77777777" w:rsidR="00B8450A" w:rsidRPr="002B4C1D" w:rsidRDefault="00B8450A" w:rsidP="005A7AC8">
      <w:pPr>
        <w:suppressAutoHyphens/>
      </w:pPr>
    </w:p>
    <w:p w14:paraId="7526863A" w14:textId="757A9180" w:rsidR="00B8450A" w:rsidRPr="002B4C1D" w:rsidRDefault="00B8450A" w:rsidP="005A7AC8">
      <w:pPr>
        <w:numPr>
          <w:ilvl w:val="1"/>
          <w:numId w:val="1"/>
        </w:numPr>
        <w:suppressAutoHyphens/>
        <w:overflowPunct w:val="0"/>
        <w:autoSpaceDE w:val="0"/>
        <w:autoSpaceDN w:val="0"/>
        <w:adjustRightInd w:val="0"/>
        <w:ind w:left="567" w:hanging="567"/>
        <w:textAlignment w:val="baseline"/>
        <w:outlineLvl w:val="1"/>
      </w:pPr>
      <w:r w:rsidRPr="002B4C1D">
        <w:t>EESO predlaga, naj bodo izplačila sredstev iz enotnega sklada pogojena z izpolnjevanjem socialnih meril, določenih v zakonodaji EU in nacionalni zakonodaji, pri čemer naj se upoštevajo posebnosti držav članic. Da bi bilo ta socialna merila mogoče uporabljati, jih morajo oblikovati in sprejeti nacionalni socialni partnerji, vključujejo pa lahko jamstva za ohranitev lokacije in zaposlitev, ukrepe glede kvalifikacij in usposabljanja ter spoštovanje kolektivnih pogodb. Nekatere države članice so take ukrepe že uvedle. Socialna merila bi morala upoštevati različne vrste socialnega dialoga v državah članicah in ne bi smela voditi v neupravičeno diskriminacijo nekaterih vrst podjetij ali držav članic. Poleg tega podjetjem ne bi smela nalagati nepotrebnih birokratskih bremen. Nacionalni primeri kažejo, da se lahko s pogojevanjem javnega financiranja z izpolnjevanjem socialnih meril podpre potrebna preobrazba gospodarstva in prispeva k usmeritvi v ustvarjanje in ohranjanje visokokakovostnih delovnih mest, kar bo povečalo sprejemanje zelenega prehoda.</w:t>
      </w:r>
    </w:p>
    <w:p w14:paraId="5E03AF89" w14:textId="77777777" w:rsidR="00B8450A" w:rsidRPr="002B4C1D" w:rsidRDefault="00B8450A" w:rsidP="005A7AC8"/>
    <w:p w14:paraId="4BAED054" w14:textId="7A2CC06D" w:rsidR="00B8450A" w:rsidRPr="002B4C1D" w:rsidRDefault="00B8450A" w:rsidP="005A7AC8">
      <w:pPr>
        <w:pageBreakBefore/>
        <w:suppressAutoHyphens/>
      </w:pPr>
      <w:r w:rsidRPr="002B4C1D">
        <w:rPr>
          <w:i/>
        </w:rPr>
        <w:lastRenderedPageBreak/>
        <w:t>Utemeljitev priporočil 1.4 in 1.14</w:t>
      </w:r>
    </w:p>
    <w:p w14:paraId="53F86972" w14:textId="77777777" w:rsidR="00B8450A" w:rsidRPr="002B4C1D" w:rsidRDefault="00B8450A" w:rsidP="005A7AC8">
      <w:pPr>
        <w:suppressAutoHyphens/>
      </w:pPr>
    </w:p>
    <w:p w14:paraId="7BF20F14" w14:textId="083B1B6F" w:rsidR="00B8450A" w:rsidRPr="002B4C1D" w:rsidRDefault="00B8450A" w:rsidP="005A7AC8">
      <w:pPr>
        <w:numPr>
          <w:ilvl w:val="1"/>
          <w:numId w:val="1"/>
        </w:numPr>
        <w:suppressAutoHyphens/>
        <w:overflowPunct w:val="0"/>
        <w:autoSpaceDE w:val="0"/>
        <w:autoSpaceDN w:val="0"/>
        <w:adjustRightInd w:val="0"/>
        <w:ind w:left="567" w:hanging="567"/>
        <w:textAlignment w:val="baseline"/>
        <w:outlineLvl w:val="1"/>
        <w:rPr>
          <w:szCs w:val="20"/>
        </w:rPr>
      </w:pPr>
      <w:r w:rsidRPr="002B4C1D">
        <w:t>EESO obžaluje, da v predlog ni več ustrezno vključen pravični prehod in da se temu sploh ne namenjajo konkretna sredstva, čeprav se pravični prehod navaja kot cilj sklada. Meni, da je treba koncept pravičnega prehoda utrditi, ne pa ga kombinirati s čistim prehodom, saj dvojni prehod ni zgolj tehnološki izziv. Predlagano je, da se 6 % sredstev dodeli regijam v prehodu, tj. regijam, ki jih je zeleni prehod še posebej prizadel. EESO meni, da je predlagani novi zaščitni ukrep preblag in ne bo učinkovito preprečil zmanjšanja sredstev za regije v prehodu v primerjavi s sedanjim obdobjem financiranja. Z namensko dodelitvijo določenega zneska bi najbolj ustrezno obravnavali potrebe regij v prehodu po financiranju.</w:t>
      </w:r>
    </w:p>
    <w:p w14:paraId="57DCE7FD" w14:textId="77777777" w:rsidR="00B8450A" w:rsidRPr="002B4C1D" w:rsidRDefault="00B8450A" w:rsidP="005A7AC8"/>
    <w:p w14:paraId="58EF45C9" w14:textId="5E982087" w:rsidR="00B8450A" w:rsidRPr="002B4C1D" w:rsidRDefault="00B8450A" w:rsidP="005A7AC8">
      <w:pPr>
        <w:suppressAutoHyphens/>
        <w:jc w:val="left"/>
        <w:rPr>
          <w:i/>
        </w:rPr>
      </w:pPr>
      <w:r w:rsidRPr="002B4C1D">
        <w:rPr>
          <w:i/>
        </w:rPr>
        <w:t>Utemeljitev priporočila 1.14</w:t>
      </w:r>
    </w:p>
    <w:p w14:paraId="6E5504FC" w14:textId="77777777" w:rsidR="00B8450A" w:rsidRPr="002B4C1D" w:rsidRDefault="00B8450A" w:rsidP="005A7AC8">
      <w:pPr>
        <w:suppressAutoHyphens/>
      </w:pPr>
    </w:p>
    <w:p w14:paraId="4EAD3700" w14:textId="77777777" w:rsidR="00B8450A" w:rsidRPr="002B4C1D" w:rsidRDefault="00B8450A" w:rsidP="005A7AC8">
      <w:pPr>
        <w:numPr>
          <w:ilvl w:val="1"/>
          <w:numId w:val="1"/>
        </w:numPr>
        <w:suppressAutoHyphens/>
        <w:overflowPunct w:val="0"/>
        <w:autoSpaceDE w:val="0"/>
        <w:autoSpaceDN w:val="0"/>
        <w:adjustRightInd w:val="0"/>
        <w:ind w:left="567" w:hanging="567"/>
        <w:textAlignment w:val="baseline"/>
        <w:outlineLvl w:val="1"/>
      </w:pPr>
      <w:r w:rsidRPr="002B4C1D">
        <w:t xml:space="preserve">EESO meni, da bi morala biti vključitev načela </w:t>
      </w:r>
      <w:proofErr w:type="spellStart"/>
      <w:r w:rsidRPr="002B4C1D">
        <w:t>teritorialnosti</w:t>
      </w:r>
      <w:proofErr w:type="spellEnd"/>
      <w:r w:rsidRPr="002B4C1D">
        <w:t xml:space="preserve"> v načrte za nacionalna in regionalna partnerstva obveznost in ne izbira držav članic, tako kot v primeru sklada za konkurenčnost, ki mora biti teritorialno uravnotežen, saj je treba najti kompromis med skupno produktivnostjo in teritorialno kohezijo. Komisija bi morala imeti ustrezne pristojnosti, da ohrani sinergijo med dinamiko izvajanja ter ključnimi cilji EU in razvojnimi potrebami.</w:t>
      </w:r>
    </w:p>
    <w:p w14:paraId="1304B5B9" w14:textId="77777777" w:rsidR="004C594E" w:rsidRPr="002B4C1D" w:rsidRDefault="004C594E" w:rsidP="005A7AC8">
      <w:pPr>
        <w:suppressAutoHyphens/>
      </w:pPr>
    </w:p>
    <w:p w14:paraId="1FC32B81" w14:textId="41A434E4" w:rsidR="00495514" w:rsidRPr="002B4C1D" w:rsidRDefault="00495514" w:rsidP="005A7AC8">
      <w:pPr>
        <w:suppressAutoHyphens/>
        <w:rPr>
          <w:i/>
          <w:iCs/>
          <w:szCs w:val="20"/>
        </w:rPr>
      </w:pPr>
      <w:r w:rsidRPr="002B4C1D">
        <w:rPr>
          <w:i/>
        </w:rPr>
        <w:t>Utemeljitev priporočila 1.15</w:t>
      </w:r>
    </w:p>
    <w:p w14:paraId="3E31F6F2" w14:textId="77777777" w:rsidR="00495514" w:rsidRPr="002B4C1D" w:rsidRDefault="00495514" w:rsidP="005A7AC8">
      <w:pPr>
        <w:suppressAutoHyphens/>
      </w:pPr>
    </w:p>
    <w:p w14:paraId="787F3D54" w14:textId="417D2AD9" w:rsidR="000F5E46" w:rsidRPr="002B4C1D" w:rsidRDefault="00126BF4" w:rsidP="005A7AC8">
      <w:pPr>
        <w:numPr>
          <w:ilvl w:val="1"/>
          <w:numId w:val="1"/>
        </w:numPr>
        <w:suppressAutoHyphens/>
        <w:overflowPunct w:val="0"/>
        <w:autoSpaceDE w:val="0"/>
        <w:autoSpaceDN w:val="0"/>
        <w:adjustRightInd w:val="0"/>
        <w:ind w:left="567" w:hanging="567"/>
        <w:textAlignment w:val="baseline"/>
        <w:outlineLvl w:val="1"/>
      </w:pPr>
      <w:r w:rsidRPr="002B4C1D">
        <w:t>Socialna pogojenost je že vključena v SKP. Da bi bilo izvajanje bolj dosledno in uravnoteženo, bi jo morali priznati kot horizontalno pogojenost. S socialnimi naložbami, zlasti v izobraževanje, spretnosti, nego in varstvo otrok ter zdravstveno varstvo, se krepi delovna sila ter podpirata zeleni in digitalni prehod. Dodelitev 20 % sredstev torej ne pomeni zgolj socialnih izdatkov, temveč tudi naložbo v produktivnost in rast.</w:t>
      </w:r>
    </w:p>
    <w:p w14:paraId="466DBD33" w14:textId="77777777" w:rsidR="00126BF4" w:rsidRPr="002B4C1D" w:rsidRDefault="00126BF4" w:rsidP="005A7AC8"/>
    <w:p w14:paraId="7B0035E6" w14:textId="369B08ED" w:rsidR="00126BF4" w:rsidRPr="002B4C1D" w:rsidRDefault="00126BF4" w:rsidP="005A7AC8">
      <w:pPr>
        <w:suppressAutoHyphens/>
        <w:autoSpaceDE w:val="0"/>
        <w:autoSpaceDN w:val="0"/>
        <w:ind w:left="567" w:hanging="567"/>
        <w:rPr>
          <w:i/>
          <w:iCs/>
          <w:szCs w:val="20"/>
        </w:rPr>
      </w:pPr>
      <w:r w:rsidRPr="002B4C1D">
        <w:rPr>
          <w:i/>
        </w:rPr>
        <w:t>Utemeljitev priporočil 1.15, 1.16 in 1.17</w:t>
      </w:r>
    </w:p>
    <w:p w14:paraId="4C821A77" w14:textId="77777777" w:rsidR="00126BF4" w:rsidRPr="002B4C1D" w:rsidRDefault="00126BF4" w:rsidP="005A7AC8">
      <w:pPr>
        <w:suppressAutoHyphens/>
      </w:pPr>
    </w:p>
    <w:p w14:paraId="363E37C6" w14:textId="5C457FE6" w:rsidR="00126BF4" w:rsidRPr="002B4C1D" w:rsidRDefault="00126BF4" w:rsidP="005A7AC8">
      <w:pPr>
        <w:numPr>
          <w:ilvl w:val="1"/>
          <w:numId w:val="1"/>
        </w:numPr>
        <w:suppressAutoHyphens/>
        <w:overflowPunct w:val="0"/>
        <w:autoSpaceDE w:val="0"/>
        <w:autoSpaceDN w:val="0"/>
        <w:adjustRightInd w:val="0"/>
        <w:ind w:left="567" w:hanging="567"/>
        <w:textAlignment w:val="baseline"/>
        <w:outlineLvl w:val="1"/>
        <w:rPr>
          <w:szCs w:val="20"/>
        </w:rPr>
      </w:pPr>
      <w:r w:rsidRPr="002B4C1D">
        <w:t>Konsolidacija in ustrezna vključitev odborov za spremljanje sta ključna za učinkovito izvajanje, saj obstaja tveganje, da se navzkrižje med različnimi interesi z ravni EU prenese na nacionalno raven. Pomembno je, da so postopki sodelovanja članov, tudi iz civilnega sektorja, pregledni. Ti odbori bi lahko bili dodatno jamstvo, če bi jih med drugim vključili v prenos znatnih sredstev med poglavji in tudi znotraj njih, utrdili uravnotežen teritorialni pristop, tudi s konsolidacijo načela lokalnega pristopa, in predložili ustrezne informacije o interesih, zastopanih v odborih.</w:t>
      </w:r>
    </w:p>
    <w:p w14:paraId="0BEE7A07" w14:textId="77777777" w:rsidR="00126BF4" w:rsidRPr="002B4C1D" w:rsidRDefault="00126BF4" w:rsidP="005A7AC8"/>
    <w:p w14:paraId="4CC5CC42" w14:textId="2820B917" w:rsidR="00495514" w:rsidRPr="002B4C1D" w:rsidRDefault="00495514" w:rsidP="005A7AC8">
      <w:pPr>
        <w:suppressAutoHyphens/>
        <w:overflowPunct w:val="0"/>
        <w:autoSpaceDE w:val="0"/>
        <w:autoSpaceDN w:val="0"/>
        <w:adjustRightInd w:val="0"/>
        <w:textAlignment w:val="baseline"/>
        <w:outlineLvl w:val="1"/>
        <w:rPr>
          <w:i/>
          <w:iCs/>
          <w:szCs w:val="20"/>
        </w:rPr>
      </w:pPr>
      <w:r w:rsidRPr="002B4C1D">
        <w:rPr>
          <w:i/>
        </w:rPr>
        <w:t>Utemeljitev priporočil 1.18, 1.19 in 1.20</w:t>
      </w:r>
    </w:p>
    <w:p w14:paraId="352608FD" w14:textId="77777777" w:rsidR="00495514" w:rsidRPr="002B4C1D" w:rsidRDefault="00495514" w:rsidP="005A7AC8">
      <w:pPr>
        <w:suppressAutoHyphens/>
        <w:overflowPunct w:val="0"/>
        <w:autoSpaceDE w:val="0"/>
        <w:autoSpaceDN w:val="0"/>
        <w:adjustRightInd w:val="0"/>
        <w:textAlignment w:val="baseline"/>
        <w:outlineLvl w:val="1"/>
        <w:rPr>
          <w:i/>
          <w:iCs/>
          <w:szCs w:val="20"/>
        </w:rPr>
      </w:pPr>
    </w:p>
    <w:p w14:paraId="726EFB51" w14:textId="00564DD8" w:rsidR="00126BF4" w:rsidRPr="002B4C1D" w:rsidRDefault="0078482B" w:rsidP="005A7AC8">
      <w:pPr>
        <w:numPr>
          <w:ilvl w:val="1"/>
          <w:numId w:val="1"/>
        </w:numPr>
        <w:suppressAutoHyphens/>
        <w:overflowPunct w:val="0"/>
        <w:autoSpaceDE w:val="0"/>
        <w:autoSpaceDN w:val="0"/>
        <w:adjustRightInd w:val="0"/>
        <w:ind w:left="567" w:hanging="567"/>
        <w:textAlignment w:val="baseline"/>
        <w:outlineLvl w:val="1"/>
      </w:pPr>
      <w:r w:rsidRPr="002B4C1D">
        <w:t>Naložbe v izboljšanje zmogljivosti socialnih partnerjev in organizacij civilne družbe ter zagotavljanje dostopa do tehnične pomoči so ključnega pomena za učinkovito uporabo načela partnerstva v okviru večje prožnosti na nacionalni ravni ter ob upoštevanju, da se morajo obravnavati zelo kompleksne razvojne potrebe in asimetrična tveganja. Z združevanjem potreb v majhno število skladov in s prenosom pogajanj na raven držav članic bi lahko škodovali nekaterim interesom in morda povzročili navzkrižje interesov. Za dosledno in učinkovito izvajanje bi potrebovali tudi visoko raven upravne zmogljivosti na podnacionalni ravni.</w:t>
      </w:r>
    </w:p>
    <w:p w14:paraId="7BF94A27" w14:textId="77777777" w:rsidR="00126BF4" w:rsidRPr="002B4C1D" w:rsidRDefault="00126BF4" w:rsidP="005A7AC8">
      <w:pPr>
        <w:suppressAutoHyphens/>
      </w:pPr>
    </w:p>
    <w:p w14:paraId="259EAFF5" w14:textId="09F501A8" w:rsidR="00126BF4" w:rsidRPr="002B4C1D" w:rsidRDefault="00126BF4" w:rsidP="005A7AC8">
      <w:pPr>
        <w:suppressAutoHyphens/>
        <w:overflowPunct w:val="0"/>
        <w:autoSpaceDE w:val="0"/>
        <w:autoSpaceDN w:val="0"/>
        <w:adjustRightInd w:val="0"/>
        <w:ind w:left="567" w:hanging="567"/>
        <w:textAlignment w:val="baseline"/>
        <w:outlineLvl w:val="1"/>
        <w:rPr>
          <w:i/>
          <w:iCs/>
          <w:szCs w:val="20"/>
        </w:rPr>
      </w:pPr>
      <w:r w:rsidRPr="002B4C1D">
        <w:rPr>
          <w:i/>
        </w:rPr>
        <w:lastRenderedPageBreak/>
        <w:t>Utemeljitev priporočila 1.20</w:t>
      </w:r>
    </w:p>
    <w:p w14:paraId="53D11229" w14:textId="77777777" w:rsidR="00126BF4" w:rsidRPr="002B4C1D" w:rsidRDefault="00126BF4" w:rsidP="005A7AC8">
      <w:pPr>
        <w:suppressAutoHyphens/>
        <w:overflowPunct w:val="0"/>
        <w:autoSpaceDE w:val="0"/>
        <w:autoSpaceDN w:val="0"/>
        <w:adjustRightInd w:val="0"/>
        <w:textAlignment w:val="baseline"/>
        <w:outlineLvl w:val="1"/>
        <w:rPr>
          <w:szCs w:val="20"/>
        </w:rPr>
      </w:pPr>
    </w:p>
    <w:p w14:paraId="5E8BF736" w14:textId="201D633F" w:rsidR="00C74897" w:rsidRPr="002B4C1D" w:rsidRDefault="00126BF4" w:rsidP="005A7AC8">
      <w:pPr>
        <w:numPr>
          <w:ilvl w:val="1"/>
          <w:numId w:val="1"/>
        </w:numPr>
        <w:suppressAutoHyphens/>
        <w:overflowPunct w:val="0"/>
        <w:autoSpaceDE w:val="0"/>
        <w:autoSpaceDN w:val="0"/>
        <w:adjustRightInd w:val="0"/>
        <w:ind w:left="567" w:hanging="567"/>
        <w:textAlignment w:val="baseline"/>
        <w:outlineLvl w:val="1"/>
        <w:rPr>
          <w:szCs w:val="20"/>
        </w:rPr>
      </w:pPr>
      <w:r w:rsidRPr="002B4C1D">
        <w:t>Večfazno izvajanje bi moralo biti izjema, saj jasno in konkretno vpliva na strateške cilje in rezultate sklada ter na načelo konkurenčnosti. To bi lahko povzročilo regionalne razlike in neenako obravnavo regij ter razpršenost prizadevanj za obvladovanje negotovosti in političnih tveganj.</w:t>
      </w:r>
    </w:p>
    <w:p w14:paraId="59BE8B45" w14:textId="77777777" w:rsidR="00126BF4" w:rsidRPr="002B4C1D" w:rsidRDefault="00126BF4" w:rsidP="005A7AC8"/>
    <w:p w14:paraId="2CE62871" w14:textId="22752854" w:rsidR="00B8450A" w:rsidRPr="002B4C1D" w:rsidRDefault="00B8450A" w:rsidP="005A7AC8">
      <w:pPr>
        <w:suppressAutoHyphens/>
        <w:autoSpaceDE w:val="0"/>
        <w:autoSpaceDN w:val="0"/>
        <w:ind w:left="567" w:hanging="567"/>
        <w:rPr>
          <w:i/>
          <w:iCs/>
          <w:szCs w:val="20"/>
        </w:rPr>
      </w:pPr>
      <w:r w:rsidRPr="002B4C1D">
        <w:rPr>
          <w:i/>
        </w:rPr>
        <w:t>Utemeljitev priporočila 1.21</w:t>
      </w:r>
    </w:p>
    <w:p w14:paraId="14AA36AB" w14:textId="77777777" w:rsidR="00B8450A" w:rsidRPr="002B4C1D" w:rsidRDefault="00B8450A" w:rsidP="005A7AC8">
      <w:pPr>
        <w:suppressAutoHyphens/>
      </w:pPr>
    </w:p>
    <w:p w14:paraId="60FFF9C3" w14:textId="79E19E58" w:rsidR="00B8450A" w:rsidRPr="002B4C1D" w:rsidRDefault="00B8450A" w:rsidP="005A7AC8">
      <w:pPr>
        <w:pStyle w:val="Heading2"/>
        <w:suppressAutoHyphens/>
        <w:rPr>
          <w:szCs w:val="20"/>
        </w:rPr>
      </w:pPr>
      <w:r w:rsidRPr="002B4C1D">
        <w:t>Eden od razlogov za oblikovanje celovitega in integriranega sklada je bil, da se podpre celostni pristop k uporabi proračunskih sredstev EU. EESO meni, da so v predlogu zelo omejeno izpostavljeni obstoječi pristopi, na katerih temelji celostni pristop (celostne teritorialne naložbe, lokalni razvoj, ki ga vodi skupnost, LEADER). Da bi spodbudili dopolnjevanje med podeželjem in mesti, bi bilo treba mestna območja vključiti v lokalni razvoj, ki ga vodi skupnost, kar že izvajajo nekatere države članice in lahko pripomore k večji učinkovitosti. Za razliko od SKP ali kohezijskih sredstev ni ne posebne namenske proračunske postavke za vizijo za podeželska območja ne jasnega okvira za spremljanje, kako se z načrti za nacionalna in regionalna partnerstva prispeva k ciljem vizije za podeželje do leta 2040, zato bo težko izmeriti napredek ali izvajanje zavez. Okrepiti bi bilo treba tudi koncept „pametne vasi“.</w:t>
      </w:r>
    </w:p>
    <w:p w14:paraId="5CB5163B" w14:textId="77777777" w:rsidR="00B8450A" w:rsidRPr="002B4C1D" w:rsidRDefault="00B8450A" w:rsidP="005A7AC8"/>
    <w:p w14:paraId="7DF1BEF6" w14:textId="25E3BCF0" w:rsidR="00126BF4" w:rsidRPr="002B4C1D" w:rsidRDefault="00126BF4" w:rsidP="005A7AC8">
      <w:pPr>
        <w:suppressAutoHyphens/>
        <w:autoSpaceDE w:val="0"/>
        <w:autoSpaceDN w:val="0"/>
        <w:ind w:left="567" w:hanging="567"/>
        <w:rPr>
          <w:i/>
          <w:iCs/>
          <w:szCs w:val="20"/>
        </w:rPr>
      </w:pPr>
      <w:r w:rsidRPr="002B4C1D">
        <w:rPr>
          <w:i/>
        </w:rPr>
        <w:t>Utemeljitev priporočil 1.22 in 1.25</w:t>
      </w:r>
    </w:p>
    <w:p w14:paraId="3E37EEF6" w14:textId="77777777" w:rsidR="00126BF4" w:rsidRPr="002B4C1D" w:rsidRDefault="00126BF4" w:rsidP="005A7AC8">
      <w:pPr>
        <w:suppressAutoHyphens/>
        <w:autoSpaceDE w:val="0"/>
        <w:autoSpaceDN w:val="0"/>
        <w:rPr>
          <w:i/>
          <w:iCs/>
          <w:szCs w:val="20"/>
        </w:rPr>
      </w:pPr>
    </w:p>
    <w:p w14:paraId="2D427C34" w14:textId="562461D3" w:rsidR="00063945" w:rsidRPr="002B4C1D" w:rsidRDefault="00126BF4" w:rsidP="005A7AC8">
      <w:pPr>
        <w:pStyle w:val="Heading2"/>
        <w:suppressAutoHyphens/>
      </w:pPr>
      <w:r w:rsidRPr="002B4C1D">
        <w:t>EESO pozdravlja tudi predlog, da se za izvajanje načrtov za nacionalna in regionalna partnerstva uporabi razmeroma veliko posojilo v višini 150 milijard EUR, in meni, da je treba natančneje pojasniti pogoje za odplačilo, da med državami članicami ne bi bilo preveč odstopanj glede zadolževanja, zlasti v primeru držav z visokim javnim dolgom. Dobro zasnovani posojilni instrumenti lahko znatno povečajo fiskalni manevrski prostor, v katerem lahko države članice izvajajo naložbe, ki spodbujajo rast. EESO poziva Evropsko komisijo in sozakonodajalca, naj podajo več informacij in pojasnil o teh posojilnih instrumentih ter jih oblikujejo tako, da bodo za države članice zanimivi s proračunskega vidika.</w:t>
      </w:r>
    </w:p>
    <w:p w14:paraId="5B9295E5" w14:textId="77777777" w:rsidR="00B8450A" w:rsidRPr="002B4C1D" w:rsidRDefault="00B8450A" w:rsidP="005A7AC8"/>
    <w:p w14:paraId="662C9C85" w14:textId="4CC9B532" w:rsidR="00B8450A" w:rsidRPr="002B4C1D" w:rsidRDefault="00B8450A" w:rsidP="005A7AC8">
      <w:pPr>
        <w:suppressAutoHyphens/>
        <w:autoSpaceDE w:val="0"/>
        <w:autoSpaceDN w:val="0"/>
        <w:ind w:left="567" w:hanging="567"/>
        <w:rPr>
          <w:i/>
          <w:iCs/>
          <w:szCs w:val="20"/>
        </w:rPr>
      </w:pPr>
      <w:r w:rsidRPr="002B4C1D">
        <w:rPr>
          <w:i/>
        </w:rPr>
        <w:t>Utemeljitev priporočila 1.23</w:t>
      </w:r>
    </w:p>
    <w:p w14:paraId="587D8BD5" w14:textId="77777777" w:rsidR="00B8450A" w:rsidRPr="002B4C1D" w:rsidRDefault="00B8450A" w:rsidP="005A7AC8">
      <w:pPr>
        <w:suppressAutoHyphens/>
      </w:pPr>
    </w:p>
    <w:p w14:paraId="636A4B56" w14:textId="0B3E2772" w:rsidR="00B8450A" w:rsidRPr="002B4C1D" w:rsidRDefault="00B8450A" w:rsidP="005A7AC8">
      <w:pPr>
        <w:pStyle w:val="Heading2"/>
        <w:suppressAutoHyphens/>
        <w:rPr>
          <w:i/>
          <w:iCs/>
        </w:rPr>
      </w:pPr>
      <w:r w:rsidRPr="002B4C1D">
        <w:t>EESO podpira dopolnjevanje z evropskim semestrom, nacionalnimi energetskimi in podnebnimi načrti ter fiskalno-strukturnimi načrti, če bosta kohezija in teritorialno ravnovesje še naprej vodilni načeli. Ugotavlja, da obstaja tveganje prekrivanja, zlasti z vidika dvojne rabe, in poudarja, da je treba preprečiti prekrivanje z instrumentom SAFE.</w:t>
      </w:r>
    </w:p>
    <w:p w14:paraId="7FD8FDBA" w14:textId="77777777" w:rsidR="00B8450A" w:rsidRPr="002B4C1D" w:rsidRDefault="00B8450A" w:rsidP="005A7AC8"/>
    <w:p w14:paraId="428AC075" w14:textId="3452BE9C" w:rsidR="00B8450A" w:rsidRPr="002B4C1D" w:rsidRDefault="00B8450A" w:rsidP="005A7AC8">
      <w:pPr>
        <w:pStyle w:val="Heading2"/>
        <w:suppressAutoHyphens/>
      </w:pPr>
      <w:r w:rsidRPr="002B4C1D">
        <w:t>EESO nasprotuje vsakršni makroekonomski pogojenosti v načrtih za nacionalna in regionalna partnerstva. Trenutna zahteva, v skladu s katero je treba v teh načrtih učinkovito obravnavati izzive, opredeljene v okviru evropskega semestra, je zato neustrezna in jo je treba pojasniti. Izplačevanje sredstev EU ne sme biti pogojeno z nepovezanimi predlogi strukturnih reform. Obveznost glede izvedbe reform bi morala biti povezana s ciljem politike sklada in prispevati k njegovemu učinkovitemu upravljanju.</w:t>
      </w:r>
    </w:p>
    <w:p w14:paraId="5B4B6E26" w14:textId="77777777" w:rsidR="00126BF4" w:rsidRPr="002B4C1D" w:rsidRDefault="00126BF4" w:rsidP="005A7AC8"/>
    <w:p w14:paraId="77CD992B" w14:textId="626F123D" w:rsidR="00126BF4" w:rsidRPr="002B4C1D" w:rsidRDefault="00126BF4" w:rsidP="005A7AC8">
      <w:pPr>
        <w:pageBreakBefore/>
        <w:suppressAutoHyphens/>
        <w:autoSpaceDE w:val="0"/>
        <w:autoSpaceDN w:val="0"/>
        <w:ind w:left="567" w:hanging="567"/>
        <w:rPr>
          <w:i/>
          <w:iCs/>
          <w:szCs w:val="20"/>
        </w:rPr>
      </w:pPr>
      <w:r w:rsidRPr="002B4C1D">
        <w:rPr>
          <w:i/>
        </w:rPr>
        <w:lastRenderedPageBreak/>
        <w:t>Utemeljitev priporočil 1.26 in 1.27</w:t>
      </w:r>
    </w:p>
    <w:p w14:paraId="257A0002" w14:textId="77777777" w:rsidR="00126BF4" w:rsidRPr="002B4C1D" w:rsidRDefault="00126BF4" w:rsidP="005A7AC8">
      <w:pPr>
        <w:suppressAutoHyphens/>
      </w:pPr>
    </w:p>
    <w:p w14:paraId="39E1AA93" w14:textId="5F849C2A" w:rsidR="000C4AE2" w:rsidRPr="002B4C1D" w:rsidRDefault="00126BF4" w:rsidP="005A7AC8">
      <w:pPr>
        <w:pStyle w:val="Heading2"/>
        <w:suppressAutoHyphens/>
      </w:pPr>
      <w:r w:rsidRPr="002B4C1D">
        <w:t>Ob upoštevanju asimetričnega učinka različnih tveganj, razvoja procesa izvajanja in večje vloge držav članic je treba jasno opredeliti metodo dodeljevanja sredstev, saj se ta razlikuje od običajne metode, ki se uporablja pri razdeljevanju proračunskih sredstev EU.</w:t>
      </w:r>
    </w:p>
    <w:p w14:paraId="236C8A33" w14:textId="77777777" w:rsidR="009E3A33" w:rsidRPr="002B4C1D" w:rsidRDefault="009E3A33" w:rsidP="005A7AC8">
      <w:pPr>
        <w:suppressAutoHyphens/>
      </w:pPr>
    </w:p>
    <w:p w14:paraId="215D57AD" w14:textId="77F22C89" w:rsidR="00D4031B" w:rsidRPr="002B4C1D" w:rsidRDefault="00D4031B" w:rsidP="005A7AC8">
      <w:pPr>
        <w:pStyle w:val="Heading1"/>
        <w:suppressAutoHyphens/>
        <w:ind w:left="567" w:hanging="567"/>
      </w:pPr>
      <w:r w:rsidRPr="002B4C1D">
        <w:t>PREDLOGI SPREMEMB ZAKONODAJNEGA PREDLOGA EVROPSKE KOMISIJE</w:t>
      </w:r>
    </w:p>
    <w:p w14:paraId="32FCD3B6" w14:textId="77777777" w:rsidR="001E4285" w:rsidRPr="002B4C1D" w:rsidRDefault="001E4285" w:rsidP="005A7AC8">
      <w:pPr>
        <w:suppressAutoHyphens/>
      </w:pPr>
    </w:p>
    <w:p w14:paraId="0D88DF46" w14:textId="77777777" w:rsidR="00F95E4F" w:rsidRPr="002B4C1D" w:rsidRDefault="00F95E4F" w:rsidP="005A7AC8">
      <w:pPr>
        <w:suppressAutoHyphens/>
        <w:overflowPunct w:val="0"/>
        <w:autoSpaceDE w:val="0"/>
        <w:autoSpaceDN w:val="0"/>
        <w:adjustRightInd w:val="0"/>
        <w:jc w:val="center"/>
        <w:textAlignment w:val="baseline"/>
        <w:outlineLvl w:val="1"/>
        <w:rPr>
          <w:b/>
          <w:bCs/>
          <w:szCs w:val="20"/>
        </w:rPr>
      </w:pPr>
      <w:r w:rsidRPr="002B4C1D">
        <w:rPr>
          <w:b/>
        </w:rPr>
        <w:t>Predlog spremembe 1</w:t>
      </w:r>
    </w:p>
    <w:p w14:paraId="56EA29A4" w14:textId="07B33711" w:rsidR="00F95E4F" w:rsidRPr="002B4C1D" w:rsidRDefault="00F95E4F" w:rsidP="005A7AC8">
      <w:pPr>
        <w:suppressAutoHyphens/>
        <w:jc w:val="center"/>
        <w:textAlignment w:val="baseline"/>
      </w:pPr>
      <w:r w:rsidRPr="002B4C1D">
        <w:t>(povezano s priporočilom 1.5)</w:t>
      </w:r>
    </w:p>
    <w:p w14:paraId="3A72EB03" w14:textId="77777777" w:rsidR="00F95E4F" w:rsidRPr="002B4C1D" w:rsidRDefault="00F95E4F" w:rsidP="005A7AC8">
      <w:pPr>
        <w:suppressAutoHyphens/>
        <w:jc w:val="left"/>
        <w:textAlignment w:val="baseline"/>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4529"/>
        <w:gridCol w:w="4528"/>
      </w:tblGrid>
      <w:tr w:rsidR="00F95E4F" w:rsidRPr="002B4C1D" w14:paraId="4342949B" w14:textId="77777777" w:rsidTr="00E022FB">
        <w:trPr>
          <w:trHeight w:val="300"/>
        </w:trPr>
        <w:tc>
          <w:tcPr>
            <w:tcW w:w="4529" w:type="dxa"/>
            <w:tcBorders>
              <w:top w:val="single" w:sz="2" w:space="0" w:color="auto"/>
              <w:left w:val="single" w:sz="2" w:space="0" w:color="auto"/>
              <w:bottom w:val="single" w:sz="2" w:space="0" w:color="auto"/>
              <w:right w:val="single" w:sz="2" w:space="0" w:color="auto"/>
            </w:tcBorders>
            <w:hideMark/>
          </w:tcPr>
          <w:p w14:paraId="65AE935A" w14:textId="77777777" w:rsidR="00F95E4F" w:rsidRPr="002B4C1D" w:rsidRDefault="00F95E4F" w:rsidP="005A7AC8">
            <w:pPr>
              <w:suppressAutoHyphens/>
              <w:jc w:val="center"/>
              <w:textAlignment w:val="baseline"/>
              <w:rPr>
                <w:strike/>
              </w:rPr>
            </w:pPr>
            <w:r w:rsidRPr="002B4C1D">
              <w:rPr>
                <w:b/>
              </w:rPr>
              <w:t>Predlog Komisije</w:t>
            </w:r>
          </w:p>
        </w:tc>
        <w:tc>
          <w:tcPr>
            <w:tcW w:w="4528" w:type="dxa"/>
            <w:tcBorders>
              <w:top w:val="single" w:sz="2" w:space="0" w:color="auto"/>
              <w:left w:val="single" w:sz="2" w:space="0" w:color="auto"/>
              <w:bottom w:val="single" w:sz="2" w:space="0" w:color="auto"/>
              <w:right w:val="single" w:sz="2" w:space="0" w:color="auto"/>
            </w:tcBorders>
            <w:hideMark/>
          </w:tcPr>
          <w:p w14:paraId="7557C58C" w14:textId="77777777" w:rsidR="00F95E4F" w:rsidRPr="002B4C1D" w:rsidRDefault="00F95E4F" w:rsidP="005A7AC8">
            <w:pPr>
              <w:suppressAutoHyphens/>
              <w:jc w:val="center"/>
              <w:textAlignment w:val="baseline"/>
            </w:pPr>
            <w:r w:rsidRPr="002B4C1D">
              <w:rPr>
                <w:b/>
              </w:rPr>
              <w:t>Predlog spremembe EESO</w:t>
            </w:r>
          </w:p>
        </w:tc>
      </w:tr>
      <w:tr w:rsidR="00F95E4F" w:rsidRPr="002B4C1D" w14:paraId="67AE5C1B" w14:textId="77777777" w:rsidTr="00E022FB">
        <w:trPr>
          <w:trHeight w:val="300"/>
        </w:trPr>
        <w:tc>
          <w:tcPr>
            <w:tcW w:w="4529" w:type="dxa"/>
            <w:tcBorders>
              <w:top w:val="single" w:sz="2" w:space="0" w:color="auto"/>
              <w:left w:val="single" w:sz="6" w:space="0" w:color="auto"/>
              <w:bottom w:val="single" w:sz="6" w:space="0" w:color="auto"/>
              <w:right w:val="single" w:sz="6" w:space="0" w:color="auto"/>
            </w:tcBorders>
            <w:hideMark/>
          </w:tcPr>
          <w:p w14:paraId="6AE7F7FD" w14:textId="287829A7" w:rsidR="001B4E69" w:rsidRPr="002B4C1D" w:rsidRDefault="00F95E4F" w:rsidP="005A7AC8">
            <w:pPr>
              <w:suppressAutoHyphens/>
              <w:jc w:val="center"/>
              <w:rPr>
                <w:i/>
                <w:iCs/>
                <w:noProof/>
              </w:rPr>
            </w:pPr>
            <w:r w:rsidRPr="002B4C1D">
              <w:rPr>
                <w:i/>
              </w:rPr>
              <w:t>Člen 6</w:t>
            </w:r>
          </w:p>
          <w:p w14:paraId="6C4BC4D0" w14:textId="084C1C57" w:rsidR="00F95E4F" w:rsidRPr="002B4C1D" w:rsidRDefault="00F95E4F" w:rsidP="005A7AC8">
            <w:pPr>
              <w:suppressAutoHyphens/>
              <w:jc w:val="center"/>
              <w:rPr>
                <w:b/>
                <w:bCs/>
                <w:i/>
                <w:iCs/>
                <w:noProof/>
              </w:rPr>
            </w:pPr>
            <w:r w:rsidRPr="002B4C1D">
              <w:rPr>
                <w:b/>
                <w:i/>
              </w:rPr>
              <w:t>Partnerstvo in upravljanje na več ravneh</w:t>
            </w:r>
          </w:p>
          <w:p w14:paraId="29191243" w14:textId="09B740A7" w:rsidR="003251FF" w:rsidRPr="002B4C1D" w:rsidRDefault="00BD57C9" w:rsidP="005A7AC8">
            <w:pPr>
              <w:suppressAutoHyphens/>
              <w:rPr>
                <w:noProof/>
              </w:rPr>
            </w:pPr>
            <w:r w:rsidRPr="002B4C1D">
              <w:t>1. V partnerstvu so uravnoteženo zastopani naslednji partnerji: </w:t>
            </w:r>
          </w:p>
          <w:p w14:paraId="04860063" w14:textId="45D2B265" w:rsidR="003251FF" w:rsidRPr="002B4C1D" w:rsidRDefault="003251FF" w:rsidP="005A7AC8">
            <w:pPr>
              <w:pStyle w:val="Point1"/>
              <w:suppressAutoHyphens/>
              <w:spacing w:before="0" w:after="0" w:line="288" w:lineRule="auto"/>
              <w:ind w:left="365" w:hanging="287"/>
              <w:rPr>
                <w:b/>
                <w:bCs/>
                <w:i/>
                <w:iCs/>
                <w:noProof/>
                <w:sz w:val="22"/>
              </w:rPr>
            </w:pPr>
            <w:r w:rsidRPr="002B4C1D">
              <w:rPr>
                <w:sz w:val="22"/>
              </w:rPr>
              <w:t>(a) regionalni, lokalni, mestni</w:t>
            </w:r>
            <w:r w:rsidRPr="002B4C1D">
              <w:rPr>
                <w:b/>
                <w:i/>
                <w:sz w:val="22"/>
              </w:rPr>
              <w:t>,</w:t>
            </w:r>
            <w:r w:rsidRPr="002B4C1D">
              <w:rPr>
                <w:sz w:val="22"/>
              </w:rPr>
              <w:t xml:space="preserve"> podeželski </w:t>
            </w:r>
            <w:r w:rsidRPr="002B4C1D">
              <w:rPr>
                <w:b/>
                <w:i/>
                <w:sz w:val="22"/>
              </w:rPr>
              <w:t>in drugi javni</w:t>
            </w:r>
            <w:r w:rsidRPr="002B4C1D">
              <w:rPr>
                <w:sz w:val="22"/>
              </w:rPr>
              <w:t xml:space="preserve"> organi ali združenja, ki </w:t>
            </w:r>
            <w:r w:rsidRPr="002B4C1D">
              <w:rPr>
                <w:b/>
                <w:i/>
                <w:sz w:val="22"/>
              </w:rPr>
              <w:t>jih</w:t>
            </w:r>
            <w:r w:rsidRPr="002B4C1D">
              <w:rPr>
                <w:sz w:val="22"/>
              </w:rPr>
              <w:t xml:space="preserve"> zastopajo;</w:t>
            </w:r>
          </w:p>
          <w:p w14:paraId="72CD183B" w14:textId="2BF83E9F" w:rsidR="003251FF" w:rsidRPr="002B4C1D" w:rsidRDefault="003251FF" w:rsidP="005A7AC8">
            <w:pPr>
              <w:pStyle w:val="Point1"/>
              <w:suppressAutoHyphens/>
              <w:spacing w:before="0" w:after="0" w:line="288" w:lineRule="auto"/>
              <w:ind w:left="365" w:hanging="287"/>
              <w:rPr>
                <w:noProof/>
                <w:sz w:val="22"/>
              </w:rPr>
            </w:pPr>
            <w:r w:rsidRPr="002B4C1D">
              <w:rPr>
                <w:sz w:val="22"/>
              </w:rPr>
              <w:t xml:space="preserve">(b) </w:t>
            </w:r>
            <w:r w:rsidRPr="002B4C1D">
              <w:rPr>
                <w:b/>
                <w:i/>
                <w:sz w:val="22"/>
              </w:rPr>
              <w:t>ekonomski in</w:t>
            </w:r>
            <w:r w:rsidRPr="002B4C1D">
              <w:rPr>
                <w:sz w:val="22"/>
              </w:rPr>
              <w:t xml:space="preserve"> socialni partnerji, vključno s kmeti, ribiči in njihovimi organizacijami;</w:t>
            </w:r>
          </w:p>
          <w:p w14:paraId="3B5898EB" w14:textId="0154351C" w:rsidR="00F95E4F" w:rsidRPr="002B4C1D" w:rsidRDefault="009768C9" w:rsidP="005A7AC8">
            <w:pPr>
              <w:suppressAutoHyphens/>
              <w:rPr>
                <w:noProof/>
              </w:rPr>
            </w:pPr>
            <w:r w:rsidRPr="002B4C1D">
              <w:t>[…]2. Partnerstvo, vzpostavljeno v skladu z odstavkom 1 deluje v skladu z načelom upravljanja na več ravneh in pristopom od spodaj navzgor. Država članica vključi partnerje iz vseh pododstavkov odstavka 1 v pripravo načrta ter v pripravo, izvajanje in vrednotenje poglavij, vključno prek sodelovanja v odborih za spremljanje v skladu s členom 55.</w:t>
            </w:r>
          </w:p>
        </w:tc>
        <w:tc>
          <w:tcPr>
            <w:tcW w:w="4528" w:type="dxa"/>
            <w:tcBorders>
              <w:top w:val="single" w:sz="2" w:space="0" w:color="auto"/>
              <w:left w:val="single" w:sz="6" w:space="0" w:color="auto"/>
              <w:bottom w:val="single" w:sz="6" w:space="0" w:color="auto"/>
              <w:right w:val="single" w:sz="6" w:space="0" w:color="auto"/>
            </w:tcBorders>
            <w:hideMark/>
          </w:tcPr>
          <w:p w14:paraId="4EBA2419" w14:textId="23E9FBBC" w:rsidR="001B4E69" w:rsidRPr="002B4C1D" w:rsidRDefault="00F95E4F" w:rsidP="005A7AC8">
            <w:pPr>
              <w:suppressAutoHyphens/>
              <w:jc w:val="center"/>
              <w:rPr>
                <w:i/>
                <w:iCs/>
                <w:noProof/>
              </w:rPr>
            </w:pPr>
            <w:r w:rsidRPr="002B4C1D">
              <w:rPr>
                <w:i/>
              </w:rPr>
              <w:t>Člen 6</w:t>
            </w:r>
          </w:p>
          <w:p w14:paraId="50EF5007" w14:textId="322BA087" w:rsidR="00F95E4F" w:rsidRPr="002B4C1D" w:rsidRDefault="00F95E4F" w:rsidP="005A7AC8">
            <w:pPr>
              <w:suppressAutoHyphens/>
              <w:jc w:val="center"/>
              <w:rPr>
                <w:b/>
                <w:bCs/>
                <w:i/>
                <w:iCs/>
                <w:noProof/>
              </w:rPr>
            </w:pPr>
            <w:r w:rsidRPr="002B4C1D">
              <w:rPr>
                <w:b/>
                <w:i/>
              </w:rPr>
              <w:t>Partnerstvo in upravljanje na več ravneh</w:t>
            </w:r>
          </w:p>
          <w:p w14:paraId="7FDC59AB" w14:textId="4E886975" w:rsidR="003251FF" w:rsidRPr="002B4C1D" w:rsidRDefault="00BD57C9" w:rsidP="005A7AC8">
            <w:pPr>
              <w:suppressAutoHyphens/>
              <w:rPr>
                <w:noProof/>
              </w:rPr>
            </w:pPr>
            <w:r w:rsidRPr="002B4C1D">
              <w:t>1. V partnerstvu so uravnoteženo zastopani naslednji partnerji:</w:t>
            </w:r>
          </w:p>
          <w:p w14:paraId="4368FFBD" w14:textId="4F067846" w:rsidR="003251FF" w:rsidRPr="002B4C1D" w:rsidRDefault="003251FF" w:rsidP="005A7AC8">
            <w:pPr>
              <w:pStyle w:val="Point1"/>
              <w:suppressAutoHyphens/>
              <w:spacing w:before="0" w:after="0" w:line="288" w:lineRule="auto"/>
              <w:ind w:left="371" w:hanging="284"/>
              <w:rPr>
                <w:noProof/>
                <w:sz w:val="22"/>
              </w:rPr>
            </w:pPr>
            <w:r w:rsidRPr="002B4C1D">
              <w:rPr>
                <w:sz w:val="22"/>
              </w:rPr>
              <w:t xml:space="preserve">(a) regionalni, lokalni, mestni </w:t>
            </w:r>
            <w:r w:rsidRPr="002B4C1D">
              <w:rPr>
                <w:b/>
                <w:i/>
                <w:sz w:val="22"/>
              </w:rPr>
              <w:t>in</w:t>
            </w:r>
            <w:r w:rsidRPr="002B4C1D">
              <w:rPr>
                <w:sz w:val="22"/>
              </w:rPr>
              <w:t xml:space="preserve"> podeželski organi ali združenja, ki zastopajo </w:t>
            </w:r>
            <w:r w:rsidRPr="002B4C1D">
              <w:rPr>
                <w:b/>
                <w:i/>
                <w:sz w:val="22"/>
              </w:rPr>
              <w:t>te subjekte</w:t>
            </w:r>
            <w:r w:rsidRPr="002B4C1D">
              <w:rPr>
                <w:sz w:val="22"/>
              </w:rPr>
              <w:t>;</w:t>
            </w:r>
          </w:p>
          <w:p w14:paraId="4C29DD2A" w14:textId="168633EA" w:rsidR="003251FF" w:rsidRPr="002B4C1D" w:rsidRDefault="003251FF" w:rsidP="005A7AC8">
            <w:pPr>
              <w:pStyle w:val="Point1"/>
              <w:suppressAutoHyphens/>
              <w:spacing w:before="0" w:after="0" w:line="288" w:lineRule="auto"/>
              <w:ind w:left="371" w:hanging="293"/>
              <w:rPr>
                <w:noProof/>
                <w:sz w:val="22"/>
              </w:rPr>
            </w:pPr>
            <w:r w:rsidRPr="002B4C1D">
              <w:rPr>
                <w:sz w:val="22"/>
              </w:rPr>
              <w:t xml:space="preserve">(b) socialni partnerji </w:t>
            </w:r>
            <w:r w:rsidRPr="002B4C1D">
              <w:rPr>
                <w:b/>
                <w:i/>
                <w:sz w:val="22"/>
              </w:rPr>
              <w:t>in organizacije civilne družbe</w:t>
            </w:r>
            <w:r w:rsidRPr="002B4C1D">
              <w:rPr>
                <w:sz w:val="22"/>
              </w:rPr>
              <w:t>, vključno s kmeti, ribiči in njihovimi organizacijami;</w:t>
            </w:r>
          </w:p>
          <w:p w14:paraId="6B138A52" w14:textId="35824917" w:rsidR="00F95E4F" w:rsidRPr="002B4C1D" w:rsidRDefault="009768C9" w:rsidP="005A7AC8">
            <w:pPr>
              <w:suppressAutoHyphens/>
              <w:rPr>
                <w:noProof/>
              </w:rPr>
            </w:pPr>
            <w:r w:rsidRPr="002B4C1D">
              <w:t>[…]2. Partnerstvo, vzpostavljeno v skladu z odstavkom 1 deluje v skladu z načelom upravljanja na več ravneh in pristopom od spodaj navzgor. Država članica vključi partnerje iz vseh pododstavkov odstavka 1 v pripravo načrta ter v pripravo, izvajanje</w:t>
            </w:r>
            <w:r w:rsidRPr="002B4C1D">
              <w:rPr>
                <w:b/>
                <w:i/>
              </w:rPr>
              <w:t>, spremljanje, nadzor</w:t>
            </w:r>
            <w:r w:rsidRPr="002B4C1D">
              <w:t xml:space="preserve"> in vrednotenje poglavij, vključno prek sodelovanja v odborih za spremljanje v skladu s členom 55.</w:t>
            </w:r>
          </w:p>
        </w:tc>
      </w:tr>
    </w:tbl>
    <w:p w14:paraId="27105C70" w14:textId="77777777" w:rsidR="00F95E4F" w:rsidRPr="002B4C1D" w:rsidRDefault="00F95E4F" w:rsidP="005A7AC8">
      <w:pPr>
        <w:suppressAutoHyphens/>
        <w:jc w:val="center"/>
        <w:textAlignment w:val="baseline"/>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9057"/>
      </w:tblGrid>
      <w:tr w:rsidR="00F95E4F" w:rsidRPr="002B4C1D" w14:paraId="3E61C677" w14:textId="77777777" w:rsidTr="00E022FB">
        <w:trPr>
          <w:trHeight w:val="300"/>
        </w:trPr>
        <w:tc>
          <w:tcPr>
            <w:tcW w:w="9057" w:type="dxa"/>
            <w:tcBorders>
              <w:top w:val="single" w:sz="2" w:space="0" w:color="auto"/>
              <w:left w:val="single" w:sz="2" w:space="0" w:color="auto"/>
              <w:bottom w:val="single" w:sz="2" w:space="0" w:color="auto"/>
              <w:right w:val="single" w:sz="2" w:space="0" w:color="auto"/>
            </w:tcBorders>
            <w:hideMark/>
          </w:tcPr>
          <w:p w14:paraId="39B70C5B" w14:textId="77777777" w:rsidR="00F95E4F" w:rsidRPr="002B4C1D" w:rsidRDefault="00F95E4F" w:rsidP="005A7AC8">
            <w:pPr>
              <w:suppressAutoHyphens/>
              <w:jc w:val="center"/>
              <w:textAlignment w:val="baseline"/>
            </w:pPr>
            <w:r w:rsidRPr="002B4C1D">
              <w:rPr>
                <w:b/>
              </w:rPr>
              <w:t>Obrazložitev</w:t>
            </w:r>
          </w:p>
        </w:tc>
      </w:tr>
      <w:tr w:rsidR="00F95E4F" w:rsidRPr="002B4C1D" w14:paraId="67B9E65B" w14:textId="77777777" w:rsidTr="00E022FB">
        <w:trPr>
          <w:trHeight w:val="300"/>
        </w:trPr>
        <w:tc>
          <w:tcPr>
            <w:tcW w:w="9057" w:type="dxa"/>
            <w:tcBorders>
              <w:top w:val="single" w:sz="2" w:space="0" w:color="auto"/>
              <w:left w:val="single" w:sz="6" w:space="0" w:color="auto"/>
              <w:bottom w:val="single" w:sz="6" w:space="0" w:color="auto"/>
              <w:right w:val="single" w:sz="6" w:space="0" w:color="auto"/>
            </w:tcBorders>
            <w:hideMark/>
          </w:tcPr>
          <w:p w14:paraId="4807A10A" w14:textId="00B5D39C" w:rsidR="00F95E4F" w:rsidRPr="002B4C1D" w:rsidRDefault="00F95E4F" w:rsidP="005A7AC8">
            <w:pPr>
              <w:suppressAutoHyphens/>
              <w:ind w:right="30"/>
              <w:textAlignment w:val="baseline"/>
            </w:pPr>
            <w:r w:rsidRPr="002B4C1D">
              <w:t xml:space="preserve"> Predlog se nanaša na člene 6, 8 in 21 ter bi ga morali v teh členih upoštevati, tako da se socialni partnerji in organizacije civilne družbe vključijo v oblikovanje načrtov. Nanaša se tudi na člena 56 in 75, v katerih bi predlog morali upoštevati, tako da se vzpostavijo partnerstva z ekonomskimi in socialnimi partnerji za izvajanje celostnih teritorialnih naložb.</w:t>
            </w:r>
          </w:p>
        </w:tc>
      </w:tr>
    </w:tbl>
    <w:p w14:paraId="61C71636" w14:textId="77777777" w:rsidR="00F95E4F" w:rsidRPr="002B4C1D" w:rsidRDefault="00F95E4F" w:rsidP="005A7AC8">
      <w:pPr>
        <w:suppressAutoHyphens/>
        <w:spacing w:line="240" w:lineRule="auto"/>
      </w:pPr>
    </w:p>
    <w:p w14:paraId="2DABF7B3" w14:textId="77777777" w:rsidR="00F95E4F" w:rsidRPr="002B4C1D" w:rsidRDefault="00F95E4F" w:rsidP="005A7AC8">
      <w:pPr>
        <w:suppressAutoHyphens/>
        <w:overflowPunct w:val="0"/>
        <w:autoSpaceDE w:val="0"/>
        <w:autoSpaceDN w:val="0"/>
        <w:adjustRightInd w:val="0"/>
        <w:jc w:val="center"/>
        <w:textAlignment w:val="baseline"/>
        <w:outlineLvl w:val="1"/>
        <w:rPr>
          <w:b/>
          <w:bCs/>
          <w:szCs w:val="20"/>
        </w:rPr>
      </w:pPr>
      <w:r w:rsidRPr="002B4C1D">
        <w:rPr>
          <w:b/>
        </w:rPr>
        <w:t>Predlog spremembe 2</w:t>
      </w:r>
    </w:p>
    <w:p w14:paraId="394A5EF3" w14:textId="5A83B527" w:rsidR="00F95E4F" w:rsidRPr="002B4C1D" w:rsidRDefault="003E5355" w:rsidP="005A7AC8">
      <w:pPr>
        <w:suppressAutoHyphens/>
        <w:jc w:val="center"/>
        <w:textAlignment w:val="baseline"/>
      </w:pPr>
      <w:r w:rsidRPr="002B4C1D">
        <w:t>(povezano s priporočilom 1.19)</w:t>
      </w:r>
    </w:p>
    <w:p w14:paraId="51D5C730" w14:textId="77777777" w:rsidR="00F95E4F" w:rsidRPr="002B4C1D" w:rsidRDefault="00F95E4F" w:rsidP="005A7AC8">
      <w:pPr>
        <w:suppressAutoHyphens/>
        <w:spacing w:line="240" w:lineRule="auto"/>
        <w:jc w:val="left"/>
        <w:textAlignment w:val="baseline"/>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4529"/>
        <w:gridCol w:w="4528"/>
      </w:tblGrid>
      <w:tr w:rsidR="00F95E4F" w:rsidRPr="002B4C1D" w14:paraId="5AE00BA9" w14:textId="77777777" w:rsidTr="00E022FB">
        <w:trPr>
          <w:trHeight w:val="300"/>
        </w:trPr>
        <w:tc>
          <w:tcPr>
            <w:tcW w:w="4529" w:type="dxa"/>
            <w:tcBorders>
              <w:top w:val="single" w:sz="2" w:space="0" w:color="auto"/>
              <w:left w:val="single" w:sz="2" w:space="0" w:color="auto"/>
              <w:bottom w:val="single" w:sz="2" w:space="0" w:color="auto"/>
              <w:right w:val="single" w:sz="2" w:space="0" w:color="auto"/>
            </w:tcBorders>
            <w:hideMark/>
          </w:tcPr>
          <w:p w14:paraId="11476ACF" w14:textId="77777777" w:rsidR="00F95E4F" w:rsidRPr="002B4C1D" w:rsidRDefault="00F95E4F" w:rsidP="005A7AC8">
            <w:pPr>
              <w:suppressAutoHyphens/>
              <w:jc w:val="center"/>
              <w:textAlignment w:val="baseline"/>
              <w:rPr>
                <w:strike/>
              </w:rPr>
            </w:pPr>
            <w:r w:rsidRPr="002B4C1D">
              <w:rPr>
                <w:b/>
              </w:rPr>
              <w:t>Predlog Komisije</w:t>
            </w:r>
          </w:p>
        </w:tc>
        <w:tc>
          <w:tcPr>
            <w:tcW w:w="4528" w:type="dxa"/>
            <w:tcBorders>
              <w:top w:val="single" w:sz="2" w:space="0" w:color="auto"/>
              <w:left w:val="single" w:sz="2" w:space="0" w:color="auto"/>
              <w:bottom w:val="single" w:sz="2" w:space="0" w:color="auto"/>
              <w:right w:val="single" w:sz="2" w:space="0" w:color="auto"/>
            </w:tcBorders>
            <w:hideMark/>
          </w:tcPr>
          <w:p w14:paraId="7BD95007" w14:textId="77777777" w:rsidR="00F95E4F" w:rsidRPr="002B4C1D" w:rsidRDefault="00F95E4F" w:rsidP="005A7AC8">
            <w:pPr>
              <w:suppressAutoHyphens/>
              <w:jc w:val="center"/>
              <w:textAlignment w:val="baseline"/>
            </w:pPr>
            <w:r w:rsidRPr="002B4C1D">
              <w:rPr>
                <w:b/>
              </w:rPr>
              <w:t>Predlog spremembe EESO</w:t>
            </w:r>
          </w:p>
        </w:tc>
      </w:tr>
      <w:tr w:rsidR="00F95E4F" w:rsidRPr="002B4C1D" w14:paraId="0ED317A2" w14:textId="77777777" w:rsidTr="00E022FB">
        <w:trPr>
          <w:trHeight w:val="300"/>
        </w:trPr>
        <w:tc>
          <w:tcPr>
            <w:tcW w:w="4529" w:type="dxa"/>
            <w:tcBorders>
              <w:top w:val="single" w:sz="2" w:space="0" w:color="auto"/>
              <w:left w:val="single" w:sz="6" w:space="0" w:color="auto"/>
              <w:bottom w:val="single" w:sz="6" w:space="0" w:color="auto"/>
              <w:right w:val="single" w:sz="6" w:space="0" w:color="auto"/>
            </w:tcBorders>
            <w:hideMark/>
          </w:tcPr>
          <w:p w14:paraId="3503CE55" w14:textId="37646C63" w:rsidR="001B4E69" w:rsidRPr="002B4C1D" w:rsidRDefault="00F95E4F" w:rsidP="005A7AC8">
            <w:pPr>
              <w:suppressAutoHyphens/>
              <w:jc w:val="center"/>
              <w:rPr>
                <w:i/>
                <w:iCs/>
                <w:noProof/>
              </w:rPr>
            </w:pPr>
            <w:r w:rsidRPr="002B4C1D">
              <w:rPr>
                <w:i/>
              </w:rPr>
              <w:t>Člen 6</w:t>
            </w:r>
          </w:p>
          <w:p w14:paraId="602C3A9E" w14:textId="51457035" w:rsidR="00F95E4F" w:rsidRPr="002B4C1D" w:rsidRDefault="00F95E4F" w:rsidP="005A7AC8">
            <w:pPr>
              <w:suppressAutoHyphens/>
              <w:jc w:val="center"/>
              <w:rPr>
                <w:b/>
                <w:bCs/>
                <w:i/>
                <w:iCs/>
                <w:noProof/>
              </w:rPr>
            </w:pPr>
            <w:r w:rsidRPr="002B4C1D">
              <w:rPr>
                <w:b/>
                <w:i/>
              </w:rPr>
              <w:t>Partnerstvo in upravljanje na več ravneh</w:t>
            </w:r>
          </w:p>
          <w:p w14:paraId="56BEFEFD" w14:textId="4708A6AF" w:rsidR="00F95E4F" w:rsidRPr="002B4C1D" w:rsidRDefault="00BD57C9" w:rsidP="005A7AC8">
            <w:pPr>
              <w:suppressAutoHyphens/>
              <w:rPr>
                <w:noProof/>
              </w:rPr>
            </w:pPr>
            <w:r w:rsidRPr="002B4C1D">
              <w:t xml:space="preserve">6. Komisija se vsaj </w:t>
            </w:r>
            <w:r w:rsidRPr="002B4C1D">
              <w:rPr>
                <w:b/>
                <w:i/>
              </w:rPr>
              <w:t>enkrat</w:t>
            </w:r>
            <w:r w:rsidRPr="002B4C1D">
              <w:t xml:space="preserve"> na leto o izvajanju načrtov posvetuje z organizacijami, ki predstavljajo partnerje na ravni Unije. </w:t>
            </w:r>
          </w:p>
        </w:tc>
        <w:tc>
          <w:tcPr>
            <w:tcW w:w="4528" w:type="dxa"/>
            <w:tcBorders>
              <w:top w:val="single" w:sz="2" w:space="0" w:color="auto"/>
              <w:left w:val="single" w:sz="6" w:space="0" w:color="auto"/>
              <w:bottom w:val="single" w:sz="6" w:space="0" w:color="auto"/>
              <w:right w:val="single" w:sz="6" w:space="0" w:color="auto"/>
            </w:tcBorders>
            <w:hideMark/>
          </w:tcPr>
          <w:p w14:paraId="3B03E6B0" w14:textId="2DAE2E0B" w:rsidR="001B4E69" w:rsidRPr="002B4C1D" w:rsidRDefault="00F95E4F" w:rsidP="005A7AC8">
            <w:pPr>
              <w:suppressAutoHyphens/>
              <w:jc w:val="center"/>
              <w:rPr>
                <w:i/>
                <w:iCs/>
                <w:noProof/>
              </w:rPr>
            </w:pPr>
            <w:r w:rsidRPr="002B4C1D">
              <w:rPr>
                <w:i/>
              </w:rPr>
              <w:t>Člen 6</w:t>
            </w:r>
          </w:p>
          <w:p w14:paraId="78491FB3" w14:textId="07DBEAB6" w:rsidR="00F95E4F" w:rsidRPr="002B4C1D" w:rsidRDefault="00F95E4F" w:rsidP="005A7AC8">
            <w:pPr>
              <w:suppressAutoHyphens/>
              <w:jc w:val="center"/>
              <w:rPr>
                <w:b/>
                <w:bCs/>
                <w:i/>
                <w:iCs/>
                <w:noProof/>
              </w:rPr>
            </w:pPr>
            <w:r w:rsidRPr="002B4C1D">
              <w:rPr>
                <w:b/>
                <w:i/>
              </w:rPr>
              <w:t>Partnerstvo in upravljanje na več ravneh</w:t>
            </w:r>
          </w:p>
          <w:p w14:paraId="703726A9" w14:textId="5538FB2E" w:rsidR="00F95E4F" w:rsidRPr="002B4C1D" w:rsidRDefault="00BD57C9" w:rsidP="005A7AC8">
            <w:pPr>
              <w:suppressAutoHyphens/>
              <w:ind w:right="30"/>
              <w:textAlignment w:val="baseline"/>
            </w:pPr>
            <w:r w:rsidRPr="002B4C1D">
              <w:t xml:space="preserve">6. Komisija se vsaj </w:t>
            </w:r>
            <w:r w:rsidRPr="002B4C1D">
              <w:rPr>
                <w:b/>
                <w:i/>
              </w:rPr>
              <w:t>dvakrat</w:t>
            </w:r>
            <w:r w:rsidRPr="002B4C1D">
              <w:t xml:space="preserve"> na leto o izvajanju načrtov posvetuje z organizacijami, ki predstavljajo partnerje na ravni Unije.</w:t>
            </w:r>
            <w:r w:rsidRPr="002B4C1D">
              <w:rPr>
                <w:b/>
                <w:i/>
              </w:rPr>
              <w:t xml:space="preserve"> Namen tega posvetovanja je tudi oceniti obseg in </w:t>
            </w:r>
            <w:r w:rsidRPr="002B4C1D">
              <w:rPr>
                <w:b/>
                <w:i/>
              </w:rPr>
              <w:lastRenderedPageBreak/>
              <w:t>kakovost vključenosti partnerjev. Če se ugotovi, da je vključenost nezadostna, Komisija v sodelovanju z deležniki predlaga ukrepe za zagotovitev celovitega in učinkovitega spoštovanja načela partnerstva.</w:t>
            </w:r>
          </w:p>
        </w:tc>
      </w:tr>
    </w:tbl>
    <w:p w14:paraId="533E6D74" w14:textId="77777777" w:rsidR="00F95E4F" w:rsidRPr="002B4C1D" w:rsidRDefault="00F95E4F" w:rsidP="005A7AC8">
      <w:pPr>
        <w:suppressAutoHyphens/>
        <w:spacing w:line="240" w:lineRule="auto"/>
        <w:jc w:val="center"/>
        <w:textAlignment w:val="baseline"/>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9057"/>
      </w:tblGrid>
      <w:tr w:rsidR="00F95E4F" w:rsidRPr="002B4C1D" w14:paraId="3901C09F" w14:textId="77777777" w:rsidTr="00E022FB">
        <w:trPr>
          <w:trHeight w:val="300"/>
        </w:trPr>
        <w:tc>
          <w:tcPr>
            <w:tcW w:w="9057" w:type="dxa"/>
            <w:tcBorders>
              <w:top w:val="single" w:sz="2" w:space="0" w:color="auto"/>
              <w:left w:val="single" w:sz="2" w:space="0" w:color="auto"/>
              <w:bottom w:val="single" w:sz="2" w:space="0" w:color="auto"/>
              <w:right w:val="single" w:sz="2" w:space="0" w:color="auto"/>
            </w:tcBorders>
            <w:hideMark/>
          </w:tcPr>
          <w:p w14:paraId="1CF9DF8C" w14:textId="77777777" w:rsidR="00F95E4F" w:rsidRPr="002B4C1D" w:rsidRDefault="00F95E4F" w:rsidP="005A7AC8">
            <w:pPr>
              <w:suppressAutoHyphens/>
              <w:jc w:val="center"/>
              <w:textAlignment w:val="baseline"/>
            </w:pPr>
            <w:r w:rsidRPr="002B4C1D">
              <w:rPr>
                <w:b/>
              </w:rPr>
              <w:t>Obrazložitev</w:t>
            </w:r>
          </w:p>
        </w:tc>
      </w:tr>
      <w:tr w:rsidR="00F95E4F" w:rsidRPr="002B4C1D" w14:paraId="355BA918" w14:textId="77777777" w:rsidTr="00E022FB">
        <w:trPr>
          <w:trHeight w:val="300"/>
        </w:trPr>
        <w:tc>
          <w:tcPr>
            <w:tcW w:w="9057" w:type="dxa"/>
            <w:tcBorders>
              <w:top w:val="single" w:sz="2" w:space="0" w:color="auto"/>
              <w:left w:val="single" w:sz="6" w:space="0" w:color="auto"/>
              <w:bottom w:val="single" w:sz="6" w:space="0" w:color="auto"/>
              <w:right w:val="single" w:sz="6" w:space="0" w:color="auto"/>
            </w:tcBorders>
            <w:hideMark/>
          </w:tcPr>
          <w:p w14:paraId="13476789" w14:textId="7419C138" w:rsidR="00F95E4F" w:rsidRPr="002B4C1D" w:rsidRDefault="00FE020A" w:rsidP="005A7AC8">
            <w:pPr>
              <w:suppressAutoHyphens/>
              <w:ind w:left="30" w:right="30"/>
              <w:textAlignment w:val="baseline"/>
            </w:pPr>
            <w:r w:rsidRPr="002B4C1D">
              <w:t>Za prilagojen in učinkovit okvir izvajanja in posledično večjo prožnost na ravni držav članic je treba posvetovalne sestanke obvezno izvesti vsaj dvakrat letno, da se poskrbi za ustrezno komunikacijo in preglednost. Povečati je treba število sestankov, da bodo partnerji ustrezno vključeni ter da se izvedejo ustrezne dejavnosti spremljanja v zvezi z izvajanjem. Predlog se nanaša na člen 54.</w:t>
            </w:r>
          </w:p>
        </w:tc>
      </w:tr>
    </w:tbl>
    <w:p w14:paraId="7774ED21" w14:textId="77777777" w:rsidR="002F4A35" w:rsidRPr="002B4C1D" w:rsidRDefault="002F4A35" w:rsidP="005A7AC8">
      <w:pPr>
        <w:spacing w:line="240" w:lineRule="auto"/>
      </w:pPr>
    </w:p>
    <w:p w14:paraId="1FC9AFC9" w14:textId="54565820" w:rsidR="002F4A35" w:rsidRPr="002B4C1D" w:rsidRDefault="002F4A35" w:rsidP="005A7AC8">
      <w:pPr>
        <w:suppressAutoHyphens/>
        <w:overflowPunct w:val="0"/>
        <w:autoSpaceDE w:val="0"/>
        <w:autoSpaceDN w:val="0"/>
        <w:adjustRightInd w:val="0"/>
        <w:jc w:val="center"/>
        <w:textAlignment w:val="baseline"/>
        <w:outlineLvl w:val="1"/>
        <w:rPr>
          <w:b/>
          <w:bCs/>
          <w:szCs w:val="20"/>
        </w:rPr>
      </w:pPr>
      <w:r w:rsidRPr="002B4C1D">
        <w:rPr>
          <w:b/>
        </w:rPr>
        <w:t>Predlog spremembe 3</w:t>
      </w:r>
    </w:p>
    <w:p w14:paraId="176986FE" w14:textId="09C97CD4" w:rsidR="002F4A35" w:rsidRPr="002B4C1D" w:rsidRDefault="002F4A35" w:rsidP="005A7AC8">
      <w:pPr>
        <w:suppressAutoHyphens/>
        <w:jc w:val="center"/>
        <w:textAlignment w:val="baseline"/>
      </w:pPr>
      <w:r w:rsidRPr="002B4C1D">
        <w:t>(povezano s priporočilom 1.16)</w:t>
      </w:r>
    </w:p>
    <w:p w14:paraId="466C7100" w14:textId="77777777" w:rsidR="002F4A35" w:rsidRPr="002B4C1D" w:rsidRDefault="002F4A35" w:rsidP="005A7AC8">
      <w:pPr>
        <w:suppressAutoHyphens/>
        <w:spacing w:line="240" w:lineRule="auto"/>
        <w:jc w:val="left"/>
        <w:textAlignment w:val="baseline"/>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4529"/>
        <w:gridCol w:w="4528"/>
      </w:tblGrid>
      <w:tr w:rsidR="002F4A35" w:rsidRPr="002B4C1D" w14:paraId="0F6E5253" w14:textId="77777777" w:rsidTr="00DF75A2">
        <w:trPr>
          <w:trHeight w:val="300"/>
        </w:trPr>
        <w:tc>
          <w:tcPr>
            <w:tcW w:w="4529" w:type="dxa"/>
            <w:tcBorders>
              <w:top w:val="single" w:sz="2" w:space="0" w:color="auto"/>
              <w:left w:val="single" w:sz="2" w:space="0" w:color="auto"/>
              <w:bottom w:val="single" w:sz="2" w:space="0" w:color="auto"/>
              <w:right w:val="single" w:sz="2" w:space="0" w:color="auto"/>
            </w:tcBorders>
            <w:hideMark/>
          </w:tcPr>
          <w:p w14:paraId="4937E5B7" w14:textId="77777777" w:rsidR="002F4A35" w:rsidRPr="002B4C1D" w:rsidRDefault="002F4A35" w:rsidP="005A7AC8">
            <w:pPr>
              <w:suppressAutoHyphens/>
              <w:jc w:val="center"/>
              <w:textAlignment w:val="baseline"/>
              <w:rPr>
                <w:strike/>
              </w:rPr>
            </w:pPr>
            <w:r w:rsidRPr="002B4C1D">
              <w:rPr>
                <w:b/>
              </w:rPr>
              <w:t>Predlog Komisije</w:t>
            </w:r>
          </w:p>
        </w:tc>
        <w:tc>
          <w:tcPr>
            <w:tcW w:w="4528" w:type="dxa"/>
            <w:tcBorders>
              <w:top w:val="single" w:sz="2" w:space="0" w:color="auto"/>
              <w:left w:val="single" w:sz="2" w:space="0" w:color="auto"/>
              <w:bottom w:val="single" w:sz="2" w:space="0" w:color="auto"/>
              <w:right w:val="single" w:sz="2" w:space="0" w:color="auto"/>
            </w:tcBorders>
            <w:hideMark/>
          </w:tcPr>
          <w:p w14:paraId="007479B9" w14:textId="77777777" w:rsidR="002F4A35" w:rsidRPr="002B4C1D" w:rsidRDefault="002F4A35" w:rsidP="005A7AC8">
            <w:pPr>
              <w:suppressAutoHyphens/>
              <w:jc w:val="center"/>
              <w:textAlignment w:val="baseline"/>
            </w:pPr>
            <w:r w:rsidRPr="002B4C1D">
              <w:rPr>
                <w:b/>
              </w:rPr>
              <w:t>Predlog spremembe EESO</w:t>
            </w:r>
          </w:p>
        </w:tc>
      </w:tr>
      <w:tr w:rsidR="002F4A35" w:rsidRPr="002B4C1D" w14:paraId="49255F76" w14:textId="77777777" w:rsidTr="00DF75A2">
        <w:trPr>
          <w:trHeight w:val="300"/>
        </w:trPr>
        <w:tc>
          <w:tcPr>
            <w:tcW w:w="4529" w:type="dxa"/>
            <w:tcBorders>
              <w:top w:val="single" w:sz="2" w:space="0" w:color="auto"/>
              <w:left w:val="single" w:sz="6" w:space="0" w:color="auto"/>
              <w:bottom w:val="single" w:sz="6" w:space="0" w:color="auto"/>
              <w:right w:val="single" w:sz="6" w:space="0" w:color="auto"/>
            </w:tcBorders>
          </w:tcPr>
          <w:p w14:paraId="165902C3" w14:textId="77777777" w:rsidR="002F4A35" w:rsidRPr="002B4C1D" w:rsidRDefault="002F4A35" w:rsidP="005A7AC8">
            <w:pPr>
              <w:suppressAutoHyphens/>
              <w:ind w:left="30" w:right="30"/>
              <w:jc w:val="center"/>
              <w:textAlignment w:val="baseline"/>
              <w:rPr>
                <w:i/>
                <w:iCs/>
              </w:rPr>
            </w:pPr>
            <w:r w:rsidRPr="002B4C1D">
              <w:rPr>
                <w:i/>
              </w:rPr>
              <w:t>Člen 10</w:t>
            </w:r>
          </w:p>
          <w:p w14:paraId="6FCBB230" w14:textId="77777777" w:rsidR="002F4A35" w:rsidRPr="002B4C1D" w:rsidRDefault="002F4A35" w:rsidP="005A7AC8">
            <w:pPr>
              <w:suppressAutoHyphens/>
              <w:ind w:left="30" w:right="30"/>
              <w:jc w:val="center"/>
              <w:textAlignment w:val="baseline"/>
              <w:rPr>
                <w:i/>
                <w:iCs/>
                <w:noProof/>
              </w:rPr>
            </w:pPr>
            <w:r w:rsidRPr="002B4C1D">
              <w:rPr>
                <w:b/>
                <w:i/>
              </w:rPr>
              <w:t>Proračun</w:t>
            </w:r>
          </w:p>
          <w:p w14:paraId="747FDE99" w14:textId="77777777" w:rsidR="002F4A35" w:rsidRPr="002B4C1D" w:rsidRDefault="002F4A35" w:rsidP="005A7AC8">
            <w:pPr>
              <w:suppressAutoHyphens/>
              <w:ind w:left="30" w:right="30"/>
              <w:textAlignment w:val="baseline"/>
            </w:pPr>
            <w:r w:rsidRPr="002B4C1D">
              <w:t>2. Finančna sredstva se dodelijo na naslednji način:</w:t>
            </w:r>
          </w:p>
        </w:tc>
        <w:tc>
          <w:tcPr>
            <w:tcW w:w="4528" w:type="dxa"/>
            <w:tcBorders>
              <w:top w:val="single" w:sz="2" w:space="0" w:color="auto"/>
              <w:left w:val="single" w:sz="6" w:space="0" w:color="auto"/>
              <w:bottom w:val="single" w:sz="6" w:space="0" w:color="auto"/>
              <w:right w:val="single" w:sz="6" w:space="0" w:color="auto"/>
            </w:tcBorders>
          </w:tcPr>
          <w:p w14:paraId="688B7F40" w14:textId="77777777" w:rsidR="002F4A35" w:rsidRPr="002B4C1D" w:rsidRDefault="002F4A35" w:rsidP="005A7AC8">
            <w:pPr>
              <w:suppressAutoHyphens/>
              <w:ind w:right="30"/>
              <w:jc w:val="center"/>
              <w:textAlignment w:val="baseline"/>
              <w:rPr>
                <w:i/>
                <w:iCs/>
              </w:rPr>
            </w:pPr>
            <w:r w:rsidRPr="002B4C1D">
              <w:rPr>
                <w:i/>
              </w:rPr>
              <w:t>Člen 10</w:t>
            </w:r>
          </w:p>
          <w:p w14:paraId="4A9DBB34" w14:textId="77777777" w:rsidR="002F4A35" w:rsidRPr="002B4C1D" w:rsidRDefault="002F4A35" w:rsidP="005A7AC8">
            <w:pPr>
              <w:suppressAutoHyphens/>
              <w:ind w:right="30"/>
              <w:jc w:val="center"/>
              <w:textAlignment w:val="baseline"/>
              <w:rPr>
                <w:b/>
                <w:bCs/>
                <w:i/>
                <w:iCs/>
              </w:rPr>
            </w:pPr>
            <w:r w:rsidRPr="002B4C1D">
              <w:rPr>
                <w:b/>
                <w:i/>
              </w:rPr>
              <w:t>Proračun</w:t>
            </w:r>
          </w:p>
          <w:p w14:paraId="0D9FB8DD" w14:textId="77777777" w:rsidR="002F4A35" w:rsidRPr="002B4C1D" w:rsidRDefault="002F4A35" w:rsidP="005A7AC8">
            <w:pPr>
              <w:suppressAutoHyphens/>
              <w:ind w:right="30"/>
              <w:textAlignment w:val="baseline"/>
            </w:pPr>
            <w:r w:rsidRPr="002B4C1D">
              <w:t>2.</w:t>
            </w:r>
            <w:r w:rsidRPr="002B4C1D">
              <w:rPr>
                <w:b/>
                <w:i/>
              </w:rPr>
              <w:t xml:space="preserve"> </w:t>
            </w:r>
            <w:r w:rsidRPr="002B4C1D">
              <w:t>Finančna sredstva se dodelijo na naslednji način:</w:t>
            </w:r>
          </w:p>
          <w:p w14:paraId="2BE69D18" w14:textId="77777777" w:rsidR="002F4A35" w:rsidRPr="002B4C1D" w:rsidRDefault="002F4A35" w:rsidP="005A7AC8">
            <w:pPr>
              <w:suppressAutoHyphens/>
              <w:ind w:left="229" w:right="30" w:hanging="229"/>
              <w:textAlignment w:val="baseline"/>
              <w:rPr>
                <w:b/>
                <w:bCs/>
                <w:i/>
                <w:iCs/>
              </w:rPr>
            </w:pPr>
            <w:r w:rsidRPr="002B4C1D">
              <w:rPr>
                <w:b/>
                <w:i/>
              </w:rPr>
              <w:t>(e) do 6 % finančnih sredstev se dodeli za pravični prehod iz člena 3.</w:t>
            </w:r>
          </w:p>
        </w:tc>
      </w:tr>
    </w:tbl>
    <w:p w14:paraId="39CBFF1E" w14:textId="77777777" w:rsidR="002F4A35" w:rsidRPr="002B4C1D" w:rsidRDefault="002F4A35" w:rsidP="005A7AC8">
      <w:pPr>
        <w:suppressAutoHyphens/>
        <w:jc w:val="center"/>
        <w:textAlignment w:val="baseline"/>
      </w:pPr>
    </w:p>
    <w:tbl>
      <w:tblPr>
        <w:tblW w:w="9057" w:type="dxa"/>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9057"/>
      </w:tblGrid>
      <w:tr w:rsidR="002F4A35" w:rsidRPr="002B4C1D" w14:paraId="4283E15B" w14:textId="77777777" w:rsidTr="00DF75A2">
        <w:trPr>
          <w:trHeight w:val="300"/>
        </w:trPr>
        <w:tc>
          <w:tcPr>
            <w:tcW w:w="9057" w:type="dxa"/>
            <w:tcBorders>
              <w:top w:val="single" w:sz="2" w:space="0" w:color="auto"/>
              <w:left w:val="single" w:sz="2" w:space="0" w:color="auto"/>
              <w:bottom w:val="single" w:sz="2" w:space="0" w:color="auto"/>
              <w:right w:val="single" w:sz="2" w:space="0" w:color="auto"/>
            </w:tcBorders>
            <w:hideMark/>
          </w:tcPr>
          <w:p w14:paraId="62070627" w14:textId="77777777" w:rsidR="002F4A35" w:rsidRPr="002B4C1D" w:rsidRDefault="002F4A35" w:rsidP="005A7AC8">
            <w:pPr>
              <w:suppressAutoHyphens/>
              <w:jc w:val="center"/>
              <w:textAlignment w:val="baseline"/>
            </w:pPr>
            <w:r w:rsidRPr="002B4C1D">
              <w:rPr>
                <w:b/>
              </w:rPr>
              <w:t>Obrazložitev</w:t>
            </w:r>
          </w:p>
        </w:tc>
      </w:tr>
      <w:tr w:rsidR="002F4A35" w:rsidRPr="002B4C1D" w14:paraId="58325A7A" w14:textId="77777777" w:rsidTr="00DF75A2">
        <w:trPr>
          <w:trHeight w:val="300"/>
        </w:trPr>
        <w:tc>
          <w:tcPr>
            <w:tcW w:w="9057" w:type="dxa"/>
            <w:tcBorders>
              <w:top w:val="single" w:sz="2" w:space="0" w:color="auto"/>
              <w:left w:val="single" w:sz="2" w:space="0" w:color="auto"/>
              <w:bottom w:val="single" w:sz="2" w:space="0" w:color="auto"/>
              <w:right w:val="single" w:sz="2" w:space="0" w:color="auto"/>
            </w:tcBorders>
          </w:tcPr>
          <w:p w14:paraId="58693C12" w14:textId="11C67FED" w:rsidR="002F4A35" w:rsidRPr="002B4C1D" w:rsidRDefault="002F4A35" w:rsidP="005A7AC8">
            <w:pPr>
              <w:suppressAutoHyphens/>
              <w:textAlignment w:val="baseline"/>
            </w:pPr>
            <w:r w:rsidRPr="002B4C1D">
              <w:t xml:space="preserve">V uredbi niso predvidena namenska proračunska sredstva za pravični prehod. Ker bo ta prehod potekal več desetletij ter vključeval preusposabljanje, spremembo namena infrastrukture in gospodarsko diverzifikacijo, se s predlagano spremembo uvaja obveznost, da se za to namenijo proračunska sredstva v višini 6 %. </w:t>
            </w:r>
          </w:p>
        </w:tc>
      </w:tr>
    </w:tbl>
    <w:p w14:paraId="1872CBA6" w14:textId="77777777" w:rsidR="00F95E4F" w:rsidRPr="002B4C1D" w:rsidRDefault="00F95E4F" w:rsidP="005A7AC8">
      <w:pPr>
        <w:suppressAutoHyphens/>
        <w:spacing w:line="240" w:lineRule="auto"/>
      </w:pPr>
    </w:p>
    <w:p w14:paraId="06FB4F30" w14:textId="57F08DA7" w:rsidR="00F95E4F" w:rsidRPr="002B4C1D" w:rsidRDefault="00F95E4F" w:rsidP="005A7AC8">
      <w:pPr>
        <w:suppressAutoHyphens/>
        <w:overflowPunct w:val="0"/>
        <w:autoSpaceDE w:val="0"/>
        <w:autoSpaceDN w:val="0"/>
        <w:adjustRightInd w:val="0"/>
        <w:jc w:val="center"/>
        <w:textAlignment w:val="baseline"/>
        <w:outlineLvl w:val="1"/>
        <w:rPr>
          <w:b/>
          <w:bCs/>
          <w:szCs w:val="20"/>
        </w:rPr>
      </w:pPr>
      <w:r w:rsidRPr="002B4C1D">
        <w:rPr>
          <w:b/>
        </w:rPr>
        <w:t>Predlog spremembe 4</w:t>
      </w:r>
    </w:p>
    <w:p w14:paraId="72199A88" w14:textId="07264F57" w:rsidR="00F95E4F" w:rsidRPr="002B4C1D" w:rsidRDefault="003E5355" w:rsidP="005A7AC8">
      <w:pPr>
        <w:suppressAutoHyphens/>
        <w:jc w:val="center"/>
        <w:textAlignment w:val="baseline"/>
      </w:pPr>
      <w:r w:rsidRPr="002B4C1D">
        <w:t>(povezano s priporočilom 1.13)</w:t>
      </w:r>
    </w:p>
    <w:p w14:paraId="4E4B0FD9" w14:textId="77777777" w:rsidR="00F95E4F" w:rsidRPr="002B4C1D" w:rsidRDefault="00F95E4F" w:rsidP="005A7AC8">
      <w:pPr>
        <w:suppressAutoHyphens/>
        <w:spacing w:line="240" w:lineRule="auto"/>
        <w:jc w:val="left"/>
        <w:textAlignment w:val="baseline"/>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4529"/>
        <w:gridCol w:w="4528"/>
      </w:tblGrid>
      <w:tr w:rsidR="00F95E4F" w:rsidRPr="002B4C1D" w14:paraId="5EF0E690" w14:textId="77777777" w:rsidTr="00E022FB">
        <w:trPr>
          <w:trHeight w:val="300"/>
        </w:trPr>
        <w:tc>
          <w:tcPr>
            <w:tcW w:w="4529" w:type="dxa"/>
            <w:tcBorders>
              <w:top w:val="single" w:sz="2" w:space="0" w:color="auto"/>
              <w:left w:val="single" w:sz="2" w:space="0" w:color="auto"/>
              <w:bottom w:val="single" w:sz="2" w:space="0" w:color="auto"/>
              <w:right w:val="single" w:sz="2" w:space="0" w:color="auto"/>
            </w:tcBorders>
            <w:hideMark/>
          </w:tcPr>
          <w:p w14:paraId="30ABDA24" w14:textId="77777777" w:rsidR="00F95E4F" w:rsidRPr="002B4C1D" w:rsidRDefault="00F95E4F" w:rsidP="005A7AC8">
            <w:pPr>
              <w:suppressAutoHyphens/>
              <w:jc w:val="center"/>
              <w:textAlignment w:val="baseline"/>
              <w:rPr>
                <w:strike/>
              </w:rPr>
            </w:pPr>
            <w:r w:rsidRPr="002B4C1D">
              <w:rPr>
                <w:b/>
              </w:rPr>
              <w:t>Predlog Komisije</w:t>
            </w:r>
          </w:p>
        </w:tc>
        <w:tc>
          <w:tcPr>
            <w:tcW w:w="4528" w:type="dxa"/>
            <w:tcBorders>
              <w:top w:val="single" w:sz="2" w:space="0" w:color="auto"/>
              <w:left w:val="single" w:sz="2" w:space="0" w:color="auto"/>
              <w:bottom w:val="single" w:sz="2" w:space="0" w:color="auto"/>
              <w:right w:val="single" w:sz="2" w:space="0" w:color="auto"/>
            </w:tcBorders>
            <w:hideMark/>
          </w:tcPr>
          <w:p w14:paraId="4BDC568B" w14:textId="77777777" w:rsidR="00F95E4F" w:rsidRPr="002B4C1D" w:rsidRDefault="00F95E4F" w:rsidP="005A7AC8">
            <w:pPr>
              <w:suppressAutoHyphens/>
              <w:jc w:val="center"/>
              <w:textAlignment w:val="baseline"/>
            </w:pPr>
            <w:r w:rsidRPr="002B4C1D">
              <w:rPr>
                <w:b/>
              </w:rPr>
              <w:t>Predlog spremembe EESO</w:t>
            </w:r>
          </w:p>
        </w:tc>
      </w:tr>
      <w:tr w:rsidR="00F95E4F" w:rsidRPr="002B4C1D" w14:paraId="59EB1761" w14:textId="77777777" w:rsidTr="00E022FB">
        <w:trPr>
          <w:trHeight w:val="300"/>
        </w:trPr>
        <w:tc>
          <w:tcPr>
            <w:tcW w:w="4529" w:type="dxa"/>
            <w:tcBorders>
              <w:top w:val="single" w:sz="2" w:space="0" w:color="auto"/>
              <w:left w:val="single" w:sz="6" w:space="0" w:color="auto"/>
              <w:bottom w:val="single" w:sz="6" w:space="0" w:color="auto"/>
              <w:right w:val="single" w:sz="6" w:space="0" w:color="auto"/>
            </w:tcBorders>
            <w:hideMark/>
          </w:tcPr>
          <w:p w14:paraId="2914F2AF" w14:textId="63902719" w:rsidR="001B4E69" w:rsidRPr="002B4C1D" w:rsidRDefault="00F95E4F" w:rsidP="005A7AC8">
            <w:pPr>
              <w:suppressAutoHyphens/>
              <w:ind w:left="30" w:right="30"/>
              <w:jc w:val="center"/>
              <w:textAlignment w:val="baseline"/>
              <w:rPr>
                <w:i/>
                <w:iCs/>
              </w:rPr>
            </w:pPr>
            <w:r w:rsidRPr="002B4C1D">
              <w:rPr>
                <w:i/>
              </w:rPr>
              <w:t>Člen 10</w:t>
            </w:r>
          </w:p>
          <w:p w14:paraId="5ACA1ADF" w14:textId="3868D736" w:rsidR="00F95E4F" w:rsidRPr="002B4C1D" w:rsidRDefault="00F95E4F" w:rsidP="005A7AC8">
            <w:pPr>
              <w:suppressAutoHyphens/>
              <w:ind w:left="30" w:right="30"/>
              <w:jc w:val="center"/>
              <w:textAlignment w:val="baseline"/>
              <w:rPr>
                <w:b/>
                <w:bCs/>
                <w:i/>
                <w:iCs/>
              </w:rPr>
            </w:pPr>
            <w:r w:rsidRPr="002B4C1D">
              <w:rPr>
                <w:b/>
                <w:i/>
              </w:rPr>
              <w:t>Proračun</w:t>
            </w:r>
          </w:p>
          <w:p w14:paraId="3E72E9AB" w14:textId="5196B287" w:rsidR="00F95E4F" w:rsidRPr="002B4C1D" w:rsidRDefault="00BD57C9" w:rsidP="005A7AC8">
            <w:pPr>
              <w:suppressAutoHyphens/>
              <w:ind w:left="30" w:right="30"/>
              <w:textAlignment w:val="baseline"/>
            </w:pPr>
            <w:r w:rsidRPr="002B4C1D">
              <w:t xml:space="preserve">5. Vsaj </w:t>
            </w:r>
            <w:r w:rsidRPr="002B4C1D">
              <w:rPr>
                <w:b/>
                <w:i/>
              </w:rPr>
              <w:t>14 %</w:t>
            </w:r>
            <w:r w:rsidRPr="002B4C1D">
              <w:t xml:space="preserve"> finančnih sredstev iz odstavka 2 in zneska iz odstavka 4 se nameni za doseganje socialnih ciljev Unije, izračunano z uporabo koeficientov iz člena 6(1) Uredbe (EU) [uredba o okviru smotrnosti].</w:t>
            </w:r>
          </w:p>
        </w:tc>
        <w:tc>
          <w:tcPr>
            <w:tcW w:w="4528" w:type="dxa"/>
            <w:tcBorders>
              <w:top w:val="single" w:sz="2" w:space="0" w:color="auto"/>
              <w:left w:val="single" w:sz="6" w:space="0" w:color="auto"/>
              <w:bottom w:val="single" w:sz="6" w:space="0" w:color="auto"/>
              <w:right w:val="single" w:sz="6" w:space="0" w:color="auto"/>
            </w:tcBorders>
            <w:hideMark/>
          </w:tcPr>
          <w:p w14:paraId="75781ED7" w14:textId="596D2071" w:rsidR="001B4E69" w:rsidRPr="002B4C1D" w:rsidRDefault="00F95E4F" w:rsidP="005A7AC8">
            <w:pPr>
              <w:suppressAutoHyphens/>
              <w:ind w:left="30" w:right="30"/>
              <w:jc w:val="center"/>
              <w:textAlignment w:val="baseline"/>
              <w:rPr>
                <w:i/>
                <w:iCs/>
              </w:rPr>
            </w:pPr>
            <w:r w:rsidRPr="002B4C1D">
              <w:rPr>
                <w:i/>
              </w:rPr>
              <w:t>Člen 10</w:t>
            </w:r>
          </w:p>
          <w:p w14:paraId="597B137F" w14:textId="21CDF68C" w:rsidR="00F95E4F" w:rsidRPr="002B4C1D" w:rsidRDefault="00F95E4F" w:rsidP="005A7AC8">
            <w:pPr>
              <w:suppressAutoHyphens/>
              <w:ind w:left="30" w:right="30"/>
              <w:jc w:val="center"/>
              <w:textAlignment w:val="baseline"/>
              <w:rPr>
                <w:b/>
                <w:bCs/>
                <w:i/>
                <w:iCs/>
              </w:rPr>
            </w:pPr>
            <w:r w:rsidRPr="002B4C1D">
              <w:rPr>
                <w:b/>
                <w:i/>
              </w:rPr>
              <w:t>Proračun</w:t>
            </w:r>
          </w:p>
          <w:p w14:paraId="7CD030BF" w14:textId="79582D31" w:rsidR="00F95E4F" w:rsidRPr="002B4C1D" w:rsidRDefault="00BD57C9" w:rsidP="005A7AC8">
            <w:pPr>
              <w:suppressAutoHyphens/>
              <w:ind w:left="30" w:right="30"/>
              <w:textAlignment w:val="baseline"/>
            </w:pPr>
            <w:r w:rsidRPr="002B4C1D">
              <w:t xml:space="preserve">5. Vsaj </w:t>
            </w:r>
            <w:r w:rsidRPr="002B4C1D">
              <w:rPr>
                <w:b/>
                <w:i/>
              </w:rPr>
              <w:t>20 %</w:t>
            </w:r>
            <w:r w:rsidRPr="002B4C1D">
              <w:t xml:space="preserve"> finančnih sredstev iz odstavka 2 in zneska iz odstavka 4 se nameni za doseganje socialnih ciljev Unije, izračunano z uporabo koeficientov iz člena 6(1) Uredbe (EU) [uredba o okviru smotrnosti].</w:t>
            </w:r>
          </w:p>
        </w:tc>
      </w:tr>
    </w:tbl>
    <w:p w14:paraId="2AECD827" w14:textId="77777777" w:rsidR="00F95E4F" w:rsidRPr="002B4C1D" w:rsidRDefault="00F95E4F" w:rsidP="005A7AC8">
      <w:pPr>
        <w:suppressAutoHyphens/>
        <w:spacing w:line="240" w:lineRule="auto"/>
        <w:jc w:val="center"/>
        <w:textAlignment w:val="baseline"/>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9057"/>
      </w:tblGrid>
      <w:tr w:rsidR="00F95E4F" w:rsidRPr="002B4C1D" w14:paraId="6EAE8086" w14:textId="77777777" w:rsidTr="00E022FB">
        <w:trPr>
          <w:trHeight w:val="300"/>
        </w:trPr>
        <w:tc>
          <w:tcPr>
            <w:tcW w:w="9057" w:type="dxa"/>
            <w:tcBorders>
              <w:top w:val="single" w:sz="2" w:space="0" w:color="auto"/>
              <w:left w:val="single" w:sz="2" w:space="0" w:color="auto"/>
              <w:bottom w:val="single" w:sz="2" w:space="0" w:color="auto"/>
              <w:right w:val="single" w:sz="2" w:space="0" w:color="auto"/>
            </w:tcBorders>
            <w:hideMark/>
          </w:tcPr>
          <w:p w14:paraId="5B2D29EE" w14:textId="77777777" w:rsidR="00F95E4F" w:rsidRPr="002B4C1D" w:rsidRDefault="00F95E4F" w:rsidP="005A7AC8">
            <w:pPr>
              <w:suppressAutoHyphens/>
              <w:jc w:val="center"/>
              <w:textAlignment w:val="baseline"/>
            </w:pPr>
            <w:r w:rsidRPr="002B4C1D">
              <w:rPr>
                <w:b/>
              </w:rPr>
              <w:t>Obrazložitev</w:t>
            </w:r>
          </w:p>
        </w:tc>
      </w:tr>
      <w:tr w:rsidR="00F95E4F" w:rsidRPr="002B4C1D" w14:paraId="1B3A4D70" w14:textId="77777777" w:rsidTr="00E022FB">
        <w:trPr>
          <w:trHeight w:val="300"/>
        </w:trPr>
        <w:tc>
          <w:tcPr>
            <w:tcW w:w="9057" w:type="dxa"/>
            <w:tcBorders>
              <w:top w:val="single" w:sz="2" w:space="0" w:color="auto"/>
              <w:left w:val="single" w:sz="6" w:space="0" w:color="auto"/>
              <w:bottom w:val="single" w:sz="6" w:space="0" w:color="auto"/>
              <w:right w:val="single" w:sz="6" w:space="0" w:color="auto"/>
            </w:tcBorders>
            <w:hideMark/>
          </w:tcPr>
          <w:p w14:paraId="3785988E" w14:textId="75AA69D5" w:rsidR="00F95E4F" w:rsidRPr="002B4C1D" w:rsidRDefault="00F95E4F" w:rsidP="005A7AC8">
            <w:pPr>
              <w:suppressAutoHyphens/>
              <w:ind w:left="30" w:right="30"/>
              <w:textAlignment w:val="baseline"/>
            </w:pPr>
            <w:r w:rsidRPr="002B4C1D">
              <w:t>Zaradi trenutnih socialnih razmer v EU in potrebe po uravnoteženem pristopu je treba sredstva za socialne cilje povečati na 20 %. To je tudi nujno, da se prispeva k zmanjšanju neenakosti in regionalnih razlik.</w:t>
            </w:r>
          </w:p>
        </w:tc>
      </w:tr>
    </w:tbl>
    <w:p w14:paraId="26B990F7" w14:textId="77777777" w:rsidR="00F95E4F" w:rsidRPr="002B4C1D" w:rsidRDefault="00F95E4F" w:rsidP="005A7AC8">
      <w:pPr>
        <w:suppressAutoHyphens/>
        <w:spacing w:line="240" w:lineRule="auto"/>
      </w:pPr>
    </w:p>
    <w:p w14:paraId="3553024A" w14:textId="770F8CF7" w:rsidR="00F95E4F" w:rsidRPr="002B4C1D" w:rsidRDefault="00F95E4F" w:rsidP="005A7AC8">
      <w:pPr>
        <w:pageBreakBefore/>
        <w:suppressAutoHyphens/>
        <w:overflowPunct w:val="0"/>
        <w:autoSpaceDE w:val="0"/>
        <w:autoSpaceDN w:val="0"/>
        <w:adjustRightInd w:val="0"/>
        <w:jc w:val="center"/>
        <w:textAlignment w:val="baseline"/>
        <w:outlineLvl w:val="1"/>
        <w:rPr>
          <w:b/>
          <w:bCs/>
          <w:szCs w:val="20"/>
        </w:rPr>
      </w:pPr>
      <w:r w:rsidRPr="002B4C1D">
        <w:rPr>
          <w:b/>
        </w:rPr>
        <w:lastRenderedPageBreak/>
        <w:t>Predlog spremembe 5</w:t>
      </w:r>
    </w:p>
    <w:p w14:paraId="4C8B90A5" w14:textId="0D21DA0F" w:rsidR="00F95E4F" w:rsidRPr="002B4C1D" w:rsidRDefault="003E5355" w:rsidP="005A7AC8">
      <w:pPr>
        <w:suppressAutoHyphens/>
        <w:jc w:val="center"/>
        <w:textAlignment w:val="baseline"/>
      </w:pPr>
      <w:r w:rsidRPr="002B4C1D">
        <w:t>(povezano s priporočilom 1.18)</w:t>
      </w:r>
    </w:p>
    <w:p w14:paraId="2138F9E3" w14:textId="77777777" w:rsidR="00F95E4F" w:rsidRPr="002B4C1D" w:rsidRDefault="00F95E4F" w:rsidP="005A7AC8">
      <w:pPr>
        <w:suppressAutoHyphens/>
        <w:jc w:val="left"/>
        <w:textAlignment w:val="baseline"/>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4529"/>
        <w:gridCol w:w="4528"/>
      </w:tblGrid>
      <w:tr w:rsidR="00F95E4F" w:rsidRPr="002B4C1D" w14:paraId="59065A52" w14:textId="77777777" w:rsidTr="00E022FB">
        <w:trPr>
          <w:trHeight w:val="300"/>
        </w:trPr>
        <w:tc>
          <w:tcPr>
            <w:tcW w:w="4529" w:type="dxa"/>
            <w:tcBorders>
              <w:top w:val="single" w:sz="2" w:space="0" w:color="auto"/>
              <w:left w:val="single" w:sz="2" w:space="0" w:color="auto"/>
              <w:bottom w:val="single" w:sz="2" w:space="0" w:color="auto"/>
              <w:right w:val="single" w:sz="2" w:space="0" w:color="auto"/>
            </w:tcBorders>
            <w:hideMark/>
          </w:tcPr>
          <w:p w14:paraId="21D73B2E" w14:textId="77777777" w:rsidR="00F95E4F" w:rsidRPr="002B4C1D" w:rsidRDefault="00F95E4F" w:rsidP="005A7AC8">
            <w:pPr>
              <w:suppressAutoHyphens/>
              <w:jc w:val="center"/>
              <w:textAlignment w:val="baseline"/>
              <w:rPr>
                <w:strike/>
              </w:rPr>
            </w:pPr>
            <w:r w:rsidRPr="002B4C1D">
              <w:rPr>
                <w:b/>
              </w:rPr>
              <w:t>Predlog Komisije</w:t>
            </w:r>
          </w:p>
        </w:tc>
        <w:tc>
          <w:tcPr>
            <w:tcW w:w="4528" w:type="dxa"/>
            <w:tcBorders>
              <w:top w:val="single" w:sz="2" w:space="0" w:color="auto"/>
              <w:left w:val="single" w:sz="2" w:space="0" w:color="auto"/>
              <w:bottom w:val="single" w:sz="2" w:space="0" w:color="auto"/>
              <w:right w:val="single" w:sz="2" w:space="0" w:color="auto"/>
            </w:tcBorders>
            <w:hideMark/>
          </w:tcPr>
          <w:p w14:paraId="590612A6" w14:textId="77777777" w:rsidR="00F95E4F" w:rsidRPr="002B4C1D" w:rsidRDefault="00F95E4F" w:rsidP="005A7AC8">
            <w:pPr>
              <w:suppressAutoHyphens/>
              <w:jc w:val="center"/>
              <w:textAlignment w:val="baseline"/>
            </w:pPr>
            <w:r w:rsidRPr="002B4C1D">
              <w:rPr>
                <w:b/>
              </w:rPr>
              <w:t>Predlog spremembe EESO</w:t>
            </w:r>
          </w:p>
        </w:tc>
      </w:tr>
      <w:tr w:rsidR="00F95E4F" w:rsidRPr="002B4C1D" w14:paraId="4E979390" w14:textId="77777777" w:rsidTr="00E022FB">
        <w:trPr>
          <w:trHeight w:val="300"/>
        </w:trPr>
        <w:tc>
          <w:tcPr>
            <w:tcW w:w="4529" w:type="dxa"/>
            <w:tcBorders>
              <w:top w:val="single" w:sz="2" w:space="0" w:color="auto"/>
              <w:left w:val="single" w:sz="6" w:space="0" w:color="auto"/>
              <w:bottom w:val="single" w:sz="6" w:space="0" w:color="auto"/>
              <w:right w:val="single" w:sz="6" w:space="0" w:color="auto"/>
            </w:tcBorders>
            <w:hideMark/>
          </w:tcPr>
          <w:p w14:paraId="2DA75C24" w14:textId="22FEA290" w:rsidR="001B4E69" w:rsidRPr="002B4C1D" w:rsidRDefault="007205D3" w:rsidP="005A7AC8">
            <w:pPr>
              <w:suppressAutoHyphens/>
              <w:ind w:left="30" w:right="30"/>
              <w:jc w:val="center"/>
              <w:textAlignment w:val="baseline"/>
              <w:rPr>
                <w:i/>
                <w:iCs/>
              </w:rPr>
            </w:pPr>
            <w:r w:rsidRPr="002B4C1D">
              <w:rPr>
                <w:i/>
              </w:rPr>
              <w:t>Člen 13</w:t>
            </w:r>
          </w:p>
          <w:p w14:paraId="63C3EAD5" w14:textId="6F626AC8" w:rsidR="00F95E4F" w:rsidRPr="002B4C1D" w:rsidRDefault="007205D3" w:rsidP="005A7AC8">
            <w:pPr>
              <w:suppressAutoHyphens/>
              <w:ind w:left="30" w:right="30"/>
              <w:jc w:val="center"/>
              <w:textAlignment w:val="baseline"/>
            </w:pPr>
            <w:r w:rsidRPr="002B4C1D">
              <w:rPr>
                <w:b/>
                <w:i/>
              </w:rPr>
              <w:t>Tehnična pomoč na pobudo države članice</w:t>
            </w:r>
          </w:p>
        </w:tc>
        <w:tc>
          <w:tcPr>
            <w:tcW w:w="4528" w:type="dxa"/>
            <w:tcBorders>
              <w:top w:val="single" w:sz="2" w:space="0" w:color="auto"/>
              <w:left w:val="single" w:sz="6" w:space="0" w:color="auto"/>
              <w:bottom w:val="single" w:sz="6" w:space="0" w:color="auto"/>
              <w:right w:val="single" w:sz="6" w:space="0" w:color="auto"/>
            </w:tcBorders>
            <w:hideMark/>
          </w:tcPr>
          <w:p w14:paraId="45FFD514" w14:textId="15567534" w:rsidR="001B4E69" w:rsidRPr="002B4C1D" w:rsidRDefault="00F95E4F" w:rsidP="005A7AC8">
            <w:pPr>
              <w:suppressAutoHyphens/>
              <w:ind w:left="30" w:right="30"/>
              <w:jc w:val="center"/>
              <w:textAlignment w:val="baseline"/>
              <w:rPr>
                <w:i/>
                <w:iCs/>
              </w:rPr>
            </w:pPr>
            <w:r w:rsidRPr="002B4C1D">
              <w:rPr>
                <w:i/>
              </w:rPr>
              <w:t>Člen 13</w:t>
            </w:r>
          </w:p>
          <w:p w14:paraId="6E14CE8F" w14:textId="28EDCDE0" w:rsidR="00F95E4F" w:rsidRPr="002B4C1D" w:rsidRDefault="00F95E4F" w:rsidP="005A7AC8">
            <w:pPr>
              <w:suppressAutoHyphens/>
              <w:ind w:left="30" w:right="30"/>
              <w:jc w:val="center"/>
              <w:textAlignment w:val="baseline"/>
              <w:rPr>
                <w:b/>
                <w:bCs/>
                <w:i/>
                <w:iCs/>
              </w:rPr>
            </w:pPr>
            <w:r w:rsidRPr="002B4C1D">
              <w:rPr>
                <w:b/>
                <w:i/>
              </w:rPr>
              <w:t>Tehnična pomoč na pobudo države članice</w:t>
            </w:r>
          </w:p>
          <w:p w14:paraId="0CF5D922" w14:textId="1D608F21" w:rsidR="00F95E4F" w:rsidRPr="002B4C1D" w:rsidRDefault="00BD57C9" w:rsidP="005A7AC8">
            <w:pPr>
              <w:suppressAutoHyphens/>
              <w:ind w:left="30" w:right="30"/>
              <w:textAlignment w:val="baseline"/>
              <w:rPr>
                <w:b/>
                <w:bCs/>
                <w:i/>
                <w:iCs/>
              </w:rPr>
            </w:pPr>
            <w:r w:rsidRPr="002B4C1D">
              <w:rPr>
                <w:b/>
                <w:i/>
              </w:rPr>
              <w:t>6. Socialni partnerji in organizacije civilne družbe, zastopani v odboru za spremljanje, imajo dostop do tehnične pomoči.</w:t>
            </w:r>
          </w:p>
        </w:tc>
      </w:tr>
    </w:tbl>
    <w:p w14:paraId="2804ED94" w14:textId="77777777" w:rsidR="00F95E4F" w:rsidRPr="002B4C1D" w:rsidRDefault="00F95E4F" w:rsidP="005A7AC8">
      <w:pPr>
        <w:suppressAutoHyphens/>
        <w:jc w:val="center"/>
        <w:textAlignment w:val="baseline"/>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9057"/>
      </w:tblGrid>
      <w:tr w:rsidR="00F95E4F" w:rsidRPr="002B4C1D" w14:paraId="0BC18BDB" w14:textId="77777777" w:rsidTr="00E022FB">
        <w:trPr>
          <w:trHeight w:val="300"/>
        </w:trPr>
        <w:tc>
          <w:tcPr>
            <w:tcW w:w="9057" w:type="dxa"/>
            <w:tcBorders>
              <w:top w:val="single" w:sz="2" w:space="0" w:color="auto"/>
              <w:left w:val="single" w:sz="2" w:space="0" w:color="auto"/>
              <w:bottom w:val="single" w:sz="2" w:space="0" w:color="auto"/>
              <w:right w:val="single" w:sz="2" w:space="0" w:color="auto"/>
            </w:tcBorders>
            <w:hideMark/>
          </w:tcPr>
          <w:p w14:paraId="601B20AE" w14:textId="77777777" w:rsidR="00F95E4F" w:rsidRPr="002B4C1D" w:rsidRDefault="00F95E4F" w:rsidP="005A7AC8">
            <w:pPr>
              <w:suppressAutoHyphens/>
              <w:jc w:val="center"/>
              <w:textAlignment w:val="baseline"/>
            </w:pPr>
            <w:r w:rsidRPr="002B4C1D">
              <w:rPr>
                <w:b/>
              </w:rPr>
              <w:t>Obrazložitev</w:t>
            </w:r>
          </w:p>
        </w:tc>
      </w:tr>
      <w:tr w:rsidR="00F95E4F" w:rsidRPr="002B4C1D" w14:paraId="0F3B46D5" w14:textId="77777777" w:rsidTr="00E022FB">
        <w:trPr>
          <w:trHeight w:val="300"/>
        </w:trPr>
        <w:tc>
          <w:tcPr>
            <w:tcW w:w="9057" w:type="dxa"/>
            <w:tcBorders>
              <w:top w:val="single" w:sz="2" w:space="0" w:color="auto"/>
              <w:left w:val="single" w:sz="6" w:space="0" w:color="auto"/>
              <w:bottom w:val="single" w:sz="6" w:space="0" w:color="auto"/>
              <w:right w:val="single" w:sz="6" w:space="0" w:color="auto"/>
            </w:tcBorders>
            <w:hideMark/>
          </w:tcPr>
          <w:p w14:paraId="1B1EFF77" w14:textId="5E112132" w:rsidR="00F95E4F" w:rsidRPr="002B4C1D" w:rsidRDefault="00F95E4F" w:rsidP="005A7AC8">
            <w:pPr>
              <w:suppressAutoHyphens/>
              <w:ind w:left="30" w:right="30"/>
              <w:textAlignment w:val="baseline"/>
            </w:pPr>
            <w:r w:rsidRPr="002B4C1D">
              <w:t xml:space="preserve">Ta predlog je v skladu s tem, da je treba poskrbeti za pravilno delovanje odborov za spremljanje, pri čemer je treba upoštevati strukturo glasov, kompleksnost dejavnosti teh odborov in kakovost ukrepanja, potrebnega na ravni odbora. </w:t>
            </w:r>
          </w:p>
        </w:tc>
      </w:tr>
    </w:tbl>
    <w:p w14:paraId="0F2B3B69" w14:textId="77777777" w:rsidR="00F95E4F" w:rsidRPr="002B4C1D" w:rsidRDefault="00F95E4F" w:rsidP="005A7AC8"/>
    <w:p w14:paraId="0892E79E" w14:textId="7313C88D" w:rsidR="00F95E4F" w:rsidRPr="002B4C1D" w:rsidRDefault="00F95E4F" w:rsidP="005A7AC8">
      <w:pPr>
        <w:suppressAutoHyphens/>
        <w:overflowPunct w:val="0"/>
        <w:autoSpaceDE w:val="0"/>
        <w:autoSpaceDN w:val="0"/>
        <w:adjustRightInd w:val="0"/>
        <w:jc w:val="center"/>
        <w:textAlignment w:val="baseline"/>
        <w:outlineLvl w:val="1"/>
        <w:rPr>
          <w:b/>
          <w:bCs/>
          <w:szCs w:val="20"/>
        </w:rPr>
      </w:pPr>
      <w:r w:rsidRPr="002B4C1D">
        <w:rPr>
          <w:b/>
        </w:rPr>
        <w:t>Predlog spremembe 6</w:t>
      </w:r>
    </w:p>
    <w:p w14:paraId="06CC3BEB" w14:textId="1C5FB96F" w:rsidR="00F95E4F" w:rsidRPr="002B4C1D" w:rsidRDefault="003E5355" w:rsidP="005A7AC8">
      <w:pPr>
        <w:suppressAutoHyphens/>
        <w:jc w:val="center"/>
        <w:textAlignment w:val="baseline"/>
      </w:pPr>
      <w:r w:rsidRPr="002B4C1D">
        <w:t>(povezano s priporočilom 1.13)</w:t>
      </w:r>
    </w:p>
    <w:p w14:paraId="3BCA650A" w14:textId="77777777" w:rsidR="00F95E4F" w:rsidRPr="002B4C1D" w:rsidRDefault="00F95E4F" w:rsidP="005A7AC8">
      <w:pPr>
        <w:suppressAutoHyphens/>
        <w:jc w:val="left"/>
        <w:textAlignment w:val="baseline"/>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4529"/>
        <w:gridCol w:w="4528"/>
      </w:tblGrid>
      <w:tr w:rsidR="00F95E4F" w:rsidRPr="002B4C1D" w14:paraId="6561084E" w14:textId="77777777" w:rsidTr="00E022FB">
        <w:trPr>
          <w:trHeight w:val="300"/>
        </w:trPr>
        <w:tc>
          <w:tcPr>
            <w:tcW w:w="4529" w:type="dxa"/>
            <w:tcBorders>
              <w:top w:val="single" w:sz="2" w:space="0" w:color="auto"/>
              <w:left w:val="single" w:sz="2" w:space="0" w:color="auto"/>
              <w:bottom w:val="single" w:sz="2" w:space="0" w:color="auto"/>
              <w:right w:val="single" w:sz="2" w:space="0" w:color="auto"/>
            </w:tcBorders>
            <w:hideMark/>
          </w:tcPr>
          <w:p w14:paraId="5E92FBC9" w14:textId="77777777" w:rsidR="00F95E4F" w:rsidRPr="002B4C1D" w:rsidRDefault="00F95E4F" w:rsidP="005A7AC8">
            <w:pPr>
              <w:suppressAutoHyphens/>
              <w:jc w:val="center"/>
              <w:textAlignment w:val="baseline"/>
              <w:rPr>
                <w:strike/>
              </w:rPr>
            </w:pPr>
            <w:r w:rsidRPr="002B4C1D">
              <w:rPr>
                <w:b/>
              </w:rPr>
              <w:t>Predlog Komisije</w:t>
            </w:r>
          </w:p>
        </w:tc>
        <w:tc>
          <w:tcPr>
            <w:tcW w:w="4528" w:type="dxa"/>
            <w:tcBorders>
              <w:top w:val="single" w:sz="2" w:space="0" w:color="auto"/>
              <w:left w:val="single" w:sz="2" w:space="0" w:color="auto"/>
              <w:bottom w:val="single" w:sz="2" w:space="0" w:color="auto"/>
              <w:right w:val="single" w:sz="2" w:space="0" w:color="auto"/>
            </w:tcBorders>
            <w:hideMark/>
          </w:tcPr>
          <w:p w14:paraId="47D22EFA" w14:textId="77777777" w:rsidR="00F95E4F" w:rsidRPr="002B4C1D" w:rsidRDefault="00F95E4F" w:rsidP="005A7AC8">
            <w:pPr>
              <w:suppressAutoHyphens/>
              <w:jc w:val="center"/>
              <w:textAlignment w:val="baseline"/>
            </w:pPr>
            <w:r w:rsidRPr="002B4C1D">
              <w:rPr>
                <w:b/>
              </w:rPr>
              <w:t>Predlog spremembe EESO</w:t>
            </w:r>
          </w:p>
        </w:tc>
      </w:tr>
      <w:tr w:rsidR="00F95E4F" w:rsidRPr="002B4C1D" w14:paraId="70DDC48E" w14:textId="77777777" w:rsidTr="00E022FB">
        <w:trPr>
          <w:trHeight w:val="300"/>
        </w:trPr>
        <w:tc>
          <w:tcPr>
            <w:tcW w:w="4529" w:type="dxa"/>
            <w:tcBorders>
              <w:top w:val="single" w:sz="2" w:space="0" w:color="auto"/>
              <w:left w:val="single" w:sz="6" w:space="0" w:color="auto"/>
              <w:bottom w:val="single" w:sz="6" w:space="0" w:color="auto"/>
              <w:right w:val="single" w:sz="6" w:space="0" w:color="auto"/>
            </w:tcBorders>
            <w:hideMark/>
          </w:tcPr>
          <w:p w14:paraId="101CABBD" w14:textId="7E77716C" w:rsidR="00C0590C" w:rsidRPr="002B4C1D" w:rsidRDefault="00F95E4F" w:rsidP="005A7AC8">
            <w:pPr>
              <w:suppressAutoHyphens/>
              <w:ind w:left="30" w:right="30"/>
              <w:jc w:val="center"/>
              <w:textAlignment w:val="baseline"/>
              <w:rPr>
                <w:i/>
                <w:iCs/>
              </w:rPr>
            </w:pPr>
            <w:r w:rsidRPr="002B4C1D">
              <w:rPr>
                <w:i/>
              </w:rPr>
              <w:t>Člen 22</w:t>
            </w:r>
          </w:p>
          <w:p w14:paraId="56889038" w14:textId="27129CF8" w:rsidR="00F95E4F" w:rsidRPr="002B4C1D" w:rsidRDefault="00F95E4F" w:rsidP="005A7AC8">
            <w:pPr>
              <w:suppressAutoHyphens/>
              <w:ind w:left="30" w:right="30"/>
              <w:jc w:val="center"/>
              <w:textAlignment w:val="baseline"/>
              <w:rPr>
                <w:b/>
                <w:bCs/>
                <w:i/>
                <w:iCs/>
              </w:rPr>
            </w:pPr>
            <w:r w:rsidRPr="002B4C1D">
              <w:rPr>
                <w:b/>
                <w:i/>
              </w:rPr>
              <w:t>Zahteve za načrt za NRP</w:t>
            </w:r>
          </w:p>
          <w:p w14:paraId="5011A629" w14:textId="18B44A64" w:rsidR="00F95E4F" w:rsidRPr="002B4C1D" w:rsidRDefault="00CC6C6A" w:rsidP="005A7AC8">
            <w:pPr>
              <w:suppressAutoHyphens/>
              <w:ind w:left="30" w:right="30"/>
              <w:textAlignment w:val="baseline"/>
            </w:pPr>
            <w:r w:rsidRPr="002B4C1D">
              <w:t>2. Načrt za NRP:</w:t>
            </w:r>
          </w:p>
          <w:p w14:paraId="5020495C" w14:textId="2C9B90EF" w:rsidR="00F95E4F" w:rsidRPr="002B4C1D" w:rsidRDefault="00B97123" w:rsidP="005A7AC8">
            <w:pPr>
              <w:suppressAutoHyphens/>
              <w:ind w:left="30" w:right="30"/>
              <w:textAlignment w:val="baseline"/>
            </w:pPr>
            <w:r w:rsidRPr="002B4C1D">
              <w:t>(p) določil, kako načrt in njegovo načrtovano izvajanje zagotavljata spoštovanje horizontalnega pogoja pravne države iz člena 9 [Horizontalni pogoj spoštovanja načel pravne države], vključno z nadaljnjim ukrepanjem na podlagi specifičnih priporočil za državo, izdanih v okviru zadnjega poročila o stanju pravne države in evropskega semestra, ter ukrepi za obravnavanje teh opredeljenih izzivov za posamezne države;</w:t>
            </w:r>
          </w:p>
        </w:tc>
        <w:tc>
          <w:tcPr>
            <w:tcW w:w="4528" w:type="dxa"/>
            <w:tcBorders>
              <w:top w:val="single" w:sz="2" w:space="0" w:color="auto"/>
              <w:left w:val="single" w:sz="6" w:space="0" w:color="auto"/>
              <w:bottom w:val="single" w:sz="6" w:space="0" w:color="auto"/>
              <w:right w:val="single" w:sz="6" w:space="0" w:color="auto"/>
            </w:tcBorders>
            <w:hideMark/>
          </w:tcPr>
          <w:p w14:paraId="1E8ACA72" w14:textId="49933AA1" w:rsidR="00C0590C" w:rsidRPr="002B4C1D" w:rsidRDefault="00F95E4F" w:rsidP="005A7AC8">
            <w:pPr>
              <w:suppressAutoHyphens/>
              <w:ind w:left="30" w:right="30"/>
              <w:jc w:val="center"/>
              <w:textAlignment w:val="baseline"/>
              <w:rPr>
                <w:i/>
                <w:iCs/>
              </w:rPr>
            </w:pPr>
            <w:r w:rsidRPr="002B4C1D">
              <w:rPr>
                <w:i/>
              </w:rPr>
              <w:t>Člen 22</w:t>
            </w:r>
          </w:p>
          <w:p w14:paraId="01AB3FCB" w14:textId="0352E794" w:rsidR="00F95E4F" w:rsidRPr="002B4C1D" w:rsidRDefault="00F95E4F" w:rsidP="005A7AC8">
            <w:pPr>
              <w:suppressAutoHyphens/>
              <w:ind w:left="30" w:right="30"/>
              <w:jc w:val="center"/>
              <w:textAlignment w:val="baseline"/>
              <w:rPr>
                <w:b/>
                <w:bCs/>
                <w:i/>
                <w:iCs/>
              </w:rPr>
            </w:pPr>
            <w:r w:rsidRPr="002B4C1D">
              <w:rPr>
                <w:b/>
                <w:i/>
              </w:rPr>
              <w:t>Zahteve za načrt za NRP</w:t>
            </w:r>
          </w:p>
          <w:p w14:paraId="21BAFB68" w14:textId="07BF232D" w:rsidR="00F95E4F" w:rsidRPr="002B4C1D" w:rsidRDefault="00CC6C6A" w:rsidP="005A7AC8">
            <w:pPr>
              <w:suppressAutoHyphens/>
              <w:ind w:left="30" w:right="30"/>
              <w:textAlignment w:val="baseline"/>
            </w:pPr>
            <w:r w:rsidRPr="002B4C1D">
              <w:t>2. Načrt za NRP:</w:t>
            </w:r>
          </w:p>
          <w:p w14:paraId="74CCD394" w14:textId="4DC53BBB" w:rsidR="00F95E4F" w:rsidRPr="002B4C1D" w:rsidRDefault="00B97123" w:rsidP="005A7AC8">
            <w:pPr>
              <w:suppressAutoHyphens/>
              <w:ind w:left="30" w:right="30"/>
              <w:textAlignment w:val="baseline"/>
            </w:pPr>
            <w:r w:rsidRPr="002B4C1D">
              <w:t xml:space="preserve">(p) določil, kako načrt in njegovo načrtovano izvajanje zagotavljata spoštovanje </w:t>
            </w:r>
            <w:r w:rsidRPr="002B4C1D">
              <w:rPr>
                <w:b/>
                <w:i/>
              </w:rPr>
              <w:t>socialne pogojenosti in</w:t>
            </w:r>
            <w:r w:rsidRPr="002B4C1D">
              <w:t xml:space="preserve"> horizontalnega pogoja pravne države iz člena 9 [Horizontalni pogoj spoštovanja načel pravne države], vključno z nadaljnjim ukrepanjem na podlagi specifičnih priporočil za državo, izdanih v okviru zadnjega poročila o stanju pravne države</w:t>
            </w:r>
            <w:r w:rsidRPr="002B4C1D">
              <w:rPr>
                <w:b/>
                <w:i/>
              </w:rPr>
              <w:t>, ciljev evropskega stebra socialnih pravic</w:t>
            </w:r>
            <w:r w:rsidRPr="002B4C1D">
              <w:t xml:space="preserve"> in evropskega semestra, </w:t>
            </w:r>
            <w:r w:rsidRPr="002B4C1D">
              <w:rPr>
                <w:b/>
                <w:i/>
              </w:rPr>
              <w:t>evropskim okvirom za socialno konvergenco</w:t>
            </w:r>
            <w:r w:rsidRPr="002B4C1D">
              <w:t xml:space="preserve"> ter ukrepi za obravnavanje teh opredeljenih izzivov za posamezne države;</w:t>
            </w:r>
          </w:p>
        </w:tc>
      </w:tr>
    </w:tbl>
    <w:p w14:paraId="06CA7C17" w14:textId="77777777" w:rsidR="00F95E4F" w:rsidRPr="002B4C1D" w:rsidRDefault="00F95E4F" w:rsidP="005A7AC8">
      <w:pPr>
        <w:suppressAutoHyphens/>
        <w:jc w:val="center"/>
        <w:textAlignment w:val="baseline"/>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9057"/>
      </w:tblGrid>
      <w:tr w:rsidR="00F95E4F" w:rsidRPr="002B4C1D" w14:paraId="2F0667E9" w14:textId="77777777" w:rsidTr="00E022FB">
        <w:trPr>
          <w:trHeight w:val="300"/>
        </w:trPr>
        <w:tc>
          <w:tcPr>
            <w:tcW w:w="9057" w:type="dxa"/>
            <w:tcBorders>
              <w:top w:val="single" w:sz="2" w:space="0" w:color="auto"/>
              <w:left w:val="single" w:sz="2" w:space="0" w:color="auto"/>
              <w:bottom w:val="single" w:sz="2" w:space="0" w:color="auto"/>
              <w:right w:val="single" w:sz="2" w:space="0" w:color="auto"/>
            </w:tcBorders>
            <w:hideMark/>
          </w:tcPr>
          <w:p w14:paraId="2107459D" w14:textId="77777777" w:rsidR="00F95E4F" w:rsidRPr="002B4C1D" w:rsidRDefault="00F95E4F" w:rsidP="005A7AC8">
            <w:pPr>
              <w:suppressAutoHyphens/>
              <w:jc w:val="center"/>
              <w:textAlignment w:val="baseline"/>
            </w:pPr>
            <w:r w:rsidRPr="002B4C1D">
              <w:rPr>
                <w:b/>
              </w:rPr>
              <w:t>Obrazložitev</w:t>
            </w:r>
          </w:p>
        </w:tc>
      </w:tr>
      <w:tr w:rsidR="00F95E4F" w:rsidRPr="002B4C1D" w14:paraId="0F81524B" w14:textId="77777777" w:rsidTr="00E022FB">
        <w:trPr>
          <w:trHeight w:val="300"/>
        </w:trPr>
        <w:tc>
          <w:tcPr>
            <w:tcW w:w="9057" w:type="dxa"/>
            <w:tcBorders>
              <w:top w:val="single" w:sz="2" w:space="0" w:color="auto"/>
              <w:left w:val="single" w:sz="6" w:space="0" w:color="auto"/>
              <w:bottom w:val="single" w:sz="6" w:space="0" w:color="auto"/>
              <w:right w:val="single" w:sz="6" w:space="0" w:color="auto"/>
            </w:tcBorders>
            <w:hideMark/>
          </w:tcPr>
          <w:p w14:paraId="23CD2140" w14:textId="3289BFB3" w:rsidR="00F95E4F" w:rsidRPr="002B4C1D" w:rsidRDefault="00F95E4F" w:rsidP="005A7AC8">
            <w:pPr>
              <w:suppressAutoHyphens/>
              <w:ind w:left="30" w:right="30"/>
              <w:textAlignment w:val="baseline"/>
            </w:pPr>
            <w:r w:rsidRPr="002B4C1D">
              <w:t xml:space="preserve">S skladom bi morali zajamčiti socialno kohezijo in se izogibati reformam ali naložbam, ki povečujejo neenakost in zmanjšujejo pravice delavcev ali socialno zaščito. Socialna pogojenost je že vključena v SKP. Enak pristop bi morali v obliki horizontalnega načela uporabiti tudi pri skladu. </w:t>
            </w:r>
          </w:p>
        </w:tc>
      </w:tr>
    </w:tbl>
    <w:p w14:paraId="5D08E165" w14:textId="77777777" w:rsidR="002F4A35" w:rsidRPr="002B4C1D" w:rsidRDefault="002F4A35" w:rsidP="005A7AC8"/>
    <w:p w14:paraId="6C11791E" w14:textId="45BC4E06" w:rsidR="002F4A35" w:rsidRPr="002B4C1D" w:rsidRDefault="002F4A35" w:rsidP="005A7AC8">
      <w:pPr>
        <w:pageBreakBefore/>
        <w:suppressAutoHyphens/>
        <w:overflowPunct w:val="0"/>
        <w:autoSpaceDE w:val="0"/>
        <w:autoSpaceDN w:val="0"/>
        <w:adjustRightInd w:val="0"/>
        <w:jc w:val="center"/>
        <w:textAlignment w:val="baseline"/>
        <w:outlineLvl w:val="1"/>
        <w:rPr>
          <w:b/>
          <w:bCs/>
          <w:szCs w:val="20"/>
        </w:rPr>
      </w:pPr>
      <w:r w:rsidRPr="002B4C1D">
        <w:rPr>
          <w:b/>
        </w:rPr>
        <w:lastRenderedPageBreak/>
        <w:t>Predlog spremembe 7</w:t>
      </w:r>
    </w:p>
    <w:p w14:paraId="75606F3A" w14:textId="698C0839" w:rsidR="002F4A35" w:rsidRPr="002B4C1D" w:rsidRDefault="002F4A35" w:rsidP="005A7AC8">
      <w:pPr>
        <w:suppressAutoHyphens/>
        <w:jc w:val="center"/>
        <w:textAlignment w:val="baseline"/>
      </w:pPr>
      <w:r w:rsidRPr="002B4C1D">
        <w:t>(povezano s priporočilom 1.18)</w:t>
      </w:r>
    </w:p>
    <w:p w14:paraId="0F9803AD" w14:textId="77777777" w:rsidR="002F4A35" w:rsidRPr="002B4C1D" w:rsidRDefault="002F4A35" w:rsidP="005A7AC8">
      <w:pPr>
        <w:suppressAutoHyphens/>
        <w:jc w:val="left"/>
        <w:textAlignment w:val="baseline"/>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4529"/>
        <w:gridCol w:w="4528"/>
      </w:tblGrid>
      <w:tr w:rsidR="002F4A35" w:rsidRPr="002B4C1D" w14:paraId="0911E93D" w14:textId="77777777" w:rsidTr="00DF75A2">
        <w:trPr>
          <w:trHeight w:val="300"/>
        </w:trPr>
        <w:tc>
          <w:tcPr>
            <w:tcW w:w="4529" w:type="dxa"/>
            <w:tcBorders>
              <w:top w:val="single" w:sz="2" w:space="0" w:color="auto"/>
              <w:left w:val="single" w:sz="2" w:space="0" w:color="auto"/>
              <w:bottom w:val="single" w:sz="2" w:space="0" w:color="auto"/>
              <w:right w:val="single" w:sz="2" w:space="0" w:color="auto"/>
            </w:tcBorders>
            <w:hideMark/>
          </w:tcPr>
          <w:p w14:paraId="55D1C436" w14:textId="77777777" w:rsidR="002F4A35" w:rsidRPr="002B4C1D" w:rsidRDefault="002F4A35" w:rsidP="005A7AC8">
            <w:pPr>
              <w:suppressAutoHyphens/>
              <w:jc w:val="center"/>
              <w:textAlignment w:val="baseline"/>
              <w:rPr>
                <w:strike/>
              </w:rPr>
            </w:pPr>
            <w:r w:rsidRPr="002B4C1D">
              <w:rPr>
                <w:b/>
              </w:rPr>
              <w:t>Predlog Komisije</w:t>
            </w:r>
          </w:p>
        </w:tc>
        <w:tc>
          <w:tcPr>
            <w:tcW w:w="4528" w:type="dxa"/>
            <w:tcBorders>
              <w:top w:val="single" w:sz="2" w:space="0" w:color="auto"/>
              <w:left w:val="single" w:sz="2" w:space="0" w:color="auto"/>
              <w:bottom w:val="single" w:sz="2" w:space="0" w:color="auto"/>
              <w:right w:val="single" w:sz="2" w:space="0" w:color="auto"/>
            </w:tcBorders>
            <w:hideMark/>
          </w:tcPr>
          <w:p w14:paraId="6B612694" w14:textId="77777777" w:rsidR="002F4A35" w:rsidRPr="002B4C1D" w:rsidRDefault="002F4A35" w:rsidP="005A7AC8">
            <w:pPr>
              <w:suppressAutoHyphens/>
              <w:jc w:val="center"/>
              <w:textAlignment w:val="baseline"/>
            </w:pPr>
            <w:r w:rsidRPr="002B4C1D">
              <w:rPr>
                <w:b/>
              </w:rPr>
              <w:t>Predlog spremembe EESO</w:t>
            </w:r>
          </w:p>
        </w:tc>
      </w:tr>
      <w:tr w:rsidR="002F4A35" w:rsidRPr="002B4C1D" w14:paraId="62E0D3B7" w14:textId="77777777" w:rsidTr="00DF75A2">
        <w:trPr>
          <w:trHeight w:val="300"/>
        </w:trPr>
        <w:tc>
          <w:tcPr>
            <w:tcW w:w="4529" w:type="dxa"/>
            <w:tcBorders>
              <w:top w:val="single" w:sz="2" w:space="0" w:color="auto"/>
              <w:left w:val="single" w:sz="6" w:space="0" w:color="auto"/>
              <w:bottom w:val="single" w:sz="6" w:space="0" w:color="auto"/>
              <w:right w:val="single" w:sz="6" w:space="0" w:color="auto"/>
            </w:tcBorders>
          </w:tcPr>
          <w:p w14:paraId="0F2D8B2D" w14:textId="77777777" w:rsidR="002F4A35" w:rsidRPr="002B4C1D" w:rsidRDefault="002F4A35" w:rsidP="005A7AC8">
            <w:pPr>
              <w:suppressAutoHyphens/>
              <w:ind w:left="30" w:right="30"/>
              <w:jc w:val="center"/>
              <w:textAlignment w:val="baseline"/>
              <w:rPr>
                <w:i/>
                <w:iCs/>
              </w:rPr>
            </w:pPr>
            <w:r w:rsidRPr="002B4C1D">
              <w:rPr>
                <w:i/>
              </w:rPr>
              <w:t>Člen 55</w:t>
            </w:r>
          </w:p>
          <w:p w14:paraId="3B2691B2" w14:textId="77777777" w:rsidR="00BE57A9" w:rsidRPr="002B4C1D" w:rsidRDefault="002F4A35" w:rsidP="005A7AC8">
            <w:pPr>
              <w:suppressAutoHyphens/>
              <w:ind w:left="30" w:right="30"/>
              <w:textAlignment w:val="baseline"/>
              <w:rPr>
                <w:b/>
                <w:i/>
              </w:rPr>
            </w:pPr>
            <w:r w:rsidRPr="002B4C1D">
              <w:rPr>
                <w:b/>
                <w:i/>
              </w:rPr>
              <w:t>Sestava odbora za spremljanje</w:t>
            </w:r>
          </w:p>
          <w:p w14:paraId="099DCA20" w14:textId="2F35B9D3" w:rsidR="002F4A35" w:rsidRPr="002B4C1D" w:rsidRDefault="002F4A35" w:rsidP="005A7AC8">
            <w:pPr>
              <w:suppressAutoHyphens/>
              <w:ind w:left="30" w:right="30"/>
              <w:textAlignment w:val="baseline"/>
            </w:pPr>
            <w:r w:rsidRPr="002B4C1D">
              <w:t xml:space="preserve"> 1. […] Vsak član odbora za spremljanje ima en glas.</w:t>
            </w:r>
          </w:p>
        </w:tc>
        <w:tc>
          <w:tcPr>
            <w:tcW w:w="4528" w:type="dxa"/>
            <w:tcBorders>
              <w:top w:val="single" w:sz="2" w:space="0" w:color="auto"/>
              <w:left w:val="single" w:sz="6" w:space="0" w:color="auto"/>
              <w:bottom w:val="single" w:sz="6" w:space="0" w:color="auto"/>
              <w:right w:val="single" w:sz="6" w:space="0" w:color="auto"/>
            </w:tcBorders>
          </w:tcPr>
          <w:p w14:paraId="055FDA5C" w14:textId="77777777" w:rsidR="002F4A35" w:rsidRPr="002B4C1D" w:rsidRDefault="002F4A35" w:rsidP="005A7AC8">
            <w:pPr>
              <w:suppressAutoHyphens/>
              <w:ind w:left="30" w:right="30"/>
              <w:jc w:val="center"/>
              <w:textAlignment w:val="baseline"/>
              <w:rPr>
                <w:i/>
                <w:iCs/>
              </w:rPr>
            </w:pPr>
            <w:r w:rsidRPr="002B4C1D">
              <w:rPr>
                <w:i/>
              </w:rPr>
              <w:t>Člen 55</w:t>
            </w:r>
          </w:p>
          <w:p w14:paraId="6C3F555D" w14:textId="77777777" w:rsidR="00BE57A9" w:rsidRPr="002B4C1D" w:rsidRDefault="002F4A35" w:rsidP="005A7AC8">
            <w:pPr>
              <w:suppressAutoHyphens/>
              <w:ind w:right="30"/>
              <w:textAlignment w:val="baseline"/>
            </w:pPr>
            <w:r w:rsidRPr="002B4C1D">
              <w:rPr>
                <w:b/>
                <w:i/>
              </w:rPr>
              <w:t>Sestava odbora za spremljanje</w:t>
            </w:r>
            <w:r w:rsidRPr="002B4C1D">
              <w:t xml:space="preserve"> </w:t>
            </w:r>
          </w:p>
          <w:p w14:paraId="7082BEDB" w14:textId="51B01C6D" w:rsidR="002F4A35" w:rsidRPr="002B4C1D" w:rsidRDefault="002F4A35" w:rsidP="005A7AC8">
            <w:pPr>
              <w:suppressAutoHyphens/>
              <w:ind w:right="30"/>
              <w:textAlignment w:val="baseline"/>
              <w:rPr>
                <w:b/>
                <w:bCs/>
                <w:i/>
                <w:iCs/>
              </w:rPr>
            </w:pPr>
            <w:r w:rsidRPr="002B4C1D">
              <w:t>1. […] Vsak član odbora za spremljanje ima en glas</w:t>
            </w:r>
            <w:r w:rsidRPr="002B4C1D">
              <w:rPr>
                <w:b/>
                <w:i/>
              </w:rPr>
              <w:t>, socialni partnerji in organizacije civilne družbe iz člena 6 pa imajo skupaj najmanj 50 % glasov</w:t>
            </w:r>
            <w:r w:rsidRPr="002B4C1D">
              <w:t>.</w:t>
            </w:r>
          </w:p>
        </w:tc>
      </w:tr>
    </w:tbl>
    <w:p w14:paraId="6626EC91" w14:textId="77777777" w:rsidR="002F4A35" w:rsidRPr="002B4C1D" w:rsidRDefault="002F4A35" w:rsidP="005A7AC8">
      <w:pPr>
        <w:suppressAutoHyphens/>
        <w:jc w:val="center"/>
        <w:textAlignment w:val="baseline"/>
      </w:pPr>
    </w:p>
    <w:tbl>
      <w:tblPr>
        <w:tblW w:w="9057" w:type="dxa"/>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9057"/>
      </w:tblGrid>
      <w:tr w:rsidR="002F4A35" w:rsidRPr="002B4C1D" w14:paraId="2308495A" w14:textId="77777777" w:rsidTr="00DF75A2">
        <w:trPr>
          <w:trHeight w:val="300"/>
        </w:trPr>
        <w:tc>
          <w:tcPr>
            <w:tcW w:w="9057" w:type="dxa"/>
            <w:tcBorders>
              <w:top w:val="single" w:sz="2" w:space="0" w:color="auto"/>
              <w:left w:val="single" w:sz="2" w:space="0" w:color="auto"/>
              <w:bottom w:val="single" w:sz="2" w:space="0" w:color="auto"/>
              <w:right w:val="single" w:sz="2" w:space="0" w:color="auto"/>
            </w:tcBorders>
            <w:hideMark/>
          </w:tcPr>
          <w:p w14:paraId="7E4E75C0" w14:textId="77777777" w:rsidR="002F4A35" w:rsidRPr="002B4C1D" w:rsidRDefault="002F4A35" w:rsidP="005A7AC8">
            <w:pPr>
              <w:suppressAutoHyphens/>
              <w:jc w:val="center"/>
              <w:textAlignment w:val="baseline"/>
            </w:pPr>
            <w:r w:rsidRPr="002B4C1D">
              <w:rPr>
                <w:b/>
              </w:rPr>
              <w:t>Obrazložitev</w:t>
            </w:r>
          </w:p>
        </w:tc>
      </w:tr>
      <w:tr w:rsidR="002F4A35" w:rsidRPr="002B4C1D" w14:paraId="709282D2" w14:textId="77777777" w:rsidTr="00DF75A2">
        <w:trPr>
          <w:trHeight w:val="300"/>
        </w:trPr>
        <w:tc>
          <w:tcPr>
            <w:tcW w:w="9057" w:type="dxa"/>
            <w:tcBorders>
              <w:top w:val="single" w:sz="2" w:space="0" w:color="auto"/>
              <w:left w:val="single" w:sz="2" w:space="0" w:color="auto"/>
              <w:bottom w:val="single" w:sz="2" w:space="0" w:color="auto"/>
              <w:right w:val="single" w:sz="2" w:space="0" w:color="auto"/>
            </w:tcBorders>
          </w:tcPr>
          <w:p w14:paraId="0FF2CC41" w14:textId="210542F4" w:rsidR="002F4A35" w:rsidRPr="002B4C1D" w:rsidRDefault="002F4A35" w:rsidP="005A7AC8">
            <w:pPr>
              <w:suppressAutoHyphens/>
              <w:textAlignment w:val="baseline"/>
            </w:pPr>
            <w:r w:rsidRPr="002B4C1D">
              <w:t xml:space="preserve">Potreben je uravnotežen in participativen pristop do civilne družbe, kar med drugim pomeni, da mora imeti enak delež glasov v odborih za spremljanje. </w:t>
            </w:r>
          </w:p>
        </w:tc>
      </w:tr>
    </w:tbl>
    <w:p w14:paraId="6F3ECA01" w14:textId="77777777" w:rsidR="00F95E4F" w:rsidRPr="002B4C1D" w:rsidRDefault="00F95E4F" w:rsidP="005A7AC8">
      <w:pPr>
        <w:suppressAutoHyphens/>
      </w:pPr>
    </w:p>
    <w:p w14:paraId="56D8827F" w14:textId="11CACDE8" w:rsidR="00F95E4F" w:rsidRPr="002B4C1D" w:rsidRDefault="00F95E4F" w:rsidP="005A7AC8">
      <w:pPr>
        <w:suppressAutoHyphens/>
        <w:overflowPunct w:val="0"/>
        <w:autoSpaceDE w:val="0"/>
        <w:autoSpaceDN w:val="0"/>
        <w:adjustRightInd w:val="0"/>
        <w:jc w:val="center"/>
        <w:textAlignment w:val="baseline"/>
        <w:outlineLvl w:val="1"/>
        <w:rPr>
          <w:b/>
          <w:bCs/>
          <w:szCs w:val="20"/>
        </w:rPr>
      </w:pPr>
      <w:r w:rsidRPr="002B4C1D">
        <w:rPr>
          <w:b/>
        </w:rPr>
        <w:t>Predlog spremembe 8</w:t>
      </w:r>
    </w:p>
    <w:p w14:paraId="4B131ED3" w14:textId="61E6532B" w:rsidR="00F95E4F" w:rsidRPr="002B4C1D" w:rsidRDefault="003E5355" w:rsidP="005A7AC8">
      <w:pPr>
        <w:suppressAutoHyphens/>
        <w:jc w:val="center"/>
        <w:textAlignment w:val="baseline"/>
      </w:pPr>
      <w:r w:rsidRPr="002B4C1D">
        <w:t>(povezano s priporočilom 1.20)</w:t>
      </w:r>
    </w:p>
    <w:p w14:paraId="37925294" w14:textId="77777777" w:rsidR="00F95E4F" w:rsidRPr="002B4C1D" w:rsidRDefault="00F95E4F" w:rsidP="005A7AC8">
      <w:pPr>
        <w:suppressAutoHyphens/>
        <w:jc w:val="left"/>
        <w:textAlignment w:val="baseline"/>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4529"/>
        <w:gridCol w:w="4528"/>
      </w:tblGrid>
      <w:tr w:rsidR="00F95E4F" w:rsidRPr="002B4C1D" w14:paraId="034FB3D3" w14:textId="77777777" w:rsidTr="00E022FB">
        <w:trPr>
          <w:trHeight w:val="300"/>
        </w:trPr>
        <w:tc>
          <w:tcPr>
            <w:tcW w:w="4529" w:type="dxa"/>
            <w:tcBorders>
              <w:top w:val="single" w:sz="2" w:space="0" w:color="auto"/>
              <w:left w:val="single" w:sz="2" w:space="0" w:color="auto"/>
              <w:bottom w:val="single" w:sz="2" w:space="0" w:color="auto"/>
              <w:right w:val="single" w:sz="2" w:space="0" w:color="auto"/>
            </w:tcBorders>
            <w:hideMark/>
          </w:tcPr>
          <w:p w14:paraId="0376CE03" w14:textId="77777777" w:rsidR="00F95E4F" w:rsidRPr="002B4C1D" w:rsidRDefault="00F95E4F" w:rsidP="005A7AC8">
            <w:pPr>
              <w:suppressAutoHyphens/>
              <w:jc w:val="center"/>
              <w:textAlignment w:val="baseline"/>
              <w:rPr>
                <w:strike/>
              </w:rPr>
            </w:pPr>
            <w:r w:rsidRPr="002B4C1D">
              <w:rPr>
                <w:b/>
              </w:rPr>
              <w:t>Predlog Komisije</w:t>
            </w:r>
          </w:p>
        </w:tc>
        <w:tc>
          <w:tcPr>
            <w:tcW w:w="4528" w:type="dxa"/>
            <w:tcBorders>
              <w:top w:val="single" w:sz="2" w:space="0" w:color="auto"/>
              <w:left w:val="single" w:sz="2" w:space="0" w:color="auto"/>
              <w:bottom w:val="single" w:sz="2" w:space="0" w:color="auto"/>
              <w:right w:val="single" w:sz="2" w:space="0" w:color="auto"/>
            </w:tcBorders>
            <w:hideMark/>
          </w:tcPr>
          <w:p w14:paraId="7FC9FF2F" w14:textId="77777777" w:rsidR="00F95E4F" w:rsidRPr="002B4C1D" w:rsidRDefault="00F95E4F" w:rsidP="005A7AC8">
            <w:pPr>
              <w:suppressAutoHyphens/>
              <w:jc w:val="center"/>
              <w:textAlignment w:val="baseline"/>
            </w:pPr>
            <w:r w:rsidRPr="002B4C1D">
              <w:rPr>
                <w:b/>
              </w:rPr>
              <w:t>Predlog spremembe EESO</w:t>
            </w:r>
          </w:p>
        </w:tc>
      </w:tr>
      <w:tr w:rsidR="00F95E4F" w:rsidRPr="002B4C1D" w14:paraId="5CB2DD45" w14:textId="77777777" w:rsidTr="00E022FB">
        <w:trPr>
          <w:trHeight w:val="300"/>
        </w:trPr>
        <w:tc>
          <w:tcPr>
            <w:tcW w:w="4529" w:type="dxa"/>
            <w:tcBorders>
              <w:top w:val="single" w:sz="2" w:space="0" w:color="auto"/>
              <w:left w:val="single" w:sz="6" w:space="0" w:color="auto"/>
              <w:bottom w:val="single" w:sz="6" w:space="0" w:color="auto"/>
              <w:right w:val="single" w:sz="6" w:space="0" w:color="auto"/>
            </w:tcBorders>
            <w:hideMark/>
          </w:tcPr>
          <w:p w14:paraId="0197BD26" w14:textId="51E4FC41" w:rsidR="00C0590C" w:rsidRPr="002B4C1D" w:rsidRDefault="00F95E4F" w:rsidP="005A7AC8">
            <w:pPr>
              <w:suppressAutoHyphens/>
              <w:ind w:left="30" w:right="30"/>
              <w:jc w:val="center"/>
              <w:textAlignment w:val="baseline"/>
              <w:rPr>
                <w:i/>
                <w:iCs/>
              </w:rPr>
            </w:pPr>
            <w:r w:rsidRPr="002B4C1D">
              <w:rPr>
                <w:i/>
              </w:rPr>
              <w:t>Člen 56</w:t>
            </w:r>
          </w:p>
          <w:p w14:paraId="23B261F9" w14:textId="09B50BF0" w:rsidR="00F95E4F" w:rsidRPr="002B4C1D" w:rsidRDefault="00F95E4F" w:rsidP="005A7AC8">
            <w:pPr>
              <w:suppressAutoHyphens/>
              <w:ind w:left="30" w:right="30"/>
              <w:jc w:val="center"/>
              <w:textAlignment w:val="baseline"/>
              <w:rPr>
                <w:b/>
                <w:bCs/>
                <w:i/>
                <w:iCs/>
              </w:rPr>
            </w:pPr>
            <w:r w:rsidRPr="002B4C1D">
              <w:rPr>
                <w:b/>
                <w:i/>
              </w:rPr>
              <w:t>Naloge odbora za spremljanje</w:t>
            </w:r>
          </w:p>
          <w:p w14:paraId="0D654968" w14:textId="28D01B95" w:rsidR="00F95E4F" w:rsidRPr="002B4C1D" w:rsidRDefault="00CC6C6A" w:rsidP="005A7AC8">
            <w:pPr>
              <w:suppressAutoHyphens/>
              <w:ind w:left="30" w:right="30"/>
              <w:textAlignment w:val="baseline"/>
            </w:pPr>
            <w:r w:rsidRPr="002B4C1D">
              <w:t>2. Odbor za spremljanje za poglavja, za katera je pristojen, odobri: </w:t>
            </w:r>
          </w:p>
          <w:p w14:paraId="01BDCAE4" w14:textId="3792CF20" w:rsidR="00F95E4F" w:rsidRPr="002B4C1D" w:rsidRDefault="00B97123" w:rsidP="005A7AC8">
            <w:pPr>
              <w:suppressAutoHyphens/>
              <w:ind w:left="30" w:right="30"/>
              <w:textAlignment w:val="baseline"/>
            </w:pPr>
            <w:r w:rsidRPr="002B4C1D">
              <w:t>(a) vsak predlog za spremembo poglavja ali poglavij načrta za NRP v njegovi pristojnosti, razen sprememb v skladu s členom 34 [Ukrepi Unije, Instrument EU];</w:t>
            </w:r>
          </w:p>
        </w:tc>
        <w:tc>
          <w:tcPr>
            <w:tcW w:w="4528" w:type="dxa"/>
            <w:tcBorders>
              <w:top w:val="single" w:sz="2" w:space="0" w:color="auto"/>
              <w:left w:val="single" w:sz="6" w:space="0" w:color="auto"/>
              <w:bottom w:val="single" w:sz="6" w:space="0" w:color="auto"/>
              <w:right w:val="single" w:sz="6" w:space="0" w:color="auto"/>
            </w:tcBorders>
            <w:hideMark/>
          </w:tcPr>
          <w:p w14:paraId="2251D94F" w14:textId="048A81AE" w:rsidR="00C0590C" w:rsidRPr="002B4C1D" w:rsidRDefault="00F95E4F" w:rsidP="005A7AC8">
            <w:pPr>
              <w:suppressAutoHyphens/>
              <w:ind w:left="30" w:right="30"/>
              <w:jc w:val="center"/>
              <w:textAlignment w:val="baseline"/>
              <w:rPr>
                <w:i/>
                <w:iCs/>
              </w:rPr>
            </w:pPr>
            <w:r w:rsidRPr="002B4C1D">
              <w:rPr>
                <w:i/>
              </w:rPr>
              <w:t>Člen 56</w:t>
            </w:r>
          </w:p>
          <w:p w14:paraId="691D3177" w14:textId="60FB434D" w:rsidR="00F95E4F" w:rsidRPr="002B4C1D" w:rsidRDefault="00F95E4F" w:rsidP="005A7AC8">
            <w:pPr>
              <w:suppressAutoHyphens/>
              <w:ind w:left="30" w:right="30"/>
              <w:jc w:val="center"/>
              <w:textAlignment w:val="baseline"/>
              <w:rPr>
                <w:b/>
                <w:bCs/>
              </w:rPr>
            </w:pPr>
            <w:r w:rsidRPr="002B4C1D">
              <w:rPr>
                <w:b/>
                <w:i/>
              </w:rPr>
              <w:t>Naloge odbora za spremljanje</w:t>
            </w:r>
          </w:p>
          <w:p w14:paraId="1FFF9B9E" w14:textId="52BEF387" w:rsidR="00F95E4F" w:rsidRPr="002B4C1D" w:rsidRDefault="00CC6C6A" w:rsidP="005A7AC8">
            <w:pPr>
              <w:suppressAutoHyphens/>
              <w:ind w:left="30" w:right="30"/>
              <w:textAlignment w:val="baseline"/>
            </w:pPr>
            <w:r w:rsidRPr="002B4C1D">
              <w:t>2. Odbor za spremljanje za poglavja, za katera je pristojen, odobri: </w:t>
            </w:r>
          </w:p>
          <w:p w14:paraId="2C01D0C5" w14:textId="30DE48E7" w:rsidR="00F95E4F" w:rsidRPr="002B4C1D" w:rsidRDefault="00B97123" w:rsidP="005A7AC8">
            <w:pPr>
              <w:suppressAutoHyphens/>
              <w:ind w:right="30"/>
              <w:textAlignment w:val="baseline"/>
            </w:pPr>
            <w:r w:rsidRPr="002B4C1D">
              <w:t xml:space="preserve">(a) vsak predlog za spremembo poglavja ali poglavij načrta za NRP v njegovi pristojnosti, </w:t>
            </w:r>
            <w:r w:rsidRPr="002B4C1D">
              <w:rPr>
                <w:b/>
                <w:i/>
              </w:rPr>
              <w:t>vključno s prenosom sredstev iz enega poglavja v drugega,</w:t>
            </w:r>
            <w:r w:rsidRPr="002B4C1D">
              <w:t xml:space="preserve"> razen sprememb v skladu s členom 34 [Ukrepi Unije, Instrument EU];</w:t>
            </w:r>
          </w:p>
        </w:tc>
      </w:tr>
    </w:tbl>
    <w:p w14:paraId="54DF99C0" w14:textId="77777777" w:rsidR="00F95E4F" w:rsidRPr="002B4C1D" w:rsidRDefault="00F95E4F" w:rsidP="005A7AC8">
      <w:pPr>
        <w:suppressAutoHyphens/>
        <w:jc w:val="center"/>
        <w:textAlignment w:val="baseline"/>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9057"/>
      </w:tblGrid>
      <w:tr w:rsidR="00F95E4F" w:rsidRPr="002B4C1D" w14:paraId="05495791" w14:textId="77777777" w:rsidTr="00E022FB">
        <w:trPr>
          <w:trHeight w:val="300"/>
        </w:trPr>
        <w:tc>
          <w:tcPr>
            <w:tcW w:w="9057" w:type="dxa"/>
            <w:tcBorders>
              <w:top w:val="single" w:sz="2" w:space="0" w:color="auto"/>
              <w:left w:val="single" w:sz="2" w:space="0" w:color="auto"/>
              <w:bottom w:val="single" w:sz="2" w:space="0" w:color="auto"/>
              <w:right w:val="single" w:sz="2" w:space="0" w:color="auto"/>
            </w:tcBorders>
            <w:hideMark/>
          </w:tcPr>
          <w:p w14:paraId="211A33FE" w14:textId="77777777" w:rsidR="00F95E4F" w:rsidRPr="002B4C1D" w:rsidRDefault="00F95E4F" w:rsidP="005A7AC8">
            <w:pPr>
              <w:suppressAutoHyphens/>
              <w:jc w:val="center"/>
              <w:textAlignment w:val="baseline"/>
            </w:pPr>
            <w:r w:rsidRPr="002B4C1D">
              <w:rPr>
                <w:b/>
              </w:rPr>
              <w:t>Obrazložitev</w:t>
            </w:r>
          </w:p>
        </w:tc>
      </w:tr>
      <w:tr w:rsidR="00F95E4F" w:rsidRPr="002B4C1D" w14:paraId="46D8B8ED" w14:textId="77777777" w:rsidTr="00E022FB">
        <w:trPr>
          <w:trHeight w:val="300"/>
        </w:trPr>
        <w:tc>
          <w:tcPr>
            <w:tcW w:w="9057" w:type="dxa"/>
            <w:tcBorders>
              <w:top w:val="single" w:sz="2" w:space="0" w:color="auto"/>
              <w:left w:val="single" w:sz="6" w:space="0" w:color="auto"/>
              <w:bottom w:val="single" w:sz="6" w:space="0" w:color="auto"/>
              <w:right w:val="single" w:sz="6" w:space="0" w:color="auto"/>
            </w:tcBorders>
            <w:hideMark/>
          </w:tcPr>
          <w:p w14:paraId="69B1034E" w14:textId="7332A746" w:rsidR="00F95E4F" w:rsidRPr="002B4C1D" w:rsidRDefault="00F95E4F" w:rsidP="005A7AC8">
            <w:pPr>
              <w:suppressAutoHyphens/>
              <w:ind w:left="30" w:right="30"/>
              <w:textAlignment w:val="baseline"/>
            </w:pPr>
            <w:r w:rsidRPr="002B4C1D">
              <w:t>Zaradi večje prožnosti na ravni držav članic in vse bolj različnih potreb bi moral biti odbor za spremljanje vključen v spremembe v zvezi s poglavji, tudi v odločanje o prenosu sredstev.</w:t>
            </w:r>
          </w:p>
        </w:tc>
      </w:tr>
    </w:tbl>
    <w:p w14:paraId="13AD718D" w14:textId="77777777" w:rsidR="00F95E4F" w:rsidRPr="002B4C1D" w:rsidRDefault="00F95E4F" w:rsidP="005A7AC8">
      <w:pPr>
        <w:suppressAutoHyphens/>
        <w:overflowPunct w:val="0"/>
        <w:autoSpaceDE w:val="0"/>
        <w:autoSpaceDN w:val="0"/>
        <w:adjustRightInd w:val="0"/>
        <w:textAlignment w:val="baseline"/>
        <w:outlineLvl w:val="1"/>
        <w:rPr>
          <w:szCs w:val="20"/>
        </w:rPr>
      </w:pPr>
    </w:p>
    <w:p w14:paraId="7FE9D9C1" w14:textId="128DD208" w:rsidR="00F95E4F" w:rsidRPr="002B4C1D" w:rsidRDefault="00F95E4F" w:rsidP="005A7AC8">
      <w:pPr>
        <w:suppressAutoHyphens/>
        <w:overflowPunct w:val="0"/>
        <w:autoSpaceDE w:val="0"/>
        <w:autoSpaceDN w:val="0"/>
        <w:adjustRightInd w:val="0"/>
        <w:jc w:val="center"/>
        <w:textAlignment w:val="baseline"/>
        <w:outlineLvl w:val="1"/>
        <w:rPr>
          <w:b/>
          <w:bCs/>
          <w:szCs w:val="20"/>
        </w:rPr>
      </w:pPr>
      <w:r w:rsidRPr="002B4C1D">
        <w:rPr>
          <w:b/>
        </w:rPr>
        <w:t>Predlog spremembe 9</w:t>
      </w:r>
    </w:p>
    <w:p w14:paraId="4953C669" w14:textId="5C11923A" w:rsidR="00F95E4F" w:rsidRPr="002B4C1D" w:rsidRDefault="003E5355" w:rsidP="005A7AC8">
      <w:pPr>
        <w:suppressAutoHyphens/>
        <w:jc w:val="center"/>
        <w:textAlignment w:val="baseline"/>
      </w:pPr>
      <w:r w:rsidRPr="002B4C1D">
        <w:t>(povezano s priporočilom 1.14)</w:t>
      </w:r>
    </w:p>
    <w:p w14:paraId="597622E8" w14:textId="77777777" w:rsidR="00F95E4F" w:rsidRPr="002B4C1D" w:rsidRDefault="00F95E4F" w:rsidP="005A7AC8">
      <w:pPr>
        <w:suppressAutoHyphens/>
        <w:jc w:val="left"/>
        <w:textAlignment w:val="baseline"/>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4529"/>
        <w:gridCol w:w="4528"/>
      </w:tblGrid>
      <w:tr w:rsidR="00F95E4F" w:rsidRPr="002B4C1D" w14:paraId="79B605FF" w14:textId="77777777" w:rsidTr="00E022FB">
        <w:trPr>
          <w:trHeight w:val="300"/>
        </w:trPr>
        <w:tc>
          <w:tcPr>
            <w:tcW w:w="4529" w:type="dxa"/>
            <w:tcBorders>
              <w:top w:val="single" w:sz="2" w:space="0" w:color="auto"/>
              <w:left w:val="single" w:sz="2" w:space="0" w:color="auto"/>
              <w:bottom w:val="single" w:sz="2" w:space="0" w:color="auto"/>
              <w:right w:val="single" w:sz="2" w:space="0" w:color="auto"/>
            </w:tcBorders>
            <w:hideMark/>
          </w:tcPr>
          <w:p w14:paraId="242601DD" w14:textId="77777777" w:rsidR="00F95E4F" w:rsidRPr="002B4C1D" w:rsidRDefault="00F95E4F" w:rsidP="005A7AC8">
            <w:pPr>
              <w:suppressAutoHyphens/>
              <w:jc w:val="center"/>
              <w:textAlignment w:val="baseline"/>
              <w:rPr>
                <w:strike/>
              </w:rPr>
            </w:pPr>
            <w:r w:rsidRPr="002B4C1D">
              <w:rPr>
                <w:b/>
              </w:rPr>
              <w:t>Predlog Komisije</w:t>
            </w:r>
          </w:p>
        </w:tc>
        <w:tc>
          <w:tcPr>
            <w:tcW w:w="4528" w:type="dxa"/>
            <w:tcBorders>
              <w:top w:val="single" w:sz="2" w:space="0" w:color="auto"/>
              <w:left w:val="single" w:sz="2" w:space="0" w:color="auto"/>
              <w:bottom w:val="single" w:sz="2" w:space="0" w:color="auto"/>
              <w:right w:val="single" w:sz="2" w:space="0" w:color="auto"/>
            </w:tcBorders>
            <w:hideMark/>
          </w:tcPr>
          <w:p w14:paraId="61223E1F" w14:textId="77777777" w:rsidR="00F95E4F" w:rsidRPr="002B4C1D" w:rsidRDefault="00F95E4F" w:rsidP="005A7AC8">
            <w:pPr>
              <w:suppressAutoHyphens/>
              <w:jc w:val="center"/>
              <w:textAlignment w:val="baseline"/>
            </w:pPr>
            <w:r w:rsidRPr="002B4C1D">
              <w:rPr>
                <w:b/>
              </w:rPr>
              <w:t>Predlog spremembe EESO</w:t>
            </w:r>
          </w:p>
        </w:tc>
      </w:tr>
      <w:tr w:rsidR="00F95E4F" w:rsidRPr="002B4C1D" w14:paraId="2B742382" w14:textId="77777777" w:rsidTr="00E022FB">
        <w:trPr>
          <w:trHeight w:val="300"/>
        </w:trPr>
        <w:tc>
          <w:tcPr>
            <w:tcW w:w="4529" w:type="dxa"/>
            <w:tcBorders>
              <w:top w:val="single" w:sz="2" w:space="0" w:color="auto"/>
              <w:left w:val="single" w:sz="6" w:space="0" w:color="auto"/>
              <w:bottom w:val="single" w:sz="6" w:space="0" w:color="auto"/>
              <w:right w:val="single" w:sz="6" w:space="0" w:color="auto"/>
            </w:tcBorders>
          </w:tcPr>
          <w:p w14:paraId="3AB0D560" w14:textId="5CF50BA5" w:rsidR="00C0590C" w:rsidRPr="002B4C1D" w:rsidRDefault="00F95E4F" w:rsidP="005A7AC8">
            <w:pPr>
              <w:suppressAutoHyphens/>
              <w:ind w:left="30" w:right="30"/>
              <w:jc w:val="center"/>
              <w:textAlignment w:val="baseline"/>
              <w:rPr>
                <w:i/>
                <w:iCs/>
              </w:rPr>
            </w:pPr>
            <w:r w:rsidRPr="002B4C1D">
              <w:rPr>
                <w:i/>
              </w:rPr>
              <w:t>Člen 56</w:t>
            </w:r>
          </w:p>
          <w:p w14:paraId="57110690" w14:textId="009DA432" w:rsidR="00F95E4F" w:rsidRPr="002B4C1D" w:rsidRDefault="00F95E4F" w:rsidP="005A7AC8">
            <w:pPr>
              <w:suppressAutoHyphens/>
              <w:ind w:left="30" w:right="30"/>
              <w:jc w:val="center"/>
              <w:textAlignment w:val="baseline"/>
              <w:rPr>
                <w:b/>
                <w:bCs/>
                <w:i/>
                <w:iCs/>
              </w:rPr>
            </w:pPr>
            <w:r w:rsidRPr="002B4C1D">
              <w:rPr>
                <w:b/>
                <w:i/>
              </w:rPr>
              <w:t>Naloge odbora za spremljanje</w:t>
            </w:r>
          </w:p>
          <w:p w14:paraId="7EB9678A" w14:textId="3FE65783" w:rsidR="00F95E4F" w:rsidRPr="002B4C1D" w:rsidRDefault="00B97123" w:rsidP="005A7AC8">
            <w:pPr>
              <w:suppressAutoHyphens/>
              <w:ind w:left="30" w:right="30"/>
              <w:textAlignment w:val="baseline"/>
            </w:pPr>
            <w:r w:rsidRPr="002B4C1D">
              <w:t xml:space="preserve">2 (b) metodologijo, merila in postopke za izbiro operacij, vključno z vsemi njihovimi spremembami. Uporabljena merila in uporabljeni postopki so </w:t>
            </w:r>
            <w:proofErr w:type="spellStart"/>
            <w:r w:rsidRPr="002B4C1D">
              <w:t>nediskriminatorni</w:t>
            </w:r>
            <w:proofErr w:type="spellEnd"/>
            <w:r w:rsidRPr="002B4C1D">
              <w:t xml:space="preserve">, vključujoči </w:t>
            </w:r>
            <w:r w:rsidRPr="002B4C1D">
              <w:rPr>
                <w:b/>
                <w:i/>
              </w:rPr>
              <w:t>in</w:t>
            </w:r>
            <w:r w:rsidRPr="002B4C1D">
              <w:t xml:space="preserve"> pregledni, zagotavljajo dostopnost za invalide in zagotavljajo enakost spolov ter upoštevajo </w:t>
            </w:r>
            <w:r w:rsidRPr="002B4C1D">
              <w:lastRenderedPageBreak/>
              <w:t>Listino Evropske unije o temeljnih pravicah;</w:t>
            </w:r>
          </w:p>
        </w:tc>
        <w:tc>
          <w:tcPr>
            <w:tcW w:w="4528" w:type="dxa"/>
            <w:tcBorders>
              <w:top w:val="single" w:sz="2" w:space="0" w:color="auto"/>
              <w:left w:val="single" w:sz="6" w:space="0" w:color="auto"/>
              <w:bottom w:val="single" w:sz="6" w:space="0" w:color="auto"/>
              <w:right w:val="single" w:sz="6" w:space="0" w:color="auto"/>
            </w:tcBorders>
          </w:tcPr>
          <w:p w14:paraId="75BDBF0B" w14:textId="3B229436" w:rsidR="00C0590C" w:rsidRPr="002B4C1D" w:rsidRDefault="00F95E4F" w:rsidP="005A7AC8">
            <w:pPr>
              <w:suppressAutoHyphens/>
              <w:ind w:left="30" w:right="30"/>
              <w:jc w:val="center"/>
              <w:textAlignment w:val="baseline"/>
              <w:rPr>
                <w:i/>
                <w:iCs/>
              </w:rPr>
            </w:pPr>
            <w:r w:rsidRPr="002B4C1D">
              <w:rPr>
                <w:i/>
              </w:rPr>
              <w:lastRenderedPageBreak/>
              <w:t>Člen 56</w:t>
            </w:r>
          </w:p>
          <w:p w14:paraId="29C6075B" w14:textId="00952BCB" w:rsidR="00F95E4F" w:rsidRPr="002B4C1D" w:rsidRDefault="00F95E4F" w:rsidP="005A7AC8">
            <w:pPr>
              <w:suppressAutoHyphens/>
              <w:ind w:left="30" w:right="30"/>
              <w:jc w:val="center"/>
              <w:textAlignment w:val="baseline"/>
              <w:rPr>
                <w:b/>
                <w:bCs/>
                <w:i/>
                <w:iCs/>
              </w:rPr>
            </w:pPr>
            <w:r w:rsidRPr="002B4C1D">
              <w:rPr>
                <w:b/>
                <w:i/>
              </w:rPr>
              <w:t>Naloge odbora za spremljanje</w:t>
            </w:r>
          </w:p>
          <w:p w14:paraId="163C8983" w14:textId="4DF361A5" w:rsidR="00F95E4F" w:rsidRPr="002B4C1D" w:rsidRDefault="00B97123" w:rsidP="005A7AC8">
            <w:pPr>
              <w:suppressAutoHyphens/>
              <w:ind w:right="30"/>
              <w:textAlignment w:val="baseline"/>
            </w:pPr>
            <w:r w:rsidRPr="002B4C1D">
              <w:t xml:space="preserve">2 (b) metodologijo, merila in postopke za izbiro operacij, vključno z vsemi njihovimi spremembami. Uporabljena merila in uporabljeni postopki so </w:t>
            </w:r>
            <w:proofErr w:type="spellStart"/>
            <w:r w:rsidRPr="002B4C1D">
              <w:t>nediskriminatorni</w:t>
            </w:r>
            <w:proofErr w:type="spellEnd"/>
            <w:r w:rsidRPr="002B4C1D">
              <w:t>, vključujoči</w:t>
            </w:r>
            <w:r w:rsidRPr="002B4C1D">
              <w:rPr>
                <w:b/>
                <w:i/>
              </w:rPr>
              <w:t>,</w:t>
            </w:r>
            <w:r w:rsidRPr="002B4C1D">
              <w:t xml:space="preserve"> pregledni </w:t>
            </w:r>
            <w:r w:rsidRPr="002B4C1D">
              <w:rPr>
                <w:b/>
                <w:i/>
              </w:rPr>
              <w:t>in teritorialno uravnoteženi</w:t>
            </w:r>
            <w:r w:rsidRPr="002B4C1D">
              <w:t xml:space="preserve">, zagotavljajo dostopnost za invalide in </w:t>
            </w:r>
            <w:r w:rsidRPr="002B4C1D">
              <w:lastRenderedPageBreak/>
              <w:t>zagotavljajo enakost spolov ter upoštevajo Listino Evropske unije o temeljnih pravicah;</w:t>
            </w:r>
          </w:p>
        </w:tc>
      </w:tr>
    </w:tbl>
    <w:p w14:paraId="2182FF8E" w14:textId="77777777" w:rsidR="00F95E4F" w:rsidRPr="002B4C1D" w:rsidRDefault="00F95E4F" w:rsidP="005A7AC8">
      <w:pPr>
        <w:suppressAutoHyphens/>
        <w:jc w:val="center"/>
        <w:textAlignment w:val="baseline"/>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9057"/>
      </w:tblGrid>
      <w:tr w:rsidR="00F95E4F" w:rsidRPr="002B4C1D" w14:paraId="4B617F7B" w14:textId="77777777" w:rsidTr="00E022FB">
        <w:trPr>
          <w:trHeight w:val="300"/>
        </w:trPr>
        <w:tc>
          <w:tcPr>
            <w:tcW w:w="9057" w:type="dxa"/>
            <w:tcBorders>
              <w:top w:val="single" w:sz="2" w:space="0" w:color="auto"/>
              <w:left w:val="single" w:sz="2" w:space="0" w:color="auto"/>
              <w:bottom w:val="single" w:sz="2" w:space="0" w:color="auto"/>
              <w:right w:val="single" w:sz="2" w:space="0" w:color="auto"/>
            </w:tcBorders>
            <w:hideMark/>
          </w:tcPr>
          <w:p w14:paraId="3992AF72" w14:textId="77777777" w:rsidR="00F95E4F" w:rsidRPr="002B4C1D" w:rsidRDefault="00F95E4F" w:rsidP="005A7AC8">
            <w:pPr>
              <w:suppressAutoHyphens/>
              <w:jc w:val="center"/>
              <w:textAlignment w:val="baseline"/>
            </w:pPr>
            <w:r w:rsidRPr="002B4C1D">
              <w:rPr>
                <w:b/>
              </w:rPr>
              <w:t>Obrazložitev</w:t>
            </w:r>
          </w:p>
        </w:tc>
      </w:tr>
      <w:tr w:rsidR="00F95E4F" w:rsidRPr="002B4C1D" w14:paraId="05DF80F5" w14:textId="77777777" w:rsidTr="00E022FB">
        <w:trPr>
          <w:trHeight w:val="300"/>
        </w:trPr>
        <w:tc>
          <w:tcPr>
            <w:tcW w:w="9057" w:type="dxa"/>
            <w:tcBorders>
              <w:top w:val="single" w:sz="2" w:space="0" w:color="auto"/>
              <w:left w:val="single" w:sz="6" w:space="0" w:color="auto"/>
              <w:bottom w:val="single" w:sz="6" w:space="0" w:color="auto"/>
              <w:right w:val="single" w:sz="6" w:space="0" w:color="auto"/>
            </w:tcBorders>
            <w:hideMark/>
          </w:tcPr>
          <w:p w14:paraId="76646E11" w14:textId="3B1E12CB" w:rsidR="00F95E4F" w:rsidRPr="002B4C1D" w:rsidRDefault="00F95E4F" w:rsidP="005A7AC8">
            <w:pPr>
              <w:suppressAutoHyphens/>
              <w:ind w:left="30" w:right="30"/>
              <w:textAlignment w:val="baseline"/>
            </w:pPr>
            <w:r w:rsidRPr="002B4C1D">
              <w:t xml:space="preserve">Zaradi večje prožnosti na ravni držav članic je treba načelo </w:t>
            </w:r>
            <w:proofErr w:type="spellStart"/>
            <w:r w:rsidRPr="002B4C1D">
              <w:t>teritorialnosti</w:t>
            </w:r>
            <w:proofErr w:type="spellEnd"/>
            <w:r w:rsidRPr="002B4C1D">
              <w:t xml:space="preserve"> obravnavati horizontalno, da se operacije razporedijo uravnoteženo. Načelo </w:t>
            </w:r>
            <w:proofErr w:type="spellStart"/>
            <w:r w:rsidRPr="002B4C1D">
              <w:t>teritorialnosti</w:t>
            </w:r>
            <w:proofErr w:type="spellEnd"/>
            <w:r w:rsidRPr="002B4C1D">
              <w:t xml:space="preserve"> pomembno prispeva k zagotavljanju uravnoteženega dostopa do priložnosti v okviru načrtov za nacionalna in regionalna partnerstva.</w:t>
            </w:r>
          </w:p>
        </w:tc>
      </w:tr>
    </w:tbl>
    <w:p w14:paraId="6A62F75D" w14:textId="77777777" w:rsidR="00F95E4F" w:rsidRPr="002B4C1D" w:rsidRDefault="00F95E4F" w:rsidP="005A7AC8">
      <w:pPr>
        <w:suppressAutoHyphens/>
      </w:pPr>
    </w:p>
    <w:p w14:paraId="71B8AC1C" w14:textId="01536DEB" w:rsidR="00F95E4F" w:rsidRPr="002B4C1D" w:rsidRDefault="00F95E4F" w:rsidP="005A7AC8">
      <w:pPr>
        <w:suppressAutoHyphens/>
        <w:overflowPunct w:val="0"/>
        <w:autoSpaceDE w:val="0"/>
        <w:autoSpaceDN w:val="0"/>
        <w:adjustRightInd w:val="0"/>
        <w:jc w:val="center"/>
        <w:textAlignment w:val="baseline"/>
        <w:outlineLvl w:val="1"/>
        <w:rPr>
          <w:b/>
          <w:bCs/>
          <w:szCs w:val="20"/>
        </w:rPr>
      </w:pPr>
      <w:r w:rsidRPr="002B4C1D">
        <w:rPr>
          <w:b/>
        </w:rPr>
        <w:t>Predlog spremembe 10</w:t>
      </w:r>
    </w:p>
    <w:p w14:paraId="54AF9BA4" w14:textId="2923B3B5" w:rsidR="00F95E4F" w:rsidRPr="002B4C1D" w:rsidRDefault="003E5355" w:rsidP="005A7AC8">
      <w:pPr>
        <w:suppressAutoHyphens/>
        <w:jc w:val="center"/>
        <w:textAlignment w:val="baseline"/>
      </w:pPr>
      <w:r w:rsidRPr="002B4C1D">
        <w:t>(povezano s priporočilom 1.20)</w:t>
      </w:r>
    </w:p>
    <w:p w14:paraId="5060CD74" w14:textId="77777777" w:rsidR="00F95E4F" w:rsidRPr="002B4C1D" w:rsidRDefault="00F95E4F" w:rsidP="005A7AC8">
      <w:pPr>
        <w:suppressAutoHyphens/>
        <w:jc w:val="left"/>
        <w:textAlignment w:val="baseline"/>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4529"/>
        <w:gridCol w:w="4528"/>
      </w:tblGrid>
      <w:tr w:rsidR="00F95E4F" w:rsidRPr="002B4C1D" w14:paraId="001264A5" w14:textId="77777777" w:rsidTr="00E022FB">
        <w:trPr>
          <w:trHeight w:val="300"/>
        </w:trPr>
        <w:tc>
          <w:tcPr>
            <w:tcW w:w="4529" w:type="dxa"/>
            <w:tcBorders>
              <w:top w:val="single" w:sz="2" w:space="0" w:color="auto"/>
              <w:left w:val="single" w:sz="2" w:space="0" w:color="auto"/>
              <w:bottom w:val="single" w:sz="2" w:space="0" w:color="auto"/>
              <w:right w:val="single" w:sz="2" w:space="0" w:color="auto"/>
            </w:tcBorders>
            <w:hideMark/>
          </w:tcPr>
          <w:p w14:paraId="2CB6BAAD" w14:textId="77777777" w:rsidR="00F95E4F" w:rsidRPr="002B4C1D" w:rsidRDefault="00F95E4F" w:rsidP="005A7AC8">
            <w:pPr>
              <w:suppressAutoHyphens/>
              <w:jc w:val="center"/>
              <w:textAlignment w:val="baseline"/>
              <w:rPr>
                <w:strike/>
              </w:rPr>
            </w:pPr>
            <w:r w:rsidRPr="002B4C1D">
              <w:rPr>
                <w:b/>
              </w:rPr>
              <w:t>Predlog Komisije</w:t>
            </w:r>
          </w:p>
        </w:tc>
        <w:tc>
          <w:tcPr>
            <w:tcW w:w="4528" w:type="dxa"/>
            <w:tcBorders>
              <w:top w:val="single" w:sz="2" w:space="0" w:color="auto"/>
              <w:left w:val="single" w:sz="2" w:space="0" w:color="auto"/>
              <w:bottom w:val="single" w:sz="2" w:space="0" w:color="auto"/>
              <w:right w:val="single" w:sz="2" w:space="0" w:color="auto"/>
            </w:tcBorders>
            <w:hideMark/>
          </w:tcPr>
          <w:p w14:paraId="79244906" w14:textId="77777777" w:rsidR="00F95E4F" w:rsidRPr="002B4C1D" w:rsidRDefault="00F95E4F" w:rsidP="005A7AC8">
            <w:pPr>
              <w:suppressAutoHyphens/>
              <w:jc w:val="center"/>
              <w:textAlignment w:val="baseline"/>
            </w:pPr>
            <w:r w:rsidRPr="002B4C1D">
              <w:rPr>
                <w:b/>
              </w:rPr>
              <w:t>Predlog spremembe EESO</w:t>
            </w:r>
          </w:p>
        </w:tc>
      </w:tr>
      <w:tr w:rsidR="00F95E4F" w:rsidRPr="002B4C1D" w14:paraId="3B814CAE" w14:textId="77777777" w:rsidTr="00E022FB">
        <w:trPr>
          <w:trHeight w:val="300"/>
        </w:trPr>
        <w:tc>
          <w:tcPr>
            <w:tcW w:w="4529" w:type="dxa"/>
            <w:tcBorders>
              <w:top w:val="single" w:sz="2" w:space="0" w:color="auto"/>
              <w:left w:val="single" w:sz="6" w:space="0" w:color="auto"/>
              <w:bottom w:val="single" w:sz="6" w:space="0" w:color="auto"/>
              <w:right w:val="single" w:sz="6" w:space="0" w:color="auto"/>
            </w:tcBorders>
          </w:tcPr>
          <w:p w14:paraId="26119F37" w14:textId="686669FC" w:rsidR="00C0590C" w:rsidRPr="002B4C1D" w:rsidRDefault="00F95E4F" w:rsidP="005A7AC8">
            <w:pPr>
              <w:suppressAutoHyphens/>
              <w:ind w:left="30" w:right="30"/>
              <w:jc w:val="center"/>
              <w:textAlignment w:val="baseline"/>
              <w:rPr>
                <w:i/>
                <w:iCs/>
              </w:rPr>
            </w:pPr>
            <w:r w:rsidRPr="002B4C1D">
              <w:rPr>
                <w:i/>
              </w:rPr>
              <w:t>Člen 68</w:t>
            </w:r>
          </w:p>
          <w:p w14:paraId="5CABABFC" w14:textId="0C8D5C11" w:rsidR="00F95E4F" w:rsidRPr="002B4C1D" w:rsidRDefault="00F95E4F" w:rsidP="005A7AC8">
            <w:pPr>
              <w:suppressAutoHyphens/>
              <w:ind w:left="30" w:right="30"/>
              <w:jc w:val="center"/>
              <w:textAlignment w:val="baseline"/>
              <w:rPr>
                <w:b/>
                <w:bCs/>
                <w:i/>
                <w:iCs/>
              </w:rPr>
            </w:pPr>
            <w:r w:rsidRPr="002B4C1D">
              <w:rPr>
                <w:b/>
                <w:i/>
              </w:rPr>
              <w:t>Finančni popravki Komisije</w:t>
            </w:r>
          </w:p>
          <w:p w14:paraId="19A629CC" w14:textId="4EFF7290" w:rsidR="00F95E4F" w:rsidRPr="002B4C1D" w:rsidRDefault="00CC6C6A" w:rsidP="005A7AC8">
            <w:pPr>
              <w:suppressAutoHyphens/>
              <w:ind w:left="30" w:right="30"/>
              <w:textAlignment w:val="baseline"/>
            </w:pPr>
            <w:r w:rsidRPr="002B4C1D">
              <w:t>3. Komisija pred sprejetjem odločitve o finančnem popravku državo članico obvesti o svojih ugotovitvah in ji omogoči, da v dveh mesecih predloži svoje pripombe o oceni Komisije. Rok se lahko sporazumno podaljša. Komisija pred sprejetjem odločitve o uporabi finančnega popravka upošteva vse ustrezne informacije in pripombe, ki jih predloži država članica.</w:t>
            </w:r>
          </w:p>
        </w:tc>
        <w:tc>
          <w:tcPr>
            <w:tcW w:w="4528" w:type="dxa"/>
            <w:tcBorders>
              <w:top w:val="single" w:sz="2" w:space="0" w:color="auto"/>
              <w:left w:val="single" w:sz="6" w:space="0" w:color="auto"/>
              <w:bottom w:val="single" w:sz="6" w:space="0" w:color="auto"/>
              <w:right w:val="single" w:sz="6" w:space="0" w:color="auto"/>
            </w:tcBorders>
          </w:tcPr>
          <w:p w14:paraId="1D4E740B" w14:textId="24196206" w:rsidR="00C0590C" w:rsidRPr="002B4C1D" w:rsidRDefault="00F95E4F" w:rsidP="005A7AC8">
            <w:pPr>
              <w:suppressAutoHyphens/>
              <w:ind w:left="30" w:right="30"/>
              <w:jc w:val="center"/>
              <w:textAlignment w:val="baseline"/>
              <w:rPr>
                <w:i/>
                <w:iCs/>
              </w:rPr>
            </w:pPr>
            <w:r w:rsidRPr="002B4C1D">
              <w:rPr>
                <w:i/>
              </w:rPr>
              <w:t>Člen 68</w:t>
            </w:r>
          </w:p>
          <w:p w14:paraId="169E292A" w14:textId="4C596A43" w:rsidR="00F95E4F" w:rsidRPr="002B4C1D" w:rsidRDefault="00F95E4F" w:rsidP="005A7AC8">
            <w:pPr>
              <w:suppressAutoHyphens/>
              <w:ind w:left="30" w:right="30"/>
              <w:jc w:val="center"/>
              <w:textAlignment w:val="baseline"/>
              <w:rPr>
                <w:b/>
                <w:bCs/>
                <w:i/>
                <w:iCs/>
              </w:rPr>
            </w:pPr>
            <w:r w:rsidRPr="002B4C1D">
              <w:rPr>
                <w:b/>
                <w:i/>
              </w:rPr>
              <w:t>Finančni popravki Komisije</w:t>
            </w:r>
          </w:p>
          <w:p w14:paraId="6224DEB9" w14:textId="3503EAAF" w:rsidR="00F95E4F" w:rsidRPr="002B4C1D" w:rsidRDefault="00CC6C6A" w:rsidP="005A7AC8">
            <w:pPr>
              <w:suppressAutoHyphens/>
              <w:ind w:right="30"/>
              <w:textAlignment w:val="baseline"/>
            </w:pPr>
            <w:r w:rsidRPr="002B4C1D">
              <w:t>3. Komisija pred sprejetjem odločitve o finančnem popravku državo članico obvesti o svojih ugotovitvah in ji omogoči, da v dveh mesecih predloži svoje pripombe o oceni Komisije. Rok se lahko sporazumno podaljša.</w:t>
            </w:r>
            <w:r w:rsidRPr="002B4C1D">
              <w:rPr>
                <w:b/>
              </w:rPr>
              <w:t xml:space="preserve"> </w:t>
            </w:r>
            <w:r w:rsidRPr="002B4C1D">
              <w:rPr>
                <w:b/>
                <w:i/>
              </w:rPr>
              <w:t>Odbor za spremljanje se obvesti o nameri Komisije in načrtu, ki ga predloži država članica.</w:t>
            </w:r>
            <w:r w:rsidRPr="002B4C1D">
              <w:t xml:space="preserve"> Komisija pred sprejetjem odločitve o uporabi finančnega popravka upošteva vse ustrezne informacije in pripombe, ki jih predloži država članica.</w:t>
            </w:r>
          </w:p>
        </w:tc>
      </w:tr>
    </w:tbl>
    <w:p w14:paraId="6A677125" w14:textId="77777777" w:rsidR="00F95E4F" w:rsidRPr="002B4C1D" w:rsidRDefault="00F95E4F" w:rsidP="005A7AC8">
      <w:pPr>
        <w:suppressAutoHyphens/>
        <w:jc w:val="center"/>
        <w:textAlignment w:val="baseline"/>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9057"/>
      </w:tblGrid>
      <w:tr w:rsidR="00F95E4F" w:rsidRPr="002B4C1D" w14:paraId="6942CDF5" w14:textId="77777777" w:rsidTr="00E022FB">
        <w:trPr>
          <w:trHeight w:val="300"/>
        </w:trPr>
        <w:tc>
          <w:tcPr>
            <w:tcW w:w="9057" w:type="dxa"/>
            <w:tcBorders>
              <w:top w:val="single" w:sz="2" w:space="0" w:color="auto"/>
              <w:left w:val="single" w:sz="2" w:space="0" w:color="auto"/>
              <w:bottom w:val="single" w:sz="2" w:space="0" w:color="auto"/>
              <w:right w:val="single" w:sz="2" w:space="0" w:color="auto"/>
            </w:tcBorders>
            <w:hideMark/>
          </w:tcPr>
          <w:p w14:paraId="1D6C92A7" w14:textId="77777777" w:rsidR="00F95E4F" w:rsidRPr="002B4C1D" w:rsidRDefault="00F95E4F" w:rsidP="005A7AC8">
            <w:pPr>
              <w:suppressAutoHyphens/>
              <w:jc w:val="center"/>
              <w:textAlignment w:val="baseline"/>
            </w:pPr>
            <w:r w:rsidRPr="002B4C1D">
              <w:rPr>
                <w:b/>
              </w:rPr>
              <w:t>Obrazložitev</w:t>
            </w:r>
          </w:p>
        </w:tc>
      </w:tr>
      <w:tr w:rsidR="00F95E4F" w:rsidRPr="002B4C1D" w14:paraId="44B30E9A" w14:textId="77777777" w:rsidTr="00E022FB">
        <w:trPr>
          <w:trHeight w:val="300"/>
        </w:trPr>
        <w:tc>
          <w:tcPr>
            <w:tcW w:w="9057" w:type="dxa"/>
            <w:tcBorders>
              <w:top w:val="single" w:sz="2" w:space="0" w:color="auto"/>
              <w:left w:val="single" w:sz="6" w:space="0" w:color="auto"/>
              <w:bottom w:val="single" w:sz="6" w:space="0" w:color="auto"/>
              <w:right w:val="single" w:sz="6" w:space="0" w:color="auto"/>
            </w:tcBorders>
            <w:hideMark/>
          </w:tcPr>
          <w:p w14:paraId="42E4202C" w14:textId="30A81527" w:rsidR="00F95E4F" w:rsidRPr="002B4C1D" w:rsidRDefault="00F95E4F" w:rsidP="005A7AC8">
            <w:pPr>
              <w:suppressAutoHyphens/>
              <w:ind w:left="30" w:right="30"/>
              <w:textAlignment w:val="baseline"/>
            </w:pPr>
            <w:r w:rsidRPr="002B4C1D">
              <w:t>Zaradi prožnosti, predvidene v predlogu uredbe Komisije, je treba vlogo odborov okrepiti.</w:t>
            </w:r>
          </w:p>
        </w:tc>
      </w:tr>
    </w:tbl>
    <w:p w14:paraId="602F893E" w14:textId="77777777" w:rsidR="00F95E4F" w:rsidRPr="002B4C1D" w:rsidRDefault="00F95E4F" w:rsidP="005A7AC8">
      <w:pPr>
        <w:suppressAutoHyphens/>
      </w:pPr>
    </w:p>
    <w:p w14:paraId="1AB0F401" w14:textId="09992558" w:rsidR="00F95E4F" w:rsidRPr="002B4C1D" w:rsidRDefault="00F95E4F" w:rsidP="005A7AC8">
      <w:pPr>
        <w:suppressAutoHyphens/>
        <w:overflowPunct w:val="0"/>
        <w:autoSpaceDE w:val="0"/>
        <w:autoSpaceDN w:val="0"/>
        <w:adjustRightInd w:val="0"/>
        <w:jc w:val="center"/>
        <w:textAlignment w:val="baseline"/>
        <w:outlineLvl w:val="1"/>
        <w:rPr>
          <w:b/>
          <w:bCs/>
          <w:szCs w:val="20"/>
        </w:rPr>
      </w:pPr>
      <w:r w:rsidRPr="002B4C1D">
        <w:rPr>
          <w:b/>
        </w:rPr>
        <w:t>Predlog spremembe 11</w:t>
      </w:r>
    </w:p>
    <w:p w14:paraId="7F772C5D" w14:textId="3B4042D3" w:rsidR="00F95E4F" w:rsidRPr="002B4C1D" w:rsidRDefault="003E5355" w:rsidP="005A7AC8">
      <w:pPr>
        <w:suppressAutoHyphens/>
        <w:jc w:val="center"/>
        <w:textAlignment w:val="baseline"/>
      </w:pPr>
      <w:r w:rsidRPr="002B4C1D">
        <w:t>(povezano s priporočilom 1.23)</w:t>
      </w:r>
    </w:p>
    <w:p w14:paraId="19EDEF36" w14:textId="77777777" w:rsidR="00F95E4F" w:rsidRPr="002B4C1D" w:rsidRDefault="00F95E4F" w:rsidP="005A7AC8">
      <w:pPr>
        <w:suppressAutoHyphens/>
        <w:jc w:val="left"/>
        <w:textAlignment w:val="baseline"/>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4529"/>
        <w:gridCol w:w="4528"/>
      </w:tblGrid>
      <w:tr w:rsidR="00F95E4F" w:rsidRPr="002B4C1D" w14:paraId="2388F843" w14:textId="77777777" w:rsidTr="00E022FB">
        <w:trPr>
          <w:trHeight w:val="300"/>
        </w:trPr>
        <w:tc>
          <w:tcPr>
            <w:tcW w:w="4529" w:type="dxa"/>
            <w:tcBorders>
              <w:top w:val="single" w:sz="2" w:space="0" w:color="auto"/>
              <w:left w:val="single" w:sz="2" w:space="0" w:color="auto"/>
              <w:bottom w:val="single" w:sz="2" w:space="0" w:color="auto"/>
              <w:right w:val="single" w:sz="2" w:space="0" w:color="auto"/>
            </w:tcBorders>
            <w:hideMark/>
          </w:tcPr>
          <w:p w14:paraId="57FEB505" w14:textId="77777777" w:rsidR="00F95E4F" w:rsidRPr="002B4C1D" w:rsidRDefault="00F95E4F" w:rsidP="005A7AC8">
            <w:pPr>
              <w:suppressAutoHyphens/>
              <w:jc w:val="center"/>
              <w:textAlignment w:val="baseline"/>
              <w:rPr>
                <w:strike/>
              </w:rPr>
            </w:pPr>
            <w:r w:rsidRPr="002B4C1D">
              <w:rPr>
                <w:b/>
              </w:rPr>
              <w:t>Predlog Komisije</w:t>
            </w:r>
          </w:p>
        </w:tc>
        <w:tc>
          <w:tcPr>
            <w:tcW w:w="4528" w:type="dxa"/>
            <w:tcBorders>
              <w:top w:val="single" w:sz="2" w:space="0" w:color="auto"/>
              <w:left w:val="single" w:sz="2" w:space="0" w:color="auto"/>
              <w:bottom w:val="single" w:sz="2" w:space="0" w:color="auto"/>
              <w:right w:val="single" w:sz="2" w:space="0" w:color="auto"/>
            </w:tcBorders>
            <w:hideMark/>
          </w:tcPr>
          <w:p w14:paraId="617368D1" w14:textId="77777777" w:rsidR="00F95E4F" w:rsidRPr="002B4C1D" w:rsidRDefault="00F95E4F" w:rsidP="005A7AC8">
            <w:pPr>
              <w:suppressAutoHyphens/>
              <w:jc w:val="center"/>
              <w:textAlignment w:val="baseline"/>
            </w:pPr>
            <w:r w:rsidRPr="002B4C1D">
              <w:rPr>
                <w:b/>
              </w:rPr>
              <w:t>Predlog spremembe EESO</w:t>
            </w:r>
          </w:p>
        </w:tc>
      </w:tr>
      <w:tr w:rsidR="00F95E4F" w:rsidRPr="002B4C1D" w14:paraId="175769B8" w14:textId="77777777" w:rsidTr="00E022FB">
        <w:trPr>
          <w:trHeight w:val="300"/>
        </w:trPr>
        <w:tc>
          <w:tcPr>
            <w:tcW w:w="4529" w:type="dxa"/>
            <w:tcBorders>
              <w:top w:val="single" w:sz="2" w:space="0" w:color="auto"/>
              <w:left w:val="single" w:sz="6" w:space="0" w:color="auto"/>
              <w:bottom w:val="single" w:sz="6" w:space="0" w:color="auto"/>
              <w:right w:val="single" w:sz="6" w:space="0" w:color="auto"/>
            </w:tcBorders>
          </w:tcPr>
          <w:p w14:paraId="3A1CD77B" w14:textId="5EAEF13D" w:rsidR="00C0590C" w:rsidRPr="002B4C1D" w:rsidRDefault="00F95E4F" w:rsidP="005A7AC8">
            <w:pPr>
              <w:suppressAutoHyphens/>
              <w:ind w:left="30" w:right="30"/>
              <w:jc w:val="center"/>
              <w:textAlignment w:val="baseline"/>
              <w:rPr>
                <w:i/>
                <w:iCs/>
              </w:rPr>
            </w:pPr>
            <w:r w:rsidRPr="002B4C1D">
              <w:rPr>
                <w:i/>
              </w:rPr>
              <w:t>Člen 76</w:t>
            </w:r>
          </w:p>
          <w:p w14:paraId="1E5D86BF" w14:textId="77777777" w:rsidR="00BE57A9" w:rsidRPr="002B4C1D" w:rsidRDefault="00F95E4F" w:rsidP="005A7AC8">
            <w:pPr>
              <w:suppressAutoHyphens/>
            </w:pPr>
            <w:r w:rsidRPr="002B4C1D">
              <w:rPr>
                <w:b/>
                <w:i/>
              </w:rPr>
              <w:t>Lokalni razvoj, ki ga vodi skupnost</w:t>
            </w:r>
            <w:r w:rsidRPr="002B4C1D">
              <w:t xml:space="preserve"> </w:t>
            </w:r>
          </w:p>
          <w:p w14:paraId="66B9EA98" w14:textId="54BAD3D5" w:rsidR="00F95E4F" w:rsidRPr="002B4C1D" w:rsidRDefault="00F95E4F" w:rsidP="005A7AC8">
            <w:pPr>
              <w:suppressAutoHyphens/>
              <w:rPr>
                <w:noProof/>
              </w:rPr>
            </w:pPr>
            <w:r w:rsidRPr="002B4C1D">
              <w:t>1. Lokalni razvoj, ki ga vodi skupnost:</w:t>
            </w:r>
          </w:p>
          <w:p w14:paraId="41593FD8" w14:textId="33A0D2FC" w:rsidR="00F95E4F" w:rsidRPr="002B4C1D" w:rsidRDefault="00F95E4F" w:rsidP="005A7AC8">
            <w:pPr>
              <w:pStyle w:val="Point1"/>
              <w:suppressAutoHyphens/>
              <w:spacing w:before="0" w:after="0" w:line="288" w:lineRule="auto"/>
              <w:ind w:left="506" w:hanging="425"/>
              <w:rPr>
                <w:noProof/>
                <w:sz w:val="22"/>
              </w:rPr>
            </w:pPr>
            <w:r w:rsidRPr="002B4C1D">
              <w:rPr>
                <w:sz w:val="22"/>
              </w:rPr>
              <w:t>(a)</w:t>
            </w:r>
            <w:r w:rsidRPr="002B4C1D">
              <w:rPr>
                <w:sz w:val="22"/>
              </w:rPr>
              <w:tab/>
              <w:t xml:space="preserve">se osredotoča na </w:t>
            </w:r>
            <w:proofErr w:type="spellStart"/>
            <w:r w:rsidRPr="002B4C1D">
              <w:rPr>
                <w:sz w:val="22"/>
              </w:rPr>
              <w:t>podregionalna</w:t>
            </w:r>
            <w:proofErr w:type="spellEnd"/>
            <w:r w:rsidRPr="002B4C1D">
              <w:rPr>
                <w:sz w:val="22"/>
              </w:rPr>
              <w:t xml:space="preserve">, podeželska in obalna </w:t>
            </w:r>
            <w:r w:rsidRPr="002B4C1D">
              <w:rPr>
                <w:b/>
                <w:i/>
                <w:sz w:val="22"/>
              </w:rPr>
              <w:t>območja</w:t>
            </w:r>
            <w:r w:rsidRPr="002B4C1D">
              <w:rPr>
                <w:sz w:val="22"/>
              </w:rPr>
              <w:t>;</w:t>
            </w:r>
          </w:p>
        </w:tc>
        <w:tc>
          <w:tcPr>
            <w:tcW w:w="4528" w:type="dxa"/>
            <w:tcBorders>
              <w:top w:val="single" w:sz="2" w:space="0" w:color="auto"/>
              <w:left w:val="single" w:sz="6" w:space="0" w:color="auto"/>
              <w:bottom w:val="single" w:sz="6" w:space="0" w:color="auto"/>
              <w:right w:val="single" w:sz="6" w:space="0" w:color="auto"/>
            </w:tcBorders>
          </w:tcPr>
          <w:p w14:paraId="0C659B75" w14:textId="1401AF70" w:rsidR="00C0590C" w:rsidRPr="002B4C1D" w:rsidRDefault="00F95E4F" w:rsidP="005A7AC8">
            <w:pPr>
              <w:suppressAutoHyphens/>
              <w:ind w:left="30" w:right="30"/>
              <w:jc w:val="center"/>
              <w:textAlignment w:val="baseline"/>
              <w:rPr>
                <w:i/>
                <w:iCs/>
              </w:rPr>
            </w:pPr>
            <w:r w:rsidRPr="002B4C1D">
              <w:rPr>
                <w:i/>
              </w:rPr>
              <w:t>Člen 76</w:t>
            </w:r>
          </w:p>
          <w:p w14:paraId="793A4A22" w14:textId="77777777" w:rsidR="00BE57A9" w:rsidRPr="002B4C1D" w:rsidRDefault="00F95E4F" w:rsidP="005A7AC8">
            <w:pPr>
              <w:suppressAutoHyphens/>
            </w:pPr>
            <w:r w:rsidRPr="002B4C1D">
              <w:rPr>
                <w:b/>
                <w:i/>
              </w:rPr>
              <w:t>Lokalni razvoj, ki ga vodi skupnost</w:t>
            </w:r>
            <w:r w:rsidRPr="002B4C1D">
              <w:t xml:space="preserve"> </w:t>
            </w:r>
          </w:p>
          <w:p w14:paraId="05C34E90" w14:textId="0507043D" w:rsidR="00F95E4F" w:rsidRPr="002B4C1D" w:rsidRDefault="00F95E4F" w:rsidP="005A7AC8">
            <w:pPr>
              <w:suppressAutoHyphens/>
              <w:rPr>
                <w:noProof/>
              </w:rPr>
            </w:pPr>
            <w:r w:rsidRPr="002B4C1D">
              <w:t>1. Lokalni razvoj, ki ga vodi skupnost:</w:t>
            </w:r>
          </w:p>
          <w:p w14:paraId="779B2E98" w14:textId="6D610DD8" w:rsidR="00F95E4F" w:rsidRPr="002B4C1D" w:rsidRDefault="00F95E4F" w:rsidP="005A7AC8">
            <w:pPr>
              <w:pStyle w:val="Point1"/>
              <w:suppressAutoHyphens/>
              <w:spacing w:before="0" w:after="0" w:line="288" w:lineRule="auto"/>
              <w:ind w:left="654"/>
              <w:rPr>
                <w:noProof/>
                <w:sz w:val="22"/>
              </w:rPr>
            </w:pPr>
            <w:r w:rsidRPr="002B4C1D">
              <w:rPr>
                <w:sz w:val="22"/>
              </w:rPr>
              <w:t>(a)</w:t>
            </w:r>
            <w:r w:rsidRPr="002B4C1D">
              <w:rPr>
                <w:sz w:val="22"/>
              </w:rPr>
              <w:tab/>
              <w:t xml:space="preserve">se osredotoča na </w:t>
            </w:r>
            <w:proofErr w:type="spellStart"/>
            <w:r w:rsidRPr="002B4C1D">
              <w:rPr>
                <w:sz w:val="22"/>
              </w:rPr>
              <w:t>podregionalna</w:t>
            </w:r>
            <w:proofErr w:type="spellEnd"/>
            <w:r w:rsidRPr="002B4C1D">
              <w:rPr>
                <w:sz w:val="22"/>
              </w:rPr>
              <w:t xml:space="preserve"> </w:t>
            </w:r>
            <w:r w:rsidRPr="002B4C1D">
              <w:rPr>
                <w:b/>
                <w:i/>
                <w:sz w:val="22"/>
              </w:rPr>
              <w:t>območja,</w:t>
            </w:r>
            <w:r w:rsidRPr="002B4C1D">
              <w:rPr>
                <w:sz w:val="22"/>
              </w:rPr>
              <w:t xml:space="preserve"> </w:t>
            </w:r>
            <w:r w:rsidRPr="002B4C1D">
              <w:rPr>
                <w:b/>
                <w:i/>
                <w:sz w:val="22"/>
              </w:rPr>
              <w:t>tudi mestna,</w:t>
            </w:r>
            <w:r w:rsidRPr="002B4C1D">
              <w:rPr>
                <w:sz w:val="22"/>
              </w:rPr>
              <w:t xml:space="preserve"> podeželska in obalna;</w:t>
            </w:r>
          </w:p>
        </w:tc>
      </w:tr>
    </w:tbl>
    <w:p w14:paraId="0F7F6BEC" w14:textId="77777777" w:rsidR="00F95E4F" w:rsidRPr="002B4C1D" w:rsidRDefault="00F95E4F" w:rsidP="005A7AC8">
      <w:pPr>
        <w:suppressAutoHyphens/>
        <w:jc w:val="center"/>
        <w:textAlignment w:val="baseline"/>
        <w:rPr>
          <w:sz w:val="16"/>
          <w:szCs w:val="16"/>
        </w:rPr>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9057"/>
      </w:tblGrid>
      <w:tr w:rsidR="00F95E4F" w:rsidRPr="002B4C1D" w14:paraId="317CA962" w14:textId="77777777" w:rsidTr="00E022FB">
        <w:trPr>
          <w:trHeight w:val="300"/>
        </w:trPr>
        <w:tc>
          <w:tcPr>
            <w:tcW w:w="9057" w:type="dxa"/>
            <w:tcBorders>
              <w:top w:val="single" w:sz="2" w:space="0" w:color="auto"/>
              <w:left w:val="single" w:sz="2" w:space="0" w:color="auto"/>
              <w:bottom w:val="single" w:sz="2" w:space="0" w:color="auto"/>
              <w:right w:val="single" w:sz="2" w:space="0" w:color="auto"/>
            </w:tcBorders>
            <w:hideMark/>
          </w:tcPr>
          <w:p w14:paraId="265BF96E" w14:textId="77777777" w:rsidR="00F95E4F" w:rsidRPr="002B4C1D" w:rsidRDefault="00F95E4F" w:rsidP="005A7AC8">
            <w:pPr>
              <w:suppressAutoHyphens/>
              <w:jc w:val="center"/>
              <w:textAlignment w:val="baseline"/>
            </w:pPr>
            <w:r w:rsidRPr="002B4C1D">
              <w:rPr>
                <w:b/>
              </w:rPr>
              <w:t>Obrazložitev</w:t>
            </w:r>
          </w:p>
        </w:tc>
      </w:tr>
      <w:tr w:rsidR="00F95E4F" w:rsidRPr="002B4C1D" w14:paraId="03CFA599" w14:textId="77777777" w:rsidTr="00E022FB">
        <w:trPr>
          <w:trHeight w:val="300"/>
        </w:trPr>
        <w:tc>
          <w:tcPr>
            <w:tcW w:w="9057" w:type="dxa"/>
            <w:tcBorders>
              <w:top w:val="single" w:sz="2" w:space="0" w:color="auto"/>
              <w:left w:val="single" w:sz="6" w:space="0" w:color="auto"/>
              <w:bottom w:val="single" w:sz="6" w:space="0" w:color="auto"/>
              <w:right w:val="single" w:sz="6" w:space="0" w:color="auto"/>
            </w:tcBorders>
            <w:hideMark/>
          </w:tcPr>
          <w:p w14:paraId="167AE5D4" w14:textId="737A595A" w:rsidR="00F95E4F" w:rsidRPr="002B4C1D" w:rsidRDefault="00F95E4F" w:rsidP="005A7AC8">
            <w:pPr>
              <w:suppressAutoHyphens/>
              <w:ind w:left="30" w:right="30"/>
              <w:textAlignment w:val="baseline"/>
            </w:pPr>
            <w:r w:rsidRPr="002B4C1D">
              <w:t>V lokalni razvoj, ki ga vodi skupnost, so v nekaterih državah članicah že vključena mestna območja. S predlagano spremembo se zagotavlja večja jasnost pri izvajanju tega instrumenta.</w:t>
            </w:r>
          </w:p>
        </w:tc>
      </w:tr>
    </w:tbl>
    <w:p w14:paraId="473DB5E0" w14:textId="77777777" w:rsidR="00173EDE" w:rsidRPr="002B4C1D" w:rsidRDefault="00173EDE" w:rsidP="005A7AC8">
      <w:pPr>
        <w:suppressAutoHyphens/>
        <w:overflowPunct w:val="0"/>
        <w:autoSpaceDE w:val="0"/>
        <w:autoSpaceDN w:val="0"/>
        <w:adjustRightInd w:val="0"/>
        <w:textAlignment w:val="baseline"/>
        <w:outlineLvl w:val="1"/>
        <w:rPr>
          <w:szCs w:val="20"/>
        </w:rPr>
      </w:pPr>
    </w:p>
    <w:p w14:paraId="02D760AA" w14:textId="2810FC53" w:rsidR="00173EDE" w:rsidRPr="002B4C1D" w:rsidRDefault="00173EDE" w:rsidP="005A7AC8">
      <w:pPr>
        <w:pageBreakBefore/>
        <w:suppressAutoHyphens/>
        <w:overflowPunct w:val="0"/>
        <w:autoSpaceDE w:val="0"/>
        <w:autoSpaceDN w:val="0"/>
        <w:adjustRightInd w:val="0"/>
        <w:jc w:val="center"/>
        <w:textAlignment w:val="baseline"/>
        <w:outlineLvl w:val="1"/>
        <w:rPr>
          <w:b/>
          <w:bCs/>
          <w:szCs w:val="20"/>
        </w:rPr>
      </w:pPr>
      <w:r w:rsidRPr="002B4C1D">
        <w:rPr>
          <w:b/>
        </w:rPr>
        <w:lastRenderedPageBreak/>
        <w:t>Predlog spremembe 12</w:t>
      </w:r>
    </w:p>
    <w:p w14:paraId="1BA40EF6" w14:textId="4BF1D224" w:rsidR="00173EDE" w:rsidRPr="002B4C1D" w:rsidRDefault="00173EDE" w:rsidP="005A7AC8">
      <w:pPr>
        <w:suppressAutoHyphens/>
        <w:jc w:val="center"/>
        <w:textAlignment w:val="baseline"/>
      </w:pPr>
      <w:r w:rsidRPr="002B4C1D">
        <w:t>(povezano s priporočilom 1.22)</w:t>
      </w:r>
    </w:p>
    <w:p w14:paraId="7FDEA57E" w14:textId="77777777" w:rsidR="00173EDE" w:rsidRPr="002B4C1D" w:rsidRDefault="00173EDE" w:rsidP="005A7AC8">
      <w:pPr>
        <w:suppressAutoHyphens/>
        <w:jc w:val="left"/>
        <w:textAlignment w:val="baseline"/>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4529"/>
        <w:gridCol w:w="4528"/>
      </w:tblGrid>
      <w:tr w:rsidR="00173EDE" w:rsidRPr="002B4C1D" w14:paraId="6EFD7679" w14:textId="77777777" w:rsidTr="00DF75A2">
        <w:trPr>
          <w:trHeight w:val="300"/>
        </w:trPr>
        <w:tc>
          <w:tcPr>
            <w:tcW w:w="4529" w:type="dxa"/>
            <w:tcBorders>
              <w:top w:val="single" w:sz="2" w:space="0" w:color="auto"/>
              <w:left w:val="single" w:sz="2" w:space="0" w:color="auto"/>
              <w:bottom w:val="single" w:sz="2" w:space="0" w:color="auto"/>
              <w:right w:val="single" w:sz="2" w:space="0" w:color="auto"/>
            </w:tcBorders>
            <w:hideMark/>
          </w:tcPr>
          <w:p w14:paraId="1B7FD779" w14:textId="77777777" w:rsidR="00173EDE" w:rsidRPr="002B4C1D" w:rsidRDefault="00173EDE" w:rsidP="005A7AC8">
            <w:pPr>
              <w:suppressAutoHyphens/>
              <w:jc w:val="center"/>
              <w:textAlignment w:val="baseline"/>
              <w:rPr>
                <w:strike/>
              </w:rPr>
            </w:pPr>
            <w:r w:rsidRPr="002B4C1D">
              <w:rPr>
                <w:b/>
              </w:rPr>
              <w:t>Predlog Komisije</w:t>
            </w:r>
          </w:p>
        </w:tc>
        <w:tc>
          <w:tcPr>
            <w:tcW w:w="4528" w:type="dxa"/>
            <w:tcBorders>
              <w:top w:val="single" w:sz="2" w:space="0" w:color="auto"/>
              <w:left w:val="single" w:sz="2" w:space="0" w:color="auto"/>
              <w:bottom w:val="single" w:sz="2" w:space="0" w:color="auto"/>
              <w:right w:val="single" w:sz="2" w:space="0" w:color="auto"/>
            </w:tcBorders>
            <w:hideMark/>
          </w:tcPr>
          <w:p w14:paraId="127A0AD0" w14:textId="77777777" w:rsidR="00173EDE" w:rsidRPr="002B4C1D" w:rsidRDefault="00173EDE" w:rsidP="005A7AC8">
            <w:pPr>
              <w:suppressAutoHyphens/>
              <w:jc w:val="center"/>
              <w:textAlignment w:val="baseline"/>
            </w:pPr>
            <w:r w:rsidRPr="002B4C1D">
              <w:rPr>
                <w:b/>
              </w:rPr>
              <w:t>Predlog spremembe EESO</w:t>
            </w:r>
          </w:p>
        </w:tc>
      </w:tr>
      <w:tr w:rsidR="00173EDE" w:rsidRPr="002B4C1D" w14:paraId="7C725472" w14:textId="77777777" w:rsidTr="00DF75A2">
        <w:trPr>
          <w:trHeight w:val="300"/>
        </w:trPr>
        <w:tc>
          <w:tcPr>
            <w:tcW w:w="4529" w:type="dxa"/>
            <w:tcBorders>
              <w:top w:val="single" w:sz="2" w:space="0" w:color="auto"/>
              <w:left w:val="single" w:sz="6" w:space="0" w:color="auto"/>
              <w:bottom w:val="single" w:sz="6" w:space="0" w:color="auto"/>
              <w:right w:val="single" w:sz="6" w:space="0" w:color="auto"/>
            </w:tcBorders>
          </w:tcPr>
          <w:p w14:paraId="0CB6E08B" w14:textId="77777777" w:rsidR="00173EDE" w:rsidRPr="002B4C1D" w:rsidRDefault="00173EDE" w:rsidP="005A7AC8">
            <w:pPr>
              <w:suppressAutoHyphens/>
              <w:ind w:right="30"/>
              <w:jc w:val="center"/>
              <w:textAlignment w:val="baseline"/>
              <w:rPr>
                <w:i/>
                <w:iCs/>
              </w:rPr>
            </w:pPr>
            <w:r w:rsidRPr="002B4C1D">
              <w:rPr>
                <w:i/>
              </w:rPr>
              <w:t>Člen 79</w:t>
            </w:r>
          </w:p>
          <w:p w14:paraId="0E8E0132" w14:textId="77777777" w:rsidR="00BE57A9" w:rsidRPr="002B4C1D" w:rsidRDefault="00173EDE" w:rsidP="005A7AC8">
            <w:pPr>
              <w:suppressAutoHyphens/>
              <w:ind w:left="30" w:right="30"/>
              <w:textAlignment w:val="baseline"/>
            </w:pPr>
            <w:r w:rsidRPr="002B4C1D">
              <w:rPr>
                <w:b/>
                <w:i/>
              </w:rPr>
              <w:t>Pogoji za ukrepe, ki vključujejo operacije z večfaznim izvajanjem</w:t>
            </w:r>
            <w:r w:rsidRPr="002B4C1D">
              <w:t xml:space="preserve"> </w:t>
            </w:r>
          </w:p>
          <w:p w14:paraId="1A2578BA" w14:textId="4C3B0079" w:rsidR="00173EDE" w:rsidRPr="002B4C1D" w:rsidRDefault="00173EDE" w:rsidP="005A7AC8">
            <w:pPr>
              <w:suppressAutoHyphens/>
              <w:ind w:left="30" w:right="30"/>
              <w:textAlignment w:val="baseline"/>
            </w:pPr>
            <w:r w:rsidRPr="002B4C1D">
              <w:t>1. Države članice lahko podprejo ukrepe, pri katerih osnovne operacije predstavljajo drugo fazo operacije, ki je že bila izbrana za podporo in začeta na podlagi Uredbe (EU) št. 2021/1060, če so izpolnjeni vsi naslednji pogoji:</w:t>
            </w:r>
          </w:p>
        </w:tc>
        <w:tc>
          <w:tcPr>
            <w:tcW w:w="4528" w:type="dxa"/>
            <w:tcBorders>
              <w:top w:val="single" w:sz="2" w:space="0" w:color="auto"/>
              <w:left w:val="single" w:sz="6" w:space="0" w:color="auto"/>
              <w:bottom w:val="single" w:sz="6" w:space="0" w:color="auto"/>
              <w:right w:val="single" w:sz="6" w:space="0" w:color="auto"/>
            </w:tcBorders>
          </w:tcPr>
          <w:p w14:paraId="2A9539A9" w14:textId="77777777" w:rsidR="00173EDE" w:rsidRPr="002B4C1D" w:rsidRDefault="00173EDE" w:rsidP="005A7AC8">
            <w:pPr>
              <w:suppressAutoHyphens/>
              <w:ind w:right="30"/>
              <w:jc w:val="center"/>
              <w:textAlignment w:val="baseline"/>
              <w:rPr>
                <w:i/>
                <w:iCs/>
              </w:rPr>
            </w:pPr>
            <w:r w:rsidRPr="002B4C1D">
              <w:rPr>
                <w:i/>
              </w:rPr>
              <w:t>Člen 79</w:t>
            </w:r>
          </w:p>
          <w:p w14:paraId="7336A42C" w14:textId="77777777" w:rsidR="00BE57A9" w:rsidRPr="002B4C1D" w:rsidRDefault="00173EDE" w:rsidP="005A7AC8">
            <w:pPr>
              <w:suppressAutoHyphens/>
              <w:ind w:right="30"/>
              <w:textAlignment w:val="baseline"/>
            </w:pPr>
            <w:r w:rsidRPr="002B4C1D">
              <w:rPr>
                <w:b/>
                <w:i/>
              </w:rPr>
              <w:t>Pogoji za ukrepe, ki vključujejo operacije z večfaznim izvajanjem</w:t>
            </w:r>
            <w:r w:rsidRPr="002B4C1D">
              <w:t xml:space="preserve"> </w:t>
            </w:r>
          </w:p>
          <w:p w14:paraId="42BD8A60" w14:textId="78D08977" w:rsidR="00173EDE" w:rsidRPr="002B4C1D" w:rsidRDefault="00173EDE" w:rsidP="005A7AC8">
            <w:pPr>
              <w:suppressAutoHyphens/>
              <w:ind w:right="30"/>
              <w:textAlignment w:val="baseline"/>
            </w:pPr>
            <w:r w:rsidRPr="002B4C1D">
              <w:t xml:space="preserve">1. Države članice lahko podprejo ukrepe, </w:t>
            </w:r>
            <w:r w:rsidRPr="002B4C1D">
              <w:rPr>
                <w:b/>
                <w:i/>
              </w:rPr>
              <w:t>za katere se nameni največ 5 % dodeljenih proračunskih sredstev in</w:t>
            </w:r>
            <w:r w:rsidRPr="002B4C1D">
              <w:t xml:space="preserve"> pri katerih osnovne operacije predstavljajo drugo fazo operacije, ki je že bila izbrana za podporo in začeta na podlagi Uredbe (EU) št. 2021/1060, če so izpolnjeni vsi naslednji pogoji:</w:t>
            </w:r>
          </w:p>
        </w:tc>
      </w:tr>
    </w:tbl>
    <w:p w14:paraId="084923B7" w14:textId="77777777" w:rsidR="00173EDE" w:rsidRPr="002B4C1D" w:rsidRDefault="00173EDE" w:rsidP="005A7AC8">
      <w:pPr>
        <w:suppressAutoHyphens/>
        <w:jc w:val="center"/>
        <w:textAlignment w:val="baseline"/>
        <w:rPr>
          <w:sz w:val="16"/>
          <w:szCs w:val="16"/>
        </w:rPr>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9057"/>
      </w:tblGrid>
      <w:tr w:rsidR="00173EDE" w:rsidRPr="002B4C1D" w14:paraId="0BDE7874" w14:textId="77777777" w:rsidTr="00DF75A2">
        <w:trPr>
          <w:trHeight w:val="300"/>
        </w:trPr>
        <w:tc>
          <w:tcPr>
            <w:tcW w:w="9057" w:type="dxa"/>
            <w:tcBorders>
              <w:top w:val="single" w:sz="2" w:space="0" w:color="auto"/>
              <w:left w:val="single" w:sz="2" w:space="0" w:color="auto"/>
              <w:bottom w:val="single" w:sz="2" w:space="0" w:color="auto"/>
              <w:right w:val="single" w:sz="2" w:space="0" w:color="auto"/>
            </w:tcBorders>
            <w:hideMark/>
          </w:tcPr>
          <w:p w14:paraId="78EBDF32" w14:textId="77777777" w:rsidR="00173EDE" w:rsidRPr="002B4C1D" w:rsidRDefault="00173EDE" w:rsidP="005A7AC8">
            <w:pPr>
              <w:suppressAutoHyphens/>
              <w:jc w:val="center"/>
              <w:textAlignment w:val="baseline"/>
            </w:pPr>
            <w:r w:rsidRPr="002B4C1D">
              <w:rPr>
                <w:b/>
              </w:rPr>
              <w:t>Obrazložitev</w:t>
            </w:r>
          </w:p>
        </w:tc>
      </w:tr>
      <w:tr w:rsidR="00173EDE" w:rsidRPr="002B4C1D" w14:paraId="05714CB2" w14:textId="77777777" w:rsidTr="00DF75A2">
        <w:trPr>
          <w:trHeight w:val="300"/>
        </w:trPr>
        <w:tc>
          <w:tcPr>
            <w:tcW w:w="9057" w:type="dxa"/>
            <w:tcBorders>
              <w:top w:val="single" w:sz="2" w:space="0" w:color="auto"/>
              <w:left w:val="single" w:sz="6" w:space="0" w:color="auto"/>
              <w:bottom w:val="single" w:sz="6" w:space="0" w:color="auto"/>
              <w:right w:val="single" w:sz="6" w:space="0" w:color="auto"/>
            </w:tcBorders>
            <w:hideMark/>
          </w:tcPr>
          <w:p w14:paraId="70BFB435" w14:textId="144F3444" w:rsidR="00173EDE" w:rsidRPr="002B4C1D" w:rsidRDefault="00173EDE" w:rsidP="005A7AC8">
            <w:pPr>
              <w:suppressAutoHyphens/>
              <w:ind w:right="30"/>
              <w:textAlignment w:val="baseline"/>
            </w:pPr>
            <w:r w:rsidRPr="002B4C1D">
              <w:t>Z določitvijo deleža sredstev za večfazno izvajanje se ohrani sinergija med dejanskimi izzivi in tveganji ter doseže sinergija med spreminjajočimi se potrebami in procesom izvajanja.</w:t>
            </w:r>
          </w:p>
        </w:tc>
      </w:tr>
    </w:tbl>
    <w:p w14:paraId="50109F2B" w14:textId="77777777" w:rsidR="00F95E4F" w:rsidRPr="002B4C1D" w:rsidRDefault="00F95E4F" w:rsidP="005A7AC8">
      <w:pPr>
        <w:suppressAutoHyphens/>
      </w:pPr>
    </w:p>
    <w:p w14:paraId="28B7247E" w14:textId="17212EAB" w:rsidR="00F95E4F" w:rsidRPr="002B4C1D" w:rsidRDefault="00F95E4F" w:rsidP="005A7AC8">
      <w:pPr>
        <w:suppressAutoHyphens/>
        <w:overflowPunct w:val="0"/>
        <w:autoSpaceDE w:val="0"/>
        <w:autoSpaceDN w:val="0"/>
        <w:adjustRightInd w:val="0"/>
        <w:jc w:val="center"/>
        <w:textAlignment w:val="baseline"/>
        <w:outlineLvl w:val="1"/>
        <w:rPr>
          <w:b/>
          <w:bCs/>
          <w:szCs w:val="20"/>
        </w:rPr>
      </w:pPr>
      <w:r w:rsidRPr="002B4C1D">
        <w:rPr>
          <w:b/>
        </w:rPr>
        <w:t>Predlog spremembe 13</w:t>
      </w:r>
    </w:p>
    <w:p w14:paraId="3023A161" w14:textId="2513663D" w:rsidR="00F95E4F" w:rsidRPr="002B4C1D" w:rsidRDefault="003E5355" w:rsidP="005A7AC8">
      <w:pPr>
        <w:suppressAutoHyphens/>
        <w:jc w:val="center"/>
        <w:textAlignment w:val="baseline"/>
      </w:pPr>
      <w:r w:rsidRPr="002B4C1D">
        <w:t>(povezano s priporočilom 1.20)</w:t>
      </w:r>
    </w:p>
    <w:p w14:paraId="61F2CF84" w14:textId="77777777" w:rsidR="00F95E4F" w:rsidRPr="002B4C1D" w:rsidRDefault="00F95E4F" w:rsidP="005A7AC8">
      <w:pPr>
        <w:suppressAutoHyphens/>
        <w:jc w:val="left"/>
        <w:textAlignment w:val="baseline"/>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4529"/>
        <w:gridCol w:w="4528"/>
      </w:tblGrid>
      <w:tr w:rsidR="00F95E4F" w:rsidRPr="002B4C1D" w14:paraId="4695FF2E" w14:textId="77777777" w:rsidTr="00E022FB">
        <w:trPr>
          <w:trHeight w:val="300"/>
        </w:trPr>
        <w:tc>
          <w:tcPr>
            <w:tcW w:w="4529" w:type="dxa"/>
            <w:tcBorders>
              <w:top w:val="single" w:sz="2" w:space="0" w:color="auto"/>
              <w:left w:val="single" w:sz="2" w:space="0" w:color="auto"/>
              <w:bottom w:val="single" w:sz="2" w:space="0" w:color="auto"/>
              <w:right w:val="single" w:sz="2" w:space="0" w:color="auto"/>
            </w:tcBorders>
            <w:hideMark/>
          </w:tcPr>
          <w:p w14:paraId="3B0FED85" w14:textId="77777777" w:rsidR="00F95E4F" w:rsidRPr="002B4C1D" w:rsidRDefault="00F95E4F" w:rsidP="005A7AC8">
            <w:pPr>
              <w:suppressAutoHyphens/>
              <w:jc w:val="center"/>
              <w:textAlignment w:val="baseline"/>
              <w:rPr>
                <w:strike/>
              </w:rPr>
            </w:pPr>
            <w:r w:rsidRPr="002B4C1D">
              <w:rPr>
                <w:b/>
              </w:rPr>
              <w:t>Predlog Komisije</w:t>
            </w:r>
          </w:p>
        </w:tc>
        <w:tc>
          <w:tcPr>
            <w:tcW w:w="4528" w:type="dxa"/>
            <w:tcBorders>
              <w:top w:val="single" w:sz="2" w:space="0" w:color="auto"/>
              <w:left w:val="single" w:sz="2" w:space="0" w:color="auto"/>
              <w:bottom w:val="single" w:sz="2" w:space="0" w:color="auto"/>
              <w:right w:val="single" w:sz="2" w:space="0" w:color="auto"/>
            </w:tcBorders>
            <w:hideMark/>
          </w:tcPr>
          <w:p w14:paraId="6D17D6BD" w14:textId="77777777" w:rsidR="00F95E4F" w:rsidRPr="002B4C1D" w:rsidRDefault="00F95E4F" w:rsidP="005A7AC8">
            <w:pPr>
              <w:suppressAutoHyphens/>
              <w:jc w:val="center"/>
              <w:textAlignment w:val="baseline"/>
            </w:pPr>
            <w:r w:rsidRPr="002B4C1D">
              <w:rPr>
                <w:b/>
              </w:rPr>
              <w:t>Predlog spremembe EESO</w:t>
            </w:r>
          </w:p>
        </w:tc>
      </w:tr>
      <w:tr w:rsidR="00F95E4F" w:rsidRPr="002B4C1D" w14:paraId="463D070D" w14:textId="77777777" w:rsidTr="00E022FB">
        <w:trPr>
          <w:trHeight w:val="300"/>
        </w:trPr>
        <w:tc>
          <w:tcPr>
            <w:tcW w:w="4529" w:type="dxa"/>
            <w:tcBorders>
              <w:top w:val="single" w:sz="2" w:space="0" w:color="auto"/>
              <w:left w:val="single" w:sz="6" w:space="0" w:color="auto"/>
              <w:bottom w:val="single" w:sz="6" w:space="0" w:color="auto"/>
              <w:right w:val="single" w:sz="6" w:space="0" w:color="auto"/>
            </w:tcBorders>
          </w:tcPr>
          <w:p w14:paraId="5992565F" w14:textId="144F602E" w:rsidR="00C0590C" w:rsidRPr="002B4C1D" w:rsidRDefault="00EA554A" w:rsidP="005A7AC8">
            <w:pPr>
              <w:suppressAutoHyphens/>
              <w:ind w:right="30"/>
              <w:jc w:val="center"/>
              <w:textAlignment w:val="baseline"/>
              <w:rPr>
                <w:i/>
                <w:iCs/>
              </w:rPr>
            </w:pPr>
            <w:r w:rsidRPr="002B4C1D">
              <w:rPr>
                <w:i/>
              </w:rPr>
              <w:t>Člen 79</w:t>
            </w:r>
          </w:p>
          <w:p w14:paraId="036B5E8F" w14:textId="6CFDCEA5" w:rsidR="00F95E4F" w:rsidRPr="002B4C1D" w:rsidRDefault="00EA554A" w:rsidP="005A7AC8">
            <w:pPr>
              <w:suppressAutoHyphens/>
              <w:ind w:right="30"/>
              <w:jc w:val="center"/>
              <w:textAlignment w:val="baseline"/>
              <w:rPr>
                <w:b/>
                <w:bCs/>
                <w:i/>
                <w:iCs/>
              </w:rPr>
            </w:pPr>
            <w:r w:rsidRPr="002B4C1D">
              <w:rPr>
                <w:b/>
                <w:i/>
              </w:rPr>
              <w:t>Pogoji za ukrepe, ki vključujejo operacije z večfaznim izvajanjem</w:t>
            </w:r>
          </w:p>
        </w:tc>
        <w:tc>
          <w:tcPr>
            <w:tcW w:w="4528" w:type="dxa"/>
            <w:tcBorders>
              <w:top w:val="single" w:sz="2" w:space="0" w:color="auto"/>
              <w:left w:val="single" w:sz="6" w:space="0" w:color="auto"/>
              <w:bottom w:val="single" w:sz="6" w:space="0" w:color="auto"/>
              <w:right w:val="single" w:sz="6" w:space="0" w:color="auto"/>
            </w:tcBorders>
          </w:tcPr>
          <w:p w14:paraId="67A372D2" w14:textId="5025686D" w:rsidR="00C0590C" w:rsidRPr="002B4C1D" w:rsidRDefault="00F95E4F" w:rsidP="005A7AC8">
            <w:pPr>
              <w:suppressAutoHyphens/>
              <w:ind w:right="30"/>
              <w:jc w:val="center"/>
              <w:textAlignment w:val="baseline"/>
              <w:rPr>
                <w:i/>
                <w:iCs/>
              </w:rPr>
            </w:pPr>
            <w:r w:rsidRPr="002B4C1D">
              <w:rPr>
                <w:i/>
              </w:rPr>
              <w:t>Člen 79</w:t>
            </w:r>
          </w:p>
          <w:p w14:paraId="7F4D66C1" w14:textId="1A6146EF" w:rsidR="00BE57A9" w:rsidRPr="002B4C1D" w:rsidRDefault="00F95E4F" w:rsidP="005A7AC8">
            <w:pPr>
              <w:suppressAutoHyphens/>
              <w:ind w:right="30"/>
              <w:textAlignment w:val="baseline"/>
              <w:rPr>
                <w:b/>
                <w:i/>
              </w:rPr>
            </w:pPr>
            <w:r w:rsidRPr="002B4C1D">
              <w:rPr>
                <w:b/>
                <w:i/>
              </w:rPr>
              <w:t>Pogoji za ukrepe, ki vključujejo operacije z večfaznim izvajanjem</w:t>
            </w:r>
          </w:p>
          <w:p w14:paraId="4AC6C33E" w14:textId="12451543" w:rsidR="00F95E4F" w:rsidRPr="002B4C1D" w:rsidRDefault="00F95E4F" w:rsidP="005A7AC8">
            <w:pPr>
              <w:suppressAutoHyphens/>
              <w:ind w:right="30"/>
              <w:textAlignment w:val="baseline"/>
              <w:rPr>
                <w:b/>
                <w:bCs/>
                <w:i/>
                <w:iCs/>
              </w:rPr>
            </w:pPr>
            <w:r w:rsidRPr="002B4C1D">
              <w:rPr>
                <w:b/>
                <w:i/>
              </w:rPr>
              <w:t>1. (f) operacijo odobri odbor za spremljanje.</w:t>
            </w:r>
          </w:p>
        </w:tc>
      </w:tr>
    </w:tbl>
    <w:p w14:paraId="2E445C49" w14:textId="77777777" w:rsidR="00F95E4F" w:rsidRPr="002B4C1D" w:rsidRDefault="00F95E4F" w:rsidP="005A7AC8">
      <w:pPr>
        <w:suppressAutoHyphens/>
        <w:jc w:val="center"/>
        <w:textAlignment w:val="baseline"/>
        <w:rPr>
          <w:sz w:val="16"/>
          <w:szCs w:val="16"/>
        </w:rPr>
      </w:pPr>
    </w:p>
    <w:tbl>
      <w:tblPr>
        <w:tblW w:w="0" w:type="auto"/>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9057"/>
      </w:tblGrid>
      <w:tr w:rsidR="00F95E4F" w:rsidRPr="002B4C1D" w14:paraId="65E6AC0C" w14:textId="77777777" w:rsidTr="00E022FB">
        <w:trPr>
          <w:trHeight w:val="300"/>
        </w:trPr>
        <w:tc>
          <w:tcPr>
            <w:tcW w:w="9057" w:type="dxa"/>
            <w:tcBorders>
              <w:top w:val="single" w:sz="2" w:space="0" w:color="auto"/>
              <w:left w:val="single" w:sz="2" w:space="0" w:color="auto"/>
              <w:bottom w:val="single" w:sz="2" w:space="0" w:color="auto"/>
              <w:right w:val="single" w:sz="2" w:space="0" w:color="auto"/>
            </w:tcBorders>
            <w:hideMark/>
          </w:tcPr>
          <w:p w14:paraId="0F9518D7" w14:textId="77777777" w:rsidR="00F95E4F" w:rsidRPr="002B4C1D" w:rsidRDefault="00F95E4F" w:rsidP="005A7AC8">
            <w:pPr>
              <w:suppressAutoHyphens/>
              <w:jc w:val="center"/>
              <w:textAlignment w:val="baseline"/>
            </w:pPr>
            <w:r w:rsidRPr="002B4C1D">
              <w:rPr>
                <w:b/>
              </w:rPr>
              <w:t>Obrazložitev</w:t>
            </w:r>
          </w:p>
        </w:tc>
      </w:tr>
      <w:tr w:rsidR="00F95E4F" w:rsidRPr="002B4C1D" w14:paraId="40EFBB82" w14:textId="77777777" w:rsidTr="00E022FB">
        <w:trPr>
          <w:trHeight w:val="300"/>
        </w:trPr>
        <w:tc>
          <w:tcPr>
            <w:tcW w:w="9057" w:type="dxa"/>
            <w:tcBorders>
              <w:top w:val="single" w:sz="2" w:space="0" w:color="auto"/>
              <w:left w:val="single" w:sz="6" w:space="0" w:color="auto"/>
              <w:bottom w:val="single" w:sz="6" w:space="0" w:color="auto"/>
              <w:right w:val="single" w:sz="6" w:space="0" w:color="auto"/>
            </w:tcBorders>
            <w:hideMark/>
          </w:tcPr>
          <w:p w14:paraId="5D632E2F" w14:textId="49E25CD2" w:rsidR="00F95E4F" w:rsidRPr="002B4C1D" w:rsidRDefault="00E80515" w:rsidP="005A7AC8">
            <w:pPr>
              <w:suppressAutoHyphens/>
              <w:ind w:left="30" w:right="30"/>
              <w:textAlignment w:val="baseline"/>
            </w:pPr>
            <w:r w:rsidRPr="002B4C1D">
              <w:t xml:space="preserve">Operacije z večfaznim izvajanjem bi moral odobriti odbor za spremljanje, saj to vpliva na konkurenco in načelo </w:t>
            </w:r>
            <w:proofErr w:type="spellStart"/>
            <w:r w:rsidRPr="002B4C1D">
              <w:t>teritorialnosti</w:t>
            </w:r>
            <w:proofErr w:type="spellEnd"/>
            <w:r w:rsidRPr="002B4C1D">
              <w:t>, lahko pa bi vplivalo tudi na postopek izvajanja.</w:t>
            </w:r>
          </w:p>
        </w:tc>
      </w:tr>
    </w:tbl>
    <w:p w14:paraId="5E9B0C04" w14:textId="77777777" w:rsidR="00EE1D11" w:rsidRPr="002B4C1D" w:rsidRDefault="00EE1D11" w:rsidP="005A7AC8"/>
    <w:p w14:paraId="2127C213" w14:textId="6F069585" w:rsidR="00EE1D11" w:rsidRPr="002B4C1D" w:rsidRDefault="00EE1D11" w:rsidP="005A7AC8">
      <w:pPr>
        <w:suppressAutoHyphens/>
        <w:overflowPunct w:val="0"/>
        <w:autoSpaceDE w:val="0"/>
        <w:autoSpaceDN w:val="0"/>
        <w:adjustRightInd w:val="0"/>
        <w:jc w:val="left"/>
        <w:textAlignment w:val="baseline"/>
      </w:pPr>
      <w:r w:rsidRPr="002B4C1D">
        <w:t>V Bruslju, 7. januarja 2026</w:t>
      </w:r>
    </w:p>
    <w:p w14:paraId="5F620441" w14:textId="49EA903F" w:rsidR="00EE1D11" w:rsidRPr="002B4C1D" w:rsidRDefault="00EE1D11" w:rsidP="005A7AC8"/>
    <w:p w14:paraId="46ACAE5B" w14:textId="77777777" w:rsidR="005A7AC8" w:rsidRPr="002B4C1D" w:rsidRDefault="005A7AC8" w:rsidP="005A7AC8"/>
    <w:p w14:paraId="4E4A1019" w14:textId="20EAFD64" w:rsidR="00EE1D11" w:rsidRPr="002B4C1D" w:rsidRDefault="00EE1D11" w:rsidP="005A7AC8">
      <w:pPr>
        <w:suppressAutoHyphens/>
        <w:overflowPunct w:val="0"/>
        <w:autoSpaceDE w:val="0"/>
        <w:autoSpaceDN w:val="0"/>
        <w:adjustRightInd w:val="0"/>
        <w:jc w:val="left"/>
        <w:textAlignment w:val="baseline"/>
        <w:rPr>
          <w:i/>
          <w:iCs/>
        </w:rPr>
      </w:pPr>
      <w:r w:rsidRPr="002B4C1D">
        <w:rPr>
          <w:i/>
        </w:rPr>
        <w:t>Predsednica strokovne skupine za ekonomsko in monetarno unijo ter ekonomsko in socialno kohezijo</w:t>
      </w:r>
    </w:p>
    <w:p w14:paraId="47D3F0F7" w14:textId="69A9C15B" w:rsidR="00C9724F" w:rsidRPr="002B4C1D" w:rsidRDefault="00EE1D11" w:rsidP="005A7AC8">
      <w:pPr>
        <w:suppressAutoHyphens/>
        <w:overflowPunct w:val="0"/>
        <w:autoSpaceDE w:val="0"/>
        <w:autoSpaceDN w:val="0"/>
        <w:adjustRightInd w:val="0"/>
        <w:jc w:val="left"/>
        <w:textAlignment w:val="baseline"/>
      </w:pPr>
      <w:r w:rsidRPr="002B4C1D">
        <w:t>Elena CALISTRU</w:t>
      </w:r>
    </w:p>
    <w:p w14:paraId="306BBA45" w14:textId="2FD5A65C" w:rsidR="005A7AC8" w:rsidRPr="002B4C1D" w:rsidRDefault="005A7AC8" w:rsidP="005A7AC8">
      <w:pPr>
        <w:suppressAutoHyphens/>
        <w:overflowPunct w:val="0"/>
        <w:autoSpaceDE w:val="0"/>
        <w:autoSpaceDN w:val="0"/>
        <w:adjustRightInd w:val="0"/>
        <w:jc w:val="left"/>
        <w:textAlignment w:val="baseline"/>
      </w:pPr>
    </w:p>
    <w:p w14:paraId="42E2326F" w14:textId="77777777" w:rsidR="005A7AC8" w:rsidRPr="002B4C1D" w:rsidRDefault="005A7AC8">
      <w:pPr>
        <w:overflowPunct w:val="0"/>
        <w:autoSpaceDE w:val="0"/>
        <w:autoSpaceDN w:val="0"/>
        <w:adjustRightInd w:val="0"/>
        <w:jc w:val="center"/>
        <w:textAlignment w:val="baseline"/>
      </w:pPr>
      <w:r w:rsidRPr="002B4C1D">
        <w:t>_____________</w:t>
      </w:r>
    </w:p>
    <w:p w14:paraId="7AB5960D" w14:textId="77777777" w:rsidR="005A7AC8" w:rsidRPr="002B4C1D" w:rsidRDefault="005A7AC8"/>
    <w:sectPr w:rsidR="005A7AC8" w:rsidRPr="002B4C1D" w:rsidSect="00CF28AF">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5A331" w14:textId="77777777" w:rsidR="00725709" w:rsidRDefault="00725709">
      <w:r>
        <w:separator/>
      </w:r>
    </w:p>
  </w:endnote>
  <w:endnote w:type="continuationSeparator" w:id="0">
    <w:p w14:paraId="30609E14" w14:textId="77777777" w:rsidR="00725709" w:rsidRDefault="0072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E5EE" w14:textId="2B1645CB" w:rsidR="00E32DC6" w:rsidRPr="00CF28AF" w:rsidRDefault="00CF28AF" w:rsidP="00CF28AF">
    <w:pPr>
      <w:pStyle w:val="Footer"/>
    </w:pPr>
    <w:r>
      <w:t xml:space="preserve">ECO/683 – EESC-2025-02552-00-00-AS-TRA (EN) </w:t>
    </w:r>
    <w:r>
      <w:fldChar w:fldCharType="begin"/>
    </w:r>
    <w:r>
      <w:instrText xml:space="preserve"> PAGE  \* Arabic  \* MERGEFORMAT </w:instrText>
    </w:r>
    <w:r>
      <w:fldChar w:fldCharType="separate"/>
    </w:r>
    <w:r w:rsidR="002D5F79">
      <w:t>1</w:t>
    </w:r>
    <w:r>
      <w:fldChar w:fldCharType="end"/>
    </w:r>
    <w:r>
      <w:t>/</w:t>
    </w:r>
    <w:fldSimple w:instr=" NUMPAGES ">
      <w:r w:rsidR="002D5F79">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1099B" w14:textId="77777777" w:rsidR="00B66F31" w:rsidRPr="00CF28AF" w:rsidRDefault="00B66F31" w:rsidP="00CF28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316F9" w14:textId="1D4C0252" w:rsidR="00B66F31" w:rsidRPr="00CF28AF" w:rsidRDefault="00CF28AF" w:rsidP="00CF28AF">
    <w:pPr>
      <w:pStyle w:val="Footer"/>
    </w:pPr>
    <w:r>
      <w:t xml:space="preserve">ECO/683 – EESC-2025-02552-00-00-AS-TRA (EN) </w:t>
    </w:r>
    <w:r>
      <w:fldChar w:fldCharType="begin"/>
    </w:r>
    <w:r>
      <w:instrText xml:space="preserve"> PAGE  \* Arabic  \* MERGEFORMAT </w:instrText>
    </w:r>
    <w:r>
      <w:fldChar w:fldCharType="separate"/>
    </w:r>
    <w:r>
      <w:t>2</w:t>
    </w:r>
    <w:r>
      <w:fldChar w:fldCharType="end"/>
    </w:r>
    <w:r>
      <w:t>/</w:t>
    </w:r>
    <w:fldSimple w:instr=" NUMPAGES ">
      <w:r>
        <w:t>18</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871F4" w14:textId="77777777" w:rsidR="00B66F31" w:rsidRPr="00CF28AF" w:rsidRDefault="00B66F31" w:rsidP="00CF2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BEE93" w14:textId="77777777" w:rsidR="00725709" w:rsidRDefault="00725709">
      <w:r>
        <w:separator/>
      </w:r>
    </w:p>
  </w:footnote>
  <w:footnote w:type="continuationSeparator" w:id="0">
    <w:p w14:paraId="75C69F57" w14:textId="77777777" w:rsidR="00725709" w:rsidRDefault="00725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20AD0" w14:textId="77777777" w:rsidR="00B66F31" w:rsidRPr="00CF28AF" w:rsidRDefault="00B66F31" w:rsidP="00CF28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7C91" w14:textId="1511F216" w:rsidR="00B66F31" w:rsidRPr="00CF28AF" w:rsidRDefault="00B66F31" w:rsidP="00CF28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6FF19" w14:textId="77777777" w:rsidR="00B66F31" w:rsidRPr="00CF28AF" w:rsidRDefault="00B66F31" w:rsidP="00CF28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FA2FCBA"/>
    <w:lvl w:ilvl="0">
      <w:start w:val="1"/>
      <w:numFmt w:val="decimal"/>
      <w:pStyle w:val="Heading1"/>
      <w:lvlText w:val="%1."/>
      <w:legacy w:legacy="1" w:legacySpace="0"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2E44180"/>
    <w:multiLevelType w:val="multilevel"/>
    <w:tmpl w:val="302440A0"/>
    <w:name w:val="NumPar"/>
    <w:lvl w:ilvl="0">
      <w:start w:val="1"/>
      <w:numFmt w:val="decimal"/>
      <w:lvlRestart w:val="0"/>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1417"/>
        </w:tabs>
        <w:ind w:left="1417" w:hanging="1417"/>
      </w:pPr>
      <w:rPr>
        <w:rFonts w:hint="default"/>
      </w:rPr>
    </w:lvl>
    <w:lvl w:ilvl="5">
      <w:start w:val="1"/>
      <w:numFmt w:val="decimal"/>
      <w:lvlText w:val="%1.%2.%3.%4.%5.%6."/>
      <w:lvlJc w:val="left"/>
      <w:pPr>
        <w:tabs>
          <w:tab w:val="num" w:pos="1417"/>
        </w:tabs>
        <w:ind w:left="1417" w:hanging="1417"/>
      </w:pPr>
      <w:rPr>
        <w:rFonts w:hint="default"/>
      </w:rPr>
    </w:lvl>
    <w:lvl w:ilvl="6">
      <w:start w:val="1"/>
      <w:numFmt w:val="decimal"/>
      <w:lvlText w:val="%1.%2.%3.%4.%5.%6.%7."/>
      <w:lvlJc w:val="left"/>
      <w:pPr>
        <w:tabs>
          <w:tab w:val="num" w:pos="1417"/>
        </w:tabs>
        <w:ind w:left="1417" w:hanging="141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7175B43"/>
    <w:multiLevelType w:val="hybridMultilevel"/>
    <w:tmpl w:val="4C0E105E"/>
    <w:lvl w:ilvl="0" w:tplc="24ECC1F8">
      <w:start w:val="1"/>
      <w:numFmt w:val="lowerRoman"/>
      <w:lvlText w:val="(%1)"/>
      <w:lvlJc w:val="right"/>
      <w:pPr>
        <w:ind w:left="1920" w:hanging="360"/>
      </w:pPr>
      <w:rPr>
        <w:rFonts w:hint="default"/>
      </w:rPr>
    </w:lvl>
    <w:lvl w:ilvl="1" w:tplc="175C81F4">
      <w:start w:val="1"/>
      <w:numFmt w:val="lowerLetter"/>
      <w:lvlText w:val="%2."/>
      <w:lvlJc w:val="left"/>
      <w:pPr>
        <w:ind w:left="2640" w:hanging="360"/>
      </w:pPr>
    </w:lvl>
    <w:lvl w:ilvl="2" w:tplc="F2C057F0">
      <w:start w:val="1"/>
      <w:numFmt w:val="lowerRoman"/>
      <w:lvlText w:val="%3."/>
      <w:lvlJc w:val="right"/>
      <w:pPr>
        <w:ind w:left="3360" w:hanging="180"/>
      </w:pPr>
    </w:lvl>
    <w:lvl w:ilvl="3" w:tplc="E954F0FA">
      <w:start w:val="1"/>
      <w:numFmt w:val="decimal"/>
      <w:lvlText w:val="%4."/>
      <w:lvlJc w:val="left"/>
      <w:pPr>
        <w:ind w:left="360" w:hanging="360"/>
      </w:pPr>
    </w:lvl>
    <w:lvl w:ilvl="4" w:tplc="510A454E">
      <w:start w:val="1"/>
      <w:numFmt w:val="lowerLetter"/>
      <w:lvlText w:val="%5."/>
      <w:lvlJc w:val="left"/>
      <w:pPr>
        <w:ind w:left="4800" w:hanging="360"/>
      </w:pPr>
    </w:lvl>
    <w:lvl w:ilvl="5" w:tplc="39F4A8CA">
      <w:start w:val="1"/>
      <w:numFmt w:val="lowerRoman"/>
      <w:lvlText w:val="%6."/>
      <w:lvlJc w:val="right"/>
      <w:pPr>
        <w:ind w:left="5520" w:hanging="180"/>
      </w:pPr>
    </w:lvl>
    <w:lvl w:ilvl="6" w:tplc="D7E4E56A">
      <w:start w:val="1"/>
      <w:numFmt w:val="decimal"/>
      <w:lvlText w:val="%7."/>
      <w:lvlJc w:val="left"/>
      <w:pPr>
        <w:ind w:left="6240" w:hanging="360"/>
      </w:pPr>
    </w:lvl>
    <w:lvl w:ilvl="7" w:tplc="935E04F6">
      <w:start w:val="1"/>
      <w:numFmt w:val="lowerLetter"/>
      <w:lvlText w:val="%8."/>
      <w:lvlJc w:val="left"/>
      <w:pPr>
        <w:ind w:left="6960" w:hanging="360"/>
      </w:pPr>
    </w:lvl>
    <w:lvl w:ilvl="8" w:tplc="B994D646">
      <w:start w:val="1"/>
      <w:numFmt w:val="lowerRoman"/>
      <w:lvlText w:val="%9."/>
      <w:lvlJc w:val="right"/>
      <w:pPr>
        <w:ind w:left="7680" w:hanging="180"/>
      </w:pPr>
    </w:lvl>
  </w:abstractNum>
  <w:num w:numId="1">
    <w:abstractNumId w:val="0"/>
  </w:num>
  <w:num w:numId="2">
    <w:abstractNumId w:val="1"/>
  </w:num>
  <w:num w:numId="3">
    <w:abstractNumId w:val="2"/>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embedSystemFont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8F"/>
    <w:rsid w:val="00000569"/>
    <w:rsid w:val="00002B0C"/>
    <w:rsid w:val="00005AB9"/>
    <w:rsid w:val="00005EB9"/>
    <w:rsid w:val="00006CD4"/>
    <w:rsid w:val="00006E24"/>
    <w:rsid w:val="00007A40"/>
    <w:rsid w:val="000104AB"/>
    <w:rsid w:val="00011D33"/>
    <w:rsid w:val="00020E6E"/>
    <w:rsid w:val="0002106A"/>
    <w:rsid w:val="00024E64"/>
    <w:rsid w:val="00025429"/>
    <w:rsid w:val="00025A25"/>
    <w:rsid w:val="0002790A"/>
    <w:rsid w:val="0002799B"/>
    <w:rsid w:val="00031A4B"/>
    <w:rsid w:val="00033913"/>
    <w:rsid w:val="00033BD6"/>
    <w:rsid w:val="00033E5B"/>
    <w:rsid w:val="000357A8"/>
    <w:rsid w:val="000430A6"/>
    <w:rsid w:val="00044923"/>
    <w:rsid w:val="000475BC"/>
    <w:rsid w:val="000478D3"/>
    <w:rsid w:val="0005249C"/>
    <w:rsid w:val="000534A5"/>
    <w:rsid w:val="00054433"/>
    <w:rsid w:val="00054F87"/>
    <w:rsid w:val="00055E1B"/>
    <w:rsid w:val="0005680D"/>
    <w:rsid w:val="000607CF"/>
    <w:rsid w:val="000609AB"/>
    <w:rsid w:val="000610EE"/>
    <w:rsid w:val="00061176"/>
    <w:rsid w:val="00063945"/>
    <w:rsid w:val="000639BB"/>
    <w:rsid w:val="00063FB4"/>
    <w:rsid w:val="00064058"/>
    <w:rsid w:val="0006557C"/>
    <w:rsid w:val="00065FBE"/>
    <w:rsid w:val="0006793E"/>
    <w:rsid w:val="00067AE9"/>
    <w:rsid w:val="000717CB"/>
    <w:rsid w:val="00072E0F"/>
    <w:rsid w:val="000735E5"/>
    <w:rsid w:val="0007392F"/>
    <w:rsid w:val="0007399C"/>
    <w:rsid w:val="00074DDD"/>
    <w:rsid w:val="000841FB"/>
    <w:rsid w:val="00085366"/>
    <w:rsid w:val="00087B39"/>
    <w:rsid w:val="00092312"/>
    <w:rsid w:val="00094097"/>
    <w:rsid w:val="00095887"/>
    <w:rsid w:val="00096502"/>
    <w:rsid w:val="00096AAE"/>
    <w:rsid w:val="0009775A"/>
    <w:rsid w:val="000A0AF3"/>
    <w:rsid w:val="000A16CC"/>
    <w:rsid w:val="000A3001"/>
    <w:rsid w:val="000A3865"/>
    <w:rsid w:val="000A49BB"/>
    <w:rsid w:val="000A4E56"/>
    <w:rsid w:val="000A7A14"/>
    <w:rsid w:val="000C3179"/>
    <w:rsid w:val="000C3441"/>
    <w:rsid w:val="000C4AE2"/>
    <w:rsid w:val="000C7BB5"/>
    <w:rsid w:val="000C7F53"/>
    <w:rsid w:val="000D2F4B"/>
    <w:rsid w:val="000D2F8E"/>
    <w:rsid w:val="000D71D3"/>
    <w:rsid w:val="000E13C8"/>
    <w:rsid w:val="000E14B9"/>
    <w:rsid w:val="000E2B32"/>
    <w:rsid w:val="000E2B51"/>
    <w:rsid w:val="000E3062"/>
    <w:rsid w:val="000E603B"/>
    <w:rsid w:val="000E7493"/>
    <w:rsid w:val="000E7A77"/>
    <w:rsid w:val="000F196B"/>
    <w:rsid w:val="000F1D08"/>
    <w:rsid w:val="000F3C64"/>
    <w:rsid w:val="000F5E46"/>
    <w:rsid w:val="000F7E06"/>
    <w:rsid w:val="000F7EB4"/>
    <w:rsid w:val="00104514"/>
    <w:rsid w:val="00105361"/>
    <w:rsid w:val="00105C9E"/>
    <w:rsid w:val="00105E37"/>
    <w:rsid w:val="001101F8"/>
    <w:rsid w:val="00111926"/>
    <w:rsid w:val="0011206F"/>
    <w:rsid w:val="0011384D"/>
    <w:rsid w:val="00113885"/>
    <w:rsid w:val="0011526B"/>
    <w:rsid w:val="0011656A"/>
    <w:rsid w:val="001172C2"/>
    <w:rsid w:val="00121688"/>
    <w:rsid w:val="0012220C"/>
    <w:rsid w:val="00123208"/>
    <w:rsid w:val="00123A89"/>
    <w:rsid w:val="00126BF4"/>
    <w:rsid w:val="00127686"/>
    <w:rsid w:val="00131671"/>
    <w:rsid w:val="0013167B"/>
    <w:rsid w:val="00133AA1"/>
    <w:rsid w:val="001365FC"/>
    <w:rsid w:val="00136805"/>
    <w:rsid w:val="00136D3D"/>
    <w:rsid w:val="00136EA3"/>
    <w:rsid w:val="00137575"/>
    <w:rsid w:val="00140A5B"/>
    <w:rsid w:val="00142A2D"/>
    <w:rsid w:val="00144231"/>
    <w:rsid w:val="00144DC3"/>
    <w:rsid w:val="00147AE5"/>
    <w:rsid w:val="00147D5A"/>
    <w:rsid w:val="00150378"/>
    <w:rsid w:val="00150434"/>
    <w:rsid w:val="00152FD4"/>
    <w:rsid w:val="00153DFA"/>
    <w:rsid w:val="0015487D"/>
    <w:rsid w:val="00155104"/>
    <w:rsid w:val="00155721"/>
    <w:rsid w:val="0015678B"/>
    <w:rsid w:val="00161597"/>
    <w:rsid w:val="00163CEC"/>
    <w:rsid w:val="0016503F"/>
    <w:rsid w:val="001651CC"/>
    <w:rsid w:val="00165CD7"/>
    <w:rsid w:val="0016674F"/>
    <w:rsid w:val="001671E5"/>
    <w:rsid w:val="00167CA0"/>
    <w:rsid w:val="0017120D"/>
    <w:rsid w:val="0017127E"/>
    <w:rsid w:val="001714F6"/>
    <w:rsid w:val="00173151"/>
    <w:rsid w:val="00173EDE"/>
    <w:rsid w:val="00175BA3"/>
    <w:rsid w:val="00175C86"/>
    <w:rsid w:val="00176168"/>
    <w:rsid w:val="00177158"/>
    <w:rsid w:val="0017779A"/>
    <w:rsid w:val="001808A5"/>
    <w:rsid w:val="00184FD4"/>
    <w:rsid w:val="00186B04"/>
    <w:rsid w:val="00186F1E"/>
    <w:rsid w:val="00190836"/>
    <w:rsid w:val="00193930"/>
    <w:rsid w:val="00194679"/>
    <w:rsid w:val="001963A5"/>
    <w:rsid w:val="00196F1E"/>
    <w:rsid w:val="0019759E"/>
    <w:rsid w:val="00197F90"/>
    <w:rsid w:val="00197FCA"/>
    <w:rsid w:val="001A1844"/>
    <w:rsid w:val="001A27DB"/>
    <w:rsid w:val="001A6852"/>
    <w:rsid w:val="001A697F"/>
    <w:rsid w:val="001A7D6E"/>
    <w:rsid w:val="001B286A"/>
    <w:rsid w:val="001B2D02"/>
    <w:rsid w:val="001B3647"/>
    <w:rsid w:val="001B4E69"/>
    <w:rsid w:val="001B77FA"/>
    <w:rsid w:val="001C0900"/>
    <w:rsid w:val="001C0ABE"/>
    <w:rsid w:val="001C25B8"/>
    <w:rsid w:val="001C3087"/>
    <w:rsid w:val="001C5852"/>
    <w:rsid w:val="001C7FE4"/>
    <w:rsid w:val="001D01DE"/>
    <w:rsid w:val="001D45F0"/>
    <w:rsid w:val="001D5087"/>
    <w:rsid w:val="001D5DEF"/>
    <w:rsid w:val="001D7F96"/>
    <w:rsid w:val="001E0347"/>
    <w:rsid w:val="001E15D8"/>
    <w:rsid w:val="001E21FD"/>
    <w:rsid w:val="001E4285"/>
    <w:rsid w:val="001E4A33"/>
    <w:rsid w:val="001E5C27"/>
    <w:rsid w:val="001E6DE5"/>
    <w:rsid w:val="001F1F5E"/>
    <w:rsid w:val="001F476E"/>
    <w:rsid w:val="001F602B"/>
    <w:rsid w:val="001F6AC8"/>
    <w:rsid w:val="001F7214"/>
    <w:rsid w:val="002037D5"/>
    <w:rsid w:val="0020386F"/>
    <w:rsid w:val="00205486"/>
    <w:rsid w:val="00206F90"/>
    <w:rsid w:val="00210C6D"/>
    <w:rsid w:val="00212B03"/>
    <w:rsid w:val="002131AE"/>
    <w:rsid w:val="002132B1"/>
    <w:rsid w:val="00215C10"/>
    <w:rsid w:val="00215C2D"/>
    <w:rsid w:val="002207A7"/>
    <w:rsid w:val="0022095E"/>
    <w:rsid w:val="002239C7"/>
    <w:rsid w:val="002252C4"/>
    <w:rsid w:val="0023183E"/>
    <w:rsid w:val="00232786"/>
    <w:rsid w:val="002342EF"/>
    <w:rsid w:val="00234BFC"/>
    <w:rsid w:val="00235138"/>
    <w:rsid w:val="00237836"/>
    <w:rsid w:val="00240134"/>
    <w:rsid w:val="00240622"/>
    <w:rsid w:val="0024095A"/>
    <w:rsid w:val="002421AE"/>
    <w:rsid w:val="00243E36"/>
    <w:rsid w:val="0024540B"/>
    <w:rsid w:val="00245EF4"/>
    <w:rsid w:val="00250383"/>
    <w:rsid w:val="00250E11"/>
    <w:rsid w:val="00251383"/>
    <w:rsid w:val="002522C9"/>
    <w:rsid w:val="00252934"/>
    <w:rsid w:val="00252A21"/>
    <w:rsid w:val="00252ADA"/>
    <w:rsid w:val="00253E4F"/>
    <w:rsid w:val="002542E4"/>
    <w:rsid w:val="00254AAF"/>
    <w:rsid w:val="00257008"/>
    <w:rsid w:val="00257277"/>
    <w:rsid w:val="002602DC"/>
    <w:rsid w:val="00261053"/>
    <w:rsid w:val="00262F09"/>
    <w:rsid w:val="00262FDE"/>
    <w:rsid w:val="00263186"/>
    <w:rsid w:val="00263629"/>
    <w:rsid w:val="00263DC6"/>
    <w:rsid w:val="00266789"/>
    <w:rsid w:val="002720D8"/>
    <w:rsid w:val="00272FE3"/>
    <w:rsid w:val="00274001"/>
    <w:rsid w:val="0027537D"/>
    <w:rsid w:val="002758C6"/>
    <w:rsid w:val="002769BD"/>
    <w:rsid w:val="00276A75"/>
    <w:rsid w:val="002809EA"/>
    <w:rsid w:val="00280DE4"/>
    <w:rsid w:val="00281B08"/>
    <w:rsid w:val="002824CB"/>
    <w:rsid w:val="002833D5"/>
    <w:rsid w:val="00283B72"/>
    <w:rsid w:val="00284962"/>
    <w:rsid w:val="00287B0E"/>
    <w:rsid w:val="00290CCB"/>
    <w:rsid w:val="00293276"/>
    <w:rsid w:val="002937FB"/>
    <w:rsid w:val="002950C1"/>
    <w:rsid w:val="00295D89"/>
    <w:rsid w:val="002A0B53"/>
    <w:rsid w:val="002A0DF0"/>
    <w:rsid w:val="002A0EEF"/>
    <w:rsid w:val="002A1B11"/>
    <w:rsid w:val="002A76F9"/>
    <w:rsid w:val="002B2DF7"/>
    <w:rsid w:val="002B4C1D"/>
    <w:rsid w:val="002B4D39"/>
    <w:rsid w:val="002B4D82"/>
    <w:rsid w:val="002C1DB1"/>
    <w:rsid w:val="002C1EF3"/>
    <w:rsid w:val="002C2785"/>
    <w:rsid w:val="002C3BF4"/>
    <w:rsid w:val="002C4A61"/>
    <w:rsid w:val="002C4F33"/>
    <w:rsid w:val="002C713A"/>
    <w:rsid w:val="002C749F"/>
    <w:rsid w:val="002C7681"/>
    <w:rsid w:val="002D0742"/>
    <w:rsid w:val="002D2135"/>
    <w:rsid w:val="002D3EFD"/>
    <w:rsid w:val="002D4110"/>
    <w:rsid w:val="002D4F61"/>
    <w:rsid w:val="002D5F79"/>
    <w:rsid w:val="002D5FA6"/>
    <w:rsid w:val="002D772C"/>
    <w:rsid w:val="002E0B84"/>
    <w:rsid w:val="002E4D0C"/>
    <w:rsid w:val="002E7B33"/>
    <w:rsid w:val="002E7F1E"/>
    <w:rsid w:val="002F059B"/>
    <w:rsid w:val="002F2E24"/>
    <w:rsid w:val="002F3F83"/>
    <w:rsid w:val="002F4332"/>
    <w:rsid w:val="002F4A35"/>
    <w:rsid w:val="002F5B0B"/>
    <w:rsid w:val="002F63D8"/>
    <w:rsid w:val="002F7F2F"/>
    <w:rsid w:val="00300924"/>
    <w:rsid w:val="00300978"/>
    <w:rsid w:val="00301C62"/>
    <w:rsid w:val="003050A4"/>
    <w:rsid w:val="003058EA"/>
    <w:rsid w:val="0030596E"/>
    <w:rsid w:val="00305A5E"/>
    <w:rsid w:val="00307262"/>
    <w:rsid w:val="003073C3"/>
    <w:rsid w:val="003074A8"/>
    <w:rsid w:val="003104C2"/>
    <w:rsid w:val="00310551"/>
    <w:rsid w:val="0031106A"/>
    <w:rsid w:val="0031183F"/>
    <w:rsid w:val="003138F7"/>
    <w:rsid w:val="00315B30"/>
    <w:rsid w:val="00320ABC"/>
    <w:rsid w:val="003213B3"/>
    <w:rsid w:val="00323637"/>
    <w:rsid w:val="00324E8A"/>
    <w:rsid w:val="003251FF"/>
    <w:rsid w:val="00325624"/>
    <w:rsid w:val="00325DD6"/>
    <w:rsid w:val="003267B9"/>
    <w:rsid w:val="00331A0C"/>
    <w:rsid w:val="00331D87"/>
    <w:rsid w:val="00332850"/>
    <w:rsid w:val="00334478"/>
    <w:rsid w:val="003346B4"/>
    <w:rsid w:val="00334AE6"/>
    <w:rsid w:val="0033625A"/>
    <w:rsid w:val="003365D0"/>
    <w:rsid w:val="003379C7"/>
    <w:rsid w:val="00337A68"/>
    <w:rsid w:val="003424C7"/>
    <w:rsid w:val="003439AB"/>
    <w:rsid w:val="00344BE0"/>
    <w:rsid w:val="00346DCC"/>
    <w:rsid w:val="0035034C"/>
    <w:rsid w:val="00352BC3"/>
    <w:rsid w:val="003534C1"/>
    <w:rsid w:val="00354695"/>
    <w:rsid w:val="0035549B"/>
    <w:rsid w:val="00361670"/>
    <w:rsid w:val="00361FC4"/>
    <w:rsid w:val="00362D67"/>
    <w:rsid w:val="00363CD0"/>
    <w:rsid w:val="003641B7"/>
    <w:rsid w:val="00365CD8"/>
    <w:rsid w:val="003755C8"/>
    <w:rsid w:val="00375687"/>
    <w:rsid w:val="00376A4C"/>
    <w:rsid w:val="00376D3A"/>
    <w:rsid w:val="0038060D"/>
    <w:rsid w:val="00380AE0"/>
    <w:rsid w:val="00383324"/>
    <w:rsid w:val="00387A75"/>
    <w:rsid w:val="003904B4"/>
    <w:rsid w:val="003904FD"/>
    <w:rsid w:val="00390B82"/>
    <w:rsid w:val="00391DF9"/>
    <w:rsid w:val="00394254"/>
    <w:rsid w:val="00395EFE"/>
    <w:rsid w:val="003A4DE0"/>
    <w:rsid w:val="003A4F15"/>
    <w:rsid w:val="003A6A87"/>
    <w:rsid w:val="003B0187"/>
    <w:rsid w:val="003B0446"/>
    <w:rsid w:val="003B310E"/>
    <w:rsid w:val="003B54D7"/>
    <w:rsid w:val="003C2BFB"/>
    <w:rsid w:val="003C436B"/>
    <w:rsid w:val="003C47C4"/>
    <w:rsid w:val="003C4FCC"/>
    <w:rsid w:val="003C5337"/>
    <w:rsid w:val="003C589F"/>
    <w:rsid w:val="003C5F92"/>
    <w:rsid w:val="003D1DE9"/>
    <w:rsid w:val="003D1F0B"/>
    <w:rsid w:val="003D66E8"/>
    <w:rsid w:val="003D7530"/>
    <w:rsid w:val="003D7A8C"/>
    <w:rsid w:val="003D7C00"/>
    <w:rsid w:val="003D7EE9"/>
    <w:rsid w:val="003E3815"/>
    <w:rsid w:val="003E4BA3"/>
    <w:rsid w:val="003E5355"/>
    <w:rsid w:val="003E56E5"/>
    <w:rsid w:val="003E7A17"/>
    <w:rsid w:val="003E7E60"/>
    <w:rsid w:val="003F00D4"/>
    <w:rsid w:val="003F1913"/>
    <w:rsid w:val="003F2209"/>
    <w:rsid w:val="003F3D39"/>
    <w:rsid w:val="003F646A"/>
    <w:rsid w:val="003F6761"/>
    <w:rsid w:val="003F6A0A"/>
    <w:rsid w:val="0040044A"/>
    <w:rsid w:val="00400697"/>
    <w:rsid w:val="0040149D"/>
    <w:rsid w:val="00402313"/>
    <w:rsid w:val="004024F5"/>
    <w:rsid w:val="004028F8"/>
    <w:rsid w:val="00402DE1"/>
    <w:rsid w:val="00403D8B"/>
    <w:rsid w:val="004058F1"/>
    <w:rsid w:val="00405B04"/>
    <w:rsid w:val="00407E7D"/>
    <w:rsid w:val="0041283D"/>
    <w:rsid w:val="00412B1F"/>
    <w:rsid w:val="00413AB4"/>
    <w:rsid w:val="00413B8A"/>
    <w:rsid w:val="00414D17"/>
    <w:rsid w:val="00421373"/>
    <w:rsid w:val="00421FB7"/>
    <w:rsid w:val="00422261"/>
    <w:rsid w:val="0042293B"/>
    <w:rsid w:val="00422B27"/>
    <w:rsid w:val="0042617A"/>
    <w:rsid w:val="0042763B"/>
    <w:rsid w:val="0043024C"/>
    <w:rsid w:val="00430725"/>
    <w:rsid w:val="00434675"/>
    <w:rsid w:val="004349ED"/>
    <w:rsid w:val="00434EF5"/>
    <w:rsid w:val="004362AA"/>
    <w:rsid w:val="00436706"/>
    <w:rsid w:val="0043772E"/>
    <w:rsid w:val="00443D38"/>
    <w:rsid w:val="00450E7A"/>
    <w:rsid w:val="00451D35"/>
    <w:rsid w:val="00452224"/>
    <w:rsid w:val="004542B2"/>
    <w:rsid w:val="00456769"/>
    <w:rsid w:val="00456AF8"/>
    <w:rsid w:val="00465697"/>
    <w:rsid w:val="00466C33"/>
    <w:rsid w:val="00470B15"/>
    <w:rsid w:val="0047128D"/>
    <w:rsid w:val="004714FE"/>
    <w:rsid w:val="00472492"/>
    <w:rsid w:val="00475869"/>
    <w:rsid w:val="00475A77"/>
    <w:rsid w:val="00481EDA"/>
    <w:rsid w:val="0048258D"/>
    <w:rsid w:val="004832D0"/>
    <w:rsid w:val="004866A9"/>
    <w:rsid w:val="0048754F"/>
    <w:rsid w:val="00491B58"/>
    <w:rsid w:val="00492774"/>
    <w:rsid w:val="00495514"/>
    <w:rsid w:val="00495856"/>
    <w:rsid w:val="00496D7A"/>
    <w:rsid w:val="004978FB"/>
    <w:rsid w:val="00497A14"/>
    <w:rsid w:val="004A19E1"/>
    <w:rsid w:val="004A31BC"/>
    <w:rsid w:val="004A3F1A"/>
    <w:rsid w:val="004A3F45"/>
    <w:rsid w:val="004A4FCF"/>
    <w:rsid w:val="004A5738"/>
    <w:rsid w:val="004A7E0C"/>
    <w:rsid w:val="004B0242"/>
    <w:rsid w:val="004B156C"/>
    <w:rsid w:val="004B1AFA"/>
    <w:rsid w:val="004B69DF"/>
    <w:rsid w:val="004B7088"/>
    <w:rsid w:val="004C080F"/>
    <w:rsid w:val="004C1D3B"/>
    <w:rsid w:val="004C284F"/>
    <w:rsid w:val="004C3EBA"/>
    <w:rsid w:val="004C4D12"/>
    <w:rsid w:val="004C51A6"/>
    <w:rsid w:val="004C594E"/>
    <w:rsid w:val="004C5B76"/>
    <w:rsid w:val="004C7291"/>
    <w:rsid w:val="004D02CD"/>
    <w:rsid w:val="004D073E"/>
    <w:rsid w:val="004D0B24"/>
    <w:rsid w:val="004D0F4F"/>
    <w:rsid w:val="004D4B08"/>
    <w:rsid w:val="004D4B90"/>
    <w:rsid w:val="004D5755"/>
    <w:rsid w:val="004D6B95"/>
    <w:rsid w:val="004D75FC"/>
    <w:rsid w:val="004D7F41"/>
    <w:rsid w:val="004E03A2"/>
    <w:rsid w:val="004E317E"/>
    <w:rsid w:val="004E3954"/>
    <w:rsid w:val="004E49C3"/>
    <w:rsid w:val="004E5856"/>
    <w:rsid w:val="004E61E5"/>
    <w:rsid w:val="004F2330"/>
    <w:rsid w:val="004F29A1"/>
    <w:rsid w:val="004F3606"/>
    <w:rsid w:val="004F53C6"/>
    <w:rsid w:val="004F55C6"/>
    <w:rsid w:val="004F69DB"/>
    <w:rsid w:val="004F6B87"/>
    <w:rsid w:val="00501C2D"/>
    <w:rsid w:val="00502637"/>
    <w:rsid w:val="00502C7A"/>
    <w:rsid w:val="005041B1"/>
    <w:rsid w:val="00504868"/>
    <w:rsid w:val="00510F9C"/>
    <w:rsid w:val="00511140"/>
    <w:rsid w:val="00511296"/>
    <w:rsid w:val="00513CFE"/>
    <w:rsid w:val="005149B7"/>
    <w:rsid w:val="00515307"/>
    <w:rsid w:val="00516677"/>
    <w:rsid w:val="00523B6A"/>
    <w:rsid w:val="00525F6C"/>
    <w:rsid w:val="0053245D"/>
    <w:rsid w:val="005329AA"/>
    <w:rsid w:val="0053587D"/>
    <w:rsid w:val="00535DA6"/>
    <w:rsid w:val="0054234C"/>
    <w:rsid w:val="00546AB4"/>
    <w:rsid w:val="00547B71"/>
    <w:rsid w:val="005514E5"/>
    <w:rsid w:val="0055349F"/>
    <w:rsid w:val="005546FC"/>
    <w:rsid w:val="005578F3"/>
    <w:rsid w:val="005606D4"/>
    <w:rsid w:val="00563C84"/>
    <w:rsid w:val="005654AC"/>
    <w:rsid w:val="00571ED8"/>
    <w:rsid w:val="005762F6"/>
    <w:rsid w:val="005763AB"/>
    <w:rsid w:val="0058051B"/>
    <w:rsid w:val="00581848"/>
    <w:rsid w:val="00582878"/>
    <w:rsid w:val="00584FBE"/>
    <w:rsid w:val="00585483"/>
    <w:rsid w:val="0058553A"/>
    <w:rsid w:val="00587378"/>
    <w:rsid w:val="00587C05"/>
    <w:rsid w:val="00590AAB"/>
    <w:rsid w:val="00590E2A"/>
    <w:rsid w:val="0059286C"/>
    <w:rsid w:val="005938C3"/>
    <w:rsid w:val="0059468C"/>
    <w:rsid w:val="00595125"/>
    <w:rsid w:val="00596029"/>
    <w:rsid w:val="00596F21"/>
    <w:rsid w:val="005A05E1"/>
    <w:rsid w:val="005A6F1B"/>
    <w:rsid w:val="005A7AC8"/>
    <w:rsid w:val="005B1A73"/>
    <w:rsid w:val="005B1BDD"/>
    <w:rsid w:val="005B1CDD"/>
    <w:rsid w:val="005B1E19"/>
    <w:rsid w:val="005B2180"/>
    <w:rsid w:val="005B42CB"/>
    <w:rsid w:val="005B55FC"/>
    <w:rsid w:val="005B5603"/>
    <w:rsid w:val="005B73D4"/>
    <w:rsid w:val="005C2D5E"/>
    <w:rsid w:val="005C3B81"/>
    <w:rsid w:val="005C650C"/>
    <w:rsid w:val="005D086C"/>
    <w:rsid w:val="005D0FF4"/>
    <w:rsid w:val="005D11D3"/>
    <w:rsid w:val="005D263D"/>
    <w:rsid w:val="005D3D83"/>
    <w:rsid w:val="005D48AA"/>
    <w:rsid w:val="005D4E1F"/>
    <w:rsid w:val="005D4FB3"/>
    <w:rsid w:val="005E2F07"/>
    <w:rsid w:val="005E2FEA"/>
    <w:rsid w:val="005E52E4"/>
    <w:rsid w:val="005F060D"/>
    <w:rsid w:val="005F314B"/>
    <w:rsid w:val="005F6E99"/>
    <w:rsid w:val="006011D4"/>
    <w:rsid w:val="00601EE1"/>
    <w:rsid w:val="0060230C"/>
    <w:rsid w:val="006067AB"/>
    <w:rsid w:val="00611AF2"/>
    <w:rsid w:val="0061212B"/>
    <w:rsid w:val="006127AF"/>
    <w:rsid w:val="00613359"/>
    <w:rsid w:val="00613A98"/>
    <w:rsid w:val="00615FB2"/>
    <w:rsid w:val="00617A7D"/>
    <w:rsid w:val="00617BD1"/>
    <w:rsid w:val="00617CE8"/>
    <w:rsid w:val="00625DEA"/>
    <w:rsid w:val="00626987"/>
    <w:rsid w:val="006278A0"/>
    <w:rsid w:val="00627E5A"/>
    <w:rsid w:val="0063095F"/>
    <w:rsid w:val="00630F44"/>
    <w:rsid w:val="00631CBD"/>
    <w:rsid w:val="00634F4E"/>
    <w:rsid w:val="0063704F"/>
    <w:rsid w:val="00646151"/>
    <w:rsid w:val="006465DB"/>
    <w:rsid w:val="00646AC2"/>
    <w:rsid w:val="00650390"/>
    <w:rsid w:val="006524DA"/>
    <w:rsid w:val="00654DAB"/>
    <w:rsid w:val="006579DF"/>
    <w:rsid w:val="00661DCC"/>
    <w:rsid w:val="0066204A"/>
    <w:rsid w:val="00664FF4"/>
    <w:rsid w:val="0066576F"/>
    <w:rsid w:val="00666ABA"/>
    <w:rsid w:val="00667EF2"/>
    <w:rsid w:val="006703F4"/>
    <w:rsid w:val="00670E3C"/>
    <w:rsid w:val="00672313"/>
    <w:rsid w:val="0067361E"/>
    <w:rsid w:val="00677C41"/>
    <w:rsid w:val="00677F57"/>
    <w:rsid w:val="00681088"/>
    <w:rsid w:val="0068676B"/>
    <w:rsid w:val="0068703D"/>
    <w:rsid w:val="00692F11"/>
    <w:rsid w:val="00693944"/>
    <w:rsid w:val="006943FA"/>
    <w:rsid w:val="0069577E"/>
    <w:rsid w:val="006958A3"/>
    <w:rsid w:val="00695B57"/>
    <w:rsid w:val="0069634B"/>
    <w:rsid w:val="00696623"/>
    <w:rsid w:val="00696E04"/>
    <w:rsid w:val="006A04E9"/>
    <w:rsid w:val="006A40FF"/>
    <w:rsid w:val="006A4A03"/>
    <w:rsid w:val="006A6DDF"/>
    <w:rsid w:val="006A7543"/>
    <w:rsid w:val="006B3079"/>
    <w:rsid w:val="006B725C"/>
    <w:rsid w:val="006C0DB3"/>
    <w:rsid w:val="006C273D"/>
    <w:rsid w:val="006C3E28"/>
    <w:rsid w:val="006C5C4F"/>
    <w:rsid w:val="006C6282"/>
    <w:rsid w:val="006C6574"/>
    <w:rsid w:val="006C6E91"/>
    <w:rsid w:val="006C762A"/>
    <w:rsid w:val="006D25F6"/>
    <w:rsid w:val="006D3331"/>
    <w:rsid w:val="006D508E"/>
    <w:rsid w:val="006D5FF9"/>
    <w:rsid w:val="006D6C96"/>
    <w:rsid w:val="006D7479"/>
    <w:rsid w:val="006E0772"/>
    <w:rsid w:val="006E0F86"/>
    <w:rsid w:val="006E17E7"/>
    <w:rsid w:val="006E1DBC"/>
    <w:rsid w:val="006E47D6"/>
    <w:rsid w:val="006E6795"/>
    <w:rsid w:val="006E6E77"/>
    <w:rsid w:val="006E7447"/>
    <w:rsid w:val="006F04DE"/>
    <w:rsid w:val="006F0B15"/>
    <w:rsid w:val="006F0DCC"/>
    <w:rsid w:val="0070004F"/>
    <w:rsid w:val="00703DF9"/>
    <w:rsid w:val="007048EB"/>
    <w:rsid w:val="00704FBB"/>
    <w:rsid w:val="0070726A"/>
    <w:rsid w:val="0070798A"/>
    <w:rsid w:val="0071226B"/>
    <w:rsid w:val="007167C3"/>
    <w:rsid w:val="00717040"/>
    <w:rsid w:val="007205D3"/>
    <w:rsid w:val="00725709"/>
    <w:rsid w:val="00726089"/>
    <w:rsid w:val="007351D8"/>
    <w:rsid w:val="007373DC"/>
    <w:rsid w:val="00737C1F"/>
    <w:rsid w:val="007506ED"/>
    <w:rsid w:val="00754B09"/>
    <w:rsid w:val="00755577"/>
    <w:rsid w:val="0075791C"/>
    <w:rsid w:val="0076085E"/>
    <w:rsid w:val="007622A7"/>
    <w:rsid w:val="007706B6"/>
    <w:rsid w:val="00774DED"/>
    <w:rsid w:val="00774F89"/>
    <w:rsid w:val="007750A2"/>
    <w:rsid w:val="0077562B"/>
    <w:rsid w:val="00776EFE"/>
    <w:rsid w:val="0078008D"/>
    <w:rsid w:val="007817D6"/>
    <w:rsid w:val="00781996"/>
    <w:rsid w:val="00781E1C"/>
    <w:rsid w:val="0078482B"/>
    <w:rsid w:val="00786FD4"/>
    <w:rsid w:val="00787912"/>
    <w:rsid w:val="0079177A"/>
    <w:rsid w:val="00794836"/>
    <w:rsid w:val="007948D5"/>
    <w:rsid w:val="007A15C9"/>
    <w:rsid w:val="007A6676"/>
    <w:rsid w:val="007A6AFA"/>
    <w:rsid w:val="007A6F2F"/>
    <w:rsid w:val="007B1C98"/>
    <w:rsid w:val="007B1FCE"/>
    <w:rsid w:val="007B2F6B"/>
    <w:rsid w:val="007B33F1"/>
    <w:rsid w:val="007B68D2"/>
    <w:rsid w:val="007B7EC3"/>
    <w:rsid w:val="007B7FF5"/>
    <w:rsid w:val="007C3FC6"/>
    <w:rsid w:val="007C422C"/>
    <w:rsid w:val="007C5B30"/>
    <w:rsid w:val="007C6D1E"/>
    <w:rsid w:val="007D08A4"/>
    <w:rsid w:val="007D2CE9"/>
    <w:rsid w:val="007D304F"/>
    <w:rsid w:val="007D4FED"/>
    <w:rsid w:val="007D54C2"/>
    <w:rsid w:val="007D69DA"/>
    <w:rsid w:val="007D70B1"/>
    <w:rsid w:val="007D7140"/>
    <w:rsid w:val="007E1CDB"/>
    <w:rsid w:val="007E223F"/>
    <w:rsid w:val="007E3623"/>
    <w:rsid w:val="007E3A1B"/>
    <w:rsid w:val="007E408C"/>
    <w:rsid w:val="007E50BF"/>
    <w:rsid w:val="007E7E21"/>
    <w:rsid w:val="007F0460"/>
    <w:rsid w:val="007F0DA2"/>
    <w:rsid w:val="007F39CE"/>
    <w:rsid w:val="007F524F"/>
    <w:rsid w:val="007F59E0"/>
    <w:rsid w:val="007F5E0D"/>
    <w:rsid w:val="00801085"/>
    <w:rsid w:val="00801A89"/>
    <w:rsid w:val="00804457"/>
    <w:rsid w:val="0080582D"/>
    <w:rsid w:val="00806A3D"/>
    <w:rsid w:val="008109C0"/>
    <w:rsid w:val="00812061"/>
    <w:rsid w:val="00812138"/>
    <w:rsid w:val="008151F2"/>
    <w:rsid w:val="00815977"/>
    <w:rsid w:val="0081612C"/>
    <w:rsid w:val="0081777A"/>
    <w:rsid w:val="00820E8D"/>
    <w:rsid w:val="008210E0"/>
    <w:rsid w:val="00824079"/>
    <w:rsid w:val="0082566A"/>
    <w:rsid w:val="008314C7"/>
    <w:rsid w:val="00831D24"/>
    <w:rsid w:val="00831F0A"/>
    <w:rsid w:val="0083261B"/>
    <w:rsid w:val="00833557"/>
    <w:rsid w:val="0083377A"/>
    <w:rsid w:val="00833A78"/>
    <w:rsid w:val="00834964"/>
    <w:rsid w:val="00837911"/>
    <w:rsid w:val="00841E46"/>
    <w:rsid w:val="0084585F"/>
    <w:rsid w:val="00846130"/>
    <w:rsid w:val="00852A94"/>
    <w:rsid w:val="00853D73"/>
    <w:rsid w:val="00853E53"/>
    <w:rsid w:val="0085535C"/>
    <w:rsid w:val="008568E9"/>
    <w:rsid w:val="00861011"/>
    <w:rsid w:val="008620A6"/>
    <w:rsid w:val="008620C1"/>
    <w:rsid w:val="008631B3"/>
    <w:rsid w:val="00864D76"/>
    <w:rsid w:val="008656C9"/>
    <w:rsid w:val="0086693B"/>
    <w:rsid w:val="0086711C"/>
    <w:rsid w:val="00867535"/>
    <w:rsid w:val="008717E3"/>
    <w:rsid w:val="008739C3"/>
    <w:rsid w:val="00875C5B"/>
    <w:rsid w:val="00876588"/>
    <w:rsid w:val="00880BFA"/>
    <w:rsid w:val="00883BB0"/>
    <w:rsid w:val="00883C5F"/>
    <w:rsid w:val="00885BE8"/>
    <w:rsid w:val="00891C7D"/>
    <w:rsid w:val="00891DDC"/>
    <w:rsid w:val="00892FA7"/>
    <w:rsid w:val="008A3301"/>
    <w:rsid w:val="008A4DF1"/>
    <w:rsid w:val="008A5636"/>
    <w:rsid w:val="008B125E"/>
    <w:rsid w:val="008B241C"/>
    <w:rsid w:val="008B373F"/>
    <w:rsid w:val="008B3DDC"/>
    <w:rsid w:val="008B408B"/>
    <w:rsid w:val="008B4F11"/>
    <w:rsid w:val="008B5B47"/>
    <w:rsid w:val="008B628B"/>
    <w:rsid w:val="008B78E8"/>
    <w:rsid w:val="008C07ED"/>
    <w:rsid w:val="008C2362"/>
    <w:rsid w:val="008C2E4D"/>
    <w:rsid w:val="008C3049"/>
    <w:rsid w:val="008C7362"/>
    <w:rsid w:val="008C74D9"/>
    <w:rsid w:val="008C7558"/>
    <w:rsid w:val="008C75B7"/>
    <w:rsid w:val="008C7A8B"/>
    <w:rsid w:val="008D1367"/>
    <w:rsid w:val="008D35BD"/>
    <w:rsid w:val="008D4AE9"/>
    <w:rsid w:val="008D56ED"/>
    <w:rsid w:val="008D5CF3"/>
    <w:rsid w:val="008D6615"/>
    <w:rsid w:val="008D76E8"/>
    <w:rsid w:val="008D7D39"/>
    <w:rsid w:val="008E08C8"/>
    <w:rsid w:val="008E1DB4"/>
    <w:rsid w:val="008E4574"/>
    <w:rsid w:val="008E49DE"/>
    <w:rsid w:val="008F1541"/>
    <w:rsid w:val="008F348A"/>
    <w:rsid w:val="008F3823"/>
    <w:rsid w:val="008F3D6E"/>
    <w:rsid w:val="008F4016"/>
    <w:rsid w:val="008F42FE"/>
    <w:rsid w:val="008F4A00"/>
    <w:rsid w:val="008F5402"/>
    <w:rsid w:val="008F639F"/>
    <w:rsid w:val="0090053A"/>
    <w:rsid w:val="0090095F"/>
    <w:rsid w:val="00901C2A"/>
    <w:rsid w:val="00902184"/>
    <w:rsid w:val="00906A1A"/>
    <w:rsid w:val="009118C7"/>
    <w:rsid w:val="00912C54"/>
    <w:rsid w:val="0091405D"/>
    <w:rsid w:val="00915A41"/>
    <w:rsid w:val="00916788"/>
    <w:rsid w:val="0091680B"/>
    <w:rsid w:val="00917437"/>
    <w:rsid w:val="009179ED"/>
    <w:rsid w:val="009225B6"/>
    <w:rsid w:val="00923F0B"/>
    <w:rsid w:val="00925397"/>
    <w:rsid w:val="00926943"/>
    <w:rsid w:val="009276C9"/>
    <w:rsid w:val="00930982"/>
    <w:rsid w:val="00931479"/>
    <w:rsid w:val="009315A5"/>
    <w:rsid w:val="00933A21"/>
    <w:rsid w:val="00934C10"/>
    <w:rsid w:val="0093662A"/>
    <w:rsid w:val="00937523"/>
    <w:rsid w:val="0094060C"/>
    <w:rsid w:val="00941336"/>
    <w:rsid w:val="00942C4B"/>
    <w:rsid w:val="00942E59"/>
    <w:rsid w:val="00944196"/>
    <w:rsid w:val="00944BFF"/>
    <w:rsid w:val="00946A4A"/>
    <w:rsid w:val="00955D6E"/>
    <w:rsid w:val="00956E6D"/>
    <w:rsid w:val="009606A5"/>
    <w:rsid w:val="00962326"/>
    <w:rsid w:val="0096291C"/>
    <w:rsid w:val="00962F1F"/>
    <w:rsid w:val="00965304"/>
    <w:rsid w:val="00971293"/>
    <w:rsid w:val="00973A3B"/>
    <w:rsid w:val="00974718"/>
    <w:rsid w:val="00975273"/>
    <w:rsid w:val="009768C9"/>
    <w:rsid w:val="00981CE3"/>
    <w:rsid w:val="00983EAE"/>
    <w:rsid w:val="0098760B"/>
    <w:rsid w:val="00993C71"/>
    <w:rsid w:val="0099560D"/>
    <w:rsid w:val="00997984"/>
    <w:rsid w:val="009A0946"/>
    <w:rsid w:val="009A11DD"/>
    <w:rsid w:val="009A3C25"/>
    <w:rsid w:val="009A483E"/>
    <w:rsid w:val="009B0017"/>
    <w:rsid w:val="009B106F"/>
    <w:rsid w:val="009B30AA"/>
    <w:rsid w:val="009B5217"/>
    <w:rsid w:val="009C1782"/>
    <w:rsid w:val="009C3685"/>
    <w:rsid w:val="009C48DE"/>
    <w:rsid w:val="009C51BE"/>
    <w:rsid w:val="009C6B35"/>
    <w:rsid w:val="009D0AD5"/>
    <w:rsid w:val="009D16C6"/>
    <w:rsid w:val="009D328F"/>
    <w:rsid w:val="009D60D9"/>
    <w:rsid w:val="009E0A9C"/>
    <w:rsid w:val="009E0D80"/>
    <w:rsid w:val="009E1E1E"/>
    <w:rsid w:val="009E33E3"/>
    <w:rsid w:val="009E3A33"/>
    <w:rsid w:val="009E4D9F"/>
    <w:rsid w:val="009E4E37"/>
    <w:rsid w:val="009E7F16"/>
    <w:rsid w:val="009F1E65"/>
    <w:rsid w:val="009F27F8"/>
    <w:rsid w:val="009F5052"/>
    <w:rsid w:val="00A03083"/>
    <w:rsid w:val="00A03850"/>
    <w:rsid w:val="00A03949"/>
    <w:rsid w:val="00A04C85"/>
    <w:rsid w:val="00A065DF"/>
    <w:rsid w:val="00A100F0"/>
    <w:rsid w:val="00A13F9C"/>
    <w:rsid w:val="00A14D5C"/>
    <w:rsid w:val="00A156E6"/>
    <w:rsid w:val="00A177C5"/>
    <w:rsid w:val="00A2125B"/>
    <w:rsid w:val="00A22359"/>
    <w:rsid w:val="00A27D86"/>
    <w:rsid w:val="00A30A3D"/>
    <w:rsid w:val="00A33151"/>
    <w:rsid w:val="00A335B0"/>
    <w:rsid w:val="00A34579"/>
    <w:rsid w:val="00A36970"/>
    <w:rsid w:val="00A3796C"/>
    <w:rsid w:val="00A40452"/>
    <w:rsid w:val="00A40670"/>
    <w:rsid w:val="00A40986"/>
    <w:rsid w:val="00A41B1C"/>
    <w:rsid w:val="00A41EB4"/>
    <w:rsid w:val="00A437B1"/>
    <w:rsid w:val="00A4496D"/>
    <w:rsid w:val="00A44BFF"/>
    <w:rsid w:val="00A501E3"/>
    <w:rsid w:val="00A50F0C"/>
    <w:rsid w:val="00A52BEF"/>
    <w:rsid w:val="00A55920"/>
    <w:rsid w:val="00A56441"/>
    <w:rsid w:val="00A56654"/>
    <w:rsid w:val="00A6158D"/>
    <w:rsid w:val="00A6637B"/>
    <w:rsid w:val="00A728AB"/>
    <w:rsid w:val="00A736DD"/>
    <w:rsid w:val="00A73A5D"/>
    <w:rsid w:val="00A76D17"/>
    <w:rsid w:val="00A80EF3"/>
    <w:rsid w:val="00A82869"/>
    <w:rsid w:val="00A83DC5"/>
    <w:rsid w:val="00A84D29"/>
    <w:rsid w:val="00A85846"/>
    <w:rsid w:val="00A8758C"/>
    <w:rsid w:val="00A9208F"/>
    <w:rsid w:val="00A920D8"/>
    <w:rsid w:val="00A929CC"/>
    <w:rsid w:val="00A9612A"/>
    <w:rsid w:val="00A966A5"/>
    <w:rsid w:val="00AA01EB"/>
    <w:rsid w:val="00AA127E"/>
    <w:rsid w:val="00AA19AE"/>
    <w:rsid w:val="00AA423D"/>
    <w:rsid w:val="00AA6A95"/>
    <w:rsid w:val="00AB10DE"/>
    <w:rsid w:val="00AB1563"/>
    <w:rsid w:val="00AB358A"/>
    <w:rsid w:val="00AB3668"/>
    <w:rsid w:val="00AB5ED7"/>
    <w:rsid w:val="00AC000D"/>
    <w:rsid w:val="00AC0B4C"/>
    <w:rsid w:val="00AC511A"/>
    <w:rsid w:val="00AC6CF2"/>
    <w:rsid w:val="00AD0AEE"/>
    <w:rsid w:val="00AD1CE9"/>
    <w:rsid w:val="00AD49E3"/>
    <w:rsid w:val="00AD4B4F"/>
    <w:rsid w:val="00AE11BB"/>
    <w:rsid w:val="00AE45F9"/>
    <w:rsid w:val="00AE5905"/>
    <w:rsid w:val="00AF0616"/>
    <w:rsid w:val="00AF0685"/>
    <w:rsid w:val="00AF0E28"/>
    <w:rsid w:val="00AF4968"/>
    <w:rsid w:val="00AF498C"/>
    <w:rsid w:val="00AF6301"/>
    <w:rsid w:val="00AF6F9B"/>
    <w:rsid w:val="00B01409"/>
    <w:rsid w:val="00B01EBA"/>
    <w:rsid w:val="00B034CE"/>
    <w:rsid w:val="00B03B35"/>
    <w:rsid w:val="00B102BD"/>
    <w:rsid w:val="00B10C42"/>
    <w:rsid w:val="00B10DBD"/>
    <w:rsid w:val="00B10FA4"/>
    <w:rsid w:val="00B13F45"/>
    <w:rsid w:val="00B15629"/>
    <w:rsid w:val="00B15A5E"/>
    <w:rsid w:val="00B23279"/>
    <w:rsid w:val="00B2372C"/>
    <w:rsid w:val="00B24A59"/>
    <w:rsid w:val="00B270BC"/>
    <w:rsid w:val="00B3198A"/>
    <w:rsid w:val="00B31B38"/>
    <w:rsid w:val="00B32F70"/>
    <w:rsid w:val="00B3431A"/>
    <w:rsid w:val="00B36742"/>
    <w:rsid w:val="00B36CFD"/>
    <w:rsid w:val="00B373D0"/>
    <w:rsid w:val="00B43AAA"/>
    <w:rsid w:val="00B43D1F"/>
    <w:rsid w:val="00B44A49"/>
    <w:rsid w:val="00B464E6"/>
    <w:rsid w:val="00B501AA"/>
    <w:rsid w:val="00B50BD9"/>
    <w:rsid w:val="00B53139"/>
    <w:rsid w:val="00B55E00"/>
    <w:rsid w:val="00B562CE"/>
    <w:rsid w:val="00B56863"/>
    <w:rsid w:val="00B5743F"/>
    <w:rsid w:val="00B60E7F"/>
    <w:rsid w:val="00B6175F"/>
    <w:rsid w:val="00B62DE2"/>
    <w:rsid w:val="00B66F31"/>
    <w:rsid w:val="00B74417"/>
    <w:rsid w:val="00B76CA9"/>
    <w:rsid w:val="00B76E80"/>
    <w:rsid w:val="00B77246"/>
    <w:rsid w:val="00B77D97"/>
    <w:rsid w:val="00B80D56"/>
    <w:rsid w:val="00B83CC9"/>
    <w:rsid w:val="00B8418D"/>
    <w:rsid w:val="00B8450A"/>
    <w:rsid w:val="00B866CD"/>
    <w:rsid w:val="00B93034"/>
    <w:rsid w:val="00B93A81"/>
    <w:rsid w:val="00B96A64"/>
    <w:rsid w:val="00B97123"/>
    <w:rsid w:val="00B97C5D"/>
    <w:rsid w:val="00BA1290"/>
    <w:rsid w:val="00BB2792"/>
    <w:rsid w:val="00BB2FD6"/>
    <w:rsid w:val="00BB6649"/>
    <w:rsid w:val="00BB692C"/>
    <w:rsid w:val="00BB76BF"/>
    <w:rsid w:val="00BC1AD1"/>
    <w:rsid w:val="00BC1D82"/>
    <w:rsid w:val="00BC4A58"/>
    <w:rsid w:val="00BC4DF7"/>
    <w:rsid w:val="00BC562F"/>
    <w:rsid w:val="00BC613B"/>
    <w:rsid w:val="00BD51D9"/>
    <w:rsid w:val="00BD57C9"/>
    <w:rsid w:val="00BD64E2"/>
    <w:rsid w:val="00BE3806"/>
    <w:rsid w:val="00BE3B0C"/>
    <w:rsid w:val="00BE4995"/>
    <w:rsid w:val="00BE57A9"/>
    <w:rsid w:val="00BE5CD5"/>
    <w:rsid w:val="00BE68A5"/>
    <w:rsid w:val="00BF429A"/>
    <w:rsid w:val="00BF497E"/>
    <w:rsid w:val="00BF4B2A"/>
    <w:rsid w:val="00BF5854"/>
    <w:rsid w:val="00BF6246"/>
    <w:rsid w:val="00BF62BE"/>
    <w:rsid w:val="00BF7F75"/>
    <w:rsid w:val="00C000F6"/>
    <w:rsid w:val="00C0590C"/>
    <w:rsid w:val="00C07126"/>
    <w:rsid w:val="00C07804"/>
    <w:rsid w:val="00C12A51"/>
    <w:rsid w:val="00C13202"/>
    <w:rsid w:val="00C16853"/>
    <w:rsid w:val="00C2025F"/>
    <w:rsid w:val="00C21E7B"/>
    <w:rsid w:val="00C24592"/>
    <w:rsid w:val="00C25DDB"/>
    <w:rsid w:val="00C263F0"/>
    <w:rsid w:val="00C27A50"/>
    <w:rsid w:val="00C33D41"/>
    <w:rsid w:val="00C33E36"/>
    <w:rsid w:val="00C3565F"/>
    <w:rsid w:val="00C35904"/>
    <w:rsid w:val="00C35915"/>
    <w:rsid w:val="00C36409"/>
    <w:rsid w:val="00C36E63"/>
    <w:rsid w:val="00C40AFD"/>
    <w:rsid w:val="00C41E20"/>
    <w:rsid w:val="00C42E3E"/>
    <w:rsid w:val="00C43405"/>
    <w:rsid w:val="00C442B8"/>
    <w:rsid w:val="00C45818"/>
    <w:rsid w:val="00C51C13"/>
    <w:rsid w:val="00C525A5"/>
    <w:rsid w:val="00C52FE1"/>
    <w:rsid w:val="00C5300F"/>
    <w:rsid w:val="00C54594"/>
    <w:rsid w:val="00C55B80"/>
    <w:rsid w:val="00C57A4A"/>
    <w:rsid w:val="00C57FF4"/>
    <w:rsid w:val="00C63262"/>
    <w:rsid w:val="00C64206"/>
    <w:rsid w:val="00C66CE0"/>
    <w:rsid w:val="00C6724B"/>
    <w:rsid w:val="00C71BED"/>
    <w:rsid w:val="00C737B2"/>
    <w:rsid w:val="00C73CF4"/>
    <w:rsid w:val="00C74897"/>
    <w:rsid w:val="00C74E3A"/>
    <w:rsid w:val="00C81B53"/>
    <w:rsid w:val="00C82AD2"/>
    <w:rsid w:val="00C86EC4"/>
    <w:rsid w:val="00C90BA7"/>
    <w:rsid w:val="00C90FB6"/>
    <w:rsid w:val="00C9220E"/>
    <w:rsid w:val="00C922AE"/>
    <w:rsid w:val="00C932BD"/>
    <w:rsid w:val="00C93429"/>
    <w:rsid w:val="00C95B92"/>
    <w:rsid w:val="00C9724F"/>
    <w:rsid w:val="00C97CB7"/>
    <w:rsid w:val="00CA16C5"/>
    <w:rsid w:val="00CA1C4E"/>
    <w:rsid w:val="00CA415A"/>
    <w:rsid w:val="00CA6E8B"/>
    <w:rsid w:val="00CA7033"/>
    <w:rsid w:val="00CA7A35"/>
    <w:rsid w:val="00CB0B4D"/>
    <w:rsid w:val="00CB1536"/>
    <w:rsid w:val="00CB2493"/>
    <w:rsid w:val="00CB30FE"/>
    <w:rsid w:val="00CB61BF"/>
    <w:rsid w:val="00CB7FB8"/>
    <w:rsid w:val="00CC10B7"/>
    <w:rsid w:val="00CC1F71"/>
    <w:rsid w:val="00CC5588"/>
    <w:rsid w:val="00CC5EB3"/>
    <w:rsid w:val="00CC6C6A"/>
    <w:rsid w:val="00CC714C"/>
    <w:rsid w:val="00CD0E7B"/>
    <w:rsid w:val="00CD2ABD"/>
    <w:rsid w:val="00CD4024"/>
    <w:rsid w:val="00CD4617"/>
    <w:rsid w:val="00CD4855"/>
    <w:rsid w:val="00CD4D3F"/>
    <w:rsid w:val="00CD680F"/>
    <w:rsid w:val="00CE6D43"/>
    <w:rsid w:val="00CE75FC"/>
    <w:rsid w:val="00CE7888"/>
    <w:rsid w:val="00CF28AF"/>
    <w:rsid w:val="00CF29FD"/>
    <w:rsid w:val="00CF2E5C"/>
    <w:rsid w:val="00CF3DA0"/>
    <w:rsid w:val="00CF5679"/>
    <w:rsid w:val="00CF5FC0"/>
    <w:rsid w:val="00CF5FC9"/>
    <w:rsid w:val="00CF7FFB"/>
    <w:rsid w:val="00D006E4"/>
    <w:rsid w:val="00D10E1C"/>
    <w:rsid w:val="00D12303"/>
    <w:rsid w:val="00D136E4"/>
    <w:rsid w:val="00D161A3"/>
    <w:rsid w:val="00D1632A"/>
    <w:rsid w:val="00D16810"/>
    <w:rsid w:val="00D21DAB"/>
    <w:rsid w:val="00D22E49"/>
    <w:rsid w:val="00D23716"/>
    <w:rsid w:val="00D25ED8"/>
    <w:rsid w:val="00D27F8F"/>
    <w:rsid w:val="00D316B8"/>
    <w:rsid w:val="00D31CFC"/>
    <w:rsid w:val="00D3255D"/>
    <w:rsid w:val="00D32566"/>
    <w:rsid w:val="00D33076"/>
    <w:rsid w:val="00D340C3"/>
    <w:rsid w:val="00D36628"/>
    <w:rsid w:val="00D3693C"/>
    <w:rsid w:val="00D4031B"/>
    <w:rsid w:val="00D409CD"/>
    <w:rsid w:val="00D40EEF"/>
    <w:rsid w:val="00D4218C"/>
    <w:rsid w:val="00D423D4"/>
    <w:rsid w:val="00D42496"/>
    <w:rsid w:val="00D42CAF"/>
    <w:rsid w:val="00D43319"/>
    <w:rsid w:val="00D4377D"/>
    <w:rsid w:val="00D47349"/>
    <w:rsid w:val="00D5310F"/>
    <w:rsid w:val="00D53EBD"/>
    <w:rsid w:val="00D601EF"/>
    <w:rsid w:val="00D60A40"/>
    <w:rsid w:val="00D61459"/>
    <w:rsid w:val="00D61533"/>
    <w:rsid w:val="00D63B2F"/>
    <w:rsid w:val="00D64600"/>
    <w:rsid w:val="00D65125"/>
    <w:rsid w:val="00D65D8E"/>
    <w:rsid w:val="00D67569"/>
    <w:rsid w:val="00D67A07"/>
    <w:rsid w:val="00D70747"/>
    <w:rsid w:val="00D7261D"/>
    <w:rsid w:val="00D73CFA"/>
    <w:rsid w:val="00D7474C"/>
    <w:rsid w:val="00D7521B"/>
    <w:rsid w:val="00D755FC"/>
    <w:rsid w:val="00D763B5"/>
    <w:rsid w:val="00D76B6D"/>
    <w:rsid w:val="00D76CC9"/>
    <w:rsid w:val="00D84D07"/>
    <w:rsid w:val="00D8526A"/>
    <w:rsid w:val="00D87ACD"/>
    <w:rsid w:val="00D90E91"/>
    <w:rsid w:val="00D91F14"/>
    <w:rsid w:val="00D94919"/>
    <w:rsid w:val="00DA19F3"/>
    <w:rsid w:val="00DA40FA"/>
    <w:rsid w:val="00DA6417"/>
    <w:rsid w:val="00DA7F0E"/>
    <w:rsid w:val="00DB0F15"/>
    <w:rsid w:val="00DB1D9E"/>
    <w:rsid w:val="00DB2AAC"/>
    <w:rsid w:val="00DB305C"/>
    <w:rsid w:val="00DB404B"/>
    <w:rsid w:val="00DB4A9B"/>
    <w:rsid w:val="00DB4DA1"/>
    <w:rsid w:val="00DB60E1"/>
    <w:rsid w:val="00DC006B"/>
    <w:rsid w:val="00DC0200"/>
    <w:rsid w:val="00DC1347"/>
    <w:rsid w:val="00DC240F"/>
    <w:rsid w:val="00DC39F1"/>
    <w:rsid w:val="00DC51E4"/>
    <w:rsid w:val="00DC6CA9"/>
    <w:rsid w:val="00DC705C"/>
    <w:rsid w:val="00DD2571"/>
    <w:rsid w:val="00DD414C"/>
    <w:rsid w:val="00DD5516"/>
    <w:rsid w:val="00DD5810"/>
    <w:rsid w:val="00DE4B35"/>
    <w:rsid w:val="00DE56FC"/>
    <w:rsid w:val="00DE67F5"/>
    <w:rsid w:val="00DF0367"/>
    <w:rsid w:val="00DF19C1"/>
    <w:rsid w:val="00DF357F"/>
    <w:rsid w:val="00DF54CA"/>
    <w:rsid w:val="00DF56C9"/>
    <w:rsid w:val="00DF5B64"/>
    <w:rsid w:val="00DF6A32"/>
    <w:rsid w:val="00DF6DC7"/>
    <w:rsid w:val="00DF7476"/>
    <w:rsid w:val="00E010A7"/>
    <w:rsid w:val="00E0207C"/>
    <w:rsid w:val="00E022FB"/>
    <w:rsid w:val="00E02794"/>
    <w:rsid w:val="00E043E3"/>
    <w:rsid w:val="00E04C0B"/>
    <w:rsid w:val="00E0505B"/>
    <w:rsid w:val="00E056A5"/>
    <w:rsid w:val="00E11280"/>
    <w:rsid w:val="00E12359"/>
    <w:rsid w:val="00E152FF"/>
    <w:rsid w:val="00E178F1"/>
    <w:rsid w:val="00E20959"/>
    <w:rsid w:val="00E2454D"/>
    <w:rsid w:val="00E2461B"/>
    <w:rsid w:val="00E24886"/>
    <w:rsid w:val="00E276FB"/>
    <w:rsid w:val="00E3134F"/>
    <w:rsid w:val="00E32595"/>
    <w:rsid w:val="00E32DC6"/>
    <w:rsid w:val="00E33A74"/>
    <w:rsid w:val="00E365EA"/>
    <w:rsid w:val="00E365F7"/>
    <w:rsid w:val="00E4030B"/>
    <w:rsid w:val="00E41D56"/>
    <w:rsid w:val="00E42921"/>
    <w:rsid w:val="00E435D2"/>
    <w:rsid w:val="00E4383C"/>
    <w:rsid w:val="00E4385C"/>
    <w:rsid w:val="00E43C83"/>
    <w:rsid w:val="00E449D6"/>
    <w:rsid w:val="00E457DF"/>
    <w:rsid w:val="00E46642"/>
    <w:rsid w:val="00E50963"/>
    <w:rsid w:val="00E5139A"/>
    <w:rsid w:val="00E5264B"/>
    <w:rsid w:val="00E5413D"/>
    <w:rsid w:val="00E55561"/>
    <w:rsid w:val="00E57977"/>
    <w:rsid w:val="00E60210"/>
    <w:rsid w:val="00E62735"/>
    <w:rsid w:val="00E635D7"/>
    <w:rsid w:val="00E64E71"/>
    <w:rsid w:val="00E64EDE"/>
    <w:rsid w:val="00E667D3"/>
    <w:rsid w:val="00E67D1B"/>
    <w:rsid w:val="00E70576"/>
    <w:rsid w:val="00E71DED"/>
    <w:rsid w:val="00E743F4"/>
    <w:rsid w:val="00E74D79"/>
    <w:rsid w:val="00E75F1B"/>
    <w:rsid w:val="00E76BAB"/>
    <w:rsid w:val="00E80515"/>
    <w:rsid w:val="00E80B52"/>
    <w:rsid w:val="00E80DFD"/>
    <w:rsid w:val="00E832E3"/>
    <w:rsid w:val="00E83954"/>
    <w:rsid w:val="00E8645A"/>
    <w:rsid w:val="00E86506"/>
    <w:rsid w:val="00E86537"/>
    <w:rsid w:val="00E91730"/>
    <w:rsid w:val="00E91958"/>
    <w:rsid w:val="00E92693"/>
    <w:rsid w:val="00E92848"/>
    <w:rsid w:val="00E94579"/>
    <w:rsid w:val="00E96F04"/>
    <w:rsid w:val="00E97AEC"/>
    <w:rsid w:val="00EA20FE"/>
    <w:rsid w:val="00EA4B88"/>
    <w:rsid w:val="00EA554A"/>
    <w:rsid w:val="00EA79EF"/>
    <w:rsid w:val="00EB09B1"/>
    <w:rsid w:val="00EB2A4A"/>
    <w:rsid w:val="00EB491E"/>
    <w:rsid w:val="00EB5256"/>
    <w:rsid w:val="00EB681B"/>
    <w:rsid w:val="00EC0416"/>
    <w:rsid w:val="00EC4FAD"/>
    <w:rsid w:val="00EC5623"/>
    <w:rsid w:val="00EC78A6"/>
    <w:rsid w:val="00ED307A"/>
    <w:rsid w:val="00ED3FDD"/>
    <w:rsid w:val="00ED4A88"/>
    <w:rsid w:val="00ED5C76"/>
    <w:rsid w:val="00ED6244"/>
    <w:rsid w:val="00ED6483"/>
    <w:rsid w:val="00ED78E0"/>
    <w:rsid w:val="00EE1D11"/>
    <w:rsid w:val="00EE3CFA"/>
    <w:rsid w:val="00EE4C3A"/>
    <w:rsid w:val="00EE69E4"/>
    <w:rsid w:val="00EE6BD5"/>
    <w:rsid w:val="00EE766B"/>
    <w:rsid w:val="00EF2A7F"/>
    <w:rsid w:val="00EF2FBA"/>
    <w:rsid w:val="00EF3A01"/>
    <w:rsid w:val="00EF450A"/>
    <w:rsid w:val="00EF5C8E"/>
    <w:rsid w:val="00EF7E90"/>
    <w:rsid w:val="00F002B6"/>
    <w:rsid w:val="00F03F1F"/>
    <w:rsid w:val="00F04813"/>
    <w:rsid w:val="00F10AFE"/>
    <w:rsid w:val="00F11336"/>
    <w:rsid w:val="00F15C6C"/>
    <w:rsid w:val="00F17173"/>
    <w:rsid w:val="00F17DE0"/>
    <w:rsid w:val="00F20912"/>
    <w:rsid w:val="00F20987"/>
    <w:rsid w:val="00F20E38"/>
    <w:rsid w:val="00F21129"/>
    <w:rsid w:val="00F224DC"/>
    <w:rsid w:val="00F2687F"/>
    <w:rsid w:val="00F26A5E"/>
    <w:rsid w:val="00F27F29"/>
    <w:rsid w:val="00F30DFD"/>
    <w:rsid w:val="00F32627"/>
    <w:rsid w:val="00F32D54"/>
    <w:rsid w:val="00F3331D"/>
    <w:rsid w:val="00F357D0"/>
    <w:rsid w:val="00F35CF1"/>
    <w:rsid w:val="00F36C54"/>
    <w:rsid w:val="00F418EA"/>
    <w:rsid w:val="00F41A29"/>
    <w:rsid w:val="00F41CA7"/>
    <w:rsid w:val="00F44C1C"/>
    <w:rsid w:val="00F4588A"/>
    <w:rsid w:val="00F469C7"/>
    <w:rsid w:val="00F50165"/>
    <w:rsid w:val="00F518DF"/>
    <w:rsid w:val="00F544DB"/>
    <w:rsid w:val="00F56DF9"/>
    <w:rsid w:val="00F648EA"/>
    <w:rsid w:val="00F6502E"/>
    <w:rsid w:val="00F65663"/>
    <w:rsid w:val="00F6730B"/>
    <w:rsid w:val="00F749B4"/>
    <w:rsid w:val="00F75147"/>
    <w:rsid w:val="00F756C0"/>
    <w:rsid w:val="00F75A40"/>
    <w:rsid w:val="00F77637"/>
    <w:rsid w:val="00F77D41"/>
    <w:rsid w:val="00F8235A"/>
    <w:rsid w:val="00F8435D"/>
    <w:rsid w:val="00F860F9"/>
    <w:rsid w:val="00F862E5"/>
    <w:rsid w:val="00F87DD0"/>
    <w:rsid w:val="00F91297"/>
    <w:rsid w:val="00F93360"/>
    <w:rsid w:val="00F93FE4"/>
    <w:rsid w:val="00F95C98"/>
    <w:rsid w:val="00F95E4F"/>
    <w:rsid w:val="00F95EF7"/>
    <w:rsid w:val="00F9739A"/>
    <w:rsid w:val="00F97E4E"/>
    <w:rsid w:val="00FA12EE"/>
    <w:rsid w:val="00FA1A40"/>
    <w:rsid w:val="00FA1CB4"/>
    <w:rsid w:val="00FA217B"/>
    <w:rsid w:val="00FA49BB"/>
    <w:rsid w:val="00FB0BC5"/>
    <w:rsid w:val="00FB0BCC"/>
    <w:rsid w:val="00FB7791"/>
    <w:rsid w:val="00FC0FE5"/>
    <w:rsid w:val="00FC13B1"/>
    <w:rsid w:val="00FC1A5C"/>
    <w:rsid w:val="00FC2026"/>
    <w:rsid w:val="00FD0AFE"/>
    <w:rsid w:val="00FD11B0"/>
    <w:rsid w:val="00FD1ABC"/>
    <w:rsid w:val="00FD52E3"/>
    <w:rsid w:val="00FD73CD"/>
    <w:rsid w:val="00FD7DDF"/>
    <w:rsid w:val="00FE020A"/>
    <w:rsid w:val="00FE08B2"/>
    <w:rsid w:val="00FE4C92"/>
    <w:rsid w:val="00FF0FAA"/>
    <w:rsid w:val="00FF1EED"/>
    <w:rsid w:val="00FF280F"/>
    <w:rsid w:val="00FF3759"/>
    <w:rsid w:val="00FF4396"/>
    <w:rsid w:val="03385E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B3B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l-SI"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0BF"/>
    <w:pPr>
      <w:spacing w:line="288" w:lineRule="auto"/>
      <w:jc w:val="both"/>
    </w:pPr>
    <w:rPr>
      <w:lang w:eastAsia="en-US" w:bidi="ar-SA"/>
    </w:rPr>
  </w:style>
  <w:style w:type="paragraph" w:styleId="Heading1">
    <w:name w:val="heading 1"/>
    <w:basedOn w:val="Normal"/>
    <w:next w:val="Normal"/>
    <w:link w:val="Heading1Char"/>
    <w:qFormat/>
    <w:rsid w:val="004E61E5"/>
    <w:pPr>
      <w:numPr>
        <w:numId w:val="1"/>
      </w:numPr>
      <w:overflowPunct w:val="0"/>
      <w:autoSpaceDE w:val="0"/>
      <w:autoSpaceDN w:val="0"/>
      <w:adjustRightInd w:val="0"/>
      <w:textAlignment w:val="baseline"/>
      <w:outlineLvl w:val="0"/>
    </w:pPr>
    <w:rPr>
      <w:b/>
      <w:bCs/>
      <w:kern w:val="28"/>
      <w:szCs w:val="20"/>
    </w:rPr>
  </w:style>
  <w:style w:type="paragraph" w:styleId="Heading2">
    <w:name w:val="heading 2"/>
    <w:basedOn w:val="Normal"/>
    <w:next w:val="Normal"/>
    <w:link w:val="Heading2Char"/>
    <w:qFormat/>
    <w:rsid w:val="00BF4B2A"/>
    <w:pPr>
      <w:numPr>
        <w:ilvl w:val="1"/>
        <w:numId w:val="1"/>
      </w:numPr>
      <w:overflowPunct w:val="0"/>
      <w:autoSpaceDE w:val="0"/>
      <w:autoSpaceDN w:val="0"/>
      <w:adjustRightInd w:val="0"/>
      <w:ind w:left="567" w:hanging="567"/>
      <w:textAlignment w:val="baseline"/>
      <w:outlineLvl w:val="1"/>
    </w:pPr>
  </w:style>
  <w:style w:type="paragraph" w:styleId="Heading3">
    <w:name w:val="heading 3"/>
    <w:basedOn w:val="Normal"/>
    <w:next w:val="Normal"/>
    <w:link w:val="Heading3Char"/>
    <w:qFormat/>
    <w:rsid w:val="007E50BF"/>
    <w:pPr>
      <w:numPr>
        <w:ilvl w:val="2"/>
        <w:numId w:val="1"/>
      </w:numPr>
      <w:outlineLvl w:val="2"/>
    </w:pPr>
  </w:style>
  <w:style w:type="paragraph" w:styleId="Heading4">
    <w:name w:val="heading 4"/>
    <w:basedOn w:val="Normal"/>
    <w:next w:val="Normal"/>
    <w:link w:val="Heading4Char"/>
    <w:qFormat/>
    <w:rsid w:val="007E50BF"/>
    <w:pPr>
      <w:numPr>
        <w:ilvl w:val="3"/>
        <w:numId w:val="1"/>
      </w:numPr>
      <w:outlineLvl w:val="3"/>
    </w:pPr>
  </w:style>
  <w:style w:type="paragraph" w:styleId="Heading5">
    <w:name w:val="heading 5"/>
    <w:basedOn w:val="Normal"/>
    <w:next w:val="Normal"/>
    <w:link w:val="Heading5Char"/>
    <w:qFormat/>
    <w:rsid w:val="007E50BF"/>
    <w:pPr>
      <w:numPr>
        <w:ilvl w:val="4"/>
        <w:numId w:val="1"/>
      </w:numPr>
      <w:outlineLvl w:val="4"/>
    </w:pPr>
  </w:style>
  <w:style w:type="paragraph" w:styleId="Heading6">
    <w:name w:val="heading 6"/>
    <w:basedOn w:val="Normal"/>
    <w:next w:val="Normal"/>
    <w:link w:val="Heading6Char"/>
    <w:qFormat/>
    <w:rsid w:val="007E50BF"/>
    <w:pPr>
      <w:numPr>
        <w:ilvl w:val="5"/>
        <w:numId w:val="1"/>
      </w:numPr>
      <w:outlineLvl w:val="5"/>
    </w:pPr>
  </w:style>
  <w:style w:type="paragraph" w:styleId="Heading7">
    <w:name w:val="heading 7"/>
    <w:basedOn w:val="Normal"/>
    <w:next w:val="Normal"/>
    <w:link w:val="Heading7Char"/>
    <w:qFormat/>
    <w:rsid w:val="007E50BF"/>
    <w:pPr>
      <w:numPr>
        <w:ilvl w:val="6"/>
        <w:numId w:val="1"/>
      </w:numPr>
      <w:outlineLvl w:val="6"/>
    </w:pPr>
  </w:style>
  <w:style w:type="paragraph" w:styleId="Heading8">
    <w:name w:val="heading 8"/>
    <w:basedOn w:val="Normal"/>
    <w:next w:val="Normal"/>
    <w:link w:val="Heading8Char"/>
    <w:qFormat/>
    <w:rsid w:val="007E50BF"/>
    <w:pPr>
      <w:numPr>
        <w:ilvl w:val="7"/>
        <w:numId w:val="1"/>
      </w:numPr>
      <w:outlineLvl w:val="7"/>
    </w:pPr>
  </w:style>
  <w:style w:type="paragraph" w:styleId="Heading9">
    <w:name w:val="heading 9"/>
    <w:basedOn w:val="Normal"/>
    <w:next w:val="Normal"/>
    <w:link w:val="Heading9Char"/>
    <w:qFormat/>
    <w:rsid w:val="007E50BF"/>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4E61E5"/>
    <w:rPr>
      <w:b/>
      <w:bCs/>
      <w:kern w:val="28"/>
      <w:szCs w:val="20"/>
      <w:lang w:eastAsia="en-US" w:bidi="ar-SA"/>
    </w:rPr>
  </w:style>
  <w:style w:type="character" w:customStyle="1" w:styleId="Heading2Char">
    <w:name w:val="Heading 2 Char"/>
    <w:basedOn w:val="DefaultParagraphFont"/>
    <w:link w:val="Heading2"/>
    <w:locked/>
    <w:rsid w:val="00BF4B2A"/>
    <w:rPr>
      <w:lang w:eastAsia="en-US" w:bidi="ar-SA"/>
    </w:rPr>
  </w:style>
  <w:style w:type="character" w:customStyle="1" w:styleId="Heading3Char">
    <w:name w:val="Heading 3 Char"/>
    <w:basedOn w:val="DefaultParagraphFont"/>
    <w:link w:val="Heading3"/>
    <w:locked/>
    <w:rsid w:val="00CB1536"/>
    <w:rPr>
      <w:lang w:eastAsia="en-US" w:bidi="ar-SA"/>
    </w:rPr>
  </w:style>
  <w:style w:type="character" w:customStyle="1" w:styleId="Heading4Char">
    <w:name w:val="Heading 4 Char"/>
    <w:basedOn w:val="DefaultParagraphFont"/>
    <w:link w:val="Heading4"/>
    <w:locked/>
    <w:rsid w:val="00CB1536"/>
    <w:rPr>
      <w:lang w:eastAsia="en-US" w:bidi="ar-SA"/>
    </w:rPr>
  </w:style>
  <w:style w:type="character" w:customStyle="1" w:styleId="Heading5Char">
    <w:name w:val="Heading 5 Char"/>
    <w:basedOn w:val="DefaultParagraphFont"/>
    <w:link w:val="Heading5"/>
    <w:locked/>
    <w:rsid w:val="00CB1536"/>
    <w:rPr>
      <w:lang w:eastAsia="en-US" w:bidi="ar-SA"/>
    </w:rPr>
  </w:style>
  <w:style w:type="character" w:customStyle="1" w:styleId="Heading6Char">
    <w:name w:val="Heading 6 Char"/>
    <w:basedOn w:val="DefaultParagraphFont"/>
    <w:link w:val="Heading6"/>
    <w:locked/>
    <w:rsid w:val="00CB1536"/>
    <w:rPr>
      <w:lang w:eastAsia="en-US" w:bidi="ar-SA"/>
    </w:rPr>
  </w:style>
  <w:style w:type="character" w:customStyle="1" w:styleId="Heading7Char">
    <w:name w:val="Heading 7 Char"/>
    <w:basedOn w:val="DefaultParagraphFont"/>
    <w:link w:val="Heading7"/>
    <w:locked/>
    <w:rsid w:val="00CB1536"/>
    <w:rPr>
      <w:lang w:eastAsia="en-US" w:bidi="ar-SA"/>
    </w:rPr>
  </w:style>
  <w:style w:type="character" w:customStyle="1" w:styleId="Heading8Char">
    <w:name w:val="Heading 8 Char"/>
    <w:basedOn w:val="DefaultParagraphFont"/>
    <w:link w:val="Heading8"/>
    <w:locked/>
    <w:rsid w:val="00CB1536"/>
    <w:rPr>
      <w:lang w:eastAsia="en-US" w:bidi="ar-SA"/>
    </w:rPr>
  </w:style>
  <w:style w:type="character" w:customStyle="1" w:styleId="Heading9Char">
    <w:name w:val="Heading 9 Char"/>
    <w:basedOn w:val="DefaultParagraphFont"/>
    <w:link w:val="Heading9"/>
    <w:locked/>
    <w:rsid w:val="00CB1536"/>
    <w:rPr>
      <w:lang w:eastAsia="en-US" w:bidi="ar-SA"/>
    </w:rPr>
  </w:style>
  <w:style w:type="paragraph" w:styleId="Footer">
    <w:name w:val="footer"/>
    <w:basedOn w:val="Normal"/>
    <w:link w:val="FooterChar"/>
    <w:qFormat/>
    <w:rsid w:val="007E50BF"/>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qFormat/>
    <w:rsid w:val="007E50BF"/>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sl-SI" w:eastAsia="en-US" w:bidi="ar-SA"/>
    </w:rPr>
  </w:style>
  <w:style w:type="paragraph" w:styleId="Header">
    <w:name w:val="header"/>
    <w:basedOn w:val="Normal"/>
    <w:link w:val="HeaderChar"/>
    <w:qFormat/>
    <w:rsid w:val="007E50BF"/>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7E50BF"/>
    <w:rPr>
      <w:sz w:val="24"/>
      <w:vertAlign w:val="superscript"/>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7E50BF"/>
    <w:pPr>
      <w:ind w:left="720"/>
    </w:pPr>
    <w:rPr>
      <w:i/>
    </w:rPr>
  </w:style>
  <w:style w:type="paragraph" w:customStyle="1" w:styleId="Point1">
    <w:name w:val="Point 1"/>
    <w:basedOn w:val="Normal"/>
    <w:rsid w:val="00AD1CE9"/>
    <w:pPr>
      <w:spacing w:before="120" w:after="120" w:line="240" w:lineRule="auto"/>
      <w:ind w:left="1417" w:hanging="567"/>
    </w:pPr>
    <w:rPr>
      <w:rFonts w:eastAsia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95573">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co@eesc.europa.eu" TargetMode="External"/><Relationship Id="rId18" Type="http://schemas.openxmlformats.org/officeDocument/2006/relationships/hyperlink" Target="https://sdgs.un.org/goals/goal1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sdgs.un.org/goals/goal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SL/TXT/?uri=celex%3A52025PC0565R%2801%2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law-tracker.europa.eu/procedure/2025_240?lang=en"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A6WAAD5KZT2Q-235352946-10387</_dlc_DocId>
    <_dlc_DocIdUrl xmlns="1a33af13-4045-4f88-9d7b-618e30f79918">
      <Url>http://dm/eesc/2025/_layouts/15/DocIdRedir.aspx?ID=A6WAAD5KZT2Q-235352946-10387</Url>
      <Description>A6WAAD5KZT2Q-235352946-10387</Description>
    </_dlc_DocIdUrl>
    <Procedure xmlns="1a33af13-4045-4f88-9d7b-618e30f79918">2025/0240(COD)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2026-01-09T12:00:00+00:00</ProductionDate>
    <DocumentNumber xmlns="a3e83899-37aa-47c6-ba54-4ea80e9c17cf">2552</DocumentNumber>
    <FicheYear xmlns="1a33af13-4045-4f88-9d7b-618e30f79918" xsi:nil="true"/>
    <DossierNumber xmlns="1a33af13-4045-4f88-9d7b-618e30f79918">683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2026-01-21T12:00:00+00:00</MeetingDate>
    <TaxCatchAll xmlns="1a33af13-4045-4f88-9d7b-618e30f79918">
      <Value>67</Value>
      <Value>50</Value>
      <Value>47</Value>
      <Value>46</Value>
      <Value>43</Value>
      <Value>42</Value>
      <Value>41</Value>
      <Value>40</Value>
      <Value>39</Value>
      <Value>37</Value>
      <Value>36</Value>
      <Value>35</Value>
      <Value>34</Value>
      <Value>33</Value>
      <Value>32</Value>
      <Value>31</Value>
      <Value>30</Value>
      <Value>29</Value>
      <Value>28</Value>
      <Value>27</Value>
      <Value>24</Value>
      <Value>23</Value>
      <Value>16</Value>
      <Value>15</Value>
      <Value>103</Value>
      <Value>13</Value>
      <Value>12</Value>
      <Value>8</Value>
      <Value>5</Value>
      <Value>126</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Rapporteur xmlns="1a33af13-4045-4f88-9d7b-618e30f79918">SVENTEK &amp; MARIN</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298221</FicheNumber>
    <OriginalSender xmlns="1a33af13-4045-4f88-9d7b-618e30f79918">
      <UserInfo>
        <DisplayName>Sinko Borut</DisplayName>
        <AccountId>1493</AccountId>
        <AccountType/>
      </UserInfo>
    </OriginalSender>
    <DocumentPart xmlns="1a33af13-4045-4f88-9d7b-618e30f79918">0</DocumentPart>
    <AdoptionDate xmlns="1a33af13-4045-4f88-9d7b-618e30f79918" xsi:nil="true"/>
    <RequestingService xmlns="1a33af13-4045-4f88-9d7b-618e30f79918">Union économique et monétaire et cohésion économique et sociale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1a33af13-4045-4f88-9d7b-618e30f79918">0</Documen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82656-81E8-419F-BAC5-B17F4A9F086D}"/>
</file>

<file path=customXml/itemProps2.xml><?xml version="1.0" encoding="utf-8"?>
<ds:datastoreItem xmlns:ds="http://schemas.openxmlformats.org/officeDocument/2006/customXml" ds:itemID="{3EB3B443-D4AB-4F41-B70A-620297230AA8}">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3e83899-37aa-47c6-ba54-4ea80e9c17cf"/>
  </ds:schemaRefs>
</ds:datastoreItem>
</file>

<file path=customXml/itemProps3.xml><?xml version="1.0" encoding="utf-8"?>
<ds:datastoreItem xmlns:ds="http://schemas.openxmlformats.org/officeDocument/2006/customXml" ds:itemID="{F636E576-C328-49F1-869A-75960FE6DE9D}">
  <ds:schemaRefs>
    <ds:schemaRef ds:uri="http://schemas.microsoft.com/sharepoint/v3/contenttype/forms"/>
  </ds:schemaRefs>
</ds:datastoreItem>
</file>

<file path=customXml/itemProps4.xml><?xml version="1.0" encoding="utf-8"?>
<ds:datastoreItem xmlns:ds="http://schemas.openxmlformats.org/officeDocument/2006/customXml" ds:itemID="{35D9CD9C-ABDA-42C5-BB75-2A130AA48B8A}">
  <ds:schemaRefs>
    <ds:schemaRef ds:uri="http://schemas.microsoft.com/sharepoint/events"/>
  </ds:schemaRefs>
</ds:datastoreItem>
</file>

<file path=customXml/itemProps5.xml><?xml version="1.0" encoding="utf-8"?>
<ds:datastoreItem xmlns:ds="http://schemas.openxmlformats.org/officeDocument/2006/customXml" ds:itemID="{5CB5244F-BCD3-45E2-80C6-F328E21A6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5383</Words>
  <Characters>32699</Characters>
  <Application>Microsoft Office Word</Application>
  <DocSecurity>0</DocSecurity>
  <Lines>817</Lines>
  <Paragraphs>337</Paragraphs>
  <ScaleCrop>false</ScaleCrop>
  <HeadingPairs>
    <vt:vector size="6" baseType="variant">
      <vt:variant>
        <vt:lpstr>Title</vt:lpstr>
      </vt:variant>
      <vt:variant>
        <vt:i4>1</vt:i4>
      </vt:variant>
      <vt:variant>
        <vt:lpstr>Název</vt:lpstr>
      </vt:variant>
      <vt:variant>
        <vt:i4>1</vt:i4>
      </vt:variant>
      <vt:variant>
        <vt:lpstr>Rubrik</vt:lpstr>
      </vt:variant>
      <vt:variant>
        <vt:i4>1</vt:i4>
      </vt:variant>
    </vt:vector>
  </HeadingPairs>
  <TitlesOfParts>
    <vt:vector size="3" baseType="lpstr">
      <vt:lpstr>EU Fund for cohesion, agriculture and rural, fisheries and maritime, prosperity and security</vt:lpstr>
      <vt:lpstr>EU Fund for cohesion, agriculture and rural, fisheries and maritime, prosperity and security</vt:lpstr>
      <vt:lpstr>DT- Working document - EESC revised model</vt:lpstr>
    </vt:vector>
  </TitlesOfParts>
  <Manager/>
  <Company/>
  <LinksUpToDate>false</LinksUpToDate>
  <CharactersWithSpaces>37745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Evropski sklad za kohezijo, kmetijstvo in podeželje, ribištvo in pomorstvo ter blaginjo in varnost</dc:title>
  <dc:subject>Draft opinion</dc:subject>
  <dc:creator/>
  <cp:keywords>EESC-2025-02552-00-05-PA-TRA-EN</cp:keywords>
  <dc:description>Rapporteur: - SVENTEK &amp; MARIN Original language: - EN Date of document: - 11/12/2025 Date of meeting: - 07/01/2026 External documents: - COM(2025)565- final Administrator responsible: -  MELEAS Georgios</dc:description>
  <cp:lastModifiedBy/>
  <cp:revision>12</cp:revision>
  <cp:lastPrinted>2016-01-26T08:31:00Z</cp:lastPrinted>
  <dcterms:created xsi:type="dcterms:W3CDTF">2026-01-08T09:07:00Z</dcterms:created>
  <dcterms:modified xsi:type="dcterms:W3CDTF">2026-01-09T14:58:00Z</dcterms:modified>
  <cp:category>ECO/683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08/01/2026, 11/12/2025, 10/12/2025, 05/12/2025, 04/12/2025, 03/12/2025, 03/12/2025, 02/12/2025, 07/11/2025, 27/10/2025, 17/10/2025, 08/09/2025, 02/09/2025, 01/09/2025, 23/11/2022, 17/05/2022, 04/11/2015, 27/10/2015, 19/10/2015, 09/10/2015, 05/10/2015, 05/</vt:lpwstr>
  </property>
  <property fmtid="{D5CDD505-2E9C-101B-9397-08002B2CF9AE}" pid="4" name="Pref_Time">
    <vt:lpwstr>10:08:01, 08:36:11, 12:21:52, 11:18:34, 09:39:04, 12:31:28, 09:24:43, 17:08:40, 11:19:26, 13:51:55, 14:22:19, 15:56:37, 15:21:47, 17:22:40, 14:03:01, 12:59:17, 12:10:07, 14:44:02, 16:04:16, 14:09:30, 16:24:55, 16:04:02, 08:56:14, 07:27:56, 17:31:53</vt:lpwstr>
  </property>
  <property fmtid="{D5CDD505-2E9C-101B-9397-08002B2CF9AE}" pid="5" name="Pref_User">
    <vt:lpwstr>jhvi, amett, jhvi, jhvi, pacup, jhvi, amett, amett, amett, pacup, pacup, amett, jhvi, pacup, jhvi, enied, ssex, enied, amett, tvoc, mreg, mreg, amett, enied, ssex</vt:lpwstr>
  </property>
  <property fmtid="{D5CDD505-2E9C-101B-9397-08002B2CF9AE}" pid="6" name="Pref_FileName">
    <vt:lpwstr>EESC-2025-02552-00-00-AS-TRA-EN-CRR.docx, EESC-2025-02552-00-05-PA-ORI.docx, EESC-2025-02552-00-04-PA-ORI.docx, EESC-2025-02552-00-03-PA-ORI.docx, EESC-2025-02552-00-02-PA-TRA-EN-CRR.docx, EESC-2025-02552-00-01-PA-TRA-EN-CRR.docx, EESC-2025-02552-00-00-PA</vt:lpwstr>
  </property>
  <property fmtid="{D5CDD505-2E9C-101B-9397-08002B2CF9AE}" pid="7" name="ContentTypeId">
    <vt:lpwstr>0x010100EA97B91038054C99906057A708A1480A004B94E0CD93B68F4F96D67EEBEC8A7176</vt:lpwstr>
  </property>
  <property fmtid="{D5CDD505-2E9C-101B-9397-08002B2CF9AE}" pid="8" name="_dlc_DocIdItemGuid">
    <vt:lpwstr>00b3e87f-cbef-48b1-ae77-5d8561577899</vt:lpwstr>
  </property>
  <property fmtid="{D5CDD505-2E9C-101B-9397-08002B2CF9AE}" pid="9" name="Procedure">
    <vt:lpwstr>2025/0240(COD)</vt:lpwstr>
  </property>
  <property fmtid="{D5CDD505-2E9C-101B-9397-08002B2CF9AE}" pid="10" name="AvailableTranslations">
    <vt:lpwstr>16;#ES|e7a6b05b-ae16-40c8-add9-68b64b03aeba;#36;#RO|feb747a2-64cd-4299-af12-4833ddc30497;#30;#LT|a7ff5ce7-6123-4f68-865a-a57c31810414;#34;#IT|0774613c-01ed-4e5d-a25d-11d2388de825;#31;#SL|98a412ae-eb01-49e9-ae3d-585a81724cfc;#24;#PL|1e03da61-4678-4e07-b136-b5024ca9197b;#43;#GA|762d2456-c427-4ecb-b312-af3dad8e258c;#32;#MT|7df99101-6854-4a26-b53a-b88c0da02c26;#41;#ET|ff6c3f4c-b02c-4c3c-ab07-2c37995a7a0a;#35;#FI|87606a43-d45f-42d6-b8c9-e1a3457db5b7;#37;#HU|6b229040-c589-4408-b4c1-4285663d20a8;#46;#SK|46d9fce0-ef79-4f71-b89b-cd6aa82426b8;#23;#DE|f6b31e5a-26fa-4935-b661-318e46daf27e;#27;#NL|55c6556c-b4f4-441d-9acf-c498d4f838bd;#29;#CS|72f9705b-0217-4fd3-bea2-cbc7ed80e26e;#50;#HR|2f555653-ed1a-4fe6-8362-9082d95989e5;#28;#SV|c2ed69e7-a339-43d7-8f22-d93680a92aa0;#5;#EN|f2175f21-25d7-44a3-96da-d6a61b075e1b;#40;#DA|5d49c027-8956-412b-aa16-e85a0f96ad0e;#33;#PT|50ccc04a-eadd-42ae-a0cb-acaf45f812ba;#39;#LV|46f7e311-5d9f-4663-b433-18aeccb7ace7;#47;#BG|1a1b3951-7821-4e6a-85f5-5673fc08bd2c;#42;#EL|6d4f4d51-af9b-4650-94b4-4276bee85c91;#12;#FR|d2afafd3-4c81-4f60-8f52-ee33f2f54ff3</vt:lpwstr>
  </property>
  <property fmtid="{D5CDD505-2E9C-101B-9397-08002B2CF9AE}" pid="11" name="DocumentType_0">
    <vt:lpwstr>AS|c7a748eb-f6f2-4d9d-8b5a-af0cafebc224</vt:lpwstr>
  </property>
  <property fmtid="{D5CDD505-2E9C-101B-9397-08002B2CF9AE}" pid="12" name="DossierName_0">
    <vt:lpwstr>ECO|8df351f5-c957-404c-8cf3-8ffb22c9cba2</vt:lpwstr>
  </property>
  <property fmtid="{D5CDD505-2E9C-101B-9397-08002B2CF9AE}" pid="13" name="DocumentSource_0">
    <vt:lpwstr>EESC|422833ec-8d7e-4e65-8e4e-8bed07ffb729</vt:lpwstr>
  </property>
  <property fmtid="{D5CDD505-2E9C-101B-9397-08002B2CF9AE}" pid="14" name="DocumentNumber">
    <vt:i4>2552</vt:i4>
  </property>
  <property fmtid="{D5CDD505-2E9C-101B-9397-08002B2CF9AE}" pid="15" name="FicheYear">
    <vt:i4>2025</vt:i4>
  </property>
  <property fmtid="{D5CDD505-2E9C-101B-9397-08002B2CF9AE}" pid="16" name="DocumentVersion">
    <vt:i4>0</vt:i4>
  </property>
  <property fmtid="{D5CDD505-2E9C-101B-9397-08002B2CF9AE}" pid="17" name="DossierNumber">
    <vt:i4>683</vt:i4>
  </property>
  <property fmtid="{D5CDD505-2E9C-101B-9397-08002B2CF9AE}" pid="18" name="DocumentStatus">
    <vt:lpwstr>13;#TRA|150d2a88-1431-44e6-a8ca-0bb753ab8672</vt:lpwstr>
  </property>
  <property fmtid="{D5CDD505-2E9C-101B-9397-08002B2CF9AE}" pid="19" name="DossierName">
    <vt:lpwstr>103;#ECO|8df351f5-c957-404c-8cf3-8ffb22c9cba2</vt:lpwstr>
  </property>
  <property fmtid="{D5CDD505-2E9C-101B-9397-08002B2CF9AE}" pid="20" name="RequestingService">
    <vt:lpwstr>Union économique et monétaire et cohésion économique et sociale</vt:lpwstr>
  </property>
  <property fmtid="{D5CDD505-2E9C-101B-9397-08002B2CF9AE}" pid="21" name="Confidentiality">
    <vt:lpwstr>15;#Unrestricted|826e22d7-d029-4ec0-a450-0c28ff673572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67;#SPL-CES|32d8cb1f-c9ec-4365-95c7-8385a18618ac</vt:lpwstr>
  </property>
  <property fmtid="{D5CDD505-2E9C-101B-9397-08002B2CF9AE}" pid="26" name="MeetingDate">
    <vt:filetime>2026-01-21T12:00:00Z</vt:filetime>
  </property>
  <property fmtid="{D5CDD505-2E9C-101B-9397-08002B2CF9AE}" pid="27" name="AvailableTranslations_0">
    <vt:lpwstr>ES|e7a6b05b-ae16-40c8-add9-68b64b03aeba;IT|0774613c-01ed-4e5d-a25d-11d2388de825;PL|1e03da61-4678-4e07-b136-b5024ca9197b;MT|7df99101-6854-4a26-b53a-b88c0da02c26;FI|87606a43-d45f-42d6-b8c9-e1a3457db5b7;SK|46d9fce0-ef79-4f71-b89b-cd6aa82426b8;NL|55c6556c-b4f4-441d-9acf-c498d4f838bd;HR|2f555653-ed1a-4fe6-8362-9082d95989e5;EN|f2175f21-25d7-44a3-96da-d6a61b075e1b;DA|5d49c027-8956-412b-aa16-e85a0f96ad0e;PT|50ccc04a-eadd-42ae-a0cb-acaf45f812ba;EL|6d4f4d51-af9b-4650-94b4-4276bee85c91;FR|d2afafd3-4c81-4f60-8f52-ee33f2f54ff3</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42;#EL|6d4f4d51-af9b-4650-94b4-4276bee85c91;#35;#FI|87606a43-d45f-42d6-b8c9-e1a3457db5b7;#34;#IT|0774613c-01ed-4e5d-a25d-11d2388de825;#33;#PT|50ccc04a-eadd-42ae-a0cb-acaf45f812ba;#32;#MT|7df99101-6854-4a26-b53a-b88c0da02c26;#67;#SPL-CES|32d8cb1f-c9ec-4365-95c7-8385a18618ac;#103;#ECO|8df351f5-c957-404c-8cf3-8ffb22c9cba2;#27;#NL|55c6556c-b4f4-441d-9acf-c498d4f838bd;#24;#PL|1e03da61-4678-4e07-b136-b5024ca9197b;#50;#HR|2f555653-ed1a-4fe6-8362-9082d95989e5;#15;#Unrestricted|826e22d7-d029-4ec0-a450-0c28ff673572;#16;#ES|e7a6b05b-ae16-40c8-add9-68b64b03aeba;#126;#AS|c7a748eb-f6f2-4d9d-8b5a-af0cafebc224;#13;#TRA|150d2a88-1431-44e6-a8ca-0bb753ab8672;#12;#FR|d2afafd3-4c81-4f60-8f52-ee33f2f54ff3;#46;#SK|46d9fce0-ef79-4f71-b89b-cd6aa82426b8;#8;#Final|ea5e6674-7b27-4bac-b091-73adbb394efe;#5;#EN|f2175f21-25d7-44a3-96da-d6a61b075e1b;#40;#DA|5d49c027-8956-412b-aa16-e85a0f96ad0e;#1;#EESC|422833ec-8d7e-4e65-8e4e-8bed07ffb729</vt:lpwstr>
  </property>
  <property fmtid="{D5CDD505-2E9C-101B-9397-08002B2CF9AE}" pid="31" name="Rapporteur">
    <vt:lpwstr>SVENTEK &amp; MARIN</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298221</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8" name="DocumentType">
    <vt:lpwstr>126;#AS|c7a748eb-f6f2-4d9d-8b5a-af0cafebc224</vt:lpwstr>
  </property>
  <property fmtid="{D5CDD505-2E9C-101B-9397-08002B2CF9AE}" pid="39" name="DocumentLanguage">
    <vt:lpwstr>31;#SL|98a412ae-eb01-49e9-ae3d-585a81724cfc</vt:lpwstr>
  </property>
  <property fmtid="{D5CDD505-2E9C-101B-9397-08002B2CF9AE}" pid="40" name="_docset_NoMedatataSyncRequired">
    <vt:lpwstr>False</vt:lpwstr>
  </property>
  <property fmtid="{D5CDD505-2E9C-101B-9397-08002B2CF9AE}" pid="41" name="DocumentLanguage_0">
    <vt:lpwstr>EN|f2175f21-25d7-44a3-96da-d6a61b075e1b</vt:lpwstr>
  </property>
</Properties>
</file>