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29C9" w14:textId="535A784B" w:rsidR="009A5091" w:rsidRPr="0072447F" w:rsidRDefault="00D07DF9" w:rsidP="00DE214F">
      <w:pPr>
        <w:pStyle w:val="Header"/>
        <w:jc w:val="center"/>
      </w:pPr>
      <w:r>
        <w:rPr>
          <w:noProof/>
        </w:rPr>
        <w:drawing>
          <wp:inline distT="0" distB="0" distL="0" distR="0" wp14:anchorId="1EF71456" wp14:editId="561A8B2F">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Picture 1" title="EESCLogo_CS"/>
                    <pic:cNvPicPr/>
                  </pic:nvPicPr>
                  <pic:blipFill>
                    <a:blip r:embed="rId11"/>
                    <a:stretch>
                      <a:fillRect/>
                    </a:stretch>
                  </pic:blipFill>
                  <pic:spPr>
                    <a:xfrm>
                      <a:off x="0" y="0"/>
                      <a:ext cx="1792605" cy="1239520"/>
                    </a:xfrm>
                    <a:prstGeom prst="rect">
                      <a:avLst/>
                    </a:prstGeom>
                  </pic:spPr>
                </pic:pic>
              </a:graphicData>
            </a:graphic>
          </wp:inline>
        </w:drawing>
      </w:r>
      <w:r w:rsidR="00940BBA">
        <w:rPr>
          <w:noProof/>
          <w:sz w:val="20"/>
        </w:rPr>
        <mc:AlternateContent>
          <mc:Choice Requires="wps">
            <w:drawing>
              <wp:anchor distT="0" distB="0" distL="114300" distR="114300" simplePos="0" relativeHeight="251658240" behindDoc="1" locked="0" layoutInCell="0" allowOverlap="1" wp14:anchorId="572791BF" wp14:editId="50C5B68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7E995" w14:textId="77777777" w:rsidR="009A5091" w:rsidRDefault="00940BBA">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91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F07E995" w14:textId="77777777" w:rsidR="009A5091" w:rsidRDefault="00940BBA">
                      <w:pPr>
                        <w:jc w:val="center"/>
                        <w:rPr>
                          <w:rFonts w:ascii="Arial" w:hAnsi="Arial" w:cs="Arial"/>
                          <w:b/>
                          <w:bCs/>
                          <w:sz w:val="48"/>
                        </w:rPr>
                      </w:pPr>
                      <w:r>
                        <w:rPr>
                          <w:rFonts w:ascii="Arial" w:hAnsi="Arial"/>
                          <w:b/>
                          <w:sz w:val="48"/>
                        </w:rPr>
                        <w:t>CS</w:t>
                      </w:r>
                    </w:p>
                  </w:txbxContent>
                </v:textbox>
                <w10:wrap anchorx="page" anchory="page"/>
              </v:shape>
            </w:pict>
          </mc:Fallback>
        </mc:AlternateContent>
      </w:r>
    </w:p>
    <w:p w14:paraId="058B9A77" w14:textId="77777777" w:rsidR="009A5091" w:rsidRPr="0072447F" w:rsidRDefault="009A5091" w:rsidP="00DE214F">
      <w:pPr>
        <w:jc w:val="left"/>
        <w:rPr>
          <w:lang w:val="en-GB"/>
        </w:rPr>
      </w:pPr>
    </w:p>
    <w:p w14:paraId="2A47880B" w14:textId="41345155" w:rsidR="009A5091" w:rsidRPr="0072447F" w:rsidRDefault="00940BBA" w:rsidP="00DE214F">
      <w:pPr>
        <w:jc w:val="right"/>
        <w:rPr>
          <w:b/>
        </w:rPr>
      </w:pPr>
      <w:r>
        <w:rPr>
          <w:b/>
        </w:rPr>
        <w:t>NAT/960</w:t>
      </w:r>
    </w:p>
    <w:p w14:paraId="6E5229CC" w14:textId="1C3FD3FE" w:rsidR="009A5091" w:rsidRPr="0072447F" w:rsidRDefault="00940BBA" w:rsidP="00DE214F">
      <w:pPr>
        <w:jc w:val="right"/>
      </w:pPr>
      <w:r>
        <w:rPr>
          <w:b/>
        </w:rPr>
        <w:t>Společná zemědělská politika (SZP) po roce 2027</w:t>
      </w:r>
    </w:p>
    <w:p w14:paraId="5D0BF398" w14:textId="77777777" w:rsidR="009A5091" w:rsidRPr="0072447F" w:rsidRDefault="009A5091" w:rsidP="00DE214F">
      <w:pPr>
        <w:rPr>
          <w:lang w:val="en-GB"/>
        </w:rPr>
      </w:pPr>
    </w:p>
    <w:p w14:paraId="0FC2DE4F" w14:textId="4CEF0EF8" w:rsidR="009A5091" w:rsidRPr="00925E56" w:rsidRDefault="009A5091" w:rsidP="00DE214F">
      <w:pPr>
        <w:rPr>
          <w:lang w:val="en-GB"/>
        </w:rPr>
      </w:pPr>
    </w:p>
    <w:p w14:paraId="14C229D4" w14:textId="7BEFF1CF" w:rsidR="009A5091" w:rsidRPr="0072447F" w:rsidRDefault="00940BBA" w:rsidP="00DE214F">
      <w:pPr>
        <w:jc w:val="center"/>
        <w:rPr>
          <w:b/>
          <w:sz w:val="28"/>
        </w:rPr>
      </w:pPr>
      <w:r>
        <w:rPr>
          <w:b/>
          <w:sz w:val="28"/>
        </w:rPr>
        <w:t>STANOVISKO</w:t>
      </w:r>
    </w:p>
    <w:p w14:paraId="38473EEC" w14:textId="77777777" w:rsidR="009A5091" w:rsidRPr="0072447F" w:rsidRDefault="009A5091" w:rsidP="00DE214F">
      <w:pPr>
        <w:jc w:val="center"/>
        <w:rPr>
          <w:lang w:val="en-GB"/>
        </w:rPr>
      </w:pPr>
    </w:p>
    <w:p w14:paraId="7C7E984F" w14:textId="664374EF" w:rsidR="009A5091" w:rsidRPr="0072447F" w:rsidRDefault="00940BBA" w:rsidP="00DE214F">
      <w:pPr>
        <w:jc w:val="center"/>
      </w:pPr>
      <w:r>
        <w:t>sekce Zemědělství, rozvoj venkova, životní prostředí</w:t>
      </w:r>
    </w:p>
    <w:p w14:paraId="74BA78CD" w14:textId="77777777" w:rsidR="009A5091" w:rsidRPr="0072447F" w:rsidRDefault="009A5091" w:rsidP="00DE214F">
      <w:pPr>
        <w:jc w:val="center"/>
        <w:rPr>
          <w:lang w:val="en-GB"/>
        </w:rPr>
      </w:pPr>
    </w:p>
    <w:p w14:paraId="47EAA0CF" w14:textId="3D643C79" w:rsidR="009A5091" w:rsidRPr="0072447F" w:rsidRDefault="00940BBA" w:rsidP="00DE214F">
      <w:pPr>
        <w:jc w:val="center"/>
        <w:rPr>
          <w:b/>
        </w:rPr>
      </w:pPr>
      <w:r>
        <w:rPr>
          <w:b/>
        </w:rPr>
        <w:t>Návrh nařízení Evropského parlamentu a Rady, kterým se stanoví podmínky pro provádění podpory Unie pro společnou zemědělskou politiku na období 2028–2034</w:t>
      </w:r>
    </w:p>
    <w:p w14:paraId="6E5229CE" w14:textId="7E9032EC" w:rsidR="009A5091" w:rsidRPr="0072447F" w:rsidRDefault="00940BBA" w:rsidP="00DE214F">
      <w:pPr>
        <w:jc w:val="center"/>
      </w:pPr>
      <w:r>
        <w:t>(COM(2025) 560 final – 2025/0241 (COD))</w:t>
      </w:r>
    </w:p>
    <w:p w14:paraId="6E5229CF" w14:textId="77777777" w:rsidR="009A5091" w:rsidRPr="0072447F" w:rsidRDefault="009A5091" w:rsidP="00DE214F">
      <w:pPr>
        <w:jc w:val="center"/>
        <w:rPr>
          <w:lang w:val="en-GB"/>
        </w:rPr>
      </w:pPr>
    </w:p>
    <w:tbl>
      <w:tblPr>
        <w:tblpPr w:leftFromText="181" w:rightFromText="181" w:tblpYSpec="bottom"/>
        <w:tblOverlap w:val="never"/>
        <w:tblW w:w="9289" w:type="dxa"/>
        <w:tblLayout w:type="fixed"/>
        <w:tblLook w:val="04A0" w:firstRow="1" w:lastRow="0" w:firstColumn="1" w:lastColumn="0" w:noHBand="0" w:noVBand="1"/>
      </w:tblPr>
      <w:tblGrid>
        <w:gridCol w:w="3119"/>
        <w:gridCol w:w="6170"/>
      </w:tblGrid>
      <w:tr w:rsidR="009A5091" w:rsidRPr="0072447F" w14:paraId="6E5229D3" w14:textId="77777777" w:rsidTr="00925E56">
        <w:tc>
          <w:tcPr>
            <w:tcW w:w="9289" w:type="dxa"/>
            <w:gridSpan w:val="2"/>
          </w:tcPr>
          <w:p w14:paraId="6E5229D2" w14:textId="77777777" w:rsidR="009A5091" w:rsidRPr="0072447F" w:rsidRDefault="009A5091" w:rsidP="00DE214F">
            <w:pPr>
              <w:jc w:val="left"/>
              <w:rPr>
                <w:lang w:val="en-GB"/>
              </w:rPr>
            </w:pPr>
          </w:p>
        </w:tc>
      </w:tr>
      <w:tr w:rsidR="008656DA" w:rsidRPr="0072447F" w14:paraId="6E5229D9" w14:textId="77777777" w:rsidTr="00925E56">
        <w:tc>
          <w:tcPr>
            <w:tcW w:w="3119" w:type="dxa"/>
          </w:tcPr>
          <w:p w14:paraId="6E5229D7" w14:textId="77777777" w:rsidR="008656DA" w:rsidRPr="0072447F" w:rsidRDefault="008656DA" w:rsidP="00DE214F">
            <w:r>
              <w:t>Kontakt</w:t>
            </w:r>
          </w:p>
        </w:tc>
        <w:tc>
          <w:tcPr>
            <w:tcW w:w="6170" w:type="dxa"/>
          </w:tcPr>
          <w:p w14:paraId="6E5229D8" w14:textId="429E739F" w:rsidR="008656DA" w:rsidRPr="00925E56" w:rsidRDefault="00E2117F" w:rsidP="00DE214F">
            <w:hyperlink r:id="rId12" w:history="1">
              <w:r w:rsidR="00D07DF9">
                <w:rPr>
                  <w:rStyle w:val="Hyperlink"/>
                </w:rPr>
                <w:t>nat@eesc.europa.eu</w:t>
              </w:r>
            </w:hyperlink>
          </w:p>
        </w:tc>
      </w:tr>
      <w:tr w:rsidR="008656DA" w:rsidRPr="0072447F" w14:paraId="6E5229DC" w14:textId="77777777" w:rsidTr="00925E56">
        <w:tc>
          <w:tcPr>
            <w:tcW w:w="3119" w:type="dxa"/>
          </w:tcPr>
          <w:p w14:paraId="6E5229DA" w14:textId="77777777" w:rsidR="008656DA" w:rsidRPr="0072447F" w:rsidRDefault="008656DA" w:rsidP="00DE214F">
            <w:r>
              <w:t>Administrátoři</w:t>
            </w:r>
          </w:p>
        </w:tc>
        <w:tc>
          <w:tcPr>
            <w:tcW w:w="6170" w:type="dxa"/>
          </w:tcPr>
          <w:p w14:paraId="6E5229DB" w14:textId="19F5AE8A" w:rsidR="008656DA" w:rsidRPr="0072447F" w:rsidRDefault="008656DA" w:rsidP="00DE214F">
            <w:pPr>
              <w:jc w:val="left"/>
            </w:pPr>
            <w:proofErr w:type="spellStart"/>
            <w:r>
              <w:t>Arturo</w:t>
            </w:r>
            <w:proofErr w:type="spellEnd"/>
            <w:r>
              <w:t xml:space="preserve"> INIGUEZ, Martine DELANOY</w:t>
            </w:r>
          </w:p>
        </w:tc>
      </w:tr>
      <w:tr w:rsidR="008656DA" w:rsidRPr="0072447F" w14:paraId="6E5229DF" w14:textId="77777777" w:rsidTr="00234324">
        <w:tc>
          <w:tcPr>
            <w:tcW w:w="3119" w:type="dxa"/>
          </w:tcPr>
          <w:p w14:paraId="6E5229DD" w14:textId="77777777" w:rsidR="008656DA" w:rsidRPr="0072447F" w:rsidRDefault="008656DA" w:rsidP="00DE214F">
            <w:r>
              <w:t>Datum dokumentu</w:t>
            </w:r>
          </w:p>
        </w:tc>
        <w:tc>
          <w:tcPr>
            <w:tcW w:w="6170" w:type="dxa"/>
          </w:tcPr>
          <w:p w14:paraId="6E5229DE" w14:textId="45E16E79" w:rsidR="008656DA" w:rsidRPr="0072447F" w:rsidRDefault="009B49BF" w:rsidP="00DE214F">
            <w:pPr>
              <w:jc w:val="left"/>
            </w:pPr>
            <w:r>
              <w:t>18/12/2025</w:t>
            </w:r>
          </w:p>
        </w:tc>
      </w:tr>
    </w:tbl>
    <w:p w14:paraId="6E5229E0" w14:textId="2717DF3F" w:rsidR="009A5091" w:rsidRPr="0072447F" w:rsidRDefault="00940BBA" w:rsidP="00DE214F">
      <w:pPr>
        <w:jc w:val="center"/>
        <w:rPr>
          <w:b/>
        </w:rPr>
      </w:pPr>
      <w:r>
        <w:t xml:space="preserve">Zpravodaj: </w:t>
      </w:r>
      <w:proofErr w:type="spellStart"/>
      <w:r>
        <w:rPr>
          <w:b/>
        </w:rPr>
        <w:t>Joe</w:t>
      </w:r>
      <w:proofErr w:type="spellEnd"/>
      <w:r>
        <w:rPr>
          <w:b/>
        </w:rPr>
        <w:t xml:space="preserve"> HEALY</w:t>
      </w:r>
    </w:p>
    <w:p w14:paraId="3F181471" w14:textId="1D35744D" w:rsidR="009A5091" w:rsidRPr="0072447F" w:rsidRDefault="00940BBA" w:rsidP="00DE214F">
      <w:pPr>
        <w:jc w:val="center"/>
        <w:rPr>
          <w:b/>
        </w:rPr>
      </w:pPr>
      <w:proofErr w:type="spellStart"/>
      <w:r>
        <w:t>Spoluzpravodaj</w:t>
      </w:r>
      <w:proofErr w:type="spellEnd"/>
      <w:r>
        <w:t xml:space="preserve">: </w:t>
      </w:r>
      <w:r>
        <w:rPr>
          <w:b/>
        </w:rPr>
        <w:t xml:space="preserve">Arnold PUECH </w:t>
      </w:r>
      <w:proofErr w:type="spellStart"/>
      <w:r>
        <w:rPr>
          <w:b/>
        </w:rPr>
        <w:t>d'ALISSAC</w:t>
      </w:r>
      <w:proofErr w:type="spellEnd"/>
    </w:p>
    <w:p w14:paraId="3FE5ED98" w14:textId="7A55DFC1" w:rsidR="009A5091" w:rsidRPr="0072447F" w:rsidRDefault="009A5091" w:rsidP="00DE214F">
      <w:pPr>
        <w:jc w:val="center"/>
        <w:rPr>
          <w:b/>
          <w:lang w:val="en-GB"/>
        </w:rPr>
      </w:pPr>
    </w:p>
    <w:p w14:paraId="4B75EF2A" w14:textId="77777777" w:rsidR="009A5091" w:rsidRPr="0072447F" w:rsidRDefault="009A5091" w:rsidP="00DE214F">
      <w:pPr>
        <w:jc w:val="center"/>
        <w:rPr>
          <w:lang w:val="en-GB"/>
        </w:rPr>
      </w:pPr>
    </w:p>
    <w:p w14:paraId="6E5229E3" w14:textId="51F8483F" w:rsidR="009A5091" w:rsidRPr="0072447F" w:rsidRDefault="009A5091" w:rsidP="00DE214F">
      <w:pPr>
        <w:jc w:val="center"/>
        <w:rPr>
          <w:lang w:val="en-GB"/>
        </w:rPr>
        <w:sectPr w:rsidR="009A5091" w:rsidRPr="0072447F" w:rsidSect="00F13EA4">
          <w:footerReference w:type="default" r:id="rId13"/>
          <w:pgSz w:w="11907" w:h="16839" w:code="9"/>
          <w:pgMar w:top="1417" w:right="1417" w:bottom="1417" w:left="1417" w:header="709" w:footer="709" w:gutter="0"/>
          <w:pgNumType w:start="1"/>
          <w:cols w:space="720"/>
          <w:docGrid w:linePitch="299"/>
        </w:sectPr>
      </w:pPr>
    </w:p>
    <w:p w14:paraId="66F77A3F" w14:textId="77777777" w:rsidR="009A5091" w:rsidRPr="00AD1D37" w:rsidRDefault="009A5091" w:rsidP="00DE214F">
      <w:pPr>
        <w:rPr>
          <w:lang w:val="de-DE"/>
        </w:rPr>
      </w:pPr>
    </w:p>
    <w:tbl>
      <w:tblPr>
        <w:tblW w:w="0" w:type="auto"/>
        <w:tblLook w:val="04A0" w:firstRow="1" w:lastRow="0" w:firstColumn="1" w:lastColumn="0" w:noHBand="0" w:noVBand="1"/>
      </w:tblPr>
      <w:tblGrid>
        <w:gridCol w:w="3055"/>
        <w:gridCol w:w="6018"/>
      </w:tblGrid>
      <w:tr w:rsidR="009A5091" w:rsidRPr="0072447F" w14:paraId="05697181" w14:textId="77777777" w:rsidTr="00925E56">
        <w:tc>
          <w:tcPr>
            <w:tcW w:w="3055" w:type="dxa"/>
          </w:tcPr>
          <w:p w14:paraId="4C1C7B8B" w14:textId="46F728F7" w:rsidR="009A5091" w:rsidRPr="0072447F" w:rsidRDefault="00940BBA" w:rsidP="00DE214F">
            <w:pPr>
              <w:jc w:val="left"/>
            </w:pPr>
            <w:r>
              <w:t>Poradci</w:t>
            </w:r>
          </w:p>
        </w:tc>
        <w:tc>
          <w:tcPr>
            <w:tcW w:w="6018" w:type="dxa"/>
          </w:tcPr>
          <w:p w14:paraId="40CF9978" w14:textId="1B27FEF1" w:rsidR="009A5091" w:rsidRPr="0072447F" w:rsidRDefault="00940BBA" w:rsidP="00DE214F">
            <w:pPr>
              <w:jc w:val="left"/>
            </w:pPr>
            <w:r>
              <w:t>Kevin KINSELLA (pro zpravodaje)</w:t>
            </w:r>
          </w:p>
          <w:p w14:paraId="7BBC6486" w14:textId="323BDA2C" w:rsidR="009A5091" w:rsidRPr="0072447F" w:rsidRDefault="00940BBA" w:rsidP="00DE214F">
            <w:pPr>
              <w:jc w:val="left"/>
            </w:pPr>
            <w:proofErr w:type="spellStart"/>
            <w:r>
              <w:t>Céline</w:t>
            </w:r>
            <w:proofErr w:type="spellEnd"/>
            <w:r>
              <w:t xml:space="preserve"> MEYER (pro </w:t>
            </w:r>
            <w:proofErr w:type="spellStart"/>
            <w:r>
              <w:t>spoluzpravodaje</w:t>
            </w:r>
            <w:proofErr w:type="spellEnd"/>
            <w:r>
              <w:t>)</w:t>
            </w:r>
          </w:p>
        </w:tc>
      </w:tr>
      <w:tr w:rsidR="009A5091" w:rsidRPr="0072447F" w14:paraId="08EA7E2B" w14:textId="77777777" w:rsidTr="00925E56">
        <w:tc>
          <w:tcPr>
            <w:tcW w:w="3055" w:type="dxa"/>
          </w:tcPr>
          <w:p w14:paraId="3FC3E107" w14:textId="77777777" w:rsidR="009A5091" w:rsidRPr="0072447F" w:rsidRDefault="009A5091" w:rsidP="00DE214F">
            <w:pPr>
              <w:jc w:val="left"/>
              <w:rPr>
                <w:highlight w:val="yellow"/>
                <w:lang w:val="en-GB"/>
              </w:rPr>
            </w:pPr>
          </w:p>
        </w:tc>
        <w:tc>
          <w:tcPr>
            <w:tcW w:w="6018" w:type="dxa"/>
          </w:tcPr>
          <w:p w14:paraId="589C8D6D" w14:textId="77777777" w:rsidR="009A5091" w:rsidRPr="0072447F" w:rsidRDefault="009A5091" w:rsidP="00DE214F">
            <w:pPr>
              <w:jc w:val="left"/>
              <w:rPr>
                <w:highlight w:val="yellow"/>
                <w:lang w:val="en-GB"/>
              </w:rPr>
            </w:pPr>
          </w:p>
        </w:tc>
      </w:tr>
      <w:tr w:rsidR="009A5091" w:rsidRPr="0072447F" w14:paraId="23455585" w14:textId="77777777" w:rsidTr="00925E56">
        <w:tc>
          <w:tcPr>
            <w:tcW w:w="3055" w:type="dxa"/>
          </w:tcPr>
          <w:p w14:paraId="06970C77" w14:textId="0F84CA13" w:rsidR="009A5091" w:rsidRPr="0072447F" w:rsidRDefault="00940BBA" w:rsidP="00DE214F">
            <w:pPr>
              <w:jc w:val="left"/>
            </w:pPr>
            <w:r>
              <w:t>Legislativní postup</w:t>
            </w:r>
          </w:p>
        </w:tc>
        <w:tc>
          <w:tcPr>
            <w:tcW w:w="6018" w:type="dxa"/>
          </w:tcPr>
          <w:p w14:paraId="6BC5EDEC" w14:textId="27E29F0F" w:rsidR="009A5091" w:rsidRPr="0072447F" w:rsidRDefault="00E2117F" w:rsidP="00DE214F">
            <w:pPr>
              <w:jc w:val="left"/>
              <w:rPr>
                <w:rStyle w:val="Hyperlink"/>
                <w:u w:val="none"/>
              </w:rPr>
            </w:pPr>
            <w:hyperlink r:id="rId14" w:history="1">
              <w:r w:rsidR="00D07DF9">
                <w:rPr>
                  <w:rStyle w:val="Hyperlink"/>
                </w:rPr>
                <w:t xml:space="preserve">EU </w:t>
              </w:r>
              <w:proofErr w:type="spellStart"/>
              <w:r w:rsidR="00D07DF9">
                <w:rPr>
                  <w:rStyle w:val="Hyperlink"/>
                </w:rPr>
                <w:t>Law</w:t>
              </w:r>
              <w:proofErr w:type="spellEnd"/>
              <w:r w:rsidR="00D07DF9">
                <w:rPr>
                  <w:rStyle w:val="Hyperlink"/>
                </w:rPr>
                <w:t xml:space="preserve"> </w:t>
              </w:r>
              <w:proofErr w:type="spellStart"/>
              <w:r w:rsidR="00D07DF9">
                <w:rPr>
                  <w:rStyle w:val="Hyperlink"/>
                </w:rPr>
                <w:t>Tracker</w:t>
              </w:r>
              <w:proofErr w:type="spellEnd"/>
            </w:hyperlink>
          </w:p>
        </w:tc>
      </w:tr>
      <w:tr w:rsidR="009A5091" w:rsidRPr="0072447F" w14:paraId="6E522A03" w14:textId="77777777" w:rsidTr="00925E56">
        <w:tc>
          <w:tcPr>
            <w:tcW w:w="3055" w:type="dxa"/>
          </w:tcPr>
          <w:p w14:paraId="6E522A01" w14:textId="5C011C6A" w:rsidR="009A5091" w:rsidRPr="0072447F" w:rsidRDefault="00940BBA" w:rsidP="00DE214F">
            <w:pPr>
              <w:jc w:val="left"/>
            </w:pPr>
            <w:r>
              <w:t>Žádost o vypracování stanoviska</w:t>
            </w:r>
          </w:p>
        </w:tc>
        <w:tc>
          <w:tcPr>
            <w:tcW w:w="6018" w:type="dxa"/>
          </w:tcPr>
          <w:p w14:paraId="08EA3FED" w14:textId="2323971E" w:rsidR="009A5091" w:rsidRDefault="00940BBA" w:rsidP="00DE214F">
            <w:pPr>
              <w:jc w:val="left"/>
            </w:pPr>
            <w:r>
              <w:t>Evropský parlament, 6/11/2025</w:t>
            </w:r>
          </w:p>
          <w:p w14:paraId="6E522A02" w14:textId="5A09DE00" w:rsidR="00653551" w:rsidRPr="0072447F" w:rsidRDefault="00011FB8" w:rsidP="00DE214F">
            <w:pPr>
              <w:jc w:val="left"/>
            </w:pPr>
            <w:r>
              <w:t>Rada Evropské unie, 17/9/2025</w:t>
            </w:r>
          </w:p>
        </w:tc>
      </w:tr>
      <w:tr w:rsidR="009A5091" w:rsidRPr="0072447F" w14:paraId="6E522A06" w14:textId="77777777" w:rsidTr="00925E56">
        <w:trPr>
          <w:trHeight w:val="251"/>
        </w:trPr>
        <w:tc>
          <w:tcPr>
            <w:tcW w:w="3055" w:type="dxa"/>
          </w:tcPr>
          <w:p w14:paraId="6E522A04" w14:textId="77777777" w:rsidR="009A5091" w:rsidRPr="0072447F" w:rsidRDefault="00940BBA" w:rsidP="00DE214F">
            <w:pPr>
              <w:jc w:val="left"/>
            </w:pPr>
            <w:r>
              <w:t>Právní základ</w:t>
            </w:r>
          </w:p>
        </w:tc>
        <w:tc>
          <w:tcPr>
            <w:tcW w:w="6018" w:type="dxa"/>
          </w:tcPr>
          <w:p w14:paraId="6E522A05" w14:textId="391FF5FF" w:rsidR="009A5091" w:rsidRPr="0072447F" w:rsidRDefault="00940BBA" w:rsidP="00DE214F">
            <w:pPr>
              <w:jc w:val="left"/>
            </w:pPr>
            <w:r>
              <w:t>čl. 43 odst. 2 Smlouvy o fungování Evropské unie</w:t>
            </w:r>
          </w:p>
        </w:tc>
      </w:tr>
      <w:tr w:rsidR="009A5091" w:rsidRPr="0072447F" w14:paraId="17A00E72" w14:textId="77777777" w:rsidTr="00925E56">
        <w:tc>
          <w:tcPr>
            <w:tcW w:w="3055" w:type="dxa"/>
          </w:tcPr>
          <w:p w14:paraId="5E86321D" w14:textId="1F90411C" w:rsidR="009A5091" w:rsidRPr="0072447F" w:rsidRDefault="00940BBA" w:rsidP="00DE214F">
            <w:pPr>
              <w:jc w:val="left"/>
            </w:pPr>
            <w:r>
              <w:t>Dokumenty Evropské komise</w:t>
            </w:r>
          </w:p>
        </w:tc>
        <w:tc>
          <w:tcPr>
            <w:tcW w:w="6018" w:type="dxa"/>
          </w:tcPr>
          <w:p w14:paraId="41997595" w14:textId="60637C6E" w:rsidR="009A5091" w:rsidRPr="0072447F" w:rsidRDefault="00E2117F" w:rsidP="00DE214F">
            <w:pPr>
              <w:jc w:val="left"/>
            </w:pPr>
            <w:hyperlink r:id="rId15" w:history="1">
              <w:r w:rsidR="00D07DF9">
                <w:rPr>
                  <w:rStyle w:val="Hyperlink"/>
                </w:rPr>
                <w:t>COM(2025) 560 final – 2025/0241 (COD)</w:t>
              </w:r>
            </w:hyperlink>
          </w:p>
          <w:p w14:paraId="5D3D66DD" w14:textId="2769237B" w:rsidR="009A5091" w:rsidRPr="0072447F" w:rsidRDefault="00E2117F" w:rsidP="00DE214F">
            <w:pPr>
              <w:jc w:val="left"/>
              <w:rPr>
                <w:color w:val="0000FF"/>
                <w:u w:val="single"/>
              </w:rPr>
            </w:pPr>
            <w:hyperlink r:id="rId16" w:history="1">
              <w:r w:rsidR="00D07DF9">
                <w:rPr>
                  <w:rStyle w:val="Hyperlink"/>
                </w:rPr>
                <w:t>shrnutí</w:t>
              </w:r>
            </w:hyperlink>
            <w:r w:rsidR="00D07DF9">
              <w:t xml:space="preserve"> COM(2025) 560 final – 2025/0241 (COD)</w:t>
            </w:r>
          </w:p>
        </w:tc>
      </w:tr>
      <w:tr w:rsidR="009A5091" w:rsidRPr="0072447F" w14:paraId="7C77CC0B" w14:textId="77777777" w:rsidTr="00925E56">
        <w:tc>
          <w:tcPr>
            <w:tcW w:w="3055" w:type="dxa"/>
          </w:tcPr>
          <w:p w14:paraId="23CEDCFD" w14:textId="7818928E" w:rsidR="009A5091" w:rsidRPr="0072447F" w:rsidRDefault="00940BBA" w:rsidP="00DE214F">
            <w:pPr>
              <w:jc w:val="left"/>
            </w:pPr>
            <w:r>
              <w:t>Příslušné cíle udržitelného rozvoje</w:t>
            </w:r>
          </w:p>
        </w:tc>
        <w:tc>
          <w:tcPr>
            <w:tcW w:w="6018" w:type="dxa"/>
            <w:vAlign w:val="bottom"/>
          </w:tcPr>
          <w:p w14:paraId="231F2C09" w14:textId="6BC96484" w:rsidR="009A5091" w:rsidRPr="0072447F" w:rsidRDefault="00E2117F" w:rsidP="00DE214F">
            <w:pPr>
              <w:jc w:val="left"/>
            </w:pPr>
            <w:hyperlink r:id="rId17" w:history="1">
              <w:r w:rsidR="00D07DF9">
                <w:rPr>
                  <w:rStyle w:val="Hyperlink"/>
                </w:rPr>
                <w:t>cíl č. 2 – Konec hladu</w:t>
              </w:r>
            </w:hyperlink>
            <w:r w:rsidR="00D07DF9">
              <w:t xml:space="preserve"> </w:t>
            </w:r>
          </w:p>
          <w:p w14:paraId="52009C44" w14:textId="0782E766" w:rsidR="009A5091" w:rsidRPr="0072447F" w:rsidRDefault="00E2117F" w:rsidP="00DE214F">
            <w:pPr>
              <w:jc w:val="left"/>
              <w:rPr>
                <w:rStyle w:val="Hyperlink"/>
                <w:highlight w:val="yellow"/>
              </w:rPr>
            </w:pPr>
            <w:hyperlink r:id="rId18" w:history="1">
              <w:r w:rsidR="00D07DF9">
                <w:rPr>
                  <w:rStyle w:val="Hyperlink"/>
                </w:rPr>
                <w:t>cíl č. 16 – Mír, spravedlnost a silné instituce</w:t>
              </w:r>
            </w:hyperlink>
          </w:p>
        </w:tc>
      </w:tr>
      <w:tr w:rsidR="009A5091" w:rsidRPr="0072447F" w14:paraId="600139B0" w14:textId="77777777" w:rsidTr="00925E56">
        <w:tc>
          <w:tcPr>
            <w:tcW w:w="3055" w:type="dxa"/>
          </w:tcPr>
          <w:p w14:paraId="687027A1" w14:textId="77777777" w:rsidR="009A5091" w:rsidRPr="0072447F" w:rsidRDefault="009A5091" w:rsidP="00DE214F">
            <w:pPr>
              <w:jc w:val="left"/>
              <w:rPr>
                <w:lang w:val="en-GB"/>
              </w:rPr>
            </w:pPr>
          </w:p>
        </w:tc>
        <w:tc>
          <w:tcPr>
            <w:tcW w:w="6018" w:type="dxa"/>
          </w:tcPr>
          <w:p w14:paraId="31AD4A1E" w14:textId="77777777" w:rsidR="009A5091" w:rsidRPr="0072447F" w:rsidRDefault="009A5091" w:rsidP="00DE214F">
            <w:pPr>
              <w:jc w:val="left"/>
              <w:rPr>
                <w:lang w:val="en-GB"/>
              </w:rPr>
            </w:pPr>
          </w:p>
        </w:tc>
      </w:tr>
      <w:tr w:rsidR="009A5091" w:rsidRPr="0072447F" w14:paraId="6E522A21" w14:textId="77777777" w:rsidTr="00925E56">
        <w:tc>
          <w:tcPr>
            <w:tcW w:w="3055" w:type="dxa"/>
          </w:tcPr>
          <w:p w14:paraId="6E522A1F" w14:textId="77777777" w:rsidR="009A5091" w:rsidRPr="0072447F" w:rsidRDefault="00940BBA" w:rsidP="00DE214F">
            <w:pPr>
              <w:jc w:val="left"/>
            </w:pPr>
            <w:r>
              <w:t>Odpovědná sekce</w:t>
            </w:r>
          </w:p>
        </w:tc>
        <w:tc>
          <w:tcPr>
            <w:tcW w:w="6018" w:type="dxa"/>
          </w:tcPr>
          <w:p w14:paraId="6E522A20" w14:textId="78529684" w:rsidR="009A5091" w:rsidRPr="0072447F" w:rsidRDefault="00940BBA" w:rsidP="00DE214F">
            <w:pPr>
              <w:jc w:val="left"/>
            </w:pPr>
            <w:r>
              <w:t>Zemědělství, rozvoj venkova, životní prostředí</w:t>
            </w:r>
          </w:p>
        </w:tc>
      </w:tr>
      <w:tr w:rsidR="009A5091" w:rsidRPr="0072447F" w14:paraId="6E522A24" w14:textId="77777777" w:rsidTr="00234324">
        <w:tc>
          <w:tcPr>
            <w:tcW w:w="3055" w:type="dxa"/>
          </w:tcPr>
          <w:p w14:paraId="6E522A22" w14:textId="69160F6F" w:rsidR="009A5091" w:rsidRPr="0072447F" w:rsidRDefault="00940BBA" w:rsidP="00DE214F">
            <w:pPr>
              <w:jc w:val="left"/>
            </w:pPr>
            <w:r>
              <w:t>Přijato v sekci</w:t>
            </w:r>
          </w:p>
        </w:tc>
        <w:tc>
          <w:tcPr>
            <w:tcW w:w="6018" w:type="dxa"/>
          </w:tcPr>
          <w:p w14:paraId="6E522A23" w14:textId="43F3F2FF" w:rsidR="009A5091" w:rsidRPr="0072447F" w:rsidRDefault="004046A2" w:rsidP="00DE214F">
            <w:pPr>
              <w:jc w:val="left"/>
            </w:pPr>
            <w:r>
              <w:t>15/12/2025</w:t>
            </w:r>
          </w:p>
        </w:tc>
      </w:tr>
      <w:tr w:rsidR="009A5091" w:rsidRPr="0072447F" w14:paraId="30435AD6" w14:textId="77777777" w:rsidTr="00925E56">
        <w:tc>
          <w:tcPr>
            <w:tcW w:w="3055" w:type="dxa"/>
          </w:tcPr>
          <w:p w14:paraId="4A574C94" w14:textId="04818650" w:rsidR="009A5091" w:rsidRPr="0072447F" w:rsidRDefault="00940BBA" w:rsidP="00DE214F">
            <w:pPr>
              <w:jc w:val="left"/>
            </w:pPr>
            <w:r>
              <w:t>Výsledek hlasování</w:t>
            </w:r>
            <w:r>
              <w:br/>
              <w:t>(pro/proti/zdrželi se hlasování)</w:t>
            </w:r>
          </w:p>
        </w:tc>
        <w:tc>
          <w:tcPr>
            <w:tcW w:w="6018" w:type="dxa"/>
            <w:vAlign w:val="bottom"/>
          </w:tcPr>
          <w:p w14:paraId="1221A854" w14:textId="6A9D2861" w:rsidR="009A5091" w:rsidRPr="0072447F" w:rsidRDefault="00EE39C2" w:rsidP="00DE214F">
            <w:pPr>
              <w:jc w:val="left"/>
            </w:pPr>
            <w:r>
              <w:t>74/1/4</w:t>
            </w:r>
          </w:p>
        </w:tc>
      </w:tr>
      <w:tr w:rsidR="009A5091" w:rsidRPr="0072447F" w14:paraId="6E522A27" w14:textId="77777777" w:rsidTr="00925E56">
        <w:tc>
          <w:tcPr>
            <w:tcW w:w="3055" w:type="dxa"/>
          </w:tcPr>
          <w:p w14:paraId="6E522A25" w14:textId="1BBBBA02" w:rsidR="009A5091" w:rsidRPr="0072447F" w:rsidRDefault="00940BBA" w:rsidP="00DE214F">
            <w:pPr>
              <w:jc w:val="left"/>
            </w:pPr>
            <w:r>
              <w:t>Přijato na plenárním zasedání</w:t>
            </w:r>
          </w:p>
        </w:tc>
        <w:tc>
          <w:tcPr>
            <w:tcW w:w="6018" w:type="dxa"/>
          </w:tcPr>
          <w:p w14:paraId="6E522A26" w14:textId="3E777582" w:rsidR="009A5091" w:rsidRPr="0072447F" w:rsidRDefault="00940BBA" w:rsidP="00DE214F">
            <w:pPr>
              <w:jc w:val="left"/>
            </w:pPr>
            <w:r>
              <w:t>D/M/YYYY</w:t>
            </w:r>
          </w:p>
        </w:tc>
      </w:tr>
      <w:tr w:rsidR="009A5091" w:rsidRPr="0072447F" w14:paraId="6E522A2A" w14:textId="77777777" w:rsidTr="00925E56">
        <w:tc>
          <w:tcPr>
            <w:tcW w:w="3055" w:type="dxa"/>
          </w:tcPr>
          <w:p w14:paraId="6E522A28" w14:textId="77777777" w:rsidR="009A5091" w:rsidRPr="0072447F" w:rsidRDefault="00940BBA" w:rsidP="00DE214F">
            <w:pPr>
              <w:jc w:val="left"/>
            </w:pPr>
            <w:r>
              <w:t>Plenární zasedání č.</w:t>
            </w:r>
          </w:p>
        </w:tc>
        <w:tc>
          <w:tcPr>
            <w:tcW w:w="6018" w:type="dxa"/>
          </w:tcPr>
          <w:p w14:paraId="6E522A29" w14:textId="77777777" w:rsidR="009A5091" w:rsidRPr="0072447F" w:rsidRDefault="00940BBA" w:rsidP="00DE214F">
            <w:pPr>
              <w:jc w:val="left"/>
            </w:pPr>
            <w:r>
              <w:t>…</w:t>
            </w:r>
          </w:p>
        </w:tc>
      </w:tr>
      <w:tr w:rsidR="009A5091" w:rsidRPr="0072447F" w14:paraId="6E522A2D" w14:textId="77777777" w:rsidTr="00925E56">
        <w:tc>
          <w:tcPr>
            <w:tcW w:w="3055" w:type="dxa"/>
          </w:tcPr>
          <w:p w14:paraId="6E522A2B" w14:textId="104372DD" w:rsidR="009A5091" w:rsidRPr="0072447F" w:rsidRDefault="00940BBA" w:rsidP="00DE214F">
            <w:pPr>
              <w:jc w:val="left"/>
            </w:pPr>
            <w:r>
              <w:t>Výsledek hlasování</w:t>
            </w:r>
            <w:r>
              <w:br/>
              <w:t>(pro/proti/zdrželi se hlasování)</w:t>
            </w:r>
          </w:p>
        </w:tc>
        <w:tc>
          <w:tcPr>
            <w:tcW w:w="6018" w:type="dxa"/>
            <w:vAlign w:val="bottom"/>
          </w:tcPr>
          <w:p w14:paraId="6E522A2C" w14:textId="77777777" w:rsidR="009A5091" w:rsidRPr="0072447F" w:rsidRDefault="00940BBA" w:rsidP="00DE214F">
            <w:pPr>
              <w:jc w:val="left"/>
            </w:pPr>
            <w:r>
              <w:t>…/…/…</w:t>
            </w:r>
          </w:p>
        </w:tc>
      </w:tr>
    </w:tbl>
    <w:p w14:paraId="6E522A2E" w14:textId="77777777" w:rsidR="009A5091" w:rsidRPr="0072447F" w:rsidRDefault="009A5091" w:rsidP="00DE214F">
      <w:pPr>
        <w:rPr>
          <w:lang w:val="en-GB"/>
        </w:rPr>
      </w:pPr>
    </w:p>
    <w:p w14:paraId="6E522A2F" w14:textId="77777777" w:rsidR="009A5091" w:rsidRPr="0072447F" w:rsidRDefault="00940BBA" w:rsidP="00DE214F">
      <w:r>
        <w:br w:type="page"/>
      </w:r>
    </w:p>
    <w:p w14:paraId="6E522A30" w14:textId="085E1C00" w:rsidR="009A5091" w:rsidRPr="00925E56" w:rsidRDefault="00940BBA" w:rsidP="00DE214F">
      <w:pPr>
        <w:pStyle w:val="Heading1"/>
        <w:rPr>
          <w:b/>
        </w:rPr>
      </w:pPr>
      <w:r>
        <w:rPr>
          <w:b/>
        </w:rPr>
        <w:lastRenderedPageBreak/>
        <w:t>DOPORUČENÍ</w:t>
      </w:r>
    </w:p>
    <w:p w14:paraId="1E768011" w14:textId="77777777" w:rsidR="0039024F" w:rsidRPr="0072447F" w:rsidRDefault="0039024F" w:rsidP="00DE214F">
      <w:pPr>
        <w:rPr>
          <w:lang w:val="en-GB"/>
        </w:rPr>
      </w:pPr>
    </w:p>
    <w:p w14:paraId="2F11478D" w14:textId="2ED1A653" w:rsidR="0039024F" w:rsidRPr="0072447F" w:rsidRDefault="0039024F" w:rsidP="00DE214F">
      <w:pPr>
        <w:pStyle w:val="Heading2"/>
      </w:pPr>
      <w:r>
        <w:t>EHSV předložený návrh odmítá. Návrh je nepřijatelný z těchto důvodů:</w:t>
      </w:r>
    </w:p>
    <w:p w14:paraId="44F2B3A1" w14:textId="73E3B4C9" w:rsidR="0039024F" w:rsidRPr="0072447F" w:rsidRDefault="00D35016" w:rsidP="00EC1BA3">
      <w:pPr>
        <w:pStyle w:val="ListParagraph"/>
        <w:numPr>
          <w:ilvl w:val="0"/>
          <w:numId w:val="18"/>
        </w:numPr>
        <w:ind w:left="1134" w:hanging="567"/>
      </w:pPr>
      <w:r>
        <w:t>nestanoví pro zemědělství v EU žádné směry do budoucna, jasné cíle ani dlouhodobou vizi a nepřinese nic jiného než jen výrazné snížení rozpočtu společné zemědělské politiky (SZP), které bude mít na zemědělství v EU nesmírně škodlivý dopad;</w:t>
      </w:r>
    </w:p>
    <w:p w14:paraId="2DE2054D" w14:textId="30E50DD6" w:rsidR="0039024F" w:rsidRPr="0072447F" w:rsidRDefault="00D35016" w:rsidP="00EC1BA3">
      <w:pPr>
        <w:pStyle w:val="ListParagraph"/>
        <w:numPr>
          <w:ilvl w:val="0"/>
          <w:numId w:val="18"/>
        </w:numPr>
        <w:ind w:left="1134" w:hanging="567"/>
      </w:pPr>
      <w:r>
        <w:t>neumožní pokrýt potřeby zemědělství v EU, které popsala Komise ve své Vizi pro zemědělství a potraviny</w:t>
      </w:r>
      <w:r w:rsidR="00356B29" w:rsidRPr="0072447F">
        <w:rPr>
          <w:rStyle w:val="FootnoteReference"/>
          <w:lang w:val="en-GB"/>
        </w:rPr>
        <w:footnoteReference w:id="2"/>
      </w:r>
      <w:r>
        <w:t xml:space="preserve"> a na něž upozornily také Rada, Evropský parlament, EHSV </w:t>
      </w:r>
      <w:r w:rsidR="008010FA">
        <w:t>a </w:t>
      </w:r>
      <w:r>
        <w:t>další zainteresované strany;</w:t>
      </w:r>
    </w:p>
    <w:p w14:paraId="52F21E55" w14:textId="54B8B177" w:rsidR="0039024F" w:rsidRPr="0072447F" w:rsidRDefault="00D35016" w:rsidP="00EC1BA3">
      <w:pPr>
        <w:pStyle w:val="ListParagraph"/>
        <w:numPr>
          <w:ilvl w:val="0"/>
          <w:numId w:val="18"/>
        </w:numPr>
        <w:ind w:left="1134" w:hanging="567"/>
      </w:pPr>
      <w:r>
        <w:t xml:space="preserve">na SZP má být v příštím víceletém finančním rámci (VFR) přiděleno naprosto nepostačující množství prostředků – rozpočet se tím sníží o 20 % v nominálních cenách (o 41 % v cenách reálných), což bude mít negativní důsledky z hlediska zemědělské politiky, potravinového zabezpečení, ochrany klimatu a životního prostředí a příjmů </w:t>
      </w:r>
      <w:r w:rsidR="008010FA">
        <w:t>a </w:t>
      </w:r>
      <w:r>
        <w:t>životaschopnosti zemědělců a venkovských oblastí v EU;</w:t>
      </w:r>
    </w:p>
    <w:p w14:paraId="2D828809" w14:textId="75968567" w:rsidR="0039024F" w:rsidRPr="0072447F" w:rsidRDefault="00D35016" w:rsidP="00EC1BA3">
      <w:pPr>
        <w:pStyle w:val="ListParagraph"/>
        <w:numPr>
          <w:ilvl w:val="0"/>
          <w:numId w:val="18"/>
        </w:numPr>
        <w:ind w:left="1134" w:hanging="567"/>
      </w:pPr>
      <w:r>
        <w:t xml:space="preserve">s navrhovaným zřízením Fondu národních a regionálních partnerství zanikne úspěšný </w:t>
      </w:r>
      <w:r w:rsidR="008010FA">
        <w:t>a </w:t>
      </w:r>
      <w:r>
        <w:t xml:space="preserve">spolehlivý </w:t>
      </w:r>
      <w:proofErr w:type="spellStart"/>
      <w:r>
        <w:t>dvoupilířový</w:t>
      </w:r>
      <w:proofErr w:type="spellEnd"/>
      <w:r>
        <w:t xml:space="preserve"> model SZP, což povede k roztříštěnosti předpisů týkajících se SZP a k oslabení rozvoje venkova, investic, konkurenceschopnosti, udržitelnosti a územní soudržnosti;</w:t>
      </w:r>
    </w:p>
    <w:p w14:paraId="03A97CFE" w14:textId="2AAEE30C" w:rsidR="0039024F" w:rsidRPr="0072447F" w:rsidRDefault="00D35016" w:rsidP="00EC1BA3">
      <w:pPr>
        <w:pStyle w:val="ListParagraph"/>
        <w:numPr>
          <w:ilvl w:val="0"/>
          <w:numId w:val="18"/>
        </w:numPr>
        <w:ind w:left="1134" w:hanging="567"/>
      </w:pPr>
      <w:r>
        <w:t>dojde k oslabení některých základních společných ustanovení SZP, což bude mít za následek opětovné převedení zemědělské politiky na vnitrostátní úroveň a narušení integrity a fungování jednotného trhu;</w:t>
      </w:r>
    </w:p>
    <w:p w14:paraId="182CC6D6" w14:textId="580DEB11" w:rsidR="0039024F" w:rsidRPr="0072447F" w:rsidRDefault="00D35016" w:rsidP="00EC1BA3">
      <w:pPr>
        <w:pStyle w:val="ListParagraph"/>
        <w:numPr>
          <w:ilvl w:val="0"/>
          <w:numId w:val="18"/>
        </w:numPr>
        <w:ind w:left="1134" w:hanging="567"/>
      </w:pPr>
      <w:r>
        <w:t xml:space="preserve">zvýší se složitost a bude nutné provést nákladnou administrativní reorganizaci struktur </w:t>
      </w:r>
      <w:r w:rsidR="008010FA">
        <w:t>v </w:t>
      </w:r>
      <w:r>
        <w:t>rámci SZP a VFR, čímž se nedocílí tolik potřebného zjednodušení, nýbrž ještě větší byrokracie;</w:t>
      </w:r>
    </w:p>
    <w:p w14:paraId="08D4B9D1" w14:textId="1AA99B82" w:rsidR="0039024F" w:rsidRPr="0072447F" w:rsidRDefault="00D35016" w:rsidP="00EC1BA3">
      <w:pPr>
        <w:pStyle w:val="ListParagraph"/>
        <w:numPr>
          <w:ilvl w:val="0"/>
          <w:numId w:val="18"/>
        </w:numPr>
        <w:ind w:left="1134" w:hanging="567"/>
      </w:pPr>
      <w:r>
        <w:t>nebylo náležitě zlepšeno a posíleno postavení zemědělců v potravinovém řetězci;</w:t>
      </w:r>
    </w:p>
    <w:p w14:paraId="51085A23" w14:textId="593193C9" w:rsidR="00281A77" w:rsidRPr="0072447F" w:rsidRDefault="00D35016" w:rsidP="00EC1BA3">
      <w:pPr>
        <w:pStyle w:val="ListParagraph"/>
        <w:numPr>
          <w:ilvl w:val="0"/>
          <w:numId w:val="18"/>
        </w:numPr>
        <w:ind w:left="1134" w:hanging="567"/>
      </w:pPr>
      <w:r>
        <w:t>v neposlední řadě pak návrh podkopává samotné základy společné zemědělské politiky.</w:t>
      </w:r>
    </w:p>
    <w:p w14:paraId="5E2BE617" w14:textId="20B63FE6" w:rsidR="0065591F" w:rsidRPr="0072447F" w:rsidRDefault="00CD19CD">
      <w:pPr>
        <w:pStyle w:val="Heading2"/>
      </w:pPr>
      <w:r>
        <w:t>EHSV by – vzhledem ke své důležité roli, která spočívá v tom, že pomáhá zajistit zapojení občanské společnosti a přispívá k tvorbě politik EU – chtěl nicméně k návrhům týkajícím se SZP vyjádřit následující připomínky.</w:t>
      </w:r>
    </w:p>
    <w:p w14:paraId="6D069110" w14:textId="77777777" w:rsidR="001E00D1" w:rsidRPr="0072447F" w:rsidRDefault="001E00D1" w:rsidP="00DE214F">
      <w:pPr>
        <w:ind w:left="720" w:hanging="720"/>
        <w:jc w:val="left"/>
        <w:rPr>
          <w:lang w:val="en-GB"/>
        </w:rPr>
      </w:pPr>
    </w:p>
    <w:p w14:paraId="6A27DF43" w14:textId="480B0F31" w:rsidR="009A5091" w:rsidRPr="0072447F" w:rsidRDefault="00940BBA" w:rsidP="00DE214F">
      <w:pPr>
        <w:keepNext/>
        <w:keepLines/>
        <w:jc w:val="left"/>
        <w:rPr>
          <w:i/>
        </w:rPr>
      </w:pPr>
      <w:r>
        <w:t>Evropský hospodářský a sociální výbor (EHSV)</w:t>
      </w:r>
    </w:p>
    <w:p w14:paraId="57DACBAF" w14:textId="49A3D035" w:rsidR="009A5091" w:rsidRPr="0072447F" w:rsidRDefault="009A5091" w:rsidP="00DE214F">
      <w:pPr>
        <w:keepNext/>
        <w:keepLines/>
        <w:ind w:left="142" w:hanging="142"/>
        <w:jc w:val="left"/>
        <w:rPr>
          <w:lang w:val="en-GB"/>
        </w:rPr>
      </w:pPr>
    </w:p>
    <w:p w14:paraId="1AF43CF0" w14:textId="7E477AD2" w:rsidR="009A5091" w:rsidRPr="0072447F" w:rsidRDefault="00940BBA" w:rsidP="00DE214F">
      <w:pPr>
        <w:pStyle w:val="Heading2"/>
      </w:pPr>
      <w:r>
        <w:t xml:space="preserve">navrhuje, aby byla v období 2028–2034 uplatňována silná SZP, na niž bude k dispozici samostatný a účelově vázaný rozpočet, který by měl být navýšen a řádně upravován na základě inflace, aby tak bylo možné uskutečnit v rámci této politiky cíle stanovené ve Smlouvě </w:t>
      </w:r>
      <w:r w:rsidR="008010FA">
        <w:t>o </w:t>
      </w:r>
      <w:r>
        <w:t xml:space="preserve">fungování Evropské unie (SFEU) – tj. zvýšit produktivitu zemědělství, zajistit zemědělcům </w:t>
      </w:r>
      <w:r w:rsidR="008010FA">
        <w:t>a </w:t>
      </w:r>
      <w:r>
        <w:t xml:space="preserve">pracovníkům v zemědělství odpovídající životní úroveň, stabilizovat trhy a zajistit spotřebitelům plynulé zásobování a rozumné ceny. Zároveň musí SZP podporovat potravinové zabezpečení a potravinovou suverenitu EU, evropský model zemědělství, potenciální atraktivitu pro příští generace, pomáhat zemědělcům ve snaze přispět k ekologické transformaci </w:t>
      </w:r>
      <w:r w:rsidR="008010FA">
        <w:t>a </w:t>
      </w:r>
      <w:r>
        <w:t>dosáhnout větší udržitelnosti a odolnosti, zejména v kontextu trojí planetární krize, a reagovat na stále větší geopolitické a sociální výzvy;</w:t>
      </w:r>
    </w:p>
    <w:p w14:paraId="41765C74" w14:textId="77777777" w:rsidR="009A5091" w:rsidRPr="0072447F" w:rsidRDefault="009A5091" w:rsidP="00DE214F">
      <w:pPr>
        <w:pStyle w:val="Heading2"/>
        <w:numPr>
          <w:ilvl w:val="0"/>
          <w:numId w:val="0"/>
        </w:numPr>
        <w:rPr>
          <w:lang w:val="en-GB"/>
        </w:rPr>
      </w:pPr>
    </w:p>
    <w:p w14:paraId="4B24A70C" w14:textId="236E4046" w:rsidR="00513E2F" w:rsidRPr="0072447F" w:rsidRDefault="00940BBA" w:rsidP="00DE214F">
      <w:pPr>
        <w:pStyle w:val="Heading2"/>
      </w:pPr>
      <w:r>
        <w:t>vyzývá Evropskou komisi, aby na SZP opětovně vyčlenila prostředky ve výši odpovídající 0,5</w:t>
      </w:r>
      <w:r w:rsidR="00E2117F">
        <w:t> </w:t>
      </w:r>
      <w:r>
        <w:t>% HDP EU. Nesouhlasí s návrhem uvedeným ve VFR, podle nějž se má rozpočet SZP na období 2028–2034 snížit o 20 % v nominálních cenách (o 41 % v cenách reálných);</w:t>
      </w:r>
    </w:p>
    <w:p w14:paraId="53E498C2" w14:textId="77777777" w:rsidR="00513E2F" w:rsidRPr="0072447F" w:rsidRDefault="00513E2F" w:rsidP="00DE214F">
      <w:pPr>
        <w:rPr>
          <w:lang w:val="en-GB"/>
        </w:rPr>
      </w:pPr>
    </w:p>
    <w:p w14:paraId="00C07940" w14:textId="318B7813" w:rsidR="00513E2F" w:rsidRPr="0072447F" w:rsidRDefault="00513E2F" w:rsidP="00DE214F">
      <w:pPr>
        <w:pStyle w:val="Heading2"/>
      </w:pPr>
      <w:r>
        <w:t>upozorňuje, že subsidiarita může bezpochyby v určitých mezích sehrát konstruktivní roli, její uplatňování v oblasti rozpočtu však jde proti hlavním úkolům a společnému cíli SZP;</w:t>
      </w:r>
    </w:p>
    <w:p w14:paraId="3714A4B8" w14:textId="77777777" w:rsidR="009A5091" w:rsidRPr="0072447F" w:rsidRDefault="009A5091" w:rsidP="00DE214F">
      <w:pPr>
        <w:rPr>
          <w:lang w:val="en-GB"/>
        </w:rPr>
      </w:pPr>
    </w:p>
    <w:p w14:paraId="17D358FF" w14:textId="077E5BF9" w:rsidR="009A5091" w:rsidRPr="0072447F" w:rsidRDefault="00940BBA" w:rsidP="00DE214F">
      <w:pPr>
        <w:pStyle w:val="Heading2"/>
      </w:pPr>
      <w:r>
        <w:t xml:space="preserve">zdůrazňuje, že je třeba indexovat rozpočet SZP a přímé platby, aby bylo možné držet krok </w:t>
      </w:r>
      <w:r w:rsidR="008010FA">
        <w:t>s </w:t>
      </w:r>
      <w:r>
        <w:t>inflací nákladů, pomoci ochránit příjmy zemědělských podniků a stabilizovat ceny potravin;</w:t>
      </w:r>
    </w:p>
    <w:p w14:paraId="11DAD092" w14:textId="77777777" w:rsidR="009A5091" w:rsidRPr="0072447F" w:rsidRDefault="009A5091" w:rsidP="00DE214F">
      <w:pPr>
        <w:rPr>
          <w:lang w:val="en-GB"/>
        </w:rPr>
      </w:pPr>
    </w:p>
    <w:p w14:paraId="091DCC33" w14:textId="4812DCE9" w:rsidR="009A5091" w:rsidRPr="0072447F" w:rsidRDefault="00940BBA" w:rsidP="00DE214F">
      <w:pPr>
        <w:pStyle w:val="Heading2"/>
      </w:pPr>
      <w:r>
        <w:t>vyzývá Komisi, aby v příštím VFR vytvořila nové zdroje příjmů, čímž by se podpořila a posílila důvěra v SZP a zajistilo, že se mezi zemědělci a venkovským obyvatelstvem nebude šířit atmosféra strachu a zlosti vůči EU v důsledku výrazných škrtů v rozpočtu;</w:t>
      </w:r>
    </w:p>
    <w:p w14:paraId="7ADE497F" w14:textId="77777777" w:rsidR="009A5091" w:rsidRPr="0072447F" w:rsidRDefault="009A5091" w:rsidP="00DE214F">
      <w:pPr>
        <w:rPr>
          <w:lang w:val="en-GB"/>
        </w:rPr>
      </w:pPr>
    </w:p>
    <w:p w14:paraId="396D9233" w14:textId="78325801" w:rsidR="009A5091" w:rsidRPr="0072447F" w:rsidRDefault="00940BBA" w:rsidP="00DE214F">
      <w:pPr>
        <w:pStyle w:val="Heading2"/>
      </w:pPr>
      <w:r>
        <w:t xml:space="preserve">poukazuje na to, že v příštím VFR musí být respektována, chráněna a zachována nezávislost </w:t>
      </w:r>
      <w:r w:rsidR="008010FA">
        <w:t>a </w:t>
      </w:r>
      <w:r>
        <w:t>integrita SZP v souladu se SFEU;</w:t>
      </w:r>
    </w:p>
    <w:p w14:paraId="7EBBE7C7" w14:textId="77777777" w:rsidR="009A5091" w:rsidRPr="0072447F" w:rsidRDefault="009A5091" w:rsidP="00DE214F">
      <w:pPr>
        <w:rPr>
          <w:lang w:val="en-GB"/>
        </w:rPr>
      </w:pPr>
    </w:p>
    <w:p w14:paraId="12F3D01B" w14:textId="5620F9F2" w:rsidR="009A5091" w:rsidRPr="0072447F" w:rsidRDefault="00940BBA" w:rsidP="00DE214F">
      <w:pPr>
        <w:pStyle w:val="Heading2"/>
      </w:pPr>
      <w:r>
        <w:t>zdůrazňuje, že je nutné zahrnout do SZP zásadu rovnocennosti norem, aby byla zohledněna skutečnost, že evropští zemědělci dodržují mnohem vyšší environmentální, sociální a zdravotní normy, než jaké platí v jiných zemích;</w:t>
      </w:r>
    </w:p>
    <w:p w14:paraId="6B252B35" w14:textId="77777777" w:rsidR="009A5091" w:rsidRPr="0072447F" w:rsidRDefault="009A5091" w:rsidP="00DE214F">
      <w:pPr>
        <w:rPr>
          <w:lang w:val="en-GB"/>
        </w:rPr>
      </w:pPr>
    </w:p>
    <w:p w14:paraId="492FC6B7" w14:textId="74F57125" w:rsidR="009A5091" w:rsidRPr="0072447F" w:rsidRDefault="00F53705" w:rsidP="00DE214F">
      <w:pPr>
        <w:pStyle w:val="Heading2"/>
      </w:pPr>
      <w:r>
        <w:t>domnívá se, že SZP musí být celounijní politikou, a nikoli politikou založenou na doporučeních pro jednotlivé státy. EHSV naprosto nesouhlasí s opětovným převedením SZP na vnitrostátní úroveň;</w:t>
      </w:r>
    </w:p>
    <w:p w14:paraId="01915A29" w14:textId="77777777" w:rsidR="009A5091" w:rsidRPr="0072447F" w:rsidRDefault="009A5091" w:rsidP="00DE214F">
      <w:pPr>
        <w:rPr>
          <w:lang w:val="en-GB"/>
        </w:rPr>
      </w:pPr>
    </w:p>
    <w:p w14:paraId="60E6A409" w14:textId="21B8BD98" w:rsidR="009A5091" w:rsidRPr="0072447F" w:rsidRDefault="00940BBA" w:rsidP="00DE214F">
      <w:pPr>
        <w:pStyle w:val="Heading2"/>
      </w:pPr>
      <w:r>
        <w:t xml:space="preserve">zdůrazňuje, že je nutné provést komplexní posouzení hospodářského, environmentálního </w:t>
      </w:r>
      <w:r w:rsidR="008010FA">
        <w:t>a </w:t>
      </w:r>
      <w:r>
        <w:t xml:space="preserve">sociálního dopadu navrhovaných reforem VFR a SZP a navrhnout reálné alternativy a opatření na ochranu zemědělců. Je třeba při tom mj. zohlednit dopady na zemědělsko-potravinový řetězec, zpracovatelskou kapacitu, pracovní místa na venkově a bezpečnost dodávek </w:t>
      </w:r>
      <w:r w:rsidR="008010FA">
        <w:t>v </w:t>
      </w:r>
      <w:r>
        <w:t>příhraničních regionech;</w:t>
      </w:r>
    </w:p>
    <w:p w14:paraId="607644E8" w14:textId="77777777" w:rsidR="009A5091" w:rsidRPr="0072447F" w:rsidRDefault="009A5091" w:rsidP="00DE214F">
      <w:pPr>
        <w:rPr>
          <w:lang w:val="en-GB"/>
        </w:rPr>
      </w:pPr>
    </w:p>
    <w:p w14:paraId="150DF070" w14:textId="36DDC5C3" w:rsidR="009A5091" w:rsidRPr="0072447F" w:rsidRDefault="00940BBA" w:rsidP="00DE214F">
      <w:pPr>
        <w:pStyle w:val="Heading2"/>
      </w:pPr>
      <w:r>
        <w:t xml:space="preserve">podporuje zachování stávajícího financování SZP z Evropského zemědělského záručního fondu (EZZF) a Evropského zemědělského fondu pro rozvoj venkova (EZFRV) a jejího </w:t>
      </w:r>
      <w:proofErr w:type="spellStart"/>
      <w:r>
        <w:t>dvoupilířového</w:t>
      </w:r>
      <w:proofErr w:type="spellEnd"/>
      <w:r>
        <w:t xml:space="preserve"> modelu, kdy jsou aktivním zemědělcům poskytovány cílené platby na podporu příjmů a platby v rámci </w:t>
      </w:r>
      <w:proofErr w:type="spellStart"/>
      <w:r>
        <w:t>ekoschémat</w:t>
      </w:r>
      <w:proofErr w:type="spellEnd"/>
      <w:r>
        <w:t xml:space="preserve"> prostřednictvím 1. pilíře, doplněné o další specifickou podporu pro zranitelná odvětví a o podporu rozvoje venkova, investic, vytváření přidané hodnoty a </w:t>
      </w:r>
      <w:proofErr w:type="spellStart"/>
      <w:r>
        <w:t>agroenvironmentálních</w:t>
      </w:r>
      <w:proofErr w:type="spellEnd"/>
      <w:r>
        <w:t xml:space="preserve"> opatření prostřednictvím 2. pilíře;</w:t>
      </w:r>
    </w:p>
    <w:p w14:paraId="68979417" w14:textId="77777777" w:rsidR="009A5091" w:rsidRPr="0072447F" w:rsidRDefault="009A5091" w:rsidP="00DE214F">
      <w:pPr>
        <w:pStyle w:val="Heading2"/>
        <w:numPr>
          <w:ilvl w:val="0"/>
          <w:numId w:val="0"/>
        </w:numPr>
        <w:rPr>
          <w:lang w:val="en-GB"/>
        </w:rPr>
      </w:pPr>
    </w:p>
    <w:p w14:paraId="211AE937" w14:textId="6781304C" w:rsidR="00F516F6" w:rsidRPr="0072447F" w:rsidRDefault="00940BBA" w:rsidP="00DE214F">
      <w:pPr>
        <w:pStyle w:val="Heading2"/>
      </w:pPr>
      <w:r>
        <w:t>domnívá se, že nárok na platby v rámci SZP by měli mít skutečně aktivní zemědělci, kteří se zabývají zemědělskou výrobou;</w:t>
      </w:r>
    </w:p>
    <w:p w14:paraId="24E59E16" w14:textId="77777777" w:rsidR="009A5091" w:rsidRPr="0072447F" w:rsidRDefault="009A5091" w:rsidP="00DE214F">
      <w:pPr>
        <w:rPr>
          <w:lang w:val="en-GB"/>
        </w:rPr>
      </w:pPr>
    </w:p>
    <w:p w14:paraId="2487080A" w14:textId="4A219FF1" w:rsidR="003D3B8E" w:rsidRPr="0072447F" w:rsidRDefault="326FC2EB" w:rsidP="00DE214F">
      <w:pPr>
        <w:pStyle w:val="Heading2"/>
      </w:pPr>
      <w:r>
        <w:t xml:space="preserve">domnívá se, že je třeba stanovit spravedlivou a přiměřenou maximální výši přímých plateb pro jednotlivé aktivní zemědělce – včetně zemědělců tvořících sdružení –, kterou by bylo možné upravovat se zohledněním partnerství, družstev, společností a počtu zaměstnanců, za něž jsou odváděny příspěvky na sociální zabezpečení. Tato maximální výše by se neměla vztahovat </w:t>
      </w:r>
      <w:r>
        <w:lastRenderedPageBreak/>
        <w:t>na dobrovolná environmentální opatření a na opatření, která umožňují produkovat veřejné statky</w:t>
      </w:r>
      <w:r w:rsidR="003D3B8E" w:rsidRPr="0072447F">
        <w:rPr>
          <w:rStyle w:val="FootnoteReference"/>
          <w:lang w:val="en-GB"/>
        </w:rPr>
        <w:footnoteReference w:id="3"/>
      </w:r>
      <w:r>
        <w:t>. EHSV podporuje povinné omezení této částky na 100 000 EUR, jak navrhla Evropská komise;</w:t>
      </w:r>
    </w:p>
    <w:p w14:paraId="3ACEF5CE" w14:textId="77777777" w:rsidR="003D3B8E" w:rsidRPr="0072447F" w:rsidRDefault="003D3B8E" w:rsidP="00DE214F">
      <w:pPr>
        <w:rPr>
          <w:lang w:val="en-GB"/>
        </w:rPr>
      </w:pPr>
    </w:p>
    <w:p w14:paraId="42D573C3" w14:textId="07028265" w:rsidR="009A5091" w:rsidRPr="0072447F" w:rsidRDefault="00940BBA" w:rsidP="00DE214F">
      <w:pPr>
        <w:pStyle w:val="Heading2"/>
      </w:pPr>
      <w:r>
        <w:t>upozorňuje, že postupné snižování plateb na základě obdělávané plochy povede k erozi příjmů zemědělských podniků a ohrozí životaschopnost stávajících zemědělců;</w:t>
      </w:r>
    </w:p>
    <w:p w14:paraId="4FA30C9D" w14:textId="77777777" w:rsidR="009A5091" w:rsidRPr="0072447F" w:rsidRDefault="009A5091" w:rsidP="00DE214F">
      <w:pPr>
        <w:rPr>
          <w:lang w:val="en-GB"/>
        </w:rPr>
      </w:pPr>
    </w:p>
    <w:p w14:paraId="42EE994A" w14:textId="208D5DDB" w:rsidR="009A5091" w:rsidRPr="0072447F" w:rsidRDefault="00940BBA" w:rsidP="00DE214F">
      <w:pPr>
        <w:pStyle w:val="Heading2"/>
      </w:pPr>
      <w:r>
        <w:t xml:space="preserve">zdůrazňuje, že by Komise při přidělování přímých plateb neměla diskriminovat skutečně aktivní zemědělce na základě toho, že spadají do vyšší věkové kategorie nebo pobírají důchod, a spíše by v tomto směru měla pobízet k zavedení cílených finančních programů, v jejichž rámci bude podporováno převádění vlastnictví zemědělských podniků provozovaných staršími zemědělci </w:t>
      </w:r>
      <w:r w:rsidR="008010FA">
        <w:t>a </w:t>
      </w:r>
      <w:r>
        <w:t>zemědělci v důchodu do rukou mladých zemědělců</w:t>
      </w:r>
      <w:r w:rsidR="00AF5BB1" w:rsidRPr="0072447F">
        <w:rPr>
          <w:rStyle w:val="FootnoteReference"/>
          <w:lang w:val="en-GB"/>
        </w:rPr>
        <w:footnoteReference w:id="4"/>
      </w:r>
      <w:r>
        <w:t>, aniž by při tom byly zbytečně hnány do výše ceny pozemků;</w:t>
      </w:r>
    </w:p>
    <w:p w14:paraId="374C10C5" w14:textId="77777777" w:rsidR="009A5091" w:rsidRPr="0072447F" w:rsidRDefault="009A5091" w:rsidP="00DE214F">
      <w:pPr>
        <w:rPr>
          <w:lang w:val="en-GB"/>
        </w:rPr>
      </w:pPr>
    </w:p>
    <w:p w14:paraId="3D8A731E" w14:textId="112F6511" w:rsidR="009A5091" w:rsidRPr="0072447F" w:rsidRDefault="00940BBA" w:rsidP="00DE214F">
      <w:pPr>
        <w:pStyle w:val="Heading2"/>
      </w:pPr>
      <w:r>
        <w:t xml:space="preserve">vyslovuje se pro to, aby byla prostřednictvím přizpůsobených nástrojů a zjednodušením </w:t>
      </w:r>
      <w:r w:rsidR="008010FA">
        <w:t>a </w:t>
      </w:r>
      <w:r>
        <w:t>snížením administrativní zátěže podporována a zachována ekonomická životaschopnost zemědělské činnosti</w:t>
      </w:r>
      <w:r w:rsidR="00E2227B" w:rsidRPr="0072447F">
        <w:rPr>
          <w:rStyle w:val="FootnoteReference"/>
          <w:lang w:val="en-GB"/>
        </w:rPr>
        <w:footnoteReference w:id="5"/>
      </w:r>
      <w:r>
        <w:rPr>
          <w:color w:val="4F6228" w:themeColor="accent3" w:themeShade="80"/>
        </w:rPr>
        <w:t>;</w:t>
      </w:r>
    </w:p>
    <w:p w14:paraId="6C70175F" w14:textId="71CBD2B4" w:rsidR="009A5091" w:rsidRPr="0072447F" w:rsidRDefault="009A5091" w:rsidP="00DE214F">
      <w:pPr>
        <w:ind w:left="567" w:hanging="567"/>
        <w:rPr>
          <w:lang w:val="en-GB"/>
        </w:rPr>
      </w:pPr>
    </w:p>
    <w:p w14:paraId="158FC866" w14:textId="271570B8" w:rsidR="009A5091" w:rsidRPr="0072447F" w:rsidRDefault="00940BBA" w:rsidP="00DE214F">
      <w:pPr>
        <w:pStyle w:val="Heading2"/>
      </w:pPr>
      <w:r>
        <w:t>vybízí k tomu, aby byly prostřednictvím opatření v podobě dobrovolných a dostatečně financovaných iniciativ uplatňovány ochranné klimatické a environmentální postupy založené na vědeckých poznatcích a udržitelné a ucelené výrobní systémy, k nimž patří například ekologické a regenerativní zemědělství a další agroekologické systémy;</w:t>
      </w:r>
    </w:p>
    <w:p w14:paraId="36F1C541" w14:textId="559169F7" w:rsidR="009A5091" w:rsidRPr="0072447F" w:rsidRDefault="009A5091" w:rsidP="00DE214F">
      <w:pPr>
        <w:ind w:left="567" w:hanging="567"/>
        <w:rPr>
          <w:lang w:val="en-GB"/>
        </w:rPr>
      </w:pPr>
    </w:p>
    <w:p w14:paraId="10B034C4" w14:textId="74A1D104" w:rsidR="009A5091" w:rsidRPr="0072447F" w:rsidRDefault="00940BBA" w:rsidP="00DE214F">
      <w:pPr>
        <w:pStyle w:val="Heading2"/>
      </w:pPr>
      <w:r>
        <w:t xml:space="preserve">zdůrazňuje, že opatření související se zemědělským znalostním a inovačním systémem (AKIS), Programem pro životní prostředí a oblast klimatu (LIFE), programem speciálně zaměřeným na odlehlost a ostrovní charakter (POSEI) a územním rozvojem v rámci iniciativy LEADER musí být i nadále finančně chráněna a účelově vázána v rámci 2. pilíře, aby měli zemědělci </w:t>
      </w:r>
      <w:r w:rsidR="008010FA">
        <w:t>a </w:t>
      </w:r>
      <w:r>
        <w:t xml:space="preserve">zemědělkyně neustále a všeobecně k dispozici příslušné poznatky, poradenské služby </w:t>
      </w:r>
      <w:r w:rsidR="008010FA">
        <w:t>a </w:t>
      </w:r>
      <w:r>
        <w:t>praktické inovace a měli rovněž zajištěn pozitivní rozvoj venkova;</w:t>
      </w:r>
    </w:p>
    <w:p w14:paraId="636004A0" w14:textId="77777777" w:rsidR="009A5091" w:rsidRPr="0072447F" w:rsidRDefault="009A5091" w:rsidP="00DE214F">
      <w:pPr>
        <w:rPr>
          <w:lang w:val="en-GB"/>
        </w:rPr>
      </w:pPr>
    </w:p>
    <w:p w14:paraId="469B1CB8" w14:textId="6BF31A8A" w:rsidR="009A5091" w:rsidRPr="0072447F" w:rsidRDefault="00940BBA" w:rsidP="00DE214F">
      <w:pPr>
        <w:pStyle w:val="Heading2"/>
      </w:pPr>
      <w:r>
        <w:t xml:space="preserve">jednoznačně podporuje návrhy, podle nichž má být položen důraz na strategie generační obměny a měla by být poskytována cílená podpora mladým zemědělcům a zemědělkyním </w:t>
      </w:r>
      <w:r w:rsidR="008010FA">
        <w:t>s </w:t>
      </w:r>
      <w:r>
        <w:t xml:space="preserve">cílem pomoci jim zahájit činnost a etablovat se, a to v podobě startovacích balíčků a dalších opatření. Tyto kroky je nutné financovat přidělením rozsáhlého množství prostředků v rámci rozpočtu SZP a nesmí se tím snížit příjmy stávajících zemědělců; </w:t>
      </w:r>
    </w:p>
    <w:p w14:paraId="02A82C59" w14:textId="6CDE8E06" w:rsidR="009A5091" w:rsidRPr="0072447F" w:rsidRDefault="009A5091" w:rsidP="00DE214F">
      <w:pPr>
        <w:ind w:left="567" w:hanging="567"/>
        <w:rPr>
          <w:lang w:val="en-GB"/>
        </w:rPr>
      </w:pPr>
    </w:p>
    <w:p w14:paraId="01ECD58C" w14:textId="15447722" w:rsidR="00543F86" w:rsidRPr="0072447F" w:rsidRDefault="00940BBA" w:rsidP="00DE214F">
      <w:pPr>
        <w:pStyle w:val="Heading2"/>
      </w:pPr>
      <w:r>
        <w:t xml:space="preserve">domnívá se, že je třeba posílit potravinový řetězec EU, pokud jde o obnovení rovnováhy sil </w:t>
      </w:r>
      <w:r w:rsidR="008010FA">
        <w:t>v </w:t>
      </w:r>
      <w:r>
        <w:t>tomto řetězci, zákaz prodeje pod cenou a odolnost vůči krizím, a to zavedením dodatečných nástrojů krizového řízení a vylepšením těch stávajících a využíváním systémů pojištění proti přírodním katastrofám;</w:t>
      </w:r>
    </w:p>
    <w:p w14:paraId="428838F4" w14:textId="77777777" w:rsidR="004046A2" w:rsidRPr="0072447F" w:rsidRDefault="004046A2" w:rsidP="00DE214F">
      <w:pPr>
        <w:rPr>
          <w:lang w:val="en-GB"/>
        </w:rPr>
      </w:pPr>
    </w:p>
    <w:p w14:paraId="41B38AE0" w14:textId="1F6CC1A4" w:rsidR="0073229D" w:rsidRPr="0072447F" w:rsidRDefault="003548DC" w:rsidP="00DE214F">
      <w:pPr>
        <w:pStyle w:val="Heading2"/>
      </w:pPr>
      <w:r>
        <w:t xml:space="preserve">vítá návrhy týkající se indexace rozpočtu SZP, neboť se jedná o krok správným směrem, </w:t>
      </w:r>
      <w:r w:rsidR="008010FA">
        <w:t>a </w:t>
      </w:r>
      <w:r>
        <w:t>poukazuje na to, že by měly být indexovány i přímé platby v rámci SZP;</w:t>
      </w:r>
    </w:p>
    <w:p w14:paraId="07768BB2" w14:textId="77777777" w:rsidR="001C2F6C" w:rsidRPr="0072447F" w:rsidRDefault="001C2F6C" w:rsidP="00DE214F">
      <w:pPr>
        <w:rPr>
          <w:lang w:val="en-GB"/>
        </w:rPr>
      </w:pPr>
    </w:p>
    <w:p w14:paraId="1149B477" w14:textId="0B8A1B32" w:rsidR="001C2F6C" w:rsidRPr="0072447F" w:rsidRDefault="4EE04C8E" w:rsidP="00DE214F">
      <w:pPr>
        <w:pStyle w:val="Heading2"/>
      </w:pPr>
      <w:r>
        <w:t xml:space="preserve">podporuje návrh posílit Jednotnou bezpečnostní síť, upozorňuje však, že to nesmí vést </w:t>
      </w:r>
      <w:r w:rsidR="008010FA">
        <w:t>k </w:t>
      </w:r>
      <w:r>
        <w:t xml:space="preserve">uplatňování nevhodné obchodní politiky, která poškozuje trh v EU, jako je tomu například </w:t>
      </w:r>
      <w:r w:rsidR="008010FA">
        <w:t>v </w:t>
      </w:r>
      <w:r>
        <w:t xml:space="preserve">případě dohody s </w:t>
      </w:r>
      <w:proofErr w:type="spellStart"/>
      <w:r>
        <w:t>Mersocurem</w:t>
      </w:r>
      <w:proofErr w:type="spellEnd"/>
      <w:r>
        <w:t>;</w:t>
      </w:r>
    </w:p>
    <w:p w14:paraId="55256507" w14:textId="77777777" w:rsidR="001C2F6C" w:rsidRPr="0072447F" w:rsidRDefault="001C2F6C" w:rsidP="00DE214F">
      <w:pPr>
        <w:rPr>
          <w:lang w:val="en-GB"/>
        </w:rPr>
      </w:pPr>
    </w:p>
    <w:p w14:paraId="3903F564" w14:textId="74A4D385" w:rsidR="00090384" w:rsidRPr="0072447F" w:rsidRDefault="68122432" w:rsidP="00DE214F">
      <w:pPr>
        <w:pStyle w:val="Heading2"/>
      </w:pPr>
      <w:r>
        <w:t xml:space="preserve">konstatuje, že je nutné posílit sociální podmíněnost a zajistit jasné provázání s návrhy týkajícími se SZP. V této souvislosti se EHSV vyslovuje především pro to, aby byly podporovány spravedlivé pracovní a životní podmínky a byla chráněna práva pracovníků. Kontroly a sankce uplatňované v rámci sociální podmíněnosti se musí bez výjimky vztahovat na všechny zemědělské podniky, přičemž její celkovou integritu nesmí oslabit ukládání pokut na základě vnitrostátního práva. Je třeba rozšířit uplatňování sociální podmíněnosti a lépe ji prosazovat, aby tak bylo možné podpořit s ohledem na přetrvávající a stále větší nedostatek pracovních sil </w:t>
      </w:r>
      <w:r w:rsidR="008010FA">
        <w:t>v </w:t>
      </w:r>
      <w:r>
        <w:t xml:space="preserve">zemědělství vznik kvalitních pracovních míst zaručujících pracovníkům spravedlivou mzdu </w:t>
      </w:r>
      <w:r w:rsidR="008010FA">
        <w:t>a </w:t>
      </w:r>
      <w:r>
        <w:t>bezpečné pracovní podmínky;</w:t>
      </w:r>
    </w:p>
    <w:p w14:paraId="0B0F8502" w14:textId="77777777" w:rsidR="00090384" w:rsidRPr="0072447F" w:rsidRDefault="00090384" w:rsidP="00DE214F">
      <w:pPr>
        <w:rPr>
          <w:lang w:val="en-GB"/>
        </w:rPr>
      </w:pPr>
    </w:p>
    <w:p w14:paraId="157C3DD3" w14:textId="39C1C0A1" w:rsidR="001C2F6C" w:rsidRPr="0072447F" w:rsidRDefault="0245F0CD" w:rsidP="00DE214F">
      <w:pPr>
        <w:pStyle w:val="Heading2"/>
      </w:pPr>
      <w:r>
        <w:t xml:space="preserve">upozorňuje na vážná politická rizika, která by mohla pro EU a některé členské státy vyplynout </w:t>
      </w:r>
      <w:r w:rsidR="008010FA">
        <w:t>z </w:t>
      </w:r>
      <w:r>
        <w:t xml:space="preserve">mechanismů flexibility, jež mají být zavedeny v rámci Fondu národních a regionálních partnerství a vedly by k vyloučení podpory zemědělství, rozvoje venkova a venkovských oblastí zaručené v současnosti v rámci 2. pilíře SZP. Upozorňuje rovněž na rizika spojená s tím, že si budou muset fondy v oblasti zemědělství a soudržnosti při financování projektů konkurovat, neboť to zpomalí proces snižování nerovností. EHSV bere na vědomí nedávný návrh Komise, podle něhož má být 10 % z přidělených prostředků vyčleněno na venkovské oblasti. Zdůrazňuje však, že tento podíl nebude postačovat k překonání celé řady nejrůznějších </w:t>
      </w:r>
      <w:proofErr w:type="spellStart"/>
      <w:r>
        <w:t>sociekonomických</w:t>
      </w:r>
      <w:proofErr w:type="spellEnd"/>
      <w:r>
        <w:t xml:space="preserve"> </w:t>
      </w:r>
      <w:r w:rsidR="008010FA">
        <w:t>a </w:t>
      </w:r>
      <w:r>
        <w:t>demografických problémů a problémů spojených s poskytováním služeb, s nimiž se venkovské oblasti potýkají. Je nutné stanovit ambicióznější podíl účelově vázaných prostředků zaměřených na konkrétní území, aby bylo zaručeno, že budou investice EU náležitě podporovat udržitelný územní rozvoj.</w:t>
      </w:r>
    </w:p>
    <w:p w14:paraId="42C4FF77" w14:textId="02E7E7A0" w:rsidR="009A5091" w:rsidRPr="0072447F" w:rsidRDefault="009A5091" w:rsidP="00DE214F">
      <w:pPr>
        <w:rPr>
          <w:lang w:val="en-GB"/>
        </w:rPr>
      </w:pPr>
    </w:p>
    <w:p w14:paraId="6E522A38" w14:textId="19064F3D" w:rsidR="009A5091" w:rsidRPr="0072447F" w:rsidRDefault="00940BBA" w:rsidP="00DE214F">
      <w:pPr>
        <w:pStyle w:val="Heading1"/>
        <w:keepNext/>
        <w:rPr>
          <w:b/>
        </w:rPr>
      </w:pPr>
      <w:r>
        <w:rPr>
          <w:b/>
        </w:rPr>
        <w:t>VYSVĚTLUJÍCÍ POZNÁMKY</w:t>
      </w:r>
    </w:p>
    <w:p w14:paraId="6E522A39" w14:textId="7E8149AC" w:rsidR="009A5091" w:rsidRPr="0072447F" w:rsidRDefault="009A5091" w:rsidP="00DE214F">
      <w:pPr>
        <w:keepNext/>
        <w:rPr>
          <w:lang w:val="en-GB"/>
        </w:rPr>
      </w:pPr>
    </w:p>
    <w:p w14:paraId="4DDE41F3" w14:textId="025D560A" w:rsidR="009545D9" w:rsidRDefault="0068002B" w:rsidP="00DE214F">
      <w:pPr>
        <w:keepNext/>
      </w:pPr>
      <w:r>
        <w:rPr>
          <w:i/>
        </w:rPr>
        <w:t>Důvody podporující doporučení 1.1</w:t>
      </w:r>
    </w:p>
    <w:p w14:paraId="6294F160" w14:textId="77777777" w:rsidR="009545D9" w:rsidRDefault="009545D9" w:rsidP="00DE214F">
      <w:pPr>
        <w:keepNext/>
        <w:rPr>
          <w:lang w:val="en-GB"/>
        </w:rPr>
      </w:pPr>
    </w:p>
    <w:p w14:paraId="1D9D9716" w14:textId="210BA1C9" w:rsidR="009A5091" w:rsidRPr="0072447F" w:rsidRDefault="00C8432D" w:rsidP="00DE214F">
      <w:pPr>
        <w:pStyle w:val="Heading2"/>
      </w:pPr>
      <w:r>
        <w:t>Reformy, které byly uskutečněny v poslední době, do jisté míry podkopaly základní principy SZP, protože došlo ke snížení rozpočtu, nebyla zohledněna inflace a zemědělci museli vynaložit více úsilí za menší podporu. Finanční prostředky vyčleněné na SZP nebyly v plné míře využity k poskytnutí pobídek a podpory zemědělcům, aby se tak snažili dosáhnout větší udržitelnosti ve svém podnikání a v uplatňovaných postupech. SZP by měla pomáhat v boji proti změně klimatu a při zvyšování biologické rozmanitosti, odolnosti a udržitelnosti a měla by posilovat strategickou úlohu evropských zemědělců jakožto aktérů, jejichž činnost je v mnoha ohledech přínosná pro obyvatele daných obcí a regionů a pro sociální soudržnost.</w:t>
      </w:r>
    </w:p>
    <w:p w14:paraId="44773265" w14:textId="77777777" w:rsidR="009A5091" w:rsidRPr="0072447F" w:rsidRDefault="009A5091" w:rsidP="00DE214F">
      <w:pPr>
        <w:rPr>
          <w:lang w:val="en-GB"/>
        </w:rPr>
      </w:pPr>
    </w:p>
    <w:p w14:paraId="7B7DD3BA" w14:textId="2991709B" w:rsidR="00024743" w:rsidRPr="0072447F" w:rsidRDefault="00940BBA" w:rsidP="008010FA">
      <w:pPr>
        <w:pStyle w:val="Heading2"/>
        <w:keepNext/>
        <w:keepLines/>
      </w:pPr>
      <w:r>
        <w:lastRenderedPageBreak/>
        <w:t xml:space="preserve">V rámci reforem SZP a VFR je třeba se zaměřit na to, aby měla SZP silný rozpočet, a bylo tak možné zajistit odpovídající a udržitelné dodávky kvalitních a bezpečných potravin, zaručit zemědělcům dostatečný příjem, odměňovat aktivní zemědělce a produktivní využívání půdy, podporovat environmentální opatření založená na praktických poznatcích, která jsou účinná </w:t>
      </w:r>
      <w:r w:rsidR="008010FA">
        <w:t>a </w:t>
      </w:r>
      <w:r>
        <w:t xml:space="preserve">zároveň nesnižují produkci a efektivitu, prosazovat udržitelné a ucelené výrobní systémy (například ekologické zemědělství a další agroekologické systémy) a dále pak uznat </w:t>
      </w:r>
      <w:r w:rsidR="008010FA">
        <w:t>a </w:t>
      </w:r>
      <w:r>
        <w:t>podporovat udržitelnost ve smyslu dlouhodobé odolnosti.</w:t>
      </w:r>
    </w:p>
    <w:p w14:paraId="786B9F9C" w14:textId="77777777" w:rsidR="00024743" w:rsidRPr="0072447F" w:rsidRDefault="00024743" w:rsidP="00DE214F">
      <w:pPr>
        <w:rPr>
          <w:lang w:val="en-GB"/>
        </w:rPr>
      </w:pPr>
    </w:p>
    <w:p w14:paraId="6EA69BC9" w14:textId="7AA87A58" w:rsidR="009A5091" w:rsidRPr="0072447F" w:rsidRDefault="00024743" w:rsidP="00DE214F">
      <w:pPr>
        <w:pStyle w:val="Heading2"/>
      </w:pPr>
      <w:r>
        <w:t>V nové zprávě Společného výzkumného střediska s názvem „</w:t>
      </w:r>
      <w:proofErr w:type="spellStart"/>
      <w:r>
        <w:t>Scenar</w:t>
      </w:r>
      <w:proofErr w:type="spellEnd"/>
      <w:r>
        <w:t xml:space="preserve"> 2024“</w:t>
      </w:r>
      <w:r w:rsidR="00F62735" w:rsidRPr="0072447F">
        <w:rPr>
          <w:rStyle w:val="FootnoteReference"/>
          <w:lang w:val="en-GB"/>
        </w:rPr>
        <w:footnoteReference w:id="6"/>
      </w:r>
      <w:r>
        <w:t xml:space="preserve"> byla představena zajímavá analýza různých směrů vývoje SZP a toho, jak by mohly ovlivnit sektor zemědělství </w:t>
      </w:r>
      <w:r w:rsidR="008010FA">
        <w:t>a </w:t>
      </w:r>
      <w:r>
        <w:t>jeho environmentální dopad. Ve zprávě byly prozkoumány tři různé scénáře – v prvním je kladen důraz na produktivitu a investice, druhý se zaměřuje na životní prostředí a klima a ve třetím se pracuje s teorií neexistence SZP. Podle tohoto třetího scénáře by prudce klesly příjmy zemědělských podniků a jejich produkce, méně by se vyváželo a naopak by se více dováželo, zvýšily by se spotřebitelské ceny a zaniklo by 250 000 pracovních míst. V EU by se snížily emise skleníkových plynů o 12,4 tun ekvivalentu CO</w:t>
      </w:r>
      <w:r>
        <w:rPr>
          <w:vertAlign w:val="subscript"/>
        </w:rPr>
        <w:t>2</w:t>
      </w:r>
      <w:r>
        <w:t>, v celosvětovém měřítku by však tyto emise vzrostly o 20,6 tun, z čehož vyplývá čistý nárůst o 8,2 tun. Podle scénáře zaměřeného na životní prostředí a klima by se propadla produkce, stouply by spotřebitelské ceny, posílil by se dovoz a oslabil vývoz a zaniklo by 90 000 pracovních míst. Emise skleníkových plynů v EU by klesly o 6 tun ekvivalentu CO</w:t>
      </w:r>
      <w:r>
        <w:rPr>
          <w:vertAlign w:val="subscript"/>
        </w:rPr>
        <w:t>2</w:t>
      </w:r>
      <w:r>
        <w:t xml:space="preserve">, celosvětové emise by se však v důsledku úniku emisí zvýšily </w:t>
      </w:r>
      <w:r w:rsidR="008010FA">
        <w:t>o </w:t>
      </w:r>
      <w:r>
        <w:t xml:space="preserve">16 tun, takže vychází čistý nárůst o 10 tun. Scénář s položením důrazu na produktivitu </w:t>
      </w:r>
      <w:r w:rsidR="008010FA">
        <w:t>a </w:t>
      </w:r>
      <w:r>
        <w:t>investice by pak přinesl zvýšení produkce a cen, posílení vývozu a oslabení dovozu a vznik nových pracovních míst. Emise v EU by vzrostly o 2 tuny ekvivalentu CO</w:t>
      </w:r>
      <w:r>
        <w:rPr>
          <w:vertAlign w:val="subscript"/>
        </w:rPr>
        <w:t>2</w:t>
      </w:r>
      <w:r>
        <w:t>, ve světě by se však snížily o 11 tun, celkově by tedy došlo k čistému snížení o 9 tun.</w:t>
      </w:r>
    </w:p>
    <w:p w14:paraId="68E3EEC0" w14:textId="77777777" w:rsidR="00024743" w:rsidRPr="0072447F" w:rsidRDefault="00024743" w:rsidP="00DE214F">
      <w:pPr>
        <w:rPr>
          <w:lang w:val="en-GB"/>
        </w:rPr>
      </w:pPr>
    </w:p>
    <w:p w14:paraId="0B08B565" w14:textId="74A983B8" w:rsidR="009A5091" w:rsidRPr="0072447F" w:rsidRDefault="00940BBA" w:rsidP="00DE214F">
      <w:pPr>
        <w:keepNext/>
        <w:keepLines/>
      </w:pPr>
      <w:r>
        <w:rPr>
          <w:i/>
        </w:rPr>
        <w:t>Důvody podporující doporučení 1.3, 1.4, 1.5, 1.6, 1.7 a 1.8</w:t>
      </w:r>
    </w:p>
    <w:p w14:paraId="4A324A62" w14:textId="77777777" w:rsidR="009A5091" w:rsidRPr="0072447F" w:rsidRDefault="009A5091" w:rsidP="00DE214F">
      <w:pPr>
        <w:keepNext/>
        <w:keepLines/>
        <w:rPr>
          <w:lang w:val="en-GB"/>
        </w:rPr>
      </w:pPr>
    </w:p>
    <w:p w14:paraId="3330CB86" w14:textId="0C1F3A23" w:rsidR="009A5091" w:rsidRPr="0072447F" w:rsidRDefault="00940BBA" w:rsidP="00DE214F">
      <w:pPr>
        <w:pStyle w:val="Heading2"/>
      </w:pPr>
      <w:r>
        <w:t xml:space="preserve">Komisí navrhovaná účelově vázaná částka na podporu příjmů v rámci SZP na období 2028–2034 činí 295,7 miliardy EUR v běžných cenách. V současném VFR je to 387,8 miliardy EUR na období 2021–2027. V nominálních hodnotách by se tedy rozpočet dle tohoto návrhu snížil </w:t>
      </w:r>
      <w:r w:rsidR="008010FA">
        <w:t>o </w:t>
      </w:r>
      <w:r>
        <w:t xml:space="preserve">92,1 miliardy EUR, tj. o 24 %. V reálném vyjádření by však toto snížení bylo mnohem výraznější. Pokud by se rozpočet SZP na období 2021–2027 ve výši 336 miliard EUR v cenách roku 2018 upravil o inflaci na úroveň roku 2025, musel by činit 436 miliard EUR. V porovnání s navrhovanou částkou 295,7 miliardy EUR se jedná o snížení o 47 %. </w:t>
      </w:r>
    </w:p>
    <w:p w14:paraId="75C37D65" w14:textId="77777777" w:rsidR="009A5091" w:rsidRPr="0072447F" w:rsidRDefault="009A5091" w:rsidP="00DE214F">
      <w:pPr>
        <w:pStyle w:val="Heading2"/>
        <w:numPr>
          <w:ilvl w:val="0"/>
          <w:numId w:val="0"/>
        </w:numPr>
        <w:rPr>
          <w:lang w:val="en-GB"/>
        </w:rPr>
      </w:pPr>
    </w:p>
    <w:p w14:paraId="3C5BA134" w14:textId="1B4B39F2" w:rsidR="009A5091" w:rsidRPr="0072447F" w:rsidRDefault="00940BBA" w:rsidP="00DE214F">
      <w:pPr>
        <w:pStyle w:val="Heading2"/>
      </w:pPr>
      <w:r>
        <w:t xml:space="preserve">Komise nicméně uvedla, že nezemědělské výdaje na rozvoj venkova a další výdaje v rámci SZP, které zemědělci nedostávají přímo, budou nyní financovány nad rámec této účelově vázané částky na podporu příjmů v rámci SZP, a to prostřednictvím Fondu národních </w:t>
      </w:r>
      <w:r w:rsidR="008010FA">
        <w:t>a </w:t>
      </w:r>
      <w:r>
        <w:t xml:space="preserve">regionálních partnerství (NRPF). Jaká částka bude nakonec na výdaje SZP skutečně přidělena, bude záviset na tom, jak členské státy rozdělí svůj podíl prostředků z Fondu národních </w:t>
      </w:r>
      <w:r w:rsidR="008010FA">
        <w:t>a </w:t>
      </w:r>
      <w:r>
        <w:t xml:space="preserve">regionálních partnerství v rámci svých plánů národního a regionálního partnerství. Budeme-li vycházet z toho, že zhruba 8 % výdajů v rámci stávající SZP je určeno na nezemědělská opatření v oblasti rozvoje venkova (23,7 miliardy EUR) a 6,3 miliardy EUR mají být přiděleny </w:t>
      </w:r>
      <w:r>
        <w:lastRenderedPageBreak/>
        <w:t>na Jednotnou bezpečnostní síť, pak by měl celkový minimální rozpočet SZP na období 2028–2034 činit 325,7 miliardy EUR (základní rozpočet ve výši 295,7 miliardy EUR + 23,7 miliardy EUR + 6,3 miliardy EUR). V porovnání s rozpočtem stávající SZP ve výši 387,8 miliardy EUR by tedy došlo ke snížení o 16 %</w:t>
      </w:r>
      <w:r w:rsidRPr="0072447F">
        <w:rPr>
          <w:rStyle w:val="FootnoteReference"/>
          <w:lang w:val="en-GB"/>
        </w:rPr>
        <w:footnoteReference w:id="7"/>
      </w:r>
      <w:r>
        <w:t>.</w:t>
      </w:r>
    </w:p>
    <w:p w14:paraId="1E6EFB18" w14:textId="77777777" w:rsidR="009A5091" w:rsidRPr="0072447F" w:rsidRDefault="009A5091" w:rsidP="00DE214F">
      <w:pPr>
        <w:rPr>
          <w:lang w:val="en-GB"/>
        </w:rPr>
      </w:pPr>
    </w:p>
    <w:p w14:paraId="0F2DB172" w14:textId="20D16A68" w:rsidR="009A5091" w:rsidRPr="0072447F" w:rsidRDefault="00940BBA" w:rsidP="00DE214F">
      <w:pPr>
        <w:pStyle w:val="Heading2"/>
      </w:pPr>
      <w:r>
        <w:t>Podíl rozpočtu EU vyhrazený na SZP se za posledních 40 letech snížil o 62 % – z 65,5 % v roce 1980 na o něco méně než 25 % v roce 2021. Na zúčastněné zemědělce jsou však kladeny stále větší a finančně náročnější požadavky</w:t>
      </w:r>
      <w:r w:rsidRPr="0072447F">
        <w:rPr>
          <w:rStyle w:val="FootnoteReference"/>
          <w:lang w:val="en-GB"/>
        </w:rPr>
        <w:footnoteReference w:id="8"/>
      </w:r>
      <w:r>
        <w:t>.</w:t>
      </w:r>
    </w:p>
    <w:p w14:paraId="524D9B27" w14:textId="77777777" w:rsidR="009A5091" w:rsidRPr="0072447F" w:rsidRDefault="009A5091" w:rsidP="00DE214F">
      <w:pPr>
        <w:rPr>
          <w:lang w:val="en-GB"/>
        </w:rPr>
      </w:pPr>
    </w:p>
    <w:p w14:paraId="35E09628" w14:textId="1D0D0D97" w:rsidR="009A5091" w:rsidRPr="0072447F" w:rsidRDefault="00940BBA" w:rsidP="00DE214F">
      <w:pPr>
        <w:pStyle w:val="Heading2"/>
      </w:pPr>
      <w:r>
        <w:t>Navzdory postupným rozšířením se celková výše financování SZP v poměru k HDP výrazně snížila z 0,66 % v roce 1993, kdy byla nejvyšší, na pouhých 0,29 % v roce 2024</w:t>
      </w:r>
      <w:r w:rsidRPr="0072447F">
        <w:rPr>
          <w:rStyle w:val="FootnoteReference"/>
          <w:lang w:val="en-GB"/>
        </w:rPr>
        <w:footnoteReference w:id="9"/>
      </w:r>
      <w:r>
        <w:t>. EHSV vyzývá EU, aby v příštím VFR na období 2028–2034 na SZP opětovně vyčlenila prostředky ve výši odpovídající 0,5 % HDP EU.</w:t>
      </w:r>
    </w:p>
    <w:p w14:paraId="6B56C3BA" w14:textId="52E229F2" w:rsidR="009A5091" w:rsidRPr="0072447F" w:rsidRDefault="009A5091" w:rsidP="00DE214F">
      <w:pPr>
        <w:rPr>
          <w:lang w:val="en-GB"/>
        </w:rPr>
      </w:pPr>
    </w:p>
    <w:p w14:paraId="0E6D3487" w14:textId="3FD0DD32" w:rsidR="009A5091" w:rsidRPr="0072447F" w:rsidRDefault="00940BBA" w:rsidP="00DE214F">
      <w:pPr>
        <w:pStyle w:val="Heading2"/>
      </w:pPr>
      <w:r>
        <w:t>Do roku 2050 bude zapotřebí zvýšit produkci potravin o 70 % (z hlediska potřebných kalorií), aby bylo možné uživit světovou populaci čítající 9,6 miliardy lidí. Tyto potraviny bude nutné produkovat udržitelnějším způsobem</w:t>
      </w:r>
      <w:r w:rsidR="00A0684F">
        <w:rPr>
          <w:rStyle w:val="FootnoteReference"/>
          <w:lang w:val="en-GB"/>
        </w:rPr>
        <w:footnoteReference w:id="10"/>
      </w:r>
      <w:r>
        <w:t>, každým rokem však na světě ubude 12 milionů hektarů produktivní půdy</w:t>
      </w:r>
      <w:r w:rsidRPr="0072447F">
        <w:rPr>
          <w:rStyle w:val="FootnoteReference"/>
          <w:lang w:val="en-GB"/>
        </w:rPr>
        <w:footnoteReference w:id="11"/>
      </w:r>
      <w:r>
        <w:t xml:space="preserve">. Evropa a její občané potřebují silnou SZP, která bude mít silný rozpočet </w:t>
      </w:r>
      <w:r w:rsidR="008010FA">
        <w:t>a </w:t>
      </w:r>
      <w:r>
        <w:t>bude pomáhat zajistit, aby bylo zemědělské odvětví ekonomicky, sociálně a environmentálně udržitelné, aby v něm byly dodržovány přísné normy produkce a aby zajišťovalo spolehlivé dodávky bezpečných a kvalitních potravin za dostupné ceny</w:t>
      </w:r>
      <w:r w:rsidRPr="0072447F">
        <w:rPr>
          <w:rStyle w:val="FootnoteReference"/>
          <w:lang w:val="en-GB"/>
        </w:rPr>
        <w:footnoteReference w:id="12"/>
      </w:r>
      <w:r>
        <w:t>.</w:t>
      </w:r>
    </w:p>
    <w:p w14:paraId="3E2E9E5A" w14:textId="77777777" w:rsidR="009A5091" w:rsidRPr="0072447F" w:rsidRDefault="009A5091" w:rsidP="00DE214F">
      <w:pPr>
        <w:rPr>
          <w:lang w:val="en-GB"/>
        </w:rPr>
      </w:pPr>
    </w:p>
    <w:p w14:paraId="1B026E1E" w14:textId="022FE4FF" w:rsidR="00AE73BF" w:rsidRPr="0072447F" w:rsidRDefault="00AE73BF" w:rsidP="00DE214F">
      <w:pPr>
        <w:pStyle w:val="Heading2"/>
      </w:pPr>
      <w:r>
        <w:t xml:space="preserve">Dosažení potravinového zabezpečení a strategické autonomie tvoří stěžejní prvek evropské obranné politiky. Zachování produkční kapacity ve všech regionech a zejména v příhraničních oblastech pak má zásadní význam z hlediska odolnosti a bezpečnosti. EHSV upozorňuje, že si EU musí uvědomit dané riziko a musí podporovat členské státy, které se nacházejí u jejích východních vnějších hranic a čelí větším hrozbám v souvislosti s potravinovým zabezpečením, logistikou a geopolitickým vývojem. </w:t>
      </w:r>
    </w:p>
    <w:p w14:paraId="59CAA80A" w14:textId="77777777" w:rsidR="00AE73BF" w:rsidRPr="0072447F" w:rsidRDefault="00AE73BF" w:rsidP="00DE214F">
      <w:pPr>
        <w:rPr>
          <w:lang w:val="en-GB"/>
        </w:rPr>
      </w:pPr>
    </w:p>
    <w:p w14:paraId="17033BB5" w14:textId="2C313E6B" w:rsidR="009A5091" w:rsidRPr="0072447F" w:rsidRDefault="00940BBA" w:rsidP="00DE214F">
      <w:pPr>
        <w:pStyle w:val="Heading2"/>
      </w:pPr>
      <w:r>
        <w:t>EHSV vítá návrh Komise, aby byly platby v rámci VFR a SZP v budoucnu indexovány s cílem zohlednit inflaci. Zdůrazňuje, že tato indexace se musí vztahovat i na platby zemědělským podnikům v rámci SZP.</w:t>
      </w:r>
    </w:p>
    <w:p w14:paraId="3351BB72" w14:textId="77777777" w:rsidR="009A5091" w:rsidRPr="0072447F" w:rsidRDefault="009A5091" w:rsidP="00DE214F">
      <w:pPr>
        <w:rPr>
          <w:lang w:val="en-GB"/>
        </w:rPr>
      </w:pPr>
    </w:p>
    <w:p w14:paraId="5F05546B" w14:textId="783469E8" w:rsidR="009A5091" w:rsidRPr="0072447F" w:rsidRDefault="00940BBA" w:rsidP="008010FA">
      <w:pPr>
        <w:pStyle w:val="Heading2"/>
        <w:keepNext/>
        <w:keepLines/>
      </w:pPr>
      <w:r>
        <w:lastRenderedPageBreak/>
        <w:t xml:space="preserve">Vítá rovněž skutečnost, že Komise navrhla vytvořit Jednotnou bezpečnostní síť pro případ narušení trhu a vyčlenit na ni zvláštní složku rozpočtu ve výši 6,3 miliardy EUR. Chtěl by nicméně důrazně upozornit, že tento návrh nesmí být využit ve snaze ospravedlnit uzavření obchodních dohod, které poškodí zemědělské trhy v EU, jako je tomu například v případě dohody s </w:t>
      </w:r>
      <w:proofErr w:type="spellStart"/>
      <w:r>
        <w:t>Mercosurem</w:t>
      </w:r>
      <w:proofErr w:type="spellEnd"/>
      <w:r>
        <w:t>.</w:t>
      </w:r>
    </w:p>
    <w:p w14:paraId="239DC55B" w14:textId="77777777" w:rsidR="009A5091" w:rsidRPr="0072447F" w:rsidRDefault="009A5091" w:rsidP="00DE214F">
      <w:pPr>
        <w:rPr>
          <w:lang w:val="en-GB"/>
        </w:rPr>
      </w:pPr>
    </w:p>
    <w:p w14:paraId="4BD80123" w14:textId="0DCFDDB9" w:rsidR="009545D9" w:rsidRDefault="00940BBA" w:rsidP="00DE214F">
      <w:pPr>
        <w:keepNext/>
        <w:keepLines/>
        <w:rPr>
          <w:i/>
        </w:rPr>
      </w:pPr>
      <w:r>
        <w:rPr>
          <w:i/>
        </w:rPr>
        <w:t>Důvody podporující doporučení 1.9</w:t>
      </w:r>
    </w:p>
    <w:p w14:paraId="38B068AB" w14:textId="77777777" w:rsidR="009545D9" w:rsidRDefault="009545D9" w:rsidP="00DE214F">
      <w:pPr>
        <w:keepNext/>
        <w:keepLines/>
        <w:rPr>
          <w:i/>
          <w:lang w:val="en-GB"/>
        </w:rPr>
      </w:pPr>
    </w:p>
    <w:p w14:paraId="03E438AA" w14:textId="29AFBDA1" w:rsidR="009A5091" w:rsidRPr="0072447F" w:rsidRDefault="00940BBA" w:rsidP="00DE214F">
      <w:pPr>
        <w:pStyle w:val="Heading2"/>
      </w:pPr>
      <w:r>
        <w:t xml:space="preserve">Reciprocita má zcela zásadní význam pro zajištění rovných podmínek. Evropští zemědělci musí dodržovat přísnější požadavky v oblasti environmentální udržitelnosti, dobrých životních podmínek zvířat, bezpečnosti potravin a pracovních práv. EU proto musí přijmout opatření </w:t>
      </w:r>
      <w:r w:rsidR="008010FA">
        <w:t>s </w:t>
      </w:r>
      <w:r>
        <w:t xml:space="preserve">cílem zajistit, že bude odměňována produkce těchto veřejných statků, a ochránit udržitelnost svého zemědělsko-potravinářského systému. Kromě toho musí EU zavést ochranné mechanismy, které budou financovány z jiných zdrojů, než je rozpočet SZP, a budou producenty a produkty z EU chránit před případným znevýhodněním na trzích oproti produktům ze zemí, v nichž platí mnohem nižší standardy. </w:t>
      </w:r>
    </w:p>
    <w:p w14:paraId="223A9480" w14:textId="77777777" w:rsidR="009A5091" w:rsidRPr="0072447F" w:rsidRDefault="009A5091" w:rsidP="00DE214F">
      <w:pPr>
        <w:pStyle w:val="Heading2"/>
        <w:numPr>
          <w:ilvl w:val="0"/>
          <w:numId w:val="0"/>
        </w:numPr>
        <w:rPr>
          <w:lang w:val="en-GB"/>
        </w:rPr>
      </w:pPr>
    </w:p>
    <w:p w14:paraId="0DD8928A" w14:textId="2BCE3A24" w:rsidR="009545D9" w:rsidRDefault="00940BBA" w:rsidP="00DE214F">
      <w:pPr>
        <w:rPr>
          <w:i/>
        </w:rPr>
      </w:pPr>
      <w:r>
        <w:rPr>
          <w:i/>
        </w:rPr>
        <w:t>Důvody podporující doporučení 1.10</w:t>
      </w:r>
    </w:p>
    <w:p w14:paraId="487A8037" w14:textId="77777777" w:rsidR="009545D9" w:rsidRDefault="009545D9" w:rsidP="00DE214F">
      <w:pPr>
        <w:rPr>
          <w:i/>
          <w:lang w:val="en-GB"/>
        </w:rPr>
      </w:pPr>
    </w:p>
    <w:p w14:paraId="42899E5F" w14:textId="117D1C26" w:rsidR="009A5091" w:rsidRPr="0072447F" w:rsidRDefault="00940BBA" w:rsidP="00DE214F">
      <w:pPr>
        <w:pStyle w:val="Heading2"/>
      </w:pPr>
      <w:r>
        <w:t>Návrhy na odklon od společné politiky a přechod k politice založené na doporučeních pro jednotlivé státy povedou k opětovnému převedení SZP na vnitrostátní úroveň a k narušení jednotného trhu. Povedou rovněž k přenesení odpovědnosti za definování, prosazování, financování a monitorování toho, nakolik jsou dodržovány ekologické postupy. To by pak mohlo mít za následek, že se sníží ambice a roztříští postup a bude promarněna příležitost sladit SZP s ostatními environmentálními politikami EU.</w:t>
      </w:r>
    </w:p>
    <w:p w14:paraId="0DD94789" w14:textId="77777777" w:rsidR="009A5091" w:rsidRPr="0072447F" w:rsidRDefault="009A5091" w:rsidP="00DE214F">
      <w:pPr>
        <w:rPr>
          <w:lang w:val="en-GB"/>
        </w:rPr>
      </w:pPr>
    </w:p>
    <w:p w14:paraId="639A03D9" w14:textId="07ADA703" w:rsidR="009A5091" w:rsidRPr="0072447F" w:rsidRDefault="00940BBA" w:rsidP="00DE214F">
      <w:pPr>
        <w:keepNext/>
        <w:keepLines/>
        <w:rPr>
          <w:i/>
        </w:rPr>
      </w:pPr>
      <w:r>
        <w:rPr>
          <w:i/>
        </w:rPr>
        <w:t>Důvody podporující doporučení 1.12</w:t>
      </w:r>
    </w:p>
    <w:p w14:paraId="269274B3" w14:textId="77777777" w:rsidR="009A5091" w:rsidRPr="00925E56" w:rsidRDefault="009A5091" w:rsidP="00DE214F">
      <w:pPr>
        <w:keepNext/>
        <w:keepLines/>
        <w:rPr>
          <w:i/>
          <w:lang w:val="en-GB"/>
        </w:rPr>
      </w:pPr>
    </w:p>
    <w:p w14:paraId="789830B7" w14:textId="472BF492" w:rsidR="009A5091" w:rsidRPr="0072447F" w:rsidRDefault="00940BBA" w:rsidP="00DE214F">
      <w:pPr>
        <w:pStyle w:val="Heading2"/>
      </w:pPr>
      <w:r>
        <w:t xml:space="preserve">V případě přerozdělení finančních prostředků EU v rámci navrhovaného Fondu národních </w:t>
      </w:r>
      <w:r w:rsidR="008010FA">
        <w:t>a </w:t>
      </w:r>
      <w:r>
        <w:t xml:space="preserve">regionálních partnerství by byla SZP méně schopna chránit potravinové zabezpečení EU </w:t>
      </w:r>
      <w:r w:rsidR="008010FA">
        <w:t>a </w:t>
      </w:r>
      <w:r>
        <w:t xml:space="preserve">oslabilo by to jednotný trh, venkovské oblasti a finanční životaschopnost zemědělců </w:t>
      </w:r>
      <w:r w:rsidR="008010FA">
        <w:t>a </w:t>
      </w:r>
      <w:r>
        <w:t xml:space="preserve">venkovských subjektů. EHSV bere na vědomí zavedení nového cíle týkajícího se venkovských oblastí, domnívá se však, že 10 % je až příliš málo, a zdůrazňuje, že musí být zachován </w:t>
      </w:r>
      <w:proofErr w:type="spellStart"/>
      <w:r>
        <w:t>dvoupilířový</w:t>
      </w:r>
      <w:proofErr w:type="spellEnd"/>
      <w:r>
        <w:t xml:space="preserve"> model SZP. </w:t>
      </w:r>
    </w:p>
    <w:p w14:paraId="64DBD552" w14:textId="77777777" w:rsidR="009A5091" w:rsidRPr="0072447F" w:rsidRDefault="009A5091" w:rsidP="00DE214F">
      <w:pPr>
        <w:pStyle w:val="Heading2"/>
        <w:numPr>
          <w:ilvl w:val="0"/>
          <w:numId w:val="0"/>
        </w:numPr>
        <w:rPr>
          <w:lang w:val="en-GB"/>
        </w:rPr>
      </w:pPr>
    </w:p>
    <w:p w14:paraId="6093A452" w14:textId="70DC2CCE" w:rsidR="009A5091" w:rsidRPr="00925E56" w:rsidRDefault="00940BBA" w:rsidP="00DE214F">
      <w:pPr>
        <w:rPr>
          <w:i/>
        </w:rPr>
      </w:pPr>
      <w:r>
        <w:rPr>
          <w:i/>
        </w:rPr>
        <w:t>Důvody podporující doporučení 1.13</w:t>
      </w:r>
    </w:p>
    <w:p w14:paraId="1B13CF75" w14:textId="77777777" w:rsidR="009A5091" w:rsidRPr="00925E56" w:rsidRDefault="009A5091" w:rsidP="00DE214F">
      <w:pPr>
        <w:rPr>
          <w:i/>
          <w:lang w:val="en-GB"/>
        </w:rPr>
      </w:pPr>
    </w:p>
    <w:p w14:paraId="0B5FFEE7" w14:textId="16DBB9DF" w:rsidR="009A5091" w:rsidRPr="0072447F" w:rsidRDefault="00940BBA" w:rsidP="00DE214F">
      <w:pPr>
        <w:pStyle w:val="Heading2"/>
      </w:pPr>
      <w:r>
        <w:t xml:space="preserve">Je třeba zachovat specifickou podporu příjmů spočívající v platbách na základě obdělávané plochy a vyplácet ji skutečně aktivním zemědělcům, kteří se zabývají potravinářskou </w:t>
      </w:r>
      <w:r w:rsidR="008010FA">
        <w:t>a </w:t>
      </w:r>
      <w:r>
        <w:t>zemědělskou výrobou a produkují veřejné statky, včetně zemědělců vykonávajících zemědělskou činnost na částečný úvazek. Přímé platby nesmějí být vypláceny těm, kteří jsou pouze vlastníky půdy, ale aktivně se nepodílejí na zemědělské produkci a zajišťování veřejných statků</w:t>
      </w:r>
      <w:r w:rsidR="00AE2FE0" w:rsidRPr="0072447F">
        <w:rPr>
          <w:rStyle w:val="FootnoteReference"/>
          <w:lang w:val="en-GB"/>
        </w:rPr>
        <w:footnoteReference w:id="13"/>
      </w:r>
      <w:r>
        <w:t xml:space="preserve">. Komise by měla navrhnout jasnou definici aktivního zemědělce, která se bude opírat </w:t>
      </w:r>
      <w:r w:rsidR="008010FA">
        <w:lastRenderedPageBreak/>
        <w:t>o </w:t>
      </w:r>
      <w:r>
        <w:t>objektivní kritéria, bude spravedlivá a v souladu s evropským modelem zemědělství a bude zohledňovat také nejzranitelnější zemědělce a zemědělce, kteří jsou zcela nebo zčásti samozásobitelští.</w:t>
      </w:r>
    </w:p>
    <w:p w14:paraId="06FE9A6D" w14:textId="77777777" w:rsidR="009A5091" w:rsidRPr="0072447F" w:rsidRDefault="009A5091" w:rsidP="00DE214F">
      <w:pPr>
        <w:rPr>
          <w:lang w:val="en-GB"/>
        </w:rPr>
      </w:pPr>
    </w:p>
    <w:p w14:paraId="06273370" w14:textId="39BD44F1" w:rsidR="009A5091" w:rsidRPr="0072447F" w:rsidRDefault="00940BBA" w:rsidP="00DE214F">
      <w:pPr>
        <w:keepNext/>
        <w:rPr>
          <w:i/>
        </w:rPr>
      </w:pPr>
      <w:r>
        <w:rPr>
          <w:i/>
        </w:rPr>
        <w:t>Důvody podporující doporučení 1.14 a 1.15</w:t>
      </w:r>
    </w:p>
    <w:p w14:paraId="7018EC33" w14:textId="77777777" w:rsidR="009A5091" w:rsidRPr="0072447F" w:rsidRDefault="009A5091" w:rsidP="00DE214F">
      <w:pPr>
        <w:keepNext/>
        <w:rPr>
          <w:lang w:val="en-GB"/>
        </w:rPr>
      </w:pPr>
    </w:p>
    <w:p w14:paraId="4AAC6C6E" w14:textId="25F8EDC0" w:rsidR="009A5091" w:rsidRPr="0072447F" w:rsidRDefault="00940BBA" w:rsidP="00DE214F">
      <w:pPr>
        <w:pStyle w:val="Heading2"/>
      </w:pPr>
      <w:r>
        <w:t>Je třeba zohlednit poznatky ohledně dopadu konvergence na životaschopnost zemědělských podniků v rámci předchozích reforem SZP. Další postupné snižování plateb sníží příjmy zemědělských podniků a také počet ekonomicky životaschopných producentů. EHSV odmítá záměr a návrh Komise provést postupné snížení plateb na zemědělský podnik určených některým skupinám zemědělců a financovat z takto získaných prostředků platby určené jiným skupinám zemědělců. Je sice naprosto nezbytné zvýšit přímé platby vyplácené mladým zemědělcům a zemědělcům s nízkými příjmy, potřebné prostředky je však nutné zajistit navýšením rozpočtu SZP. Veškeré návrhy týkající se přerozdělení musí být spravedlivé a nesmí se dotknout příjmů zemědělských podniků ani ohrozit životaschopnost kapitálově náročných odvětví, jako je mlékárenský průmysl, odvětví produkce hovězího masa a pěstování plodin. Měly by být zvažovány až po nezávislém posouzení plateb na základě obdělávané plochy na úrovni členských států.</w:t>
      </w:r>
    </w:p>
    <w:p w14:paraId="7BC21604" w14:textId="77777777" w:rsidR="009A5091" w:rsidRPr="0072447F" w:rsidRDefault="009A5091" w:rsidP="00DE214F">
      <w:pPr>
        <w:rPr>
          <w:lang w:val="en-GB"/>
        </w:rPr>
      </w:pPr>
    </w:p>
    <w:p w14:paraId="14CA8CAB" w14:textId="59C597C5" w:rsidR="009A5091" w:rsidRPr="0072447F" w:rsidRDefault="00940BBA" w:rsidP="00DE214F">
      <w:pPr>
        <w:keepNext/>
        <w:rPr>
          <w:i/>
        </w:rPr>
      </w:pPr>
      <w:r>
        <w:rPr>
          <w:i/>
        </w:rPr>
        <w:t>Důvody podporující doporučení 1.16</w:t>
      </w:r>
    </w:p>
    <w:p w14:paraId="53C887C2" w14:textId="77777777" w:rsidR="009A5091" w:rsidRPr="0072447F" w:rsidRDefault="009A5091" w:rsidP="00DE214F">
      <w:pPr>
        <w:keepNext/>
        <w:rPr>
          <w:lang w:val="en-GB"/>
        </w:rPr>
      </w:pPr>
    </w:p>
    <w:p w14:paraId="66B1BE0E" w14:textId="4A89CA52" w:rsidR="009A5091" w:rsidRPr="0072447F" w:rsidRDefault="00940BBA" w:rsidP="00DE214F">
      <w:pPr>
        <w:pStyle w:val="Heading2"/>
      </w:pPr>
      <w:r>
        <w:t>Zemědělci čelí zcela specifickým výzvám, pokud jde o důchody, a to kvůli nižším příjmům, problémům s generační obměnou a kulturním postojům k otázce odchodu do důchodu. Průměrný věk evropského zemědělce je 57 let. Pouze jeden z deseti mladých zemědělců je mladší 40 let (dle unijní definice mladého zemědělce)</w:t>
      </w:r>
      <w:r w:rsidRPr="0072447F">
        <w:rPr>
          <w:rStyle w:val="FootnoteReference"/>
          <w:lang w:val="en-GB"/>
        </w:rPr>
        <w:footnoteReference w:id="14"/>
      </w:r>
      <w:r>
        <w:t>. Příjmy zemědělců jsou přibližně o 40 % nižší než průměrné příjmy v jiných než zemědělských profesích</w:t>
      </w:r>
      <w:r w:rsidRPr="0072447F">
        <w:rPr>
          <w:rStyle w:val="FootnoteReference"/>
          <w:color w:val="000000"/>
          <w:shd w:val="clear" w:color="auto" w:fill="FFFFFF"/>
          <w:lang w:val="en-GB"/>
        </w:rPr>
        <w:footnoteReference w:id="15"/>
      </w:r>
      <w:r>
        <w:t>. Pokud by Komise uskutečnila návrh na zastavení podpory příjmů na základě obdělávané plochy v případě zemědělců, kteří do roku 2032 dosáhnou důchodového věku, aniž by jim zaručila plnou kompenzaci, pak by to mělo velmi nepříznivý dopad na velký počet starších zemědělců. Počet zemědělských podniků v EU neustále klesá – mezi lety 2003 a 2020 klesl ze zhruba 15 milionů na 9,1 milionu, tj. o 39 %</w:t>
      </w:r>
      <w:r w:rsidRPr="0072447F">
        <w:rPr>
          <w:rStyle w:val="FootnoteReference"/>
          <w:lang w:val="en-GB"/>
        </w:rPr>
        <w:footnoteReference w:id="16"/>
      </w:r>
      <w:r>
        <w:t>.</w:t>
      </w:r>
    </w:p>
    <w:p w14:paraId="49B9108A" w14:textId="77777777" w:rsidR="009A5091" w:rsidRPr="0072447F" w:rsidRDefault="009A5091" w:rsidP="00DE214F">
      <w:pPr>
        <w:rPr>
          <w:lang w:val="en-GB"/>
        </w:rPr>
      </w:pPr>
    </w:p>
    <w:p w14:paraId="48FD19ED" w14:textId="188CBC7D" w:rsidR="003D3B8E" w:rsidRPr="0072447F" w:rsidRDefault="003D3B8E" w:rsidP="008010FA">
      <w:pPr>
        <w:keepNext/>
        <w:keepLines/>
        <w:rPr>
          <w:i/>
          <w:iCs/>
        </w:rPr>
      </w:pPr>
      <w:r>
        <w:rPr>
          <w:i/>
        </w:rPr>
        <w:lastRenderedPageBreak/>
        <w:t>Důvody podporující doporučení 1.18</w:t>
      </w:r>
    </w:p>
    <w:p w14:paraId="7B9ABB2C" w14:textId="77777777" w:rsidR="00060154" w:rsidRPr="0072447F" w:rsidRDefault="00060154" w:rsidP="008010FA">
      <w:pPr>
        <w:keepNext/>
        <w:keepLines/>
        <w:rPr>
          <w:lang w:val="en-GB"/>
        </w:rPr>
      </w:pPr>
    </w:p>
    <w:p w14:paraId="7A0B8DDA" w14:textId="39709FC1" w:rsidR="00060154" w:rsidRPr="0072447F" w:rsidRDefault="00060154" w:rsidP="008010FA">
      <w:pPr>
        <w:pStyle w:val="Heading2"/>
        <w:keepNext/>
        <w:keepLines/>
      </w:pPr>
      <w:r>
        <w:t xml:space="preserve">Na </w:t>
      </w:r>
      <w:proofErr w:type="spellStart"/>
      <w:r>
        <w:t>agroenvironmentální</w:t>
      </w:r>
      <w:proofErr w:type="spellEnd"/>
      <w:r>
        <w:t xml:space="preserve"> a klimatická opatření musí být k dispozici dostatečný rozpočet, aby bylo možné pomoci zemědělcům přejít na udržitelné zemědělské systémy a odměňovat ty </w:t>
      </w:r>
      <w:r w:rsidR="008010FA">
        <w:t>z </w:t>
      </w:r>
      <w:r>
        <w:t xml:space="preserve">nich, kteří již takovéto systémy uplatňují, zejména co se týče ekologického zemědělství, neboť má četné přínosy pro životní prostředí a opírá se o něj životaschopnost venkovských komunit. Je nutné vyčlenit dostatečné prostředky jak na přechod k ekologickým zemědělským postupům, tak na jejich zachování. Členské státy by měly přidělit prostředky v alespoň stejné výši jako </w:t>
      </w:r>
      <w:r w:rsidR="008010FA">
        <w:t>v </w:t>
      </w:r>
      <w:r>
        <w:t>předchozím období SZP, v závislosti na aktuálním vývoji a ambicích na vnitrostátní úrovni.</w:t>
      </w:r>
    </w:p>
    <w:p w14:paraId="566714C0" w14:textId="77777777" w:rsidR="00060154" w:rsidRPr="0072447F" w:rsidRDefault="00060154" w:rsidP="00DE214F">
      <w:pPr>
        <w:rPr>
          <w:lang w:val="en-GB"/>
        </w:rPr>
      </w:pPr>
    </w:p>
    <w:p w14:paraId="4B93DE92" w14:textId="77777777" w:rsidR="00060154" w:rsidRPr="0072447F" w:rsidRDefault="00060154" w:rsidP="00DE214F">
      <w:pPr>
        <w:keepNext/>
        <w:rPr>
          <w:i/>
        </w:rPr>
      </w:pPr>
      <w:r>
        <w:rPr>
          <w:i/>
        </w:rPr>
        <w:t>Důvody podporující doporučení 1.19</w:t>
      </w:r>
    </w:p>
    <w:p w14:paraId="1B901DB5" w14:textId="77777777" w:rsidR="003D3B8E" w:rsidRPr="0072447F" w:rsidRDefault="003D3B8E" w:rsidP="00DE214F">
      <w:pPr>
        <w:rPr>
          <w:lang w:val="en-GB"/>
        </w:rPr>
      </w:pPr>
    </w:p>
    <w:p w14:paraId="3194B876" w14:textId="0BAE12DA" w:rsidR="009A5091" w:rsidRPr="0072447F" w:rsidRDefault="00940BBA" w:rsidP="00DE214F">
      <w:pPr>
        <w:pStyle w:val="Heading2"/>
      </w:pPr>
      <w:r>
        <w:t xml:space="preserve">Je třeba zajistit udržitelný rozpočet pro program LEADER, který by podpořil investice zdola nahoru realizované na místní úrovni s cílem posílit vzájemnou doplňkovost mezi venkovskými </w:t>
      </w:r>
      <w:r w:rsidR="008010FA">
        <w:t>a </w:t>
      </w:r>
      <w:r>
        <w:t xml:space="preserve">městskými oblastmi, podpořit podnikání žen, vytvořit a zachovat ve venkovských oblastech pracovní místa, zabezpečit finanční prostředky pro venkovské prostředí a podpořit iniciativy zaměřené na zmírnění změny klimatu ve venkovských komunitách. </w:t>
      </w:r>
    </w:p>
    <w:p w14:paraId="17FD21A6" w14:textId="77777777" w:rsidR="009A5091" w:rsidRPr="0072447F" w:rsidRDefault="009A5091" w:rsidP="00DE214F">
      <w:pPr>
        <w:rPr>
          <w:lang w:val="en-GB"/>
        </w:rPr>
      </w:pPr>
    </w:p>
    <w:p w14:paraId="30E8A952" w14:textId="53FEDAFB" w:rsidR="009A5091" w:rsidRPr="0072447F" w:rsidRDefault="00940BBA" w:rsidP="00DE214F">
      <w:pPr>
        <w:pStyle w:val="Heading2"/>
      </w:pPr>
      <w:r>
        <w:t xml:space="preserve">Hlavním smyslem tohoto opatření je zajistit, aby měli zemědělci a zemědělkyně díky poradenství, odborné přípravě a výměně informací skutečně k dispozici příslušné poznatky </w:t>
      </w:r>
      <w:r w:rsidR="008010FA">
        <w:t>a </w:t>
      </w:r>
      <w:r>
        <w:t>inovace. Pokud však prostředky určené na systém AKIS nebudou účelově vázány, pak se tím sníží právní a finanční jistota u souvisejících opatření a může nastat situace, že zemědělské podniky nebudou schopny provést modernizaci a přispívat k naplňování strategických priorit EU.</w:t>
      </w:r>
    </w:p>
    <w:p w14:paraId="3C79F373" w14:textId="4B6AC0D8" w:rsidR="009A5091" w:rsidRPr="0072447F" w:rsidRDefault="009A5091" w:rsidP="00DE214F">
      <w:pPr>
        <w:pStyle w:val="Heading2"/>
        <w:numPr>
          <w:ilvl w:val="0"/>
          <w:numId w:val="0"/>
        </w:numPr>
        <w:rPr>
          <w:lang w:val="en-GB"/>
        </w:rPr>
      </w:pPr>
    </w:p>
    <w:p w14:paraId="174FCFFC" w14:textId="7DB117F0" w:rsidR="009A5091" w:rsidRPr="0072447F" w:rsidRDefault="00940BBA" w:rsidP="00DE214F">
      <w:pPr>
        <w:keepNext/>
        <w:rPr>
          <w:i/>
        </w:rPr>
      </w:pPr>
      <w:r>
        <w:rPr>
          <w:i/>
        </w:rPr>
        <w:t>Důvody podporující doporučení 1.21</w:t>
      </w:r>
    </w:p>
    <w:p w14:paraId="4DC3458B" w14:textId="77777777" w:rsidR="009A5091" w:rsidRPr="0072447F" w:rsidRDefault="009A5091" w:rsidP="00DE214F">
      <w:pPr>
        <w:keepNext/>
        <w:rPr>
          <w:lang w:val="en-GB"/>
        </w:rPr>
      </w:pPr>
    </w:p>
    <w:p w14:paraId="19E8844B" w14:textId="0DF0462E" w:rsidR="009A5091" w:rsidRPr="0072447F" w:rsidRDefault="00940BBA" w:rsidP="00DE214F">
      <w:pPr>
        <w:pStyle w:val="Heading2"/>
        <w:rPr>
          <w:color w:val="000000"/>
          <w:shd w:val="clear" w:color="auto" w:fill="FFFFFF"/>
        </w:rPr>
      </w:pPr>
      <w:r>
        <w:rPr>
          <w:color w:val="000000"/>
          <w:shd w:val="clear" w:color="auto" w:fill="FFFFFF"/>
        </w:rPr>
        <w:t xml:space="preserve"> Dlouhodobější trendy nízkých příjmů zemědělských podniků, volatilita výrobních cen, krize související s extrémním počasím a rozdrobená a oslabená společná organizace trhu odhalily strukturální problémy v potravinové a zemědělské politice EU, jakož i v oblasti potravinového zabezpečení a potravinové suverenity EU, jimiž je třeba se v rámci reformy SZP na období 2028–2034 zabývat</w:t>
      </w:r>
      <w:r w:rsidRPr="0072447F">
        <w:rPr>
          <w:rStyle w:val="FootnoteReference"/>
          <w:color w:val="000000"/>
          <w:shd w:val="clear" w:color="auto" w:fill="FFFFFF"/>
          <w:lang w:val="en-GB"/>
        </w:rPr>
        <w:footnoteReference w:id="17"/>
      </w:r>
      <w:r>
        <w:rPr>
          <w:color w:val="000000"/>
          <w:shd w:val="clear" w:color="auto" w:fill="FFFFFF"/>
        </w:rPr>
        <w:t xml:space="preserve">. </w:t>
      </w:r>
    </w:p>
    <w:p w14:paraId="7396FF3A" w14:textId="77777777" w:rsidR="004046A2" w:rsidRPr="0072447F" w:rsidRDefault="004046A2" w:rsidP="00DE214F">
      <w:pPr>
        <w:rPr>
          <w:lang w:val="en-GB"/>
        </w:rPr>
      </w:pPr>
    </w:p>
    <w:p w14:paraId="571F0BBA" w14:textId="62CB0F24" w:rsidR="00304531" w:rsidRPr="0072447F" w:rsidRDefault="003778A5" w:rsidP="00DE214F">
      <w:pPr>
        <w:pStyle w:val="Heading2"/>
      </w:pPr>
      <w:r>
        <w:t>EHSV předložil podrobné návrhy ohledně toho, že je třeba posílit v rámci SZP postavení zemědělců v potravinovém řetězci a podporovat příjmy zemědělských podniků v krizových obdobích, mj. prostřednictvím systémů pojištění pro případ klimatických a environmentálních katastrof a napětí na trhu, nástrojů pro řízení rizik a řešení krizí, opatření namířených proti volatilitě trhu, finančních nástrojů, nástrojů pro zlepšení vyjednávací pozice zemědělců, rozšíření seznamu nekalých obchodní praktik a zákazu prodeje pod cenou, kolektivních jednání o cenách a výraznější podpory družstev a organizací producentů, ale také posílení práv pracovníků, kolektivního vyjednávání a sociálního dialogu</w:t>
      </w:r>
      <w:r w:rsidR="00304531" w:rsidRPr="0072447F">
        <w:rPr>
          <w:rStyle w:val="FootnoteReference"/>
          <w:bCs/>
          <w:lang w:val="en-GB"/>
        </w:rPr>
        <w:footnoteReference w:id="18"/>
      </w:r>
      <w:r>
        <w:t>.</w:t>
      </w:r>
    </w:p>
    <w:p w14:paraId="03DC6702" w14:textId="77777777" w:rsidR="00D53B3C" w:rsidRPr="0072447F" w:rsidRDefault="00D53B3C" w:rsidP="00DE214F">
      <w:pPr>
        <w:rPr>
          <w:lang w:val="en-GB"/>
        </w:rPr>
      </w:pPr>
    </w:p>
    <w:p w14:paraId="1996A9CB" w14:textId="4B158D0F" w:rsidR="009A5091" w:rsidRPr="0072447F" w:rsidRDefault="004046A2" w:rsidP="00DE214F">
      <w:pPr>
        <w:pStyle w:val="Heading1"/>
        <w:keepNext/>
        <w:rPr>
          <w:b/>
        </w:rPr>
      </w:pPr>
      <w:r>
        <w:rPr>
          <w:b/>
        </w:rPr>
        <w:lastRenderedPageBreak/>
        <w:t>POZMĚŇOVACÍ NÁVRHY PŘEDLOŽENÉ K LEGISLATIVNÍMU NÁVRHU EVROPSKÉ KOMISE</w:t>
      </w:r>
    </w:p>
    <w:p w14:paraId="24F77D29" w14:textId="77777777" w:rsidR="009A5091" w:rsidRPr="0072447F" w:rsidRDefault="009A5091" w:rsidP="00DE214F">
      <w:pPr>
        <w:keepNext/>
        <w:rPr>
          <w:lang w:val="en-GB"/>
        </w:rPr>
      </w:pPr>
    </w:p>
    <w:p w14:paraId="79B2DE74" w14:textId="015A9DA4" w:rsidR="009A5091" w:rsidRPr="0072447F" w:rsidRDefault="00940BBA" w:rsidP="00DE214F">
      <w:pPr>
        <w:pStyle w:val="Heading2"/>
        <w:keepNext/>
        <w:numPr>
          <w:ilvl w:val="0"/>
          <w:numId w:val="0"/>
        </w:numPr>
        <w:rPr>
          <w:b/>
        </w:rPr>
      </w:pPr>
      <w:r>
        <w:rPr>
          <w:b/>
        </w:rPr>
        <w:t>Pozměňovací návrh 1 – čl. 1 druhý pododstavec</w:t>
      </w:r>
    </w:p>
    <w:p w14:paraId="1C2FFBEC" w14:textId="55C10D14" w:rsidR="009A5091" w:rsidRPr="0072447F" w:rsidRDefault="00940BBA" w:rsidP="00DE214F">
      <w:pPr>
        <w:keepNext/>
        <w:keepLines/>
        <w:jc w:val="left"/>
      </w:pPr>
      <w:r>
        <w:t>souvisí s doporučeními 1.1, 1.3, 1.4, 1.5, 1.6, 1.7, 1.8 a 1.12</w:t>
      </w:r>
    </w:p>
    <w:p w14:paraId="2D6AEDE5"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9A5091" w:rsidRPr="0072447F" w14:paraId="5C51CFA3"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hideMark/>
          </w:tcPr>
          <w:p w14:paraId="159B4662"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00E7EBE8" w14:textId="015941A3" w:rsidR="009A5091" w:rsidRPr="0072447F" w:rsidRDefault="00940BBA" w:rsidP="00DE214F">
            <w:pPr>
              <w:jc w:val="center"/>
            </w:pPr>
            <w:r>
              <w:rPr>
                <w:b/>
              </w:rPr>
              <w:t>Pozměňovací návrh EHSV</w:t>
            </w:r>
          </w:p>
        </w:tc>
      </w:tr>
      <w:tr w:rsidR="009A5091" w:rsidRPr="0072447F" w14:paraId="75DA0656"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hideMark/>
          </w:tcPr>
          <w:p w14:paraId="49978E6F" w14:textId="44C9C0C3" w:rsidR="009A5091" w:rsidRPr="0072447F" w:rsidRDefault="00940BBA" w:rsidP="00DE214F">
            <w:r>
              <w:t xml:space="preserve">(…) Tato podpora Unie se poskytuje v rámci </w:t>
            </w:r>
            <w:r>
              <w:rPr>
                <w:b/>
                <w:i/>
              </w:rPr>
              <w:t>Fondu národních a regionálních partnerství (dále jen „fond“) v souladu s pravidly, kterými se tento fond řídí, stanovenými v nařízení (EU) […] [NRP]</w:t>
            </w:r>
            <w:r>
              <w:t>.</w:t>
            </w:r>
          </w:p>
        </w:tc>
        <w:tc>
          <w:tcPr>
            <w:tcW w:w="4528" w:type="dxa"/>
            <w:tcBorders>
              <w:top w:val="single" w:sz="2" w:space="0" w:color="auto"/>
              <w:left w:val="single" w:sz="6" w:space="0" w:color="auto"/>
              <w:bottom w:val="single" w:sz="6" w:space="0" w:color="auto"/>
              <w:right w:val="single" w:sz="6" w:space="0" w:color="auto"/>
            </w:tcBorders>
            <w:hideMark/>
          </w:tcPr>
          <w:p w14:paraId="5640250B" w14:textId="19652080" w:rsidR="009A5091" w:rsidRPr="0072447F" w:rsidRDefault="00940BBA" w:rsidP="00DE214F">
            <w:r>
              <w:t xml:space="preserve">(…) Tato podpora Unie se poskytuje v rámci </w:t>
            </w:r>
            <w:r>
              <w:rPr>
                <w:b/>
                <w:i/>
              </w:rPr>
              <w:t xml:space="preserve">stávajícího modelu financování z Evropského zemědělského záručního fondu (EZZF) </w:t>
            </w:r>
            <w:r w:rsidR="008010FA">
              <w:rPr>
                <w:b/>
                <w:i/>
              </w:rPr>
              <w:t>a </w:t>
            </w:r>
            <w:r>
              <w:rPr>
                <w:b/>
                <w:i/>
              </w:rPr>
              <w:t>Evropského zemědělského fondu pro rozvoj venkova (EZFRV)</w:t>
            </w:r>
            <w:r>
              <w:t>.</w:t>
            </w:r>
            <w:r>
              <w:rPr>
                <w:b/>
                <w:i/>
              </w:rPr>
              <w:t xml:space="preserve"> Určitá část této podpory je vyhrazena na intervence pro rozvoj venkova, včetně iniciativy LEADER/CLLD a strategií prováděných na místní úrovni, jako je například strategie inteligentních vesnic, a to v rámci samostatné rozpočtové položky s cílem zaručit, že budou tyto prostředky viditelné, budou </w:t>
            </w:r>
            <w:r w:rsidR="008010FA">
              <w:rPr>
                <w:b/>
                <w:i/>
              </w:rPr>
              <w:t>i </w:t>
            </w:r>
            <w:r>
              <w:rPr>
                <w:b/>
                <w:i/>
              </w:rPr>
              <w:t>nadále k dispozici a nebude možné je převést do jiných oblastí politiky.</w:t>
            </w:r>
          </w:p>
        </w:tc>
      </w:tr>
    </w:tbl>
    <w:p w14:paraId="23FF9F56"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9A5091" w:rsidRPr="0072447F" w14:paraId="7A088ADC"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hideMark/>
          </w:tcPr>
          <w:p w14:paraId="0F7797D5" w14:textId="77777777" w:rsidR="009A5091" w:rsidRPr="0072447F" w:rsidRDefault="00940BBA" w:rsidP="00DE214F">
            <w:pPr>
              <w:keepNext/>
              <w:keepLines/>
              <w:jc w:val="center"/>
            </w:pPr>
            <w:r>
              <w:rPr>
                <w:b/>
              </w:rPr>
              <w:t>Odůvodnění</w:t>
            </w:r>
          </w:p>
        </w:tc>
      </w:tr>
      <w:tr w:rsidR="009A5091" w:rsidRPr="0072447F" w14:paraId="6247CE14" w14:textId="77777777" w:rsidTr="00925E56">
        <w:trPr>
          <w:trHeight w:val="300"/>
        </w:trPr>
        <w:tc>
          <w:tcPr>
            <w:tcW w:w="9057" w:type="dxa"/>
            <w:tcBorders>
              <w:top w:val="single" w:sz="2" w:space="0" w:color="auto"/>
              <w:left w:val="single" w:sz="6" w:space="0" w:color="auto"/>
              <w:bottom w:val="single" w:sz="6" w:space="0" w:color="auto"/>
              <w:right w:val="single" w:sz="6" w:space="0" w:color="auto"/>
            </w:tcBorders>
            <w:hideMark/>
          </w:tcPr>
          <w:p w14:paraId="7EF07C98" w14:textId="66F1102A" w:rsidR="009A5091" w:rsidRPr="0072447F" w:rsidRDefault="00940BBA" w:rsidP="00DE214F">
            <w:r>
              <w:t xml:space="preserve">Je třeba zachovat stávající model financování SZP z Evropského zemědělského záručního fondu (EZZF) a Evropského zemědělského fondu pro rozvoj venkova (EZFRV), kdy jsou aktivním zemědělcům poskytovány cílené platby na podporu příjmů a platby v rámci </w:t>
            </w:r>
            <w:proofErr w:type="spellStart"/>
            <w:r>
              <w:t>ekoschémat</w:t>
            </w:r>
            <w:proofErr w:type="spellEnd"/>
            <w:r>
              <w:t xml:space="preserve"> prostřednictvím 1. pilíře, doplněné o další specifickou podporu pro zranitelná odvětví a o podporu rozvoje venkova a zemědělství šetrného vůči klimatu a životnímu prostředí prostřednictvím 2. pilíře.</w:t>
            </w:r>
          </w:p>
          <w:p w14:paraId="4CE43387" w14:textId="2AFC5C71" w:rsidR="009A5091" w:rsidRPr="0072447F" w:rsidRDefault="00940BBA" w:rsidP="00DE214F">
            <w:pPr>
              <w:keepNext/>
              <w:keepLines/>
            </w:pPr>
            <w:r>
              <w:t xml:space="preserve">V případě přerozdělení finančních prostředků EU v rámci navrhovaného Fondu národních </w:t>
            </w:r>
            <w:r w:rsidR="008010FA">
              <w:t>a </w:t>
            </w:r>
            <w:r>
              <w:t>regionálních partnerství by byla SZP méně schopna chránit potravinové zabezpečení EU, oslabil by se tím jednotný trh a narušilo by to rozvoj venkovských oblastí a finanční životaschopnost zemědělců.</w:t>
            </w:r>
          </w:p>
          <w:p w14:paraId="34C41AE0" w14:textId="11B303AE" w:rsidR="009A5091" w:rsidRPr="0072447F" w:rsidRDefault="00940BBA" w:rsidP="00DE214F">
            <w:pPr>
              <w:keepNext/>
              <w:keepLines/>
            </w:pPr>
            <w:r>
              <w:t xml:space="preserve">Pokud by neexistoval 2. pilíř SZP, pak by mohlo dojít k tomu, že nebude rozvoji venkova v rámci prostředků vyčleněných obecněji na financování soudržnosti věnována dostatečná pozornost. Smyslem této změny je zaručit, že budou na rozvoj venkova k dispozici speciálně vyčleněné </w:t>
            </w:r>
            <w:r w:rsidR="008010FA">
              <w:t>a </w:t>
            </w:r>
            <w:r>
              <w:t>účelově vázané prostředky, a zachovat tak identitu a kontinuitu iniciativy LEADER a zároveň uznat, že prosperující venkovské oblasti mají zásadní význam z hlediska potravinového zabezpečení, životaschopnosti zemědělské činnosti a dobrých životních podmínek obyvatel.</w:t>
            </w:r>
          </w:p>
        </w:tc>
      </w:tr>
    </w:tbl>
    <w:p w14:paraId="215A3363" w14:textId="69756B42" w:rsidR="009A5091" w:rsidRPr="0072447F" w:rsidRDefault="009A5091" w:rsidP="00DE214F">
      <w:pPr>
        <w:jc w:val="left"/>
        <w:rPr>
          <w:lang w:val="en-GB"/>
        </w:rPr>
      </w:pPr>
    </w:p>
    <w:p w14:paraId="55741051" w14:textId="19CA58BE" w:rsidR="009A5091" w:rsidRPr="0072447F" w:rsidRDefault="00940BBA" w:rsidP="00DE214F">
      <w:pPr>
        <w:pStyle w:val="Heading2"/>
        <w:keepNext/>
        <w:numPr>
          <w:ilvl w:val="0"/>
          <w:numId w:val="0"/>
        </w:numPr>
        <w:rPr>
          <w:b/>
        </w:rPr>
      </w:pPr>
      <w:r>
        <w:rPr>
          <w:b/>
        </w:rPr>
        <w:t>Pozměňovací návrh 2 – článek 2</w:t>
      </w:r>
    </w:p>
    <w:p w14:paraId="6085BE5B" w14:textId="6A1FA536" w:rsidR="009A5091" w:rsidRPr="0072447F" w:rsidRDefault="00940BBA" w:rsidP="00DE214F">
      <w:pPr>
        <w:keepNext/>
        <w:keepLines/>
        <w:jc w:val="left"/>
      </w:pPr>
      <w:r>
        <w:t>souvisí s doporučeními 1.1, 1.3, 1.4, 1.5, 1.6, 1.7, 1.8, 1.12 a 1.20</w:t>
      </w:r>
    </w:p>
    <w:p w14:paraId="2654556D"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9A5091" w:rsidRPr="0072447F" w14:paraId="7D8F4654"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hideMark/>
          </w:tcPr>
          <w:p w14:paraId="2EB7529A" w14:textId="4C10AAE8"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49E8A859" w14:textId="3C7461DD" w:rsidR="009A5091" w:rsidRPr="0072447F" w:rsidRDefault="00940BBA" w:rsidP="00DE214F">
            <w:pPr>
              <w:jc w:val="center"/>
            </w:pPr>
            <w:r>
              <w:rPr>
                <w:b/>
              </w:rPr>
              <w:t>Pozměňovací návrh EHSV</w:t>
            </w:r>
          </w:p>
        </w:tc>
      </w:tr>
      <w:tr w:rsidR="009A5091" w:rsidRPr="0072447F" w14:paraId="7979CABA"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hideMark/>
          </w:tcPr>
          <w:p w14:paraId="45587314" w14:textId="02BB4300" w:rsidR="009A5091" w:rsidRPr="0072447F" w:rsidRDefault="00940BBA" w:rsidP="00DE214F">
            <w:r>
              <w:rPr>
                <w:b/>
              </w:rPr>
              <w:t>Vnitrostátní doporučení</w:t>
            </w:r>
            <w:r>
              <w:t xml:space="preserve"> a řízení SZP</w:t>
            </w:r>
          </w:p>
          <w:p w14:paraId="17B5C912" w14:textId="6505FF89" w:rsidR="009A5091" w:rsidRPr="0072447F" w:rsidRDefault="00940BBA" w:rsidP="00DE214F">
            <w:pPr>
              <w:pStyle w:val="ListParagraph"/>
              <w:tabs>
                <w:tab w:val="left" w:pos="426"/>
              </w:tabs>
              <w:ind w:left="0"/>
            </w:pPr>
            <w:r>
              <w:t>1.</w:t>
            </w:r>
            <w:r>
              <w:tab/>
              <w:t xml:space="preserve">Komise přijme </w:t>
            </w:r>
            <w:r>
              <w:rPr>
                <w:b/>
                <w:i/>
              </w:rPr>
              <w:t>vnitrostátní</w:t>
            </w:r>
            <w:r>
              <w:t xml:space="preserve"> doporučení SZP, která poskytnou (…) pokyny (…)</w:t>
            </w:r>
          </w:p>
          <w:p w14:paraId="32F95C26" w14:textId="2BB9AC20" w:rsidR="009A5091" w:rsidRPr="0072447F" w:rsidRDefault="00940BBA" w:rsidP="00DE214F">
            <w:pPr>
              <w:pStyle w:val="ListParagraph"/>
              <w:tabs>
                <w:tab w:val="left" w:pos="426"/>
              </w:tabs>
              <w:ind w:left="0"/>
            </w:pPr>
            <w:r>
              <w:lastRenderedPageBreak/>
              <w:t>b)</w:t>
            </w:r>
            <w:r>
              <w:tab/>
              <w:t>zvýšení atraktivity povolání a podpora generační obměny;</w:t>
            </w:r>
          </w:p>
          <w:p w14:paraId="0D0D14A8" w14:textId="5C60A73C" w:rsidR="009A5091" w:rsidRPr="0072447F" w:rsidRDefault="009A5091" w:rsidP="00DE214F">
            <w:pPr>
              <w:pStyle w:val="ListParagraph"/>
              <w:ind w:left="0"/>
              <w:rPr>
                <w:lang w:val="en-GB"/>
              </w:rPr>
            </w:pPr>
          </w:p>
          <w:p w14:paraId="02FC9F6A" w14:textId="77777777" w:rsidR="009A5091" w:rsidRPr="0072447F" w:rsidRDefault="009A5091" w:rsidP="00DE214F">
            <w:pPr>
              <w:pStyle w:val="ListParagraph"/>
              <w:ind w:left="0"/>
              <w:rPr>
                <w:lang w:val="en-GB"/>
              </w:rPr>
            </w:pPr>
          </w:p>
          <w:p w14:paraId="5460E2D7" w14:textId="06962CE8" w:rsidR="009A5091" w:rsidRPr="0072447F" w:rsidRDefault="00940BBA" w:rsidP="00DE214F">
            <w:pPr>
              <w:pStyle w:val="ListParagraph"/>
              <w:tabs>
                <w:tab w:val="left" w:pos="426"/>
              </w:tabs>
              <w:ind w:left="0"/>
              <w:rPr>
                <w:i/>
              </w:rPr>
            </w:pPr>
            <w:r>
              <w:t>2.</w:t>
            </w:r>
            <w:r>
              <w:tab/>
              <w:t xml:space="preserve">Komise založí </w:t>
            </w:r>
            <w:r>
              <w:rPr>
                <w:b/>
                <w:i/>
              </w:rPr>
              <w:t>vnitrostátní</w:t>
            </w:r>
            <w:r>
              <w:t xml:space="preserve"> doporučení SZP (…), jakož i potravinového zabezpečení</w:t>
            </w:r>
            <w:r>
              <w:rPr>
                <w:b/>
                <w:i/>
              </w:rPr>
              <w:t xml:space="preserve"> </w:t>
            </w:r>
            <w:r w:rsidR="008010FA">
              <w:rPr>
                <w:b/>
                <w:i/>
              </w:rPr>
              <w:t>v </w:t>
            </w:r>
            <w:r>
              <w:rPr>
                <w:b/>
                <w:i/>
              </w:rPr>
              <w:t>každém členském státě</w:t>
            </w:r>
            <w:r>
              <w:t>.</w:t>
            </w:r>
          </w:p>
          <w:p w14:paraId="7C8A0936" w14:textId="03F57AAE" w:rsidR="009A5091" w:rsidRPr="0072447F" w:rsidRDefault="00940BBA" w:rsidP="00DE214F">
            <w:pPr>
              <w:pStyle w:val="ListParagraph"/>
              <w:tabs>
                <w:tab w:val="left" w:pos="426"/>
              </w:tabs>
              <w:ind w:left="0"/>
            </w:pPr>
            <w:r>
              <w:t>3.</w:t>
            </w:r>
            <w:r>
              <w:tab/>
            </w:r>
            <w:r>
              <w:rPr>
                <w:b/>
                <w:i/>
              </w:rPr>
              <w:t>Ve vnitrostátních</w:t>
            </w:r>
            <w:r>
              <w:t xml:space="preserve"> doporučeních SZP (…), na které se má </w:t>
            </w:r>
            <w:r>
              <w:rPr>
                <w:b/>
                <w:i/>
              </w:rPr>
              <w:t>každý členský stát</w:t>
            </w:r>
            <w:r>
              <w:t xml:space="preserve"> zaměřit (…).</w:t>
            </w:r>
          </w:p>
        </w:tc>
        <w:tc>
          <w:tcPr>
            <w:tcW w:w="4528" w:type="dxa"/>
            <w:tcBorders>
              <w:top w:val="single" w:sz="2" w:space="0" w:color="auto"/>
              <w:left w:val="single" w:sz="6" w:space="0" w:color="auto"/>
              <w:bottom w:val="single" w:sz="6" w:space="0" w:color="auto"/>
              <w:right w:val="single" w:sz="6" w:space="0" w:color="auto"/>
            </w:tcBorders>
            <w:hideMark/>
          </w:tcPr>
          <w:p w14:paraId="3B9669E2" w14:textId="7B701AEE" w:rsidR="009A5091" w:rsidRPr="0072447F" w:rsidRDefault="00940BBA" w:rsidP="00DE214F">
            <w:r>
              <w:rPr>
                <w:b/>
                <w:i/>
              </w:rPr>
              <w:lastRenderedPageBreak/>
              <w:t>Doporučení</w:t>
            </w:r>
            <w:r>
              <w:t xml:space="preserve"> a řízení SZP</w:t>
            </w:r>
          </w:p>
          <w:p w14:paraId="4001F0F3" w14:textId="4AA247C8" w:rsidR="009A5091" w:rsidRPr="0072447F" w:rsidRDefault="00940BBA" w:rsidP="00DE214F">
            <w:pPr>
              <w:pStyle w:val="ListParagraph"/>
              <w:numPr>
                <w:ilvl w:val="0"/>
                <w:numId w:val="7"/>
              </w:numPr>
              <w:tabs>
                <w:tab w:val="left" w:pos="426"/>
              </w:tabs>
              <w:ind w:left="0"/>
            </w:pPr>
            <w:r>
              <w:t>1.</w:t>
            </w:r>
            <w:r>
              <w:tab/>
              <w:t>Komise přijme doporučení SZP, která poskytnou (…) pokyny (…)</w:t>
            </w:r>
          </w:p>
          <w:p w14:paraId="1A00BD67" w14:textId="4EA89D1F" w:rsidR="009A5091" w:rsidRPr="0072447F" w:rsidRDefault="00940BBA" w:rsidP="00DE214F">
            <w:pPr>
              <w:pStyle w:val="ListParagraph"/>
              <w:tabs>
                <w:tab w:val="left" w:pos="426"/>
              </w:tabs>
              <w:ind w:left="0"/>
            </w:pPr>
            <w:r>
              <w:lastRenderedPageBreak/>
              <w:t>b)</w:t>
            </w:r>
            <w:r>
              <w:tab/>
              <w:t>zvýšení atraktivity povolání a podpora generační obměny</w:t>
            </w:r>
            <w:r>
              <w:rPr>
                <w:b/>
                <w:i/>
              </w:rPr>
              <w:t xml:space="preserve"> s pomocí specifických opatření zaměřených na mladé a začínající zemědělce, ženy a mladé lidi na venkově</w:t>
            </w:r>
            <w:r>
              <w:t>;</w:t>
            </w:r>
          </w:p>
          <w:p w14:paraId="56600E75" w14:textId="632C4587" w:rsidR="009A5091" w:rsidRPr="0072447F" w:rsidRDefault="00940BBA" w:rsidP="00DE214F">
            <w:pPr>
              <w:pStyle w:val="ListParagraph"/>
              <w:numPr>
                <w:ilvl w:val="0"/>
                <w:numId w:val="7"/>
              </w:numPr>
              <w:tabs>
                <w:tab w:val="left" w:pos="426"/>
              </w:tabs>
              <w:ind w:left="0"/>
            </w:pPr>
            <w:r>
              <w:t>2.</w:t>
            </w:r>
            <w:r>
              <w:tab/>
              <w:t xml:space="preserve">Komise založí doporučení SZP (…), jakož </w:t>
            </w:r>
            <w:r w:rsidR="008010FA">
              <w:t>i </w:t>
            </w:r>
            <w:r>
              <w:t xml:space="preserve">potravinového zabezpečení </w:t>
            </w:r>
            <w:r>
              <w:rPr>
                <w:b/>
                <w:i/>
              </w:rPr>
              <w:t>v EU</w:t>
            </w:r>
            <w:r>
              <w:t>.</w:t>
            </w:r>
          </w:p>
          <w:p w14:paraId="569050D4" w14:textId="4DB2F611" w:rsidR="009A5091" w:rsidRPr="0072447F" w:rsidRDefault="00940BBA" w:rsidP="00DE214F">
            <w:pPr>
              <w:pStyle w:val="ListParagraph"/>
              <w:numPr>
                <w:ilvl w:val="0"/>
                <w:numId w:val="7"/>
              </w:numPr>
              <w:tabs>
                <w:tab w:val="left" w:pos="426"/>
              </w:tabs>
              <w:ind w:left="0"/>
            </w:pPr>
            <w:r>
              <w:t>3.</w:t>
            </w:r>
            <w:r>
              <w:tab/>
            </w:r>
            <w:r>
              <w:rPr>
                <w:b/>
                <w:i/>
              </w:rPr>
              <w:t>V</w:t>
            </w:r>
            <w:r>
              <w:t xml:space="preserve"> doporučeních SZP (…), na které se má </w:t>
            </w:r>
            <w:r>
              <w:rPr>
                <w:b/>
                <w:i/>
              </w:rPr>
              <w:t>EU</w:t>
            </w:r>
            <w:r>
              <w:t xml:space="preserve"> zaměřit (…).</w:t>
            </w:r>
          </w:p>
        </w:tc>
      </w:tr>
    </w:tbl>
    <w:p w14:paraId="5063291F" w14:textId="29F3762B"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9A5091" w:rsidRPr="0072447F" w14:paraId="7394090C"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hideMark/>
          </w:tcPr>
          <w:p w14:paraId="072D654E" w14:textId="493010A5" w:rsidR="009A5091" w:rsidRPr="0072447F" w:rsidRDefault="00940BBA" w:rsidP="00DE214F">
            <w:pPr>
              <w:keepNext/>
              <w:keepLines/>
              <w:jc w:val="center"/>
              <w:divId w:val="1334838238"/>
            </w:pPr>
            <w:r>
              <w:rPr>
                <w:b/>
              </w:rPr>
              <w:t>Odůvodnění</w:t>
            </w:r>
          </w:p>
        </w:tc>
      </w:tr>
      <w:tr w:rsidR="009A5091" w:rsidRPr="0072447F" w14:paraId="5E77836D" w14:textId="77777777" w:rsidTr="00234324">
        <w:trPr>
          <w:trHeight w:val="300"/>
        </w:trPr>
        <w:tc>
          <w:tcPr>
            <w:tcW w:w="9057" w:type="dxa"/>
            <w:tcBorders>
              <w:top w:val="single" w:sz="2" w:space="0" w:color="auto"/>
              <w:left w:val="single" w:sz="6" w:space="0" w:color="auto"/>
              <w:bottom w:val="single" w:sz="6" w:space="0" w:color="auto"/>
              <w:right w:val="single" w:sz="6" w:space="0" w:color="auto"/>
            </w:tcBorders>
            <w:hideMark/>
          </w:tcPr>
          <w:p w14:paraId="6F7B6132" w14:textId="5B11E680" w:rsidR="009A5091" w:rsidRPr="0072447F" w:rsidRDefault="00940BBA" w:rsidP="00DE214F">
            <w:pPr>
              <w:keepNext/>
              <w:keepLines/>
            </w:pPr>
            <w:r>
              <w:t>Návrhy týkající se vnitrostátních doporučení a řízení SZP povedou k opětovnému převedení SZP na úroveň členských států a k narušení jednotného trhu.</w:t>
            </w:r>
          </w:p>
          <w:p w14:paraId="112BF58B" w14:textId="6596C789" w:rsidR="009A5091" w:rsidRPr="0072447F" w:rsidRDefault="00940BBA" w:rsidP="00DE214F">
            <w:pPr>
              <w:keepNext/>
              <w:keepLines/>
            </w:pPr>
            <w:r>
              <w:t>V souvislosti s podporou generační obměny je třeba se specificky zaměřit na ty skupiny, které se nejvíce potýkají s překážkami ztěžujícími výkon zemědělské činnosti.</w:t>
            </w:r>
          </w:p>
        </w:tc>
      </w:tr>
    </w:tbl>
    <w:p w14:paraId="29F9D3B3" w14:textId="6148C79E" w:rsidR="009A5091" w:rsidRPr="0072447F" w:rsidRDefault="009A5091" w:rsidP="00DE214F">
      <w:pPr>
        <w:jc w:val="left"/>
        <w:rPr>
          <w:lang w:val="en-GB"/>
        </w:rPr>
      </w:pPr>
    </w:p>
    <w:p w14:paraId="77F2C223" w14:textId="58C4AD31" w:rsidR="00D95E31" w:rsidRPr="0072447F" w:rsidRDefault="00940BBA" w:rsidP="00DE214F">
      <w:pPr>
        <w:pStyle w:val="Heading2"/>
        <w:keepNext/>
        <w:numPr>
          <w:ilvl w:val="0"/>
          <w:numId w:val="0"/>
        </w:numPr>
        <w:rPr>
          <w:b/>
        </w:rPr>
      </w:pPr>
      <w:r>
        <w:rPr>
          <w:b/>
        </w:rPr>
        <w:t>Pozměňovací návrh 3 – článek 3</w:t>
      </w:r>
    </w:p>
    <w:p w14:paraId="370EBB2A" w14:textId="2F48339A" w:rsidR="00D95E31" w:rsidRPr="0072447F" w:rsidRDefault="0050227E" w:rsidP="00DE214F">
      <w:pPr>
        <w:keepNext/>
        <w:keepLines/>
        <w:jc w:val="left"/>
      </w:pPr>
      <w:r>
        <w:t>souvisí s doporučením 1.13</w:t>
      </w:r>
    </w:p>
    <w:p w14:paraId="4B2F1D3D" w14:textId="77777777" w:rsidR="00D95E31" w:rsidRPr="0072447F" w:rsidRDefault="00D95E31" w:rsidP="00DE214F">
      <w:pPr>
        <w:keepNext/>
        <w:keepLines/>
        <w:jc w:val="left"/>
        <w:rPr>
          <w:lang w:val="en-GB"/>
        </w:rPr>
      </w:pPr>
    </w:p>
    <w:tbl>
      <w:tblPr>
        <w:tblW w:w="9069" w:type="dxa"/>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414"/>
        <w:gridCol w:w="4655"/>
      </w:tblGrid>
      <w:tr w:rsidR="00D95E31" w:rsidRPr="0072447F" w14:paraId="64C560D3" w14:textId="77777777" w:rsidTr="00925E56">
        <w:trPr>
          <w:trHeight w:val="300"/>
        </w:trPr>
        <w:tc>
          <w:tcPr>
            <w:tcW w:w="4414" w:type="dxa"/>
            <w:tcBorders>
              <w:top w:val="single" w:sz="2" w:space="0" w:color="auto"/>
              <w:left w:val="single" w:sz="2" w:space="0" w:color="auto"/>
              <w:bottom w:val="single" w:sz="2" w:space="0" w:color="auto"/>
              <w:right w:val="single" w:sz="2" w:space="0" w:color="auto"/>
            </w:tcBorders>
            <w:hideMark/>
          </w:tcPr>
          <w:p w14:paraId="698184F9" w14:textId="77777777" w:rsidR="00D95E31" w:rsidRPr="0072447F" w:rsidRDefault="0050227E" w:rsidP="00DE214F">
            <w:pPr>
              <w:jc w:val="center"/>
              <w:rPr>
                <w:strike/>
              </w:rPr>
            </w:pPr>
            <w:r>
              <w:rPr>
                <w:b/>
              </w:rPr>
              <w:t>Text navržený Evropskou komisí</w:t>
            </w:r>
          </w:p>
        </w:tc>
        <w:tc>
          <w:tcPr>
            <w:tcW w:w="4655" w:type="dxa"/>
            <w:tcBorders>
              <w:top w:val="single" w:sz="2" w:space="0" w:color="auto"/>
              <w:left w:val="single" w:sz="2" w:space="0" w:color="auto"/>
              <w:bottom w:val="single" w:sz="2" w:space="0" w:color="auto"/>
              <w:right w:val="single" w:sz="2" w:space="0" w:color="auto"/>
            </w:tcBorders>
            <w:hideMark/>
          </w:tcPr>
          <w:p w14:paraId="28D7402A" w14:textId="77777777" w:rsidR="00D95E31" w:rsidRPr="0072447F" w:rsidRDefault="0050227E" w:rsidP="00DE214F">
            <w:pPr>
              <w:jc w:val="center"/>
            </w:pPr>
            <w:r>
              <w:rPr>
                <w:b/>
              </w:rPr>
              <w:t>Pozměňovací návrh EHSV</w:t>
            </w:r>
          </w:p>
        </w:tc>
      </w:tr>
      <w:tr w:rsidR="00D95E31" w:rsidRPr="0072447F" w14:paraId="48A0E188" w14:textId="77777777" w:rsidTr="00925E56">
        <w:trPr>
          <w:trHeight w:val="300"/>
        </w:trPr>
        <w:tc>
          <w:tcPr>
            <w:tcW w:w="4414" w:type="dxa"/>
            <w:tcBorders>
              <w:top w:val="single" w:sz="2" w:space="0" w:color="auto"/>
              <w:left w:val="single" w:sz="6" w:space="0" w:color="auto"/>
              <w:bottom w:val="single" w:sz="6" w:space="0" w:color="auto"/>
              <w:right w:val="single" w:sz="6" w:space="0" w:color="auto"/>
            </w:tcBorders>
            <w:hideMark/>
          </w:tcPr>
          <w:p w14:paraId="1907EAC3" w14:textId="1B54E452" w:rsidR="006A2D1A" w:rsidRPr="0072447F" w:rsidRDefault="003A7F77" w:rsidP="00DE214F">
            <w:pPr>
              <w:pStyle w:val="Heading1"/>
              <w:numPr>
                <w:ilvl w:val="0"/>
                <w:numId w:val="0"/>
              </w:numPr>
            </w:pPr>
            <w:r>
              <w:t xml:space="preserve">3. (…) Akty, kterými se provádějí směrnice, však nesmějí mít za účel nebo účinek osvobození zemědělců </w:t>
            </w:r>
            <w:r>
              <w:rPr>
                <w:b/>
                <w:i/>
              </w:rPr>
              <w:t xml:space="preserve">nebo jiných příjemců </w:t>
            </w:r>
            <w:r>
              <w:t xml:space="preserve">od povinných požadavků na hospodaření uvedených v příloze I částech A </w:t>
            </w:r>
            <w:proofErr w:type="spellStart"/>
            <w:r>
              <w:t>a</w:t>
            </w:r>
            <w:proofErr w:type="spellEnd"/>
            <w:r>
              <w:t xml:space="preserve"> B.</w:t>
            </w:r>
          </w:p>
          <w:p w14:paraId="5FC5EDA4" w14:textId="2E86DFDD" w:rsidR="006A2D1A" w:rsidRPr="0072447F" w:rsidRDefault="006A2D1A" w:rsidP="00DE214F">
            <w:r>
              <w:t xml:space="preserve">4. (…) zemědělci </w:t>
            </w:r>
            <w:r>
              <w:rPr>
                <w:b/>
                <w:i/>
              </w:rPr>
              <w:t>a další příjemci podpory</w:t>
            </w:r>
            <w:r>
              <w:t xml:space="preserve"> uvedení v odstavci 2 (…)</w:t>
            </w:r>
          </w:p>
          <w:p w14:paraId="473A8C43" w14:textId="2395F690" w:rsidR="006A2D1A" w:rsidRPr="0072447F" w:rsidRDefault="006A2D1A" w:rsidP="00DE214F">
            <w:r>
              <w:t>5. (…) zemědělců</w:t>
            </w:r>
            <w:r>
              <w:rPr>
                <w:b/>
                <w:i/>
              </w:rPr>
              <w:t xml:space="preserve"> a dalších příjemců</w:t>
            </w:r>
            <w:r>
              <w:t xml:space="preserve">, na které se daný postup vztahuje, a shrnutí ochranného postupu. Při stanovování ochranných postupů členské státy v co nejvyšší míře zohlední </w:t>
            </w:r>
            <w:r>
              <w:rPr>
                <w:b/>
                <w:i/>
              </w:rPr>
              <w:t>vnitrostátní</w:t>
            </w:r>
            <w:r>
              <w:t xml:space="preserve"> doporučení</w:t>
            </w:r>
            <w:r>
              <w:rPr>
                <w:b/>
                <w:i/>
              </w:rPr>
              <w:t xml:space="preserve"> SZP uvedená v článku 2</w:t>
            </w:r>
            <w:r>
              <w:t xml:space="preserve">. </w:t>
            </w:r>
          </w:p>
          <w:p w14:paraId="03206921" w14:textId="2DD8E0A1" w:rsidR="00D95E31" w:rsidRPr="0072447F" w:rsidRDefault="006A2D1A" w:rsidP="00DE214F">
            <w:pPr>
              <w:tabs>
                <w:tab w:val="left" w:pos="426"/>
              </w:tabs>
            </w:pPr>
            <w:r>
              <w:t xml:space="preserve">8. (…) pokud zemědělcům </w:t>
            </w:r>
            <w:r>
              <w:rPr>
                <w:b/>
                <w:i/>
              </w:rPr>
              <w:t>a jiným příjemcům</w:t>
            </w:r>
            <w:r>
              <w:t xml:space="preserve"> brání v provádění těchto postupů povětrnostní podmínky (…)</w:t>
            </w:r>
          </w:p>
        </w:tc>
        <w:tc>
          <w:tcPr>
            <w:tcW w:w="4655" w:type="dxa"/>
            <w:tcBorders>
              <w:top w:val="single" w:sz="2" w:space="0" w:color="auto"/>
              <w:left w:val="single" w:sz="6" w:space="0" w:color="auto"/>
              <w:bottom w:val="single" w:sz="6" w:space="0" w:color="auto"/>
              <w:right w:val="single" w:sz="6" w:space="0" w:color="auto"/>
            </w:tcBorders>
            <w:hideMark/>
          </w:tcPr>
          <w:p w14:paraId="0BC0921A" w14:textId="7F373C81" w:rsidR="00FD5887" w:rsidRPr="0072447F" w:rsidRDefault="003E3382" w:rsidP="00DE214F">
            <w:r>
              <w:t xml:space="preserve">3. (…) Akty, kterými se provádějí směrnice, však nesmějí mít za účel nebo účinek osvobození zemědělců od povinných požadavků na hospodaření uvedených v příloze I částech A </w:t>
            </w:r>
            <w:proofErr w:type="spellStart"/>
            <w:r>
              <w:t>a</w:t>
            </w:r>
            <w:proofErr w:type="spellEnd"/>
            <w:r>
              <w:t xml:space="preserve"> B.</w:t>
            </w:r>
          </w:p>
          <w:p w14:paraId="75B1A491" w14:textId="77777777" w:rsidR="00FD5887" w:rsidRPr="0072447F" w:rsidRDefault="00FD5887" w:rsidP="00DE214F">
            <w:pPr>
              <w:rPr>
                <w:lang w:val="en-GB"/>
              </w:rPr>
            </w:pPr>
          </w:p>
          <w:p w14:paraId="3B034690" w14:textId="6C0E2506" w:rsidR="00FD5887" w:rsidRPr="0072447F" w:rsidRDefault="00BE5A81" w:rsidP="00DE214F">
            <w:r>
              <w:t xml:space="preserve">4. (…) zemědělci </w:t>
            </w:r>
            <w:r>
              <w:rPr>
                <w:b/>
                <w:i/>
              </w:rPr>
              <w:t>čerpající podporu</w:t>
            </w:r>
            <w:r>
              <w:t xml:space="preserve"> uvedení </w:t>
            </w:r>
            <w:r w:rsidR="008010FA">
              <w:t>v </w:t>
            </w:r>
            <w:r>
              <w:t>odstavci 2 (…)</w:t>
            </w:r>
          </w:p>
          <w:p w14:paraId="07B6CDC5" w14:textId="5675F2FE" w:rsidR="00FD5887" w:rsidRPr="0072447F" w:rsidRDefault="00BE5A81" w:rsidP="00DE214F">
            <w:r>
              <w:t xml:space="preserve">5. (…) zemědělců, na které se daný postup vztahuje, a shrnutí ochranného postupu. Při stanovování ochranných postupů členské státy v co nejvyšší míře zohlední </w:t>
            </w:r>
            <w:r>
              <w:rPr>
                <w:b/>
                <w:i/>
              </w:rPr>
              <w:t>evropská</w:t>
            </w:r>
            <w:r>
              <w:t xml:space="preserve"> doporučení. </w:t>
            </w:r>
          </w:p>
          <w:p w14:paraId="0B00AEAD" w14:textId="77777777" w:rsidR="00FD5887" w:rsidRPr="0072447F" w:rsidRDefault="00FD5887" w:rsidP="00DE214F">
            <w:pPr>
              <w:rPr>
                <w:lang w:val="en-GB"/>
              </w:rPr>
            </w:pPr>
          </w:p>
          <w:p w14:paraId="0D6DCEBD" w14:textId="1993D739" w:rsidR="00D95E31" w:rsidRPr="0072447F" w:rsidRDefault="00C35052" w:rsidP="00DE214F">
            <w:r>
              <w:t>8. (…) pokud zemědělcům brání v provádění těchto postupů povětrnostní podmínky (…)</w:t>
            </w:r>
          </w:p>
        </w:tc>
      </w:tr>
    </w:tbl>
    <w:p w14:paraId="5EF90A14" w14:textId="77777777" w:rsidR="00D95E31" w:rsidRPr="0072447F" w:rsidRDefault="00D95E3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D95E31" w:rsidRPr="0072447F" w14:paraId="2E0D6B51"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hideMark/>
          </w:tcPr>
          <w:p w14:paraId="13047BC8" w14:textId="77777777" w:rsidR="00D95E31" w:rsidRPr="0072447F" w:rsidRDefault="0050227E" w:rsidP="00DE214F">
            <w:pPr>
              <w:keepNext/>
              <w:keepLines/>
              <w:jc w:val="center"/>
              <w:divId w:val="1152411509"/>
            </w:pPr>
            <w:r>
              <w:rPr>
                <w:b/>
              </w:rPr>
              <w:t>Odůvodnění</w:t>
            </w:r>
          </w:p>
        </w:tc>
      </w:tr>
      <w:tr w:rsidR="00D95E31" w:rsidRPr="0072447F" w14:paraId="55DC1B28" w14:textId="77777777">
        <w:trPr>
          <w:trHeight w:val="300"/>
        </w:trPr>
        <w:tc>
          <w:tcPr>
            <w:tcW w:w="9057" w:type="dxa"/>
            <w:tcBorders>
              <w:top w:val="single" w:sz="2" w:space="0" w:color="auto"/>
              <w:left w:val="single" w:sz="6" w:space="0" w:color="auto"/>
              <w:bottom w:val="single" w:sz="6" w:space="0" w:color="auto"/>
              <w:right w:val="single" w:sz="6" w:space="0" w:color="auto"/>
            </w:tcBorders>
            <w:hideMark/>
          </w:tcPr>
          <w:p w14:paraId="1BCA4EFE" w14:textId="77777777" w:rsidR="000E6A8C" w:rsidRPr="0072447F" w:rsidRDefault="00937EAA" w:rsidP="00DE214F">
            <w:r>
              <w:t xml:space="preserve">Tento přístup odpovídá cíli nařízení, tj. zajistit účinnější rozdělování prostředků a zamezit překrývání. </w:t>
            </w:r>
          </w:p>
          <w:p w14:paraId="290C3F10" w14:textId="51DFC4CA" w:rsidR="00D95E31" w:rsidRPr="0072447F" w:rsidRDefault="00D95E31" w:rsidP="00DE214F">
            <w:pPr>
              <w:keepNext/>
              <w:keepLines/>
              <w:rPr>
                <w:lang w:val="en-GB"/>
              </w:rPr>
            </w:pPr>
          </w:p>
        </w:tc>
      </w:tr>
    </w:tbl>
    <w:p w14:paraId="72A43D73" w14:textId="77777777" w:rsidR="00A441AB" w:rsidRPr="0072447F" w:rsidRDefault="00A441AB" w:rsidP="00DE214F">
      <w:pPr>
        <w:rPr>
          <w:lang w:val="en-GB"/>
        </w:rPr>
      </w:pPr>
    </w:p>
    <w:p w14:paraId="5563DA7C" w14:textId="51FCC305" w:rsidR="009A5091" w:rsidRPr="0072447F" w:rsidRDefault="0050227E" w:rsidP="00DE214F">
      <w:pPr>
        <w:pStyle w:val="Heading2"/>
        <w:keepNext/>
        <w:numPr>
          <w:ilvl w:val="0"/>
          <w:numId w:val="0"/>
        </w:numPr>
        <w:rPr>
          <w:b/>
        </w:rPr>
      </w:pPr>
      <w:r>
        <w:rPr>
          <w:b/>
        </w:rPr>
        <w:lastRenderedPageBreak/>
        <w:t>Pozměňovací návrh 4 – článek 4</w:t>
      </w:r>
    </w:p>
    <w:p w14:paraId="72C1B929" w14:textId="1DCEE3DC" w:rsidR="009A5091" w:rsidRPr="0072447F" w:rsidRDefault="00940BBA" w:rsidP="00DE214F">
      <w:pPr>
        <w:keepNext/>
        <w:keepLines/>
        <w:jc w:val="left"/>
      </w:pPr>
      <w:r>
        <w:t>souvisí s doporučením 1.18</w:t>
      </w:r>
    </w:p>
    <w:p w14:paraId="5F13D364"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9A5091" w:rsidRPr="0072447F" w14:paraId="467C8B8F"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hideMark/>
          </w:tcPr>
          <w:p w14:paraId="16A19AB1"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50B83956" w14:textId="77777777" w:rsidR="009A5091" w:rsidRPr="0072447F" w:rsidRDefault="00940BBA" w:rsidP="00DE214F">
            <w:pPr>
              <w:jc w:val="center"/>
            </w:pPr>
            <w:r>
              <w:rPr>
                <w:b/>
              </w:rPr>
              <w:t>Pozměňovací návrh EHSV</w:t>
            </w:r>
          </w:p>
        </w:tc>
      </w:tr>
      <w:tr w:rsidR="009A5091" w:rsidRPr="0072447F" w14:paraId="546562F3" w14:textId="77777777" w:rsidTr="00234324">
        <w:trPr>
          <w:trHeight w:val="300"/>
        </w:trPr>
        <w:tc>
          <w:tcPr>
            <w:tcW w:w="4529" w:type="dxa"/>
            <w:tcBorders>
              <w:top w:val="single" w:sz="2" w:space="0" w:color="auto"/>
              <w:left w:val="single" w:sz="6" w:space="0" w:color="auto"/>
              <w:bottom w:val="single" w:sz="6" w:space="0" w:color="auto"/>
              <w:right w:val="single" w:sz="6" w:space="0" w:color="auto"/>
            </w:tcBorders>
            <w:hideMark/>
          </w:tcPr>
          <w:p w14:paraId="59E9ABD5" w14:textId="199619AF" w:rsidR="00940BBA" w:rsidRPr="0072447F" w:rsidRDefault="006753F9" w:rsidP="00DE214F">
            <w:r>
              <w:t xml:space="preserve">1. Členské státy poskytují zemědělcům </w:t>
            </w:r>
            <w:r>
              <w:rPr>
                <w:b/>
                <w:i/>
              </w:rPr>
              <w:t>a dalším příjemcům</w:t>
            </w:r>
            <w:r>
              <w:t xml:space="preserve"> podporu </w:t>
            </w:r>
            <w:r>
              <w:rPr>
                <w:b/>
                <w:i/>
              </w:rPr>
              <w:t>nejméně</w:t>
            </w:r>
            <w:r>
              <w:t xml:space="preserve"> v </w:t>
            </w:r>
            <w:r>
              <w:rPr>
                <w:b/>
                <w:i/>
              </w:rPr>
              <w:t>každé z</w:t>
            </w:r>
            <w:r>
              <w:t xml:space="preserve"> těchto prioritních </w:t>
            </w:r>
            <w:r>
              <w:rPr>
                <w:b/>
                <w:i/>
              </w:rPr>
              <w:t>oblastí</w:t>
            </w:r>
            <w:r>
              <w:t xml:space="preserve"> životního prostředí a klimatu: (…)</w:t>
            </w:r>
          </w:p>
          <w:p w14:paraId="11968E5E" w14:textId="77777777" w:rsidR="00940BBA" w:rsidRPr="0072447F" w:rsidRDefault="00940BBA" w:rsidP="00DE214F">
            <w:pPr>
              <w:tabs>
                <w:tab w:val="left" w:pos="426"/>
              </w:tabs>
              <w:rPr>
                <w:lang w:val="en-GB"/>
              </w:rPr>
            </w:pPr>
          </w:p>
          <w:p w14:paraId="1F3736E2" w14:textId="77777777" w:rsidR="00940BBA" w:rsidRPr="0072447F" w:rsidRDefault="00940BBA" w:rsidP="00DE214F">
            <w:pPr>
              <w:tabs>
                <w:tab w:val="left" w:pos="426"/>
              </w:tabs>
              <w:rPr>
                <w:lang w:val="en-GB"/>
              </w:rPr>
            </w:pPr>
          </w:p>
          <w:p w14:paraId="3302B555" w14:textId="2E63FF6E" w:rsidR="009A5091" w:rsidRPr="0072447F" w:rsidRDefault="00940BBA" w:rsidP="00DE214F">
            <w:pPr>
              <w:tabs>
                <w:tab w:val="left" w:pos="426"/>
              </w:tabs>
            </w:pPr>
            <w:r>
              <w:t xml:space="preserve">Členské státy s oblastmi postiženými znečištěním vody v důsledku nadbytku dusičnanů poskytnou zemědělcům podporu na </w:t>
            </w:r>
            <w:proofErr w:type="spellStart"/>
            <w:r>
              <w:t>extenzifikaci</w:t>
            </w:r>
            <w:proofErr w:type="spellEnd"/>
            <w:r>
              <w:t xml:space="preserve"> systémů chovu hospodářských zvířat nebo na diverzifikaci na jiné zemědělské činnosti.</w:t>
            </w:r>
          </w:p>
        </w:tc>
        <w:tc>
          <w:tcPr>
            <w:tcW w:w="4528" w:type="dxa"/>
            <w:tcBorders>
              <w:top w:val="single" w:sz="2" w:space="0" w:color="auto"/>
              <w:left w:val="single" w:sz="6" w:space="0" w:color="auto"/>
              <w:bottom w:val="single" w:sz="6" w:space="0" w:color="auto"/>
              <w:right w:val="single" w:sz="6" w:space="0" w:color="auto"/>
            </w:tcBorders>
            <w:hideMark/>
          </w:tcPr>
          <w:p w14:paraId="76AB7E31" w14:textId="5F0946C4" w:rsidR="00940BBA" w:rsidRPr="0072447F" w:rsidRDefault="006753F9" w:rsidP="00DE214F">
            <w:r>
              <w:t xml:space="preserve">1. Členské státy poskytují zemědělcům podporu </w:t>
            </w:r>
            <w:r w:rsidR="008010FA">
              <w:t>v </w:t>
            </w:r>
            <w:r>
              <w:t xml:space="preserve">těchto prioritních </w:t>
            </w:r>
            <w:r>
              <w:rPr>
                <w:b/>
                <w:i/>
              </w:rPr>
              <w:t>oblastech</w:t>
            </w:r>
            <w:r>
              <w:t xml:space="preserve"> životního prostředí a klimatu: (…)</w:t>
            </w:r>
          </w:p>
          <w:p w14:paraId="4F3546E9" w14:textId="77777777" w:rsidR="00940BBA" w:rsidRPr="0072447F" w:rsidRDefault="00940BBA" w:rsidP="00DE214F">
            <w:pPr>
              <w:tabs>
                <w:tab w:val="left" w:pos="426"/>
              </w:tabs>
              <w:rPr>
                <w:lang w:val="en-GB"/>
              </w:rPr>
            </w:pPr>
          </w:p>
          <w:p w14:paraId="1F0D7B36" w14:textId="77777777" w:rsidR="00940BBA" w:rsidRPr="0072447F" w:rsidRDefault="00940BBA" w:rsidP="00DE214F">
            <w:pPr>
              <w:tabs>
                <w:tab w:val="left" w:pos="426"/>
              </w:tabs>
              <w:rPr>
                <w:lang w:val="en-GB"/>
              </w:rPr>
            </w:pPr>
          </w:p>
          <w:p w14:paraId="6E1D4287" w14:textId="77777777" w:rsidR="00940BBA" w:rsidRPr="0072447F" w:rsidRDefault="00940BBA" w:rsidP="00DE214F">
            <w:pPr>
              <w:tabs>
                <w:tab w:val="left" w:pos="426"/>
              </w:tabs>
              <w:rPr>
                <w:lang w:val="en-GB"/>
              </w:rPr>
            </w:pPr>
          </w:p>
          <w:p w14:paraId="09F34331" w14:textId="4CF047E8" w:rsidR="009A5091" w:rsidRPr="0072447F" w:rsidRDefault="00940BBA" w:rsidP="00DE214F">
            <w:pPr>
              <w:tabs>
                <w:tab w:val="left" w:pos="426"/>
              </w:tabs>
            </w:pPr>
            <w:r>
              <w:t xml:space="preserve">Členské státy s oblastmi postiženými znečištěním vody v důsledku nadbytku dusičnanů poskytnou zemědělcům podporu na </w:t>
            </w:r>
            <w:proofErr w:type="spellStart"/>
            <w:r>
              <w:t>extenzifikaci</w:t>
            </w:r>
            <w:proofErr w:type="spellEnd"/>
            <w:r>
              <w:t xml:space="preserve"> systémů chovu hospodářských zvířat nebo na diverzifikaci na jiné zemědělské činnosti</w:t>
            </w:r>
            <w:r>
              <w:rPr>
                <w:b/>
                <w:i/>
              </w:rPr>
              <w:t xml:space="preserve"> či jiné alternativy, přičemž přijmou zvláštní opatření zaměřená na výrobní systémy, které jsou založeny především na spásání travních porostů, a na lokality vysoké přírodní hodnoty. Nesmí to ovšem narušit životaschopnost zemědělských podniků ani vyváženost z hlediska intenzity chovu hospodářských zvířat v daném regionu</w:t>
            </w:r>
            <w:r>
              <w:t xml:space="preserve">. </w:t>
            </w:r>
          </w:p>
        </w:tc>
      </w:tr>
    </w:tbl>
    <w:p w14:paraId="5091EE4D" w14:textId="77777777" w:rsidR="009A5091" w:rsidRDefault="009A5091" w:rsidP="00DE214F">
      <w:pPr>
        <w:jc w:val="center"/>
        <w:rPr>
          <w:lang w:val="en-GB"/>
        </w:rPr>
      </w:pPr>
    </w:p>
    <w:p w14:paraId="28073378" w14:textId="77777777" w:rsidR="00792CE7" w:rsidRDefault="00792CE7" w:rsidP="00EC1BA3">
      <w:pPr>
        <w:jc w:val="left"/>
        <w:rPr>
          <w:lang w:val="en-GB"/>
        </w:rPr>
      </w:pPr>
    </w:p>
    <w:p w14:paraId="4E91BDDF" w14:textId="77777777" w:rsidR="00792CE7" w:rsidRPr="0072447F" w:rsidRDefault="00792CE7" w:rsidP="00DE214F">
      <w:pPr>
        <w:jc w:val="center"/>
        <w:rPr>
          <w:lang w:val="en-GB"/>
        </w:rPr>
      </w:pPr>
    </w:p>
    <w:tbl>
      <w:tblPr>
        <w:tblW w:w="9069" w:type="dxa"/>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gridCol w:w="12"/>
      </w:tblGrid>
      <w:tr w:rsidR="009A5091" w:rsidRPr="0072447F" w14:paraId="050E2A3D" w14:textId="77777777" w:rsidTr="00925E56">
        <w:trPr>
          <w:gridAfter w:val="1"/>
          <w:wAfter w:w="12" w:type="dxa"/>
          <w:trHeight w:val="300"/>
        </w:trPr>
        <w:tc>
          <w:tcPr>
            <w:tcW w:w="9057" w:type="dxa"/>
            <w:tcBorders>
              <w:top w:val="single" w:sz="2" w:space="0" w:color="auto"/>
              <w:left w:val="single" w:sz="2" w:space="0" w:color="auto"/>
              <w:bottom w:val="single" w:sz="2" w:space="0" w:color="auto"/>
              <w:right w:val="single" w:sz="2" w:space="0" w:color="auto"/>
            </w:tcBorders>
            <w:hideMark/>
          </w:tcPr>
          <w:p w14:paraId="0CFA9AB8" w14:textId="77777777" w:rsidR="009A5091" w:rsidRPr="0072447F" w:rsidRDefault="00940BBA" w:rsidP="00DE214F">
            <w:pPr>
              <w:keepNext/>
              <w:keepLines/>
              <w:jc w:val="center"/>
            </w:pPr>
            <w:r>
              <w:rPr>
                <w:b/>
              </w:rPr>
              <w:t>Odůvodnění</w:t>
            </w:r>
          </w:p>
        </w:tc>
      </w:tr>
      <w:tr w:rsidR="009A5091" w:rsidRPr="0072447F" w14:paraId="710B8BCF" w14:textId="77777777" w:rsidTr="00925E56">
        <w:trPr>
          <w:trHeight w:val="300"/>
        </w:trPr>
        <w:tc>
          <w:tcPr>
            <w:tcW w:w="9069" w:type="dxa"/>
            <w:gridSpan w:val="2"/>
            <w:tcBorders>
              <w:top w:val="single" w:sz="2" w:space="0" w:color="auto"/>
              <w:left w:val="single" w:sz="6" w:space="0" w:color="auto"/>
              <w:bottom w:val="single" w:sz="6" w:space="0" w:color="auto"/>
              <w:right w:val="single" w:sz="6" w:space="0" w:color="auto"/>
            </w:tcBorders>
            <w:hideMark/>
          </w:tcPr>
          <w:p w14:paraId="0B770BC7" w14:textId="712707C4" w:rsidR="009A5091" w:rsidRPr="0072447F" w:rsidRDefault="00110EF1" w:rsidP="00DE214F">
            <w:pPr>
              <w:keepNext/>
              <w:keepLines/>
            </w:pPr>
            <w:r>
              <w:t xml:space="preserve">Klimaticky a environmentálně prospěšná opatření by měla být prosazována prostřednictvím vyváženého přístupu, v jehož rámci budou v tomto směru uplatňovány pobídky i předpisy. Je tedy zapotřebí zajistit více finančních prostředků, aby byly tyto pobídky úspěšné. Mnohé systémy chovu hospodářských zvířat založené na spásání travních porostů se již vyznačují nízkou intenzitou chovu </w:t>
            </w:r>
            <w:r w:rsidR="008010FA">
              <w:t>a </w:t>
            </w:r>
            <w:r>
              <w:t xml:space="preserve">z ekologického hlediska příznivými podmínkami, čímž poskytují služby v oblasti sekvestrace uhlíku, biologické rozmanitosti a udržování krajiny. Pokud by byla vyžadována další </w:t>
            </w:r>
            <w:proofErr w:type="spellStart"/>
            <w:r>
              <w:t>extenzifikace</w:t>
            </w:r>
            <w:proofErr w:type="spellEnd"/>
            <w:r>
              <w:t>, pak by to mohlo nechtěně způsobit, že by klesla výrobní kapacita, zvýšilo by se riziko zanechání zemědělské činnosti a došlo by k oslabení venkovských ekonomik, ale zároveň by to nemělo odpovídající přínos pro životní prostředí. Je třeba zahrnout do nařízení zvláštní opatření zaměřená na systémy, které jsou založeny především na spásání travních porostů, díky nimž budou moci členské státy provést intervence dle regionálních podmínek a výrobní struktury.</w:t>
            </w:r>
          </w:p>
        </w:tc>
      </w:tr>
    </w:tbl>
    <w:p w14:paraId="08824BA0" w14:textId="256030FD" w:rsidR="009A5091" w:rsidRPr="0072447F" w:rsidRDefault="00543F86" w:rsidP="00DE214F">
      <w:pPr>
        <w:pStyle w:val="Heading2"/>
        <w:numPr>
          <w:ilvl w:val="0"/>
          <w:numId w:val="0"/>
        </w:numPr>
      </w:pPr>
      <w:r>
        <w:br/>
      </w:r>
    </w:p>
    <w:p w14:paraId="1CE38931" w14:textId="5761111E" w:rsidR="00553529" w:rsidRPr="00925E56" w:rsidRDefault="00940BBA" w:rsidP="00DE214F">
      <w:pPr>
        <w:pStyle w:val="Heading2"/>
        <w:keepNext/>
        <w:numPr>
          <w:ilvl w:val="0"/>
          <w:numId w:val="0"/>
        </w:numPr>
      </w:pPr>
      <w:r>
        <w:rPr>
          <w:b/>
        </w:rPr>
        <w:t>Pozměňovací návrh 5 – článek 5</w:t>
      </w:r>
    </w:p>
    <w:p w14:paraId="15A0B902" w14:textId="2CB28D37" w:rsidR="00D95E31" w:rsidRPr="0072447F" w:rsidRDefault="0050227E" w:rsidP="00DE214F">
      <w:pPr>
        <w:keepNext/>
        <w:keepLines/>
        <w:jc w:val="left"/>
      </w:pPr>
      <w:r>
        <w:t>souvisí s doporučeními 1.14 a 1.15</w:t>
      </w:r>
    </w:p>
    <w:p w14:paraId="51E63E7E" w14:textId="77777777" w:rsidR="00D95E31" w:rsidRPr="0072447F" w:rsidRDefault="00D95E3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D95E31" w:rsidRPr="0072447F" w14:paraId="2C0FBEC3"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hideMark/>
          </w:tcPr>
          <w:p w14:paraId="08F84D88" w14:textId="77777777" w:rsidR="00D95E31" w:rsidRPr="0072447F" w:rsidRDefault="0050227E"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38C30125" w14:textId="77777777" w:rsidR="00D95E31" w:rsidRPr="0072447F" w:rsidRDefault="0050227E" w:rsidP="00DE214F">
            <w:pPr>
              <w:jc w:val="center"/>
            </w:pPr>
            <w:r>
              <w:rPr>
                <w:b/>
              </w:rPr>
              <w:t>Pozměňovací návrh EHSV</w:t>
            </w:r>
          </w:p>
        </w:tc>
      </w:tr>
      <w:tr w:rsidR="00D95E31" w:rsidRPr="0072447F" w14:paraId="21563CD7"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hideMark/>
          </w:tcPr>
          <w:p w14:paraId="7315FBE7" w14:textId="77777777" w:rsidR="00D95E31" w:rsidRPr="0072447F" w:rsidRDefault="0050227E" w:rsidP="00DE214F">
            <w:r>
              <w:t>Jsou stanoveny tyto intervence SZP:</w:t>
            </w:r>
          </w:p>
          <w:p w14:paraId="2D6DCE8C" w14:textId="77777777" w:rsidR="00D95E31" w:rsidRPr="0072447F" w:rsidRDefault="0050227E" w:rsidP="00DE214F">
            <w:r>
              <w:t xml:space="preserve">a) </w:t>
            </w:r>
            <w:r>
              <w:rPr>
                <w:b/>
                <w:i/>
              </w:rPr>
              <w:t>postupně se snižující</w:t>
            </w:r>
            <w:r>
              <w:t xml:space="preserve"> podpora příjmu na </w:t>
            </w:r>
            <w:r>
              <w:lastRenderedPageBreak/>
              <w:t>základě plochy;</w:t>
            </w:r>
          </w:p>
        </w:tc>
        <w:tc>
          <w:tcPr>
            <w:tcW w:w="4528" w:type="dxa"/>
            <w:tcBorders>
              <w:top w:val="single" w:sz="2" w:space="0" w:color="auto"/>
              <w:left w:val="single" w:sz="6" w:space="0" w:color="auto"/>
              <w:bottom w:val="single" w:sz="6" w:space="0" w:color="auto"/>
              <w:right w:val="single" w:sz="6" w:space="0" w:color="auto"/>
            </w:tcBorders>
            <w:hideMark/>
          </w:tcPr>
          <w:p w14:paraId="68998DA0" w14:textId="77777777" w:rsidR="00D95E31" w:rsidRPr="0072447F" w:rsidRDefault="0050227E" w:rsidP="00DE214F">
            <w:r>
              <w:lastRenderedPageBreak/>
              <w:t>Jsou stanoveny tyto intervence SZP:</w:t>
            </w:r>
          </w:p>
          <w:p w14:paraId="65DB18E0" w14:textId="77777777" w:rsidR="00D95E31" w:rsidRPr="0072447F" w:rsidRDefault="0050227E" w:rsidP="00DE214F">
            <w:r>
              <w:t>a) podpora příjmu na základě plochy;</w:t>
            </w:r>
          </w:p>
        </w:tc>
      </w:tr>
    </w:tbl>
    <w:p w14:paraId="0468DA6D" w14:textId="77777777" w:rsidR="00D95E31" w:rsidRPr="0072447F" w:rsidRDefault="00D95E3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D95E31" w:rsidRPr="0072447F" w14:paraId="4AA70905"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hideMark/>
          </w:tcPr>
          <w:p w14:paraId="459044AA" w14:textId="77777777" w:rsidR="00D95E31" w:rsidRPr="0072447F" w:rsidRDefault="0050227E" w:rsidP="00DE214F">
            <w:pPr>
              <w:keepNext/>
              <w:keepLines/>
              <w:jc w:val="center"/>
            </w:pPr>
            <w:r>
              <w:rPr>
                <w:b/>
              </w:rPr>
              <w:t>Odůvodnění</w:t>
            </w:r>
          </w:p>
        </w:tc>
      </w:tr>
      <w:tr w:rsidR="00D95E31" w:rsidRPr="0072447F" w14:paraId="1AF654EE" w14:textId="77777777">
        <w:trPr>
          <w:trHeight w:val="300"/>
        </w:trPr>
        <w:tc>
          <w:tcPr>
            <w:tcW w:w="9057" w:type="dxa"/>
            <w:tcBorders>
              <w:top w:val="single" w:sz="2" w:space="0" w:color="auto"/>
              <w:left w:val="single" w:sz="6" w:space="0" w:color="auto"/>
              <w:bottom w:val="single" w:sz="6" w:space="0" w:color="auto"/>
              <w:right w:val="single" w:sz="6" w:space="0" w:color="auto"/>
            </w:tcBorders>
            <w:hideMark/>
          </w:tcPr>
          <w:p w14:paraId="0511E7CD" w14:textId="19447DD3" w:rsidR="00D95E31" w:rsidRPr="0072447F" w:rsidRDefault="0050227E" w:rsidP="00DE214F">
            <w:r>
              <w:t>Viz doporučení 1.14 a 1.15.</w:t>
            </w:r>
          </w:p>
        </w:tc>
      </w:tr>
    </w:tbl>
    <w:p w14:paraId="7724DD70" w14:textId="77777777" w:rsidR="00D95E31" w:rsidRPr="0072447F" w:rsidRDefault="00D95E31" w:rsidP="00DE214F">
      <w:pPr>
        <w:pStyle w:val="Heading2"/>
        <w:numPr>
          <w:ilvl w:val="0"/>
          <w:numId w:val="0"/>
        </w:numPr>
        <w:rPr>
          <w:lang w:val="en-GB"/>
        </w:rPr>
      </w:pPr>
    </w:p>
    <w:p w14:paraId="5C500D9E" w14:textId="77777777" w:rsidR="00D95E31" w:rsidRPr="0072447F" w:rsidRDefault="0050227E" w:rsidP="00DE214F">
      <w:pPr>
        <w:pStyle w:val="Heading2"/>
        <w:keepNext/>
        <w:numPr>
          <w:ilvl w:val="0"/>
          <w:numId w:val="0"/>
        </w:numPr>
        <w:rPr>
          <w:b/>
        </w:rPr>
      </w:pPr>
      <w:r>
        <w:rPr>
          <w:b/>
        </w:rPr>
        <w:t>Pozměňovací návrh 6 – článek 6</w:t>
      </w:r>
    </w:p>
    <w:p w14:paraId="06275106" w14:textId="58E04847" w:rsidR="00D95E31" w:rsidRPr="0072447F" w:rsidRDefault="0050227E" w:rsidP="00DE214F">
      <w:pPr>
        <w:keepNext/>
        <w:keepLines/>
        <w:jc w:val="left"/>
      </w:pPr>
      <w:r>
        <w:t>souvisí s doporučeními 1.4, 1.13, 1.14 a 1.15</w:t>
      </w:r>
    </w:p>
    <w:p w14:paraId="2D5C18DD" w14:textId="77777777" w:rsidR="00D95E31" w:rsidRPr="0072447F" w:rsidRDefault="00D95E3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D95E31" w:rsidRPr="0072447F" w14:paraId="1C14BE28" w14:textId="77777777">
        <w:trPr>
          <w:trHeight w:val="300"/>
        </w:trPr>
        <w:tc>
          <w:tcPr>
            <w:tcW w:w="4529" w:type="dxa"/>
            <w:tcBorders>
              <w:top w:val="single" w:sz="2" w:space="0" w:color="auto"/>
              <w:left w:val="single" w:sz="2" w:space="0" w:color="auto"/>
              <w:bottom w:val="single" w:sz="2" w:space="0" w:color="auto"/>
              <w:right w:val="single" w:sz="2" w:space="0" w:color="auto"/>
            </w:tcBorders>
            <w:hideMark/>
          </w:tcPr>
          <w:p w14:paraId="4132AD47" w14:textId="77777777" w:rsidR="00D95E31" w:rsidRPr="0072447F" w:rsidRDefault="0050227E"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502E5236" w14:textId="77777777" w:rsidR="00D95E31" w:rsidRPr="0072447F" w:rsidRDefault="0050227E" w:rsidP="00DE214F">
            <w:pPr>
              <w:jc w:val="center"/>
            </w:pPr>
            <w:r>
              <w:rPr>
                <w:b/>
              </w:rPr>
              <w:t>Pozměňovací návrh EHSV</w:t>
            </w:r>
          </w:p>
        </w:tc>
      </w:tr>
      <w:tr w:rsidR="00D95E31" w:rsidRPr="0072447F" w14:paraId="1C142BEA" w14:textId="77777777">
        <w:trPr>
          <w:trHeight w:val="300"/>
        </w:trPr>
        <w:tc>
          <w:tcPr>
            <w:tcW w:w="4529" w:type="dxa"/>
            <w:tcBorders>
              <w:top w:val="single" w:sz="2" w:space="0" w:color="auto"/>
              <w:left w:val="single" w:sz="6" w:space="0" w:color="auto"/>
              <w:bottom w:val="single" w:sz="6" w:space="0" w:color="auto"/>
              <w:right w:val="single" w:sz="6" w:space="0" w:color="auto"/>
            </w:tcBorders>
            <w:hideMark/>
          </w:tcPr>
          <w:p w14:paraId="62CFC485" w14:textId="77777777" w:rsidR="00D95E31" w:rsidRPr="0072447F" w:rsidRDefault="0050227E" w:rsidP="00DE214F">
            <w:r>
              <w:rPr>
                <w:b/>
                <w:i/>
              </w:rPr>
              <w:t>Postupně se snižující podpora</w:t>
            </w:r>
            <w:r>
              <w:t xml:space="preserve"> příjmu na základě plochy</w:t>
            </w:r>
          </w:p>
          <w:p w14:paraId="57B300CD" w14:textId="77777777" w:rsidR="00D95E31" w:rsidRPr="0072447F" w:rsidRDefault="0050227E" w:rsidP="00DE214F">
            <w:pPr>
              <w:tabs>
                <w:tab w:val="left" w:pos="426"/>
              </w:tabs>
            </w:pPr>
            <w:r>
              <w:t>2.</w:t>
            </w:r>
            <w:r>
              <w:tab/>
              <w:t xml:space="preserve">Platba na způsobilý hektar se </w:t>
            </w:r>
            <w:r>
              <w:rPr>
                <w:b/>
                <w:i/>
              </w:rPr>
              <w:t>rozlišuje podle skupin zemědělců nebo zeměpisných oblastí na základě objektivních a nediskriminačních kritérií</w:t>
            </w:r>
            <w:r>
              <w:t>.</w:t>
            </w:r>
            <w:r>
              <w:rPr>
                <w:b/>
                <w:i/>
              </w:rPr>
              <w:t xml:space="preserve"> Skupiny zemědělců nebo zeměpisné oblasti, které jsou základem pro rozlišení plateb, se stanoví na základě příjmů zemědělců ze zemědělské činnosti v reprezentativním referenčním období.</w:t>
            </w:r>
            <w:r>
              <w:t xml:space="preserve"> </w:t>
            </w:r>
          </w:p>
          <w:p w14:paraId="09329430" w14:textId="77777777" w:rsidR="00D95E31" w:rsidRPr="0072447F" w:rsidRDefault="0050227E" w:rsidP="00DE214F">
            <w:pPr>
              <w:tabs>
                <w:tab w:val="left" w:pos="426"/>
              </w:tabs>
            </w:pPr>
            <w:r>
              <w:t>3.</w:t>
            </w:r>
            <w:r>
              <w:tab/>
              <w:t xml:space="preserve">Celková částka plateb na zemědělce stanovená </w:t>
            </w:r>
            <w:r>
              <w:rPr>
                <w:b/>
                <w:i/>
              </w:rPr>
              <w:t>v souladu s odstavcem 2 se snižuje (…)</w:t>
            </w:r>
            <w:r>
              <w:t>.</w:t>
            </w:r>
          </w:p>
          <w:p w14:paraId="746BB580" w14:textId="77777777" w:rsidR="00D95E31" w:rsidRPr="0072447F" w:rsidRDefault="00D95E31" w:rsidP="00DE214F">
            <w:pPr>
              <w:rPr>
                <w:lang w:val="en-GB"/>
              </w:rPr>
            </w:pPr>
          </w:p>
          <w:p w14:paraId="631ED4F3" w14:textId="77777777" w:rsidR="00D95E31" w:rsidRPr="0072447F" w:rsidRDefault="00D95E31" w:rsidP="00DE214F">
            <w:pPr>
              <w:rPr>
                <w:lang w:val="en-GB"/>
              </w:rPr>
            </w:pPr>
          </w:p>
          <w:p w14:paraId="1336B9FB" w14:textId="77777777" w:rsidR="00D95E31" w:rsidRPr="0072447F" w:rsidRDefault="0050227E" w:rsidP="00DE214F">
            <w:pPr>
              <w:tabs>
                <w:tab w:val="left" w:pos="426"/>
              </w:tabs>
            </w:pPr>
            <w:r>
              <w:t>5.</w:t>
            </w:r>
            <w:r>
              <w:tab/>
              <w:t xml:space="preserve">Členské státy zajistí, aby podpora podle tohoto článku byla určena především zemědělcům, kteří </w:t>
            </w:r>
            <w:r>
              <w:rPr>
                <w:b/>
                <w:i/>
              </w:rPr>
              <w:t>ve svém podniku vykonávají zemědělskou činnost (…)</w:t>
            </w:r>
            <w:r>
              <w:t>.</w:t>
            </w:r>
          </w:p>
          <w:p w14:paraId="35898583" w14:textId="77777777" w:rsidR="00D95E31" w:rsidRPr="0072447F" w:rsidRDefault="0050227E" w:rsidP="00DE214F">
            <w:pPr>
              <w:tabs>
                <w:tab w:val="left" w:pos="426"/>
              </w:tabs>
            </w:pPr>
            <w:r>
              <w:t>6.</w:t>
            </w:r>
            <w:r>
              <w:tab/>
              <w:t xml:space="preserve">Členské státy </w:t>
            </w:r>
            <w:r>
              <w:rPr>
                <w:b/>
                <w:i/>
              </w:rPr>
              <w:t>zajistí, aby nejpozději do roku 2030 žadatelé, kteří dosáhnou věku odchodu do důchodu stanoveného vnitrostátními právními předpisy a kteří pobírají starobní důchod, již nedostávali podporu podle tohoto článku</w:t>
            </w:r>
            <w:r>
              <w:t>.</w:t>
            </w:r>
          </w:p>
        </w:tc>
        <w:tc>
          <w:tcPr>
            <w:tcW w:w="4528" w:type="dxa"/>
            <w:tcBorders>
              <w:top w:val="single" w:sz="2" w:space="0" w:color="auto"/>
              <w:left w:val="single" w:sz="6" w:space="0" w:color="auto"/>
              <w:bottom w:val="single" w:sz="6" w:space="0" w:color="auto"/>
              <w:right w:val="single" w:sz="6" w:space="0" w:color="auto"/>
            </w:tcBorders>
            <w:hideMark/>
          </w:tcPr>
          <w:p w14:paraId="77D3B652" w14:textId="77777777" w:rsidR="00D95E31" w:rsidRPr="0072447F" w:rsidRDefault="0050227E" w:rsidP="00DE214F">
            <w:r>
              <w:rPr>
                <w:b/>
                <w:i/>
              </w:rPr>
              <w:t>Podpora</w:t>
            </w:r>
            <w:r>
              <w:t xml:space="preserve"> příjmu na základě plochy</w:t>
            </w:r>
          </w:p>
          <w:p w14:paraId="10066FCA" w14:textId="77777777" w:rsidR="00D95E31" w:rsidRPr="0072447F" w:rsidRDefault="0050227E" w:rsidP="00DE214F">
            <w:pPr>
              <w:tabs>
                <w:tab w:val="left" w:pos="426"/>
              </w:tabs>
            </w:pPr>
            <w:r>
              <w:t>2.</w:t>
            </w:r>
            <w:r>
              <w:tab/>
              <w:t xml:space="preserve">Platba na způsobilý hektar se </w:t>
            </w:r>
            <w:r>
              <w:rPr>
                <w:b/>
                <w:i/>
              </w:rPr>
              <w:t>vypočte na vnitrostátní úrovni v souladu s kritérii použitými v rámci SZP v letech 2020 až 2026</w:t>
            </w:r>
            <w:r>
              <w:t>.</w:t>
            </w:r>
          </w:p>
          <w:p w14:paraId="61FB3F92" w14:textId="77777777" w:rsidR="00D95E31" w:rsidRPr="0072447F" w:rsidRDefault="00D95E31" w:rsidP="00DE214F">
            <w:pPr>
              <w:rPr>
                <w:lang w:val="en-GB"/>
              </w:rPr>
            </w:pPr>
          </w:p>
          <w:p w14:paraId="7EC29DCD" w14:textId="77777777" w:rsidR="00D95E31" w:rsidRPr="0072447F" w:rsidRDefault="00D95E31" w:rsidP="00DE214F">
            <w:pPr>
              <w:rPr>
                <w:lang w:val="en-GB"/>
              </w:rPr>
            </w:pPr>
          </w:p>
          <w:p w14:paraId="0B2CB28B" w14:textId="77777777" w:rsidR="00D95E31" w:rsidRPr="0072447F" w:rsidRDefault="00D95E31" w:rsidP="00DE214F">
            <w:pPr>
              <w:rPr>
                <w:lang w:val="en-GB"/>
              </w:rPr>
            </w:pPr>
          </w:p>
          <w:p w14:paraId="4CCA35B8" w14:textId="77777777" w:rsidR="00D95E31" w:rsidRPr="0072447F" w:rsidRDefault="00D95E31" w:rsidP="00DE214F">
            <w:pPr>
              <w:rPr>
                <w:lang w:val="en-GB"/>
              </w:rPr>
            </w:pPr>
          </w:p>
          <w:p w14:paraId="047BA8AB" w14:textId="77777777" w:rsidR="00D95E31" w:rsidRPr="0072447F" w:rsidRDefault="00D95E31" w:rsidP="00DE214F">
            <w:pPr>
              <w:rPr>
                <w:lang w:val="en-GB"/>
              </w:rPr>
            </w:pPr>
          </w:p>
          <w:p w14:paraId="17024CEA" w14:textId="77777777" w:rsidR="00D95E31" w:rsidRPr="0072447F" w:rsidRDefault="00D95E31" w:rsidP="00DE214F">
            <w:pPr>
              <w:rPr>
                <w:lang w:val="en-GB"/>
              </w:rPr>
            </w:pPr>
          </w:p>
          <w:p w14:paraId="4E4D679A" w14:textId="225F57FF" w:rsidR="00D95E31" w:rsidRPr="0072447F" w:rsidRDefault="0050227E" w:rsidP="00DE214F">
            <w:pPr>
              <w:tabs>
                <w:tab w:val="left" w:pos="426"/>
              </w:tabs>
              <w:rPr>
                <w:b/>
                <w:i/>
              </w:rPr>
            </w:pPr>
            <w:r>
              <w:t>3.</w:t>
            </w:r>
            <w:r>
              <w:tab/>
              <w:t>Celková částka plateb na zemědělce stanovená</w:t>
            </w:r>
            <w:r>
              <w:rPr>
                <w:b/>
                <w:i/>
              </w:rPr>
              <w:t xml:space="preserve"> v rámci SZP na období 2023–2027 představuje základní částku určenou na SZP </w:t>
            </w:r>
            <w:r w:rsidR="008010FA">
              <w:rPr>
                <w:b/>
                <w:i/>
              </w:rPr>
              <w:t>v </w:t>
            </w:r>
            <w:r>
              <w:rPr>
                <w:b/>
                <w:i/>
              </w:rPr>
              <w:t>období 2028–2032, přičemž platby jsou každoročně indexovány na základě inflace v EU</w:t>
            </w:r>
            <w:r>
              <w:t>.</w:t>
            </w:r>
          </w:p>
          <w:p w14:paraId="457625D9" w14:textId="77777777" w:rsidR="00D95E31" w:rsidRPr="0072447F" w:rsidRDefault="0050227E" w:rsidP="00DE214F">
            <w:pPr>
              <w:tabs>
                <w:tab w:val="left" w:pos="426"/>
              </w:tabs>
              <w:rPr>
                <w:b/>
              </w:rPr>
            </w:pPr>
            <w:r>
              <w:t>5.</w:t>
            </w:r>
            <w:r>
              <w:tab/>
              <w:t xml:space="preserve">Členské státy zajistí, aby podpora podle tohoto článku byla určena především </w:t>
            </w:r>
            <w:r>
              <w:rPr>
                <w:b/>
                <w:i/>
              </w:rPr>
              <w:t>skutečně aktivním</w:t>
            </w:r>
            <w:r>
              <w:t xml:space="preserve"> zemědělcům, kteří </w:t>
            </w:r>
            <w:r>
              <w:rPr>
                <w:b/>
                <w:i/>
              </w:rPr>
              <w:t>se zabývají zemědělskou výrobou</w:t>
            </w:r>
            <w:r>
              <w:t>.</w:t>
            </w:r>
          </w:p>
          <w:p w14:paraId="6096C148" w14:textId="02234A99" w:rsidR="00D95E31" w:rsidRPr="0072447F" w:rsidRDefault="0050227E" w:rsidP="00DE214F">
            <w:pPr>
              <w:tabs>
                <w:tab w:val="left" w:pos="426"/>
              </w:tabs>
              <w:rPr>
                <w:b/>
                <w:i/>
              </w:rPr>
            </w:pPr>
            <w:r>
              <w:t>6.</w:t>
            </w:r>
            <w:r>
              <w:tab/>
              <w:t xml:space="preserve">Členské státy </w:t>
            </w:r>
            <w:r>
              <w:rPr>
                <w:b/>
                <w:i/>
              </w:rPr>
              <w:t xml:space="preserve">nesmí skutečně aktivní zemědělce diskriminovat na základě toho, že spadají do vyšší věkové kategorie nebo pobírají důchod, a spíše by v tomto směru měly pobízet </w:t>
            </w:r>
            <w:r w:rsidR="008010FA">
              <w:rPr>
                <w:b/>
                <w:i/>
              </w:rPr>
              <w:t>k </w:t>
            </w:r>
            <w:r>
              <w:rPr>
                <w:b/>
                <w:i/>
              </w:rPr>
              <w:t xml:space="preserve">zavedení cílených finančních programů, </w:t>
            </w:r>
            <w:r w:rsidR="008010FA">
              <w:rPr>
                <w:b/>
                <w:i/>
              </w:rPr>
              <w:t>v </w:t>
            </w:r>
            <w:r>
              <w:rPr>
                <w:b/>
                <w:i/>
              </w:rPr>
              <w:t xml:space="preserve">jejichž rámci bude podporováno převádění vlastnictví zemědělských podniků provozovaných staršími zemědělci a zemědělci </w:t>
            </w:r>
            <w:r w:rsidR="008010FA">
              <w:rPr>
                <w:b/>
                <w:i/>
              </w:rPr>
              <w:t>v </w:t>
            </w:r>
            <w:r>
              <w:rPr>
                <w:b/>
                <w:i/>
              </w:rPr>
              <w:t>důchodu do rukou mladých zemědělců</w:t>
            </w:r>
            <w:r>
              <w:t>.</w:t>
            </w:r>
          </w:p>
          <w:p w14:paraId="1281E3FD" w14:textId="77777777" w:rsidR="00D95E31" w:rsidRPr="0072447F" w:rsidRDefault="00D95E31" w:rsidP="00DE214F">
            <w:pPr>
              <w:rPr>
                <w:lang w:val="en-GB"/>
              </w:rPr>
            </w:pPr>
          </w:p>
        </w:tc>
      </w:tr>
    </w:tbl>
    <w:p w14:paraId="4CE58307" w14:textId="77777777" w:rsidR="00D95E31" w:rsidRDefault="00D95E31" w:rsidP="00DE214F">
      <w:pPr>
        <w:pStyle w:val="Heading2"/>
        <w:numPr>
          <w:ilvl w:val="0"/>
          <w:numId w:val="0"/>
        </w:numPr>
      </w:pPr>
    </w:p>
    <w:p w14:paraId="3432867E" w14:textId="77777777" w:rsidR="009768CC" w:rsidRPr="00EC1BA3" w:rsidRDefault="009768CC" w:rsidP="00EC1BA3"/>
    <w:p w14:paraId="099BEC15" w14:textId="136DCE27" w:rsidR="009A5091" w:rsidRPr="0072447F" w:rsidRDefault="0050227E" w:rsidP="00DE214F">
      <w:pPr>
        <w:pStyle w:val="Heading2"/>
        <w:keepNext/>
        <w:numPr>
          <w:ilvl w:val="0"/>
          <w:numId w:val="0"/>
        </w:numPr>
        <w:rPr>
          <w:b/>
        </w:rPr>
      </w:pPr>
      <w:r>
        <w:rPr>
          <w:b/>
        </w:rPr>
        <w:t>Pozměňovací návrh 7 – čl. 7 odst. 1 třetí pododstavec</w:t>
      </w:r>
    </w:p>
    <w:p w14:paraId="060FA9BE"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9A5091" w:rsidRPr="0072447F" w14:paraId="59ED7C64"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hideMark/>
          </w:tcPr>
          <w:p w14:paraId="21EF96F9"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7F7F83BA" w14:textId="77777777" w:rsidR="009A5091" w:rsidRPr="0072447F" w:rsidRDefault="00940BBA" w:rsidP="00DE214F">
            <w:pPr>
              <w:jc w:val="center"/>
            </w:pPr>
            <w:r>
              <w:rPr>
                <w:b/>
              </w:rPr>
              <w:t>Pozměňovací návrh EHSV</w:t>
            </w:r>
          </w:p>
        </w:tc>
      </w:tr>
      <w:tr w:rsidR="009A5091" w:rsidRPr="0072447F" w14:paraId="0ED32F31" w14:textId="77777777" w:rsidTr="00234324">
        <w:trPr>
          <w:trHeight w:val="300"/>
        </w:trPr>
        <w:tc>
          <w:tcPr>
            <w:tcW w:w="4529" w:type="dxa"/>
            <w:tcBorders>
              <w:top w:val="single" w:sz="2" w:space="0" w:color="auto"/>
              <w:left w:val="single" w:sz="6" w:space="0" w:color="auto"/>
              <w:bottom w:val="single" w:sz="6" w:space="0" w:color="auto"/>
              <w:right w:val="single" w:sz="6" w:space="0" w:color="auto"/>
            </w:tcBorders>
            <w:hideMark/>
          </w:tcPr>
          <w:p w14:paraId="1DB59075" w14:textId="77777777" w:rsidR="009A5091" w:rsidRPr="0072447F" w:rsidRDefault="00940BBA" w:rsidP="00DE214F">
            <w:r>
              <w:t xml:space="preserve">Roční platba pro jednotlivé drobné zemědělce nepřesáhne částku </w:t>
            </w:r>
            <w:r>
              <w:rPr>
                <w:b/>
                <w:i/>
              </w:rPr>
              <w:t>3 000 EUR</w:t>
            </w:r>
            <w:r>
              <w:t>.</w:t>
            </w:r>
          </w:p>
        </w:tc>
        <w:tc>
          <w:tcPr>
            <w:tcW w:w="4528" w:type="dxa"/>
            <w:tcBorders>
              <w:top w:val="single" w:sz="2" w:space="0" w:color="auto"/>
              <w:left w:val="single" w:sz="6" w:space="0" w:color="auto"/>
              <w:bottom w:val="single" w:sz="6" w:space="0" w:color="auto"/>
              <w:right w:val="single" w:sz="6" w:space="0" w:color="auto"/>
            </w:tcBorders>
            <w:hideMark/>
          </w:tcPr>
          <w:p w14:paraId="014352FC" w14:textId="0B842953" w:rsidR="009A5091" w:rsidRPr="0072447F" w:rsidRDefault="00940BBA" w:rsidP="00DE214F">
            <w:r>
              <w:t xml:space="preserve">Roční platba pro jednotlivé drobné zemědělce nepřesáhne částku </w:t>
            </w:r>
            <w:r>
              <w:rPr>
                <w:b/>
                <w:i/>
              </w:rPr>
              <w:t>5 000 EUR</w:t>
            </w:r>
            <w:r>
              <w:t>.</w:t>
            </w:r>
          </w:p>
        </w:tc>
      </w:tr>
    </w:tbl>
    <w:p w14:paraId="56C633A2"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9A5091" w:rsidRPr="0072447F" w14:paraId="7BD2DCA4"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hideMark/>
          </w:tcPr>
          <w:p w14:paraId="0CB7A21D" w14:textId="77777777" w:rsidR="009A5091" w:rsidRPr="0072447F" w:rsidRDefault="00940BBA" w:rsidP="00DE214F">
            <w:pPr>
              <w:keepNext/>
              <w:keepLines/>
              <w:jc w:val="center"/>
            </w:pPr>
            <w:r>
              <w:rPr>
                <w:b/>
              </w:rPr>
              <w:t>Odůvodnění</w:t>
            </w:r>
          </w:p>
        </w:tc>
      </w:tr>
      <w:tr w:rsidR="009A5091" w:rsidRPr="0072447F" w14:paraId="1516A7F9" w14:textId="77777777" w:rsidTr="00925E56">
        <w:trPr>
          <w:trHeight w:val="300"/>
        </w:trPr>
        <w:tc>
          <w:tcPr>
            <w:tcW w:w="9057" w:type="dxa"/>
            <w:tcBorders>
              <w:top w:val="single" w:sz="2" w:space="0" w:color="auto"/>
              <w:left w:val="single" w:sz="6" w:space="0" w:color="auto"/>
              <w:bottom w:val="single" w:sz="6" w:space="0" w:color="auto"/>
              <w:right w:val="single" w:sz="6" w:space="0" w:color="auto"/>
            </w:tcBorders>
            <w:hideMark/>
          </w:tcPr>
          <w:p w14:paraId="636782ED" w14:textId="7312A341" w:rsidR="009A5091" w:rsidRPr="0072447F" w:rsidRDefault="00940BBA" w:rsidP="00DE214F">
            <w:r>
              <w:t>Tento pozměňovací návrh vychází z doporučení, která EHSV v tomto ohledu vyjádřil v minulosti (ve stanovisku NAT/955)</w:t>
            </w:r>
            <w:r w:rsidRPr="0072447F">
              <w:rPr>
                <w:rStyle w:val="FootnoteReference"/>
                <w:lang w:val="en-GB"/>
              </w:rPr>
              <w:footnoteReference w:id="19"/>
            </w:r>
            <w:r>
              <w:t xml:space="preserve">. </w:t>
            </w:r>
          </w:p>
        </w:tc>
      </w:tr>
    </w:tbl>
    <w:p w14:paraId="2136C830" w14:textId="77777777" w:rsidR="009A5091" w:rsidRPr="0072447F" w:rsidRDefault="009A5091" w:rsidP="00DE214F">
      <w:pPr>
        <w:pStyle w:val="Heading2"/>
        <w:numPr>
          <w:ilvl w:val="0"/>
          <w:numId w:val="0"/>
        </w:numPr>
        <w:rPr>
          <w:lang w:val="en-GB"/>
        </w:rPr>
      </w:pPr>
    </w:p>
    <w:p w14:paraId="4DAA8CEA" w14:textId="1FF9A4B3" w:rsidR="009A5091" w:rsidRPr="0072447F" w:rsidRDefault="00940BBA" w:rsidP="00DE214F">
      <w:pPr>
        <w:pStyle w:val="Heading2"/>
        <w:keepNext/>
        <w:numPr>
          <w:ilvl w:val="0"/>
          <w:numId w:val="0"/>
        </w:numPr>
        <w:rPr>
          <w:b/>
        </w:rPr>
      </w:pPr>
      <w:r>
        <w:rPr>
          <w:b/>
        </w:rPr>
        <w:t>Pozměňovací návrh 8 – článek 8</w:t>
      </w:r>
    </w:p>
    <w:p w14:paraId="22ECBEAF" w14:textId="611FA1DE" w:rsidR="009A5091" w:rsidRPr="0072447F" w:rsidRDefault="00940BBA" w:rsidP="00DE214F">
      <w:pPr>
        <w:keepNext/>
        <w:keepLines/>
        <w:jc w:val="left"/>
      </w:pPr>
      <w:r>
        <w:t>souvisí s doporučeními 1.4, 1.12 a 1.18</w:t>
      </w:r>
    </w:p>
    <w:p w14:paraId="01094F7F"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9A5091" w:rsidRPr="0072447F" w14:paraId="399D3B37" w14:textId="77777777" w:rsidTr="00234324">
        <w:trPr>
          <w:trHeight w:val="300"/>
        </w:trPr>
        <w:tc>
          <w:tcPr>
            <w:tcW w:w="4529" w:type="dxa"/>
            <w:tcBorders>
              <w:top w:val="single" w:sz="2" w:space="0" w:color="auto"/>
              <w:left w:val="single" w:sz="2" w:space="0" w:color="auto"/>
              <w:bottom w:val="single" w:sz="2" w:space="0" w:color="auto"/>
              <w:right w:val="single" w:sz="2" w:space="0" w:color="auto"/>
            </w:tcBorders>
            <w:hideMark/>
          </w:tcPr>
          <w:p w14:paraId="5D3B6758"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4AF87B41" w14:textId="77777777" w:rsidR="009A5091" w:rsidRPr="0072447F" w:rsidRDefault="00940BBA" w:rsidP="00DE214F">
            <w:pPr>
              <w:jc w:val="center"/>
            </w:pPr>
            <w:r>
              <w:rPr>
                <w:b/>
              </w:rPr>
              <w:t>Pozměňovací návrh EHSV</w:t>
            </w:r>
          </w:p>
        </w:tc>
      </w:tr>
      <w:tr w:rsidR="009A5091" w:rsidRPr="0072447F" w14:paraId="682F3D73" w14:textId="77777777" w:rsidTr="00234324">
        <w:trPr>
          <w:trHeight w:val="300"/>
        </w:trPr>
        <w:tc>
          <w:tcPr>
            <w:tcW w:w="4529" w:type="dxa"/>
            <w:tcBorders>
              <w:top w:val="single" w:sz="2" w:space="0" w:color="auto"/>
              <w:left w:val="single" w:sz="6" w:space="0" w:color="auto"/>
              <w:bottom w:val="single" w:sz="6" w:space="0" w:color="auto"/>
              <w:right w:val="single" w:sz="6" w:space="0" w:color="auto"/>
            </w:tcBorders>
            <w:hideMark/>
          </w:tcPr>
          <w:p w14:paraId="65E827CC" w14:textId="77777777" w:rsidR="009A5091" w:rsidRPr="0072447F" w:rsidRDefault="00940BBA" w:rsidP="00DE214F">
            <w:pPr>
              <w:tabs>
                <w:tab w:val="left" w:pos="426"/>
              </w:tabs>
            </w:pPr>
            <w:r>
              <w:t>2.</w:t>
            </w:r>
            <w:r>
              <w:tab/>
              <w:t>Platbu na oblasti s přírodními a jinými zvláštními omezeními lze poskytnout s ohledem na oblasti, které:</w:t>
            </w:r>
          </w:p>
          <w:p w14:paraId="164BB513" w14:textId="77777777" w:rsidR="009A5091" w:rsidRPr="0072447F" w:rsidRDefault="00940BBA" w:rsidP="00DE214F">
            <w:pPr>
              <w:tabs>
                <w:tab w:val="left" w:pos="426"/>
              </w:tabs>
            </w:pPr>
            <w:r>
              <w:t xml:space="preserve">b) </w:t>
            </w:r>
            <w:r>
              <w:tab/>
              <w:t xml:space="preserve">jsou nově určeny s ohledem na specifická omezení definovaná členskými státy a byly zahrnuty do plánu </w:t>
            </w:r>
            <w:r>
              <w:rPr>
                <w:b/>
                <w:i/>
              </w:rPr>
              <w:t>NRPP</w:t>
            </w:r>
            <w:r>
              <w:t>.</w:t>
            </w:r>
          </w:p>
          <w:p w14:paraId="716E45F5" w14:textId="77777777" w:rsidR="009A5091" w:rsidRPr="0072447F" w:rsidRDefault="009A5091" w:rsidP="00DE214F">
            <w:pPr>
              <w:rPr>
                <w:lang w:val="en-GB"/>
              </w:rPr>
            </w:pPr>
          </w:p>
          <w:p w14:paraId="2E7EC0B7" w14:textId="77777777" w:rsidR="009A5091" w:rsidRPr="0072447F" w:rsidRDefault="00940BBA" w:rsidP="00DE214F">
            <w:r>
              <w:t>Členské státy mohou provést doladění s cílem vyloučit oblasti (…).</w:t>
            </w:r>
          </w:p>
          <w:p w14:paraId="4FB3F7EF" w14:textId="77777777" w:rsidR="009A5091" w:rsidRPr="0072447F" w:rsidRDefault="009A5091" w:rsidP="00DE214F">
            <w:pPr>
              <w:rPr>
                <w:lang w:val="en-GB"/>
              </w:rPr>
            </w:pPr>
          </w:p>
          <w:p w14:paraId="463B624B" w14:textId="77777777" w:rsidR="009A5091" w:rsidRPr="0072447F" w:rsidRDefault="00940BBA" w:rsidP="00DE214F">
            <w:r>
              <w:t xml:space="preserve">Plocha oblastí (…) nesmí překročit </w:t>
            </w:r>
            <w:r>
              <w:rPr>
                <w:b/>
                <w:i/>
              </w:rPr>
              <w:t>2 %</w:t>
            </w:r>
            <w:r>
              <w:t xml:space="preserve"> využívané zemědělské plochy dotyčného členského státu.</w:t>
            </w:r>
          </w:p>
          <w:p w14:paraId="6F36A23F" w14:textId="77777777" w:rsidR="009A5091" w:rsidRPr="0072447F" w:rsidRDefault="009A5091" w:rsidP="00DE214F">
            <w:pPr>
              <w:rPr>
                <w:lang w:val="en-GB"/>
              </w:rPr>
            </w:pPr>
          </w:p>
          <w:p w14:paraId="5FF57536" w14:textId="30DC1808" w:rsidR="009A5091" w:rsidRPr="0072447F" w:rsidRDefault="00940BBA" w:rsidP="00DE214F">
            <w:pPr>
              <w:tabs>
                <w:tab w:val="left" w:pos="426"/>
              </w:tabs>
            </w:pPr>
            <w:r>
              <w:t>3.</w:t>
            </w:r>
            <w:r>
              <w:tab/>
              <w:t xml:space="preserve">Platby na způsobilý hektar </w:t>
            </w:r>
            <w:r>
              <w:rPr>
                <w:b/>
                <w:i/>
              </w:rPr>
              <w:t>jsou</w:t>
            </w:r>
            <w:r>
              <w:t xml:space="preserve"> omezeny na dodatečné náklady nebo ztrátu příjmů související s provozováním zemědělské výroby ve vymezených oblastech ve srovnání s výrobou </w:t>
            </w:r>
            <w:r w:rsidR="008010FA">
              <w:t>v </w:t>
            </w:r>
            <w:r>
              <w:t>nevymezených oblastech.</w:t>
            </w:r>
          </w:p>
        </w:tc>
        <w:tc>
          <w:tcPr>
            <w:tcW w:w="4528" w:type="dxa"/>
            <w:tcBorders>
              <w:top w:val="single" w:sz="2" w:space="0" w:color="auto"/>
              <w:left w:val="single" w:sz="6" w:space="0" w:color="auto"/>
              <w:bottom w:val="single" w:sz="6" w:space="0" w:color="auto"/>
              <w:right w:val="single" w:sz="6" w:space="0" w:color="auto"/>
            </w:tcBorders>
            <w:hideMark/>
          </w:tcPr>
          <w:p w14:paraId="13AAFAE6" w14:textId="77777777" w:rsidR="009A5091" w:rsidRPr="0072447F" w:rsidRDefault="00940BBA" w:rsidP="00DE214F">
            <w:pPr>
              <w:tabs>
                <w:tab w:val="left" w:pos="426"/>
              </w:tabs>
            </w:pPr>
            <w:r>
              <w:t>2.</w:t>
            </w:r>
            <w:r>
              <w:tab/>
              <w:t>Platbu na oblasti s přírodními a jinými zvláštními omezeními lze poskytnout s ohledem na oblasti, které:</w:t>
            </w:r>
          </w:p>
          <w:p w14:paraId="2167F3F7" w14:textId="718E2AB4" w:rsidR="009A5091" w:rsidRPr="0072447F" w:rsidRDefault="00940BBA" w:rsidP="00DE214F">
            <w:pPr>
              <w:tabs>
                <w:tab w:val="left" w:pos="426"/>
              </w:tabs>
            </w:pPr>
            <w:r>
              <w:t xml:space="preserve">b) </w:t>
            </w:r>
            <w:r>
              <w:tab/>
              <w:t xml:space="preserve">jsou nově určeny s ohledem na specifická omezení definovaná členskými státy a byly zahrnuty do </w:t>
            </w:r>
            <w:r>
              <w:rPr>
                <w:b/>
                <w:i/>
              </w:rPr>
              <w:t>národního</w:t>
            </w:r>
            <w:r>
              <w:t xml:space="preserve"> plánu </w:t>
            </w:r>
            <w:r>
              <w:rPr>
                <w:b/>
                <w:i/>
              </w:rPr>
              <w:t>rozvoje venkova</w:t>
            </w:r>
            <w:r>
              <w:t>.</w:t>
            </w:r>
          </w:p>
          <w:p w14:paraId="2C071D3A" w14:textId="13A3E71B" w:rsidR="009A5091" w:rsidRPr="0072447F" w:rsidRDefault="00940BBA" w:rsidP="00DE214F">
            <w:r>
              <w:t xml:space="preserve">Členské státy mohou provést doladění s cílem </w:t>
            </w:r>
            <w:r>
              <w:rPr>
                <w:b/>
                <w:i/>
              </w:rPr>
              <w:t>zahrnout nové oblasti nebo</w:t>
            </w:r>
            <w:r>
              <w:t xml:space="preserve"> vyloučit </w:t>
            </w:r>
            <w:r>
              <w:rPr>
                <w:b/>
                <w:i/>
              </w:rPr>
              <w:t>již zahrnuté</w:t>
            </w:r>
            <w:r>
              <w:t xml:space="preserve"> oblasti (…).</w:t>
            </w:r>
          </w:p>
          <w:p w14:paraId="27F91363" w14:textId="77777777" w:rsidR="009A5091" w:rsidRPr="0072447F" w:rsidRDefault="00940BBA" w:rsidP="00DE214F">
            <w:r>
              <w:t xml:space="preserve">Plocha oblastí (…) nesmí překročit </w:t>
            </w:r>
            <w:r>
              <w:rPr>
                <w:b/>
                <w:i/>
              </w:rPr>
              <w:t>5 %</w:t>
            </w:r>
            <w:r>
              <w:t xml:space="preserve"> využívané zemědělské plochy dotyčného členského státu.</w:t>
            </w:r>
          </w:p>
          <w:p w14:paraId="19698439" w14:textId="77777777" w:rsidR="009A5091" w:rsidRPr="0072447F" w:rsidRDefault="009A5091" w:rsidP="00DE214F">
            <w:pPr>
              <w:rPr>
                <w:lang w:val="en-GB"/>
              </w:rPr>
            </w:pPr>
          </w:p>
          <w:p w14:paraId="669E765A" w14:textId="55AEAFF9" w:rsidR="009A5091" w:rsidRPr="0072447F" w:rsidRDefault="00940BBA" w:rsidP="00DE214F">
            <w:pPr>
              <w:tabs>
                <w:tab w:val="left" w:pos="426"/>
              </w:tabs>
            </w:pPr>
            <w:r>
              <w:t>3.</w:t>
            </w:r>
            <w:r>
              <w:tab/>
              <w:t xml:space="preserve">Platby na způsobilý hektar </w:t>
            </w:r>
            <w:r>
              <w:rPr>
                <w:b/>
                <w:i/>
              </w:rPr>
              <w:t>nejsou</w:t>
            </w:r>
            <w:r>
              <w:t xml:space="preserve"> omezeny na dodatečné náklady nebo ztrátu příjmů související s provozováním zemědělské výroby ve vymezených oblastech ve srovnání s výrobou v nevymezených oblastech</w:t>
            </w:r>
            <w:r>
              <w:rPr>
                <w:b/>
                <w:i/>
              </w:rPr>
              <w:t>, ale zahrnují motivační prvek</w:t>
            </w:r>
            <w:r>
              <w:t>.</w:t>
            </w:r>
          </w:p>
        </w:tc>
      </w:tr>
    </w:tbl>
    <w:p w14:paraId="2004EBE2" w14:textId="77777777" w:rsidR="009A5091" w:rsidRPr="0072447F" w:rsidRDefault="009A5091" w:rsidP="00DE214F">
      <w:pPr>
        <w:jc w:val="center"/>
        <w:rPr>
          <w:lang w:val="en-GB"/>
        </w:rPr>
      </w:pPr>
    </w:p>
    <w:tbl>
      <w:tblPr>
        <w:tblW w:w="9069" w:type="dxa"/>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gridCol w:w="12"/>
      </w:tblGrid>
      <w:tr w:rsidR="009A5091" w:rsidRPr="0072447F" w14:paraId="007EBD77" w14:textId="77777777" w:rsidTr="00925E56">
        <w:trPr>
          <w:gridAfter w:val="1"/>
          <w:wAfter w:w="12" w:type="dxa"/>
          <w:trHeight w:val="300"/>
        </w:trPr>
        <w:tc>
          <w:tcPr>
            <w:tcW w:w="9057" w:type="dxa"/>
            <w:tcBorders>
              <w:top w:val="single" w:sz="2" w:space="0" w:color="auto"/>
              <w:left w:val="single" w:sz="2" w:space="0" w:color="auto"/>
              <w:bottom w:val="single" w:sz="2" w:space="0" w:color="auto"/>
              <w:right w:val="single" w:sz="2" w:space="0" w:color="auto"/>
            </w:tcBorders>
            <w:hideMark/>
          </w:tcPr>
          <w:p w14:paraId="77D9FAFD" w14:textId="77777777" w:rsidR="009A5091" w:rsidRPr="0072447F" w:rsidRDefault="00940BBA" w:rsidP="00DE214F">
            <w:pPr>
              <w:keepNext/>
              <w:keepLines/>
              <w:jc w:val="center"/>
            </w:pPr>
            <w:r>
              <w:rPr>
                <w:b/>
              </w:rPr>
              <w:t>Odůvodnění</w:t>
            </w:r>
          </w:p>
        </w:tc>
      </w:tr>
      <w:tr w:rsidR="009A5091" w:rsidRPr="0072447F" w14:paraId="75D0FA8B" w14:textId="77777777" w:rsidTr="00925E56">
        <w:trPr>
          <w:trHeight w:val="300"/>
        </w:trPr>
        <w:tc>
          <w:tcPr>
            <w:tcW w:w="9069" w:type="dxa"/>
            <w:gridSpan w:val="2"/>
            <w:tcBorders>
              <w:top w:val="single" w:sz="2" w:space="0" w:color="auto"/>
              <w:left w:val="single" w:sz="6" w:space="0" w:color="auto"/>
              <w:bottom w:val="single" w:sz="6" w:space="0" w:color="auto"/>
              <w:right w:val="single" w:sz="6" w:space="0" w:color="auto"/>
            </w:tcBorders>
            <w:hideMark/>
          </w:tcPr>
          <w:p w14:paraId="193733F5" w14:textId="5440ADBC" w:rsidR="009A5091" w:rsidRPr="0072447F" w:rsidRDefault="00940BBA" w:rsidP="00DE214F">
            <w:pPr>
              <w:rPr>
                <w:color w:val="4F6228" w:themeColor="accent3" w:themeShade="80"/>
              </w:rPr>
            </w:pPr>
            <w:r>
              <w:t>Je nutné zachovat a udržovat oblasti s přírodními omezeními, neboť to má zásadní význam z hlediska životaschopnosti zemědělství ve znevýhodněných regionech. Platby musí zahrnovat motivační prvek pro zemědělce.</w:t>
            </w:r>
          </w:p>
        </w:tc>
      </w:tr>
    </w:tbl>
    <w:p w14:paraId="1AE3E8A9" w14:textId="77777777" w:rsidR="009A5091" w:rsidRPr="0072447F" w:rsidRDefault="009A5091" w:rsidP="00DE214F">
      <w:pPr>
        <w:pStyle w:val="Heading2"/>
        <w:numPr>
          <w:ilvl w:val="0"/>
          <w:numId w:val="0"/>
        </w:numPr>
        <w:rPr>
          <w:b/>
          <w:lang w:val="en-GB"/>
        </w:rPr>
      </w:pPr>
    </w:p>
    <w:p w14:paraId="4152B328" w14:textId="10AFA5F4" w:rsidR="009A5091" w:rsidRPr="0072447F" w:rsidRDefault="00940BBA" w:rsidP="00DE214F">
      <w:pPr>
        <w:pStyle w:val="Heading2"/>
        <w:keepNext/>
        <w:numPr>
          <w:ilvl w:val="0"/>
          <w:numId w:val="0"/>
        </w:numPr>
        <w:rPr>
          <w:b/>
        </w:rPr>
      </w:pPr>
      <w:r>
        <w:rPr>
          <w:b/>
        </w:rPr>
        <w:t>Pozměňovací návrh 9 – článek 10</w:t>
      </w:r>
    </w:p>
    <w:p w14:paraId="1CAFCED0" w14:textId="0FA7A955" w:rsidR="009A5091" w:rsidRPr="0072447F" w:rsidRDefault="00940BBA" w:rsidP="00DE214F">
      <w:pPr>
        <w:keepNext/>
        <w:keepLines/>
        <w:jc w:val="left"/>
      </w:pPr>
      <w:r>
        <w:t>souvisí s doporučeními 1.13 a 1.18</w:t>
      </w:r>
    </w:p>
    <w:p w14:paraId="2A52F8C2"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9A5091" w:rsidRPr="0072447F" w14:paraId="456FBA03" w14:textId="77777777" w:rsidTr="00234324">
        <w:trPr>
          <w:trHeight w:val="300"/>
        </w:trPr>
        <w:tc>
          <w:tcPr>
            <w:tcW w:w="4529" w:type="dxa"/>
            <w:tcBorders>
              <w:top w:val="single" w:sz="2" w:space="0" w:color="auto"/>
              <w:left w:val="single" w:sz="2" w:space="0" w:color="auto"/>
              <w:bottom w:val="single" w:sz="2" w:space="0" w:color="auto"/>
              <w:right w:val="single" w:sz="2" w:space="0" w:color="auto"/>
            </w:tcBorders>
            <w:hideMark/>
          </w:tcPr>
          <w:p w14:paraId="4C1DFA5A"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351A1A4D" w14:textId="77777777" w:rsidR="009A5091" w:rsidRPr="0072447F" w:rsidRDefault="00940BBA" w:rsidP="00DE214F">
            <w:pPr>
              <w:jc w:val="center"/>
            </w:pPr>
            <w:r>
              <w:rPr>
                <w:b/>
              </w:rPr>
              <w:t>Pozměňovací návrh EHSV</w:t>
            </w:r>
          </w:p>
        </w:tc>
      </w:tr>
      <w:tr w:rsidR="009A5091" w:rsidRPr="0072447F" w14:paraId="433EAD70" w14:textId="77777777" w:rsidTr="00234324">
        <w:trPr>
          <w:trHeight w:val="300"/>
        </w:trPr>
        <w:tc>
          <w:tcPr>
            <w:tcW w:w="4529" w:type="dxa"/>
            <w:tcBorders>
              <w:top w:val="single" w:sz="2" w:space="0" w:color="auto"/>
              <w:left w:val="single" w:sz="6" w:space="0" w:color="auto"/>
              <w:bottom w:val="single" w:sz="6" w:space="0" w:color="auto"/>
              <w:right w:val="single" w:sz="6" w:space="0" w:color="auto"/>
            </w:tcBorders>
            <w:hideMark/>
          </w:tcPr>
          <w:p w14:paraId="59244990" w14:textId="2E17E52A" w:rsidR="009A5091" w:rsidRPr="0072447F" w:rsidRDefault="00940BBA" w:rsidP="00DE214F">
            <w:pPr>
              <w:pStyle w:val="ListParagraph"/>
              <w:numPr>
                <w:ilvl w:val="0"/>
                <w:numId w:val="19"/>
              </w:numPr>
              <w:tabs>
                <w:tab w:val="left" w:pos="426"/>
              </w:tabs>
              <w:ind w:left="930" w:hanging="780"/>
            </w:pPr>
            <w:r>
              <w:t>Členské státy poskytují pobídky (…)</w:t>
            </w:r>
          </w:p>
          <w:p w14:paraId="26C52C07" w14:textId="43873054" w:rsidR="00940BBA" w:rsidRPr="0072447F" w:rsidRDefault="00940BBA" w:rsidP="00DE214F">
            <w:pPr>
              <w:pStyle w:val="ListParagraph"/>
              <w:numPr>
                <w:ilvl w:val="0"/>
                <w:numId w:val="21"/>
              </w:numPr>
              <w:ind w:left="930" w:hanging="780"/>
              <w:textAlignment w:val="baseline"/>
            </w:pPr>
            <w:r>
              <w:t>dobrovolné závazky hospodaření přijaté zemědělci</w:t>
            </w:r>
            <w:r>
              <w:rPr>
                <w:b/>
                <w:i/>
              </w:rPr>
              <w:t xml:space="preserve"> a dalšími příjemci</w:t>
            </w:r>
            <w:r w:rsidR="008010FA">
              <w:t xml:space="preserve"> </w:t>
            </w:r>
            <w:r>
              <w:t>(…)</w:t>
            </w:r>
          </w:p>
          <w:p w14:paraId="6A3FEE36" w14:textId="487A1A7F" w:rsidR="00940BBA" w:rsidRPr="0072447F" w:rsidRDefault="00940BBA" w:rsidP="00DE214F">
            <w:pPr>
              <w:tabs>
                <w:tab w:val="left" w:pos="426"/>
              </w:tabs>
              <w:rPr>
                <w:lang w:val="en-GB"/>
              </w:rPr>
            </w:pPr>
          </w:p>
        </w:tc>
        <w:tc>
          <w:tcPr>
            <w:tcW w:w="4528" w:type="dxa"/>
            <w:tcBorders>
              <w:top w:val="single" w:sz="2" w:space="0" w:color="auto"/>
              <w:left w:val="single" w:sz="6" w:space="0" w:color="auto"/>
              <w:bottom w:val="single" w:sz="6" w:space="0" w:color="auto"/>
              <w:right w:val="single" w:sz="6" w:space="0" w:color="auto"/>
            </w:tcBorders>
            <w:hideMark/>
          </w:tcPr>
          <w:p w14:paraId="021F7D31" w14:textId="466D7240" w:rsidR="009A5091" w:rsidRPr="0072447F" w:rsidRDefault="00940BBA" w:rsidP="00DE214F">
            <w:pPr>
              <w:pStyle w:val="ListParagraph"/>
              <w:numPr>
                <w:ilvl w:val="0"/>
                <w:numId w:val="22"/>
              </w:numPr>
              <w:tabs>
                <w:tab w:val="left" w:pos="426"/>
              </w:tabs>
              <w:ind w:left="521" w:hanging="542"/>
            </w:pPr>
            <w:r>
              <w:lastRenderedPageBreak/>
              <w:t xml:space="preserve">Členské státy poskytují </w:t>
            </w:r>
            <w:r>
              <w:rPr>
                <w:b/>
                <w:i/>
              </w:rPr>
              <w:t>v rámci přímých plateb dodatečné</w:t>
            </w:r>
            <w:r>
              <w:t xml:space="preserve"> pobídky</w:t>
            </w:r>
            <w:r>
              <w:rPr>
                <w:b/>
                <w:i/>
              </w:rPr>
              <w:t xml:space="preserve">, které výrazně převyšují dodatečné náklady zemědělců </w:t>
            </w:r>
            <w:r w:rsidR="008010FA">
              <w:rPr>
                <w:b/>
                <w:i/>
              </w:rPr>
              <w:t>a </w:t>
            </w:r>
            <w:r>
              <w:rPr>
                <w:b/>
                <w:i/>
              </w:rPr>
              <w:t>ušlý zisk</w:t>
            </w:r>
            <w:r>
              <w:t xml:space="preserve"> (…)</w:t>
            </w:r>
          </w:p>
          <w:p w14:paraId="26CAF37F" w14:textId="5F16A303" w:rsidR="00940BBA" w:rsidRPr="0072447F" w:rsidRDefault="00940BBA" w:rsidP="00DE214F">
            <w:pPr>
              <w:pStyle w:val="ListParagraph"/>
              <w:numPr>
                <w:ilvl w:val="0"/>
                <w:numId w:val="24"/>
              </w:numPr>
              <w:ind w:left="663" w:hanging="567"/>
              <w:textAlignment w:val="baseline"/>
            </w:pPr>
            <w:r>
              <w:lastRenderedPageBreak/>
              <w:t>dobrovolné závazky hospodaření přijaté zemědělci</w:t>
            </w:r>
            <w:r w:rsidR="008010FA">
              <w:t xml:space="preserve"> </w:t>
            </w:r>
            <w:r>
              <w:t xml:space="preserve">(…) </w:t>
            </w:r>
          </w:p>
          <w:p w14:paraId="31A287C0" w14:textId="24F27510" w:rsidR="00940BBA" w:rsidRPr="0072447F" w:rsidRDefault="00940BBA" w:rsidP="00DE214F">
            <w:pPr>
              <w:tabs>
                <w:tab w:val="left" w:pos="426"/>
              </w:tabs>
              <w:rPr>
                <w:lang w:val="en-GB"/>
              </w:rPr>
            </w:pPr>
          </w:p>
        </w:tc>
      </w:tr>
    </w:tbl>
    <w:p w14:paraId="65CCB274"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9A5091" w:rsidRPr="0072447F" w14:paraId="514A6F3A"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hideMark/>
          </w:tcPr>
          <w:p w14:paraId="78E70226" w14:textId="77777777" w:rsidR="009A5091" w:rsidRPr="0072447F" w:rsidRDefault="00940BBA" w:rsidP="00DE214F">
            <w:pPr>
              <w:keepNext/>
              <w:keepLines/>
              <w:jc w:val="center"/>
            </w:pPr>
            <w:r>
              <w:rPr>
                <w:b/>
              </w:rPr>
              <w:t>Odůvodnění</w:t>
            </w:r>
          </w:p>
        </w:tc>
      </w:tr>
      <w:tr w:rsidR="009A5091" w:rsidRPr="0072447F" w14:paraId="40585D7C" w14:textId="77777777" w:rsidTr="00925E56">
        <w:trPr>
          <w:trHeight w:val="300"/>
        </w:trPr>
        <w:tc>
          <w:tcPr>
            <w:tcW w:w="9057" w:type="dxa"/>
            <w:tcBorders>
              <w:top w:val="single" w:sz="2" w:space="0" w:color="auto"/>
              <w:left w:val="single" w:sz="6" w:space="0" w:color="auto"/>
              <w:bottom w:val="single" w:sz="6" w:space="0" w:color="auto"/>
              <w:right w:val="single" w:sz="6" w:space="0" w:color="auto"/>
            </w:tcBorders>
            <w:hideMark/>
          </w:tcPr>
          <w:p w14:paraId="2F99F4FD" w14:textId="5A40DBBF" w:rsidR="009A5091" w:rsidRPr="0072447F" w:rsidRDefault="00940BBA" w:rsidP="00DE214F">
            <w:proofErr w:type="spellStart"/>
            <w:r>
              <w:t>Agroenvironmentální</w:t>
            </w:r>
            <w:proofErr w:type="spellEnd"/>
            <w:r>
              <w:t xml:space="preserve"> a klimatická opatření by měla být navržena tak, aby byla inkluzivní, přístupná a atraktivní pro všechny zemědělce, bez ohledu na velikost zemědělského podniku, region či systém produkce. Budou-li zemědělcům nabídnuta řada různých opatření, pak si z nich budou moci vybrat ta, která odpovídají jejich místním podmínkám a kapacitě. Díky této flexibilitě budou tato opatření uplatňována v rozsáhlejší míře a bude možné dosáhnout lepších výsledků v oblasti ochrany životního prostředí. Vhodně navrženým systémem s možností výběru se navíc podpoří spravedlnost, jednoduchost a přizpůsobitelnost v různých podmínkách provozování zemědělské činnosti. Je naprosto zásadní, aby byly zemědělcům poskytnuty skutečné pobídky k přechodu na nové postupy.</w:t>
            </w:r>
          </w:p>
        </w:tc>
      </w:tr>
    </w:tbl>
    <w:p w14:paraId="35324862" w14:textId="77777777" w:rsidR="009A5091" w:rsidRPr="0072447F" w:rsidRDefault="009A5091" w:rsidP="00DE214F">
      <w:pPr>
        <w:pStyle w:val="Heading2"/>
        <w:numPr>
          <w:ilvl w:val="0"/>
          <w:numId w:val="0"/>
        </w:numPr>
        <w:rPr>
          <w:lang w:val="en-GB"/>
        </w:rPr>
      </w:pPr>
    </w:p>
    <w:p w14:paraId="4573E8F2" w14:textId="4FED7D8A" w:rsidR="009A5091" w:rsidRPr="0072447F" w:rsidRDefault="00940BBA" w:rsidP="00DE214F">
      <w:pPr>
        <w:pStyle w:val="Heading2"/>
        <w:keepNext/>
        <w:numPr>
          <w:ilvl w:val="0"/>
          <w:numId w:val="0"/>
        </w:numPr>
        <w:rPr>
          <w:b/>
        </w:rPr>
      </w:pPr>
      <w:r>
        <w:rPr>
          <w:b/>
        </w:rPr>
        <w:t>Pozměňovací návrh 10 – čl. 11 odst. 1 první pododstavec</w:t>
      </w:r>
    </w:p>
    <w:p w14:paraId="478243E9" w14:textId="6831FDE9" w:rsidR="009A5091" w:rsidRPr="0072447F" w:rsidRDefault="00940BBA" w:rsidP="00DE214F">
      <w:pPr>
        <w:keepNext/>
        <w:keepLines/>
        <w:jc w:val="left"/>
      </w:pPr>
      <w:r>
        <w:t>souvisí s doporučeními 1.13 a 1.15</w:t>
      </w:r>
    </w:p>
    <w:p w14:paraId="0DB31158" w14:textId="77777777" w:rsidR="009A5091" w:rsidRPr="0072447F" w:rsidRDefault="009A5091" w:rsidP="00DE214F">
      <w:pPr>
        <w:keepNext/>
        <w:keepLines/>
        <w:jc w:val="left"/>
        <w:rPr>
          <w:lang w:val="en-GB"/>
        </w:rPr>
      </w:pPr>
    </w:p>
    <w:tbl>
      <w:tblPr>
        <w:tblW w:w="9069" w:type="dxa"/>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gridCol w:w="12"/>
      </w:tblGrid>
      <w:tr w:rsidR="009A5091" w:rsidRPr="0072447F" w14:paraId="5E51F8C3" w14:textId="77777777" w:rsidTr="00925E56">
        <w:trPr>
          <w:gridAfter w:val="1"/>
          <w:wAfter w:w="12" w:type="dxa"/>
          <w:trHeight w:val="300"/>
        </w:trPr>
        <w:tc>
          <w:tcPr>
            <w:tcW w:w="4529" w:type="dxa"/>
            <w:tcBorders>
              <w:top w:val="single" w:sz="2" w:space="0" w:color="auto"/>
              <w:left w:val="single" w:sz="2" w:space="0" w:color="auto"/>
              <w:bottom w:val="single" w:sz="2" w:space="0" w:color="auto"/>
              <w:right w:val="single" w:sz="2" w:space="0" w:color="auto"/>
            </w:tcBorders>
            <w:hideMark/>
          </w:tcPr>
          <w:p w14:paraId="29AD20A1"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71C99B26" w14:textId="77777777" w:rsidR="009A5091" w:rsidRPr="0072447F" w:rsidRDefault="00940BBA" w:rsidP="00DE214F">
            <w:pPr>
              <w:jc w:val="center"/>
            </w:pPr>
            <w:r>
              <w:rPr>
                <w:b/>
              </w:rPr>
              <w:t>Pozměňovací návrh EHSV</w:t>
            </w:r>
          </w:p>
        </w:tc>
      </w:tr>
      <w:tr w:rsidR="009A5091" w:rsidRPr="0072447F" w14:paraId="04107385"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hideMark/>
          </w:tcPr>
          <w:p w14:paraId="57353157" w14:textId="49B81C9F" w:rsidR="009A5091" w:rsidRPr="0072447F" w:rsidRDefault="00940BBA" w:rsidP="00DE214F">
            <w:pPr>
              <w:tabs>
                <w:tab w:val="left" w:pos="426"/>
              </w:tabs>
            </w:pPr>
            <w:r>
              <w:t>1.</w:t>
            </w:r>
            <w:r>
              <w:tab/>
              <w:t>(…) nebo specifickým druhům zemědělské činnosti v nich, které procházejí obtížemi a jsou důležité ze (…).</w:t>
            </w:r>
          </w:p>
        </w:tc>
        <w:tc>
          <w:tcPr>
            <w:tcW w:w="4540" w:type="dxa"/>
            <w:gridSpan w:val="2"/>
            <w:tcBorders>
              <w:top w:val="single" w:sz="2" w:space="0" w:color="auto"/>
              <w:left w:val="single" w:sz="6" w:space="0" w:color="auto"/>
              <w:bottom w:val="single" w:sz="6" w:space="0" w:color="auto"/>
              <w:right w:val="single" w:sz="6" w:space="0" w:color="auto"/>
            </w:tcBorders>
            <w:hideMark/>
          </w:tcPr>
          <w:p w14:paraId="1B1EB4F2" w14:textId="6DC556A5" w:rsidR="009A5091" w:rsidRPr="0072447F" w:rsidRDefault="00940BBA" w:rsidP="00DE214F">
            <w:pPr>
              <w:tabs>
                <w:tab w:val="left" w:pos="426"/>
              </w:tabs>
            </w:pPr>
            <w:r>
              <w:t>1.</w:t>
            </w:r>
            <w:r>
              <w:tab/>
              <w:t xml:space="preserve">(…) nebo specifickým druhům zemědělské činnosti v nich, které procházejí obtížemi </w:t>
            </w:r>
            <w:r w:rsidR="008010FA">
              <w:rPr>
                <w:b/>
                <w:i/>
              </w:rPr>
              <w:t>v </w:t>
            </w:r>
            <w:r>
              <w:rPr>
                <w:b/>
                <w:i/>
              </w:rPr>
              <w:t xml:space="preserve">oblasti příjmů nebo jinými obtížemi </w:t>
            </w:r>
            <w:r>
              <w:t>a jsou důležité ze (…).</w:t>
            </w:r>
          </w:p>
        </w:tc>
      </w:tr>
    </w:tbl>
    <w:p w14:paraId="7B279E32"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7"/>
      </w:tblGrid>
      <w:tr w:rsidR="009A5091" w:rsidRPr="0072447F" w14:paraId="50A59473" w14:textId="77777777">
        <w:trPr>
          <w:trHeight w:val="300"/>
        </w:trPr>
        <w:tc>
          <w:tcPr>
            <w:tcW w:w="9057" w:type="dxa"/>
            <w:tcBorders>
              <w:top w:val="single" w:sz="2" w:space="0" w:color="auto"/>
              <w:left w:val="single" w:sz="2" w:space="0" w:color="auto"/>
              <w:bottom w:val="single" w:sz="2" w:space="0" w:color="auto"/>
              <w:right w:val="single" w:sz="2" w:space="0" w:color="auto"/>
            </w:tcBorders>
            <w:hideMark/>
          </w:tcPr>
          <w:p w14:paraId="39ECE8A3" w14:textId="77777777" w:rsidR="009A5091" w:rsidRPr="0072447F" w:rsidRDefault="00940BBA" w:rsidP="00DE214F">
            <w:pPr>
              <w:keepNext/>
              <w:keepLines/>
              <w:jc w:val="center"/>
            </w:pPr>
            <w:r>
              <w:rPr>
                <w:b/>
              </w:rPr>
              <w:t>Odůvodnění</w:t>
            </w:r>
          </w:p>
        </w:tc>
      </w:tr>
      <w:tr w:rsidR="009A5091" w:rsidRPr="0072447F" w14:paraId="67AEFCFE" w14:textId="77777777">
        <w:trPr>
          <w:trHeight w:val="300"/>
        </w:trPr>
        <w:tc>
          <w:tcPr>
            <w:tcW w:w="9057" w:type="dxa"/>
            <w:tcBorders>
              <w:top w:val="single" w:sz="2" w:space="0" w:color="auto"/>
              <w:left w:val="single" w:sz="6" w:space="0" w:color="auto"/>
              <w:bottom w:val="single" w:sz="6" w:space="0" w:color="auto"/>
              <w:right w:val="single" w:sz="6" w:space="0" w:color="auto"/>
            </w:tcBorders>
            <w:hideMark/>
          </w:tcPr>
          <w:p w14:paraId="7B3CD471" w14:textId="4E63F6A1" w:rsidR="009A5091" w:rsidRPr="0072447F" w:rsidRDefault="00940BBA" w:rsidP="00DE214F">
            <w:pPr>
              <w:keepNext/>
              <w:keepLines/>
              <w:ind w:left="30" w:right="30"/>
            </w:pPr>
            <w:r>
              <w:t>Přímé platby musí především pomáhat zlepšit příjmy zemědělských podniků.</w:t>
            </w:r>
          </w:p>
        </w:tc>
      </w:tr>
    </w:tbl>
    <w:p w14:paraId="0C1102E6" w14:textId="77777777" w:rsidR="009A5091" w:rsidRPr="0072447F" w:rsidRDefault="009A5091" w:rsidP="00DE214F">
      <w:pPr>
        <w:pStyle w:val="Heading2"/>
        <w:numPr>
          <w:ilvl w:val="0"/>
          <w:numId w:val="0"/>
        </w:numPr>
        <w:rPr>
          <w:lang w:val="en-GB"/>
        </w:rPr>
      </w:pPr>
    </w:p>
    <w:p w14:paraId="1A29E14B" w14:textId="4E8C655B" w:rsidR="009A5091" w:rsidRPr="0072447F" w:rsidRDefault="00940BBA" w:rsidP="00DE214F">
      <w:pPr>
        <w:pStyle w:val="Heading2"/>
        <w:keepNext/>
        <w:numPr>
          <w:ilvl w:val="0"/>
          <w:numId w:val="0"/>
        </w:numPr>
        <w:rPr>
          <w:b/>
        </w:rPr>
      </w:pPr>
      <w:r>
        <w:rPr>
          <w:b/>
        </w:rPr>
        <w:t>Pozměňovací návrh 11 – čl. 12 odst. 2 druhý pododstavec</w:t>
      </w:r>
    </w:p>
    <w:p w14:paraId="53B4B78A" w14:textId="55415361" w:rsidR="009A5091" w:rsidRPr="0072447F" w:rsidRDefault="00940BBA" w:rsidP="00DE214F">
      <w:pPr>
        <w:keepNext/>
        <w:keepLines/>
        <w:jc w:val="left"/>
      </w:pPr>
      <w:r>
        <w:t>souvisí s doporučením 1.21</w:t>
      </w:r>
    </w:p>
    <w:p w14:paraId="7252532E"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gridCol w:w="65"/>
      </w:tblGrid>
      <w:tr w:rsidR="009A5091" w:rsidRPr="0072447F" w14:paraId="363BE833" w14:textId="77777777" w:rsidTr="00925E56">
        <w:trPr>
          <w:gridAfter w:val="1"/>
          <w:wAfter w:w="65" w:type="dxa"/>
          <w:trHeight w:val="300"/>
        </w:trPr>
        <w:tc>
          <w:tcPr>
            <w:tcW w:w="4529" w:type="dxa"/>
            <w:tcBorders>
              <w:top w:val="single" w:sz="2" w:space="0" w:color="auto"/>
              <w:left w:val="single" w:sz="2" w:space="0" w:color="auto"/>
              <w:bottom w:val="single" w:sz="2" w:space="0" w:color="auto"/>
              <w:right w:val="single" w:sz="2" w:space="0" w:color="auto"/>
            </w:tcBorders>
            <w:hideMark/>
          </w:tcPr>
          <w:p w14:paraId="5B4E05D8"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5B430C4E" w14:textId="77777777" w:rsidR="009A5091" w:rsidRPr="0072447F" w:rsidRDefault="00940BBA" w:rsidP="00DE214F">
            <w:pPr>
              <w:jc w:val="center"/>
            </w:pPr>
            <w:r>
              <w:rPr>
                <w:b/>
              </w:rPr>
              <w:t>Pozměňovací návrh EHSV</w:t>
            </w:r>
          </w:p>
        </w:tc>
      </w:tr>
      <w:tr w:rsidR="009A5091" w:rsidRPr="0072447F" w14:paraId="7F092F04"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hideMark/>
          </w:tcPr>
          <w:p w14:paraId="5D4F57F4" w14:textId="77777777" w:rsidR="009A5091" w:rsidRPr="0072447F" w:rsidRDefault="00940BBA" w:rsidP="00DE214F">
            <w:r>
              <w:rPr>
                <w:b/>
                <w:i/>
              </w:rPr>
              <w:t>V případě trvalých kultur a v jiných odůvodněných případech, pro něž nejsou</w:t>
            </w:r>
            <w:r>
              <w:t xml:space="preserve"> vhodné metody výpočtu uvedené v prvním pododstavci, mohou členské státy stanovit metodu výpočtu ztrát na základě průměrné roční produkce nebo příjmů zemědělce za období, které nepřesahuje osm let, přičemž se vyloučí nejvyšší a nejnižší hodnota.</w:t>
            </w:r>
          </w:p>
        </w:tc>
        <w:tc>
          <w:tcPr>
            <w:tcW w:w="4528" w:type="dxa"/>
            <w:gridSpan w:val="2"/>
            <w:tcBorders>
              <w:top w:val="single" w:sz="2" w:space="0" w:color="auto"/>
              <w:left w:val="single" w:sz="6" w:space="0" w:color="auto"/>
              <w:bottom w:val="single" w:sz="6" w:space="0" w:color="auto"/>
              <w:right w:val="single" w:sz="6" w:space="0" w:color="auto"/>
            </w:tcBorders>
            <w:hideMark/>
          </w:tcPr>
          <w:p w14:paraId="0F4256D0" w14:textId="46F761C0" w:rsidR="009A5091" w:rsidRPr="0072447F" w:rsidRDefault="00AD61F8" w:rsidP="00DE214F">
            <w:r>
              <w:rPr>
                <w:b/>
                <w:i/>
              </w:rPr>
              <w:t>Pokud není</w:t>
            </w:r>
            <w:r>
              <w:t xml:space="preserve"> vhodné </w:t>
            </w:r>
            <w:r>
              <w:rPr>
                <w:b/>
                <w:i/>
              </w:rPr>
              <w:t>použít</w:t>
            </w:r>
            <w:r>
              <w:t xml:space="preserve"> metody výpočtu uvedené v prvním pododstavci, mohou členské státy stanovit metodu výpočtu ztrát na základě průměrné roční produkce nebo příjmů zemědělce za období, které nepřesahuje osm let, přičemž se vyloučí nejvyšší a nejnižší hodnota.</w:t>
            </w:r>
          </w:p>
        </w:tc>
      </w:tr>
    </w:tbl>
    <w:p w14:paraId="5811364B"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9A5091" w:rsidRPr="0072447F" w14:paraId="2D7E9D6E"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hideMark/>
          </w:tcPr>
          <w:p w14:paraId="275CC858" w14:textId="77777777" w:rsidR="009A5091" w:rsidRPr="0072447F" w:rsidRDefault="00940BBA" w:rsidP="00DE214F">
            <w:pPr>
              <w:keepNext/>
              <w:keepLines/>
              <w:jc w:val="center"/>
            </w:pPr>
            <w:r>
              <w:rPr>
                <w:b/>
              </w:rPr>
              <w:t>Odůvodnění</w:t>
            </w:r>
          </w:p>
        </w:tc>
      </w:tr>
      <w:tr w:rsidR="009A5091" w:rsidRPr="0072447F" w14:paraId="21347925" w14:textId="77777777" w:rsidTr="00925E56">
        <w:trPr>
          <w:trHeight w:val="300"/>
        </w:trPr>
        <w:tc>
          <w:tcPr>
            <w:tcW w:w="9057" w:type="dxa"/>
            <w:tcBorders>
              <w:top w:val="single" w:sz="2" w:space="0" w:color="auto"/>
              <w:left w:val="single" w:sz="6" w:space="0" w:color="auto"/>
              <w:bottom w:val="single" w:sz="6" w:space="0" w:color="auto"/>
              <w:right w:val="single" w:sz="6" w:space="0" w:color="auto"/>
            </w:tcBorders>
            <w:hideMark/>
          </w:tcPr>
          <w:p w14:paraId="6D6A470C" w14:textId="39945BB5" w:rsidR="009A5091" w:rsidRPr="0072447F" w:rsidRDefault="00940BBA" w:rsidP="00DE214F">
            <w:r>
              <w:t xml:space="preserve">Počítání upraveného průměru za osm let skýtá větší stabilitu ze statistického hlediska, neboť klimatická rizika jsou velmi častá. </w:t>
            </w:r>
          </w:p>
        </w:tc>
      </w:tr>
    </w:tbl>
    <w:p w14:paraId="53BB8F08" w14:textId="77777777" w:rsidR="009A5091" w:rsidRPr="0072447F" w:rsidRDefault="009A5091" w:rsidP="00DE214F">
      <w:pPr>
        <w:pStyle w:val="Heading2"/>
        <w:numPr>
          <w:ilvl w:val="0"/>
          <w:numId w:val="0"/>
        </w:numPr>
        <w:rPr>
          <w:lang w:val="en-GB"/>
        </w:rPr>
      </w:pPr>
    </w:p>
    <w:p w14:paraId="4FBCB591" w14:textId="7B193649" w:rsidR="009A5091" w:rsidRPr="0072447F" w:rsidRDefault="00940BBA" w:rsidP="00DE214F">
      <w:pPr>
        <w:pStyle w:val="Heading2"/>
        <w:keepNext/>
        <w:numPr>
          <w:ilvl w:val="0"/>
          <w:numId w:val="0"/>
        </w:numPr>
        <w:rPr>
          <w:b/>
        </w:rPr>
      </w:pPr>
      <w:r>
        <w:rPr>
          <w:b/>
        </w:rPr>
        <w:lastRenderedPageBreak/>
        <w:t>Pozměňovací návrh 12 – čl. 14 odst. 4</w:t>
      </w:r>
    </w:p>
    <w:p w14:paraId="4754FDEF" w14:textId="4628989D" w:rsidR="009A5091" w:rsidRPr="0072447F" w:rsidRDefault="00940BBA" w:rsidP="00DE214F">
      <w:pPr>
        <w:keepNext/>
        <w:keepLines/>
        <w:jc w:val="left"/>
      </w:pPr>
      <w:r>
        <w:t>souvisí s doporučením 1.20</w:t>
      </w:r>
    </w:p>
    <w:p w14:paraId="23ED71FE"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9A5091" w:rsidRPr="0072447F" w14:paraId="56810632"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tcPr>
          <w:p w14:paraId="0DDEC965"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tcPr>
          <w:p w14:paraId="1D76B215" w14:textId="77777777" w:rsidR="009A5091" w:rsidRPr="0072447F" w:rsidRDefault="00940BBA" w:rsidP="00DE214F">
            <w:pPr>
              <w:jc w:val="center"/>
            </w:pPr>
            <w:r>
              <w:rPr>
                <w:b/>
              </w:rPr>
              <w:t>Pozměňovací návrh EHSV</w:t>
            </w:r>
          </w:p>
        </w:tc>
      </w:tr>
      <w:tr w:rsidR="009A5091" w:rsidRPr="0072447F" w14:paraId="36C96747"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tcPr>
          <w:p w14:paraId="37541DA5" w14:textId="08384E5B" w:rsidR="009A5091" w:rsidRPr="0072447F" w:rsidRDefault="00940BBA" w:rsidP="00DE214F">
            <w:r>
              <w:t>Členské státy poskytnou podporu formou jednorázových částek nebo finančních nástrojů nebo kombinace obou způsobů. Podpora je omezena maximální částkou podpory ve výši 300 000 EUR a lze ji diferencovat na základě objektivních a nediskriminačních kritérií.</w:t>
            </w:r>
          </w:p>
          <w:p w14:paraId="17352C6D" w14:textId="6DEAAB9C" w:rsidR="009A5091" w:rsidRPr="0072447F" w:rsidRDefault="009A5091" w:rsidP="00DE214F">
            <w:pPr>
              <w:rPr>
                <w:b/>
                <w:lang w:val="en-GB"/>
              </w:rPr>
            </w:pPr>
          </w:p>
        </w:tc>
        <w:tc>
          <w:tcPr>
            <w:tcW w:w="4528" w:type="dxa"/>
            <w:tcBorders>
              <w:top w:val="single" w:sz="2" w:space="0" w:color="auto"/>
              <w:left w:val="single" w:sz="6" w:space="0" w:color="auto"/>
              <w:bottom w:val="single" w:sz="6" w:space="0" w:color="auto"/>
              <w:right w:val="single" w:sz="6" w:space="0" w:color="auto"/>
            </w:tcBorders>
          </w:tcPr>
          <w:p w14:paraId="587489A5" w14:textId="1BD17531" w:rsidR="009A5091" w:rsidRPr="0072447F" w:rsidRDefault="00940BBA" w:rsidP="00DE214F">
            <w:r>
              <w:t xml:space="preserve">Členské státy poskytnou podporu formou jednorázových částek nebo finančních nástrojů nebo kombinace obou způsobů. Podpora je omezena maximální částkou podpory ve výši 300 000 EUR a lze ji diferencovat na základě objektivních a nediskriminačních kritérií. </w:t>
            </w:r>
            <w:r>
              <w:rPr>
                <w:b/>
                <w:i/>
              </w:rPr>
              <w:t xml:space="preserve">Členské státy zajistí, aby byla určitá část této podpory vyhrazena mladým zemědělcům </w:t>
            </w:r>
            <w:r w:rsidR="008010FA">
              <w:rPr>
                <w:b/>
                <w:i/>
              </w:rPr>
              <w:t>a </w:t>
            </w:r>
            <w:r>
              <w:rPr>
                <w:b/>
                <w:i/>
              </w:rPr>
              <w:t>ženám, a to v souladu s jejich strategií generační obměny.</w:t>
            </w:r>
          </w:p>
          <w:p w14:paraId="060A2282" w14:textId="07CFD019" w:rsidR="009A5091" w:rsidRPr="0072447F" w:rsidRDefault="009A5091" w:rsidP="00DE214F">
            <w:pPr>
              <w:rPr>
                <w:lang w:val="en-GB"/>
              </w:rPr>
            </w:pPr>
          </w:p>
        </w:tc>
      </w:tr>
    </w:tbl>
    <w:p w14:paraId="4E51FBDA"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57"/>
      </w:tblGrid>
      <w:tr w:rsidR="009A5091" w:rsidRPr="0072447F" w14:paraId="7774963F" w14:textId="77777777" w:rsidTr="00925E56">
        <w:trPr>
          <w:trHeight w:val="295"/>
        </w:trPr>
        <w:tc>
          <w:tcPr>
            <w:tcW w:w="9057" w:type="dxa"/>
            <w:tcBorders>
              <w:top w:val="single" w:sz="2" w:space="0" w:color="auto"/>
              <w:left w:val="single" w:sz="2" w:space="0" w:color="auto"/>
              <w:bottom w:val="single" w:sz="2" w:space="0" w:color="auto"/>
              <w:right w:val="single" w:sz="2" w:space="0" w:color="auto"/>
            </w:tcBorders>
          </w:tcPr>
          <w:p w14:paraId="35D28EB0" w14:textId="77777777" w:rsidR="009A5091" w:rsidRPr="0072447F" w:rsidRDefault="00940BBA" w:rsidP="00DE214F">
            <w:pPr>
              <w:keepNext/>
              <w:keepLines/>
              <w:jc w:val="center"/>
            </w:pPr>
            <w:r>
              <w:rPr>
                <w:b/>
              </w:rPr>
              <w:t>Odůvodnění</w:t>
            </w:r>
          </w:p>
        </w:tc>
      </w:tr>
      <w:tr w:rsidR="009A5091" w:rsidRPr="0072447F" w14:paraId="238CA2B9" w14:textId="77777777" w:rsidTr="00234324">
        <w:trPr>
          <w:trHeight w:val="607"/>
        </w:trPr>
        <w:tc>
          <w:tcPr>
            <w:tcW w:w="9057" w:type="dxa"/>
            <w:tcBorders>
              <w:top w:val="single" w:sz="2" w:space="0" w:color="auto"/>
              <w:left w:val="single" w:sz="6" w:space="0" w:color="auto"/>
              <w:bottom w:val="single" w:sz="6" w:space="0" w:color="auto"/>
              <w:right w:val="single" w:sz="6" w:space="0" w:color="auto"/>
            </w:tcBorders>
          </w:tcPr>
          <w:p w14:paraId="49930B52" w14:textId="31D16637" w:rsidR="009A5091" w:rsidRPr="0072447F" w:rsidRDefault="00940BBA" w:rsidP="00DE214F">
            <w:r>
              <w:t xml:space="preserve">Pokud bude určitá část vyhrazena mladým zemědělcům a ženám, pak to pomůže uskutečnit základní cíl SZP, co se týče generační obměny, atraktivity zemědělství pro mladé lidi a ženy </w:t>
            </w:r>
            <w:r w:rsidR="008010FA">
              <w:t>a </w:t>
            </w:r>
            <w:r>
              <w:t>posílení životaschopnosti venkovských komunit.</w:t>
            </w:r>
          </w:p>
        </w:tc>
      </w:tr>
    </w:tbl>
    <w:p w14:paraId="329096CC" w14:textId="77777777" w:rsidR="009A5091" w:rsidRPr="0072447F" w:rsidRDefault="009A5091" w:rsidP="00DE214F">
      <w:pPr>
        <w:pStyle w:val="Header"/>
        <w:rPr>
          <w:lang w:val="en-GB"/>
        </w:rPr>
      </w:pPr>
    </w:p>
    <w:p w14:paraId="7FF8A1FC" w14:textId="0EE4B85E" w:rsidR="009A5091" w:rsidRPr="0072447F" w:rsidRDefault="00940BBA" w:rsidP="00DE214F">
      <w:pPr>
        <w:pStyle w:val="Heading2"/>
        <w:keepNext/>
        <w:numPr>
          <w:ilvl w:val="0"/>
          <w:numId w:val="0"/>
        </w:numPr>
        <w:rPr>
          <w:b/>
        </w:rPr>
      </w:pPr>
      <w:r>
        <w:rPr>
          <w:b/>
        </w:rPr>
        <w:t>Pozměňovací návrh 13 – článek 15, nové písmeno (písmeno e))</w:t>
      </w:r>
    </w:p>
    <w:p w14:paraId="1ADDB097" w14:textId="1E7399DA" w:rsidR="009A5091" w:rsidRPr="0072447F" w:rsidRDefault="00940BBA" w:rsidP="00DE214F">
      <w:pPr>
        <w:keepNext/>
        <w:keepLines/>
        <w:jc w:val="left"/>
      </w:pPr>
      <w:r>
        <w:t>souvisí s doporučením 1.20</w:t>
      </w:r>
    </w:p>
    <w:p w14:paraId="74CEAE08"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29"/>
        <w:gridCol w:w="4528"/>
      </w:tblGrid>
      <w:tr w:rsidR="009A5091" w:rsidRPr="0072447F" w14:paraId="6FCC21C8" w14:textId="77777777" w:rsidTr="00234324">
        <w:trPr>
          <w:trHeight w:val="300"/>
        </w:trPr>
        <w:tc>
          <w:tcPr>
            <w:tcW w:w="4529" w:type="dxa"/>
            <w:tcBorders>
              <w:top w:val="single" w:sz="2" w:space="0" w:color="auto"/>
              <w:left w:val="single" w:sz="2" w:space="0" w:color="auto"/>
              <w:bottom w:val="single" w:sz="2" w:space="0" w:color="auto"/>
              <w:right w:val="single" w:sz="2" w:space="0" w:color="auto"/>
            </w:tcBorders>
          </w:tcPr>
          <w:p w14:paraId="5FA8560F"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tcPr>
          <w:p w14:paraId="43E48075" w14:textId="77777777" w:rsidR="009A5091" w:rsidRPr="0072447F" w:rsidRDefault="00940BBA" w:rsidP="00DE214F">
            <w:pPr>
              <w:jc w:val="center"/>
            </w:pPr>
            <w:r>
              <w:rPr>
                <w:b/>
              </w:rPr>
              <w:t>Pozměňovací návrh EHSV</w:t>
            </w:r>
          </w:p>
        </w:tc>
      </w:tr>
      <w:tr w:rsidR="009A5091" w:rsidRPr="0072447F" w14:paraId="198EEB20" w14:textId="77777777" w:rsidTr="00234324">
        <w:trPr>
          <w:trHeight w:val="300"/>
        </w:trPr>
        <w:tc>
          <w:tcPr>
            <w:tcW w:w="4529" w:type="dxa"/>
            <w:tcBorders>
              <w:top w:val="single" w:sz="2" w:space="0" w:color="auto"/>
              <w:left w:val="single" w:sz="6" w:space="0" w:color="auto"/>
              <w:bottom w:val="single" w:sz="6" w:space="0" w:color="auto"/>
              <w:right w:val="single" w:sz="6" w:space="0" w:color="auto"/>
            </w:tcBorders>
          </w:tcPr>
          <w:p w14:paraId="03FBC589" w14:textId="4A30F54F" w:rsidR="009A5091" w:rsidRPr="0072447F" w:rsidRDefault="009A5091" w:rsidP="00DE214F">
            <w:pPr>
              <w:rPr>
                <w:lang w:val="en-GB"/>
              </w:rPr>
            </w:pPr>
          </w:p>
        </w:tc>
        <w:tc>
          <w:tcPr>
            <w:tcW w:w="4528" w:type="dxa"/>
            <w:tcBorders>
              <w:top w:val="single" w:sz="2" w:space="0" w:color="auto"/>
              <w:left w:val="single" w:sz="6" w:space="0" w:color="auto"/>
              <w:bottom w:val="single" w:sz="6" w:space="0" w:color="auto"/>
              <w:right w:val="single" w:sz="6" w:space="0" w:color="auto"/>
            </w:tcBorders>
          </w:tcPr>
          <w:p w14:paraId="5B2191B5" w14:textId="2D565C8B" w:rsidR="009A5091" w:rsidRPr="0072447F" w:rsidRDefault="00940BBA" w:rsidP="00DE214F">
            <w:r>
              <w:rPr>
                <w:b/>
                <w:i/>
              </w:rPr>
              <w:t xml:space="preserve">e) kvantitativní cíle umožňující realisticky </w:t>
            </w:r>
            <w:r w:rsidR="008010FA">
              <w:rPr>
                <w:b/>
                <w:i/>
              </w:rPr>
              <w:t>a </w:t>
            </w:r>
            <w:r>
              <w:rPr>
                <w:b/>
                <w:i/>
              </w:rPr>
              <w:t xml:space="preserve">objektivně posoudit budoucnost tohoto odvětví, například co se týče toho, kolik nových zemědělců by podle EU mělo zahájit činnost, jaké podpůrné mechanismy budou využity </w:t>
            </w:r>
            <w:r w:rsidR="008010FA">
              <w:rPr>
                <w:b/>
                <w:i/>
              </w:rPr>
              <w:t>a </w:t>
            </w:r>
            <w:r>
              <w:rPr>
                <w:b/>
                <w:i/>
              </w:rPr>
              <w:t xml:space="preserve">jakým způsobem bude rozdělena hodnota </w:t>
            </w:r>
            <w:r w:rsidR="008010FA">
              <w:rPr>
                <w:b/>
                <w:i/>
              </w:rPr>
              <w:t>v </w:t>
            </w:r>
            <w:r>
              <w:rPr>
                <w:b/>
                <w:i/>
              </w:rPr>
              <w:t>rámci dodavatelského řetězce.</w:t>
            </w:r>
          </w:p>
        </w:tc>
      </w:tr>
    </w:tbl>
    <w:p w14:paraId="4B53C4A8"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57"/>
      </w:tblGrid>
      <w:tr w:rsidR="009A5091" w:rsidRPr="0072447F" w14:paraId="5AC480DE"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tcPr>
          <w:p w14:paraId="06665CA9" w14:textId="77777777" w:rsidR="009A5091" w:rsidRPr="0072447F" w:rsidRDefault="00940BBA" w:rsidP="00DE214F">
            <w:pPr>
              <w:keepNext/>
              <w:keepLines/>
              <w:jc w:val="center"/>
            </w:pPr>
            <w:r>
              <w:rPr>
                <w:b/>
              </w:rPr>
              <w:t>Odůvodnění</w:t>
            </w:r>
          </w:p>
        </w:tc>
      </w:tr>
      <w:tr w:rsidR="009A5091" w:rsidRPr="0072447F" w14:paraId="64D96131" w14:textId="77777777" w:rsidTr="00925E56">
        <w:trPr>
          <w:trHeight w:val="300"/>
        </w:trPr>
        <w:tc>
          <w:tcPr>
            <w:tcW w:w="9057" w:type="dxa"/>
            <w:tcBorders>
              <w:top w:val="single" w:sz="2" w:space="0" w:color="auto"/>
              <w:left w:val="single" w:sz="6" w:space="0" w:color="auto"/>
              <w:bottom w:val="single" w:sz="6" w:space="0" w:color="auto"/>
              <w:right w:val="single" w:sz="6" w:space="0" w:color="auto"/>
            </w:tcBorders>
          </w:tcPr>
          <w:p w14:paraId="5B5433E9" w14:textId="0CCDD611" w:rsidR="009A5091" w:rsidRPr="0072447F" w:rsidRDefault="00940BBA" w:rsidP="00DE214F">
            <w:r>
              <w:t>Orgány EU musí mít soudržnou vizi opírající se o jasné číselné údaje a lhůty, aby se posílila důvěra a aby se mladí lidé mohli informovaně rozhodnout, zda zahájí zemědělskou činnost a budou do ní investovat.</w:t>
            </w:r>
          </w:p>
        </w:tc>
      </w:tr>
    </w:tbl>
    <w:p w14:paraId="7F9F7E9E" w14:textId="77777777" w:rsidR="009A5091" w:rsidRPr="0072447F" w:rsidRDefault="009A5091" w:rsidP="00DE214F">
      <w:pPr>
        <w:pStyle w:val="Header"/>
        <w:rPr>
          <w:lang w:val="en-GB"/>
        </w:rPr>
      </w:pPr>
    </w:p>
    <w:p w14:paraId="334FE376" w14:textId="44055E95" w:rsidR="009A5091" w:rsidRPr="0072447F" w:rsidRDefault="00940BBA" w:rsidP="00DE214F">
      <w:pPr>
        <w:pStyle w:val="Heading2"/>
        <w:keepNext/>
        <w:numPr>
          <w:ilvl w:val="0"/>
          <w:numId w:val="0"/>
        </w:numPr>
        <w:rPr>
          <w:b/>
        </w:rPr>
      </w:pPr>
      <w:r>
        <w:rPr>
          <w:b/>
        </w:rPr>
        <w:t>Pozměňovací návrh 14 – čl. 16 odst. 1</w:t>
      </w:r>
    </w:p>
    <w:p w14:paraId="1AD5EEA0" w14:textId="1F285554" w:rsidR="009A5091" w:rsidRPr="0072447F" w:rsidRDefault="00940BBA" w:rsidP="00DE214F">
      <w:pPr>
        <w:keepNext/>
        <w:keepLines/>
        <w:jc w:val="left"/>
      </w:pPr>
      <w:r>
        <w:t>souvisí s doporučeními 1.13, 1.14, 1.15 a 1.16</w:t>
      </w:r>
    </w:p>
    <w:p w14:paraId="1C3031EA"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9A5091" w:rsidRPr="0072447F" w14:paraId="04CC1457"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hideMark/>
          </w:tcPr>
          <w:p w14:paraId="7FF7A3EA"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hideMark/>
          </w:tcPr>
          <w:p w14:paraId="5A5833E7" w14:textId="77777777" w:rsidR="009A5091" w:rsidRPr="0072447F" w:rsidRDefault="00940BBA" w:rsidP="00DE214F">
            <w:pPr>
              <w:jc w:val="center"/>
            </w:pPr>
            <w:r>
              <w:rPr>
                <w:b/>
              </w:rPr>
              <w:t>Pozměňovací návrh EHSV</w:t>
            </w:r>
          </w:p>
        </w:tc>
      </w:tr>
      <w:tr w:rsidR="009A5091" w:rsidRPr="0072447F" w14:paraId="14F0FFCA"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hideMark/>
          </w:tcPr>
          <w:p w14:paraId="243504E8" w14:textId="77777777" w:rsidR="009A5091" w:rsidRPr="0072447F" w:rsidRDefault="00940BBA" w:rsidP="00DE214F">
            <w:pPr>
              <w:tabs>
                <w:tab w:val="left" w:pos="426"/>
              </w:tabs>
            </w:pPr>
            <w:r>
              <w:t>b)</w:t>
            </w:r>
            <w:r>
              <w:tab/>
            </w:r>
            <w:r>
              <w:rPr>
                <w:b/>
                <w:i/>
              </w:rPr>
              <w:t>postupně se snižující</w:t>
            </w:r>
            <w:r>
              <w:t xml:space="preserve"> podporu příjmu na základě plochy (…);</w:t>
            </w:r>
          </w:p>
        </w:tc>
        <w:tc>
          <w:tcPr>
            <w:tcW w:w="4528" w:type="dxa"/>
            <w:tcBorders>
              <w:top w:val="single" w:sz="2" w:space="0" w:color="auto"/>
              <w:left w:val="single" w:sz="6" w:space="0" w:color="auto"/>
              <w:bottom w:val="single" w:sz="6" w:space="0" w:color="auto"/>
              <w:right w:val="single" w:sz="6" w:space="0" w:color="auto"/>
            </w:tcBorders>
            <w:hideMark/>
          </w:tcPr>
          <w:p w14:paraId="2109EDB5" w14:textId="77777777" w:rsidR="009A5091" w:rsidRPr="0072447F" w:rsidRDefault="00940BBA" w:rsidP="00DE214F">
            <w:pPr>
              <w:tabs>
                <w:tab w:val="left" w:pos="426"/>
              </w:tabs>
            </w:pPr>
            <w:r>
              <w:t>b)</w:t>
            </w:r>
            <w:r>
              <w:tab/>
              <w:t>podporu příjmu na základě plochy (…);</w:t>
            </w:r>
          </w:p>
        </w:tc>
      </w:tr>
    </w:tbl>
    <w:p w14:paraId="7C91A359"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9A5091" w:rsidRPr="0072447F" w14:paraId="4CDEB5D3"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hideMark/>
          </w:tcPr>
          <w:p w14:paraId="7A348BA8" w14:textId="77777777" w:rsidR="009A5091" w:rsidRPr="0072447F" w:rsidRDefault="00940BBA" w:rsidP="00DE214F">
            <w:pPr>
              <w:keepNext/>
              <w:keepLines/>
              <w:jc w:val="center"/>
            </w:pPr>
            <w:r>
              <w:rPr>
                <w:b/>
              </w:rPr>
              <w:lastRenderedPageBreak/>
              <w:t>Odůvodnění</w:t>
            </w:r>
          </w:p>
        </w:tc>
      </w:tr>
      <w:tr w:rsidR="009A5091" w:rsidRPr="0072447F" w14:paraId="65CDE5DB" w14:textId="77777777" w:rsidTr="00234324">
        <w:trPr>
          <w:trHeight w:val="300"/>
        </w:trPr>
        <w:tc>
          <w:tcPr>
            <w:tcW w:w="9057" w:type="dxa"/>
            <w:tcBorders>
              <w:top w:val="single" w:sz="2" w:space="0" w:color="auto"/>
              <w:left w:val="single" w:sz="6" w:space="0" w:color="auto"/>
              <w:bottom w:val="single" w:sz="6" w:space="0" w:color="auto"/>
              <w:right w:val="single" w:sz="6" w:space="0" w:color="auto"/>
            </w:tcBorders>
            <w:hideMark/>
          </w:tcPr>
          <w:p w14:paraId="16F23AFE" w14:textId="61612D5E" w:rsidR="009A5091" w:rsidRPr="0072447F" w:rsidRDefault="00BB513F" w:rsidP="00DE214F">
            <w:r>
              <w:t xml:space="preserve"> Viz doporučení 1.13, 1.14, 1.15 a 1.16.</w:t>
            </w:r>
          </w:p>
        </w:tc>
      </w:tr>
    </w:tbl>
    <w:p w14:paraId="33E76B36" w14:textId="77777777" w:rsidR="009A5091" w:rsidRPr="0072447F" w:rsidRDefault="009A5091" w:rsidP="00DE214F">
      <w:pPr>
        <w:pStyle w:val="Heading2"/>
        <w:numPr>
          <w:ilvl w:val="0"/>
          <w:numId w:val="0"/>
        </w:numPr>
        <w:rPr>
          <w:lang w:val="en-GB"/>
        </w:rPr>
      </w:pPr>
    </w:p>
    <w:p w14:paraId="58D96449" w14:textId="2D6A039E" w:rsidR="009A5091" w:rsidRPr="0072447F" w:rsidRDefault="00940BBA" w:rsidP="00DE214F">
      <w:pPr>
        <w:pStyle w:val="Heading2"/>
        <w:keepNext/>
        <w:numPr>
          <w:ilvl w:val="0"/>
          <w:numId w:val="0"/>
        </w:numPr>
        <w:rPr>
          <w:b/>
        </w:rPr>
      </w:pPr>
      <w:r>
        <w:rPr>
          <w:b/>
        </w:rPr>
        <w:t>Pozměňovací návrh 15 – článek 17</w:t>
      </w:r>
    </w:p>
    <w:p w14:paraId="66A8D8C8"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29"/>
        <w:gridCol w:w="4528"/>
      </w:tblGrid>
      <w:tr w:rsidR="009A5091" w:rsidRPr="0072447F" w14:paraId="0D3FC0BF"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tcPr>
          <w:p w14:paraId="7756E7C3"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tcPr>
          <w:p w14:paraId="7628F5F0" w14:textId="77777777" w:rsidR="009A5091" w:rsidRPr="0072447F" w:rsidRDefault="00940BBA" w:rsidP="00DE214F">
            <w:pPr>
              <w:jc w:val="center"/>
            </w:pPr>
            <w:r>
              <w:rPr>
                <w:b/>
              </w:rPr>
              <w:t>Pozměňovací návrh EHSV</w:t>
            </w:r>
          </w:p>
        </w:tc>
      </w:tr>
      <w:tr w:rsidR="009A5091" w:rsidRPr="0072447F" w14:paraId="4520BC48"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tcPr>
          <w:p w14:paraId="4F7BB86F" w14:textId="7FD3F345" w:rsidR="009A5091" w:rsidRPr="0072447F" w:rsidRDefault="00940BBA" w:rsidP="00DE214F">
            <w:pPr>
              <w:tabs>
                <w:tab w:val="left" w:pos="426"/>
              </w:tabs>
              <w:rPr>
                <w:b/>
              </w:rPr>
            </w:pPr>
            <w:r>
              <w:t>1.</w:t>
            </w:r>
            <w:r>
              <w:tab/>
              <w:t>Členské státy mohou poskytovat podporu na pomocné služby pro zemědělství a umožnit zemědělcům vzít si volno z důvodu nemoci, porodu, péče o děti a další členy rodiny, dovolené a podobných životních událostí, jakož i účasti na školeních, jak je dále uvedeno v jejich plánech NRPP.</w:t>
            </w:r>
          </w:p>
        </w:tc>
        <w:tc>
          <w:tcPr>
            <w:tcW w:w="4528" w:type="dxa"/>
            <w:tcBorders>
              <w:top w:val="single" w:sz="2" w:space="0" w:color="auto"/>
              <w:left w:val="single" w:sz="6" w:space="0" w:color="auto"/>
              <w:bottom w:val="single" w:sz="6" w:space="0" w:color="auto"/>
              <w:right w:val="single" w:sz="6" w:space="0" w:color="auto"/>
            </w:tcBorders>
          </w:tcPr>
          <w:p w14:paraId="0EDBC366" w14:textId="33AB5137" w:rsidR="009A5091" w:rsidRPr="0072447F" w:rsidRDefault="00940BBA" w:rsidP="00DE214F">
            <w:pPr>
              <w:tabs>
                <w:tab w:val="left" w:pos="426"/>
              </w:tabs>
              <w:rPr>
                <w:b/>
              </w:rPr>
            </w:pPr>
            <w:r>
              <w:t>1.</w:t>
            </w:r>
            <w:r>
              <w:tab/>
              <w:t xml:space="preserve">Členské státy mohou poskytovat podporu na pomocné služby pro zemědělství a umožnit zemědělcům vzít si volno z důvodu nemoci, porodu, péče o děti a další členy rodiny, dovolené a podobných životních událostí, </w:t>
            </w:r>
            <w:r>
              <w:rPr>
                <w:b/>
                <w:i/>
              </w:rPr>
              <w:t>překonávání psychických problémů,</w:t>
            </w:r>
            <w:r>
              <w:t xml:space="preserve"> jakož </w:t>
            </w:r>
            <w:r w:rsidR="008010FA">
              <w:t>i </w:t>
            </w:r>
            <w:r>
              <w:t xml:space="preserve">účasti na školeních, jak je dále uvedeno </w:t>
            </w:r>
            <w:r w:rsidR="008010FA">
              <w:t>v </w:t>
            </w:r>
            <w:r>
              <w:t>jejich plánech NRPP.</w:t>
            </w:r>
          </w:p>
        </w:tc>
      </w:tr>
    </w:tbl>
    <w:p w14:paraId="1A240C88" w14:textId="77777777" w:rsidR="000508AA" w:rsidRDefault="000508AA" w:rsidP="00DE214F"/>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57"/>
      </w:tblGrid>
      <w:tr w:rsidR="009A5091" w:rsidRPr="0072447F" w14:paraId="49995E5F"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tcPr>
          <w:p w14:paraId="5DDAD2E3" w14:textId="77777777" w:rsidR="009A5091" w:rsidRPr="0072447F" w:rsidRDefault="00940BBA" w:rsidP="00DE214F">
            <w:pPr>
              <w:keepNext/>
              <w:keepLines/>
              <w:jc w:val="center"/>
            </w:pPr>
            <w:r>
              <w:rPr>
                <w:b/>
              </w:rPr>
              <w:t>Odůvodnění</w:t>
            </w:r>
          </w:p>
        </w:tc>
      </w:tr>
      <w:tr w:rsidR="009A5091" w:rsidRPr="0072447F" w14:paraId="476E3A04" w14:textId="77777777" w:rsidTr="00925E56">
        <w:trPr>
          <w:trHeight w:val="241"/>
        </w:trPr>
        <w:tc>
          <w:tcPr>
            <w:tcW w:w="9057" w:type="dxa"/>
            <w:tcBorders>
              <w:top w:val="single" w:sz="2" w:space="0" w:color="auto"/>
              <w:left w:val="single" w:sz="6" w:space="0" w:color="auto"/>
              <w:bottom w:val="single" w:sz="6" w:space="0" w:color="auto"/>
              <w:right w:val="single" w:sz="6" w:space="0" w:color="auto"/>
            </w:tcBorders>
          </w:tcPr>
          <w:p w14:paraId="3D4E5125" w14:textId="344BBAF7" w:rsidR="009A5091" w:rsidRPr="0072447F" w:rsidRDefault="00940BBA" w:rsidP="00DE214F">
            <w:r>
              <w:t>Organizace sdružující mladé lidi na venkově opakovaně upozorňují na to, že k překážkám odrazujícím od setrvání v tomto odvětví patří stres a problémy v oblasti duševního zdraví.</w:t>
            </w:r>
          </w:p>
        </w:tc>
      </w:tr>
    </w:tbl>
    <w:p w14:paraId="67B22BA2" w14:textId="77777777" w:rsidR="00051D36" w:rsidRPr="0072447F" w:rsidRDefault="00051D36" w:rsidP="00DE214F">
      <w:pPr>
        <w:pStyle w:val="Header"/>
        <w:rPr>
          <w:lang w:val="en-GB"/>
        </w:rPr>
      </w:pPr>
    </w:p>
    <w:p w14:paraId="2FA20CC0" w14:textId="08AB0BF2" w:rsidR="009A5091" w:rsidRPr="0072447F" w:rsidRDefault="00940BBA" w:rsidP="00DE214F">
      <w:pPr>
        <w:pStyle w:val="Heading2"/>
        <w:keepNext/>
        <w:numPr>
          <w:ilvl w:val="0"/>
          <w:numId w:val="0"/>
        </w:numPr>
        <w:rPr>
          <w:b/>
        </w:rPr>
      </w:pPr>
      <w:r>
        <w:rPr>
          <w:b/>
        </w:rPr>
        <w:t>Pozměňovací návrh 16 – článek 18</w:t>
      </w:r>
    </w:p>
    <w:p w14:paraId="52319A1F" w14:textId="68166229" w:rsidR="009A5091" w:rsidRDefault="00940BBA" w:rsidP="00DE214F">
      <w:pPr>
        <w:keepNext/>
        <w:keepLines/>
        <w:jc w:val="left"/>
      </w:pPr>
      <w:r>
        <w:t>souvisí s doporučením 1.19</w:t>
      </w:r>
    </w:p>
    <w:p w14:paraId="4C0B6736" w14:textId="77777777" w:rsidR="00E8531A" w:rsidRPr="0072447F" w:rsidRDefault="00E8531A"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29"/>
        <w:gridCol w:w="4528"/>
      </w:tblGrid>
      <w:tr w:rsidR="009A5091" w:rsidRPr="0072447F" w14:paraId="07789BB1" w14:textId="77777777" w:rsidTr="00925E56">
        <w:trPr>
          <w:trHeight w:val="300"/>
        </w:trPr>
        <w:tc>
          <w:tcPr>
            <w:tcW w:w="4529" w:type="dxa"/>
            <w:tcBorders>
              <w:top w:val="single" w:sz="2" w:space="0" w:color="auto"/>
              <w:left w:val="single" w:sz="2" w:space="0" w:color="auto"/>
              <w:bottom w:val="single" w:sz="2" w:space="0" w:color="auto"/>
              <w:right w:val="single" w:sz="2" w:space="0" w:color="auto"/>
            </w:tcBorders>
          </w:tcPr>
          <w:p w14:paraId="3FEEC0BE"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tcPr>
          <w:p w14:paraId="5B6F6FC9" w14:textId="015941A3" w:rsidR="009A5091" w:rsidRPr="0072447F" w:rsidRDefault="00940BBA" w:rsidP="00DE214F">
            <w:pPr>
              <w:jc w:val="center"/>
            </w:pPr>
            <w:r>
              <w:rPr>
                <w:b/>
              </w:rPr>
              <w:t>Pozměňovací návrh EHSV</w:t>
            </w:r>
          </w:p>
        </w:tc>
      </w:tr>
      <w:tr w:rsidR="009A5091" w:rsidRPr="0072447F" w14:paraId="6A8A7D71" w14:textId="77777777" w:rsidTr="00925E56">
        <w:trPr>
          <w:trHeight w:val="300"/>
        </w:trPr>
        <w:tc>
          <w:tcPr>
            <w:tcW w:w="4529" w:type="dxa"/>
            <w:tcBorders>
              <w:top w:val="single" w:sz="2" w:space="0" w:color="auto"/>
              <w:left w:val="single" w:sz="6" w:space="0" w:color="auto"/>
              <w:bottom w:val="single" w:sz="6" w:space="0" w:color="auto"/>
              <w:right w:val="single" w:sz="6" w:space="0" w:color="auto"/>
            </w:tcBorders>
          </w:tcPr>
          <w:p w14:paraId="5F06D7D5" w14:textId="63DCD110" w:rsidR="009A5091" w:rsidRPr="0072447F" w:rsidRDefault="00940BBA" w:rsidP="00DE214F">
            <w:pPr>
              <w:tabs>
                <w:tab w:val="left" w:pos="426"/>
              </w:tabs>
            </w:pPr>
            <w:r>
              <w:t>4.</w:t>
            </w:r>
            <w:r>
              <w:tab/>
              <w:t xml:space="preserve">Podpora poskytovaná z programu LEADER se zaměřuje na oblasti rozvoje venkova </w:t>
            </w:r>
            <w:r w:rsidR="008010FA">
              <w:t>s </w:t>
            </w:r>
            <w:r>
              <w:t xml:space="preserve">přidanou hodnotou pro zemědělce a držitele lesů, jako je sociální, environmentální, digitální a ekonomická transformace venkovských oblastí, zlepšení blahobytu občanů venkova </w:t>
            </w:r>
            <w:r w:rsidR="008010FA">
              <w:rPr>
                <w:b/>
                <w:i/>
              </w:rPr>
              <w:t>a </w:t>
            </w:r>
            <w:r>
              <w:t>posílení sociálního kapitálu.</w:t>
            </w:r>
          </w:p>
        </w:tc>
        <w:tc>
          <w:tcPr>
            <w:tcW w:w="4528" w:type="dxa"/>
            <w:tcBorders>
              <w:top w:val="single" w:sz="2" w:space="0" w:color="auto"/>
              <w:left w:val="single" w:sz="6" w:space="0" w:color="auto"/>
              <w:bottom w:val="single" w:sz="6" w:space="0" w:color="auto"/>
              <w:right w:val="single" w:sz="6" w:space="0" w:color="auto"/>
            </w:tcBorders>
          </w:tcPr>
          <w:p w14:paraId="20E3931C" w14:textId="1576BDA3" w:rsidR="009A5091" w:rsidRPr="0072447F" w:rsidRDefault="00940BBA" w:rsidP="00DE214F">
            <w:pPr>
              <w:tabs>
                <w:tab w:val="left" w:pos="426"/>
              </w:tabs>
            </w:pPr>
            <w:r>
              <w:t>4.</w:t>
            </w:r>
            <w:r>
              <w:tab/>
              <w:t xml:space="preserve">Podpora poskytovaná z programu LEADER se zaměřuje na oblasti rozvoje venkova </w:t>
            </w:r>
            <w:r w:rsidR="008010FA">
              <w:t>s </w:t>
            </w:r>
            <w:r>
              <w:t>přidanou hodnotou pro zemědělce a držitele lesů, jako je sociální, environmentální, digitální a ekonomická transformace venkovských oblastí, zlepšení blahobytu občanů venkova</w:t>
            </w:r>
            <w:r>
              <w:rPr>
                <w:b/>
                <w:i/>
              </w:rPr>
              <w:t>,</w:t>
            </w:r>
            <w:r>
              <w:t xml:space="preserve"> posílení sociálního kapitálu</w:t>
            </w:r>
            <w:r>
              <w:rPr>
                <w:b/>
                <w:i/>
              </w:rPr>
              <w:t xml:space="preserve"> a podpora zapojení a účasti mladých lidí a žen v rozhodovacím procesu</w:t>
            </w:r>
            <w:r>
              <w:t>.</w:t>
            </w:r>
          </w:p>
        </w:tc>
      </w:tr>
    </w:tbl>
    <w:p w14:paraId="57D09923"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57"/>
      </w:tblGrid>
      <w:tr w:rsidR="009A5091" w:rsidRPr="0072447F" w14:paraId="7F29CC74"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tcPr>
          <w:p w14:paraId="3FB7BA80" w14:textId="77777777" w:rsidR="009A5091" w:rsidRPr="0072447F" w:rsidRDefault="00940BBA" w:rsidP="00DE214F">
            <w:pPr>
              <w:keepNext/>
              <w:keepLines/>
              <w:jc w:val="center"/>
            </w:pPr>
            <w:r>
              <w:rPr>
                <w:b/>
              </w:rPr>
              <w:t>Odůvodnění</w:t>
            </w:r>
          </w:p>
        </w:tc>
      </w:tr>
      <w:tr w:rsidR="009A5091" w:rsidRPr="0072447F" w14:paraId="19FCCD69" w14:textId="77777777" w:rsidTr="00925E56">
        <w:trPr>
          <w:trHeight w:val="300"/>
        </w:trPr>
        <w:tc>
          <w:tcPr>
            <w:tcW w:w="9057" w:type="dxa"/>
            <w:tcBorders>
              <w:top w:val="single" w:sz="2" w:space="0" w:color="auto"/>
              <w:left w:val="single" w:sz="6" w:space="0" w:color="auto"/>
              <w:bottom w:val="single" w:sz="6" w:space="0" w:color="auto"/>
              <w:right w:val="single" w:sz="6" w:space="0" w:color="auto"/>
            </w:tcBorders>
          </w:tcPr>
          <w:p w14:paraId="3181F2A3" w14:textId="14D75DE5" w:rsidR="009A5091" w:rsidRPr="0072447F" w:rsidRDefault="00940BBA" w:rsidP="00DE214F">
            <w:r>
              <w:t>Je třeba výslovně poukázat na to, že je nutné zapojit mladé lidi do rozhodovacího procesu.</w:t>
            </w:r>
          </w:p>
        </w:tc>
      </w:tr>
    </w:tbl>
    <w:p w14:paraId="73F93696" w14:textId="77777777" w:rsidR="009A5091" w:rsidRPr="0072447F" w:rsidRDefault="009A5091" w:rsidP="00DE214F">
      <w:pPr>
        <w:pStyle w:val="Header"/>
        <w:rPr>
          <w:lang w:val="en-GB"/>
        </w:rPr>
      </w:pPr>
    </w:p>
    <w:p w14:paraId="3BC283BD" w14:textId="0AAF6F5E" w:rsidR="009A5091" w:rsidRPr="0072447F" w:rsidRDefault="00940BBA" w:rsidP="00DE214F">
      <w:pPr>
        <w:pStyle w:val="Heading2"/>
        <w:keepNext/>
        <w:numPr>
          <w:ilvl w:val="0"/>
          <w:numId w:val="0"/>
        </w:numPr>
        <w:rPr>
          <w:b/>
        </w:rPr>
      </w:pPr>
      <w:r>
        <w:rPr>
          <w:b/>
        </w:rPr>
        <w:t>Pozměňovací návrh 17 – čl. 20 odst. 3</w:t>
      </w:r>
    </w:p>
    <w:p w14:paraId="6369A3A5" w14:textId="3DC0B821" w:rsidR="009A5091" w:rsidRPr="0072447F" w:rsidRDefault="00940BBA" w:rsidP="00DE214F">
      <w:pPr>
        <w:keepNext/>
        <w:keepLines/>
        <w:jc w:val="left"/>
      </w:pPr>
      <w:r>
        <w:t>souvisí s doporučením 1.19</w:t>
      </w:r>
    </w:p>
    <w:p w14:paraId="37B0AB18" w14:textId="77777777" w:rsidR="009A5091" w:rsidRPr="0072447F" w:rsidRDefault="009A5091" w:rsidP="00DE214F">
      <w:pPr>
        <w:keepNext/>
        <w:keepLines/>
        <w:jc w:val="left"/>
        <w:rPr>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29"/>
        <w:gridCol w:w="4528"/>
      </w:tblGrid>
      <w:tr w:rsidR="009A5091" w:rsidRPr="0072447F" w14:paraId="5B2E699D" w14:textId="77777777" w:rsidTr="00234324">
        <w:trPr>
          <w:trHeight w:val="300"/>
        </w:trPr>
        <w:tc>
          <w:tcPr>
            <w:tcW w:w="4529" w:type="dxa"/>
            <w:tcBorders>
              <w:top w:val="single" w:sz="2" w:space="0" w:color="auto"/>
              <w:left w:val="single" w:sz="2" w:space="0" w:color="auto"/>
              <w:bottom w:val="single" w:sz="2" w:space="0" w:color="auto"/>
              <w:right w:val="single" w:sz="2" w:space="0" w:color="auto"/>
            </w:tcBorders>
          </w:tcPr>
          <w:p w14:paraId="633D6C1F" w14:textId="77777777" w:rsidR="009A5091" w:rsidRPr="0072447F" w:rsidRDefault="00940BBA" w:rsidP="00DE214F">
            <w:pPr>
              <w:jc w:val="center"/>
              <w:rPr>
                <w:strike/>
              </w:rPr>
            </w:pPr>
            <w:r>
              <w:rPr>
                <w:b/>
              </w:rPr>
              <w:t>Text navržený Evropskou komisí</w:t>
            </w:r>
          </w:p>
        </w:tc>
        <w:tc>
          <w:tcPr>
            <w:tcW w:w="4528" w:type="dxa"/>
            <w:tcBorders>
              <w:top w:val="single" w:sz="2" w:space="0" w:color="auto"/>
              <w:left w:val="single" w:sz="2" w:space="0" w:color="auto"/>
              <w:bottom w:val="single" w:sz="2" w:space="0" w:color="auto"/>
              <w:right w:val="single" w:sz="2" w:space="0" w:color="auto"/>
            </w:tcBorders>
          </w:tcPr>
          <w:p w14:paraId="5DD8C5A8" w14:textId="015941A3" w:rsidR="009A5091" w:rsidRPr="0072447F" w:rsidRDefault="00940BBA" w:rsidP="00DE214F">
            <w:pPr>
              <w:jc w:val="center"/>
            </w:pPr>
            <w:r>
              <w:rPr>
                <w:b/>
              </w:rPr>
              <w:t>Pozměňovací návrh EHSV</w:t>
            </w:r>
          </w:p>
        </w:tc>
      </w:tr>
      <w:tr w:rsidR="009A5091" w:rsidRPr="0072447F" w14:paraId="15C96B4F" w14:textId="77777777" w:rsidTr="00234324">
        <w:trPr>
          <w:trHeight w:val="300"/>
        </w:trPr>
        <w:tc>
          <w:tcPr>
            <w:tcW w:w="4529" w:type="dxa"/>
            <w:tcBorders>
              <w:top w:val="single" w:sz="2" w:space="0" w:color="auto"/>
              <w:left w:val="single" w:sz="6" w:space="0" w:color="auto"/>
              <w:bottom w:val="single" w:sz="6" w:space="0" w:color="auto"/>
              <w:right w:val="single" w:sz="6" w:space="0" w:color="auto"/>
            </w:tcBorders>
          </w:tcPr>
          <w:p w14:paraId="5A683E8E" w14:textId="044F18A3" w:rsidR="009A5091" w:rsidRPr="0072447F" w:rsidRDefault="00940BBA" w:rsidP="00DE214F">
            <w:pPr>
              <w:tabs>
                <w:tab w:val="left" w:pos="426"/>
              </w:tabs>
            </w:pPr>
            <w:r>
              <w:t>b)</w:t>
            </w:r>
            <w:r>
              <w:tab/>
              <w:t xml:space="preserve">cílené poradenství pro mladé zemědělce, zejména pokud jde o řízení podniků, přístup </w:t>
            </w:r>
            <w:r w:rsidR="008010FA">
              <w:t>k </w:t>
            </w:r>
            <w:r>
              <w:t>financování, přístup k veřejné podpoře, přístup ke znalostem a inovacím.</w:t>
            </w:r>
          </w:p>
        </w:tc>
        <w:tc>
          <w:tcPr>
            <w:tcW w:w="4528" w:type="dxa"/>
            <w:tcBorders>
              <w:top w:val="single" w:sz="2" w:space="0" w:color="auto"/>
              <w:left w:val="single" w:sz="6" w:space="0" w:color="auto"/>
              <w:bottom w:val="single" w:sz="6" w:space="0" w:color="auto"/>
              <w:right w:val="single" w:sz="6" w:space="0" w:color="auto"/>
            </w:tcBorders>
          </w:tcPr>
          <w:p w14:paraId="1112BEDA" w14:textId="28137D09" w:rsidR="009A5091" w:rsidRPr="0072447F" w:rsidRDefault="00940BBA" w:rsidP="00DE214F">
            <w:pPr>
              <w:tabs>
                <w:tab w:val="left" w:pos="426"/>
              </w:tabs>
            </w:pPr>
            <w:r>
              <w:t xml:space="preserve"> b)</w:t>
            </w:r>
            <w:r>
              <w:tab/>
              <w:t xml:space="preserve">cílené poradenství pro mladé zemědělce, zejména pokud jde o řízení podniků, přístup </w:t>
            </w:r>
            <w:r w:rsidR="008010FA">
              <w:t>k </w:t>
            </w:r>
            <w:r>
              <w:t>financování, přístup k veřejné podpoře, přístup ke znalostem a inovacím</w:t>
            </w:r>
            <w:r>
              <w:rPr>
                <w:b/>
                <w:i/>
              </w:rPr>
              <w:t xml:space="preserve">, plánování předání podniku a digitální a zelené dovednosti, </w:t>
            </w:r>
            <w:r>
              <w:rPr>
                <w:b/>
                <w:i/>
              </w:rPr>
              <w:lastRenderedPageBreak/>
              <w:t>například odbornou přípravu týkající se ekologického zemědělství</w:t>
            </w:r>
            <w:r>
              <w:t>.</w:t>
            </w:r>
          </w:p>
        </w:tc>
      </w:tr>
    </w:tbl>
    <w:p w14:paraId="197F3D58" w14:textId="77777777" w:rsidR="009A5091" w:rsidRPr="0072447F" w:rsidRDefault="009A5091" w:rsidP="00DE214F">
      <w:pPr>
        <w:jc w:val="center"/>
        <w:rPr>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57"/>
      </w:tblGrid>
      <w:tr w:rsidR="009A5091" w:rsidRPr="0072447F" w14:paraId="32FD0F8F" w14:textId="77777777" w:rsidTr="00925E56">
        <w:trPr>
          <w:trHeight w:val="300"/>
        </w:trPr>
        <w:tc>
          <w:tcPr>
            <w:tcW w:w="9057" w:type="dxa"/>
            <w:tcBorders>
              <w:top w:val="single" w:sz="2" w:space="0" w:color="auto"/>
              <w:left w:val="single" w:sz="2" w:space="0" w:color="auto"/>
              <w:bottom w:val="single" w:sz="2" w:space="0" w:color="auto"/>
              <w:right w:val="single" w:sz="2" w:space="0" w:color="auto"/>
            </w:tcBorders>
          </w:tcPr>
          <w:p w14:paraId="1F9FFE4A" w14:textId="77777777" w:rsidR="009A5091" w:rsidRPr="0072447F" w:rsidRDefault="00940BBA" w:rsidP="00DE214F">
            <w:pPr>
              <w:keepNext/>
              <w:keepLines/>
              <w:jc w:val="center"/>
            </w:pPr>
            <w:r>
              <w:rPr>
                <w:b/>
              </w:rPr>
              <w:t>Odůvodnění</w:t>
            </w:r>
          </w:p>
        </w:tc>
      </w:tr>
      <w:tr w:rsidR="009A5091" w:rsidRPr="0072447F" w14:paraId="6A033ABE" w14:textId="77777777" w:rsidTr="00925E56">
        <w:trPr>
          <w:trHeight w:val="300"/>
        </w:trPr>
        <w:tc>
          <w:tcPr>
            <w:tcW w:w="9057" w:type="dxa"/>
            <w:tcBorders>
              <w:top w:val="single" w:sz="2" w:space="0" w:color="auto"/>
              <w:left w:val="single" w:sz="6" w:space="0" w:color="auto"/>
              <w:bottom w:val="single" w:sz="6" w:space="0" w:color="auto"/>
              <w:right w:val="single" w:sz="6" w:space="0" w:color="auto"/>
            </w:tcBorders>
          </w:tcPr>
          <w:p w14:paraId="2261604C" w14:textId="34D63354" w:rsidR="009A5091" w:rsidRPr="0072447F" w:rsidRDefault="00940BBA" w:rsidP="00DE214F">
            <w:pPr>
              <w:keepNext/>
              <w:keepLines/>
            </w:pPr>
            <w:r>
              <w:t>Digitalizace a ekologická transformace zaujímá mezi cíli SZP ústřední místo. Je třeba zde výslovně zmínit digitální a zelené dovednosti, aby bylo zajištěno, že zemědělci v rámci těchto transformací nebudou opomenuti. Plánování předání podniku patří ve všech členských státech k největším překážkám, které ztěžují zahájení zemědělské činnosti.</w:t>
            </w:r>
          </w:p>
        </w:tc>
      </w:tr>
    </w:tbl>
    <w:p w14:paraId="28F4092F" w14:textId="77777777" w:rsidR="00855C5A" w:rsidRDefault="00855C5A" w:rsidP="00DE214F">
      <w:pPr>
        <w:jc w:val="center"/>
        <w:rPr>
          <w:lang w:val="en-GB"/>
        </w:rPr>
      </w:pPr>
    </w:p>
    <w:p w14:paraId="6C48D831" w14:textId="0272F99D" w:rsidR="00855C5A" w:rsidRDefault="00855C5A" w:rsidP="00855C5A">
      <w:pPr>
        <w:pStyle w:val="Header"/>
      </w:pPr>
      <w:r>
        <w:t>V Bruselu dne 15. prosince 2025.</w:t>
      </w:r>
    </w:p>
    <w:p w14:paraId="419AB4BB" w14:textId="77777777" w:rsidR="00855C5A" w:rsidRDefault="00855C5A" w:rsidP="00855C5A">
      <w:pPr>
        <w:pStyle w:val="Header"/>
      </w:pPr>
    </w:p>
    <w:p w14:paraId="6714372F" w14:textId="77777777" w:rsidR="00855C5A" w:rsidRDefault="00855C5A" w:rsidP="00855C5A">
      <w:pPr>
        <w:pStyle w:val="Header"/>
      </w:pPr>
    </w:p>
    <w:p w14:paraId="6F1377DC" w14:textId="77777777" w:rsidR="000A4780" w:rsidRPr="00AE0639" w:rsidRDefault="000A4780" w:rsidP="000A4780">
      <w:pPr>
        <w:rPr>
          <w:i/>
          <w:iCs/>
        </w:rPr>
      </w:pPr>
      <w:r>
        <w:rPr>
          <w:i/>
        </w:rPr>
        <w:t>předseda sekce Zemědělství, rozvoj venkova, životní prostředí</w:t>
      </w:r>
    </w:p>
    <w:p w14:paraId="6E090D1C" w14:textId="50A1F400" w:rsidR="00855C5A" w:rsidRPr="00EC1BA3" w:rsidRDefault="005A7BDF" w:rsidP="00EC1BA3">
      <w:pPr>
        <w:rPr>
          <w:i/>
          <w:iCs/>
        </w:rPr>
      </w:pPr>
      <w:r>
        <w:t>Stojan ČUKANOV</w:t>
      </w:r>
    </w:p>
    <w:p w14:paraId="5C968897" w14:textId="351126C4" w:rsidR="009A5091" w:rsidRPr="0072447F" w:rsidRDefault="00940BBA" w:rsidP="00DE214F">
      <w:pPr>
        <w:jc w:val="center"/>
      </w:pPr>
      <w:r>
        <w:t>_____________</w:t>
      </w:r>
    </w:p>
    <w:sectPr w:rsidR="009A5091" w:rsidRPr="0072447F" w:rsidSect="00F13EA4">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9002" w14:textId="77777777" w:rsidR="00A71DB7" w:rsidRDefault="00A71DB7">
      <w:r>
        <w:separator/>
      </w:r>
    </w:p>
  </w:endnote>
  <w:endnote w:type="continuationSeparator" w:id="0">
    <w:p w14:paraId="5D7F9E14" w14:textId="77777777" w:rsidR="00A71DB7" w:rsidRDefault="00A71DB7">
      <w:r>
        <w:continuationSeparator/>
      </w:r>
    </w:p>
  </w:endnote>
  <w:endnote w:type="continuationNotice" w:id="1">
    <w:p w14:paraId="4CA28353" w14:textId="77777777" w:rsidR="00A71DB7" w:rsidRDefault="00A71D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4E" w14:textId="7D2E9675" w:rsidR="009A5091" w:rsidRPr="00F13EA4" w:rsidRDefault="00F13EA4" w:rsidP="00F13EA4">
    <w:pPr>
      <w:pStyle w:val="Footer"/>
    </w:pPr>
    <w:r>
      <w:t xml:space="preserve">NAT/960 – EESC-2025-02581-00-00-AS-TRA (EN) </w:t>
    </w:r>
    <w:r>
      <w:fldChar w:fldCharType="begin"/>
    </w:r>
    <w:r>
      <w:instrText xml:space="preserve"> PAGE  \* Arabic  \* MERGEFORMAT </w:instrText>
    </w:r>
    <w:r>
      <w:fldChar w:fldCharType="separate"/>
    </w:r>
    <w:r w:rsidR="00CD7F76">
      <w:t>1</w:t>
    </w:r>
    <w:r>
      <w:fldChar w:fldCharType="end"/>
    </w:r>
    <w:r>
      <w:t>/</w:t>
    </w:r>
    <w:r w:rsidR="00E2117F">
      <w:fldChar w:fldCharType="begin"/>
    </w:r>
    <w:r w:rsidR="00E2117F">
      <w:instrText xml:space="preserve"> NUMPAGES </w:instrText>
    </w:r>
    <w:r w:rsidR="00E2117F">
      <w:fldChar w:fldCharType="separate"/>
    </w:r>
    <w:r w:rsidR="00CD7F76">
      <w:t>1</w:t>
    </w:r>
    <w:r w:rsidR="00E211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3" w14:textId="77777777" w:rsidR="009A5091" w:rsidRPr="00F13EA4" w:rsidRDefault="009A5091" w:rsidP="00F13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4" w14:textId="579DAEC9" w:rsidR="009A5091" w:rsidRPr="00F13EA4" w:rsidRDefault="00F13EA4" w:rsidP="00F13EA4">
    <w:pPr>
      <w:pStyle w:val="Footer"/>
    </w:pPr>
    <w:r>
      <w:t xml:space="preserve">NAT/960 – EESC-2025-02581-00-00-AS-TRA (EN) </w:t>
    </w:r>
    <w:r>
      <w:fldChar w:fldCharType="begin"/>
    </w:r>
    <w:r>
      <w:instrText xml:space="preserve"> PAGE  \* Arabic  \* MERGEFORMAT </w:instrText>
    </w:r>
    <w:r>
      <w:fldChar w:fldCharType="separate"/>
    </w:r>
    <w:r>
      <w:t>1</w:t>
    </w:r>
    <w:r>
      <w:fldChar w:fldCharType="end"/>
    </w:r>
    <w:r>
      <w:t>/</w:t>
    </w:r>
    <w:r w:rsidR="00E2117F">
      <w:fldChar w:fldCharType="begin"/>
    </w:r>
    <w:r w:rsidR="00E2117F">
      <w:instrText xml:space="preserve"> NUMPAGES </w:instrText>
    </w:r>
    <w:r w:rsidR="00E2117F">
      <w:fldChar w:fldCharType="separate"/>
    </w:r>
    <w:r>
      <w:t>19</w:t>
    </w:r>
    <w:r w:rsidR="00E2117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6" w14:textId="77777777" w:rsidR="009A5091" w:rsidRPr="00F13EA4" w:rsidRDefault="009A5091" w:rsidP="00F13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E2A3" w14:textId="77777777" w:rsidR="00A71DB7" w:rsidRDefault="00A71DB7">
      <w:r>
        <w:separator/>
      </w:r>
    </w:p>
  </w:footnote>
  <w:footnote w:type="continuationSeparator" w:id="0">
    <w:p w14:paraId="3F460D11" w14:textId="77777777" w:rsidR="00A71DB7" w:rsidRDefault="00A71DB7">
      <w:r>
        <w:continuationSeparator/>
      </w:r>
    </w:p>
  </w:footnote>
  <w:footnote w:type="continuationNotice" w:id="1">
    <w:p w14:paraId="4E5D70EA" w14:textId="77777777" w:rsidR="00A71DB7" w:rsidRDefault="00A71DB7">
      <w:pPr>
        <w:spacing w:line="240" w:lineRule="auto"/>
      </w:pPr>
    </w:p>
  </w:footnote>
  <w:footnote w:id="2">
    <w:p w14:paraId="32C1BCBF" w14:textId="570317AA" w:rsidR="00356B29" w:rsidRPr="0054283E" w:rsidRDefault="00356B29" w:rsidP="00356B29">
      <w:pPr>
        <w:pStyle w:val="FootnoteText"/>
      </w:pPr>
      <w:r>
        <w:rPr>
          <w:rStyle w:val="FootnoteReference"/>
          <w:lang w:val="en-GB"/>
        </w:rPr>
        <w:footnoteRef/>
      </w:r>
      <w:r>
        <w:t xml:space="preserve"> </w:t>
      </w:r>
      <w:r>
        <w:tab/>
      </w:r>
      <w:hyperlink r:id="rId1" w:history="1">
        <w:r>
          <w:rPr>
            <w:rStyle w:val="Hyperlink"/>
          </w:rPr>
          <w:t>COM(2025) 75 final – Vize pro zemědělství a potraviny – Společné utváření atraktivního zemědělského a potravinářského odvětví EU pro budoucí generace</w:t>
        </w:r>
      </w:hyperlink>
      <w:r>
        <w:t>.</w:t>
      </w:r>
    </w:p>
  </w:footnote>
  <w:footnote w:id="3">
    <w:p w14:paraId="00A3B095" w14:textId="7452C344" w:rsidR="003D3B8E" w:rsidRPr="0054283E" w:rsidRDefault="003D3B8E">
      <w:pPr>
        <w:pStyle w:val="FootnoteText"/>
      </w:pPr>
      <w:r>
        <w:rPr>
          <w:rStyle w:val="FootnoteReference"/>
          <w:lang w:val="en-GB"/>
        </w:rPr>
        <w:footnoteRef/>
      </w:r>
      <w:r>
        <w:t xml:space="preserve"> </w:t>
      </w:r>
      <w:r>
        <w:tab/>
      </w:r>
      <w:hyperlink r:id="rId2" w:history="1">
        <w:r>
          <w:rPr>
            <w:rStyle w:val="Hyperlink"/>
          </w:rPr>
          <w:t>https://www.eesc.europa.eu/cs/our-work/opinions-information-reports/opinions/future-food-and-farming-communication</w:t>
        </w:r>
      </w:hyperlink>
      <w:r>
        <w:t>.</w:t>
      </w:r>
    </w:p>
  </w:footnote>
  <w:footnote w:id="4">
    <w:p w14:paraId="3D097B8B" w14:textId="1C5E1906" w:rsidR="00AF5BB1" w:rsidRPr="0054283E" w:rsidRDefault="00AF5BB1" w:rsidP="00AF5BB1">
      <w:pPr>
        <w:pStyle w:val="FootnoteText"/>
      </w:pPr>
      <w:r>
        <w:rPr>
          <w:rStyle w:val="FootnoteReference"/>
          <w:lang w:val="en-GB"/>
        </w:rPr>
        <w:footnoteRef/>
      </w:r>
      <w:r>
        <w:t xml:space="preserve"> </w:t>
      </w:r>
      <w:r>
        <w:tab/>
        <w:t xml:space="preserve">Viz například francouzský </w:t>
      </w:r>
      <w:hyperlink r:id="rId3" w:history="1">
        <w:proofErr w:type="spellStart"/>
        <w:r>
          <w:rPr>
            <w:rStyle w:val="Hyperlink"/>
          </w:rPr>
          <w:t>Répertoire</w:t>
        </w:r>
        <w:proofErr w:type="spellEnd"/>
        <w:r>
          <w:rPr>
            <w:rStyle w:val="Hyperlink"/>
          </w:rPr>
          <w:t xml:space="preserve"> </w:t>
        </w:r>
        <w:proofErr w:type="spellStart"/>
        <w:r>
          <w:rPr>
            <w:rStyle w:val="Hyperlink"/>
          </w:rPr>
          <w:t>Départ-Installation</w:t>
        </w:r>
        <w:proofErr w:type="spellEnd"/>
      </w:hyperlink>
      <w:r>
        <w:t xml:space="preserve"> (rejstřík sloužící ke zprostředkování kontaktu mezi zemědělci ukončujícími činnost a těmi, kteří by ji chtěli převzít).</w:t>
      </w:r>
    </w:p>
  </w:footnote>
  <w:footnote w:id="5">
    <w:p w14:paraId="1A276B88" w14:textId="6577C3C5" w:rsidR="00E2227B" w:rsidRPr="0054283E" w:rsidRDefault="00E2227B">
      <w:pPr>
        <w:pStyle w:val="FootnoteText"/>
      </w:pPr>
      <w:r>
        <w:rPr>
          <w:rStyle w:val="FootnoteReference"/>
          <w:lang w:val="en-GB"/>
        </w:rPr>
        <w:footnoteRef/>
      </w:r>
      <w:r>
        <w:t xml:space="preserve"> </w:t>
      </w:r>
      <w:r>
        <w:tab/>
      </w:r>
      <w:hyperlink r:id="rId4" w:history="1">
        <w:r>
          <w:rPr>
            <w:rStyle w:val="Hyperlink"/>
          </w:rPr>
          <w:t>https://www.eesc.europa.eu/cs/our-work/opinions-information-reports/opinions/cap-simplification-package</w:t>
        </w:r>
      </w:hyperlink>
      <w:r>
        <w:t>.</w:t>
      </w:r>
    </w:p>
  </w:footnote>
  <w:footnote w:id="6">
    <w:p w14:paraId="1EBB8427" w14:textId="704C823A" w:rsidR="00F62735" w:rsidRPr="004C215A" w:rsidRDefault="00F62735" w:rsidP="00F62735">
      <w:pPr>
        <w:pStyle w:val="FootnoteText"/>
      </w:pPr>
      <w:r>
        <w:rPr>
          <w:rStyle w:val="FootnoteReference"/>
          <w:lang w:val="en-GB"/>
        </w:rPr>
        <w:footnoteRef/>
      </w:r>
      <w:r>
        <w:t xml:space="preserve"> </w:t>
      </w:r>
      <w:r>
        <w:tab/>
      </w:r>
      <w:hyperlink r:id="rId5" w:history="1">
        <w:r>
          <w:rPr>
            <w:rStyle w:val="Hyperlink"/>
          </w:rPr>
          <w:t xml:space="preserve">Archiv publikací Společného výzkumného střediska – </w:t>
        </w:r>
        <w:proofErr w:type="spellStart"/>
        <w:r>
          <w:rPr>
            <w:rStyle w:val="Hyperlink"/>
            <w:i/>
            <w:iCs/>
          </w:rPr>
          <w:t>Scenar</w:t>
        </w:r>
        <w:proofErr w:type="spellEnd"/>
        <w:r>
          <w:rPr>
            <w:rStyle w:val="Hyperlink"/>
            <w:i/>
            <w:iCs/>
          </w:rPr>
          <w:t xml:space="preserve"> 2040</w:t>
        </w:r>
      </w:hyperlink>
      <w:r>
        <w:t>.</w:t>
      </w:r>
    </w:p>
  </w:footnote>
  <w:footnote w:id="7">
    <w:p w14:paraId="6DA134B3" w14:textId="799A6ED0" w:rsidR="009A5091" w:rsidRPr="00925E56" w:rsidRDefault="00940BBA">
      <w:pPr>
        <w:pStyle w:val="FootnoteText"/>
      </w:pPr>
      <w:r>
        <w:rPr>
          <w:rStyle w:val="FootnoteReference"/>
          <w:lang w:val="en-GB"/>
        </w:rPr>
        <w:footnoteRef/>
      </w:r>
      <w:r>
        <w:t xml:space="preserve"> </w:t>
      </w:r>
      <w:r>
        <w:tab/>
      </w:r>
      <w:hyperlink r:id="rId6" w:history="1">
        <w:proofErr w:type="spellStart"/>
        <w:r>
          <w:rPr>
            <w:rStyle w:val="Hyperlink"/>
            <w:i/>
            <w:iCs/>
          </w:rPr>
          <w:t>How</w:t>
        </w:r>
        <w:proofErr w:type="spellEnd"/>
        <w:r>
          <w:rPr>
            <w:rStyle w:val="Hyperlink"/>
            <w:i/>
            <w:iCs/>
          </w:rPr>
          <w:t xml:space="preserve"> big </w:t>
        </w:r>
        <w:proofErr w:type="spellStart"/>
        <w:r>
          <w:rPr>
            <w:rStyle w:val="Hyperlink"/>
            <w:i/>
            <w:iCs/>
          </w:rPr>
          <w:t>will</w:t>
        </w:r>
        <w:proofErr w:type="spellEnd"/>
        <w:r>
          <w:rPr>
            <w:rStyle w:val="Hyperlink"/>
            <w:i/>
            <w:iCs/>
          </w:rPr>
          <w:t xml:space="preserve"> </w:t>
        </w:r>
        <w:proofErr w:type="spellStart"/>
        <w:r>
          <w:rPr>
            <w:rStyle w:val="Hyperlink"/>
            <w:i/>
            <w:iCs/>
          </w:rPr>
          <w:t>the</w:t>
        </w:r>
        <w:proofErr w:type="spellEnd"/>
        <w:r>
          <w:rPr>
            <w:rStyle w:val="Hyperlink"/>
            <w:i/>
            <w:iCs/>
          </w:rPr>
          <w:t xml:space="preserve"> CAP budget </w:t>
        </w:r>
        <w:proofErr w:type="spellStart"/>
        <w:r>
          <w:rPr>
            <w:rStyle w:val="Hyperlink"/>
            <w:i/>
            <w:iCs/>
          </w:rPr>
          <w:t>be</w:t>
        </w:r>
        <w:proofErr w:type="spellEnd"/>
        <w:r>
          <w:rPr>
            <w:rStyle w:val="Hyperlink"/>
            <w:i/>
            <w:iCs/>
          </w:rPr>
          <w:t xml:space="preserve"> in </w:t>
        </w:r>
        <w:proofErr w:type="spellStart"/>
        <w:r>
          <w:rPr>
            <w:rStyle w:val="Hyperlink"/>
            <w:i/>
            <w:iCs/>
          </w:rPr>
          <w:t>the</w:t>
        </w:r>
        <w:proofErr w:type="spellEnd"/>
        <w:r>
          <w:rPr>
            <w:rStyle w:val="Hyperlink"/>
            <w:i/>
            <w:iCs/>
          </w:rPr>
          <w:t xml:space="preserve"> </w:t>
        </w:r>
        <w:proofErr w:type="spellStart"/>
        <w:r>
          <w:rPr>
            <w:rStyle w:val="Hyperlink"/>
            <w:i/>
            <w:iCs/>
          </w:rPr>
          <w:t>next</w:t>
        </w:r>
        <w:proofErr w:type="spellEnd"/>
        <w:r>
          <w:rPr>
            <w:rStyle w:val="Hyperlink"/>
            <w:i/>
            <w:iCs/>
          </w:rPr>
          <w:t xml:space="preserve"> MFF?</w:t>
        </w:r>
      </w:hyperlink>
      <w:r>
        <w:t xml:space="preserve"> (Jaká částka bude na SZP přidělena v příštím VFR?).</w:t>
      </w:r>
    </w:p>
  </w:footnote>
  <w:footnote w:id="8">
    <w:p w14:paraId="237FCAA9" w14:textId="76C523CA" w:rsidR="009A5091" w:rsidRPr="00BA3D93" w:rsidRDefault="00940BBA">
      <w:pPr>
        <w:pStyle w:val="FootnoteText"/>
      </w:pPr>
      <w:r>
        <w:rPr>
          <w:rStyle w:val="FootnoteReference"/>
          <w:lang w:val="en-GB"/>
        </w:rPr>
        <w:footnoteRef/>
      </w:r>
      <w:r>
        <w:t xml:space="preserve"> </w:t>
      </w:r>
      <w:r>
        <w:tab/>
      </w:r>
      <w:hyperlink r:id="rId7" w:history="1">
        <w:r>
          <w:rPr>
            <w:rStyle w:val="Hyperlink"/>
          </w:rPr>
          <w:t>Úř. věst. C, C/2024/2099, 26.3.2024</w:t>
        </w:r>
      </w:hyperlink>
      <w:r>
        <w:t xml:space="preserve">, ELI: </w:t>
      </w:r>
      <w:hyperlink r:id="rId8" w:history="1">
        <w:r>
          <w:rPr>
            <w:rStyle w:val="Hyperlink"/>
          </w:rPr>
          <w:t>http://data.europa.eu/eli/C/2024/2099/oj</w:t>
        </w:r>
      </w:hyperlink>
      <w:r>
        <w:t>.</w:t>
      </w:r>
    </w:p>
  </w:footnote>
  <w:footnote w:id="9">
    <w:p w14:paraId="50DADC40" w14:textId="622B0C2F" w:rsidR="009A5091" w:rsidRPr="00925E56" w:rsidRDefault="00940BBA">
      <w:pPr>
        <w:pStyle w:val="FootnoteText"/>
      </w:pPr>
      <w:r>
        <w:rPr>
          <w:rStyle w:val="FootnoteReference"/>
          <w:lang w:val="en-GB"/>
        </w:rPr>
        <w:footnoteRef/>
      </w:r>
      <w:r>
        <w:t xml:space="preserve"> </w:t>
      </w:r>
      <w:r>
        <w:tab/>
      </w:r>
      <w:hyperlink r:id="rId9" w:anchor="share-of-direct-payments-and-total-subsidies-in--agricultural-factor-income-2018-22-average" w:history="1">
        <w:r>
          <w:rPr>
            <w:rStyle w:val="Hyperlink"/>
          </w:rPr>
          <w:t>Výdaje na SZP v rámci celkových výdajů EU</w:t>
        </w:r>
      </w:hyperlink>
      <w:r>
        <w:t>.</w:t>
      </w:r>
    </w:p>
  </w:footnote>
  <w:footnote w:id="10">
    <w:p w14:paraId="768E1129" w14:textId="77777777" w:rsidR="009545D9" w:rsidRPr="0054283E" w:rsidRDefault="00A0684F">
      <w:pPr>
        <w:pStyle w:val="FootnoteText"/>
      </w:pPr>
      <w:r>
        <w:rPr>
          <w:rStyle w:val="FootnoteReference"/>
          <w:lang w:val="en-GB"/>
        </w:rPr>
        <w:footnoteRef/>
      </w:r>
      <w:r>
        <w:t xml:space="preserve"> </w:t>
      </w:r>
      <w:r>
        <w:tab/>
      </w:r>
      <w:hyperlink r:id="rId10" w:history="1">
        <w:proofErr w:type="spellStart"/>
        <w:r>
          <w:rPr>
            <w:rStyle w:val="Hyperlink"/>
            <w:i/>
            <w:iCs/>
          </w:rPr>
          <w:t>World</w:t>
        </w:r>
        <w:proofErr w:type="spellEnd"/>
        <w:r>
          <w:rPr>
            <w:rStyle w:val="Hyperlink"/>
            <w:i/>
            <w:iCs/>
          </w:rPr>
          <w:t xml:space="preserve"> </w:t>
        </w:r>
        <w:proofErr w:type="spellStart"/>
        <w:r>
          <w:rPr>
            <w:rStyle w:val="Hyperlink"/>
            <w:i/>
            <w:iCs/>
          </w:rPr>
          <w:t>must</w:t>
        </w:r>
        <w:proofErr w:type="spellEnd"/>
        <w:r>
          <w:rPr>
            <w:rStyle w:val="Hyperlink"/>
            <w:i/>
            <w:iCs/>
          </w:rPr>
          <w:t xml:space="preserve"> </w:t>
        </w:r>
        <w:proofErr w:type="spellStart"/>
        <w:r>
          <w:rPr>
            <w:rStyle w:val="Hyperlink"/>
            <w:i/>
            <w:iCs/>
          </w:rPr>
          <w:t>sustainably</w:t>
        </w:r>
        <w:proofErr w:type="spellEnd"/>
        <w:r>
          <w:rPr>
            <w:rStyle w:val="Hyperlink"/>
            <w:i/>
            <w:iCs/>
          </w:rPr>
          <w:t xml:space="preserve"> </w:t>
        </w:r>
        <w:proofErr w:type="spellStart"/>
        <w:r>
          <w:rPr>
            <w:rStyle w:val="Hyperlink"/>
            <w:i/>
            <w:iCs/>
          </w:rPr>
          <w:t>produce</w:t>
        </w:r>
        <w:proofErr w:type="spellEnd"/>
        <w:r>
          <w:rPr>
            <w:rStyle w:val="Hyperlink"/>
            <w:i/>
            <w:iCs/>
          </w:rPr>
          <w:t xml:space="preserve"> 70 per cent more food by </w:t>
        </w:r>
        <w:proofErr w:type="spellStart"/>
        <w:r>
          <w:rPr>
            <w:rStyle w:val="Hyperlink"/>
            <w:i/>
            <w:iCs/>
          </w:rPr>
          <w:t>mid-century</w:t>
        </w:r>
        <w:proofErr w:type="spellEnd"/>
        <w:r>
          <w:rPr>
            <w:rStyle w:val="Hyperlink"/>
            <w:i/>
            <w:iCs/>
          </w:rPr>
          <w:t xml:space="preserve"> – UN report</w:t>
        </w:r>
      </w:hyperlink>
      <w:r>
        <w:t xml:space="preserve"> (Je nutné zvýšit ve světě do roku 2050 udržitelnou produkci potravin o 70 % – zpráva OSN).</w:t>
      </w:r>
    </w:p>
  </w:footnote>
  <w:footnote w:id="11">
    <w:p w14:paraId="2D691AB8" w14:textId="02EC2752" w:rsidR="009A5091" w:rsidRPr="00925E56" w:rsidRDefault="00940BBA">
      <w:pPr>
        <w:pStyle w:val="FootnoteText"/>
      </w:pPr>
      <w:r>
        <w:rPr>
          <w:lang w:val="en-GB"/>
        </w:rPr>
        <w:footnoteRef/>
      </w:r>
      <w:r>
        <w:t xml:space="preserve"> </w:t>
      </w:r>
      <w:r>
        <w:tab/>
      </w:r>
      <w:hyperlink r:id="rId11" w:anchor=":~:text=Every%20year%2C%20the%20world%20loses,weakened%20resilience%20to%20climate%20change" w:history="1">
        <w:proofErr w:type="spellStart"/>
        <w:r>
          <w:rPr>
            <w:rStyle w:val="Hyperlink"/>
            <w:i/>
            <w:iCs/>
          </w:rPr>
          <w:t>Every</w:t>
        </w:r>
        <w:proofErr w:type="spellEnd"/>
        <w:r>
          <w:rPr>
            <w:rStyle w:val="Hyperlink"/>
            <w:i/>
            <w:iCs/>
          </w:rPr>
          <w:t xml:space="preserve"> </w:t>
        </w:r>
        <w:proofErr w:type="spellStart"/>
        <w:r>
          <w:rPr>
            <w:rStyle w:val="Hyperlink"/>
            <w:i/>
            <w:iCs/>
          </w:rPr>
          <w:t>Year</w:t>
        </w:r>
        <w:proofErr w:type="spellEnd"/>
        <w:r>
          <w:rPr>
            <w:rStyle w:val="Hyperlink"/>
            <w:i/>
            <w:iCs/>
          </w:rPr>
          <w:t xml:space="preserve">, 12 </w:t>
        </w:r>
        <w:proofErr w:type="spellStart"/>
        <w:r>
          <w:rPr>
            <w:rStyle w:val="Hyperlink"/>
            <w:i/>
            <w:iCs/>
          </w:rPr>
          <w:t>Million</w:t>
        </w:r>
        <w:proofErr w:type="spellEnd"/>
        <w:r>
          <w:rPr>
            <w:rStyle w:val="Hyperlink"/>
            <w:i/>
            <w:iCs/>
          </w:rPr>
          <w:t xml:space="preserve"> </w:t>
        </w:r>
        <w:proofErr w:type="spellStart"/>
        <w:r>
          <w:rPr>
            <w:rStyle w:val="Hyperlink"/>
            <w:i/>
            <w:iCs/>
          </w:rPr>
          <w:t>Hectares</w:t>
        </w:r>
        <w:proofErr w:type="spellEnd"/>
        <w:r>
          <w:rPr>
            <w:rStyle w:val="Hyperlink"/>
            <w:i/>
            <w:iCs/>
          </w:rPr>
          <w:t xml:space="preserve"> </w:t>
        </w:r>
        <w:proofErr w:type="spellStart"/>
        <w:r>
          <w:rPr>
            <w:rStyle w:val="Hyperlink"/>
            <w:i/>
            <w:iCs/>
          </w:rPr>
          <w:t>of</w:t>
        </w:r>
        <w:proofErr w:type="spellEnd"/>
        <w:r>
          <w:rPr>
            <w:rStyle w:val="Hyperlink"/>
            <w:i/>
            <w:iCs/>
          </w:rPr>
          <w:t xml:space="preserve"> </w:t>
        </w:r>
        <w:proofErr w:type="spellStart"/>
        <w:r>
          <w:rPr>
            <w:rStyle w:val="Hyperlink"/>
            <w:i/>
            <w:iCs/>
          </w:rPr>
          <w:t>Productive</w:t>
        </w:r>
        <w:proofErr w:type="spellEnd"/>
        <w:r>
          <w:rPr>
            <w:rStyle w:val="Hyperlink"/>
            <w:i/>
            <w:iCs/>
          </w:rPr>
          <w:t xml:space="preserve"> Land </w:t>
        </w:r>
        <w:proofErr w:type="spellStart"/>
        <w:r>
          <w:rPr>
            <w:rStyle w:val="Hyperlink"/>
            <w:i/>
            <w:iCs/>
          </w:rPr>
          <w:t>Lost</w:t>
        </w:r>
        <w:proofErr w:type="spellEnd"/>
        <w:r>
          <w:rPr>
            <w:rStyle w:val="Hyperlink"/>
            <w:i/>
            <w:iCs/>
          </w:rPr>
          <w:t xml:space="preserve">, </w:t>
        </w:r>
        <w:proofErr w:type="spellStart"/>
        <w:r>
          <w:rPr>
            <w:rStyle w:val="Hyperlink"/>
            <w:i/>
            <w:iCs/>
          </w:rPr>
          <w:t>Secretary</w:t>
        </w:r>
        <w:proofErr w:type="spellEnd"/>
        <w:r>
          <w:rPr>
            <w:rStyle w:val="Hyperlink"/>
            <w:i/>
            <w:iCs/>
          </w:rPr>
          <w:t xml:space="preserve">-General </w:t>
        </w:r>
        <w:proofErr w:type="spellStart"/>
        <w:r>
          <w:rPr>
            <w:rStyle w:val="Hyperlink"/>
            <w:i/>
            <w:iCs/>
          </w:rPr>
          <w:t>Tells</w:t>
        </w:r>
        <w:proofErr w:type="spellEnd"/>
        <w:r>
          <w:rPr>
            <w:rStyle w:val="Hyperlink"/>
            <w:i/>
            <w:iCs/>
          </w:rPr>
          <w:t xml:space="preserve"> </w:t>
        </w:r>
        <w:proofErr w:type="spellStart"/>
        <w:r>
          <w:rPr>
            <w:rStyle w:val="Hyperlink"/>
            <w:i/>
            <w:iCs/>
          </w:rPr>
          <w:t>Desertification</w:t>
        </w:r>
        <w:proofErr w:type="spellEnd"/>
        <w:r>
          <w:rPr>
            <w:rStyle w:val="Hyperlink"/>
            <w:i/>
            <w:iCs/>
          </w:rPr>
          <w:t xml:space="preserve"> </w:t>
        </w:r>
        <w:proofErr w:type="spellStart"/>
        <w:r>
          <w:rPr>
            <w:rStyle w:val="Hyperlink"/>
            <w:i/>
            <w:iCs/>
          </w:rPr>
          <w:t>Forum</w:t>
        </w:r>
        <w:proofErr w:type="spellEnd"/>
        <w:r>
          <w:rPr>
            <w:rStyle w:val="Hyperlink"/>
            <w:i/>
            <w:iCs/>
          </w:rPr>
          <w:t xml:space="preserve">, </w:t>
        </w:r>
        <w:proofErr w:type="spellStart"/>
        <w:r>
          <w:rPr>
            <w:rStyle w:val="Hyperlink"/>
            <w:i/>
            <w:iCs/>
          </w:rPr>
          <w:t>Calls</w:t>
        </w:r>
        <w:proofErr w:type="spellEnd"/>
        <w:r>
          <w:rPr>
            <w:rStyle w:val="Hyperlink"/>
            <w:i/>
            <w:iCs/>
          </w:rPr>
          <w:t xml:space="preserve"> </w:t>
        </w:r>
        <w:proofErr w:type="spellStart"/>
        <w:r>
          <w:rPr>
            <w:rStyle w:val="Hyperlink"/>
            <w:i/>
            <w:iCs/>
          </w:rPr>
          <w:t>for</w:t>
        </w:r>
        <w:proofErr w:type="spellEnd"/>
        <w:r>
          <w:rPr>
            <w:rStyle w:val="Hyperlink"/>
            <w:i/>
            <w:iCs/>
          </w:rPr>
          <w:t xml:space="preserve"> </w:t>
        </w:r>
        <w:proofErr w:type="spellStart"/>
        <w:r>
          <w:rPr>
            <w:rStyle w:val="Hyperlink"/>
            <w:i/>
            <w:iCs/>
          </w:rPr>
          <w:t>Scaled</w:t>
        </w:r>
        <w:proofErr w:type="spellEnd"/>
        <w:r>
          <w:rPr>
            <w:rStyle w:val="Hyperlink"/>
            <w:i/>
            <w:iCs/>
          </w:rPr>
          <w:t xml:space="preserve">-up </w:t>
        </w:r>
        <w:proofErr w:type="spellStart"/>
        <w:r>
          <w:rPr>
            <w:rStyle w:val="Hyperlink"/>
            <w:i/>
            <w:iCs/>
          </w:rPr>
          <w:t>Restoration</w:t>
        </w:r>
        <w:proofErr w:type="spellEnd"/>
        <w:r>
          <w:rPr>
            <w:rStyle w:val="Hyperlink"/>
            <w:i/>
            <w:iCs/>
          </w:rPr>
          <w:t xml:space="preserve"> </w:t>
        </w:r>
        <w:proofErr w:type="spellStart"/>
        <w:r>
          <w:rPr>
            <w:rStyle w:val="Hyperlink"/>
            <w:i/>
            <w:iCs/>
          </w:rPr>
          <w:t>Efforts</w:t>
        </w:r>
        <w:proofErr w:type="spellEnd"/>
        <w:r>
          <w:rPr>
            <w:rStyle w:val="Hyperlink"/>
            <w:i/>
            <w:iCs/>
          </w:rPr>
          <w:t xml:space="preserve">, Smart </w:t>
        </w:r>
        <w:proofErr w:type="spellStart"/>
        <w:r>
          <w:rPr>
            <w:rStyle w:val="Hyperlink"/>
            <w:i/>
            <w:iCs/>
          </w:rPr>
          <w:t>Policies</w:t>
        </w:r>
        <w:proofErr w:type="spellEnd"/>
      </w:hyperlink>
      <w:r>
        <w:t xml:space="preserve"> (Generální tajemník na Fóru o </w:t>
      </w:r>
      <w:proofErr w:type="spellStart"/>
      <w:r>
        <w:t>dezertifikaci</w:t>
      </w:r>
      <w:proofErr w:type="spellEnd"/>
      <w:r>
        <w:t xml:space="preserve"> upozornil, že každým rokem přicházíme o</w:t>
      </w:r>
      <w:r w:rsidR="008010FA">
        <w:t> </w:t>
      </w:r>
      <w:r>
        <w:t>12</w:t>
      </w:r>
      <w:r w:rsidR="008010FA">
        <w:t> </w:t>
      </w:r>
      <w:r>
        <w:t>milionů hektarů produktivní půdy, a vyzval k rozsáhlejšímu provádění opatření v oblasti obnovy půdy a inteligentních politik).</w:t>
      </w:r>
    </w:p>
  </w:footnote>
  <w:footnote w:id="12">
    <w:p w14:paraId="14B76F10" w14:textId="70B7F9D6" w:rsidR="009A5091" w:rsidRPr="004C215A" w:rsidRDefault="00940BBA">
      <w:pPr>
        <w:pStyle w:val="FootnoteText"/>
      </w:pPr>
      <w:r>
        <w:rPr>
          <w:rStyle w:val="FootnoteReference"/>
          <w:lang w:val="en-GB"/>
        </w:rPr>
        <w:footnoteRef/>
      </w:r>
      <w:r>
        <w:t xml:space="preserve"> </w:t>
      </w:r>
      <w:r>
        <w:tab/>
      </w:r>
      <w:hyperlink r:id="rId12" w:history="1">
        <w:proofErr w:type="spellStart"/>
        <w:r>
          <w:rPr>
            <w:rStyle w:val="Hyperlink"/>
          </w:rPr>
          <w:t>Úř</w:t>
        </w:r>
        <w:proofErr w:type="spellEnd"/>
        <w:r>
          <w:rPr>
            <w:rStyle w:val="Hyperlink"/>
          </w:rPr>
          <w:t xml:space="preserve">. </w:t>
        </w:r>
        <w:proofErr w:type="spellStart"/>
        <w:r>
          <w:rPr>
            <w:rStyle w:val="Hyperlink"/>
          </w:rPr>
          <w:t>věst</w:t>
        </w:r>
        <w:proofErr w:type="spellEnd"/>
        <w:r>
          <w:rPr>
            <w:rStyle w:val="Hyperlink"/>
          </w:rPr>
          <w:t>. C 62, 15.2.2019, s. 214</w:t>
        </w:r>
      </w:hyperlink>
      <w:r>
        <w:t>.</w:t>
      </w:r>
    </w:p>
  </w:footnote>
  <w:footnote w:id="13">
    <w:p w14:paraId="22B0A75F" w14:textId="0FE3F51C" w:rsidR="00AE2FE0" w:rsidRPr="004C215A" w:rsidRDefault="00AE2FE0">
      <w:pPr>
        <w:pStyle w:val="FootnoteText"/>
      </w:pPr>
      <w:r>
        <w:rPr>
          <w:rStyle w:val="FootnoteReference"/>
          <w:lang w:val="en-GB"/>
        </w:rPr>
        <w:footnoteRef/>
      </w:r>
      <w:r>
        <w:t xml:space="preserve"> </w:t>
      </w:r>
      <w:r>
        <w:tab/>
      </w:r>
      <w:hyperlink r:id="rId13" w:history="1">
        <w:proofErr w:type="spellStart"/>
        <w:r>
          <w:rPr>
            <w:rStyle w:val="Hyperlink"/>
          </w:rPr>
          <w:t>Úř</w:t>
        </w:r>
        <w:proofErr w:type="spellEnd"/>
        <w:r>
          <w:rPr>
            <w:rStyle w:val="Hyperlink"/>
          </w:rPr>
          <w:t xml:space="preserve">. </w:t>
        </w:r>
        <w:proofErr w:type="spellStart"/>
        <w:r>
          <w:rPr>
            <w:rStyle w:val="Hyperlink"/>
          </w:rPr>
          <w:t>věst</w:t>
        </w:r>
        <w:proofErr w:type="spellEnd"/>
        <w:r>
          <w:rPr>
            <w:rStyle w:val="Hyperlink"/>
          </w:rPr>
          <w:t>. C 283, 10.8.2018, s. 69</w:t>
        </w:r>
      </w:hyperlink>
      <w:r>
        <w:t>.</w:t>
      </w:r>
    </w:p>
  </w:footnote>
  <w:footnote w:id="14">
    <w:p w14:paraId="7B3F8F71" w14:textId="676159B1" w:rsidR="009A5091" w:rsidRPr="00925E56" w:rsidRDefault="00940BBA">
      <w:pPr>
        <w:pStyle w:val="FootnoteText"/>
      </w:pPr>
      <w:r>
        <w:rPr>
          <w:rStyle w:val="FootnoteReference"/>
          <w:lang w:val="en-GB"/>
        </w:rPr>
        <w:footnoteRef/>
      </w:r>
      <w:r>
        <w:t xml:space="preserve"> </w:t>
      </w:r>
      <w:r>
        <w:tab/>
      </w:r>
      <w:hyperlink r:id="rId14" w:history="1">
        <w:r>
          <w:rPr>
            <w:rStyle w:val="Hyperlink"/>
            <w:i/>
            <w:iCs/>
          </w:rPr>
          <w:t xml:space="preserve">Exchange on </w:t>
        </w:r>
        <w:proofErr w:type="spellStart"/>
        <w:r>
          <w:rPr>
            <w:rStyle w:val="Hyperlink"/>
            <w:i/>
            <w:iCs/>
          </w:rPr>
          <w:t>Advancing</w:t>
        </w:r>
        <w:proofErr w:type="spellEnd"/>
        <w:r>
          <w:rPr>
            <w:rStyle w:val="Hyperlink"/>
            <w:i/>
            <w:iCs/>
          </w:rPr>
          <w:t xml:space="preserve"> </w:t>
        </w:r>
        <w:proofErr w:type="spellStart"/>
        <w:r>
          <w:rPr>
            <w:rStyle w:val="Hyperlink"/>
            <w:i/>
            <w:iCs/>
          </w:rPr>
          <w:t>Young</w:t>
        </w:r>
        <w:proofErr w:type="spellEnd"/>
        <w:r>
          <w:rPr>
            <w:rStyle w:val="Hyperlink"/>
            <w:i/>
            <w:iCs/>
          </w:rPr>
          <w:t xml:space="preserve"> and </w:t>
        </w:r>
        <w:proofErr w:type="spellStart"/>
        <w:r>
          <w:rPr>
            <w:rStyle w:val="Hyperlink"/>
            <w:i/>
            <w:iCs/>
          </w:rPr>
          <w:t>Historically</w:t>
        </w:r>
        <w:proofErr w:type="spellEnd"/>
        <w:r>
          <w:rPr>
            <w:rStyle w:val="Hyperlink"/>
            <w:i/>
            <w:iCs/>
          </w:rPr>
          <w:t xml:space="preserve"> </w:t>
        </w:r>
        <w:proofErr w:type="spellStart"/>
        <w:r>
          <w:rPr>
            <w:rStyle w:val="Hyperlink"/>
            <w:i/>
            <w:iCs/>
          </w:rPr>
          <w:t>Underserved</w:t>
        </w:r>
        <w:proofErr w:type="spellEnd"/>
        <w:r>
          <w:rPr>
            <w:rStyle w:val="Hyperlink"/>
            <w:i/>
            <w:iCs/>
          </w:rPr>
          <w:t xml:space="preserve"> </w:t>
        </w:r>
        <w:proofErr w:type="spellStart"/>
        <w:r>
          <w:rPr>
            <w:rStyle w:val="Hyperlink"/>
            <w:i/>
            <w:iCs/>
          </w:rPr>
          <w:t>Farmers</w:t>
        </w:r>
        <w:proofErr w:type="spellEnd"/>
        <w:r>
          <w:rPr>
            <w:rStyle w:val="Hyperlink"/>
            <w:i/>
            <w:iCs/>
          </w:rPr>
          <w:t xml:space="preserve"> and </w:t>
        </w:r>
        <w:proofErr w:type="spellStart"/>
        <w:r>
          <w:rPr>
            <w:rStyle w:val="Hyperlink"/>
            <w:i/>
            <w:iCs/>
          </w:rPr>
          <w:t>Addressing</w:t>
        </w:r>
        <w:proofErr w:type="spellEnd"/>
        <w:r>
          <w:rPr>
            <w:rStyle w:val="Hyperlink"/>
            <w:i/>
            <w:iCs/>
          </w:rPr>
          <w:t xml:space="preserve"> </w:t>
        </w:r>
        <w:proofErr w:type="spellStart"/>
        <w:r>
          <w:rPr>
            <w:rStyle w:val="Hyperlink"/>
            <w:i/>
            <w:iCs/>
          </w:rPr>
          <w:t>Intergenerational</w:t>
        </w:r>
        <w:proofErr w:type="spellEnd"/>
        <w:r>
          <w:rPr>
            <w:rStyle w:val="Hyperlink"/>
            <w:i/>
            <w:iCs/>
          </w:rPr>
          <w:t xml:space="preserve"> </w:t>
        </w:r>
        <w:proofErr w:type="spellStart"/>
        <w:r>
          <w:rPr>
            <w:rStyle w:val="Hyperlink"/>
            <w:i/>
            <w:iCs/>
          </w:rPr>
          <w:t>Farm</w:t>
        </w:r>
        <w:proofErr w:type="spellEnd"/>
        <w:r>
          <w:rPr>
            <w:rStyle w:val="Hyperlink"/>
            <w:i/>
            <w:iCs/>
          </w:rPr>
          <w:t xml:space="preserve"> </w:t>
        </w:r>
        <w:proofErr w:type="spellStart"/>
        <w:r>
          <w:rPr>
            <w:rStyle w:val="Hyperlink"/>
            <w:i/>
            <w:iCs/>
          </w:rPr>
          <w:t>Issues</w:t>
        </w:r>
        <w:proofErr w:type="spellEnd"/>
      </w:hyperlink>
      <w:r>
        <w:t xml:space="preserve"> (Diskuse o</w:t>
      </w:r>
      <w:r w:rsidR="008010FA">
        <w:t> </w:t>
      </w:r>
      <w:r>
        <w:t>tom, jak podpořit mladé zemědělce a zemědělce, kteří byli v minulosti znevýhodněni, a řešit mezigenerační problémy v odvětví zemědělství).</w:t>
      </w:r>
    </w:p>
  </w:footnote>
  <w:footnote w:id="15">
    <w:p w14:paraId="125179E2" w14:textId="039BFA8D" w:rsidR="009A5091" w:rsidRPr="00925E56" w:rsidRDefault="00940BBA">
      <w:pPr>
        <w:pStyle w:val="FootnoteText"/>
      </w:pPr>
      <w:r>
        <w:rPr>
          <w:rStyle w:val="FootnoteReference"/>
          <w:lang w:val="en-GB"/>
        </w:rPr>
        <w:footnoteRef/>
      </w:r>
      <w:r>
        <w:t xml:space="preserve"> </w:t>
      </w:r>
      <w:r>
        <w:tab/>
      </w:r>
      <w:hyperlink r:id="rId15" w:history="1">
        <w:r>
          <w:rPr>
            <w:rStyle w:val="Hyperlink"/>
          </w:rPr>
          <w:t>Úř. věst. C, C/2024/4063, 12.7.2024, ELI: http://data.europa.eu/eli/C/2024/4063/oj</w:t>
        </w:r>
      </w:hyperlink>
      <w:r>
        <w:t>.</w:t>
      </w:r>
    </w:p>
  </w:footnote>
  <w:footnote w:id="16">
    <w:p w14:paraId="73A7AF89" w14:textId="723DEA7B" w:rsidR="009A5091" w:rsidRPr="00925E56" w:rsidRDefault="00940BBA">
      <w:pPr>
        <w:pStyle w:val="FootnoteText"/>
      </w:pPr>
      <w:r>
        <w:rPr>
          <w:rStyle w:val="FootnoteReference"/>
          <w:lang w:val="en-GB"/>
        </w:rPr>
        <w:footnoteRef/>
      </w:r>
      <w:r>
        <w:t xml:space="preserve"> </w:t>
      </w:r>
      <w:r>
        <w:tab/>
      </w:r>
      <w:hyperlink r:id="rId16" w:history="1">
        <w:r>
          <w:rPr>
            <w:rStyle w:val="Hyperlink"/>
          </w:rPr>
          <w:t>Úř. věst. C, C/2024/2099, 26.3.2024, ELI: http://data.europa.eu/eli/C/2024/2099/oj</w:t>
        </w:r>
      </w:hyperlink>
      <w:r>
        <w:t>.</w:t>
      </w:r>
    </w:p>
  </w:footnote>
  <w:footnote w:id="17">
    <w:p w14:paraId="5571AD3C" w14:textId="7BF0955B" w:rsidR="009A5091" w:rsidRPr="00925E56" w:rsidRDefault="00940BBA">
      <w:pPr>
        <w:pStyle w:val="FootnoteText"/>
      </w:pPr>
      <w:r>
        <w:rPr>
          <w:rStyle w:val="FootnoteReference"/>
          <w:lang w:val="en-GB"/>
        </w:rPr>
        <w:footnoteRef/>
      </w:r>
      <w:r>
        <w:t xml:space="preserve"> </w:t>
      </w:r>
      <w:r>
        <w:tab/>
      </w:r>
      <w:hyperlink r:id="rId17" w:history="1">
        <w:r>
          <w:rPr>
            <w:rStyle w:val="Hyperlink"/>
          </w:rPr>
          <w:t>Úř. věst. C, C/2025/117, 10.1.2025</w:t>
        </w:r>
      </w:hyperlink>
      <w:r>
        <w:t xml:space="preserve">, ELI: </w:t>
      </w:r>
      <w:hyperlink r:id="rId18" w:history="1">
        <w:r>
          <w:rPr>
            <w:rStyle w:val="Hyperlink"/>
          </w:rPr>
          <w:t>http://data.europa.eu/eli/C/2025/117/oj</w:t>
        </w:r>
      </w:hyperlink>
      <w:r>
        <w:t>.</w:t>
      </w:r>
    </w:p>
  </w:footnote>
  <w:footnote w:id="18">
    <w:p w14:paraId="0B9D28AA" w14:textId="7A06D4D0" w:rsidR="00304531" w:rsidRPr="00925E56" w:rsidRDefault="00304531" w:rsidP="00304531">
      <w:pPr>
        <w:pStyle w:val="FootnoteText"/>
      </w:pPr>
      <w:r>
        <w:rPr>
          <w:rStyle w:val="FootnoteReference"/>
          <w:lang w:val="en-GB"/>
        </w:rPr>
        <w:footnoteRef/>
      </w:r>
      <w:r>
        <w:t xml:space="preserve"> </w:t>
      </w:r>
      <w:r>
        <w:tab/>
      </w:r>
      <w:hyperlink r:id="rId19" w:history="1">
        <w:r>
          <w:rPr>
            <w:rStyle w:val="Hyperlink"/>
          </w:rPr>
          <w:t>Úř. věst. C, C/2025/2016, 30.4.2025</w:t>
        </w:r>
      </w:hyperlink>
      <w:r>
        <w:t xml:space="preserve">, ELI: </w:t>
      </w:r>
      <w:hyperlink r:id="rId20" w:history="1">
        <w:r>
          <w:rPr>
            <w:rStyle w:val="Hyperlink"/>
          </w:rPr>
          <w:t>http://data.europa.eu/eli/C/2025/2016/oj</w:t>
        </w:r>
      </w:hyperlink>
      <w:r>
        <w:t>.</w:t>
      </w:r>
    </w:p>
  </w:footnote>
  <w:footnote w:id="19">
    <w:p w14:paraId="2ED7B17F" w14:textId="05F96FA4" w:rsidR="009A5091" w:rsidRPr="00925E56" w:rsidRDefault="00940BBA">
      <w:pPr>
        <w:pStyle w:val="FootnoteText"/>
      </w:pPr>
      <w:r>
        <w:rPr>
          <w:rStyle w:val="FootnoteReference"/>
          <w:lang w:val="en-GB"/>
        </w:rPr>
        <w:footnoteRef/>
      </w:r>
      <w:r>
        <w:t xml:space="preserve"> </w:t>
      </w:r>
      <w:r>
        <w:tab/>
      </w:r>
      <w:hyperlink r:id="rId21" w:history="1">
        <w:r>
          <w:rPr>
            <w:rStyle w:val="Hyperlink"/>
          </w:rPr>
          <w:t>Stanovisko NAT/955 – Balíček pro zjednodušení SZP</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1" w14:textId="77777777" w:rsidR="009A5091" w:rsidRPr="00F13EA4" w:rsidRDefault="009A5091" w:rsidP="00F13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2" w14:textId="0D3F5C25" w:rsidR="009A5091" w:rsidRPr="00F13EA4" w:rsidRDefault="009A5091" w:rsidP="00F13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5" w14:textId="77777777" w:rsidR="009A5091" w:rsidRPr="00F13EA4" w:rsidRDefault="009A5091" w:rsidP="00F13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C6B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B27655"/>
    <w:multiLevelType w:val="hybridMultilevel"/>
    <w:tmpl w:val="A5AA0784"/>
    <w:lvl w:ilvl="0" w:tplc="1F404CE0">
      <w:start w:val="1"/>
      <w:numFmt w:val="decimal"/>
      <w:lvlText w:val="%1."/>
      <w:lvlJc w:val="left"/>
      <w:pPr>
        <w:ind w:left="390" w:hanging="360"/>
      </w:pPr>
      <w:rPr>
        <w:rFonts w:hint="default"/>
      </w:rPr>
    </w:lvl>
    <w:lvl w:ilvl="1" w:tplc="18090019" w:tentative="1">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2" w15:restartNumberingAfterBreak="0">
    <w:nsid w:val="131A0B0C"/>
    <w:multiLevelType w:val="hybridMultilevel"/>
    <w:tmpl w:val="C436E5CC"/>
    <w:lvl w:ilvl="0" w:tplc="B5702BAC">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2B563D"/>
    <w:multiLevelType w:val="hybridMultilevel"/>
    <w:tmpl w:val="6ACCA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37878"/>
    <w:multiLevelType w:val="hybridMultilevel"/>
    <w:tmpl w:val="F56E398E"/>
    <w:lvl w:ilvl="0" w:tplc="3EBE5F7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C245A6"/>
    <w:multiLevelType w:val="hybridMultilevel"/>
    <w:tmpl w:val="691A91F8"/>
    <w:lvl w:ilvl="0" w:tplc="32D6910E">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590570"/>
    <w:multiLevelType w:val="multilevel"/>
    <w:tmpl w:val="B726C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D27DB"/>
    <w:multiLevelType w:val="hybridMultilevel"/>
    <w:tmpl w:val="84CCF494"/>
    <w:lvl w:ilvl="0" w:tplc="9AECCFE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EC2C05"/>
    <w:multiLevelType w:val="hybridMultilevel"/>
    <w:tmpl w:val="D52C7A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91608"/>
    <w:multiLevelType w:val="hybridMultilevel"/>
    <w:tmpl w:val="E74861DA"/>
    <w:lvl w:ilvl="0" w:tplc="B59E0D3A">
      <w:start w:val="1"/>
      <w:numFmt w:val="decimal"/>
      <w:lvlText w:val="%1."/>
      <w:lvlJc w:val="left"/>
      <w:pPr>
        <w:ind w:left="390" w:hanging="360"/>
      </w:pPr>
      <w:rPr>
        <w:rFonts w:hint="default"/>
      </w:rPr>
    </w:lvl>
    <w:lvl w:ilvl="1" w:tplc="18090019" w:tentative="1">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11" w15:restartNumberingAfterBreak="0">
    <w:nsid w:val="66593543"/>
    <w:multiLevelType w:val="hybridMultilevel"/>
    <w:tmpl w:val="F0F0A8D0"/>
    <w:lvl w:ilvl="0" w:tplc="832E1C32">
      <w:start w:val="1"/>
      <w:numFmt w:val="lowerLetter"/>
      <w:lvlText w:val="(%1)"/>
      <w:lvlJc w:val="left"/>
      <w:pPr>
        <w:ind w:left="390" w:hanging="360"/>
      </w:pPr>
      <w:rPr>
        <w:rFonts w:hint="default"/>
      </w:rPr>
    </w:lvl>
    <w:lvl w:ilvl="1" w:tplc="18090019" w:tentative="1">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12" w15:restartNumberingAfterBreak="0">
    <w:nsid w:val="667B54E1"/>
    <w:multiLevelType w:val="hybridMultilevel"/>
    <w:tmpl w:val="2E5041DA"/>
    <w:lvl w:ilvl="0" w:tplc="0C8E1A2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CA799E"/>
    <w:multiLevelType w:val="hybridMultilevel"/>
    <w:tmpl w:val="DFD0E4AC"/>
    <w:lvl w:ilvl="0" w:tplc="9F063F40">
      <w:start w:val="1"/>
      <w:numFmt w:val="lowerLetter"/>
      <w:lvlText w:val="(%1)"/>
      <w:lvlJc w:val="left"/>
      <w:pPr>
        <w:ind w:left="390" w:hanging="360"/>
      </w:pPr>
      <w:rPr>
        <w:rFonts w:hint="default"/>
      </w:rPr>
    </w:lvl>
    <w:lvl w:ilvl="1" w:tplc="18090019" w:tentative="1">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14" w15:restartNumberingAfterBreak="0">
    <w:nsid w:val="6D495126"/>
    <w:multiLevelType w:val="hybridMultilevel"/>
    <w:tmpl w:val="D618E4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1F46F17"/>
    <w:multiLevelType w:val="hybridMultilevel"/>
    <w:tmpl w:val="3BE4E696"/>
    <w:lvl w:ilvl="0" w:tplc="86EA2CB0">
      <w:start w:val="1"/>
      <w:numFmt w:val="lowerLetter"/>
      <w:lvlText w:val="(%1)"/>
      <w:lvlJc w:val="left"/>
      <w:pPr>
        <w:ind w:left="720" w:hanging="360"/>
      </w:pPr>
      <w:rPr>
        <w:rFonts w:hint="default"/>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53F43EA"/>
    <w:multiLevelType w:val="hybridMultilevel"/>
    <w:tmpl w:val="7908B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1"/>
  </w:num>
  <w:num w:numId="7">
    <w:abstractNumId w:val="10"/>
  </w:num>
  <w:num w:numId="8">
    <w:abstractNumId w:val="11"/>
  </w:num>
  <w:num w:numId="9">
    <w:abstractNumId w:val="13"/>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6"/>
  </w:num>
  <w:num w:numId="19">
    <w:abstractNumId w:val="5"/>
  </w:num>
  <w:num w:numId="20">
    <w:abstractNumId w:val="12"/>
  </w:num>
  <w:num w:numId="21">
    <w:abstractNumId w:val="7"/>
  </w:num>
  <w:num w:numId="22">
    <w:abstractNumId w:val="2"/>
  </w:num>
  <w:num w:numId="23">
    <w:abstractNumId w:val="4"/>
  </w:num>
  <w:num w:numId="24">
    <w:abstractNumId w:val="15"/>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1804"/>
    <w:rsid w:val="00002B9F"/>
    <w:rsid w:val="00005AB9"/>
    <w:rsid w:val="00005EB9"/>
    <w:rsid w:val="00006912"/>
    <w:rsid w:val="00006E24"/>
    <w:rsid w:val="00007A40"/>
    <w:rsid w:val="00010831"/>
    <w:rsid w:val="000109DF"/>
    <w:rsid w:val="00011FB8"/>
    <w:rsid w:val="000128CD"/>
    <w:rsid w:val="000160ED"/>
    <w:rsid w:val="00017B45"/>
    <w:rsid w:val="00020E6E"/>
    <w:rsid w:val="00021057"/>
    <w:rsid w:val="00021A43"/>
    <w:rsid w:val="0002254F"/>
    <w:rsid w:val="0002263E"/>
    <w:rsid w:val="000229C4"/>
    <w:rsid w:val="00023E47"/>
    <w:rsid w:val="00024743"/>
    <w:rsid w:val="000248BA"/>
    <w:rsid w:val="00024F2F"/>
    <w:rsid w:val="000253F8"/>
    <w:rsid w:val="000254C5"/>
    <w:rsid w:val="00026A08"/>
    <w:rsid w:val="00031A4B"/>
    <w:rsid w:val="0003212A"/>
    <w:rsid w:val="00033913"/>
    <w:rsid w:val="00033AFC"/>
    <w:rsid w:val="00033DB4"/>
    <w:rsid w:val="00033E5B"/>
    <w:rsid w:val="00033ED3"/>
    <w:rsid w:val="00034737"/>
    <w:rsid w:val="000357A8"/>
    <w:rsid w:val="000373BC"/>
    <w:rsid w:val="00040A8D"/>
    <w:rsid w:val="000430A6"/>
    <w:rsid w:val="00044923"/>
    <w:rsid w:val="00044B45"/>
    <w:rsid w:val="00045D96"/>
    <w:rsid w:val="00046BEA"/>
    <w:rsid w:val="0004732C"/>
    <w:rsid w:val="000476D9"/>
    <w:rsid w:val="00047D81"/>
    <w:rsid w:val="000500AB"/>
    <w:rsid w:val="000508AA"/>
    <w:rsid w:val="00051D36"/>
    <w:rsid w:val="0005247A"/>
    <w:rsid w:val="0005249C"/>
    <w:rsid w:val="000534A5"/>
    <w:rsid w:val="0005637B"/>
    <w:rsid w:val="0005680D"/>
    <w:rsid w:val="00056A16"/>
    <w:rsid w:val="00056FA1"/>
    <w:rsid w:val="00057766"/>
    <w:rsid w:val="00060154"/>
    <w:rsid w:val="00060F9C"/>
    <w:rsid w:val="00062AD8"/>
    <w:rsid w:val="00063389"/>
    <w:rsid w:val="00063FB4"/>
    <w:rsid w:val="0006793E"/>
    <w:rsid w:val="00070330"/>
    <w:rsid w:val="00072E0F"/>
    <w:rsid w:val="000735E5"/>
    <w:rsid w:val="0007392F"/>
    <w:rsid w:val="00074683"/>
    <w:rsid w:val="000747C0"/>
    <w:rsid w:val="00075024"/>
    <w:rsid w:val="0008005D"/>
    <w:rsid w:val="00080932"/>
    <w:rsid w:val="0008334C"/>
    <w:rsid w:val="00083FB9"/>
    <w:rsid w:val="0008459D"/>
    <w:rsid w:val="00084E0D"/>
    <w:rsid w:val="00087B39"/>
    <w:rsid w:val="00090384"/>
    <w:rsid w:val="00091A8F"/>
    <w:rsid w:val="00093DE0"/>
    <w:rsid w:val="00095701"/>
    <w:rsid w:val="00095825"/>
    <w:rsid w:val="00095BEE"/>
    <w:rsid w:val="00095E8B"/>
    <w:rsid w:val="0009634D"/>
    <w:rsid w:val="00096502"/>
    <w:rsid w:val="000968E7"/>
    <w:rsid w:val="00097E3F"/>
    <w:rsid w:val="000A03EB"/>
    <w:rsid w:val="000A1249"/>
    <w:rsid w:val="000A2061"/>
    <w:rsid w:val="000A3061"/>
    <w:rsid w:val="000A35A2"/>
    <w:rsid w:val="000A4385"/>
    <w:rsid w:val="000A4780"/>
    <w:rsid w:val="000A49BB"/>
    <w:rsid w:val="000A563C"/>
    <w:rsid w:val="000A5670"/>
    <w:rsid w:val="000B0BBE"/>
    <w:rsid w:val="000B440E"/>
    <w:rsid w:val="000B5E28"/>
    <w:rsid w:val="000B68FA"/>
    <w:rsid w:val="000B6FA2"/>
    <w:rsid w:val="000C3441"/>
    <w:rsid w:val="000C5735"/>
    <w:rsid w:val="000C63AD"/>
    <w:rsid w:val="000C6751"/>
    <w:rsid w:val="000C6B0C"/>
    <w:rsid w:val="000C6FED"/>
    <w:rsid w:val="000C7582"/>
    <w:rsid w:val="000C7F53"/>
    <w:rsid w:val="000D2215"/>
    <w:rsid w:val="000D2571"/>
    <w:rsid w:val="000D2F8E"/>
    <w:rsid w:val="000D6B9F"/>
    <w:rsid w:val="000E1324"/>
    <w:rsid w:val="000E1745"/>
    <w:rsid w:val="000E2ECD"/>
    <w:rsid w:val="000E33F2"/>
    <w:rsid w:val="000E3CC8"/>
    <w:rsid w:val="000E422D"/>
    <w:rsid w:val="000E4505"/>
    <w:rsid w:val="000E583E"/>
    <w:rsid w:val="000E6A8C"/>
    <w:rsid w:val="000E7397"/>
    <w:rsid w:val="000F196B"/>
    <w:rsid w:val="000F23B8"/>
    <w:rsid w:val="000F6866"/>
    <w:rsid w:val="000F72D2"/>
    <w:rsid w:val="000F7BF7"/>
    <w:rsid w:val="0010375F"/>
    <w:rsid w:val="00105361"/>
    <w:rsid w:val="001061BF"/>
    <w:rsid w:val="001101F8"/>
    <w:rsid w:val="00110EF1"/>
    <w:rsid w:val="00110F46"/>
    <w:rsid w:val="00111995"/>
    <w:rsid w:val="00111C0F"/>
    <w:rsid w:val="0011206F"/>
    <w:rsid w:val="00115815"/>
    <w:rsid w:val="0011656A"/>
    <w:rsid w:val="00119C1E"/>
    <w:rsid w:val="00120E2F"/>
    <w:rsid w:val="001218D7"/>
    <w:rsid w:val="0012220C"/>
    <w:rsid w:val="00122D26"/>
    <w:rsid w:val="00124406"/>
    <w:rsid w:val="0012470C"/>
    <w:rsid w:val="00125900"/>
    <w:rsid w:val="001269F0"/>
    <w:rsid w:val="00126A26"/>
    <w:rsid w:val="00130B69"/>
    <w:rsid w:val="00131F37"/>
    <w:rsid w:val="001340B1"/>
    <w:rsid w:val="00134E8C"/>
    <w:rsid w:val="00136EA3"/>
    <w:rsid w:val="00137575"/>
    <w:rsid w:val="00137CE2"/>
    <w:rsid w:val="00140323"/>
    <w:rsid w:val="00144231"/>
    <w:rsid w:val="00145470"/>
    <w:rsid w:val="0014781D"/>
    <w:rsid w:val="00150434"/>
    <w:rsid w:val="0015344E"/>
    <w:rsid w:val="001554E5"/>
    <w:rsid w:val="00155721"/>
    <w:rsid w:val="00156E29"/>
    <w:rsid w:val="001579E5"/>
    <w:rsid w:val="001624C8"/>
    <w:rsid w:val="00163B91"/>
    <w:rsid w:val="0016503F"/>
    <w:rsid w:val="0016580B"/>
    <w:rsid w:val="0016674F"/>
    <w:rsid w:val="00167CA0"/>
    <w:rsid w:val="00170025"/>
    <w:rsid w:val="0017120D"/>
    <w:rsid w:val="001714F6"/>
    <w:rsid w:val="001722D2"/>
    <w:rsid w:val="00176168"/>
    <w:rsid w:val="00176DF9"/>
    <w:rsid w:val="00177158"/>
    <w:rsid w:val="001801C6"/>
    <w:rsid w:val="00182D53"/>
    <w:rsid w:val="00183606"/>
    <w:rsid w:val="00184FD4"/>
    <w:rsid w:val="00186B04"/>
    <w:rsid w:val="00186F1E"/>
    <w:rsid w:val="001902FB"/>
    <w:rsid w:val="00190836"/>
    <w:rsid w:val="00190B4F"/>
    <w:rsid w:val="001928B6"/>
    <w:rsid w:val="00193930"/>
    <w:rsid w:val="00194B36"/>
    <w:rsid w:val="00195445"/>
    <w:rsid w:val="001963A5"/>
    <w:rsid w:val="00196A9C"/>
    <w:rsid w:val="00196F1E"/>
    <w:rsid w:val="00197FCA"/>
    <w:rsid w:val="001A1B82"/>
    <w:rsid w:val="001A27DB"/>
    <w:rsid w:val="001A3515"/>
    <w:rsid w:val="001A424A"/>
    <w:rsid w:val="001A4E05"/>
    <w:rsid w:val="001A6852"/>
    <w:rsid w:val="001A6BCC"/>
    <w:rsid w:val="001A7C15"/>
    <w:rsid w:val="001B02A8"/>
    <w:rsid w:val="001B07F6"/>
    <w:rsid w:val="001B18ED"/>
    <w:rsid w:val="001B1BFE"/>
    <w:rsid w:val="001B286A"/>
    <w:rsid w:val="001B290E"/>
    <w:rsid w:val="001B2D02"/>
    <w:rsid w:val="001B3647"/>
    <w:rsid w:val="001B3669"/>
    <w:rsid w:val="001B77FA"/>
    <w:rsid w:val="001C0ABE"/>
    <w:rsid w:val="001C0D14"/>
    <w:rsid w:val="001C2F6C"/>
    <w:rsid w:val="001C5852"/>
    <w:rsid w:val="001C79FB"/>
    <w:rsid w:val="001C7B6D"/>
    <w:rsid w:val="001D20F5"/>
    <w:rsid w:val="001D2F37"/>
    <w:rsid w:val="001D45F0"/>
    <w:rsid w:val="001D5219"/>
    <w:rsid w:val="001D5CFB"/>
    <w:rsid w:val="001D61FC"/>
    <w:rsid w:val="001D65CB"/>
    <w:rsid w:val="001D6CF7"/>
    <w:rsid w:val="001D6F62"/>
    <w:rsid w:val="001E00D1"/>
    <w:rsid w:val="001E030E"/>
    <w:rsid w:val="001E0E7D"/>
    <w:rsid w:val="001E1299"/>
    <w:rsid w:val="001E1335"/>
    <w:rsid w:val="001E164D"/>
    <w:rsid w:val="001E4A33"/>
    <w:rsid w:val="001E4FDB"/>
    <w:rsid w:val="001E5500"/>
    <w:rsid w:val="001E5C27"/>
    <w:rsid w:val="001E62DC"/>
    <w:rsid w:val="001E6CAF"/>
    <w:rsid w:val="001F0208"/>
    <w:rsid w:val="001F0EEB"/>
    <w:rsid w:val="001F0EFA"/>
    <w:rsid w:val="001F110E"/>
    <w:rsid w:val="001F2A2F"/>
    <w:rsid w:val="001F2BEB"/>
    <w:rsid w:val="001F54C6"/>
    <w:rsid w:val="001F602B"/>
    <w:rsid w:val="001F6AC8"/>
    <w:rsid w:val="001F6C50"/>
    <w:rsid w:val="00200430"/>
    <w:rsid w:val="00201667"/>
    <w:rsid w:val="00201AAE"/>
    <w:rsid w:val="002037D5"/>
    <w:rsid w:val="00206F90"/>
    <w:rsid w:val="002071DF"/>
    <w:rsid w:val="00207500"/>
    <w:rsid w:val="002110FD"/>
    <w:rsid w:val="00211CFB"/>
    <w:rsid w:val="002124D1"/>
    <w:rsid w:val="00212B03"/>
    <w:rsid w:val="002137CF"/>
    <w:rsid w:val="00213835"/>
    <w:rsid w:val="00214410"/>
    <w:rsid w:val="00215C10"/>
    <w:rsid w:val="00215C2D"/>
    <w:rsid w:val="00220597"/>
    <w:rsid w:val="00223548"/>
    <w:rsid w:val="002242EB"/>
    <w:rsid w:val="00224AF6"/>
    <w:rsid w:val="002252C4"/>
    <w:rsid w:val="0022541A"/>
    <w:rsid w:val="00227C9E"/>
    <w:rsid w:val="00231270"/>
    <w:rsid w:val="0023140A"/>
    <w:rsid w:val="0023183E"/>
    <w:rsid w:val="00232B04"/>
    <w:rsid w:val="00233227"/>
    <w:rsid w:val="00234324"/>
    <w:rsid w:val="00235138"/>
    <w:rsid w:val="00235F05"/>
    <w:rsid w:val="002402BD"/>
    <w:rsid w:val="00241757"/>
    <w:rsid w:val="00242BD3"/>
    <w:rsid w:val="002434ED"/>
    <w:rsid w:val="00243E36"/>
    <w:rsid w:val="00244393"/>
    <w:rsid w:val="0024540B"/>
    <w:rsid w:val="00245EF4"/>
    <w:rsid w:val="002471B1"/>
    <w:rsid w:val="00250E11"/>
    <w:rsid w:val="00251383"/>
    <w:rsid w:val="00251C78"/>
    <w:rsid w:val="00251D5B"/>
    <w:rsid w:val="00251D61"/>
    <w:rsid w:val="002522C9"/>
    <w:rsid w:val="00252672"/>
    <w:rsid w:val="00252A21"/>
    <w:rsid w:val="00253E4F"/>
    <w:rsid w:val="002542E4"/>
    <w:rsid w:val="00255A99"/>
    <w:rsid w:val="00257E7F"/>
    <w:rsid w:val="002603E0"/>
    <w:rsid w:val="002606E6"/>
    <w:rsid w:val="00260820"/>
    <w:rsid w:val="00261030"/>
    <w:rsid w:val="00261053"/>
    <w:rsid w:val="00261D3B"/>
    <w:rsid w:val="0026220E"/>
    <w:rsid w:val="00262AB8"/>
    <w:rsid w:val="00262FDE"/>
    <w:rsid w:val="00263629"/>
    <w:rsid w:val="002641D0"/>
    <w:rsid w:val="00264996"/>
    <w:rsid w:val="00272146"/>
    <w:rsid w:val="00275088"/>
    <w:rsid w:val="002769BD"/>
    <w:rsid w:val="002809EA"/>
    <w:rsid w:val="00280BE8"/>
    <w:rsid w:val="00281A77"/>
    <w:rsid w:val="00282BF2"/>
    <w:rsid w:val="0028367F"/>
    <w:rsid w:val="00284962"/>
    <w:rsid w:val="00287386"/>
    <w:rsid w:val="00287B0E"/>
    <w:rsid w:val="002908C7"/>
    <w:rsid w:val="0029169A"/>
    <w:rsid w:val="0029384C"/>
    <w:rsid w:val="00294474"/>
    <w:rsid w:val="0029549C"/>
    <w:rsid w:val="002954B9"/>
    <w:rsid w:val="0029659A"/>
    <w:rsid w:val="002977EC"/>
    <w:rsid w:val="002A04D7"/>
    <w:rsid w:val="002A0B53"/>
    <w:rsid w:val="002A0C9A"/>
    <w:rsid w:val="002A0EEF"/>
    <w:rsid w:val="002A1C08"/>
    <w:rsid w:val="002A5E45"/>
    <w:rsid w:val="002A62C7"/>
    <w:rsid w:val="002B0323"/>
    <w:rsid w:val="002B2316"/>
    <w:rsid w:val="002B2806"/>
    <w:rsid w:val="002B2DF7"/>
    <w:rsid w:val="002B3E42"/>
    <w:rsid w:val="002B428F"/>
    <w:rsid w:val="002B4DEA"/>
    <w:rsid w:val="002B4E3C"/>
    <w:rsid w:val="002B52A8"/>
    <w:rsid w:val="002B54AF"/>
    <w:rsid w:val="002B578D"/>
    <w:rsid w:val="002C0007"/>
    <w:rsid w:val="002C008C"/>
    <w:rsid w:val="002C0193"/>
    <w:rsid w:val="002C01B5"/>
    <w:rsid w:val="002C0E0E"/>
    <w:rsid w:val="002C1D46"/>
    <w:rsid w:val="002C2A0D"/>
    <w:rsid w:val="002C3BF4"/>
    <w:rsid w:val="002C6BAF"/>
    <w:rsid w:val="002C749F"/>
    <w:rsid w:val="002D042C"/>
    <w:rsid w:val="002D2DD4"/>
    <w:rsid w:val="002D3322"/>
    <w:rsid w:val="002D4640"/>
    <w:rsid w:val="002E1BC5"/>
    <w:rsid w:val="002E5AE1"/>
    <w:rsid w:val="002F059B"/>
    <w:rsid w:val="002F0B1A"/>
    <w:rsid w:val="002F12D7"/>
    <w:rsid w:val="002F20FC"/>
    <w:rsid w:val="002F24B2"/>
    <w:rsid w:val="002F2ED5"/>
    <w:rsid w:val="002F5494"/>
    <w:rsid w:val="002F5B0B"/>
    <w:rsid w:val="002F6BA5"/>
    <w:rsid w:val="002F6DBC"/>
    <w:rsid w:val="00300924"/>
    <w:rsid w:val="0030184B"/>
    <w:rsid w:val="00304531"/>
    <w:rsid w:val="00305777"/>
    <w:rsid w:val="0030596E"/>
    <w:rsid w:val="003073C3"/>
    <w:rsid w:val="0031054C"/>
    <w:rsid w:val="003106D7"/>
    <w:rsid w:val="003130EB"/>
    <w:rsid w:val="0031443C"/>
    <w:rsid w:val="00317073"/>
    <w:rsid w:val="00317508"/>
    <w:rsid w:val="00322F86"/>
    <w:rsid w:val="00323637"/>
    <w:rsid w:val="00324E8A"/>
    <w:rsid w:val="00327068"/>
    <w:rsid w:val="00331D87"/>
    <w:rsid w:val="00332850"/>
    <w:rsid w:val="003328A0"/>
    <w:rsid w:val="00333F84"/>
    <w:rsid w:val="00334478"/>
    <w:rsid w:val="003346B4"/>
    <w:rsid w:val="00334AE6"/>
    <w:rsid w:val="003365D0"/>
    <w:rsid w:val="00336CCE"/>
    <w:rsid w:val="003372AB"/>
    <w:rsid w:val="0033771A"/>
    <w:rsid w:val="00337A4E"/>
    <w:rsid w:val="00342151"/>
    <w:rsid w:val="00342631"/>
    <w:rsid w:val="003434F5"/>
    <w:rsid w:val="003439AB"/>
    <w:rsid w:val="0034504B"/>
    <w:rsid w:val="0034525B"/>
    <w:rsid w:val="003453E4"/>
    <w:rsid w:val="003475C5"/>
    <w:rsid w:val="00350B50"/>
    <w:rsid w:val="003515C9"/>
    <w:rsid w:val="00352373"/>
    <w:rsid w:val="00354695"/>
    <w:rsid w:val="003548DC"/>
    <w:rsid w:val="0035493C"/>
    <w:rsid w:val="0035549B"/>
    <w:rsid w:val="00355563"/>
    <w:rsid w:val="00356B29"/>
    <w:rsid w:val="003613F8"/>
    <w:rsid w:val="003619D0"/>
    <w:rsid w:val="00362243"/>
    <w:rsid w:val="00362700"/>
    <w:rsid w:val="00363FB1"/>
    <w:rsid w:val="003676AD"/>
    <w:rsid w:val="00372298"/>
    <w:rsid w:val="003755C8"/>
    <w:rsid w:val="00375687"/>
    <w:rsid w:val="00375B09"/>
    <w:rsid w:val="00375C20"/>
    <w:rsid w:val="00376B7A"/>
    <w:rsid w:val="003778A5"/>
    <w:rsid w:val="003805FF"/>
    <w:rsid w:val="00380AE0"/>
    <w:rsid w:val="00380EF1"/>
    <w:rsid w:val="00383324"/>
    <w:rsid w:val="00384FD5"/>
    <w:rsid w:val="00385B6A"/>
    <w:rsid w:val="003864A3"/>
    <w:rsid w:val="00387357"/>
    <w:rsid w:val="00387A75"/>
    <w:rsid w:val="00387D48"/>
    <w:rsid w:val="0039024F"/>
    <w:rsid w:val="003904FD"/>
    <w:rsid w:val="0039121C"/>
    <w:rsid w:val="0039246C"/>
    <w:rsid w:val="00394254"/>
    <w:rsid w:val="0039465F"/>
    <w:rsid w:val="00395A91"/>
    <w:rsid w:val="00397302"/>
    <w:rsid w:val="003A0009"/>
    <w:rsid w:val="003A326E"/>
    <w:rsid w:val="003A61EA"/>
    <w:rsid w:val="003A7F77"/>
    <w:rsid w:val="003B180D"/>
    <w:rsid w:val="003B48B3"/>
    <w:rsid w:val="003B7A40"/>
    <w:rsid w:val="003C1932"/>
    <w:rsid w:val="003C2BFB"/>
    <w:rsid w:val="003C3440"/>
    <w:rsid w:val="003C3D66"/>
    <w:rsid w:val="003C3E2D"/>
    <w:rsid w:val="003C436B"/>
    <w:rsid w:val="003C4444"/>
    <w:rsid w:val="003C51B7"/>
    <w:rsid w:val="003C5337"/>
    <w:rsid w:val="003C5F92"/>
    <w:rsid w:val="003C7FD8"/>
    <w:rsid w:val="003D0F03"/>
    <w:rsid w:val="003D329F"/>
    <w:rsid w:val="003D3B8E"/>
    <w:rsid w:val="003D41A2"/>
    <w:rsid w:val="003D4BEB"/>
    <w:rsid w:val="003D4C7B"/>
    <w:rsid w:val="003D4DD5"/>
    <w:rsid w:val="003D4DE4"/>
    <w:rsid w:val="003D7A8C"/>
    <w:rsid w:val="003D7C00"/>
    <w:rsid w:val="003E0DF0"/>
    <w:rsid w:val="003E0EB4"/>
    <w:rsid w:val="003E3382"/>
    <w:rsid w:val="003E423D"/>
    <w:rsid w:val="003E4746"/>
    <w:rsid w:val="003E56E5"/>
    <w:rsid w:val="003E5F64"/>
    <w:rsid w:val="003E6508"/>
    <w:rsid w:val="003E7051"/>
    <w:rsid w:val="003E7237"/>
    <w:rsid w:val="003E7E60"/>
    <w:rsid w:val="003F00D4"/>
    <w:rsid w:val="003F0592"/>
    <w:rsid w:val="003F0EDF"/>
    <w:rsid w:val="003F2209"/>
    <w:rsid w:val="003F3D39"/>
    <w:rsid w:val="003F4AA9"/>
    <w:rsid w:val="003F646A"/>
    <w:rsid w:val="003F6761"/>
    <w:rsid w:val="003F6A0A"/>
    <w:rsid w:val="004024F5"/>
    <w:rsid w:val="00402C93"/>
    <w:rsid w:val="00402DE1"/>
    <w:rsid w:val="00403D8B"/>
    <w:rsid w:val="004046A2"/>
    <w:rsid w:val="004058F1"/>
    <w:rsid w:val="00407E7D"/>
    <w:rsid w:val="0041076A"/>
    <w:rsid w:val="00412683"/>
    <w:rsid w:val="0041283D"/>
    <w:rsid w:val="004129F8"/>
    <w:rsid w:val="00413AB4"/>
    <w:rsid w:val="00415809"/>
    <w:rsid w:val="00415EBC"/>
    <w:rsid w:val="004162DF"/>
    <w:rsid w:val="00416328"/>
    <w:rsid w:val="0041769D"/>
    <w:rsid w:val="0042037B"/>
    <w:rsid w:val="00421373"/>
    <w:rsid w:val="00421FB7"/>
    <w:rsid w:val="0042275B"/>
    <w:rsid w:val="0042763B"/>
    <w:rsid w:val="00427D1C"/>
    <w:rsid w:val="0043024C"/>
    <w:rsid w:val="00431A0D"/>
    <w:rsid w:val="004321C9"/>
    <w:rsid w:val="00432711"/>
    <w:rsid w:val="004334B3"/>
    <w:rsid w:val="00433FEC"/>
    <w:rsid w:val="004359DD"/>
    <w:rsid w:val="00436706"/>
    <w:rsid w:val="004367EC"/>
    <w:rsid w:val="0043724B"/>
    <w:rsid w:val="00441224"/>
    <w:rsid w:val="004427B0"/>
    <w:rsid w:val="00443D38"/>
    <w:rsid w:val="00444114"/>
    <w:rsid w:val="004451BE"/>
    <w:rsid w:val="00446CEC"/>
    <w:rsid w:val="00446F25"/>
    <w:rsid w:val="00447D5F"/>
    <w:rsid w:val="00447E16"/>
    <w:rsid w:val="00450E7A"/>
    <w:rsid w:val="0045183D"/>
    <w:rsid w:val="00451E8B"/>
    <w:rsid w:val="00453111"/>
    <w:rsid w:val="00455377"/>
    <w:rsid w:val="00456453"/>
    <w:rsid w:val="00456AF8"/>
    <w:rsid w:val="0045766E"/>
    <w:rsid w:val="00460DA4"/>
    <w:rsid w:val="00464D98"/>
    <w:rsid w:val="00464EC3"/>
    <w:rsid w:val="00465FCC"/>
    <w:rsid w:val="00470B15"/>
    <w:rsid w:val="00472B91"/>
    <w:rsid w:val="00472BCC"/>
    <w:rsid w:val="004735BF"/>
    <w:rsid w:val="00474D4D"/>
    <w:rsid w:val="004755BE"/>
    <w:rsid w:val="00475869"/>
    <w:rsid w:val="00475A77"/>
    <w:rsid w:val="004765AC"/>
    <w:rsid w:val="00476873"/>
    <w:rsid w:val="004776A8"/>
    <w:rsid w:val="00477EF1"/>
    <w:rsid w:val="004801EB"/>
    <w:rsid w:val="00482DBF"/>
    <w:rsid w:val="00482DDC"/>
    <w:rsid w:val="00483E6C"/>
    <w:rsid w:val="00484421"/>
    <w:rsid w:val="00485129"/>
    <w:rsid w:val="00485A09"/>
    <w:rsid w:val="00486080"/>
    <w:rsid w:val="004866A9"/>
    <w:rsid w:val="0048687E"/>
    <w:rsid w:val="00490FB8"/>
    <w:rsid w:val="00492702"/>
    <w:rsid w:val="00492774"/>
    <w:rsid w:val="00496D7A"/>
    <w:rsid w:val="00496F2B"/>
    <w:rsid w:val="00497943"/>
    <w:rsid w:val="004A2418"/>
    <w:rsid w:val="004A31BC"/>
    <w:rsid w:val="004A3F1A"/>
    <w:rsid w:val="004A3F45"/>
    <w:rsid w:val="004A5586"/>
    <w:rsid w:val="004A6E41"/>
    <w:rsid w:val="004B01FF"/>
    <w:rsid w:val="004B05E0"/>
    <w:rsid w:val="004B1AFA"/>
    <w:rsid w:val="004B1D73"/>
    <w:rsid w:val="004B2DEB"/>
    <w:rsid w:val="004B6047"/>
    <w:rsid w:val="004B61AA"/>
    <w:rsid w:val="004B6A4B"/>
    <w:rsid w:val="004B7088"/>
    <w:rsid w:val="004B7346"/>
    <w:rsid w:val="004C1094"/>
    <w:rsid w:val="004C1E95"/>
    <w:rsid w:val="004C215A"/>
    <w:rsid w:val="004C326B"/>
    <w:rsid w:val="004C3BAB"/>
    <w:rsid w:val="004C553A"/>
    <w:rsid w:val="004C5B76"/>
    <w:rsid w:val="004C5F5A"/>
    <w:rsid w:val="004C6EC9"/>
    <w:rsid w:val="004C7624"/>
    <w:rsid w:val="004D02CD"/>
    <w:rsid w:val="004D0A37"/>
    <w:rsid w:val="004D0B24"/>
    <w:rsid w:val="004D2283"/>
    <w:rsid w:val="004D24A2"/>
    <w:rsid w:val="004D3171"/>
    <w:rsid w:val="004D3735"/>
    <w:rsid w:val="004D4B90"/>
    <w:rsid w:val="004D56A4"/>
    <w:rsid w:val="004D6B95"/>
    <w:rsid w:val="004D7F41"/>
    <w:rsid w:val="004E03A2"/>
    <w:rsid w:val="004E205F"/>
    <w:rsid w:val="004E2765"/>
    <w:rsid w:val="004E317E"/>
    <w:rsid w:val="004E3954"/>
    <w:rsid w:val="004E406B"/>
    <w:rsid w:val="004E5856"/>
    <w:rsid w:val="004F2330"/>
    <w:rsid w:val="004F2A1E"/>
    <w:rsid w:val="004F3A82"/>
    <w:rsid w:val="004F53C6"/>
    <w:rsid w:val="004F619E"/>
    <w:rsid w:val="004F69DB"/>
    <w:rsid w:val="004F6B87"/>
    <w:rsid w:val="004F7810"/>
    <w:rsid w:val="005006DE"/>
    <w:rsid w:val="00501C2D"/>
    <w:rsid w:val="00501C8A"/>
    <w:rsid w:val="00501EA3"/>
    <w:rsid w:val="0050227E"/>
    <w:rsid w:val="00502637"/>
    <w:rsid w:val="00502824"/>
    <w:rsid w:val="00505B82"/>
    <w:rsid w:val="005078DF"/>
    <w:rsid w:val="00507EE9"/>
    <w:rsid w:val="00511018"/>
    <w:rsid w:val="00511140"/>
    <w:rsid w:val="00511F86"/>
    <w:rsid w:val="00513CFE"/>
    <w:rsid w:val="00513E2F"/>
    <w:rsid w:val="00515EEA"/>
    <w:rsid w:val="00516EDB"/>
    <w:rsid w:val="00517B75"/>
    <w:rsid w:val="0052260A"/>
    <w:rsid w:val="0052384A"/>
    <w:rsid w:val="00523B6A"/>
    <w:rsid w:val="00523F2C"/>
    <w:rsid w:val="0052447E"/>
    <w:rsid w:val="005247F4"/>
    <w:rsid w:val="00525111"/>
    <w:rsid w:val="00525F6C"/>
    <w:rsid w:val="005264D9"/>
    <w:rsid w:val="00530F3B"/>
    <w:rsid w:val="005319D8"/>
    <w:rsid w:val="00531EE1"/>
    <w:rsid w:val="005323D4"/>
    <w:rsid w:val="00534DFC"/>
    <w:rsid w:val="0054283E"/>
    <w:rsid w:val="00542BBF"/>
    <w:rsid w:val="005439A3"/>
    <w:rsid w:val="00543F86"/>
    <w:rsid w:val="005440B0"/>
    <w:rsid w:val="00546AB4"/>
    <w:rsid w:val="00546FD4"/>
    <w:rsid w:val="0054750C"/>
    <w:rsid w:val="005514E5"/>
    <w:rsid w:val="00552C2A"/>
    <w:rsid w:val="00552F7D"/>
    <w:rsid w:val="00553500"/>
    <w:rsid w:val="00553529"/>
    <w:rsid w:val="00553D06"/>
    <w:rsid w:val="005560E9"/>
    <w:rsid w:val="00563C84"/>
    <w:rsid w:val="00564741"/>
    <w:rsid w:val="00567AF3"/>
    <w:rsid w:val="005724C4"/>
    <w:rsid w:val="00573345"/>
    <w:rsid w:val="00574069"/>
    <w:rsid w:val="00574398"/>
    <w:rsid w:val="00575E64"/>
    <w:rsid w:val="005762F6"/>
    <w:rsid w:val="00577817"/>
    <w:rsid w:val="005825A4"/>
    <w:rsid w:val="005841F1"/>
    <w:rsid w:val="00584A61"/>
    <w:rsid w:val="00584FBE"/>
    <w:rsid w:val="00585483"/>
    <w:rsid w:val="00586EE5"/>
    <w:rsid w:val="00587378"/>
    <w:rsid w:val="00587C05"/>
    <w:rsid w:val="00587E19"/>
    <w:rsid w:val="00590A5D"/>
    <w:rsid w:val="00590AAB"/>
    <w:rsid w:val="0059116F"/>
    <w:rsid w:val="005938C3"/>
    <w:rsid w:val="00594608"/>
    <w:rsid w:val="0059468C"/>
    <w:rsid w:val="00595125"/>
    <w:rsid w:val="005957EA"/>
    <w:rsid w:val="00596F21"/>
    <w:rsid w:val="005A332B"/>
    <w:rsid w:val="005A3A95"/>
    <w:rsid w:val="005A4A2C"/>
    <w:rsid w:val="005A4EF2"/>
    <w:rsid w:val="005A7B8E"/>
    <w:rsid w:val="005A7BDF"/>
    <w:rsid w:val="005B1CDD"/>
    <w:rsid w:val="005B1E19"/>
    <w:rsid w:val="005B55FC"/>
    <w:rsid w:val="005B6456"/>
    <w:rsid w:val="005B6661"/>
    <w:rsid w:val="005C2D5E"/>
    <w:rsid w:val="005C3B81"/>
    <w:rsid w:val="005C650C"/>
    <w:rsid w:val="005C7E97"/>
    <w:rsid w:val="005D05A0"/>
    <w:rsid w:val="005D086C"/>
    <w:rsid w:val="005D11D3"/>
    <w:rsid w:val="005D2DA9"/>
    <w:rsid w:val="005D4E1F"/>
    <w:rsid w:val="005D4FB3"/>
    <w:rsid w:val="005D5426"/>
    <w:rsid w:val="005D6E9F"/>
    <w:rsid w:val="005E0B58"/>
    <w:rsid w:val="005E1D7C"/>
    <w:rsid w:val="005E2F07"/>
    <w:rsid w:val="005E2FEA"/>
    <w:rsid w:val="005E3C72"/>
    <w:rsid w:val="005E47A3"/>
    <w:rsid w:val="005E536E"/>
    <w:rsid w:val="005E5C0E"/>
    <w:rsid w:val="005F07BA"/>
    <w:rsid w:val="005F2E00"/>
    <w:rsid w:val="005F314B"/>
    <w:rsid w:val="005F4199"/>
    <w:rsid w:val="005F5039"/>
    <w:rsid w:val="005F5780"/>
    <w:rsid w:val="005F7033"/>
    <w:rsid w:val="005F722D"/>
    <w:rsid w:val="0060084C"/>
    <w:rsid w:val="00601ECD"/>
    <w:rsid w:val="00605FB5"/>
    <w:rsid w:val="006070A4"/>
    <w:rsid w:val="00611AF2"/>
    <w:rsid w:val="0061212B"/>
    <w:rsid w:val="006127AF"/>
    <w:rsid w:val="0061311D"/>
    <w:rsid w:val="00614202"/>
    <w:rsid w:val="006145AB"/>
    <w:rsid w:val="00615D12"/>
    <w:rsid w:val="00615FB2"/>
    <w:rsid w:val="006170C7"/>
    <w:rsid w:val="00617BD1"/>
    <w:rsid w:val="00617C73"/>
    <w:rsid w:val="00617CE8"/>
    <w:rsid w:val="0062145D"/>
    <w:rsid w:val="006260F8"/>
    <w:rsid w:val="006274BD"/>
    <w:rsid w:val="006278A0"/>
    <w:rsid w:val="0063095F"/>
    <w:rsid w:val="006328E2"/>
    <w:rsid w:val="006338B0"/>
    <w:rsid w:val="006346DF"/>
    <w:rsid w:val="00640E0F"/>
    <w:rsid w:val="00640EC5"/>
    <w:rsid w:val="00642D36"/>
    <w:rsid w:val="00644E36"/>
    <w:rsid w:val="00646AC2"/>
    <w:rsid w:val="00650390"/>
    <w:rsid w:val="00651080"/>
    <w:rsid w:val="00652612"/>
    <w:rsid w:val="00653551"/>
    <w:rsid w:val="006548D3"/>
    <w:rsid w:val="00654DAB"/>
    <w:rsid w:val="0065591F"/>
    <w:rsid w:val="006575C2"/>
    <w:rsid w:val="00657A10"/>
    <w:rsid w:val="00661EAE"/>
    <w:rsid w:val="0066204A"/>
    <w:rsid w:val="006679F1"/>
    <w:rsid w:val="00670E3C"/>
    <w:rsid w:val="00670F47"/>
    <w:rsid w:val="006753F9"/>
    <w:rsid w:val="00675ED3"/>
    <w:rsid w:val="00677022"/>
    <w:rsid w:val="00677092"/>
    <w:rsid w:val="006770E6"/>
    <w:rsid w:val="00677F57"/>
    <w:rsid w:val="0068002B"/>
    <w:rsid w:val="00680FC5"/>
    <w:rsid w:val="00681088"/>
    <w:rsid w:val="00682DDD"/>
    <w:rsid w:val="00683278"/>
    <w:rsid w:val="006843BA"/>
    <w:rsid w:val="00684D58"/>
    <w:rsid w:val="00686D68"/>
    <w:rsid w:val="00687F17"/>
    <w:rsid w:val="00690765"/>
    <w:rsid w:val="00691264"/>
    <w:rsid w:val="00691BD0"/>
    <w:rsid w:val="0069272A"/>
    <w:rsid w:val="00692E7B"/>
    <w:rsid w:val="00693A57"/>
    <w:rsid w:val="00693A90"/>
    <w:rsid w:val="0069577E"/>
    <w:rsid w:val="0069634B"/>
    <w:rsid w:val="00696623"/>
    <w:rsid w:val="006979DF"/>
    <w:rsid w:val="006A02FB"/>
    <w:rsid w:val="006A04E9"/>
    <w:rsid w:val="006A1029"/>
    <w:rsid w:val="006A268F"/>
    <w:rsid w:val="006A2D1A"/>
    <w:rsid w:val="006A3BFD"/>
    <w:rsid w:val="006A4A03"/>
    <w:rsid w:val="006A531E"/>
    <w:rsid w:val="006A55DB"/>
    <w:rsid w:val="006A585F"/>
    <w:rsid w:val="006A5A84"/>
    <w:rsid w:val="006A5B9F"/>
    <w:rsid w:val="006A72FA"/>
    <w:rsid w:val="006A7543"/>
    <w:rsid w:val="006A7F63"/>
    <w:rsid w:val="006B27FB"/>
    <w:rsid w:val="006B3243"/>
    <w:rsid w:val="006B57CC"/>
    <w:rsid w:val="006B6EDE"/>
    <w:rsid w:val="006B725C"/>
    <w:rsid w:val="006B7C7E"/>
    <w:rsid w:val="006C09CD"/>
    <w:rsid w:val="006C1B18"/>
    <w:rsid w:val="006C273D"/>
    <w:rsid w:val="006C5C4F"/>
    <w:rsid w:val="006C6282"/>
    <w:rsid w:val="006C668F"/>
    <w:rsid w:val="006C762A"/>
    <w:rsid w:val="006D04F2"/>
    <w:rsid w:val="006D0CE0"/>
    <w:rsid w:val="006D10CD"/>
    <w:rsid w:val="006D2C0C"/>
    <w:rsid w:val="006D42F5"/>
    <w:rsid w:val="006D52E0"/>
    <w:rsid w:val="006D5FF9"/>
    <w:rsid w:val="006D6E1C"/>
    <w:rsid w:val="006E0772"/>
    <w:rsid w:val="006E0F86"/>
    <w:rsid w:val="006E2139"/>
    <w:rsid w:val="006E2E00"/>
    <w:rsid w:val="006E6DD7"/>
    <w:rsid w:val="006F0B15"/>
    <w:rsid w:val="006F0DCC"/>
    <w:rsid w:val="006F25F3"/>
    <w:rsid w:val="0070023B"/>
    <w:rsid w:val="00703DF9"/>
    <w:rsid w:val="007048EB"/>
    <w:rsid w:val="00704FBB"/>
    <w:rsid w:val="0070726A"/>
    <w:rsid w:val="0070729B"/>
    <w:rsid w:val="00710294"/>
    <w:rsid w:val="00710555"/>
    <w:rsid w:val="00711094"/>
    <w:rsid w:val="007121BC"/>
    <w:rsid w:val="0071226B"/>
    <w:rsid w:val="00712F1F"/>
    <w:rsid w:val="0071514D"/>
    <w:rsid w:val="00716886"/>
    <w:rsid w:val="00717040"/>
    <w:rsid w:val="00717184"/>
    <w:rsid w:val="00717D86"/>
    <w:rsid w:val="00720EB9"/>
    <w:rsid w:val="0072102D"/>
    <w:rsid w:val="0072363B"/>
    <w:rsid w:val="00723A42"/>
    <w:rsid w:val="0072447F"/>
    <w:rsid w:val="007244B5"/>
    <w:rsid w:val="007257EF"/>
    <w:rsid w:val="00727F63"/>
    <w:rsid w:val="0073006C"/>
    <w:rsid w:val="0073049F"/>
    <w:rsid w:val="007304EE"/>
    <w:rsid w:val="0073229D"/>
    <w:rsid w:val="007339B7"/>
    <w:rsid w:val="0073405C"/>
    <w:rsid w:val="007402BF"/>
    <w:rsid w:val="00744187"/>
    <w:rsid w:val="00747808"/>
    <w:rsid w:val="00747F88"/>
    <w:rsid w:val="00750303"/>
    <w:rsid w:val="007523B2"/>
    <w:rsid w:val="00752EA6"/>
    <w:rsid w:val="00757C16"/>
    <w:rsid w:val="00766CC0"/>
    <w:rsid w:val="007673DD"/>
    <w:rsid w:val="00770934"/>
    <w:rsid w:val="00771373"/>
    <w:rsid w:val="00772539"/>
    <w:rsid w:val="00772720"/>
    <w:rsid w:val="00773F5E"/>
    <w:rsid w:val="007750A2"/>
    <w:rsid w:val="00775CDC"/>
    <w:rsid w:val="00776A2C"/>
    <w:rsid w:val="00780D51"/>
    <w:rsid w:val="00780D75"/>
    <w:rsid w:val="007817D6"/>
    <w:rsid w:val="00784101"/>
    <w:rsid w:val="0078715E"/>
    <w:rsid w:val="00787849"/>
    <w:rsid w:val="00787912"/>
    <w:rsid w:val="0079177A"/>
    <w:rsid w:val="00791CFA"/>
    <w:rsid w:val="007921BE"/>
    <w:rsid w:val="00792512"/>
    <w:rsid w:val="00792CE7"/>
    <w:rsid w:val="00793C1F"/>
    <w:rsid w:val="00794836"/>
    <w:rsid w:val="007948D5"/>
    <w:rsid w:val="007A15C9"/>
    <w:rsid w:val="007A21C5"/>
    <w:rsid w:val="007A3368"/>
    <w:rsid w:val="007A3DDC"/>
    <w:rsid w:val="007A5FB7"/>
    <w:rsid w:val="007A6676"/>
    <w:rsid w:val="007B376D"/>
    <w:rsid w:val="007B4AD5"/>
    <w:rsid w:val="007B5941"/>
    <w:rsid w:val="007B5B76"/>
    <w:rsid w:val="007B7FF5"/>
    <w:rsid w:val="007C0884"/>
    <w:rsid w:val="007C22D2"/>
    <w:rsid w:val="007C3FC6"/>
    <w:rsid w:val="007C4B9E"/>
    <w:rsid w:val="007C4EB2"/>
    <w:rsid w:val="007C7295"/>
    <w:rsid w:val="007D0320"/>
    <w:rsid w:val="007D24D8"/>
    <w:rsid w:val="007D2CE9"/>
    <w:rsid w:val="007D3E00"/>
    <w:rsid w:val="007D3F40"/>
    <w:rsid w:val="007D4951"/>
    <w:rsid w:val="007D4FED"/>
    <w:rsid w:val="007D5A4F"/>
    <w:rsid w:val="007D65AC"/>
    <w:rsid w:val="007D69DA"/>
    <w:rsid w:val="007D70B1"/>
    <w:rsid w:val="007D7140"/>
    <w:rsid w:val="007E1C73"/>
    <w:rsid w:val="007E1CDB"/>
    <w:rsid w:val="007E1DD8"/>
    <w:rsid w:val="007E20B3"/>
    <w:rsid w:val="007E3302"/>
    <w:rsid w:val="007E408C"/>
    <w:rsid w:val="007E42E7"/>
    <w:rsid w:val="007E479B"/>
    <w:rsid w:val="007E6A3D"/>
    <w:rsid w:val="007E7E21"/>
    <w:rsid w:val="007F003E"/>
    <w:rsid w:val="007F0460"/>
    <w:rsid w:val="007F0DA2"/>
    <w:rsid w:val="007F39CE"/>
    <w:rsid w:val="007F5E0D"/>
    <w:rsid w:val="007F6F3F"/>
    <w:rsid w:val="00800B86"/>
    <w:rsid w:val="00801085"/>
    <w:rsid w:val="008010FA"/>
    <w:rsid w:val="00801A89"/>
    <w:rsid w:val="00805038"/>
    <w:rsid w:val="00806516"/>
    <w:rsid w:val="00806643"/>
    <w:rsid w:val="00806FBF"/>
    <w:rsid w:val="00810366"/>
    <w:rsid w:val="008116A6"/>
    <w:rsid w:val="00812138"/>
    <w:rsid w:val="008151F2"/>
    <w:rsid w:val="008157AB"/>
    <w:rsid w:val="00815BAF"/>
    <w:rsid w:val="0081777A"/>
    <w:rsid w:val="008210CC"/>
    <w:rsid w:val="008210E0"/>
    <w:rsid w:val="008236C9"/>
    <w:rsid w:val="00823DB0"/>
    <w:rsid w:val="00823DF0"/>
    <w:rsid w:val="00824079"/>
    <w:rsid w:val="00826BE4"/>
    <w:rsid w:val="008272AF"/>
    <w:rsid w:val="008272F1"/>
    <w:rsid w:val="00827620"/>
    <w:rsid w:val="00827AAD"/>
    <w:rsid w:val="00831F0A"/>
    <w:rsid w:val="00833A78"/>
    <w:rsid w:val="00834576"/>
    <w:rsid w:val="008356E6"/>
    <w:rsid w:val="00837500"/>
    <w:rsid w:val="0084585F"/>
    <w:rsid w:val="008462B4"/>
    <w:rsid w:val="00846A62"/>
    <w:rsid w:val="0085047C"/>
    <w:rsid w:val="008514A9"/>
    <w:rsid w:val="00853E53"/>
    <w:rsid w:val="00855C5A"/>
    <w:rsid w:val="008602A7"/>
    <w:rsid w:val="008615FF"/>
    <w:rsid w:val="008620D2"/>
    <w:rsid w:val="00863E0A"/>
    <w:rsid w:val="008646F0"/>
    <w:rsid w:val="00864D76"/>
    <w:rsid w:val="00865159"/>
    <w:rsid w:val="008656C9"/>
    <w:rsid w:val="008656DA"/>
    <w:rsid w:val="00865CA6"/>
    <w:rsid w:val="008660D4"/>
    <w:rsid w:val="0086711C"/>
    <w:rsid w:val="00867535"/>
    <w:rsid w:val="00871925"/>
    <w:rsid w:val="00875041"/>
    <w:rsid w:val="008757BE"/>
    <w:rsid w:val="00875C5B"/>
    <w:rsid w:val="00876DF7"/>
    <w:rsid w:val="00877203"/>
    <w:rsid w:val="00882EB3"/>
    <w:rsid w:val="00883C5F"/>
    <w:rsid w:val="00884E78"/>
    <w:rsid w:val="00886086"/>
    <w:rsid w:val="00886462"/>
    <w:rsid w:val="008870CC"/>
    <w:rsid w:val="00890559"/>
    <w:rsid w:val="008919CF"/>
    <w:rsid w:val="00891C7D"/>
    <w:rsid w:val="00892091"/>
    <w:rsid w:val="00892FA7"/>
    <w:rsid w:val="00895AC4"/>
    <w:rsid w:val="00896B4D"/>
    <w:rsid w:val="00896F44"/>
    <w:rsid w:val="008971A7"/>
    <w:rsid w:val="008A3301"/>
    <w:rsid w:val="008A4DF1"/>
    <w:rsid w:val="008A5636"/>
    <w:rsid w:val="008A58B3"/>
    <w:rsid w:val="008A5FD9"/>
    <w:rsid w:val="008A7535"/>
    <w:rsid w:val="008B0BA0"/>
    <w:rsid w:val="008B125E"/>
    <w:rsid w:val="008B241C"/>
    <w:rsid w:val="008B3239"/>
    <w:rsid w:val="008B408B"/>
    <w:rsid w:val="008B4DA5"/>
    <w:rsid w:val="008B4F11"/>
    <w:rsid w:val="008B69CC"/>
    <w:rsid w:val="008C2362"/>
    <w:rsid w:val="008C3049"/>
    <w:rsid w:val="008C3B41"/>
    <w:rsid w:val="008C4C2C"/>
    <w:rsid w:val="008C4F09"/>
    <w:rsid w:val="008C6F2C"/>
    <w:rsid w:val="008C7780"/>
    <w:rsid w:val="008D232D"/>
    <w:rsid w:val="008D363B"/>
    <w:rsid w:val="008D4AE9"/>
    <w:rsid w:val="008D5B22"/>
    <w:rsid w:val="008D5CF3"/>
    <w:rsid w:val="008D5E21"/>
    <w:rsid w:val="008D62AF"/>
    <w:rsid w:val="008D7C13"/>
    <w:rsid w:val="008D7D39"/>
    <w:rsid w:val="008E01C4"/>
    <w:rsid w:val="008E3AA1"/>
    <w:rsid w:val="008E4574"/>
    <w:rsid w:val="008E5EEF"/>
    <w:rsid w:val="008F05EE"/>
    <w:rsid w:val="008F4016"/>
    <w:rsid w:val="008F42FE"/>
    <w:rsid w:val="008F4A00"/>
    <w:rsid w:val="008F5402"/>
    <w:rsid w:val="008F578D"/>
    <w:rsid w:val="008F64DB"/>
    <w:rsid w:val="0090053A"/>
    <w:rsid w:val="00900EB3"/>
    <w:rsid w:val="00901C2A"/>
    <w:rsid w:val="00902F72"/>
    <w:rsid w:val="009033DD"/>
    <w:rsid w:val="00904045"/>
    <w:rsid w:val="00904D49"/>
    <w:rsid w:val="009076F9"/>
    <w:rsid w:val="00910C2C"/>
    <w:rsid w:val="009118C7"/>
    <w:rsid w:val="00914AC4"/>
    <w:rsid w:val="00915D44"/>
    <w:rsid w:val="00915F5E"/>
    <w:rsid w:val="009201A0"/>
    <w:rsid w:val="009223A1"/>
    <w:rsid w:val="009225B6"/>
    <w:rsid w:val="00922730"/>
    <w:rsid w:val="00923C5C"/>
    <w:rsid w:val="009243A0"/>
    <w:rsid w:val="00925397"/>
    <w:rsid w:val="00925E56"/>
    <w:rsid w:val="009309AB"/>
    <w:rsid w:val="00931356"/>
    <w:rsid w:val="00933627"/>
    <w:rsid w:val="0093383D"/>
    <w:rsid w:val="00933A21"/>
    <w:rsid w:val="00934045"/>
    <w:rsid w:val="00934C10"/>
    <w:rsid w:val="0093662A"/>
    <w:rsid w:val="00937297"/>
    <w:rsid w:val="009375C3"/>
    <w:rsid w:val="00937766"/>
    <w:rsid w:val="00937EAA"/>
    <w:rsid w:val="00940345"/>
    <w:rsid w:val="0094060C"/>
    <w:rsid w:val="00940BBA"/>
    <w:rsid w:val="00944075"/>
    <w:rsid w:val="00944899"/>
    <w:rsid w:val="00947E32"/>
    <w:rsid w:val="00950205"/>
    <w:rsid w:val="0095035B"/>
    <w:rsid w:val="00950BE9"/>
    <w:rsid w:val="009529B9"/>
    <w:rsid w:val="009533AB"/>
    <w:rsid w:val="009545D9"/>
    <w:rsid w:val="00954E10"/>
    <w:rsid w:val="00955A4A"/>
    <w:rsid w:val="00955A7E"/>
    <w:rsid w:val="009606A5"/>
    <w:rsid w:val="00962B22"/>
    <w:rsid w:val="00962F1F"/>
    <w:rsid w:val="00963702"/>
    <w:rsid w:val="00965304"/>
    <w:rsid w:val="009656A8"/>
    <w:rsid w:val="00967C2C"/>
    <w:rsid w:val="0097125C"/>
    <w:rsid w:val="00971293"/>
    <w:rsid w:val="00972000"/>
    <w:rsid w:val="00972218"/>
    <w:rsid w:val="00973A3B"/>
    <w:rsid w:val="00973C8C"/>
    <w:rsid w:val="00974EB2"/>
    <w:rsid w:val="009768CC"/>
    <w:rsid w:val="009768E9"/>
    <w:rsid w:val="009805FB"/>
    <w:rsid w:val="009808AB"/>
    <w:rsid w:val="00980C6C"/>
    <w:rsid w:val="009817A3"/>
    <w:rsid w:val="00982532"/>
    <w:rsid w:val="00982B0B"/>
    <w:rsid w:val="00983A53"/>
    <w:rsid w:val="00983EAE"/>
    <w:rsid w:val="00984816"/>
    <w:rsid w:val="00985316"/>
    <w:rsid w:val="0098760B"/>
    <w:rsid w:val="00990468"/>
    <w:rsid w:val="00991EF7"/>
    <w:rsid w:val="0099406B"/>
    <w:rsid w:val="0099606F"/>
    <w:rsid w:val="009A11DD"/>
    <w:rsid w:val="009A206D"/>
    <w:rsid w:val="009A3911"/>
    <w:rsid w:val="009A46F8"/>
    <w:rsid w:val="009A5091"/>
    <w:rsid w:val="009A7962"/>
    <w:rsid w:val="009B07A7"/>
    <w:rsid w:val="009B30AA"/>
    <w:rsid w:val="009B49BF"/>
    <w:rsid w:val="009B49FD"/>
    <w:rsid w:val="009B5121"/>
    <w:rsid w:val="009B5217"/>
    <w:rsid w:val="009C1D3A"/>
    <w:rsid w:val="009C2360"/>
    <w:rsid w:val="009C2EF2"/>
    <w:rsid w:val="009C4798"/>
    <w:rsid w:val="009C4850"/>
    <w:rsid w:val="009C48DE"/>
    <w:rsid w:val="009C677B"/>
    <w:rsid w:val="009C6A0F"/>
    <w:rsid w:val="009C7861"/>
    <w:rsid w:val="009D0DBA"/>
    <w:rsid w:val="009D1850"/>
    <w:rsid w:val="009D2635"/>
    <w:rsid w:val="009D2912"/>
    <w:rsid w:val="009D2F30"/>
    <w:rsid w:val="009D5775"/>
    <w:rsid w:val="009E1E1E"/>
    <w:rsid w:val="009E20D2"/>
    <w:rsid w:val="009E3157"/>
    <w:rsid w:val="009E33E3"/>
    <w:rsid w:val="009E5590"/>
    <w:rsid w:val="009E7F16"/>
    <w:rsid w:val="009F11AB"/>
    <w:rsid w:val="009F2957"/>
    <w:rsid w:val="009F3902"/>
    <w:rsid w:val="009F4871"/>
    <w:rsid w:val="009F5052"/>
    <w:rsid w:val="009F53E3"/>
    <w:rsid w:val="009F6DE4"/>
    <w:rsid w:val="00A00842"/>
    <w:rsid w:val="00A00C43"/>
    <w:rsid w:val="00A02232"/>
    <w:rsid w:val="00A02A1C"/>
    <w:rsid w:val="00A04177"/>
    <w:rsid w:val="00A049D1"/>
    <w:rsid w:val="00A04C85"/>
    <w:rsid w:val="00A06639"/>
    <w:rsid w:val="00A0684F"/>
    <w:rsid w:val="00A100F0"/>
    <w:rsid w:val="00A1030E"/>
    <w:rsid w:val="00A12D55"/>
    <w:rsid w:val="00A13C4C"/>
    <w:rsid w:val="00A14B03"/>
    <w:rsid w:val="00A14D4E"/>
    <w:rsid w:val="00A156E6"/>
    <w:rsid w:val="00A15A0A"/>
    <w:rsid w:val="00A220E8"/>
    <w:rsid w:val="00A24522"/>
    <w:rsid w:val="00A257C5"/>
    <w:rsid w:val="00A2683A"/>
    <w:rsid w:val="00A26DF3"/>
    <w:rsid w:val="00A27D86"/>
    <w:rsid w:val="00A27F0F"/>
    <w:rsid w:val="00A30793"/>
    <w:rsid w:val="00A316C0"/>
    <w:rsid w:val="00A33151"/>
    <w:rsid w:val="00A3460C"/>
    <w:rsid w:val="00A36970"/>
    <w:rsid w:val="00A36F09"/>
    <w:rsid w:val="00A37812"/>
    <w:rsid w:val="00A41EB4"/>
    <w:rsid w:val="00A4250D"/>
    <w:rsid w:val="00A441AB"/>
    <w:rsid w:val="00A44BFF"/>
    <w:rsid w:val="00A47B55"/>
    <w:rsid w:val="00A501E3"/>
    <w:rsid w:val="00A50F0C"/>
    <w:rsid w:val="00A50FAD"/>
    <w:rsid w:val="00A52C82"/>
    <w:rsid w:val="00A53A5D"/>
    <w:rsid w:val="00A56441"/>
    <w:rsid w:val="00A608CD"/>
    <w:rsid w:val="00A616F9"/>
    <w:rsid w:val="00A63D0F"/>
    <w:rsid w:val="00A64FDC"/>
    <w:rsid w:val="00A651B7"/>
    <w:rsid w:val="00A65DC5"/>
    <w:rsid w:val="00A6651F"/>
    <w:rsid w:val="00A66ACB"/>
    <w:rsid w:val="00A71DB7"/>
    <w:rsid w:val="00A72CAE"/>
    <w:rsid w:val="00A72FA5"/>
    <w:rsid w:val="00A736DD"/>
    <w:rsid w:val="00A73A82"/>
    <w:rsid w:val="00A76E78"/>
    <w:rsid w:val="00A774EA"/>
    <w:rsid w:val="00A809FF"/>
    <w:rsid w:val="00A82869"/>
    <w:rsid w:val="00A82F23"/>
    <w:rsid w:val="00A851CF"/>
    <w:rsid w:val="00A86633"/>
    <w:rsid w:val="00A8758C"/>
    <w:rsid w:val="00A87C00"/>
    <w:rsid w:val="00A87CF0"/>
    <w:rsid w:val="00A906AC"/>
    <w:rsid w:val="00A90B1A"/>
    <w:rsid w:val="00A91006"/>
    <w:rsid w:val="00A92556"/>
    <w:rsid w:val="00A92BAF"/>
    <w:rsid w:val="00A93381"/>
    <w:rsid w:val="00A95820"/>
    <w:rsid w:val="00A963CB"/>
    <w:rsid w:val="00A96BF0"/>
    <w:rsid w:val="00AA127E"/>
    <w:rsid w:val="00AA19AE"/>
    <w:rsid w:val="00AA3758"/>
    <w:rsid w:val="00AA423D"/>
    <w:rsid w:val="00AA6A95"/>
    <w:rsid w:val="00AA7A7A"/>
    <w:rsid w:val="00AB10DE"/>
    <w:rsid w:val="00AB3460"/>
    <w:rsid w:val="00AB3668"/>
    <w:rsid w:val="00AB4940"/>
    <w:rsid w:val="00AB5ED7"/>
    <w:rsid w:val="00AB782B"/>
    <w:rsid w:val="00AC0B4C"/>
    <w:rsid w:val="00AC3011"/>
    <w:rsid w:val="00AC3F91"/>
    <w:rsid w:val="00AC5355"/>
    <w:rsid w:val="00AC5743"/>
    <w:rsid w:val="00AC6E8F"/>
    <w:rsid w:val="00AD047F"/>
    <w:rsid w:val="00AD0AEE"/>
    <w:rsid w:val="00AD0B88"/>
    <w:rsid w:val="00AD1D37"/>
    <w:rsid w:val="00AD2E46"/>
    <w:rsid w:val="00AD49E3"/>
    <w:rsid w:val="00AD4B4F"/>
    <w:rsid w:val="00AD60AA"/>
    <w:rsid w:val="00AD61F8"/>
    <w:rsid w:val="00AD7085"/>
    <w:rsid w:val="00AD7CEA"/>
    <w:rsid w:val="00AE11B1"/>
    <w:rsid w:val="00AE2FE0"/>
    <w:rsid w:val="00AE30D3"/>
    <w:rsid w:val="00AE3C9C"/>
    <w:rsid w:val="00AE48F5"/>
    <w:rsid w:val="00AE5BAA"/>
    <w:rsid w:val="00AE65E1"/>
    <w:rsid w:val="00AE73BF"/>
    <w:rsid w:val="00AE7ED9"/>
    <w:rsid w:val="00AF0616"/>
    <w:rsid w:val="00AF0E28"/>
    <w:rsid w:val="00AF1AE7"/>
    <w:rsid w:val="00AF4B16"/>
    <w:rsid w:val="00AF5BB1"/>
    <w:rsid w:val="00AF6AB3"/>
    <w:rsid w:val="00AF6F9B"/>
    <w:rsid w:val="00B01409"/>
    <w:rsid w:val="00B02DEB"/>
    <w:rsid w:val="00B04728"/>
    <w:rsid w:val="00B068BF"/>
    <w:rsid w:val="00B10DBD"/>
    <w:rsid w:val="00B115B4"/>
    <w:rsid w:val="00B125E8"/>
    <w:rsid w:val="00B128B3"/>
    <w:rsid w:val="00B13647"/>
    <w:rsid w:val="00B15629"/>
    <w:rsid w:val="00B17C17"/>
    <w:rsid w:val="00B22ED8"/>
    <w:rsid w:val="00B2372C"/>
    <w:rsid w:val="00B32F70"/>
    <w:rsid w:val="00B3365D"/>
    <w:rsid w:val="00B341DE"/>
    <w:rsid w:val="00B35ACC"/>
    <w:rsid w:val="00B35D0B"/>
    <w:rsid w:val="00B370F5"/>
    <w:rsid w:val="00B373D0"/>
    <w:rsid w:val="00B37F84"/>
    <w:rsid w:val="00B43AAA"/>
    <w:rsid w:val="00B443ED"/>
    <w:rsid w:val="00B44A10"/>
    <w:rsid w:val="00B51ABE"/>
    <w:rsid w:val="00B53139"/>
    <w:rsid w:val="00B536D4"/>
    <w:rsid w:val="00B545BA"/>
    <w:rsid w:val="00B547D7"/>
    <w:rsid w:val="00B553AB"/>
    <w:rsid w:val="00B55734"/>
    <w:rsid w:val="00B55F93"/>
    <w:rsid w:val="00B562CE"/>
    <w:rsid w:val="00B60B84"/>
    <w:rsid w:val="00B60FB7"/>
    <w:rsid w:val="00B62DE2"/>
    <w:rsid w:val="00B64020"/>
    <w:rsid w:val="00B650AB"/>
    <w:rsid w:val="00B65730"/>
    <w:rsid w:val="00B65996"/>
    <w:rsid w:val="00B676A2"/>
    <w:rsid w:val="00B70412"/>
    <w:rsid w:val="00B70AD3"/>
    <w:rsid w:val="00B74417"/>
    <w:rsid w:val="00B74D36"/>
    <w:rsid w:val="00B75638"/>
    <w:rsid w:val="00B757F4"/>
    <w:rsid w:val="00B77246"/>
    <w:rsid w:val="00B81EA4"/>
    <w:rsid w:val="00B8297A"/>
    <w:rsid w:val="00B82982"/>
    <w:rsid w:val="00B82A90"/>
    <w:rsid w:val="00B82F72"/>
    <w:rsid w:val="00B857CC"/>
    <w:rsid w:val="00B86350"/>
    <w:rsid w:val="00B86397"/>
    <w:rsid w:val="00B866CD"/>
    <w:rsid w:val="00B90250"/>
    <w:rsid w:val="00B90CA9"/>
    <w:rsid w:val="00B9283F"/>
    <w:rsid w:val="00B92990"/>
    <w:rsid w:val="00B93034"/>
    <w:rsid w:val="00B94054"/>
    <w:rsid w:val="00B95200"/>
    <w:rsid w:val="00B96F3F"/>
    <w:rsid w:val="00B97A0B"/>
    <w:rsid w:val="00B97C5D"/>
    <w:rsid w:val="00BA1290"/>
    <w:rsid w:val="00BA3101"/>
    <w:rsid w:val="00BA3D93"/>
    <w:rsid w:val="00BA4A15"/>
    <w:rsid w:val="00BB1BCB"/>
    <w:rsid w:val="00BB2302"/>
    <w:rsid w:val="00BB2792"/>
    <w:rsid w:val="00BB30E5"/>
    <w:rsid w:val="00BB513F"/>
    <w:rsid w:val="00BB6CED"/>
    <w:rsid w:val="00BB73B9"/>
    <w:rsid w:val="00BB76BF"/>
    <w:rsid w:val="00BC0670"/>
    <w:rsid w:val="00BC1AD1"/>
    <w:rsid w:val="00BC25DC"/>
    <w:rsid w:val="00BC3186"/>
    <w:rsid w:val="00BC4167"/>
    <w:rsid w:val="00BC49C1"/>
    <w:rsid w:val="00BC4A58"/>
    <w:rsid w:val="00BC5878"/>
    <w:rsid w:val="00BC5AB9"/>
    <w:rsid w:val="00BC5BDC"/>
    <w:rsid w:val="00BC613B"/>
    <w:rsid w:val="00BC6C7B"/>
    <w:rsid w:val="00BC7C55"/>
    <w:rsid w:val="00BD0343"/>
    <w:rsid w:val="00BD0926"/>
    <w:rsid w:val="00BD0C52"/>
    <w:rsid w:val="00BD51D9"/>
    <w:rsid w:val="00BD5C76"/>
    <w:rsid w:val="00BD64E2"/>
    <w:rsid w:val="00BD78A5"/>
    <w:rsid w:val="00BD7A0C"/>
    <w:rsid w:val="00BE1818"/>
    <w:rsid w:val="00BE2205"/>
    <w:rsid w:val="00BE3320"/>
    <w:rsid w:val="00BE44E0"/>
    <w:rsid w:val="00BE4995"/>
    <w:rsid w:val="00BE5A81"/>
    <w:rsid w:val="00BE6E83"/>
    <w:rsid w:val="00BF1BCF"/>
    <w:rsid w:val="00BF298C"/>
    <w:rsid w:val="00BF429A"/>
    <w:rsid w:val="00BF62BE"/>
    <w:rsid w:val="00BF6E19"/>
    <w:rsid w:val="00C0146F"/>
    <w:rsid w:val="00C04454"/>
    <w:rsid w:val="00C05C11"/>
    <w:rsid w:val="00C06AF0"/>
    <w:rsid w:val="00C07126"/>
    <w:rsid w:val="00C076A9"/>
    <w:rsid w:val="00C1091E"/>
    <w:rsid w:val="00C10A9B"/>
    <w:rsid w:val="00C1214C"/>
    <w:rsid w:val="00C14759"/>
    <w:rsid w:val="00C1516F"/>
    <w:rsid w:val="00C155BD"/>
    <w:rsid w:val="00C15678"/>
    <w:rsid w:val="00C16156"/>
    <w:rsid w:val="00C16853"/>
    <w:rsid w:val="00C21508"/>
    <w:rsid w:val="00C217AB"/>
    <w:rsid w:val="00C21827"/>
    <w:rsid w:val="00C21FE0"/>
    <w:rsid w:val="00C23554"/>
    <w:rsid w:val="00C24669"/>
    <w:rsid w:val="00C25E54"/>
    <w:rsid w:val="00C263F0"/>
    <w:rsid w:val="00C270EF"/>
    <w:rsid w:val="00C310AF"/>
    <w:rsid w:val="00C3298A"/>
    <w:rsid w:val="00C33D41"/>
    <w:rsid w:val="00C33FD6"/>
    <w:rsid w:val="00C35052"/>
    <w:rsid w:val="00C37624"/>
    <w:rsid w:val="00C40106"/>
    <w:rsid w:val="00C40AFD"/>
    <w:rsid w:val="00C40BF0"/>
    <w:rsid w:val="00C40DB6"/>
    <w:rsid w:val="00C40EAB"/>
    <w:rsid w:val="00C41E20"/>
    <w:rsid w:val="00C427AC"/>
    <w:rsid w:val="00C42E3E"/>
    <w:rsid w:val="00C45E14"/>
    <w:rsid w:val="00C46799"/>
    <w:rsid w:val="00C5149C"/>
    <w:rsid w:val="00C51C13"/>
    <w:rsid w:val="00C51ECB"/>
    <w:rsid w:val="00C525A5"/>
    <w:rsid w:val="00C5300F"/>
    <w:rsid w:val="00C533AC"/>
    <w:rsid w:val="00C53FF7"/>
    <w:rsid w:val="00C54766"/>
    <w:rsid w:val="00C54D0D"/>
    <w:rsid w:val="00C57A3C"/>
    <w:rsid w:val="00C57BF3"/>
    <w:rsid w:val="00C6035D"/>
    <w:rsid w:val="00C61739"/>
    <w:rsid w:val="00C66468"/>
    <w:rsid w:val="00C66CE0"/>
    <w:rsid w:val="00C70486"/>
    <w:rsid w:val="00C71250"/>
    <w:rsid w:val="00C717C5"/>
    <w:rsid w:val="00C71BED"/>
    <w:rsid w:val="00C71F0B"/>
    <w:rsid w:val="00C73523"/>
    <w:rsid w:val="00C73A1D"/>
    <w:rsid w:val="00C745C2"/>
    <w:rsid w:val="00C747C0"/>
    <w:rsid w:val="00C75CC8"/>
    <w:rsid w:val="00C76094"/>
    <w:rsid w:val="00C76B75"/>
    <w:rsid w:val="00C81B53"/>
    <w:rsid w:val="00C82AD2"/>
    <w:rsid w:val="00C8432D"/>
    <w:rsid w:val="00C90AF8"/>
    <w:rsid w:val="00C90FB6"/>
    <w:rsid w:val="00C9220E"/>
    <w:rsid w:val="00C932BD"/>
    <w:rsid w:val="00C93429"/>
    <w:rsid w:val="00C97FDD"/>
    <w:rsid w:val="00CA16C5"/>
    <w:rsid w:val="00CA415A"/>
    <w:rsid w:val="00CA4AC3"/>
    <w:rsid w:val="00CA5F85"/>
    <w:rsid w:val="00CA671A"/>
    <w:rsid w:val="00CA79DE"/>
    <w:rsid w:val="00CA7A35"/>
    <w:rsid w:val="00CB1536"/>
    <w:rsid w:val="00CB18D3"/>
    <w:rsid w:val="00CB348B"/>
    <w:rsid w:val="00CB3C4F"/>
    <w:rsid w:val="00CB4D80"/>
    <w:rsid w:val="00CB4E0F"/>
    <w:rsid w:val="00CB5F3C"/>
    <w:rsid w:val="00CB6386"/>
    <w:rsid w:val="00CB6C41"/>
    <w:rsid w:val="00CB7FB8"/>
    <w:rsid w:val="00CB7FE8"/>
    <w:rsid w:val="00CC166B"/>
    <w:rsid w:val="00CC1F71"/>
    <w:rsid w:val="00CC27C4"/>
    <w:rsid w:val="00CC2D90"/>
    <w:rsid w:val="00CC3CBA"/>
    <w:rsid w:val="00CC5EB3"/>
    <w:rsid w:val="00CD0E7B"/>
    <w:rsid w:val="00CD19CD"/>
    <w:rsid w:val="00CD20B2"/>
    <w:rsid w:val="00CD2ABD"/>
    <w:rsid w:val="00CD4024"/>
    <w:rsid w:val="00CD4617"/>
    <w:rsid w:val="00CD4855"/>
    <w:rsid w:val="00CD4C3C"/>
    <w:rsid w:val="00CD742E"/>
    <w:rsid w:val="00CD783F"/>
    <w:rsid w:val="00CD7F76"/>
    <w:rsid w:val="00CE2438"/>
    <w:rsid w:val="00CE2895"/>
    <w:rsid w:val="00CE5657"/>
    <w:rsid w:val="00CE6D43"/>
    <w:rsid w:val="00CE7644"/>
    <w:rsid w:val="00CE7888"/>
    <w:rsid w:val="00CF076D"/>
    <w:rsid w:val="00CF3381"/>
    <w:rsid w:val="00CF52CE"/>
    <w:rsid w:val="00CF53AB"/>
    <w:rsid w:val="00CF646E"/>
    <w:rsid w:val="00CF6AB7"/>
    <w:rsid w:val="00CF7226"/>
    <w:rsid w:val="00D05666"/>
    <w:rsid w:val="00D06B82"/>
    <w:rsid w:val="00D070C4"/>
    <w:rsid w:val="00D0743B"/>
    <w:rsid w:val="00D07DF9"/>
    <w:rsid w:val="00D10E1C"/>
    <w:rsid w:val="00D11CC0"/>
    <w:rsid w:val="00D14774"/>
    <w:rsid w:val="00D1575D"/>
    <w:rsid w:val="00D161A3"/>
    <w:rsid w:val="00D20944"/>
    <w:rsid w:val="00D21387"/>
    <w:rsid w:val="00D22394"/>
    <w:rsid w:val="00D22E49"/>
    <w:rsid w:val="00D2328C"/>
    <w:rsid w:val="00D23716"/>
    <w:rsid w:val="00D23FBA"/>
    <w:rsid w:val="00D240CD"/>
    <w:rsid w:val="00D2444E"/>
    <w:rsid w:val="00D248BC"/>
    <w:rsid w:val="00D24E94"/>
    <w:rsid w:val="00D25ED8"/>
    <w:rsid w:val="00D27F8F"/>
    <w:rsid w:val="00D316B8"/>
    <w:rsid w:val="00D31CFC"/>
    <w:rsid w:val="00D321D5"/>
    <w:rsid w:val="00D3255D"/>
    <w:rsid w:val="00D331BF"/>
    <w:rsid w:val="00D340C3"/>
    <w:rsid w:val="00D35016"/>
    <w:rsid w:val="00D36EF4"/>
    <w:rsid w:val="00D409CD"/>
    <w:rsid w:val="00D40A40"/>
    <w:rsid w:val="00D4195A"/>
    <w:rsid w:val="00D423D4"/>
    <w:rsid w:val="00D42CAF"/>
    <w:rsid w:val="00D45F90"/>
    <w:rsid w:val="00D475BB"/>
    <w:rsid w:val="00D4763B"/>
    <w:rsid w:val="00D50923"/>
    <w:rsid w:val="00D53136"/>
    <w:rsid w:val="00D53B3C"/>
    <w:rsid w:val="00D54E13"/>
    <w:rsid w:val="00D570B6"/>
    <w:rsid w:val="00D57311"/>
    <w:rsid w:val="00D57EC1"/>
    <w:rsid w:val="00D601EF"/>
    <w:rsid w:val="00D60CF6"/>
    <w:rsid w:val="00D60E48"/>
    <w:rsid w:val="00D61533"/>
    <w:rsid w:val="00D6277E"/>
    <w:rsid w:val="00D6280A"/>
    <w:rsid w:val="00D62995"/>
    <w:rsid w:val="00D62AB7"/>
    <w:rsid w:val="00D63B2F"/>
    <w:rsid w:val="00D6619A"/>
    <w:rsid w:val="00D70747"/>
    <w:rsid w:val="00D70BF4"/>
    <w:rsid w:val="00D71E1A"/>
    <w:rsid w:val="00D7261D"/>
    <w:rsid w:val="00D73FA0"/>
    <w:rsid w:val="00D7485C"/>
    <w:rsid w:val="00D74CF8"/>
    <w:rsid w:val="00D74E5A"/>
    <w:rsid w:val="00D755FC"/>
    <w:rsid w:val="00D76B6D"/>
    <w:rsid w:val="00D77863"/>
    <w:rsid w:val="00D778C7"/>
    <w:rsid w:val="00D820EA"/>
    <w:rsid w:val="00D83E14"/>
    <w:rsid w:val="00D84191"/>
    <w:rsid w:val="00D84D07"/>
    <w:rsid w:val="00D8526A"/>
    <w:rsid w:val="00D8694F"/>
    <w:rsid w:val="00D87218"/>
    <w:rsid w:val="00D875BC"/>
    <w:rsid w:val="00D90E17"/>
    <w:rsid w:val="00D90E91"/>
    <w:rsid w:val="00D91839"/>
    <w:rsid w:val="00D92D9E"/>
    <w:rsid w:val="00D933EE"/>
    <w:rsid w:val="00D93DB0"/>
    <w:rsid w:val="00D95E31"/>
    <w:rsid w:val="00DA368A"/>
    <w:rsid w:val="00DA37C5"/>
    <w:rsid w:val="00DA46B4"/>
    <w:rsid w:val="00DA4C38"/>
    <w:rsid w:val="00DA6B21"/>
    <w:rsid w:val="00DA7D7A"/>
    <w:rsid w:val="00DB3C80"/>
    <w:rsid w:val="00DB53C1"/>
    <w:rsid w:val="00DB7AF7"/>
    <w:rsid w:val="00DC0472"/>
    <w:rsid w:val="00DC1347"/>
    <w:rsid w:val="00DC19D6"/>
    <w:rsid w:val="00DC205E"/>
    <w:rsid w:val="00DC22FD"/>
    <w:rsid w:val="00DC23D7"/>
    <w:rsid w:val="00DC3053"/>
    <w:rsid w:val="00DC39F1"/>
    <w:rsid w:val="00DC4E4E"/>
    <w:rsid w:val="00DC63B2"/>
    <w:rsid w:val="00DD1419"/>
    <w:rsid w:val="00DD154C"/>
    <w:rsid w:val="00DD31A7"/>
    <w:rsid w:val="00DD32A2"/>
    <w:rsid w:val="00DD441D"/>
    <w:rsid w:val="00DD509D"/>
    <w:rsid w:val="00DD6BBE"/>
    <w:rsid w:val="00DE20F2"/>
    <w:rsid w:val="00DE214F"/>
    <w:rsid w:val="00DE370B"/>
    <w:rsid w:val="00DE4B35"/>
    <w:rsid w:val="00DE6D79"/>
    <w:rsid w:val="00DE6DAE"/>
    <w:rsid w:val="00DF13BD"/>
    <w:rsid w:val="00DF19C1"/>
    <w:rsid w:val="00DF25DB"/>
    <w:rsid w:val="00DF281B"/>
    <w:rsid w:val="00DF3C65"/>
    <w:rsid w:val="00DF3F0A"/>
    <w:rsid w:val="00DF54CA"/>
    <w:rsid w:val="00DF5B64"/>
    <w:rsid w:val="00E00B4F"/>
    <w:rsid w:val="00E0267D"/>
    <w:rsid w:val="00E02794"/>
    <w:rsid w:val="00E03410"/>
    <w:rsid w:val="00E03464"/>
    <w:rsid w:val="00E042D6"/>
    <w:rsid w:val="00E043E3"/>
    <w:rsid w:val="00E0505B"/>
    <w:rsid w:val="00E05D87"/>
    <w:rsid w:val="00E06047"/>
    <w:rsid w:val="00E06B13"/>
    <w:rsid w:val="00E06D69"/>
    <w:rsid w:val="00E07040"/>
    <w:rsid w:val="00E07247"/>
    <w:rsid w:val="00E101C0"/>
    <w:rsid w:val="00E11280"/>
    <w:rsid w:val="00E12359"/>
    <w:rsid w:val="00E1293D"/>
    <w:rsid w:val="00E12A2C"/>
    <w:rsid w:val="00E12A67"/>
    <w:rsid w:val="00E1396D"/>
    <w:rsid w:val="00E13BFC"/>
    <w:rsid w:val="00E15009"/>
    <w:rsid w:val="00E152FF"/>
    <w:rsid w:val="00E15F32"/>
    <w:rsid w:val="00E15F8D"/>
    <w:rsid w:val="00E16071"/>
    <w:rsid w:val="00E2117F"/>
    <w:rsid w:val="00E2227B"/>
    <w:rsid w:val="00E2461B"/>
    <w:rsid w:val="00E24886"/>
    <w:rsid w:val="00E2527B"/>
    <w:rsid w:val="00E25790"/>
    <w:rsid w:val="00E25B0B"/>
    <w:rsid w:val="00E276FB"/>
    <w:rsid w:val="00E32595"/>
    <w:rsid w:val="00E33A74"/>
    <w:rsid w:val="00E33B96"/>
    <w:rsid w:val="00E33D8D"/>
    <w:rsid w:val="00E33F30"/>
    <w:rsid w:val="00E4030B"/>
    <w:rsid w:val="00E41D56"/>
    <w:rsid w:val="00E42C86"/>
    <w:rsid w:val="00E457DF"/>
    <w:rsid w:val="00E4653D"/>
    <w:rsid w:val="00E46642"/>
    <w:rsid w:val="00E5139A"/>
    <w:rsid w:val="00E5240A"/>
    <w:rsid w:val="00E5413D"/>
    <w:rsid w:val="00E549AE"/>
    <w:rsid w:val="00E5617E"/>
    <w:rsid w:val="00E564E0"/>
    <w:rsid w:val="00E57977"/>
    <w:rsid w:val="00E57AAD"/>
    <w:rsid w:val="00E61104"/>
    <w:rsid w:val="00E61E79"/>
    <w:rsid w:val="00E635D7"/>
    <w:rsid w:val="00E638C7"/>
    <w:rsid w:val="00E64E13"/>
    <w:rsid w:val="00E67B8E"/>
    <w:rsid w:val="00E70576"/>
    <w:rsid w:val="00E72527"/>
    <w:rsid w:val="00E73E40"/>
    <w:rsid w:val="00E74307"/>
    <w:rsid w:val="00E744F9"/>
    <w:rsid w:val="00E76197"/>
    <w:rsid w:val="00E77E79"/>
    <w:rsid w:val="00E803CA"/>
    <w:rsid w:val="00E809C3"/>
    <w:rsid w:val="00E83954"/>
    <w:rsid w:val="00E839A7"/>
    <w:rsid w:val="00E8531A"/>
    <w:rsid w:val="00E87986"/>
    <w:rsid w:val="00E903E3"/>
    <w:rsid w:val="00E91730"/>
    <w:rsid w:val="00E918D8"/>
    <w:rsid w:val="00E9237C"/>
    <w:rsid w:val="00E92725"/>
    <w:rsid w:val="00E9413C"/>
    <w:rsid w:val="00E94756"/>
    <w:rsid w:val="00E96F04"/>
    <w:rsid w:val="00E97AEC"/>
    <w:rsid w:val="00EA08F4"/>
    <w:rsid w:val="00EA20FE"/>
    <w:rsid w:val="00EA5265"/>
    <w:rsid w:val="00EA681A"/>
    <w:rsid w:val="00EA6D67"/>
    <w:rsid w:val="00EA7CA4"/>
    <w:rsid w:val="00EB23E3"/>
    <w:rsid w:val="00EB23E9"/>
    <w:rsid w:val="00EB373A"/>
    <w:rsid w:val="00EB491E"/>
    <w:rsid w:val="00EB5031"/>
    <w:rsid w:val="00EB681B"/>
    <w:rsid w:val="00EB75FB"/>
    <w:rsid w:val="00EB7CFA"/>
    <w:rsid w:val="00EC011B"/>
    <w:rsid w:val="00EC1BA3"/>
    <w:rsid w:val="00EC2C54"/>
    <w:rsid w:val="00EC4FAD"/>
    <w:rsid w:val="00EC77A9"/>
    <w:rsid w:val="00ED05ED"/>
    <w:rsid w:val="00ED1DF7"/>
    <w:rsid w:val="00ED5ADF"/>
    <w:rsid w:val="00ED7057"/>
    <w:rsid w:val="00EE39C2"/>
    <w:rsid w:val="00EE3CFA"/>
    <w:rsid w:val="00EE6407"/>
    <w:rsid w:val="00EE69E4"/>
    <w:rsid w:val="00EF0DDB"/>
    <w:rsid w:val="00EF1115"/>
    <w:rsid w:val="00EF20DD"/>
    <w:rsid w:val="00EF236E"/>
    <w:rsid w:val="00EF2A7F"/>
    <w:rsid w:val="00EF68E9"/>
    <w:rsid w:val="00EF7208"/>
    <w:rsid w:val="00EF72F0"/>
    <w:rsid w:val="00EF7E90"/>
    <w:rsid w:val="00F002B6"/>
    <w:rsid w:val="00F02B52"/>
    <w:rsid w:val="00F03800"/>
    <w:rsid w:val="00F05080"/>
    <w:rsid w:val="00F05F6C"/>
    <w:rsid w:val="00F10AFE"/>
    <w:rsid w:val="00F11362"/>
    <w:rsid w:val="00F13B35"/>
    <w:rsid w:val="00F13EA4"/>
    <w:rsid w:val="00F148A9"/>
    <w:rsid w:val="00F15C6C"/>
    <w:rsid w:val="00F161AC"/>
    <w:rsid w:val="00F17173"/>
    <w:rsid w:val="00F201FA"/>
    <w:rsid w:val="00F224DC"/>
    <w:rsid w:val="00F23826"/>
    <w:rsid w:val="00F2511F"/>
    <w:rsid w:val="00F25733"/>
    <w:rsid w:val="00F2687F"/>
    <w:rsid w:val="00F27F29"/>
    <w:rsid w:val="00F32D54"/>
    <w:rsid w:val="00F35154"/>
    <w:rsid w:val="00F36739"/>
    <w:rsid w:val="00F36C54"/>
    <w:rsid w:val="00F36F16"/>
    <w:rsid w:val="00F418EA"/>
    <w:rsid w:val="00F41A29"/>
    <w:rsid w:val="00F425E2"/>
    <w:rsid w:val="00F42A70"/>
    <w:rsid w:val="00F44C1C"/>
    <w:rsid w:val="00F45214"/>
    <w:rsid w:val="00F4596A"/>
    <w:rsid w:val="00F4645F"/>
    <w:rsid w:val="00F477AF"/>
    <w:rsid w:val="00F477C5"/>
    <w:rsid w:val="00F50BEA"/>
    <w:rsid w:val="00F516F6"/>
    <w:rsid w:val="00F518DF"/>
    <w:rsid w:val="00F51DF4"/>
    <w:rsid w:val="00F53705"/>
    <w:rsid w:val="00F544DB"/>
    <w:rsid w:val="00F62735"/>
    <w:rsid w:val="00F645D0"/>
    <w:rsid w:val="00F6502E"/>
    <w:rsid w:val="00F65663"/>
    <w:rsid w:val="00F66987"/>
    <w:rsid w:val="00F726AC"/>
    <w:rsid w:val="00F7506E"/>
    <w:rsid w:val="00F756C0"/>
    <w:rsid w:val="00F75A40"/>
    <w:rsid w:val="00F76325"/>
    <w:rsid w:val="00F77637"/>
    <w:rsid w:val="00F8088B"/>
    <w:rsid w:val="00F80E3F"/>
    <w:rsid w:val="00F8435D"/>
    <w:rsid w:val="00F86CFE"/>
    <w:rsid w:val="00F87DD0"/>
    <w:rsid w:val="00F9147E"/>
    <w:rsid w:val="00F91CA8"/>
    <w:rsid w:val="00F93360"/>
    <w:rsid w:val="00F93BBD"/>
    <w:rsid w:val="00F93FE4"/>
    <w:rsid w:val="00F94CB3"/>
    <w:rsid w:val="00F969AD"/>
    <w:rsid w:val="00F97E4E"/>
    <w:rsid w:val="00F97FEE"/>
    <w:rsid w:val="00FA1556"/>
    <w:rsid w:val="00FA1582"/>
    <w:rsid w:val="00FA217B"/>
    <w:rsid w:val="00FA46CE"/>
    <w:rsid w:val="00FA4A48"/>
    <w:rsid w:val="00FA4F44"/>
    <w:rsid w:val="00FA63B6"/>
    <w:rsid w:val="00FB0984"/>
    <w:rsid w:val="00FB0BC5"/>
    <w:rsid w:val="00FB0BCC"/>
    <w:rsid w:val="00FB1841"/>
    <w:rsid w:val="00FB1C48"/>
    <w:rsid w:val="00FB3819"/>
    <w:rsid w:val="00FB7DF5"/>
    <w:rsid w:val="00FC0FE5"/>
    <w:rsid w:val="00FC3139"/>
    <w:rsid w:val="00FC3AA1"/>
    <w:rsid w:val="00FC7997"/>
    <w:rsid w:val="00FD1ABC"/>
    <w:rsid w:val="00FD1CBA"/>
    <w:rsid w:val="00FD1F6B"/>
    <w:rsid w:val="00FD2741"/>
    <w:rsid w:val="00FD301A"/>
    <w:rsid w:val="00FD4DFE"/>
    <w:rsid w:val="00FD5887"/>
    <w:rsid w:val="00FD7DDF"/>
    <w:rsid w:val="00FE2442"/>
    <w:rsid w:val="00FE47FC"/>
    <w:rsid w:val="00FE4B62"/>
    <w:rsid w:val="00FE4C92"/>
    <w:rsid w:val="00FE6374"/>
    <w:rsid w:val="00FF0EC2"/>
    <w:rsid w:val="00FF0FAA"/>
    <w:rsid w:val="00FF12D9"/>
    <w:rsid w:val="00FF13BA"/>
    <w:rsid w:val="00FF1FDA"/>
    <w:rsid w:val="00FF2DB0"/>
    <w:rsid w:val="00FF3DE2"/>
    <w:rsid w:val="00FF4396"/>
    <w:rsid w:val="00FF5E2D"/>
    <w:rsid w:val="00FF702A"/>
    <w:rsid w:val="00FF7F4E"/>
    <w:rsid w:val="01244DF4"/>
    <w:rsid w:val="013759E5"/>
    <w:rsid w:val="01443A7D"/>
    <w:rsid w:val="015AFAD5"/>
    <w:rsid w:val="01AAD950"/>
    <w:rsid w:val="021B6432"/>
    <w:rsid w:val="022009BF"/>
    <w:rsid w:val="0245F0CD"/>
    <w:rsid w:val="0246833C"/>
    <w:rsid w:val="030DEB66"/>
    <w:rsid w:val="0311D5BF"/>
    <w:rsid w:val="03DF645C"/>
    <w:rsid w:val="03E3EA40"/>
    <w:rsid w:val="044490D4"/>
    <w:rsid w:val="04910D26"/>
    <w:rsid w:val="0636F5E7"/>
    <w:rsid w:val="0712D5E3"/>
    <w:rsid w:val="07814B18"/>
    <w:rsid w:val="0804B905"/>
    <w:rsid w:val="08809B9C"/>
    <w:rsid w:val="0A366944"/>
    <w:rsid w:val="0AE1F55A"/>
    <w:rsid w:val="0B33749E"/>
    <w:rsid w:val="0C4F360F"/>
    <w:rsid w:val="0C898200"/>
    <w:rsid w:val="0D9738AC"/>
    <w:rsid w:val="0E02BAA2"/>
    <w:rsid w:val="0E0BD32A"/>
    <w:rsid w:val="0F33F455"/>
    <w:rsid w:val="10079F76"/>
    <w:rsid w:val="10382C49"/>
    <w:rsid w:val="116BA01F"/>
    <w:rsid w:val="133BA14D"/>
    <w:rsid w:val="136BFACD"/>
    <w:rsid w:val="147BE283"/>
    <w:rsid w:val="16E29534"/>
    <w:rsid w:val="17032949"/>
    <w:rsid w:val="17712801"/>
    <w:rsid w:val="17AB39DD"/>
    <w:rsid w:val="182815CE"/>
    <w:rsid w:val="183FAA5F"/>
    <w:rsid w:val="18DC3891"/>
    <w:rsid w:val="1987A6D0"/>
    <w:rsid w:val="1A826C93"/>
    <w:rsid w:val="1BFA5D37"/>
    <w:rsid w:val="1C6719FB"/>
    <w:rsid w:val="1CD01D9C"/>
    <w:rsid w:val="1E4931AC"/>
    <w:rsid w:val="1E4E8534"/>
    <w:rsid w:val="1ED76EF5"/>
    <w:rsid w:val="1EED09F5"/>
    <w:rsid w:val="1F06326D"/>
    <w:rsid w:val="1FDF7EA2"/>
    <w:rsid w:val="2170E61C"/>
    <w:rsid w:val="238A9EEA"/>
    <w:rsid w:val="23A43383"/>
    <w:rsid w:val="23E4BC2B"/>
    <w:rsid w:val="23E81A7D"/>
    <w:rsid w:val="240DEFFE"/>
    <w:rsid w:val="258C01BA"/>
    <w:rsid w:val="25B7BDF1"/>
    <w:rsid w:val="25C0AA81"/>
    <w:rsid w:val="2633A206"/>
    <w:rsid w:val="2887A936"/>
    <w:rsid w:val="28953A48"/>
    <w:rsid w:val="2A3C3B4B"/>
    <w:rsid w:val="2ACA23A1"/>
    <w:rsid w:val="2B61FF2C"/>
    <w:rsid w:val="2BD236F6"/>
    <w:rsid w:val="2BD6E945"/>
    <w:rsid w:val="2CF8CE5C"/>
    <w:rsid w:val="2D2858DA"/>
    <w:rsid w:val="2D846E9B"/>
    <w:rsid w:val="2DBA21AF"/>
    <w:rsid w:val="2DF2FD9B"/>
    <w:rsid w:val="2E683214"/>
    <w:rsid w:val="2F77CEA4"/>
    <w:rsid w:val="2F9875C0"/>
    <w:rsid w:val="2FFFA0F2"/>
    <w:rsid w:val="305E392A"/>
    <w:rsid w:val="309AE51E"/>
    <w:rsid w:val="3247FEC4"/>
    <w:rsid w:val="326FC2EB"/>
    <w:rsid w:val="328C95DC"/>
    <w:rsid w:val="349F3706"/>
    <w:rsid w:val="34B3E19A"/>
    <w:rsid w:val="34DFDC77"/>
    <w:rsid w:val="35408DB7"/>
    <w:rsid w:val="388EF030"/>
    <w:rsid w:val="39E12F4F"/>
    <w:rsid w:val="3AC53112"/>
    <w:rsid w:val="3B313744"/>
    <w:rsid w:val="3B9E37B9"/>
    <w:rsid w:val="3BD3A62E"/>
    <w:rsid w:val="3BF56783"/>
    <w:rsid w:val="3C27F924"/>
    <w:rsid w:val="3D3C3149"/>
    <w:rsid w:val="3D41073F"/>
    <w:rsid w:val="3D7A696A"/>
    <w:rsid w:val="3DBB36DD"/>
    <w:rsid w:val="3EC173AB"/>
    <w:rsid w:val="3FD371A3"/>
    <w:rsid w:val="403785ED"/>
    <w:rsid w:val="4098F9D0"/>
    <w:rsid w:val="411B436D"/>
    <w:rsid w:val="41EABF69"/>
    <w:rsid w:val="427B2258"/>
    <w:rsid w:val="429621BC"/>
    <w:rsid w:val="4388A047"/>
    <w:rsid w:val="4461573F"/>
    <w:rsid w:val="451B7E41"/>
    <w:rsid w:val="46183352"/>
    <w:rsid w:val="467C3840"/>
    <w:rsid w:val="4891ACFC"/>
    <w:rsid w:val="491E21DC"/>
    <w:rsid w:val="49743D14"/>
    <w:rsid w:val="49B73EFA"/>
    <w:rsid w:val="49C1C7F0"/>
    <w:rsid w:val="4A99093D"/>
    <w:rsid w:val="4B844F1E"/>
    <w:rsid w:val="4CF6D56A"/>
    <w:rsid w:val="4D2AD313"/>
    <w:rsid w:val="4E0A7261"/>
    <w:rsid w:val="4EE04C8E"/>
    <w:rsid w:val="4EE61804"/>
    <w:rsid w:val="4FE3527D"/>
    <w:rsid w:val="4FF80DAB"/>
    <w:rsid w:val="50308388"/>
    <w:rsid w:val="504839EA"/>
    <w:rsid w:val="513F456F"/>
    <w:rsid w:val="514E8EB7"/>
    <w:rsid w:val="52345A89"/>
    <w:rsid w:val="52AFEB06"/>
    <w:rsid w:val="52CD5E96"/>
    <w:rsid w:val="533D063B"/>
    <w:rsid w:val="5383B6F4"/>
    <w:rsid w:val="556C58F1"/>
    <w:rsid w:val="56894467"/>
    <w:rsid w:val="586FCC3E"/>
    <w:rsid w:val="58B3DEE4"/>
    <w:rsid w:val="58F67471"/>
    <w:rsid w:val="59D8579A"/>
    <w:rsid w:val="5C8C8541"/>
    <w:rsid w:val="5EA719B6"/>
    <w:rsid w:val="5F9798C1"/>
    <w:rsid w:val="60272C77"/>
    <w:rsid w:val="60E8E386"/>
    <w:rsid w:val="615A0BD1"/>
    <w:rsid w:val="61A8B9E3"/>
    <w:rsid w:val="6207C5CD"/>
    <w:rsid w:val="629E18A1"/>
    <w:rsid w:val="62AA7A27"/>
    <w:rsid w:val="62EFD721"/>
    <w:rsid w:val="63F1A235"/>
    <w:rsid w:val="64AC2242"/>
    <w:rsid w:val="64CCE206"/>
    <w:rsid w:val="64DC7149"/>
    <w:rsid w:val="65000DE9"/>
    <w:rsid w:val="65BC8732"/>
    <w:rsid w:val="65BD788D"/>
    <w:rsid w:val="65F80ABC"/>
    <w:rsid w:val="660037BA"/>
    <w:rsid w:val="6604E9F3"/>
    <w:rsid w:val="661D5F14"/>
    <w:rsid w:val="68122432"/>
    <w:rsid w:val="6861F387"/>
    <w:rsid w:val="6902DED8"/>
    <w:rsid w:val="69F66416"/>
    <w:rsid w:val="6ACED9C6"/>
    <w:rsid w:val="6B802B65"/>
    <w:rsid w:val="6C09E39B"/>
    <w:rsid w:val="6C2A1EA5"/>
    <w:rsid w:val="6D0D4961"/>
    <w:rsid w:val="6DED08EF"/>
    <w:rsid w:val="6EBF064A"/>
    <w:rsid w:val="6F359B8B"/>
    <w:rsid w:val="6F8F8F20"/>
    <w:rsid w:val="6FFC5241"/>
    <w:rsid w:val="703DDC81"/>
    <w:rsid w:val="71274CBF"/>
    <w:rsid w:val="72AF05D4"/>
    <w:rsid w:val="7355E537"/>
    <w:rsid w:val="737B8C3F"/>
    <w:rsid w:val="73D35597"/>
    <w:rsid w:val="75C824F8"/>
    <w:rsid w:val="7606F6B5"/>
    <w:rsid w:val="776F7FDD"/>
    <w:rsid w:val="78025457"/>
    <w:rsid w:val="780BC71E"/>
    <w:rsid w:val="782C33F3"/>
    <w:rsid w:val="78477B00"/>
    <w:rsid w:val="78874561"/>
    <w:rsid w:val="78D4886D"/>
    <w:rsid w:val="7951FBB2"/>
    <w:rsid w:val="7ABB3D25"/>
    <w:rsid w:val="7AE55118"/>
    <w:rsid w:val="7B311579"/>
    <w:rsid w:val="7B3AC3E0"/>
    <w:rsid w:val="7CA56955"/>
    <w:rsid w:val="7D5E49C5"/>
    <w:rsid w:val="7DA3130E"/>
    <w:rsid w:val="7DD322C4"/>
    <w:rsid w:val="7DEBC1A7"/>
    <w:rsid w:val="7EDB8B14"/>
    <w:rsid w:val="7FEC60CD"/>
    <w:rsid w:val="7FFED0C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52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2D"/>
    <w:pPr>
      <w:spacing w:line="288" w:lineRule="auto"/>
      <w:jc w:val="both"/>
    </w:pPr>
    <w:rPr>
      <w:lang w:eastAsia="en-US" w:bidi="ar-SA"/>
    </w:rPr>
  </w:style>
  <w:style w:type="paragraph" w:styleId="Heading1">
    <w:name w:val="heading 1"/>
    <w:basedOn w:val="Normal"/>
    <w:next w:val="Normal"/>
    <w:link w:val="Heading1Char"/>
    <w:qFormat/>
    <w:rsid w:val="00FF5E2D"/>
    <w:pPr>
      <w:numPr>
        <w:numId w:val="2"/>
      </w:numPr>
      <w:ind w:left="567" w:hanging="567"/>
      <w:outlineLvl w:val="0"/>
    </w:pPr>
    <w:rPr>
      <w:kern w:val="28"/>
    </w:rPr>
  </w:style>
  <w:style w:type="paragraph" w:styleId="Heading2">
    <w:name w:val="heading 2"/>
    <w:basedOn w:val="Normal"/>
    <w:next w:val="Normal"/>
    <w:link w:val="Heading2Char"/>
    <w:qFormat/>
    <w:rsid w:val="00FF5E2D"/>
    <w:pPr>
      <w:numPr>
        <w:ilvl w:val="1"/>
        <w:numId w:val="2"/>
      </w:numPr>
      <w:ind w:left="567" w:hanging="567"/>
      <w:outlineLvl w:val="1"/>
    </w:pPr>
  </w:style>
  <w:style w:type="paragraph" w:styleId="Heading3">
    <w:name w:val="heading 3"/>
    <w:basedOn w:val="Normal"/>
    <w:next w:val="Normal"/>
    <w:link w:val="Heading3Char"/>
    <w:qFormat/>
    <w:rsid w:val="00FF5E2D"/>
    <w:pPr>
      <w:numPr>
        <w:ilvl w:val="2"/>
        <w:numId w:val="2"/>
      </w:numPr>
      <w:ind w:left="567" w:hanging="567"/>
      <w:outlineLvl w:val="2"/>
    </w:pPr>
  </w:style>
  <w:style w:type="paragraph" w:styleId="Heading4">
    <w:name w:val="heading 4"/>
    <w:basedOn w:val="Normal"/>
    <w:next w:val="Normal"/>
    <w:link w:val="Heading4Char"/>
    <w:qFormat/>
    <w:rsid w:val="00FF5E2D"/>
    <w:pPr>
      <w:numPr>
        <w:ilvl w:val="3"/>
        <w:numId w:val="2"/>
      </w:numPr>
      <w:ind w:left="567" w:hanging="567"/>
      <w:outlineLvl w:val="3"/>
    </w:pPr>
  </w:style>
  <w:style w:type="paragraph" w:styleId="Heading5">
    <w:name w:val="heading 5"/>
    <w:basedOn w:val="Normal"/>
    <w:next w:val="Normal"/>
    <w:link w:val="Heading5Char"/>
    <w:qFormat/>
    <w:rsid w:val="00FF5E2D"/>
    <w:pPr>
      <w:numPr>
        <w:ilvl w:val="4"/>
        <w:numId w:val="2"/>
      </w:numPr>
      <w:ind w:left="567" w:hanging="567"/>
      <w:outlineLvl w:val="4"/>
    </w:pPr>
  </w:style>
  <w:style w:type="paragraph" w:styleId="Heading6">
    <w:name w:val="heading 6"/>
    <w:basedOn w:val="Normal"/>
    <w:next w:val="Normal"/>
    <w:link w:val="Heading6Char"/>
    <w:qFormat/>
    <w:rsid w:val="00FF5E2D"/>
    <w:pPr>
      <w:numPr>
        <w:ilvl w:val="5"/>
        <w:numId w:val="2"/>
      </w:numPr>
      <w:ind w:left="567" w:hanging="567"/>
      <w:outlineLvl w:val="5"/>
    </w:pPr>
  </w:style>
  <w:style w:type="paragraph" w:styleId="Heading7">
    <w:name w:val="heading 7"/>
    <w:basedOn w:val="Normal"/>
    <w:next w:val="Normal"/>
    <w:link w:val="Heading7Char"/>
    <w:qFormat/>
    <w:rsid w:val="00FF5E2D"/>
    <w:pPr>
      <w:numPr>
        <w:ilvl w:val="6"/>
        <w:numId w:val="2"/>
      </w:numPr>
      <w:ind w:left="567" w:hanging="567"/>
      <w:outlineLvl w:val="6"/>
    </w:pPr>
  </w:style>
  <w:style w:type="paragraph" w:styleId="Heading8">
    <w:name w:val="heading 8"/>
    <w:basedOn w:val="Normal"/>
    <w:next w:val="Normal"/>
    <w:link w:val="Heading8Char"/>
    <w:qFormat/>
    <w:rsid w:val="00FF5E2D"/>
    <w:pPr>
      <w:numPr>
        <w:ilvl w:val="7"/>
        <w:numId w:val="2"/>
      </w:numPr>
      <w:ind w:left="567" w:hanging="567"/>
      <w:outlineLvl w:val="7"/>
    </w:pPr>
  </w:style>
  <w:style w:type="paragraph" w:styleId="Heading9">
    <w:name w:val="heading 9"/>
    <w:basedOn w:val="Normal"/>
    <w:next w:val="Normal"/>
    <w:link w:val="Heading9Char"/>
    <w:qFormat/>
    <w:rsid w:val="00FF5E2D"/>
    <w:pPr>
      <w:numPr>
        <w:ilvl w:val="8"/>
        <w:numId w:val="2"/>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cs-CZ" w:eastAsia="en-US" w:bidi="ar-SA"/>
    </w:rPr>
  </w:style>
  <w:style w:type="character" w:customStyle="1" w:styleId="Heading2Char">
    <w:name w:val="Heading 2 Char"/>
    <w:basedOn w:val="DefaultParagraphFont"/>
    <w:link w:val="Heading2"/>
    <w:locked/>
    <w:rsid w:val="00CB1536"/>
    <w:rPr>
      <w:lang w:val="cs-CZ" w:eastAsia="en-US" w:bidi="ar-SA"/>
    </w:rPr>
  </w:style>
  <w:style w:type="character" w:customStyle="1" w:styleId="Heading3Char">
    <w:name w:val="Heading 3 Char"/>
    <w:basedOn w:val="DefaultParagraphFont"/>
    <w:link w:val="Heading3"/>
    <w:locked/>
    <w:rsid w:val="00CB1536"/>
    <w:rPr>
      <w:lang w:val="cs-CZ" w:eastAsia="en-US" w:bidi="ar-SA"/>
    </w:rPr>
  </w:style>
  <w:style w:type="character" w:customStyle="1" w:styleId="Heading4Char">
    <w:name w:val="Heading 4 Char"/>
    <w:basedOn w:val="DefaultParagraphFont"/>
    <w:link w:val="Heading4"/>
    <w:locked/>
    <w:rsid w:val="00CB1536"/>
    <w:rPr>
      <w:lang w:val="cs-CZ" w:eastAsia="en-US" w:bidi="ar-SA"/>
    </w:rPr>
  </w:style>
  <w:style w:type="character" w:customStyle="1" w:styleId="Heading5Char">
    <w:name w:val="Heading 5 Char"/>
    <w:basedOn w:val="DefaultParagraphFont"/>
    <w:link w:val="Heading5"/>
    <w:locked/>
    <w:rsid w:val="00CB1536"/>
    <w:rPr>
      <w:lang w:val="cs-CZ" w:eastAsia="en-US" w:bidi="ar-SA"/>
    </w:rPr>
  </w:style>
  <w:style w:type="character" w:customStyle="1" w:styleId="Heading6Char">
    <w:name w:val="Heading 6 Char"/>
    <w:basedOn w:val="DefaultParagraphFont"/>
    <w:link w:val="Heading6"/>
    <w:locked/>
    <w:rsid w:val="00CB1536"/>
    <w:rPr>
      <w:lang w:val="cs-CZ" w:eastAsia="en-US" w:bidi="ar-SA"/>
    </w:rPr>
  </w:style>
  <w:style w:type="character" w:customStyle="1" w:styleId="Heading7Char">
    <w:name w:val="Heading 7 Char"/>
    <w:basedOn w:val="DefaultParagraphFont"/>
    <w:link w:val="Heading7"/>
    <w:locked/>
    <w:rsid w:val="00CB1536"/>
    <w:rPr>
      <w:lang w:val="cs-CZ" w:eastAsia="en-US" w:bidi="ar-SA"/>
    </w:rPr>
  </w:style>
  <w:style w:type="character" w:customStyle="1" w:styleId="Heading8Char">
    <w:name w:val="Heading 8 Char"/>
    <w:basedOn w:val="DefaultParagraphFont"/>
    <w:link w:val="Heading8"/>
    <w:locked/>
    <w:rsid w:val="00CB1536"/>
    <w:rPr>
      <w:lang w:val="cs-CZ" w:eastAsia="en-US" w:bidi="ar-SA"/>
    </w:rPr>
  </w:style>
  <w:style w:type="character" w:customStyle="1" w:styleId="Heading9Char">
    <w:name w:val="Heading 9 Char"/>
    <w:basedOn w:val="DefaultParagraphFont"/>
    <w:link w:val="Heading9"/>
    <w:locked/>
    <w:rsid w:val="00CB1536"/>
    <w:rPr>
      <w:lang w:val="cs-CZ" w:eastAsia="en-US" w:bidi="ar-SA"/>
    </w:rPr>
  </w:style>
  <w:style w:type="paragraph" w:styleId="Footer">
    <w:name w:val="footer"/>
    <w:basedOn w:val="Normal"/>
    <w:link w:val="FooterChar"/>
    <w:qFormat/>
    <w:rsid w:val="00FF5E2D"/>
  </w:style>
  <w:style w:type="character" w:customStyle="1" w:styleId="FooterChar">
    <w:name w:val="Footer Char"/>
    <w:basedOn w:val="DefaultParagraphFont"/>
    <w:link w:val="Footer"/>
    <w:locked/>
    <w:rsid w:val="00CB1536"/>
    <w:rPr>
      <w:lang w:val="cs-CZ" w:eastAsia="en-US" w:bidi="ar-SA"/>
    </w:rPr>
  </w:style>
  <w:style w:type="paragraph" w:styleId="FootnoteText">
    <w:name w:val="footnote text"/>
    <w:basedOn w:val="Normal"/>
    <w:link w:val="FootnoteTextChar"/>
    <w:qFormat/>
    <w:rsid w:val="00FF5E2D"/>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CB1536"/>
    <w:rPr>
      <w:sz w:val="16"/>
      <w:lang w:val="cs-CZ" w:eastAsia="en-US" w:bidi="ar-SA"/>
    </w:rPr>
  </w:style>
  <w:style w:type="paragraph" w:styleId="Header">
    <w:name w:val="header"/>
    <w:basedOn w:val="Normal"/>
    <w:link w:val="HeaderChar"/>
    <w:qFormat/>
    <w:rsid w:val="00FF5E2D"/>
  </w:style>
  <w:style w:type="character" w:customStyle="1" w:styleId="HeaderChar">
    <w:name w:val="Header Char"/>
    <w:basedOn w:val="DefaultParagraphFont"/>
    <w:link w:val="Header"/>
    <w:locked/>
    <w:rsid w:val="00CB1536"/>
    <w:rPr>
      <w:lang w:val="cs-CZ"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FF5E2D"/>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FF5E2D"/>
    <w:pPr>
      <w:ind w:left="720"/>
    </w:pPr>
    <w:rPr>
      <w:i/>
    </w:rPr>
  </w:style>
  <w:style w:type="paragraph" w:styleId="ListParagraph">
    <w:name w:val="List Paragraph"/>
    <w:basedOn w:val="Normal"/>
    <w:uiPriority w:val="34"/>
    <w:qFormat/>
    <w:rsid w:val="000B68FA"/>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573345"/>
    <w:pPr>
      <w:spacing w:line="240" w:lineRule="auto"/>
    </w:pPr>
    <w:rPr>
      <w:sz w:val="20"/>
    </w:rPr>
  </w:style>
  <w:style w:type="character" w:customStyle="1" w:styleId="EndnoteTextChar">
    <w:name w:val="Endnote Text Char"/>
    <w:basedOn w:val="DefaultParagraphFont"/>
    <w:link w:val="EndnoteText"/>
    <w:uiPriority w:val="99"/>
    <w:semiHidden/>
    <w:rsid w:val="00573345"/>
    <w:rPr>
      <w:sz w:val="20"/>
      <w:szCs w:val="20"/>
      <w:lang w:eastAsia="en-US" w:bidi="ar-SA"/>
    </w:rPr>
  </w:style>
  <w:style w:type="character" w:styleId="EndnoteReference">
    <w:name w:val="endnote reference"/>
    <w:basedOn w:val="DefaultParagraphFont"/>
    <w:uiPriority w:val="99"/>
    <w:semiHidden/>
    <w:unhideWhenUsed/>
    <w:rsid w:val="00573345"/>
    <w:rPr>
      <w:vertAlign w:val="superscript"/>
    </w:rPr>
  </w:style>
  <w:style w:type="character" w:styleId="CommentReference">
    <w:name w:val="annotation reference"/>
    <w:basedOn w:val="DefaultParagraphFont"/>
    <w:semiHidden/>
    <w:unhideWhenUsed/>
    <w:rsid w:val="00075024"/>
    <w:rPr>
      <w:sz w:val="16"/>
      <w:szCs w:val="16"/>
    </w:rPr>
  </w:style>
  <w:style w:type="paragraph" w:styleId="CommentText">
    <w:name w:val="annotation text"/>
    <w:basedOn w:val="Normal"/>
    <w:link w:val="CommentTextChar"/>
    <w:unhideWhenUsed/>
    <w:rsid w:val="00075024"/>
    <w:pPr>
      <w:spacing w:line="240" w:lineRule="auto"/>
    </w:pPr>
    <w:rPr>
      <w:sz w:val="20"/>
      <w:szCs w:val="20"/>
    </w:rPr>
  </w:style>
  <w:style w:type="character" w:customStyle="1" w:styleId="CommentTextChar">
    <w:name w:val="Comment Text Char"/>
    <w:basedOn w:val="DefaultParagraphFont"/>
    <w:link w:val="CommentText"/>
    <w:rsid w:val="00075024"/>
    <w:rPr>
      <w:sz w:val="20"/>
      <w:szCs w:val="20"/>
      <w:lang w:val="cs-CZ" w:eastAsia="en-US" w:bidi="ar-SA"/>
    </w:rPr>
  </w:style>
  <w:style w:type="paragraph" w:styleId="CommentSubject">
    <w:name w:val="annotation subject"/>
    <w:basedOn w:val="CommentText"/>
    <w:next w:val="CommentText"/>
    <w:link w:val="CommentSubjectChar"/>
    <w:uiPriority w:val="99"/>
    <w:semiHidden/>
    <w:unhideWhenUsed/>
    <w:rsid w:val="00075024"/>
    <w:rPr>
      <w:b/>
      <w:bCs/>
    </w:rPr>
  </w:style>
  <w:style w:type="character" w:customStyle="1" w:styleId="CommentSubjectChar">
    <w:name w:val="Comment Subject Char"/>
    <w:basedOn w:val="CommentTextChar"/>
    <w:link w:val="CommentSubject"/>
    <w:uiPriority w:val="99"/>
    <w:semiHidden/>
    <w:rsid w:val="00075024"/>
    <w:rPr>
      <w:b/>
      <w:bCs/>
      <w:sz w:val="20"/>
      <w:szCs w:val="20"/>
      <w:lang w:val="cs-CZ" w:eastAsia="en-US" w:bidi="ar-SA"/>
    </w:rPr>
  </w:style>
  <w:style w:type="character" w:customStyle="1" w:styleId="UnresolvedMention1">
    <w:name w:val="Unresolved Mention1"/>
    <w:basedOn w:val="DefaultParagraphFont"/>
    <w:uiPriority w:val="99"/>
    <w:semiHidden/>
    <w:unhideWhenUsed/>
    <w:rsid w:val="00D9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500">
      <w:bodyDiv w:val="1"/>
      <w:marLeft w:val="0"/>
      <w:marRight w:val="0"/>
      <w:marTop w:val="0"/>
      <w:marBottom w:val="0"/>
      <w:divBdr>
        <w:top w:val="none" w:sz="0" w:space="0" w:color="auto"/>
        <w:left w:val="none" w:sz="0" w:space="0" w:color="auto"/>
        <w:bottom w:val="none" w:sz="0" w:space="0" w:color="auto"/>
        <w:right w:val="none" w:sz="0" w:space="0" w:color="auto"/>
      </w:divBdr>
      <w:divsChild>
        <w:div w:id="1241595141">
          <w:marLeft w:val="0"/>
          <w:marRight w:val="0"/>
          <w:marTop w:val="0"/>
          <w:marBottom w:val="0"/>
          <w:divBdr>
            <w:top w:val="none" w:sz="0" w:space="0" w:color="auto"/>
            <w:left w:val="none" w:sz="0" w:space="0" w:color="auto"/>
            <w:bottom w:val="none" w:sz="0" w:space="0" w:color="auto"/>
            <w:right w:val="none" w:sz="0" w:space="0" w:color="auto"/>
          </w:divBdr>
          <w:divsChild>
            <w:div w:id="1277365832">
              <w:marLeft w:val="0"/>
              <w:marRight w:val="0"/>
              <w:marTop w:val="0"/>
              <w:marBottom w:val="0"/>
              <w:divBdr>
                <w:top w:val="none" w:sz="0" w:space="0" w:color="auto"/>
                <w:left w:val="none" w:sz="0" w:space="0" w:color="auto"/>
                <w:bottom w:val="none" w:sz="0" w:space="0" w:color="auto"/>
                <w:right w:val="none" w:sz="0" w:space="0" w:color="auto"/>
              </w:divBdr>
            </w:div>
            <w:div w:id="2046952548">
              <w:marLeft w:val="0"/>
              <w:marRight w:val="0"/>
              <w:marTop w:val="0"/>
              <w:marBottom w:val="0"/>
              <w:divBdr>
                <w:top w:val="none" w:sz="0" w:space="0" w:color="auto"/>
                <w:left w:val="none" w:sz="0" w:space="0" w:color="auto"/>
                <w:bottom w:val="none" w:sz="0" w:space="0" w:color="auto"/>
                <w:right w:val="none" w:sz="0" w:space="0" w:color="auto"/>
              </w:divBdr>
            </w:div>
            <w:div w:id="117846161">
              <w:marLeft w:val="0"/>
              <w:marRight w:val="0"/>
              <w:marTop w:val="0"/>
              <w:marBottom w:val="0"/>
              <w:divBdr>
                <w:top w:val="none" w:sz="0" w:space="0" w:color="auto"/>
                <w:left w:val="none" w:sz="0" w:space="0" w:color="auto"/>
                <w:bottom w:val="none" w:sz="0" w:space="0" w:color="auto"/>
                <w:right w:val="none" w:sz="0" w:space="0" w:color="auto"/>
              </w:divBdr>
            </w:div>
            <w:div w:id="1145925578">
              <w:marLeft w:val="0"/>
              <w:marRight w:val="0"/>
              <w:marTop w:val="0"/>
              <w:marBottom w:val="0"/>
              <w:divBdr>
                <w:top w:val="none" w:sz="0" w:space="0" w:color="auto"/>
                <w:left w:val="none" w:sz="0" w:space="0" w:color="auto"/>
                <w:bottom w:val="none" w:sz="0" w:space="0" w:color="auto"/>
                <w:right w:val="none" w:sz="0" w:space="0" w:color="auto"/>
              </w:divBdr>
            </w:div>
            <w:div w:id="1395005617">
              <w:marLeft w:val="0"/>
              <w:marRight w:val="0"/>
              <w:marTop w:val="0"/>
              <w:marBottom w:val="0"/>
              <w:divBdr>
                <w:top w:val="none" w:sz="0" w:space="0" w:color="auto"/>
                <w:left w:val="none" w:sz="0" w:space="0" w:color="auto"/>
                <w:bottom w:val="none" w:sz="0" w:space="0" w:color="auto"/>
                <w:right w:val="none" w:sz="0" w:space="0" w:color="auto"/>
              </w:divBdr>
            </w:div>
          </w:divsChild>
        </w:div>
        <w:div w:id="1088770290">
          <w:marLeft w:val="0"/>
          <w:marRight w:val="0"/>
          <w:marTop w:val="0"/>
          <w:marBottom w:val="0"/>
          <w:divBdr>
            <w:top w:val="none" w:sz="0" w:space="0" w:color="auto"/>
            <w:left w:val="none" w:sz="0" w:space="0" w:color="auto"/>
            <w:bottom w:val="none" w:sz="0" w:space="0" w:color="auto"/>
            <w:right w:val="none" w:sz="0" w:space="0" w:color="auto"/>
          </w:divBdr>
          <w:divsChild>
            <w:div w:id="903494865">
              <w:marLeft w:val="-75"/>
              <w:marRight w:val="0"/>
              <w:marTop w:val="30"/>
              <w:marBottom w:val="30"/>
              <w:divBdr>
                <w:top w:val="none" w:sz="0" w:space="0" w:color="auto"/>
                <w:left w:val="none" w:sz="0" w:space="0" w:color="auto"/>
                <w:bottom w:val="none" w:sz="0" w:space="0" w:color="auto"/>
                <w:right w:val="none" w:sz="0" w:space="0" w:color="auto"/>
              </w:divBdr>
              <w:divsChild>
                <w:div w:id="384841762">
                  <w:marLeft w:val="0"/>
                  <w:marRight w:val="0"/>
                  <w:marTop w:val="0"/>
                  <w:marBottom w:val="0"/>
                  <w:divBdr>
                    <w:top w:val="none" w:sz="0" w:space="0" w:color="auto"/>
                    <w:left w:val="none" w:sz="0" w:space="0" w:color="auto"/>
                    <w:bottom w:val="none" w:sz="0" w:space="0" w:color="auto"/>
                    <w:right w:val="none" w:sz="0" w:space="0" w:color="auto"/>
                  </w:divBdr>
                  <w:divsChild>
                    <w:div w:id="78647945">
                      <w:marLeft w:val="0"/>
                      <w:marRight w:val="0"/>
                      <w:marTop w:val="0"/>
                      <w:marBottom w:val="0"/>
                      <w:divBdr>
                        <w:top w:val="none" w:sz="0" w:space="0" w:color="auto"/>
                        <w:left w:val="none" w:sz="0" w:space="0" w:color="auto"/>
                        <w:bottom w:val="none" w:sz="0" w:space="0" w:color="auto"/>
                        <w:right w:val="none" w:sz="0" w:space="0" w:color="auto"/>
                      </w:divBdr>
                    </w:div>
                  </w:divsChild>
                </w:div>
                <w:div w:id="2019237185">
                  <w:marLeft w:val="0"/>
                  <w:marRight w:val="0"/>
                  <w:marTop w:val="0"/>
                  <w:marBottom w:val="0"/>
                  <w:divBdr>
                    <w:top w:val="none" w:sz="0" w:space="0" w:color="auto"/>
                    <w:left w:val="none" w:sz="0" w:space="0" w:color="auto"/>
                    <w:bottom w:val="none" w:sz="0" w:space="0" w:color="auto"/>
                    <w:right w:val="none" w:sz="0" w:space="0" w:color="auto"/>
                  </w:divBdr>
                  <w:divsChild>
                    <w:div w:id="1996838574">
                      <w:marLeft w:val="0"/>
                      <w:marRight w:val="0"/>
                      <w:marTop w:val="0"/>
                      <w:marBottom w:val="0"/>
                      <w:divBdr>
                        <w:top w:val="none" w:sz="0" w:space="0" w:color="auto"/>
                        <w:left w:val="none" w:sz="0" w:space="0" w:color="auto"/>
                        <w:bottom w:val="none" w:sz="0" w:space="0" w:color="auto"/>
                        <w:right w:val="none" w:sz="0" w:space="0" w:color="auto"/>
                      </w:divBdr>
                    </w:div>
                  </w:divsChild>
                </w:div>
                <w:div w:id="1534490734">
                  <w:marLeft w:val="0"/>
                  <w:marRight w:val="0"/>
                  <w:marTop w:val="0"/>
                  <w:marBottom w:val="0"/>
                  <w:divBdr>
                    <w:top w:val="none" w:sz="0" w:space="0" w:color="auto"/>
                    <w:left w:val="none" w:sz="0" w:space="0" w:color="auto"/>
                    <w:bottom w:val="none" w:sz="0" w:space="0" w:color="auto"/>
                    <w:right w:val="none" w:sz="0" w:space="0" w:color="auto"/>
                  </w:divBdr>
                  <w:divsChild>
                    <w:div w:id="1465078362">
                      <w:marLeft w:val="0"/>
                      <w:marRight w:val="0"/>
                      <w:marTop w:val="0"/>
                      <w:marBottom w:val="0"/>
                      <w:divBdr>
                        <w:top w:val="none" w:sz="0" w:space="0" w:color="auto"/>
                        <w:left w:val="none" w:sz="0" w:space="0" w:color="auto"/>
                        <w:bottom w:val="none" w:sz="0" w:space="0" w:color="auto"/>
                        <w:right w:val="none" w:sz="0" w:space="0" w:color="auto"/>
                      </w:divBdr>
                    </w:div>
                  </w:divsChild>
                </w:div>
                <w:div w:id="1881934417">
                  <w:marLeft w:val="0"/>
                  <w:marRight w:val="0"/>
                  <w:marTop w:val="0"/>
                  <w:marBottom w:val="0"/>
                  <w:divBdr>
                    <w:top w:val="none" w:sz="0" w:space="0" w:color="auto"/>
                    <w:left w:val="none" w:sz="0" w:space="0" w:color="auto"/>
                    <w:bottom w:val="none" w:sz="0" w:space="0" w:color="auto"/>
                    <w:right w:val="none" w:sz="0" w:space="0" w:color="auto"/>
                  </w:divBdr>
                  <w:divsChild>
                    <w:div w:id="11565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39279">
          <w:marLeft w:val="0"/>
          <w:marRight w:val="0"/>
          <w:marTop w:val="0"/>
          <w:marBottom w:val="0"/>
          <w:divBdr>
            <w:top w:val="none" w:sz="0" w:space="0" w:color="auto"/>
            <w:left w:val="none" w:sz="0" w:space="0" w:color="auto"/>
            <w:bottom w:val="none" w:sz="0" w:space="0" w:color="auto"/>
            <w:right w:val="none" w:sz="0" w:space="0" w:color="auto"/>
          </w:divBdr>
        </w:div>
        <w:div w:id="1253198023">
          <w:marLeft w:val="0"/>
          <w:marRight w:val="0"/>
          <w:marTop w:val="0"/>
          <w:marBottom w:val="0"/>
          <w:divBdr>
            <w:top w:val="none" w:sz="0" w:space="0" w:color="auto"/>
            <w:left w:val="none" w:sz="0" w:space="0" w:color="auto"/>
            <w:bottom w:val="none" w:sz="0" w:space="0" w:color="auto"/>
            <w:right w:val="none" w:sz="0" w:space="0" w:color="auto"/>
          </w:divBdr>
          <w:divsChild>
            <w:div w:id="1032265375">
              <w:marLeft w:val="-75"/>
              <w:marRight w:val="0"/>
              <w:marTop w:val="30"/>
              <w:marBottom w:val="30"/>
              <w:divBdr>
                <w:top w:val="none" w:sz="0" w:space="0" w:color="auto"/>
                <w:left w:val="none" w:sz="0" w:space="0" w:color="auto"/>
                <w:bottom w:val="none" w:sz="0" w:space="0" w:color="auto"/>
                <w:right w:val="none" w:sz="0" w:space="0" w:color="auto"/>
              </w:divBdr>
              <w:divsChild>
                <w:div w:id="869882954">
                  <w:marLeft w:val="0"/>
                  <w:marRight w:val="0"/>
                  <w:marTop w:val="0"/>
                  <w:marBottom w:val="0"/>
                  <w:divBdr>
                    <w:top w:val="none" w:sz="0" w:space="0" w:color="auto"/>
                    <w:left w:val="none" w:sz="0" w:space="0" w:color="auto"/>
                    <w:bottom w:val="none" w:sz="0" w:space="0" w:color="auto"/>
                    <w:right w:val="none" w:sz="0" w:space="0" w:color="auto"/>
                  </w:divBdr>
                  <w:divsChild>
                    <w:div w:id="1032001996">
                      <w:marLeft w:val="0"/>
                      <w:marRight w:val="0"/>
                      <w:marTop w:val="0"/>
                      <w:marBottom w:val="0"/>
                      <w:divBdr>
                        <w:top w:val="none" w:sz="0" w:space="0" w:color="auto"/>
                        <w:left w:val="none" w:sz="0" w:space="0" w:color="auto"/>
                        <w:bottom w:val="none" w:sz="0" w:space="0" w:color="auto"/>
                        <w:right w:val="none" w:sz="0" w:space="0" w:color="auto"/>
                      </w:divBdr>
                    </w:div>
                  </w:divsChild>
                </w:div>
                <w:div w:id="1750351379">
                  <w:marLeft w:val="0"/>
                  <w:marRight w:val="0"/>
                  <w:marTop w:val="0"/>
                  <w:marBottom w:val="0"/>
                  <w:divBdr>
                    <w:top w:val="none" w:sz="0" w:space="0" w:color="auto"/>
                    <w:left w:val="none" w:sz="0" w:space="0" w:color="auto"/>
                    <w:bottom w:val="none" w:sz="0" w:space="0" w:color="auto"/>
                    <w:right w:val="none" w:sz="0" w:space="0" w:color="auto"/>
                  </w:divBdr>
                  <w:divsChild>
                    <w:div w:id="506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416">
          <w:marLeft w:val="0"/>
          <w:marRight w:val="0"/>
          <w:marTop w:val="0"/>
          <w:marBottom w:val="0"/>
          <w:divBdr>
            <w:top w:val="none" w:sz="0" w:space="0" w:color="auto"/>
            <w:left w:val="none" w:sz="0" w:space="0" w:color="auto"/>
            <w:bottom w:val="none" w:sz="0" w:space="0" w:color="auto"/>
            <w:right w:val="none" w:sz="0" w:space="0" w:color="auto"/>
          </w:divBdr>
        </w:div>
        <w:div w:id="926841864">
          <w:marLeft w:val="0"/>
          <w:marRight w:val="0"/>
          <w:marTop w:val="0"/>
          <w:marBottom w:val="0"/>
          <w:divBdr>
            <w:top w:val="none" w:sz="0" w:space="0" w:color="auto"/>
            <w:left w:val="none" w:sz="0" w:space="0" w:color="auto"/>
            <w:bottom w:val="none" w:sz="0" w:space="0" w:color="auto"/>
            <w:right w:val="none" w:sz="0" w:space="0" w:color="auto"/>
          </w:divBdr>
        </w:div>
        <w:div w:id="2029601939">
          <w:marLeft w:val="0"/>
          <w:marRight w:val="0"/>
          <w:marTop w:val="0"/>
          <w:marBottom w:val="0"/>
          <w:divBdr>
            <w:top w:val="none" w:sz="0" w:space="0" w:color="auto"/>
            <w:left w:val="none" w:sz="0" w:space="0" w:color="auto"/>
            <w:bottom w:val="none" w:sz="0" w:space="0" w:color="auto"/>
            <w:right w:val="none" w:sz="0" w:space="0" w:color="auto"/>
          </w:divBdr>
        </w:div>
        <w:div w:id="1713111492">
          <w:marLeft w:val="0"/>
          <w:marRight w:val="0"/>
          <w:marTop w:val="0"/>
          <w:marBottom w:val="0"/>
          <w:divBdr>
            <w:top w:val="none" w:sz="0" w:space="0" w:color="auto"/>
            <w:left w:val="none" w:sz="0" w:space="0" w:color="auto"/>
            <w:bottom w:val="none" w:sz="0" w:space="0" w:color="auto"/>
            <w:right w:val="none" w:sz="0" w:space="0" w:color="auto"/>
          </w:divBdr>
        </w:div>
        <w:div w:id="1097097468">
          <w:marLeft w:val="0"/>
          <w:marRight w:val="0"/>
          <w:marTop w:val="0"/>
          <w:marBottom w:val="0"/>
          <w:divBdr>
            <w:top w:val="none" w:sz="0" w:space="0" w:color="auto"/>
            <w:left w:val="none" w:sz="0" w:space="0" w:color="auto"/>
            <w:bottom w:val="none" w:sz="0" w:space="0" w:color="auto"/>
            <w:right w:val="none" w:sz="0" w:space="0" w:color="auto"/>
          </w:divBdr>
          <w:divsChild>
            <w:div w:id="2092576736">
              <w:marLeft w:val="-75"/>
              <w:marRight w:val="0"/>
              <w:marTop w:val="30"/>
              <w:marBottom w:val="30"/>
              <w:divBdr>
                <w:top w:val="none" w:sz="0" w:space="0" w:color="auto"/>
                <w:left w:val="none" w:sz="0" w:space="0" w:color="auto"/>
                <w:bottom w:val="none" w:sz="0" w:space="0" w:color="auto"/>
                <w:right w:val="none" w:sz="0" w:space="0" w:color="auto"/>
              </w:divBdr>
              <w:divsChild>
                <w:div w:id="1437673744">
                  <w:marLeft w:val="0"/>
                  <w:marRight w:val="0"/>
                  <w:marTop w:val="0"/>
                  <w:marBottom w:val="0"/>
                  <w:divBdr>
                    <w:top w:val="none" w:sz="0" w:space="0" w:color="auto"/>
                    <w:left w:val="none" w:sz="0" w:space="0" w:color="auto"/>
                    <w:bottom w:val="none" w:sz="0" w:space="0" w:color="auto"/>
                    <w:right w:val="none" w:sz="0" w:space="0" w:color="auto"/>
                  </w:divBdr>
                  <w:divsChild>
                    <w:div w:id="1199704467">
                      <w:marLeft w:val="0"/>
                      <w:marRight w:val="0"/>
                      <w:marTop w:val="0"/>
                      <w:marBottom w:val="0"/>
                      <w:divBdr>
                        <w:top w:val="none" w:sz="0" w:space="0" w:color="auto"/>
                        <w:left w:val="none" w:sz="0" w:space="0" w:color="auto"/>
                        <w:bottom w:val="none" w:sz="0" w:space="0" w:color="auto"/>
                        <w:right w:val="none" w:sz="0" w:space="0" w:color="auto"/>
                      </w:divBdr>
                    </w:div>
                  </w:divsChild>
                </w:div>
                <w:div w:id="1823236175">
                  <w:marLeft w:val="0"/>
                  <w:marRight w:val="0"/>
                  <w:marTop w:val="0"/>
                  <w:marBottom w:val="0"/>
                  <w:divBdr>
                    <w:top w:val="none" w:sz="0" w:space="0" w:color="auto"/>
                    <w:left w:val="none" w:sz="0" w:space="0" w:color="auto"/>
                    <w:bottom w:val="none" w:sz="0" w:space="0" w:color="auto"/>
                    <w:right w:val="none" w:sz="0" w:space="0" w:color="auto"/>
                  </w:divBdr>
                  <w:divsChild>
                    <w:div w:id="1449548169">
                      <w:marLeft w:val="0"/>
                      <w:marRight w:val="0"/>
                      <w:marTop w:val="0"/>
                      <w:marBottom w:val="0"/>
                      <w:divBdr>
                        <w:top w:val="none" w:sz="0" w:space="0" w:color="auto"/>
                        <w:left w:val="none" w:sz="0" w:space="0" w:color="auto"/>
                        <w:bottom w:val="none" w:sz="0" w:space="0" w:color="auto"/>
                        <w:right w:val="none" w:sz="0" w:space="0" w:color="auto"/>
                      </w:divBdr>
                    </w:div>
                  </w:divsChild>
                </w:div>
                <w:div w:id="2066830890">
                  <w:marLeft w:val="0"/>
                  <w:marRight w:val="0"/>
                  <w:marTop w:val="0"/>
                  <w:marBottom w:val="0"/>
                  <w:divBdr>
                    <w:top w:val="none" w:sz="0" w:space="0" w:color="auto"/>
                    <w:left w:val="none" w:sz="0" w:space="0" w:color="auto"/>
                    <w:bottom w:val="none" w:sz="0" w:space="0" w:color="auto"/>
                    <w:right w:val="none" w:sz="0" w:space="0" w:color="auto"/>
                  </w:divBdr>
                  <w:divsChild>
                    <w:div w:id="1837573810">
                      <w:marLeft w:val="0"/>
                      <w:marRight w:val="0"/>
                      <w:marTop w:val="0"/>
                      <w:marBottom w:val="0"/>
                      <w:divBdr>
                        <w:top w:val="none" w:sz="0" w:space="0" w:color="auto"/>
                        <w:left w:val="none" w:sz="0" w:space="0" w:color="auto"/>
                        <w:bottom w:val="none" w:sz="0" w:space="0" w:color="auto"/>
                        <w:right w:val="none" w:sz="0" w:space="0" w:color="auto"/>
                      </w:divBdr>
                    </w:div>
                  </w:divsChild>
                </w:div>
                <w:div w:id="862598018">
                  <w:marLeft w:val="0"/>
                  <w:marRight w:val="0"/>
                  <w:marTop w:val="0"/>
                  <w:marBottom w:val="0"/>
                  <w:divBdr>
                    <w:top w:val="none" w:sz="0" w:space="0" w:color="auto"/>
                    <w:left w:val="none" w:sz="0" w:space="0" w:color="auto"/>
                    <w:bottom w:val="none" w:sz="0" w:space="0" w:color="auto"/>
                    <w:right w:val="none" w:sz="0" w:space="0" w:color="auto"/>
                  </w:divBdr>
                  <w:divsChild>
                    <w:div w:id="781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486">
          <w:marLeft w:val="0"/>
          <w:marRight w:val="0"/>
          <w:marTop w:val="0"/>
          <w:marBottom w:val="0"/>
          <w:divBdr>
            <w:top w:val="none" w:sz="0" w:space="0" w:color="auto"/>
            <w:left w:val="none" w:sz="0" w:space="0" w:color="auto"/>
            <w:bottom w:val="none" w:sz="0" w:space="0" w:color="auto"/>
            <w:right w:val="none" w:sz="0" w:space="0" w:color="auto"/>
          </w:divBdr>
        </w:div>
        <w:div w:id="77101897">
          <w:marLeft w:val="0"/>
          <w:marRight w:val="0"/>
          <w:marTop w:val="0"/>
          <w:marBottom w:val="0"/>
          <w:divBdr>
            <w:top w:val="none" w:sz="0" w:space="0" w:color="auto"/>
            <w:left w:val="none" w:sz="0" w:space="0" w:color="auto"/>
            <w:bottom w:val="none" w:sz="0" w:space="0" w:color="auto"/>
            <w:right w:val="none" w:sz="0" w:space="0" w:color="auto"/>
          </w:divBdr>
          <w:divsChild>
            <w:div w:id="207911718">
              <w:marLeft w:val="-75"/>
              <w:marRight w:val="0"/>
              <w:marTop w:val="30"/>
              <w:marBottom w:val="30"/>
              <w:divBdr>
                <w:top w:val="none" w:sz="0" w:space="0" w:color="auto"/>
                <w:left w:val="none" w:sz="0" w:space="0" w:color="auto"/>
                <w:bottom w:val="none" w:sz="0" w:space="0" w:color="auto"/>
                <w:right w:val="none" w:sz="0" w:space="0" w:color="auto"/>
              </w:divBdr>
              <w:divsChild>
                <w:div w:id="1728456931">
                  <w:marLeft w:val="0"/>
                  <w:marRight w:val="0"/>
                  <w:marTop w:val="0"/>
                  <w:marBottom w:val="0"/>
                  <w:divBdr>
                    <w:top w:val="none" w:sz="0" w:space="0" w:color="auto"/>
                    <w:left w:val="none" w:sz="0" w:space="0" w:color="auto"/>
                    <w:bottom w:val="none" w:sz="0" w:space="0" w:color="auto"/>
                    <w:right w:val="none" w:sz="0" w:space="0" w:color="auto"/>
                  </w:divBdr>
                  <w:divsChild>
                    <w:div w:id="1334838238">
                      <w:marLeft w:val="0"/>
                      <w:marRight w:val="0"/>
                      <w:marTop w:val="0"/>
                      <w:marBottom w:val="0"/>
                      <w:divBdr>
                        <w:top w:val="none" w:sz="0" w:space="0" w:color="auto"/>
                        <w:left w:val="none" w:sz="0" w:space="0" w:color="auto"/>
                        <w:bottom w:val="none" w:sz="0" w:space="0" w:color="auto"/>
                        <w:right w:val="none" w:sz="0" w:space="0" w:color="auto"/>
                      </w:divBdr>
                    </w:div>
                  </w:divsChild>
                </w:div>
                <w:div w:id="1679229970">
                  <w:marLeft w:val="0"/>
                  <w:marRight w:val="0"/>
                  <w:marTop w:val="0"/>
                  <w:marBottom w:val="0"/>
                  <w:divBdr>
                    <w:top w:val="none" w:sz="0" w:space="0" w:color="auto"/>
                    <w:left w:val="none" w:sz="0" w:space="0" w:color="auto"/>
                    <w:bottom w:val="none" w:sz="0" w:space="0" w:color="auto"/>
                    <w:right w:val="none" w:sz="0" w:space="0" w:color="auto"/>
                  </w:divBdr>
                  <w:divsChild>
                    <w:div w:id="375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4851">
          <w:marLeft w:val="0"/>
          <w:marRight w:val="0"/>
          <w:marTop w:val="0"/>
          <w:marBottom w:val="0"/>
          <w:divBdr>
            <w:top w:val="none" w:sz="0" w:space="0" w:color="auto"/>
            <w:left w:val="none" w:sz="0" w:space="0" w:color="auto"/>
            <w:bottom w:val="none" w:sz="0" w:space="0" w:color="auto"/>
            <w:right w:val="none" w:sz="0" w:space="0" w:color="auto"/>
          </w:divBdr>
        </w:div>
        <w:div w:id="241960356">
          <w:marLeft w:val="0"/>
          <w:marRight w:val="0"/>
          <w:marTop w:val="0"/>
          <w:marBottom w:val="0"/>
          <w:divBdr>
            <w:top w:val="none" w:sz="0" w:space="0" w:color="auto"/>
            <w:left w:val="none" w:sz="0" w:space="0" w:color="auto"/>
            <w:bottom w:val="none" w:sz="0" w:space="0" w:color="auto"/>
            <w:right w:val="none" w:sz="0" w:space="0" w:color="auto"/>
          </w:divBdr>
        </w:div>
        <w:div w:id="1639259846">
          <w:marLeft w:val="0"/>
          <w:marRight w:val="0"/>
          <w:marTop w:val="0"/>
          <w:marBottom w:val="0"/>
          <w:divBdr>
            <w:top w:val="none" w:sz="0" w:space="0" w:color="auto"/>
            <w:left w:val="none" w:sz="0" w:space="0" w:color="auto"/>
            <w:bottom w:val="none" w:sz="0" w:space="0" w:color="auto"/>
            <w:right w:val="none" w:sz="0" w:space="0" w:color="auto"/>
          </w:divBdr>
        </w:div>
        <w:div w:id="341977377">
          <w:marLeft w:val="0"/>
          <w:marRight w:val="0"/>
          <w:marTop w:val="0"/>
          <w:marBottom w:val="0"/>
          <w:divBdr>
            <w:top w:val="none" w:sz="0" w:space="0" w:color="auto"/>
            <w:left w:val="none" w:sz="0" w:space="0" w:color="auto"/>
            <w:bottom w:val="none" w:sz="0" w:space="0" w:color="auto"/>
            <w:right w:val="none" w:sz="0" w:space="0" w:color="auto"/>
          </w:divBdr>
        </w:div>
        <w:div w:id="1600094101">
          <w:marLeft w:val="0"/>
          <w:marRight w:val="0"/>
          <w:marTop w:val="0"/>
          <w:marBottom w:val="0"/>
          <w:divBdr>
            <w:top w:val="none" w:sz="0" w:space="0" w:color="auto"/>
            <w:left w:val="none" w:sz="0" w:space="0" w:color="auto"/>
            <w:bottom w:val="none" w:sz="0" w:space="0" w:color="auto"/>
            <w:right w:val="none" w:sz="0" w:space="0" w:color="auto"/>
          </w:divBdr>
          <w:divsChild>
            <w:div w:id="1400900001">
              <w:marLeft w:val="-75"/>
              <w:marRight w:val="0"/>
              <w:marTop w:val="30"/>
              <w:marBottom w:val="30"/>
              <w:divBdr>
                <w:top w:val="none" w:sz="0" w:space="0" w:color="auto"/>
                <w:left w:val="none" w:sz="0" w:space="0" w:color="auto"/>
                <w:bottom w:val="none" w:sz="0" w:space="0" w:color="auto"/>
                <w:right w:val="none" w:sz="0" w:space="0" w:color="auto"/>
              </w:divBdr>
              <w:divsChild>
                <w:div w:id="1091121428">
                  <w:marLeft w:val="0"/>
                  <w:marRight w:val="0"/>
                  <w:marTop w:val="0"/>
                  <w:marBottom w:val="0"/>
                  <w:divBdr>
                    <w:top w:val="none" w:sz="0" w:space="0" w:color="auto"/>
                    <w:left w:val="none" w:sz="0" w:space="0" w:color="auto"/>
                    <w:bottom w:val="none" w:sz="0" w:space="0" w:color="auto"/>
                    <w:right w:val="none" w:sz="0" w:space="0" w:color="auto"/>
                  </w:divBdr>
                  <w:divsChild>
                    <w:div w:id="2002737313">
                      <w:marLeft w:val="0"/>
                      <w:marRight w:val="0"/>
                      <w:marTop w:val="0"/>
                      <w:marBottom w:val="0"/>
                      <w:divBdr>
                        <w:top w:val="none" w:sz="0" w:space="0" w:color="auto"/>
                        <w:left w:val="none" w:sz="0" w:space="0" w:color="auto"/>
                        <w:bottom w:val="none" w:sz="0" w:space="0" w:color="auto"/>
                        <w:right w:val="none" w:sz="0" w:space="0" w:color="auto"/>
                      </w:divBdr>
                    </w:div>
                  </w:divsChild>
                </w:div>
                <w:div w:id="866672889">
                  <w:marLeft w:val="0"/>
                  <w:marRight w:val="0"/>
                  <w:marTop w:val="0"/>
                  <w:marBottom w:val="0"/>
                  <w:divBdr>
                    <w:top w:val="none" w:sz="0" w:space="0" w:color="auto"/>
                    <w:left w:val="none" w:sz="0" w:space="0" w:color="auto"/>
                    <w:bottom w:val="none" w:sz="0" w:space="0" w:color="auto"/>
                    <w:right w:val="none" w:sz="0" w:space="0" w:color="auto"/>
                  </w:divBdr>
                  <w:divsChild>
                    <w:div w:id="1971519756">
                      <w:marLeft w:val="0"/>
                      <w:marRight w:val="0"/>
                      <w:marTop w:val="0"/>
                      <w:marBottom w:val="0"/>
                      <w:divBdr>
                        <w:top w:val="none" w:sz="0" w:space="0" w:color="auto"/>
                        <w:left w:val="none" w:sz="0" w:space="0" w:color="auto"/>
                        <w:bottom w:val="none" w:sz="0" w:space="0" w:color="auto"/>
                        <w:right w:val="none" w:sz="0" w:space="0" w:color="auto"/>
                      </w:divBdr>
                    </w:div>
                  </w:divsChild>
                </w:div>
                <w:div w:id="599720890">
                  <w:marLeft w:val="0"/>
                  <w:marRight w:val="0"/>
                  <w:marTop w:val="0"/>
                  <w:marBottom w:val="0"/>
                  <w:divBdr>
                    <w:top w:val="none" w:sz="0" w:space="0" w:color="auto"/>
                    <w:left w:val="none" w:sz="0" w:space="0" w:color="auto"/>
                    <w:bottom w:val="none" w:sz="0" w:space="0" w:color="auto"/>
                    <w:right w:val="none" w:sz="0" w:space="0" w:color="auto"/>
                  </w:divBdr>
                  <w:divsChild>
                    <w:div w:id="1654063972">
                      <w:marLeft w:val="0"/>
                      <w:marRight w:val="0"/>
                      <w:marTop w:val="0"/>
                      <w:marBottom w:val="0"/>
                      <w:divBdr>
                        <w:top w:val="none" w:sz="0" w:space="0" w:color="auto"/>
                        <w:left w:val="none" w:sz="0" w:space="0" w:color="auto"/>
                        <w:bottom w:val="none" w:sz="0" w:space="0" w:color="auto"/>
                        <w:right w:val="none" w:sz="0" w:space="0" w:color="auto"/>
                      </w:divBdr>
                    </w:div>
                  </w:divsChild>
                </w:div>
                <w:div w:id="1160584331">
                  <w:marLeft w:val="0"/>
                  <w:marRight w:val="0"/>
                  <w:marTop w:val="0"/>
                  <w:marBottom w:val="0"/>
                  <w:divBdr>
                    <w:top w:val="none" w:sz="0" w:space="0" w:color="auto"/>
                    <w:left w:val="none" w:sz="0" w:space="0" w:color="auto"/>
                    <w:bottom w:val="none" w:sz="0" w:space="0" w:color="auto"/>
                    <w:right w:val="none" w:sz="0" w:space="0" w:color="auto"/>
                  </w:divBdr>
                  <w:divsChild>
                    <w:div w:id="2629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623">
          <w:marLeft w:val="0"/>
          <w:marRight w:val="0"/>
          <w:marTop w:val="0"/>
          <w:marBottom w:val="0"/>
          <w:divBdr>
            <w:top w:val="none" w:sz="0" w:space="0" w:color="auto"/>
            <w:left w:val="none" w:sz="0" w:space="0" w:color="auto"/>
            <w:bottom w:val="none" w:sz="0" w:space="0" w:color="auto"/>
            <w:right w:val="none" w:sz="0" w:space="0" w:color="auto"/>
          </w:divBdr>
        </w:div>
        <w:div w:id="1300958237">
          <w:marLeft w:val="0"/>
          <w:marRight w:val="0"/>
          <w:marTop w:val="0"/>
          <w:marBottom w:val="0"/>
          <w:divBdr>
            <w:top w:val="none" w:sz="0" w:space="0" w:color="auto"/>
            <w:left w:val="none" w:sz="0" w:space="0" w:color="auto"/>
            <w:bottom w:val="none" w:sz="0" w:space="0" w:color="auto"/>
            <w:right w:val="none" w:sz="0" w:space="0" w:color="auto"/>
          </w:divBdr>
          <w:divsChild>
            <w:div w:id="1083798021">
              <w:marLeft w:val="-75"/>
              <w:marRight w:val="0"/>
              <w:marTop w:val="30"/>
              <w:marBottom w:val="30"/>
              <w:divBdr>
                <w:top w:val="none" w:sz="0" w:space="0" w:color="auto"/>
                <w:left w:val="none" w:sz="0" w:space="0" w:color="auto"/>
                <w:bottom w:val="none" w:sz="0" w:space="0" w:color="auto"/>
                <w:right w:val="none" w:sz="0" w:space="0" w:color="auto"/>
              </w:divBdr>
              <w:divsChild>
                <w:div w:id="261913413">
                  <w:marLeft w:val="0"/>
                  <w:marRight w:val="0"/>
                  <w:marTop w:val="0"/>
                  <w:marBottom w:val="0"/>
                  <w:divBdr>
                    <w:top w:val="none" w:sz="0" w:space="0" w:color="auto"/>
                    <w:left w:val="none" w:sz="0" w:space="0" w:color="auto"/>
                    <w:bottom w:val="none" w:sz="0" w:space="0" w:color="auto"/>
                    <w:right w:val="none" w:sz="0" w:space="0" w:color="auto"/>
                  </w:divBdr>
                  <w:divsChild>
                    <w:div w:id="1152411509">
                      <w:marLeft w:val="0"/>
                      <w:marRight w:val="0"/>
                      <w:marTop w:val="0"/>
                      <w:marBottom w:val="0"/>
                      <w:divBdr>
                        <w:top w:val="none" w:sz="0" w:space="0" w:color="auto"/>
                        <w:left w:val="none" w:sz="0" w:space="0" w:color="auto"/>
                        <w:bottom w:val="none" w:sz="0" w:space="0" w:color="auto"/>
                        <w:right w:val="none" w:sz="0" w:space="0" w:color="auto"/>
                      </w:divBdr>
                    </w:div>
                  </w:divsChild>
                </w:div>
                <w:div w:id="774710644">
                  <w:marLeft w:val="0"/>
                  <w:marRight w:val="0"/>
                  <w:marTop w:val="0"/>
                  <w:marBottom w:val="0"/>
                  <w:divBdr>
                    <w:top w:val="none" w:sz="0" w:space="0" w:color="auto"/>
                    <w:left w:val="none" w:sz="0" w:space="0" w:color="auto"/>
                    <w:bottom w:val="none" w:sz="0" w:space="0" w:color="auto"/>
                    <w:right w:val="none" w:sz="0" w:space="0" w:color="auto"/>
                  </w:divBdr>
                  <w:divsChild>
                    <w:div w:id="81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2021">
          <w:marLeft w:val="0"/>
          <w:marRight w:val="0"/>
          <w:marTop w:val="0"/>
          <w:marBottom w:val="0"/>
          <w:divBdr>
            <w:top w:val="none" w:sz="0" w:space="0" w:color="auto"/>
            <w:left w:val="none" w:sz="0" w:space="0" w:color="auto"/>
            <w:bottom w:val="none" w:sz="0" w:space="0" w:color="auto"/>
            <w:right w:val="none" w:sz="0" w:space="0" w:color="auto"/>
          </w:divBdr>
          <w:divsChild>
            <w:div w:id="306782878">
              <w:marLeft w:val="0"/>
              <w:marRight w:val="0"/>
              <w:marTop w:val="0"/>
              <w:marBottom w:val="0"/>
              <w:divBdr>
                <w:top w:val="none" w:sz="0" w:space="0" w:color="auto"/>
                <w:left w:val="none" w:sz="0" w:space="0" w:color="auto"/>
                <w:bottom w:val="none" w:sz="0" w:space="0" w:color="auto"/>
                <w:right w:val="none" w:sz="0" w:space="0" w:color="auto"/>
              </w:divBdr>
            </w:div>
            <w:div w:id="225604204">
              <w:marLeft w:val="0"/>
              <w:marRight w:val="0"/>
              <w:marTop w:val="0"/>
              <w:marBottom w:val="0"/>
              <w:divBdr>
                <w:top w:val="none" w:sz="0" w:space="0" w:color="auto"/>
                <w:left w:val="none" w:sz="0" w:space="0" w:color="auto"/>
                <w:bottom w:val="none" w:sz="0" w:space="0" w:color="auto"/>
                <w:right w:val="none" w:sz="0" w:space="0" w:color="auto"/>
              </w:divBdr>
            </w:div>
            <w:div w:id="836308734">
              <w:marLeft w:val="0"/>
              <w:marRight w:val="0"/>
              <w:marTop w:val="0"/>
              <w:marBottom w:val="0"/>
              <w:divBdr>
                <w:top w:val="none" w:sz="0" w:space="0" w:color="auto"/>
                <w:left w:val="none" w:sz="0" w:space="0" w:color="auto"/>
                <w:bottom w:val="none" w:sz="0" w:space="0" w:color="auto"/>
                <w:right w:val="none" w:sz="0" w:space="0" w:color="auto"/>
              </w:divBdr>
            </w:div>
            <w:div w:id="846529254">
              <w:marLeft w:val="0"/>
              <w:marRight w:val="0"/>
              <w:marTop w:val="0"/>
              <w:marBottom w:val="0"/>
              <w:divBdr>
                <w:top w:val="none" w:sz="0" w:space="0" w:color="auto"/>
                <w:left w:val="none" w:sz="0" w:space="0" w:color="auto"/>
                <w:bottom w:val="none" w:sz="0" w:space="0" w:color="auto"/>
                <w:right w:val="none" w:sz="0" w:space="0" w:color="auto"/>
              </w:divBdr>
            </w:div>
            <w:div w:id="948044886">
              <w:marLeft w:val="0"/>
              <w:marRight w:val="0"/>
              <w:marTop w:val="0"/>
              <w:marBottom w:val="0"/>
              <w:divBdr>
                <w:top w:val="none" w:sz="0" w:space="0" w:color="auto"/>
                <w:left w:val="none" w:sz="0" w:space="0" w:color="auto"/>
                <w:bottom w:val="none" w:sz="0" w:space="0" w:color="auto"/>
                <w:right w:val="none" w:sz="0" w:space="0" w:color="auto"/>
              </w:divBdr>
            </w:div>
            <w:div w:id="1751003382">
              <w:marLeft w:val="0"/>
              <w:marRight w:val="0"/>
              <w:marTop w:val="0"/>
              <w:marBottom w:val="0"/>
              <w:divBdr>
                <w:top w:val="none" w:sz="0" w:space="0" w:color="auto"/>
                <w:left w:val="none" w:sz="0" w:space="0" w:color="auto"/>
                <w:bottom w:val="none" w:sz="0" w:space="0" w:color="auto"/>
                <w:right w:val="none" w:sz="0" w:space="0" w:color="auto"/>
              </w:divBdr>
            </w:div>
            <w:div w:id="1821388102">
              <w:marLeft w:val="0"/>
              <w:marRight w:val="0"/>
              <w:marTop w:val="0"/>
              <w:marBottom w:val="0"/>
              <w:divBdr>
                <w:top w:val="none" w:sz="0" w:space="0" w:color="auto"/>
                <w:left w:val="none" w:sz="0" w:space="0" w:color="auto"/>
                <w:bottom w:val="none" w:sz="0" w:space="0" w:color="auto"/>
                <w:right w:val="none" w:sz="0" w:space="0" w:color="auto"/>
              </w:divBdr>
            </w:div>
            <w:div w:id="1496149060">
              <w:marLeft w:val="0"/>
              <w:marRight w:val="0"/>
              <w:marTop w:val="0"/>
              <w:marBottom w:val="0"/>
              <w:divBdr>
                <w:top w:val="none" w:sz="0" w:space="0" w:color="auto"/>
                <w:left w:val="none" w:sz="0" w:space="0" w:color="auto"/>
                <w:bottom w:val="none" w:sz="0" w:space="0" w:color="auto"/>
                <w:right w:val="none" w:sz="0" w:space="0" w:color="auto"/>
              </w:divBdr>
            </w:div>
            <w:div w:id="67003743">
              <w:marLeft w:val="0"/>
              <w:marRight w:val="0"/>
              <w:marTop w:val="0"/>
              <w:marBottom w:val="0"/>
              <w:divBdr>
                <w:top w:val="none" w:sz="0" w:space="0" w:color="auto"/>
                <w:left w:val="none" w:sz="0" w:space="0" w:color="auto"/>
                <w:bottom w:val="none" w:sz="0" w:space="0" w:color="auto"/>
                <w:right w:val="none" w:sz="0" w:space="0" w:color="auto"/>
              </w:divBdr>
            </w:div>
            <w:div w:id="579826640">
              <w:marLeft w:val="0"/>
              <w:marRight w:val="0"/>
              <w:marTop w:val="0"/>
              <w:marBottom w:val="0"/>
              <w:divBdr>
                <w:top w:val="none" w:sz="0" w:space="0" w:color="auto"/>
                <w:left w:val="none" w:sz="0" w:space="0" w:color="auto"/>
                <w:bottom w:val="none" w:sz="0" w:space="0" w:color="auto"/>
                <w:right w:val="none" w:sz="0" w:space="0" w:color="auto"/>
              </w:divBdr>
            </w:div>
            <w:div w:id="1611626738">
              <w:marLeft w:val="0"/>
              <w:marRight w:val="0"/>
              <w:marTop w:val="0"/>
              <w:marBottom w:val="0"/>
              <w:divBdr>
                <w:top w:val="none" w:sz="0" w:space="0" w:color="auto"/>
                <w:left w:val="none" w:sz="0" w:space="0" w:color="auto"/>
                <w:bottom w:val="none" w:sz="0" w:space="0" w:color="auto"/>
                <w:right w:val="none" w:sz="0" w:space="0" w:color="auto"/>
              </w:divBdr>
            </w:div>
            <w:div w:id="89785285">
              <w:marLeft w:val="0"/>
              <w:marRight w:val="0"/>
              <w:marTop w:val="0"/>
              <w:marBottom w:val="0"/>
              <w:divBdr>
                <w:top w:val="none" w:sz="0" w:space="0" w:color="auto"/>
                <w:left w:val="none" w:sz="0" w:space="0" w:color="auto"/>
                <w:bottom w:val="none" w:sz="0" w:space="0" w:color="auto"/>
                <w:right w:val="none" w:sz="0" w:space="0" w:color="auto"/>
              </w:divBdr>
            </w:div>
            <w:div w:id="728381547">
              <w:marLeft w:val="0"/>
              <w:marRight w:val="0"/>
              <w:marTop w:val="0"/>
              <w:marBottom w:val="0"/>
              <w:divBdr>
                <w:top w:val="none" w:sz="0" w:space="0" w:color="auto"/>
                <w:left w:val="none" w:sz="0" w:space="0" w:color="auto"/>
                <w:bottom w:val="none" w:sz="0" w:space="0" w:color="auto"/>
                <w:right w:val="none" w:sz="0" w:space="0" w:color="auto"/>
              </w:divBdr>
            </w:div>
            <w:div w:id="2075007407">
              <w:marLeft w:val="0"/>
              <w:marRight w:val="0"/>
              <w:marTop w:val="0"/>
              <w:marBottom w:val="0"/>
              <w:divBdr>
                <w:top w:val="none" w:sz="0" w:space="0" w:color="auto"/>
                <w:left w:val="none" w:sz="0" w:space="0" w:color="auto"/>
                <w:bottom w:val="none" w:sz="0" w:space="0" w:color="auto"/>
                <w:right w:val="none" w:sz="0" w:space="0" w:color="auto"/>
              </w:divBdr>
            </w:div>
            <w:div w:id="1309506821">
              <w:marLeft w:val="0"/>
              <w:marRight w:val="0"/>
              <w:marTop w:val="0"/>
              <w:marBottom w:val="0"/>
              <w:divBdr>
                <w:top w:val="none" w:sz="0" w:space="0" w:color="auto"/>
                <w:left w:val="none" w:sz="0" w:space="0" w:color="auto"/>
                <w:bottom w:val="none" w:sz="0" w:space="0" w:color="auto"/>
                <w:right w:val="none" w:sz="0" w:space="0" w:color="auto"/>
              </w:divBdr>
            </w:div>
            <w:div w:id="1317487884">
              <w:marLeft w:val="0"/>
              <w:marRight w:val="0"/>
              <w:marTop w:val="0"/>
              <w:marBottom w:val="0"/>
              <w:divBdr>
                <w:top w:val="none" w:sz="0" w:space="0" w:color="auto"/>
                <w:left w:val="none" w:sz="0" w:space="0" w:color="auto"/>
                <w:bottom w:val="none" w:sz="0" w:space="0" w:color="auto"/>
                <w:right w:val="none" w:sz="0" w:space="0" w:color="auto"/>
              </w:divBdr>
            </w:div>
            <w:div w:id="20196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62">
      <w:bodyDiv w:val="1"/>
      <w:marLeft w:val="0"/>
      <w:marRight w:val="0"/>
      <w:marTop w:val="0"/>
      <w:marBottom w:val="0"/>
      <w:divBdr>
        <w:top w:val="none" w:sz="0" w:space="0" w:color="auto"/>
        <w:left w:val="none" w:sz="0" w:space="0" w:color="auto"/>
        <w:bottom w:val="none" w:sz="0" w:space="0" w:color="auto"/>
        <w:right w:val="none" w:sz="0" w:space="0" w:color="auto"/>
      </w:divBdr>
    </w:div>
    <w:div w:id="436950852">
      <w:bodyDiv w:val="1"/>
      <w:marLeft w:val="0"/>
      <w:marRight w:val="0"/>
      <w:marTop w:val="0"/>
      <w:marBottom w:val="0"/>
      <w:divBdr>
        <w:top w:val="none" w:sz="0" w:space="0" w:color="auto"/>
        <w:left w:val="none" w:sz="0" w:space="0" w:color="auto"/>
        <w:bottom w:val="none" w:sz="0" w:space="0" w:color="auto"/>
        <w:right w:val="none" w:sz="0" w:space="0" w:color="auto"/>
      </w:divBdr>
      <w:divsChild>
        <w:div w:id="1219440805">
          <w:marLeft w:val="0"/>
          <w:marRight w:val="0"/>
          <w:marTop w:val="0"/>
          <w:marBottom w:val="0"/>
          <w:divBdr>
            <w:top w:val="none" w:sz="0" w:space="0" w:color="auto"/>
            <w:left w:val="none" w:sz="0" w:space="0" w:color="auto"/>
            <w:bottom w:val="none" w:sz="0" w:space="0" w:color="auto"/>
            <w:right w:val="none" w:sz="0" w:space="0" w:color="auto"/>
          </w:divBdr>
        </w:div>
        <w:div w:id="944188944">
          <w:marLeft w:val="0"/>
          <w:marRight w:val="0"/>
          <w:marTop w:val="0"/>
          <w:marBottom w:val="0"/>
          <w:divBdr>
            <w:top w:val="none" w:sz="0" w:space="0" w:color="auto"/>
            <w:left w:val="none" w:sz="0" w:space="0" w:color="auto"/>
            <w:bottom w:val="none" w:sz="0" w:space="0" w:color="auto"/>
            <w:right w:val="none" w:sz="0" w:space="0" w:color="auto"/>
          </w:divBdr>
        </w:div>
        <w:div w:id="796874719">
          <w:marLeft w:val="0"/>
          <w:marRight w:val="0"/>
          <w:marTop w:val="0"/>
          <w:marBottom w:val="0"/>
          <w:divBdr>
            <w:top w:val="none" w:sz="0" w:space="0" w:color="auto"/>
            <w:left w:val="none" w:sz="0" w:space="0" w:color="auto"/>
            <w:bottom w:val="none" w:sz="0" w:space="0" w:color="auto"/>
            <w:right w:val="none" w:sz="0" w:space="0" w:color="auto"/>
          </w:divBdr>
        </w:div>
        <w:div w:id="683095631">
          <w:marLeft w:val="0"/>
          <w:marRight w:val="0"/>
          <w:marTop w:val="0"/>
          <w:marBottom w:val="0"/>
          <w:divBdr>
            <w:top w:val="none" w:sz="0" w:space="0" w:color="auto"/>
            <w:left w:val="none" w:sz="0" w:space="0" w:color="auto"/>
            <w:bottom w:val="none" w:sz="0" w:space="0" w:color="auto"/>
            <w:right w:val="none" w:sz="0" w:space="0" w:color="auto"/>
          </w:divBdr>
        </w:div>
      </w:divsChild>
    </w:div>
    <w:div w:id="47233404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82257314">
      <w:bodyDiv w:val="1"/>
      <w:marLeft w:val="0"/>
      <w:marRight w:val="0"/>
      <w:marTop w:val="0"/>
      <w:marBottom w:val="0"/>
      <w:divBdr>
        <w:top w:val="none" w:sz="0" w:space="0" w:color="auto"/>
        <w:left w:val="none" w:sz="0" w:space="0" w:color="auto"/>
        <w:bottom w:val="none" w:sz="0" w:space="0" w:color="auto"/>
        <w:right w:val="none" w:sz="0" w:space="0" w:color="auto"/>
      </w:divBdr>
    </w:div>
    <w:div w:id="992373717">
      <w:bodyDiv w:val="1"/>
      <w:marLeft w:val="0"/>
      <w:marRight w:val="0"/>
      <w:marTop w:val="0"/>
      <w:marBottom w:val="0"/>
      <w:divBdr>
        <w:top w:val="none" w:sz="0" w:space="0" w:color="auto"/>
        <w:left w:val="none" w:sz="0" w:space="0" w:color="auto"/>
        <w:bottom w:val="none" w:sz="0" w:space="0" w:color="auto"/>
        <w:right w:val="none" w:sz="0" w:space="0" w:color="auto"/>
      </w:divBdr>
    </w:div>
    <w:div w:id="2043094247">
      <w:bodyDiv w:val="1"/>
      <w:marLeft w:val="0"/>
      <w:marRight w:val="0"/>
      <w:marTop w:val="0"/>
      <w:marBottom w:val="0"/>
      <w:divBdr>
        <w:top w:val="none" w:sz="0" w:space="0" w:color="auto"/>
        <w:left w:val="none" w:sz="0" w:space="0" w:color="auto"/>
        <w:bottom w:val="none" w:sz="0" w:space="0" w:color="auto"/>
        <w:right w:val="none" w:sz="0" w:space="0" w:color="auto"/>
      </w:divBdr>
    </w:div>
    <w:div w:id="21010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sn.cz/osn/hlavni-temata/cile-udrzitelneho-rozvoje-sdg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at@eesc.europa.eu" TargetMode="External"/><Relationship Id="rId17" Type="http://schemas.openxmlformats.org/officeDocument/2006/relationships/hyperlink" Target="https://osn.cz/osn/hlavni-temata/cile-udrzitelneho-rozvoje-sdg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eil.europarl.europa.eu/oeil/en/document-summary?id=183064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ur-lex.europa.eu/legal-content/CS/AUTO/?uri=COM:2025:0560:FI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tracker.europa.eu/procedure/2025_241?lang=cs" TargetMode="External"/><Relationship Id="rId22" Type="http://schemas.openxmlformats.org/officeDocument/2006/relationships/footer" Target="footer3.xml"/><Relationship Id="rId27"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C/2024/2099/oj" TargetMode="External"/><Relationship Id="rId13" Type="http://schemas.openxmlformats.org/officeDocument/2006/relationships/hyperlink" Target="https://eur-lex.europa.eu/legal-content/CS/TXT/?uri=OJ:C:2018:283:TOC" TargetMode="External"/><Relationship Id="rId18" Type="http://schemas.openxmlformats.org/officeDocument/2006/relationships/hyperlink" Target="http://data.europa.eu/eli/C/2025/117/oj" TargetMode="External"/><Relationship Id="rId3" Type="http://schemas.openxmlformats.org/officeDocument/2006/relationships/hyperlink" Target="https://ariege.chambres-agriculture.fr/actualites-1/actualite/le-repertoire-depart-installation-outil-phare-de-la-transmission-1" TargetMode="External"/><Relationship Id="rId21" Type="http://schemas.openxmlformats.org/officeDocument/2006/relationships/hyperlink" Target="https://www.eesc.europa.eu/cs/our-work/opinions-information-reports/opinions/cap-simplification-package" TargetMode="External"/><Relationship Id="rId7" Type="http://schemas.openxmlformats.org/officeDocument/2006/relationships/hyperlink" Target="https://eur-lex.europa.eu/legal-content/CS/TXT/?uri=OJ:C_202402099" TargetMode="External"/><Relationship Id="rId12" Type="http://schemas.openxmlformats.org/officeDocument/2006/relationships/hyperlink" Target="https://eur-lex.europa.eu/legal-content/CS/TXT/?uri=OJ:C:2019:062:TOC" TargetMode="External"/><Relationship Id="rId17" Type="http://schemas.openxmlformats.org/officeDocument/2006/relationships/hyperlink" Target="https://eur-lex.europa.eu/legal-content/CS/TXT/?uri=OJ:C_202500117" TargetMode="External"/><Relationship Id="rId2" Type="http://schemas.openxmlformats.org/officeDocument/2006/relationships/hyperlink" Target="https://www.eesc.europa.eu/cs/our-work/opinions-information-reports/opinions/future-food-and-farming-communication" TargetMode="External"/><Relationship Id="rId16" Type="http://schemas.openxmlformats.org/officeDocument/2006/relationships/hyperlink" Target="https://eur-lex.europa.eu/legal-content/CS/TXT/?uri=OJ:C_202402099" TargetMode="External"/><Relationship Id="rId20" Type="http://schemas.openxmlformats.org/officeDocument/2006/relationships/hyperlink" Target="http://data.europa.eu/eli/C/2025/2016/oj" TargetMode="External"/><Relationship Id="rId1" Type="http://schemas.openxmlformats.org/officeDocument/2006/relationships/hyperlink" Target="https://eur-lex.europa.eu/legal-content/CS/TXT/?uri=CELEX:52025DC0075" TargetMode="External"/><Relationship Id="rId6" Type="http://schemas.openxmlformats.org/officeDocument/2006/relationships/hyperlink" Target="https://capreform.eu/how-big-will-the-cap-budget-be-in-the-next-mff/" TargetMode="External"/><Relationship Id="rId11" Type="http://schemas.openxmlformats.org/officeDocument/2006/relationships/hyperlink" Target="https://press.un.org/en/2019/sgsm19680.doc.htm" TargetMode="External"/><Relationship Id="rId5" Type="http://schemas.openxmlformats.org/officeDocument/2006/relationships/hyperlink" Target="https://publications.jrc.ec.europa.eu/repository/handle/JRC142503" TargetMode="External"/><Relationship Id="rId15" Type="http://schemas.openxmlformats.org/officeDocument/2006/relationships/hyperlink" Target="https://eur-lex.europa.eu/legal-content/CS/TXT/?uri=OJ:C_202404063" TargetMode="External"/><Relationship Id="rId10" Type="http://schemas.openxmlformats.org/officeDocument/2006/relationships/hyperlink" Target="https://news.un.org/en/story/2013/12/456912" TargetMode="External"/><Relationship Id="rId19" Type="http://schemas.openxmlformats.org/officeDocument/2006/relationships/hyperlink" Target="https://eur-lex.europa.eu/legal-content/CS/TXT/?uri=OJ:C_202502016" TargetMode="External"/><Relationship Id="rId4" Type="http://schemas.openxmlformats.org/officeDocument/2006/relationships/hyperlink" Target="https://www.eesc.europa.eu/cs/our-work/opinions-information-reports/opinions/cap-simplification-package" TargetMode="External"/><Relationship Id="rId9" Type="http://schemas.openxmlformats.org/officeDocument/2006/relationships/hyperlink" Target="https://agriculture.ec.europa.eu/data-and-analysis/financing/cap-expenditure_cs" TargetMode="External"/><Relationship Id="rId14" Type="http://schemas.openxmlformats.org/officeDocument/2006/relationships/hyperlink" Target="https://agriculture.ec.europa.eu/system/files/2023-12/event-report-useu-exchange-advancing-young-farmers-addressing-intergenerational-farm-issu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A6WAAD5KZT2Q-235352946-10062</_dlc_DocId>
    <_dlc_DocIdUrl xmlns="1a33af13-4045-4f88-9d7b-618e30f79918">
      <Url>http://dm/eesc/2025/_layouts/15/DocIdRedir.aspx?ID=A6WAAD5KZT2Q-235352946-10062</Url>
      <Description>A6WAAD5KZT2Q-235352946-10062</Description>
    </_dlc_DocIdUrl>
    <Procedure xmlns="1a33af13-4045-4f88-9d7b-618e30f79918">2025/0241(COD)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2025-12-18T12:00:00+00:00</ProductionDate>
    <DocumentNumber xmlns="a3e83899-37aa-47c6-ba54-4ea80e9c17cf">2581</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31</Value>
      <Value>37</Value>
      <Value>67</Value>
      <Value>50</Value>
      <Value>47</Value>
      <Value>46</Value>
      <Value>43</Value>
      <Value>42</Value>
      <Value>41</Value>
      <Value>40</Value>
      <Value>39</Value>
      <Value>126</Value>
      <Value>36</Value>
      <Value>35</Value>
      <Value>34</Value>
      <Value>33</Value>
      <Value>32</Value>
      <Value>120</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1a33af13-4045-4f88-9d7b-618e30f79918">HEALY &amp; PUECH D'ALISSAC</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297904</FicheNumber>
    <OriginalSender xmlns="1a33af13-4045-4f88-9d7b-618e30f79918">
      <UserInfo>
        <DisplayName>Sigmund Vaclav</DisplayName>
        <AccountId>1654</AccountId>
        <AccountType/>
      </UserInfo>
    </OriginalSender>
    <DocumentPart xmlns="1a33af13-4045-4f88-9d7b-618e30f79918">0</DocumentPart>
    <AdoptionDate xmlns="1a33af13-4045-4f88-9d7b-618e30f79918" xsi:nil="true"/>
    <RequestingService xmlns="1a33af13-4045-4f88-9d7b-618e30f79918">Systèmes alimentaires durables, environnement, dév. rural</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a33af13-4045-4f88-9d7b-618e30f79918">0</DocumentVersion>
    <DossierNumber xmlns="1a33af13-4045-4f88-9d7b-618e30f79918">960</DossierNumber>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169696-481F-4921-837D-381ABD2D17D4}">
  <ds:schemaRefs>
    <ds:schemaRef ds:uri="http://schemas.openxmlformats.org/officeDocument/2006/bibliography"/>
  </ds:schemaRefs>
</ds:datastoreItem>
</file>

<file path=customXml/itemProps2.xml><?xml version="1.0" encoding="utf-8"?>
<ds:datastoreItem xmlns:ds="http://schemas.openxmlformats.org/officeDocument/2006/customXml" ds:itemID="{C3620632-D50F-4D25-A655-E3B8DEB9BEBE}">
  <ds:schemaRefs>
    <ds:schemaRef ds:uri="http://schemas.microsoft.com/sharepoint/v3/contenttype/forms"/>
  </ds:schemaRefs>
</ds:datastoreItem>
</file>

<file path=customXml/itemProps3.xml><?xml version="1.0" encoding="utf-8"?>
<ds:datastoreItem xmlns:ds="http://schemas.openxmlformats.org/officeDocument/2006/customXml" ds:itemID="{9156AC57-1424-470A-A7D0-3F908FD4137C}">
  <ds:schemaRefs>
    <ds:schemaRef ds:uri="http://schemas.microsoft.com/office/2006/metadata/properties"/>
    <ds:schemaRef ds:uri="http://schemas.microsoft.com/office/infopath/2007/PartnerControls"/>
    <ds:schemaRef ds:uri="faa3019d-1caa-44e1-9ef8-f62c9787953d"/>
    <ds:schemaRef ds:uri="79c32e30-91f5-42f8-9d68-38e1a3525689"/>
  </ds:schemaRefs>
</ds:datastoreItem>
</file>

<file path=customXml/itemProps4.xml><?xml version="1.0" encoding="utf-8"?>
<ds:datastoreItem xmlns:ds="http://schemas.openxmlformats.org/officeDocument/2006/customXml" ds:itemID="{FA08A8E2-05E7-49D6-91F5-30D8599C5976}"/>
</file>

<file path=customXml/itemProps5.xml><?xml version="1.0" encoding="utf-8"?>
<ds:datastoreItem xmlns:ds="http://schemas.openxmlformats.org/officeDocument/2006/customXml" ds:itemID="{59CFA749-9B9C-4FAF-8B0A-405E165230F9}"/>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6403</Words>
  <Characters>38089</Characters>
  <Application>Microsoft Office Word</Application>
  <DocSecurity>0</DocSecurity>
  <Lines>976</Lines>
  <Paragraphs>337</Paragraphs>
  <ScaleCrop>false</ScaleCrop>
  <HeadingPairs>
    <vt:vector size="2" baseType="variant">
      <vt:variant>
        <vt:lpstr>Title</vt:lpstr>
      </vt:variant>
      <vt:variant>
        <vt:i4>1</vt:i4>
      </vt:variant>
    </vt:vector>
  </HeadingPairs>
  <TitlesOfParts>
    <vt:vector size="1" baseType="lpstr">
      <vt:lpstr>Common Agricultural Policy (CAP) post-2027</vt:lpstr>
    </vt:vector>
  </TitlesOfParts>
  <Manager/>
  <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Společná zemědělská politika (SZP) po roce 2027</dc:title>
  <dc:subject>Draft opinion</dc:subject>
  <dc:creator/>
  <cp:keywords>EESC-2025-02581-00-01-PA-TRA-EN</cp:keywords>
  <dc:description>Rapporteur: - HEALY &amp; PUECH D'ALISSAC Original language: - EN Date of document: - 27/11/2025 Date of meeting: - 15/12/2025 External documents: - COM(2025)560- final Administrator responsible: - M. INIGUEZ YUSTE Arturo José</dc:description>
  <cp:lastModifiedBy/>
  <cp:revision>7</cp:revision>
  <cp:lastPrinted>2016-01-26T08:31:00Z</cp:lastPrinted>
  <dcterms:created xsi:type="dcterms:W3CDTF">2025-12-16T08:29:00Z</dcterms:created>
  <dcterms:modified xsi:type="dcterms:W3CDTF">2025-12-18T09:39:00Z</dcterms:modified>
  <cp:category>NAT/960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16/12/2025, 27/11/2025, 25/11/2025, 07/10/2025, 12/08/2025, 11/08/2025, 12/04/2024, 03/04/2024, 11/03/2024, 04/03/2024, 04/03/2024, 04/03/2024, 20/12/2023, 17/05/2022, 04/11/2015, 27/10/2015, 19/10/2015, 09/10/2015, 05/10/2015, 05/10/2015, 26/08/2015, 26/</vt:lpwstr>
  </property>
  <property fmtid="{D5CDD505-2E9C-101B-9397-08002B2CF9AE}" pid="4" name="Pref_Time">
    <vt:lpwstr>09:29:14, 16:15:02, 15:28:17, 16:01:43, 08:36:19, 10:25:15, 11:59:36, 08:10:26, 12:03:24, 12:56:55, 12:41:08, 11:08:50, 07:02:01, 13:02:32, 12/10/07, 14:44:02, 16/04/16, 14:09:30, 16:24:55, 16:04:02, 08:56:14, 07:27:56, 17:31:53</vt:lpwstr>
  </property>
  <property fmtid="{D5CDD505-2E9C-101B-9397-08002B2CF9AE}" pid="5" name="Pref_User">
    <vt:lpwstr>pacup, amett, pacup, amett, pacup, pacup, enied, enied, enied, enied, enied, enied, enied, enied, ssex, enied, amett, tvoc, mreg, mreg, amett, enied, ssex</vt:lpwstr>
  </property>
  <property fmtid="{D5CDD505-2E9C-101B-9397-08002B2CF9AE}" pid="6" name="Pref_FileName">
    <vt:lpwstr>EESC-2025-02581-00-00-AS-TRA-EN-CRR.docx, EESC-2025-02581-00-01-PA-ORI.docx, EESC-2025-02581-00-00-PA-ORI.docx, EESC-2025-02581-00-00-APA-TRA-EN-CRR.docx, EESC-2025-02581-00-01-DT-ORI.docx, EESC-2025-02581-00-00-DT-TRA-EN-CRR.docx, COR-EESC-2024-01326-01-</vt:lpwstr>
  </property>
  <property fmtid="{D5CDD505-2E9C-101B-9397-08002B2CF9AE}" pid="7" name="_dlc_DocIdItemGuid">
    <vt:lpwstr>050ef36c-d3e4-459c-a049-9ada0b9691e6</vt:lpwstr>
  </property>
  <property fmtid="{D5CDD505-2E9C-101B-9397-08002B2CF9AE}" pid="8" name="Procedure">
    <vt:lpwstr>2025/0241(COD)</vt:lpwstr>
  </property>
  <property fmtid="{D5CDD505-2E9C-101B-9397-08002B2CF9AE}" pid="9" name="AvailableTranslations">
    <vt:lpwstr>31;#SL|98a412ae-eb01-49e9-ae3d-585a81724cfc;#23;#DE|f6b31e5a-26fa-4935-b661-318e46daf27e;#16;#ES|e7a6b05b-ae16-40c8-add9-68b64b03aeba;#40;#DA|5d49c027-8956-412b-aa16-e85a0f96ad0e;#12;#FR|d2afafd3-4c81-4f60-8f52-ee33f2f54ff3;#27;#NL|55c6556c-b4f4-441d-9acf-c498d4f838bd;#24;#PL|1e03da61-4678-4e07-b136-b5024ca9197b;#39;#LV|46f7e311-5d9f-4663-b433-18aeccb7ace7;#35;#FI|87606a43-d45f-42d6-b8c9-e1a3457db5b7;#46;#SK|46d9fce0-ef79-4f71-b89b-cd6aa82426b8;#33;#PT|50ccc04a-eadd-42ae-a0cb-acaf45f812ba;#5;#EN|f2175f21-25d7-44a3-96da-d6a61b075e1b;#50;#HR|2f555653-ed1a-4fe6-8362-9082d95989e5;#29;#CS|72f9705b-0217-4fd3-bea2-cbc7ed80e26e;#34;#IT|0774613c-01ed-4e5d-a25d-11d2388de825;#36;#RO|feb747a2-64cd-4299-af12-4833ddc30497;#43;#GA|762d2456-c427-4ecb-b312-af3dad8e258c;#47;#BG|1a1b3951-7821-4e6a-85f5-5673fc08bd2c;#28;#SV|c2ed69e7-a339-43d7-8f22-d93680a92aa0;#32;#MT|7df99101-6854-4a26-b53a-b88c0da02c26;#41;#ET|ff6c3f4c-b02c-4c3c-ab07-2c37995a7a0a;#42;#EL|6d4f4d51-af9b-4650-94b4-4276bee85c91;#37;#HU|6b229040-c589-4408-b4c1-4285663d20a8;#30;#LT|a7ff5ce7-6123-4f68-865a-a57c31810414</vt:lpwstr>
  </property>
  <property fmtid="{D5CDD505-2E9C-101B-9397-08002B2CF9AE}" pid="10" name="DocumentType_0">
    <vt:lpwstr>AS|c7a748eb-f6f2-4d9d-8b5a-af0cafebc224</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2581</vt:i4>
  </property>
  <property fmtid="{D5CDD505-2E9C-101B-9397-08002B2CF9AE}" pid="14" name="FicheYear">
    <vt:i4>2025</vt:i4>
  </property>
  <property fmtid="{D5CDD505-2E9C-101B-9397-08002B2CF9AE}" pid="15" name="DocumentVersion">
    <vt:i4>0</vt:i4>
  </property>
  <property fmtid="{D5CDD505-2E9C-101B-9397-08002B2CF9AE}" pid="16" name="DossierNumber">
    <vt:i4>960</vt:i4>
  </property>
  <property fmtid="{D5CDD505-2E9C-101B-9397-08002B2CF9AE}" pid="17" name="DocumentStatus">
    <vt:lpwstr>13;#TRA|150d2a88-1431-44e6-a8ca-0bb753ab8672</vt:lpwstr>
  </property>
  <property fmtid="{D5CDD505-2E9C-101B-9397-08002B2CF9AE}" pid="18" name="DossierName">
    <vt:lpwstr>120;#NAT|b263ab5d-0564-42a8-87bf-1cc57d938922</vt:lpwstr>
  </property>
  <property fmtid="{D5CDD505-2E9C-101B-9397-08002B2CF9AE}" pid="19" name="RequestingService">
    <vt:lpwstr>Systèmes alimentaires durables, environnement, dév. rural</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2026-01-21T12:00:00Z</vt:filetime>
  </property>
  <property fmtid="{D5CDD505-2E9C-101B-9397-08002B2CF9AE}" pid="26" name="AvailableTranslations_0">
    <vt:lpwstr>DA|5d49c027-8956-412b-aa16-e85a0f96ad0e;PL|1e03da61-4678-4e07-b136-b5024ca9197b;PT|50ccc04a-eadd-42ae-a0cb-acaf45f812ba;EN|f2175f21-25d7-44a3-96da-d6a61b075e1b;IT|0774613c-01ed-4e5d-a25d-11d2388de825;HU|6b229040-c589-4408-b4c1-4285663d20a8;LT|a7ff5ce7-6123-4f68-865a-a57c31810414</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34;#IT|0774613c-01ed-4e5d-a25d-11d2388de825;#33;#PT|50ccc04a-eadd-42ae-a0cb-acaf45f812ba;#67;#SPL-CES|32d8cb1f-c9ec-4365-95c7-8385a18618ac;#24;#PL|1e03da61-4678-4e07-b136-b5024ca9197b;#15;#Unrestricted|826e22d7-d029-4ec0-a450-0c28ff673572;#126;#AS|c7a748eb-f6f2-4d9d-8b5a-af0cafebc224;#13;#TRA|150d2a88-1431-44e6-a8ca-0bb753ab8672;#120;#NAT|b263ab5d-0564-42a8-87bf-1cc57d938922;#8;#Final|ea5e6674-7b27-4bac-b091-73adbb394efe;#30;#LT|a7ff5ce7-6123-4f68-865a-a57c31810414;#5;#EN|f2175f21-25d7-44a3-96da-d6a61b075e1b;#40;#DA|5d49c027-8956-412b-aa16-e85a0f96ad0e;#1;#EESC|422833ec-8d7e-4e65-8e4e-8bed07ffb729;#37;#HU|6b229040-c589-4408-b4c1-4285663d20a8</vt:lpwstr>
  </property>
  <property fmtid="{D5CDD505-2E9C-101B-9397-08002B2CF9AE}" pid="30" name="Rapporteur">
    <vt:lpwstr>HEALY &amp; PUECH D'ALISSAC</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297904</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126;#AS|c7a748eb-f6f2-4d9d-8b5a-af0cafebc224</vt:lpwstr>
  </property>
  <property fmtid="{D5CDD505-2E9C-101B-9397-08002B2CF9AE}" pid="38" name="DocumentLanguage">
    <vt:lpwstr>29;#CS|72f9705b-0217-4fd3-bea2-cbc7ed80e26e</vt:lpwstr>
  </property>
  <property fmtid="{D5CDD505-2E9C-101B-9397-08002B2CF9AE}" pid="39" name="_docset_NoMedatataSyncRequired">
    <vt:lpwstr>False</vt:lpwstr>
  </property>
  <property fmtid="{D5CDD505-2E9C-101B-9397-08002B2CF9AE}" pid="40" name="ContentTypeId">
    <vt:lpwstr>0x010100EA97B91038054C99906057A708A1480A004B94E0CD93B68F4F96D67EEBEC8A7176</vt:lpwstr>
  </property>
  <property fmtid="{D5CDD505-2E9C-101B-9397-08002B2CF9AE}" pid="41" name="MediaServiceImageTags">
    <vt:lpwstr/>
  </property>
  <property fmtid="{D5CDD505-2E9C-101B-9397-08002B2CF9AE}" pid="42" name="docLang">
    <vt:lpwstr>en</vt:lpwstr>
  </property>
  <property fmtid="{D5CDD505-2E9C-101B-9397-08002B2CF9AE}" pid="43" name="DocumentLanguage_0">
    <vt:lpwstr>EN|f2175f21-25d7-44a3-96da-d6a61b075e1b</vt:lpwstr>
  </property>
</Properties>
</file>