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BE56A" w14:textId="3E7BDE51" w:rsidR="00646AC2" w:rsidRPr="003D5A0C" w:rsidRDefault="009F2FAA" w:rsidP="00E61E7C">
      <w:pPr>
        <w:jc w:val="center"/>
      </w:pPr>
      <w:r>
        <w:rPr>
          <w:noProof/>
        </w:rPr>
        <w:drawing>
          <wp:inline distT="0" distB="0" distL="0" distR="0" wp14:anchorId="3F14C202" wp14:editId="37A48B2C">
            <wp:extent cx="1792605" cy="1241425"/>
            <wp:effectExtent l="0" t="0" r="0" b="0"/>
            <wp:docPr id="1" name="Picture 1" title="EESCLogo_HR"/>
            <wp:cNvGraphicFramePr/>
            <a:graphic xmlns:a="http://schemas.openxmlformats.org/drawingml/2006/main">
              <a:graphicData uri="http://schemas.openxmlformats.org/drawingml/2006/picture">
                <pic:pic xmlns:pic="http://schemas.openxmlformats.org/drawingml/2006/picture">
                  <pic:nvPicPr>
                    <pic:cNvPr id="1" name="Picture 1" title="EESCLogo_HR"/>
                    <pic:cNvPicPr/>
                  </pic:nvPicPr>
                  <pic:blipFill>
                    <a:blip r:embed="rId11"/>
                    <a:stretch>
                      <a:fillRect/>
                    </a:stretch>
                  </pic:blipFill>
                  <pic:spPr>
                    <a:xfrm>
                      <a:off x="0" y="0"/>
                      <a:ext cx="1792605" cy="1241425"/>
                    </a:xfrm>
                    <a:prstGeom prst="rect">
                      <a:avLst/>
                    </a:prstGeom>
                  </pic:spPr>
                </pic:pic>
              </a:graphicData>
            </a:graphic>
          </wp:inline>
        </w:drawing>
      </w:r>
      <w:r w:rsidR="0022572F">
        <w:rPr>
          <w:noProof/>
          <w:sz w:val="20"/>
        </w:rPr>
        <mc:AlternateContent>
          <mc:Choice Requires="wps">
            <w:drawing>
              <wp:anchor distT="0" distB="0" distL="114300" distR="114300" simplePos="0" relativeHeight="251658240" behindDoc="1" locked="0" layoutInCell="0" allowOverlap="1" wp14:anchorId="131133D6" wp14:editId="310CA045">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60660" w14:textId="77777777" w:rsidR="002C1DB1" w:rsidRPr="00260E65" w:rsidRDefault="002C1DB1">
                            <w:pPr>
                              <w:jc w:val="center"/>
                              <w:rPr>
                                <w:rFonts w:ascii="Arial" w:hAnsi="Arial" w:cs="Arial"/>
                                <w:b/>
                                <w:bCs/>
                                <w:sz w:val="48"/>
                              </w:rPr>
                            </w:pPr>
                            <w:r>
                              <w:rPr>
                                <w:rFonts w:ascii="Arial" w:hAnsi="Arial"/>
                                <w:b/>
                                <w:sz w:val="48"/>
                              </w:rPr>
                              <w:t>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133D6"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5060660" w14:textId="77777777" w:rsidR="002C1DB1" w:rsidRPr="00260E65" w:rsidRDefault="002C1DB1">
                      <w:pPr>
                        <w:jc w:val="center"/>
                        <w:rPr>
                          <w:rFonts w:ascii="Arial" w:hAnsi="Arial" w:cs="Arial"/>
                          <w:b/>
                          <w:bCs/>
                          <w:sz w:val="48"/>
                        </w:rPr>
                      </w:pPr>
                      <w:r>
                        <w:rPr>
                          <w:rFonts w:ascii="Arial" w:hAnsi="Arial"/>
                          <w:b/>
                          <w:sz w:val="48"/>
                        </w:rPr>
                        <w:t>HR</w:t>
                      </w:r>
                    </w:p>
                  </w:txbxContent>
                </v:textbox>
                <w10:wrap anchorx="page" anchory="page"/>
              </v:shape>
            </w:pict>
          </mc:Fallback>
        </mc:AlternateContent>
      </w:r>
    </w:p>
    <w:p w14:paraId="5E7A16AD" w14:textId="77777777" w:rsidR="008C74D9" w:rsidRPr="003D5A0C" w:rsidRDefault="008C74D9" w:rsidP="00E61E7C">
      <w:pPr>
        <w:rPr>
          <w:lang w:val="fr-FR"/>
        </w:rPr>
      </w:pPr>
    </w:p>
    <w:p w14:paraId="5B3BE56B" w14:textId="15AF395F" w:rsidR="00646AC2" w:rsidRPr="003D5A0C" w:rsidRDefault="005D2E71" w:rsidP="00E61E7C">
      <w:pPr>
        <w:jc w:val="right"/>
      </w:pPr>
      <w:r>
        <w:rPr>
          <w:b/>
        </w:rPr>
        <w:t>INT/1102</w:t>
      </w:r>
    </w:p>
    <w:p w14:paraId="5B3BE56C" w14:textId="3605C7B9" w:rsidR="00563C84" w:rsidRPr="003D5A0C" w:rsidRDefault="005D2E71" w:rsidP="00E61E7C">
      <w:pPr>
        <w:jc w:val="right"/>
        <w:rPr>
          <w:b/>
          <w:bCs/>
        </w:rPr>
      </w:pPr>
      <w:r>
        <w:rPr>
          <w:b/>
        </w:rPr>
        <w:t>Obzor Europa</w:t>
      </w:r>
    </w:p>
    <w:p w14:paraId="5B3BE56D" w14:textId="77777777" w:rsidR="009B30AA" w:rsidRPr="003D5A0C" w:rsidRDefault="009B30AA" w:rsidP="00E61E7C">
      <w:pPr>
        <w:rPr>
          <w:lang w:val="fr-FR"/>
        </w:rPr>
      </w:pPr>
    </w:p>
    <w:p w14:paraId="5B3BE56E" w14:textId="77777777" w:rsidR="009B30AA" w:rsidRPr="003D5A0C" w:rsidRDefault="009B30AA" w:rsidP="00E61E7C">
      <w:pPr>
        <w:rPr>
          <w:lang w:val="fr-FR"/>
        </w:rPr>
      </w:pPr>
    </w:p>
    <w:p w14:paraId="3C09B2EE" w14:textId="1FF1E72B" w:rsidR="0048754F" w:rsidRPr="003D5A0C" w:rsidRDefault="00796AE1" w:rsidP="00E61E7C">
      <w:pPr>
        <w:jc w:val="center"/>
        <w:rPr>
          <w:b/>
          <w:bCs/>
          <w:sz w:val="28"/>
          <w:szCs w:val="28"/>
        </w:rPr>
      </w:pPr>
      <w:r>
        <w:rPr>
          <w:b/>
          <w:sz w:val="28"/>
        </w:rPr>
        <w:t>MIŠLJENJE</w:t>
      </w:r>
    </w:p>
    <w:p w14:paraId="34368F6A" w14:textId="77777777" w:rsidR="0048754F" w:rsidRPr="003D5A0C" w:rsidRDefault="0048754F" w:rsidP="00E61E7C">
      <w:pPr>
        <w:jc w:val="center"/>
        <w:rPr>
          <w:lang w:val="fr-FR"/>
        </w:rPr>
      </w:pPr>
    </w:p>
    <w:p w14:paraId="7D40B1DD" w14:textId="25653207" w:rsidR="0048754F" w:rsidRPr="003D5A0C" w:rsidRDefault="03385EDC" w:rsidP="00E61E7C">
      <w:pPr>
        <w:jc w:val="center"/>
      </w:pPr>
      <w:r>
        <w:t>Stručna skupina za jedinstveno tržište, proizvodnju i potrošnju</w:t>
      </w:r>
    </w:p>
    <w:p w14:paraId="046C48E8" w14:textId="77777777" w:rsidR="0048754F" w:rsidRPr="003D5A0C" w:rsidRDefault="0048754F" w:rsidP="00E61E7C">
      <w:pPr>
        <w:jc w:val="center"/>
        <w:rPr>
          <w:lang w:val="fr-FR"/>
        </w:rPr>
      </w:pPr>
    </w:p>
    <w:p w14:paraId="40F8EC22" w14:textId="7381BB7C" w:rsidR="004D054D" w:rsidRPr="003D5A0C" w:rsidRDefault="006B0AF8" w:rsidP="00E61E7C">
      <w:pPr>
        <w:pStyle w:val="ListParagraph"/>
        <w:numPr>
          <w:ilvl w:val="0"/>
          <w:numId w:val="6"/>
        </w:numPr>
        <w:jc w:val="center"/>
        <w:rPr>
          <w:bCs/>
        </w:rPr>
      </w:pPr>
      <w:r>
        <w:rPr>
          <w:b/>
        </w:rPr>
        <w:t>Prijedlog uredbe Europskog parlamenta i Vijeća o uspostavi Okvirnog programa za istraživanja i inovacije Obzor Europa za razdoblje 2028. – 2034., o utvrđivanju pravila za sudjelovanje i diseminaciju rezultata te o stavljanju izvan snage Uredbe (EU) 2021/695</w:t>
      </w:r>
    </w:p>
    <w:p w14:paraId="5B3BE56F" w14:textId="715630A6" w:rsidR="00646AC2" w:rsidRPr="003D5A0C" w:rsidRDefault="008973E1" w:rsidP="00E61E7C">
      <w:pPr>
        <w:jc w:val="center"/>
      </w:pPr>
      <w:r>
        <w:t>[COM(2025) 543 final — 2025/0543 (COD)]</w:t>
      </w:r>
    </w:p>
    <w:p w14:paraId="64C6390D" w14:textId="77777777" w:rsidR="00951D5A" w:rsidRPr="003D5A0C" w:rsidRDefault="00951D5A" w:rsidP="00E61E7C">
      <w:pPr>
        <w:jc w:val="center"/>
        <w:rPr>
          <w:shd w:val="clear" w:color="auto" w:fill="FFFFFF"/>
          <w:lang w:val="fr-FR"/>
        </w:rPr>
      </w:pPr>
    </w:p>
    <w:p w14:paraId="12E01E4D" w14:textId="2186D0AA" w:rsidR="000122BE" w:rsidRPr="003D5A0C" w:rsidRDefault="00AC76F4" w:rsidP="00E61E7C">
      <w:pPr>
        <w:jc w:val="center"/>
        <w:rPr>
          <w:shd w:val="clear" w:color="auto" w:fill="FFFFFF"/>
        </w:rPr>
      </w:pPr>
      <w:r>
        <w:rPr>
          <w:shd w:val="clear" w:color="auto" w:fill="FFFFFF"/>
        </w:rPr>
        <w:t>i</w:t>
      </w:r>
    </w:p>
    <w:p w14:paraId="4BFFCFE4" w14:textId="77777777" w:rsidR="00951D5A" w:rsidRPr="003D5A0C" w:rsidRDefault="00951D5A" w:rsidP="00E61E7C">
      <w:pPr>
        <w:jc w:val="center"/>
        <w:rPr>
          <w:shd w:val="clear" w:color="auto" w:fill="FFFFFF"/>
          <w:lang w:val="fr-FR"/>
        </w:rPr>
      </w:pPr>
    </w:p>
    <w:p w14:paraId="5B9C12A9" w14:textId="738A9ADF" w:rsidR="000122BE" w:rsidRPr="003D5A0C" w:rsidRDefault="00911EB1" w:rsidP="00E61E7C">
      <w:pPr>
        <w:pStyle w:val="ListParagraph"/>
        <w:numPr>
          <w:ilvl w:val="0"/>
          <w:numId w:val="6"/>
        </w:numPr>
        <w:jc w:val="center"/>
        <w:rPr>
          <w:b/>
        </w:rPr>
      </w:pPr>
      <w:r>
        <w:rPr>
          <w:b/>
        </w:rPr>
        <w:t>Prijedlog odluke Vijeća o uspostavi posebnog programa za provedbu Okvirnog programa za istraživanja i inovacije Obzor Europa za razdoblje 2028. – 2034., o utvrđivanju pravila za sudjelovanje i diseminaciju rezultata u okviru tog programa te o stavljanju izvan snage Odluke (EU) 2021/764</w:t>
      </w:r>
    </w:p>
    <w:p w14:paraId="0D84D5E2" w14:textId="034FF339" w:rsidR="000122BE" w:rsidRPr="003D5A0C" w:rsidRDefault="000122BE" w:rsidP="00E61E7C">
      <w:pPr>
        <w:jc w:val="center"/>
      </w:pPr>
      <w:r>
        <w:t>[COM(2025) 544 final — 2025/0544 (CNS)]</w:t>
      </w:r>
    </w:p>
    <w:p w14:paraId="5B3BE570" w14:textId="77777777" w:rsidR="009B30AA" w:rsidRPr="003D5A0C" w:rsidRDefault="009B30AA" w:rsidP="00E61E7C">
      <w:pPr>
        <w:jc w:val="center"/>
        <w:rPr>
          <w:lang w:val="fr-FR"/>
        </w:r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CF500B" w:rsidRPr="003D5A0C" w14:paraId="5B3BE57A" w14:textId="77777777" w:rsidTr="001255FB">
        <w:tc>
          <w:tcPr>
            <w:tcW w:w="3085" w:type="dxa"/>
          </w:tcPr>
          <w:p w14:paraId="5B3BE578" w14:textId="77777777" w:rsidR="00CF500B" w:rsidRPr="003D5A0C" w:rsidRDefault="00CF500B" w:rsidP="00E61E7C">
            <w:pPr>
              <w:jc w:val="left"/>
            </w:pPr>
            <w:r>
              <w:t>Kontakt:</w:t>
            </w:r>
          </w:p>
        </w:tc>
        <w:tc>
          <w:tcPr>
            <w:tcW w:w="6204" w:type="dxa"/>
          </w:tcPr>
          <w:p w14:paraId="5B3BE579" w14:textId="5E16169F" w:rsidR="00CF500B" w:rsidRPr="003D5A0C" w:rsidRDefault="009F2FAA" w:rsidP="00E61E7C">
            <w:pPr>
              <w:jc w:val="left"/>
            </w:pPr>
            <w:hyperlink r:id="rId12" w:history="1">
              <w:r>
                <w:rPr>
                  <w:rStyle w:val="Hyperlink"/>
                </w:rPr>
                <w:t>int@eesc.europa.eu</w:t>
              </w:r>
            </w:hyperlink>
          </w:p>
        </w:tc>
      </w:tr>
      <w:tr w:rsidR="00CF500B" w:rsidRPr="003D5A0C" w14:paraId="5B3BE57D" w14:textId="77777777" w:rsidTr="001255FB">
        <w:tc>
          <w:tcPr>
            <w:tcW w:w="3085" w:type="dxa"/>
          </w:tcPr>
          <w:p w14:paraId="5B3BE57B" w14:textId="4682CE7F" w:rsidR="00CF500B" w:rsidRPr="003D5A0C" w:rsidRDefault="00CF500B" w:rsidP="00E61E7C">
            <w:pPr>
              <w:jc w:val="left"/>
            </w:pPr>
            <w:r>
              <w:t>Administrator/ica:</w:t>
            </w:r>
          </w:p>
        </w:tc>
        <w:tc>
          <w:tcPr>
            <w:tcW w:w="6204" w:type="dxa"/>
          </w:tcPr>
          <w:p w14:paraId="5B3BE57C" w14:textId="489A6D81" w:rsidR="00CF500B" w:rsidRPr="003D5A0C" w:rsidRDefault="00CF500B" w:rsidP="00E61E7C">
            <w:pPr>
              <w:jc w:val="left"/>
            </w:pPr>
            <w:r>
              <w:t>Jana VALANT</w:t>
            </w:r>
          </w:p>
        </w:tc>
      </w:tr>
      <w:tr w:rsidR="00CF500B" w:rsidRPr="003D5A0C" w14:paraId="5B3BE580" w14:textId="77777777" w:rsidTr="001255FB">
        <w:tc>
          <w:tcPr>
            <w:tcW w:w="3085" w:type="dxa"/>
          </w:tcPr>
          <w:p w14:paraId="5B3BE57E" w14:textId="77777777" w:rsidR="00CF500B" w:rsidRPr="003D5A0C" w:rsidRDefault="00CF500B" w:rsidP="00E61E7C">
            <w:pPr>
              <w:jc w:val="left"/>
            </w:pPr>
            <w:r>
              <w:t>Datum dokumenta:</w:t>
            </w:r>
          </w:p>
        </w:tc>
        <w:tc>
          <w:tcPr>
            <w:tcW w:w="6204" w:type="dxa"/>
          </w:tcPr>
          <w:p w14:paraId="5B3BE57F" w14:textId="72704DAD" w:rsidR="00CF500B" w:rsidRPr="003D5A0C" w:rsidRDefault="00575499" w:rsidP="00E61E7C">
            <w:pPr>
              <w:jc w:val="left"/>
            </w:pPr>
            <w:r>
              <w:t>14/1/2026</w:t>
            </w:r>
          </w:p>
        </w:tc>
      </w:tr>
    </w:tbl>
    <w:p w14:paraId="7B2ACFE7" w14:textId="402003F6" w:rsidR="00812061" w:rsidRPr="003D5A0C" w:rsidRDefault="007B6582" w:rsidP="00E61E7C">
      <w:pPr>
        <w:jc w:val="center"/>
        <w:rPr>
          <w:bCs/>
        </w:rPr>
      </w:pPr>
      <w:r>
        <w:t xml:space="preserve">Izvjestitelj: </w:t>
      </w:r>
      <w:r>
        <w:rPr>
          <w:b/>
        </w:rPr>
        <w:t>Christophe LEFÈVRE</w:t>
      </w:r>
    </w:p>
    <w:p w14:paraId="5B3BE582" w14:textId="6F8F6800" w:rsidR="00E32DC6" w:rsidRPr="003D5A0C" w:rsidRDefault="00E32DC6" w:rsidP="00E61E7C">
      <w:pPr>
        <w:rPr>
          <w:lang w:val="fr-FR"/>
        </w:rPr>
      </w:pPr>
    </w:p>
    <w:p w14:paraId="5B3BE583" w14:textId="77777777" w:rsidR="00E32DC6" w:rsidRPr="003D5A0C" w:rsidRDefault="00E32DC6" w:rsidP="00E61E7C">
      <w:pPr>
        <w:rPr>
          <w:lang w:val="fr-FR"/>
        </w:rPr>
      </w:pPr>
    </w:p>
    <w:p w14:paraId="5B3BE584" w14:textId="77777777" w:rsidR="00E32DC6" w:rsidRPr="003D5A0C" w:rsidRDefault="00E32DC6" w:rsidP="00E61E7C">
      <w:pPr>
        <w:rPr>
          <w:lang w:val="fr-FR"/>
        </w:rPr>
        <w:sectPr w:rsidR="00E32DC6" w:rsidRPr="003D5A0C" w:rsidSect="00575499">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119"/>
        <w:gridCol w:w="5954"/>
      </w:tblGrid>
      <w:tr w:rsidR="004D054D" w:rsidRPr="003E7DD6" w14:paraId="021D5228" w14:textId="77777777" w:rsidTr="007B24AE">
        <w:tc>
          <w:tcPr>
            <w:tcW w:w="3119" w:type="dxa"/>
          </w:tcPr>
          <w:p w14:paraId="0214EE5B" w14:textId="3E9ECAD4" w:rsidR="004D054D" w:rsidRPr="003D5A0C" w:rsidRDefault="004D054D" w:rsidP="00E61E7C">
            <w:pPr>
              <w:jc w:val="left"/>
            </w:pPr>
            <w:r>
              <w:lastRenderedPageBreak/>
              <w:t>Savjetnik/ica:</w:t>
            </w:r>
          </w:p>
        </w:tc>
        <w:tc>
          <w:tcPr>
            <w:tcW w:w="5954" w:type="dxa"/>
          </w:tcPr>
          <w:p w14:paraId="73F12986" w14:textId="7635C82A" w:rsidR="004D054D" w:rsidRPr="003D5A0C" w:rsidRDefault="0009155F" w:rsidP="00E61E7C">
            <w:pPr>
              <w:jc w:val="left"/>
            </w:pPr>
            <w:r>
              <w:t>Véronique CHAPPELART (za izvjestitelja)</w:t>
            </w:r>
          </w:p>
          <w:p w14:paraId="7808BBE6" w14:textId="4A95E7F9" w:rsidR="00E45F32" w:rsidRPr="003D5A0C" w:rsidRDefault="00E45F32" w:rsidP="00E61E7C">
            <w:pPr>
              <w:jc w:val="left"/>
              <w:rPr>
                <w:lang w:val="fr-FR"/>
              </w:rPr>
            </w:pPr>
          </w:p>
        </w:tc>
      </w:tr>
      <w:tr w:rsidR="00E45F32" w:rsidRPr="003D5A0C" w14:paraId="7E70DD8E" w14:textId="77777777" w:rsidTr="007B24AE">
        <w:tc>
          <w:tcPr>
            <w:tcW w:w="3119" w:type="dxa"/>
          </w:tcPr>
          <w:p w14:paraId="4CCF8D98" w14:textId="31DFE0F8" w:rsidR="00E45F32" w:rsidRPr="003D5A0C" w:rsidRDefault="00E45F32" w:rsidP="00E61E7C">
            <w:pPr>
              <w:jc w:val="left"/>
            </w:pPr>
            <w:r>
              <w:t>Zakonodavni postupak:</w:t>
            </w:r>
          </w:p>
        </w:tc>
        <w:tc>
          <w:tcPr>
            <w:tcW w:w="5954" w:type="dxa"/>
          </w:tcPr>
          <w:p w14:paraId="5177DD47" w14:textId="65D4D5E7" w:rsidR="00E45F32" w:rsidRPr="003D5A0C" w:rsidRDefault="009F2FAA" w:rsidP="00E61E7C">
            <w:pPr>
              <w:pStyle w:val="ListParagraph"/>
              <w:numPr>
                <w:ilvl w:val="0"/>
                <w:numId w:val="2"/>
              </w:numPr>
              <w:overflowPunct/>
              <w:adjustRightInd/>
              <w:ind w:left="424" w:hanging="424"/>
              <w:jc w:val="left"/>
              <w:textAlignment w:val="auto"/>
              <w:rPr>
                <w:color w:val="0000FF"/>
              </w:rPr>
            </w:pPr>
            <w:hyperlink r:id="rId19" w:history="1">
              <w:r>
                <w:rPr>
                  <w:rStyle w:val="Hyperlink"/>
                </w:rPr>
                <w:t>EU Law Tracker</w:t>
              </w:r>
            </w:hyperlink>
          </w:p>
        </w:tc>
      </w:tr>
      <w:tr w:rsidR="00E45F32" w:rsidRPr="003D5A0C" w14:paraId="5B3BE5A6" w14:textId="77777777" w:rsidTr="007B24AE">
        <w:tc>
          <w:tcPr>
            <w:tcW w:w="3119" w:type="dxa"/>
          </w:tcPr>
          <w:p w14:paraId="5B3BE5A4" w14:textId="1B507281" w:rsidR="00E45F32" w:rsidRPr="003D5A0C" w:rsidRDefault="00E45F32" w:rsidP="00E61E7C">
            <w:pPr>
              <w:jc w:val="left"/>
            </w:pPr>
            <w:r>
              <w:t>Savjetovanja:</w:t>
            </w:r>
          </w:p>
        </w:tc>
        <w:tc>
          <w:tcPr>
            <w:tcW w:w="5954" w:type="dxa"/>
          </w:tcPr>
          <w:p w14:paraId="5B3BE5A5" w14:textId="66ED6892" w:rsidR="00E45F32" w:rsidRPr="003D5A0C" w:rsidRDefault="00A86C36" w:rsidP="00E61E7C">
            <w:pPr>
              <w:pStyle w:val="ListParagraph"/>
              <w:numPr>
                <w:ilvl w:val="0"/>
                <w:numId w:val="2"/>
              </w:numPr>
              <w:overflowPunct/>
              <w:adjustRightInd/>
              <w:ind w:left="424" w:hanging="424"/>
              <w:jc w:val="left"/>
              <w:textAlignment w:val="auto"/>
            </w:pPr>
            <w:r>
              <w:t>Vijeće Europske unije, 25/9/2025</w:t>
            </w:r>
          </w:p>
        </w:tc>
      </w:tr>
      <w:tr w:rsidR="00180F74" w:rsidRPr="003D5A0C" w14:paraId="1EBE3610" w14:textId="77777777" w:rsidTr="007B24AE">
        <w:tc>
          <w:tcPr>
            <w:tcW w:w="3119" w:type="dxa"/>
          </w:tcPr>
          <w:p w14:paraId="74828A41" w14:textId="77777777" w:rsidR="00180F74" w:rsidRPr="003D5A0C" w:rsidRDefault="00180F74" w:rsidP="00E61E7C">
            <w:pPr>
              <w:jc w:val="left"/>
              <w:rPr>
                <w:lang w:val="fr-FR"/>
              </w:rPr>
            </w:pPr>
          </w:p>
        </w:tc>
        <w:tc>
          <w:tcPr>
            <w:tcW w:w="5954" w:type="dxa"/>
          </w:tcPr>
          <w:p w14:paraId="4EFEC451" w14:textId="51148FAE" w:rsidR="00180F74" w:rsidRPr="003D5A0C" w:rsidRDefault="00465651" w:rsidP="000C50A2">
            <w:pPr>
              <w:pStyle w:val="ListParagraph"/>
              <w:numPr>
                <w:ilvl w:val="0"/>
                <w:numId w:val="3"/>
              </w:numPr>
              <w:ind w:left="424" w:hanging="424"/>
              <w:jc w:val="left"/>
            </w:pPr>
            <w:r>
              <w:t>Vijeće Europske unije, 25/9/2025</w:t>
            </w:r>
          </w:p>
        </w:tc>
      </w:tr>
      <w:tr w:rsidR="00E45F32" w:rsidRPr="003E7DD6" w14:paraId="5B3BE5A9" w14:textId="77777777" w:rsidTr="007B24AE">
        <w:trPr>
          <w:trHeight w:val="251"/>
        </w:trPr>
        <w:tc>
          <w:tcPr>
            <w:tcW w:w="3119" w:type="dxa"/>
          </w:tcPr>
          <w:p w14:paraId="5B3BE5A7" w14:textId="77777777" w:rsidR="00E45F32" w:rsidRPr="003D5A0C" w:rsidRDefault="00E45F32" w:rsidP="00E61E7C">
            <w:pPr>
              <w:jc w:val="left"/>
            </w:pPr>
            <w:r>
              <w:t>Pravna osnova:</w:t>
            </w:r>
          </w:p>
        </w:tc>
        <w:tc>
          <w:tcPr>
            <w:tcW w:w="5954" w:type="dxa"/>
          </w:tcPr>
          <w:p w14:paraId="5B3BE5A8" w14:textId="6766FFA3" w:rsidR="00E45F32" w:rsidRPr="003D5A0C" w:rsidRDefault="00E45F32" w:rsidP="00E61E7C">
            <w:pPr>
              <w:jc w:val="left"/>
            </w:pPr>
            <w:r>
              <w:t>članak 173. stavak 3., članak 182. stavak 1. i članak 188. drugi podstavak Ugovora o funkcioniranju Europske unije</w:t>
            </w:r>
          </w:p>
        </w:tc>
      </w:tr>
      <w:tr w:rsidR="00E45F32" w:rsidRPr="003D5A0C" w14:paraId="5B3BE5C4" w14:textId="77777777" w:rsidTr="007B24AE">
        <w:tc>
          <w:tcPr>
            <w:tcW w:w="3119" w:type="dxa"/>
          </w:tcPr>
          <w:p w14:paraId="23A5749D" w14:textId="007116C0" w:rsidR="00815C36" w:rsidRPr="003D5A0C" w:rsidRDefault="00815C36" w:rsidP="00E61E7C">
            <w:pPr>
              <w:jc w:val="left"/>
            </w:pPr>
            <w:r>
              <w:t>Dokument/i Europske komisije:</w:t>
            </w:r>
          </w:p>
          <w:p w14:paraId="69A9C3FA" w14:textId="77777777" w:rsidR="0072371C" w:rsidRPr="003D5A0C" w:rsidRDefault="0072371C" w:rsidP="00E61E7C">
            <w:pPr>
              <w:jc w:val="left"/>
              <w:rPr>
                <w:lang w:val="fr-FR"/>
              </w:rPr>
            </w:pPr>
          </w:p>
          <w:p w14:paraId="2ACD9C02" w14:textId="77777777" w:rsidR="007B24AE" w:rsidRPr="003D5A0C" w:rsidRDefault="007B24AE" w:rsidP="00E61E7C">
            <w:pPr>
              <w:jc w:val="left"/>
              <w:rPr>
                <w:lang w:val="fr-FR"/>
              </w:rPr>
            </w:pPr>
          </w:p>
          <w:p w14:paraId="5B3BE5C2" w14:textId="7243B6ED" w:rsidR="00E45F32" w:rsidRPr="003D5A0C" w:rsidRDefault="00B85FBA" w:rsidP="00E61E7C">
            <w:pPr>
              <w:jc w:val="left"/>
            </w:pPr>
            <w:r>
              <w:t>Relevantni ciljevi održivog razvoja:</w:t>
            </w:r>
          </w:p>
        </w:tc>
        <w:tc>
          <w:tcPr>
            <w:tcW w:w="5954" w:type="dxa"/>
          </w:tcPr>
          <w:p w14:paraId="1D260A28" w14:textId="6507FDCB" w:rsidR="00815C36" w:rsidRPr="003D5A0C" w:rsidRDefault="009F2FAA" w:rsidP="000C50A2">
            <w:pPr>
              <w:pStyle w:val="ListParagraph"/>
              <w:numPr>
                <w:ilvl w:val="0"/>
                <w:numId w:val="4"/>
              </w:numPr>
              <w:ind w:left="424" w:hanging="424"/>
              <w:jc w:val="left"/>
            </w:pPr>
            <w:hyperlink r:id="rId20" w:history="1">
              <w:r>
                <w:rPr>
                  <w:rStyle w:val="Hyperlink"/>
                </w:rPr>
                <w:t>COM(2025) 543 final – 2025/0543 (COD)</w:t>
              </w:r>
            </w:hyperlink>
          </w:p>
          <w:p w14:paraId="3E7943BF" w14:textId="50001E84" w:rsidR="0086114E" w:rsidRPr="003D5A0C" w:rsidRDefault="009F2FAA" w:rsidP="000C50A2">
            <w:pPr>
              <w:pStyle w:val="ListParagraph"/>
              <w:numPr>
                <w:ilvl w:val="0"/>
                <w:numId w:val="4"/>
              </w:numPr>
              <w:ind w:left="424" w:hanging="424"/>
              <w:jc w:val="left"/>
            </w:pPr>
            <w:hyperlink r:id="rId21" w:history="1">
              <w:r>
                <w:rPr>
                  <w:rStyle w:val="Hyperlink"/>
                </w:rPr>
                <w:t xml:space="preserve">COM(2025) 544 </w:t>
              </w:r>
              <w:r>
                <w:rPr>
                  <w:rStyle w:val="Hyperlink"/>
                </w:rPr>
                <w:t>final – 2025/0544 (CNS)</w:t>
              </w:r>
            </w:hyperlink>
          </w:p>
          <w:p w14:paraId="75792427" w14:textId="5D3828D0" w:rsidR="00E45F32" w:rsidRPr="003D5A0C" w:rsidRDefault="009F2FAA" w:rsidP="000C50A2">
            <w:pPr>
              <w:pStyle w:val="ListParagraph"/>
              <w:ind w:left="424"/>
              <w:jc w:val="left"/>
            </w:pPr>
            <w:hyperlink r:id="rId22" w:history="1">
              <w:r>
                <w:rPr>
                  <w:rStyle w:val="Hyperlink"/>
                </w:rPr>
                <w:t>Sažetak dokumenta COM</w:t>
              </w:r>
            </w:hyperlink>
          </w:p>
          <w:p w14:paraId="5B3BE5C3" w14:textId="213F5E39" w:rsidR="00B85FBA" w:rsidRPr="00575499" w:rsidRDefault="009F2FAA" w:rsidP="000C50A2">
            <w:pPr>
              <w:ind w:left="424"/>
              <w:jc w:val="left"/>
            </w:pPr>
            <w:hyperlink r:id="rId23" w:history="1">
              <w:r>
                <w:rPr>
                  <w:rStyle w:val="Hyperlink"/>
                </w:rPr>
                <w:t>Ciljevi održivog razvoja</w:t>
              </w:r>
              <w:r>
                <w:rPr>
                  <w:rStyle w:val="Hyperlink"/>
                </w:rPr>
                <w:t xml:space="preserve"> 9., 3., 6. i 7.</w:t>
              </w:r>
            </w:hyperlink>
          </w:p>
        </w:tc>
      </w:tr>
      <w:tr w:rsidR="00B85FBA" w:rsidRPr="003E7DD6" w14:paraId="0D6CDD1C" w14:textId="77777777" w:rsidTr="007B24AE">
        <w:tc>
          <w:tcPr>
            <w:tcW w:w="3119" w:type="dxa"/>
          </w:tcPr>
          <w:p w14:paraId="78DFE66C" w14:textId="77777777" w:rsidR="00491EFD" w:rsidRPr="003D5A0C" w:rsidRDefault="00491EFD" w:rsidP="00E61E7C">
            <w:pPr>
              <w:jc w:val="left"/>
              <w:rPr>
                <w:lang w:val="fr-FR"/>
              </w:rPr>
            </w:pPr>
          </w:p>
          <w:p w14:paraId="7FC7E3C5" w14:textId="12A902DF" w:rsidR="00B85FBA" w:rsidRPr="003D5A0C" w:rsidRDefault="00B85FBA" w:rsidP="00E61E7C">
            <w:pPr>
              <w:jc w:val="left"/>
            </w:pPr>
            <w:r>
              <w:t>Nadležna stručna skupina:</w:t>
            </w:r>
          </w:p>
        </w:tc>
        <w:tc>
          <w:tcPr>
            <w:tcW w:w="5954" w:type="dxa"/>
          </w:tcPr>
          <w:p w14:paraId="5F27BE6C" w14:textId="77777777" w:rsidR="00491EFD" w:rsidRPr="003D5A0C" w:rsidRDefault="00491EFD" w:rsidP="00E61E7C">
            <w:pPr>
              <w:jc w:val="left"/>
              <w:rPr>
                <w:lang w:val="fr-FR"/>
              </w:rPr>
            </w:pPr>
          </w:p>
          <w:p w14:paraId="327A005E" w14:textId="1D5EF69E" w:rsidR="00B85FBA" w:rsidRPr="003D5A0C" w:rsidRDefault="00ED6990" w:rsidP="00E61E7C">
            <w:pPr>
              <w:jc w:val="left"/>
              <w:rPr>
                <w:shd w:val="clear" w:color="auto" w:fill="FFFFFF"/>
              </w:rPr>
            </w:pPr>
            <w:r>
              <w:t>Stručna skupina za jedinstveno tržište, proizvodnju i potrošnju</w:t>
            </w:r>
          </w:p>
        </w:tc>
      </w:tr>
      <w:tr w:rsidR="00E45F32" w:rsidRPr="003D5A0C" w14:paraId="5B3BE5C7" w14:textId="77777777" w:rsidTr="007B24AE">
        <w:tc>
          <w:tcPr>
            <w:tcW w:w="3119" w:type="dxa"/>
          </w:tcPr>
          <w:p w14:paraId="5B3BE5C5" w14:textId="6F862EC0" w:rsidR="00E45F32" w:rsidRPr="003D5A0C" w:rsidRDefault="00E45F32" w:rsidP="00E61E7C">
            <w:pPr>
              <w:jc w:val="left"/>
            </w:pPr>
            <w:r>
              <w:t>Datum usvajanja u Stručnoj skupini:</w:t>
            </w:r>
          </w:p>
        </w:tc>
        <w:tc>
          <w:tcPr>
            <w:tcW w:w="5954" w:type="dxa"/>
          </w:tcPr>
          <w:p w14:paraId="5B3BE5C6" w14:textId="03DB81C6" w:rsidR="00E45F32" w:rsidRPr="003D5A0C" w:rsidRDefault="00CB5BF2" w:rsidP="00E61E7C">
            <w:pPr>
              <w:jc w:val="left"/>
            </w:pPr>
            <w:r>
              <w:t>8/1/2026</w:t>
            </w:r>
          </w:p>
        </w:tc>
      </w:tr>
      <w:tr w:rsidR="00E45F32" w:rsidRPr="003D5A0C" w14:paraId="76673220" w14:textId="77777777" w:rsidTr="007B24AE">
        <w:tc>
          <w:tcPr>
            <w:tcW w:w="3119" w:type="dxa"/>
          </w:tcPr>
          <w:p w14:paraId="3C0899C8" w14:textId="0995A3EA" w:rsidR="00E45F32" w:rsidRPr="003D5A0C" w:rsidRDefault="00E45F32" w:rsidP="00E61E7C">
            <w:pPr>
              <w:jc w:val="left"/>
            </w:pPr>
            <w:r>
              <w:t>Rezultat glasanja</w:t>
            </w:r>
            <w:r>
              <w:br/>
              <w:t>(za/protiv/suzdržani):</w:t>
            </w:r>
          </w:p>
        </w:tc>
        <w:tc>
          <w:tcPr>
            <w:tcW w:w="5954" w:type="dxa"/>
            <w:vAlign w:val="bottom"/>
          </w:tcPr>
          <w:p w14:paraId="31005FC7" w14:textId="189C5F43" w:rsidR="00E45F32" w:rsidRPr="003D5A0C" w:rsidRDefault="001A0639" w:rsidP="00E61E7C">
            <w:pPr>
              <w:jc w:val="left"/>
            </w:pPr>
            <w:r>
              <w:t>99/0/0</w:t>
            </w:r>
          </w:p>
        </w:tc>
      </w:tr>
      <w:tr w:rsidR="00E45F32" w:rsidRPr="003D5A0C" w14:paraId="5B3BE5CA" w14:textId="77777777" w:rsidTr="007B24AE">
        <w:tc>
          <w:tcPr>
            <w:tcW w:w="3119" w:type="dxa"/>
          </w:tcPr>
          <w:p w14:paraId="5B3BE5C8" w14:textId="17C6178A" w:rsidR="00E45F32" w:rsidRPr="003D5A0C" w:rsidRDefault="00E45F32" w:rsidP="00E61E7C">
            <w:pPr>
              <w:jc w:val="left"/>
            </w:pPr>
            <w:r>
              <w:t>Datum usvajanja na plenarnom zasjedanju:</w:t>
            </w:r>
          </w:p>
        </w:tc>
        <w:tc>
          <w:tcPr>
            <w:tcW w:w="5954" w:type="dxa"/>
          </w:tcPr>
          <w:p w14:paraId="5B3BE5C9" w14:textId="03FBA0BE" w:rsidR="00E45F32" w:rsidRPr="003D5A0C" w:rsidRDefault="007B45FC" w:rsidP="00E61E7C">
            <w:pPr>
              <w:jc w:val="left"/>
            </w:pPr>
            <w:r>
              <w:t>21/1/2026</w:t>
            </w:r>
          </w:p>
        </w:tc>
      </w:tr>
      <w:tr w:rsidR="00E45F32" w:rsidRPr="003D5A0C" w14:paraId="5B3BE5CD" w14:textId="77777777" w:rsidTr="007B24AE">
        <w:tc>
          <w:tcPr>
            <w:tcW w:w="3119" w:type="dxa"/>
          </w:tcPr>
          <w:p w14:paraId="5B3BE5CB" w14:textId="77777777" w:rsidR="00E45F32" w:rsidRPr="003D5A0C" w:rsidRDefault="00E45F32" w:rsidP="00E61E7C">
            <w:pPr>
              <w:jc w:val="left"/>
            </w:pPr>
            <w:r>
              <w:t>Plenarno zasjedanje br.:</w:t>
            </w:r>
          </w:p>
        </w:tc>
        <w:tc>
          <w:tcPr>
            <w:tcW w:w="5954" w:type="dxa"/>
          </w:tcPr>
          <w:p w14:paraId="5B3BE5CC" w14:textId="24CEEEF5" w:rsidR="00E45F32" w:rsidRPr="003D5A0C" w:rsidRDefault="00E45F32" w:rsidP="00E61E7C">
            <w:pPr>
              <w:jc w:val="left"/>
            </w:pPr>
            <w:r>
              <w:t>…</w:t>
            </w:r>
          </w:p>
        </w:tc>
      </w:tr>
      <w:tr w:rsidR="00E45F32" w:rsidRPr="003D5A0C" w14:paraId="5B3BE5D0" w14:textId="77777777" w:rsidTr="007B24AE">
        <w:tc>
          <w:tcPr>
            <w:tcW w:w="3119" w:type="dxa"/>
          </w:tcPr>
          <w:p w14:paraId="5B3BE5CE" w14:textId="0ED6183D" w:rsidR="00E45F32" w:rsidRPr="003D5A0C" w:rsidRDefault="00E45F32" w:rsidP="00E61E7C">
            <w:pPr>
              <w:jc w:val="left"/>
            </w:pPr>
            <w:r>
              <w:t>Rezultat glasanja</w:t>
            </w:r>
            <w:r>
              <w:br/>
              <w:t>(za/protiv/suzdržani):</w:t>
            </w:r>
          </w:p>
        </w:tc>
        <w:tc>
          <w:tcPr>
            <w:tcW w:w="5954" w:type="dxa"/>
            <w:vAlign w:val="bottom"/>
          </w:tcPr>
          <w:p w14:paraId="5B3BE5CF" w14:textId="77777777" w:rsidR="00E45F32" w:rsidRPr="003D5A0C" w:rsidRDefault="00E45F32" w:rsidP="00E61E7C">
            <w:pPr>
              <w:jc w:val="left"/>
            </w:pPr>
            <w:r>
              <w:t>…/…/…</w:t>
            </w:r>
          </w:p>
        </w:tc>
      </w:tr>
    </w:tbl>
    <w:p w14:paraId="5B3BE5D1" w14:textId="77777777" w:rsidR="0090053A" w:rsidRPr="003D5A0C" w:rsidRDefault="0090053A" w:rsidP="00E61E7C">
      <w:pPr>
        <w:rPr>
          <w:lang w:val="fr-FR"/>
        </w:rPr>
      </w:pPr>
    </w:p>
    <w:p w14:paraId="5B3BE5D2" w14:textId="77777777" w:rsidR="00646AC2" w:rsidRPr="003D5A0C" w:rsidRDefault="00646AC2" w:rsidP="00E61E7C">
      <w:r>
        <w:br w:type="page"/>
      </w:r>
    </w:p>
    <w:p w14:paraId="5B3BE5D3" w14:textId="2A368119" w:rsidR="00011D33" w:rsidRPr="003D5A0C" w:rsidRDefault="007B24AE" w:rsidP="00E61E7C">
      <w:pPr>
        <w:pStyle w:val="Heading1"/>
        <w:rPr>
          <w:b/>
          <w:bCs/>
        </w:rPr>
      </w:pPr>
      <w:r>
        <w:rPr>
          <w:b/>
        </w:rPr>
        <w:lastRenderedPageBreak/>
        <w:t>Preporuke</w:t>
      </w:r>
    </w:p>
    <w:p w14:paraId="5B3BE5D4" w14:textId="77777777" w:rsidR="00011D33" w:rsidRPr="003D5A0C" w:rsidRDefault="00011D33" w:rsidP="00E61E7C">
      <w:pPr>
        <w:keepNext/>
        <w:rPr>
          <w:lang w:val="fr-FR"/>
        </w:rPr>
      </w:pPr>
    </w:p>
    <w:p w14:paraId="0B8A6C11" w14:textId="3ADB8789" w:rsidR="004E1B0A" w:rsidRPr="003D5A0C" w:rsidRDefault="004E1B0A" w:rsidP="00E61E7C">
      <w:r>
        <w:t>U trenutačnom kontekstu sve složenijih izazova na globalnom planu (zelena i digitalna tranzicija, globalna kriza povezana s vodom, strateško tržišno natjecanje s globalnim akterima, posebno SAD-om i Kinom), prijedlozi Europske komisije predstavljaju stratešku i radikalnu promjenu za budućnost EU-a, u skladu s izvješćima Marija Draghija i Enrica Lette.</w:t>
      </w:r>
    </w:p>
    <w:p w14:paraId="6804CA30" w14:textId="77777777" w:rsidR="007B24AE" w:rsidRPr="003D5A0C" w:rsidRDefault="007B24AE" w:rsidP="00E61E7C">
      <w:pPr>
        <w:keepNext/>
        <w:jc w:val="left"/>
        <w:rPr>
          <w:lang w:val="fr-FR"/>
        </w:rPr>
      </w:pPr>
    </w:p>
    <w:p w14:paraId="1B8A2BB1" w14:textId="226A6DD8" w:rsidR="000E57F2" w:rsidRPr="003D5A0C" w:rsidRDefault="000E57F2" w:rsidP="00E61E7C">
      <w:pPr>
        <w:keepNext/>
        <w:jc w:val="left"/>
        <w:rPr>
          <w:i/>
          <w:iCs/>
        </w:rPr>
      </w:pPr>
      <w:r>
        <w:t>Europski gospodarski i socijalni odbor (EGSO):</w:t>
      </w:r>
    </w:p>
    <w:p w14:paraId="1275CB27" w14:textId="77777777" w:rsidR="004E1B0A" w:rsidRPr="003D5A0C" w:rsidRDefault="004E1B0A" w:rsidP="00E61E7C">
      <w:pPr>
        <w:keepNext/>
        <w:ind w:left="142" w:hanging="142"/>
        <w:jc w:val="left"/>
        <w:rPr>
          <w:lang w:val="fr-FR"/>
        </w:rPr>
      </w:pPr>
    </w:p>
    <w:p w14:paraId="6D92761D" w14:textId="5E7263D1" w:rsidR="004E1B0A" w:rsidRPr="00CB5487" w:rsidRDefault="004E1B0A" w:rsidP="00E61E7C">
      <w:pPr>
        <w:pStyle w:val="Heading2"/>
      </w:pPr>
      <w:r>
        <w:t>potiče suzakonodavce da podrže novi pristup jačanju industrijske konkurentnosti Europske unije i njezinog tehnološkog vodstva te civilne, industrijske i društvene pripravnosti i da financiranje aktivnosti istraživanja, razvoja i inoviranja usmjere prema jasnim ciljevima konkurentnosti;</w:t>
      </w:r>
    </w:p>
    <w:p w14:paraId="1588F159" w14:textId="77777777" w:rsidR="004E1B0A" w:rsidRPr="003D5A0C" w:rsidRDefault="004E1B0A" w:rsidP="00E61E7C">
      <w:pPr>
        <w:rPr>
          <w:lang w:val="fr-FR"/>
        </w:rPr>
      </w:pPr>
    </w:p>
    <w:p w14:paraId="164C46AD" w14:textId="6B1C5187" w:rsidR="00232823" w:rsidRPr="00CB5487" w:rsidRDefault="007B1684" w:rsidP="00E61E7C">
      <w:pPr>
        <w:pStyle w:val="Heading2"/>
      </w:pPr>
      <w:r>
        <w:t>smatra da je okvirni proračun od 175 002 000 000 EUR predložen za razdoblje 2028. – 2034. ohrabrujući i da jasno ukazuje na podršku znanstvenoj izvrsnosti i cilju ulaganja u istraživanje, inovacije i disruptivne tehnologije. Međutim, EGSO preporučuje da se on koristi samo kao minimalna referentna točka za rasprave između Vijeća i Europskog parlamenta i da se posebna pozornost posveti čistim tehnologijama, sektoru u kojem EU može razviti komparativnu prednost i ojačati svoju stratešku autonomiju;</w:t>
      </w:r>
    </w:p>
    <w:p w14:paraId="5438AC40" w14:textId="77777777" w:rsidR="00232823" w:rsidRPr="003D5A0C" w:rsidRDefault="00232823" w:rsidP="00E61E7C">
      <w:pPr>
        <w:rPr>
          <w:lang w:val="fr-FR"/>
        </w:rPr>
      </w:pPr>
    </w:p>
    <w:p w14:paraId="48709CD9" w14:textId="4CCF2582" w:rsidR="00715ECA" w:rsidRPr="003D5A0C" w:rsidRDefault="007B1684" w:rsidP="00E61E7C">
      <w:pPr>
        <w:pStyle w:val="Heading2"/>
      </w:pPr>
      <w:r>
        <w:t>smatra da bi se u proračunu trebala pobliže odrediti povezanost između sredstava i jasno definiranih rezultata i da bi on trebao uključivati i mjerljive ključne pokazatelje uspješnosti, uključujući pokazatelje koji se upotrebljavaju za procjenu uspjeha i učinka u odnosu na posebne ciljeve programâ. Među tim su ciljevima sudjelovanje MSP-ova i država kandidatkinja za članstvo u EU-u ili pak skraćivanje vremena potrebnog za dodjelu bespovratnih sredstava na prosječno 120 dana i 90 dana za ubrzana bespovratna sredstva kako bi se zajamčili pristupačnost, pravednost, učinkovitost, administrativno pojednostavljenje i proporcionalnost;</w:t>
      </w:r>
    </w:p>
    <w:p w14:paraId="4D23F1C2" w14:textId="08899CD6" w:rsidR="00715ECA" w:rsidRPr="003D5A0C" w:rsidRDefault="00715ECA" w:rsidP="00E61E7C">
      <w:pPr>
        <w:rPr>
          <w:lang w:val="fr-FR"/>
        </w:rPr>
      </w:pPr>
    </w:p>
    <w:p w14:paraId="182F85A1" w14:textId="6DFDF4E2" w:rsidR="004E1B0A" w:rsidRPr="003D5A0C" w:rsidRDefault="00A83F1A" w:rsidP="00E61E7C">
      <w:pPr>
        <w:pStyle w:val="Heading2"/>
      </w:pPr>
      <w:r>
        <w:t>smatra da je nužno osigurati jači nadzor nad korištenjem sredstava i identificirati prepreke njihovoj upotrebi ili čimbenike nedovoljne iskorištenosti u određenim zemljama. Potrebno je poduzeti mjere za bolje usmjeravanje programa i podupiranje i poticanje istraživača da koriste europska sredstva za financiranje istraživanja;</w:t>
      </w:r>
    </w:p>
    <w:p w14:paraId="6F1EB8F9" w14:textId="77777777" w:rsidR="00303CC0" w:rsidRPr="003D5A0C" w:rsidRDefault="00303CC0" w:rsidP="00E61E7C">
      <w:pPr>
        <w:rPr>
          <w:lang w:val="fr-FR"/>
        </w:rPr>
      </w:pPr>
    </w:p>
    <w:p w14:paraId="4984EE47" w14:textId="41DEB79B" w:rsidR="00D01AC0" w:rsidRPr="003D5A0C" w:rsidRDefault="00A35CEF" w:rsidP="00E61E7C">
      <w:pPr>
        <w:pStyle w:val="Heading2"/>
      </w:pPr>
      <w:r>
        <w:t>preporučuje da se zadrži i ispravno provede planirano usklađivanje programa Obzor Europa (dalje u tekstu: „Program”) i Europskog fonda za konkurentnost, posebno četiriju sastavnica politika Fonda i odgovarajućih aktivnosti iz drugog stupa Programa („Konkurentnost i društvo”), ali pritom naglašava potrebu da se obuhvati cijeli ciklus inovacija i sve faze ulaganja;</w:t>
      </w:r>
    </w:p>
    <w:p w14:paraId="52471BB0" w14:textId="08AB28AA" w:rsidR="004E1B0A" w:rsidRPr="003D5A0C" w:rsidRDefault="004E1B0A" w:rsidP="00E61E7C">
      <w:pPr>
        <w:rPr>
          <w:lang w:val="fr-FR"/>
        </w:rPr>
      </w:pPr>
    </w:p>
    <w:p w14:paraId="528A6BA2" w14:textId="4D863DAC" w:rsidR="004E1B0A" w:rsidRPr="003D5A0C" w:rsidRDefault="009C742B" w:rsidP="00E61E7C">
      <w:pPr>
        <w:pStyle w:val="Heading2"/>
      </w:pPr>
      <w:r>
        <w:t>preporučuje da se, kako bi se podržao cijeli ciklus inovacija (od temeljnog istraživanja do stavljanja na tržište), postupci evaluacije i odabira projekata ne temelje samo na znanstvenoj izvrsnosti već i na dodatnim evaluacijskim kriterijima koji bi pomogli da se bolje shvate komercijalna važnost, industrijski učinak i doprinos europskoj strateškoj autonomiji i konkurentnosti europske industrije;</w:t>
      </w:r>
    </w:p>
    <w:p w14:paraId="6F433485" w14:textId="77777777" w:rsidR="0039696F" w:rsidRPr="003D5A0C" w:rsidRDefault="0039696F" w:rsidP="00E61E7C">
      <w:pPr>
        <w:rPr>
          <w:lang w:val="fr-FR"/>
        </w:rPr>
      </w:pPr>
    </w:p>
    <w:p w14:paraId="65CF9981" w14:textId="3C43DE89" w:rsidR="004E1B0A" w:rsidRPr="003D5A0C" w:rsidRDefault="00482785" w:rsidP="00E61E7C">
      <w:pPr>
        <w:pStyle w:val="Heading2"/>
      </w:pPr>
      <w:r>
        <w:lastRenderedPageBreak/>
        <w:t>smatra da je, uz nužnu blisku koordinaciju i povezanost između drugog stupa programa Obzor Europa i Europskog fonda za konkurentnost, iznimno važna veća sinergija, čak i među stupovima Programa, kao i između tih stupova i navedenog fonda;</w:t>
      </w:r>
    </w:p>
    <w:p w14:paraId="20B28F2C" w14:textId="77777777" w:rsidR="00403E69" w:rsidRPr="003D5A0C" w:rsidRDefault="00403E69" w:rsidP="00E61E7C">
      <w:pPr>
        <w:rPr>
          <w:lang w:val="fr-FR"/>
        </w:rPr>
      </w:pPr>
    </w:p>
    <w:p w14:paraId="122DC159" w14:textId="3FC97E5A" w:rsidR="000E57F2" w:rsidRPr="003D5A0C" w:rsidRDefault="00932643" w:rsidP="00E61E7C">
      <w:pPr>
        <w:pStyle w:val="Heading2"/>
      </w:pPr>
      <w:r>
        <w:t>preporučuje povećanje proračuna za financiranje istraživanja i inovacija povezanih s globalnim društvenim izazovima, kao što su jačanje demokratskih vrijednosti i temelja demokracije, sudjelovanje građanstva, promicanje socijalne uključenosti i društvena prihvaćenost tehnologija drugog stupa „Konkurentnost i društvo” kako bi se ispravila znatna neravnoteža u prijedlogu koja ide u korist komponente „Konkurentnost”;</w:t>
      </w:r>
    </w:p>
    <w:p w14:paraId="0CF3ECDA" w14:textId="77777777" w:rsidR="000E57F2" w:rsidRPr="003D5A0C" w:rsidRDefault="000E57F2" w:rsidP="00E61E7C">
      <w:pPr>
        <w:ind w:left="567" w:hanging="567"/>
        <w:rPr>
          <w:lang w:val="fr-FR"/>
        </w:rPr>
      </w:pPr>
    </w:p>
    <w:p w14:paraId="04D22B02" w14:textId="2554A6CC" w:rsidR="000E57F2" w:rsidRPr="003D5A0C" w:rsidRDefault="005A1BFC" w:rsidP="00E61E7C">
      <w:pPr>
        <w:pStyle w:val="Heading2"/>
      </w:pPr>
      <w:r>
        <w:t>preporučuje da se za funkciju predsjednika Europskog istraživačkog vijeća (ERC) zadrži četverogodišnji mandat koji se može jednom obnoviti, umjesto da ga se skrati na dvije godine, uz mogućnost obnove jednom za najviše dvije dodatne godine, kako je utvrđeno u članku 6. stavku 4. Prijedloga odluke Vijeća o programu Obzor Europa;</w:t>
      </w:r>
    </w:p>
    <w:p w14:paraId="0DC8ADF7" w14:textId="32F6ADEC" w:rsidR="000E57F2" w:rsidRPr="003D5A0C" w:rsidRDefault="000E57F2" w:rsidP="00E61E7C">
      <w:pPr>
        <w:ind w:left="567" w:hanging="567"/>
        <w:rPr>
          <w:lang w:val="fr-FR"/>
        </w:rPr>
      </w:pPr>
    </w:p>
    <w:p w14:paraId="1956CDE0" w14:textId="0611A3C1" w:rsidR="0081150F" w:rsidRPr="003D5A0C" w:rsidRDefault="00042669" w:rsidP="00E61E7C">
      <w:pPr>
        <w:pStyle w:val="Heading2"/>
      </w:pPr>
      <w:r>
        <w:t>smatra da prvi stup posvećen istraživanju i znanstvenoj izvrsnosti u okviru aktivnosti Marie Skłodowska-Curie (MSCA) (članak 9. Prijedloga odluke Vijeća o programu Obzor Europa i članak 13. Prijedloga uredbe o uspostavi Okvirnog programa Obzor Europa) ne bi trebao podlijegati nikakvom političkom usmjeravanju i preporučuje da se umjesto fokusa „odozgo prema dolje”, koji predlaže Komisija, zadrži fokus „odozdo prema gore” (tzv. „usmjerenost”). Konkretno, u novom programu Obzor Europa premalo se stavlja naglasak na temeljna istraživanja u korist primijenjenog istraživanja i tehnoloških inovacija. To bi dugoročno moglo ugroziti sposobnost Europe da stvara disruptivna znanja;</w:t>
      </w:r>
    </w:p>
    <w:p w14:paraId="2EEF3E16" w14:textId="77777777" w:rsidR="00003F24" w:rsidRPr="003D5A0C" w:rsidRDefault="00003F24" w:rsidP="00E61E7C">
      <w:pPr>
        <w:rPr>
          <w:lang w:val="fr-FR"/>
        </w:rPr>
      </w:pPr>
    </w:p>
    <w:p w14:paraId="46078A7F" w14:textId="4E4180D9" w:rsidR="00003F24" w:rsidRPr="003D5A0C" w:rsidRDefault="00FC2A6F" w:rsidP="00E61E7C">
      <w:pPr>
        <w:pStyle w:val="Heading2"/>
      </w:pPr>
      <w:r>
        <w:t xml:space="preserve">smatra da, makar u kasnijim provedbenim aktima, treba također pobliže odrediti namjeru „omogućivanja pristupa Mjesecu za Europu”, kako je navedeno u Prijedlogu uredbe, putem ambicioznih tzv. „projekata budućnosti” (eng. </w:t>
      </w:r>
      <w:r>
        <w:rPr>
          <w:i/>
        </w:rPr>
        <w:t>moonshots</w:t>
      </w:r>
      <w:r>
        <w:t>) s izraženom znanstvenom komponentom kako bi se potaknulo stvaranje vrijednosti u cijelom EU-u i ojačala njegova strateška autonomija.</w:t>
      </w:r>
    </w:p>
    <w:p w14:paraId="27F3543C" w14:textId="77777777" w:rsidR="00003F24" w:rsidRPr="003D5A0C" w:rsidRDefault="00003F24" w:rsidP="00E61E7C">
      <w:pPr>
        <w:pStyle w:val="Heading2"/>
        <w:numPr>
          <w:ilvl w:val="0"/>
          <w:numId w:val="0"/>
        </w:numPr>
        <w:rPr>
          <w:lang w:val="fr-FR"/>
        </w:rPr>
      </w:pPr>
    </w:p>
    <w:p w14:paraId="5272D117" w14:textId="3ED17504" w:rsidR="005E6184" w:rsidRPr="003D5A0C" w:rsidRDefault="005E6184" w:rsidP="00E61E7C">
      <w:pPr>
        <w:pStyle w:val="Heading2"/>
      </w:pPr>
      <w:r>
        <w:t xml:space="preserve">preporučuje da se iznimno važna uloga europskih sveučilišta u europskom inovacijskom ekosustavu ne zanemaruje isključivo u korist </w:t>
      </w:r>
      <w:r>
        <w:rPr>
          <w:i/>
        </w:rPr>
        <w:t>start-up</w:t>
      </w:r>
      <w:r>
        <w:t xml:space="preserve"> poduzeća i MSP-ova jer bi se time mogao smanjiti opseg djelovanja Europskog vijeća za inovacije. Za povećanje učinka istraživačkih aktivnosti ujedno će biti važno u instrumente tog vijeća (Tragač, Tranzicija i Akcelerator) uključiti industriju. Trebalo bi ojačati sinergiju između javnog istraživanja i privatnog sektora;</w:t>
      </w:r>
    </w:p>
    <w:p w14:paraId="322BEED0" w14:textId="77777777" w:rsidR="005E6184" w:rsidRPr="003D5A0C" w:rsidRDefault="005E6184" w:rsidP="00E61E7C">
      <w:pPr>
        <w:pStyle w:val="Heading2"/>
        <w:numPr>
          <w:ilvl w:val="0"/>
          <w:numId w:val="0"/>
        </w:numPr>
        <w:rPr>
          <w:lang w:val="fr-FR"/>
        </w:rPr>
      </w:pPr>
    </w:p>
    <w:p w14:paraId="5212A63D" w14:textId="47E0CE4E" w:rsidR="000A771E" w:rsidRPr="003D5A0C" w:rsidRDefault="000A771E" w:rsidP="00E61E7C">
      <w:pPr>
        <w:pStyle w:val="Heading2"/>
      </w:pPr>
      <w:r>
        <w:t>preporučuje izniman oprez u pogledu uvjeta od 3 % BDP-a, predviđenog u četvrtom stupu Prijedloga uredbe („Europski istraživački prostor”), za financiranje mjera izgradnje kapaciteta od 2030. nadalje jer bi to moglo utjecati na korisnike u zemljama sa slabijim kapacitetima za istraživanje i inovacije;</w:t>
      </w:r>
    </w:p>
    <w:p w14:paraId="6C42C6A9" w14:textId="77777777" w:rsidR="000A771E" w:rsidRPr="003D5A0C" w:rsidRDefault="000A771E" w:rsidP="00E61E7C">
      <w:pPr>
        <w:pStyle w:val="Heading2"/>
        <w:numPr>
          <w:ilvl w:val="0"/>
          <w:numId w:val="0"/>
        </w:numPr>
        <w:rPr>
          <w:lang w:val="fr-FR"/>
        </w:rPr>
      </w:pPr>
    </w:p>
    <w:p w14:paraId="15CEB2A5" w14:textId="6DC3C607" w:rsidR="000E427A" w:rsidRPr="003D5A0C" w:rsidRDefault="000E427A" w:rsidP="00E61E7C">
      <w:pPr>
        <w:pStyle w:val="Heading2"/>
      </w:pPr>
      <w:r>
        <w:t>preporučuje da model financiranja jednokratnim iznosima ne bude jedini model financiranja istraživačkih programa, već da financiranje bude fleksibilno i prilagođeno raznolikosti istraživačkih aktivnosti;</w:t>
      </w:r>
    </w:p>
    <w:p w14:paraId="0A7C1A7F" w14:textId="77777777" w:rsidR="000E427A" w:rsidRPr="003D5A0C" w:rsidRDefault="000E427A" w:rsidP="00E61E7C">
      <w:pPr>
        <w:rPr>
          <w:lang w:val="fr-FR"/>
        </w:rPr>
      </w:pPr>
    </w:p>
    <w:p w14:paraId="31CA6CF2" w14:textId="22F92064" w:rsidR="00F932B6" w:rsidRPr="003D5A0C" w:rsidRDefault="008263A8" w:rsidP="00E61E7C">
      <w:pPr>
        <w:pStyle w:val="Heading2"/>
      </w:pPr>
      <w:r>
        <w:lastRenderedPageBreak/>
        <w:t>smatra da bi gornju granicu od 20 % iz članka 18. stavka 2. Prijedloga uredbe o Obzoru Europa u pogledu financiranja istraživačke i tehnološke infrastrukture trebalo strogo poštovati. Program Obzor Europa ne smije se koristiti za pokrivanje troškova izgradnje zgrada nužnih za tu infrastrukturu jer bi se u protivnom mogao udaljiti od svog cilja financiranja istraživanja;</w:t>
      </w:r>
    </w:p>
    <w:p w14:paraId="5D9B2E68" w14:textId="77777777" w:rsidR="008263A8" w:rsidRPr="003D5A0C" w:rsidRDefault="008263A8" w:rsidP="00E61E7C">
      <w:pPr>
        <w:rPr>
          <w:lang w:val="fr-FR"/>
        </w:rPr>
      </w:pPr>
    </w:p>
    <w:p w14:paraId="25044552" w14:textId="4A5C7438" w:rsidR="00B02770" w:rsidRPr="003D5A0C" w:rsidRDefault="00B02770" w:rsidP="00E61E7C">
      <w:pPr>
        <w:pStyle w:val="Heading2"/>
      </w:pPr>
      <w:r>
        <w:t>preporučuje da mehanizmi revizije i kontrole budu razmjerni i utemeljeni na procjeni rizika kako bi se smanjilo administrativno opterećenje za niskorizične korisnike i mikrokorisnike, ali da ipak treba očuvati dobro financijsko upravljanje i odgovornost koji iz njih proizlaze;</w:t>
      </w:r>
    </w:p>
    <w:p w14:paraId="50FE786B" w14:textId="77777777" w:rsidR="00B02770" w:rsidRPr="003D5A0C" w:rsidRDefault="00B02770" w:rsidP="00E61E7C">
      <w:pPr>
        <w:rPr>
          <w:lang w:val="fr-FR"/>
        </w:rPr>
      </w:pPr>
    </w:p>
    <w:p w14:paraId="3FCE136A" w14:textId="234EE718" w:rsidR="00F932B6" w:rsidRPr="003D5A0C" w:rsidRDefault="005A1FDE" w:rsidP="00E61E7C">
      <w:pPr>
        <w:pStyle w:val="Heading2"/>
      </w:pPr>
      <w:r>
        <w:t>napominje da se u Prijedlogu uredbe predviđa da program Obzor Europa može podupirati istraživanja u području robe s dvojnom namjenom i robe koja se koristi u području obrane. Vijeće je 8. listopada 2025. prihvatilo da bi proračun trebao ići u tom smjeru. EGSO preporučuje da se u Prijedlogu uredbe izričito navede pravna osnova za određivanje toga koji će se dijelovi programa Obzor Europa pripisati tim područjima;</w:t>
      </w:r>
    </w:p>
    <w:p w14:paraId="0AB8141F" w14:textId="77777777" w:rsidR="00F932B6" w:rsidRPr="003D5A0C" w:rsidRDefault="00F932B6" w:rsidP="00E61E7C">
      <w:pPr>
        <w:pStyle w:val="Heading2"/>
        <w:numPr>
          <w:ilvl w:val="0"/>
          <w:numId w:val="0"/>
        </w:numPr>
        <w:rPr>
          <w:lang w:val="fr-FR"/>
        </w:rPr>
      </w:pPr>
    </w:p>
    <w:p w14:paraId="24F72B3B" w14:textId="0169FCFD" w:rsidR="003C147A" w:rsidRPr="003D5A0C" w:rsidRDefault="00A874C8" w:rsidP="00E61E7C">
      <w:pPr>
        <w:pStyle w:val="Heading2"/>
      </w:pPr>
      <w:r>
        <w:t>smatra da bi Europska komisija trebala uspostaviti mehanizme za povrat sredstava u slučaju prijenosa patenata, dionica ili kapitala na neeuropske subjekte koji bi se zbog tog prijenosa neizravno okoristili europskim sredstvima;</w:t>
      </w:r>
    </w:p>
    <w:p w14:paraId="532F1A86" w14:textId="77777777" w:rsidR="00282E7B" w:rsidRPr="003D5A0C" w:rsidRDefault="00282E7B" w:rsidP="00E61E7C">
      <w:pPr>
        <w:rPr>
          <w:lang w:val="fr-FR"/>
        </w:rPr>
      </w:pPr>
    </w:p>
    <w:p w14:paraId="5F08190F" w14:textId="38F02380" w:rsidR="006C5A38" w:rsidRDefault="00444D44" w:rsidP="00E61E7C">
      <w:pPr>
        <w:pStyle w:val="Heading2"/>
      </w:pPr>
      <w:r>
        <w:t xml:space="preserve"> potiče Komisiju i države članice da u sve politike koje se bave poduzetništvom integriraju uključivost i da poseban naglasak stave na ulogu socijalne ekonomije;</w:t>
      </w:r>
    </w:p>
    <w:p w14:paraId="144E34AD" w14:textId="77777777" w:rsidR="00EC6BAC" w:rsidRDefault="00EC6BAC" w:rsidP="00E61E7C">
      <w:pPr>
        <w:pStyle w:val="Heading2"/>
        <w:numPr>
          <w:ilvl w:val="0"/>
          <w:numId w:val="0"/>
        </w:numPr>
        <w:rPr>
          <w:lang w:val="fr-FR"/>
        </w:rPr>
      </w:pPr>
    </w:p>
    <w:p w14:paraId="6C688005" w14:textId="5C85CE75" w:rsidR="00FA251A" w:rsidRPr="003D5A0C" w:rsidRDefault="005E4D07" w:rsidP="00E61E7C">
      <w:pPr>
        <w:pStyle w:val="Heading2"/>
      </w:pPr>
      <w:r>
        <w:t>ponavlja svoj poziv da se održiva upotreba vode uključi kao kriterij u sve fondove EU-a, uključujući Obzor Europa. Financiranjem bi trebalo podupirati istraživanje i uvođenje tehnologija za učinkovitu upotrebu vode, kao i radna mjesta i vještine potrebne za potporu usporednoj tranziciji i otpornosti vodoopskrbe u industrijskim sektorima;</w:t>
      </w:r>
    </w:p>
    <w:p w14:paraId="29CB664C" w14:textId="77777777" w:rsidR="00780204" w:rsidRPr="003D5A0C" w:rsidRDefault="00780204" w:rsidP="00E61E7C">
      <w:pPr>
        <w:rPr>
          <w:lang w:val="fr-FR"/>
        </w:rPr>
      </w:pPr>
    </w:p>
    <w:p w14:paraId="12AB9540" w14:textId="54E59402" w:rsidR="00FA251A" w:rsidRPr="003D5A0C" w:rsidRDefault="00012E86" w:rsidP="00E61E7C">
      <w:pPr>
        <w:pStyle w:val="Heading2"/>
      </w:pPr>
      <w:r>
        <w:t>preporučuje Komisiji da ispita fleksibilnost postupaka i uvjeta za podnošenje zahtjeva za sredstva kako bi se utvrdile moguće prepreke i osigurala dostupnost sredstava podnositeljima zahtjeva koji predstavljaju socijalne manjine i ugrožene, ranjive i rizične skupine.</w:t>
      </w:r>
    </w:p>
    <w:p w14:paraId="25D4FDCF" w14:textId="77777777" w:rsidR="0059350E" w:rsidRPr="003D5A0C" w:rsidRDefault="0059350E" w:rsidP="00E61E7C">
      <w:pPr>
        <w:rPr>
          <w:lang w:val="fr-FR"/>
        </w:rPr>
      </w:pPr>
    </w:p>
    <w:p w14:paraId="4E4571F6" w14:textId="066BE699" w:rsidR="001D40EE" w:rsidRPr="003D5A0C" w:rsidRDefault="007B24AE" w:rsidP="00E61E7C">
      <w:pPr>
        <w:pStyle w:val="Heading1"/>
        <w:keepNext/>
        <w:keepLines/>
      </w:pPr>
      <w:r>
        <w:rPr>
          <w:b/>
        </w:rPr>
        <w:t>Pojašnjenja</w:t>
      </w:r>
    </w:p>
    <w:p w14:paraId="3BD1E5E5" w14:textId="77777777" w:rsidR="006C5A38" w:rsidRPr="003D5A0C" w:rsidRDefault="006C5A38" w:rsidP="00E61E7C">
      <w:pPr>
        <w:keepNext/>
        <w:keepLines/>
        <w:rPr>
          <w:lang w:val="fr-FR"/>
        </w:rPr>
      </w:pPr>
    </w:p>
    <w:p w14:paraId="4A2B4504" w14:textId="7254F3DA" w:rsidR="008443DB" w:rsidRPr="003D5A0C" w:rsidRDefault="008443DB" w:rsidP="00E61E7C">
      <w:pPr>
        <w:pStyle w:val="Heading1"/>
        <w:keepNext/>
        <w:keepLines/>
        <w:numPr>
          <w:ilvl w:val="0"/>
          <w:numId w:val="0"/>
        </w:numPr>
        <w:ind w:left="567"/>
        <w:rPr>
          <w:b/>
          <w:bCs/>
          <w:i/>
          <w:iCs/>
        </w:rPr>
      </w:pPr>
      <w:r>
        <w:rPr>
          <w:i/>
        </w:rPr>
        <w:t>Argumenti u prilog preporuci br. 1.2.</w:t>
      </w:r>
    </w:p>
    <w:p w14:paraId="5B3BE5DC" w14:textId="77777777" w:rsidR="00011D33" w:rsidRPr="003D5A0C" w:rsidRDefault="00011D33" w:rsidP="00E61E7C">
      <w:pPr>
        <w:keepNext/>
        <w:keepLines/>
        <w:outlineLvl w:val="1"/>
        <w:rPr>
          <w:lang w:val="fr-FR"/>
        </w:rPr>
      </w:pPr>
    </w:p>
    <w:p w14:paraId="56F3077C" w14:textId="747A3533" w:rsidR="004C185A" w:rsidRPr="003D5A0C" w:rsidRDefault="00E663EF" w:rsidP="00E61E7C">
      <w:pPr>
        <w:pStyle w:val="Heading2"/>
      </w:pPr>
      <w:r>
        <w:t>Svako smanjenje proračuna na razinu ispod 175 milijardi eura bilo bi propuštena prilika u vrijeme kada su za konkurentnost, otpornost i blagostanje EU-a stalna i povećana ulaganja u istraživanje i inovacije važnija nego ikad. Naime, iznimno visoka inflacija i porast troškova širom Europe mogli bi smanjiti učinak ambicija navedenih u Prijedlogu odluke Vijeća i Prijedlogu uredbe.</w:t>
      </w:r>
    </w:p>
    <w:p w14:paraId="49CC965C" w14:textId="77777777" w:rsidR="008A0ED1" w:rsidRPr="003D5A0C" w:rsidRDefault="008A0ED1" w:rsidP="00E61E7C">
      <w:pPr>
        <w:rPr>
          <w:lang w:val="fr-FR"/>
        </w:rPr>
      </w:pPr>
    </w:p>
    <w:p w14:paraId="20649C62" w14:textId="53377A80" w:rsidR="004C185A" w:rsidRPr="003D5A0C" w:rsidRDefault="00893B89" w:rsidP="00E61E7C">
      <w:pPr>
        <w:pStyle w:val="Heading2"/>
        <w:keepNext/>
      </w:pPr>
      <w:r>
        <w:t>EGSO smatra da je predloženo povećanje proračuna u sadašnjem obliku teško ocijeniti, kao i dodjelu sredstava različitim istraživačkim programima.</w:t>
      </w:r>
    </w:p>
    <w:p w14:paraId="7FA77612" w14:textId="77777777" w:rsidR="004844D9" w:rsidRPr="003D5A0C" w:rsidRDefault="004844D9" w:rsidP="00E61E7C">
      <w:pPr>
        <w:rPr>
          <w:lang w:val="fr-FR"/>
        </w:rPr>
      </w:pPr>
    </w:p>
    <w:p w14:paraId="03B8A952" w14:textId="401BE91B" w:rsidR="00ED0467" w:rsidRPr="003D5A0C" w:rsidRDefault="0069344F" w:rsidP="00E61E7C">
      <w:pPr>
        <w:pStyle w:val="Heading2"/>
        <w:keepNext/>
      </w:pPr>
      <w:r>
        <w:t xml:space="preserve">Uz iznimku drugog stupa „Konkurentnost i društvo” Prijedlog uredbe ne sadržava detaljnu raščlambu, što znači da su druge ključne sastavnice, kao što su Europsko istraživačko vijeće, </w:t>
      </w:r>
      <w:r>
        <w:lastRenderedPageBreak/>
        <w:t>aktivnosti Marie Skłodowska-Curie i Europsko vijeće za inovacije (EIC), predstavljene samo u okviru šireg paketa, zbog čega je nemoguće procijeniti u kojoj će se mjeri ostvariti ambicije programa Obzor Europa.</w:t>
      </w:r>
    </w:p>
    <w:p w14:paraId="080E706E" w14:textId="4A12B5C4" w:rsidR="00ED0467" w:rsidRPr="003D5A0C" w:rsidRDefault="00ED0467" w:rsidP="00E61E7C">
      <w:pPr>
        <w:outlineLvl w:val="1"/>
        <w:rPr>
          <w:lang w:val="fr-FR"/>
        </w:rPr>
      </w:pPr>
    </w:p>
    <w:p w14:paraId="4AD408BA" w14:textId="0F57D985" w:rsidR="000F203B" w:rsidRPr="003D5A0C" w:rsidRDefault="000F203B" w:rsidP="00E61E7C">
      <w:pPr>
        <w:keepNext/>
        <w:keepLines/>
        <w:ind w:left="567"/>
        <w:outlineLvl w:val="1"/>
        <w:rPr>
          <w:i/>
        </w:rPr>
      </w:pPr>
      <w:r>
        <w:rPr>
          <w:i/>
        </w:rPr>
        <w:t>Argument u prilog preporuci br. 1.3.</w:t>
      </w:r>
    </w:p>
    <w:p w14:paraId="2F3D92F0" w14:textId="77777777" w:rsidR="00051DE9" w:rsidRPr="003D5A0C" w:rsidRDefault="00051DE9" w:rsidP="00E61E7C">
      <w:pPr>
        <w:keepNext/>
        <w:keepLines/>
        <w:outlineLvl w:val="1"/>
        <w:rPr>
          <w:lang w:val="fr-FR"/>
        </w:rPr>
      </w:pPr>
    </w:p>
    <w:p w14:paraId="270C44CD" w14:textId="77777777" w:rsidR="00C803A2" w:rsidRPr="003D5A0C" w:rsidRDefault="00C803A2" w:rsidP="00E61E7C">
      <w:pPr>
        <w:pStyle w:val="Heading2"/>
      </w:pPr>
      <w:r>
        <w:t>Učinkovitost proračuna mora prevladati nad najavljenim iznosom. Navođenje impresivnih iznosa bez osiguravanja njihova učinka ne služi svrsi jer je obujam proračuna manje važan od njegova sastava.</w:t>
      </w:r>
    </w:p>
    <w:p w14:paraId="0A52648F" w14:textId="296A96FA" w:rsidR="009B2050" w:rsidRPr="003D5A0C" w:rsidRDefault="009B2050" w:rsidP="00E61E7C">
      <w:pPr>
        <w:pStyle w:val="Heading2"/>
        <w:numPr>
          <w:ilvl w:val="0"/>
          <w:numId w:val="0"/>
        </w:numPr>
        <w:ind w:left="567"/>
        <w:rPr>
          <w:lang w:val="fr-FR"/>
        </w:rPr>
      </w:pPr>
    </w:p>
    <w:p w14:paraId="05C7DCEF" w14:textId="38407DB0" w:rsidR="00ED6B44" w:rsidRPr="003D5A0C" w:rsidRDefault="00ED6B44" w:rsidP="00E61E7C">
      <w:pPr>
        <w:keepNext/>
        <w:ind w:left="567"/>
        <w:rPr>
          <w:i/>
          <w:highlight w:val="yellow"/>
        </w:rPr>
      </w:pPr>
      <w:r>
        <w:rPr>
          <w:i/>
        </w:rPr>
        <w:t>Argument u prilog preporuci br. 1.4.</w:t>
      </w:r>
    </w:p>
    <w:p w14:paraId="54445BAC" w14:textId="5E9CABFA" w:rsidR="00051DE9" w:rsidRPr="003D5A0C" w:rsidRDefault="00051DE9" w:rsidP="00E61E7C">
      <w:pPr>
        <w:keepNext/>
        <w:rPr>
          <w:highlight w:val="yellow"/>
          <w:lang w:val="fr-FR"/>
        </w:rPr>
      </w:pPr>
    </w:p>
    <w:p w14:paraId="3B7E744E" w14:textId="55C6577E" w:rsidR="00082349" w:rsidRPr="003D5A0C" w:rsidRDefault="00082349" w:rsidP="00E61E7C">
      <w:pPr>
        <w:pStyle w:val="Heading2"/>
      </w:pPr>
      <w:r>
        <w:t>Time bi se izbjegao i odljev mozgova na druge kontinente. Isto tako, potrebno je razmotriti razloge zbog kojih neke strukture uspijevaju pribaviti ta sredstva, a druge ne. U brojnim prethodnim mišljenjima EGSO je ukazao na nedostatak struktura potpore za pripremu dosjea za sufinanciranje, kao i na administrativnu složenost i otežan pristup informacijama povezanima s programima financiranja. Osim toga, nedostatak stabilne i trajne potpore država članica istraživanju smanjuje mogućnosti sudjelovanja u programima financiranja. Među ograničavajućim čimbenicima su nesigurna radna mjesta u području istraživanja, što dovodi do odljeva mozgova, i nedostatak vještina, prije svega jezičnih.</w:t>
      </w:r>
    </w:p>
    <w:p w14:paraId="7EEEABE7" w14:textId="68AD0E76" w:rsidR="00ED6B44" w:rsidRPr="003D5A0C" w:rsidRDefault="00ED6B44" w:rsidP="00E61E7C">
      <w:pPr>
        <w:rPr>
          <w:lang w:val="fr-FR"/>
        </w:rPr>
      </w:pPr>
    </w:p>
    <w:p w14:paraId="5210A287" w14:textId="4021F985" w:rsidR="0098750E" w:rsidRPr="003D5A0C" w:rsidRDefault="0098750E" w:rsidP="00E61E7C">
      <w:pPr>
        <w:keepNext/>
        <w:keepLines/>
        <w:ind w:firstLine="567"/>
        <w:rPr>
          <w:i/>
          <w:iCs/>
        </w:rPr>
      </w:pPr>
      <w:r>
        <w:rPr>
          <w:i/>
        </w:rPr>
        <w:t>Argumenti u prilog preporuci br. 1.5.</w:t>
      </w:r>
    </w:p>
    <w:p w14:paraId="726E470B" w14:textId="77777777" w:rsidR="00332FEC" w:rsidRPr="003D5A0C" w:rsidRDefault="00332FEC" w:rsidP="00E61E7C">
      <w:pPr>
        <w:keepNext/>
        <w:keepLines/>
        <w:rPr>
          <w:i/>
          <w:iCs/>
          <w:lang w:val="fr-FR"/>
        </w:rPr>
      </w:pPr>
    </w:p>
    <w:p w14:paraId="38FF9445" w14:textId="7B298DA6" w:rsidR="0098750E" w:rsidRPr="003D5A0C" w:rsidRDefault="0098750E" w:rsidP="00E61E7C">
      <w:pPr>
        <w:pStyle w:val="Heading2"/>
      </w:pPr>
      <w:r>
        <w:t>Upravljanje dvama programima morat će biti učinkovito i transparentno i temeljiti se na jasnim provedbenim mehanizmima. Najavljenim alatom za koordinaciju konkurentnosti moraju se osigurati i maksimalno povećati komplementarnosti i sinergija između tih dvaju programa i instrumenata financiranja. Istodobno bi planirani Strateški odbor dionika Europskog fonda za konkurentnost trebao imati ključnu ulogu u određivanju prioriteta i osiguravanju usklađenosti.</w:t>
      </w:r>
    </w:p>
    <w:p w14:paraId="75513D35" w14:textId="77777777" w:rsidR="004844D9" w:rsidRPr="003D5A0C" w:rsidRDefault="004844D9" w:rsidP="00E61E7C">
      <w:pPr>
        <w:rPr>
          <w:lang w:val="fr-FR"/>
        </w:rPr>
      </w:pPr>
    </w:p>
    <w:p w14:paraId="00714E26" w14:textId="36EE0DBC" w:rsidR="001C502B" w:rsidRPr="003D5A0C" w:rsidRDefault="001C502B" w:rsidP="00E61E7C">
      <w:pPr>
        <w:pStyle w:val="Heading2"/>
      </w:pPr>
      <w:r>
        <w:t>Ipak, EGSO pozdravlja usredotočenost na suradnička istraživanja i partnerstva kao primarno sredstvo za ostvarivanje ciljeva konkurentnosti i poticanje inovacija, učinkovitosti iskorištavanja resursa, održivosti, smislenih rezultata i gospodarskog rasta. Potrebni su instrumenti i oblici financiranja osmišljeni u skladu s industrijskom logikom i razvijeni odozdo prema gore.</w:t>
      </w:r>
    </w:p>
    <w:p w14:paraId="3D8CE7A4" w14:textId="77777777" w:rsidR="004844D9" w:rsidRPr="003D5A0C" w:rsidRDefault="004844D9" w:rsidP="00E61E7C">
      <w:pPr>
        <w:rPr>
          <w:lang w:val="fr-FR"/>
        </w:rPr>
      </w:pPr>
    </w:p>
    <w:p w14:paraId="12A80227" w14:textId="0379A451" w:rsidR="001C502B" w:rsidRPr="003D5A0C" w:rsidRDefault="007B5315" w:rsidP="00E61E7C">
      <w:pPr>
        <w:pStyle w:val="Heading2"/>
      </w:pPr>
      <w:r>
        <w:t xml:space="preserve">Osim velikih poduzeća, inovativni MSP-ovi, </w:t>
      </w:r>
      <w:r>
        <w:rPr>
          <w:i/>
        </w:rPr>
        <w:t>start-up</w:t>
      </w:r>
      <w:r>
        <w:t xml:space="preserve">, </w:t>
      </w:r>
      <w:r>
        <w:rPr>
          <w:i/>
        </w:rPr>
        <w:t xml:space="preserve">scale-up </w:t>
      </w:r>
      <w:r>
        <w:t>i mala poduzeća srednje tržišne kapitalizacije moraju biti prepoznati kao pokretači istraživanja i inovacija, otvaranja radnih mjesta i konkurentnosti u europskom gospodarstvu te im se stoga mora omogućiti da preuzmu vodeću ulogu u suradničkim projektima i da imaju pristup jednostavnijim, izravnijim i konkretnijim mehanizmima financiranja.</w:t>
      </w:r>
    </w:p>
    <w:p w14:paraId="7698C071" w14:textId="17B4D581" w:rsidR="00C803A2" w:rsidRPr="003D5A0C" w:rsidRDefault="00C803A2" w:rsidP="00E61E7C">
      <w:pPr>
        <w:pStyle w:val="Heading2"/>
        <w:numPr>
          <w:ilvl w:val="0"/>
          <w:numId w:val="0"/>
        </w:numPr>
        <w:ind w:left="567"/>
        <w:rPr>
          <w:lang w:val="fr-FR"/>
        </w:rPr>
      </w:pPr>
    </w:p>
    <w:p w14:paraId="0F6F6406" w14:textId="3CF698E1" w:rsidR="006E64D9" w:rsidRPr="003D5A0C" w:rsidRDefault="006E64D9" w:rsidP="00E61E7C">
      <w:pPr>
        <w:keepNext/>
        <w:keepLines/>
        <w:ind w:firstLine="567"/>
        <w:outlineLvl w:val="1"/>
        <w:rPr>
          <w:i/>
        </w:rPr>
      </w:pPr>
      <w:r>
        <w:rPr>
          <w:i/>
        </w:rPr>
        <w:t>Argument u prilog preporuci br. 1.7.</w:t>
      </w:r>
    </w:p>
    <w:p w14:paraId="54B4AB81" w14:textId="77777777" w:rsidR="00762303" w:rsidRPr="003D5A0C" w:rsidRDefault="00762303" w:rsidP="00E61E7C">
      <w:pPr>
        <w:keepNext/>
        <w:keepLines/>
        <w:outlineLvl w:val="1"/>
        <w:rPr>
          <w:lang w:val="fr-FR"/>
        </w:rPr>
      </w:pPr>
    </w:p>
    <w:p w14:paraId="60B56E8A" w14:textId="37CCD0C0" w:rsidR="00762303" w:rsidRPr="003D5A0C" w:rsidRDefault="00762303" w:rsidP="00E61E7C">
      <w:pPr>
        <w:pStyle w:val="Heading2"/>
      </w:pPr>
      <w:r>
        <w:t xml:space="preserve">To je ključno kako bi se obuhvatile sve faze ulaganja, rezultati ERC-a i EIC-a pretvorili u utržive usluge i proizvode i kako bi se stvorio kontinuirani inovacijski portfelj, od temeljnog istraživanja (prvi stup), preko primijenjenog istraživanja i tehnološkog razvoja za odgovaranje </w:t>
      </w:r>
      <w:r>
        <w:lastRenderedPageBreak/>
        <w:t>na glavne društvene izazove (drugi stup), do stavljanja na tržište (treći stup), uz potporu omogućujućih aktivnosti iz četvrtog stupa.</w:t>
      </w:r>
    </w:p>
    <w:p w14:paraId="26786488" w14:textId="5F3AE3AC" w:rsidR="00762303" w:rsidRPr="003D5A0C" w:rsidRDefault="00762303" w:rsidP="00E61E7C">
      <w:pPr>
        <w:pStyle w:val="Heading2"/>
        <w:numPr>
          <w:ilvl w:val="0"/>
          <w:numId w:val="0"/>
        </w:numPr>
        <w:ind w:left="567"/>
        <w:rPr>
          <w:lang w:val="fr-FR"/>
        </w:rPr>
      </w:pPr>
    </w:p>
    <w:p w14:paraId="713D2A81" w14:textId="0019BC65" w:rsidR="00A2548D" w:rsidRPr="003D5A0C" w:rsidRDefault="00A2548D" w:rsidP="00E61E7C">
      <w:pPr>
        <w:keepNext/>
        <w:keepLines/>
        <w:ind w:firstLine="567"/>
        <w:outlineLvl w:val="1"/>
        <w:rPr>
          <w:i/>
        </w:rPr>
      </w:pPr>
      <w:r>
        <w:rPr>
          <w:i/>
        </w:rPr>
        <w:t>Argumenti u prilog preporuci br. 1.8.</w:t>
      </w:r>
    </w:p>
    <w:p w14:paraId="765D2C21" w14:textId="77777777" w:rsidR="00BC09F0" w:rsidRPr="003D5A0C" w:rsidRDefault="00BC09F0" w:rsidP="00E61E7C">
      <w:pPr>
        <w:keepNext/>
        <w:keepLines/>
        <w:outlineLvl w:val="1"/>
        <w:rPr>
          <w:lang w:val="fr-FR"/>
        </w:rPr>
      </w:pPr>
    </w:p>
    <w:p w14:paraId="5408C915" w14:textId="3A6A98E5" w:rsidR="004B3C49" w:rsidRPr="003D5A0C" w:rsidRDefault="00214DC8" w:rsidP="00E61E7C">
      <w:pPr>
        <w:pStyle w:val="Heading2"/>
      </w:pPr>
      <w:r>
        <w:t>Ta zabrinutost proizlazi iz nejasnog ili čak nedosljednog teksta između članka 11. „Suradnička istraživanja” Prijedloga odluke Vijeća o Obzoru Europa, u kojem se upućuje na program Obzor Europa, i članka 15. „Suradnička istraživanja” Prijedloga uredbe o uspostavi Okvirnog programa Obzor Europa za razdoblje 2028. – 2034., u kojem se upućuje na Europski fond za konkurentnost. Čini se da je nova komponenta „Konkurentnost” drugog stupa programa Obzor Europa dio programa Obzor Europa, ali predstavljena je kao da je već integrirana u Europski fond za konkurentnost. Ta dvosmislenost potkopava iskazanu namjeru da program Obzor Europa bude istinski neovisan. Potrebne su veća preciznost i dosljednost.</w:t>
      </w:r>
    </w:p>
    <w:p w14:paraId="369945C5" w14:textId="77777777" w:rsidR="004844D9" w:rsidRPr="003D5A0C" w:rsidRDefault="004844D9" w:rsidP="00E61E7C">
      <w:pPr>
        <w:rPr>
          <w:lang w:val="fr-FR"/>
        </w:rPr>
      </w:pPr>
    </w:p>
    <w:p w14:paraId="0554AFBC" w14:textId="0785A018" w:rsidR="00AC3019" w:rsidRPr="003D5A0C" w:rsidRDefault="00E561F8" w:rsidP="00E61E7C">
      <w:pPr>
        <w:pStyle w:val="Heading2"/>
      </w:pPr>
      <w:r>
        <w:t>Osim toga, raščlamba proračuna predviđena za drugi stup pokazuje veliku neravnotežu između njegova dva potprograma, s više od 68 milijardi eura za dio koji se odnosi na konkurentnost i samo 7,6 milijardi eura za dio koji se odnosi na društvo.</w:t>
      </w:r>
    </w:p>
    <w:p w14:paraId="546863D0" w14:textId="21789EBF" w:rsidR="00214DC8" w:rsidRPr="003D5A0C" w:rsidRDefault="00214DC8" w:rsidP="00E61E7C">
      <w:pPr>
        <w:rPr>
          <w:lang w:val="fr-FR"/>
        </w:rPr>
      </w:pPr>
    </w:p>
    <w:p w14:paraId="2B6ED6AF" w14:textId="477116F0" w:rsidR="006E64D9" w:rsidRPr="003D5A0C" w:rsidRDefault="006E64D9" w:rsidP="00E61E7C">
      <w:pPr>
        <w:keepNext/>
        <w:ind w:firstLine="567"/>
        <w:rPr>
          <w:i/>
        </w:rPr>
      </w:pPr>
      <w:r>
        <w:rPr>
          <w:i/>
        </w:rPr>
        <w:t>Argumenti u prilog preporuci br. 1.9.</w:t>
      </w:r>
    </w:p>
    <w:p w14:paraId="44D2E485" w14:textId="77777777" w:rsidR="00051DE9" w:rsidRPr="003D5A0C" w:rsidRDefault="00051DE9" w:rsidP="00E61E7C">
      <w:pPr>
        <w:keepNext/>
        <w:rPr>
          <w:lang w:val="fr-FR"/>
        </w:rPr>
      </w:pPr>
    </w:p>
    <w:p w14:paraId="6CCD3D5C" w14:textId="298DEBA9" w:rsidR="004C185A" w:rsidRPr="003D5A0C" w:rsidRDefault="006665F1" w:rsidP="00E61E7C">
      <w:pPr>
        <w:pStyle w:val="Heading2"/>
      </w:pPr>
      <w:r>
        <w:t>Europsko istraživačko vijeće osnovano je 2007. zato da bi se uz pomoć pristupa „odozdo prema gore” pod vodstvom istraživača podupirala inovativna istraživanja visokog rizika i visoke dobiti. Prijedlog da se mandat predsjednika ili predsjednice ERC-a skrati zabrinjavajući je jer bi se time neizbježno oslabilo ključno jamstvo autonomije tog tijela i njegova misija podupiranja izvrsnih temeljnih istraživanja, posebno s obzirom na to da je riječ o dugoročnom istraživanju.</w:t>
      </w:r>
    </w:p>
    <w:p w14:paraId="100B404E" w14:textId="5F8D2193" w:rsidR="004B3C49" w:rsidRPr="003D5A0C" w:rsidRDefault="00DB65DE" w:rsidP="00E61E7C">
      <w:pPr>
        <w:pStyle w:val="Heading2"/>
        <w:numPr>
          <w:ilvl w:val="0"/>
          <w:numId w:val="0"/>
        </w:numPr>
        <w:ind w:left="567"/>
      </w:pPr>
      <w:r>
        <w:t>EGSO ne vidi valjan razlog za skraćivanje mandata te funkcije i smatra da argument prema kojem bi se trajanje predsjedanja ERC-om trebalo uskladiti s trajanjem EIC-a nije relevantan.</w:t>
      </w:r>
    </w:p>
    <w:p w14:paraId="24E65D44" w14:textId="6D292302" w:rsidR="002649D2" w:rsidRPr="003D5A0C" w:rsidRDefault="002649D2" w:rsidP="00E61E7C">
      <w:pPr>
        <w:ind w:left="567"/>
        <w:rPr>
          <w:lang w:val="fr-FR"/>
        </w:rPr>
      </w:pPr>
    </w:p>
    <w:p w14:paraId="5E30E7FB" w14:textId="444DEB94" w:rsidR="002A50A7" w:rsidRPr="003D5A0C" w:rsidRDefault="002A50A7" w:rsidP="00E61E7C">
      <w:pPr>
        <w:keepNext/>
        <w:ind w:firstLine="567"/>
        <w:rPr>
          <w:i/>
        </w:rPr>
      </w:pPr>
      <w:r>
        <w:rPr>
          <w:i/>
        </w:rPr>
        <w:t>Argumenti u prilog preporuci br. 1.10.</w:t>
      </w:r>
    </w:p>
    <w:p w14:paraId="7C839581" w14:textId="77777777" w:rsidR="00051DE9" w:rsidRPr="003D5A0C" w:rsidRDefault="00051DE9" w:rsidP="00E61E7C">
      <w:pPr>
        <w:keepNext/>
        <w:rPr>
          <w:lang w:val="fr-FR"/>
        </w:rPr>
      </w:pPr>
    </w:p>
    <w:p w14:paraId="3494D09F" w14:textId="5D72D064" w:rsidR="002649D2" w:rsidRPr="003D5A0C" w:rsidRDefault="002774BD" w:rsidP="00E61E7C">
      <w:pPr>
        <w:pStyle w:val="Heading2"/>
      </w:pPr>
      <w:r>
        <w:t>Čini se da promicanje održivih karijera (pojam koji tek treba definirati i pojasniti), podupiranje karijera istraživača u cijelom svijetu u svim fazama istraživanja i poticanje izvrsnosti u istraživanju nisu povezani sa strateškom i političkom sinergijom o kojoj odlučuje ERC, i to zbog rizika od tematske usredotočenosti „odozgo prema dolje” („usmjerenost”), što bi tvorcima politika omogućilo da nameću teme istraživanja. Time bi se smanjili resursi dostupni za projekte „odozdo prema gore” koji istraživačima omogućuju da slobodno definiraju vlastite istraživačke teme, a aktivnosti MSCA po samoj njihovoj prirodi karakteriziraju istraživanja „odozdo prema gore”.</w:t>
      </w:r>
    </w:p>
    <w:p w14:paraId="0FBAA4A1" w14:textId="77777777" w:rsidR="005D13F3" w:rsidRPr="003D5A0C" w:rsidRDefault="005D13F3" w:rsidP="00E61E7C">
      <w:pPr>
        <w:rPr>
          <w:lang w:val="fr-FR"/>
        </w:rPr>
      </w:pPr>
    </w:p>
    <w:p w14:paraId="65DCC154" w14:textId="0FEBFDE1" w:rsidR="005D13F3" w:rsidRPr="003D5A0C" w:rsidRDefault="005D13F3" w:rsidP="00E61E7C">
      <w:pPr>
        <w:pStyle w:val="Heading2"/>
        <w:keepNext/>
      </w:pPr>
      <w:r>
        <w:t>U tom pogledu zabrinjava već postojeći trend smanjenja broja poziva na podnošenje prijedloga za projekte niže razine tehnološke spremnosti. Naime, u prve dvije godine programa Obzor 2020. 20 % poziva odnosilo se na projekte niže razine tehnološke spremnosti, u usporedbi sa samo 14 % u prve dvije godine programa Obzor Europa.</w:t>
      </w:r>
    </w:p>
    <w:p w14:paraId="03F5EC79" w14:textId="77777777" w:rsidR="005D13F3" w:rsidRPr="003D5A0C" w:rsidRDefault="005D13F3" w:rsidP="00E61E7C">
      <w:pPr>
        <w:rPr>
          <w:lang w:val="fr-FR"/>
        </w:rPr>
      </w:pPr>
    </w:p>
    <w:p w14:paraId="7A8C23EE" w14:textId="76413CA7" w:rsidR="009A06F8" w:rsidRPr="003D5A0C" w:rsidRDefault="005D13F3" w:rsidP="00E61E7C">
      <w:pPr>
        <w:pStyle w:val="Heading2"/>
        <w:keepNext/>
      </w:pPr>
      <w:r>
        <w:t xml:space="preserve">Taj trend otežava nužne transformacije za prevladavanje lokalnih i globalnih društvenih izazova i ispunjavanje ključnih obveza kao što su europski zeleni plan i digitalna tranzicija. Europska </w:t>
      </w:r>
      <w:r>
        <w:lastRenderedPageBreak/>
        <w:t>unija ovisi o znanstvenom i tehnološkom razvoju koji obuhvaća sve razine tehnološke spremnosti, kao i o čvrstoj znanstvenoj osnovi i pionirskim istraživanjima, kako je utvrđeno u Lundskoj deklaraciji.</w:t>
      </w:r>
    </w:p>
    <w:p w14:paraId="623F70E4" w14:textId="77777777" w:rsidR="009A06F8" w:rsidRPr="003D5A0C" w:rsidRDefault="009A06F8" w:rsidP="00E61E7C">
      <w:pPr>
        <w:rPr>
          <w:lang w:val="fr-FR"/>
        </w:rPr>
      </w:pPr>
    </w:p>
    <w:p w14:paraId="6DD93C77" w14:textId="4E679733" w:rsidR="009A06F8" w:rsidRPr="003D5A0C" w:rsidRDefault="009A06F8" w:rsidP="00E61E7C">
      <w:pPr>
        <w:pStyle w:val="Heading2"/>
        <w:keepNext/>
      </w:pPr>
      <w:r>
        <w:t>S obzirom na uočeni trend, EGSO ima razloga vjerovati da će se ta situacija nastaviti.</w:t>
      </w:r>
    </w:p>
    <w:p w14:paraId="4C143236" w14:textId="08BC605C" w:rsidR="002649D2" w:rsidRPr="003D5A0C" w:rsidRDefault="002649D2" w:rsidP="00E61E7C">
      <w:pPr>
        <w:rPr>
          <w:lang w:val="fr-FR"/>
        </w:rPr>
      </w:pPr>
    </w:p>
    <w:p w14:paraId="728A4276" w14:textId="630A8AE5" w:rsidR="000B1F7C" w:rsidRPr="003D5A0C" w:rsidRDefault="000B1F7C" w:rsidP="00E61E7C">
      <w:pPr>
        <w:keepNext/>
        <w:ind w:firstLine="567"/>
        <w:rPr>
          <w:i/>
        </w:rPr>
      </w:pPr>
      <w:r>
        <w:rPr>
          <w:i/>
        </w:rPr>
        <w:t>Argument u prilog preporuci br. 1.9.</w:t>
      </w:r>
    </w:p>
    <w:p w14:paraId="480B6B49" w14:textId="77777777" w:rsidR="00051DE9" w:rsidRPr="003D5A0C" w:rsidRDefault="00051DE9" w:rsidP="00E61E7C">
      <w:pPr>
        <w:keepNext/>
        <w:rPr>
          <w:lang w:val="fr-FR"/>
        </w:rPr>
      </w:pPr>
    </w:p>
    <w:p w14:paraId="7EA633AB" w14:textId="2A85333D" w:rsidR="003860C9" w:rsidRPr="003D5A0C" w:rsidRDefault="003860C9" w:rsidP="00E61E7C">
      <w:pPr>
        <w:pStyle w:val="Heading2"/>
      </w:pPr>
      <w:r>
        <w:t>Ključno je da se s korisnicima savjetuje na odgovarajući način o smjeru drugog stupa, posebno s obzirom na prekid postupka strateškog planiranja. Iako se u Prijedlogu odluke i Prijedlogu uredbe za program Obzor Europa i Europski fond za konkurentnost navodi da će se održati neka savjetovanja o predviđenim smjernicama politike, u ovoj je fazi i dalje nejasan način na koji će dionici i korisnici biti uključeni u druge važne aspekte tog stupa.</w:t>
      </w:r>
    </w:p>
    <w:p w14:paraId="0D42539F" w14:textId="5864048D" w:rsidR="003860C9" w:rsidRPr="003D5A0C" w:rsidRDefault="003860C9" w:rsidP="00E61E7C">
      <w:pPr>
        <w:pStyle w:val="Heading2"/>
        <w:numPr>
          <w:ilvl w:val="0"/>
          <w:numId w:val="0"/>
        </w:numPr>
        <w:rPr>
          <w:lang w:val="fr-FR"/>
        </w:rPr>
      </w:pPr>
    </w:p>
    <w:p w14:paraId="271572AA" w14:textId="267F6456" w:rsidR="003860C9" w:rsidRPr="003D5A0C" w:rsidRDefault="003860C9" w:rsidP="00E61E7C">
      <w:pPr>
        <w:keepNext/>
        <w:ind w:firstLine="567"/>
        <w:rPr>
          <w:i/>
        </w:rPr>
      </w:pPr>
      <w:r>
        <w:rPr>
          <w:i/>
        </w:rPr>
        <w:t>Argument u prilog preporuci br. 1.12.</w:t>
      </w:r>
    </w:p>
    <w:p w14:paraId="6F7AF368" w14:textId="77777777" w:rsidR="00051DE9" w:rsidRPr="003D5A0C" w:rsidRDefault="00051DE9" w:rsidP="00E61E7C">
      <w:pPr>
        <w:keepNext/>
        <w:rPr>
          <w:i/>
          <w:lang w:val="fr-FR"/>
        </w:rPr>
      </w:pPr>
    </w:p>
    <w:p w14:paraId="72162BA4" w14:textId="48732BBF" w:rsidR="003860C9" w:rsidRPr="003D5A0C" w:rsidRDefault="003860C9" w:rsidP="00E61E7C">
      <w:pPr>
        <w:pStyle w:val="Heading2"/>
      </w:pPr>
      <w:r>
        <w:t>Trebat će pobliže odrediti odabir projekata u okviru četvrtog stupa „Europski istraživački prostor”, izvore financiranja i njihovu povezanost s postojećim misijama i partnerstvima.</w:t>
      </w:r>
    </w:p>
    <w:p w14:paraId="57221AFF" w14:textId="5F9FAE76" w:rsidR="003860C9" w:rsidRPr="003D5A0C" w:rsidRDefault="003860C9" w:rsidP="00E61E7C">
      <w:pPr>
        <w:rPr>
          <w:lang w:val="fr-FR"/>
        </w:rPr>
      </w:pPr>
    </w:p>
    <w:p w14:paraId="4A97B0A8" w14:textId="0038F55D" w:rsidR="003860C9" w:rsidRPr="003D5A0C" w:rsidRDefault="00A254EE" w:rsidP="00E61E7C">
      <w:pPr>
        <w:keepNext/>
        <w:ind w:firstLine="567"/>
        <w:rPr>
          <w:i/>
        </w:rPr>
      </w:pPr>
      <w:r>
        <w:rPr>
          <w:i/>
        </w:rPr>
        <w:t>Argument u prilog preporuci br. 1.13.</w:t>
      </w:r>
    </w:p>
    <w:p w14:paraId="3BE6F2F0" w14:textId="77777777" w:rsidR="00051DE9" w:rsidRPr="003D5A0C" w:rsidRDefault="00051DE9" w:rsidP="00E61E7C">
      <w:pPr>
        <w:keepNext/>
        <w:rPr>
          <w:lang w:val="fr-FR"/>
        </w:rPr>
      </w:pPr>
    </w:p>
    <w:p w14:paraId="2CD68E30" w14:textId="6A152B3C" w:rsidR="003860C9" w:rsidRPr="003D5A0C" w:rsidRDefault="007E6B75" w:rsidP="00E61E7C">
      <w:pPr>
        <w:pStyle w:val="Heading2"/>
      </w:pPr>
      <w:r>
        <w:t xml:space="preserve">Komisija u svojim prijedlozima upućuje samo na potporu inovativnim </w:t>
      </w:r>
      <w:r>
        <w:rPr>
          <w:i/>
        </w:rPr>
        <w:t xml:space="preserve">start-up </w:t>
      </w:r>
      <w:r>
        <w:t>poduzećima i MSP-ovima u okviru EIC-a, na štetu akademskih istraživača i sveučilišta, što je u suprotnosti s aktualnom praksom. Izričito priznavanje uloge sveučilišta u ranim i visokorizičnim inovacijama ključno je za iskorištavanje punog potencijala europskih inovacija.</w:t>
      </w:r>
    </w:p>
    <w:p w14:paraId="2EA5C9CB" w14:textId="44A81E00" w:rsidR="00A254EE" w:rsidRPr="003D5A0C" w:rsidRDefault="00A254EE" w:rsidP="00E61E7C">
      <w:pPr>
        <w:rPr>
          <w:lang w:val="fr-FR"/>
        </w:rPr>
      </w:pPr>
    </w:p>
    <w:p w14:paraId="0E3C212D" w14:textId="0AEA50DF" w:rsidR="00A254EE" w:rsidRPr="003D5A0C" w:rsidRDefault="008247FE" w:rsidP="00E61E7C">
      <w:pPr>
        <w:keepNext/>
        <w:ind w:firstLine="567"/>
        <w:rPr>
          <w:i/>
        </w:rPr>
      </w:pPr>
      <w:r>
        <w:rPr>
          <w:i/>
        </w:rPr>
        <w:t>Argumenti u prilog preporuci br. 1.14.</w:t>
      </w:r>
    </w:p>
    <w:p w14:paraId="250644A1" w14:textId="77777777" w:rsidR="00051DE9" w:rsidRPr="003D5A0C" w:rsidRDefault="00051DE9" w:rsidP="00E61E7C">
      <w:pPr>
        <w:keepNext/>
        <w:rPr>
          <w:lang w:val="fr-FR"/>
        </w:rPr>
      </w:pPr>
    </w:p>
    <w:p w14:paraId="729332A7" w14:textId="24EB9A0F" w:rsidR="00623543" w:rsidRPr="003D5A0C" w:rsidRDefault="00623543" w:rsidP="00E61E7C">
      <w:pPr>
        <w:pStyle w:val="Heading2"/>
      </w:pPr>
      <w:r>
        <w:t>Zemlje koje nisu povećale svoja stvarna javna ulaganja u istraživanje i inovacije u odnosu na prethodnu godinu više ne bi ispunjavale uvjete za financiranje izgradnje kapaciteta. Relevantniji bi bio kriterij uspješnosti u području istraživanja i inovacija. Podsjetimo da EU nije ostvario cilj Lisabonske strategije da se 3 % BDP-a ulaže u istraživanje i razvoj. U Draghijevu izvješću iz 2024. ističe se rizik da bi Europa mogla zaostajati za SAD-om i Kinom.</w:t>
      </w:r>
    </w:p>
    <w:p w14:paraId="29771936" w14:textId="060FA183" w:rsidR="00623543" w:rsidRPr="003D5A0C" w:rsidRDefault="00623543" w:rsidP="00E61E7C">
      <w:pPr>
        <w:pStyle w:val="Heading2"/>
        <w:numPr>
          <w:ilvl w:val="0"/>
          <w:numId w:val="0"/>
        </w:numPr>
        <w:rPr>
          <w:lang w:val="fr-FR"/>
        </w:rPr>
      </w:pPr>
    </w:p>
    <w:p w14:paraId="20B3BFC9" w14:textId="24299427" w:rsidR="00623543" w:rsidRPr="003D5A0C" w:rsidRDefault="00623543" w:rsidP="00E61E7C">
      <w:pPr>
        <w:keepNext/>
        <w:ind w:firstLine="567"/>
        <w:rPr>
          <w:i/>
        </w:rPr>
      </w:pPr>
      <w:r>
        <w:rPr>
          <w:i/>
        </w:rPr>
        <w:t>Argument u prilog preporuci br. 1.15.</w:t>
      </w:r>
    </w:p>
    <w:p w14:paraId="15EB6DB8" w14:textId="77777777" w:rsidR="00051DE9" w:rsidRPr="003D5A0C" w:rsidRDefault="00051DE9" w:rsidP="00E61E7C">
      <w:pPr>
        <w:keepNext/>
        <w:rPr>
          <w:lang w:val="fr-FR"/>
        </w:rPr>
      </w:pPr>
    </w:p>
    <w:p w14:paraId="1DD9E286" w14:textId="5A11B6DE" w:rsidR="00922F75" w:rsidRPr="003D5A0C" w:rsidRDefault="00922F75" w:rsidP="00E61E7C">
      <w:pPr>
        <w:pStyle w:val="Heading2"/>
      </w:pPr>
      <w:r>
        <w:t>Taj model može biti prikladan za kratkoročne projekte, ali komplicira planiranje i provedbu dugoročnih i visokorizičnih istraživanja, kao i opsežnih suradničkih inicijativa. Stvaranje jedinstvenog skupa pravila za sve programe moglo bi biti vrlo složeno i ugroziti dodanu vrijednost posebnosti svakog sektora. Restrukturiranje programa Obzor Europa trebalo bi biti usmjereno na poboljšanje učinkovitosti i pojednostavljenje za korisnike, a ne stvarati dodatne administrativne prepreke.</w:t>
      </w:r>
    </w:p>
    <w:p w14:paraId="7D598869" w14:textId="32965C65" w:rsidR="00922F75" w:rsidRPr="003D5A0C" w:rsidRDefault="00922F75" w:rsidP="00E61E7C">
      <w:pPr>
        <w:rPr>
          <w:lang w:val="fr-FR"/>
        </w:rPr>
      </w:pPr>
    </w:p>
    <w:p w14:paraId="4D635726" w14:textId="5ACF0BDA" w:rsidR="000E427A" w:rsidRPr="003D5A0C" w:rsidRDefault="000E427A" w:rsidP="00E61E7C">
      <w:pPr>
        <w:keepNext/>
        <w:keepLines/>
        <w:ind w:firstLine="567"/>
      </w:pPr>
      <w:r>
        <w:rPr>
          <w:i/>
        </w:rPr>
        <w:t>Argument u prilog preporuci br. 1.15.</w:t>
      </w:r>
    </w:p>
    <w:p w14:paraId="5AE0CDBC" w14:textId="7D419F20" w:rsidR="000E427A" w:rsidRPr="003D5A0C" w:rsidRDefault="000E427A" w:rsidP="00E61E7C">
      <w:pPr>
        <w:keepNext/>
        <w:keepLines/>
        <w:rPr>
          <w:lang w:val="fr-FR"/>
        </w:rPr>
      </w:pPr>
    </w:p>
    <w:p w14:paraId="6CB5AA46" w14:textId="579B547B" w:rsidR="000E427A" w:rsidRPr="003D5A0C" w:rsidRDefault="000E427A" w:rsidP="00E61E7C">
      <w:pPr>
        <w:pStyle w:val="Heading2"/>
      </w:pPr>
      <w:r>
        <w:t>Čini se da su za financiranje zgrada za istraživačku i tehnološku infrastrukturu prikladniji strukturni i investicijski fondovi.</w:t>
      </w:r>
    </w:p>
    <w:p w14:paraId="59829C2A" w14:textId="77777777" w:rsidR="000E427A" w:rsidRPr="003D5A0C" w:rsidRDefault="000E427A" w:rsidP="00E61E7C">
      <w:pPr>
        <w:rPr>
          <w:lang w:val="fr-FR"/>
        </w:rPr>
      </w:pPr>
    </w:p>
    <w:p w14:paraId="49699A38" w14:textId="7D04E911" w:rsidR="00922F75" w:rsidRPr="003D5A0C" w:rsidRDefault="00922F75" w:rsidP="00E61E7C">
      <w:pPr>
        <w:keepNext/>
        <w:ind w:firstLine="567"/>
        <w:rPr>
          <w:i/>
        </w:rPr>
      </w:pPr>
      <w:r>
        <w:rPr>
          <w:i/>
        </w:rPr>
        <w:t>Argument u prilog preporuci br. 1.17.</w:t>
      </w:r>
    </w:p>
    <w:p w14:paraId="09EE351B" w14:textId="77777777" w:rsidR="00051DE9" w:rsidRPr="003D5A0C" w:rsidRDefault="00051DE9" w:rsidP="00E61E7C">
      <w:pPr>
        <w:keepNext/>
        <w:rPr>
          <w:lang w:val="fr-FR"/>
        </w:rPr>
      </w:pPr>
    </w:p>
    <w:p w14:paraId="31A8B783" w14:textId="730EC962" w:rsidR="000E427A" w:rsidRPr="003D5A0C" w:rsidRDefault="004A3382" w:rsidP="00E61E7C">
      <w:pPr>
        <w:pStyle w:val="Heading2"/>
      </w:pPr>
      <w:r>
        <w:t>Metodu financiranja jednokratnim iznosima moglo bi se smatrati pozitivnim pomakom prema fleksibilnijem i pojednostavljenom tipu financiranja jer se time smanjuje administrativno opterećenje i složenost financijskog izvješćivanja, čime se korisnicima omogućuje da se više usredotoče na rezultate i učinak projekata, a ne na usklađenost s postupcima.</w:t>
      </w:r>
    </w:p>
    <w:p w14:paraId="5183AD19" w14:textId="7A79AA97" w:rsidR="00E27B82" w:rsidRPr="003D5A0C" w:rsidRDefault="00E27B82" w:rsidP="00E61E7C">
      <w:pPr>
        <w:rPr>
          <w:lang w:val="fr-FR"/>
        </w:rPr>
      </w:pPr>
    </w:p>
    <w:p w14:paraId="289267B5" w14:textId="406E3114" w:rsidR="00D12997" w:rsidRPr="003D5A0C" w:rsidRDefault="00D12997" w:rsidP="00E61E7C">
      <w:pPr>
        <w:keepNext/>
        <w:ind w:firstLine="567"/>
        <w:rPr>
          <w:i/>
        </w:rPr>
      </w:pPr>
      <w:r>
        <w:rPr>
          <w:i/>
        </w:rPr>
        <w:t>Argument u prilog preporuci br. 1.18.</w:t>
      </w:r>
    </w:p>
    <w:p w14:paraId="319D9D23" w14:textId="77777777" w:rsidR="00051DE9" w:rsidRPr="003D5A0C" w:rsidRDefault="00051DE9" w:rsidP="00E61E7C">
      <w:pPr>
        <w:keepNext/>
        <w:rPr>
          <w:lang w:val="fr-FR"/>
        </w:rPr>
      </w:pPr>
    </w:p>
    <w:p w14:paraId="766025E6" w14:textId="315DE7D3" w:rsidR="00922F75" w:rsidRPr="003D5A0C" w:rsidRDefault="00D12997" w:rsidP="00E61E7C">
      <w:pPr>
        <w:pStyle w:val="Heading2"/>
      </w:pPr>
      <w:r>
        <w:t>Samo Europsko vijeće za inovacije izričito predviđa potporu inovacijama u području ključnih tehnologija povezanih s obranom. To je područje uključeno u Prijedlog uredbe samo u obrazloženju i nema izričitu pravnu osnovu, a podrazumijeva se i da će neke treće zemlje biti dodatno isključene iz poziva na podnošenje ponuda. Osim toga, to otvaranje područja primjene programa Obzor Europa podrazumijeva da će korisnici morati prilagoditi svoja pravila o sigurnosti i kontroli pristupa istraživačkim lokacijama. To bi se trebalo jasno odraziti u pozivima na podnošenje ponuda, u kojima bi također trebalo izričito navesti da će se istraživanja primjenjivati na robu s dvojnom namjenom i robu vojne namjene.</w:t>
      </w:r>
    </w:p>
    <w:p w14:paraId="4492A1A1" w14:textId="77777777" w:rsidR="00922F75" w:rsidRPr="003D5A0C" w:rsidRDefault="00922F75" w:rsidP="00E61E7C">
      <w:pPr>
        <w:pStyle w:val="Heading2"/>
        <w:numPr>
          <w:ilvl w:val="0"/>
          <w:numId w:val="0"/>
        </w:numPr>
        <w:rPr>
          <w:lang w:val="fr-FR"/>
        </w:rPr>
      </w:pPr>
    </w:p>
    <w:p w14:paraId="28ADDD63" w14:textId="5E5DA880" w:rsidR="00444D44" w:rsidRPr="003D5A0C" w:rsidRDefault="00444D44" w:rsidP="00E61E7C">
      <w:pPr>
        <w:keepNext/>
        <w:ind w:firstLine="567"/>
        <w:rPr>
          <w:i/>
        </w:rPr>
      </w:pPr>
      <w:r>
        <w:rPr>
          <w:i/>
        </w:rPr>
        <w:t>Argument u prilog preporuci br. 1.19.</w:t>
      </w:r>
    </w:p>
    <w:p w14:paraId="38F0C02A" w14:textId="77777777" w:rsidR="00051DE9" w:rsidRPr="003D5A0C" w:rsidRDefault="00051DE9" w:rsidP="00E61E7C">
      <w:pPr>
        <w:keepNext/>
        <w:rPr>
          <w:lang w:val="fr-FR"/>
        </w:rPr>
      </w:pPr>
    </w:p>
    <w:p w14:paraId="36E425F8" w14:textId="6D0A9218" w:rsidR="008A0ED1" w:rsidRPr="003D5A0C" w:rsidRDefault="00444D44" w:rsidP="00E61E7C">
      <w:pPr>
        <w:pStyle w:val="Heading2"/>
      </w:pPr>
      <w:r>
        <w:t xml:space="preserve">Trenutačno ne postoje zaštitne mjere kojima bi se osnivače, prije svega </w:t>
      </w:r>
      <w:r>
        <w:rPr>
          <w:i/>
        </w:rPr>
        <w:t>start-up</w:t>
      </w:r>
      <w:r>
        <w:t xml:space="preserve"> poduzeća, spriječilo da povećaju vrijednost svojih osobnih ulaganja prodajom patenata ili dionica partnerima izvan EU-a, čak i u slučaju kada su istraživanja i inovacije u velikoj mjeri financirana sredstvima EU-a. Iako je takve prijenose teško spriječiti, trebalo bi biti moguće osigurati povrat dijela financijskih sredstava koja su dovela do ostvarivanja dobiti zahvaljujući prijenosu.</w:t>
      </w:r>
    </w:p>
    <w:p w14:paraId="49938300" w14:textId="77777777" w:rsidR="008A0ED1" w:rsidRPr="003D5A0C" w:rsidRDefault="008A0ED1" w:rsidP="00E61E7C">
      <w:pPr>
        <w:rPr>
          <w:lang w:val="fr-FR"/>
        </w:rPr>
      </w:pPr>
    </w:p>
    <w:p w14:paraId="0A73DB31" w14:textId="625B56BE" w:rsidR="008A0ED1" w:rsidRPr="003D5A0C" w:rsidRDefault="008A0ED1" w:rsidP="00E61E7C">
      <w:pPr>
        <w:keepNext/>
        <w:keepLines/>
        <w:rPr>
          <w:i/>
        </w:rPr>
      </w:pPr>
      <w:r>
        <w:rPr>
          <w:i/>
        </w:rPr>
        <w:t>Argumenti u prilog preporuci br. 1.20.</w:t>
      </w:r>
    </w:p>
    <w:p w14:paraId="50392F86" w14:textId="77777777" w:rsidR="00EC6BAC" w:rsidRPr="00FE389E" w:rsidRDefault="00EC6BAC" w:rsidP="00E61E7C">
      <w:pPr>
        <w:pStyle w:val="Heading2"/>
        <w:numPr>
          <w:ilvl w:val="0"/>
          <w:numId w:val="0"/>
        </w:numPr>
        <w:rPr>
          <w:lang w:val="fr-FR"/>
        </w:rPr>
      </w:pPr>
    </w:p>
    <w:p w14:paraId="00E45C19" w14:textId="78E4DDE7" w:rsidR="00780204" w:rsidRPr="003D5A0C" w:rsidRDefault="003D5A0C" w:rsidP="00E61E7C">
      <w:pPr>
        <w:pStyle w:val="Heading2"/>
      </w:pPr>
      <w:r>
        <w:t>Sveobuhvatna vodna politika EU-a mora biti popraćena i jednako ambicioznim planom financiranja. EGSO smatra da su fondovi EU-a presudni za premošćivanje postojećeg investicijskog jaza i ponavlja svoj poziv na donošenje strateškog, namjenskog višegodišnjeg plana ulaganja i prilagođenog okvira za financiranje vodne infrastrukture, vještina, tehnologija i istraživanja.</w:t>
      </w:r>
    </w:p>
    <w:p w14:paraId="27349C6A" w14:textId="77777777" w:rsidR="00EC6BAC" w:rsidRDefault="00EC6BAC" w:rsidP="00E61E7C">
      <w:pPr>
        <w:pStyle w:val="Heading2"/>
        <w:numPr>
          <w:ilvl w:val="0"/>
          <w:numId w:val="0"/>
        </w:numPr>
        <w:rPr>
          <w:bCs/>
          <w:iCs/>
          <w:lang w:val="fr-FR"/>
        </w:rPr>
      </w:pPr>
    </w:p>
    <w:p w14:paraId="34A0BF08" w14:textId="7F21F128" w:rsidR="00780204" w:rsidRPr="003D5A0C" w:rsidRDefault="003D5A0C" w:rsidP="00E61E7C">
      <w:pPr>
        <w:pStyle w:val="Heading2"/>
        <w:rPr>
          <w:bCs/>
          <w:iCs/>
        </w:rPr>
      </w:pPr>
      <w:r>
        <w:t>Europa bi trebala iskoristiti mogućnosti koje joj pruža globalno vodstvo u području vodnih tehnologija (EU je vlasnik 40 % svih patenata povezanih s vodom) kako bi potaknula promjenu paradigme u načinu na koji upotrebljavamo vodu ulaganjem u otpornu vodnu infrastrukturu, kružne vodene petlje, kaskadnu upotrebu, digitalno upravljanje i uključivo upravljanje vodama.</w:t>
      </w:r>
    </w:p>
    <w:p w14:paraId="154698F2" w14:textId="77777777" w:rsidR="00780204" w:rsidRPr="003D5A0C" w:rsidRDefault="00780204" w:rsidP="00E61E7C">
      <w:pPr>
        <w:keepNext/>
        <w:keepLines/>
        <w:rPr>
          <w:i/>
          <w:lang w:val="fr-FR"/>
        </w:rPr>
      </w:pPr>
    </w:p>
    <w:p w14:paraId="1BE662C3" w14:textId="5617E229" w:rsidR="00E43A83" w:rsidRPr="003D5A0C" w:rsidRDefault="00780204" w:rsidP="00E61E7C">
      <w:pPr>
        <w:keepNext/>
        <w:keepLines/>
        <w:rPr>
          <w:i/>
        </w:rPr>
      </w:pPr>
      <w:r>
        <w:rPr>
          <w:i/>
        </w:rPr>
        <w:t>Argumenti u prilog preporuci 1.21.</w:t>
      </w:r>
    </w:p>
    <w:p w14:paraId="5D6EEF86" w14:textId="77777777" w:rsidR="00780204" w:rsidRPr="003D5A0C" w:rsidRDefault="00780204" w:rsidP="00E61E7C">
      <w:pPr>
        <w:keepNext/>
        <w:keepLines/>
        <w:rPr>
          <w:lang w:val="fr-FR"/>
        </w:rPr>
      </w:pPr>
    </w:p>
    <w:p w14:paraId="0FB91B85" w14:textId="4A162757" w:rsidR="00E43A83" w:rsidRPr="003D5A0C" w:rsidRDefault="00E43A83" w:rsidP="00E61E7C">
      <w:pPr>
        <w:pStyle w:val="Heading2"/>
      </w:pPr>
      <w:r>
        <w:t>Konkretno, sredstva bi trebala biti dostupna organizacijama koje predstavljaju osobe s invaliditetom, osobe u nesigurnom položaju i osobe i zajednice koje su diskriminirane na temelju etničkog ili rasnog podrijetla ili seksualne orijentacije.</w:t>
      </w:r>
    </w:p>
    <w:p w14:paraId="1B8C9AB8" w14:textId="7C183266" w:rsidR="008A0ED1" w:rsidRPr="003D5A0C" w:rsidRDefault="008A0ED1" w:rsidP="00E61E7C">
      <w:pPr>
        <w:rPr>
          <w:lang w:val="fr-FR"/>
        </w:rPr>
      </w:pPr>
    </w:p>
    <w:p w14:paraId="3BC00260" w14:textId="0598B38D" w:rsidR="008A0ED1" w:rsidRPr="003D5A0C" w:rsidRDefault="008A0ED1" w:rsidP="00E61E7C">
      <w:pPr>
        <w:pStyle w:val="Heading2"/>
      </w:pPr>
      <w:r>
        <w:t>U Europskoj uniji živi 101 milijun građana i građanki s invaliditetom (izvor: Eurostat, 2023.), koji se suočavaju s nefleksibilnim zahtjevima i postupcima za pristup financiranju, stoga se treba pobrinuti za to da ne budu isključeni iz financiranja.</w:t>
      </w:r>
    </w:p>
    <w:p w14:paraId="0FC0BAB0" w14:textId="77777777" w:rsidR="001A0639" w:rsidRPr="003D5A0C" w:rsidRDefault="001A0639" w:rsidP="00E61E7C">
      <w:pPr>
        <w:rPr>
          <w:lang w:val="fr-FR"/>
        </w:rPr>
      </w:pPr>
    </w:p>
    <w:p w14:paraId="133E453C" w14:textId="5B8D6A77" w:rsidR="001A0639" w:rsidRPr="00FE389E" w:rsidRDefault="001A0639" w:rsidP="00E61E7C">
      <w:r>
        <w:t>Bruxelles, 8. siječnja 2026.</w:t>
      </w:r>
    </w:p>
    <w:p w14:paraId="56F2C2F2" w14:textId="77777777" w:rsidR="001A0639" w:rsidRPr="00FE389E" w:rsidRDefault="001A0639" w:rsidP="00E61E7C">
      <w:pPr>
        <w:rPr>
          <w:lang w:val="fr-FR"/>
        </w:rPr>
      </w:pPr>
    </w:p>
    <w:p w14:paraId="3A2DA7F0" w14:textId="77777777" w:rsidR="001A0639" w:rsidRPr="00FE389E" w:rsidRDefault="001A0639" w:rsidP="00E61E7C">
      <w:pPr>
        <w:rPr>
          <w:lang w:val="fr-FR"/>
        </w:rPr>
      </w:pPr>
    </w:p>
    <w:p w14:paraId="04907CDB" w14:textId="304C1789" w:rsidR="001A0639" w:rsidRPr="00FE389E" w:rsidRDefault="001A0639" w:rsidP="00E61E7C">
      <w:pPr>
        <w:jc w:val="left"/>
      </w:pPr>
      <w:r>
        <w:rPr>
          <w:i/>
        </w:rPr>
        <w:t>Predsjednica Stručne skupine za jedinstveno tržište, proizvodnju i potrošnju</w:t>
      </w:r>
    </w:p>
    <w:p w14:paraId="353A28DC" w14:textId="452F54C1" w:rsidR="001A0639" w:rsidRPr="003D5A0C" w:rsidRDefault="002749E0" w:rsidP="00E61E7C">
      <w:r>
        <w:t>Émilie PROUZET</w:t>
      </w:r>
    </w:p>
    <w:p w14:paraId="5B3BE5E5" w14:textId="77777777" w:rsidR="00646AC2" w:rsidRPr="003D5A0C" w:rsidRDefault="03385EDC" w:rsidP="00E61E7C">
      <w:pPr>
        <w:jc w:val="center"/>
      </w:pPr>
      <w:r>
        <w:t>_____________</w:t>
      </w:r>
    </w:p>
    <w:sectPr w:rsidR="00646AC2" w:rsidRPr="003D5A0C" w:rsidSect="00575499">
      <w:headerReference w:type="even" r:id="rId24"/>
      <w:headerReference w:type="default" r:id="rId25"/>
      <w:footerReference w:type="even" r:id="rId26"/>
      <w:footerReference w:type="default" r:id="rId27"/>
      <w:headerReference w:type="first" r:id="rId28"/>
      <w:footerReference w:type="first" r:id="rId29"/>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A46CD" w14:textId="77777777" w:rsidR="00954FD7" w:rsidRDefault="00954FD7">
      <w:r>
        <w:separator/>
      </w:r>
    </w:p>
  </w:endnote>
  <w:endnote w:type="continuationSeparator" w:id="0">
    <w:p w14:paraId="3C9EC78D" w14:textId="77777777" w:rsidR="00954FD7" w:rsidRDefault="00954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D2E4" w14:textId="77777777" w:rsidR="00575499" w:rsidRPr="00575499" w:rsidRDefault="00575499" w:rsidP="00575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BE5EE" w14:textId="635154AB" w:rsidR="00E32DC6" w:rsidRPr="00575499" w:rsidRDefault="00575499" w:rsidP="00575499">
    <w:pPr>
      <w:pStyle w:val="Footer"/>
    </w:pPr>
    <w:r>
      <w:t xml:space="preserve">INT/1102 – EESC-2025-02760-00-00-AS-TRA (FR) </w:t>
    </w:r>
    <w:r>
      <w:fldChar w:fldCharType="begin"/>
    </w:r>
    <w:r>
      <w:instrText xml:space="preserve"> PAGE  \* Arabic  \* MERGEFORMAT </w:instrText>
    </w:r>
    <w:r>
      <w:fldChar w:fldCharType="separate"/>
    </w:r>
    <w:r w:rsidR="00CB5487">
      <w:t>1</w:t>
    </w:r>
    <w:r>
      <w:fldChar w:fldCharType="end"/>
    </w:r>
    <w:r>
      <w:t>/</w:t>
    </w:r>
    <w:fldSimple w:instr=" NUMPAGES ">
      <w:r w:rsidR="00CB5487">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E9B69" w14:textId="77777777" w:rsidR="00575499" w:rsidRPr="00575499" w:rsidRDefault="00575499" w:rsidP="005754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97755" w14:textId="77777777" w:rsidR="001D40EE" w:rsidRPr="00575499" w:rsidRDefault="001D40EE" w:rsidP="0057549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EB52D" w14:textId="70068528" w:rsidR="001D40EE" w:rsidRPr="00575499" w:rsidRDefault="00575499" w:rsidP="00575499">
    <w:pPr>
      <w:pStyle w:val="Footer"/>
    </w:pPr>
    <w:r>
      <w:t xml:space="preserve">INT/1102 – EESC-2025-02760-00-00-AS-TRA (FR) </w:t>
    </w:r>
    <w:r>
      <w:fldChar w:fldCharType="begin"/>
    </w:r>
    <w:r>
      <w:instrText xml:space="preserve"> PAGE  \* Arabic  \* MERGEFORMAT </w:instrText>
    </w:r>
    <w:r>
      <w:fldChar w:fldCharType="separate"/>
    </w:r>
    <w:r w:rsidR="00CB5487">
      <w:t>10</w:t>
    </w:r>
    <w:r>
      <w:fldChar w:fldCharType="end"/>
    </w:r>
    <w:r>
      <w:t>/</w:t>
    </w:r>
    <w:fldSimple w:instr=" NUMPAGES ">
      <w:r w:rsidR="00CB5487">
        <w:t>10</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A79ED" w14:textId="77777777" w:rsidR="001D40EE" w:rsidRPr="00575499" w:rsidRDefault="001D40EE" w:rsidP="00575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9E05D" w14:textId="77777777" w:rsidR="00954FD7" w:rsidRDefault="00954FD7">
      <w:r>
        <w:separator/>
      </w:r>
    </w:p>
  </w:footnote>
  <w:footnote w:type="continuationSeparator" w:id="0">
    <w:p w14:paraId="03D8728E" w14:textId="77777777" w:rsidR="00954FD7" w:rsidRDefault="00954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68317" w14:textId="77777777" w:rsidR="00575499" w:rsidRPr="00575499" w:rsidRDefault="00575499" w:rsidP="005754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74838" w14:textId="66EB7364" w:rsidR="00575499" w:rsidRPr="00575499" w:rsidRDefault="00575499" w:rsidP="005754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B35BF" w14:textId="77777777" w:rsidR="00575499" w:rsidRPr="00575499" w:rsidRDefault="00575499" w:rsidP="005754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CEACB" w14:textId="77777777" w:rsidR="001D40EE" w:rsidRPr="00575499" w:rsidRDefault="001D40EE" w:rsidP="005754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86B5" w14:textId="0A0AFA82" w:rsidR="001D40EE" w:rsidRPr="00575499" w:rsidRDefault="001D40EE" w:rsidP="005754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84640" w14:textId="77777777" w:rsidR="001D40EE" w:rsidRPr="00575499" w:rsidRDefault="001D40EE" w:rsidP="00575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6EAA5BA"/>
    <w:lvl w:ilvl="0">
      <w:start w:val="1"/>
      <w:numFmt w:val="decimal"/>
      <w:pStyle w:val="Heading1"/>
      <w:lvlText w:val="%1."/>
      <w:legacy w:legacy="1" w:legacySpace="0" w:legacyIndent="0"/>
      <w:lvlJc w:val="left"/>
      <w:rPr>
        <w:b w:val="0"/>
        <w:bCs w:val="0"/>
      </w:rPr>
    </w:lvl>
    <w:lvl w:ilvl="1">
      <w:start w:val="1"/>
      <w:numFmt w:val="decimal"/>
      <w:pStyle w:val="Heading2"/>
      <w:lvlText w:val="%1.%2"/>
      <w:legacy w:legacy="1" w:legacySpace="144" w:legacyIndent="0"/>
      <w:lvlJc w:val="left"/>
      <w:rPr>
        <w:i w:val="0"/>
        <w:iCs w: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9B32A44"/>
    <w:multiLevelType w:val="hybridMultilevel"/>
    <w:tmpl w:val="28603B64"/>
    <w:lvl w:ilvl="0" w:tplc="CC8E10C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0F11"/>
    <w:multiLevelType w:val="hybridMultilevel"/>
    <w:tmpl w:val="2C4A593A"/>
    <w:lvl w:ilvl="0" w:tplc="9010314C">
      <w:start w:val="18"/>
      <w:numFmt w:val="decimal"/>
      <w:lvlText w:val="2.%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3DA76F32"/>
    <w:multiLevelType w:val="hybridMultilevel"/>
    <w:tmpl w:val="45505CA6"/>
    <w:lvl w:ilvl="0" w:tplc="FB326D18">
      <w:start w:val="1"/>
      <w:numFmt w:val="decimal"/>
      <w:lvlText w:val="2.%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4369487B"/>
    <w:multiLevelType w:val="hybridMultilevel"/>
    <w:tmpl w:val="A6EC1B36"/>
    <w:lvl w:ilvl="0" w:tplc="FB326D18">
      <w:start w:val="1"/>
      <w:numFmt w:val="decimal"/>
      <w:lvlText w:val="2.%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453C4F15"/>
    <w:multiLevelType w:val="hybridMultilevel"/>
    <w:tmpl w:val="2F94B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962B3A"/>
    <w:multiLevelType w:val="hybridMultilevel"/>
    <w:tmpl w:val="57EEBF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7981E46"/>
    <w:multiLevelType w:val="hybridMultilevel"/>
    <w:tmpl w:val="01BAA456"/>
    <w:lvl w:ilvl="0" w:tplc="F75C0ABC">
      <w:start w:val="1"/>
      <w:numFmt w:val="lowerLetter"/>
      <w:lvlText w:val="%1)"/>
      <w:lvlJc w:val="left"/>
      <w:pPr>
        <w:ind w:left="360" w:hanging="360"/>
      </w:pPr>
      <w:rPr>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8" w15:restartNumberingAfterBreak="0">
    <w:nsid w:val="75CD7C98"/>
    <w:multiLevelType w:val="hybridMultilevel"/>
    <w:tmpl w:val="243A171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7"/>
  </w:num>
  <w:num w:numId="3">
    <w:abstractNumId w:val="6"/>
  </w:num>
  <w:num w:numId="4">
    <w:abstractNumId w:val="8"/>
  </w:num>
  <w:num w:numId="5">
    <w:abstractNumId w:val="5"/>
  </w:num>
  <w:num w:numId="6">
    <w:abstractNumId w:val="1"/>
  </w:num>
  <w:num w:numId="7">
    <w:abstractNumId w:val="4"/>
  </w:num>
  <w:num w:numId="8">
    <w:abstractNumId w:val="2"/>
  </w:num>
  <w:num w:numId="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embedSystemFonts/>
  <w:activeWritingStyle w:appName="MSWord" w:lang="fr-FR" w:vendorID="64" w:dllVersion="6" w:nlCheck="1" w:checkStyle="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8F"/>
    <w:rsid w:val="0000030A"/>
    <w:rsid w:val="00003F24"/>
    <w:rsid w:val="00005AB9"/>
    <w:rsid w:val="00005EB9"/>
    <w:rsid w:val="00006E24"/>
    <w:rsid w:val="00007A40"/>
    <w:rsid w:val="00011D33"/>
    <w:rsid w:val="000122BE"/>
    <w:rsid w:val="00012E86"/>
    <w:rsid w:val="00020A77"/>
    <w:rsid w:val="00020E6E"/>
    <w:rsid w:val="00021C0C"/>
    <w:rsid w:val="00031A4B"/>
    <w:rsid w:val="00033913"/>
    <w:rsid w:val="00033981"/>
    <w:rsid w:val="00033E5B"/>
    <w:rsid w:val="000357A8"/>
    <w:rsid w:val="000420E8"/>
    <w:rsid w:val="00042669"/>
    <w:rsid w:val="000430A6"/>
    <w:rsid w:val="00044923"/>
    <w:rsid w:val="00051DE9"/>
    <w:rsid w:val="0005249C"/>
    <w:rsid w:val="000534A5"/>
    <w:rsid w:val="0005680D"/>
    <w:rsid w:val="000574C4"/>
    <w:rsid w:val="00060FE1"/>
    <w:rsid w:val="00061256"/>
    <w:rsid w:val="00063FB4"/>
    <w:rsid w:val="0006793E"/>
    <w:rsid w:val="00067A70"/>
    <w:rsid w:val="00070C3D"/>
    <w:rsid w:val="00072489"/>
    <w:rsid w:val="00072E0F"/>
    <w:rsid w:val="00072FD5"/>
    <w:rsid w:val="000735E5"/>
    <w:rsid w:val="0007392F"/>
    <w:rsid w:val="00075E47"/>
    <w:rsid w:val="00076EF6"/>
    <w:rsid w:val="00082349"/>
    <w:rsid w:val="00084690"/>
    <w:rsid w:val="00087B39"/>
    <w:rsid w:val="00090519"/>
    <w:rsid w:val="0009155F"/>
    <w:rsid w:val="00096201"/>
    <w:rsid w:val="00096502"/>
    <w:rsid w:val="000A47EA"/>
    <w:rsid w:val="000A49BB"/>
    <w:rsid w:val="000A771E"/>
    <w:rsid w:val="000B1F7C"/>
    <w:rsid w:val="000B35BB"/>
    <w:rsid w:val="000C3441"/>
    <w:rsid w:val="000C4880"/>
    <w:rsid w:val="000C50A2"/>
    <w:rsid w:val="000C6E71"/>
    <w:rsid w:val="000C76C1"/>
    <w:rsid w:val="000C7F53"/>
    <w:rsid w:val="000D1B4E"/>
    <w:rsid w:val="000D2F8E"/>
    <w:rsid w:val="000D3628"/>
    <w:rsid w:val="000E1529"/>
    <w:rsid w:val="000E427A"/>
    <w:rsid w:val="000E566D"/>
    <w:rsid w:val="000E57F2"/>
    <w:rsid w:val="000E7403"/>
    <w:rsid w:val="000E7DEC"/>
    <w:rsid w:val="000F0FC2"/>
    <w:rsid w:val="000F196B"/>
    <w:rsid w:val="000F203B"/>
    <w:rsid w:val="000F3F6A"/>
    <w:rsid w:val="00101107"/>
    <w:rsid w:val="001033C3"/>
    <w:rsid w:val="00105361"/>
    <w:rsid w:val="001101F8"/>
    <w:rsid w:val="0011206F"/>
    <w:rsid w:val="00114290"/>
    <w:rsid w:val="00114F67"/>
    <w:rsid w:val="0011656A"/>
    <w:rsid w:val="0012220C"/>
    <w:rsid w:val="001255FB"/>
    <w:rsid w:val="00132C8E"/>
    <w:rsid w:val="00136EA3"/>
    <w:rsid w:val="00137575"/>
    <w:rsid w:val="00140C08"/>
    <w:rsid w:val="001410CE"/>
    <w:rsid w:val="001436CB"/>
    <w:rsid w:val="00144231"/>
    <w:rsid w:val="0014530F"/>
    <w:rsid w:val="00145E2D"/>
    <w:rsid w:val="001466A5"/>
    <w:rsid w:val="001503E6"/>
    <w:rsid w:val="00150434"/>
    <w:rsid w:val="001536C6"/>
    <w:rsid w:val="0015488D"/>
    <w:rsid w:val="00155721"/>
    <w:rsid w:val="0015678B"/>
    <w:rsid w:val="001575BB"/>
    <w:rsid w:val="00157D9D"/>
    <w:rsid w:val="00162965"/>
    <w:rsid w:val="00162CF9"/>
    <w:rsid w:val="0016489E"/>
    <w:rsid w:val="0016503F"/>
    <w:rsid w:val="0016674F"/>
    <w:rsid w:val="00167CA0"/>
    <w:rsid w:val="0017120D"/>
    <w:rsid w:val="001714F6"/>
    <w:rsid w:val="001746A1"/>
    <w:rsid w:val="00176168"/>
    <w:rsid w:val="00176E43"/>
    <w:rsid w:val="00177158"/>
    <w:rsid w:val="001808A5"/>
    <w:rsid w:val="00180F74"/>
    <w:rsid w:val="00183500"/>
    <w:rsid w:val="001836A0"/>
    <w:rsid w:val="00184FD4"/>
    <w:rsid w:val="001861EE"/>
    <w:rsid w:val="00186B04"/>
    <w:rsid w:val="00186F1E"/>
    <w:rsid w:val="00187596"/>
    <w:rsid w:val="00190836"/>
    <w:rsid w:val="00190FD9"/>
    <w:rsid w:val="00193930"/>
    <w:rsid w:val="001963A5"/>
    <w:rsid w:val="00196F1E"/>
    <w:rsid w:val="00197FCA"/>
    <w:rsid w:val="001A0639"/>
    <w:rsid w:val="001A0A5D"/>
    <w:rsid w:val="001A27DB"/>
    <w:rsid w:val="001A370F"/>
    <w:rsid w:val="001A6852"/>
    <w:rsid w:val="001B286A"/>
    <w:rsid w:val="001B2D02"/>
    <w:rsid w:val="001B3647"/>
    <w:rsid w:val="001B77FA"/>
    <w:rsid w:val="001C0ABE"/>
    <w:rsid w:val="001C502B"/>
    <w:rsid w:val="001C5852"/>
    <w:rsid w:val="001D3300"/>
    <w:rsid w:val="001D40EE"/>
    <w:rsid w:val="001D45F0"/>
    <w:rsid w:val="001D7D2F"/>
    <w:rsid w:val="001E03A2"/>
    <w:rsid w:val="001E08EB"/>
    <w:rsid w:val="001E279B"/>
    <w:rsid w:val="001E4A33"/>
    <w:rsid w:val="001E5C27"/>
    <w:rsid w:val="001E7903"/>
    <w:rsid w:val="001F602B"/>
    <w:rsid w:val="001F6AC8"/>
    <w:rsid w:val="002037D5"/>
    <w:rsid w:val="00204097"/>
    <w:rsid w:val="00206F90"/>
    <w:rsid w:val="00210932"/>
    <w:rsid w:val="00212B03"/>
    <w:rsid w:val="002131AE"/>
    <w:rsid w:val="00214DC8"/>
    <w:rsid w:val="00215C10"/>
    <w:rsid w:val="00215C2D"/>
    <w:rsid w:val="00216493"/>
    <w:rsid w:val="002252C4"/>
    <w:rsid w:val="0022572F"/>
    <w:rsid w:val="002275D3"/>
    <w:rsid w:val="0023183E"/>
    <w:rsid w:val="00232823"/>
    <w:rsid w:val="00233285"/>
    <w:rsid w:val="0023402F"/>
    <w:rsid w:val="00235138"/>
    <w:rsid w:val="0023693B"/>
    <w:rsid w:val="00240622"/>
    <w:rsid w:val="00243E36"/>
    <w:rsid w:val="002441AE"/>
    <w:rsid w:val="0024540B"/>
    <w:rsid w:val="00245EF4"/>
    <w:rsid w:val="00250E11"/>
    <w:rsid w:val="00251383"/>
    <w:rsid w:val="002516E9"/>
    <w:rsid w:val="002522C9"/>
    <w:rsid w:val="00252A21"/>
    <w:rsid w:val="00253E4F"/>
    <w:rsid w:val="002542E4"/>
    <w:rsid w:val="00254313"/>
    <w:rsid w:val="0025759F"/>
    <w:rsid w:val="00257AA7"/>
    <w:rsid w:val="00257EFC"/>
    <w:rsid w:val="00261053"/>
    <w:rsid w:val="00262FDE"/>
    <w:rsid w:val="00263629"/>
    <w:rsid w:val="002649D2"/>
    <w:rsid w:val="002651C5"/>
    <w:rsid w:val="002656D3"/>
    <w:rsid w:val="002673E8"/>
    <w:rsid w:val="002673F4"/>
    <w:rsid w:val="002713E3"/>
    <w:rsid w:val="002749E0"/>
    <w:rsid w:val="0027616C"/>
    <w:rsid w:val="002769BD"/>
    <w:rsid w:val="00276A75"/>
    <w:rsid w:val="002774BD"/>
    <w:rsid w:val="002809EA"/>
    <w:rsid w:val="00282545"/>
    <w:rsid w:val="00282E7B"/>
    <w:rsid w:val="002846FC"/>
    <w:rsid w:val="00284962"/>
    <w:rsid w:val="002871BB"/>
    <w:rsid w:val="00287B0E"/>
    <w:rsid w:val="002921D0"/>
    <w:rsid w:val="00297FF0"/>
    <w:rsid w:val="002A0B53"/>
    <w:rsid w:val="002A0EEF"/>
    <w:rsid w:val="002A50A7"/>
    <w:rsid w:val="002A718B"/>
    <w:rsid w:val="002A761E"/>
    <w:rsid w:val="002A76F9"/>
    <w:rsid w:val="002A7857"/>
    <w:rsid w:val="002B2DF7"/>
    <w:rsid w:val="002B6481"/>
    <w:rsid w:val="002C0C25"/>
    <w:rsid w:val="002C19E1"/>
    <w:rsid w:val="002C1DB1"/>
    <w:rsid w:val="002C3BF4"/>
    <w:rsid w:val="002C749F"/>
    <w:rsid w:val="002D0742"/>
    <w:rsid w:val="002D67B9"/>
    <w:rsid w:val="002E3FB0"/>
    <w:rsid w:val="002E7B33"/>
    <w:rsid w:val="002F059B"/>
    <w:rsid w:val="002F5B0B"/>
    <w:rsid w:val="002F7CA7"/>
    <w:rsid w:val="00300924"/>
    <w:rsid w:val="003035A9"/>
    <w:rsid w:val="00303CC0"/>
    <w:rsid w:val="0030596E"/>
    <w:rsid w:val="003073C3"/>
    <w:rsid w:val="00310256"/>
    <w:rsid w:val="00316449"/>
    <w:rsid w:val="00323637"/>
    <w:rsid w:val="00323B23"/>
    <w:rsid w:val="00324E8A"/>
    <w:rsid w:val="00327530"/>
    <w:rsid w:val="00327DE8"/>
    <w:rsid w:val="00331D87"/>
    <w:rsid w:val="00332850"/>
    <w:rsid w:val="00332FEC"/>
    <w:rsid w:val="00334478"/>
    <w:rsid w:val="003346B4"/>
    <w:rsid w:val="00334AE6"/>
    <w:rsid w:val="00334CDA"/>
    <w:rsid w:val="003363CA"/>
    <w:rsid w:val="003365D0"/>
    <w:rsid w:val="00336A90"/>
    <w:rsid w:val="003408B7"/>
    <w:rsid w:val="003439AB"/>
    <w:rsid w:val="00344D42"/>
    <w:rsid w:val="0035034C"/>
    <w:rsid w:val="00354695"/>
    <w:rsid w:val="0035549B"/>
    <w:rsid w:val="00362936"/>
    <w:rsid w:val="00363CD0"/>
    <w:rsid w:val="00366F40"/>
    <w:rsid w:val="003676ED"/>
    <w:rsid w:val="003735B0"/>
    <w:rsid w:val="003755C8"/>
    <w:rsid w:val="00375687"/>
    <w:rsid w:val="00380AE0"/>
    <w:rsid w:val="00383324"/>
    <w:rsid w:val="00383EA7"/>
    <w:rsid w:val="00384A9B"/>
    <w:rsid w:val="00385677"/>
    <w:rsid w:val="003860C9"/>
    <w:rsid w:val="00386EE9"/>
    <w:rsid w:val="00387A75"/>
    <w:rsid w:val="00387AE5"/>
    <w:rsid w:val="003904FD"/>
    <w:rsid w:val="00392D06"/>
    <w:rsid w:val="00394254"/>
    <w:rsid w:val="0039696F"/>
    <w:rsid w:val="003A2AE0"/>
    <w:rsid w:val="003A5F93"/>
    <w:rsid w:val="003A75A3"/>
    <w:rsid w:val="003B2700"/>
    <w:rsid w:val="003B314B"/>
    <w:rsid w:val="003C147A"/>
    <w:rsid w:val="003C2BFB"/>
    <w:rsid w:val="003C3F4E"/>
    <w:rsid w:val="003C436B"/>
    <w:rsid w:val="003C5337"/>
    <w:rsid w:val="003C5F92"/>
    <w:rsid w:val="003D2EA4"/>
    <w:rsid w:val="003D4ADF"/>
    <w:rsid w:val="003D5A0C"/>
    <w:rsid w:val="003D6CD8"/>
    <w:rsid w:val="003D7A8C"/>
    <w:rsid w:val="003D7C00"/>
    <w:rsid w:val="003E56E5"/>
    <w:rsid w:val="003E6974"/>
    <w:rsid w:val="003E7DD6"/>
    <w:rsid w:val="003E7E60"/>
    <w:rsid w:val="003F00D4"/>
    <w:rsid w:val="003F2209"/>
    <w:rsid w:val="003F3D39"/>
    <w:rsid w:val="003F646A"/>
    <w:rsid w:val="003F6761"/>
    <w:rsid w:val="003F6A0A"/>
    <w:rsid w:val="0040177C"/>
    <w:rsid w:val="004024F5"/>
    <w:rsid w:val="00402DE1"/>
    <w:rsid w:val="00403D8B"/>
    <w:rsid w:val="00403E69"/>
    <w:rsid w:val="004058F1"/>
    <w:rsid w:val="00407E7D"/>
    <w:rsid w:val="0041283D"/>
    <w:rsid w:val="00413AB4"/>
    <w:rsid w:val="00421373"/>
    <w:rsid w:val="00421FB7"/>
    <w:rsid w:val="0042763B"/>
    <w:rsid w:val="0043024C"/>
    <w:rsid w:val="004305D2"/>
    <w:rsid w:val="00431D71"/>
    <w:rsid w:val="00435714"/>
    <w:rsid w:val="00435CED"/>
    <w:rsid w:val="00436706"/>
    <w:rsid w:val="00437C68"/>
    <w:rsid w:val="00443D38"/>
    <w:rsid w:val="00444D44"/>
    <w:rsid w:val="0044654D"/>
    <w:rsid w:val="00450E7A"/>
    <w:rsid w:val="0045133A"/>
    <w:rsid w:val="00455CAC"/>
    <w:rsid w:val="004560C7"/>
    <w:rsid w:val="0045683E"/>
    <w:rsid w:val="00456AF8"/>
    <w:rsid w:val="00465651"/>
    <w:rsid w:val="004702F7"/>
    <w:rsid w:val="00470B15"/>
    <w:rsid w:val="004715A0"/>
    <w:rsid w:val="00475869"/>
    <w:rsid w:val="00475A77"/>
    <w:rsid w:val="00482785"/>
    <w:rsid w:val="004844D9"/>
    <w:rsid w:val="004866A9"/>
    <w:rsid w:val="0048754F"/>
    <w:rsid w:val="00491333"/>
    <w:rsid w:val="00491EFD"/>
    <w:rsid w:val="004925E4"/>
    <w:rsid w:val="00492774"/>
    <w:rsid w:val="0049428A"/>
    <w:rsid w:val="00496D7A"/>
    <w:rsid w:val="00497007"/>
    <w:rsid w:val="00497F46"/>
    <w:rsid w:val="004A05D0"/>
    <w:rsid w:val="004A192E"/>
    <w:rsid w:val="004A1F70"/>
    <w:rsid w:val="004A2587"/>
    <w:rsid w:val="004A31BC"/>
    <w:rsid w:val="004A3382"/>
    <w:rsid w:val="004A3F1A"/>
    <w:rsid w:val="004A3F45"/>
    <w:rsid w:val="004A4AE9"/>
    <w:rsid w:val="004A5149"/>
    <w:rsid w:val="004A5738"/>
    <w:rsid w:val="004A6499"/>
    <w:rsid w:val="004B02B6"/>
    <w:rsid w:val="004B1AFA"/>
    <w:rsid w:val="004B3C49"/>
    <w:rsid w:val="004B7088"/>
    <w:rsid w:val="004C185A"/>
    <w:rsid w:val="004C271F"/>
    <w:rsid w:val="004C4C37"/>
    <w:rsid w:val="004C4D12"/>
    <w:rsid w:val="004C5B76"/>
    <w:rsid w:val="004D02CD"/>
    <w:rsid w:val="004D054D"/>
    <w:rsid w:val="004D0B24"/>
    <w:rsid w:val="004D3E3E"/>
    <w:rsid w:val="004D4B90"/>
    <w:rsid w:val="004D6B95"/>
    <w:rsid w:val="004D7F41"/>
    <w:rsid w:val="004E03A2"/>
    <w:rsid w:val="004E09E1"/>
    <w:rsid w:val="004E1B0A"/>
    <w:rsid w:val="004E317E"/>
    <w:rsid w:val="004E3954"/>
    <w:rsid w:val="004E5856"/>
    <w:rsid w:val="004E682C"/>
    <w:rsid w:val="004E70C5"/>
    <w:rsid w:val="004F18AC"/>
    <w:rsid w:val="004F2330"/>
    <w:rsid w:val="004F44CE"/>
    <w:rsid w:val="004F53C6"/>
    <w:rsid w:val="004F55C6"/>
    <w:rsid w:val="004F69DB"/>
    <w:rsid w:val="004F6B87"/>
    <w:rsid w:val="00501C2D"/>
    <w:rsid w:val="00502637"/>
    <w:rsid w:val="005045EF"/>
    <w:rsid w:val="00504DFB"/>
    <w:rsid w:val="00511140"/>
    <w:rsid w:val="00513CFE"/>
    <w:rsid w:val="00514340"/>
    <w:rsid w:val="00523B6A"/>
    <w:rsid w:val="00525F6C"/>
    <w:rsid w:val="00530185"/>
    <w:rsid w:val="00531E72"/>
    <w:rsid w:val="00535553"/>
    <w:rsid w:val="00537D0F"/>
    <w:rsid w:val="005437EA"/>
    <w:rsid w:val="0054424C"/>
    <w:rsid w:val="005468C3"/>
    <w:rsid w:val="00546AB4"/>
    <w:rsid w:val="0055117C"/>
    <w:rsid w:val="005514E5"/>
    <w:rsid w:val="00563C84"/>
    <w:rsid w:val="00567457"/>
    <w:rsid w:val="00575499"/>
    <w:rsid w:val="005762F6"/>
    <w:rsid w:val="005804F2"/>
    <w:rsid w:val="00581200"/>
    <w:rsid w:val="0058227D"/>
    <w:rsid w:val="005844D9"/>
    <w:rsid w:val="00584FBE"/>
    <w:rsid w:val="00585483"/>
    <w:rsid w:val="00587378"/>
    <w:rsid w:val="00587C05"/>
    <w:rsid w:val="00590AAB"/>
    <w:rsid w:val="005917F9"/>
    <w:rsid w:val="0059350E"/>
    <w:rsid w:val="005938C3"/>
    <w:rsid w:val="0059468C"/>
    <w:rsid w:val="00595125"/>
    <w:rsid w:val="00596F21"/>
    <w:rsid w:val="005A1BFC"/>
    <w:rsid w:val="005A1FDE"/>
    <w:rsid w:val="005A3BFC"/>
    <w:rsid w:val="005B0AC0"/>
    <w:rsid w:val="005B1CDD"/>
    <w:rsid w:val="005B1E19"/>
    <w:rsid w:val="005B55FC"/>
    <w:rsid w:val="005B795C"/>
    <w:rsid w:val="005C2D5E"/>
    <w:rsid w:val="005C339B"/>
    <w:rsid w:val="005C3B81"/>
    <w:rsid w:val="005C59E4"/>
    <w:rsid w:val="005C650C"/>
    <w:rsid w:val="005D055F"/>
    <w:rsid w:val="005D086C"/>
    <w:rsid w:val="005D11D3"/>
    <w:rsid w:val="005D13F3"/>
    <w:rsid w:val="005D1786"/>
    <w:rsid w:val="005D2E71"/>
    <w:rsid w:val="005D4E1F"/>
    <w:rsid w:val="005D4FB3"/>
    <w:rsid w:val="005D6837"/>
    <w:rsid w:val="005E2BAA"/>
    <w:rsid w:val="005E2F07"/>
    <w:rsid w:val="005E2FEA"/>
    <w:rsid w:val="005E372F"/>
    <w:rsid w:val="005E4D07"/>
    <w:rsid w:val="005E6184"/>
    <w:rsid w:val="005F119F"/>
    <w:rsid w:val="005F314B"/>
    <w:rsid w:val="005F55DF"/>
    <w:rsid w:val="0060582E"/>
    <w:rsid w:val="006101D2"/>
    <w:rsid w:val="00611AF2"/>
    <w:rsid w:val="0061212B"/>
    <w:rsid w:val="006127AF"/>
    <w:rsid w:val="00613A98"/>
    <w:rsid w:val="00615FB2"/>
    <w:rsid w:val="0061712D"/>
    <w:rsid w:val="00617BD1"/>
    <w:rsid w:val="00617CE8"/>
    <w:rsid w:val="00620142"/>
    <w:rsid w:val="00620F1A"/>
    <w:rsid w:val="00623543"/>
    <w:rsid w:val="006278A0"/>
    <w:rsid w:val="006300A2"/>
    <w:rsid w:val="0063095F"/>
    <w:rsid w:val="00631CBD"/>
    <w:rsid w:val="00634A8D"/>
    <w:rsid w:val="0063704F"/>
    <w:rsid w:val="0063799F"/>
    <w:rsid w:val="00646AC2"/>
    <w:rsid w:val="00647257"/>
    <w:rsid w:val="00650390"/>
    <w:rsid w:val="006509AE"/>
    <w:rsid w:val="00654C62"/>
    <w:rsid w:val="00654DAB"/>
    <w:rsid w:val="00655517"/>
    <w:rsid w:val="00657073"/>
    <w:rsid w:val="006579DF"/>
    <w:rsid w:val="00657D81"/>
    <w:rsid w:val="0066204A"/>
    <w:rsid w:val="006627E9"/>
    <w:rsid w:val="006664B6"/>
    <w:rsid w:val="006665F1"/>
    <w:rsid w:val="00670E3C"/>
    <w:rsid w:val="0067400D"/>
    <w:rsid w:val="00674883"/>
    <w:rsid w:val="00674E0E"/>
    <w:rsid w:val="00677F57"/>
    <w:rsid w:val="00681088"/>
    <w:rsid w:val="00681BC4"/>
    <w:rsid w:val="006853B3"/>
    <w:rsid w:val="00692AB1"/>
    <w:rsid w:val="0069344F"/>
    <w:rsid w:val="0069577E"/>
    <w:rsid w:val="0069634B"/>
    <w:rsid w:val="00696623"/>
    <w:rsid w:val="006A04E9"/>
    <w:rsid w:val="006A3CB2"/>
    <w:rsid w:val="006A4A03"/>
    <w:rsid w:val="006A56B8"/>
    <w:rsid w:val="006A7312"/>
    <w:rsid w:val="006A7543"/>
    <w:rsid w:val="006B0AF8"/>
    <w:rsid w:val="006B2547"/>
    <w:rsid w:val="006B44E3"/>
    <w:rsid w:val="006B725C"/>
    <w:rsid w:val="006C273D"/>
    <w:rsid w:val="006C47BA"/>
    <w:rsid w:val="006C5A38"/>
    <w:rsid w:val="006C5C4F"/>
    <w:rsid w:val="006C6282"/>
    <w:rsid w:val="006C66A2"/>
    <w:rsid w:val="006C762A"/>
    <w:rsid w:val="006D5DC6"/>
    <w:rsid w:val="006D5FF9"/>
    <w:rsid w:val="006E0772"/>
    <w:rsid w:val="006E0F86"/>
    <w:rsid w:val="006E20D5"/>
    <w:rsid w:val="006E4334"/>
    <w:rsid w:val="006E63A8"/>
    <w:rsid w:val="006E64D9"/>
    <w:rsid w:val="006E72D4"/>
    <w:rsid w:val="006F0144"/>
    <w:rsid w:val="006F0B15"/>
    <w:rsid w:val="006F0DCC"/>
    <w:rsid w:val="006F2879"/>
    <w:rsid w:val="006F458F"/>
    <w:rsid w:val="006F605C"/>
    <w:rsid w:val="007034EA"/>
    <w:rsid w:val="00703DF9"/>
    <w:rsid w:val="007048EB"/>
    <w:rsid w:val="00704FBB"/>
    <w:rsid w:val="0070726A"/>
    <w:rsid w:val="007079F1"/>
    <w:rsid w:val="00712243"/>
    <w:rsid w:val="0071226B"/>
    <w:rsid w:val="00715ECA"/>
    <w:rsid w:val="00717040"/>
    <w:rsid w:val="0072371C"/>
    <w:rsid w:val="00725D90"/>
    <w:rsid w:val="00727F3C"/>
    <w:rsid w:val="007312AF"/>
    <w:rsid w:val="00732B17"/>
    <w:rsid w:val="00733834"/>
    <w:rsid w:val="00737D31"/>
    <w:rsid w:val="0074046F"/>
    <w:rsid w:val="00755EB4"/>
    <w:rsid w:val="0076204A"/>
    <w:rsid w:val="007622A7"/>
    <w:rsid w:val="00762303"/>
    <w:rsid w:val="00763190"/>
    <w:rsid w:val="00763BEF"/>
    <w:rsid w:val="007750A2"/>
    <w:rsid w:val="00775E24"/>
    <w:rsid w:val="00780204"/>
    <w:rsid w:val="007817D6"/>
    <w:rsid w:val="00781935"/>
    <w:rsid w:val="00781996"/>
    <w:rsid w:val="00781E1C"/>
    <w:rsid w:val="0078359A"/>
    <w:rsid w:val="00787322"/>
    <w:rsid w:val="00787912"/>
    <w:rsid w:val="0079177A"/>
    <w:rsid w:val="0079365E"/>
    <w:rsid w:val="007942C2"/>
    <w:rsid w:val="00794836"/>
    <w:rsid w:val="007948D5"/>
    <w:rsid w:val="00796AE1"/>
    <w:rsid w:val="007A15C9"/>
    <w:rsid w:val="007A1E63"/>
    <w:rsid w:val="007A453D"/>
    <w:rsid w:val="007A6676"/>
    <w:rsid w:val="007B1684"/>
    <w:rsid w:val="007B24AE"/>
    <w:rsid w:val="007B45FC"/>
    <w:rsid w:val="007B5315"/>
    <w:rsid w:val="007B5380"/>
    <w:rsid w:val="007B6582"/>
    <w:rsid w:val="007B7FF5"/>
    <w:rsid w:val="007C2DAF"/>
    <w:rsid w:val="007C3FC6"/>
    <w:rsid w:val="007D2CE9"/>
    <w:rsid w:val="007D4FED"/>
    <w:rsid w:val="007D54C2"/>
    <w:rsid w:val="007D6125"/>
    <w:rsid w:val="007D69DA"/>
    <w:rsid w:val="007D70B1"/>
    <w:rsid w:val="007D7140"/>
    <w:rsid w:val="007E1CDB"/>
    <w:rsid w:val="007E408C"/>
    <w:rsid w:val="007E4F8F"/>
    <w:rsid w:val="007E50BF"/>
    <w:rsid w:val="007E6B75"/>
    <w:rsid w:val="007E7DE7"/>
    <w:rsid w:val="007E7E21"/>
    <w:rsid w:val="007F0460"/>
    <w:rsid w:val="007F0DA2"/>
    <w:rsid w:val="007F1BC8"/>
    <w:rsid w:val="007F39CE"/>
    <w:rsid w:val="007F3C92"/>
    <w:rsid w:val="007F573A"/>
    <w:rsid w:val="007F5E0D"/>
    <w:rsid w:val="00800BC8"/>
    <w:rsid w:val="00801085"/>
    <w:rsid w:val="00801A89"/>
    <w:rsid w:val="00804457"/>
    <w:rsid w:val="00805EE4"/>
    <w:rsid w:val="008105C7"/>
    <w:rsid w:val="0081150F"/>
    <w:rsid w:val="00812061"/>
    <w:rsid w:val="00812138"/>
    <w:rsid w:val="00812810"/>
    <w:rsid w:val="00813D3B"/>
    <w:rsid w:val="008151F2"/>
    <w:rsid w:val="00815962"/>
    <w:rsid w:val="00815C36"/>
    <w:rsid w:val="00816A60"/>
    <w:rsid w:val="0081777A"/>
    <w:rsid w:val="008210E0"/>
    <w:rsid w:val="008238B5"/>
    <w:rsid w:val="00824079"/>
    <w:rsid w:val="008247FE"/>
    <w:rsid w:val="00825830"/>
    <w:rsid w:val="008263A8"/>
    <w:rsid w:val="00826DCE"/>
    <w:rsid w:val="00827461"/>
    <w:rsid w:val="00827FBC"/>
    <w:rsid w:val="00831F0A"/>
    <w:rsid w:val="00833A78"/>
    <w:rsid w:val="00834F90"/>
    <w:rsid w:val="00841E46"/>
    <w:rsid w:val="008443DB"/>
    <w:rsid w:val="00844C02"/>
    <w:rsid w:val="0084585F"/>
    <w:rsid w:val="00845AB4"/>
    <w:rsid w:val="00847C89"/>
    <w:rsid w:val="00852E5B"/>
    <w:rsid w:val="008531EA"/>
    <w:rsid w:val="00853811"/>
    <w:rsid w:val="00853E53"/>
    <w:rsid w:val="00853FB2"/>
    <w:rsid w:val="0085535C"/>
    <w:rsid w:val="0086114E"/>
    <w:rsid w:val="00862CB5"/>
    <w:rsid w:val="00862EAF"/>
    <w:rsid w:val="00864D76"/>
    <w:rsid w:val="008656C9"/>
    <w:rsid w:val="00865F68"/>
    <w:rsid w:val="0086711C"/>
    <w:rsid w:val="00867535"/>
    <w:rsid w:val="008679F6"/>
    <w:rsid w:val="00875C5B"/>
    <w:rsid w:val="00883A10"/>
    <w:rsid w:val="00883C5F"/>
    <w:rsid w:val="00885B35"/>
    <w:rsid w:val="00891C7D"/>
    <w:rsid w:val="00892900"/>
    <w:rsid w:val="00892FA7"/>
    <w:rsid w:val="00893B89"/>
    <w:rsid w:val="008973E1"/>
    <w:rsid w:val="008A0566"/>
    <w:rsid w:val="008A0ED1"/>
    <w:rsid w:val="008A3301"/>
    <w:rsid w:val="008A4DF1"/>
    <w:rsid w:val="008A5636"/>
    <w:rsid w:val="008A5796"/>
    <w:rsid w:val="008A5E66"/>
    <w:rsid w:val="008B0D54"/>
    <w:rsid w:val="008B125E"/>
    <w:rsid w:val="008B241C"/>
    <w:rsid w:val="008B408B"/>
    <w:rsid w:val="008B4F11"/>
    <w:rsid w:val="008C2362"/>
    <w:rsid w:val="008C3049"/>
    <w:rsid w:val="008C74D9"/>
    <w:rsid w:val="008D4408"/>
    <w:rsid w:val="008D4938"/>
    <w:rsid w:val="008D4AE9"/>
    <w:rsid w:val="008D5384"/>
    <w:rsid w:val="008D5CF3"/>
    <w:rsid w:val="008D77C5"/>
    <w:rsid w:val="008D7D39"/>
    <w:rsid w:val="008E3C0F"/>
    <w:rsid w:val="008E4574"/>
    <w:rsid w:val="008E79C9"/>
    <w:rsid w:val="008F01B2"/>
    <w:rsid w:val="008F393C"/>
    <w:rsid w:val="008F4016"/>
    <w:rsid w:val="008F42FE"/>
    <w:rsid w:val="008F4A00"/>
    <w:rsid w:val="008F5402"/>
    <w:rsid w:val="008F61DE"/>
    <w:rsid w:val="008F639F"/>
    <w:rsid w:val="0090053A"/>
    <w:rsid w:val="00901C2A"/>
    <w:rsid w:val="0090537C"/>
    <w:rsid w:val="00905B78"/>
    <w:rsid w:val="009068E1"/>
    <w:rsid w:val="009118C7"/>
    <w:rsid w:val="00911EB1"/>
    <w:rsid w:val="009144E7"/>
    <w:rsid w:val="0091506B"/>
    <w:rsid w:val="00915D25"/>
    <w:rsid w:val="00917393"/>
    <w:rsid w:val="009175F7"/>
    <w:rsid w:val="009225B6"/>
    <w:rsid w:val="00922F75"/>
    <w:rsid w:val="00924D60"/>
    <w:rsid w:val="00925397"/>
    <w:rsid w:val="0093210D"/>
    <w:rsid w:val="00932643"/>
    <w:rsid w:val="00933A21"/>
    <w:rsid w:val="00934C10"/>
    <w:rsid w:val="0093662A"/>
    <w:rsid w:val="0094060C"/>
    <w:rsid w:val="00942C4B"/>
    <w:rsid w:val="00944196"/>
    <w:rsid w:val="009455DA"/>
    <w:rsid w:val="00951D5A"/>
    <w:rsid w:val="00954FD7"/>
    <w:rsid w:val="00956F91"/>
    <w:rsid w:val="009606A5"/>
    <w:rsid w:val="00961E7E"/>
    <w:rsid w:val="00962F1F"/>
    <w:rsid w:val="00963F69"/>
    <w:rsid w:val="00965304"/>
    <w:rsid w:val="00971293"/>
    <w:rsid w:val="00973603"/>
    <w:rsid w:val="00973A3B"/>
    <w:rsid w:val="00973E4E"/>
    <w:rsid w:val="009811E7"/>
    <w:rsid w:val="00983EAE"/>
    <w:rsid w:val="00986874"/>
    <w:rsid w:val="0098750E"/>
    <w:rsid w:val="0098760B"/>
    <w:rsid w:val="00992D2E"/>
    <w:rsid w:val="009954E8"/>
    <w:rsid w:val="009A06F8"/>
    <w:rsid w:val="009A073A"/>
    <w:rsid w:val="009A11DD"/>
    <w:rsid w:val="009A133A"/>
    <w:rsid w:val="009A464D"/>
    <w:rsid w:val="009A4727"/>
    <w:rsid w:val="009B1168"/>
    <w:rsid w:val="009B17EE"/>
    <w:rsid w:val="009B2050"/>
    <w:rsid w:val="009B30AA"/>
    <w:rsid w:val="009B5217"/>
    <w:rsid w:val="009B6596"/>
    <w:rsid w:val="009C1085"/>
    <w:rsid w:val="009C48DE"/>
    <w:rsid w:val="009C515B"/>
    <w:rsid w:val="009C53C0"/>
    <w:rsid w:val="009C5DFD"/>
    <w:rsid w:val="009C7059"/>
    <w:rsid w:val="009C708A"/>
    <w:rsid w:val="009C742B"/>
    <w:rsid w:val="009D517C"/>
    <w:rsid w:val="009D60D9"/>
    <w:rsid w:val="009E1E1E"/>
    <w:rsid w:val="009E33E3"/>
    <w:rsid w:val="009E5A98"/>
    <w:rsid w:val="009E7F16"/>
    <w:rsid w:val="009F0C40"/>
    <w:rsid w:val="009F0E62"/>
    <w:rsid w:val="009F1E65"/>
    <w:rsid w:val="009F27F8"/>
    <w:rsid w:val="009F2FAA"/>
    <w:rsid w:val="009F3BB5"/>
    <w:rsid w:val="009F5052"/>
    <w:rsid w:val="00A03083"/>
    <w:rsid w:val="00A032FF"/>
    <w:rsid w:val="00A04C85"/>
    <w:rsid w:val="00A100F0"/>
    <w:rsid w:val="00A12962"/>
    <w:rsid w:val="00A13002"/>
    <w:rsid w:val="00A13D6A"/>
    <w:rsid w:val="00A156E6"/>
    <w:rsid w:val="00A16977"/>
    <w:rsid w:val="00A177C5"/>
    <w:rsid w:val="00A2285E"/>
    <w:rsid w:val="00A22FE8"/>
    <w:rsid w:val="00A2548D"/>
    <w:rsid w:val="00A254EE"/>
    <w:rsid w:val="00A27D86"/>
    <w:rsid w:val="00A30A3D"/>
    <w:rsid w:val="00A32F89"/>
    <w:rsid w:val="00A33151"/>
    <w:rsid w:val="00A35CEF"/>
    <w:rsid w:val="00A36970"/>
    <w:rsid w:val="00A41EB4"/>
    <w:rsid w:val="00A44BFF"/>
    <w:rsid w:val="00A47A99"/>
    <w:rsid w:val="00A501E3"/>
    <w:rsid w:val="00A50F0C"/>
    <w:rsid w:val="00A5535A"/>
    <w:rsid w:val="00A56441"/>
    <w:rsid w:val="00A70381"/>
    <w:rsid w:val="00A72F6F"/>
    <w:rsid w:val="00A736DD"/>
    <w:rsid w:val="00A82869"/>
    <w:rsid w:val="00A83F1A"/>
    <w:rsid w:val="00A849CE"/>
    <w:rsid w:val="00A85FB2"/>
    <w:rsid w:val="00A86C36"/>
    <w:rsid w:val="00A874C8"/>
    <w:rsid w:val="00A8758C"/>
    <w:rsid w:val="00A87883"/>
    <w:rsid w:val="00A92147"/>
    <w:rsid w:val="00A93EB7"/>
    <w:rsid w:val="00A95569"/>
    <w:rsid w:val="00AA127E"/>
    <w:rsid w:val="00AA19AE"/>
    <w:rsid w:val="00AA423D"/>
    <w:rsid w:val="00AA6A95"/>
    <w:rsid w:val="00AB01A4"/>
    <w:rsid w:val="00AB10DE"/>
    <w:rsid w:val="00AB28B8"/>
    <w:rsid w:val="00AB358A"/>
    <w:rsid w:val="00AB3668"/>
    <w:rsid w:val="00AB5CBE"/>
    <w:rsid w:val="00AB5ED7"/>
    <w:rsid w:val="00AC0B4C"/>
    <w:rsid w:val="00AC2E4E"/>
    <w:rsid w:val="00AC3019"/>
    <w:rsid w:val="00AC3857"/>
    <w:rsid w:val="00AC76F4"/>
    <w:rsid w:val="00AD0AEE"/>
    <w:rsid w:val="00AD1965"/>
    <w:rsid w:val="00AD3606"/>
    <w:rsid w:val="00AD49E3"/>
    <w:rsid w:val="00AD4B4F"/>
    <w:rsid w:val="00AE4B57"/>
    <w:rsid w:val="00AE7514"/>
    <w:rsid w:val="00AF0616"/>
    <w:rsid w:val="00AF0E28"/>
    <w:rsid w:val="00AF6F9B"/>
    <w:rsid w:val="00B01409"/>
    <w:rsid w:val="00B02770"/>
    <w:rsid w:val="00B10DBD"/>
    <w:rsid w:val="00B15629"/>
    <w:rsid w:val="00B161FA"/>
    <w:rsid w:val="00B2372C"/>
    <w:rsid w:val="00B23D8B"/>
    <w:rsid w:val="00B32F70"/>
    <w:rsid w:val="00B373D0"/>
    <w:rsid w:val="00B424BC"/>
    <w:rsid w:val="00B43AAA"/>
    <w:rsid w:val="00B440D5"/>
    <w:rsid w:val="00B457A8"/>
    <w:rsid w:val="00B46138"/>
    <w:rsid w:val="00B46666"/>
    <w:rsid w:val="00B518D2"/>
    <w:rsid w:val="00B51D3B"/>
    <w:rsid w:val="00B53139"/>
    <w:rsid w:val="00B562CE"/>
    <w:rsid w:val="00B610C8"/>
    <w:rsid w:val="00B62DE2"/>
    <w:rsid w:val="00B62FE3"/>
    <w:rsid w:val="00B70B00"/>
    <w:rsid w:val="00B74417"/>
    <w:rsid w:val="00B77246"/>
    <w:rsid w:val="00B85FBA"/>
    <w:rsid w:val="00B866CD"/>
    <w:rsid w:val="00B914BC"/>
    <w:rsid w:val="00B93034"/>
    <w:rsid w:val="00B93A81"/>
    <w:rsid w:val="00B97C5D"/>
    <w:rsid w:val="00BA1290"/>
    <w:rsid w:val="00BA6920"/>
    <w:rsid w:val="00BA7DF0"/>
    <w:rsid w:val="00BB2792"/>
    <w:rsid w:val="00BB40E2"/>
    <w:rsid w:val="00BB5715"/>
    <w:rsid w:val="00BB76BF"/>
    <w:rsid w:val="00BC09F0"/>
    <w:rsid w:val="00BC1AD1"/>
    <w:rsid w:val="00BC1D82"/>
    <w:rsid w:val="00BC2C48"/>
    <w:rsid w:val="00BC4A58"/>
    <w:rsid w:val="00BC613B"/>
    <w:rsid w:val="00BD51D9"/>
    <w:rsid w:val="00BD64E2"/>
    <w:rsid w:val="00BD762D"/>
    <w:rsid w:val="00BE4995"/>
    <w:rsid w:val="00BE5DAD"/>
    <w:rsid w:val="00BF2254"/>
    <w:rsid w:val="00BF429A"/>
    <w:rsid w:val="00BF5977"/>
    <w:rsid w:val="00BF62BE"/>
    <w:rsid w:val="00C00AC6"/>
    <w:rsid w:val="00C021D1"/>
    <w:rsid w:val="00C02C35"/>
    <w:rsid w:val="00C04264"/>
    <w:rsid w:val="00C0570F"/>
    <w:rsid w:val="00C06112"/>
    <w:rsid w:val="00C07126"/>
    <w:rsid w:val="00C07CB7"/>
    <w:rsid w:val="00C12A51"/>
    <w:rsid w:val="00C14DA2"/>
    <w:rsid w:val="00C16131"/>
    <w:rsid w:val="00C16853"/>
    <w:rsid w:val="00C17E32"/>
    <w:rsid w:val="00C17ED5"/>
    <w:rsid w:val="00C20A7F"/>
    <w:rsid w:val="00C243D5"/>
    <w:rsid w:val="00C25F13"/>
    <w:rsid w:val="00C263F0"/>
    <w:rsid w:val="00C339E9"/>
    <w:rsid w:val="00C33B18"/>
    <w:rsid w:val="00C33D41"/>
    <w:rsid w:val="00C34B2C"/>
    <w:rsid w:val="00C40AFD"/>
    <w:rsid w:val="00C41448"/>
    <w:rsid w:val="00C41E20"/>
    <w:rsid w:val="00C42E3E"/>
    <w:rsid w:val="00C47DDC"/>
    <w:rsid w:val="00C51C13"/>
    <w:rsid w:val="00C525A5"/>
    <w:rsid w:val="00C5300F"/>
    <w:rsid w:val="00C54594"/>
    <w:rsid w:val="00C6545F"/>
    <w:rsid w:val="00C66C36"/>
    <w:rsid w:val="00C66CE0"/>
    <w:rsid w:val="00C66ED0"/>
    <w:rsid w:val="00C71BED"/>
    <w:rsid w:val="00C737B2"/>
    <w:rsid w:val="00C7393E"/>
    <w:rsid w:val="00C75D58"/>
    <w:rsid w:val="00C803A2"/>
    <w:rsid w:val="00C81B53"/>
    <w:rsid w:val="00C8245A"/>
    <w:rsid w:val="00C82AD2"/>
    <w:rsid w:val="00C84DF9"/>
    <w:rsid w:val="00C90FB6"/>
    <w:rsid w:val="00C9220E"/>
    <w:rsid w:val="00C932BD"/>
    <w:rsid w:val="00C93429"/>
    <w:rsid w:val="00C946B7"/>
    <w:rsid w:val="00CA16C5"/>
    <w:rsid w:val="00CA3340"/>
    <w:rsid w:val="00CA415A"/>
    <w:rsid w:val="00CA6EDD"/>
    <w:rsid w:val="00CA7A35"/>
    <w:rsid w:val="00CA7AF0"/>
    <w:rsid w:val="00CB0073"/>
    <w:rsid w:val="00CB1536"/>
    <w:rsid w:val="00CB4F4C"/>
    <w:rsid w:val="00CB5487"/>
    <w:rsid w:val="00CB5BF2"/>
    <w:rsid w:val="00CB6739"/>
    <w:rsid w:val="00CB7FB8"/>
    <w:rsid w:val="00CC1F71"/>
    <w:rsid w:val="00CC5588"/>
    <w:rsid w:val="00CC5EB3"/>
    <w:rsid w:val="00CC6507"/>
    <w:rsid w:val="00CC7FD5"/>
    <w:rsid w:val="00CD0E7B"/>
    <w:rsid w:val="00CD2ABD"/>
    <w:rsid w:val="00CD4024"/>
    <w:rsid w:val="00CD4617"/>
    <w:rsid w:val="00CD4855"/>
    <w:rsid w:val="00CE1C99"/>
    <w:rsid w:val="00CE6D43"/>
    <w:rsid w:val="00CE7888"/>
    <w:rsid w:val="00CF20E6"/>
    <w:rsid w:val="00CF2D3B"/>
    <w:rsid w:val="00CF500B"/>
    <w:rsid w:val="00D01AC0"/>
    <w:rsid w:val="00D07A3E"/>
    <w:rsid w:val="00D07B8E"/>
    <w:rsid w:val="00D10E1C"/>
    <w:rsid w:val="00D12997"/>
    <w:rsid w:val="00D13748"/>
    <w:rsid w:val="00D161A3"/>
    <w:rsid w:val="00D17A7B"/>
    <w:rsid w:val="00D222F6"/>
    <w:rsid w:val="00D22E49"/>
    <w:rsid w:val="00D23716"/>
    <w:rsid w:val="00D25ED8"/>
    <w:rsid w:val="00D27F8F"/>
    <w:rsid w:val="00D316B8"/>
    <w:rsid w:val="00D31CFC"/>
    <w:rsid w:val="00D32474"/>
    <w:rsid w:val="00D3255D"/>
    <w:rsid w:val="00D340C3"/>
    <w:rsid w:val="00D35F00"/>
    <w:rsid w:val="00D409CD"/>
    <w:rsid w:val="00D423D4"/>
    <w:rsid w:val="00D42CAF"/>
    <w:rsid w:val="00D45BEE"/>
    <w:rsid w:val="00D465F9"/>
    <w:rsid w:val="00D469F5"/>
    <w:rsid w:val="00D50710"/>
    <w:rsid w:val="00D50DEF"/>
    <w:rsid w:val="00D52151"/>
    <w:rsid w:val="00D5310F"/>
    <w:rsid w:val="00D541AB"/>
    <w:rsid w:val="00D541C5"/>
    <w:rsid w:val="00D601EF"/>
    <w:rsid w:val="00D61533"/>
    <w:rsid w:val="00D6360A"/>
    <w:rsid w:val="00D63B2F"/>
    <w:rsid w:val="00D64997"/>
    <w:rsid w:val="00D70747"/>
    <w:rsid w:val="00D707E4"/>
    <w:rsid w:val="00D713FE"/>
    <w:rsid w:val="00D71C1C"/>
    <w:rsid w:val="00D7261D"/>
    <w:rsid w:val="00D755FC"/>
    <w:rsid w:val="00D76B6D"/>
    <w:rsid w:val="00D803A7"/>
    <w:rsid w:val="00D80481"/>
    <w:rsid w:val="00D832BE"/>
    <w:rsid w:val="00D84D07"/>
    <w:rsid w:val="00D8526A"/>
    <w:rsid w:val="00D90E91"/>
    <w:rsid w:val="00D96EDF"/>
    <w:rsid w:val="00DB23DA"/>
    <w:rsid w:val="00DB323F"/>
    <w:rsid w:val="00DB60E1"/>
    <w:rsid w:val="00DB65DE"/>
    <w:rsid w:val="00DC1347"/>
    <w:rsid w:val="00DC24B9"/>
    <w:rsid w:val="00DC2D94"/>
    <w:rsid w:val="00DC39F1"/>
    <w:rsid w:val="00DC7379"/>
    <w:rsid w:val="00DD63E5"/>
    <w:rsid w:val="00DD6987"/>
    <w:rsid w:val="00DE04E3"/>
    <w:rsid w:val="00DE4B35"/>
    <w:rsid w:val="00DE5150"/>
    <w:rsid w:val="00DE5374"/>
    <w:rsid w:val="00DE587A"/>
    <w:rsid w:val="00DE6D7B"/>
    <w:rsid w:val="00DF19C1"/>
    <w:rsid w:val="00DF54CA"/>
    <w:rsid w:val="00DF56C9"/>
    <w:rsid w:val="00DF5B64"/>
    <w:rsid w:val="00E01024"/>
    <w:rsid w:val="00E02794"/>
    <w:rsid w:val="00E043E3"/>
    <w:rsid w:val="00E0505B"/>
    <w:rsid w:val="00E11280"/>
    <w:rsid w:val="00E12359"/>
    <w:rsid w:val="00E149A5"/>
    <w:rsid w:val="00E14D40"/>
    <w:rsid w:val="00E152FF"/>
    <w:rsid w:val="00E15EC8"/>
    <w:rsid w:val="00E2461B"/>
    <w:rsid w:val="00E24886"/>
    <w:rsid w:val="00E2735A"/>
    <w:rsid w:val="00E276FB"/>
    <w:rsid w:val="00E27B82"/>
    <w:rsid w:val="00E32595"/>
    <w:rsid w:val="00E32DC6"/>
    <w:rsid w:val="00E33A74"/>
    <w:rsid w:val="00E34348"/>
    <w:rsid w:val="00E34E08"/>
    <w:rsid w:val="00E367DF"/>
    <w:rsid w:val="00E4030B"/>
    <w:rsid w:val="00E41D56"/>
    <w:rsid w:val="00E43A83"/>
    <w:rsid w:val="00E457DF"/>
    <w:rsid w:val="00E45F32"/>
    <w:rsid w:val="00E46642"/>
    <w:rsid w:val="00E5139A"/>
    <w:rsid w:val="00E5413D"/>
    <w:rsid w:val="00E561F8"/>
    <w:rsid w:val="00E57977"/>
    <w:rsid w:val="00E61E7C"/>
    <w:rsid w:val="00E635D7"/>
    <w:rsid w:val="00E64E71"/>
    <w:rsid w:val="00E663EF"/>
    <w:rsid w:val="00E70576"/>
    <w:rsid w:val="00E71709"/>
    <w:rsid w:val="00E71DED"/>
    <w:rsid w:val="00E7467D"/>
    <w:rsid w:val="00E77740"/>
    <w:rsid w:val="00E81DDF"/>
    <w:rsid w:val="00E82E01"/>
    <w:rsid w:val="00E83954"/>
    <w:rsid w:val="00E86506"/>
    <w:rsid w:val="00E9127D"/>
    <w:rsid w:val="00E91730"/>
    <w:rsid w:val="00E91943"/>
    <w:rsid w:val="00E957E4"/>
    <w:rsid w:val="00E96F04"/>
    <w:rsid w:val="00E97AEC"/>
    <w:rsid w:val="00EA20FE"/>
    <w:rsid w:val="00EB3A46"/>
    <w:rsid w:val="00EB491E"/>
    <w:rsid w:val="00EB681B"/>
    <w:rsid w:val="00EB76F6"/>
    <w:rsid w:val="00EC4FAD"/>
    <w:rsid w:val="00EC69F8"/>
    <w:rsid w:val="00EC6BAC"/>
    <w:rsid w:val="00EC6FF4"/>
    <w:rsid w:val="00ED0467"/>
    <w:rsid w:val="00ED1D5D"/>
    <w:rsid w:val="00ED58F8"/>
    <w:rsid w:val="00ED5CEF"/>
    <w:rsid w:val="00ED6990"/>
    <w:rsid w:val="00ED6B44"/>
    <w:rsid w:val="00ED7BFC"/>
    <w:rsid w:val="00EE3CFA"/>
    <w:rsid w:val="00EE3ED7"/>
    <w:rsid w:val="00EE3FFA"/>
    <w:rsid w:val="00EE69E4"/>
    <w:rsid w:val="00EF25C9"/>
    <w:rsid w:val="00EF2A7F"/>
    <w:rsid w:val="00EF7E90"/>
    <w:rsid w:val="00F002B6"/>
    <w:rsid w:val="00F01C9A"/>
    <w:rsid w:val="00F074B7"/>
    <w:rsid w:val="00F10AFE"/>
    <w:rsid w:val="00F114F3"/>
    <w:rsid w:val="00F11837"/>
    <w:rsid w:val="00F11C48"/>
    <w:rsid w:val="00F12B54"/>
    <w:rsid w:val="00F14A39"/>
    <w:rsid w:val="00F15587"/>
    <w:rsid w:val="00F15C6C"/>
    <w:rsid w:val="00F15F1A"/>
    <w:rsid w:val="00F166FB"/>
    <w:rsid w:val="00F17173"/>
    <w:rsid w:val="00F20987"/>
    <w:rsid w:val="00F224DC"/>
    <w:rsid w:val="00F232AF"/>
    <w:rsid w:val="00F23C36"/>
    <w:rsid w:val="00F2456B"/>
    <w:rsid w:val="00F26791"/>
    <w:rsid w:val="00F2687F"/>
    <w:rsid w:val="00F26A5E"/>
    <w:rsid w:val="00F27F29"/>
    <w:rsid w:val="00F301D6"/>
    <w:rsid w:val="00F32D54"/>
    <w:rsid w:val="00F32DA1"/>
    <w:rsid w:val="00F36215"/>
    <w:rsid w:val="00F36C54"/>
    <w:rsid w:val="00F37961"/>
    <w:rsid w:val="00F37B10"/>
    <w:rsid w:val="00F418EA"/>
    <w:rsid w:val="00F41A29"/>
    <w:rsid w:val="00F44C1C"/>
    <w:rsid w:val="00F45484"/>
    <w:rsid w:val="00F518DF"/>
    <w:rsid w:val="00F51FCF"/>
    <w:rsid w:val="00F544DB"/>
    <w:rsid w:val="00F55013"/>
    <w:rsid w:val="00F554E1"/>
    <w:rsid w:val="00F60382"/>
    <w:rsid w:val="00F618D4"/>
    <w:rsid w:val="00F6432D"/>
    <w:rsid w:val="00F648EA"/>
    <w:rsid w:val="00F6502E"/>
    <w:rsid w:val="00F65663"/>
    <w:rsid w:val="00F70D43"/>
    <w:rsid w:val="00F75147"/>
    <w:rsid w:val="00F756C0"/>
    <w:rsid w:val="00F75A40"/>
    <w:rsid w:val="00F7645F"/>
    <w:rsid w:val="00F77637"/>
    <w:rsid w:val="00F8435D"/>
    <w:rsid w:val="00F84B46"/>
    <w:rsid w:val="00F85CB3"/>
    <w:rsid w:val="00F85E82"/>
    <w:rsid w:val="00F862E5"/>
    <w:rsid w:val="00F87DD0"/>
    <w:rsid w:val="00F932B6"/>
    <w:rsid w:val="00F93360"/>
    <w:rsid w:val="00F93FE4"/>
    <w:rsid w:val="00F97E4E"/>
    <w:rsid w:val="00FA1A40"/>
    <w:rsid w:val="00FA217B"/>
    <w:rsid w:val="00FA251A"/>
    <w:rsid w:val="00FA47B1"/>
    <w:rsid w:val="00FA6018"/>
    <w:rsid w:val="00FB0BC5"/>
    <w:rsid w:val="00FB0BCC"/>
    <w:rsid w:val="00FB34B8"/>
    <w:rsid w:val="00FB3EDD"/>
    <w:rsid w:val="00FC0FE5"/>
    <w:rsid w:val="00FC1F5C"/>
    <w:rsid w:val="00FC2A6F"/>
    <w:rsid w:val="00FC6F0D"/>
    <w:rsid w:val="00FD0A20"/>
    <w:rsid w:val="00FD1ABC"/>
    <w:rsid w:val="00FD7DDF"/>
    <w:rsid w:val="00FE389E"/>
    <w:rsid w:val="00FE4C92"/>
    <w:rsid w:val="00FE5F60"/>
    <w:rsid w:val="00FF0FAA"/>
    <w:rsid w:val="00FF3759"/>
    <w:rsid w:val="00FF4396"/>
    <w:rsid w:val="00FF4A9D"/>
    <w:rsid w:val="03385EDC"/>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3BE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hr-HR" w:eastAsia="en-GB" w:bidi="en-GB"/>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4AE"/>
    <w:pPr>
      <w:spacing w:line="288" w:lineRule="auto"/>
      <w:jc w:val="both"/>
    </w:pPr>
    <w:rPr>
      <w:lang w:eastAsia="en-US" w:bidi="ar-SA"/>
    </w:rPr>
  </w:style>
  <w:style w:type="paragraph" w:styleId="Heading1">
    <w:name w:val="heading 1"/>
    <w:basedOn w:val="Normal"/>
    <w:next w:val="Normal"/>
    <w:link w:val="Heading1Char"/>
    <w:qFormat/>
    <w:rsid w:val="007B24AE"/>
    <w:pPr>
      <w:numPr>
        <w:numId w:val="1"/>
      </w:numPr>
      <w:ind w:left="567" w:hanging="567"/>
      <w:outlineLvl w:val="0"/>
    </w:pPr>
    <w:rPr>
      <w:kern w:val="28"/>
    </w:rPr>
  </w:style>
  <w:style w:type="paragraph" w:styleId="Heading2">
    <w:name w:val="heading 2"/>
    <w:basedOn w:val="Normal"/>
    <w:next w:val="Normal"/>
    <w:link w:val="Heading2Char"/>
    <w:qFormat/>
    <w:rsid w:val="007B24AE"/>
    <w:pPr>
      <w:numPr>
        <w:ilvl w:val="1"/>
        <w:numId w:val="1"/>
      </w:numPr>
      <w:ind w:left="567" w:hanging="567"/>
      <w:outlineLvl w:val="1"/>
    </w:pPr>
  </w:style>
  <w:style w:type="paragraph" w:styleId="Heading3">
    <w:name w:val="heading 3"/>
    <w:basedOn w:val="Normal"/>
    <w:next w:val="Normal"/>
    <w:link w:val="Heading3Char"/>
    <w:qFormat/>
    <w:rsid w:val="007B24AE"/>
    <w:pPr>
      <w:numPr>
        <w:ilvl w:val="2"/>
        <w:numId w:val="1"/>
      </w:numPr>
      <w:ind w:left="567" w:hanging="567"/>
      <w:outlineLvl w:val="2"/>
    </w:pPr>
  </w:style>
  <w:style w:type="paragraph" w:styleId="Heading4">
    <w:name w:val="heading 4"/>
    <w:basedOn w:val="Normal"/>
    <w:next w:val="Normal"/>
    <w:link w:val="Heading4Char"/>
    <w:qFormat/>
    <w:rsid w:val="007B24AE"/>
    <w:pPr>
      <w:numPr>
        <w:ilvl w:val="3"/>
        <w:numId w:val="1"/>
      </w:numPr>
      <w:ind w:left="567" w:hanging="567"/>
      <w:outlineLvl w:val="3"/>
    </w:pPr>
  </w:style>
  <w:style w:type="paragraph" w:styleId="Heading5">
    <w:name w:val="heading 5"/>
    <w:basedOn w:val="Normal"/>
    <w:next w:val="Normal"/>
    <w:link w:val="Heading5Char"/>
    <w:qFormat/>
    <w:rsid w:val="007B24AE"/>
    <w:pPr>
      <w:numPr>
        <w:ilvl w:val="4"/>
        <w:numId w:val="1"/>
      </w:numPr>
      <w:ind w:left="567" w:hanging="567"/>
      <w:outlineLvl w:val="4"/>
    </w:pPr>
  </w:style>
  <w:style w:type="paragraph" w:styleId="Heading6">
    <w:name w:val="heading 6"/>
    <w:basedOn w:val="Normal"/>
    <w:next w:val="Normal"/>
    <w:link w:val="Heading6Char"/>
    <w:qFormat/>
    <w:rsid w:val="007B24AE"/>
    <w:pPr>
      <w:numPr>
        <w:ilvl w:val="5"/>
        <w:numId w:val="1"/>
      </w:numPr>
      <w:ind w:left="567" w:hanging="567"/>
      <w:outlineLvl w:val="5"/>
    </w:pPr>
  </w:style>
  <w:style w:type="paragraph" w:styleId="Heading7">
    <w:name w:val="heading 7"/>
    <w:basedOn w:val="Normal"/>
    <w:next w:val="Normal"/>
    <w:link w:val="Heading7Char"/>
    <w:qFormat/>
    <w:rsid w:val="007B24AE"/>
    <w:pPr>
      <w:numPr>
        <w:ilvl w:val="6"/>
        <w:numId w:val="1"/>
      </w:numPr>
      <w:ind w:left="567" w:hanging="567"/>
      <w:outlineLvl w:val="6"/>
    </w:pPr>
  </w:style>
  <w:style w:type="paragraph" w:styleId="Heading8">
    <w:name w:val="heading 8"/>
    <w:basedOn w:val="Normal"/>
    <w:next w:val="Normal"/>
    <w:link w:val="Heading8Char"/>
    <w:qFormat/>
    <w:rsid w:val="007B24AE"/>
    <w:pPr>
      <w:numPr>
        <w:ilvl w:val="7"/>
        <w:numId w:val="1"/>
      </w:numPr>
      <w:ind w:left="567" w:hanging="567"/>
      <w:outlineLvl w:val="7"/>
    </w:pPr>
  </w:style>
  <w:style w:type="paragraph" w:styleId="Heading9">
    <w:name w:val="heading 9"/>
    <w:basedOn w:val="Normal"/>
    <w:next w:val="Normal"/>
    <w:link w:val="Heading9Char"/>
    <w:qFormat/>
    <w:rsid w:val="007B24AE"/>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1D40EE"/>
    <w:rPr>
      <w:kern w:val="28"/>
      <w:lang w:val="hr-HR" w:eastAsia="en-US" w:bidi="ar-SA"/>
    </w:rPr>
  </w:style>
  <w:style w:type="character" w:customStyle="1" w:styleId="Heading2Char">
    <w:name w:val="Heading 2 Char"/>
    <w:basedOn w:val="DefaultParagraphFont"/>
    <w:link w:val="Heading2"/>
    <w:locked/>
    <w:rsid w:val="001D40EE"/>
    <w:rPr>
      <w:lang w:val="hr-HR" w:eastAsia="en-US" w:bidi="ar-SA"/>
    </w:rPr>
  </w:style>
  <w:style w:type="character" w:customStyle="1" w:styleId="Heading3Char">
    <w:name w:val="Heading 3 Char"/>
    <w:basedOn w:val="DefaultParagraphFont"/>
    <w:link w:val="Heading3"/>
    <w:locked/>
    <w:rsid w:val="00CB1536"/>
    <w:rPr>
      <w:lang w:val="hr-HR" w:eastAsia="en-US" w:bidi="ar-SA"/>
    </w:rPr>
  </w:style>
  <w:style w:type="character" w:customStyle="1" w:styleId="Heading4Char">
    <w:name w:val="Heading 4 Char"/>
    <w:basedOn w:val="DefaultParagraphFont"/>
    <w:link w:val="Heading4"/>
    <w:locked/>
    <w:rsid w:val="00CB1536"/>
    <w:rPr>
      <w:lang w:val="hr-HR" w:eastAsia="en-US" w:bidi="ar-SA"/>
    </w:rPr>
  </w:style>
  <w:style w:type="character" w:customStyle="1" w:styleId="Heading5Char">
    <w:name w:val="Heading 5 Char"/>
    <w:basedOn w:val="DefaultParagraphFont"/>
    <w:link w:val="Heading5"/>
    <w:locked/>
    <w:rsid w:val="00CB1536"/>
    <w:rPr>
      <w:lang w:val="hr-HR" w:eastAsia="en-US" w:bidi="ar-SA"/>
    </w:rPr>
  </w:style>
  <w:style w:type="character" w:customStyle="1" w:styleId="Heading6Char">
    <w:name w:val="Heading 6 Char"/>
    <w:basedOn w:val="DefaultParagraphFont"/>
    <w:link w:val="Heading6"/>
    <w:locked/>
    <w:rsid w:val="00CB1536"/>
    <w:rPr>
      <w:lang w:val="hr-HR" w:eastAsia="en-US" w:bidi="ar-SA"/>
    </w:rPr>
  </w:style>
  <w:style w:type="character" w:customStyle="1" w:styleId="Heading7Char">
    <w:name w:val="Heading 7 Char"/>
    <w:basedOn w:val="DefaultParagraphFont"/>
    <w:link w:val="Heading7"/>
    <w:locked/>
    <w:rsid w:val="00CB1536"/>
    <w:rPr>
      <w:lang w:val="hr-HR" w:eastAsia="en-US" w:bidi="ar-SA"/>
    </w:rPr>
  </w:style>
  <w:style w:type="character" w:customStyle="1" w:styleId="Heading8Char">
    <w:name w:val="Heading 8 Char"/>
    <w:basedOn w:val="DefaultParagraphFont"/>
    <w:link w:val="Heading8"/>
    <w:locked/>
    <w:rsid w:val="00CB1536"/>
    <w:rPr>
      <w:lang w:val="hr-HR" w:eastAsia="en-US" w:bidi="ar-SA"/>
    </w:rPr>
  </w:style>
  <w:style w:type="character" w:customStyle="1" w:styleId="Heading9Char">
    <w:name w:val="Heading 9 Char"/>
    <w:basedOn w:val="DefaultParagraphFont"/>
    <w:link w:val="Heading9"/>
    <w:locked/>
    <w:rsid w:val="00CB1536"/>
    <w:rPr>
      <w:lang w:val="hr-HR" w:eastAsia="en-US" w:bidi="ar-SA"/>
    </w:rPr>
  </w:style>
  <w:style w:type="paragraph" w:styleId="Footer">
    <w:name w:val="footer"/>
    <w:basedOn w:val="Normal"/>
    <w:link w:val="FooterChar"/>
    <w:qFormat/>
    <w:rsid w:val="007B24AE"/>
  </w:style>
  <w:style w:type="character" w:customStyle="1" w:styleId="FooterChar">
    <w:name w:val="Footer Char"/>
    <w:basedOn w:val="DefaultParagraphFont"/>
    <w:link w:val="Footer"/>
    <w:locked/>
    <w:rsid w:val="00CB1536"/>
    <w:rPr>
      <w:lang w:val="hr-HR" w:eastAsia="en-US" w:bidi="ar-SA"/>
    </w:rPr>
  </w:style>
  <w:style w:type="paragraph" w:styleId="FootnoteText">
    <w:name w:val="footnote text"/>
    <w:basedOn w:val="Normal"/>
    <w:link w:val="FootnoteTextChar"/>
    <w:qFormat/>
    <w:rsid w:val="007B24AE"/>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hr-HR" w:eastAsia="en-US" w:bidi="ar-SA"/>
    </w:rPr>
  </w:style>
  <w:style w:type="paragraph" w:styleId="Header">
    <w:name w:val="header"/>
    <w:basedOn w:val="Normal"/>
    <w:link w:val="HeaderChar"/>
    <w:qFormat/>
    <w:rsid w:val="007B24AE"/>
  </w:style>
  <w:style w:type="character" w:customStyle="1" w:styleId="HeaderChar">
    <w:name w:val="Header Char"/>
    <w:basedOn w:val="DefaultParagraphFont"/>
    <w:link w:val="Header"/>
    <w:locked/>
    <w:rsid w:val="00CB1536"/>
    <w:rPr>
      <w:lang w:val="hr-HR"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7B24AE"/>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customStyle="1" w:styleId="quotes">
    <w:name w:val="quotes"/>
    <w:basedOn w:val="Normal"/>
    <w:next w:val="Normal"/>
    <w:rsid w:val="007B24AE"/>
    <w:pPr>
      <w:ind w:left="720"/>
    </w:pPr>
    <w:rPr>
      <w:i/>
    </w:rPr>
  </w:style>
  <w:style w:type="paragraph" w:styleId="ListParagraph">
    <w:name w:val="List Paragraph"/>
    <w:basedOn w:val="Normal"/>
    <w:uiPriority w:val="34"/>
    <w:qFormat/>
    <w:rsid w:val="00E45F32"/>
    <w:pPr>
      <w:overflowPunct w:val="0"/>
      <w:autoSpaceDE w:val="0"/>
      <w:autoSpaceDN w:val="0"/>
      <w:adjustRightInd w:val="0"/>
      <w:ind w:left="720"/>
      <w:contextualSpacing/>
      <w:textAlignment w:val="baseline"/>
    </w:pPr>
    <w:rPr>
      <w:szCs w:val="20"/>
    </w:rPr>
  </w:style>
  <w:style w:type="table" w:styleId="TableGrid">
    <w:name w:val="Table Grid"/>
    <w:basedOn w:val="TableNormal"/>
    <w:locked/>
    <w:rsid w:val="00BF2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dm-publicapi.eesc.europa.eu/v1/documents/com544-2025_part1_ext_FR.docx/content" TargetMode="External"/><Relationship Id="rId7" Type="http://schemas.openxmlformats.org/officeDocument/2006/relationships/settings" Target="settings.xml"/><Relationship Id="rId12" Type="http://schemas.openxmlformats.org/officeDocument/2006/relationships/hyperlink" Target="mailto:int@eesc.europa.eu" TargetMode="Externa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dm-publicapi.eesc.europa.eu/v1/documents/com543-2025_part1_ext_FR.docx/content"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sdgs.un.org/fr/goals"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law-tracker.europa.eu/procedure/2025_543?lang=fr"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commission.europa.eu/document/download/a0ecf3f6-a964-4e00-9cb3-4be28833b386_en?filename=MFF_HORIZON%20EUROPE_v12.pdf" TargetMode="Externa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A6WAAD5KZT2Q-235352946-10594</_dlc_DocId>
    <_dlc_DocIdUrl xmlns="1a33af13-4045-4f88-9d7b-618e30f79918">
      <Url>http://dm/eesc/2025/_layouts/15/DocIdRedir.aspx?ID=A6WAAD5KZT2Q-235352946-10594</Url>
      <Description>A6WAAD5KZT2Q-235352946-10594</Description>
    </_dlc_DocIdUrl>
    <Procedure xmlns="1a33af13-4045-4f88-9d7b-618e30f79918" xsi:nil="true"/>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2026-01-14T12:00:00+00:00</ProductionDate>
    <DocumentNumber xmlns="a3e83899-37aa-47c6-ba54-4ea80e9c17cf">2760</DocumentNumber>
    <FicheYear xmlns="1a33af13-4045-4f88-9d7b-618e30f79918" xsi:nil="true"/>
    <DossierNumber xmlns="1a33af13-4045-4f88-9d7b-618e30f79918">1102</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2026-01-21T12:00:00+00:00</MeetingDate>
    <TaxCatchAll xmlns="1a33af13-4045-4f88-9d7b-618e30f79918">
      <Value>67</Value>
      <Value>51</Value>
      <Value>50</Value>
      <Value>47</Value>
      <Value>46</Value>
      <Value>43</Value>
      <Value>42</Value>
      <Value>41</Value>
      <Value>40</Value>
      <Value>39</Value>
      <Value>37</Value>
      <Value>36</Value>
      <Value>35</Value>
      <Value>34</Value>
      <Value>33</Value>
      <Value>32</Value>
      <Value>31</Value>
      <Value>30</Value>
      <Value>29</Value>
      <Value>28</Value>
      <Value>27</Value>
      <Value>24</Value>
      <Value>23</Value>
      <Value>16</Value>
      <Value>15</Value>
      <Value>13</Value>
      <Value>12</Value>
      <Value>8</Value>
      <Value>5</Value>
      <Value>126</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2f555653-ed1a-4fe6-8362-9082d95989e5</TermId>
        </TermInfo>
      </Terms>
    </DocumentLanguage_0>
    <Rapporteur xmlns="1a33af13-4045-4f88-9d7b-618e30f79918"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 xsi:nil="true"/>
    <OriginalSender xmlns="1a33af13-4045-4f88-9d7b-618e30f79918">
      <UserInfo>
        <DisplayName>Vecko Stanko</DisplayName>
        <AccountId>1540</AccountId>
        <AccountType/>
      </UserInfo>
    </OriginalSender>
    <DocumentPart xmlns="1a33af13-4045-4f88-9d7b-618e30f79918">0</DocumentPart>
    <AdoptionDate xmlns="1a33af13-4045-4f88-9d7b-618e30f79918" xsi:nil="true"/>
    <RequestingService xmlns="1a33af13-4045-4f88-9d7b-618e30f79918">Marché unique, production, consommation</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OriginalLanguage_0>
    <MeetingNumber xmlns="a3e83899-37aa-47c6-ba54-4ea80e9c17cf"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INT</TermName>
          <TermId xmlns="http://schemas.microsoft.com/office/infopath/2007/PartnerControls">e1edfecb-ed43-427b-bb02-d45fe6645386</TermId>
        </TermInfo>
      </Terms>
    </DossierName_0>
    <DocumentVersion xmlns="1a33af13-4045-4f88-9d7b-618e30f79918">1</DocumentVersion>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977EF5-35A8-4D5E-99C1-7F123FCC7956}">
  <ds:schemaRefs>
    <ds:schemaRef ds:uri="http://schemas.microsoft.com/sharepoint/events"/>
  </ds:schemaRefs>
</ds:datastoreItem>
</file>

<file path=customXml/itemProps2.xml><?xml version="1.0" encoding="utf-8"?>
<ds:datastoreItem xmlns:ds="http://schemas.openxmlformats.org/officeDocument/2006/customXml" ds:itemID="{E2FB4621-FB97-4B0F-B84A-A9C19649928D}">
  <ds:schemaRefs>
    <ds:schemaRef ds:uri="http://schemas.microsoft.com/sharepoint/v3/contenttype/forms"/>
  </ds:schemaRefs>
</ds:datastoreItem>
</file>

<file path=customXml/itemProps3.xml><?xml version="1.0" encoding="utf-8"?>
<ds:datastoreItem xmlns:ds="http://schemas.openxmlformats.org/officeDocument/2006/customXml" ds:itemID="{350AB9E6-873A-4006-B8BF-CBB40DD43056}">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a3e83899-37aa-47c6-ba54-4ea80e9c17cf"/>
  </ds:schemaRefs>
</ds:datastoreItem>
</file>

<file path=customXml/itemProps4.xml><?xml version="1.0" encoding="utf-8"?>
<ds:datastoreItem xmlns:ds="http://schemas.openxmlformats.org/officeDocument/2006/customXml" ds:itemID="{81FD883E-7E58-4BBB-AAB4-D83C03FC09F6}"/>
</file>

<file path=docProps/app.xml><?xml version="1.0" encoding="utf-8"?>
<Properties xmlns="http://schemas.openxmlformats.org/officeDocument/2006/extended-properties" xmlns:vt="http://schemas.openxmlformats.org/officeDocument/2006/docPropsVTypes">
  <Template>Normal.dotm</Template>
  <TotalTime>0</TotalTime>
  <Pages>8</Pages>
  <Words>3353</Words>
  <Characters>19116</Characters>
  <Application>Microsoft Office Word</Application>
  <DocSecurity>0</DocSecurity>
  <Lines>159</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Horizon Europe</vt:lpstr>
      <vt:lpstr>Horizon Europe</vt:lpstr>
    </vt:vector>
  </TitlesOfParts>
  <Manager/>
  <Company/>
  <LinksUpToDate>false</LinksUpToDate>
  <CharactersWithSpaces>22425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Obzor Europa</dc:title>
  <dc:subject>Avis section</dc:subject>
  <dc:creator/>
  <cp:keywords>EESC-2025-02760-00-00-AS-TRA-FR</cp:keywords>
  <dc:description>Rapporteur: - LEFÈVRE Original language: - FR Date of document: - 09/01/2026 Date of meeting: - 21/01/2026 External documents: - COM(2025)543- final Administrator responsible: - MME VALANT Jana</dc:description>
  <cp:lastModifiedBy/>
  <cp:revision>1</cp:revision>
  <cp:lastPrinted>2025-12-11T08:30:00Z</cp:lastPrinted>
  <dcterms:created xsi:type="dcterms:W3CDTF">2026-01-14T08:27:00Z</dcterms:created>
  <dcterms:modified xsi:type="dcterms:W3CDTF">2026-01-14T08:40:00Z</dcterms:modified>
  <cp:category>INT/1102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14/01/2026, 09/01/2026, 16/12/2025, 12/12/2025, 04/11/2025, 14/10/2025, 17/05/2022, 04/11/2015, 27/10/2015, 19/10/2015, 09/10/2015, 05/10/2015, 05/10/2015, 26/08/2015, 26/08/2015, 25/08/2015</vt:lpwstr>
  </property>
  <property fmtid="{D5CDD505-2E9C-101B-9397-08002B2CF9AE}" pid="4" name="Pref_Time">
    <vt:lpwstr>09:23:45, 11:21:55, 16:18:48, 15:30:24, 17:14:02, 08:58:35, 12:59:17, 12:10:07, 14:44:02, 16:04:16, 14:09:30, 16:24:55, 16:04:02, 08:56:14, 07:27:56, 17:31:53</vt:lpwstr>
  </property>
  <property fmtid="{D5CDD505-2E9C-101B-9397-08002B2CF9AE}" pid="5" name="Pref_User">
    <vt:lpwstr>amett, jhvi, amett, amett, jhvi, pacup, enied, ssex, enied, amett, tvoc, mreg, mreg, amett, enied, ssex</vt:lpwstr>
  </property>
  <property fmtid="{D5CDD505-2E9C-101B-9397-08002B2CF9AE}" pid="6" name="Pref_FileName">
    <vt:lpwstr>EESC-2025-02760-00-01-AS-ORI.docx, EESC-2025-02760-00-00-AS-TRA-FR-CRR.docx, EESC-2025-02760-00-01-PA-ORI.docx, EESC-2025-02760-00-00-PA-ORI.docx, EESC-2025-02760-00-00-APA-ORI.docx, EESC-2025-02760-00-00-DT-ORI.docx, COR-EESC-2022-02586-00-00-ADMIN-ORI.d</vt:lpwstr>
  </property>
  <property fmtid="{D5CDD505-2E9C-101B-9397-08002B2CF9AE}" pid="7" name="ContentTypeId">
    <vt:lpwstr>0x010100EA97B91038054C99906057A708A1480A004B94E0CD93B68F4F96D67EEBEC8A7176</vt:lpwstr>
  </property>
  <property fmtid="{D5CDD505-2E9C-101B-9397-08002B2CF9AE}" pid="8" name="_dlc_DocIdItemGuid">
    <vt:lpwstr>53dab75e-930d-40a1-8eb9-baef3b8bdb09</vt:lpwstr>
  </property>
  <property fmtid="{D5CDD505-2E9C-101B-9397-08002B2CF9AE}" pid="9" name="Procedure">
    <vt:lpwstr>2025/0543(COD)</vt:lpwstr>
  </property>
  <property fmtid="{D5CDD505-2E9C-101B-9397-08002B2CF9AE}" pid="10" name="AvailableTranslations">
    <vt:lpwstr>27;#NL|55c6556c-b4f4-441d-9acf-c498d4f838bd;#30;#LT|a7ff5ce7-6123-4f68-865a-a57c31810414;#47;#BG|1a1b3951-7821-4e6a-85f5-5673fc08bd2c;#24;#PL|1e03da61-4678-4e07-b136-b5024ca9197b;#12;#FR|d2afafd3-4c81-4f60-8f52-ee33f2f54ff3;#41;#ET|ff6c3f4c-b02c-4c3c-ab07-2c37995a7a0a;#43;#GA|762d2456-c427-4ecb-b312-af3dad8e258c;#37;#HU|6b229040-c589-4408-b4c1-4285663d20a8;#46;#SK|46d9fce0-ef79-4f71-b89b-cd6aa82426b8;#33;#PT|50ccc04a-eadd-42ae-a0cb-acaf45f812ba;#23;#DE|f6b31e5a-26fa-4935-b661-318e46daf27e;#42;#EL|6d4f4d51-af9b-4650-94b4-4276bee85c91;#16;#ES|e7a6b05b-ae16-40c8-add9-68b64b03aeba;#39;#LV|46f7e311-5d9f-4663-b433-18aeccb7ace7;#5;#EN|f2175f21-25d7-44a3-96da-d6a61b075e1b;#28;#SV|c2ed69e7-a339-43d7-8f22-d93680a92aa0;#29;#CS|72f9705b-0217-4fd3-bea2-cbc7ed80e26e;#34;#IT|0774613c-01ed-4e5d-a25d-11d2388de825;#50;#HR|2f555653-ed1a-4fe6-8362-9082d95989e5;#32;#MT|7df99101-6854-4a26-b53a-b88c0da02c26;#40;#DA|5d49c027-8956-412b-aa16-e85a0f96ad0e;#35;#FI|87606a43-d45f-42d6-b8c9-e1a3457db5b7;#36;#RO|feb747a2-64cd-4299-af12-4833ddc30497;#31;#SL|98a412ae-eb01-49e9-ae3d-585a81724cfc</vt:lpwstr>
  </property>
  <property fmtid="{D5CDD505-2E9C-101B-9397-08002B2CF9AE}" pid="11" name="DocumentType_0">
    <vt:lpwstr>AS|c7a748eb-f6f2-4d9d-8b5a-af0cafebc224</vt:lpwstr>
  </property>
  <property fmtid="{D5CDD505-2E9C-101B-9397-08002B2CF9AE}" pid="12" name="DossierName_0">
    <vt:lpwstr>INT|e1edfecb-ed43-427b-bb02-d45fe6645386</vt:lpwstr>
  </property>
  <property fmtid="{D5CDD505-2E9C-101B-9397-08002B2CF9AE}" pid="13" name="DocumentSource_0">
    <vt:lpwstr>EESC|422833ec-8d7e-4e65-8e4e-8bed07ffb729</vt:lpwstr>
  </property>
  <property fmtid="{D5CDD505-2E9C-101B-9397-08002B2CF9AE}" pid="14" name="DocumentNumber">
    <vt:i4>2760</vt:i4>
  </property>
  <property fmtid="{D5CDD505-2E9C-101B-9397-08002B2CF9AE}" pid="15" name="FicheYear">
    <vt:i4>2025</vt:i4>
  </property>
  <property fmtid="{D5CDD505-2E9C-101B-9397-08002B2CF9AE}" pid="16" name="DocumentVersion">
    <vt:i4>1</vt:i4>
  </property>
  <property fmtid="{D5CDD505-2E9C-101B-9397-08002B2CF9AE}" pid="17" name="DossierNumber">
    <vt:i4>1102</vt:i4>
  </property>
  <property fmtid="{D5CDD505-2E9C-101B-9397-08002B2CF9AE}" pid="18" name="DocumentStatus">
    <vt:lpwstr>13;#TRA|150d2a88-1431-44e6-a8ca-0bb753ab8672</vt:lpwstr>
  </property>
  <property fmtid="{D5CDD505-2E9C-101B-9397-08002B2CF9AE}" pid="19" name="DossierName">
    <vt:lpwstr>51;#INT|e1edfecb-ed43-427b-bb02-d45fe6645386</vt:lpwstr>
  </property>
  <property fmtid="{D5CDD505-2E9C-101B-9397-08002B2CF9AE}" pid="20" name="RequestingService">
    <vt:lpwstr>Marché unique, production, consommation</vt:lpwstr>
  </property>
  <property fmtid="{D5CDD505-2E9C-101B-9397-08002B2CF9AE}" pid="21" name="Confidentiality">
    <vt:lpwstr>15;#Unrestricted|826e22d7-d029-4ec0-a450-0c28ff673572</vt:lpwstr>
  </property>
  <property fmtid="{D5CDD505-2E9C-101B-9397-08002B2CF9AE}" pid="22" name="MeetingName_0">
    <vt:lpwstr>SPL-CES|32d8cb1f-c9ec-4365-95c7-8385a18618ac</vt:lpwstr>
  </property>
  <property fmtid="{D5CDD505-2E9C-101B-9397-08002B2CF9AE}" pid="23" name="Confidentiality_0">
    <vt:lpwstr>Unrestricted|826e22d7-d029-4ec0-a450-0c28ff673572</vt:lpwstr>
  </property>
  <property fmtid="{D5CDD505-2E9C-101B-9397-08002B2CF9AE}" pid="24" name="OriginalLanguage">
    <vt:lpwstr>12;#FR|d2afafd3-4c81-4f60-8f52-ee33f2f54ff3</vt:lpwstr>
  </property>
  <property fmtid="{D5CDD505-2E9C-101B-9397-08002B2CF9AE}" pid="25" name="MeetingName">
    <vt:lpwstr>67;#SPL-CES|32d8cb1f-c9ec-4365-95c7-8385a18618ac</vt:lpwstr>
  </property>
  <property fmtid="{D5CDD505-2E9C-101B-9397-08002B2CF9AE}" pid="26" name="MeetingDate">
    <vt:filetime>2026-01-21T12:00:00Z</vt:filetime>
  </property>
  <property fmtid="{D5CDD505-2E9C-101B-9397-08002B2CF9AE}" pid="27" name="AvailableTranslations_0">
    <vt:lpwstr>FR|d2afafd3-4c81-4f60-8f52-ee33f2f54ff3</vt:lpwstr>
  </property>
  <property fmtid="{D5CDD505-2E9C-101B-9397-08002B2CF9AE}" pid="28" name="DocumentStatus_0">
    <vt:lpwstr>TRA|150d2a88-1431-44e6-a8ca-0bb753ab8672</vt:lpwstr>
  </property>
  <property fmtid="{D5CDD505-2E9C-101B-9397-08002B2CF9AE}" pid="29" name="OriginalLanguage_0">
    <vt:lpwstr>FR|d2afafd3-4c81-4f60-8f52-ee33f2f54ff3</vt:lpwstr>
  </property>
  <property fmtid="{D5CDD505-2E9C-101B-9397-08002B2CF9AE}" pid="30" name="TaxCatchAll">
    <vt:lpwstr>67;#SPL-CES|32d8cb1f-c9ec-4365-95c7-8385a18618ac;#15;#Unrestricted|826e22d7-d029-4ec0-a450-0c28ff673572;#13;#TRA|150d2a88-1431-44e6-a8ca-0bb753ab8672;#12;#FR|d2afafd3-4c81-4f60-8f52-ee33f2f54ff3;#8;#Final|ea5e6674-7b27-4bac-b091-73adbb394efe;#126;#AS|c7a748eb-f6f2-4d9d-8b5a-af0cafebc224;#1;#EESC|422833ec-8d7e-4e65-8e4e-8bed07ffb729;#51;#INT|e1edfecb-ed43-427b-bb02-d45fe6645386</vt:lpwstr>
  </property>
  <property fmtid="{D5CDD505-2E9C-101B-9397-08002B2CF9AE}" pid="31" name="Rapporteur">
    <vt:lpwstr>LEFÈVRE</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2025</vt:i4>
  </property>
  <property fmtid="{D5CDD505-2E9C-101B-9397-08002B2CF9AE}" pid="35" name="FicheNumber">
    <vt:i4>298534</vt:i4>
  </property>
  <property fmtid="{D5CDD505-2E9C-101B-9397-08002B2CF9AE}" pid="36" name="DocumentPart">
    <vt:i4>0</vt:i4>
  </property>
  <property fmtid="{D5CDD505-2E9C-101B-9397-08002B2CF9AE}" pid="37" name="DocumentSource">
    <vt:lpwstr>1;#EESC|422833ec-8d7e-4e65-8e4e-8bed07ffb729</vt:lpwstr>
  </property>
  <property fmtid="{D5CDD505-2E9C-101B-9397-08002B2CF9AE}" pid="38" name="DocumentType">
    <vt:lpwstr>126;#AS|c7a748eb-f6f2-4d9d-8b5a-af0cafebc224</vt:lpwstr>
  </property>
  <property fmtid="{D5CDD505-2E9C-101B-9397-08002B2CF9AE}" pid="39" name="DocumentLanguage">
    <vt:lpwstr>50;#HR|2f555653-ed1a-4fe6-8362-9082d95989e5</vt:lpwstr>
  </property>
  <property fmtid="{D5CDD505-2E9C-101B-9397-08002B2CF9AE}" pid="40" name="_docset_NoMedatataSyncRequired">
    <vt:lpwstr>False</vt:lpwstr>
  </property>
  <property fmtid="{D5CDD505-2E9C-101B-9397-08002B2CF9AE}" pid="41" name="DocumentLanguage_0">
    <vt:lpwstr>FR|d2afafd3-4c81-4f60-8f52-ee33f2f54ff3</vt:lpwstr>
  </property>
</Properties>
</file>