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0B00" w14:textId="052AF495" w:rsidR="00646AC2" w:rsidRPr="00115A4A" w:rsidRDefault="003E5FF4" w:rsidP="00EE20D9">
      <w:pPr>
        <w:jc w:val="center"/>
      </w:pPr>
      <w:r>
        <w:rPr>
          <w:noProof/>
          <w:sz w:val="20"/>
        </w:rPr>
        <mc:AlternateContent>
          <mc:Choice Requires="wps">
            <w:drawing>
              <wp:anchor distT="0" distB="0" distL="114300" distR="114300" simplePos="0" relativeHeight="251662336" behindDoc="1" locked="0" layoutInCell="0" allowOverlap="1" wp14:anchorId="2D366E49" wp14:editId="1DF611F3">
                <wp:simplePos x="0" y="0"/>
                <wp:positionH relativeFrom="page">
                  <wp:posOffset>6769100</wp:posOffset>
                </wp:positionH>
                <wp:positionV relativeFrom="page">
                  <wp:posOffset>10083800</wp:posOffset>
                </wp:positionV>
                <wp:extent cx="647700" cy="396240"/>
                <wp:effectExtent l="0" t="0" r="0" b="381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A89E1" w14:textId="77777777" w:rsidR="008E72EB" w:rsidRPr="00260E65" w:rsidRDefault="008E72EB">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2D366E49">
                <v:stroke joinstyle="miter"/>
                <v:path gradientshapeok="t" o:connecttype="rect"/>
              </v:shapetype>
              <v:shape id="Text Box 23" style="position:absolute;left:0;text-align:left;margin-left:533pt;margin-top:794pt;width:51pt;height:3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4wztg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">
                <v:textbox>
                  <w:txbxContent>
                    <w:p w:rsidRPr="00260E65" w:rsidR="008E72EB" w:rsidRDefault="008E72EB" w14:paraId="7D3A89E1" w14:textId="77777777">
                      <w:pPr>
                        <w:jc w:val="center"/>
                        <w:rPr>
                          <w:b/>
                          <w:bCs/>
                          <w:sz w:val="48"/>
                          <w:rFonts w:ascii="Arial" w:hAnsi="Arial" w:cs="Arial"/>
                        </w:rPr>
                      </w:pPr>
                      <w:r>
                        <w:rPr>
                          <w:b/>
                          <w:sz w:val="48"/>
                          <w:rFonts w:ascii="Arial" w:hAnsi="Arial"/>
                        </w:rPr>
                        <w:t xml:space="preserve">FR</w:t>
                      </w:r>
                    </w:p>
                  </w:txbxContent>
                </v:textbox>
                <w10:wrap anchorx="page" anchory="page"/>
              </v:shape>
            </w:pict>
          </mc:Fallback>
        </mc:AlternateContent>
      </w:r>
      <w:r w:rsidR="005E6B62">
        <w:rPr>
          <w:noProof/>
        </w:rPr>
        <w:drawing>
          <wp:inline distT="0" distB="0" distL="0" distR="0" wp14:anchorId="30A203C2" wp14:editId="2E65744A">
            <wp:extent cx="1792605" cy="1241425"/>
            <wp:effectExtent l="0" t="0" r="0" b="0"/>
            <wp:docPr id="2" name="Picture 2" title="EESCLogo_FR"/>
            <wp:cNvGraphicFramePr/>
            <a:graphic xmlns:a="http://schemas.openxmlformats.org/drawingml/2006/main">
              <a:graphicData uri="http://schemas.openxmlformats.org/drawingml/2006/picture">
                <pic:pic xmlns:pic="http://schemas.openxmlformats.org/drawingml/2006/picture">
                  <pic:nvPicPr>
                    <pic:cNvPr id="2" name="Picture 2" title="EESCLogo_FR"/>
                    <pic:cNvPicPr/>
                  </pic:nvPicPr>
                  <pic:blipFill>
                    <a:blip r:embed="rId12"/>
                    <a:stretch>
                      <a:fillRect/>
                    </a:stretch>
                  </pic:blipFill>
                  <pic:spPr>
                    <a:xfrm>
                      <a:off x="0" y="0"/>
                      <a:ext cx="1792605" cy="1241425"/>
                    </a:xfrm>
                    <a:prstGeom prst="rect">
                      <a:avLst/>
                    </a:prstGeom>
                  </pic:spPr>
                </pic:pic>
              </a:graphicData>
            </a:graphic>
          </wp:inline>
        </w:drawing>
      </w:r>
    </w:p>
    <w:p w14:paraId="3BDAEB32" w14:textId="77777777" w:rsidR="008C74D9" w:rsidRPr="00115A4A" w:rsidRDefault="008C74D9" w:rsidP="00EE20D9"/>
    <w:p w14:paraId="6747216F" w14:textId="023F9FD2" w:rsidR="004D5305" w:rsidRPr="00115A4A" w:rsidRDefault="004D5305" w:rsidP="00EE20D9">
      <w:pPr>
        <w:jc w:val="right"/>
        <w:rPr>
          <w:b/>
        </w:rPr>
      </w:pPr>
      <w:r>
        <w:rPr>
          <w:b/>
        </w:rPr>
        <w:t>SOC/845</w:t>
      </w:r>
    </w:p>
    <w:p w14:paraId="6DB92379" w14:textId="65484AA6" w:rsidR="00EA21E2" w:rsidRPr="00115A4A" w:rsidRDefault="00EA21E2" w:rsidP="00EE20D9">
      <w:pPr>
        <w:jc w:val="right"/>
        <w:rPr>
          <w:b/>
        </w:rPr>
      </w:pPr>
      <w:r>
        <w:rPr>
          <w:b/>
        </w:rPr>
        <w:t>Établissement du Fonds social européen dans le cadre du plan de partenariat national et régional</w:t>
      </w:r>
    </w:p>
    <w:p w14:paraId="021B5FB0" w14:textId="7DF78074" w:rsidR="00EA21E2" w:rsidRPr="00C34B0E" w:rsidRDefault="00EA21E2" w:rsidP="00EE20D9">
      <w:pPr>
        <w:rPr>
          <w:lang w:val="en-US"/>
        </w:rPr>
      </w:pPr>
    </w:p>
    <w:p w14:paraId="53005C6E" w14:textId="77777777" w:rsidR="00EA21E2" w:rsidRPr="00C34B0E" w:rsidRDefault="00EA21E2" w:rsidP="00EE20D9">
      <w:pPr>
        <w:rPr>
          <w:lang w:val="en-US"/>
        </w:rPr>
      </w:pPr>
    </w:p>
    <w:p w14:paraId="118BF4B5" w14:textId="6AFEA2C1" w:rsidR="00DC70C3" w:rsidRPr="00115A4A" w:rsidRDefault="002D3F6D" w:rsidP="00EE20D9">
      <w:pPr>
        <w:jc w:val="center"/>
        <w:rPr>
          <w:b/>
          <w:sz w:val="28"/>
        </w:rPr>
      </w:pPr>
      <w:r>
        <w:rPr>
          <w:b/>
          <w:sz w:val="28"/>
        </w:rPr>
        <w:t>AVIS</w:t>
      </w:r>
    </w:p>
    <w:p w14:paraId="41378012" w14:textId="77777777" w:rsidR="00DC70C3" w:rsidRPr="00C34B0E" w:rsidRDefault="00DC70C3" w:rsidP="00EE20D9">
      <w:pPr>
        <w:jc w:val="center"/>
        <w:rPr>
          <w:lang w:val="en-US"/>
        </w:rPr>
      </w:pPr>
    </w:p>
    <w:p w14:paraId="093914D9" w14:textId="0E9CFD2A" w:rsidR="00DC70C3" w:rsidRPr="00115A4A" w:rsidRDefault="0096623C" w:rsidP="00EE20D9">
      <w:pPr>
        <w:jc w:val="center"/>
      </w:pPr>
      <w:r>
        <w:t>Section</w:t>
      </w:r>
      <w:proofErr w:type="gramStart"/>
      <w:r>
        <w:t xml:space="preserve"> «Emploi</w:t>
      </w:r>
      <w:proofErr w:type="gramEnd"/>
      <w:r>
        <w:t>, affaires sociales et citoyenneté»</w:t>
      </w:r>
    </w:p>
    <w:p w14:paraId="565FE8C2" w14:textId="77777777" w:rsidR="004D5305" w:rsidRPr="00C34B0E" w:rsidRDefault="004D5305" w:rsidP="00EE20D9">
      <w:pPr>
        <w:jc w:val="center"/>
        <w:rPr>
          <w:lang w:val="en-US"/>
        </w:rPr>
      </w:pPr>
    </w:p>
    <w:p w14:paraId="00369FAF" w14:textId="2FC5ABD4" w:rsidR="00AD7380" w:rsidRPr="00115A4A" w:rsidRDefault="00EB3145" w:rsidP="00EE20D9">
      <w:pPr>
        <w:jc w:val="center"/>
        <w:rPr>
          <w:b/>
        </w:rPr>
      </w:pPr>
      <w:r>
        <w:rPr>
          <w:b/>
        </w:rPr>
        <w:t>Proposition de règlement du Parlement européen et du Conseil établissant le Fonds social européen dans le cadre des plans de partenariat national et régional établis par le règlement (UE) [plans PNR] et établissant les conditions de mise en œuvre du soutien de l’Union à des emplois de qualité, aux compétences et à l’inclusion sociale pour la période allant de 2028 à 2034</w:t>
      </w:r>
    </w:p>
    <w:p w14:paraId="4B90E45D" w14:textId="4D5DC26D" w:rsidR="00C21BF8" w:rsidRPr="00115A4A" w:rsidRDefault="006F373D" w:rsidP="00EE20D9">
      <w:pPr>
        <w:jc w:val="center"/>
      </w:pPr>
      <w:r>
        <w:t>[</w:t>
      </w:r>
      <w:proofErr w:type="gramStart"/>
      <w:r>
        <w:t>COM(</w:t>
      </w:r>
      <w:proofErr w:type="gramEnd"/>
      <w:r>
        <w:t>2025) 558 final – 2025/0239 (COD)]</w:t>
      </w:r>
    </w:p>
    <w:p w14:paraId="03C266C0" w14:textId="77777777" w:rsidR="009B30AA" w:rsidRPr="00115A4A" w:rsidRDefault="009B30AA" w:rsidP="00EE20D9">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EF3AD5" w:rsidRPr="00115A4A" w14:paraId="305179A3" w14:textId="77777777">
        <w:tc>
          <w:tcPr>
            <w:tcW w:w="3085" w:type="dxa"/>
          </w:tcPr>
          <w:p w14:paraId="46F303C8" w14:textId="33277819" w:rsidR="00095316" w:rsidRPr="00115A4A" w:rsidRDefault="0096623C" w:rsidP="00EE20D9">
            <w:pPr>
              <w:jc w:val="left"/>
            </w:pPr>
            <w:r>
              <w:t>Contact</w:t>
            </w:r>
          </w:p>
        </w:tc>
        <w:tc>
          <w:tcPr>
            <w:tcW w:w="6204" w:type="dxa"/>
          </w:tcPr>
          <w:p w14:paraId="73E4EC7D" w14:textId="45B6C963" w:rsidR="00095316" w:rsidRPr="00115A4A" w:rsidRDefault="00905713" w:rsidP="00EE20D9">
            <w:pPr>
              <w:jc w:val="left"/>
            </w:pPr>
            <w:hyperlink r:id="rId13" w:history="1">
              <w:r w:rsidR="002E6324">
                <w:rPr>
                  <w:rStyle w:val="Hyperlink"/>
                </w:rPr>
                <w:t>SOC@eesc.europa.eu</w:t>
              </w:r>
            </w:hyperlink>
          </w:p>
        </w:tc>
      </w:tr>
      <w:tr w:rsidR="00EF3AD5" w:rsidRPr="00115A4A" w14:paraId="153782ED" w14:textId="77777777">
        <w:tc>
          <w:tcPr>
            <w:tcW w:w="3085" w:type="dxa"/>
          </w:tcPr>
          <w:p w14:paraId="40B4305E" w14:textId="4A7F3764" w:rsidR="00095316" w:rsidRPr="00115A4A" w:rsidRDefault="00095316" w:rsidP="00EE20D9">
            <w:pPr>
              <w:jc w:val="left"/>
            </w:pPr>
            <w:r>
              <w:t>Administrateur</w:t>
            </w:r>
          </w:p>
        </w:tc>
        <w:tc>
          <w:tcPr>
            <w:tcW w:w="6204" w:type="dxa"/>
          </w:tcPr>
          <w:p w14:paraId="5BB04AEE" w14:textId="0C5461B4" w:rsidR="00095316" w:rsidRPr="00115A4A" w:rsidRDefault="00614D8D" w:rsidP="00EE20D9">
            <w:pPr>
              <w:jc w:val="left"/>
            </w:pPr>
            <w:proofErr w:type="spellStart"/>
            <w:r>
              <w:t>Bartek</w:t>
            </w:r>
            <w:proofErr w:type="spellEnd"/>
            <w:r>
              <w:t xml:space="preserve"> BEDNAROWICZ</w:t>
            </w:r>
          </w:p>
        </w:tc>
      </w:tr>
      <w:tr w:rsidR="00EF3AD5" w:rsidRPr="00115A4A" w14:paraId="6185108F" w14:textId="77777777" w:rsidTr="005C7100">
        <w:trPr>
          <w:trHeight w:val="70"/>
        </w:trPr>
        <w:tc>
          <w:tcPr>
            <w:tcW w:w="3085" w:type="dxa"/>
          </w:tcPr>
          <w:p w14:paraId="0DA6783F" w14:textId="58801607" w:rsidR="00095316" w:rsidRPr="00115A4A" w:rsidRDefault="004A1D1F" w:rsidP="00EE20D9">
            <w:pPr>
              <w:jc w:val="left"/>
            </w:pPr>
            <w:r>
              <w:t>Date du document</w:t>
            </w:r>
          </w:p>
        </w:tc>
        <w:tc>
          <w:tcPr>
            <w:tcW w:w="6204" w:type="dxa"/>
          </w:tcPr>
          <w:p w14:paraId="465FBA90" w14:textId="377604FD" w:rsidR="00095316" w:rsidRPr="00115A4A" w:rsidRDefault="00F96727" w:rsidP="00EE20D9">
            <w:pPr>
              <w:jc w:val="left"/>
            </w:pPr>
            <w:r>
              <w:t>2/12/2025</w:t>
            </w:r>
          </w:p>
        </w:tc>
      </w:tr>
    </w:tbl>
    <w:p w14:paraId="48D92D84" w14:textId="1DA4BBE8" w:rsidR="00704FBB" w:rsidRPr="00115A4A" w:rsidRDefault="0096623C" w:rsidP="00EE20D9">
      <w:pPr>
        <w:jc w:val="center"/>
        <w:rPr>
          <w:b/>
        </w:rPr>
      </w:pPr>
      <w:proofErr w:type="spellStart"/>
      <w:proofErr w:type="gramStart"/>
      <w:r>
        <w:t>Rapporteure</w:t>
      </w:r>
      <w:proofErr w:type="spellEnd"/>
      <w:r>
        <w:t>:</w:t>
      </w:r>
      <w:proofErr w:type="gramEnd"/>
      <w:r>
        <w:t xml:space="preserve"> </w:t>
      </w:r>
      <w:r>
        <w:rPr>
          <w:b/>
          <w:bCs/>
        </w:rPr>
        <w:t>Nicoletta MERLO</w:t>
      </w:r>
    </w:p>
    <w:p w14:paraId="4EB40C8D" w14:textId="77777777" w:rsidR="00E32DC6" w:rsidRPr="00115A4A" w:rsidRDefault="00E32DC6" w:rsidP="00EE20D9"/>
    <w:p w14:paraId="6C5250C4" w14:textId="77777777" w:rsidR="00E32DC6" w:rsidRPr="00115A4A" w:rsidRDefault="00E32DC6" w:rsidP="00EE20D9"/>
    <w:p w14:paraId="2CF15D59" w14:textId="76D019D2" w:rsidR="00E32DC6" w:rsidRPr="00115A4A" w:rsidRDefault="00E32DC6" w:rsidP="00EE20D9">
      <w:pPr>
        <w:sectPr w:rsidR="00E32DC6" w:rsidRPr="00115A4A" w:rsidSect="002D011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28"/>
        <w:gridCol w:w="6045"/>
      </w:tblGrid>
      <w:tr w:rsidR="00EE20D9" w:rsidRPr="006217D1" w14:paraId="3458EFE5" w14:textId="77777777" w:rsidTr="00640EB1">
        <w:tc>
          <w:tcPr>
            <w:tcW w:w="3028" w:type="dxa"/>
          </w:tcPr>
          <w:p w14:paraId="7E0EE756" w14:textId="36F4C5C1" w:rsidR="00EE20D9" w:rsidRPr="00115A4A" w:rsidRDefault="00EE20D9" w:rsidP="00640EB1">
            <w:r>
              <w:lastRenderedPageBreak/>
              <w:t>Conseiller</w:t>
            </w:r>
          </w:p>
        </w:tc>
        <w:tc>
          <w:tcPr>
            <w:tcW w:w="6045" w:type="dxa"/>
          </w:tcPr>
          <w:p w14:paraId="4BBD32F6" w14:textId="50D5D90E" w:rsidR="00EE20D9" w:rsidRPr="00EE20D9" w:rsidRDefault="00EE20D9" w:rsidP="00640EB1">
            <w:r>
              <w:t xml:space="preserve">Luigi VELTRO (pour la </w:t>
            </w:r>
            <w:proofErr w:type="spellStart"/>
            <w:r>
              <w:t>rapporteure</w:t>
            </w:r>
            <w:proofErr w:type="spellEnd"/>
            <w:r>
              <w:t>, groupe II)</w:t>
            </w:r>
          </w:p>
        </w:tc>
      </w:tr>
      <w:tr w:rsidR="00EE20D9" w:rsidRPr="00115A4A" w14:paraId="1D4D39C1" w14:textId="77777777" w:rsidTr="00640EB1">
        <w:tc>
          <w:tcPr>
            <w:tcW w:w="3028" w:type="dxa"/>
          </w:tcPr>
          <w:p w14:paraId="773625F8" w14:textId="627F672F" w:rsidR="00EE20D9" w:rsidRPr="00115A4A" w:rsidRDefault="00EE20D9" w:rsidP="00640EB1">
            <w:r>
              <w:t>Procédure législative</w:t>
            </w:r>
          </w:p>
        </w:tc>
        <w:tc>
          <w:tcPr>
            <w:tcW w:w="6045" w:type="dxa"/>
          </w:tcPr>
          <w:p w14:paraId="735BA170" w14:textId="6F1B895B" w:rsidR="00EE20D9" w:rsidRPr="00115A4A" w:rsidRDefault="00905713" w:rsidP="00640EB1">
            <w:hyperlink r:id="rId20" w:history="1">
              <w:r w:rsidR="005E6B62">
                <w:rPr>
                  <w:rStyle w:val="Hyperlink"/>
                </w:rPr>
                <w:t>EU Law Tracker</w:t>
              </w:r>
            </w:hyperlink>
          </w:p>
        </w:tc>
      </w:tr>
      <w:tr w:rsidR="00EE20D9" w:rsidRPr="006217D1" w14:paraId="5C5D766E" w14:textId="77777777" w:rsidTr="00640EB1">
        <w:tc>
          <w:tcPr>
            <w:tcW w:w="3028" w:type="dxa"/>
          </w:tcPr>
          <w:p w14:paraId="69F0BC68" w14:textId="35CC859C" w:rsidR="00EE20D9" w:rsidRPr="00115A4A" w:rsidRDefault="00EE20D9" w:rsidP="00640EB1">
            <w:r>
              <w:t>Consultation</w:t>
            </w:r>
          </w:p>
        </w:tc>
        <w:tc>
          <w:tcPr>
            <w:tcW w:w="6045" w:type="dxa"/>
          </w:tcPr>
          <w:p w14:paraId="62D47666" w14:textId="77777777" w:rsidR="00EE20D9" w:rsidRPr="00115A4A" w:rsidRDefault="00EE20D9" w:rsidP="00EE20D9">
            <w:pPr>
              <w:autoSpaceDE w:val="0"/>
              <w:autoSpaceDN w:val="0"/>
            </w:pPr>
            <w:r>
              <w:t>Parlement européen, X/X/2025</w:t>
            </w:r>
          </w:p>
          <w:p w14:paraId="5378CD01" w14:textId="0BCF00E6" w:rsidR="00EE20D9" w:rsidRPr="00E71F87" w:rsidRDefault="00EE20D9" w:rsidP="00EE20D9">
            <w:r>
              <w:t>Conseil, 16/9/2025</w:t>
            </w:r>
          </w:p>
        </w:tc>
      </w:tr>
      <w:tr w:rsidR="00EE20D9" w:rsidRPr="006217D1" w14:paraId="2377AE9C" w14:textId="77777777" w:rsidTr="00640EB1">
        <w:tc>
          <w:tcPr>
            <w:tcW w:w="3028" w:type="dxa"/>
          </w:tcPr>
          <w:p w14:paraId="0685A21E" w14:textId="406543ED" w:rsidR="00EE20D9" w:rsidRPr="00115A4A" w:rsidRDefault="00EE20D9" w:rsidP="00640EB1">
            <w:r>
              <w:t>Base juridique</w:t>
            </w:r>
          </w:p>
        </w:tc>
        <w:tc>
          <w:tcPr>
            <w:tcW w:w="6045" w:type="dxa"/>
          </w:tcPr>
          <w:p w14:paraId="4FA90D7F" w14:textId="311A5AFB" w:rsidR="00EE20D9" w:rsidRPr="00EE20D9" w:rsidRDefault="00EE20D9" w:rsidP="00640EB1">
            <w:r>
              <w:t>Articles 164, 174 et 175 du traité sur le fonctionnement de l’Union européenne</w:t>
            </w:r>
          </w:p>
        </w:tc>
      </w:tr>
      <w:tr w:rsidR="00EE20D9" w:rsidRPr="00EE20D9" w14:paraId="717A7FEF" w14:textId="77777777" w:rsidTr="00640EB1">
        <w:tc>
          <w:tcPr>
            <w:tcW w:w="3028" w:type="dxa"/>
          </w:tcPr>
          <w:p w14:paraId="2F5F8BB1" w14:textId="77777777" w:rsidR="00EE20D9" w:rsidRDefault="00EE20D9" w:rsidP="00640EB1">
            <w:r>
              <w:t>Documents de la Commission</w:t>
            </w:r>
          </w:p>
          <w:p w14:paraId="4CBEA79B" w14:textId="75754832" w:rsidR="005E045B" w:rsidRPr="00EE20D9" w:rsidRDefault="005E045B" w:rsidP="00640EB1">
            <w:pPr>
              <w:rPr>
                <w:lang w:val="it-IT"/>
              </w:rPr>
            </w:pPr>
          </w:p>
        </w:tc>
        <w:tc>
          <w:tcPr>
            <w:tcW w:w="6045" w:type="dxa"/>
          </w:tcPr>
          <w:p w14:paraId="4930D57A" w14:textId="6723CBE7" w:rsidR="00EE20D9" w:rsidRPr="00EE20D9" w:rsidRDefault="00905713" w:rsidP="00640EB1">
            <w:hyperlink r:id="rId21" w:history="1">
              <w:proofErr w:type="gramStart"/>
              <w:r w:rsidR="005E6B62">
                <w:rPr>
                  <w:rStyle w:val="Hyperlink"/>
                </w:rPr>
                <w:t>COM(</w:t>
              </w:r>
              <w:proofErr w:type="gramEnd"/>
              <w:r w:rsidR="005E6B62">
                <w:rPr>
                  <w:rStyle w:val="Hyperlink"/>
                </w:rPr>
                <w:t>2025) 558 final</w:t>
              </w:r>
            </w:hyperlink>
          </w:p>
        </w:tc>
      </w:tr>
      <w:tr w:rsidR="00EE20D9" w:rsidRPr="002C6790" w14:paraId="4D169130" w14:textId="77777777" w:rsidTr="00640EB1">
        <w:tc>
          <w:tcPr>
            <w:tcW w:w="3028" w:type="dxa"/>
          </w:tcPr>
          <w:p w14:paraId="3D063A8E" w14:textId="6C8000CB" w:rsidR="00EE20D9" w:rsidRPr="00EE20D9" w:rsidRDefault="00EE20D9" w:rsidP="00640EB1">
            <w:r>
              <w:t>Objectifs de développement durable (ODD) pertinents</w:t>
            </w:r>
          </w:p>
        </w:tc>
        <w:tc>
          <w:tcPr>
            <w:tcW w:w="6045" w:type="dxa"/>
          </w:tcPr>
          <w:p w14:paraId="7A45FD00" w14:textId="77777777" w:rsidR="00EE20D9" w:rsidRPr="00C01603" w:rsidRDefault="00905713" w:rsidP="00EE20D9">
            <w:hyperlink r:id="rId22" w:history="1">
              <w:r w:rsidR="005E6B62">
                <w:rPr>
                  <w:rStyle w:val="Hyperlink"/>
                </w:rPr>
                <w:t>ODD 1 — Pas de pauvreté</w:t>
              </w:r>
            </w:hyperlink>
          </w:p>
          <w:p w14:paraId="41FB3179" w14:textId="2E131706" w:rsidR="005E045B" w:rsidRPr="00856D18" w:rsidRDefault="00905713" w:rsidP="00EE20D9">
            <w:hyperlink r:id="rId23" w:history="1">
              <w:r w:rsidR="005E6B62">
                <w:rPr>
                  <w:rStyle w:val="Hyperlink"/>
                </w:rPr>
                <w:t>ODD 2 — Faim</w:t>
              </w:r>
              <w:proofErr w:type="gramStart"/>
              <w:r w:rsidR="005E6B62">
                <w:rPr>
                  <w:rStyle w:val="Hyperlink"/>
                </w:rPr>
                <w:t xml:space="preserve"> «zéro</w:t>
              </w:r>
              <w:proofErr w:type="gramEnd"/>
              <w:r w:rsidR="005E6B62">
                <w:rPr>
                  <w:rStyle w:val="Hyperlink"/>
                </w:rPr>
                <w:t>»</w:t>
              </w:r>
            </w:hyperlink>
          </w:p>
          <w:p w14:paraId="14316077" w14:textId="663F8F1A" w:rsidR="00D8132D" w:rsidRPr="00C01603" w:rsidRDefault="00905713" w:rsidP="00EE20D9">
            <w:hyperlink r:id="rId24" w:history="1">
              <w:r w:rsidR="005E6B62">
                <w:rPr>
                  <w:rStyle w:val="Hyperlink"/>
                </w:rPr>
                <w:t>ODD 3 — Bonne santé et bien-être</w:t>
              </w:r>
            </w:hyperlink>
          </w:p>
          <w:p w14:paraId="14A55FE4" w14:textId="2F61B728" w:rsidR="002A2E87" w:rsidRPr="00C01603" w:rsidRDefault="00905713" w:rsidP="00EE20D9">
            <w:hyperlink r:id="rId25" w:history="1">
              <w:r w:rsidR="005E6B62">
                <w:rPr>
                  <w:rStyle w:val="Hyperlink"/>
                </w:rPr>
                <w:t>ODD 4 — Éducation de qualité</w:t>
              </w:r>
            </w:hyperlink>
          </w:p>
          <w:p w14:paraId="4D870F74" w14:textId="52BC43C9" w:rsidR="002A2E87" w:rsidRPr="00C01603" w:rsidRDefault="00905713" w:rsidP="00EE20D9">
            <w:hyperlink r:id="rId26" w:history="1">
              <w:r w:rsidR="005E6B62">
                <w:rPr>
                  <w:rStyle w:val="Hyperlink"/>
                </w:rPr>
                <w:t>ODD 5 — Égalité entre les sexes</w:t>
              </w:r>
            </w:hyperlink>
          </w:p>
          <w:p w14:paraId="6A07E1C8" w14:textId="77777777" w:rsidR="00EE20D9" w:rsidRPr="00115A4A" w:rsidRDefault="00905713" w:rsidP="00EE20D9">
            <w:hyperlink r:id="rId27" w:history="1">
              <w:r w:rsidR="005E6B62">
                <w:rPr>
                  <w:rStyle w:val="Hyperlink"/>
                </w:rPr>
                <w:t>ODD 8 — Travail décent et croissance économique</w:t>
              </w:r>
            </w:hyperlink>
          </w:p>
          <w:p w14:paraId="129B9379" w14:textId="4AEA1C35" w:rsidR="002C6790" w:rsidRDefault="00905713" w:rsidP="00EE20D9">
            <w:hyperlink r:id="rId28" w:history="1">
              <w:r w:rsidR="005E6B62">
                <w:rPr>
                  <w:rStyle w:val="Hyperlink"/>
                </w:rPr>
                <w:t>ODD 10 — Inégalités réduites</w:t>
              </w:r>
            </w:hyperlink>
          </w:p>
          <w:p w14:paraId="33011F32" w14:textId="04ECFC66" w:rsidR="005E045B" w:rsidRPr="00EE20D9" w:rsidRDefault="005E045B" w:rsidP="00EE20D9">
            <w:pPr>
              <w:rPr>
                <w:lang w:val="it-IT"/>
              </w:rPr>
            </w:pPr>
          </w:p>
        </w:tc>
      </w:tr>
      <w:tr w:rsidR="00DA15BD" w:rsidRPr="006217D1" w14:paraId="7310BF1B" w14:textId="77777777" w:rsidTr="00640EB1">
        <w:tc>
          <w:tcPr>
            <w:tcW w:w="3028" w:type="dxa"/>
          </w:tcPr>
          <w:p w14:paraId="6FEA549E" w14:textId="73E0B924" w:rsidR="00DA15BD" w:rsidRPr="00115A4A" w:rsidRDefault="00DA15BD" w:rsidP="00C01603">
            <w:pPr>
              <w:jc w:val="left"/>
            </w:pPr>
            <w:r>
              <w:t>Compétence</w:t>
            </w:r>
          </w:p>
        </w:tc>
        <w:tc>
          <w:tcPr>
            <w:tcW w:w="6045" w:type="dxa"/>
          </w:tcPr>
          <w:p w14:paraId="0BBD2A69" w14:textId="04313F3B" w:rsidR="00DA15BD" w:rsidRPr="00E71F87" w:rsidRDefault="00DA15BD" w:rsidP="00DA15BD">
            <w:r>
              <w:t>Section</w:t>
            </w:r>
            <w:proofErr w:type="gramStart"/>
            <w:r>
              <w:t xml:space="preserve"> «Emploi</w:t>
            </w:r>
            <w:proofErr w:type="gramEnd"/>
            <w:r>
              <w:t>, affaires sociales et citoyenneté»</w:t>
            </w:r>
          </w:p>
        </w:tc>
      </w:tr>
      <w:tr w:rsidR="00DA15BD" w:rsidRPr="00EE20D9" w14:paraId="2DD2D4C5" w14:textId="77777777" w:rsidTr="00640EB1">
        <w:tc>
          <w:tcPr>
            <w:tcW w:w="3028" w:type="dxa"/>
          </w:tcPr>
          <w:p w14:paraId="4C000FF2" w14:textId="35504DE5" w:rsidR="00DA15BD" w:rsidRPr="00115A4A" w:rsidRDefault="00DA15BD" w:rsidP="00C01603">
            <w:pPr>
              <w:jc w:val="left"/>
            </w:pPr>
            <w:r>
              <w:t>Adoption en section</w:t>
            </w:r>
          </w:p>
        </w:tc>
        <w:tc>
          <w:tcPr>
            <w:tcW w:w="6045" w:type="dxa"/>
          </w:tcPr>
          <w:p w14:paraId="39708CB5" w14:textId="4635FC7D" w:rsidR="00DA15BD" w:rsidRDefault="00DC564F" w:rsidP="00DA15BD">
            <w:r>
              <w:t>26/11/2025</w:t>
            </w:r>
          </w:p>
        </w:tc>
      </w:tr>
      <w:tr w:rsidR="00DA15BD" w:rsidRPr="00EE20D9" w14:paraId="69F916AA" w14:textId="77777777" w:rsidTr="00640EB1">
        <w:tc>
          <w:tcPr>
            <w:tcW w:w="3028" w:type="dxa"/>
          </w:tcPr>
          <w:p w14:paraId="16792CB9" w14:textId="44DFC534" w:rsidR="00DA15BD" w:rsidRPr="00115A4A" w:rsidRDefault="00DA15BD" w:rsidP="00C01603">
            <w:pPr>
              <w:jc w:val="left"/>
            </w:pPr>
            <w:r>
              <w:t>Résultat du vote</w:t>
            </w:r>
            <w:r>
              <w:br/>
              <w:t>(pour/contre/abstentions)</w:t>
            </w:r>
          </w:p>
        </w:tc>
        <w:tc>
          <w:tcPr>
            <w:tcW w:w="6045" w:type="dxa"/>
          </w:tcPr>
          <w:p w14:paraId="005053C1" w14:textId="77777777" w:rsidR="005E045B" w:rsidRPr="00C34B0E" w:rsidRDefault="005E045B" w:rsidP="00DA15BD">
            <w:pPr>
              <w:rPr>
                <w:lang w:val="en-US"/>
              </w:rPr>
            </w:pPr>
          </w:p>
          <w:p w14:paraId="41B5793E" w14:textId="478C01B8" w:rsidR="00DA15BD" w:rsidRPr="00EE20D9" w:rsidRDefault="004E44F2" w:rsidP="00DA15BD">
            <w:r>
              <w:t>76/0/17</w:t>
            </w:r>
          </w:p>
        </w:tc>
      </w:tr>
      <w:tr w:rsidR="00DA15BD" w:rsidRPr="00EE20D9" w14:paraId="6F7EAF4D" w14:textId="77777777" w:rsidTr="00640EB1">
        <w:tc>
          <w:tcPr>
            <w:tcW w:w="3028" w:type="dxa"/>
          </w:tcPr>
          <w:p w14:paraId="136D5379" w14:textId="718EB53C" w:rsidR="00DA15BD" w:rsidRPr="00115A4A" w:rsidRDefault="00DA15BD" w:rsidP="00C01603">
            <w:pPr>
              <w:jc w:val="left"/>
            </w:pPr>
            <w:r>
              <w:t>Adoption en session plénière</w:t>
            </w:r>
          </w:p>
        </w:tc>
        <w:tc>
          <w:tcPr>
            <w:tcW w:w="6045" w:type="dxa"/>
          </w:tcPr>
          <w:p w14:paraId="64280CC4" w14:textId="2F9025F7" w:rsidR="00DA15BD" w:rsidRPr="00EE20D9" w:rsidRDefault="00DA15BD" w:rsidP="00DA15BD">
            <w:r>
              <w:t>J/M/AAAA</w:t>
            </w:r>
          </w:p>
        </w:tc>
      </w:tr>
      <w:tr w:rsidR="00DA15BD" w:rsidRPr="00EE20D9" w14:paraId="25291F5C" w14:textId="77777777" w:rsidTr="00640EB1">
        <w:tc>
          <w:tcPr>
            <w:tcW w:w="3028" w:type="dxa"/>
          </w:tcPr>
          <w:p w14:paraId="6C0D1254" w14:textId="487D1BCA" w:rsidR="00DA15BD" w:rsidRPr="00115A4A" w:rsidRDefault="00DA15BD" w:rsidP="00C01603">
            <w:pPr>
              <w:jc w:val="left"/>
            </w:pPr>
            <w:r>
              <w:t>Session plénière nº</w:t>
            </w:r>
          </w:p>
        </w:tc>
        <w:tc>
          <w:tcPr>
            <w:tcW w:w="6045" w:type="dxa"/>
          </w:tcPr>
          <w:p w14:paraId="4C84FEA0" w14:textId="77777777" w:rsidR="00DA15BD" w:rsidRPr="00EE20D9" w:rsidRDefault="00DA15BD" w:rsidP="00DA15BD">
            <w:pPr>
              <w:rPr>
                <w:lang w:val="it-IT"/>
              </w:rPr>
            </w:pPr>
          </w:p>
        </w:tc>
      </w:tr>
      <w:tr w:rsidR="00DA15BD" w:rsidRPr="00EE20D9" w14:paraId="46C4D39E" w14:textId="77777777" w:rsidTr="00640EB1">
        <w:tc>
          <w:tcPr>
            <w:tcW w:w="3028" w:type="dxa"/>
          </w:tcPr>
          <w:p w14:paraId="510616AE" w14:textId="24A031F5" w:rsidR="00DA15BD" w:rsidRPr="00115A4A" w:rsidRDefault="00DA15BD" w:rsidP="00C01603">
            <w:pPr>
              <w:jc w:val="left"/>
            </w:pPr>
            <w:r>
              <w:t>Résultat du vote</w:t>
            </w:r>
            <w:r>
              <w:br/>
              <w:t>(pour/contre/abstentions)</w:t>
            </w:r>
          </w:p>
        </w:tc>
        <w:tc>
          <w:tcPr>
            <w:tcW w:w="6045" w:type="dxa"/>
          </w:tcPr>
          <w:p w14:paraId="5FC18405" w14:textId="77777777" w:rsidR="005E045B" w:rsidRPr="00C34B0E" w:rsidRDefault="005E045B" w:rsidP="00DA15BD">
            <w:pPr>
              <w:rPr>
                <w:lang w:val="en-US"/>
              </w:rPr>
            </w:pPr>
          </w:p>
          <w:p w14:paraId="71A0F430" w14:textId="5CA5CD4A" w:rsidR="00DA15BD" w:rsidRPr="00EE20D9" w:rsidRDefault="00DA15BD" w:rsidP="00DA15BD">
            <w:r>
              <w:t>…/…/…</w:t>
            </w:r>
          </w:p>
        </w:tc>
      </w:tr>
    </w:tbl>
    <w:p w14:paraId="0CD758BE" w14:textId="77777777" w:rsidR="00EE20D9" w:rsidRPr="00115A4A" w:rsidRDefault="00EE20D9" w:rsidP="00EE20D9"/>
    <w:p w14:paraId="3E3A5DE0" w14:textId="77777777" w:rsidR="00646AC2" w:rsidRPr="00115A4A" w:rsidRDefault="00646AC2" w:rsidP="00EE20D9">
      <w:r>
        <w:br w:type="page"/>
      </w:r>
    </w:p>
    <w:p w14:paraId="71052F51" w14:textId="77777777" w:rsidR="00B82BC5" w:rsidRPr="00115A4A" w:rsidRDefault="00B82BC5" w:rsidP="00EE20D9">
      <w:pPr>
        <w:pStyle w:val="Heading1"/>
        <w:ind w:left="567" w:hanging="567"/>
      </w:pPr>
      <w:r>
        <w:rPr>
          <w:b/>
        </w:rPr>
        <w:lastRenderedPageBreak/>
        <w:t>RECOMMANDATIONS</w:t>
      </w:r>
    </w:p>
    <w:p w14:paraId="6EF53CEB" w14:textId="77777777" w:rsidR="00B82BC5" w:rsidRPr="00115A4A" w:rsidRDefault="00B82BC5" w:rsidP="00EE20D9">
      <w:pPr>
        <w:jc w:val="left"/>
      </w:pPr>
    </w:p>
    <w:p w14:paraId="512F055F" w14:textId="77777777" w:rsidR="00B82BC5" w:rsidRPr="00115A4A" w:rsidRDefault="00B82BC5" w:rsidP="00EE20D9">
      <w:pPr>
        <w:jc w:val="left"/>
      </w:pPr>
      <w:r>
        <w:t>Le Comité économique et social européen (CESE</w:t>
      </w:r>
      <w:proofErr w:type="gramStart"/>
      <w:r>
        <w:t>):</w:t>
      </w:r>
      <w:proofErr w:type="gramEnd"/>
    </w:p>
    <w:p w14:paraId="4B5714B1" w14:textId="77777777" w:rsidR="000B0404" w:rsidRPr="00C34B0E" w:rsidRDefault="000B0404" w:rsidP="00EE20D9">
      <w:pPr>
        <w:jc w:val="left"/>
        <w:rPr>
          <w:lang w:val="en-US"/>
        </w:rPr>
      </w:pPr>
    </w:p>
    <w:p w14:paraId="2C8978D9" w14:textId="39A94C42" w:rsidR="000B0404" w:rsidRPr="00115A4A" w:rsidRDefault="000B0404" w:rsidP="00EE20D9">
      <w:pPr>
        <w:jc w:val="left"/>
        <w:rPr>
          <w:b/>
          <w:bCs/>
          <w:i/>
          <w:iCs/>
        </w:rPr>
      </w:pPr>
      <w:r>
        <w:rPr>
          <w:b/>
        </w:rPr>
        <w:t>Gouvernance et partenariat</w:t>
      </w:r>
    </w:p>
    <w:p w14:paraId="13EDED0C" w14:textId="77777777" w:rsidR="00B82BC5" w:rsidRPr="00115A4A" w:rsidRDefault="00B82BC5" w:rsidP="00EE20D9">
      <w:pPr>
        <w:ind w:left="142" w:hanging="142"/>
        <w:jc w:val="left"/>
        <w:rPr>
          <w:lang w:val="it-IT"/>
        </w:rPr>
      </w:pPr>
    </w:p>
    <w:p w14:paraId="5DB6C61E" w14:textId="47733C65" w:rsidR="00D068E6" w:rsidRPr="00115A4A" w:rsidRDefault="00D068E6" w:rsidP="00EE20D9">
      <w:pPr>
        <w:pStyle w:val="Heading2"/>
      </w:pPr>
      <w:proofErr w:type="gramStart"/>
      <w:r>
        <w:t>demande</w:t>
      </w:r>
      <w:proofErr w:type="gramEnd"/>
      <w:r>
        <w:t xml:space="preserve"> un renforcement du Fonds social européen (FSE) aux fins de consolider la dimension sociale de l’Union. À cette fin, il propose que les dépenses sociales dans les plans PNR soient augmentées et portées de 14 % à 20 %, et que l’on en réserve au moins 14 % au FSE. Il est nécessaire de clarifier davantage la définition des dépenses sociales au cours de la prochaine période de </w:t>
      </w:r>
      <w:proofErr w:type="gramStart"/>
      <w:r>
        <w:t>programmation;</w:t>
      </w:r>
      <w:proofErr w:type="gramEnd"/>
    </w:p>
    <w:p w14:paraId="6BBB1217" w14:textId="77777777" w:rsidR="00D068E6" w:rsidRPr="00C34B0E" w:rsidRDefault="00D068E6" w:rsidP="00EE20D9">
      <w:pPr>
        <w:rPr>
          <w:lang w:val="en-US"/>
        </w:rPr>
      </w:pPr>
    </w:p>
    <w:p w14:paraId="29ABAF8A" w14:textId="06524F2E" w:rsidR="00B82BC5" w:rsidRPr="00115A4A" w:rsidRDefault="00206BB1" w:rsidP="00EE20D9">
      <w:pPr>
        <w:pStyle w:val="Heading2"/>
      </w:pPr>
      <w:proofErr w:type="gramStart"/>
      <w:r>
        <w:t>estime</w:t>
      </w:r>
      <w:proofErr w:type="gramEnd"/>
      <w:r>
        <w:t xml:space="preserve"> qu’il est essentiel de préserver la particularité et la spécificité du FSE, dont le rôle devrait être renforcé compte tenu également des nouveaux défis sociaux liés à la mise en œuvre du socle européen des droits sociaux, en rendant obligatoire pour les programmes nationaux et régionaux du FSE de garantir un rôle fort aux régions, aux partenaires sociaux et à la société civile dans le contexte de la gouvernance à plusieurs niveaux;</w:t>
      </w:r>
    </w:p>
    <w:p w14:paraId="3A7A143B" w14:textId="77777777" w:rsidR="00B82BC5" w:rsidRPr="00C34B0E" w:rsidRDefault="00B82BC5" w:rsidP="00EE20D9">
      <w:pPr>
        <w:ind w:left="567" w:hanging="567"/>
        <w:rPr>
          <w:lang w:val="en-US"/>
        </w:rPr>
      </w:pPr>
    </w:p>
    <w:p w14:paraId="7866DFC4" w14:textId="6D2BDFF6" w:rsidR="00B82BC5" w:rsidRPr="00115A4A" w:rsidRDefault="00154D67" w:rsidP="00EE20D9">
      <w:pPr>
        <w:pStyle w:val="Heading2"/>
      </w:pPr>
      <w:proofErr w:type="gramStart"/>
      <w:r>
        <w:t>suggère</w:t>
      </w:r>
      <w:proofErr w:type="gramEnd"/>
      <w:r>
        <w:t xml:space="preserve"> d’introduire des éléments de simplification des procédures administratives pour l’accès aux financements du FSE;</w:t>
      </w:r>
    </w:p>
    <w:p w14:paraId="1DA35538" w14:textId="77777777" w:rsidR="00B82BC5" w:rsidRPr="00C34B0E" w:rsidRDefault="00B82BC5" w:rsidP="00EE20D9">
      <w:pPr>
        <w:ind w:left="567" w:hanging="567"/>
        <w:rPr>
          <w:lang w:val="en-US"/>
        </w:rPr>
      </w:pPr>
    </w:p>
    <w:p w14:paraId="295B9854" w14:textId="0CE2FB6E" w:rsidR="00D44F32" w:rsidRPr="00591119" w:rsidRDefault="00D44F32" w:rsidP="00EE20D9">
      <w:pPr>
        <w:pStyle w:val="Heading2"/>
      </w:pPr>
      <w:r>
        <w:t>préconise une consultation structurée des partenaires sociaux et des organisations de la société civile aux niveaux européen, national et local dans le cadre de la mise en œuvre du FSE, ces acteurs devant être associés lors de chaque phase du processus de programmation et d’évaluation de l’impact social et sur l’emploi — de la conception à la gestion et à la mise en œuvre, en passant par la conception conjointe des projets, jusqu’au suivi et à l’évaluation — selon les principes du code de conduite européen en matière de partenariat;</w:t>
      </w:r>
    </w:p>
    <w:p w14:paraId="29F1AE9D" w14:textId="77777777" w:rsidR="00CC4DAB" w:rsidRPr="00C34B0E" w:rsidRDefault="00CC4DAB" w:rsidP="00EE20D9">
      <w:pPr>
        <w:rPr>
          <w:lang w:val="en-US"/>
        </w:rPr>
      </w:pPr>
    </w:p>
    <w:p w14:paraId="30D63554" w14:textId="6A888D29" w:rsidR="007C1157" w:rsidRPr="00115A4A" w:rsidRDefault="000E4A24" w:rsidP="00EE20D9">
      <w:pPr>
        <w:pStyle w:val="Heading2"/>
      </w:pPr>
      <w:proofErr w:type="gramStart"/>
      <w:r>
        <w:t>estime</w:t>
      </w:r>
      <w:proofErr w:type="gramEnd"/>
      <w:r>
        <w:t xml:space="preserve"> qu’il convient de maintenir les comités de suivi de tous les programmes nationaux et régionaux du FSE et d’y préserver le droit de vote des partenaires sociaux et des organisations de la société civile, un pourcentage significatif de participation devant leur être attribué; </w:t>
      </w:r>
    </w:p>
    <w:p w14:paraId="61DC52B1" w14:textId="77777777" w:rsidR="00034704" w:rsidRPr="00C34B0E" w:rsidRDefault="00034704" w:rsidP="00EE20D9">
      <w:pPr>
        <w:rPr>
          <w:lang w:val="en-US"/>
        </w:rPr>
      </w:pPr>
    </w:p>
    <w:p w14:paraId="5D8F6C91" w14:textId="6C4F2ABE" w:rsidR="0046402D" w:rsidRDefault="000E4A24" w:rsidP="00EE20D9">
      <w:pPr>
        <w:pStyle w:val="Heading2"/>
      </w:pPr>
      <w:proofErr w:type="gramStart"/>
      <w:r>
        <w:t>souligne</w:t>
      </w:r>
      <w:proofErr w:type="gramEnd"/>
      <w:r>
        <w:t xml:space="preserve"> qu’il importe de respecter le principe de l’égalité entre les hommes et les femmes et, lors de la mise en œuvre de tous les fonds, de veiller au respect de la convention des Nations unies relative aux droits des personnes handicapées et de la charte des droits fondamentaux de l’Union européenne; </w:t>
      </w:r>
    </w:p>
    <w:p w14:paraId="08270653" w14:textId="77777777" w:rsidR="0046402D" w:rsidRPr="00C34B0E" w:rsidRDefault="0046402D" w:rsidP="00C01603">
      <w:pPr>
        <w:rPr>
          <w:lang w:val="en-US"/>
        </w:rPr>
      </w:pPr>
    </w:p>
    <w:p w14:paraId="78E1AF45" w14:textId="48DDBC85" w:rsidR="005E4E10" w:rsidRPr="00115A4A" w:rsidRDefault="001F1ACF" w:rsidP="00EE20D9">
      <w:pPr>
        <w:pStyle w:val="Heading2"/>
      </w:pPr>
      <w:proofErr w:type="gramStart"/>
      <w:r>
        <w:t>recommande</w:t>
      </w:r>
      <w:proofErr w:type="gramEnd"/>
      <w:r>
        <w:t xml:space="preserve"> que tous les programmes financés par le FSE allouent des ressources suffisantes — au moins 1 % pour tous les pays — au renforcement des capacités des partenaires sociaux et des organisations de la société civile aux niveaux tant régional que national;</w:t>
      </w:r>
    </w:p>
    <w:p w14:paraId="56C15CD2" w14:textId="77777777" w:rsidR="005E4E10" w:rsidRPr="00C34B0E" w:rsidRDefault="005E4E10" w:rsidP="00EE20D9">
      <w:pPr>
        <w:rPr>
          <w:lang w:val="en-US"/>
        </w:rPr>
      </w:pPr>
    </w:p>
    <w:p w14:paraId="10EF6B58" w14:textId="76E6C2C4" w:rsidR="005E4E10" w:rsidRPr="00115A4A" w:rsidRDefault="005E4E10" w:rsidP="00DA15BD">
      <w:pPr>
        <w:keepNext/>
        <w:keepLines/>
        <w:rPr>
          <w:b/>
          <w:bCs/>
        </w:rPr>
      </w:pPr>
      <w:r>
        <w:rPr>
          <w:b/>
        </w:rPr>
        <w:t xml:space="preserve">Dimension sociale et territoriale </w:t>
      </w:r>
    </w:p>
    <w:p w14:paraId="3067A79C" w14:textId="77777777" w:rsidR="005E4E10" w:rsidRPr="00115A4A" w:rsidRDefault="005E4E10" w:rsidP="00DA15BD">
      <w:pPr>
        <w:keepNext/>
        <w:keepLines/>
        <w:rPr>
          <w:lang w:val="it-IT"/>
        </w:rPr>
      </w:pPr>
    </w:p>
    <w:p w14:paraId="6240EC95" w14:textId="66F368C8" w:rsidR="002E470D" w:rsidRPr="00115A4A" w:rsidRDefault="004325D2" w:rsidP="00EE20D9">
      <w:pPr>
        <w:pStyle w:val="Heading2"/>
      </w:pPr>
      <w:proofErr w:type="gramStart"/>
      <w:r>
        <w:t>recommande</w:t>
      </w:r>
      <w:proofErr w:type="gramEnd"/>
      <w:r>
        <w:t xml:space="preserve"> de préserver le principe d’une gouvernance multiniveaux et </w:t>
      </w:r>
      <w:proofErr w:type="spellStart"/>
      <w:r>
        <w:t>multiacteurs</w:t>
      </w:r>
      <w:proofErr w:type="spellEnd"/>
      <w:r>
        <w:t xml:space="preserve">, de sorte que les programmes régionaux voient maintenu leur lien direct avec la Commission européenne; </w:t>
      </w:r>
    </w:p>
    <w:p w14:paraId="05D468BF" w14:textId="77777777" w:rsidR="004325D2" w:rsidRPr="00C34B0E" w:rsidRDefault="004325D2" w:rsidP="00EE20D9">
      <w:pPr>
        <w:rPr>
          <w:lang w:val="en-US"/>
        </w:rPr>
      </w:pPr>
    </w:p>
    <w:p w14:paraId="09FAFACA" w14:textId="13BE485C" w:rsidR="00FB107D" w:rsidRPr="00115A4A" w:rsidRDefault="00FB107D" w:rsidP="00EE20D9">
      <w:pPr>
        <w:pStyle w:val="Heading2"/>
      </w:pPr>
      <w:proofErr w:type="gramStart"/>
      <w:r>
        <w:lastRenderedPageBreak/>
        <w:t>réaffirme</w:t>
      </w:r>
      <w:proofErr w:type="gramEnd"/>
      <w:r>
        <w:t xml:space="preserve"> l’importance de répartir les ressources du FSE en fonction du critère de répartition territoriale par catégorie de régions (régions moins développées, régions en transition et régions plus développées);</w:t>
      </w:r>
    </w:p>
    <w:p w14:paraId="69CBCDD8" w14:textId="77777777" w:rsidR="00D26376" w:rsidRPr="00C34B0E" w:rsidRDefault="00D26376" w:rsidP="00EE20D9">
      <w:pPr>
        <w:rPr>
          <w:lang w:val="en-US"/>
        </w:rPr>
      </w:pPr>
    </w:p>
    <w:p w14:paraId="55AF3524" w14:textId="2FF0C83A" w:rsidR="00D26376" w:rsidRPr="00115A4A" w:rsidRDefault="00D52FFE" w:rsidP="00C6441D">
      <w:pPr>
        <w:keepNext/>
        <w:keepLines/>
        <w:rPr>
          <w:b/>
          <w:bCs/>
        </w:rPr>
      </w:pPr>
      <w:r>
        <w:rPr>
          <w:b/>
        </w:rPr>
        <w:t>Complémentarité et capacité administrative</w:t>
      </w:r>
    </w:p>
    <w:p w14:paraId="5A8DA777" w14:textId="77777777" w:rsidR="00D26376" w:rsidRPr="00115A4A" w:rsidRDefault="00D26376" w:rsidP="00C6441D">
      <w:pPr>
        <w:keepNext/>
        <w:keepLines/>
        <w:rPr>
          <w:lang w:val="it-IT"/>
        </w:rPr>
      </w:pPr>
    </w:p>
    <w:p w14:paraId="1B108319" w14:textId="48957D9B" w:rsidR="00BD482E" w:rsidRPr="00115A4A" w:rsidRDefault="00F8187C" w:rsidP="00C6441D">
      <w:pPr>
        <w:pStyle w:val="Heading2"/>
        <w:keepNext/>
        <w:keepLines/>
      </w:pPr>
      <w:proofErr w:type="gramStart"/>
      <w:r>
        <w:t>recommande</w:t>
      </w:r>
      <w:proofErr w:type="gramEnd"/>
      <w:r>
        <w:t xml:space="preserve"> d’accroître l’intégration et la complémentarité entre le FSE et d’autres programmes et d’appliquer une approche </w:t>
      </w:r>
      <w:proofErr w:type="spellStart"/>
      <w:r>
        <w:t>plurifonds</w:t>
      </w:r>
      <w:proofErr w:type="spellEnd"/>
      <w:r>
        <w:t xml:space="preserve"> entre le FSE et le FEDER;</w:t>
      </w:r>
    </w:p>
    <w:p w14:paraId="56EFD480" w14:textId="77777777" w:rsidR="0096623C" w:rsidRPr="00C34B0E" w:rsidRDefault="0096623C" w:rsidP="00EE20D9">
      <w:pPr>
        <w:rPr>
          <w:lang w:val="en-US"/>
        </w:rPr>
      </w:pPr>
    </w:p>
    <w:p w14:paraId="1E9593FD" w14:textId="14A29DC0" w:rsidR="005E0353" w:rsidRPr="00115A4A" w:rsidRDefault="0096623C" w:rsidP="00EE20D9">
      <w:pPr>
        <w:pStyle w:val="Heading2"/>
      </w:pPr>
      <w:proofErr w:type="gramStart"/>
      <w:r>
        <w:t>réaffirme</w:t>
      </w:r>
      <w:proofErr w:type="gramEnd"/>
      <w:r>
        <w:t xml:space="preserve"> la nécessité de préserver le principe d’</w:t>
      </w:r>
      <w:proofErr w:type="spellStart"/>
      <w:r>
        <w:t>additionnalité</w:t>
      </w:r>
      <w:proofErr w:type="spellEnd"/>
      <w:r>
        <w:t xml:space="preserve"> et de complémentarité des interventions du FSE par rapport aux financements nationaux ordinaires;</w:t>
      </w:r>
    </w:p>
    <w:p w14:paraId="5812104A" w14:textId="77777777" w:rsidR="009F32C9" w:rsidRPr="00C34B0E" w:rsidRDefault="009F32C9" w:rsidP="00EE20D9">
      <w:pPr>
        <w:rPr>
          <w:lang w:val="en-US"/>
        </w:rPr>
      </w:pPr>
    </w:p>
    <w:p w14:paraId="5DF5ABA4" w14:textId="2A007847" w:rsidR="00B82BC5" w:rsidRPr="00115A4A" w:rsidRDefault="009F32C9" w:rsidP="00EE20D9">
      <w:pPr>
        <w:pStyle w:val="Heading2"/>
      </w:pPr>
      <w:proofErr w:type="gramStart"/>
      <w:r>
        <w:t>recommande</w:t>
      </w:r>
      <w:proofErr w:type="gramEnd"/>
      <w:r>
        <w:t xml:space="preserve"> d’allouer une partie des ressources du FSE a l’amélioration des capacités et à une formation de qualité au bénéfice de l’administration publique afin que les ressources du FSE soient utilisées avec efficacité; </w:t>
      </w:r>
    </w:p>
    <w:p w14:paraId="1CD047F8" w14:textId="77777777" w:rsidR="009F32C9" w:rsidRPr="00C34B0E" w:rsidRDefault="009F32C9" w:rsidP="00EE20D9">
      <w:pPr>
        <w:rPr>
          <w:lang w:val="en-US"/>
        </w:rPr>
      </w:pPr>
    </w:p>
    <w:p w14:paraId="3DFFE36A" w14:textId="1D8FFA99" w:rsidR="00FD5AB7" w:rsidRPr="00115A4A" w:rsidRDefault="00FD5AB7" w:rsidP="00DA15BD">
      <w:pPr>
        <w:keepNext/>
        <w:keepLines/>
        <w:rPr>
          <w:b/>
          <w:bCs/>
        </w:rPr>
      </w:pPr>
      <w:r>
        <w:rPr>
          <w:b/>
        </w:rPr>
        <w:t xml:space="preserve">Travail, éducation et formation </w:t>
      </w:r>
    </w:p>
    <w:p w14:paraId="4507BCDD" w14:textId="77777777" w:rsidR="00B82BC5" w:rsidRPr="00115A4A" w:rsidRDefault="00B82BC5" w:rsidP="00EE20D9">
      <w:pPr>
        <w:ind w:left="567" w:hanging="567"/>
        <w:rPr>
          <w:lang w:val="it-IT"/>
        </w:rPr>
      </w:pPr>
    </w:p>
    <w:p w14:paraId="1B6D5F5E" w14:textId="658019CD" w:rsidR="00C701D4" w:rsidRPr="00262370" w:rsidRDefault="00852F50" w:rsidP="00C01603">
      <w:pPr>
        <w:pStyle w:val="Heading2"/>
      </w:pPr>
      <w:r>
        <w:t>recommande d’accroître les investissements dans des systèmes d’éducation et de formation inclusifs et de qualité, en particulier pour les femmes, les jeunes et les personnes vulnérables, afin que lesdits systèmes remédient aux problèmes du décalage entre l’offre et la demande de compétences, du sous-emploi et de l’inactivité, tout en garantissant une formation de qualité et une montée en compétences pour les formateurs en tant que facteur essentiel d’amélioration de la productivité et de la compétitivité;</w:t>
      </w:r>
    </w:p>
    <w:p w14:paraId="25E90A64" w14:textId="60A39A02" w:rsidR="003C099A" w:rsidRPr="00C34B0E" w:rsidRDefault="003C099A" w:rsidP="00C01603">
      <w:pPr>
        <w:pStyle w:val="Heading2"/>
        <w:numPr>
          <w:ilvl w:val="0"/>
          <w:numId w:val="0"/>
        </w:numPr>
        <w:ind w:left="567"/>
        <w:rPr>
          <w:rStyle w:val="Heading2Char"/>
          <w:lang w:val="en-US"/>
        </w:rPr>
      </w:pPr>
    </w:p>
    <w:p w14:paraId="154AD566" w14:textId="40B2C20C" w:rsidR="00C302B6" w:rsidRPr="005A4268" w:rsidRDefault="00C94B48" w:rsidP="00EE20D9">
      <w:pPr>
        <w:pStyle w:val="Heading2"/>
        <w:rPr>
          <w:rStyle w:val="Heading2Char"/>
        </w:rPr>
      </w:pPr>
      <w:proofErr w:type="gramStart"/>
      <w:r>
        <w:rPr>
          <w:rStyle w:val="Heading2Char"/>
        </w:rPr>
        <w:t>demande</w:t>
      </w:r>
      <w:proofErr w:type="gramEnd"/>
      <w:r>
        <w:rPr>
          <w:rStyle w:val="Heading2Char"/>
        </w:rPr>
        <w:t xml:space="preserve"> une allocation adéquate des ressources du FSE en vue de mettre en œuvre des actions de soutien au développement des compétences, y compris dans le cadre de partenariats public-privé, afin de remédier aux pénuries de main-d’œuvre et de compétences. Des incitations financières ciblées sont nécessaires pour offrir une formation au moyen de l’apprentissage pour les adultes, d’ateliers et d’un renforcement des capacités, assurer la transition entre l’école et le monde du travail ou fournir des chèques et des crédits de </w:t>
      </w:r>
      <w:proofErr w:type="gramStart"/>
      <w:r>
        <w:rPr>
          <w:rStyle w:val="Heading2Char"/>
        </w:rPr>
        <w:t>formation;</w:t>
      </w:r>
      <w:proofErr w:type="gramEnd"/>
      <w:r>
        <w:rPr>
          <w:rStyle w:val="Heading2Char"/>
        </w:rPr>
        <w:t xml:space="preserve"> </w:t>
      </w:r>
    </w:p>
    <w:p w14:paraId="7AE64C1F" w14:textId="77777777" w:rsidR="00B82BC5" w:rsidRPr="00C34B0E" w:rsidRDefault="00B82BC5" w:rsidP="00EE20D9">
      <w:pPr>
        <w:ind w:left="567" w:hanging="567"/>
        <w:rPr>
          <w:lang w:val="en-US"/>
        </w:rPr>
      </w:pPr>
    </w:p>
    <w:p w14:paraId="69D57EAD" w14:textId="5EAAD5C3" w:rsidR="003969DD" w:rsidRDefault="00FA772D" w:rsidP="00EE20D9">
      <w:pPr>
        <w:pStyle w:val="Heading2"/>
      </w:pPr>
      <w:proofErr w:type="gramStart"/>
      <w:r>
        <w:t>souligne</w:t>
      </w:r>
      <w:proofErr w:type="gramEnd"/>
      <w:r>
        <w:t xml:space="preserve"> la nécessité d’atteindre l’objectif de l’UE pour 2030 en ce qui concerne la participation des adultes à la formation continue. À cette fin, il convient d’adapter les plafonds des aides d’État </w:t>
      </w:r>
      <w:proofErr w:type="gramStart"/>
      <w:r>
        <w:t>pertinentes;</w:t>
      </w:r>
      <w:proofErr w:type="gramEnd"/>
      <w:r>
        <w:t xml:space="preserve"> </w:t>
      </w:r>
    </w:p>
    <w:p w14:paraId="2FE1968D" w14:textId="77777777" w:rsidR="00004B50" w:rsidRPr="00C34B0E" w:rsidRDefault="00004B50" w:rsidP="00C6441D">
      <w:pPr>
        <w:rPr>
          <w:lang w:val="en-US"/>
        </w:rPr>
      </w:pPr>
    </w:p>
    <w:p w14:paraId="1D55E555" w14:textId="53F457BD" w:rsidR="00C93751" w:rsidRDefault="007C1157" w:rsidP="00EE20D9">
      <w:pPr>
        <w:pStyle w:val="Heading2"/>
      </w:pPr>
      <w:proofErr w:type="gramStart"/>
      <w:r>
        <w:t>suggère</w:t>
      </w:r>
      <w:proofErr w:type="gramEnd"/>
      <w:r>
        <w:t xml:space="preserve"> de prêter davantage attention aux compétences en STIM et aux compétences vertes et numériques, en renforçant le rôle du dialogue social dans la conception et la conception conjointe de parcours de transition pour l’emploi et la reconversion professionnelle; </w:t>
      </w:r>
    </w:p>
    <w:p w14:paraId="7B7BBE22" w14:textId="77777777" w:rsidR="00FF11D9" w:rsidRPr="00C34B0E" w:rsidRDefault="00FF11D9" w:rsidP="00C01603">
      <w:pPr>
        <w:rPr>
          <w:lang w:val="en-US"/>
        </w:rPr>
      </w:pPr>
    </w:p>
    <w:p w14:paraId="56BC1805" w14:textId="5FD6CBEB" w:rsidR="007C1157" w:rsidRPr="00445F55" w:rsidRDefault="00FF11D9" w:rsidP="00EE20D9">
      <w:pPr>
        <w:pStyle w:val="Heading2"/>
      </w:pPr>
      <w:proofErr w:type="gramStart"/>
      <w:r>
        <w:t>préconise</w:t>
      </w:r>
      <w:proofErr w:type="gramEnd"/>
      <w:r>
        <w:t xml:space="preserve"> des mesures plus vigoureuses pour renforcer le rôle des femmes dans les STIM et promouvoir une approche combinant science, technologie et créativité; demande que priorité soit donnée à l’égalité entre les hommes et les femmes dans l’éducation et la formation;</w:t>
      </w:r>
    </w:p>
    <w:p w14:paraId="462D1869" w14:textId="77777777" w:rsidR="00B82BC5" w:rsidRPr="00C34B0E" w:rsidRDefault="00B82BC5" w:rsidP="00EE20D9">
      <w:pPr>
        <w:ind w:left="567" w:hanging="567"/>
        <w:rPr>
          <w:lang w:val="en-US"/>
        </w:rPr>
      </w:pPr>
    </w:p>
    <w:p w14:paraId="2336D75B" w14:textId="0F4132F0" w:rsidR="0082330F" w:rsidRPr="00115A4A" w:rsidRDefault="00AE3E99" w:rsidP="00EE20D9">
      <w:pPr>
        <w:pStyle w:val="Heading2"/>
      </w:pPr>
      <w:proofErr w:type="gramStart"/>
      <w:r>
        <w:t>recommande</w:t>
      </w:r>
      <w:proofErr w:type="gramEnd"/>
      <w:r>
        <w:t xml:space="preserve"> des interventions visant à assurer le soutien et le suivi de l’autoentrepreneuriat et du travail indépendant ainsi que le développement de l’économie sociale; </w:t>
      </w:r>
    </w:p>
    <w:p w14:paraId="4A0BC30A" w14:textId="77777777" w:rsidR="00A93F02" w:rsidRPr="00C34B0E" w:rsidRDefault="00A93F02" w:rsidP="00EE20D9">
      <w:pPr>
        <w:rPr>
          <w:lang w:val="en-US"/>
        </w:rPr>
      </w:pPr>
    </w:p>
    <w:p w14:paraId="51C64A4E" w14:textId="435DD6D9" w:rsidR="00A93F02" w:rsidRPr="00115A4A" w:rsidRDefault="00A93F02" w:rsidP="00EE20D9">
      <w:pPr>
        <w:pStyle w:val="Heading2"/>
      </w:pPr>
      <w:proofErr w:type="gramStart"/>
      <w:r>
        <w:t>demande</w:t>
      </w:r>
      <w:proofErr w:type="gramEnd"/>
      <w:r>
        <w:t xml:space="preserve"> qu’une part d’au moins 20 % des ressources du FSE soit consacrée au financement de la mise en œuvre de la garantie renforcée pour la jeunesse et au soutien d’un emploi de qualité pour les jeunes;</w:t>
      </w:r>
    </w:p>
    <w:p w14:paraId="0EBA4D52" w14:textId="77777777" w:rsidR="00A879DC" w:rsidRPr="00C34B0E" w:rsidRDefault="00A879DC" w:rsidP="00EE20D9">
      <w:pPr>
        <w:rPr>
          <w:lang w:val="en-US"/>
        </w:rPr>
      </w:pPr>
    </w:p>
    <w:p w14:paraId="3895EC55" w14:textId="3E72EB74" w:rsidR="00A879DC" w:rsidRPr="00115A4A" w:rsidRDefault="00A879DC" w:rsidP="00C6441D">
      <w:pPr>
        <w:keepNext/>
        <w:keepLines/>
        <w:rPr>
          <w:b/>
          <w:bCs/>
        </w:rPr>
      </w:pPr>
      <w:r>
        <w:rPr>
          <w:b/>
        </w:rPr>
        <w:t xml:space="preserve">Inclusion sociale </w:t>
      </w:r>
    </w:p>
    <w:p w14:paraId="5751E3D8" w14:textId="77777777" w:rsidR="00A879DC" w:rsidRPr="00115A4A" w:rsidRDefault="00A879DC" w:rsidP="00C6441D">
      <w:pPr>
        <w:keepNext/>
        <w:keepLines/>
        <w:rPr>
          <w:lang w:val="it-IT"/>
        </w:rPr>
      </w:pPr>
    </w:p>
    <w:p w14:paraId="331A28A8" w14:textId="5F045BF4" w:rsidR="007C1157" w:rsidRPr="00115A4A" w:rsidRDefault="00777EA7" w:rsidP="00C6441D">
      <w:pPr>
        <w:pStyle w:val="Heading2"/>
        <w:keepNext/>
        <w:keepLines/>
      </w:pPr>
      <w:proofErr w:type="gramStart"/>
      <w:r>
        <w:t>plaide</w:t>
      </w:r>
      <w:proofErr w:type="gramEnd"/>
      <w:r>
        <w:t xml:space="preserve"> pour que le FSE comprenne des mesures ciblées qui contribuent aux programmes d’inclusion sociale et des investissements qui améliorent l’accès aux services sociaux en les rendant durables, de qualité et accessibles aux personnes les plus vulnérables. Le FSE devrait soutenir la promotion de la santé physique et mentale et la prévention des maladies. Des efforts doivent par ailleurs porter sur une réduction de la </w:t>
      </w:r>
      <w:proofErr w:type="gramStart"/>
      <w:r>
        <w:t>pauvreté;</w:t>
      </w:r>
      <w:proofErr w:type="gramEnd"/>
      <w:r>
        <w:t xml:space="preserve"> demande de porter les ressources du FSE consacrées à l’inclusion sociale de 25 % à 30 %;</w:t>
      </w:r>
    </w:p>
    <w:p w14:paraId="6102B491" w14:textId="77777777" w:rsidR="007C1157" w:rsidRPr="00C34B0E" w:rsidRDefault="007C1157" w:rsidP="00EE20D9">
      <w:pPr>
        <w:rPr>
          <w:lang w:val="en-US"/>
        </w:rPr>
      </w:pPr>
    </w:p>
    <w:p w14:paraId="6CD2103E" w14:textId="6A9DC722" w:rsidR="009C5F09" w:rsidRPr="00445F55" w:rsidRDefault="007C1157" w:rsidP="00EE20D9">
      <w:pPr>
        <w:pStyle w:val="Heading2"/>
      </w:pPr>
      <w:proofErr w:type="gramStart"/>
      <w:r>
        <w:t>suggère</w:t>
      </w:r>
      <w:proofErr w:type="gramEnd"/>
      <w:r>
        <w:t xml:space="preserve"> que les programmes du FSE contribuent au renforcement des services aidant à concilier vie professionnelle et vie privée, en promouvant les réseaux locaux de protection sociale, les infrastructures sociales et les parcours d’inclusion active. Il importe d’adopter systématiquement une approche tenant compte de l’égalité entre hommes et femmes dans la conception, la mise en œuvre et l’évaluation des politiques et des orientations programmatiques du </w:t>
      </w:r>
      <w:proofErr w:type="gramStart"/>
      <w:r>
        <w:t>FSE;</w:t>
      </w:r>
      <w:proofErr w:type="gramEnd"/>
    </w:p>
    <w:p w14:paraId="6620ABA8" w14:textId="77777777" w:rsidR="009C5F09" w:rsidRPr="00C34B0E" w:rsidRDefault="009C5F09" w:rsidP="00C01603">
      <w:pPr>
        <w:rPr>
          <w:lang w:val="en-US"/>
        </w:rPr>
      </w:pPr>
    </w:p>
    <w:p w14:paraId="0E7760EF" w14:textId="4F613393" w:rsidR="007C1157" w:rsidRPr="00115A4A" w:rsidRDefault="00C34B0E" w:rsidP="00EE20D9">
      <w:pPr>
        <w:pStyle w:val="Heading2"/>
      </w:pPr>
      <w:proofErr w:type="gramStart"/>
      <w:r>
        <w:t>demande</w:t>
      </w:r>
      <w:proofErr w:type="gramEnd"/>
      <w:r>
        <w:t xml:space="preserve"> qu’un soutien soit apporté à l’autonomie des personnes âgées dépendantes et des personnes handicapées au moyen de mesures de </w:t>
      </w:r>
      <w:proofErr w:type="spellStart"/>
      <w:r>
        <w:t>désinstitutionnalisation</w:t>
      </w:r>
      <w:proofErr w:type="spellEnd"/>
      <w:r>
        <w:t xml:space="preserve"> et de renforcement des services à domicile, leur garantissant une plus grande autonomie et une participation accrue à la vie sociale; </w:t>
      </w:r>
    </w:p>
    <w:p w14:paraId="5D1FAB4A" w14:textId="77777777" w:rsidR="00BF2851" w:rsidRPr="00C34B0E" w:rsidRDefault="00BF2851" w:rsidP="00EE20D9">
      <w:pPr>
        <w:rPr>
          <w:lang w:val="en-US"/>
        </w:rPr>
      </w:pPr>
    </w:p>
    <w:p w14:paraId="25BF79E0" w14:textId="365F8ED3" w:rsidR="00BF2851" w:rsidRPr="00115A4A" w:rsidRDefault="00BF2851" w:rsidP="00EE20D9">
      <w:pPr>
        <w:pStyle w:val="Heading2"/>
      </w:pPr>
      <w:proofErr w:type="gramStart"/>
      <w:r>
        <w:t>encourage</w:t>
      </w:r>
      <w:proofErr w:type="gramEnd"/>
      <w:r>
        <w:t xml:space="preserve"> les États membres à recourir aux ressources du FSE pour soutenir le cofinancement de plans en faveur de logements à prix abordable;</w:t>
      </w:r>
    </w:p>
    <w:p w14:paraId="05C20610" w14:textId="5D8BE6C7" w:rsidR="009B76FF" w:rsidRPr="00C34B0E" w:rsidRDefault="009B76FF" w:rsidP="00EE20D9">
      <w:pPr>
        <w:rPr>
          <w:lang w:val="en-US"/>
        </w:rPr>
      </w:pPr>
    </w:p>
    <w:p w14:paraId="366E43BB" w14:textId="7A962B94" w:rsidR="00ED2D85" w:rsidRPr="00115A4A" w:rsidRDefault="00ED2D85" w:rsidP="00DA15BD">
      <w:pPr>
        <w:keepNext/>
        <w:keepLines/>
        <w:rPr>
          <w:b/>
          <w:bCs/>
        </w:rPr>
      </w:pPr>
      <w:r>
        <w:rPr>
          <w:b/>
        </w:rPr>
        <w:t xml:space="preserve">Communication </w:t>
      </w:r>
    </w:p>
    <w:p w14:paraId="07BF2942" w14:textId="77777777" w:rsidR="00CF6CF1" w:rsidRPr="00115A4A" w:rsidRDefault="00CF6CF1" w:rsidP="00DA15BD">
      <w:pPr>
        <w:keepNext/>
        <w:keepLines/>
        <w:rPr>
          <w:b/>
          <w:bCs/>
          <w:lang w:val="it-IT"/>
        </w:rPr>
      </w:pPr>
    </w:p>
    <w:p w14:paraId="2FE035B7" w14:textId="2BD58A90" w:rsidR="007C1157" w:rsidRPr="0063799D" w:rsidRDefault="00B70D4C" w:rsidP="00B1678B">
      <w:pPr>
        <w:pStyle w:val="Heading2"/>
      </w:pPr>
      <w:proofErr w:type="gramStart"/>
      <w:r>
        <w:t>invite</w:t>
      </w:r>
      <w:proofErr w:type="gramEnd"/>
      <w:r>
        <w:t xml:space="preserve"> la Commission à renforcer la communication et la formation sur les possibilités d’accès au FSE, y compris par une utilisation plus ciblée des réseaux sociaux. </w:t>
      </w:r>
    </w:p>
    <w:p w14:paraId="71D3BB5B" w14:textId="77777777" w:rsidR="00262370" w:rsidRPr="00C34B0E" w:rsidRDefault="00262370" w:rsidP="00C01603">
      <w:pPr>
        <w:pStyle w:val="Heading1"/>
        <w:keepNext/>
        <w:keepLines/>
        <w:numPr>
          <w:ilvl w:val="0"/>
          <w:numId w:val="0"/>
        </w:numPr>
        <w:ind w:left="567"/>
        <w:rPr>
          <w:b/>
          <w:lang w:val="en-US"/>
        </w:rPr>
      </w:pPr>
    </w:p>
    <w:p w14:paraId="15F989BF" w14:textId="41D3B501" w:rsidR="00B82BC5" w:rsidRPr="00115A4A" w:rsidRDefault="00B82BC5" w:rsidP="00EE20D9">
      <w:pPr>
        <w:pStyle w:val="Heading1"/>
        <w:keepNext/>
        <w:keepLines/>
        <w:ind w:left="567" w:hanging="567"/>
        <w:rPr>
          <w:b/>
        </w:rPr>
      </w:pPr>
      <w:r>
        <w:rPr>
          <w:b/>
        </w:rPr>
        <w:t>NOTES EXPLICATIVES</w:t>
      </w:r>
    </w:p>
    <w:p w14:paraId="4BC3A0D8" w14:textId="77777777" w:rsidR="00B82BC5" w:rsidRPr="00115A4A" w:rsidRDefault="00B82BC5" w:rsidP="00EE20D9">
      <w:pPr>
        <w:keepNext/>
        <w:keepLines/>
        <w:rPr>
          <w:lang w:val="it-IT"/>
        </w:rPr>
      </w:pPr>
    </w:p>
    <w:p w14:paraId="7CE76557" w14:textId="1CCE26D3" w:rsidR="00B82BC5" w:rsidRPr="00115A4A" w:rsidRDefault="004F3F1F" w:rsidP="00EE20D9">
      <w:pPr>
        <w:pStyle w:val="Heading2"/>
      </w:pPr>
      <w:r>
        <w:t xml:space="preserve">Pour le prochain cadre budgétaire pluriannuel à long terme de l’Union européenne (UE), la Commission propose de fusionner en un seul fonds les stratégies portant sur la politique agricole et la cohésion, en remplacement des 14 fonds actuellement consacrés aux secteurs concernés. Cette stratégie sera mise en œuvre au moyen des plans de partenariat national et régional (plans PNR). </w:t>
      </w:r>
    </w:p>
    <w:p w14:paraId="06AFF3BA" w14:textId="77777777" w:rsidR="00A92D2A" w:rsidRPr="00115A4A" w:rsidRDefault="00A92D2A" w:rsidP="00EE20D9">
      <w:pPr>
        <w:rPr>
          <w:lang w:val="it-IT"/>
        </w:rPr>
      </w:pPr>
    </w:p>
    <w:p w14:paraId="5427A90D" w14:textId="0618F5F4" w:rsidR="00B82BC5" w:rsidRPr="00115A4A" w:rsidRDefault="004C3307" w:rsidP="00EE20D9">
      <w:pPr>
        <w:pStyle w:val="Heading2"/>
      </w:pPr>
      <w:r>
        <w:t xml:space="preserve">Dans le cadre des nouveaux plans PNR, le FSE soutiendra l’emploi de qualité, les compétences et l’inclusion sociale. Les plans PNR devraient également contribuer à promouvoir l’égalité des chances, à lutter contre la pauvreté et le sans-abrisme et à promouvoir la solidarité intergénérationnelle. </w:t>
      </w:r>
    </w:p>
    <w:p w14:paraId="108D27AD" w14:textId="77777777" w:rsidR="00B82BC5" w:rsidRPr="00C34B0E" w:rsidRDefault="00B82BC5" w:rsidP="00EE20D9">
      <w:pPr>
        <w:rPr>
          <w:lang w:val="en-US"/>
        </w:rPr>
      </w:pPr>
    </w:p>
    <w:p w14:paraId="37FCAC18" w14:textId="3A318B48" w:rsidR="0059619F" w:rsidRPr="00115A4A" w:rsidRDefault="008F456F" w:rsidP="00EE20D9">
      <w:pPr>
        <w:pStyle w:val="Heading2"/>
      </w:pPr>
      <w:r>
        <w:lastRenderedPageBreak/>
        <w:t>La répartition des ressources dans le cadre des plans PNR sera liée aux objectifs et à la mise en œuvre de réformes structurelles. Le CESE estime que les réformes doivent être équitables et durables et qu’en ce qui concerne l’utilisation des ressources du FSE, il convient de trouver un juste équilibre entre les défis et les priorités de l’Europe (Semestre européen, programmation budgétaire, plans nationaux en matière d’énergie et de climat, etc.) et d’améliorer la compétitivité, la productivité, la qualité de l’emploi et la participation au marché du travail.</w:t>
      </w:r>
    </w:p>
    <w:p w14:paraId="1E1E9EF3" w14:textId="77777777" w:rsidR="001F6A8B" w:rsidRPr="00C34B0E" w:rsidRDefault="001F6A8B" w:rsidP="00EE20D9">
      <w:pPr>
        <w:rPr>
          <w:lang w:val="en-US"/>
        </w:rPr>
      </w:pPr>
    </w:p>
    <w:p w14:paraId="68C1AB0A" w14:textId="0207258D" w:rsidR="008F456F" w:rsidRPr="00115A4A" w:rsidRDefault="0059619F" w:rsidP="00DA15BD">
      <w:pPr>
        <w:keepNext/>
        <w:keepLines/>
        <w:ind w:left="567"/>
        <w:rPr>
          <w:i/>
          <w:iCs/>
        </w:rPr>
      </w:pPr>
      <w:r>
        <w:rPr>
          <w:i/>
        </w:rPr>
        <w:t>Arguments à l’appui de la recommandation 1.1</w:t>
      </w:r>
    </w:p>
    <w:p w14:paraId="6A82E992" w14:textId="77777777" w:rsidR="00D068E6" w:rsidRPr="00C34B0E" w:rsidRDefault="00D068E6" w:rsidP="00DA15BD">
      <w:pPr>
        <w:keepNext/>
        <w:keepLines/>
        <w:rPr>
          <w:lang w:val="en-US"/>
        </w:rPr>
      </w:pPr>
    </w:p>
    <w:p w14:paraId="3D8B5E8E" w14:textId="4106B611" w:rsidR="00B05E29" w:rsidRPr="00115A4A" w:rsidRDefault="00DD71D9" w:rsidP="00EE20D9">
      <w:pPr>
        <w:pStyle w:val="Heading2"/>
      </w:pPr>
      <w:r>
        <w:t xml:space="preserve">Le FSE a été le premier instrument institué par l’UE afin de promouvoir les facilités d’emploi et la mobilité géographique et professionnelle des travailleurs, ainsi que de faciliter l’adaptation aux mutations industrielles et à l’évolution des systèmes de production, notamment par la formation et la reconversion professionnelles. Le CESE demande que le FSE soit renforcé aux fins de consolider la dimension sociale de l’UE. </w:t>
      </w:r>
    </w:p>
    <w:p w14:paraId="511C506D" w14:textId="77777777" w:rsidR="00171C69" w:rsidRPr="00C34B0E" w:rsidRDefault="00171C69" w:rsidP="00EE20D9">
      <w:pPr>
        <w:rPr>
          <w:lang w:val="en-US" w:eastAsia="it-IT"/>
        </w:rPr>
      </w:pPr>
    </w:p>
    <w:p w14:paraId="4832074F" w14:textId="127AA0A7" w:rsidR="00617C60" w:rsidRPr="00115A4A" w:rsidRDefault="00171C69" w:rsidP="00DA15BD">
      <w:pPr>
        <w:keepNext/>
        <w:keepLines/>
        <w:ind w:left="567"/>
        <w:rPr>
          <w:i/>
          <w:iCs/>
        </w:rPr>
      </w:pPr>
      <w:r>
        <w:rPr>
          <w:i/>
        </w:rPr>
        <w:t>Arguments à l’appui de la recommandation 1.2</w:t>
      </w:r>
    </w:p>
    <w:p w14:paraId="405D6C0D" w14:textId="77777777" w:rsidR="00171C69" w:rsidRPr="00C34B0E" w:rsidRDefault="00171C69" w:rsidP="00DA15BD">
      <w:pPr>
        <w:keepNext/>
        <w:keepLines/>
        <w:rPr>
          <w:lang w:val="en-US" w:eastAsia="it-IT"/>
        </w:rPr>
      </w:pPr>
    </w:p>
    <w:p w14:paraId="44B83B16" w14:textId="39837D32" w:rsidR="00FA3F14" w:rsidRPr="00115A4A" w:rsidRDefault="00D67D06" w:rsidP="00EE20D9">
      <w:pPr>
        <w:pStyle w:val="Heading2"/>
      </w:pPr>
      <w:r>
        <w:t xml:space="preserve">Le CESE estime qu’il est essentiel de préserver la particularité et la spécificité du FSE, dont le rôle devrait être renforcé compte tenu également des nouveaux défis sociaux relevés par la Commission européenne elle-même s’agissant de l’avenir en général et de la mise en œuvre du socle européen des droits sociaux en particulier. La configuration actuelle du fonds, avec des programmes régionaux et nationaux, devrait être maintenue. </w:t>
      </w:r>
    </w:p>
    <w:p w14:paraId="6ABFA337" w14:textId="77777777" w:rsidR="00FA3F14" w:rsidRPr="00C34B0E" w:rsidRDefault="00FA3F14" w:rsidP="00EE20D9">
      <w:pPr>
        <w:rPr>
          <w:lang w:val="en-US"/>
        </w:rPr>
      </w:pPr>
    </w:p>
    <w:p w14:paraId="1AA5F1BD" w14:textId="7728A6FF" w:rsidR="0027654A" w:rsidRPr="00115A4A" w:rsidRDefault="0027654A" w:rsidP="00EE20D9">
      <w:pPr>
        <w:keepNext/>
        <w:keepLines/>
        <w:widowControl w:val="0"/>
        <w:ind w:left="567"/>
      </w:pPr>
      <w:r>
        <w:rPr>
          <w:i/>
        </w:rPr>
        <w:t>Arguments à l’appui de la recommandation 1.3</w:t>
      </w:r>
    </w:p>
    <w:p w14:paraId="4D599FCB" w14:textId="77777777" w:rsidR="0027654A" w:rsidRPr="00C34B0E" w:rsidRDefault="0027654A" w:rsidP="00EE20D9">
      <w:pPr>
        <w:keepNext/>
        <w:keepLines/>
        <w:widowControl w:val="0"/>
        <w:rPr>
          <w:lang w:val="en-US"/>
        </w:rPr>
      </w:pPr>
    </w:p>
    <w:p w14:paraId="5E09FED5" w14:textId="21BB19B9" w:rsidR="00C516E0" w:rsidRPr="00115A4A" w:rsidRDefault="000C7B3C" w:rsidP="00EE20D9">
      <w:pPr>
        <w:pStyle w:val="Heading2"/>
        <w:keepNext/>
        <w:keepLines/>
      </w:pPr>
      <w:r>
        <w:t>Il convient de mettre en place des mécanismes souples et simplifiés, axés sur l’investissement dans les personnes, afin de veiller à ce qu’elles soient munies des compétences adéquates et bénéficient d’une protection sociale moderne et adaptée aux nouvelles formes de travail, et ce dans un esprit de solidarité avec ceux qui en ont le plus besoin. Par ailleurs, il serait utile d’introduire des éléments de simplification des procédures administratives pour l’accès aux financements du FSE.</w:t>
      </w:r>
    </w:p>
    <w:p w14:paraId="2A6FA7F9" w14:textId="77777777" w:rsidR="00565A69" w:rsidRPr="00C34B0E" w:rsidRDefault="00565A69" w:rsidP="00EE20D9">
      <w:pPr>
        <w:rPr>
          <w:i/>
          <w:iCs/>
          <w:lang w:val="en-US"/>
        </w:rPr>
      </w:pPr>
    </w:p>
    <w:p w14:paraId="17874779" w14:textId="55D4E56B" w:rsidR="00115904" w:rsidRPr="00115A4A" w:rsidRDefault="00115904" w:rsidP="00EE20D9">
      <w:pPr>
        <w:ind w:left="567"/>
        <w:rPr>
          <w:i/>
          <w:iCs/>
        </w:rPr>
      </w:pPr>
      <w:r>
        <w:rPr>
          <w:i/>
        </w:rPr>
        <w:t>Arguments à l’appui des recommandations 1.4, 1.5, 1.6 et 1.7</w:t>
      </w:r>
    </w:p>
    <w:p w14:paraId="1D67DDD9" w14:textId="77777777" w:rsidR="008E1185" w:rsidRPr="00C34B0E" w:rsidRDefault="008E1185" w:rsidP="00EE20D9">
      <w:pPr>
        <w:rPr>
          <w:lang w:val="en-US"/>
        </w:rPr>
      </w:pPr>
    </w:p>
    <w:p w14:paraId="7294105B" w14:textId="72869B38" w:rsidR="00C516E0" w:rsidRPr="00115A4A" w:rsidRDefault="005E7230" w:rsidP="00EE20D9">
      <w:pPr>
        <w:pStyle w:val="Heading2"/>
      </w:pPr>
      <w:r>
        <w:t>Le CESE préconise une consultation structurée des partenaires sociaux et des organisations de la société civile aux niveaux européen, national et local dans le cadre de la mise en œuvre du FSE. Il y a lieu de mettre en œuvre une coopération étroite entre les pouvoirs publics, les partenaires sociaux et les organisations de la société civile lors de chaque phase du processus de programmation et d’évaluation de l’impact social et sur l’emploi — de la conception à la gestion et à la mise en œuvre, en passant par la conception conjointe des projets, jusqu’au suivi et à l’évaluation — et donner lieu aussi à un échange de bonnes pratiques et d’expériences transnationales.</w:t>
      </w:r>
    </w:p>
    <w:p w14:paraId="4A1AB510" w14:textId="77777777" w:rsidR="005E7230" w:rsidRPr="00C34B0E" w:rsidRDefault="005E7230" w:rsidP="00EE20D9">
      <w:pPr>
        <w:rPr>
          <w:lang w:val="en-US"/>
        </w:rPr>
      </w:pPr>
    </w:p>
    <w:p w14:paraId="1E15025E" w14:textId="1DFE1B7F" w:rsidR="00C516E0" w:rsidRPr="00115A4A" w:rsidRDefault="005E7230" w:rsidP="00EE20D9">
      <w:pPr>
        <w:pStyle w:val="Heading2"/>
      </w:pPr>
      <w:r>
        <w:t xml:space="preserve">Le partenariat est une valeur fondatrice de la politique de cohésion. À cette fin, la participation des partenaires sociaux et des organisations de la société civile devra se conformer aux principes du code de conduite européen en matière de partenariat, qui devrait toutefois mieux distinguer le </w:t>
      </w:r>
      <w:r>
        <w:lastRenderedPageBreak/>
        <w:t>rôle des partenaires sociaux et des organisations de la société civile de celui assigné au partenariat institutionnel. Il convient de maintenir les comités de suivi de tous les programmes nationaux et régionaux du FSE et d’y préserver le droit de vote des partenaires sociaux et des organisations de la société civile.</w:t>
      </w:r>
    </w:p>
    <w:p w14:paraId="0436F3B3" w14:textId="77777777" w:rsidR="00A3193F" w:rsidRPr="00C34B0E" w:rsidRDefault="00A3193F" w:rsidP="00EE20D9">
      <w:pPr>
        <w:rPr>
          <w:lang w:val="en-US"/>
        </w:rPr>
      </w:pPr>
    </w:p>
    <w:p w14:paraId="267722E7" w14:textId="73FE32EB" w:rsidR="00DF596F" w:rsidRPr="00115A4A" w:rsidRDefault="00653D8D" w:rsidP="00EE20D9">
      <w:pPr>
        <w:pStyle w:val="Heading2"/>
      </w:pPr>
      <w:r>
        <w:t>De manière générale, tous les programmes financés par le FSE devraient prévoir qu’un pourcentage plus élevé des ressources soit destiné à améliorer le renforcement des capacités des partenaires sociaux et des organisations de la société civile s’agissant de l’utilisation des fonds européens.</w:t>
      </w:r>
    </w:p>
    <w:p w14:paraId="0D9E84BA" w14:textId="77777777" w:rsidR="0062106F" w:rsidRPr="00C34B0E" w:rsidRDefault="0062106F" w:rsidP="00EE20D9">
      <w:pPr>
        <w:rPr>
          <w:lang w:val="en-US"/>
        </w:rPr>
      </w:pPr>
    </w:p>
    <w:p w14:paraId="3176C0D4" w14:textId="17DD13C3" w:rsidR="0062106F" w:rsidRPr="00115A4A" w:rsidRDefault="0062106F" w:rsidP="00C6441D">
      <w:pPr>
        <w:keepNext/>
        <w:keepLines/>
        <w:ind w:left="567"/>
        <w:rPr>
          <w:i/>
          <w:iCs/>
        </w:rPr>
      </w:pPr>
      <w:r>
        <w:rPr>
          <w:i/>
        </w:rPr>
        <w:t>Arguments à l’appui des recommandations 1.8 et 1.9</w:t>
      </w:r>
    </w:p>
    <w:p w14:paraId="54DC6C7C" w14:textId="77777777" w:rsidR="000626E1" w:rsidRPr="00C34B0E" w:rsidRDefault="000626E1" w:rsidP="00C6441D">
      <w:pPr>
        <w:keepNext/>
        <w:keepLines/>
        <w:rPr>
          <w:lang w:val="en-US"/>
        </w:rPr>
      </w:pPr>
    </w:p>
    <w:p w14:paraId="10553D53" w14:textId="62B68DAC" w:rsidR="00AA39CF" w:rsidRPr="001D4334" w:rsidRDefault="00D51ABA">
      <w:pPr>
        <w:pStyle w:val="Heading2"/>
      </w:pPr>
      <w:r>
        <w:t>La dimension territoriale doit être préservée grâce au principe de partenariat et à une gouvernance multipartite et à plusieurs niveaux, tout en maintenant une approche territorialisée. La complémentarité avec d’autres programmes est importante. Le CESE réaffirme l’importance de répartir les ressources du FSE en fonction du critère de répartition territoriale par catégorie de régions (régions moins développées, régions en transition et régions plus développées).</w:t>
      </w:r>
    </w:p>
    <w:p w14:paraId="18B1CF23" w14:textId="77777777" w:rsidR="00F263DF" w:rsidRPr="00C34B0E" w:rsidRDefault="00F263DF" w:rsidP="00EE20D9">
      <w:pPr>
        <w:rPr>
          <w:i/>
          <w:iCs/>
          <w:lang w:val="en-US"/>
        </w:rPr>
      </w:pPr>
    </w:p>
    <w:p w14:paraId="633C0E1C" w14:textId="0C90B9A2" w:rsidR="00FB107D" w:rsidRPr="00115A4A" w:rsidRDefault="00130639" w:rsidP="00DA15BD">
      <w:pPr>
        <w:keepNext/>
        <w:keepLines/>
        <w:ind w:left="567"/>
        <w:rPr>
          <w:i/>
          <w:iCs/>
        </w:rPr>
      </w:pPr>
      <w:r>
        <w:rPr>
          <w:i/>
        </w:rPr>
        <w:t>Arguments à l’appui des recommandations 1.10 et 1.11</w:t>
      </w:r>
    </w:p>
    <w:p w14:paraId="2AE97016" w14:textId="77777777" w:rsidR="00130639" w:rsidRPr="00C34B0E" w:rsidRDefault="00130639" w:rsidP="00C01603">
      <w:pPr>
        <w:pStyle w:val="Heading2"/>
        <w:numPr>
          <w:ilvl w:val="0"/>
          <w:numId w:val="0"/>
        </w:numPr>
        <w:ind w:left="567"/>
        <w:rPr>
          <w:lang w:val="en-US"/>
        </w:rPr>
      </w:pPr>
    </w:p>
    <w:p w14:paraId="25BCE26A" w14:textId="06AE86D1" w:rsidR="00AA39CF" w:rsidRDefault="00AA39CF" w:rsidP="007C5073">
      <w:pPr>
        <w:pStyle w:val="Heading2"/>
      </w:pPr>
      <w:r>
        <w:t xml:space="preserve">Afin d’éviter les doubles emplois et les chevauchements d’interventions entre les différents fonds et d’autres programmes européens, le CESE recommande d’accroître l’intégration et la complémentarité entre les programmes financés par le FSE et d’autres programmes du FEDER, du </w:t>
      </w:r>
      <w:proofErr w:type="spellStart"/>
      <w:r>
        <w:t>Feader</w:t>
      </w:r>
      <w:proofErr w:type="spellEnd"/>
      <w:r>
        <w:t xml:space="preserve">, du FEP, d’Erasmus+ et de l’instrument européen de microfinancement Progress. Il serait préférable d’appliquer une approche </w:t>
      </w:r>
      <w:proofErr w:type="spellStart"/>
      <w:r>
        <w:t>plurifonds</w:t>
      </w:r>
      <w:proofErr w:type="spellEnd"/>
      <w:r>
        <w:t xml:space="preserve"> entre le FSE et le FEDER, de même qu’il est nécessaire de préserver les principes d’</w:t>
      </w:r>
      <w:proofErr w:type="spellStart"/>
      <w:r>
        <w:t>additionnalité</w:t>
      </w:r>
      <w:proofErr w:type="spellEnd"/>
      <w:r>
        <w:t xml:space="preserve"> et de complémentarité des interventions du FSE par rapport aux financements nationaux ordinaires.</w:t>
      </w:r>
    </w:p>
    <w:p w14:paraId="2DA316B9" w14:textId="77777777" w:rsidR="007C5073" w:rsidRPr="00C34B0E" w:rsidRDefault="007C5073" w:rsidP="00C01603">
      <w:pPr>
        <w:rPr>
          <w:lang w:val="en-US"/>
        </w:rPr>
      </w:pPr>
    </w:p>
    <w:p w14:paraId="3A8C18E7" w14:textId="17BB8657" w:rsidR="00AA39CF" w:rsidRPr="00C01603" w:rsidRDefault="00D9115D" w:rsidP="00C01603">
      <w:pPr>
        <w:ind w:left="567"/>
        <w:rPr>
          <w:i/>
          <w:iCs/>
        </w:rPr>
      </w:pPr>
      <w:r>
        <w:rPr>
          <w:i/>
        </w:rPr>
        <w:t>Arguments à l’appui de la recommandation 1.12</w:t>
      </w:r>
    </w:p>
    <w:p w14:paraId="255E25BB" w14:textId="77777777" w:rsidR="007C5073" w:rsidRPr="00C34B0E" w:rsidRDefault="007C5073" w:rsidP="00EE20D9">
      <w:pPr>
        <w:rPr>
          <w:lang w:val="en-US"/>
        </w:rPr>
      </w:pPr>
    </w:p>
    <w:p w14:paraId="60183972" w14:textId="36EB3DB1" w:rsidR="00674663" w:rsidRPr="00115A4A" w:rsidRDefault="00674663" w:rsidP="00EE20D9">
      <w:pPr>
        <w:pStyle w:val="Heading2"/>
      </w:pPr>
      <w:r>
        <w:t xml:space="preserve">L’expérience passée en matière de programmation, notamment le retard au démarrage de la période de programmation 2021-2027, a mis en évidence un plafonnement dans la capacité de dépense des fonds européens, en raison de capacités administratives limitées. À cet égard, le CESE recommande d’allouer une partie des ressources du FSE à l’amélioration de la capacité de l’administration publique à utiliser correctement lesdites ressources. </w:t>
      </w:r>
    </w:p>
    <w:p w14:paraId="6018EC10" w14:textId="77777777" w:rsidR="00270F0C" w:rsidRPr="00C34B0E" w:rsidRDefault="00270F0C" w:rsidP="00EE20D9">
      <w:pPr>
        <w:rPr>
          <w:lang w:val="en-US"/>
        </w:rPr>
      </w:pPr>
    </w:p>
    <w:p w14:paraId="21CB5C59" w14:textId="306D6B9D" w:rsidR="00270F0C" w:rsidRPr="00115A4A" w:rsidRDefault="00270F0C" w:rsidP="00DA15BD">
      <w:pPr>
        <w:keepNext/>
        <w:keepLines/>
        <w:ind w:left="567"/>
        <w:rPr>
          <w:i/>
          <w:iCs/>
        </w:rPr>
      </w:pPr>
      <w:r>
        <w:rPr>
          <w:i/>
        </w:rPr>
        <w:t>Arguments à l’appui des recommandations 1.13, 1.14, 1.15, 1.16 et 1.17</w:t>
      </w:r>
    </w:p>
    <w:p w14:paraId="63CF9307" w14:textId="77777777" w:rsidR="00682F5A" w:rsidRPr="00C34B0E" w:rsidRDefault="00682F5A" w:rsidP="00DA15BD">
      <w:pPr>
        <w:keepNext/>
        <w:keepLines/>
        <w:rPr>
          <w:lang w:val="en-US"/>
        </w:rPr>
      </w:pPr>
    </w:p>
    <w:p w14:paraId="7AEA859B" w14:textId="74C7A2FD" w:rsidR="006162E2" w:rsidRPr="001D4334" w:rsidRDefault="000F0FF1" w:rsidP="00C01603">
      <w:pPr>
        <w:pStyle w:val="Heading2"/>
      </w:pPr>
      <w:r>
        <w:t xml:space="preserve">Des investissements sont nécessaires pour remédier aux pénuries de compétences et à leur inadéquation aux besoins du marché en tant que facteur clé de l’amélioration de la productivité et de la compétitivité, moyennant une augmentation des ressources financières et humaines pour soutenir la création d’emplois de qualité, la formation, les mesures permettant de concilier vie professionnelle et vie privée et les incitations visant à promouvoir l’emploi des femmes et des groupes défavorisés. Des financements ciblés devraient être prévus pour renforcer les centres pour l’emploi. Il est prioritaire d’investir des ressources adéquates dans les services publics de </w:t>
      </w:r>
      <w:r>
        <w:lastRenderedPageBreak/>
        <w:t xml:space="preserve">garde d’enfants de 0 à 6 ans et de soins de longue durée, en les rendant accessibles en priorité aux ménages les plus vulnérables. </w:t>
      </w:r>
    </w:p>
    <w:p w14:paraId="743833E0" w14:textId="77777777" w:rsidR="00394D49" w:rsidRPr="00C34B0E" w:rsidRDefault="00394D49" w:rsidP="00EE20D9">
      <w:pPr>
        <w:rPr>
          <w:lang w:val="en-US"/>
        </w:rPr>
      </w:pPr>
    </w:p>
    <w:p w14:paraId="36CBE14C" w14:textId="515ACB7C" w:rsidR="0082330F" w:rsidRPr="00244586" w:rsidRDefault="00EB63AC" w:rsidP="00C6441D">
      <w:pPr>
        <w:pStyle w:val="Heading2"/>
      </w:pPr>
      <w:r>
        <w:t xml:space="preserve">Le CESE recommande d’accroître les investissements dans un système d’éducation et de formation inclusif et de qualité pour apporter des réponses en ce qui concerne le décalage entre l’offre et la demande de compétences, la formation continue, le sous-emploi et l’inactivité, et étendre possibilités de formation et conditions de travail équitables aux travailleurs employés dans les nouvelles formes d’emploi. Il convient de garantir une formation de qualité et une montée en compétences pour les formateurs. Il y a lieu de mettre en œuvre des mesures d’orientation pour renforcer la participation des femmes s’agissant des STIM. Il faut veiller à ce que l’encadrement servant à contrôler les aides d’État tienne suffisamment compte des priorités absolues que sont la formation et le perfectionnement professionnel de la main-d’œuvre européenne. </w:t>
      </w:r>
    </w:p>
    <w:p w14:paraId="305D9AEE" w14:textId="77777777" w:rsidR="00B73864" w:rsidRPr="00C34B0E" w:rsidRDefault="00B73864" w:rsidP="00EE20D9">
      <w:pPr>
        <w:ind w:left="567"/>
        <w:rPr>
          <w:i/>
          <w:iCs/>
          <w:lang w:val="en-US"/>
        </w:rPr>
      </w:pPr>
    </w:p>
    <w:p w14:paraId="73AF9C07" w14:textId="70C631B6" w:rsidR="0082330F" w:rsidRPr="00115A4A" w:rsidRDefault="0082330F" w:rsidP="00C01603">
      <w:pPr>
        <w:keepNext/>
        <w:keepLines/>
        <w:ind w:left="567"/>
        <w:rPr>
          <w:i/>
          <w:iCs/>
        </w:rPr>
      </w:pPr>
      <w:r>
        <w:rPr>
          <w:i/>
        </w:rPr>
        <w:t>Arguments à l’appui de la recommandation 1.18</w:t>
      </w:r>
    </w:p>
    <w:p w14:paraId="4F58EF13" w14:textId="77777777" w:rsidR="006373A4" w:rsidRPr="00C34B0E" w:rsidRDefault="006373A4" w:rsidP="00C01603">
      <w:pPr>
        <w:keepNext/>
        <w:keepLines/>
        <w:rPr>
          <w:lang w:val="en-US"/>
        </w:rPr>
      </w:pPr>
    </w:p>
    <w:p w14:paraId="32B968BF" w14:textId="10771AA7" w:rsidR="007778D2" w:rsidRPr="00115A4A" w:rsidRDefault="006141D4" w:rsidP="00C01603">
      <w:pPr>
        <w:pStyle w:val="Heading2"/>
        <w:keepNext/>
        <w:keepLines/>
      </w:pPr>
      <w:r>
        <w:t>Le CESE recommande d’utiliser les ressources du FSE afin de soutenir en particulier les jeunes possédant une aptitude au travail indépendant, à l’entrepreneuriat et à l’économie sociale.</w:t>
      </w:r>
    </w:p>
    <w:p w14:paraId="3FA8E014" w14:textId="77777777" w:rsidR="00FD5AB7" w:rsidRPr="00C34B0E" w:rsidRDefault="00FD5AB7" w:rsidP="00EE20D9">
      <w:pPr>
        <w:rPr>
          <w:lang w:val="en-US"/>
        </w:rPr>
      </w:pPr>
    </w:p>
    <w:p w14:paraId="3574C16A" w14:textId="7E6DFE7C" w:rsidR="00A93F02" w:rsidRPr="000B5E1D" w:rsidRDefault="00A93F02" w:rsidP="00DA15BD">
      <w:pPr>
        <w:keepNext/>
        <w:keepLines/>
        <w:ind w:left="567"/>
        <w:rPr>
          <w:i/>
          <w:iCs/>
        </w:rPr>
      </w:pPr>
      <w:r>
        <w:rPr>
          <w:i/>
        </w:rPr>
        <w:t>Arguments à l’appui de la recommandation 1.19</w:t>
      </w:r>
    </w:p>
    <w:p w14:paraId="724ADE07" w14:textId="77777777" w:rsidR="00A93F02" w:rsidRPr="00C34B0E" w:rsidRDefault="00A93F02" w:rsidP="00DA15BD">
      <w:pPr>
        <w:keepNext/>
        <w:keepLines/>
        <w:rPr>
          <w:lang w:val="en-US"/>
        </w:rPr>
      </w:pPr>
    </w:p>
    <w:p w14:paraId="25CF4802" w14:textId="26F4A452" w:rsidR="00F028D9" w:rsidRPr="000B5E1D" w:rsidRDefault="007778D2" w:rsidP="00C01603">
      <w:pPr>
        <w:pStyle w:val="Heading2"/>
      </w:pPr>
      <w:r>
        <w:t>Il convient d’accorder une attention particulière au chômage des jeunes. Le FSE devrait continuer à se concentrer sur le chômage des jeunes et le phénomène des</w:t>
      </w:r>
      <w:proofErr w:type="gramStart"/>
      <w:r>
        <w:t xml:space="preserve"> «NEET</w:t>
      </w:r>
      <w:proofErr w:type="gramEnd"/>
      <w:r>
        <w:t>» en prévenant le décrochage scolaire et en améliorant structurellement la transition entre l’école et le monde du travail. Le CESE demande que des ressources du FSE servent à financer la mise en œuvre de la garantie renforcée pour la jeunesse et à soutenir des emplois de qualité pour les jeunes, et que soit prévue à cette fin une participation significative des associations représentant la jeunesse.</w:t>
      </w:r>
    </w:p>
    <w:p w14:paraId="7622FF8D" w14:textId="77777777" w:rsidR="009F0411" w:rsidRPr="00C34B0E" w:rsidRDefault="009F0411" w:rsidP="00DA15BD">
      <w:pPr>
        <w:keepNext/>
        <w:keepLines/>
        <w:ind w:left="567"/>
        <w:rPr>
          <w:i/>
          <w:iCs/>
          <w:lang w:val="en-US"/>
        </w:rPr>
      </w:pPr>
    </w:p>
    <w:p w14:paraId="12EF7177" w14:textId="2420EC28" w:rsidR="00E35E3C" w:rsidRPr="00115A4A" w:rsidRDefault="008F6A24" w:rsidP="00DA15BD">
      <w:pPr>
        <w:keepNext/>
        <w:keepLines/>
        <w:ind w:left="567"/>
        <w:rPr>
          <w:i/>
          <w:iCs/>
        </w:rPr>
      </w:pPr>
      <w:r>
        <w:rPr>
          <w:i/>
        </w:rPr>
        <w:t xml:space="preserve">Arguments à l’appui des recommandations 1.20, 1.21, 1.22 et 1.23 </w:t>
      </w:r>
    </w:p>
    <w:p w14:paraId="3684EB4B" w14:textId="77777777" w:rsidR="008F6A24" w:rsidRPr="00C34B0E" w:rsidRDefault="008F6A24" w:rsidP="00DA15BD">
      <w:pPr>
        <w:keepNext/>
        <w:keepLines/>
        <w:rPr>
          <w:lang w:val="en-US"/>
        </w:rPr>
      </w:pPr>
    </w:p>
    <w:p w14:paraId="37B02771" w14:textId="0C3E8308" w:rsidR="000626E1" w:rsidRPr="00115A4A" w:rsidRDefault="00E0658A" w:rsidP="00EE20D9">
      <w:pPr>
        <w:pStyle w:val="Heading2"/>
      </w:pPr>
      <w:r>
        <w:t>Le FSE devrait servir à promouvoir l’égalité des chances pour tous, des filets de sécurité sociale solides, l’inclusion sociale, l’équité intergénérationnelle et la lutte contre la pauvreté. Il devrait donc contribuer aux programmes d’inclusion sociale et améliorer l’accès aux services sociaux en les rendant abordables, durables et de qualité. La santé est un enjeu majeur pour les citoyens, ce pourquoi le FSE devrait soutenir la promotion de la santé et la prévention des maladies. Des efforts doivent porter sur la réduction de la pauvreté, avec des programmes visant à faire reculer la privation alimentaire et matérielle et à promouvoir l’intégration sociale des personnes exposées au risque de pauvreté ou d’exclusion sociale. Les ressources affectées à ces fins devraient être portées de 25 % à 30 %.</w:t>
      </w:r>
    </w:p>
    <w:p w14:paraId="7C825B47" w14:textId="77777777" w:rsidR="00AE2878" w:rsidRPr="00C34B0E" w:rsidRDefault="00AE2878" w:rsidP="00EE20D9">
      <w:pPr>
        <w:rPr>
          <w:lang w:val="en-US"/>
        </w:rPr>
      </w:pPr>
    </w:p>
    <w:p w14:paraId="3BED6FFD" w14:textId="62D9E3CB" w:rsidR="000626E1" w:rsidRPr="00115A4A" w:rsidRDefault="00A02B46" w:rsidP="00EE20D9">
      <w:pPr>
        <w:pStyle w:val="Heading2"/>
      </w:pPr>
      <w:r>
        <w:t>La Commission européenne a lancé une consultation publique dans le but d’aider les États membres à garantir un logement accessible à un plus grand nombre de citoyens. Le problème du logement abordable ne touche plus uniquement les plus vulnérables, mais une part de plus en plus importante de la population. Pour faire face à cette crise, le CESE encourage les États membres à utiliser les ressources du FSE pour cofinancer des plans en faveur de logements abordables.</w:t>
      </w:r>
    </w:p>
    <w:p w14:paraId="76CF96A3" w14:textId="77777777" w:rsidR="006372F3" w:rsidRPr="00C34B0E" w:rsidRDefault="006372F3" w:rsidP="00EE20D9">
      <w:pPr>
        <w:rPr>
          <w:i/>
          <w:iCs/>
          <w:lang w:val="en-US"/>
        </w:rPr>
      </w:pPr>
    </w:p>
    <w:p w14:paraId="3F88D97F" w14:textId="1E108F94" w:rsidR="005953C6" w:rsidRPr="00115A4A" w:rsidRDefault="005953C6" w:rsidP="00DA15BD">
      <w:pPr>
        <w:keepNext/>
        <w:keepLines/>
        <w:ind w:left="567"/>
        <w:rPr>
          <w:i/>
          <w:iCs/>
        </w:rPr>
      </w:pPr>
      <w:r>
        <w:rPr>
          <w:i/>
        </w:rPr>
        <w:t>Arguments à l’appui de la recommandation 1.24</w:t>
      </w:r>
    </w:p>
    <w:p w14:paraId="64702549" w14:textId="77777777" w:rsidR="005953C6" w:rsidRPr="00C34B0E" w:rsidRDefault="005953C6" w:rsidP="00DA15BD">
      <w:pPr>
        <w:keepNext/>
        <w:keepLines/>
        <w:rPr>
          <w:lang w:val="en-US"/>
        </w:rPr>
      </w:pPr>
    </w:p>
    <w:p w14:paraId="5D418617" w14:textId="0997F943" w:rsidR="001F40AA" w:rsidRPr="00115A4A" w:rsidRDefault="001F40AA" w:rsidP="00EE20D9">
      <w:pPr>
        <w:pStyle w:val="Heading2"/>
      </w:pPr>
      <w:r>
        <w:t>La transparence de la communication fait partie intégrante de la programmation du FSE. Toutefois, il serait utile d’optimiser le système d’information et de communication en améliorant le langage et en utilisant moins d’acronymes. L’utilisation des réseaux sociaux et de l’intelligence artificielle peut contribuer à améliorer la communication auprès des citoyens de l’UE. Il faut changer d’approche dans la manière dont nous communiquons et nous informons sur les possibilités que les politiques de cohésion offrent aux citoyens et aux entreprises.</w:t>
      </w:r>
    </w:p>
    <w:p w14:paraId="555A4279" w14:textId="77777777" w:rsidR="002F402C" w:rsidRPr="00C34B0E" w:rsidRDefault="002F402C" w:rsidP="00EE20D9">
      <w:pPr>
        <w:rPr>
          <w:i/>
          <w:iCs/>
          <w:lang w:val="en-US"/>
        </w:rPr>
      </w:pPr>
    </w:p>
    <w:p w14:paraId="6FA7CC42" w14:textId="77777777" w:rsidR="00B82BC5" w:rsidRPr="00115A4A" w:rsidRDefault="00B82BC5" w:rsidP="00C6441D">
      <w:pPr>
        <w:pStyle w:val="Heading1"/>
        <w:keepNext/>
        <w:keepLines/>
        <w:ind w:left="567" w:hanging="567"/>
        <w:rPr>
          <w:b/>
          <w:bCs/>
        </w:rPr>
      </w:pPr>
      <w:r>
        <w:rPr>
          <w:b/>
        </w:rPr>
        <w:t>AMENDEMENTS PROPOSÉS À LA PROPOSITION LÉGISLATIVE DE LA COMMISSION</w:t>
      </w:r>
    </w:p>
    <w:p w14:paraId="1353E50F" w14:textId="77777777" w:rsidR="00B82BC5" w:rsidRPr="00C34B0E" w:rsidRDefault="00B82BC5" w:rsidP="00EE20D9">
      <w:pPr>
        <w:keepNext/>
        <w:keepLines/>
        <w:rPr>
          <w:lang w:val="en-US"/>
        </w:rPr>
      </w:pPr>
    </w:p>
    <w:p w14:paraId="14872547" w14:textId="77777777" w:rsidR="00B82BC5" w:rsidRPr="00115A4A" w:rsidRDefault="00B82BC5" w:rsidP="00C6441D">
      <w:pPr>
        <w:pStyle w:val="Heading2"/>
        <w:keepNext/>
        <w:keepLines/>
        <w:numPr>
          <w:ilvl w:val="0"/>
          <w:numId w:val="0"/>
        </w:numPr>
        <w:rPr>
          <w:b/>
          <w:bCs/>
        </w:rPr>
      </w:pPr>
      <w:r>
        <w:rPr>
          <w:b/>
        </w:rPr>
        <w:t>Amendement 1</w:t>
      </w:r>
    </w:p>
    <w:p w14:paraId="1FADCA72" w14:textId="7B0203AD" w:rsidR="00B82BC5" w:rsidRPr="00115A4A" w:rsidRDefault="00B82BC5" w:rsidP="00EE20D9">
      <w:pPr>
        <w:keepNext/>
        <w:keepLines/>
        <w:jc w:val="left"/>
      </w:pPr>
      <w:proofErr w:type="gramStart"/>
      <w:r>
        <w:t>lié</w:t>
      </w:r>
      <w:proofErr w:type="gramEnd"/>
      <w:r>
        <w:t xml:space="preserve"> à la recommandation 1.2</w:t>
      </w:r>
    </w:p>
    <w:p w14:paraId="4496BAE1" w14:textId="77777777" w:rsidR="00B82BC5" w:rsidRPr="00115A4A" w:rsidRDefault="00B82BC5" w:rsidP="00EE20D9">
      <w:pPr>
        <w:keepNext/>
        <w:keepLines/>
        <w:jc w:val="left"/>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9"/>
        <w:gridCol w:w="4528"/>
      </w:tblGrid>
      <w:tr w:rsidR="00B82BC5" w:rsidRPr="00115A4A" w14:paraId="27CC9D2C" w14:textId="77777777" w:rsidTr="00BB1022">
        <w:trPr>
          <w:trHeight w:val="300"/>
        </w:trPr>
        <w:tc>
          <w:tcPr>
            <w:tcW w:w="4529" w:type="dxa"/>
            <w:tcBorders>
              <w:top w:val="single" w:sz="2" w:space="0" w:color="auto"/>
              <w:left w:val="single" w:sz="2" w:space="0" w:color="auto"/>
              <w:bottom w:val="single" w:sz="2" w:space="0" w:color="auto"/>
              <w:right w:val="single" w:sz="2" w:space="0" w:color="auto"/>
            </w:tcBorders>
            <w:hideMark/>
          </w:tcPr>
          <w:p w14:paraId="658C22D3" w14:textId="77777777" w:rsidR="00B82BC5" w:rsidRPr="00115A4A" w:rsidRDefault="00B82BC5" w:rsidP="006C0BCF">
            <w:pPr>
              <w:keepNext/>
              <w:jc w:val="center"/>
              <w:rPr>
                <w:strike/>
              </w:rPr>
            </w:pPr>
            <w:r>
              <w:rPr>
                <w:b/>
              </w:rPr>
              <w:t>Texte proposé par la Commission</w:t>
            </w:r>
          </w:p>
        </w:tc>
        <w:tc>
          <w:tcPr>
            <w:tcW w:w="4528" w:type="dxa"/>
            <w:tcBorders>
              <w:top w:val="single" w:sz="2" w:space="0" w:color="auto"/>
              <w:left w:val="single" w:sz="2" w:space="0" w:color="auto"/>
              <w:bottom w:val="single" w:sz="2" w:space="0" w:color="auto"/>
              <w:right w:val="single" w:sz="2" w:space="0" w:color="auto"/>
            </w:tcBorders>
            <w:hideMark/>
          </w:tcPr>
          <w:p w14:paraId="4C20F7BB" w14:textId="77777777" w:rsidR="00B82BC5" w:rsidRPr="00115A4A" w:rsidRDefault="00B82BC5" w:rsidP="00EE20D9">
            <w:pPr>
              <w:jc w:val="center"/>
            </w:pPr>
            <w:r>
              <w:rPr>
                <w:b/>
              </w:rPr>
              <w:t>Amendement du CESE</w:t>
            </w:r>
          </w:p>
        </w:tc>
      </w:tr>
      <w:tr w:rsidR="00B82BC5" w:rsidRPr="006217D1" w14:paraId="38D2F808" w14:textId="77777777" w:rsidTr="00BB1022">
        <w:trPr>
          <w:trHeight w:val="300"/>
        </w:trPr>
        <w:tc>
          <w:tcPr>
            <w:tcW w:w="4529" w:type="dxa"/>
            <w:tcBorders>
              <w:top w:val="single" w:sz="2" w:space="0" w:color="auto"/>
              <w:left w:val="single" w:sz="6" w:space="0" w:color="auto"/>
              <w:bottom w:val="single" w:sz="6" w:space="0" w:color="auto"/>
              <w:right w:val="single" w:sz="6" w:space="0" w:color="auto"/>
            </w:tcBorders>
            <w:hideMark/>
          </w:tcPr>
          <w:p w14:paraId="52A99925" w14:textId="599BF276" w:rsidR="00BE33F3" w:rsidRDefault="00BE33F3" w:rsidP="006C0BCF">
            <w:pPr>
              <w:keepNext/>
              <w:ind w:left="30" w:right="30"/>
              <w:rPr>
                <w:b/>
                <w:bCs/>
              </w:rPr>
            </w:pPr>
            <w:r>
              <w:rPr>
                <w:b/>
              </w:rPr>
              <w:t>Considérants</w:t>
            </w:r>
          </w:p>
          <w:p w14:paraId="4EB16D9C" w14:textId="77777777" w:rsidR="000D486E" w:rsidRPr="00C34B0E" w:rsidRDefault="000D486E" w:rsidP="006C0BCF">
            <w:pPr>
              <w:keepNext/>
              <w:ind w:left="30" w:right="30"/>
              <w:rPr>
                <w:b/>
                <w:bCs/>
                <w:lang w:val="en-US"/>
              </w:rPr>
            </w:pPr>
          </w:p>
          <w:p w14:paraId="6FB66B76" w14:textId="0466CAE6" w:rsidR="00B82BC5" w:rsidRPr="00115A4A" w:rsidRDefault="001D017F" w:rsidP="006C0BCF">
            <w:pPr>
              <w:keepNext/>
              <w:ind w:left="30" w:right="30"/>
            </w:pPr>
            <w:r>
              <w:t xml:space="preserve">(12) Afin de renforcer les sociétés européennes et le modèle social européen, les États membres </w:t>
            </w:r>
            <w:r>
              <w:rPr>
                <w:b/>
                <w:bCs/>
                <w:i/>
                <w:iCs/>
              </w:rPr>
              <w:t>devraient allouer</w:t>
            </w:r>
            <w:r>
              <w:t xml:space="preserve"> au FSE </w:t>
            </w:r>
            <w:r>
              <w:rPr>
                <w:b/>
                <w:bCs/>
                <w:i/>
                <w:iCs/>
              </w:rPr>
              <w:t>un montant minimal de</w:t>
            </w:r>
            <w:r>
              <w:t xml:space="preserve"> ressources au titre de leur plan de partenariat national et régional adopté conformément au règlement (UE) [règlement PNR].</w:t>
            </w:r>
          </w:p>
        </w:tc>
        <w:tc>
          <w:tcPr>
            <w:tcW w:w="4528" w:type="dxa"/>
            <w:tcBorders>
              <w:top w:val="single" w:sz="2" w:space="0" w:color="auto"/>
              <w:left w:val="single" w:sz="6" w:space="0" w:color="auto"/>
              <w:bottom w:val="single" w:sz="6" w:space="0" w:color="auto"/>
              <w:right w:val="single" w:sz="6" w:space="0" w:color="auto"/>
            </w:tcBorders>
            <w:hideMark/>
          </w:tcPr>
          <w:p w14:paraId="733405D3" w14:textId="07C6E439" w:rsidR="00843BC0" w:rsidRDefault="00843BC0" w:rsidP="00EE20D9">
            <w:pPr>
              <w:ind w:left="30" w:right="30"/>
              <w:rPr>
                <w:b/>
                <w:bCs/>
              </w:rPr>
            </w:pPr>
            <w:r>
              <w:rPr>
                <w:b/>
              </w:rPr>
              <w:t>Considérants</w:t>
            </w:r>
          </w:p>
          <w:p w14:paraId="742E1D6B" w14:textId="77777777" w:rsidR="000D486E" w:rsidRPr="00C34B0E" w:rsidRDefault="000D486E" w:rsidP="00EE20D9">
            <w:pPr>
              <w:ind w:left="30" w:right="30"/>
              <w:rPr>
                <w:b/>
                <w:bCs/>
                <w:lang w:val="en-US"/>
              </w:rPr>
            </w:pPr>
          </w:p>
          <w:p w14:paraId="44457CD6" w14:textId="768283F6" w:rsidR="00B82BC5" w:rsidRPr="00115A4A" w:rsidRDefault="001D017F" w:rsidP="00EE20D9">
            <w:pPr>
              <w:ind w:left="30" w:right="30"/>
            </w:pPr>
            <w:r>
              <w:t xml:space="preserve">(12) Afin de renforcer les sociétés européennes et le modèle social européen, les États membres </w:t>
            </w:r>
            <w:r>
              <w:rPr>
                <w:b/>
                <w:bCs/>
                <w:i/>
                <w:iCs/>
              </w:rPr>
              <w:t>allouent</w:t>
            </w:r>
            <w:r>
              <w:t xml:space="preserve"> au FSE </w:t>
            </w:r>
            <w:r>
              <w:rPr>
                <w:b/>
                <w:bCs/>
                <w:i/>
                <w:iCs/>
              </w:rPr>
              <w:t>20 % des</w:t>
            </w:r>
            <w:r>
              <w:t xml:space="preserve"> ressources au titre de leur plan de partenariat national et régional adopté conformément au règlement (UE) [règlement PNR].</w:t>
            </w:r>
          </w:p>
        </w:tc>
      </w:tr>
    </w:tbl>
    <w:p w14:paraId="10822007" w14:textId="77777777" w:rsidR="00B82BC5" w:rsidRPr="00C34B0E" w:rsidRDefault="00B82BC5" w:rsidP="00EE20D9">
      <w:pPr>
        <w:jc w:val="center"/>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7"/>
      </w:tblGrid>
      <w:tr w:rsidR="00B82BC5" w:rsidRPr="00115A4A" w14:paraId="63515ABA" w14:textId="77777777" w:rsidTr="00BB1022">
        <w:trPr>
          <w:trHeight w:val="300"/>
        </w:trPr>
        <w:tc>
          <w:tcPr>
            <w:tcW w:w="9057" w:type="dxa"/>
            <w:tcBorders>
              <w:top w:val="single" w:sz="2" w:space="0" w:color="auto"/>
              <w:left w:val="single" w:sz="2" w:space="0" w:color="auto"/>
              <w:bottom w:val="single" w:sz="2" w:space="0" w:color="auto"/>
              <w:right w:val="single" w:sz="2" w:space="0" w:color="auto"/>
            </w:tcBorders>
            <w:hideMark/>
          </w:tcPr>
          <w:p w14:paraId="6B136D34" w14:textId="77777777" w:rsidR="00B82BC5" w:rsidRPr="00115A4A" w:rsidRDefault="00B82BC5" w:rsidP="00EE20D9">
            <w:pPr>
              <w:keepNext/>
              <w:keepLines/>
              <w:jc w:val="center"/>
            </w:pPr>
            <w:r>
              <w:rPr>
                <w:b/>
              </w:rPr>
              <w:t>Exposé des motifs</w:t>
            </w:r>
          </w:p>
        </w:tc>
      </w:tr>
      <w:tr w:rsidR="00B82BC5" w:rsidRPr="006217D1" w14:paraId="352DE721" w14:textId="77777777" w:rsidTr="00BB1022">
        <w:trPr>
          <w:trHeight w:val="300"/>
        </w:trPr>
        <w:tc>
          <w:tcPr>
            <w:tcW w:w="9057" w:type="dxa"/>
            <w:tcBorders>
              <w:top w:val="single" w:sz="2" w:space="0" w:color="auto"/>
              <w:left w:val="single" w:sz="6" w:space="0" w:color="auto"/>
              <w:bottom w:val="single" w:sz="6" w:space="0" w:color="auto"/>
              <w:right w:val="single" w:sz="6" w:space="0" w:color="auto"/>
            </w:tcBorders>
            <w:hideMark/>
          </w:tcPr>
          <w:p w14:paraId="43126EB5" w14:textId="2642233B" w:rsidR="00B82BC5" w:rsidRPr="00115A4A" w:rsidRDefault="00730D32" w:rsidP="00EE20D9">
            <w:pPr>
              <w:keepNext/>
              <w:keepLines/>
              <w:ind w:left="30" w:right="30"/>
            </w:pPr>
            <w:r>
              <w:t>La présente proposition vise à renforcer l’action du FSE en tant que principale source d’étoffement de la dimension sociale de l’UE et de consolidation du socle européen des droits sociaux.</w:t>
            </w:r>
          </w:p>
        </w:tc>
      </w:tr>
    </w:tbl>
    <w:p w14:paraId="3D089A81" w14:textId="77777777" w:rsidR="00B82BC5" w:rsidRPr="00C34B0E" w:rsidRDefault="00B82BC5" w:rsidP="00EE20D9">
      <w:pPr>
        <w:jc w:val="left"/>
        <w:rPr>
          <w:lang w:val="en-US"/>
        </w:rPr>
      </w:pPr>
    </w:p>
    <w:p w14:paraId="0E1C2593" w14:textId="77777777" w:rsidR="00B82BC5" w:rsidRPr="00115A4A" w:rsidRDefault="00B82BC5" w:rsidP="00EE20D9">
      <w:pPr>
        <w:pStyle w:val="Heading2"/>
        <w:keepNext/>
        <w:keepLines/>
        <w:numPr>
          <w:ilvl w:val="0"/>
          <w:numId w:val="0"/>
        </w:numPr>
        <w:rPr>
          <w:b/>
          <w:bCs/>
        </w:rPr>
      </w:pPr>
      <w:r>
        <w:rPr>
          <w:b/>
        </w:rPr>
        <w:t>Amendement 2</w:t>
      </w:r>
    </w:p>
    <w:p w14:paraId="68DA42A7" w14:textId="01389A94" w:rsidR="00B82BC5" w:rsidRPr="00115A4A" w:rsidRDefault="00B82BC5" w:rsidP="00EE20D9">
      <w:pPr>
        <w:keepNext/>
        <w:keepLines/>
        <w:jc w:val="left"/>
      </w:pPr>
      <w:proofErr w:type="gramStart"/>
      <w:r>
        <w:t>lié</w:t>
      </w:r>
      <w:proofErr w:type="gramEnd"/>
      <w:r>
        <w:t xml:space="preserve"> à la recommandation 1.16</w:t>
      </w:r>
    </w:p>
    <w:p w14:paraId="5102DC4B" w14:textId="77777777" w:rsidR="00B82BC5" w:rsidRPr="00115A4A" w:rsidRDefault="00B82BC5" w:rsidP="00EE20D9">
      <w:pPr>
        <w:keepNext/>
        <w:keepLines/>
        <w:jc w:val="left"/>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9"/>
        <w:gridCol w:w="4528"/>
      </w:tblGrid>
      <w:tr w:rsidR="00C037C5" w:rsidRPr="00C037C5" w14:paraId="14ED43F1" w14:textId="77777777" w:rsidTr="00BB1022">
        <w:trPr>
          <w:trHeight w:val="300"/>
        </w:trPr>
        <w:tc>
          <w:tcPr>
            <w:tcW w:w="4529" w:type="dxa"/>
            <w:tcBorders>
              <w:top w:val="single" w:sz="2" w:space="0" w:color="auto"/>
              <w:left w:val="single" w:sz="2" w:space="0" w:color="auto"/>
              <w:bottom w:val="single" w:sz="2" w:space="0" w:color="auto"/>
              <w:right w:val="single" w:sz="2" w:space="0" w:color="auto"/>
            </w:tcBorders>
            <w:hideMark/>
          </w:tcPr>
          <w:p w14:paraId="75CA1CA2" w14:textId="77777777" w:rsidR="00B82BC5" w:rsidRPr="00C037C5" w:rsidRDefault="00B82BC5" w:rsidP="00EE20D9">
            <w:pPr>
              <w:jc w:val="center"/>
              <w:rPr>
                <w:strike/>
              </w:rPr>
            </w:pPr>
            <w:r>
              <w:rPr>
                <w:b/>
              </w:rPr>
              <w:t>Texte proposé par la Commission</w:t>
            </w:r>
          </w:p>
        </w:tc>
        <w:tc>
          <w:tcPr>
            <w:tcW w:w="4528" w:type="dxa"/>
            <w:tcBorders>
              <w:top w:val="single" w:sz="2" w:space="0" w:color="auto"/>
              <w:left w:val="single" w:sz="2" w:space="0" w:color="auto"/>
              <w:bottom w:val="single" w:sz="2" w:space="0" w:color="auto"/>
              <w:right w:val="single" w:sz="2" w:space="0" w:color="auto"/>
            </w:tcBorders>
            <w:hideMark/>
          </w:tcPr>
          <w:p w14:paraId="65B96890" w14:textId="77777777" w:rsidR="00B82BC5" w:rsidRPr="00C037C5" w:rsidRDefault="00B82BC5" w:rsidP="00EE20D9">
            <w:pPr>
              <w:jc w:val="center"/>
            </w:pPr>
            <w:r>
              <w:rPr>
                <w:b/>
              </w:rPr>
              <w:t>Amendement du CESE</w:t>
            </w:r>
          </w:p>
        </w:tc>
      </w:tr>
      <w:tr w:rsidR="00C037C5" w:rsidRPr="00C037C5" w14:paraId="661C67BE" w14:textId="77777777" w:rsidTr="00BB1022">
        <w:trPr>
          <w:trHeight w:val="300"/>
        </w:trPr>
        <w:tc>
          <w:tcPr>
            <w:tcW w:w="4529" w:type="dxa"/>
            <w:tcBorders>
              <w:top w:val="single" w:sz="2" w:space="0" w:color="auto"/>
              <w:left w:val="single" w:sz="6" w:space="0" w:color="auto"/>
              <w:bottom w:val="single" w:sz="6" w:space="0" w:color="auto"/>
              <w:right w:val="single" w:sz="6" w:space="0" w:color="auto"/>
            </w:tcBorders>
            <w:hideMark/>
          </w:tcPr>
          <w:p w14:paraId="4E1E3AA6" w14:textId="26C84E4F" w:rsidR="00843BC0" w:rsidRPr="00C037C5" w:rsidRDefault="00843BC0" w:rsidP="00EE20D9">
            <w:pPr>
              <w:ind w:left="30" w:right="30"/>
              <w:rPr>
                <w:b/>
                <w:bCs/>
              </w:rPr>
            </w:pPr>
            <w:r>
              <w:rPr>
                <w:b/>
              </w:rPr>
              <w:t>Considérants</w:t>
            </w:r>
          </w:p>
          <w:p w14:paraId="6D70E9C3" w14:textId="77777777" w:rsidR="000D486E" w:rsidRPr="00C34B0E" w:rsidRDefault="000D486E" w:rsidP="00EE20D9">
            <w:pPr>
              <w:ind w:left="30" w:right="30"/>
              <w:rPr>
                <w:b/>
                <w:bCs/>
                <w:lang w:val="en-US"/>
              </w:rPr>
            </w:pPr>
          </w:p>
          <w:p w14:paraId="6D54300B" w14:textId="08F410E1" w:rsidR="00625DD0" w:rsidRPr="00C037C5" w:rsidRDefault="00625DD0" w:rsidP="00EE20D9">
            <w:pPr>
              <w:ind w:right="30"/>
            </w:pPr>
            <w:r>
              <w:t xml:space="preserve">(22) Compte tenu de la persistance de taux élevés de chômage et d’inactivité des jeunes dans un certain nombre d’États membres et de régions, touchant en particulier les jeunes sans emploi qui ne suivent ni études ni formation, il est nécessaire que ces États membres continuent à investir un montant suffisant de ressources du FSE dans des mesures destinées à promouvoir l’emploi des jeunes, y compris par la mise en œuvre de la </w:t>
            </w:r>
            <w:r>
              <w:lastRenderedPageBreak/>
              <w:t xml:space="preserve">garantie pour la jeunesse. Les États membres devraient donc allouer </w:t>
            </w:r>
            <w:r>
              <w:rPr>
                <w:b/>
                <w:bCs/>
                <w:i/>
                <w:iCs/>
              </w:rPr>
              <w:t>un montant approprié de ressources</w:t>
            </w:r>
            <w:r>
              <w:t xml:space="preserve"> à cette problématique.</w:t>
            </w:r>
            <w:r>
              <w:rPr>
                <w:shd w:val="clear" w:color="auto" w:fill="FFFFFF"/>
              </w:rPr>
              <w:t xml:space="preserve"> </w:t>
            </w:r>
            <w:r>
              <w:rPr>
                <w:b/>
                <w:i/>
                <w:shd w:val="clear" w:color="auto" w:fill="FFFFFF"/>
              </w:rPr>
              <w:t>Les États membres gravement touchés par le chômage des jeunes devraient allouer des ressources du FSE au soutien à l’employabilité des jeunes.</w:t>
            </w:r>
          </w:p>
        </w:tc>
        <w:tc>
          <w:tcPr>
            <w:tcW w:w="4528" w:type="dxa"/>
            <w:tcBorders>
              <w:top w:val="single" w:sz="2" w:space="0" w:color="auto"/>
              <w:left w:val="single" w:sz="6" w:space="0" w:color="auto"/>
              <w:bottom w:val="single" w:sz="6" w:space="0" w:color="auto"/>
              <w:right w:val="single" w:sz="6" w:space="0" w:color="auto"/>
            </w:tcBorders>
            <w:hideMark/>
          </w:tcPr>
          <w:p w14:paraId="05812EB5" w14:textId="1FC4DF78" w:rsidR="00CF6CF1" w:rsidRPr="00C037C5" w:rsidRDefault="00843BC0" w:rsidP="00EE20D9">
            <w:pPr>
              <w:ind w:right="30"/>
              <w:rPr>
                <w:b/>
                <w:bCs/>
              </w:rPr>
            </w:pPr>
            <w:r>
              <w:rPr>
                <w:b/>
              </w:rPr>
              <w:lastRenderedPageBreak/>
              <w:t>Considérants</w:t>
            </w:r>
          </w:p>
          <w:p w14:paraId="5EBDBB5C" w14:textId="77777777" w:rsidR="000D486E" w:rsidRPr="00C34B0E" w:rsidRDefault="000D486E" w:rsidP="00EE20D9">
            <w:pPr>
              <w:ind w:right="30"/>
              <w:rPr>
                <w:b/>
                <w:bCs/>
                <w:lang w:val="en-US"/>
              </w:rPr>
            </w:pPr>
          </w:p>
          <w:p w14:paraId="51C3F860" w14:textId="737ABD81" w:rsidR="00625DD0" w:rsidRPr="00C037C5" w:rsidRDefault="00625DD0" w:rsidP="00EE20D9">
            <w:pPr>
              <w:ind w:right="30"/>
            </w:pPr>
            <w:r>
              <w:rPr>
                <w:shd w:val="clear" w:color="auto" w:fill="FFFFFF"/>
              </w:rPr>
              <w:t xml:space="preserve">(22) Compte tenu de la persistance de taux élevés de chômage et d’inactivité des jeunes dans un certain nombre d’États membres et de régions, touchant en particulier les jeunes sans emploi qui ne suivent ni études ni formation, il est nécessaire que ces États membres continuent à investir un montant suffisant de ressources du FSE dans des mesures destinées à promouvoir l’emploi des jeunes, y compris par la mise en œuvre de la </w:t>
            </w:r>
            <w:r>
              <w:rPr>
                <w:shd w:val="clear" w:color="auto" w:fill="FFFFFF"/>
              </w:rPr>
              <w:lastRenderedPageBreak/>
              <w:t xml:space="preserve">garantie pour la jeunesse. Les États membres devraient donc allouer </w:t>
            </w:r>
            <w:r>
              <w:rPr>
                <w:b/>
                <w:bCs/>
                <w:i/>
                <w:iCs/>
                <w:shd w:val="clear" w:color="auto" w:fill="FFFFFF"/>
              </w:rPr>
              <w:t>20 % du FSE</w:t>
            </w:r>
            <w:r>
              <w:rPr>
                <w:shd w:val="clear" w:color="auto" w:fill="FFFFFF"/>
              </w:rPr>
              <w:t xml:space="preserve"> à cette problématique.</w:t>
            </w:r>
            <w:r>
              <w:rPr>
                <w:b/>
                <w:shd w:val="clear" w:color="auto" w:fill="FFFFFF"/>
              </w:rPr>
              <w:t xml:space="preserve"> </w:t>
            </w:r>
          </w:p>
        </w:tc>
      </w:tr>
    </w:tbl>
    <w:p w14:paraId="6AC4E14D" w14:textId="77777777" w:rsidR="00B82BC5" w:rsidRPr="00C34B0E" w:rsidRDefault="00B82BC5" w:rsidP="00EE20D9">
      <w:pPr>
        <w:jc w:val="center"/>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7"/>
      </w:tblGrid>
      <w:tr w:rsidR="00B82BC5" w:rsidRPr="00115A4A" w14:paraId="23766EC1" w14:textId="77777777" w:rsidTr="00BB1022">
        <w:trPr>
          <w:trHeight w:val="300"/>
        </w:trPr>
        <w:tc>
          <w:tcPr>
            <w:tcW w:w="9057" w:type="dxa"/>
            <w:tcBorders>
              <w:top w:val="single" w:sz="2" w:space="0" w:color="auto"/>
              <w:left w:val="single" w:sz="2" w:space="0" w:color="auto"/>
              <w:bottom w:val="single" w:sz="2" w:space="0" w:color="auto"/>
              <w:right w:val="single" w:sz="2" w:space="0" w:color="auto"/>
            </w:tcBorders>
            <w:hideMark/>
          </w:tcPr>
          <w:p w14:paraId="1E043BCA" w14:textId="77777777" w:rsidR="00B82BC5" w:rsidRPr="00115A4A" w:rsidRDefault="00B82BC5" w:rsidP="00EE20D9">
            <w:pPr>
              <w:keepNext/>
              <w:keepLines/>
              <w:jc w:val="center"/>
            </w:pPr>
            <w:r>
              <w:rPr>
                <w:b/>
              </w:rPr>
              <w:t>Exposé des motifs</w:t>
            </w:r>
          </w:p>
        </w:tc>
      </w:tr>
      <w:tr w:rsidR="00B82BC5" w:rsidRPr="006217D1" w14:paraId="02EB928E" w14:textId="77777777" w:rsidTr="00BB1022">
        <w:trPr>
          <w:trHeight w:val="300"/>
        </w:trPr>
        <w:tc>
          <w:tcPr>
            <w:tcW w:w="9057" w:type="dxa"/>
            <w:tcBorders>
              <w:top w:val="single" w:sz="2" w:space="0" w:color="auto"/>
              <w:left w:val="single" w:sz="6" w:space="0" w:color="auto"/>
              <w:bottom w:val="single" w:sz="6" w:space="0" w:color="auto"/>
              <w:right w:val="single" w:sz="6" w:space="0" w:color="auto"/>
            </w:tcBorders>
            <w:hideMark/>
          </w:tcPr>
          <w:p w14:paraId="1183A8B3" w14:textId="346E8354" w:rsidR="00B82BC5" w:rsidRPr="00115A4A" w:rsidRDefault="00614EA7" w:rsidP="00EE20D9">
            <w:pPr>
              <w:keepNext/>
              <w:keepLines/>
              <w:ind w:left="30" w:right="30"/>
            </w:pPr>
            <w:r>
              <w:t>Les jeunes sont une priorité des politiques européennes et nationales. C’est pourquoi il importe d’investir dans leur potentiel et de garantir leur avenir dans le monde du travail.</w:t>
            </w:r>
          </w:p>
        </w:tc>
      </w:tr>
    </w:tbl>
    <w:p w14:paraId="2261F58E" w14:textId="77777777" w:rsidR="00B82BC5" w:rsidRPr="00C34B0E" w:rsidRDefault="00B82BC5" w:rsidP="00EE20D9">
      <w:pPr>
        <w:jc w:val="left"/>
        <w:rPr>
          <w:lang w:val="en-US"/>
        </w:rPr>
      </w:pPr>
    </w:p>
    <w:p w14:paraId="23160342" w14:textId="77777777" w:rsidR="00B82BC5" w:rsidRPr="00115A4A" w:rsidRDefault="00B82BC5" w:rsidP="00EE20D9">
      <w:pPr>
        <w:pStyle w:val="Heading2"/>
        <w:numPr>
          <w:ilvl w:val="0"/>
          <w:numId w:val="0"/>
        </w:numPr>
        <w:rPr>
          <w:b/>
          <w:bCs/>
        </w:rPr>
      </w:pPr>
      <w:r>
        <w:rPr>
          <w:b/>
        </w:rPr>
        <w:t>Amendement 3</w:t>
      </w:r>
    </w:p>
    <w:p w14:paraId="1E87CE13" w14:textId="3143245D" w:rsidR="00B82BC5" w:rsidRPr="00115A4A" w:rsidRDefault="00B82BC5" w:rsidP="00EE20D9">
      <w:pPr>
        <w:keepNext/>
        <w:keepLines/>
        <w:jc w:val="left"/>
      </w:pPr>
      <w:proofErr w:type="gramStart"/>
      <w:r>
        <w:t>lié</w:t>
      </w:r>
      <w:proofErr w:type="gramEnd"/>
      <w:r>
        <w:t xml:space="preserve"> aux recommandations 1.17 et 1.18</w:t>
      </w:r>
    </w:p>
    <w:p w14:paraId="2EC6B7D0" w14:textId="77777777" w:rsidR="00B82BC5" w:rsidRPr="00C34B0E" w:rsidRDefault="00B82BC5" w:rsidP="00EE20D9">
      <w:pPr>
        <w:keepNext/>
        <w:keepLines/>
        <w:jc w:val="left"/>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9"/>
        <w:gridCol w:w="4528"/>
      </w:tblGrid>
      <w:tr w:rsidR="00B82BC5" w:rsidRPr="00115A4A" w14:paraId="247FF0EA" w14:textId="77777777" w:rsidTr="00BB1022">
        <w:trPr>
          <w:trHeight w:val="300"/>
        </w:trPr>
        <w:tc>
          <w:tcPr>
            <w:tcW w:w="4529" w:type="dxa"/>
            <w:tcBorders>
              <w:top w:val="single" w:sz="2" w:space="0" w:color="auto"/>
              <w:left w:val="single" w:sz="2" w:space="0" w:color="auto"/>
              <w:bottom w:val="single" w:sz="2" w:space="0" w:color="auto"/>
              <w:right w:val="single" w:sz="2" w:space="0" w:color="auto"/>
            </w:tcBorders>
            <w:hideMark/>
          </w:tcPr>
          <w:p w14:paraId="18867970" w14:textId="77777777" w:rsidR="00B82BC5" w:rsidRPr="00115A4A" w:rsidRDefault="00B82BC5" w:rsidP="00EE20D9">
            <w:pPr>
              <w:jc w:val="center"/>
              <w:rPr>
                <w:strike/>
              </w:rPr>
            </w:pPr>
            <w:r>
              <w:rPr>
                <w:b/>
              </w:rPr>
              <w:t>Texte proposé par la Commission</w:t>
            </w:r>
          </w:p>
        </w:tc>
        <w:tc>
          <w:tcPr>
            <w:tcW w:w="4528" w:type="dxa"/>
            <w:tcBorders>
              <w:top w:val="single" w:sz="2" w:space="0" w:color="auto"/>
              <w:left w:val="single" w:sz="2" w:space="0" w:color="auto"/>
              <w:bottom w:val="single" w:sz="2" w:space="0" w:color="auto"/>
              <w:right w:val="single" w:sz="2" w:space="0" w:color="auto"/>
            </w:tcBorders>
            <w:hideMark/>
          </w:tcPr>
          <w:p w14:paraId="79ED6D1D" w14:textId="77777777" w:rsidR="00B82BC5" w:rsidRPr="00115A4A" w:rsidRDefault="00B82BC5" w:rsidP="00EE20D9">
            <w:pPr>
              <w:jc w:val="center"/>
            </w:pPr>
            <w:r>
              <w:rPr>
                <w:b/>
              </w:rPr>
              <w:t>Amendement du CESE</w:t>
            </w:r>
          </w:p>
        </w:tc>
      </w:tr>
      <w:tr w:rsidR="00B82BC5" w:rsidRPr="006217D1" w14:paraId="78082A0F" w14:textId="77777777" w:rsidTr="00BB1022">
        <w:trPr>
          <w:trHeight w:val="300"/>
        </w:trPr>
        <w:tc>
          <w:tcPr>
            <w:tcW w:w="4529" w:type="dxa"/>
            <w:tcBorders>
              <w:top w:val="single" w:sz="2" w:space="0" w:color="auto"/>
              <w:left w:val="single" w:sz="6" w:space="0" w:color="auto"/>
              <w:bottom w:val="single" w:sz="6" w:space="0" w:color="auto"/>
              <w:right w:val="single" w:sz="6" w:space="0" w:color="auto"/>
            </w:tcBorders>
            <w:hideMark/>
          </w:tcPr>
          <w:p w14:paraId="183F598C" w14:textId="77777777" w:rsidR="00843BC0" w:rsidRPr="00D33B13" w:rsidRDefault="00843BC0" w:rsidP="00EE20D9">
            <w:pPr>
              <w:ind w:left="30" w:right="30"/>
              <w:rPr>
                <w:b/>
                <w:bCs/>
              </w:rPr>
            </w:pPr>
            <w:r>
              <w:rPr>
                <w:b/>
              </w:rPr>
              <w:t>Considérants</w:t>
            </w:r>
          </w:p>
          <w:p w14:paraId="3280F4E2" w14:textId="77777777" w:rsidR="00843BC0" w:rsidRPr="00C34B0E" w:rsidRDefault="00843BC0" w:rsidP="00EE20D9">
            <w:pPr>
              <w:ind w:left="30" w:right="30"/>
              <w:rPr>
                <w:lang w:val="en-US"/>
              </w:rPr>
            </w:pPr>
          </w:p>
          <w:p w14:paraId="5B4A12C1" w14:textId="16BED869" w:rsidR="00B82BC5" w:rsidRPr="00D33B13" w:rsidRDefault="004B6714" w:rsidP="00EE20D9">
            <w:pPr>
              <w:ind w:left="30" w:right="30"/>
            </w:pPr>
            <w:r>
              <w:t xml:space="preserve">(19) Pour faire dûment progresser la dimension sociale de l’Europe telle qu’elle est définie dans le socle européen des droits sociaux et garantir </w:t>
            </w:r>
            <w:r>
              <w:rPr>
                <w:b/>
                <w:bCs/>
                <w:i/>
                <w:iCs/>
              </w:rPr>
              <w:t>qu’un montant suffisant de ressources</w:t>
            </w:r>
            <w:r>
              <w:t xml:space="preserve"> aille aux personnes qui en ont le plus besoin, les États membres devraient affecter des ressources du FSE à la promotion de l’inclusion sociale.</w:t>
            </w:r>
          </w:p>
        </w:tc>
        <w:tc>
          <w:tcPr>
            <w:tcW w:w="4528" w:type="dxa"/>
            <w:tcBorders>
              <w:top w:val="single" w:sz="2" w:space="0" w:color="auto"/>
              <w:left w:val="single" w:sz="6" w:space="0" w:color="auto"/>
              <w:bottom w:val="single" w:sz="6" w:space="0" w:color="auto"/>
              <w:right w:val="single" w:sz="6" w:space="0" w:color="auto"/>
            </w:tcBorders>
            <w:hideMark/>
          </w:tcPr>
          <w:p w14:paraId="249169A5" w14:textId="77777777" w:rsidR="00843BC0" w:rsidRPr="00D33B13" w:rsidRDefault="00843BC0" w:rsidP="00EE20D9">
            <w:pPr>
              <w:ind w:left="30" w:right="30"/>
              <w:rPr>
                <w:b/>
                <w:bCs/>
              </w:rPr>
            </w:pPr>
            <w:r>
              <w:rPr>
                <w:b/>
              </w:rPr>
              <w:t>Considérants</w:t>
            </w:r>
          </w:p>
          <w:p w14:paraId="795748D1" w14:textId="77777777" w:rsidR="00843BC0" w:rsidRPr="00C34B0E" w:rsidRDefault="00843BC0" w:rsidP="00EE20D9">
            <w:pPr>
              <w:autoSpaceDE w:val="0"/>
              <w:autoSpaceDN w:val="0"/>
              <w:adjustRightInd w:val="0"/>
              <w:rPr>
                <w:lang w:val="en-US" w:eastAsia="en-GB"/>
              </w:rPr>
            </w:pPr>
          </w:p>
          <w:p w14:paraId="43BE5679" w14:textId="743B4804" w:rsidR="00B82BC5" w:rsidRPr="00D33B13" w:rsidRDefault="004B6714" w:rsidP="00EE20D9">
            <w:pPr>
              <w:autoSpaceDE w:val="0"/>
              <w:autoSpaceDN w:val="0"/>
              <w:adjustRightInd w:val="0"/>
            </w:pPr>
            <w:r>
              <w:t xml:space="preserve">(19) Pour faire dûment progresser la dimension sociale de l’Europe telle qu’elle est définie dans le socle européen des droits sociaux et garantir </w:t>
            </w:r>
            <w:r>
              <w:rPr>
                <w:b/>
                <w:bCs/>
                <w:i/>
                <w:iCs/>
              </w:rPr>
              <w:t>qu’une part de 30 % du FSE</w:t>
            </w:r>
            <w:r>
              <w:t xml:space="preserve"> aille aux personnes qui en ont le plus besoin, les États membres devraient affecter des ressources du FSE à la promotion de l’inclusion sociale.</w:t>
            </w:r>
          </w:p>
        </w:tc>
      </w:tr>
    </w:tbl>
    <w:p w14:paraId="6C4273F0" w14:textId="77777777" w:rsidR="00B82BC5" w:rsidRPr="00C34B0E" w:rsidRDefault="00B82BC5" w:rsidP="00EE20D9">
      <w:pPr>
        <w:jc w:val="center"/>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7"/>
      </w:tblGrid>
      <w:tr w:rsidR="00B82BC5" w:rsidRPr="00D33B13" w14:paraId="1A07F215" w14:textId="77777777" w:rsidTr="00BB1022">
        <w:trPr>
          <w:trHeight w:val="300"/>
        </w:trPr>
        <w:tc>
          <w:tcPr>
            <w:tcW w:w="9057" w:type="dxa"/>
            <w:tcBorders>
              <w:top w:val="single" w:sz="2" w:space="0" w:color="auto"/>
              <w:left w:val="single" w:sz="2" w:space="0" w:color="auto"/>
              <w:bottom w:val="single" w:sz="2" w:space="0" w:color="auto"/>
              <w:right w:val="single" w:sz="2" w:space="0" w:color="auto"/>
            </w:tcBorders>
            <w:hideMark/>
          </w:tcPr>
          <w:p w14:paraId="4C66AD02" w14:textId="77777777" w:rsidR="00B82BC5" w:rsidRPr="00D33B13" w:rsidRDefault="00B82BC5" w:rsidP="00EE20D9">
            <w:pPr>
              <w:keepNext/>
              <w:keepLines/>
              <w:jc w:val="center"/>
            </w:pPr>
            <w:r>
              <w:rPr>
                <w:b/>
              </w:rPr>
              <w:t>Exposé des motifs</w:t>
            </w:r>
          </w:p>
        </w:tc>
      </w:tr>
      <w:tr w:rsidR="00B82BC5" w:rsidRPr="006217D1" w14:paraId="2676CE67" w14:textId="77777777" w:rsidTr="00BB1022">
        <w:trPr>
          <w:trHeight w:val="300"/>
        </w:trPr>
        <w:tc>
          <w:tcPr>
            <w:tcW w:w="9057" w:type="dxa"/>
            <w:tcBorders>
              <w:top w:val="single" w:sz="2" w:space="0" w:color="auto"/>
              <w:left w:val="single" w:sz="6" w:space="0" w:color="auto"/>
              <w:bottom w:val="single" w:sz="6" w:space="0" w:color="auto"/>
              <w:right w:val="single" w:sz="6" w:space="0" w:color="auto"/>
            </w:tcBorders>
            <w:hideMark/>
          </w:tcPr>
          <w:p w14:paraId="3DDEC6A0" w14:textId="5F1A172F" w:rsidR="00B82BC5" w:rsidRPr="00115A4A" w:rsidRDefault="00535F7A" w:rsidP="00EE20D9">
            <w:pPr>
              <w:keepNext/>
              <w:keepLines/>
              <w:ind w:left="30" w:right="30"/>
            </w:pPr>
            <w:r>
              <w:t>Les ressources destinées à une Europe plus sociale devraient être renforcées en tant que condition préalable pour lutter efficacement contre la pauvreté et assurer l’intégration sociale et sur le marché du travail des citoyens en vue de renforcer l’inclusion sociale.</w:t>
            </w:r>
          </w:p>
        </w:tc>
      </w:tr>
    </w:tbl>
    <w:p w14:paraId="570DFDB4" w14:textId="77777777" w:rsidR="00115850" w:rsidRPr="00C34B0E" w:rsidRDefault="00115850" w:rsidP="00EE20D9">
      <w:pPr>
        <w:pStyle w:val="Heading2"/>
        <w:numPr>
          <w:ilvl w:val="0"/>
          <w:numId w:val="0"/>
        </w:numPr>
        <w:rPr>
          <w:b/>
          <w:lang w:val="en-US"/>
        </w:rPr>
      </w:pPr>
    </w:p>
    <w:p w14:paraId="30A1DE58" w14:textId="0166ED5E" w:rsidR="00115850" w:rsidRPr="00115A4A" w:rsidRDefault="00115850" w:rsidP="00EE20D9">
      <w:pPr>
        <w:pStyle w:val="Heading2"/>
        <w:numPr>
          <w:ilvl w:val="0"/>
          <w:numId w:val="0"/>
        </w:numPr>
        <w:rPr>
          <w:b/>
          <w:bCs/>
        </w:rPr>
      </w:pPr>
      <w:r>
        <w:rPr>
          <w:b/>
        </w:rPr>
        <w:t>Amendement 4</w:t>
      </w:r>
    </w:p>
    <w:p w14:paraId="4CDBB49A" w14:textId="29CBE5E2" w:rsidR="00115850" w:rsidRPr="00115A4A" w:rsidRDefault="00115850" w:rsidP="00EE20D9">
      <w:pPr>
        <w:keepNext/>
        <w:keepLines/>
        <w:jc w:val="left"/>
      </w:pPr>
      <w:proofErr w:type="gramStart"/>
      <w:r>
        <w:t>lié</w:t>
      </w:r>
      <w:proofErr w:type="gramEnd"/>
      <w:r>
        <w:t xml:space="preserve"> à la recommandation 1.6</w:t>
      </w:r>
    </w:p>
    <w:p w14:paraId="2728E268" w14:textId="77777777" w:rsidR="00115850" w:rsidRPr="00115A4A" w:rsidRDefault="00115850" w:rsidP="00EE20D9">
      <w:pPr>
        <w:keepNext/>
        <w:keepLines/>
        <w:jc w:val="left"/>
        <w:rPr>
          <w:lang w:val="it-IT"/>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9"/>
        <w:gridCol w:w="4528"/>
      </w:tblGrid>
      <w:tr w:rsidR="00115850" w:rsidRPr="00115A4A" w14:paraId="011C75A8" w14:textId="77777777" w:rsidTr="002325C4">
        <w:trPr>
          <w:trHeight w:val="300"/>
        </w:trPr>
        <w:tc>
          <w:tcPr>
            <w:tcW w:w="4529" w:type="dxa"/>
            <w:tcBorders>
              <w:top w:val="single" w:sz="2" w:space="0" w:color="auto"/>
              <w:left w:val="single" w:sz="2" w:space="0" w:color="auto"/>
              <w:bottom w:val="single" w:sz="2" w:space="0" w:color="auto"/>
              <w:right w:val="single" w:sz="2" w:space="0" w:color="auto"/>
            </w:tcBorders>
            <w:hideMark/>
          </w:tcPr>
          <w:p w14:paraId="66826F9E" w14:textId="77777777" w:rsidR="00115850" w:rsidRPr="00115A4A" w:rsidRDefault="00115850" w:rsidP="00EE20D9">
            <w:pPr>
              <w:jc w:val="center"/>
              <w:rPr>
                <w:strike/>
              </w:rPr>
            </w:pPr>
            <w:r>
              <w:rPr>
                <w:b/>
              </w:rPr>
              <w:t>Texte proposé par la Commission</w:t>
            </w:r>
          </w:p>
        </w:tc>
        <w:tc>
          <w:tcPr>
            <w:tcW w:w="4528" w:type="dxa"/>
            <w:tcBorders>
              <w:top w:val="single" w:sz="2" w:space="0" w:color="auto"/>
              <w:left w:val="single" w:sz="2" w:space="0" w:color="auto"/>
              <w:bottom w:val="single" w:sz="2" w:space="0" w:color="auto"/>
              <w:right w:val="single" w:sz="2" w:space="0" w:color="auto"/>
            </w:tcBorders>
            <w:hideMark/>
          </w:tcPr>
          <w:p w14:paraId="3500F750" w14:textId="77777777" w:rsidR="00115850" w:rsidRPr="00115A4A" w:rsidRDefault="00115850" w:rsidP="00EE20D9">
            <w:pPr>
              <w:jc w:val="center"/>
            </w:pPr>
            <w:r>
              <w:rPr>
                <w:b/>
              </w:rPr>
              <w:t>Amendement du CESE</w:t>
            </w:r>
          </w:p>
        </w:tc>
      </w:tr>
      <w:tr w:rsidR="00115850" w:rsidRPr="006217D1" w14:paraId="67BB7C21" w14:textId="77777777" w:rsidTr="002325C4">
        <w:trPr>
          <w:trHeight w:val="300"/>
        </w:trPr>
        <w:tc>
          <w:tcPr>
            <w:tcW w:w="4529" w:type="dxa"/>
            <w:tcBorders>
              <w:top w:val="single" w:sz="2" w:space="0" w:color="auto"/>
              <w:left w:val="single" w:sz="6" w:space="0" w:color="auto"/>
              <w:bottom w:val="single" w:sz="6" w:space="0" w:color="auto"/>
              <w:right w:val="single" w:sz="6" w:space="0" w:color="auto"/>
            </w:tcBorders>
            <w:hideMark/>
          </w:tcPr>
          <w:p w14:paraId="3BDA6D59" w14:textId="4EB33196" w:rsidR="00115850" w:rsidRPr="00115A4A" w:rsidRDefault="0008580A" w:rsidP="00EE20D9">
            <w:pPr>
              <w:ind w:left="30" w:right="30"/>
            </w:pPr>
            <w:r>
              <w:t xml:space="preserve">(23) [...] Les États membres </w:t>
            </w:r>
            <w:r>
              <w:rPr>
                <w:b/>
                <w:bCs/>
                <w:i/>
                <w:iCs/>
              </w:rPr>
              <w:t>qui ont reçu une recommandation par pays dans ce domaine devraient allouer des ressources</w:t>
            </w:r>
            <w:r>
              <w:t xml:space="preserve"> du FSE au renforcement des capacités des partenaires sociaux et des organisations de la société civile.</w:t>
            </w:r>
          </w:p>
        </w:tc>
        <w:tc>
          <w:tcPr>
            <w:tcW w:w="4528" w:type="dxa"/>
            <w:tcBorders>
              <w:top w:val="single" w:sz="2" w:space="0" w:color="auto"/>
              <w:left w:val="single" w:sz="6" w:space="0" w:color="auto"/>
              <w:bottom w:val="single" w:sz="6" w:space="0" w:color="auto"/>
              <w:right w:val="single" w:sz="6" w:space="0" w:color="auto"/>
            </w:tcBorders>
            <w:hideMark/>
          </w:tcPr>
          <w:p w14:paraId="45A1B577" w14:textId="28E28CEB" w:rsidR="00115850" w:rsidRPr="00115A4A" w:rsidRDefault="00D637FE" w:rsidP="00EE20D9">
            <w:pPr>
              <w:ind w:left="30" w:right="30"/>
            </w:pPr>
            <w:r>
              <w:t xml:space="preserve">(23) [...] Les États membres </w:t>
            </w:r>
            <w:r>
              <w:rPr>
                <w:b/>
                <w:bCs/>
                <w:i/>
                <w:iCs/>
              </w:rPr>
              <w:t>allouent 1 %</w:t>
            </w:r>
            <w:r>
              <w:t xml:space="preserve"> du FSE au renforcement des capacités des partenaires sociaux et des organisations de la société civile.</w:t>
            </w:r>
          </w:p>
        </w:tc>
      </w:tr>
    </w:tbl>
    <w:p w14:paraId="1E95FF64" w14:textId="77777777" w:rsidR="00115850" w:rsidRPr="00C34B0E" w:rsidRDefault="00115850" w:rsidP="00EE20D9">
      <w:pPr>
        <w:jc w:val="center"/>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7"/>
      </w:tblGrid>
      <w:tr w:rsidR="00115850" w:rsidRPr="00115A4A" w14:paraId="1638EC9A" w14:textId="77777777" w:rsidTr="002325C4">
        <w:trPr>
          <w:trHeight w:val="300"/>
        </w:trPr>
        <w:tc>
          <w:tcPr>
            <w:tcW w:w="9057" w:type="dxa"/>
            <w:tcBorders>
              <w:top w:val="single" w:sz="2" w:space="0" w:color="auto"/>
              <w:left w:val="single" w:sz="2" w:space="0" w:color="auto"/>
              <w:bottom w:val="single" w:sz="2" w:space="0" w:color="auto"/>
              <w:right w:val="single" w:sz="2" w:space="0" w:color="auto"/>
            </w:tcBorders>
            <w:hideMark/>
          </w:tcPr>
          <w:p w14:paraId="7B736D66" w14:textId="77777777" w:rsidR="00115850" w:rsidRPr="00115A4A" w:rsidRDefault="00115850" w:rsidP="00EE20D9">
            <w:pPr>
              <w:keepNext/>
              <w:keepLines/>
              <w:jc w:val="center"/>
            </w:pPr>
            <w:r>
              <w:rPr>
                <w:b/>
              </w:rPr>
              <w:lastRenderedPageBreak/>
              <w:t>Exposé des motifs</w:t>
            </w:r>
          </w:p>
        </w:tc>
      </w:tr>
      <w:tr w:rsidR="00115850" w:rsidRPr="006217D1" w14:paraId="52BEE17A" w14:textId="77777777" w:rsidTr="002325C4">
        <w:trPr>
          <w:trHeight w:val="300"/>
        </w:trPr>
        <w:tc>
          <w:tcPr>
            <w:tcW w:w="9057" w:type="dxa"/>
            <w:tcBorders>
              <w:top w:val="single" w:sz="2" w:space="0" w:color="auto"/>
              <w:left w:val="single" w:sz="6" w:space="0" w:color="auto"/>
              <w:bottom w:val="single" w:sz="6" w:space="0" w:color="auto"/>
              <w:right w:val="single" w:sz="6" w:space="0" w:color="auto"/>
            </w:tcBorders>
            <w:hideMark/>
          </w:tcPr>
          <w:p w14:paraId="20D97DE1" w14:textId="6A7B82BF" w:rsidR="00115850" w:rsidRPr="00115A4A" w:rsidRDefault="00192FFE" w:rsidP="00EE20D9">
            <w:pPr>
              <w:keepNext/>
              <w:keepLines/>
              <w:ind w:left="30" w:right="30"/>
            </w:pPr>
            <w:r>
              <w:t xml:space="preserve">La mise en œuvre efficiente et efficace des actions du FSE dépend de la bonne gouvernance et du partenariat entre toutes les parties prenantes. En ce sens, les actions visant à renforcer les capacités administratives des partenaires sociaux et de la société civile représentent une valeur ajoutée dans la programmation du FSE. </w:t>
            </w:r>
          </w:p>
        </w:tc>
      </w:tr>
    </w:tbl>
    <w:p w14:paraId="1669259B" w14:textId="77777777" w:rsidR="00A77F2C" w:rsidRPr="00C34B0E" w:rsidRDefault="00A77F2C" w:rsidP="00EE20D9">
      <w:pPr>
        <w:pStyle w:val="Heading2"/>
        <w:numPr>
          <w:ilvl w:val="0"/>
          <w:numId w:val="0"/>
        </w:numPr>
        <w:rPr>
          <w:b/>
          <w:lang w:val="en-US"/>
        </w:rPr>
      </w:pPr>
    </w:p>
    <w:p w14:paraId="64ACCD0B" w14:textId="296803DE" w:rsidR="00115850" w:rsidRPr="00115A4A" w:rsidRDefault="00115850" w:rsidP="00EE20D9">
      <w:pPr>
        <w:pStyle w:val="Heading2"/>
        <w:numPr>
          <w:ilvl w:val="0"/>
          <w:numId w:val="0"/>
        </w:numPr>
        <w:rPr>
          <w:b/>
          <w:bCs/>
        </w:rPr>
      </w:pPr>
      <w:r>
        <w:rPr>
          <w:b/>
        </w:rPr>
        <w:t>Amendement 5</w:t>
      </w:r>
    </w:p>
    <w:p w14:paraId="54430B0B" w14:textId="584CADC2" w:rsidR="00115850" w:rsidRPr="00115A4A" w:rsidRDefault="00115850" w:rsidP="00EE20D9">
      <w:pPr>
        <w:keepNext/>
        <w:keepLines/>
        <w:jc w:val="left"/>
      </w:pPr>
      <w:proofErr w:type="gramStart"/>
      <w:r>
        <w:t>lié</w:t>
      </w:r>
      <w:proofErr w:type="gramEnd"/>
      <w:r>
        <w:t xml:space="preserve"> à la recommandation 1.5</w:t>
      </w:r>
    </w:p>
    <w:p w14:paraId="74583A8A" w14:textId="77777777" w:rsidR="00115850" w:rsidRPr="00115A4A" w:rsidRDefault="00115850" w:rsidP="00EE20D9">
      <w:pPr>
        <w:keepNext/>
        <w:keepLines/>
        <w:jc w:val="left"/>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9"/>
        <w:gridCol w:w="4528"/>
      </w:tblGrid>
      <w:tr w:rsidR="00115850" w:rsidRPr="00115A4A" w14:paraId="34BFB4EB" w14:textId="77777777" w:rsidTr="002325C4">
        <w:trPr>
          <w:trHeight w:val="300"/>
        </w:trPr>
        <w:tc>
          <w:tcPr>
            <w:tcW w:w="4529" w:type="dxa"/>
            <w:tcBorders>
              <w:top w:val="single" w:sz="2" w:space="0" w:color="auto"/>
              <w:left w:val="single" w:sz="2" w:space="0" w:color="auto"/>
              <w:bottom w:val="single" w:sz="2" w:space="0" w:color="auto"/>
              <w:right w:val="single" w:sz="2" w:space="0" w:color="auto"/>
            </w:tcBorders>
            <w:hideMark/>
          </w:tcPr>
          <w:p w14:paraId="77CAB252" w14:textId="77777777" w:rsidR="00115850" w:rsidRPr="00115A4A" w:rsidRDefault="00115850" w:rsidP="00EE20D9">
            <w:pPr>
              <w:jc w:val="center"/>
              <w:rPr>
                <w:strike/>
              </w:rPr>
            </w:pPr>
            <w:r>
              <w:rPr>
                <w:b/>
              </w:rPr>
              <w:t>Texte proposé par la Commission</w:t>
            </w:r>
          </w:p>
        </w:tc>
        <w:tc>
          <w:tcPr>
            <w:tcW w:w="4528" w:type="dxa"/>
            <w:tcBorders>
              <w:top w:val="single" w:sz="2" w:space="0" w:color="auto"/>
              <w:left w:val="single" w:sz="2" w:space="0" w:color="auto"/>
              <w:bottom w:val="single" w:sz="2" w:space="0" w:color="auto"/>
              <w:right w:val="single" w:sz="2" w:space="0" w:color="auto"/>
            </w:tcBorders>
            <w:hideMark/>
          </w:tcPr>
          <w:p w14:paraId="3627ED19" w14:textId="77777777" w:rsidR="00115850" w:rsidRPr="00115A4A" w:rsidRDefault="00115850" w:rsidP="00EE20D9">
            <w:pPr>
              <w:jc w:val="center"/>
            </w:pPr>
            <w:r>
              <w:rPr>
                <w:b/>
              </w:rPr>
              <w:t>Amendement du CESE</w:t>
            </w:r>
          </w:p>
        </w:tc>
      </w:tr>
      <w:tr w:rsidR="00115850" w:rsidRPr="006217D1" w14:paraId="5A5C9D52" w14:textId="77777777" w:rsidTr="002325C4">
        <w:trPr>
          <w:trHeight w:val="300"/>
        </w:trPr>
        <w:tc>
          <w:tcPr>
            <w:tcW w:w="4529" w:type="dxa"/>
            <w:tcBorders>
              <w:top w:val="single" w:sz="2" w:space="0" w:color="auto"/>
              <w:left w:val="single" w:sz="6" w:space="0" w:color="auto"/>
              <w:bottom w:val="single" w:sz="6" w:space="0" w:color="auto"/>
              <w:right w:val="single" w:sz="6" w:space="0" w:color="auto"/>
            </w:tcBorders>
            <w:hideMark/>
          </w:tcPr>
          <w:p w14:paraId="69586313" w14:textId="77777777" w:rsidR="00087DA7" w:rsidRDefault="00FD6330" w:rsidP="00EE20D9">
            <w:pPr>
              <w:ind w:left="30" w:right="30"/>
              <w:rPr>
                <w:b/>
                <w:bCs/>
              </w:rPr>
            </w:pPr>
            <w:r>
              <w:rPr>
                <w:b/>
              </w:rPr>
              <w:t xml:space="preserve">Article 7 </w:t>
            </w:r>
          </w:p>
          <w:p w14:paraId="3BF0BE3B" w14:textId="029A0257" w:rsidR="00FD6330" w:rsidRPr="00115A4A" w:rsidRDefault="00FD6330" w:rsidP="00EE20D9">
            <w:pPr>
              <w:ind w:left="30" w:right="30"/>
              <w:rPr>
                <w:b/>
                <w:bCs/>
              </w:rPr>
            </w:pPr>
            <w:r>
              <w:rPr>
                <w:b/>
              </w:rPr>
              <w:t>Partenariat</w:t>
            </w:r>
          </w:p>
          <w:p w14:paraId="7EA0A9EE" w14:textId="77777777" w:rsidR="00BE33F3" w:rsidRPr="00C34B0E" w:rsidRDefault="00BE33F3" w:rsidP="00EE20D9">
            <w:pPr>
              <w:ind w:left="30" w:right="30"/>
              <w:rPr>
                <w:lang w:val="en-US"/>
              </w:rPr>
            </w:pPr>
          </w:p>
          <w:p w14:paraId="398C773C" w14:textId="7188F376" w:rsidR="00115850" w:rsidRPr="00115A4A" w:rsidRDefault="00FD6330" w:rsidP="00EE20D9">
            <w:pPr>
              <w:ind w:left="30" w:right="30"/>
            </w:pPr>
            <w:r>
              <w:t>Les États membres assurent aux partenaires sociaux et aux organisations de la société civile une participation significative à la mise en œuvre des politiques en faveur d’emplois de qualité, de l’éducation, des compétences et de l’inclusion sociale, conformément à l’article 6 du règlement XX [règlement PNR].</w:t>
            </w:r>
          </w:p>
        </w:tc>
        <w:tc>
          <w:tcPr>
            <w:tcW w:w="4528" w:type="dxa"/>
            <w:tcBorders>
              <w:top w:val="single" w:sz="2" w:space="0" w:color="auto"/>
              <w:left w:val="single" w:sz="6" w:space="0" w:color="auto"/>
              <w:bottom w:val="single" w:sz="6" w:space="0" w:color="auto"/>
              <w:right w:val="single" w:sz="6" w:space="0" w:color="auto"/>
            </w:tcBorders>
            <w:hideMark/>
          </w:tcPr>
          <w:p w14:paraId="1A6F3390" w14:textId="77777777" w:rsidR="00087DA7" w:rsidRDefault="00843BC0" w:rsidP="00EE20D9">
            <w:pPr>
              <w:ind w:left="30" w:right="30"/>
              <w:rPr>
                <w:b/>
                <w:bCs/>
              </w:rPr>
            </w:pPr>
            <w:r>
              <w:rPr>
                <w:b/>
              </w:rPr>
              <w:t xml:space="preserve">Article 7 </w:t>
            </w:r>
          </w:p>
          <w:p w14:paraId="1C85A744" w14:textId="7EDDB4D4" w:rsidR="00843BC0" w:rsidRPr="00115A4A" w:rsidRDefault="00843BC0" w:rsidP="00EE20D9">
            <w:pPr>
              <w:ind w:left="30" w:right="30"/>
              <w:rPr>
                <w:b/>
                <w:bCs/>
              </w:rPr>
            </w:pPr>
            <w:r>
              <w:rPr>
                <w:b/>
              </w:rPr>
              <w:t>Partenariat</w:t>
            </w:r>
          </w:p>
          <w:p w14:paraId="4E6E9C37" w14:textId="77777777" w:rsidR="00843BC0" w:rsidRPr="00C34B0E" w:rsidRDefault="00843BC0" w:rsidP="00EE20D9">
            <w:pPr>
              <w:ind w:left="30" w:right="30"/>
              <w:rPr>
                <w:lang w:val="en-US"/>
              </w:rPr>
            </w:pPr>
          </w:p>
          <w:p w14:paraId="5CC706CC" w14:textId="5F08789B" w:rsidR="00115850" w:rsidRPr="00115A4A" w:rsidRDefault="00843BC0" w:rsidP="00EE20D9">
            <w:pPr>
              <w:ind w:left="30" w:right="30"/>
            </w:pPr>
            <w:r>
              <w:t xml:space="preserve">Les États membres assurent aux partenaires sociaux et aux organisations de la société civile une participation significative à la mise en œuvre des politiques en faveur d’emplois de qualité, de l’éducation, des compétences et de l’inclusion sociale, conformément à l’article 6 du règlement XX [règlement PNR]. </w:t>
            </w:r>
            <w:r>
              <w:rPr>
                <w:b/>
                <w:i/>
              </w:rPr>
              <w:t>Les partenaires sociaux et les organisations de la société civile participent aux comités de suivi avec droit de vote.</w:t>
            </w:r>
          </w:p>
        </w:tc>
      </w:tr>
    </w:tbl>
    <w:p w14:paraId="2E0C2B22" w14:textId="77777777" w:rsidR="00115850" w:rsidRPr="00C34B0E" w:rsidRDefault="00115850" w:rsidP="00EE20D9">
      <w:pPr>
        <w:jc w:val="center"/>
        <w:rPr>
          <w:lang w:val="en-US"/>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7"/>
      </w:tblGrid>
      <w:tr w:rsidR="00115850" w:rsidRPr="00115A4A" w14:paraId="4DF52E78" w14:textId="77777777" w:rsidTr="002325C4">
        <w:trPr>
          <w:trHeight w:val="300"/>
        </w:trPr>
        <w:tc>
          <w:tcPr>
            <w:tcW w:w="9057" w:type="dxa"/>
            <w:tcBorders>
              <w:top w:val="single" w:sz="2" w:space="0" w:color="auto"/>
              <w:left w:val="single" w:sz="2" w:space="0" w:color="auto"/>
              <w:bottom w:val="single" w:sz="2" w:space="0" w:color="auto"/>
              <w:right w:val="single" w:sz="2" w:space="0" w:color="auto"/>
            </w:tcBorders>
            <w:hideMark/>
          </w:tcPr>
          <w:p w14:paraId="23DF70C0" w14:textId="77777777" w:rsidR="00115850" w:rsidRPr="00115A4A" w:rsidRDefault="00115850" w:rsidP="00EE20D9">
            <w:pPr>
              <w:keepNext/>
              <w:keepLines/>
              <w:jc w:val="center"/>
            </w:pPr>
            <w:r>
              <w:rPr>
                <w:b/>
              </w:rPr>
              <w:t>Exposé des motifs</w:t>
            </w:r>
          </w:p>
        </w:tc>
      </w:tr>
      <w:tr w:rsidR="00115850" w:rsidRPr="006217D1" w14:paraId="1648B1C3" w14:textId="77777777" w:rsidTr="002325C4">
        <w:trPr>
          <w:trHeight w:val="300"/>
        </w:trPr>
        <w:tc>
          <w:tcPr>
            <w:tcW w:w="9057" w:type="dxa"/>
            <w:tcBorders>
              <w:top w:val="single" w:sz="2" w:space="0" w:color="auto"/>
              <w:left w:val="single" w:sz="6" w:space="0" w:color="auto"/>
              <w:bottom w:val="single" w:sz="6" w:space="0" w:color="auto"/>
              <w:right w:val="single" w:sz="6" w:space="0" w:color="auto"/>
            </w:tcBorders>
            <w:hideMark/>
          </w:tcPr>
          <w:p w14:paraId="52049EB0" w14:textId="4A21776C" w:rsidR="00115850" w:rsidRPr="00115A4A" w:rsidRDefault="00BE43C0" w:rsidP="00EE20D9">
            <w:pPr>
              <w:keepNext/>
              <w:keepLines/>
              <w:ind w:right="30"/>
            </w:pPr>
            <w:r>
              <w:t>Le partenariat est une valeur fondamentale de la politique de cohésion, raison pour laquelle la pleine participation des partenaires sociaux et de la société civile doit être assurée à tous les stades de la programmation du FSE.</w:t>
            </w:r>
          </w:p>
        </w:tc>
      </w:tr>
    </w:tbl>
    <w:p w14:paraId="0322384E" w14:textId="66C988D9" w:rsidR="00115850" w:rsidRDefault="00115850" w:rsidP="00EE20D9">
      <w:pPr>
        <w:pStyle w:val="Heading2"/>
        <w:numPr>
          <w:ilvl w:val="0"/>
          <w:numId w:val="0"/>
        </w:numPr>
        <w:rPr>
          <w:b/>
          <w:lang w:val="en-US"/>
        </w:rPr>
      </w:pPr>
    </w:p>
    <w:p w14:paraId="6D0ECB83" w14:textId="1E68BBAB" w:rsidR="002E6324" w:rsidRPr="00C5697E" w:rsidRDefault="002E6324" w:rsidP="002E6324">
      <w:pPr>
        <w:keepNext/>
        <w:keepLines/>
      </w:pPr>
      <w:r>
        <w:t>Bruxelles, le 26 novembre 2025</w:t>
      </w:r>
    </w:p>
    <w:p w14:paraId="6BA2442B" w14:textId="77777777" w:rsidR="002E6324" w:rsidRPr="00C5697E" w:rsidRDefault="002E6324" w:rsidP="002E6324">
      <w:pPr>
        <w:keepNext/>
        <w:keepLines/>
      </w:pPr>
    </w:p>
    <w:p w14:paraId="4B1E0EE5" w14:textId="77777777" w:rsidR="002E6324" w:rsidRPr="00C5697E" w:rsidRDefault="002E6324" w:rsidP="002E6324">
      <w:pPr>
        <w:keepNext/>
        <w:keepLines/>
      </w:pPr>
    </w:p>
    <w:p w14:paraId="69485C90" w14:textId="77777777" w:rsidR="002E6324" w:rsidRDefault="002E6324" w:rsidP="002E6324">
      <w:pPr>
        <w:keepNext/>
        <w:keepLines/>
        <w:jc w:val="left"/>
        <w:rPr>
          <w:i/>
          <w:iCs/>
        </w:rPr>
      </w:pPr>
      <w:r>
        <w:rPr>
          <w:i/>
        </w:rPr>
        <w:t>La présidente de la section</w:t>
      </w:r>
      <w:proofErr w:type="gramStart"/>
      <w:r>
        <w:rPr>
          <w:i/>
        </w:rPr>
        <w:t xml:space="preserve"> «Emploi</w:t>
      </w:r>
      <w:proofErr w:type="gramEnd"/>
      <w:r>
        <w:rPr>
          <w:i/>
        </w:rPr>
        <w:t>, affaires sociales et citoyenneté»</w:t>
      </w:r>
    </w:p>
    <w:p w14:paraId="29D1B4B8" w14:textId="2FAECBA9" w:rsidR="002E6324" w:rsidRPr="003C1EF6" w:rsidRDefault="002E6324" w:rsidP="002E6324">
      <w:r>
        <w:t>Cinzia DEL RIO</w:t>
      </w:r>
    </w:p>
    <w:p w14:paraId="0DC94611" w14:textId="7D91A4BB" w:rsidR="006322BA" w:rsidRPr="003C1EF6" w:rsidRDefault="006322BA" w:rsidP="002E6324">
      <w:pPr>
        <w:rPr>
          <w:lang w:val="it-IT"/>
        </w:rPr>
      </w:pPr>
    </w:p>
    <w:p w14:paraId="0A47F716" w14:textId="77777777" w:rsidR="006322BA" w:rsidRPr="003C1EF6" w:rsidRDefault="006322BA" w:rsidP="006322BA">
      <w:pPr>
        <w:rPr>
          <w:lang w:val="it-IT"/>
        </w:rPr>
      </w:pPr>
    </w:p>
    <w:p w14:paraId="5E43C611" w14:textId="77777777" w:rsidR="002D011E" w:rsidRPr="003C1EF6" w:rsidRDefault="002D011E">
      <w:pPr>
        <w:jc w:val="center"/>
      </w:pPr>
      <w:r>
        <w:t>*</w:t>
      </w:r>
    </w:p>
    <w:p w14:paraId="69127249" w14:textId="77777777" w:rsidR="002D011E" w:rsidRPr="003C1EF6" w:rsidRDefault="002D011E">
      <w:pPr>
        <w:jc w:val="center"/>
        <w:rPr>
          <w:lang w:val="it-IT"/>
        </w:rPr>
      </w:pPr>
    </w:p>
    <w:p w14:paraId="03B73AE2" w14:textId="77777777" w:rsidR="002D011E" w:rsidRPr="003C1EF6" w:rsidRDefault="002D011E">
      <w:pPr>
        <w:jc w:val="center"/>
      </w:pPr>
      <w:r>
        <w:t>*</w:t>
      </w:r>
      <w:r>
        <w:tab/>
        <w:t>*</w:t>
      </w:r>
    </w:p>
    <w:p w14:paraId="6DA1F2B1" w14:textId="080D6D3B" w:rsidR="002D011E" w:rsidRDefault="002D011E" w:rsidP="006322BA">
      <w:pPr>
        <w:jc w:val="center"/>
        <w:rPr>
          <w:lang w:val="it-IT"/>
        </w:rPr>
      </w:pPr>
    </w:p>
    <w:p w14:paraId="4B039204" w14:textId="77777777" w:rsidR="006322BA" w:rsidRPr="003C1EF6" w:rsidRDefault="006322BA" w:rsidP="006322BA">
      <w:pPr>
        <w:jc w:val="left"/>
        <w:rPr>
          <w:b/>
          <w:lang w:val="it-IT"/>
        </w:rPr>
      </w:pPr>
    </w:p>
    <w:p w14:paraId="5769A0BA" w14:textId="630592F2" w:rsidR="006322BA" w:rsidRPr="003C1EF6" w:rsidRDefault="006322BA" w:rsidP="006322BA">
      <w:proofErr w:type="gramStart"/>
      <w:r>
        <w:rPr>
          <w:b/>
        </w:rPr>
        <w:t>NB:</w:t>
      </w:r>
      <w:proofErr w:type="gramEnd"/>
      <w:r>
        <w:tab/>
        <w:t>L’annexe au présent document figure sur les pages ci-après.</w:t>
      </w:r>
    </w:p>
    <w:p w14:paraId="7B440310" w14:textId="7B367C30" w:rsidR="00CF57DC" w:rsidRPr="003C1EF6" w:rsidRDefault="00CF57DC">
      <w:pPr>
        <w:spacing w:line="240" w:lineRule="auto"/>
        <w:jc w:val="left"/>
      </w:pPr>
      <w:r>
        <w:br w:type="page"/>
      </w:r>
    </w:p>
    <w:p w14:paraId="6ADE1C4A" w14:textId="73C560BF" w:rsidR="00CF57DC" w:rsidRPr="009777C1" w:rsidRDefault="00CF57DC" w:rsidP="00CF57DC">
      <w:pPr>
        <w:pStyle w:val="ListParagraph"/>
        <w:jc w:val="center"/>
      </w:pPr>
      <w:r>
        <w:rPr>
          <w:b/>
        </w:rPr>
        <w:lastRenderedPageBreak/>
        <w:t>ANNEXE à l’AVIS</w:t>
      </w:r>
      <w:r>
        <w:br/>
        <w:t>de la section</w:t>
      </w:r>
      <w:proofErr w:type="gramStart"/>
      <w:r>
        <w:t xml:space="preserve"> «Emploi</w:t>
      </w:r>
      <w:proofErr w:type="gramEnd"/>
      <w:r>
        <w:t>, affaires sociales et citoyenneté»</w:t>
      </w:r>
    </w:p>
    <w:p w14:paraId="65F03A64" w14:textId="77777777" w:rsidR="00CF57DC" w:rsidRPr="009777C1" w:rsidRDefault="00CF57DC" w:rsidP="00CF57DC"/>
    <w:p w14:paraId="4BFD03BE" w14:textId="77777777" w:rsidR="00CF57DC" w:rsidRDefault="00CF57DC" w:rsidP="00CF57DC">
      <w:pPr>
        <w:spacing w:line="240" w:lineRule="auto"/>
        <w:jc w:val="left"/>
      </w:pPr>
      <w:r>
        <w:t>Les amendements suivants, qui ont recueilli au moins le quart des suffrages exprimés, ont été rejetés au cours des débats (article 60, paragraphe 2, du règlement intérieur</w:t>
      </w:r>
      <w:proofErr w:type="gramStart"/>
      <w:r>
        <w:t>):</w:t>
      </w:r>
      <w:proofErr w:type="gramEnd"/>
    </w:p>
    <w:p w14:paraId="7447358B" w14:textId="1F403763" w:rsidR="00CF57DC" w:rsidRDefault="00CF57DC" w:rsidP="002E6324">
      <w:pPr>
        <w:rPr>
          <w:lang w:val="en-US"/>
        </w:rPr>
      </w:pPr>
    </w:p>
    <w:p w14:paraId="7D998470" w14:textId="4A75766D" w:rsidR="00CF57DC" w:rsidRDefault="00CF57DC" w:rsidP="002E6324">
      <w:pPr>
        <w:rPr>
          <w:lang w:val="en-US"/>
        </w:r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27"/>
        <w:gridCol w:w="13"/>
      </w:tblGrid>
      <w:tr w:rsidR="003F4823" w:rsidRPr="00873637" w14:paraId="54D3B7F9" w14:textId="77777777" w:rsidTr="008505E2">
        <w:tc>
          <w:tcPr>
            <w:tcW w:w="2826" w:type="pct"/>
          </w:tcPr>
          <w:p w14:paraId="1C799FAE" w14:textId="77777777" w:rsidR="003F4823" w:rsidRPr="00873637" w:rsidRDefault="003F4823" w:rsidP="008505E2">
            <w:pPr>
              <w:rPr>
                <w:b/>
                <w:bCs/>
                <w:sz w:val="32"/>
                <w:szCs w:val="32"/>
              </w:rPr>
            </w:pPr>
            <w:r>
              <w:rPr>
                <w:b/>
                <w:sz w:val="32"/>
              </w:rPr>
              <w:t>AMENDEMENT 5</w:t>
            </w:r>
          </w:p>
          <w:p w14:paraId="00EF9F45" w14:textId="77777777" w:rsidR="003F4823" w:rsidRPr="00873637" w:rsidRDefault="003F4823" w:rsidP="008505E2">
            <w:pPr>
              <w:rPr>
                <w:b/>
                <w:bCs/>
              </w:rPr>
            </w:pPr>
          </w:p>
          <w:p w14:paraId="03BDD15E" w14:textId="77777777" w:rsidR="003F4823" w:rsidRPr="00873637" w:rsidRDefault="003F4823" w:rsidP="008505E2">
            <w:pPr>
              <w:rPr>
                <w:b/>
                <w:bCs/>
              </w:rPr>
            </w:pPr>
            <w:r>
              <w:rPr>
                <w:b/>
              </w:rPr>
              <w:t>SOC/845</w:t>
            </w:r>
          </w:p>
          <w:p w14:paraId="2415B893" w14:textId="77777777" w:rsidR="003F4823" w:rsidRPr="00873637" w:rsidRDefault="003F4823" w:rsidP="008505E2">
            <w:pPr>
              <w:rPr>
                <w:b/>
                <w:bCs/>
              </w:rPr>
            </w:pPr>
            <w:r>
              <w:rPr>
                <w:b/>
              </w:rPr>
              <w:t>Établissement du Fonds social européen dans le cadre du plan de partenariat national et régional</w:t>
            </w:r>
          </w:p>
          <w:p w14:paraId="7056B1EE" w14:textId="77777777" w:rsidR="003F4823" w:rsidRPr="00873637" w:rsidRDefault="003F4823" w:rsidP="008505E2">
            <w:pPr>
              <w:rPr>
                <w:b/>
                <w:bCs/>
              </w:rPr>
            </w:pPr>
          </w:p>
          <w:p w14:paraId="48F4DFCC" w14:textId="77777777" w:rsidR="003F4823" w:rsidRPr="003C1EF6" w:rsidRDefault="003F4823" w:rsidP="008505E2">
            <w:pPr>
              <w:rPr>
                <w:b/>
                <w:bCs/>
              </w:rPr>
            </w:pPr>
            <w:proofErr w:type="gramStart"/>
            <w:r>
              <w:rPr>
                <w:b/>
              </w:rPr>
              <w:t>COM(</w:t>
            </w:r>
            <w:proofErr w:type="gramEnd"/>
            <w:r>
              <w:rPr>
                <w:b/>
              </w:rPr>
              <w:t>2025) 558 final – 2025/0239 (COD)</w:t>
            </w:r>
          </w:p>
          <w:p w14:paraId="753A7FBB" w14:textId="77777777" w:rsidR="003F4823" w:rsidRPr="003C1EF6" w:rsidRDefault="003F4823" w:rsidP="008505E2">
            <w:pPr>
              <w:rPr>
                <w:b/>
                <w:bCs/>
                <w:lang w:val="pt-PT"/>
              </w:rPr>
            </w:pPr>
          </w:p>
          <w:p w14:paraId="604314FB" w14:textId="77777777" w:rsidR="003F4823" w:rsidRPr="003C1EF6" w:rsidRDefault="003F4823" w:rsidP="008505E2">
            <w:pPr>
              <w:pStyle w:val="Heading2"/>
              <w:keepNext/>
              <w:keepLines/>
              <w:numPr>
                <w:ilvl w:val="0"/>
                <w:numId w:val="0"/>
              </w:numPr>
              <w:rPr>
                <w:b/>
                <w:bCs/>
              </w:rPr>
            </w:pPr>
            <w:r>
              <w:rPr>
                <w:b/>
              </w:rPr>
              <w:t>Amendement 1 du CESE</w:t>
            </w:r>
          </w:p>
          <w:p w14:paraId="0888B854" w14:textId="77777777" w:rsidR="003F4823" w:rsidRPr="00873637" w:rsidRDefault="003F4823" w:rsidP="008505E2">
            <w:pPr>
              <w:rPr>
                <w:b/>
                <w:bCs/>
              </w:rPr>
            </w:pPr>
            <w:proofErr w:type="gramStart"/>
            <w:r>
              <w:t>lié</w:t>
            </w:r>
            <w:proofErr w:type="gramEnd"/>
            <w:r>
              <w:t xml:space="preserve"> à la recommandation 1.2</w:t>
            </w:r>
          </w:p>
          <w:p w14:paraId="00142B83" w14:textId="77777777" w:rsidR="003F4823" w:rsidRPr="00873637" w:rsidRDefault="003F4823" w:rsidP="008505E2">
            <w:pPr>
              <w:rPr>
                <w:b/>
                <w:bCs/>
              </w:rPr>
            </w:pPr>
          </w:p>
          <w:p w14:paraId="20D5EE86" w14:textId="77777777" w:rsidR="003F4823" w:rsidRPr="00873637" w:rsidRDefault="003F4823" w:rsidP="008505E2">
            <w:pPr>
              <w:rPr>
                <w:b/>
                <w:bCs/>
              </w:rPr>
            </w:pPr>
            <w:r>
              <w:rPr>
                <w:b/>
              </w:rPr>
              <w:t xml:space="preserve">Modifier comme </w:t>
            </w:r>
            <w:proofErr w:type="gramStart"/>
            <w:r>
              <w:rPr>
                <w:b/>
              </w:rPr>
              <w:t>suit:</w:t>
            </w:r>
            <w:proofErr w:type="gramEnd"/>
          </w:p>
          <w:p w14:paraId="4A2C4B6B" w14:textId="77777777" w:rsidR="003F4823" w:rsidRPr="00873637" w:rsidRDefault="003F4823" w:rsidP="008505E2">
            <w:pPr>
              <w:rPr>
                <w:b/>
                <w:bCs/>
              </w:rPr>
            </w:pPr>
          </w:p>
        </w:tc>
        <w:tc>
          <w:tcPr>
            <w:tcW w:w="2174" w:type="pct"/>
            <w:gridSpan w:val="2"/>
            <w:hideMark/>
          </w:tcPr>
          <w:p w14:paraId="20562CF4" w14:textId="77777777" w:rsidR="003F4823" w:rsidRPr="00873637" w:rsidRDefault="003F4823" w:rsidP="008505E2">
            <w:pPr>
              <w:jc w:val="left"/>
              <w:rPr>
                <w:b/>
                <w:bCs/>
              </w:rPr>
            </w:pPr>
            <w:r>
              <w:rPr>
                <w:b/>
              </w:rPr>
              <w:t xml:space="preserve">Proposé </w:t>
            </w:r>
            <w:proofErr w:type="gramStart"/>
            <w:r>
              <w:rPr>
                <w:b/>
              </w:rPr>
              <w:t>par:</w:t>
            </w:r>
            <w:proofErr w:type="gramEnd"/>
          </w:p>
          <w:p w14:paraId="25074164" w14:textId="77777777" w:rsidR="003F4823" w:rsidRPr="00873637" w:rsidRDefault="003F4823" w:rsidP="008505E2">
            <w:pPr>
              <w:jc w:val="left"/>
            </w:pPr>
            <w:r>
              <w:t>BONI Michal</w:t>
            </w:r>
          </w:p>
          <w:p w14:paraId="22646E60" w14:textId="77777777" w:rsidR="003F4823" w:rsidRPr="00873637" w:rsidRDefault="003F4823" w:rsidP="008505E2">
            <w:pPr>
              <w:jc w:val="left"/>
            </w:pPr>
            <w:r>
              <w:t xml:space="preserve">DABU </w:t>
            </w:r>
            <w:proofErr w:type="spellStart"/>
            <w:r>
              <w:t>Adelina</w:t>
            </w:r>
            <w:proofErr w:type="spellEnd"/>
            <w:r>
              <w:t xml:space="preserve"> </w:t>
            </w:r>
          </w:p>
          <w:p w14:paraId="01EB1293" w14:textId="77777777" w:rsidR="003F4823" w:rsidRPr="00873637" w:rsidRDefault="003F4823" w:rsidP="008505E2">
            <w:pPr>
              <w:jc w:val="left"/>
            </w:pPr>
            <w:r>
              <w:t>MINCHEVA Mariya</w:t>
            </w:r>
          </w:p>
          <w:p w14:paraId="32343FA2" w14:textId="77777777" w:rsidR="003F4823" w:rsidRPr="00873637" w:rsidRDefault="003F4823" w:rsidP="008505E2">
            <w:pPr>
              <w:jc w:val="left"/>
            </w:pPr>
            <w:r>
              <w:t>POTTIER Jean-Michel</w:t>
            </w:r>
          </w:p>
          <w:p w14:paraId="197A0678" w14:textId="77777777" w:rsidR="003F4823" w:rsidRPr="00873637" w:rsidRDefault="003F4823" w:rsidP="008505E2">
            <w:pPr>
              <w:jc w:val="left"/>
            </w:pPr>
            <w:r>
              <w:t>SCHWENG Christa</w:t>
            </w:r>
          </w:p>
          <w:p w14:paraId="7956E130" w14:textId="77777777" w:rsidR="003F4823" w:rsidRPr="00873637" w:rsidRDefault="003F4823" w:rsidP="008505E2">
            <w:pPr>
              <w:jc w:val="left"/>
            </w:pPr>
            <w:r>
              <w:t xml:space="preserve">SÕBER </w:t>
            </w:r>
            <w:proofErr w:type="spellStart"/>
            <w:r>
              <w:t>Kristi</w:t>
            </w:r>
            <w:proofErr w:type="spellEnd"/>
          </w:p>
          <w:p w14:paraId="1509E61A" w14:textId="77777777" w:rsidR="003F4823" w:rsidRPr="00873637" w:rsidRDefault="003F4823" w:rsidP="008505E2">
            <w:pPr>
              <w:jc w:val="left"/>
            </w:pPr>
            <w:r>
              <w:t>YGLESIAS Isabel</w:t>
            </w:r>
          </w:p>
          <w:p w14:paraId="37CD2A12" w14:textId="77777777" w:rsidR="003F4823" w:rsidRPr="00873637" w:rsidRDefault="003F4823" w:rsidP="008505E2"/>
        </w:tc>
      </w:tr>
      <w:tr w:rsidR="003F4823" w:rsidRPr="00873637" w14:paraId="62A086B9"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4993" w:type="pct"/>
            <w:gridSpan w:val="2"/>
            <w:tcBorders>
              <w:top w:val="single" w:sz="4" w:space="0" w:color="auto"/>
              <w:left w:val="single" w:sz="4" w:space="0" w:color="auto"/>
              <w:bottom w:val="single" w:sz="4" w:space="0" w:color="auto"/>
              <w:right w:val="single" w:sz="4" w:space="0" w:color="auto"/>
            </w:tcBorders>
            <w:hideMark/>
          </w:tcPr>
          <w:p w14:paraId="5945B794" w14:textId="77777777" w:rsidR="003F4823" w:rsidRPr="00873637" w:rsidRDefault="003F4823" w:rsidP="008505E2">
            <w:pPr>
              <w:spacing w:after="200"/>
              <w:jc w:val="center"/>
              <w:rPr>
                <w:rFonts w:eastAsia="Calibri"/>
              </w:rPr>
            </w:pPr>
            <w:r>
              <w:rPr>
                <w:b/>
                <w:i/>
              </w:rPr>
              <w:t>Texte proposé par la Commission</w:t>
            </w:r>
          </w:p>
        </w:tc>
      </w:tr>
      <w:tr w:rsidR="003F4823" w:rsidRPr="00873637" w14:paraId="4F59919C"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4993" w:type="pct"/>
            <w:gridSpan w:val="2"/>
            <w:tcBorders>
              <w:top w:val="single" w:sz="4" w:space="0" w:color="auto"/>
              <w:left w:val="single" w:sz="4" w:space="0" w:color="auto"/>
              <w:bottom w:val="single" w:sz="4" w:space="0" w:color="auto"/>
              <w:right w:val="single" w:sz="4" w:space="0" w:color="auto"/>
            </w:tcBorders>
          </w:tcPr>
          <w:p w14:paraId="435D5EDE" w14:textId="77777777" w:rsidR="003F4823" w:rsidRPr="00873637" w:rsidRDefault="003F4823" w:rsidP="008505E2">
            <w:pPr>
              <w:keepNext/>
              <w:ind w:left="30" w:right="30"/>
              <w:rPr>
                <w:b/>
                <w:bCs/>
              </w:rPr>
            </w:pPr>
            <w:r>
              <w:rPr>
                <w:b/>
              </w:rPr>
              <w:t>Considérants</w:t>
            </w:r>
          </w:p>
          <w:p w14:paraId="700D478F" w14:textId="77777777" w:rsidR="003F4823" w:rsidRPr="00873637" w:rsidRDefault="003F4823" w:rsidP="008505E2">
            <w:pPr>
              <w:keepNext/>
              <w:ind w:left="30" w:right="30"/>
              <w:rPr>
                <w:b/>
                <w:bCs/>
              </w:rPr>
            </w:pPr>
          </w:p>
          <w:p w14:paraId="487F1BC8" w14:textId="33713418" w:rsidR="003F4823" w:rsidRPr="00873637" w:rsidRDefault="003F4823" w:rsidP="008505E2">
            <w:pPr>
              <w:pStyle w:val="Text1"/>
              <w:spacing w:line="276" w:lineRule="auto"/>
              <w:ind w:left="0" w:right="267"/>
              <w:rPr>
                <w:rFonts w:eastAsia="Calibri"/>
              </w:rPr>
            </w:pPr>
            <w:r>
              <w:rPr>
                <w:sz w:val="22"/>
              </w:rPr>
              <w:t xml:space="preserve">(12) Afin de renforcer les sociétés européennes et le modèle social européen, les États membres </w:t>
            </w:r>
            <w:r>
              <w:rPr>
                <w:b/>
                <w:bCs/>
                <w:i/>
                <w:iCs/>
                <w:sz w:val="22"/>
              </w:rPr>
              <w:t>devraient allouer</w:t>
            </w:r>
            <w:r>
              <w:rPr>
                <w:sz w:val="22"/>
              </w:rPr>
              <w:t xml:space="preserve"> au FSE </w:t>
            </w:r>
            <w:r>
              <w:rPr>
                <w:b/>
                <w:bCs/>
                <w:i/>
                <w:iCs/>
                <w:sz w:val="22"/>
              </w:rPr>
              <w:t>un montant minimal de</w:t>
            </w:r>
            <w:r>
              <w:rPr>
                <w:sz w:val="22"/>
              </w:rPr>
              <w:t xml:space="preserve"> ressources au titre de leur plan de partenariat national et régional adopté conformément au règlement (UE) [règlement PNR].</w:t>
            </w:r>
          </w:p>
        </w:tc>
      </w:tr>
    </w:tbl>
    <w:p w14:paraId="3A33F23A" w14:textId="77777777" w:rsidR="003F4823" w:rsidRPr="00873637" w:rsidRDefault="003F4823" w:rsidP="003F4823">
      <w:pPr>
        <w:jc w:val="left"/>
        <w:rPr>
          <w:rFonts w:ascii="Calibri" w:eastAsia="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5"/>
      </w:tblGrid>
      <w:tr w:rsidR="003F4823" w:rsidRPr="00873637" w14:paraId="52A8E627"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75E06BC4" w14:textId="77777777" w:rsidR="003F4823" w:rsidRPr="00873637" w:rsidRDefault="003F4823" w:rsidP="008505E2">
            <w:pPr>
              <w:spacing w:after="200"/>
              <w:jc w:val="center"/>
              <w:rPr>
                <w:rFonts w:eastAsia="Calibri"/>
                <w:b/>
                <w:i/>
              </w:rPr>
            </w:pPr>
            <w:r>
              <w:rPr>
                <w:b/>
                <w:i/>
              </w:rPr>
              <w:t>Projet d’avis</w:t>
            </w:r>
          </w:p>
        </w:tc>
        <w:tc>
          <w:tcPr>
            <w:tcW w:w="2500" w:type="pct"/>
            <w:tcBorders>
              <w:top w:val="single" w:sz="4" w:space="0" w:color="auto"/>
              <w:left w:val="single" w:sz="4" w:space="0" w:color="auto"/>
              <w:bottom w:val="single" w:sz="4" w:space="0" w:color="auto"/>
              <w:right w:val="single" w:sz="4" w:space="0" w:color="auto"/>
            </w:tcBorders>
            <w:hideMark/>
          </w:tcPr>
          <w:p w14:paraId="3D933018" w14:textId="77777777" w:rsidR="003F4823" w:rsidRPr="00873637" w:rsidRDefault="003F4823" w:rsidP="008505E2">
            <w:pPr>
              <w:spacing w:after="200"/>
              <w:jc w:val="center"/>
              <w:rPr>
                <w:rFonts w:eastAsia="Calibri"/>
                <w:b/>
                <w:i/>
              </w:rPr>
            </w:pPr>
            <w:r>
              <w:rPr>
                <w:b/>
                <w:i/>
              </w:rPr>
              <w:t>Amendement</w:t>
            </w:r>
          </w:p>
        </w:tc>
      </w:tr>
      <w:tr w:rsidR="003F4823" w:rsidRPr="00873637" w14:paraId="72A56A20" w14:textId="77777777" w:rsidTr="008505E2">
        <w:tc>
          <w:tcPr>
            <w:tcW w:w="2500" w:type="pct"/>
            <w:tcBorders>
              <w:top w:val="single" w:sz="4" w:space="0" w:color="auto"/>
              <w:left w:val="single" w:sz="4" w:space="0" w:color="auto"/>
              <w:bottom w:val="single" w:sz="4" w:space="0" w:color="auto"/>
              <w:right w:val="single" w:sz="4" w:space="0" w:color="auto"/>
            </w:tcBorders>
          </w:tcPr>
          <w:p w14:paraId="3492536A" w14:textId="18E84879" w:rsidR="003F4823" w:rsidRPr="00873637" w:rsidRDefault="003F4823" w:rsidP="008505E2">
            <w:pPr>
              <w:overflowPunct w:val="0"/>
              <w:autoSpaceDE w:val="0"/>
              <w:autoSpaceDN w:val="0"/>
              <w:adjustRightInd w:val="0"/>
              <w:spacing w:line="276" w:lineRule="auto"/>
              <w:ind w:left="283" w:right="267" w:hanging="283"/>
              <w:textAlignment w:val="baseline"/>
            </w:pPr>
            <w:r>
              <w:t xml:space="preserve">(12) Afin de renforcer les sociétés européennes et le modèle social européen, les États membres </w:t>
            </w:r>
            <w:r>
              <w:rPr>
                <w:b/>
                <w:bCs/>
                <w:i/>
                <w:iCs/>
              </w:rPr>
              <w:t>allouent</w:t>
            </w:r>
            <w:r>
              <w:t xml:space="preserve"> au FSE </w:t>
            </w:r>
            <w:r>
              <w:rPr>
                <w:b/>
                <w:bCs/>
                <w:i/>
                <w:iCs/>
              </w:rPr>
              <w:t>20 % des</w:t>
            </w:r>
            <w:r>
              <w:t xml:space="preserve"> ressources au titre de leur plan de partenariat national et régional adopté conformément au règlement (UE) [règlement PNR].</w:t>
            </w:r>
          </w:p>
        </w:tc>
        <w:tc>
          <w:tcPr>
            <w:tcW w:w="2500" w:type="pct"/>
            <w:tcBorders>
              <w:top w:val="single" w:sz="4" w:space="0" w:color="auto"/>
              <w:left w:val="single" w:sz="4" w:space="0" w:color="auto"/>
              <w:bottom w:val="single" w:sz="4" w:space="0" w:color="auto"/>
              <w:right w:val="single" w:sz="4" w:space="0" w:color="auto"/>
            </w:tcBorders>
          </w:tcPr>
          <w:p w14:paraId="6C96DCE7" w14:textId="223115F0" w:rsidR="003F4823" w:rsidRPr="00873637" w:rsidRDefault="003F4823" w:rsidP="008505E2">
            <w:pPr>
              <w:overflowPunct w:val="0"/>
              <w:autoSpaceDE w:val="0"/>
              <w:autoSpaceDN w:val="0"/>
              <w:adjustRightInd w:val="0"/>
              <w:spacing w:line="276" w:lineRule="auto"/>
              <w:ind w:left="283" w:right="267" w:hanging="283"/>
              <w:textAlignment w:val="baseline"/>
              <w:rPr>
                <w:rFonts w:eastAsia="Calibri"/>
              </w:rPr>
            </w:pPr>
            <w:r>
              <w:t>(12) Afin de renforcer les sociétés européennes et le modèle social européen</w:t>
            </w:r>
            <w:r>
              <w:rPr>
                <w:b/>
                <w:bCs/>
                <w:i/>
                <w:iCs/>
                <w:u w:val="single"/>
              </w:rPr>
              <w:t>, et lorsque les circonstances prévalant au niveau national le justifient</w:t>
            </w:r>
            <w:r>
              <w:t xml:space="preserve">, les États membres </w:t>
            </w:r>
            <w:r>
              <w:rPr>
                <w:b/>
                <w:bCs/>
                <w:i/>
                <w:iCs/>
              </w:rPr>
              <w:t>allouent</w:t>
            </w:r>
            <w:r>
              <w:t xml:space="preserve"> au FSE </w:t>
            </w:r>
            <w:r>
              <w:rPr>
                <w:b/>
                <w:bCs/>
                <w:i/>
                <w:iCs/>
              </w:rPr>
              <w:t>20 % des</w:t>
            </w:r>
            <w:r>
              <w:t xml:space="preserve"> ressources au titre de leur plan de partenariat national et régional adopté conformément au règlement (UE) [règlement PNR].</w:t>
            </w:r>
          </w:p>
        </w:tc>
      </w:tr>
    </w:tbl>
    <w:p w14:paraId="2CD0EC18" w14:textId="77777777" w:rsidR="00673D4E" w:rsidRDefault="00673D4E" w:rsidP="003F4823">
      <w:pPr>
        <w:pStyle w:val="ListParagraph"/>
        <w:ind w:left="142"/>
        <w:rPr>
          <w:b/>
          <w:bCs/>
          <w:lang w:val="en-GB"/>
        </w:rPr>
      </w:pPr>
    </w:p>
    <w:p w14:paraId="2424C30F" w14:textId="1B1FC4E3" w:rsidR="003F4823" w:rsidRPr="009777C1" w:rsidRDefault="003F4823" w:rsidP="003F4823">
      <w:pPr>
        <w:pStyle w:val="ListParagraph"/>
        <w:ind w:left="142"/>
        <w:rPr>
          <w:b/>
          <w:bCs/>
        </w:rPr>
      </w:pPr>
      <w:r>
        <w:rPr>
          <w:b/>
        </w:rPr>
        <w:t xml:space="preserve">Résultat du </w:t>
      </w:r>
      <w:proofErr w:type="gramStart"/>
      <w:r>
        <w:rPr>
          <w:b/>
        </w:rPr>
        <w:t>vote: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8"/>
      </w:tblGrid>
      <w:tr w:rsidR="003F4823" w:rsidRPr="008D2641" w14:paraId="40D0E258" w14:textId="77777777" w:rsidTr="008505E2">
        <w:tc>
          <w:tcPr>
            <w:tcW w:w="1413" w:type="dxa"/>
          </w:tcPr>
          <w:p w14:paraId="315BDEE8" w14:textId="77777777" w:rsidR="003F4823" w:rsidRPr="009777C1" w:rsidRDefault="003F4823" w:rsidP="008505E2">
            <w:pPr>
              <w:ind w:left="31"/>
            </w:pPr>
            <w:r>
              <w:t xml:space="preserve">Voix </w:t>
            </w:r>
            <w:proofErr w:type="gramStart"/>
            <w:r>
              <w:t>pour:</w:t>
            </w:r>
            <w:proofErr w:type="gramEnd"/>
          </w:p>
        </w:tc>
        <w:tc>
          <w:tcPr>
            <w:tcW w:w="567" w:type="dxa"/>
          </w:tcPr>
          <w:p w14:paraId="2C83368F" w14:textId="49028FA8" w:rsidR="003F4823" w:rsidRPr="009777C1" w:rsidRDefault="00031C65" w:rsidP="008505E2">
            <w:pPr>
              <w:ind w:left="142"/>
              <w:jc w:val="right"/>
            </w:pPr>
            <w:r>
              <w:t>34</w:t>
            </w:r>
          </w:p>
        </w:tc>
      </w:tr>
      <w:tr w:rsidR="003F4823" w:rsidRPr="008D2641" w14:paraId="138F1F39" w14:textId="77777777" w:rsidTr="008505E2">
        <w:tc>
          <w:tcPr>
            <w:tcW w:w="1413" w:type="dxa"/>
          </w:tcPr>
          <w:p w14:paraId="28880E01" w14:textId="77777777" w:rsidR="003F4823" w:rsidRPr="009777C1" w:rsidRDefault="003F4823" w:rsidP="008505E2">
            <w:r>
              <w:t xml:space="preserve">Voix </w:t>
            </w:r>
            <w:proofErr w:type="gramStart"/>
            <w:r>
              <w:t>contre:</w:t>
            </w:r>
            <w:proofErr w:type="gramEnd"/>
          </w:p>
        </w:tc>
        <w:tc>
          <w:tcPr>
            <w:tcW w:w="567" w:type="dxa"/>
          </w:tcPr>
          <w:p w14:paraId="068E1382" w14:textId="581C0A89" w:rsidR="003F4823" w:rsidRPr="009777C1" w:rsidRDefault="003F4823" w:rsidP="008505E2">
            <w:pPr>
              <w:ind w:left="142"/>
              <w:jc w:val="right"/>
            </w:pPr>
            <w:r>
              <w:t>53</w:t>
            </w:r>
          </w:p>
        </w:tc>
      </w:tr>
      <w:tr w:rsidR="003F4823" w:rsidRPr="008D2641" w14:paraId="772511DD" w14:textId="77777777" w:rsidTr="008505E2">
        <w:tc>
          <w:tcPr>
            <w:tcW w:w="1413" w:type="dxa"/>
          </w:tcPr>
          <w:p w14:paraId="74AD7BA3" w14:textId="77777777" w:rsidR="003F4823" w:rsidRPr="009777C1" w:rsidRDefault="003F4823" w:rsidP="008505E2">
            <w:proofErr w:type="gramStart"/>
            <w:r>
              <w:t>Abstentions:</w:t>
            </w:r>
            <w:proofErr w:type="gramEnd"/>
          </w:p>
        </w:tc>
        <w:tc>
          <w:tcPr>
            <w:tcW w:w="567" w:type="dxa"/>
          </w:tcPr>
          <w:p w14:paraId="3E6D0351" w14:textId="4149F244" w:rsidR="003F4823" w:rsidRPr="009777C1" w:rsidRDefault="00031C65" w:rsidP="008505E2">
            <w:pPr>
              <w:ind w:left="142"/>
              <w:jc w:val="right"/>
            </w:pPr>
            <w:r>
              <w:t>4</w:t>
            </w:r>
          </w:p>
        </w:tc>
      </w:tr>
    </w:tbl>
    <w:p w14:paraId="11A55E9C" w14:textId="114DD631" w:rsidR="003F4823" w:rsidRPr="00873637" w:rsidRDefault="003F4823" w:rsidP="003F4823">
      <w:pPr>
        <w:rPr>
          <w:b/>
          <w:bCs/>
        </w:rPr>
        <w:sectPr w:rsidR="003F4823" w:rsidRPr="00873637" w:rsidSect="002D011E">
          <w:headerReference w:type="even" r:id="rId29"/>
          <w:headerReference w:type="default" r:id="rId30"/>
          <w:footerReference w:type="even" r:id="rId31"/>
          <w:footerReference w:type="default" r:id="rId32"/>
          <w:headerReference w:type="first" r:id="rId33"/>
          <w:footerReference w:type="first" r:id="rId34"/>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27"/>
        <w:gridCol w:w="13"/>
      </w:tblGrid>
      <w:tr w:rsidR="003F4823" w:rsidRPr="00873637" w14:paraId="0ECAA5F2" w14:textId="77777777" w:rsidTr="008505E2">
        <w:tc>
          <w:tcPr>
            <w:tcW w:w="2826" w:type="pct"/>
          </w:tcPr>
          <w:p w14:paraId="102B476A" w14:textId="77777777" w:rsidR="003F4823" w:rsidRPr="00873637" w:rsidRDefault="003F4823" w:rsidP="008505E2">
            <w:pPr>
              <w:rPr>
                <w:b/>
                <w:bCs/>
                <w:sz w:val="32"/>
                <w:szCs w:val="32"/>
              </w:rPr>
            </w:pPr>
            <w:r>
              <w:rPr>
                <w:b/>
                <w:sz w:val="32"/>
              </w:rPr>
              <w:lastRenderedPageBreak/>
              <w:t>AMENDEMENT 6</w:t>
            </w:r>
          </w:p>
          <w:p w14:paraId="675F5E95" w14:textId="77777777" w:rsidR="003F4823" w:rsidRPr="00873637" w:rsidRDefault="003F4823" w:rsidP="008505E2">
            <w:pPr>
              <w:rPr>
                <w:b/>
                <w:bCs/>
              </w:rPr>
            </w:pPr>
          </w:p>
          <w:p w14:paraId="50BC795B" w14:textId="77777777" w:rsidR="003F4823" w:rsidRPr="00873637" w:rsidRDefault="003F4823" w:rsidP="008505E2">
            <w:pPr>
              <w:rPr>
                <w:b/>
                <w:bCs/>
              </w:rPr>
            </w:pPr>
            <w:r>
              <w:rPr>
                <w:b/>
              </w:rPr>
              <w:t>SOC/845</w:t>
            </w:r>
          </w:p>
          <w:p w14:paraId="6988823B" w14:textId="77777777" w:rsidR="003F4823" w:rsidRPr="00873637" w:rsidRDefault="003F4823" w:rsidP="008505E2">
            <w:pPr>
              <w:rPr>
                <w:b/>
                <w:bCs/>
              </w:rPr>
            </w:pPr>
            <w:r>
              <w:rPr>
                <w:b/>
              </w:rPr>
              <w:t>Établissement du Fonds social européen dans le cadre du plan de partenariat national et régional</w:t>
            </w:r>
          </w:p>
          <w:p w14:paraId="34F8FA09" w14:textId="77777777" w:rsidR="003F4823" w:rsidRPr="00873637" w:rsidRDefault="003F4823" w:rsidP="008505E2">
            <w:pPr>
              <w:rPr>
                <w:b/>
                <w:bCs/>
              </w:rPr>
            </w:pPr>
          </w:p>
          <w:p w14:paraId="4E9CF4A0" w14:textId="77777777" w:rsidR="003F4823" w:rsidRPr="003C1EF6" w:rsidRDefault="003F4823" w:rsidP="008505E2">
            <w:pPr>
              <w:rPr>
                <w:b/>
                <w:bCs/>
              </w:rPr>
            </w:pPr>
            <w:proofErr w:type="gramStart"/>
            <w:r>
              <w:rPr>
                <w:b/>
              </w:rPr>
              <w:t>COM(</w:t>
            </w:r>
            <w:proofErr w:type="gramEnd"/>
            <w:r>
              <w:rPr>
                <w:b/>
              </w:rPr>
              <w:t>2025) 558 final – 2025/0239 (COD)</w:t>
            </w:r>
          </w:p>
          <w:p w14:paraId="7661714B" w14:textId="77777777" w:rsidR="003F4823" w:rsidRPr="003C1EF6" w:rsidRDefault="003F4823" w:rsidP="008505E2">
            <w:pPr>
              <w:rPr>
                <w:b/>
                <w:bCs/>
                <w:lang w:val="pt-PT"/>
              </w:rPr>
            </w:pPr>
          </w:p>
          <w:p w14:paraId="13443BEA" w14:textId="77777777" w:rsidR="003F4823" w:rsidRPr="003C1EF6" w:rsidRDefault="003F4823" w:rsidP="008505E2">
            <w:pPr>
              <w:pStyle w:val="Heading2"/>
              <w:keepNext/>
              <w:keepLines/>
              <w:numPr>
                <w:ilvl w:val="0"/>
                <w:numId w:val="0"/>
              </w:numPr>
              <w:rPr>
                <w:b/>
                <w:bCs/>
              </w:rPr>
            </w:pPr>
            <w:r>
              <w:rPr>
                <w:b/>
              </w:rPr>
              <w:t>Amendement 2 du CESE</w:t>
            </w:r>
          </w:p>
          <w:p w14:paraId="3BBB489D" w14:textId="77777777" w:rsidR="003F4823" w:rsidRPr="00873637" w:rsidRDefault="003F4823" w:rsidP="008505E2">
            <w:pPr>
              <w:rPr>
                <w:b/>
                <w:bCs/>
              </w:rPr>
            </w:pPr>
            <w:proofErr w:type="gramStart"/>
            <w:r>
              <w:t>lié</w:t>
            </w:r>
            <w:proofErr w:type="gramEnd"/>
            <w:r>
              <w:t xml:space="preserve"> aux recommandations 1.13 et 1.14</w:t>
            </w:r>
          </w:p>
          <w:p w14:paraId="1ADD8940" w14:textId="77777777" w:rsidR="003F4823" w:rsidRPr="00873637" w:rsidRDefault="003F4823" w:rsidP="008505E2">
            <w:pPr>
              <w:rPr>
                <w:b/>
                <w:bCs/>
              </w:rPr>
            </w:pPr>
          </w:p>
          <w:p w14:paraId="3FE72A67" w14:textId="77777777" w:rsidR="003F4823" w:rsidRPr="00873637" w:rsidRDefault="003F4823" w:rsidP="008505E2">
            <w:pPr>
              <w:rPr>
                <w:b/>
                <w:bCs/>
              </w:rPr>
            </w:pPr>
            <w:r>
              <w:rPr>
                <w:b/>
              </w:rPr>
              <w:t xml:space="preserve">Modifier comme </w:t>
            </w:r>
            <w:proofErr w:type="gramStart"/>
            <w:r>
              <w:rPr>
                <w:b/>
              </w:rPr>
              <w:t>suit:</w:t>
            </w:r>
            <w:proofErr w:type="gramEnd"/>
          </w:p>
          <w:p w14:paraId="22527634" w14:textId="77777777" w:rsidR="003F4823" w:rsidRPr="00873637" w:rsidRDefault="003F4823" w:rsidP="008505E2">
            <w:pPr>
              <w:rPr>
                <w:b/>
                <w:bCs/>
              </w:rPr>
            </w:pPr>
          </w:p>
        </w:tc>
        <w:tc>
          <w:tcPr>
            <w:tcW w:w="2174" w:type="pct"/>
            <w:gridSpan w:val="2"/>
            <w:hideMark/>
          </w:tcPr>
          <w:p w14:paraId="508D78FD" w14:textId="77777777" w:rsidR="003F4823" w:rsidRPr="00873637" w:rsidRDefault="003F4823" w:rsidP="008505E2">
            <w:pPr>
              <w:jc w:val="left"/>
              <w:rPr>
                <w:b/>
                <w:bCs/>
              </w:rPr>
            </w:pPr>
            <w:r>
              <w:rPr>
                <w:b/>
              </w:rPr>
              <w:t xml:space="preserve">Proposé </w:t>
            </w:r>
            <w:proofErr w:type="gramStart"/>
            <w:r>
              <w:rPr>
                <w:b/>
              </w:rPr>
              <w:t>par:</w:t>
            </w:r>
            <w:proofErr w:type="gramEnd"/>
          </w:p>
          <w:p w14:paraId="5E67626B" w14:textId="77777777" w:rsidR="003F4823" w:rsidRPr="00873637" w:rsidRDefault="003F4823" w:rsidP="008505E2">
            <w:pPr>
              <w:jc w:val="left"/>
            </w:pPr>
            <w:r>
              <w:t>BONI Michal</w:t>
            </w:r>
          </w:p>
          <w:p w14:paraId="3F377AEA" w14:textId="77777777" w:rsidR="003F4823" w:rsidRPr="00873637" w:rsidRDefault="003F4823" w:rsidP="008505E2">
            <w:pPr>
              <w:jc w:val="left"/>
            </w:pPr>
            <w:r>
              <w:t xml:space="preserve">DABU </w:t>
            </w:r>
            <w:proofErr w:type="spellStart"/>
            <w:r>
              <w:t>Adelina</w:t>
            </w:r>
            <w:proofErr w:type="spellEnd"/>
            <w:r>
              <w:t xml:space="preserve"> </w:t>
            </w:r>
          </w:p>
          <w:p w14:paraId="4E7326E4" w14:textId="77777777" w:rsidR="003F4823" w:rsidRPr="00873637" w:rsidRDefault="003F4823" w:rsidP="008505E2">
            <w:pPr>
              <w:jc w:val="left"/>
            </w:pPr>
            <w:r>
              <w:t>MINCHEVA Mariya</w:t>
            </w:r>
          </w:p>
          <w:p w14:paraId="32A7E866" w14:textId="77777777" w:rsidR="003F4823" w:rsidRPr="00873637" w:rsidRDefault="003F4823" w:rsidP="008505E2">
            <w:pPr>
              <w:jc w:val="left"/>
            </w:pPr>
            <w:r>
              <w:t>POTTIER Jean-Michel</w:t>
            </w:r>
          </w:p>
          <w:p w14:paraId="6E8B5649" w14:textId="77777777" w:rsidR="003F4823" w:rsidRPr="00873637" w:rsidRDefault="003F4823" w:rsidP="008505E2">
            <w:pPr>
              <w:jc w:val="left"/>
            </w:pPr>
            <w:r>
              <w:t>SCHWENG Christa</w:t>
            </w:r>
          </w:p>
          <w:p w14:paraId="727A286D" w14:textId="77777777" w:rsidR="003F4823" w:rsidRPr="00873637" w:rsidRDefault="003F4823" w:rsidP="008505E2">
            <w:pPr>
              <w:jc w:val="left"/>
            </w:pPr>
            <w:r>
              <w:t xml:space="preserve">SÕBER </w:t>
            </w:r>
            <w:proofErr w:type="spellStart"/>
            <w:r>
              <w:t>Kristi</w:t>
            </w:r>
            <w:proofErr w:type="spellEnd"/>
          </w:p>
          <w:p w14:paraId="536DCBD1" w14:textId="77777777" w:rsidR="003F4823" w:rsidRPr="00873637" w:rsidRDefault="003F4823" w:rsidP="008505E2">
            <w:pPr>
              <w:jc w:val="left"/>
            </w:pPr>
            <w:r>
              <w:t>YGLESIAS Isabel</w:t>
            </w:r>
          </w:p>
          <w:p w14:paraId="3630F242" w14:textId="77777777" w:rsidR="003F4823" w:rsidRPr="00873637" w:rsidRDefault="003F4823" w:rsidP="008505E2"/>
        </w:tc>
      </w:tr>
      <w:tr w:rsidR="003F4823" w:rsidRPr="00873637" w14:paraId="15E645B5"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4993" w:type="pct"/>
            <w:gridSpan w:val="2"/>
            <w:tcBorders>
              <w:top w:val="single" w:sz="4" w:space="0" w:color="auto"/>
              <w:left w:val="single" w:sz="4" w:space="0" w:color="auto"/>
              <w:bottom w:val="single" w:sz="4" w:space="0" w:color="auto"/>
              <w:right w:val="single" w:sz="4" w:space="0" w:color="auto"/>
            </w:tcBorders>
            <w:hideMark/>
          </w:tcPr>
          <w:p w14:paraId="0F4CF1D6" w14:textId="77777777" w:rsidR="003F4823" w:rsidRPr="00873637" w:rsidRDefault="003F4823" w:rsidP="008505E2">
            <w:pPr>
              <w:spacing w:after="200"/>
              <w:jc w:val="center"/>
              <w:rPr>
                <w:rFonts w:eastAsia="Calibri"/>
              </w:rPr>
            </w:pPr>
            <w:r>
              <w:rPr>
                <w:b/>
                <w:i/>
              </w:rPr>
              <w:t>Texte proposé par la Commission</w:t>
            </w:r>
          </w:p>
        </w:tc>
      </w:tr>
      <w:tr w:rsidR="003F4823" w:rsidRPr="00873637" w14:paraId="12375F1B"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4993" w:type="pct"/>
            <w:gridSpan w:val="2"/>
            <w:tcBorders>
              <w:top w:val="single" w:sz="4" w:space="0" w:color="auto"/>
              <w:left w:val="single" w:sz="4" w:space="0" w:color="auto"/>
              <w:bottom w:val="single" w:sz="4" w:space="0" w:color="auto"/>
              <w:right w:val="single" w:sz="4" w:space="0" w:color="auto"/>
            </w:tcBorders>
          </w:tcPr>
          <w:p w14:paraId="3E0CF59D" w14:textId="77777777" w:rsidR="003F4823" w:rsidRPr="00873637" w:rsidRDefault="003F4823" w:rsidP="008505E2">
            <w:pPr>
              <w:spacing w:after="200"/>
              <w:jc w:val="center"/>
              <w:rPr>
                <w:b/>
                <w:i/>
                <w:lang w:eastAsia="en-GB" w:bidi="en-GB"/>
              </w:rPr>
            </w:pPr>
          </w:p>
        </w:tc>
      </w:tr>
      <w:tr w:rsidR="003F4823" w:rsidRPr="00873637" w14:paraId="7EAD35FE"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4993" w:type="pct"/>
            <w:gridSpan w:val="2"/>
            <w:tcBorders>
              <w:top w:val="single" w:sz="4" w:space="0" w:color="auto"/>
              <w:left w:val="single" w:sz="4" w:space="0" w:color="auto"/>
              <w:bottom w:val="single" w:sz="4" w:space="0" w:color="auto"/>
              <w:right w:val="single" w:sz="4" w:space="0" w:color="auto"/>
            </w:tcBorders>
          </w:tcPr>
          <w:p w14:paraId="714844D4" w14:textId="77777777" w:rsidR="003F4823" w:rsidRPr="00873637" w:rsidRDefault="003F4823" w:rsidP="008505E2">
            <w:pPr>
              <w:keepNext/>
              <w:ind w:left="30" w:right="30"/>
              <w:rPr>
                <w:b/>
                <w:bCs/>
              </w:rPr>
            </w:pPr>
            <w:r>
              <w:rPr>
                <w:b/>
              </w:rPr>
              <w:t>Considérants</w:t>
            </w:r>
          </w:p>
          <w:p w14:paraId="7C8577CA" w14:textId="77777777" w:rsidR="003F4823" w:rsidRPr="00873637" w:rsidRDefault="003F4823" w:rsidP="008505E2">
            <w:pPr>
              <w:keepNext/>
              <w:ind w:left="30" w:right="30"/>
              <w:rPr>
                <w:b/>
                <w:bCs/>
              </w:rPr>
            </w:pPr>
          </w:p>
          <w:p w14:paraId="27518D7A" w14:textId="77777777" w:rsidR="003F4823" w:rsidRPr="00873637" w:rsidRDefault="003F4823" w:rsidP="008505E2">
            <w:pPr>
              <w:keepNext/>
              <w:ind w:left="30" w:right="30"/>
              <w:rPr>
                <w:rFonts w:eastAsia="Calibri"/>
              </w:rPr>
            </w:pPr>
            <w:r>
              <w:t xml:space="preserve">(14) Le FSE devrait renforcer l’offre de main-d’œuvre et améliorer l’éducation et la formation ainsi que l’acquisition de compétences tout au long de la vie. Il devrait notamment favoriser la progression dans le système éducatif et de formation et la transition vers le monde du travail, soutenir l’apprentissage tout au long de la vie, y compris l’apprentissage formel, non formel et informel qui a lieu à toutes les étapes de la vie, et l’employabilité, et contribuer à la compétitivité et à l’innovation sociétale et économique en soutenant des initiatives reproductibles à plus grande échelle et durables dans ces domaines. Cet objectif pourrait être atteint, par exemple, par les moyens </w:t>
            </w:r>
            <w:proofErr w:type="gramStart"/>
            <w:r>
              <w:t>suivants:</w:t>
            </w:r>
            <w:proofErr w:type="gramEnd"/>
            <w:r>
              <w:t xml:space="preserve"> la formation par le travail, l’apprentissage et l’orientation tout au long de la vie, l’anticipation des besoins de compétences en coopération avec l’industrie, des supports de formation à jour, des études de prévision et de suivi des diplômés, la formation des éducateurs, la validation des acquis d’apprentissage et la reconnaissance des qualifications.</w:t>
            </w:r>
          </w:p>
        </w:tc>
      </w:tr>
    </w:tbl>
    <w:p w14:paraId="55FD45B6" w14:textId="77777777" w:rsidR="003F4823" w:rsidRPr="00873637" w:rsidRDefault="003F4823" w:rsidP="003F4823">
      <w:pPr>
        <w:jc w:val="left"/>
        <w:rPr>
          <w:rFonts w:ascii="Calibri" w:eastAsia="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5"/>
      </w:tblGrid>
      <w:tr w:rsidR="003F4823" w:rsidRPr="00873637" w14:paraId="2214C715"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70683B72" w14:textId="77777777" w:rsidR="003F4823" w:rsidRPr="00873637" w:rsidRDefault="003F4823" w:rsidP="008505E2">
            <w:pPr>
              <w:spacing w:after="200"/>
              <w:jc w:val="center"/>
              <w:rPr>
                <w:rFonts w:eastAsia="Calibri"/>
                <w:b/>
                <w:i/>
              </w:rPr>
            </w:pPr>
            <w:r>
              <w:rPr>
                <w:b/>
                <w:i/>
              </w:rPr>
              <w:t>Projet d’avis</w:t>
            </w:r>
          </w:p>
        </w:tc>
        <w:tc>
          <w:tcPr>
            <w:tcW w:w="2500" w:type="pct"/>
            <w:tcBorders>
              <w:top w:val="single" w:sz="4" w:space="0" w:color="auto"/>
              <w:left w:val="single" w:sz="4" w:space="0" w:color="auto"/>
              <w:bottom w:val="single" w:sz="4" w:space="0" w:color="auto"/>
              <w:right w:val="single" w:sz="4" w:space="0" w:color="auto"/>
            </w:tcBorders>
            <w:hideMark/>
          </w:tcPr>
          <w:p w14:paraId="69BD6691" w14:textId="77777777" w:rsidR="003F4823" w:rsidRPr="00873637" w:rsidRDefault="003F4823" w:rsidP="008505E2">
            <w:pPr>
              <w:spacing w:after="200"/>
              <w:jc w:val="center"/>
              <w:rPr>
                <w:rFonts w:eastAsia="Calibri"/>
                <w:b/>
                <w:i/>
              </w:rPr>
            </w:pPr>
            <w:r>
              <w:rPr>
                <w:b/>
                <w:i/>
              </w:rPr>
              <w:t>Amendement</w:t>
            </w:r>
          </w:p>
        </w:tc>
      </w:tr>
      <w:tr w:rsidR="003F4823" w:rsidRPr="00873637" w14:paraId="0E76E38E" w14:textId="77777777" w:rsidTr="008505E2">
        <w:tc>
          <w:tcPr>
            <w:tcW w:w="2500" w:type="pct"/>
            <w:tcBorders>
              <w:top w:val="single" w:sz="4" w:space="0" w:color="auto"/>
              <w:left w:val="single" w:sz="4" w:space="0" w:color="auto"/>
              <w:bottom w:val="single" w:sz="4" w:space="0" w:color="auto"/>
              <w:right w:val="single" w:sz="4" w:space="0" w:color="auto"/>
            </w:tcBorders>
          </w:tcPr>
          <w:p w14:paraId="12263484" w14:textId="77777777" w:rsidR="003F4823" w:rsidRPr="00873637" w:rsidRDefault="003F4823" w:rsidP="008505E2">
            <w:pPr>
              <w:overflowPunct w:val="0"/>
              <w:autoSpaceDE w:val="0"/>
              <w:autoSpaceDN w:val="0"/>
              <w:adjustRightInd w:val="0"/>
              <w:spacing w:line="276" w:lineRule="auto"/>
              <w:ind w:left="567" w:right="267" w:hanging="283"/>
              <w:textAlignment w:val="baseline"/>
            </w:pPr>
          </w:p>
        </w:tc>
        <w:tc>
          <w:tcPr>
            <w:tcW w:w="2500" w:type="pct"/>
            <w:tcBorders>
              <w:top w:val="single" w:sz="4" w:space="0" w:color="auto"/>
              <w:left w:val="single" w:sz="4" w:space="0" w:color="auto"/>
              <w:bottom w:val="single" w:sz="4" w:space="0" w:color="auto"/>
              <w:right w:val="single" w:sz="4" w:space="0" w:color="auto"/>
            </w:tcBorders>
          </w:tcPr>
          <w:p w14:paraId="5EB97528" w14:textId="77777777" w:rsidR="003F4823" w:rsidRPr="00873637" w:rsidRDefault="003F4823" w:rsidP="008505E2">
            <w:pPr>
              <w:ind w:left="30" w:right="30"/>
              <w:rPr>
                <w:b/>
                <w:bCs/>
              </w:rPr>
            </w:pPr>
            <w:r>
              <w:rPr>
                <w:b/>
              </w:rPr>
              <w:t>Considérants</w:t>
            </w:r>
          </w:p>
          <w:p w14:paraId="0BD06B22" w14:textId="77777777" w:rsidR="003F4823" w:rsidRPr="00873637" w:rsidRDefault="003F4823" w:rsidP="008505E2">
            <w:pPr>
              <w:ind w:left="30" w:right="30"/>
              <w:rPr>
                <w:b/>
                <w:bCs/>
              </w:rPr>
            </w:pPr>
          </w:p>
          <w:p w14:paraId="55AAA488" w14:textId="77777777" w:rsidR="003F4823" w:rsidRPr="00873637" w:rsidRDefault="003F4823" w:rsidP="008505E2">
            <w:pPr>
              <w:keepNext/>
              <w:ind w:left="30" w:right="30"/>
              <w:rPr>
                <w:rFonts w:eastAsia="Calibri"/>
              </w:rPr>
            </w:pPr>
            <w:r>
              <w:t xml:space="preserve">(14) Le FSE devrait renforcer l’offre de main-d’œuvre et améliorer l’éducation et la formation ainsi que l’acquisition de compétences tout au long de la vie. Il devrait notamment favoriser la progression dans le système éducatif et de formation et la transition vers le monde du travail, soutenir l’apprentissage tout au long de la vie, y compris l’apprentissage formel, non formel et informel qui a lieu à toutes les étapes de la vie, et l’employabilité, et contribuer à la compétitivité et à l’innovation sociétale et économique en </w:t>
            </w:r>
            <w:r>
              <w:lastRenderedPageBreak/>
              <w:t xml:space="preserve">soutenant des initiatives reproductibles à plus grande échelle et durables dans ces domaines. Cet objectif pourrait être atteint, par exemple, par les moyens </w:t>
            </w:r>
            <w:proofErr w:type="gramStart"/>
            <w:r>
              <w:t>suivants:</w:t>
            </w:r>
            <w:proofErr w:type="gramEnd"/>
            <w:r>
              <w:t xml:space="preserve"> la formation par le travail, l’apprentissage et l’orientation tout au long de la vie, l’anticipation des besoins de compétences en coopération avec l’industrie, des supports de formation à jour, des études de prévision et de suivi des diplômés, la formation des éducateurs, la validation des acquis d’apprentissage et la reconnaissance des qualifications. </w:t>
            </w:r>
            <w:r>
              <w:rPr>
                <w:b/>
                <w:i/>
              </w:rPr>
              <w:t>Les États membres devraient donc allouer 50 % des crédits du FSE au développement des compétences. Dans le cadre de cette enveloppe, une part de 15 % au moins devrait être consacrée à des incitations financières pour que les employeurs dispensent des formations.</w:t>
            </w:r>
          </w:p>
        </w:tc>
      </w:tr>
    </w:tbl>
    <w:p w14:paraId="02047284" w14:textId="77777777" w:rsidR="003F4823" w:rsidRPr="00873637" w:rsidRDefault="003F4823" w:rsidP="003F4823">
      <w:pPr>
        <w:jc w:val="center"/>
      </w:pPr>
    </w:p>
    <w:p w14:paraId="1C437A2F" w14:textId="77777777" w:rsidR="003F4823" w:rsidRPr="009777C1" w:rsidRDefault="003F4823" w:rsidP="003F4823">
      <w:pPr>
        <w:pStyle w:val="ListParagraph"/>
        <w:ind w:left="142"/>
        <w:rPr>
          <w:b/>
          <w:bCs/>
        </w:rPr>
      </w:pPr>
      <w:r>
        <w:rPr>
          <w:b/>
        </w:rPr>
        <w:t xml:space="preserve">Résultat du </w:t>
      </w:r>
      <w:proofErr w:type="gramStart"/>
      <w:r>
        <w:rPr>
          <w:b/>
        </w:rPr>
        <w:t>vote: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8"/>
      </w:tblGrid>
      <w:tr w:rsidR="003F4823" w:rsidRPr="008D2641" w14:paraId="2D73C077" w14:textId="77777777" w:rsidTr="008505E2">
        <w:tc>
          <w:tcPr>
            <w:tcW w:w="1413" w:type="dxa"/>
          </w:tcPr>
          <w:p w14:paraId="63B31E56" w14:textId="77777777" w:rsidR="003F4823" w:rsidRPr="009777C1" w:rsidRDefault="003F4823" w:rsidP="008505E2">
            <w:pPr>
              <w:ind w:left="31"/>
            </w:pPr>
            <w:r>
              <w:t xml:space="preserve">Voix </w:t>
            </w:r>
            <w:proofErr w:type="gramStart"/>
            <w:r>
              <w:t>pour:</w:t>
            </w:r>
            <w:proofErr w:type="gramEnd"/>
          </w:p>
        </w:tc>
        <w:tc>
          <w:tcPr>
            <w:tcW w:w="567" w:type="dxa"/>
          </w:tcPr>
          <w:p w14:paraId="699FAB19" w14:textId="11B3A6EB" w:rsidR="003F4823" w:rsidRPr="009777C1" w:rsidRDefault="00D45E81" w:rsidP="008505E2">
            <w:pPr>
              <w:ind w:left="142"/>
              <w:jc w:val="right"/>
            </w:pPr>
            <w:r>
              <w:t>36</w:t>
            </w:r>
          </w:p>
        </w:tc>
      </w:tr>
      <w:tr w:rsidR="003F4823" w:rsidRPr="008D2641" w14:paraId="409FEA53" w14:textId="77777777" w:rsidTr="008505E2">
        <w:tc>
          <w:tcPr>
            <w:tcW w:w="1413" w:type="dxa"/>
          </w:tcPr>
          <w:p w14:paraId="4CAB5BAA" w14:textId="77777777" w:rsidR="003F4823" w:rsidRPr="009777C1" w:rsidRDefault="003F4823" w:rsidP="008505E2">
            <w:r>
              <w:t xml:space="preserve">Voix </w:t>
            </w:r>
            <w:proofErr w:type="gramStart"/>
            <w:r>
              <w:t>contre:</w:t>
            </w:r>
            <w:proofErr w:type="gramEnd"/>
          </w:p>
        </w:tc>
        <w:tc>
          <w:tcPr>
            <w:tcW w:w="567" w:type="dxa"/>
          </w:tcPr>
          <w:p w14:paraId="64E858B4" w14:textId="184418A7" w:rsidR="003F4823" w:rsidRPr="009777C1" w:rsidRDefault="002B04DC" w:rsidP="008505E2">
            <w:pPr>
              <w:ind w:left="142"/>
              <w:jc w:val="right"/>
            </w:pPr>
            <w:r>
              <w:t>56</w:t>
            </w:r>
          </w:p>
        </w:tc>
      </w:tr>
      <w:tr w:rsidR="003F4823" w:rsidRPr="008D2641" w14:paraId="0E694FE7" w14:textId="77777777" w:rsidTr="008505E2">
        <w:tc>
          <w:tcPr>
            <w:tcW w:w="1413" w:type="dxa"/>
          </w:tcPr>
          <w:p w14:paraId="51ED526F" w14:textId="77777777" w:rsidR="003F4823" w:rsidRPr="009777C1" w:rsidRDefault="003F4823" w:rsidP="008505E2">
            <w:proofErr w:type="gramStart"/>
            <w:r>
              <w:t>Abstentions:</w:t>
            </w:r>
            <w:proofErr w:type="gramEnd"/>
          </w:p>
        </w:tc>
        <w:tc>
          <w:tcPr>
            <w:tcW w:w="567" w:type="dxa"/>
          </w:tcPr>
          <w:p w14:paraId="188055D3" w14:textId="05A2B4C4" w:rsidR="003F4823" w:rsidRPr="009777C1" w:rsidRDefault="00D45E81" w:rsidP="008505E2">
            <w:pPr>
              <w:ind w:left="142"/>
              <w:jc w:val="right"/>
            </w:pPr>
            <w:r>
              <w:t>4</w:t>
            </w:r>
          </w:p>
        </w:tc>
      </w:tr>
    </w:tbl>
    <w:p w14:paraId="77CE8EDC" w14:textId="642B4A83" w:rsidR="003F4823" w:rsidRPr="00873637" w:rsidRDefault="003F4823" w:rsidP="003F4823">
      <w:pPr>
        <w:rPr>
          <w:b/>
          <w:bCs/>
        </w:rPr>
        <w:sectPr w:rsidR="003F4823" w:rsidRPr="00873637" w:rsidSect="002D011E">
          <w:headerReference w:type="even" r:id="rId35"/>
          <w:headerReference w:type="default" r:id="rId36"/>
          <w:footerReference w:type="even" r:id="rId37"/>
          <w:footerReference w:type="default" r:id="rId38"/>
          <w:headerReference w:type="first" r:id="rId39"/>
          <w:footerReference w:type="first" r:id="rId40"/>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27"/>
        <w:gridCol w:w="13"/>
      </w:tblGrid>
      <w:tr w:rsidR="003F4823" w:rsidRPr="003F6DCA" w14:paraId="4842475A" w14:textId="77777777" w:rsidTr="008505E2">
        <w:tc>
          <w:tcPr>
            <w:tcW w:w="2826" w:type="pct"/>
          </w:tcPr>
          <w:p w14:paraId="4A4B75C6" w14:textId="77777777" w:rsidR="003F4823" w:rsidRPr="00873637" w:rsidRDefault="003F4823" w:rsidP="008505E2">
            <w:pPr>
              <w:rPr>
                <w:b/>
                <w:bCs/>
                <w:sz w:val="32"/>
                <w:szCs w:val="32"/>
              </w:rPr>
            </w:pPr>
            <w:r>
              <w:rPr>
                <w:b/>
                <w:sz w:val="32"/>
              </w:rPr>
              <w:lastRenderedPageBreak/>
              <w:t>AMENDEMENT 7</w:t>
            </w:r>
          </w:p>
          <w:p w14:paraId="4BF1FD7A" w14:textId="77777777" w:rsidR="003F4823" w:rsidRPr="00873637" w:rsidRDefault="003F4823" w:rsidP="008505E2">
            <w:pPr>
              <w:rPr>
                <w:b/>
                <w:bCs/>
              </w:rPr>
            </w:pPr>
          </w:p>
          <w:p w14:paraId="1D961547" w14:textId="77777777" w:rsidR="003F4823" w:rsidRPr="00873637" w:rsidRDefault="003F4823" w:rsidP="008505E2">
            <w:pPr>
              <w:rPr>
                <w:b/>
                <w:bCs/>
              </w:rPr>
            </w:pPr>
            <w:r>
              <w:rPr>
                <w:b/>
              </w:rPr>
              <w:t>SOC/845</w:t>
            </w:r>
          </w:p>
          <w:p w14:paraId="21BB041C" w14:textId="77777777" w:rsidR="003F4823" w:rsidRPr="00873637" w:rsidRDefault="003F4823" w:rsidP="008505E2">
            <w:pPr>
              <w:rPr>
                <w:b/>
                <w:bCs/>
              </w:rPr>
            </w:pPr>
            <w:r>
              <w:rPr>
                <w:b/>
              </w:rPr>
              <w:t>Établissement du Fonds social européen dans le cadre du plan de partenariat national et régional</w:t>
            </w:r>
          </w:p>
          <w:p w14:paraId="1E996C4F" w14:textId="77777777" w:rsidR="003F4823" w:rsidRPr="00873637" w:rsidRDefault="003F4823" w:rsidP="008505E2">
            <w:pPr>
              <w:rPr>
                <w:b/>
                <w:bCs/>
              </w:rPr>
            </w:pPr>
          </w:p>
          <w:p w14:paraId="7EDCC6C5" w14:textId="77777777" w:rsidR="003F4823" w:rsidRPr="003C1EF6" w:rsidRDefault="003F4823" w:rsidP="008505E2">
            <w:pPr>
              <w:rPr>
                <w:b/>
                <w:bCs/>
              </w:rPr>
            </w:pPr>
            <w:proofErr w:type="gramStart"/>
            <w:r>
              <w:rPr>
                <w:b/>
              </w:rPr>
              <w:t>COM(</w:t>
            </w:r>
            <w:proofErr w:type="gramEnd"/>
            <w:r>
              <w:rPr>
                <w:b/>
              </w:rPr>
              <w:t>2025) 558 final – 2025/0239 (COD)</w:t>
            </w:r>
          </w:p>
          <w:p w14:paraId="76C27CFB" w14:textId="77777777" w:rsidR="003F4823" w:rsidRPr="003C1EF6" w:rsidRDefault="003F4823" w:rsidP="008505E2">
            <w:pPr>
              <w:rPr>
                <w:b/>
                <w:bCs/>
                <w:lang w:val="pt-PT"/>
              </w:rPr>
            </w:pPr>
          </w:p>
          <w:p w14:paraId="1E41AE7C" w14:textId="77777777" w:rsidR="003F4823" w:rsidRPr="003C1EF6" w:rsidRDefault="003F4823" w:rsidP="008505E2">
            <w:pPr>
              <w:pStyle w:val="Heading2"/>
              <w:keepNext/>
              <w:keepLines/>
              <w:numPr>
                <w:ilvl w:val="0"/>
                <w:numId w:val="0"/>
              </w:numPr>
              <w:rPr>
                <w:b/>
                <w:bCs/>
              </w:rPr>
            </w:pPr>
            <w:r>
              <w:rPr>
                <w:b/>
              </w:rPr>
              <w:t>Amendement 4 du CESE</w:t>
            </w:r>
          </w:p>
          <w:p w14:paraId="58CF83EB" w14:textId="77777777" w:rsidR="003F4823" w:rsidRPr="00873637" w:rsidRDefault="003F4823" w:rsidP="008505E2">
            <w:pPr>
              <w:rPr>
                <w:b/>
                <w:bCs/>
              </w:rPr>
            </w:pPr>
            <w:proofErr w:type="gramStart"/>
            <w:r>
              <w:t>lié</w:t>
            </w:r>
            <w:proofErr w:type="gramEnd"/>
            <w:r>
              <w:t xml:space="preserve"> à la recommandation 1.6</w:t>
            </w:r>
          </w:p>
          <w:p w14:paraId="2C04A30B" w14:textId="77777777" w:rsidR="003F4823" w:rsidRPr="00873637" w:rsidRDefault="003F4823" w:rsidP="008505E2">
            <w:pPr>
              <w:rPr>
                <w:b/>
                <w:bCs/>
              </w:rPr>
            </w:pPr>
          </w:p>
          <w:p w14:paraId="48EF9A36" w14:textId="77777777" w:rsidR="003F4823" w:rsidRPr="00873637" w:rsidRDefault="003F4823" w:rsidP="008505E2">
            <w:pPr>
              <w:rPr>
                <w:b/>
                <w:bCs/>
              </w:rPr>
            </w:pPr>
            <w:r>
              <w:rPr>
                <w:b/>
              </w:rPr>
              <w:t xml:space="preserve">Modifier comme </w:t>
            </w:r>
            <w:proofErr w:type="gramStart"/>
            <w:r>
              <w:rPr>
                <w:b/>
              </w:rPr>
              <w:t>suit:</w:t>
            </w:r>
            <w:proofErr w:type="gramEnd"/>
          </w:p>
          <w:p w14:paraId="2AFBF2D1" w14:textId="77777777" w:rsidR="003F4823" w:rsidRPr="00873637" w:rsidRDefault="003F4823" w:rsidP="008505E2">
            <w:pPr>
              <w:rPr>
                <w:b/>
                <w:bCs/>
              </w:rPr>
            </w:pPr>
          </w:p>
        </w:tc>
        <w:tc>
          <w:tcPr>
            <w:tcW w:w="2174" w:type="pct"/>
            <w:gridSpan w:val="2"/>
            <w:hideMark/>
          </w:tcPr>
          <w:p w14:paraId="1E9F16AB" w14:textId="77777777" w:rsidR="003F4823" w:rsidRPr="00873637" w:rsidRDefault="003F4823" w:rsidP="008505E2">
            <w:pPr>
              <w:jc w:val="left"/>
              <w:rPr>
                <w:b/>
                <w:bCs/>
              </w:rPr>
            </w:pPr>
            <w:r>
              <w:rPr>
                <w:b/>
              </w:rPr>
              <w:t xml:space="preserve">Proposé </w:t>
            </w:r>
            <w:proofErr w:type="gramStart"/>
            <w:r>
              <w:rPr>
                <w:b/>
              </w:rPr>
              <w:t>par:</w:t>
            </w:r>
            <w:proofErr w:type="gramEnd"/>
          </w:p>
          <w:p w14:paraId="58355052" w14:textId="77777777" w:rsidR="003F4823" w:rsidRPr="00873637" w:rsidRDefault="003F4823" w:rsidP="008505E2">
            <w:pPr>
              <w:jc w:val="left"/>
            </w:pPr>
            <w:r>
              <w:t>BONI Michal</w:t>
            </w:r>
          </w:p>
          <w:p w14:paraId="10574E75" w14:textId="77777777" w:rsidR="003F4823" w:rsidRPr="00873637" w:rsidRDefault="003F4823" w:rsidP="008505E2">
            <w:pPr>
              <w:jc w:val="left"/>
            </w:pPr>
            <w:r>
              <w:t xml:space="preserve">DABU </w:t>
            </w:r>
            <w:proofErr w:type="spellStart"/>
            <w:r>
              <w:t>Adelina</w:t>
            </w:r>
            <w:proofErr w:type="spellEnd"/>
            <w:r>
              <w:t xml:space="preserve"> </w:t>
            </w:r>
          </w:p>
          <w:p w14:paraId="00698ADE" w14:textId="77777777" w:rsidR="003F4823" w:rsidRPr="003C1EF6" w:rsidRDefault="003F4823" w:rsidP="008505E2">
            <w:pPr>
              <w:jc w:val="left"/>
            </w:pPr>
            <w:r>
              <w:t>MATTIONI Renato</w:t>
            </w:r>
          </w:p>
          <w:p w14:paraId="6C010824" w14:textId="77777777" w:rsidR="003F4823" w:rsidRPr="003C1EF6" w:rsidRDefault="003F4823" w:rsidP="008505E2">
            <w:pPr>
              <w:jc w:val="left"/>
            </w:pPr>
            <w:r>
              <w:t>MINCHEVA Mariya</w:t>
            </w:r>
          </w:p>
          <w:p w14:paraId="7EA22E55" w14:textId="77777777" w:rsidR="003F4823" w:rsidRPr="003C1EF6" w:rsidRDefault="003F4823" w:rsidP="008505E2">
            <w:pPr>
              <w:jc w:val="left"/>
            </w:pPr>
            <w:r>
              <w:t>POTTIER Jean-Michel</w:t>
            </w:r>
          </w:p>
          <w:p w14:paraId="2ED878A1" w14:textId="77777777" w:rsidR="003F4823" w:rsidRPr="003C1EF6" w:rsidRDefault="003F4823" w:rsidP="008505E2">
            <w:pPr>
              <w:jc w:val="left"/>
            </w:pPr>
            <w:r>
              <w:t>SCHWENG Christa</w:t>
            </w:r>
          </w:p>
          <w:p w14:paraId="419874CE" w14:textId="77777777" w:rsidR="003F4823" w:rsidRPr="003C1EF6" w:rsidRDefault="003F4823" w:rsidP="008505E2">
            <w:pPr>
              <w:jc w:val="left"/>
            </w:pPr>
            <w:r>
              <w:t xml:space="preserve">SÕBER </w:t>
            </w:r>
            <w:proofErr w:type="spellStart"/>
            <w:r>
              <w:t>Kristi</w:t>
            </w:r>
            <w:proofErr w:type="spellEnd"/>
          </w:p>
          <w:p w14:paraId="10C5E525" w14:textId="77777777" w:rsidR="003F4823" w:rsidRPr="003C1EF6" w:rsidRDefault="003F4823" w:rsidP="008505E2">
            <w:pPr>
              <w:jc w:val="left"/>
            </w:pPr>
            <w:r>
              <w:t>YGLESIAS Isabel</w:t>
            </w:r>
          </w:p>
          <w:p w14:paraId="12F47BE9" w14:textId="77777777" w:rsidR="003F4823" w:rsidRPr="003C1EF6" w:rsidRDefault="003F4823" w:rsidP="008505E2">
            <w:pPr>
              <w:rPr>
                <w:lang w:val="it-IT"/>
              </w:rPr>
            </w:pPr>
          </w:p>
        </w:tc>
      </w:tr>
      <w:tr w:rsidR="003F4823" w:rsidRPr="00873637" w14:paraId="7EC623A1"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hideMark/>
          </w:tcPr>
          <w:p w14:paraId="31B819E5" w14:textId="77777777" w:rsidR="003F4823" w:rsidRPr="00873637" w:rsidRDefault="003F4823" w:rsidP="008505E2">
            <w:pPr>
              <w:spacing w:after="200"/>
              <w:jc w:val="center"/>
              <w:rPr>
                <w:rFonts w:eastAsia="Calibri"/>
              </w:rPr>
            </w:pPr>
            <w:r>
              <w:rPr>
                <w:b/>
                <w:i/>
              </w:rPr>
              <w:t>Texte proposé par la Commission</w:t>
            </w:r>
          </w:p>
        </w:tc>
      </w:tr>
      <w:tr w:rsidR="003F4823" w:rsidRPr="00873637" w14:paraId="687BF6AB"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tcPr>
          <w:p w14:paraId="1251D599" w14:textId="77777777" w:rsidR="003F4823" w:rsidRPr="00873637" w:rsidRDefault="003F4823" w:rsidP="008505E2">
            <w:pPr>
              <w:pStyle w:val="Text1"/>
              <w:spacing w:line="276" w:lineRule="auto"/>
              <w:ind w:left="0" w:right="267"/>
              <w:rPr>
                <w:rFonts w:eastAsia="Calibri"/>
              </w:rPr>
            </w:pPr>
            <w:r>
              <w:rPr>
                <w:sz w:val="22"/>
              </w:rPr>
              <w:t xml:space="preserve">(23) [...] Les États membres </w:t>
            </w:r>
            <w:r>
              <w:rPr>
                <w:b/>
                <w:bCs/>
                <w:i/>
                <w:iCs/>
                <w:sz w:val="22"/>
              </w:rPr>
              <w:t>qui ont reçu une recommandation par pays dans ce domaine devraient allouer des ressources</w:t>
            </w:r>
            <w:r>
              <w:rPr>
                <w:sz w:val="22"/>
              </w:rPr>
              <w:t xml:space="preserve"> du FSE au renforcement des capacités des partenaires sociaux et des organisations de la société civile.</w:t>
            </w:r>
          </w:p>
        </w:tc>
      </w:tr>
    </w:tbl>
    <w:p w14:paraId="76B2DEC7" w14:textId="77777777" w:rsidR="003F4823" w:rsidRPr="00873637" w:rsidRDefault="003F4823" w:rsidP="003F4823">
      <w:pPr>
        <w:jc w:val="left"/>
        <w:rPr>
          <w:rFonts w:ascii="Calibri" w:eastAsia="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5"/>
      </w:tblGrid>
      <w:tr w:rsidR="003F4823" w:rsidRPr="00873637" w14:paraId="144905BB"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47195E45" w14:textId="77777777" w:rsidR="003F4823" w:rsidRPr="00873637" w:rsidRDefault="003F4823" w:rsidP="008505E2">
            <w:pPr>
              <w:spacing w:after="200"/>
              <w:jc w:val="center"/>
              <w:rPr>
                <w:rFonts w:eastAsia="Calibri"/>
                <w:b/>
                <w:i/>
              </w:rPr>
            </w:pPr>
            <w:r>
              <w:rPr>
                <w:b/>
                <w:i/>
              </w:rPr>
              <w:t>Projet d’avis</w:t>
            </w:r>
          </w:p>
        </w:tc>
        <w:tc>
          <w:tcPr>
            <w:tcW w:w="2500" w:type="pct"/>
            <w:tcBorders>
              <w:top w:val="single" w:sz="4" w:space="0" w:color="auto"/>
              <w:left w:val="single" w:sz="4" w:space="0" w:color="auto"/>
              <w:bottom w:val="single" w:sz="4" w:space="0" w:color="auto"/>
              <w:right w:val="single" w:sz="4" w:space="0" w:color="auto"/>
            </w:tcBorders>
            <w:hideMark/>
          </w:tcPr>
          <w:p w14:paraId="33425F26" w14:textId="77777777" w:rsidR="003F4823" w:rsidRPr="00873637" w:rsidRDefault="003F4823" w:rsidP="008505E2">
            <w:pPr>
              <w:spacing w:after="200"/>
              <w:jc w:val="center"/>
              <w:rPr>
                <w:rFonts w:eastAsia="Calibri"/>
                <w:b/>
                <w:i/>
              </w:rPr>
            </w:pPr>
            <w:r>
              <w:rPr>
                <w:b/>
                <w:i/>
              </w:rPr>
              <w:t>Amendement</w:t>
            </w:r>
          </w:p>
        </w:tc>
      </w:tr>
      <w:tr w:rsidR="003F4823" w:rsidRPr="00873637" w14:paraId="149124B2" w14:textId="77777777" w:rsidTr="008505E2">
        <w:tc>
          <w:tcPr>
            <w:tcW w:w="2500" w:type="pct"/>
            <w:tcBorders>
              <w:top w:val="single" w:sz="4" w:space="0" w:color="auto"/>
              <w:left w:val="single" w:sz="4" w:space="0" w:color="auto"/>
              <w:bottom w:val="single" w:sz="4" w:space="0" w:color="auto"/>
              <w:right w:val="single" w:sz="4" w:space="0" w:color="auto"/>
            </w:tcBorders>
          </w:tcPr>
          <w:p w14:paraId="506D9101" w14:textId="77777777" w:rsidR="003F4823" w:rsidRPr="00873637" w:rsidRDefault="003F4823" w:rsidP="008505E2">
            <w:pPr>
              <w:overflowPunct w:val="0"/>
              <w:autoSpaceDE w:val="0"/>
              <w:autoSpaceDN w:val="0"/>
              <w:adjustRightInd w:val="0"/>
              <w:spacing w:line="276" w:lineRule="auto"/>
              <w:ind w:left="283" w:right="267" w:hanging="283"/>
              <w:textAlignment w:val="baseline"/>
            </w:pPr>
            <w:r>
              <w:t xml:space="preserve">(23) [...] Les États membres </w:t>
            </w:r>
            <w:r>
              <w:rPr>
                <w:b/>
                <w:bCs/>
                <w:i/>
                <w:iCs/>
              </w:rPr>
              <w:t>allouent 1 %</w:t>
            </w:r>
            <w:r>
              <w:t xml:space="preserve"> du FSE au renforcement des capacités des partenaires sociaux et des organisations de la société civile.</w:t>
            </w:r>
          </w:p>
        </w:tc>
        <w:tc>
          <w:tcPr>
            <w:tcW w:w="2500" w:type="pct"/>
            <w:tcBorders>
              <w:top w:val="single" w:sz="4" w:space="0" w:color="auto"/>
              <w:left w:val="single" w:sz="4" w:space="0" w:color="auto"/>
              <w:bottom w:val="single" w:sz="4" w:space="0" w:color="auto"/>
              <w:right w:val="single" w:sz="4" w:space="0" w:color="auto"/>
            </w:tcBorders>
          </w:tcPr>
          <w:p w14:paraId="1660A470" w14:textId="77777777" w:rsidR="003F4823" w:rsidRPr="00873637" w:rsidRDefault="003F4823" w:rsidP="008505E2">
            <w:pPr>
              <w:overflowPunct w:val="0"/>
              <w:autoSpaceDE w:val="0"/>
              <w:autoSpaceDN w:val="0"/>
              <w:adjustRightInd w:val="0"/>
              <w:spacing w:line="276" w:lineRule="auto"/>
              <w:ind w:left="283" w:right="267" w:hanging="283"/>
              <w:textAlignment w:val="baseline"/>
              <w:rPr>
                <w:rFonts w:eastAsia="Calibri"/>
              </w:rPr>
            </w:pPr>
            <w:r>
              <w:t xml:space="preserve">(23) [...] Les États membres </w:t>
            </w:r>
            <w:r>
              <w:rPr>
                <w:b/>
                <w:bCs/>
                <w:i/>
                <w:iCs/>
              </w:rPr>
              <w:t>allouent 1 %</w:t>
            </w:r>
            <w:r>
              <w:t xml:space="preserve"> du FSE au renforcement des capacités des partenaires sociaux et des organisations de la société civile. </w:t>
            </w:r>
            <w:r>
              <w:rPr>
                <w:b/>
                <w:i/>
                <w:u w:val="single"/>
              </w:rPr>
              <w:t>Il convient d’accorder toute l’attention voulue à la représentativité des organisations ainsi qu’au respect du rôle spécifique des partenaires sociaux</w:t>
            </w:r>
          </w:p>
        </w:tc>
      </w:tr>
    </w:tbl>
    <w:p w14:paraId="056AE4CD" w14:textId="77777777" w:rsidR="003F4823" w:rsidRDefault="003F4823" w:rsidP="003F4823">
      <w:pPr>
        <w:rPr>
          <w:b/>
          <w:bCs/>
        </w:rPr>
      </w:pPr>
    </w:p>
    <w:p w14:paraId="70D8512E" w14:textId="77777777" w:rsidR="003F4823" w:rsidRPr="009777C1" w:rsidRDefault="003F4823" w:rsidP="003F4823">
      <w:pPr>
        <w:pStyle w:val="ListParagraph"/>
        <w:ind w:left="142"/>
        <w:rPr>
          <w:b/>
          <w:bCs/>
        </w:rPr>
      </w:pPr>
      <w:r>
        <w:rPr>
          <w:b/>
        </w:rPr>
        <w:t xml:space="preserve">Résultat du </w:t>
      </w:r>
      <w:proofErr w:type="gramStart"/>
      <w:r>
        <w:rPr>
          <w:b/>
        </w:rPr>
        <w:t>vote: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8"/>
      </w:tblGrid>
      <w:tr w:rsidR="003F4823" w:rsidRPr="008D2641" w14:paraId="0C3561FC" w14:textId="77777777" w:rsidTr="008505E2">
        <w:tc>
          <w:tcPr>
            <w:tcW w:w="1413" w:type="dxa"/>
          </w:tcPr>
          <w:p w14:paraId="35AF4135" w14:textId="77777777" w:rsidR="003F4823" w:rsidRPr="009777C1" w:rsidRDefault="003F4823" w:rsidP="008505E2">
            <w:pPr>
              <w:ind w:left="31"/>
            </w:pPr>
            <w:r>
              <w:t xml:space="preserve">Voix </w:t>
            </w:r>
            <w:proofErr w:type="gramStart"/>
            <w:r>
              <w:t>pour:</w:t>
            </w:r>
            <w:proofErr w:type="gramEnd"/>
          </w:p>
        </w:tc>
        <w:tc>
          <w:tcPr>
            <w:tcW w:w="567" w:type="dxa"/>
          </w:tcPr>
          <w:p w14:paraId="1F654C86" w14:textId="48247AD7" w:rsidR="003F4823" w:rsidRPr="009777C1" w:rsidRDefault="003F4823" w:rsidP="008505E2">
            <w:pPr>
              <w:ind w:left="142"/>
              <w:jc w:val="right"/>
            </w:pPr>
            <w:r>
              <w:t>32</w:t>
            </w:r>
          </w:p>
        </w:tc>
      </w:tr>
      <w:tr w:rsidR="003F4823" w:rsidRPr="008D2641" w14:paraId="56CA5A80" w14:textId="77777777" w:rsidTr="008505E2">
        <w:tc>
          <w:tcPr>
            <w:tcW w:w="1413" w:type="dxa"/>
          </w:tcPr>
          <w:p w14:paraId="76FCC7F3" w14:textId="77777777" w:rsidR="003F4823" w:rsidRPr="009777C1" w:rsidRDefault="003F4823" w:rsidP="008505E2">
            <w:r>
              <w:t xml:space="preserve">Voix </w:t>
            </w:r>
            <w:proofErr w:type="gramStart"/>
            <w:r>
              <w:t>contre:</w:t>
            </w:r>
            <w:proofErr w:type="gramEnd"/>
          </w:p>
        </w:tc>
        <w:tc>
          <w:tcPr>
            <w:tcW w:w="567" w:type="dxa"/>
          </w:tcPr>
          <w:p w14:paraId="5A8FB973" w14:textId="2B2DD1ED" w:rsidR="003F4823" w:rsidRPr="009777C1" w:rsidRDefault="00E45720" w:rsidP="008505E2">
            <w:pPr>
              <w:ind w:left="142"/>
              <w:jc w:val="right"/>
            </w:pPr>
            <w:r>
              <w:t>61</w:t>
            </w:r>
          </w:p>
        </w:tc>
      </w:tr>
      <w:tr w:rsidR="003F4823" w:rsidRPr="008D2641" w14:paraId="35D88BAC" w14:textId="77777777" w:rsidTr="008505E2">
        <w:tc>
          <w:tcPr>
            <w:tcW w:w="1413" w:type="dxa"/>
          </w:tcPr>
          <w:p w14:paraId="2BFEC5A8" w14:textId="77777777" w:rsidR="003F4823" w:rsidRPr="009777C1" w:rsidRDefault="003F4823" w:rsidP="008505E2">
            <w:proofErr w:type="gramStart"/>
            <w:r>
              <w:t>Abstentions:</w:t>
            </w:r>
            <w:proofErr w:type="gramEnd"/>
          </w:p>
        </w:tc>
        <w:tc>
          <w:tcPr>
            <w:tcW w:w="567" w:type="dxa"/>
          </w:tcPr>
          <w:p w14:paraId="67F179BF" w14:textId="52834E9C" w:rsidR="003F4823" w:rsidRPr="009777C1" w:rsidRDefault="00E45720" w:rsidP="008505E2">
            <w:pPr>
              <w:ind w:left="142"/>
              <w:jc w:val="right"/>
            </w:pPr>
            <w:r>
              <w:t>2</w:t>
            </w:r>
          </w:p>
        </w:tc>
      </w:tr>
    </w:tbl>
    <w:p w14:paraId="7BBA9FF3" w14:textId="792B18FF" w:rsidR="003F4823" w:rsidRPr="00873637" w:rsidRDefault="003F4823" w:rsidP="003F4823">
      <w:pPr>
        <w:rPr>
          <w:b/>
          <w:bCs/>
        </w:rPr>
        <w:sectPr w:rsidR="003F4823" w:rsidRPr="00873637" w:rsidSect="002D011E">
          <w:headerReference w:type="even" r:id="rId41"/>
          <w:headerReference w:type="default" r:id="rId42"/>
          <w:footerReference w:type="even" r:id="rId43"/>
          <w:footerReference w:type="default" r:id="rId44"/>
          <w:headerReference w:type="first" r:id="rId45"/>
          <w:footerReference w:type="first" r:id="rId46"/>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27"/>
        <w:gridCol w:w="13"/>
      </w:tblGrid>
      <w:tr w:rsidR="003F4823" w:rsidRPr="002D011E" w14:paraId="4D8DB740" w14:textId="77777777" w:rsidTr="008505E2">
        <w:tc>
          <w:tcPr>
            <w:tcW w:w="2826" w:type="pct"/>
          </w:tcPr>
          <w:p w14:paraId="41972FE1" w14:textId="77777777" w:rsidR="003F4823" w:rsidRPr="00873637" w:rsidRDefault="003F4823" w:rsidP="008505E2">
            <w:pPr>
              <w:rPr>
                <w:b/>
                <w:bCs/>
                <w:sz w:val="32"/>
                <w:szCs w:val="32"/>
              </w:rPr>
            </w:pPr>
            <w:r>
              <w:rPr>
                <w:b/>
                <w:sz w:val="32"/>
              </w:rPr>
              <w:lastRenderedPageBreak/>
              <w:t>AMENDEMENT 8</w:t>
            </w:r>
          </w:p>
          <w:p w14:paraId="6014954A" w14:textId="77777777" w:rsidR="003F4823" w:rsidRPr="00873637" w:rsidRDefault="003F4823" w:rsidP="008505E2">
            <w:pPr>
              <w:rPr>
                <w:b/>
                <w:bCs/>
              </w:rPr>
            </w:pPr>
          </w:p>
          <w:p w14:paraId="10B02DD3" w14:textId="77777777" w:rsidR="003F4823" w:rsidRPr="00873637" w:rsidRDefault="003F4823" w:rsidP="008505E2">
            <w:pPr>
              <w:rPr>
                <w:b/>
                <w:bCs/>
              </w:rPr>
            </w:pPr>
            <w:r>
              <w:rPr>
                <w:b/>
              </w:rPr>
              <w:t>SOC/845</w:t>
            </w:r>
          </w:p>
          <w:p w14:paraId="51DAA762" w14:textId="77777777" w:rsidR="003F4823" w:rsidRPr="00873637" w:rsidRDefault="003F4823" w:rsidP="008505E2">
            <w:pPr>
              <w:rPr>
                <w:b/>
                <w:bCs/>
              </w:rPr>
            </w:pPr>
            <w:r>
              <w:rPr>
                <w:b/>
              </w:rPr>
              <w:t>Établissement du Fonds social européen dans le cadre du plan de partenariat national et régional</w:t>
            </w:r>
          </w:p>
          <w:p w14:paraId="4C542920" w14:textId="77777777" w:rsidR="003F4823" w:rsidRPr="00873637" w:rsidRDefault="003F4823" w:rsidP="008505E2">
            <w:pPr>
              <w:rPr>
                <w:b/>
                <w:bCs/>
              </w:rPr>
            </w:pPr>
          </w:p>
          <w:p w14:paraId="53BA9840" w14:textId="77777777" w:rsidR="003F4823" w:rsidRPr="003C1EF6" w:rsidRDefault="003F4823" w:rsidP="008505E2">
            <w:pPr>
              <w:rPr>
                <w:b/>
                <w:bCs/>
              </w:rPr>
            </w:pPr>
            <w:proofErr w:type="gramStart"/>
            <w:r>
              <w:rPr>
                <w:b/>
              </w:rPr>
              <w:t>COM(</w:t>
            </w:r>
            <w:proofErr w:type="gramEnd"/>
            <w:r>
              <w:rPr>
                <w:b/>
              </w:rPr>
              <w:t>2025) 558 final — 2025/0239(COD)</w:t>
            </w:r>
          </w:p>
          <w:p w14:paraId="386FB11B" w14:textId="77777777" w:rsidR="003F4823" w:rsidRPr="003C1EF6" w:rsidRDefault="003F4823" w:rsidP="008505E2">
            <w:pPr>
              <w:rPr>
                <w:b/>
                <w:bCs/>
                <w:lang w:val="pt-PT"/>
              </w:rPr>
            </w:pPr>
          </w:p>
          <w:p w14:paraId="2FEA3B31" w14:textId="77777777" w:rsidR="003F4823" w:rsidRPr="003C1EF6" w:rsidRDefault="003F4823" w:rsidP="008505E2">
            <w:pPr>
              <w:pStyle w:val="Heading2"/>
              <w:keepNext/>
              <w:keepLines/>
              <w:numPr>
                <w:ilvl w:val="0"/>
                <w:numId w:val="0"/>
              </w:numPr>
              <w:rPr>
                <w:b/>
                <w:bCs/>
              </w:rPr>
            </w:pPr>
            <w:r>
              <w:rPr>
                <w:b/>
              </w:rPr>
              <w:t>Amendement 5 du CESE</w:t>
            </w:r>
          </w:p>
          <w:p w14:paraId="47ED8D3C" w14:textId="77777777" w:rsidR="003F4823" w:rsidRPr="00873637" w:rsidRDefault="003F4823" w:rsidP="008505E2">
            <w:pPr>
              <w:rPr>
                <w:b/>
                <w:bCs/>
              </w:rPr>
            </w:pPr>
            <w:proofErr w:type="gramStart"/>
            <w:r>
              <w:t>lié</w:t>
            </w:r>
            <w:proofErr w:type="gramEnd"/>
            <w:r>
              <w:t xml:space="preserve"> à la recommandation°1.5</w:t>
            </w:r>
          </w:p>
          <w:p w14:paraId="7F5006BE" w14:textId="77777777" w:rsidR="003F4823" w:rsidRPr="00873637" w:rsidRDefault="003F4823" w:rsidP="008505E2">
            <w:pPr>
              <w:rPr>
                <w:b/>
                <w:bCs/>
              </w:rPr>
            </w:pPr>
          </w:p>
          <w:p w14:paraId="3C1F9FF5" w14:textId="77777777" w:rsidR="003F4823" w:rsidRPr="00873637" w:rsidRDefault="003F4823" w:rsidP="008505E2">
            <w:pPr>
              <w:rPr>
                <w:b/>
                <w:bCs/>
              </w:rPr>
            </w:pPr>
            <w:r>
              <w:rPr>
                <w:b/>
              </w:rPr>
              <w:t xml:space="preserve">Modifier comme </w:t>
            </w:r>
            <w:proofErr w:type="gramStart"/>
            <w:r>
              <w:rPr>
                <w:b/>
              </w:rPr>
              <w:t>suit:</w:t>
            </w:r>
            <w:proofErr w:type="gramEnd"/>
          </w:p>
          <w:p w14:paraId="24485A70" w14:textId="77777777" w:rsidR="003F4823" w:rsidRPr="00873637" w:rsidRDefault="003F4823" w:rsidP="008505E2">
            <w:pPr>
              <w:rPr>
                <w:b/>
                <w:bCs/>
              </w:rPr>
            </w:pPr>
          </w:p>
        </w:tc>
        <w:tc>
          <w:tcPr>
            <w:tcW w:w="2174" w:type="pct"/>
            <w:gridSpan w:val="2"/>
            <w:hideMark/>
          </w:tcPr>
          <w:p w14:paraId="06C24BC4" w14:textId="77777777" w:rsidR="003F4823" w:rsidRPr="00873637" w:rsidRDefault="003F4823" w:rsidP="008505E2">
            <w:pPr>
              <w:jc w:val="left"/>
              <w:rPr>
                <w:b/>
                <w:bCs/>
              </w:rPr>
            </w:pPr>
            <w:r>
              <w:rPr>
                <w:b/>
              </w:rPr>
              <w:t xml:space="preserve">Proposé </w:t>
            </w:r>
            <w:proofErr w:type="gramStart"/>
            <w:r>
              <w:rPr>
                <w:b/>
              </w:rPr>
              <w:t>par:</w:t>
            </w:r>
            <w:proofErr w:type="gramEnd"/>
          </w:p>
          <w:p w14:paraId="66E13FD8" w14:textId="77777777" w:rsidR="003F4823" w:rsidRPr="00873637" w:rsidRDefault="003F4823" w:rsidP="008505E2">
            <w:pPr>
              <w:jc w:val="left"/>
            </w:pPr>
            <w:r>
              <w:t>BONI Michal</w:t>
            </w:r>
          </w:p>
          <w:p w14:paraId="6A5B30A9" w14:textId="77777777" w:rsidR="003F4823" w:rsidRPr="00873637" w:rsidRDefault="003F4823" w:rsidP="008505E2">
            <w:pPr>
              <w:jc w:val="left"/>
            </w:pPr>
            <w:r>
              <w:t xml:space="preserve">DABU </w:t>
            </w:r>
            <w:proofErr w:type="spellStart"/>
            <w:r>
              <w:t>Adelina</w:t>
            </w:r>
            <w:proofErr w:type="spellEnd"/>
            <w:r>
              <w:t xml:space="preserve"> </w:t>
            </w:r>
          </w:p>
          <w:p w14:paraId="4766B283" w14:textId="77777777" w:rsidR="003F4823" w:rsidRPr="003C1EF6" w:rsidRDefault="003F4823" w:rsidP="008505E2">
            <w:pPr>
              <w:jc w:val="left"/>
            </w:pPr>
            <w:r>
              <w:t>MATTIONI Renato</w:t>
            </w:r>
          </w:p>
          <w:p w14:paraId="49DB33BD" w14:textId="77777777" w:rsidR="003F4823" w:rsidRPr="003C1EF6" w:rsidRDefault="003F4823" w:rsidP="008505E2">
            <w:pPr>
              <w:jc w:val="left"/>
            </w:pPr>
            <w:r>
              <w:t>MINCHEVA Mariya</w:t>
            </w:r>
          </w:p>
          <w:p w14:paraId="795CC5EE" w14:textId="77777777" w:rsidR="003F4823" w:rsidRPr="003C1EF6" w:rsidRDefault="003F4823" w:rsidP="008505E2">
            <w:pPr>
              <w:jc w:val="left"/>
            </w:pPr>
            <w:r>
              <w:t>POTTIER Jean-Michel</w:t>
            </w:r>
          </w:p>
          <w:p w14:paraId="7722275B" w14:textId="77777777" w:rsidR="003F4823" w:rsidRPr="003C1EF6" w:rsidRDefault="003F4823" w:rsidP="008505E2">
            <w:pPr>
              <w:jc w:val="left"/>
            </w:pPr>
            <w:r>
              <w:t>SCHWENG Christa</w:t>
            </w:r>
          </w:p>
          <w:p w14:paraId="744CBD79" w14:textId="77777777" w:rsidR="003F4823" w:rsidRPr="003C1EF6" w:rsidRDefault="003F4823" w:rsidP="008505E2">
            <w:pPr>
              <w:jc w:val="left"/>
            </w:pPr>
            <w:r>
              <w:t xml:space="preserve">SÕBER </w:t>
            </w:r>
            <w:proofErr w:type="spellStart"/>
            <w:r>
              <w:t>Kristi</w:t>
            </w:r>
            <w:proofErr w:type="spellEnd"/>
          </w:p>
          <w:p w14:paraId="3F0DCF0E" w14:textId="77777777" w:rsidR="003F4823" w:rsidRPr="003C1EF6" w:rsidRDefault="003F4823" w:rsidP="008505E2">
            <w:pPr>
              <w:jc w:val="left"/>
            </w:pPr>
            <w:r>
              <w:t>YGLESIAS Isabel</w:t>
            </w:r>
          </w:p>
          <w:p w14:paraId="0FCD2EEB" w14:textId="77777777" w:rsidR="003F4823" w:rsidRPr="003C1EF6" w:rsidRDefault="003F4823" w:rsidP="008505E2">
            <w:pPr>
              <w:rPr>
                <w:lang w:val="it-IT"/>
              </w:rPr>
            </w:pPr>
          </w:p>
        </w:tc>
      </w:tr>
      <w:tr w:rsidR="003F4823" w:rsidRPr="00873637" w14:paraId="54ECB98F"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hideMark/>
          </w:tcPr>
          <w:p w14:paraId="50BBEFD6" w14:textId="77777777" w:rsidR="003F4823" w:rsidRPr="00873637" w:rsidRDefault="003F4823" w:rsidP="008505E2">
            <w:pPr>
              <w:spacing w:after="200"/>
              <w:jc w:val="center"/>
              <w:rPr>
                <w:rFonts w:eastAsia="Calibri"/>
              </w:rPr>
            </w:pPr>
            <w:r>
              <w:rPr>
                <w:b/>
                <w:i/>
              </w:rPr>
              <w:t>Texte proposé par la Commission</w:t>
            </w:r>
          </w:p>
        </w:tc>
      </w:tr>
      <w:tr w:rsidR="003F4823" w:rsidRPr="00873637" w14:paraId="44004E37" w14:textId="77777777" w:rsidTr="00850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pct"/>
        </w:trPr>
        <w:tc>
          <w:tcPr>
            <w:tcW w:w="4993" w:type="pct"/>
            <w:gridSpan w:val="2"/>
            <w:tcBorders>
              <w:top w:val="single" w:sz="4" w:space="0" w:color="auto"/>
              <w:left w:val="single" w:sz="4" w:space="0" w:color="auto"/>
              <w:bottom w:val="single" w:sz="4" w:space="0" w:color="auto"/>
              <w:right w:val="single" w:sz="4" w:space="0" w:color="auto"/>
            </w:tcBorders>
          </w:tcPr>
          <w:p w14:paraId="18979478" w14:textId="77777777" w:rsidR="003F4823" w:rsidRPr="00873637" w:rsidRDefault="003F4823" w:rsidP="008505E2">
            <w:pPr>
              <w:ind w:left="30" w:right="30"/>
              <w:rPr>
                <w:b/>
                <w:bCs/>
              </w:rPr>
            </w:pPr>
            <w:r>
              <w:rPr>
                <w:b/>
              </w:rPr>
              <w:t xml:space="preserve">Article 7 </w:t>
            </w:r>
          </w:p>
          <w:p w14:paraId="0A277A31" w14:textId="77777777" w:rsidR="003F4823" w:rsidRPr="00873637" w:rsidRDefault="003F4823" w:rsidP="008505E2">
            <w:pPr>
              <w:ind w:left="30" w:right="30"/>
              <w:rPr>
                <w:b/>
                <w:bCs/>
              </w:rPr>
            </w:pPr>
            <w:r>
              <w:rPr>
                <w:b/>
              </w:rPr>
              <w:t>Partenariat</w:t>
            </w:r>
          </w:p>
          <w:p w14:paraId="27875EED" w14:textId="77777777" w:rsidR="003F4823" w:rsidRPr="00873637" w:rsidRDefault="003F4823" w:rsidP="008505E2">
            <w:pPr>
              <w:ind w:left="30" w:right="30"/>
            </w:pPr>
          </w:p>
          <w:p w14:paraId="0F517B9F" w14:textId="77777777" w:rsidR="003F4823" w:rsidRPr="00873637" w:rsidRDefault="003F4823" w:rsidP="008505E2">
            <w:pPr>
              <w:pStyle w:val="Text1"/>
              <w:spacing w:line="276" w:lineRule="auto"/>
              <w:ind w:left="0" w:right="267"/>
              <w:rPr>
                <w:rFonts w:eastAsia="Calibri"/>
              </w:rPr>
            </w:pPr>
            <w:r>
              <w:rPr>
                <w:sz w:val="22"/>
              </w:rPr>
              <w:t>Les États membres assurent aux partenaires sociaux et aux organisations de la société civile une participation significative à la mise en œuvre des politiques en faveur d’emplois de qualité, de l’éducation, des compétences et de l’inclusion sociale, conformément à l’article 6 du règlement XX [règlement PNR].</w:t>
            </w:r>
          </w:p>
        </w:tc>
      </w:tr>
    </w:tbl>
    <w:p w14:paraId="5AC56A72" w14:textId="77777777" w:rsidR="003F4823" w:rsidRPr="00873637" w:rsidRDefault="003F4823" w:rsidP="003F4823">
      <w:pPr>
        <w:jc w:val="left"/>
        <w:rPr>
          <w:rFonts w:ascii="Calibri" w:eastAsia="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5"/>
      </w:tblGrid>
      <w:tr w:rsidR="003F4823" w:rsidRPr="00873637" w14:paraId="21805794"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629188C7" w14:textId="77777777" w:rsidR="003F4823" w:rsidRPr="00873637" w:rsidRDefault="003F4823" w:rsidP="008505E2">
            <w:pPr>
              <w:spacing w:after="200"/>
              <w:jc w:val="center"/>
              <w:rPr>
                <w:rFonts w:eastAsia="Calibri"/>
                <w:b/>
                <w:i/>
              </w:rPr>
            </w:pPr>
            <w:r>
              <w:rPr>
                <w:b/>
                <w:i/>
              </w:rPr>
              <w:t>Projet d’avis</w:t>
            </w:r>
          </w:p>
        </w:tc>
        <w:tc>
          <w:tcPr>
            <w:tcW w:w="2500" w:type="pct"/>
            <w:tcBorders>
              <w:top w:val="single" w:sz="4" w:space="0" w:color="auto"/>
              <w:left w:val="single" w:sz="4" w:space="0" w:color="auto"/>
              <w:bottom w:val="single" w:sz="4" w:space="0" w:color="auto"/>
              <w:right w:val="single" w:sz="4" w:space="0" w:color="auto"/>
            </w:tcBorders>
            <w:hideMark/>
          </w:tcPr>
          <w:p w14:paraId="043933AE" w14:textId="77777777" w:rsidR="003F4823" w:rsidRPr="00873637" w:rsidRDefault="003F4823" w:rsidP="008505E2">
            <w:pPr>
              <w:spacing w:after="200"/>
              <w:jc w:val="center"/>
              <w:rPr>
                <w:rFonts w:eastAsia="Calibri"/>
                <w:b/>
                <w:i/>
              </w:rPr>
            </w:pPr>
            <w:r>
              <w:rPr>
                <w:b/>
                <w:i/>
              </w:rPr>
              <w:t>Amendement</w:t>
            </w:r>
          </w:p>
        </w:tc>
      </w:tr>
      <w:tr w:rsidR="003F4823" w:rsidRPr="00873637" w14:paraId="6E109C41" w14:textId="77777777" w:rsidTr="008505E2">
        <w:tc>
          <w:tcPr>
            <w:tcW w:w="2500" w:type="pct"/>
            <w:tcBorders>
              <w:top w:val="single" w:sz="4" w:space="0" w:color="auto"/>
              <w:left w:val="single" w:sz="4" w:space="0" w:color="auto"/>
              <w:bottom w:val="single" w:sz="4" w:space="0" w:color="auto"/>
              <w:right w:val="single" w:sz="4" w:space="0" w:color="auto"/>
            </w:tcBorders>
          </w:tcPr>
          <w:p w14:paraId="53AC998A" w14:textId="77777777" w:rsidR="003F4823" w:rsidRPr="00873637" w:rsidRDefault="003F4823" w:rsidP="008505E2">
            <w:pPr>
              <w:ind w:left="30" w:right="30"/>
              <w:rPr>
                <w:b/>
                <w:bCs/>
              </w:rPr>
            </w:pPr>
            <w:r>
              <w:rPr>
                <w:b/>
              </w:rPr>
              <w:t xml:space="preserve">Article 7 </w:t>
            </w:r>
          </w:p>
          <w:p w14:paraId="1F8B15A2" w14:textId="77777777" w:rsidR="003F4823" w:rsidRPr="00873637" w:rsidRDefault="003F4823" w:rsidP="008505E2">
            <w:pPr>
              <w:ind w:left="30" w:right="30"/>
              <w:rPr>
                <w:b/>
                <w:bCs/>
              </w:rPr>
            </w:pPr>
            <w:r>
              <w:rPr>
                <w:b/>
              </w:rPr>
              <w:t>Partenariat</w:t>
            </w:r>
          </w:p>
          <w:p w14:paraId="35C99ACE" w14:textId="77777777" w:rsidR="003F4823" w:rsidRPr="00873637" w:rsidRDefault="003F4823" w:rsidP="008505E2">
            <w:pPr>
              <w:ind w:left="30" w:right="30"/>
            </w:pPr>
          </w:p>
          <w:p w14:paraId="12449819" w14:textId="77777777" w:rsidR="003F4823" w:rsidRPr="00873637" w:rsidRDefault="003F4823" w:rsidP="008505E2">
            <w:pPr>
              <w:overflowPunct w:val="0"/>
              <w:autoSpaceDE w:val="0"/>
              <w:autoSpaceDN w:val="0"/>
              <w:adjustRightInd w:val="0"/>
              <w:spacing w:line="276" w:lineRule="auto"/>
              <w:ind w:right="267" w:firstLine="30"/>
              <w:textAlignment w:val="baseline"/>
            </w:pPr>
            <w:r>
              <w:t xml:space="preserve">Les États membres assurent aux partenaires sociaux et aux organisations de la société civile une participation significative à la mise en œuvre des politiques en faveur d’emplois de qualité, de l’éducation, des compétences et de l’inclusion sociale, conformément à l’article 6 du règlement XX [règlement PNR]. </w:t>
            </w:r>
            <w:r>
              <w:rPr>
                <w:b/>
                <w:i/>
              </w:rPr>
              <w:t>Les partenaires sociaux et les organisations de la société civile participent aux comités de suivi avec droit de vote.</w:t>
            </w:r>
          </w:p>
        </w:tc>
        <w:tc>
          <w:tcPr>
            <w:tcW w:w="2500" w:type="pct"/>
            <w:tcBorders>
              <w:top w:val="single" w:sz="4" w:space="0" w:color="auto"/>
              <w:left w:val="single" w:sz="4" w:space="0" w:color="auto"/>
              <w:bottom w:val="single" w:sz="4" w:space="0" w:color="auto"/>
              <w:right w:val="single" w:sz="4" w:space="0" w:color="auto"/>
            </w:tcBorders>
          </w:tcPr>
          <w:p w14:paraId="6C8BA097" w14:textId="77777777" w:rsidR="003F4823" w:rsidRPr="00873637" w:rsidRDefault="003F4823" w:rsidP="008505E2">
            <w:pPr>
              <w:ind w:left="30" w:right="30"/>
              <w:rPr>
                <w:b/>
                <w:bCs/>
              </w:rPr>
            </w:pPr>
            <w:r>
              <w:rPr>
                <w:b/>
              </w:rPr>
              <w:t xml:space="preserve">Article 7 </w:t>
            </w:r>
          </w:p>
          <w:p w14:paraId="439CB2D2" w14:textId="77777777" w:rsidR="003F4823" w:rsidRPr="00873637" w:rsidRDefault="003F4823" w:rsidP="008505E2">
            <w:pPr>
              <w:ind w:left="30" w:right="30"/>
              <w:rPr>
                <w:b/>
                <w:bCs/>
              </w:rPr>
            </w:pPr>
            <w:r>
              <w:rPr>
                <w:b/>
              </w:rPr>
              <w:t>Partenariat</w:t>
            </w:r>
          </w:p>
          <w:p w14:paraId="6D8506C4" w14:textId="77777777" w:rsidR="003F4823" w:rsidRPr="00873637" w:rsidRDefault="003F4823" w:rsidP="008505E2">
            <w:pPr>
              <w:ind w:left="30" w:right="30"/>
            </w:pPr>
          </w:p>
          <w:p w14:paraId="23617D4C" w14:textId="77777777" w:rsidR="003F4823" w:rsidRPr="00873637" w:rsidRDefault="003F4823" w:rsidP="008505E2">
            <w:pPr>
              <w:overflowPunct w:val="0"/>
              <w:autoSpaceDE w:val="0"/>
              <w:autoSpaceDN w:val="0"/>
              <w:adjustRightInd w:val="0"/>
              <w:spacing w:line="276" w:lineRule="auto"/>
              <w:ind w:right="267"/>
              <w:textAlignment w:val="baseline"/>
              <w:rPr>
                <w:rFonts w:eastAsia="Calibri"/>
              </w:rPr>
            </w:pPr>
            <w:r>
              <w:t>Les États membres assurent aux partenaires sociaux et aux organisations de la société civile une participation significative à la mise en œuvre des politiques en faveur d’emplois de qualité, de l’éducation, des compétences et de l’inclusion sociale, conformément à l’article 6 du règlement XX [règlement PNR]</w:t>
            </w:r>
            <w:r>
              <w:rPr>
                <w:b/>
                <w:bCs/>
                <w:i/>
                <w:iCs/>
                <w:u w:val="single"/>
              </w:rPr>
              <w:t>, tout en accordant l’attention voulue à la représentativité des organisations ainsi qu’au respect du rôle spécifique des partenaires sociaux</w:t>
            </w:r>
            <w:r>
              <w:t xml:space="preserve">. </w:t>
            </w:r>
            <w:r>
              <w:rPr>
                <w:b/>
                <w:i/>
              </w:rPr>
              <w:t>Les partenaires sociaux et les organisations de la société civile participent aux comités de suivi avec droit de vote.</w:t>
            </w:r>
          </w:p>
        </w:tc>
      </w:tr>
    </w:tbl>
    <w:p w14:paraId="0E476D0A" w14:textId="77777777" w:rsidR="003F4823" w:rsidRPr="00873637" w:rsidRDefault="003F4823" w:rsidP="003F4823">
      <w:pPr>
        <w:jc w:val="center"/>
      </w:pPr>
    </w:p>
    <w:p w14:paraId="2BC702ED" w14:textId="77777777" w:rsidR="00623278" w:rsidRPr="009777C1" w:rsidRDefault="00623278" w:rsidP="00623278">
      <w:pPr>
        <w:pStyle w:val="ListParagraph"/>
        <w:ind w:left="142"/>
        <w:rPr>
          <w:b/>
          <w:bCs/>
        </w:rPr>
      </w:pPr>
      <w:r>
        <w:rPr>
          <w:b/>
        </w:rPr>
        <w:t xml:space="preserve">Résultat du </w:t>
      </w:r>
      <w:proofErr w:type="gramStart"/>
      <w:r>
        <w:rPr>
          <w:b/>
        </w:rPr>
        <w:t>vote: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8"/>
      </w:tblGrid>
      <w:tr w:rsidR="00623278" w:rsidRPr="008D2641" w14:paraId="0B1827BC" w14:textId="77777777" w:rsidTr="008D6016">
        <w:tc>
          <w:tcPr>
            <w:tcW w:w="1413" w:type="dxa"/>
          </w:tcPr>
          <w:p w14:paraId="0CC816F7" w14:textId="77777777" w:rsidR="00623278" w:rsidRPr="009777C1" w:rsidRDefault="00623278" w:rsidP="008D6016">
            <w:pPr>
              <w:ind w:left="31"/>
            </w:pPr>
            <w:r>
              <w:t xml:space="preserve">Voix </w:t>
            </w:r>
            <w:proofErr w:type="gramStart"/>
            <w:r>
              <w:t>pour:</w:t>
            </w:r>
            <w:proofErr w:type="gramEnd"/>
          </w:p>
        </w:tc>
        <w:tc>
          <w:tcPr>
            <w:tcW w:w="567" w:type="dxa"/>
          </w:tcPr>
          <w:p w14:paraId="7325C58A" w14:textId="77777777" w:rsidR="00623278" w:rsidRPr="009777C1" w:rsidRDefault="00623278" w:rsidP="008D6016">
            <w:pPr>
              <w:ind w:left="142"/>
              <w:jc w:val="right"/>
            </w:pPr>
            <w:r>
              <w:t>32</w:t>
            </w:r>
          </w:p>
        </w:tc>
      </w:tr>
      <w:tr w:rsidR="00623278" w:rsidRPr="008D2641" w14:paraId="2C1CF869" w14:textId="77777777" w:rsidTr="008D6016">
        <w:tc>
          <w:tcPr>
            <w:tcW w:w="1413" w:type="dxa"/>
          </w:tcPr>
          <w:p w14:paraId="38B920A7" w14:textId="77777777" w:rsidR="00623278" w:rsidRPr="009777C1" w:rsidRDefault="00623278" w:rsidP="008D6016">
            <w:r>
              <w:t xml:space="preserve">Voix </w:t>
            </w:r>
            <w:proofErr w:type="gramStart"/>
            <w:r>
              <w:t>contre:</w:t>
            </w:r>
            <w:proofErr w:type="gramEnd"/>
          </w:p>
        </w:tc>
        <w:tc>
          <w:tcPr>
            <w:tcW w:w="567" w:type="dxa"/>
          </w:tcPr>
          <w:p w14:paraId="312679D7" w14:textId="77777777" w:rsidR="00623278" w:rsidRPr="009777C1" w:rsidRDefault="00623278" w:rsidP="008D6016">
            <w:pPr>
              <w:ind w:left="142"/>
              <w:jc w:val="right"/>
            </w:pPr>
            <w:r>
              <w:t>61</w:t>
            </w:r>
          </w:p>
        </w:tc>
      </w:tr>
      <w:tr w:rsidR="00623278" w:rsidRPr="008D2641" w14:paraId="71CCA710" w14:textId="77777777" w:rsidTr="008D6016">
        <w:tc>
          <w:tcPr>
            <w:tcW w:w="1413" w:type="dxa"/>
          </w:tcPr>
          <w:p w14:paraId="6E729CAC" w14:textId="77777777" w:rsidR="00623278" w:rsidRPr="009777C1" w:rsidRDefault="00623278" w:rsidP="008D6016">
            <w:proofErr w:type="gramStart"/>
            <w:r>
              <w:t>Abstentions:</w:t>
            </w:r>
            <w:proofErr w:type="gramEnd"/>
          </w:p>
        </w:tc>
        <w:tc>
          <w:tcPr>
            <w:tcW w:w="567" w:type="dxa"/>
          </w:tcPr>
          <w:p w14:paraId="3DF16C18" w14:textId="77777777" w:rsidR="00623278" w:rsidRPr="009777C1" w:rsidRDefault="00623278" w:rsidP="008D6016">
            <w:pPr>
              <w:ind w:left="142"/>
              <w:jc w:val="right"/>
            </w:pPr>
            <w:r>
              <w:t>2</w:t>
            </w:r>
          </w:p>
        </w:tc>
      </w:tr>
    </w:tbl>
    <w:p w14:paraId="5678982B" w14:textId="77777777" w:rsidR="003F4823" w:rsidRPr="00873637" w:rsidRDefault="003F4823" w:rsidP="003F4823">
      <w:pPr>
        <w:rPr>
          <w:b/>
          <w:bCs/>
        </w:rPr>
        <w:sectPr w:rsidR="003F4823" w:rsidRPr="00873637" w:rsidSect="002D011E">
          <w:headerReference w:type="even" r:id="rId47"/>
          <w:headerReference w:type="default" r:id="rId48"/>
          <w:footerReference w:type="even" r:id="rId49"/>
          <w:footerReference w:type="default" r:id="rId50"/>
          <w:headerReference w:type="first" r:id="rId51"/>
          <w:footerReference w:type="first" r:id="rId52"/>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003F4823" w:rsidRPr="00873637" w14:paraId="3F778368" w14:textId="77777777" w:rsidTr="008505E2">
        <w:tc>
          <w:tcPr>
            <w:tcW w:w="2826" w:type="pct"/>
          </w:tcPr>
          <w:p w14:paraId="6B727D8A" w14:textId="77777777" w:rsidR="003F4823" w:rsidRPr="00873637" w:rsidRDefault="003F4823" w:rsidP="008505E2">
            <w:pPr>
              <w:rPr>
                <w:b/>
                <w:bCs/>
                <w:sz w:val="32"/>
                <w:szCs w:val="32"/>
              </w:rPr>
            </w:pPr>
            <w:r>
              <w:rPr>
                <w:b/>
                <w:sz w:val="32"/>
              </w:rPr>
              <w:lastRenderedPageBreak/>
              <w:t>AMENDEMENT 1</w:t>
            </w:r>
          </w:p>
          <w:p w14:paraId="224701C2" w14:textId="77777777" w:rsidR="003F4823" w:rsidRPr="00873637" w:rsidRDefault="003F4823" w:rsidP="008505E2">
            <w:pPr>
              <w:rPr>
                <w:b/>
                <w:bCs/>
              </w:rPr>
            </w:pPr>
          </w:p>
          <w:p w14:paraId="191B353D" w14:textId="77777777" w:rsidR="003F4823" w:rsidRPr="00873637" w:rsidRDefault="003F4823" w:rsidP="008505E2">
            <w:pPr>
              <w:rPr>
                <w:b/>
                <w:bCs/>
              </w:rPr>
            </w:pPr>
            <w:r>
              <w:rPr>
                <w:b/>
              </w:rPr>
              <w:t>SOC/845</w:t>
            </w:r>
          </w:p>
          <w:p w14:paraId="43D61CC2" w14:textId="77777777" w:rsidR="003F4823" w:rsidRPr="00873637" w:rsidRDefault="003F4823" w:rsidP="008505E2">
            <w:pPr>
              <w:rPr>
                <w:b/>
                <w:bCs/>
              </w:rPr>
            </w:pPr>
            <w:r>
              <w:rPr>
                <w:b/>
              </w:rPr>
              <w:t>Établissement du Fonds social européen dans le cadre du plan de partenariat national et régional</w:t>
            </w:r>
          </w:p>
          <w:p w14:paraId="081A0FC7" w14:textId="77777777" w:rsidR="003F4823" w:rsidRPr="00873637" w:rsidRDefault="003F4823" w:rsidP="008505E2">
            <w:pPr>
              <w:rPr>
                <w:b/>
                <w:bCs/>
              </w:rPr>
            </w:pPr>
          </w:p>
          <w:p w14:paraId="6ADBFBD7" w14:textId="77777777" w:rsidR="003F4823" w:rsidRPr="00873637" w:rsidRDefault="003F4823" w:rsidP="008505E2">
            <w:pPr>
              <w:rPr>
                <w:b/>
                <w:bCs/>
              </w:rPr>
            </w:pPr>
            <w:r>
              <w:rPr>
                <w:b/>
              </w:rPr>
              <w:t>Paragraphe 1.1</w:t>
            </w:r>
          </w:p>
          <w:p w14:paraId="145949F0" w14:textId="77777777" w:rsidR="003F4823" w:rsidRPr="00873637" w:rsidRDefault="003F4823" w:rsidP="008505E2">
            <w:pPr>
              <w:rPr>
                <w:b/>
                <w:bCs/>
              </w:rPr>
            </w:pPr>
          </w:p>
          <w:p w14:paraId="40764624" w14:textId="77777777" w:rsidR="003F4823" w:rsidRPr="00873637" w:rsidRDefault="003F4823" w:rsidP="008505E2">
            <w:pPr>
              <w:rPr>
                <w:b/>
                <w:bCs/>
              </w:rPr>
            </w:pPr>
            <w:r>
              <w:rPr>
                <w:b/>
              </w:rPr>
              <w:t xml:space="preserve">Modifier comme </w:t>
            </w:r>
            <w:proofErr w:type="gramStart"/>
            <w:r>
              <w:rPr>
                <w:b/>
              </w:rPr>
              <w:t>suit:</w:t>
            </w:r>
            <w:proofErr w:type="gramEnd"/>
          </w:p>
        </w:tc>
        <w:tc>
          <w:tcPr>
            <w:tcW w:w="2174" w:type="pct"/>
            <w:hideMark/>
          </w:tcPr>
          <w:p w14:paraId="146DB7A3" w14:textId="77777777" w:rsidR="003F4823" w:rsidRPr="00873637" w:rsidRDefault="003F4823" w:rsidP="008505E2">
            <w:pPr>
              <w:jc w:val="left"/>
              <w:rPr>
                <w:b/>
                <w:bCs/>
              </w:rPr>
            </w:pPr>
            <w:r>
              <w:rPr>
                <w:b/>
              </w:rPr>
              <w:t xml:space="preserve">Proposé </w:t>
            </w:r>
            <w:proofErr w:type="gramStart"/>
            <w:r>
              <w:rPr>
                <w:b/>
              </w:rPr>
              <w:t>par:</w:t>
            </w:r>
            <w:proofErr w:type="gramEnd"/>
          </w:p>
          <w:p w14:paraId="502A928C" w14:textId="77777777" w:rsidR="003F4823" w:rsidRPr="00873637" w:rsidRDefault="003F4823" w:rsidP="008505E2">
            <w:pPr>
              <w:jc w:val="left"/>
            </w:pPr>
            <w:r>
              <w:t>BONI Michal</w:t>
            </w:r>
          </w:p>
          <w:p w14:paraId="0C44F6C1" w14:textId="77777777" w:rsidR="003F4823" w:rsidRPr="00873637" w:rsidRDefault="003F4823" w:rsidP="008505E2">
            <w:pPr>
              <w:jc w:val="left"/>
            </w:pPr>
            <w:r>
              <w:t xml:space="preserve">DABU </w:t>
            </w:r>
            <w:proofErr w:type="spellStart"/>
            <w:r>
              <w:t>Adelina</w:t>
            </w:r>
            <w:proofErr w:type="spellEnd"/>
            <w:r>
              <w:t xml:space="preserve"> </w:t>
            </w:r>
          </w:p>
          <w:p w14:paraId="4CBB012F" w14:textId="77777777" w:rsidR="003F4823" w:rsidRPr="00873637" w:rsidRDefault="003F4823" w:rsidP="008505E2">
            <w:pPr>
              <w:jc w:val="left"/>
            </w:pPr>
            <w:r>
              <w:t>MINCHEVA Mariya</w:t>
            </w:r>
          </w:p>
          <w:p w14:paraId="3D295552" w14:textId="77777777" w:rsidR="003F4823" w:rsidRPr="00873637" w:rsidRDefault="003F4823" w:rsidP="008505E2">
            <w:pPr>
              <w:jc w:val="left"/>
            </w:pPr>
            <w:r>
              <w:t>POTTIER Jean-Michel</w:t>
            </w:r>
          </w:p>
          <w:p w14:paraId="75BAFE2E" w14:textId="77777777" w:rsidR="003F4823" w:rsidRPr="00873637" w:rsidRDefault="003F4823" w:rsidP="008505E2">
            <w:pPr>
              <w:jc w:val="left"/>
            </w:pPr>
            <w:r>
              <w:t>SCHWENG Christa</w:t>
            </w:r>
          </w:p>
          <w:p w14:paraId="21B63149" w14:textId="77777777" w:rsidR="003F4823" w:rsidRPr="00873637" w:rsidRDefault="003F4823" w:rsidP="008505E2">
            <w:pPr>
              <w:jc w:val="left"/>
            </w:pPr>
            <w:r>
              <w:t xml:space="preserve">SÕBER </w:t>
            </w:r>
            <w:proofErr w:type="spellStart"/>
            <w:r>
              <w:t>Kristi</w:t>
            </w:r>
            <w:proofErr w:type="spellEnd"/>
          </w:p>
          <w:p w14:paraId="658D79AF" w14:textId="77777777" w:rsidR="003F4823" w:rsidRPr="00873637" w:rsidRDefault="003F4823" w:rsidP="008505E2">
            <w:pPr>
              <w:jc w:val="left"/>
            </w:pPr>
            <w:r>
              <w:t>YGLESIAS Isabel</w:t>
            </w:r>
          </w:p>
          <w:p w14:paraId="7F82294E" w14:textId="77777777" w:rsidR="003F4823" w:rsidRPr="00873637" w:rsidRDefault="003F4823" w:rsidP="008505E2"/>
        </w:tc>
      </w:tr>
    </w:tbl>
    <w:p w14:paraId="66F9002D" w14:textId="77777777" w:rsidR="003F4823" w:rsidRPr="00873637" w:rsidRDefault="003F4823" w:rsidP="003F4823">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003F4823" w:rsidRPr="00873637" w14:paraId="33A0A358"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79889E8D" w14:textId="77777777" w:rsidR="003F4823" w:rsidRPr="00873637" w:rsidRDefault="003F4823" w:rsidP="008505E2">
            <w:pPr>
              <w:jc w:val="center"/>
              <w:rPr>
                <w:b/>
                <w:bCs/>
                <w:i/>
                <w:sz w:val="22"/>
                <w:szCs w:val="22"/>
              </w:rPr>
            </w:pPr>
            <w:r>
              <w:rPr>
                <w:b/>
                <w:i/>
                <w:sz w:val="22"/>
              </w:rPr>
              <w:t>Projet d’avis</w:t>
            </w:r>
          </w:p>
        </w:tc>
        <w:tc>
          <w:tcPr>
            <w:tcW w:w="2500" w:type="pct"/>
            <w:tcBorders>
              <w:top w:val="single" w:sz="4" w:space="0" w:color="auto"/>
              <w:left w:val="single" w:sz="4" w:space="0" w:color="auto"/>
              <w:bottom w:val="single" w:sz="4" w:space="0" w:color="auto"/>
              <w:right w:val="single" w:sz="4" w:space="0" w:color="auto"/>
            </w:tcBorders>
            <w:hideMark/>
          </w:tcPr>
          <w:p w14:paraId="0937901F" w14:textId="77777777" w:rsidR="003F4823" w:rsidRPr="00873637" w:rsidRDefault="003F4823" w:rsidP="008505E2">
            <w:pPr>
              <w:jc w:val="center"/>
              <w:rPr>
                <w:b/>
                <w:bCs/>
                <w:i/>
                <w:sz w:val="22"/>
                <w:szCs w:val="22"/>
              </w:rPr>
            </w:pPr>
            <w:r>
              <w:rPr>
                <w:b/>
                <w:i/>
                <w:sz w:val="22"/>
              </w:rPr>
              <w:t>Amendement</w:t>
            </w:r>
          </w:p>
        </w:tc>
      </w:tr>
      <w:tr w:rsidR="003F4823" w:rsidRPr="00873637" w14:paraId="5E74A0B1"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34A735A5" w14:textId="77777777" w:rsidR="003F4823" w:rsidRPr="00873637" w:rsidRDefault="003F4823" w:rsidP="008505E2">
            <w:pPr>
              <w:spacing w:before="80" w:after="80"/>
              <w:ind w:left="80" w:right="80"/>
              <w:rPr>
                <w:sz w:val="22"/>
                <w:szCs w:val="22"/>
              </w:rPr>
            </w:pPr>
            <w:proofErr w:type="gramStart"/>
            <w:r>
              <w:rPr>
                <w:sz w:val="22"/>
              </w:rPr>
              <w:t>demande</w:t>
            </w:r>
            <w:proofErr w:type="gramEnd"/>
            <w:r>
              <w:rPr>
                <w:sz w:val="22"/>
              </w:rPr>
              <w:t xml:space="preserve"> un renforcement du Fonds social européen (FSE) aux fins de consolider la dimension sociale de l’Union. À cette fin, il propose que les dépenses sociales dans les plans PNR soient augmentées et portées de 14 % à 20 %, et que l’on en réserve au moins 14 % au FSE. Il est nécessaire de clarifier davantage la définition des dépenses sociales au cours de la prochaine période de </w:t>
            </w:r>
            <w:proofErr w:type="gramStart"/>
            <w:r>
              <w:rPr>
                <w:sz w:val="22"/>
              </w:rPr>
              <w:t>programmation;</w:t>
            </w:r>
            <w:proofErr w:type="gramEnd"/>
          </w:p>
        </w:tc>
        <w:tc>
          <w:tcPr>
            <w:tcW w:w="2500" w:type="pct"/>
            <w:tcBorders>
              <w:top w:val="single" w:sz="4" w:space="0" w:color="auto"/>
              <w:left w:val="single" w:sz="4" w:space="0" w:color="auto"/>
              <w:bottom w:val="single" w:sz="4" w:space="0" w:color="auto"/>
              <w:right w:val="single" w:sz="4" w:space="0" w:color="auto"/>
            </w:tcBorders>
            <w:hideMark/>
          </w:tcPr>
          <w:p w14:paraId="0DC1CA25" w14:textId="77777777" w:rsidR="003F4823" w:rsidRPr="00873637" w:rsidRDefault="003F4823" w:rsidP="008505E2">
            <w:pPr>
              <w:spacing w:before="80" w:after="80"/>
              <w:ind w:left="80" w:right="80"/>
              <w:rPr>
                <w:sz w:val="22"/>
                <w:szCs w:val="22"/>
              </w:rPr>
            </w:pPr>
            <w:proofErr w:type="gramStart"/>
            <w:r>
              <w:rPr>
                <w:sz w:val="22"/>
              </w:rPr>
              <w:t>demande</w:t>
            </w:r>
            <w:proofErr w:type="gramEnd"/>
            <w:r>
              <w:rPr>
                <w:sz w:val="22"/>
              </w:rPr>
              <w:t xml:space="preserve"> un renforcement du Fonds social européen (FSE) aux fins de consolider la dimension sociale de l’Union. À cette fin, il propose que les dépenses sociales dans les plans PNR soient augmentées et portées de 14 % à 20 %</w:t>
            </w:r>
            <w:r>
              <w:rPr>
                <w:b/>
                <w:bCs/>
                <w:i/>
                <w:iCs/>
                <w:sz w:val="22"/>
              </w:rPr>
              <w:t xml:space="preserve"> lorsque les circonstances prévalant au niveau national le justifient</w:t>
            </w:r>
            <w:r>
              <w:rPr>
                <w:sz w:val="22"/>
              </w:rPr>
              <w:t xml:space="preserve">, et que l’on en réserve au moins 14 % au FSE. Il est nécessaire de clarifier davantage la définition des dépenses sociales au cours de la prochaine période de </w:t>
            </w:r>
            <w:proofErr w:type="gramStart"/>
            <w:r>
              <w:rPr>
                <w:sz w:val="22"/>
              </w:rPr>
              <w:t>programmation;</w:t>
            </w:r>
            <w:proofErr w:type="gramEnd"/>
          </w:p>
        </w:tc>
      </w:tr>
    </w:tbl>
    <w:p w14:paraId="625E7D4B" w14:textId="77777777" w:rsidR="003F4823" w:rsidRDefault="003F4823" w:rsidP="003F4823">
      <w:pPr>
        <w:rPr>
          <w:b/>
          <w:bCs/>
        </w:rPr>
      </w:pPr>
    </w:p>
    <w:p w14:paraId="49238D1C" w14:textId="77777777" w:rsidR="004929F2" w:rsidRPr="009777C1" w:rsidRDefault="004929F2" w:rsidP="004929F2">
      <w:pPr>
        <w:pStyle w:val="ListParagraph"/>
        <w:ind w:left="142"/>
        <w:rPr>
          <w:b/>
          <w:bCs/>
        </w:rPr>
      </w:pPr>
      <w:r>
        <w:rPr>
          <w:b/>
        </w:rPr>
        <w:t xml:space="preserve">Résultat du </w:t>
      </w:r>
      <w:proofErr w:type="gramStart"/>
      <w:r>
        <w:rPr>
          <w:b/>
        </w:rPr>
        <w:t>vote: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8"/>
      </w:tblGrid>
      <w:tr w:rsidR="004929F2" w:rsidRPr="008D2641" w14:paraId="29BA69E4" w14:textId="77777777" w:rsidTr="008D6016">
        <w:tc>
          <w:tcPr>
            <w:tcW w:w="1413" w:type="dxa"/>
          </w:tcPr>
          <w:p w14:paraId="73E94E26" w14:textId="77777777" w:rsidR="004929F2" w:rsidRPr="009777C1" w:rsidRDefault="004929F2" w:rsidP="008D6016">
            <w:pPr>
              <w:ind w:left="31"/>
            </w:pPr>
            <w:r>
              <w:t xml:space="preserve">Voix </w:t>
            </w:r>
            <w:proofErr w:type="gramStart"/>
            <w:r>
              <w:t>pour:</w:t>
            </w:r>
            <w:proofErr w:type="gramEnd"/>
          </w:p>
        </w:tc>
        <w:tc>
          <w:tcPr>
            <w:tcW w:w="567" w:type="dxa"/>
          </w:tcPr>
          <w:p w14:paraId="586805FC" w14:textId="77777777" w:rsidR="004929F2" w:rsidRPr="009777C1" w:rsidRDefault="004929F2" w:rsidP="008D6016">
            <w:pPr>
              <w:ind w:left="142"/>
              <w:jc w:val="right"/>
            </w:pPr>
            <w:r>
              <w:t>34</w:t>
            </w:r>
          </w:p>
        </w:tc>
      </w:tr>
      <w:tr w:rsidR="004929F2" w:rsidRPr="008D2641" w14:paraId="26C4EF72" w14:textId="77777777" w:rsidTr="008D6016">
        <w:tc>
          <w:tcPr>
            <w:tcW w:w="1413" w:type="dxa"/>
          </w:tcPr>
          <w:p w14:paraId="6F7D2565" w14:textId="77777777" w:rsidR="004929F2" w:rsidRPr="009777C1" w:rsidRDefault="004929F2" w:rsidP="008D6016">
            <w:r>
              <w:t xml:space="preserve">Voix </w:t>
            </w:r>
            <w:proofErr w:type="gramStart"/>
            <w:r>
              <w:t>contre:</w:t>
            </w:r>
            <w:proofErr w:type="gramEnd"/>
          </w:p>
        </w:tc>
        <w:tc>
          <w:tcPr>
            <w:tcW w:w="567" w:type="dxa"/>
          </w:tcPr>
          <w:p w14:paraId="2F107E2A" w14:textId="77777777" w:rsidR="004929F2" w:rsidRPr="009777C1" w:rsidRDefault="004929F2" w:rsidP="008D6016">
            <w:pPr>
              <w:ind w:left="142"/>
              <w:jc w:val="right"/>
            </w:pPr>
            <w:r>
              <w:t>53</w:t>
            </w:r>
          </w:p>
        </w:tc>
      </w:tr>
      <w:tr w:rsidR="004929F2" w:rsidRPr="008D2641" w14:paraId="209686ED" w14:textId="77777777" w:rsidTr="008D6016">
        <w:tc>
          <w:tcPr>
            <w:tcW w:w="1413" w:type="dxa"/>
          </w:tcPr>
          <w:p w14:paraId="6C22A840" w14:textId="77777777" w:rsidR="004929F2" w:rsidRPr="009777C1" w:rsidRDefault="004929F2" w:rsidP="008D6016">
            <w:proofErr w:type="gramStart"/>
            <w:r>
              <w:t>Abstentions:</w:t>
            </w:r>
            <w:proofErr w:type="gramEnd"/>
          </w:p>
        </w:tc>
        <w:tc>
          <w:tcPr>
            <w:tcW w:w="567" w:type="dxa"/>
          </w:tcPr>
          <w:p w14:paraId="089D962A" w14:textId="77777777" w:rsidR="004929F2" w:rsidRPr="009777C1" w:rsidRDefault="004929F2" w:rsidP="008D6016">
            <w:pPr>
              <w:ind w:left="142"/>
              <w:jc w:val="right"/>
            </w:pPr>
            <w:r>
              <w:t>4</w:t>
            </w:r>
          </w:p>
        </w:tc>
      </w:tr>
    </w:tbl>
    <w:p w14:paraId="0314D8A0" w14:textId="0E049F43" w:rsidR="004929F2" w:rsidRPr="00873637" w:rsidRDefault="004929F2" w:rsidP="003F4823">
      <w:pPr>
        <w:rPr>
          <w:b/>
          <w:bCs/>
        </w:rPr>
        <w:sectPr w:rsidR="004929F2" w:rsidRPr="00873637" w:rsidSect="002D011E">
          <w:headerReference w:type="even" r:id="rId53"/>
          <w:headerReference w:type="default" r:id="rId54"/>
          <w:footerReference w:type="even" r:id="rId55"/>
          <w:footerReference w:type="default" r:id="rId56"/>
          <w:headerReference w:type="first" r:id="rId57"/>
          <w:footerReference w:type="first" r:id="rId58"/>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003F4823" w:rsidRPr="002D011E" w14:paraId="443FC819" w14:textId="77777777" w:rsidTr="008505E2">
        <w:tc>
          <w:tcPr>
            <w:tcW w:w="2826" w:type="pct"/>
          </w:tcPr>
          <w:p w14:paraId="51C72F1E" w14:textId="77777777" w:rsidR="003F4823" w:rsidRPr="00873637" w:rsidRDefault="003F4823" w:rsidP="008505E2">
            <w:pPr>
              <w:rPr>
                <w:b/>
                <w:bCs/>
                <w:sz w:val="32"/>
                <w:szCs w:val="32"/>
              </w:rPr>
            </w:pPr>
            <w:r>
              <w:rPr>
                <w:b/>
                <w:sz w:val="32"/>
              </w:rPr>
              <w:lastRenderedPageBreak/>
              <w:t>AMENDEMENT 2</w:t>
            </w:r>
          </w:p>
          <w:p w14:paraId="61676632" w14:textId="77777777" w:rsidR="003F4823" w:rsidRPr="00873637" w:rsidRDefault="003F4823" w:rsidP="008505E2">
            <w:pPr>
              <w:rPr>
                <w:b/>
                <w:bCs/>
              </w:rPr>
            </w:pPr>
          </w:p>
          <w:p w14:paraId="56C863E7" w14:textId="77777777" w:rsidR="003F4823" w:rsidRPr="00873637" w:rsidRDefault="003F4823" w:rsidP="008505E2">
            <w:pPr>
              <w:rPr>
                <w:b/>
                <w:bCs/>
              </w:rPr>
            </w:pPr>
            <w:r>
              <w:rPr>
                <w:b/>
              </w:rPr>
              <w:t>SOC/845</w:t>
            </w:r>
          </w:p>
          <w:p w14:paraId="60AD89A8" w14:textId="77777777" w:rsidR="003F4823" w:rsidRPr="00873637" w:rsidRDefault="003F4823" w:rsidP="008505E2">
            <w:pPr>
              <w:rPr>
                <w:b/>
                <w:bCs/>
              </w:rPr>
            </w:pPr>
            <w:r>
              <w:rPr>
                <w:b/>
              </w:rPr>
              <w:t>Établissement du Fonds social européen dans le cadre du plan de partenariat national et régional</w:t>
            </w:r>
          </w:p>
          <w:p w14:paraId="7C86CBB8" w14:textId="77777777" w:rsidR="003F4823" w:rsidRPr="00873637" w:rsidRDefault="003F4823" w:rsidP="008505E2">
            <w:pPr>
              <w:rPr>
                <w:b/>
                <w:bCs/>
              </w:rPr>
            </w:pPr>
          </w:p>
          <w:p w14:paraId="5A423BF1" w14:textId="77777777" w:rsidR="003F4823" w:rsidRPr="00873637" w:rsidRDefault="003F4823" w:rsidP="008505E2">
            <w:pPr>
              <w:rPr>
                <w:b/>
                <w:bCs/>
              </w:rPr>
            </w:pPr>
            <w:r>
              <w:rPr>
                <w:b/>
              </w:rPr>
              <w:t>Paragraphe 1.5</w:t>
            </w:r>
          </w:p>
          <w:p w14:paraId="3A026E2F" w14:textId="77777777" w:rsidR="003F4823" w:rsidRPr="00873637" w:rsidRDefault="003F4823" w:rsidP="008505E2">
            <w:pPr>
              <w:rPr>
                <w:b/>
                <w:bCs/>
              </w:rPr>
            </w:pPr>
          </w:p>
          <w:p w14:paraId="0A49CE8E" w14:textId="77777777" w:rsidR="003F4823" w:rsidRPr="00873637" w:rsidRDefault="003F4823" w:rsidP="008505E2">
            <w:pPr>
              <w:rPr>
                <w:b/>
                <w:bCs/>
              </w:rPr>
            </w:pPr>
            <w:r>
              <w:rPr>
                <w:b/>
              </w:rPr>
              <w:t xml:space="preserve">Modifier comme </w:t>
            </w:r>
            <w:proofErr w:type="gramStart"/>
            <w:r>
              <w:rPr>
                <w:b/>
              </w:rPr>
              <w:t>suit:</w:t>
            </w:r>
            <w:proofErr w:type="gramEnd"/>
          </w:p>
        </w:tc>
        <w:tc>
          <w:tcPr>
            <w:tcW w:w="2174" w:type="pct"/>
            <w:hideMark/>
          </w:tcPr>
          <w:p w14:paraId="4C85CA05" w14:textId="77777777" w:rsidR="003F4823" w:rsidRPr="00873637" w:rsidRDefault="003F4823" w:rsidP="008505E2">
            <w:pPr>
              <w:jc w:val="left"/>
              <w:rPr>
                <w:b/>
                <w:bCs/>
              </w:rPr>
            </w:pPr>
            <w:r>
              <w:rPr>
                <w:b/>
              </w:rPr>
              <w:t xml:space="preserve">Proposé </w:t>
            </w:r>
            <w:proofErr w:type="gramStart"/>
            <w:r>
              <w:rPr>
                <w:b/>
              </w:rPr>
              <w:t>par:</w:t>
            </w:r>
            <w:proofErr w:type="gramEnd"/>
          </w:p>
          <w:p w14:paraId="43A3F0A4" w14:textId="77777777" w:rsidR="003F4823" w:rsidRPr="00873637" w:rsidRDefault="003F4823" w:rsidP="008505E2">
            <w:pPr>
              <w:jc w:val="left"/>
            </w:pPr>
            <w:r>
              <w:t>BONI Michal</w:t>
            </w:r>
          </w:p>
          <w:p w14:paraId="0353A0B8" w14:textId="77777777" w:rsidR="003F4823" w:rsidRPr="00873637" w:rsidRDefault="003F4823" w:rsidP="008505E2">
            <w:pPr>
              <w:jc w:val="left"/>
            </w:pPr>
            <w:r>
              <w:t xml:space="preserve">DABU </w:t>
            </w:r>
            <w:proofErr w:type="spellStart"/>
            <w:r>
              <w:t>Adelina</w:t>
            </w:r>
            <w:proofErr w:type="spellEnd"/>
            <w:r>
              <w:t xml:space="preserve"> </w:t>
            </w:r>
          </w:p>
          <w:p w14:paraId="3A495DDA" w14:textId="77777777" w:rsidR="003F4823" w:rsidRPr="003C1EF6" w:rsidRDefault="003F4823" w:rsidP="008505E2">
            <w:pPr>
              <w:jc w:val="left"/>
            </w:pPr>
            <w:r>
              <w:t>MATTIONI Renato</w:t>
            </w:r>
          </w:p>
          <w:p w14:paraId="2BA25814" w14:textId="77777777" w:rsidR="003F4823" w:rsidRPr="003C1EF6" w:rsidRDefault="003F4823" w:rsidP="008505E2">
            <w:pPr>
              <w:jc w:val="left"/>
            </w:pPr>
            <w:r>
              <w:t>MINCHEVA Mariya</w:t>
            </w:r>
          </w:p>
          <w:p w14:paraId="0E19C69E" w14:textId="77777777" w:rsidR="003F4823" w:rsidRPr="003C1EF6" w:rsidRDefault="003F4823" w:rsidP="008505E2">
            <w:pPr>
              <w:jc w:val="left"/>
            </w:pPr>
            <w:r>
              <w:t>POTTIER Jean-Michel</w:t>
            </w:r>
          </w:p>
          <w:p w14:paraId="0DE55C97" w14:textId="77777777" w:rsidR="003F4823" w:rsidRPr="003C1EF6" w:rsidRDefault="003F4823" w:rsidP="008505E2">
            <w:pPr>
              <w:jc w:val="left"/>
            </w:pPr>
            <w:r>
              <w:t>SCHWENG Christa</w:t>
            </w:r>
          </w:p>
          <w:p w14:paraId="331DC162" w14:textId="77777777" w:rsidR="003F4823" w:rsidRPr="003C1EF6" w:rsidRDefault="003F4823" w:rsidP="008505E2">
            <w:pPr>
              <w:jc w:val="left"/>
            </w:pPr>
            <w:r>
              <w:t xml:space="preserve">SÕBER </w:t>
            </w:r>
            <w:proofErr w:type="spellStart"/>
            <w:r>
              <w:t>Kristi</w:t>
            </w:r>
            <w:proofErr w:type="spellEnd"/>
          </w:p>
          <w:p w14:paraId="17908CBE" w14:textId="77777777" w:rsidR="003F4823" w:rsidRPr="003C1EF6" w:rsidRDefault="003F4823" w:rsidP="008505E2">
            <w:pPr>
              <w:jc w:val="left"/>
            </w:pPr>
            <w:r>
              <w:t>YGLESIAS Isabel</w:t>
            </w:r>
          </w:p>
          <w:p w14:paraId="1F741B15" w14:textId="77777777" w:rsidR="003F4823" w:rsidRPr="003C1EF6" w:rsidRDefault="003F4823" w:rsidP="008505E2">
            <w:pPr>
              <w:rPr>
                <w:lang w:val="it-IT"/>
              </w:rPr>
            </w:pPr>
          </w:p>
        </w:tc>
      </w:tr>
    </w:tbl>
    <w:p w14:paraId="5DEC4E42" w14:textId="77777777" w:rsidR="003F4823" w:rsidRPr="003C1EF6" w:rsidRDefault="003F4823" w:rsidP="003F4823">
      <w:pPr>
        <w:jc w:val="center"/>
        <w:rPr>
          <w:lang w:val="it-IT"/>
        </w:rP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003F4823" w:rsidRPr="00873637" w14:paraId="1C16A44E"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4D831863" w14:textId="77777777" w:rsidR="003F4823" w:rsidRPr="00873637" w:rsidRDefault="003F4823" w:rsidP="008505E2">
            <w:pPr>
              <w:jc w:val="center"/>
              <w:rPr>
                <w:b/>
                <w:bCs/>
                <w:i/>
                <w:sz w:val="22"/>
                <w:szCs w:val="22"/>
              </w:rPr>
            </w:pPr>
            <w:r>
              <w:rPr>
                <w:b/>
                <w:i/>
                <w:sz w:val="22"/>
              </w:rPr>
              <w:t>Projet d’avis</w:t>
            </w:r>
          </w:p>
        </w:tc>
        <w:tc>
          <w:tcPr>
            <w:tcW w:w="2500" w:type="pct"/>
            <w:tcBorders>
              <w:top w:val="single" w:sz="4" w:space="0" w:color="auto"/>
              <w:left w:val="single" w:sz="4" w:space="0" w:color="auto"/>
              <w:bottom w:val="single" w:sz="4" w:space="0" w:color="auto"/>
              <w:right w:val="single" w:sz="4" w:space="0" w:color="auto"/>
            </w:tcBorders>
            <w:hideMark/>
          </w:tcPr>
          <w:p w14:paraId="394B62B6" w14:textId="77777777" w:rsidR="003F4823" w:rsidRPr="00873637" w:rsidRDefault="003F4823" w:rsidP="008505E2">
            <w:pPr>
              <w:jc w:val="center"/>
              <w:rPr>
                <w:b/>
                <w:bCs/>
                <w:i/>
                <w:sz w:val="22"/>
                <w:szCs w:val="22"/>
              </w:rPr>
            </w:pPr>
            <w:r>
              <w:rPr>
                <w:b/>
                <w:i/>
                <w:sz w:val="22"/>
              </w:rPr>
              <w:t>Amendement</w:t>
            </w:r>
          </w:p>
        </w:tc>
      </w:tr>
      <w:tr w:rsidR="003F4823" w:rsidRPr="00873637" w14:paraId="2BAEBACA"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2BAA030D" w14:textId="77777777" w:rsidR="003F4823" w:rsidRPr="00873637" w:rsidRDefault="003F4823" w:rsidP="008505E2">
            <w:pPr>
              <w:spacing w:before="80" w:after="80"/>
              <w:ind w:left="80" w:right="80"/>
              <w:rPr>
                <w:sz w:val="22"/>
                <w:szCs w:val="22"/>
              </w:rPr>
            </w:pPr>
            <w:proofErr w:type="gramStart"/>
            <w:r>
              <w:rPr>
                <w:sz w:val="22"/>
              </w:rPr>
              <w:t>estime</w:t>
            </w:r>
            <w:proofErr w:type="gramEnd"/>
            <w:r>
              <w:rPr>
                <w:sz w:val="22"/>
              </w:rPr>
              <w:t xml:space="preserve"> qu’il convient de maintenir les comités de suivi de tous les programmes nationaux et régionaux du FSE et d’y préserver le droit de vote des partenaires sociaux et des organisations de la société civile, un pourcentage significatif de participation devant leur être attribué;</w:t>
            </w:r>
          </w:p>
        </w:tc>
        <w:tc>
          <w:tcPr>
            <w:tcW w:w="2500" w:type="pct"/>
            <w:tcBorders>
              <w:top w:val="single" w:sz="4" w:space="0" w:color="auto"/>
              <w:left w:val="single" w:sz="4" w:space="0" w:color="auto"/>
              <w:bottom w:val="single" w:sz="4" w:space="0" w:color="auto"/>
              <w:right w:val="single" w:sz="4" w:space="0" w:color="auto"/>
            </w:tcBorders>
            <w:hideMark/>
          </w:tcPr>
          <w:p w14:paraId="3443E4D6" w14:textId="77777777" w:rsidR="003F4823" w:rsidRPr="00873637" w:rsidRDefault="003F4823" w:rsidP="008505E2">
            <w:pPr>
              <w:spacing w:before="80" w:after="80"/>
              <w:ind w:left="80" w:right="80"/>
              <w:rPr>
                <w:sz w:val="22"/>
                <w:szCs w:val="22"/>
              </w:rPr>
            </w:pPr>
            <w:proofErr w:type="gramStart"/>
            <w:r>
              <w:rPr>
                <w:sz w:val="22"/>
              </w:rPr>
              <w:t>estime</w:t>
            </w:r>
            <w:proofErr w:type="gramEnd"/>
            <w:r>
              <w:rPr>
                <w:sz w:val="22"/>
              </w:rPr>
              <w:t xml:space="preserve"> qu’il convient de maintenir les comités de suivi de tous les programmes nationaux et régionaux du FSE et d’y préserver le droit de vote des partenaires sociaux et des organisations de la société civile, un pourcentage significatif de participation devant leur être attribué</w:t>
            </w:r>
            <w:r>
              <w:rPr>
                <w:b/>
                <w:bCs/>
                <w:sz w:val="22"/>
              </w:rPr>
              <w:t>.</w:t>
            </w:r>
            <w:r>
              <w:rPr>
                <w:b/>
                <w:i/>
                <w:sz w:val="22"/>
              </w:rPr>
              <w:t xml:space="preserve"> </w:t>
            </w:r>
            <w:r>
              <w:rPr>
                <w:b/>
                <w:bCs/>
                <w:i/>
                <w:iCs/>
                <w:sz w:val="22"/>
              </w:rPr>
              <w:t xml:space="preserve">Il convient d’accorder toute l’attention voulue à la représentativité des organisations ainsi qu’au respect du rôle spécifique des partenaires </w:t>
            </w:r>
            <w:proofErr w:type="gramStart"/>
            <w:r>
              <w:rPr>
                <w:b/>
                <w:bCs/>
                <w:i/>
                <w:iCs/>
                <w:sz w:val="22"/>
              </w:rPr>
              <w:t>sociaux</w:t>
            </w:r>
            <w:r>
              <w:rPr>
                <w:sz w:val="22"/>
              </w:rPr>
              <w:t>;</w:t>
            </w:r>
            <w:proofErr w:type="gramEnd"/>
          </w:p>
        </w:tc>
      </w:tr>
    </w:tbl>
    <w:p w14:paraId="540E78B5" w14:textId="77777777" w:rsidR="00623278" w:rsidRDefault="00623278" w:rsidP="00623278">
      <w:pPr>
        <w:pStyle w:val="ListParagraph"/>
        <w:ind w:left="142"/>
        <w:rPr>
          <w:b/>
          <w:bCs/>
          <w:lang w:val="en-GB"/>
        </w:rPr>
      </w:pPr>
    </w:p>
    <w:p w14:paraId="5332028E" w14:textId="32B4903E" w:rsidR="00623278" w:rsidRPr="009777C1" w:rsidRDefault="00623278" w:rsidP="00623278">
      <w:pPr>
        <w:pStyle w:val="ListParagraph"/>
        <w:ind w:left="142"/>
        <w:rPr>
          <w:b/>
          <w:bCs/>
        </w:rPr>
      </w:pPr>
      <w:r>
        <w:rPr>
          <w:b/>
        </w:rPr>
        <w:t xml:space="preserve">Résultat du </w:t>
      </w:r>
      <w:proofErr w:type="gramStart"/>
      <w:r>
        <w:rPr>
          <w:b/>
        </w:rPr>
        <w:t>vote: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8"/>
      </w:tblGrid>
      <w:tr w:rsidR="00623278" w:rsidRPr="008D2641" w14:paraId="29C30D54" w14:textId="77777777" w:rsidTr="008D6016">
        <w:tc>
          <w:tcPr>
            <w:tcW w:w="1413" w:type="dxa"/>
          </w:tcPr>
          <w:p w14:paraId="4098D13C" w14:textId="77777777" w:rsidR="00623278" w:rsidRPr="009777C1" w:rsidRDefault="00623278" w:rsidP="008D6016">
            <w:pPr>
              <w:ind w:left="31"/>
            </w:pPr>
            <w:r>
              <w:t xml:space="preserve">Voix </w:t>
            </w:r>
            <w:proofErr w:type="gramStart"/>
            <w:r>
              <w:t>pour:</w:t>
            </w:r>
            <w:proofErr w:type="gramEnd"/>
          </w:p>
        </w:tc>
        <w:tc>
          <w:tcPr>
            <w:tcW w:w="567" w:type="dxa"/>
          </w:tcPr>
          <w:p w14:paraId="419FC7DC" w14:textId="77777777" w:rsidR="00623278" w:rsidRPr="009777C1" w:rsidRDefault="00623278" w:rsidP="008D6016">
            <w:pPr>
              <w:ind w:left="142"/>
              <w:jc w:val="right"/>
            </w:pPr>
            <w:r>
              <w:t>32</w:t>
            </w:r>
          </w:p>
        </w:tc>
      </w:tr>
      <w:tr w:rsidR="00623278" w:rsidRPr="008D2641" w14:paraId="46C599A4" w14:textId="77777777" w:rsidTr="008D6016">
        <w:tc>
          <w:tcPr>
            <w:tcW w:w="1413" w:type="dxa"/>
          </w:tcPr>
          <w:p w14:paraId="3AE31127" w14:textId="77777777" w:rsidR="00623278" w:rsidRPr="009777C1" w:rsidRDefault="00623278" w:rsidP="008D6016">
            <w:r>
              <w:t xml:space="preserve">Voix </w:t>
            </w:r>
            <w:proofErr w:type="gramStart"/>
            <w:r>
              <w:t>contre:</w:t>
            </w:r>
            <w:proofErr w:type="gramEnd"/>
          </w:p>
        </w:tc>
        <w:tc>
          <w:tcPr>
            <w:tcW w:w="567" w:type="dxa"/>
          </w:tcPr>
          <w:p w14:paraId="3415E381" w14:textId="77777777" w:rsidR="00623278" w:rsidRPr="009777C1" w:rsidRDefault="00623278" w:rsidP="008D6016">
            <w:pPr>
              <w:ind w:left="142"/>
              <w:jc w:val="right"/>
            </w:pPr>
            <w:r>
              <w:t>61</w:t>
            </w:r>
          </w:p>
        </w:tc>
      </w:tr>
      <w:tr w:rsidR="00623278" w:rsidRPr="008D2641" w14:paraId="11DBA779" w14:textId="77777777" w:rsidTr="008D6016">
        <w:tc>
          <w:tcPr>
            <w:tcW w:w="1413" w:type="dxa"/>
          </w:tcPr>
          <w:p w14:paraId="25A3F0E3" w14:textId="77777777" w:rsidR="00623278" w:rsidRPr="009777C1" w:rsidRDefault="00623278" w:rsidP="008D6016">
            <w:proofErr w:type="gramStart"/>
            <w:r>
              <w:t>Abstentions:</w:t>
            </w:r>
            <w:proofErr w:type="gramEnd"/>
          </w:p>
        </w:tc>
        <w:tc>
          <w:tcPr>
            <w:tcW w:w="567" w:type="dxa"/>
          </w:tcPr>
          <w:p w14:paraId="1D5CF2CF" w14:textId="77777777" w:rsidR="00623278" w:rsidRPr="009777C1" w:rsidRDefault="00623278" w:rsidP="008D6016">
            <w:pPr>
              <w:ind w:left="142"/>
              <w:jc w:val="right"/>
            </w:pPr>
            <w:r>
              <w:t>2</w:t>
            </w:r>
          </w:p>
        </w:tc>
      </w:tr>
    </w:tbl>
    <w:p w14:paraId="69409113" w14:textId="77777777" w:rsidR="003F4823" w:rsidRPr="00873637" w:rsidRDefault="003F4823" w:rsidP="003F4823">
      <w:pPr>
        <w:jc w:val="center"/>
      </w:pPr>
    </w:p>
    <w:p w14:paraId="6AC5C3E9" w14:textId="316517E2" w:rsidR="00245457" w:rsidRPr="003C1EF6" w:rsidRDefault="00245457" w:rsidP="003C1EF6">
      <w:pPr>
        <w:tabs>
          <w:tab w:val="left" w:pos="905"/>
        </w:tabs>
        <w:sectPr w:rsidR="00245457" w:rsidRPr="003C1EF6" w:rsidSect="002D011E">
          <w:headerReference w:type="even" r:id="rId59"/>
          <w:headerReference w:type="default" r:id="rId60"/>
          <w:footerReference w:type="even" r:id="rId61"/>
          <w:footerReference w:type="default" r:id="rId62"/>
          <w:headerReference w:type="first" r:id="rId63"/>
          <w:footerReference w:type="first" r:id="rId64"/>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003F4823" w:rsidRPr="00873637" w14:paraId="446C0985" w14:textId="77777777" w:rsidTr="008505E2">
        <w:tc>
          <w:tcPr>
            <w:tcW w:w="2826" w:type="pct"/>
          </w:tcPr>
          <w:p w14:paraId="3FF9A48D" w14:textId="77777777" w:rsidR="003F4823" w:rsidRPr="00873637" w:rsidRDefault="003F4823" w:rsidP="008505E2">
            <w:pPr>
              <w:rPr>
                <w:b/>
                <w:bCs/>
                <w:sz w:val="32"/>
                <w:szCs w:val="32"/>
              </w:rPr>
            </w:pPr>
            <w:r>
              <w:rPr>
                <w:b/>
                <w:sz w:val="32"/>
              </w:rPr>
              <w:lastRenderedPageBreak/>
              <w:t>AMENDEMENT 3</w:t>
            </w:r>
          </w:p>
          <w:p w14:paraId="672A8611" w14:textId="77777777" w:rsidR="003F4823" w:rsidRPr="00873637" w:rsidRDefault="003F4823" w:rsidP="008505E2">
            <w:pPr>
              <w:rPr>
                <w:b/>
                <w:bCs/>
              </w:rPr>
            </w:pPr>
          </w:p>
          <w:p w14:paraId="65663A00" w14:textId="77777777" w:rsidR="003F4823" w:rsidRPr="00873637" w:rsidRDefault="003F4823" w:rsidP="008505E2">
            <w:pPr>
              <w:rPr>
                <w:b/>
                <w:bCs/>
              </w:rPr>
            </w:pPr>
            <w:r>
              <w:rPr>
                <w:b/>
              </w:rPr>
              <w:t>SOC/845</w:t>
            </w:r>
          </w:p>
          <w:p w14:paraId="1DCC0D8F" w14:textId="77777777" w:rsidR="003F4823" w:rsidRPr="00873637" w:rsidRDefault="003F4823" w:rsidP="008505E2">
            <w:pPr>
              <w:rPr>
                <w:b/>
                <w:bCs/>
              </w:rPr>
            </w:pPr>
            <w:r>
              <w:rPr>
                <w:b/>
              </w:rPr>
              <w:t>Établissement du Fonds social européen dans le cadre du plan de partenariat national et régional</w:t>
            </w:r>
          </w:p>
          <w:p w14:paraId="3830EE95" w14:textId="77777777" w:rsidR="003F4823" w:rsidRPr="00873637" w:rsidRDefault="003F4823" w:rsidP="008505E2">
            <w:pPr>
              <w:rPr>
                <w:b/>
                <w:bCs/>
              </w:rPr>
            </w:pPr>
          </w:p>
          <w:p w14:paraId="483D967B" w14:textId="77777777" w:rsidR="003F4823" w:rsidRPr="00873637" w:rsidRDefault="003F4823" w:rsidP="008505E2">
            <w:pPr>
              <w:rPr>
                <w:b/>
                <w:bCs/>
              </w:rPr>
            </w:pPr>
            <w:r>
              <w:rPr>
                <w:b/>
              </w:rPr>
              <w:t>Paragraphe 1.13</w:t>
            </w:r>
          </w:p>
          <w:p w14:paraId="7DC2CA0A" w14:textId="77777777" w:rsidR="003F4823" w:rsidRPr="00873637" w:rsidRDefault="003F4823" w:rsidP="008505E2">
            <w:pPr>
              <w:rPr>
                <w:b/>
                <w:bCs/>
              </w:rPr>
            </w:pPr>
          </w:p>
          <w:p w14:paraId="34CDEE46" w14:textId="77777777" w:rsidR="003F4823" w:rsidRPr="00873637" w:rsidRDefault="003F4823" w:rsidP="008505E2">
            <w:pPr>
              <w:rPr>
                <w:b/>
                <w:bCs/>
              </w:rPr>
            </w:pPr>
            <w:r>
              <w:rPr>
                <w:b/>
              </w:rPr>
              <w:t xml:space="preserve">Modifier comme </w:t>
            </w:r>
            <w:proofErr w:type="gramStart"/>
            <w:r>
              <w:rPr>
                <w:b/>
              </w:rPr>
              <w:t>suit:</w:t>
            </w:r>
            <w:proofErr w:type="gramEnd"/>
          </w:p>
        </w:tc>
        <w:tc>
          <w:tcPr>
            <w:tcW w:w="2174" w:type="pct"/>
            <w:hideMark/>
          </w:tcPr>
          <w:p w14:paraId="5B3ACB05" w14:textId="77777777" w:rsidR="003F4823" w:rsidRPr="00873637" w:rsidRDefault="003F4823" w:rsidP="008505E2">
            <w:pPr>
              <w:jc w:val="left"/>
              <w:rPr>
                <w:b/>
                <w:bCs/>
              </w:rPr>
            </w:pPr>
            <w:r>
              <w:rPr>
                <w:b/>
              </w:rPr>
              <w:t xml:space="preserve">Proposé </w:t>
            </w:r>
            <w:proofErr w:type="gramStart"/>
            <w:r>
              <w:rPr>
                <w:b/>
              </w:rPr>
              <w:t>par:</w:t>
            </w:r>
            <w:proofErr w:type="gramEnd"/>
          </w:p>
          <w:p w14:paraId="798B659D" w14:textId="77777777" w:rsidR="003F4823" w:rsidRPr="00873637" w:rsidRDefault="003F4823" w:rsidP="008505E2">
            <w:pPr>
              <w:jc w:val="left"/>
            </w:pPr>
            <w:r>
              <w:t>BONI Michal</w:t>
            </w:r>
          </w:p>
          <w:p w14:paraId="73C64054" w14:textId="77777777" w:rsidR="003F4823" w:rsidRPr="00873637" w:rsidRDefault="003F4823" w:rsidP="008505E2">
            <w:pPr>
              <w:jc w:val="left"/>
            </w:pPr>
            <w:r>
              <w:t xml:space="preserve">DABU </w:t>
            </w:r>
            <w:proofErr w:type="spellStart"/>
            <w:r>
              <w:t>Adelina</w:t>
            </w:r>
            <w:proofErr w:type="spellEnd"/>
            <w:r>
              <w:t xml:space="preserve"> </w:t>
            </w:r>
          </w:p>
          <w:p w14:paraId="179EBFF1" w14:textId="77777777" w:rsidR="003F4823" w:rsidRPr="00873637" w:rsidRDefault="003F4823" w:rsidP="008505E2">
            <w:pPr>
              <w:jc w:val="left"/>
            </w:pPr>
            <w:r>
              <w:t>MINCHEVA Mariya</w:t>
            </w:r>
          </w:p>
          <w:p w14:paraId="403649E8" w14:textId="77777777" w:rsidR="003F4823" w:rsidRPr="00873637" w:rsidRDefault="003F4823" w:rsidP="008505E2">
            <w:pPr>
              <w:jc w:val="left"/>
            </w:pPr>
            <w:r>
              <w:t>POTTIER Jean-Michel</w:t>
            </w:r>
          </w:p>
          <w:p w14:paraId="7DBE1C73" w14:textId="77777777" w:rsidR="003F4823" w:rsidRPr="00873637" w:rsidRDefault="003F4823" w:rsidP="008505E2">
            <w:pPr>
              <w:jc w:val="left"/>
            </w:pPr>
            <w:r>
              <w:t>SCHWENG Christa</w:t>
            </w:r>
          </w:p>
          <w:p w14:paraId="01565973" w14:textId="77777777" w:rsidR="003F4823" w:rsidRPr="00873637" w:rsidRDefault="003F4823" w:rsidP="008505E2">
            <w:pPr>
              <w:jc w:val="left"/>
            </w:pPr>
            <w:r>
              <w:t xml:space="preserve">SÕBER </w:t>
            </w:r>
            <w:proofErr w:type="spellStart"/>
            <w:r>
              <w:t>Kristi</w:t>
            </w:r>
            <w:proofErr w:type="spellEnd"/>
          </w:p>
          <w:p w14:paraId="68B23304" w14:textId="77777777" w:rsidR="003F4823" w:rsidRPr="00873637" w:rsidRDefault="003F4823" w:rsidP="008505E2">
            <w:pPr>
              <w:jc w:val="left"/>
            </w:pPr>
            <w:r>
              <w:t>YGLESIAS Isabel</w:t>
            </w:r>
          </w:p>
          <w:p w14:paraId="175C2109" w14:textId="77777777" w:rsidR="003F4823" w:rsidRPr="00873637" w:rsidRDefault="003F4823" w:rsidP="008505E2"/>
        </w:tc>
      </w:tr>
    </w:tbl>
    <w:p w14:paraId="7FB61671" w14:textId="77777777" w:rsidR="003F4823" w:rsidRPr="00873637" w:rsidRDefault="003F4823" w:rsidP="003F4823">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003F4823" w:rsidRPr="00873637" w14:paraId="5FF75644"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0787F92C" w14:textId="77777777" w:rsidR="003F4823" w:rsidRPr="00873637" w:rsidRDefault="003F4823" w:rsidP="008505E2">
            <w:pPr>
              <w:jc w:val="center"/>
              <w:rPr>
                <w:b/>
                <w:bCs/>
                <w:i/>
                <w:sz w:val="22"/>
                <w:szCs w:val="22"/>
              </w:rPr>
            </w:pPr>
            <w:r>
              <w:rPr>
                <w:b/>
                <w:i/>
                <w:sz w:val="22"/>
              </w:rPr>
              <w:t>Projet d’avis</w:t>
            </w:r>
          </w:p>
        </w:tc>
        <w:tc>
          <w:tcPr>
            <w:tcW w:w="2500" w:type="pct"/>
            <w:tcBorders>
              <w:top w:val="single" w:sz="4" w:space="0" w:color="auto"/>
              <w:left w:val="single" w:sz="4" w:space="0" w:color="auto"/>
              <w:bottom w:val="single" w:sz="4" w:space="0" w:color="auto"/>
              <w:right w:val="single" w:sz="4" w:space="0" w:color="auto"/>
            </w:tcBorders>
            <w:hideMark/>
          </w:tcPr>
          <w:p w14:paraId="066EB3E0" w14:textId="77777777" w:rsidR="003F4823" w:rsidRPr="00873637" w:rsidRDefault="003F4823" w:rsidP="008505E2">
            <w:pPr>
              <w:jc w:val="center"/>
              <w:rPr>
                <w:b/>
                <w:bCs/>
                <w:i/>
                <w:sz w:val="22"/>
                <w:szCs w:val="22"/>
              </w:rPr>
            </w:pPr>
            <w:r>
              <w:rPr>
                <w:b/>
                <w:i/>
                <w:sz w:val="22"/>
              </w:rPr>
              <w:t>Amendement</w:t>
            </w:r>
          </w:p>
        </w:tc>
      </w:tr>
      <w:tr w:rsidR="003F4823" w:rsidRPr="00873637" w14:paraId="7061930A"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2EB549E4" w14:textId="77777777" w:rsidR="003F4823" w:rsidRPr="00873637" w:rsidRDefault="003F4823" w:rsidP="008505E2">
            <w:pPr>
              <w:spacing w:before="80" w:after="80"/>
              <w:ind w:left="80" w:right="80"/>
              <w:rPr>
                <w:sz w:val="22"/>
                <w:szCs w:val="22"/>
              </w:rPr>
            </w:pPr>
            <w:r>
              <w:rPr>
                <w:sz w:val="22"/>
              </w:rPr>
              <w:t>recommande d’accroître les investissements dans des systèmes d’éducation et de formation inclusifs et de qualité, en particulier pour les femmes, les jeunes et les personnes vulnérables, afin que lesdits systèmes remédient aux problèmes du décalage entre l’offre et la demande de compétences, du sous-emploi et de l’inactivité, tout en garantissant une formation de qualité et une montée en compétences pour les formateurs en tant que facteur essentiel d’amélioration de la productivité et de la compétitivité;</w:t>
            </w:r>
          </w:p>
        </w:tc>
        <w:tc>
          <w:tcPr>
            <w:tcW w:w="2500" w:type="pct"/>
            <w:tcBorders>
              <w:top w:val="single" w:sz="4" w:space="0" w:color="auto"/>
              <w:left w:val="single" w:sz="4" w:space="0" w:color="auto"/>
              <w:bottom w:val="single" w:sz="4" w:space="0" w:color="auto"/>
              <w:right w:val="single" w:sz="4" w:space="0" w:color="auto"/>
            </w:tcBorders>
            <w:hideMark/>
          </w:tcPr>
          <w:p w14:paraId="7BE08BD6" w14:textId="77777777" w:rsidR="003F4823" w:rsidRPr="00873637" w:rsidRDefault="003F4823" w:rsidP="008505E2">
            <w:pPr>
              <w:spacing w:before="80" w:after="80"/>
              <w:ind w:left="80" w:right="80"/>
              <w:rPr>
                <w:sz w:val="22"/>
                <w:szCs w:val="22"/>
              </w:rPr>
            </w:pPr>
            <w:r>
              <w:rPr>
                <w:sz w:val="22"/>
              </w:rPr>
              <w:t>recommande d’accroître les investissements dans des systèmes d’éducation et de formation inclusifs et de qualité, en particulier pour les femmes, les jeunes et les personnes vulnérables, afin que lesdits systèmes remédient aux problèmes du décalage entre l’offre et la demande de compétences, du sous-emploi et de l’inactivité, tout en garantissant une formation de qualité et une montée en compétences pour les formateurs en tant que facteur essentiel d’amélioration de la productivité et de la compétitivité</w:t>
            </w:r>
            <w:r>
              <w:rPr>
                <w:b/>
                <w:bCs/>
                <w:i/>
                <w:iCs/>
                <w:sz w:val="22"/>
              </w:rPr>
              <w:t>.</w:t>
            </w:r>
            <w:r>
              <w:rPr>
                <w:b/>
                <w:i/>
                <w:sz w:val="22"/>
              </w:rPr>
              <w:t xml:space="preserve"> </w:t>
            </w:r>
            <w:r>
              <w:rPr>
                <w:b/>
                <w:bCs/>
                <w:i/>
                <w:iCs/>
                <w:sz w:val="22"/>
              </w:rPr>
              <w:t xml:space="preserve">À cette fin, 50 % des crédits du FSE devraient être consacrés au développement des </w:t>
            </w:r>
            <w:proofErr w:type="gramStart"/>
            <w:r>
              <w:rPr>
                <w:b/>
                <w:bCs/>
                <w:i/>
                <w:iCs/>
                <w:sz w:val="22"/>
              </w:rPr>
              <w:t>compétences</w:t>
            </w:r>
            <w:r>
              <w:rPr>
                <w:sz w:val="22"/>
              </w:rPr>
              <w:t>;</w:t>
            </w:r>
            <w:proofErr w:type="gramEnd"/>
          </w:p>
        </w:tc>
      </w:tr>
    </w:tbl>
    <w:p w14:paraId="53EA18B3" w14:textId="77777777" w:rsidR="003F4823" w:rsidRDefault="003F4823" w:rsidP="003F4823">
      <w:pPr>
        <w:pStyle w:val="ListParagraph"/>
        <w:ind w:left="142"/>
        <w:rPr>
          <w:b/>
          <w:bCs/>
          <w:lang w:val="en-GB"/>
        </w:rPr>
      </w:pPr>
    </w:p>
    <w:p w14:paraId="33BD268C" w14:textId="77777777" w:rsidR="007F2356" w:rsidRPr="009777C1" w:rsidRDefault="007F2356" w:rsidP="007F2356">
      <w:pPr>
        <w:pStyle w:val="ListParagraph"/>
        <w:ind w:left="142"/>
        <w:rPr>
          <w:b/>
          <w:bCs/>
        </w:rPr>
      </w:pPr>
      <w:r>
        <w:rPr>
          <w:b/>
        </w:rPr>
        <w:t xml:space="preserve">Résultat du </w:t>
      </w:r>
      <w:proofErr w:type="gramStart"/>
      <w:r>
        <w:rPr>
          <w:b/>
        </w:rPr>
        <w:t>vote: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78"/>
      </w:tblGrid>
      <w:tr w:rsidR="007F2356" w:rsidRPr="008D2641" w14:paraId="2FFC797F" w14:textId="77777777" w:rsidTr="00BC2298">
        <w:tc>
          <w:tcPr>
            <w:tcW w:w="1413" w:type="dxa"/>
          </w:tcPr>
          <w:p w14:paraId="7A7C852C" w14:textId="77777777" w:rsidR="007F2356" w:rsidRPr="009777C1" w:rsidRDefault="007F2356" w:rsidP="00BC2298">
            <w:pPr>
              <w:ind w:left="31"/>
            </w:pPr>
            <w:r>
              <w:t xml:space="preserve">Voix </w:t>
            </w:r>
            <w:proofErr w:type="gramStart"/>
            <w:r>
              <w:t>pour:</w:t>
            </w:r>
            <w:proofErr w:type="gramEnd"/>
          </w:p>
        </w:tc>
        <w:tc>
          <w:tcPr>
            <w:tcW w:w="567" w:type="dxa"/>
          </w:tcPr>
          <w:p w14:paraId="160DF1A8" w14:textId="77777777" w:rsidR="007F2356" w:rsidRPr="009777C1" w:rsidRDefault="007F2356" w:rsidP="00BC2298">
            <w:pPr>
              <w:ind w:left="142"/>
              <w:jc w:val="right"/>
            </w:pPr>
            <w:r>
              <w:t>36</w:t>
            </w:r>
          </w:p>
        </w:tc>
      </w:tr>
      <w:tr w:rsidR="007F2356" w:rsidRPr="008D2641" w14:paraId="65810F94" w14:textId="77777777" w:rsidTr="00BC2298">
        <w:tc>
          <w:tcPr>
            <w:tcW w:w="1413" w:type="dxa"/>
          </w:tcPr>
          <w:p w14:paraId="03CDD136" w14:textId="77777777" w:rsidR="007F2356" w:rsidRPr="009777C1" w:rsidRDefault="007F2356" w:rsidP="00BC2298">
            <w:r>
              <w:t xml:space="preserve">Voix </w:t>
            </w:r>
            <w:proofErr w:type="gramStart"/>
            <w:r>
              <w:t>contre:</w:t>
            </w:r>
            <w:proofErr w:type="gramEnd"/>
          </w:p>
        </w:tc>
        <w:tc>
          <w:tcPr>
            <w:tcW w:w="567" w:type="dxa"/>
          </w:tcPr>
          <w:p w14:paraId="09DFB074" w14:textId="77777777" w:rsidR="007F2356" w:rsidRPr="009777C1" w:rsidRDefault="007F2356" w:rsidP="00BC2298">
            <w:pPr>
              <w:ind w:left="142"/>
              <w:jc w:val="right"/>
            </w:pPr>
            <w:r>
              <w:t>56</w:t>
            </w:r>
          </w:p>
        </w:tc>
      </w:tr>
      <w:tr w:rsidR="007F2356" w:rsidRPr="008D2641" w14:paraId="5DF572A7" w14:textId="77777777" w:rsidTr="00BC2298">
        <w:tc>
          <w:tcPr>
            <w:tcW w:w="1413" w:type="dxa"/>
          </w:tcPr>
          <w:p w14:paraId="233F9EDF" w14:textId="77777777" w:rsidR="007F2356" w:rsidRPr="009777C1" w:rsidRDefault="007F2356" w:rsidP="00BC2298">
            <w:proofErr w:type="gramStart"/>
            <w:r>
              <w:t>Abstentions:</w:t>
            </w:r>
            <w:proofErr w:type="gramEnd"/>
          </w:p>
        </w:tc>
        <w:tc>
          <w:tcPr>
            <w:tcW w:w="567" w:type="dxa"/>
          </w:tcPr>
          <w:p w14:paraId="5ABE9F63" w14:textId="77777777" w:rsidR="007F2356" w:rsidRPr="009777C1" w:rsidRDefault="007F2356" w:rsidP="00BC2298">
            <w:pPr>
              <w:ind w:left="142"/>
              <w:jc w:val="right"/>
            </w:pPr>
            <w:r>
              <w:t>4</w:t>
            </w:r>
          </w:p>
        </w:tc>
      </w:tr>
    </w:tbl>
    <w:p w14:paraId="5624EE7A" w14:textId="1B540BFE" w:rsidR="003F4823" w:rsidRPr="00873637" w:rsidRDefault="003F4823" w:rsidP="003F4823">
      <w:pPr>
        <w:rPr>
          <w:b/>
          <w:bCs/>
        </w:rPr>
        <w:sectPr w:rsidR="003F4823" w:rsidRPr="00873637" w:rsidSect="002D011E">
          <w:headerReference w:type="even" r:id="rId65"/>
          <w:headerReference w:type="default" r:id="rId66"/>
          <w:footerReference w:type="even" r:id="rId67"/>
          <w:footerReference w:type="default" r:id="rId68"/>
          <w:headerReference w:type="first" r:id="rId69"/>
          <w:footerReference w:type="first" r:id="rId70"/>
          <w:pgSz w:w="11907" w:h="16839" w:code="9"/>
          <w:pgMar w:top="1417" w:right="1417" w:bottom="1417" w:left="1417" w:header="709" w:footer="709" w:gutter="0"/>
          <w:cols w:space="720"/>
          <w:docGrid w:linePitch="299"/>
        </w:sectPr>
      </w:pPr>
    </w:p>
    <w:tbl>
      <w:tblPr>
        <w:tblW w:w="5001" w:type="pct"/>
        <w:tblBorders>
          <w:top w:val="nil"/>
          <w:left w:val="nil"/>
          <w:bottom w:val="nil"/>
          <w:right w:val="nil"/>
          <w:insideH w:val="nil"/>
          <w:insideV w:val="nil"/>
        </w:tblBorders>
        <w:tblLook w:val="01E0" w:firstRow="1" w:lastRow="1" w:firstColumn="1" w:lastColumn="1" w:noHBand="0" w:noVBand="0"/>
      </w:tblPr>
      <w:tblGrid>
        <w:gridCol w:w="5251"/>
        <w:gridCol w:w="4040"/>
      </w:tblGrid>
      <w:tr w:rsidR="003F4823" w:rsidRPr="00873637" w14:paraId="63E00334" w14:textId="77777777" w:rsidTr="008505E2">
        <w:tc>
          <w:tcPr>
            <w:tcW w:w="2826" w:type="pct"/>
          </w:tcPr>
          <w:p w14:paraId="61DDAC3D" w14:textId="77777777" w:rsidR="003F4823" w:rsidRPr="00873637" w:rsidRDefault="003F4823" w:rsidP="008505E2">
            <w:pPr>
              <w:rPr>
                <w:b/>
                <w:bCs/>
                <w:sz w:val="32"/>
                <w:szCs w:val="32"/>
              </w:rPr>
            </w:pPr>
            <w:r>
              <w:rPr>
                <w:b/>
                <w:sz w:val="32"/>
              </w:rPr>
              <w:lastRenderedPageBreak/>
              <w:t>AMENDEMENT 4</w:t>
            </w:r>
          </w:p>
          <w:p w14:paraId="10258BE9" w14:textId="77777777" w:rsidR="003F4823" w:rsidRPr="00873637" w:rsidRDefault="003F4823" w:rsidP="008505E2">
            <w:pPr>
              <w:rPr>
                <w:b/>
                <w:bCs/>
              </w:rPr>
            </w:pPr>
          </w:p>
          <w:p w14:paraId="0B7524C4" w14:textId="77777777" w:rsidR="003F4823" w:rsidRPr="00873637" w:rsidRDefault="003F4823" w:rsidP="008505E2">
            <w:pPr>
              <w:rPr>
                <w:b/>
                <w:bCs/>
              </w:rPr>
            </w:pPr>
            <w:r>
              <w:rPr>
                <w:b/>
              </w:rPr>
              <w:t>SOC/845</w:t>
            </w:r>
          </w:p>
          <w:p w14:paraId="281032BE" w14:textId="77777777" w:rsidR="003F4823" w:rsidRPr="00873637" w:rsidRDefault="003F4823" w:rsidP="008505E2">
            <w:pPr>
              <w:rPr>
                <w:b/>
                <w:bCs/>
              </w:rPr>
            </w:pPr>
            <w:r>
              <w:rPr>
                <w:b/>
              </w:rPr>
              <w:t>Établissement du Fonds social européen dans le cadre du plan de partenariat national et régional</w:t>
            </w:r>
          </w:p>
          <w:p w14:paraId="10777E11" w14:textId="77777777" w:rsidR="003F4823" w:rsidRPr="00873637" w:rsidRDefault="003F4823" w:rsidP="008505E2">
            <w:pPr>
              <w:rPr>
                <w:b/>
                <w:bCs/>
              </w:rPr>
            </w:pPr>
          </w:p>
          <w:p w14:paraId="532BF9E3" w14:textId="77777777" w:rsidR="003F4823" w:rsidRPr="00873637" w:rsidRDefault="003F4823" w:rsidP="008505E2">
            <w:pPr>
              <w:rPr>
                <w:b/>
                <w:bCs/>
              </w:rPr>
            </w:pPr>
            <w:r>
              <w:rPr>
                <w:b/>
              </w:rPr>
              <w:t>Paragraphe 1.14</w:t>
            </w:r>
          </w:p>
          <w:p w14:paraId="591E5DA5" w14:textId="77777777" w:rsidR="003F4823" w:rsidRPr="00873637" w:rsidRDefault="003F4823" w:rsidP="008505E2">
            <w:pPr>
              <w:rPr>
                <w:b/>
                <w:bCs/>
              </w:rPr>
            </w:pPr>
          </w:p>
          <w:p w14:paraId="7CFB5728" w14:textId="77777777" w:rsidR="003F4823" w:rsidRPr="00873637" w:rsidRDefault="003F4823" w:rsidP="008505E2">
            <w:pPr>
              <w:rPr>
                <w:b/>
                <w:bCs/>
              </w:rPr>
            </w:pPr>
            <w:r>
              <w:rPr>
                <w:b/>
              </w:rPr>
              <w:t xml:space="preserve">Modifier comme </w:t>
            </w:r>
            <w:proofErr w:type="gramStart"/>
            <w:r>
              <w:rPr>
                <w:b/>
              </w:rPr>
              <w:t>suit:</w:t>
            </w:r>
            <w:proofErr w:type="gramEnd"/>
          </w:p>
        </w:tc>
        <w:tc>
          <w:tcPr>
            <w:tcW w:w="2174" w:type="pct"/>
            <w:hideMark/>
          </w:tcPr>
          <w:p w14:paraId="514BA007" w14:textId="77777777" w:rsidR="003F4823" w:rsidRPr="00873637" w:rsidRDefault="003F4823" w:rsidP="008505E2">
            <w:pPr>
              <w:jc w:val="left"/>
              <w:rPr>
                <w:b/>
                <w:bCs/>
              </w:rPr>
            </w:pPr>
            <w:r>
              <w:rPr>
                <w:b/>
              </w:rPr>
              <w:t xml:space="preserve">Proposé </w:t>
            </w:r>
            <w:proofErr w:type="gramStart"/>
            <w:r>
              <w:rPr>
                <w:b/>
              </w:rPr>
              <w:t>par:</w:t>
            </w:r>
            <w:proofErr w:type="gramEnd"/>
          </w:p>
          <w:p w14:paraId="5D47082E" w14:textId="77777777" w:rsidR="003F4823" w:rsidRPr="00873637" w:rsidRDefault="003F4823" w:rsidP="008505E2">
            <w:pPr>
              <w:jc w:val="left"/>
            </w:pPr>
            <w:r>
              <w:t>BONI Michal</w:t>
            </w:r>
          </w:p>
          <w:p w14:paraId="0911AC2C" w14:textId="77777777" w:rsidR="003F4823" w:rsidRPr="00873637" w:rsidRDefault="003F4823" w:rsidP="008505E2">
            <w:pPr>
              <w:jc w:val="left"/>
            </w:pPr>
            <w:r>
              <w:t xml:space="preserve">DABU </w:t>
            </w:r>
            <w:proofErr w:type="spellStart"/>
            <w:r>
              <w:t>Adelina</w:t>
            </w:r>
            <w:proofErr w:type="spellEnd"/>
            <w:r>
              <w:t xml:space="preserve"> </w:t>
            </w:r>
          </w:p>
          <w:p w14:paraId="0606D733" w14:textId="77777777" w:rsidR="003F4823" w:rsidRPr="00873637" w:rsidRDefault="003F4823" w:rsidP="008505E2">
            <w:pPr>
              <w:jc w:val="left"/>
            </w:pPr>
            <w:r>
              <w:t>MINCHEVA Mariya</w:t>
            </w:r>
          </w:p>
          <w:p w14:paraId="4F7A7061" w14:textId="77777777" w:rsidR="003F4823" w:rsidRPr="00873637" w:rsidRDefault="003F4823" w:rsidP="008505E2">
            <w:pPr>
              <w:jc w:val="left"/>
            </w:pPr>
            <w:r>
              <w:t>POTTIER Jean-Michel</w:t>
            </w:r>
          </w:p>
          <w:p w14:paraId="27362390" w14:textId="77777777" w:rsidR="003F4823" w:rsidRPr="00873637" w:rsidRDefault="003F4823" w:rsidP="008505E2">
            <w:pPr>
              <w:jc w:val="left"/>
            </w:pPr>
            <w:r>
              <w:t>SCHWENG Christa</w:t>
            </w:r>
          </w:p>
          <w:p w14:paraId="62FF1B7C" w14:textId="77777777" w:rsidR="003F4823" w:rsidRPr="00873637" w:rsidRDefault="003F4823" w:rsidP="008505E2">
            <w:pPr>
              <w:jc w:val="left"/>
            </w:pPr>
            <w:r>
              <w:t xml:space="preserve">SÕBER </w:t>
            </w:r>
            <w:proofErr w:type="spellStart"/>
            <w:r>
              <w:t>Kristi</w:t>
            </w:r>
            <w:proofErr w:type="spellEnd"/>
          </w:p>
          <w:p w14:paraId="6FCE4B85" w14:textId="77777777" w:rsidR="003F4823" w:rsidRPr="00873637" w:rsidRDefault="003F4823" w:rsidP="008505E2">
            <w:pPr>
              <w:jc w:val="left"/>
            </w:pPr>
            <w:r>
              <w:t>YGLESIAS Isabel</w:t>
            </w:r>
          </w:p>
          <w:p w14:paraId="58342799" w14:textId="77777777" w:rsidR="003F4823" w:rsidRPr="00873637" w:rsidRDefault="003F4823" w:rsidP="008505E2"/>
        </w:tc>
      </w:tr>
    </w:tbl>
    <w:p w14:paraId="23E7CDF0" w14:textId="77777777" w:rsidR="003F4823" w:rsidRPr="00873637" w:rsidRDefault="003F4823" w:rsidP="003F4823">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651"/>
        <w:gridCol w:w="4652"/>
      </w:tblGrid>
      <w:tr w:rsidR="003F4823" w:rsidRPr="00873637" w14:paraId="34EF1F87"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0ED4472F" w14:textId="77777777" w:rsidR="003F4823" w:rsidRPr="00873637" w:rsidRDefault="003F4823" w:rsidP="008505E2">
            <w:pPr>
              <w:jc w:val="center"/>
              <w:rPr>
                <w:b/>
                <w:bCs/>
                <w:i/>
                <w:sz w:val="22"/>
                <w:szCs w:val="22"/>
              </w:rPr>
            </w:pPr>
            <w:r>
              <w:rPr>
                <w:b/>
                <w:i/>
                <w:sz w:val="22"/>
              </w:rPr>
              <w:t>Projet d’avis</w:t>
            </w:r>
          </w:p>
        </w:tc>
        <w:tc>
          <w:tcPr>
            <w:tcW w:w="2500" w:type="pct"/>
            <w:tcBorders>
              <w:top w:val="single" w:sz="4" w:space="0" w:color="auto"/>
              <w:left w:val="single" w:sz="4" w:space="0" w:color="auto"/>
              <w:bottom w:val="single" w:sz="4" w:space="0" w:color="auto"/>
              <w:right w:val="single" w:sz="4" w:space="0" w:color="auto"/>
            </w:tcBorders>
            <w:hideMark/>
          </w:tcPr>
          <w:p w14:paraId="00BB8522" w14:textId="77777777" w:rsidR="003F4823" w:rsidRPr="00873637" w:rsidRDefault="003F4823" w:rsidP="008505E2">
            <w:pPr>
              <w:jc w:val="center"/>
              <w:rPr>
                <w:b/>
                <w:bCs/>
                <w:i/>
                <w:sz w:val="22"/>
                <w:szCs w:val="22"/>
              </w:rPr>
            </w:pPr>
            <w:r>
              <w:rPr>
                <w:b/>
                <w:i/>
                <w:sz w:val="22"/>
              </w:rPr>
              <w:t>Amendement</w:t>
            </w:r>
          </w:p>
        </w:tc>
      </w:tr>
      <w:tr w:rsidR="003F4823" w:rsidRPr="00873637" w14:paraId="588EEF3A" w14:textId="77777777" w:rsidTr="008505E2">
        <w:tc>
          <w:tcPr>
            <w:tcW w:w="2500" w:type="pct"/>
            <w:tcBorders>
              <w:top w:val="single" w:sz="4" w:space="0" w:color="auto"/>
              <w:left w:val="single" w:sz="4" w:space="0" w:color="auto"/>
              <w:bottom w:val="single" w:sz="4" w:space="0" w:color="auto"/>
              <w:right w:val="single" w:sz="4" w:space="0" w:color="auto"/>
            </w:tcBorders>
            <w:hideMark/>
          </w:tcPr>
          <w:p w14:paraId="54993E08" w14:textId="77777777" w:rsidR="003F4823" w:rsidRPr="00873637" w:rsidRDefault="003F4823" w:rsidP="008505E2">
            <w:pPr>
              <w:spacing w:before="80" w:after="80"/>
              <w:ind w:left="80" w:right="80"/>
              <w:rPr>
                <w:sz w:val="22"/>
                <w:szCs w:val="22"/>
              </w:rPr>
            </w:pPr>
            <w:proofErr w:type="gramStart"/>
            <w:r>
              <w:rPr>
                <w:sz w:val="22"/>
              </w:rPr>
              <w:t>demande</w:t>
            </w:r>
            <w:proofErr w:type="gramEnd"/>
            <w:r>
              <w:rPr>
                <w:sz w:val="22"/>
              </w:rPr>
              <w:t xml:space="preserve"> une allocation adéquate des ressources du FSE en vue de mettre en œuvre des actions de soutien au développement des compétences, y compris dans le cadre de partenariats public-privé, afin de remédier aux pénuries de main-d’œuvre et de compétences. Des incitations financières ciblées sont nécessaires pour offrir une formation au moyen de l’apprentissage pour les adultes, d’ateliers et d’un renforcement des capacités, assurer la transition entre l’école et le monde du travail ou fournir des chèques et des crédits de </w:t>
            </w:r>
            <w:proofErr w:type="gramStart"/>
            <w:r>
              <w:rPr>
                <w:sz w:val="22"/>
              </w:rPr>
              <w:t>formation;</w:t>
            </w:r>
            <w:proofErr w:type="gramEnd"/>
          </w:p>
        </w:tc>
        <w:tc>
          <w:tcPr>
            <w:tcW w:w="2500" w:type="pct"/>
            <w:tcBorders>
              <w:top w:val="single" w:sz="4" w:space="0" w:color="auto"/>
              <w:left w:val="single" w:sz="4" w:space="0" w:color="auto"/>
              <w:bottom w:val="single" w:sz="4" w:space="0" w:color="auto"/>
              <w:right w:val="single" w:sz="4" w:space="0" w:color="auto"/>
            </w:tcBorders>
            <w:hideMark/>
          </w:tcPr>
          <w:p w14:paraId="15EDA2E5" w14:textId="77777777" w:rsidR="003F4823" w:rsidRPr="00873637" w:rsidRDefault="003F4823" w:rsidP="008505E2">
            <w:pPr>
              <w:spacing w:before="80" w:after="80"/>
              <w:ind w:left="80" w:right="80"/>
              <w:rPr>
                <w:sz w:val="22"/>
                <w:szCs w:val="22"/>
              </w:rPr>
            </w:pPr>
            <w:proofErr w:type="gramStart"/>
            <w:r>
              <w:rPr>
                <w:sz w:val="22"/>
              </w:rPr>
              <w:t>demande</w:t>
            </w:r>
            <w:proofErr w:type="gramEnd"/>
            <w:r>
              <w:rPr>
                <w:sz w:val="22"/>
              </w:rPr>
              <w:t xml:space="preserve"> une allocation adéquate des ressources du FSE en vue de mettre en œuvre des actions de soutien au développement des compétences, y compris dans le cadre de partenariats public-privé, afin de remédier aux pénuries de main-d’œuvre et de compétences. Des incitations financières ciblées sont nécessaires pour offrir une formation au moyen de l’apprentissage pour les adultes, d’ateliers et d’un renforcement des capacités, assurer la transition entre l’école et le monde du travail ou fournir des chèques et des crédits de formation</w:t>
            </w:r>
            <w:r>
              <w:rPr>
                <w:b/>
                <w:bCs/>
                <w:i/>
                <w:iCs/>
                <w:sz w:val="22"/>
              </w:rPr>
              <w:t>.</w:t>
            </w:r>
            <w:r>
              <w:rPr>
                <w:b/>
                <w:i/>
                <w:sz w:val="22"/>
              </w:rPr>
              <w:t xml:space="preserve"> </w:t>
            </w:r>
            <w:r>
              <w:rPr>
                <w:b/>
                <w:bCs/>
                <w:i/>
                <w:iCs/>
                <w:sz w:val="22"/>
              </w:rPr>
              <w:t xml:space="preserve">À cette fin, une part correspondant à 15 % au moins de l’objectif chiffré visé au paragraphe précédent devrait être allouée à des incitations pour les </w:t>
            </w:r>
            <w:proofErr w:type="gramStart"/>
            <w:r>
              <w:rPr>
                <w:b/>
                <w:bCs/>
                <w:i/>
                <w:iCs/>
                <w:sz w:val="22"/>
              </w:rPr>
              <w:t>employeurs</w:t>
            </w:r>
            <w:r>
              <w:rPr>
                <w:sz w:val="22"/>
              </w:rPr>
              <w:t>;</w:t>
            </w:r>
            <w:proofErr w:type="gramEnd"/>
          </w:p>
        </w:tc>
      </w:tr>
    </w:tbl>
    <w:p w14:paraId="56B73B16" w14:textId="77777777" w:rsidR="003F4823" w:rsidRDefault="003F4823" w:rsidP="00CF57DC">
      <w:pPr>
        <w:pStyle w:val="ListParagraph"/>
        <w:ind w:left="142"/>
        <w:rPr>
          <w:b/>
          <w:bCs/>
          <w:lang w:val="en-GB"/>
        </w:rPr>
      </w:pPr>
    </w:p>
    <w:p w14:paraId="6DDF38F1" w14:textId="77777777" w:rsidR="007F2356" w:rsidRPr="007F2356" w:rsidRDefault="007F2356" w:rsidP="007F2356">
      <w:pPr>
        <w:pStyle w:val="ListParagraph"/>
        <w:ind w:left="142"/>
        <w:rPr>
          <w:b/>
          <w:bCs/>
        </w:rPr>
      </w:pPr>
      <w:r>
        <w:rPr>
          <w:b/>
        </w:rPr>
        <w:t xml:space="preserve">Résultat du </w:t>
      </w:r>
      <w:proofErr w:type="gramStart"/>
      <w:r>
        <w:rPr>
          <w:b/>
        </w:rPr>
        <w:t>vote:</w:t>
      </w:r>
      <w:proofErr w:type="gramEnd"/>
    </w:p>
    <w:p w14:paraId="2798632C" w14:textId="77777777" w:rsidR="007F2356" w:rsidRPr="003C1EF6" w:rsidRDefault="007F2356" w:rsidP="007F2356">
      <w:pPr>
        <w:pStyle w:val="ListParagraph"/>
        <w:ind w:left="142"/>
      </w:pPr>
      <w:r>
        <w:t xml:space="preserve">Voix </w:t>
      </w:r>
      <w:proofErr w:type="gramStart"/>
      <w:r>
        <w:t>pour:</w:t>
      </w:r>
      <w:proofErr w:type="gramEnd"/>
      <w:r>
        <w:tab/>
        <w:t>36</w:t>
      </w:r>
    </w:p>
    <w:p w14:paraId="1C215EEF" w14:textId="77777777" w:rsidR="007F2356" w:rsidRPr="003C1EF6" w:rsidRDefault="007F2356" w:rsidP="007F2356">
      <w:pPr>
        <w:pStyle w:val="ListParagraph"/>
        <w:ind w:left="142"/>
      </w:pPr>
      <w:r>
        <w:t xml:space="preserve">Voix </w:t>
      </w:r>
      <w:proofErr w:type="gramStart"/>
      <w:r>
        <w:t>contre:</w:t>
      </w:r>
      <w:proofErr w:type="gramEnd"/>
      <w:r>
        <w:tab/>
        <w:t>56</w:t>
      </w:r>
    </w:p>
    <w:p w14:paraId="154CBE99" w14:textId="502352B5" w:rsidR="00CF57DC" w:rsidRDefault="007F2356" w:rsidP="007F2356">
      <w:pPr>
        <w:pStyle w:val="ListParagraph"/>
        <w:ind w:left="142"/>
        <w:rPr>
          <w:b/>
          <w:bCs/>
        </w:rPr>
      </w:pPr>
      <w:proofErr w:type="gramStart"/>
      <w:r>
        <w:t>Abstentions:</w:t>
      </w:r>
      <w:proofErr w:type="gramEnd"/>
      <w:r>
        <w:tab/>
        <w:t xml:space="preserve"> 4</w:t>
      </w:r>
    </w:p>
    <w:p w14:paraId="556D48CB" w14:textId="77777777" w:rsidR="004929F2" w:rsidRPr="003C1EF6" w:rsidRDefault="004929F2" w:rsidP="003C1EF6">
      <w:pPr>
        <w:pStyle w:val="ListParagraph"/>
        <w:ind w:left="142"/>
      </w:pPr>
    </w:p>
    <w:p w14:paraId="6912C6F7" w14:textId="1067E533" w:rsidR="00331D14" w:rsidRPr="00115A4A" w:rsidRDefault="00331D14" w:rsidP="00EE20D9">
      <w:pPr>
        <w:jc w:val="center"/>
      </w:pPr>
      <w:r>
        <w:t>_____________</w:t>
      </w:r>
    </w:p>
    <w:p w14:paraId="2F10FD7D" w14:textId="77777777" w:rsidR="00331D14" w:rsidRPr="00115A4A" w:rsidRDefault="00331D14" w:rsidP="00EE20D9">
      <w:pPr>
        <w:rPr>
          <w:lang w:val="it-IT"/>
        </w:rPr>
      </w:pPr>
    </w:p>
    <w:sectPr w:rsidR="00331D14" w:rsidRPr="00115A4A" w:rsidSect="002D011E">
      <w:headerReference w:type="even" r:id="rId71"/>
      <w:headerReference w:type="default" r:id="rId72"/>
      <w:footerReference w:type="even" r:id="rId73"/>
      <w:footerReference w:type="default" r:id="rId74"/>
      <w:headerReference w:type="first" r:id="rId75"/>
      <w:footerReference w:type="first" r:id="rId7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4E9A" w14:textId="77777777" w:rsidR="0083650A" w:rsidRDefault="0083650A">
      <w:r>
        <w:separator/>
      </w:r>
    </w:p>
  </w:endnote>
  <w:endnote w:type="continuationSeparator" w:id="0">
    <w:p w14:paraId="0AAA8D12" w14:textId="77777777" w:rsidR="0083650A" w:rsidRDefault="0083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8B1D" w14:textId="77777777" w:rsidR="002D011E" w:rsidRPr="002D011E" w:rsidRDefault="002D011E" w:rsidP="002D01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A880" w14:textId="77777777" w:rsidR="002D011E" w:rsidRPr="002D011E" w:rsidRDefault="002D011E" w:rsidP="002D01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07DE" w14:textId="71161A54" w:rsidR="002D011E"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t>15</w:t>
    </w:r>
    <w:r>
      <w:fldChar w:fldCharType="end"/>
    </w:r>
    <w:r>
      <w:t>/</w:t>
    </w:r>
    <w:fldSimple w:instr=" NUMPAGES ">
      <w:r>
        <w:t>20</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C671" w14:textId="77777777" w:rsidR="002D011E" w:rsidRPr="002D011E" w:rsidRDefault="002D011E" w:rsidP="002D011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7597" w14:textId="77777777" w:rsidR="002D011E" w:rsidRPr="002D011E" w:rsidRDefault="002D011E" w:rsidP="002D011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DAD0" w14:textId="03327BD5" w:rsidR="002D011E"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t>16</w:t>
    </w:r>
    <w:r>
      <w:fldChar w:fldCharType="end"/>
    </w:r>
    <w:r>
      <w:t>/</w:t>
    </w:r>
    <w:fldSimple w:instr=" NUMPAGES ">
      <w:r>
        <w:t>20</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7BC9" w14:textId="77777777" w:rsidR="002D011E" w:rsidRPr="002D011E" w:rsidRDefault="002D011E" w:rsidP="002D011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6A" w14:textId="77777777" w:rsidR="002D011E" w:rsidRPr="002D011E" w:rsidRDefault="002D011E" w:rsidP="002D011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A059" w14:textId="0527F459" w:rsidR="002D011E"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t>17</w:t>
    </w:r>
    <w:r>
      <w:fldChar w:fldCharType="end"/>
    </w:r>
    <w:r>
      <w:t>/</w:t>
    </w:r>
    <w:fldSimple w:instr=" NUMPAGES ">
      <w:r>
        <w:t>20</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B335" w14:textId="77777777" w:rsidR="002D011E" w:rsidRPr="002D011E" w:rsidRDefault="002D011E" w:rsidP="002D011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F029" w14:textId="77777777" w:rsidR="002D011E" w:rsidRPr="002D011E" w:rsidRDefault="002D011E" w:rsidP="002D0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64F9" w14:textId="208B2964" w:rsidR="00E32DC6"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rsidR="00BC5178">
      <w:t>1</w:t>
    </w:r>
    <w:r>
      <w:fldChar w:fldCharType="end"/>
    </w:r>
    <w:r>
      <w:t>/</w:t>
    </w:r>
    <w:fldSimple w:instr=" NUMPAGES ">
      <w:r w:rsidR="00BC5178">
        <w:t>1</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D2AC" w14:textId="6F38D80B" w:rsidR="002D011E"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t>18</w:t>
    </w:r>
    <w:r>
      <w:fldChar w:fldCharType="end"/>
    </w:r>
    <w:r>
      <w:t>/</w:t>
    </w:r>
    <w:fldSimple w:instr=" NUMPAGES ">
      <w:r>
        <w:t>20</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6C49" w14:textId="77777777" w:rsidR="002D011E" w:rsidRPr="002D011E" w:rsidRDefault="002D011E" w:rsidP="002D011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F639" w14:textId="77777777" w:rsidR="002D011E" w:rsidRPr="002D011E" w:rsidRDefault="002D011E" w:rsidP="002D011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9DBD" w14:textId="25132512" w:rsidR="002D011E"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t>19</w:t>
    </w:r>
    <w:r>
      <w:fldChar w:fldCharType="end"/>
    </w:r>
    <w:r>
      <w:t>/</w:t>
    </w:r>
    <w:fldSimple w:instr=" NUMPAGES ">
      <w:r>
        <w:t>20</w:t>
      </w:r>
    </w:fldSimple>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0759" w14:textId="77777777" w:rsidR="002D011E" w:rsidRPr="002D011E" w:rsidRDefault="002D011E" w:rsidP="002D011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99EB" w14:textId="77777777" w:rsidR="004F1280" w:rsidRPr="002D011E" w:rsidRDefault="004F1280" w:rsidP="002D011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D8F8" w14:textId="40F7C990" w:rsidR="004F1280"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t>20</w:t>
    </w:r>
    <w:r>
      <w:fldChar w:fldCharType="end"/>
    </w:r>
    <w:r>
      <w:t>/</w:t>
    </w:r>
    <w:fldSimple w:instr=" NUMPAGES ">
      <w:r>
        <w:t>20</w:t>
      </w:r>
    </w:fldSimple>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1737" w14:textId="77777777" w:rsidR="004F1280" w:rsidRPr="002D011E" w:rsidRDefault="004F1280" w:rsidP="002D0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A980" w14:textId="77777777" w:rsidR="002D011E" w:rsidRPr="002D011E" w:rsidRDefault="002D011E" w:rsidP="002D01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EC41" w14:textId="77777777" w:rsidR="002D011E" w:rsidRPr="002D011E" w:rsidRDefault="002D011E" w:rsidP="002D01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D8EF" w14:textId="527F8A5A" w:rsidR="002D011E"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t>2</w:t>
    </w:r>
    <w:r>
      <w:fldChar w:fldCharType="end"/>
    </w:r>
    <w:r>
      <w:t>/</w:t>
    </w:r>
    <w:fldSimple w:instr=" NUMPAGES ">
      <w:r>
        <w:t>20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B3EA" w14:textId="77777777" w:rsidR="002D011E" w:rsidRPr="002D011E" w:rsidRDefault="002D011E" w:rsidP="002D01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0874" w14:textId="77777777" w:rsidR="002D011E" w:rsidRPr="002D011E" w:rsidRDefault="002D011E" w:rsidP="002D01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FF86" w14:textId="3A1F1FAC" w:rsidR="002D011E" w:rsidRPr="002D011E" w:rsidRDefault="002D011E" w:rsidP="002D011E">
    <w:pPr>
      <w:pStyle w:val="Footer"/>
    </w:pPr>
    <w:r>
      <w:t xml:space="preserve">SOC/845 – EESC-2025-03058-00-00-AS-TRA (EN) </w:t>
    </w:r>
    <w:r>
      <w:fldChar w:fldCharType="begin"/>
    </w:r>
    <w:r>
      <w:instrText xml:space="preserve"> PAGE  \* Arabic  \* MERGEFORMAT </w:instrText>
    </w:r>
    <w:r>
      <w:fldChar w:fldCharType="separate"/>
    </w:r>
    <w:r>
      <w:t>14</w:t>
    </w:r>
    <w:r>
      <w:fldChar w:fldCharType="end"/>
    </w:r>
    <w:r>
      <w:t>/</w:t>
    </w:r>
    <w:fldSimple w:instr=" NUMPAGES ">
      <w:r>
        <w:t>20</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373A" w14:textId="77777777" w:rsidR="002D011E" w:rsidRPr="002D011E" w:rsidRDefault="002D011E" w:rsidP="002D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65BA" w14:textId="77777777" w:rsidR="0083650A" w:rsidRDefault="0083650A">
      <w:r>
        <w:separator/>
      </w:r>
    </w:p>
  </w:footnote>
  <w:footnote w:type="continuationSeparator" w:id="0">
    <w:p w14:paraId="5ABDFD06" w14:textId="77777777" w:rsidR="0083650A" w:rsidRDefault="0083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7B11" w14:textId="77777777" w:rsidR="002D011E" w:rsidRPr="002D011E" w:rsidRDefault="002D011E" w:rsidP="002D01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C122" w14:textId="77777777" w:rsidR="002D011E" w:rsidRPr="002D011E" w:rsidRDefault="002D011E" w:rsidP="002D01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641B" w14:textId="32154E64" w:rsidR="002D011E" w:rsidRPr="002D011E" w:rsidRDefault="002D011E" w:rsidP="002D01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223A" w14:textId="77777777" w:rsidR="002D011E" w:rsidRPr="002D011E" w:rsidRDefault="002D011E" w:rsidP="002D011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BDA0" w14:textId="77777777" w:rsidR="002D011E" w:rsidRPr="002D011E" w:rsidRDefault="002D011E" w:rsidP="002D011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885B" w14:textId="53980033" w:rsidR="002D011E" w:rsidRPr="002D011E" w:rsidRDefault="002D011E" w:rsidP="002D011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22A0" w14:textId="77777777" w:rsidR="002D011E" w:rsidRPr="002D011E" w:rsidRDefault="002D011E" w:rsidP="002D011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3362" w14:textId="77777777" w:rsidR="002D011E" w:rsidRPr="002D011E" w:rsidRDefault="002D011E" w:rsidP="002D011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D597" w14:textId="56E92A33" w:rsidR="002D011E" w:rsidRPr="002D011E" w:rsidRDefault="002D011E" w:rsidP="002D011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B03B" w14:textId="77777777" w:rsidR="002D011E" w:rsidRPr="002D011E" w:rsidRDefault="002D011E" w:rsidP="002D011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5C20" w14:textId="77777777" w:rsidR="002D011E" w:rsidRPr="002D011E" w:rsidRDefault="002D011E" w:rsidP="002D0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C6A3" w14:textId="69652692" w:rsidR="002D011E" w:rsidRPr="002D011E" w:rsidRDefault="002D011E" w:rsidP="002D011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E6F3" w14:textId="3337E91D" w:rsidR="002D011E" w:rsidRPr="002D011E" w:rsidRDefault="002D011E" w:rsidP="002D011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CBC5" w14:textId="77777777" w:rsidR="002D011E" w:rsidRPr="002D011E" w:rsidRDefault="002D011E" w:rsidP="002D011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E22C" w14:textId="77777777" w:rsidR="002D011E" w:rsidRPr="002D011E" w:rsidRDefault="002D011E" w:rsidP="002D011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EC88" w14:textId="530D4B68" w:rsidR="002D011E" w:rsidRPr="002D011E" w:rsidRDefault="002D011E" w:rsidP="002D011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763F" w14:textId="77777777" w:rsidR="002D011E" w:rsidRPr="002D011E" w:rsidRDefault="002D011E" w:rsidP="002D011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FF30" w14:textId="77777777" w:rsidR="004F1280" w:rsidRPr="002D011E" w:rsidRDefault="004F1280" w:rsidP="002D011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D4D9" w14:textId="2AEC8DF8" w:rsidR="004F1280" w:rsidRPr="002D011E" w:rsidRDefault="004F1280" w:rsidP="002D011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9804" w14:textId="77777777" w:rsidR="004F1280" w:rsidRPr="002D011E" w:rsidRDefault="004F1280" w:rsidP="002D0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C5E3" w14:textId="77777777" w:rsidR="002D011E" w:rsidRPr="002D011E" w:rsidRDefault="002D011E" w:rsidP="002D01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B53E" w14:textId="77777777" w:rsidR="002D011E" w:rsidRPr="002D011E" w:rsidRDefault="002D011E" w:rsidP="002D01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C4BE" w14:textId="68FD2D96" w:rsidR="002D011E" w:rsidRPr="002D011E" w:rsidRDefault="002D011E" w:rsidP="002D01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C0A1" w14:textId="77777777" w:rsidR="002D011E" w:rsidRPr="002D011E" w:rsidRDefault="002D011E" w:rsidP="002D01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3802" w14:textId="77777777" w:rsidR="002D011E" w:rsidRPr="002D011E" w:rsidRDefault="002D011E" w:rsidP="002D01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F633" w14:textId="22BE782A" w:rsidR="002D011E" w:rsidRPr="002D011E" w:rsidRDefault="002D011E" w:rsidP="002D01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87DF" w14:textId="77777777" w:rsidR="002D011E" w:rsidRPr="002D011E" w:rsidRDefault="002D011E" w:rsidP="002D0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B340DB6"/>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rPr>
        <w:b w:val="0"/>
        <w:bCs/>
      </w:rPr>
    </w:lvl>
    <w:lvl w:ilvl="2">
      <w:start w:val="1"/>
      <w:numFmt w:val="decimal"/>
      <w:pStyle w:val="Heading3"/>
      <w:lvlText w:val="%1.%2.%3"/>
      <w:legacy w:legacy="1" w:legacySpace="144" w:legacyIndent="0"/>
      <w:lvlJc w:val="left"/>
      <w:rPr>
        <w:b w:val="0"/>
        <w:bCs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34F798F"/>
    <w:multiLevelType w:val="hybridMultilevel"/>
    <w:tmpl w:val="809C7C22"/>
    <w:lvl w:ilvl="0" w:tplc="2EFE1336">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33E13"/>
    <w:multiLevelType w:val="multilevel"/>
    <w:tmpl w:val="3858E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55162"/>
    <w:multiLevelType w:val="multilevel"/>
    <w:tmpl w:val="D21068B0"/>
    <w:lvl w:ilvl="0">
      <w:start w:val="1"/>
      <w:numFmt w:val="decimal"/>
      <w:lvlText w:val="%1."/>
      <w:lvlJc w:val="left"/>
      <w:pPr>
        <w:ind w:left="0" w:firstLine="0"/>
      </w:pPr>
      <w:rPr>
        <w:b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7266BAC"/>
    <w:multiLevelType w:val="multilevel"/>
    <w:tmpl w:val="14C2B7A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32D86"/>
    <w:multiLevelType w:val="hybridMultilevel"/>
    <w:tmpl w:val="65168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3525BA7"/>
    <w:multiLevelType w:val="multilevel"/>
    <w:tmpl w:val="CD0E06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606651"/>
    <w:multiLevelType w:val="multilevel"/>
    <w:tmpl w:val="14C2B7A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E11DE"/>
    <w:multiLevelType w:val="multilevel"/>
    <w:tmpl w:val="5E901598"/>
    <w:lvl w:ilvl="0">
      <w:start w:val="1"/>
      <w:numFmt w:val="decimal"/>
      <w:lvlText w:val="%1."/>
      <w:lvlJc w:val="left"/>
      <w:pPr>
        <w:ind w:left="0" w:firstLine="0"/>
      </w:pPr>
      <w:rPr>
        <w:b w:val="0"/>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13B22C3"/>
    <w:multiLevelType w:val="multilevel"/>
    <w:tmpl w:val="A2AA01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6"/>
  </w:num>
  <w:num w:numId="9">
    <w:abstractNumId w:val="10"/>
  </w:num>
  <w:num w:numId="10">
    <w:abstractNumId w:val="8"/>
  </w:num>
  <w:num w:numId="11">
    <w:abstractNumId w:val="2"/>
  </w:num>
  <w:num w:numId="12">
    <w:abstractNumId w:val="4"/>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SpellingErrors/>
  <w:hideGrammaticalErrors/>
  <w:activeWritingStyle w:appName="MSWord" w:lang="nl-BE"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4096" w:nlCheck="1" w:checkStyle="0"/>
  <w:activeWritingStyle w:appName="MSWord" w:lang="nl-BE" w:vendorID="64" w:dllVersion="4096" w:nlCheck="1" w:checkStyle="0"/>
  <w:activeWritingStyle w:appName="MSWord" w:lang="pt-PT" w:vendorID="64" w:dllVersion="4096" w:nlCheck="1" w:checkStyle="0"/>
  <w:activeWritingStyle w:appName="MSWord" w:lang="en-GB" w:vendorID="64" w:dllVersion="0" w:nlCheck="1" w:checkStyle="0"/>
  <w:activeWritingStyle w:appName="MSWord" w:lang="pt-PT" w:vendorID="64" w:dllVersion="0" w:nlCheck="1" w:checkStyle="0"/>
  <w:activeWritingStyle w:appName="MSWord" w:lang="en-IE"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da-DK" w:vendorID="64" w:dllVersion="4096" w:nlCheck="1" w:checkStyle="0"/>
  <w:activeWritingStyle w:appName="MSWord" w:lang="fr-BE" w:vendorID="64" w:dllVersion="4096" w:nlCheck="1" w:checkStyle="0"/>
  <w:activeWritingStyle w:appName="MSWord" w:lang="it-IT" w:vendorID="64" w:dllVersion="0" w:nlCheck="1" w:checkStyle="0"/>
  <w:activeWritingStyle w:appName="MSWord" w:lang="en-US" w:vendorID="64" w:dllVersion="0" w:nlCheck="1" w:checkStyle="0"/>
  <w:activeWritingStyle w:appName="MSWord" w:lang="it-IT" w:vendorID="64" w:dllVersion="6" w:nlCheck="1" w:checkStyle="0"/>
  <w:activeWritingStyle w:appName="MSWord" w:lang="it-IT"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0B62"/>
    <w:rsid w:val="0000116D"/>
    <w:rsid w:val="000026B6"/>
    <w:rsid w:val="00003037"/>
    <w:rsid w:val="00004B4C"/>
    <w:rsid w:val="00004B50"/>
    <w:rsid w:val="00004E6D"/>
    <w:rsid w:val="00005AB9"/>
    <w:rsid w:val="00005EB9"/>
    <w:rsid w:val="00005EEE"/>
    <w:rsid w:val="00006C76"/>
    <w:rsid w:val="00006E24"/>
    <w:rsid w:val="00007532"/>
    <w:rsid w:val="00007A40"/>
    <w:rsid w:val="00007F71"/>
    <w:rsid w:val="00010309"/>
    <w:rsid w:val="00011D33"/>
    <w:rsid w:val="00014088"/>
    <w:rsid w:val="00014DAE"/>
    <w:rsid w:val="00015D10"/>
    <w:rsid w:val="00020E6E"/>
    <w:rsid w:val="0002157C"/>
    <w:rsid w:val="000226B5"/>
    <w:rsid w:val="00025C2E"/>
    <w:rsid w:val="00030332"/>
    <w:rsid w:val="00031A4B"/>
    <w:rsid w:val="00031C65"/>
    <w:rsid w:val="00033169"/>
    <w:rsid w:val="00033913"/>
    <w:rsid w:val="00033E5B"/>
    <w:rsid w:val="00034704"/>
    <w:rsid w:val="000357A8"/>
    <w:rsid w:val="00035911"/>
    <w:rsid w:val="0003604E"/>
    <w:rsid w:val="0003647E"/>
    <w:rsid w:val="00042C52"/>
    <w:rsid w:val="000430A6"/>
    <w:rsid w:val="00044923"/>
    <w:rsid w:val="00044FE9"/>
    <w:rsid w:val="0004791C"/>
    <w:rsid w:val="000517E3"/>
    <w:rsid w:val="00051EEB"/>
    <w:rsid w:val="0005249C"/>
    <w:rsid w:val="000534A5"/>
    <w:rsid w:val="00056222"/>
    <w:rsid w:val="0005680D"/>
    <w:rsid w:val="0005753A"/>
    <w:rsid w:val="0005756D"/>
    <w:rsid w:val="000579A1"/>
    <w:rsid w:val="000626E1"/>
    <w:rsid w:val="00063FB4"/>
    <w:rsid w:val="000646D9"/>
    <w:rsid w:val="00066FD5"/>
    <w:rsid w:val="0006793E"/>
    <w:rsid w:val="00067D29"/>
    <w:rsid w:val="00070F88"/>
    <w:rsid w:val="00071EFB"/>
    <w:rsid w:val="00072093"/>
    <w:rsid w:val="0007276C"/>
    <w:rsid w:val="00072E0F"/>
    <w:rsid w:val="000735E5"/>
    <w:rsid w:val="0007392F"/>
    <w:rsid w:val="000745D0"/>
    <w:rsid w:val="00075BB3"/>
    <w:rsid w:val="00075EA4"/>
    <w:rsid w:val="000777C7"/>
    <w:rsid w:val="000832A3"/>
    <w:rsid w:val="00083323"/>
    <w:rsid w:val="0008580A"/>
    <w:rsid w:val="00086441"/>
    <w:rsid w:val="000866E4"/>
    <w:rsid w:val="00087B39"/>
    <w:rsid w:val="00087DA7"/>
    <w:rsid w:val="00093568"/>
    <w:rsid w:val="00095316"/>
    <w:rsid w:val="00096502"/>
    <w:rsid w:val="00096A07"/>
    <w:rsid w:val="000A1D04"/>
    <w:rsid w:val="000A49BB"/>
    <w:rsid w:val="000A6312"/>
    <w:rsid w:val="000B0404"/>
    <w:rsid w:val="000B08C7"/>
    <w:rsid w:val="000B1848"/>
    <w:rsid w:val="000B1D79"/>
    <w:rsid w:val="000B4B81"/>
    <w:rsid w:val="000B5E1D"/>
    <w:rsid w:val="000B6C96"/>
    <w:rsid w:val="000C3441"/>
    <w:rsid w:val="000C4ACF"/>
    <w:rsid w:val="000C59FD"/>
    <w:rsid w:val="000C750E"/>
    <w:rsid w:val="000C7B3C"/>
    <w:rsid w:val="000C7F53"/>
    <w:rsid w:val="000D2243"/>
    <w:rsid w:val="000D2F8E"/>
    <w:rsid w:val="000D486E"/>
    <w:rsid w:val="000D6E9E"/>
    <w:rsid w:val="000E0605"/>
    <w:rsid w:val="000E1FCD"/>
    <w:rsid w:val="000E4A24"/>
    <w:rsid w:val="000E4AC8"/>
    <w:rsid w:val="000E673D"/>
    <w:rsid w:val="000E6771"/>
    <w:rsid w:val="000F0FF1"/>
    <w:rsid w:val="000F196B"/>
    <w:rsid w:val="000F275F"/>
    <w:rsid w:val="000F2C35"/>
    <w:rsid w:val="000F357D"/>
    <w:rsid w:val="000F450C"/>
    <w:rsid w:val="000F46E8"/>
    <w:rsid w:val="000F75A7"/>
    <w:rsid w:val="000F7B1A"/>
    <w:rsid w:val="000F7DA5"/>
    <w:rsid w:val="00101BFA"/>
    <w:rsid w:val="001042A4"/>
    <w:rsid w:val="00105361"/>
    <w:rsid w:val="001101F8"/>
    <w:rsid w:val="001113DC"/>
    <w:rsid w:val="0011206F"/>
    <w:rsid w:val="00113B93"/>
    <w:rsid w:val="001145B2"/>
    <w:rsid w:val="001151B7"/>
    <w:rsid w:val="00115850"/>
    <w:rsid w:val="0011585B"/>
    <w:rsid w:val="00115904"/>
    <w:rsid w:val="00115A4A"/>
    <w:rsid w:val="0011656A"/>
    <w:rsid w:val="00116FBF"/>
    <w:rsid w:val="0012220C"/>
    <w:rsid w:val="00125045"/>
    <w:rsid w:val="00125EAB"/>
    <w:rsid w:val="0012700B"/>
    <w:rsid w:val="00127CD4"/>
    <w:rsid w:val="00130639"/>
    <w:rsid w:val="001307CA"/>
    <w:rsid w:val="00133B32"/>
    <w:rsid w:val="00134C21"/>
    <w:rsid w:val="00136EA3"/>
    <w:rsid w:val="00137575"/>
    <w:rsid w:val="00140563"/>
    <w:rsid w:val="00141CD2"/>
    <w:rsid w:val="00142728"/>
    <w:rsid w:val="00144231"/>
    <w:rsid w:val="00144C05"/>
    <w:rsid w:val="00146E03"/>
    <w:rsid w:val="00147CD4"/>
    <w:rsid w:val="00150434"/>
    <w:rsid w:val="00152669"/>
    <w:rsid w:val="001539B1"/>
    <w:rsid w:val="00154D67"/>
    <w:rsid w:val="00155721"/>
    <w:rsid w:val="0015678B"/>
    <w:rsid w:val="0015689F"/>
    <w:rsid w:val="00156D11"/>
    <w:rsid w:val="001605AB"/>
    <w:rsid w:val="00162382"/>
    <w:rsid w:val="0016503F"/>
    <w:rsid w:val="0016674F"/>
    <w:rsid w:val="0016732F"/>
    <w:rsid w:val="001674D5"/>
    <w:rsid w:val="00167CA0"/>
    <w:rsid w:val="00167E68"/>
    <w:rsid w:val="0017120D"/>
    <w:rsid w:val="001714F6"/>
    <w:rsid w:val="00171C69"/>
    <w:rsid w:val="00171E91"/>
    <w:rsid w:val="0017379F"/>
    <w:rsid w:val="001747A2"/>
    <w:rsid w:val="00175B19"/>
    <w:rsid w:val="00175FEC"/>
    <w:rsid w:val="00176168"/>
    <w:rsid w:val="00176B72"/>
    <w:rsid w:val="00177158"/>
    <w:rsid w:val="001808A5"/>
    <w:rsid w:val="00183167"/>
    <w:rsid w:val="00184FD4"/>
    <w:rsid w:val="001855A2"/>
    <w:rsid w:val="00185A96"/>
    <w:rsid w:val="00186B04"/>
    <w:rsid w:val="00186F1E"/>
    <w:rsid w:val="00187E3C"/>
    <w:rsid w:val="0019004F"/>
    <w:rsid w:val="00190836"/>
    <w:rsid w:val="00192FFE"/>
    <w:rsid w:val="00193930"/>
    <w:rsid w:val="00193B96"/>
    <w:rsid w:val="00194CFD"/>
    <w:rsid w:val="001963A5"/>
    <w:rsid w:val="00196F1E"/>
    <w:rsid w:val="0019763A"/>
    <w:rsid w:val="001978A2"/>
    <w:rsid w:val="00197FCA"/>
    <w:rsid w:val="001A12BC"/>
    <w:rsid w:val="001A233E"/>
    <w:rsid w:val="001A23AC"/>
    <w:rsid w:val="001A27DB"/>
    <w:rsid w:val="001A53FB"/>
    <w:rsid w:val="001A6852"/>
    <w:rsid w:val="001A6FE9"/>
    <w:rsid w:val="001B00DA"/>
    <w:rsid w:val="001B0CD6"/>
    <w:rsid w:val="001B286A"/>
    <w:rsid w:val="001B2D02"/>
    <w:rsid w:val="001B31A1"/>
    <w:rsid w:val="001B3647"/>
    <w:rsid w:val="001B47CB"/>
    <w:rsid w:val="001B4A55"/>
    <w:rsid w:val="001B69D2"/>
    <w:rsid w:val="001B6BBF"/>
    <w:rsid w:val="001B75C2"/>
    <w:rsid w:val="001B77FA"/>
    <w:rsid w:val="001B7C8E"/>
    <w:rsid w:val="001C050B"/>
    <w:rsid w:val="001C0ABE"/>
    <w:rsid w:val="001C23C5"/>
    <w:rsid w:val="001C3756"/>
    <w:rsid w:val="001C4F1B"/>
    <w:rsid w:val="001C542C"/>
    <w:rsid w:val="001C5852"/>
    <w:rsid w:val="001C7435"/>
    <w:rsid w:val="001D017F"/>
    <w:rsid w:val="001D1F2C"/>
    <w:rsid w:val="001D41F5"/>
    <w:rsid w:val="001D4334"/>
    <w:rsid w:val="001D45F0"/>
    <w:rsid w:val="001D543F"/>
    <w:rsid w:val="001E110D"/>
    <w:rsid w:val="001E4A33"/>
    <w:rsid w:val="001E5AEA"/>
    <w:rsid w:val="001E5C27"/>
    <w:rsid w:val="001E60BB"/>
    <w:rsid w:val="001F14A9"/>
    <w:rsid w:val="001F1563"/>
    <w:rsid w:val="001F1ACF"/>
    <w:rsid w:val="001F40AA"/>
    <w:rsid w:val="001F4C5D"/>
    <w:rsid w:val="001F57CF"/>
    <w:rsid w:val="001F602B"/>
    <w:rsid w:val="001F6A8B"/>
    <w:rsid w:val="001F6AC8"/>
    <w:rsid w:val="001F7E91"/>
    <w:rsid w:val="001F7FB9"/>
    <w:rsid w:val="00200AC6"/>
    <w:rsid w:val="002037D5"/>
    <w:rsid w:val="00206BB1"/>
    <w:rsid w:val="00206F90"/>
    <w:rsid w:val="0020724D"/>
    <w:rsid w:val="00210F0C"/>
    <w:rsid w:val="00211FC3"/>
    <w:rsid w:val="00212B03"/>
    <w:rsid w:val="00212E32"/>
    <w:rsid w:val="00212F6C"/>
    <w:rsid w:val="002131AE"/>
    <w:rsid w:val="00215C10"/>
    <w:rsid w:val="00215C2D"/>
    <w:rsid w:val="00215DBE"/>
    <w:rsid w:val="002167B5"/>
    <w:rsid w:val="00217E0C"/>
    <w:rsid w:val="002239EB"/>
    <w:rsid w:val="002252C4"/>
    <w:rsid w:val="0023183E"/>
    <w:rsid w:val="0023198F"/>
    <w:rsid w:val="0023426D"/>
    <w:rsid w:val="00235138"/>
    <w:rsid w:val="00235ADE"/>
    <w:rsid w:val="002371AE"/>
    <w:rsid w:val="002375BB"/>
    <w:rsid w:val="0024220A"/>
    <w:rsid w:val="00242DDB"/>
    <w:rsid w:val="00243E36"/>
    <w:rsid w:val="00244586"/>
    <w:rsid w:val="0024540B"/>
    <w:rsid w:val="00245457"/>
    <w:rsid w:val="00245EF4"/>
    <w:rsid w:val="002506B1"/>
    <w:rsid w:val="00250E11"/>
    <w:rsid w:val="00251383"/>
    <w:rsid w:val="002522C9"/>
    <w:rsid w:val="00252A21"/>
    <w:rsid w:val="00252F13"/>
    <w:rsid w:val="00253E4F"/>
    <w:rsid w:val="002542E4"/>
    <w:rsid w:val="002553B6"/>
    <w:rsid w:val="00255E42"/>
    <w:rsid w:val="00257856"/>
    <w:rsid w:val="00260242"/>
    <w:rsid w:val="00261053"/>
    <w:rsid w:val="00262370"/>
    <w:rsid w:val="00262FDE"/>
    <w:rsid w:val="00263629"/>
    <w:rsid w:val="00267D6F"/>
    <w:rsid w:val="00270F0C"/>
    <w:rsid w:val="002713F4"/>
    <w:rsid w:val="002730AF"/>
    <w:rsid w:val="00273596"/>
    <w:rsid w:val="00273A00"/>
    <w:rsid w:val="0027654A"/>
    <w:rsid w:val="002769BD"/>
    <w:rsid w:val="00276A75"/>
    <w:rsid w:val="002809EA"/>
    <w:rsid w:val="00284883"/>
    <w:rsid w:val="00284962"/>
    <w:rsid w:val="00284DA7"/>
    <w:rsid w:val="002851D4"/>
    <w:rsid w:val="00285469"/>
    <w:rsid w:val="00287B0E"/>
    <w:rsid w:val="002924A7"/>
    <w:rsid w:val="00293BE9"/>
    <w:rsid w:val="0029444A"/>
    <w:rsid w:val="002A0B53"/>
    <w:rsid w:val="002A0EEF"/>
    <w:rsid w:val="002A134E"/>
    <w:rsid w:val="002A2E87"/>
    <w:rsid w:val="002A5FED"/>
    <w:rsid w:val="002A76F9"/>
    <w:rsid w:val="002A7C04"/>
    <w:rsid w:val="002B04DC"/>
    <w:rsid w:val="002B257D"/>
    <w:rsid w:val="002B2DF7"/>
    <w:rsid w:val="002B74F3"/>
    <w:rsid w:val="002C1DB1"/>
    <w:rsid w:val="002C3BF4"/>
    <w:rsid w:val="002C3DE0"/>
    <w:rsid w:val="002C416D"/>
    <w:rsid w:val="002C6790"/>
    <w:rsid w:val="002C749F"/>
    <w:rsid w:val="002D011E"/>
    <w:rsid w:val="002D3F6D"/>
    <w:rsid w:val="002D4687"/>
    <w:rsid w:val="002D46B0"/>
    <w:rsid w:val="002E0B82"/>
    <w:rsid w:val="002E1F77"/>
    <w:rsid w:val="002E36B3"/>
    <w:rsid w:val="002E470D"/>
    <w:rsid w:val="002E507D"/>
    <w:rsid w:val="002E6324"/>
    <w:rsid w:val="002E7B33"/>
    <w:rsid w:val="002F059B"/>
    <w:rsid w:val="002F0AB0"/>
    <w:rsid w:val="002F2768"/>
    <w:rsid w:val="002F2B77"/>
    <w:rsid w:val="002F2DBE"/>
    <w:rsid w:val="002F402C"/>
    <w:rsid w:val="002F5B0B"/>
    <w:rsid w:val="002F63AD"/>
    <w:rsid w:val="002F7254"/>
    <w:rsid w:val="0030036F"/>
    <w:rsid w:val="00300924"/>
    <w:rsid w:val="00304DF3"/>
    <w:rsid w:val="00305355"/>
    <w:rsid w:val="0030596E"/>
    <w:rsid w:val="003073C3"/>
    <w:rsid w:val="00312D74"/>
    <w:rsid w:val="003132E8"/>
    <w:rsid w:val="00314173"/>
    <w:rsid w:val="00315135"/>
    <w:rsid w:val="003157D6"/>
    <w:rsid w:val="00317783"/>
    <w:rsid w:val="00320453"/>
    <w:rsid w:val="00321AF8"/>
    <w:rsid w:val="00323637"/>
    <w:rsid w:val="00324E8A"/>
    <w:rsid w:val="003306DB"/>
    <w:rsid w:val="00330DDC"/>
    <w:rsid w:val="00331D14"/>
    <w:rsid w:val="00331D87"/>
    <w:rsid w:val="00332850"/>
    <w:rsid w:val="00334478"/>
    <w:rsid w:val="003346B4"/>
    <w:rsid w:val="00334AE6"/>
    <w:rsid w:val="00335078"/>
    <w:rsid w:val="00335AE1"/>
    <w:rsid w:val="003365D0"/>
    <w:rsid w:val="00336D83"/>
    <w:rsid w:val="003439AB"/>
    <w:rsid w:val="003502A8"/>
    <w:rsid w:val="0035034C"/>
    <w:rsid w:val="0035220C"/>
    <w:rsid w:val="00352850"/>
    <w:rsid w:val="00354695"/>
    <w:rsid w:val="003552A7"/>
    <w:rsid w:val="0035549B"/>
    <w:rsid w:val="00356735"/>
    <w:rsid w:val="00361422"/>
    <w:rsid w:val="003635B7"/>
    <w:rsid w:val="003644A6"/>
    <w:rsid w:val="0036631B"/>
    <w:rsid w:val="00372B65"/>
    <w:rsid w:val="00373032"/>
    <w:rsid w:val="003733F1"/>
    <w:rsid w:val="003745A6"/>
    <w:rsid w:val="0037496A"/>
    <w:rsid w:val="003755C8"/>
    <w:rsid w:val="00375687"/>
    <w:rsid w:val="0037592D"/>
    <w:rsid w:val="003770D0"/>
    <w:rsid w:val="0037755B"/>
    <w:rsid w:val="00380AE0"/>
    <w:rsid w:val="00383324"/>
    <w:rsid w:val="00384828"/>
    <w:rsid w:val="0038657D"/>
    <w:rsid w:val="00387A75"/>
    <w:rsid w:val="003904FD"/>
    <w:rsid w:val="0039344E"/>
    <w:rsid w:val="00394254"/>
    <w:rsid w:val="00394D49"/>
    <w:rsid w:val="00395BFE"/>
    <w:rsid w:val="003969DD"/>
    <w:rsid w:val="00396F00"/>
    <w:rsid w:val="003A1208"/>
    <w:rsid w:val="003A4978"/>
    <w:rsid w:val="003A6C8B"/>
    <w:rsid w:val="003B126E"/>
    <w:rsid w:val="003B1579"/>
    <w:rsid w:val="003B5EBC"/>
    <w:rsid w:val="003B6A19"/>
    <w:rsid w:val="003C034C"/>
    <w:rsid w:val="003C099A"/>
    <w:rsid w:val="003C1889"/>
    <w:rsid w:val="003C1EF6"/>
    <w:rsid w:val="003C2BFB"/>
    <w:rsid w:val="003C2CB9"/>
    <w:rsid w:val="003C34C3"/>
    <w:rsid w:val="003C436B"/>
    <w:rsid w:val="003C5337"/>
    <w:rsid w:val="003C5F92"/>
    <w:rsid w:val="003C7E89"/>
    <w:rsid w:val="003D5E5C"/>
    <w:rsid w:val="003D6F6D"/>
    <w:rsid w:val="003D7A8C"/>
    <w:rsid w:val="003D7C00"/>
    <w:rsid w:val="003E2094"/>
    <w:rsid w:val="003E317E"/>
    <w:rsid w:val="003E355C"/>
    <w:rsid w:val="003E56E5"/>
    <w:rsid w:val="003E5FF4"/>
    <w:rsid w:val="003E7E60"/>
    <w:rsid w:val="003F00D4"/>
    <w:rsid w:val="003F0136"/>
    <w:rsid w:val="003F0A04"/>
    <w:rsid w:val="003F1B9E"/>
    <w:rsid w:val="003F2209"/>
    <w:rsid w:val="003F36AF"/>
    <w:rsid w:val="003F3D39"/>
    <w:rsid w:val="003F4823"/>
    <w:rsid w:val="003F55ED"/>
    <w:rsid w:val="003F6081"/>
    <w:rsid w:val="003F646A"/>
    <w:rsid w:val="003F6761"/>
    <w:rsid w:val="003F6A0A"/>
    <w:rsid w:val="003F6DCA"/>
    <w:rsid w:val="00400A67"/>
    <w:rsid w:val="004024F5"/>
    <w:rsid w:val="00402DE1"/>
    <w:rsid w:val="00402EE7"/>
    <w:rsid w:val="00403535"/>
    <w:rsid w:val="00403D8B"/>
    <w:rsid w:val="004051D3"/>
    <w:rsid w:val="004058F1"/>
    <w:rsid w:val="00405E56"/>
    <w:rsid w:val="00406FEE"/>
    <w:rsid w:val="00407E5C"/>
    <w:rsid w:val="00407E7D"/>
    <w:rsid w:val="0041008F"/>
    <w:rsid w:val="0041283D"/>
    <w:rsid w:val="00413AB4"/>
    <w:rsid w:val="00414ADF"/>
    <w:rsid w:val="00415F9A"/>
    <w:rsid w:val="00416436"/>
    <w:rsid w:val="0041651E"/>
    <w:rsid w:val="00416620"/>
    <w:rsid w:val="0041780D"/>
    <w:rsid w:val="00420B38"/>
    <w:rsid w:val="00421373"/>
    <w:rsid w:val="00421FB7"/>
    <w:rsid w:val="0042512C"/>
    <w:rsid w:val="004264EA"/>
    <w:rsid w:val="0042763B"/>
    <w:rsid w:val="0043024C"/>
    <w:rsid w:val="004325D2"/>
    <w:rsid w:val="00435139"/>
    <w:rsid w:val="00436706"/>
    <w:rsid w:val="0043686F"/>
    <w:rsid w:val="004400DE"/>
    <w:rsid w:val="004410D2"/>
    <w:rsid w:val="004419B0"/>
    <w:rsid w:val="00441F86"/>
    <w:rsid w:val="00442DE8"/>
    <w:rsid w:val="00443C07"/>
    <w:rsid w:val="00443D38"/>
    <w:rsid w:val="00444BB3"/>
    <w:rsid w:val="00444F46"/>
    <w:rsid w:val="00445F55"/>
    <w:rsid w:val="00446FB3"/>
    <w:rsid w:val="00447650"/>
    <w:rsid w:val="00450E7A"/>
    <w:rsid w:val="00451F83"/>
    <w:rsid w:val="004538AA"/>
    <w:rsid w:val="00456AF8"/>
    <w:rsid w:val="0045723A"/>
    <w:rsid w:val="004606AB"/>
    <w:rsid w:val="0046402D"/>
    <w:rsid w:val="0046479C"/>
    <w:rsid w:val="00464BD6"/>
    <w:rsid w:val="00470174"/>
    <w:rsid w:val="00470B15"/>
    <w:rsid w:val="00471B4F"/>
    <w:rsid w:val="00471C64"/>
    <w:rsid w:val="00471FE1"/>
    <w:rsid w:val="00472E6F"/>
    <w:rsid w:val="004732DC"/>
    <w:rsid w:val="00475869"/>
    <w:rsid w:val="00475A77"/>
    <w:rsid w:val="00482314"/>
    <w:rsid w:val="004837FC"/>
    <w:rsid w:val="0048474D"/>
    <w:rsid w:val="004866A9"/>
    <w:rsid w:val="004871EA"/>
    <w:rsid w:val="004914C2"/>
    <w:rsid w:val="00492774"/>
    <w:rsid w:val="004929F2"/>
    <w:rsid w:val="00494B1E"/>
    <w:rsid w:val="00494C60"/>
    <w:rsid w:val="004956D9"/>
    <w:rsid w:val="004959C9"/>
    <w:rsid w:val="0049653A"/>
    <w:rsid w:val="00496D7A"/>
    <w:rsid w:val="00497AF8"/>
    <w:rsid w:val="00497C9C"/>
    <w:rsid w:val="004A1412"/>
    <w:rsid w:val="004A1D1F"/>
    <w:rsid w:val="004A23FA"/>
    <w:rsid w:val="004A2BCB"/>
    <w:rsid w:val="004A2E51"/>
    <w:rsid w:val="004A31BC"/>
    <w:rsid w:val="004A3F1A"/>
    <w:rsid w:val="004A3F45"/>
    <w:rsid w:val="004A4595"/>
    <w:rsid w:val="004A5738"/>
    <w:rsid w:val="004A57F1"/>
    <w:rsid w:val="004A6623"/>
    <w:rsid w:val="004A6BE3"/>
    <w:rsid w:val="004A6FEB"/>
    <w:rsid w:val="004A76C9"/>
    <w:rsid w:val="004B1AFA"/>
    <w:rsid w:val="004B32DC"/>
    <w:rsid w:val="004B3E9C"/>
    <w:rsid w:val="004B5830"/>
    <w:rsid w:val="004B6155"/>
    <w:rsid w:val="004B6714"/>
    <w:rsid w:val="004B7088"/>
    <w:rsid w:val="004B70A7"/>
    <w:rsid w:val="004B7A35"/>
    <w:rsid w:val="004B7C9F"/>
    <w:rsid w:val="004C0C42"/>
    <w:rsid w:val="004C0C98"/>
    <w:rsid w:val="004C2BAA"/>
    <w:rsid w:val="004C3307"/>
    <w:rsid w:val="004C4C24"/>
    <w:rsid w:val="004C4D12"/>
    <w:rsid w:val="004C5B76"/>
    <w:rsid w:val="004D02CD"/>
    <w:rsid w:val="004D0B24"/>
    <w:rsid w:val="004D13D9"/>
    <w:rsid w:val="004D4B90"/>
    <w:rsid w:val="004D5305"/>
    <w:rsid w:val="004D5B20"/>
    <w:rsid w:val="004D6B95"/>
    <w:rsid w:val="004D747C"/>
    <w:rsid w:val="004D7F41"/>
    <w:rsid w:val="004E03A2"/>
    <w:rsid w:val="004E2594"/>
    <w:rsid w:val="004E317E"/>
    <w:rsid w:val="004E3954"/>
    <w:rsid w:val="004E41AF"/>
    <w:rsid w:val="004E44F2"/>
    <w:rsid w:val="004E50F9"/>
    <w:rsid w:val="004E5177"/>
    <w:rsid w:val="004E5856"/>
    <w:rsid w:val="004E61CF"/>
    <w:rsid w:val="004E64AC"/>
    <w:rsid w:val="004F0E7D"/>
    <w:rsid w:val="004F1280"/>
    <w:rsid w:val="004F168F"/>
    <w:rsid w:val="004F2330"/>
    <w:rsid w:val="004F3F1F"/>
    <w:rsid w:val="004F53C6"/>
    <w:rsid w:val="004F55C6"/>
    <w:rsid w:val="004F69DB"/>
    <w:rsid w:val="004F6B87"/>
    <w:rsid w:val="004F7DAE"/>
    <w:rsid w:val="005005C5"/>
    <w:rsid w:val="005009B4"/>
    <w:rsid w:val="00501879"/>
    <w:rsid w:val="005018B2"/>
    <w:rsid w:val="00501C2D"/>
    <w:rsid w:val="00502637"/>
    <w:rsid w:val="0050624A"/>
    <w:rsid w:val="005075DF"/>
    <w:rsid w:val="00507814"/>
    <w:rsid w:val="00510309"/>
    <w:rsid w:val="00511140"/>
    <w:rsid w:val="00513607"/>
    <w:rsid w:val="00513CFE"/>
    <w:rsid w:val="005146E2"/>
    <w:rsid w:val="00514CF6"/>
    <w:rsid w:val="005169E7"/>
    <w:rsid w:val="0051776F"/>
    <w:rsid w:val="00520023"/>
    <w:rsid w:val="005224C6"/>
    <w:rsid w:val="005225FC"/>
    <w:rsid w:val="0052285F"/>
    <w:rsid w:val="00523B6A"/>
    <w:rsid w:val="00523C02"/>
    <w:rsid w:val="005241FC"/>
    <w:rsid w:val="005258D1"/>
    <w:rsid w:val="005258D5"/>
    <w:rsid w:val="00525F6C"/>
    <w:rsid w:val="00530E3A"/>
    <w:rsid w:val="0053134C"/>
    <w:rsid w:val="0053150E"/>
    <w:rsid w:val="005331DD"/>
    <w:rsid w:val="00535F7A"/>
    <w:rsid w:val="00542606"/>
    <w:rsid w:val="00542701"/>
    <w:rsid w:val="00542772"/>
    <w:rsid w:val="00545DF2"/>
    <w:rsid w:val="00546AB4"/>
    <w:rsid w:val="005514E5"/>
    <w:rsid w:val="00563C84"/>
    <w:rsid w:val="005650DC"/>
    <w:rsid w:val="00565A69"/>
    <w:rsid w:val="005668EA"/>
    <w:rsid w:val="005676AC"/>
    <w:rsid w:val="00574023"/>
    <w:rsid w:val="00575CFF"/>
    <w:rsid w:val="005762F6"/>
    <w:rsid w:val="005778CB"/>
    <w:rsid w:val="00584FBE"/>
    <w:rsid w:val="00585483"/>
    <w:rsid w:val="005860CE"/>
    <w:rsid w:val="00587378"/>
    <w:rsid w:val="00587C05"/>
    <w:rsid w:val="005906D9"/>
    <w:rsid w:val="00590808"/>
    <w:rsid w:val="00590AAB"/>
    <w:rsid w:val="00591119"/>
    <w:rsid w:val="00591150"/>
    <w:rsid w:val="0059160B"/>
    <w:rsid w:val="005921E6"/>
    <w:rsid w:val="005925F5"/>
    <w:rsid w:val="00593735"/>
    <w:rsid w:val="005938C3"/>
    <w:rsid w:val="0059468C"/>
    <w:rsid w:val="00595125"/>
    <w:rsid w:val="005951E7"/>
    <w:rsid w:val="005953C6"/>
    <w:rsid w:val="0059619F"/>
    <w:rsid w:val="00596F21"/>
    <w:rsid w:val="005A1094"/>
    <w:rsid w:val="005A3E94"/>
    <w:rsid w:val="005A4268"/>
    <w:rsid w:val="005A45CD"/>
    <w:rsid w:val="005A48B8"/>
    <w:rsid w:val="005A5636"/>
    <w:rsid w:val="005A657A"/>
    <w:rsid w:val="005B0AFA"/>
    <w:rsid w:val="005B1198"/>
    <w:rsid w:val="005B1CDD"/>
    <w:rsid w:val="005B1E19"/>
    <w:rsid w:val="005B47DF"/>
    <w:rsid w:val="005B48F3"/>
    <w:rsid w:val="005B541E"/>
    <w:rsid w:val="005B55FC"/>
    <w:rsid w:val="005B6FC5"/>
    <w:rsid w:val="005C04BA"/>
    <w:rsid w:val="005C19C9"/>
    <w:rsid w:val="005C20D0"/>
    <w:rsid w:val="005C214C"/>
    <w:rsid w:val="005C2D5E"/>
    <w:rsid w:val="005C3B81"/>
    <w:rsid w:val="005C5D60"/>
    <w:rsid w:val="005C650C"/>
    <w:rsid w:val="005C7100"/>
    <w:rsid w:val="005D086C"/>
    <w:rsid w:val="005D11D3"/>
    <w:rsid w:val="005D2738"/>
    <w:rsid w:val="005D2F73"/>
    <w:rsid w:val="005D4332"/>
    <w:rsid w:val="005D4E1F"/>
    <w:rsid w:val="005D4FB3"/>
    <w:rsid w:val="005D53DA"/>
    <w:rsid w:val="005D5E9E"/>
    <w:rsid w:val="005E0353"/>
    <w:rsid w:val="005E045B"/>
    <w:rsid w:val="005E2F07"/>
    <w:rsid w:val="005E2FEA"/>
    <w:rsid w:val="005E38AA"/>
    <w:rsid w:val="005E4620"/>
    <w:rsid w:val="005E4E10"/>
    <w:rsid w:val="005E5303"/>
    <w:rsid w:val="005E6B62"/>
    <w:rsid w:val="005E7230"/>
    <w:rsid w:val="005F0064"/>
    <w:rsid w:val="005F18EA"/>
    <w:rsid w:val="005F286C"/>
    <w:rsid w:val="005F314B"/>
    <w:rsid w:val="005F519E"/>
    <w:rsid w:val="00600340"/>
    <w:rsid w:val="0060259E"/>
    <w:rsid w:val="00602D5C"/>
    <w:rsid w:val="00603DC8"/>
    <w:rsid w:val="0060450A"/>
    <w:rsid w:val="00611AF2"/>
    <w:rsid w:val="00611EA1"/>
    <w:rsid w:val="0061212B"/>
    <w:rsid w:val="0061251E"/>
    <w:rsid w:val="006127AF"/>
    <w:rsid w:val="00613A98"/>
    <w:rsid w:val="006141D4"/>
    <w:rsid w:val="006141D6"/>
    <w:rsid w:val="00614D62"/>
    <w:rsid w:val="00614D8D"/>
    <w:rsid w:val="00614EA7"/>
    <w:rsid w:val="00615FB2"/>
    <w:rsid w:val="006162E2"/>
    <w:rsid w:val="00617945"/>
    <w:rsid w:val="00617A85"/>
    <w:rsid w:val="00617BD1"/>
    <w:rsid w:val="00617C60"/>
    <w:rsid w:val="00617CE8"/>
    <w:rsid w:val="00617ED6"/>
    <w:rsid w:val="0062106F"/>
    <w:rsid w:val="006217D1"/>
    <w:rsid w:val="00622616"/>
    <w:rsid w:val="00623278"/>
    <w:rsid w:val="006232BC"/>
    <w:rsid w:val="00623AD6"/>
    <w:rsid w:val="00624498"/>
    <w:rsid w:val="00625814"/>
    <w:rsid w:val="00625DD0"/>
    <w:rsid w:val="006278A0"/>
    <w:rsid w:val="0063095F"/>
    <w:rsid w:val="00631CBD"/>
    <w:rsid w:val="006322BA"/>
    <w:rsid w:val="006342C7"/>
    <w:rsid w:val="00634DDC"/>
    <w:rsid w:val="00635A4E"/>
    <w:rsid w:val="0063704F"/>
    <w:rsid w:val="006372F3"/>
    <w:rsid w:val="006373A4"/>
    <w:rsid w:val="0063799D"/>
    <w:rsid w:val="00640235"/>
    <w:rsid w:val="006405C2"/>
    <w:rsid w:val="006439C7"/>
    <w:rsid w:val="0064468C"/>
    <w:rsid w:val="00646AC2"/>
    <w:rsid w:val="00647778"/>
    <w:rsid w:val="00650390"/>
    <w:rsid w:val="00651B59"/>
    <w:rsid w:val="00651D9E"/>
    <w:rsid w:val="00653D8D"/>
    <w:rsid w:val="00654DAB"/>
    <w:rsid w:val="00654E40"/>
    <w:rsid w:val="006579DF"/>
    <w:rsid w:val="00657C97"/>
    <w:rsid w:val="00661A6D"/>
    <w:rsid w:val="0066204A"/>
    <w:rsid w:val="00662368"/>
    <w:rsid w:val="0066277D"/>
    <w:rsid w:val="00662EAE"/>
    <w:rsid w:val="00663023"/>
    <w:rsid w:val="00666A91"/>
    <w:rsid w:val="00670E3C"/>
    <w:rsid w:val="00673AD5"/>
    <w:rsid w:val="00673D4E"/>
    <w:rsid w:val="00674663"/>
    <w:rsid w:val="0067518D"/>
    <w:rsid w:val="0067656E"/>
    <w:rsid w:val="00677F57"/>
    <w:rsid w:val="006804FC"/>
    <w:rsid w:val="00680B5D"/>
    <w:rsid w:val="00681088"/>
    <w:rsid w:val="00681EEC"/>
    <w:rsid w:val="00682F5A"/>
    <w:rsid w:val="00685968"/>
    <w:rsid w:val="0068596D"/>
    <w:rsid w:val="00686BC3"/>
    <w:rsid w:val="00686CB3"/>
    <w:rsid w:val="00691E28"/>
    <w:rsid w:val="0069577E"/>
    <w:rsid w:val="0069634B"/>
    <w:rsid w:val="00696623"/>
    <w:rsid w:val="00696B2B"/>
    <w:rsid w:val="00697A46"/>
    <w:rsid w:val="006A04E9"/>
    <w:rsid w:val="006A0C78"/>
    <w:rsid w:val="006A179B"/>
    <w:rsid w:val="006A4A03"/>
    <w:rsid w:val="006A7074"/>
    <w:rsid w:val="006A7543"/>
    <w:rsid w:val="006B10DE"/>
    <w:rsid w:val="006B3CD2"/>
    <w:rsid w:val="006B583E"/>
    <w:rsid w:val="006B725C"/>
    <w:rsid w:val="006C0BCF"/>
    <w:rsid w:val="006C273D"/>
    <w:rsid w:val="006C310B"/>
    <w:rsid w:val="006C35A1"/>
    <w:rsid w:val="006C5C4F"/>
    <w:rsid w:val="006C5CB9"/>
    <w:rsid w:val="006C6282"/>
    <w:rsid w:val="006C7462"/>
    <w:rsid w:val="006C762A"/>
    <w:rsid w:val="006C7D7F"/>
    <w:rsid w:val="006D1052"/>
    <w:rsid w:val="006D17AF"/>
    <w:rsid w:val="006D1802"/>
    <w:rsid w:val="006D1E82"/>
    <w:rsid w:val="006D2E4E"/>
    <w:rsid w:val="006D2EE9"/>
    <w:rsid w:val="006D3611"/>
    <w:rsid w:val="006D5FF9"/>
    <w:rsid w:val="006D6C93"/>
    <w:rsid w:val="006E0772"/>
    <w:rsid w:val="006E0F86"/>
    <w:rsid w:val="006E34D1"/>
    <w:rsid w:val="006E3C46"/>
    <w:rsid w:val="006E4F55"/>
    <w:rsid w:val="006E6A2D"/>
    <w:rsid w:val="006F05A1"/>
    <w:rsid w:val="006F0B15"/>
    <w:rsid w:val="006F0DCC"/>
    <w:rsid w:val="006F1B8A"/>
    <w:rsid w:val="006F2652"/>
    <w:rsid w:val="006F373D"/>
    <w:rsid w:val="006F54FF"/>
    <w:rsid w:val="006F6794"/>
    <w:rsid w:val="00702BC8"/>
    <w:rsid w:val="00703DF9"/>
    <w:rsid w:val="007048EB"/>
    <w:rsid w:val="00704A2E"/>
    <w:rsid w:val="00704BF8"/>
    <w:rsid w:val="00704FBB"/>
    <w:rsid w:val="007050DE"/>
    <w:rsid w:val="00705234"/>
    <w:rsid w:val="007056FD"/>
    <w:rsid w:val="00706A81"/>
    <w:rsid w:val="0070726A"/>
    <w:rsid w:val="0071226B"/>
    <w:rsid w:val="0071300B"/>
    <w:rsid w:val="007137C1"/>
    <w:rsid w:val="007142DA"/>
    <w:rsid w:val="00714E20"/>
    <w:rsid w:val="00716C5A"/>
    <w:rsid w:val="00717040"/>
    <w:rsid w:val="00720F1F"/>
    <w:rsid w:val="007218A6"/>
    <w:rsid w:val="007249E1"/>
    <w:rsid w:val="00730808"/>
    <w:rsid w:val="00730D32"/>
    <w:rsid w:val="00730F3E"/>
    <w:rsid w:val="007321F6"/>
    <w:rsid w:val="007323F3"/>
    <w:rsid w:val="0073268F"/>
    <w:rsid w:val="007333DD"/>
    <w:rsid w:val="00734683"/>
    <w:rsid w:val="00735B0F"/>
    <w:rsid w:val="007364F8"/>
    <w:rsid w:val="00741E9C"/>
    <w:rsid w:val="00743C0E"/>
    <w:rsid w:val="007507C3"/>
    <w:rsid w:val="00753974"/>
    <w:rsid w:val="007541AC"/>
    <w:rsid w:val="00761640"/>
    <w:rsid w:val="007622A7"/>
    <w:rsid w:val="00762E0E"/>
    <w:rsid w:val="00764774"/>
    <w:rsid w:val="00765AA3"/>
    <w:rsid w:val="00767ACF"/>
    <w:rsid w:val="00770963"/>
    <w:rsid w:val="00770ED0"/>
    <w:rsid w:val="00772E87"/>
    <w:rsid w:val="007750A2"/>
    <w:rsid w:val="007778D2"/>
    <w:rsid w:val="00777A04"/>
    <w:rsid w:val="00777EA7"/>
    <w:rsid w:val="007817D6"/>
    <w:rsid w:val="00781E1C"/>
    <w:rsid w:val="00782406"/>
    <w:rsid w:val="007833AD"/>
    <w:rsid w:val="0078464C"/>
    <w:rsid w:val="00786146"/>
    <w:rsid w:val="00787912"/>
    <w:rsid w:val="00787F2E"/>
    <w:rsid w:val="0079177A"/>
    <w:rsid w:val="007927C4"/>
    <w:rsid w:val="0079291C"/>
    <w:rsid w:val="00793383"/>
    <w:rsid w:val="00794836"/>
    <w:rsid w:val="007948D5"/>
    <w:rsid w:val="00794F84"/>
    <w:rsid w:val="007969E9"/>
    <w:rsid w:val="007A0652"/>
    <w:rsid w:val="007A15C9"/>
    <w:rsid w:val="007A1BB6"/>
    <w:rsid w:val="007A1CA4"/>
    <w:rsid w:val="007A1EE2"/>
    <w:rsid w:val="007A2AD4"/>
    <w:rsid w:val="007A5D4E"/>
    <w:rsid w:val="007A6676"/>
    <w:rsid w:val="007A67E8"/>
    <w:rsid w:val="007A7052"/>
    <w:rsid w:val="007B1DF5"/>
    <w:rsid w:val="007B753B"/>
    <w:rsid w:val="007B7FF5"/>
    <w:rsid w:val="007C1157"/>
    <w:rsid w:val="007C131E"/>
    <w:rsid w:val="007C1C63"/>
    <w:rsid w:val="007C3FC6"/>
    <w:rsid w:val="007C5073"/>
    <w:rsid w:val="007C57F2"/>
    <w:rsid w:val="007C6795"/>
    <w:rsid w:val="007D0B95"/>
    <w:rsid w:val="007D2CE9"/>
    <w:rsid w:val="007D3EF9"/>
    <w:rsid w:val="007D4367"/>
    <w:rsid w:val="007D4DD7"/>
    <w:rsid w:val="007D4FED"/>
    <w:rsid w:val="007D5E92"/>
    <w:rsid w:val="007D678F"/>
    <w:rsid w:val="007D69DA"/>
    <w:rsid w:val="007D6A33"/>
    <w:rsid w:val="007D70B1"/>
    <w:rsid w:val="007D7140"/>
    <w:rsid w:val="007E019D"/>
    <w:rsid w:val="007E0F39"/>
    <w:rsid w:val="007E1836"/>
    <w:rsid w:val="007E1CDB"/>
    <w:rsid w:val="007E408C"/>
    <w:rsid w:val="007E43D2"/>
    <w:rsid w:val="007E4657"/>
    <w:rsid w:val="007E50BF"/>
    <w:rsid w:val="007E5AD6"/>
    <w:rsid w:val="007E6276"/>
    <w:rsid w:val="007E7E21"/>
    <w:rsid w:val="007F0460"/>
    <w:rsid w:val="007F08C3"/>
    <w:rsid w:val="007F0DA2"/>
    <w:rsid w:val="007F11C5"/>
    <w:rsid w:val="007F2356"/>
    <w:rsid w:val="007F2830"/>
    <w:rsid w:val="007F2ABE"/>
    <w:rsid w:val="007F3497"/>
    <w:rsid w:val="007F39CE"/>
    <w:rsid w:val="007F5E0D"/>
    <w:rsid w:val="007F6B7D"/>
    <w:rsid w:val="007F6D0C"/>
    <w:rsid w:val="007F74EE"/>
    <w:rsid w:val="007F7AFE"/>
    <w:rsid w:val="007F7FC8"/>
    <w:rsid w:val="00800139"/>
    <w:rsid w:val="00801085"/>
    <w:rsid w:val="0080172E"/>
    <w:rsid w:val="00801A89"/>
    <w:rsid w:val="00804457"/>
    <w:rsid w:val="00806DC6"/>
    <w:rsid w:val="008116AF"/>
    <w:rsid w:val="00812138"/>
    <w:rsid w:val="00812871"/>
    <w:rsid w:val="00813152"/>
    <w:rsid w:val="008132CD"/>
    <w:rsid w:val="0081396E"/>
    <w:rsid w:val="0081404E"/>
    <w:rsid w:val="0081420D"/>
    <w:rsid w:val="00815186"/>
    <w:rsid w:val="008151F2"/>
    <w:rsid w:val="0081777A"/>
    <w:rsid w:val="00817AA2"/>
    <w:rsid w:val="00821001"/>
    <w:rsid w:val="008210E0"/>
    <w:rsid w:val="00822495"/>
    <w:rsid w:val="00822AFD"/>
    <w:rsid w:val="0082330F"/>
    <w:rsid w:val="00824079"/>
    <w:rsid w:val="00831F0A"/>
    <w:rsid w:val="00833A78"/>
    <w:rsid w:val="00833D5D"/>
    <w:rsid w:val="00835C74"/>
    <w:rsid w:val="008360B0"/>
    <w:rsid w:val="0083650A"/>
    <w:rsid w:val="00837A92"/>
    <w:rsid w:val="008400C5"/>
    <w:rsid w:val="00841FC6"/>
    <w:rsid w:val="00843BC0"/>
    <w:rsid w:val="00844ABA"/>
    <w:rsid w:val="00844D66"/>
    <w:rsid w:val="0084585F"/>
    <w:rsid w:val="00847FA2"/>
    <w:rsid w:val="008515DD"/>
    <w:rsid w:val="00852F50"/>
    <w:rsid w:val="0085318E"/>
    <w:rsid w:val="00853B5D"/>
    <w:rsid w:val="00853E53"/>
    <w:rsid w:val="0085535C"/>
    <w:rsid w:val="00856D18"/>
    <w:rsid w:val="00857B9E"/>
    <w:rsid w:val="008618FB"/>
    <w:rsid w:val="00861F4B"/>
    <w:rsid w:val="00864681"/>
    <w:rsid w:val="00864D76"/>
    <w:rsid w:val="008656C9"/>
    <w:rsid w:val="0086711C"/>
    <w:rsid w:val="00867535"/>
    <w:rsid w:val="008678FD"/>
    <w:rsid w:val="008702A1"/>
    <w:rsid w:val="00873317"/>
    <w:rsid w:val="00875C5B"/>
    <w:rsid w:val="00876CC3"/>
    <w:rsid w:val="00877048"/>
    <w:rsid w:val="00880184"/>
    <w:rsid w:val="008826C7"/>
    <w:rsid w:val="008834B9"/>
    <w:rsid w:val="00883C5F"/>
    <w:rsid w:val="0088550E"/>
    <w:rsid w:val="008855C8"/>
    <w:rsid w:val="008866AE"/>
    <w:rsid w:val="0088691E"/>
    <w:rsid w:val="008907B3"/>
    <w:rsid w:val="00891C7D"/>
    <w:rsid w:val="00892FA7"/>
    <w:rsid w:val="00893582"/>
    <w:rsid w:val="008958CC"/>
    <w:rsid w:val="008960D2"/>
    <w:rsid w:val="00896F39"/>
    <w:rsid w:val="008A00F2"/>
    <w:rsid w:val="008A29BC"/>
    <w:rsid w:val="008A3301"/>
    <w:rsid w:val="008A38A3"/>
    <w:rsid w:val="008A3A5B"/>
    <w:rsid w:val="008A4DF1"/>
    <w:rsid w:val="008A5636"/>
    <w:rsid w:val="008A56F1"/>
    <w:rsid w:val="008A62A2"/>
    <w:rsid w:val="008B0B9E"/>
    <w:rsid w:val="008B10E9"/>
    <w:rsid w:val="008B125E"/>
    <w:rsid w:val="008B1FDF"/>
    <w:rsid w:val="008B220E"/>
    <w:rsid w:val="008B241C"/>
    <w:rsid w:val="008B408B"/>
    <w:rsid w:val="008B4DA5"/>
    <w:rsid w:val="008B4F11"/>
    <w:rsid w:val="008B55E8"/>
    <w:rsid w:val="008B6AF2"/>
    <w:rsid w:val="008C1AEE"/>
    <w:rsid w:val="008C1EA9"/>
    <w:rsid w:val="008C2362"/>
    <w:rsid w:val="008C3049"/>
    <w:rsid w:val="008C36DE"/>
    <w:rsid w:val="008C4685"/>
    <w:rsid w:val="008C5139"/>
    <w:rsid w:val="008C6F44"/>
    <w:rsid w:val="008C73EA"/>
    <w:rsid w:val="008C74D9"/>
    <w:rsid w:val="008D00FE"/>
    <w:rsid w:val="008D0777"/>
    <w:rsid w:val="008D2AD8"/>
    <w:rsid w:val="008D2EBC"/>
    <w:rsid w:val="008D3802"/>
    <w:rsid w:val="008D4AE9"/>
    <w:rsid w:val="008D4F39"/>
    <w:rsid w:val="008D54E4"/>
    <w:rsid w:val="008D5CF3"/>
    <w:rsid w:val="008D6CA0"/>
    <w:rsid w:val="008D7D39"/>
    <w:rsid w:val="008E0167"/>
    <w:rsid w:val="008E0895"/>
    <w:rsid w:val="008E0C85"/>
    <w:rsid w:val="008E1185"/>
    <w:rsid w:val="008E4574"/>
    <w:rsid w:val="008E69E6"/>
    <w:rsid w:val="008E72EB"/>
    <w:rsid w:val="008E7AE6"/>
    <w:rsid w:val="008F4016"/>
    <w:rsid w:val="008F42FE"/>
    <w:rsid w:val="008F456F"/>
    <w:rsid w:val="008F4A00"/>
    <w:rsid w:val="008F5402"/>
    <w:rsid w:val="008F5713"/>
    <w:rsid w:val="008F6A24"/>
    <w:rsid w:val="0090053A"/>
    <w:rsid w:val="00901C2A"/>
    <w:rsid w:val="009027BE"/>
    <w:rsid w:val="009043BF"/>
    <w:rsid w:val="009069B2"/>
    <w:rsid w:val="0091184C"/>
    <w:rsid w:val="009118BE"/>
    <w:rsid w:val="009118C7"/>
    <w:rsid w:val="00913845"/>
    <w:rsid w:val="0091407B"/>
    <w:rsid w:val="009149EC"/>
    <w:rsid w:val="009158FE"/>
    <w:rsid w:val="00920B33"/>
    <w:rsid w:val="009225B6"/>
    <w:rsid w:val="00922DF6"/>
    <w:rsid w:val="00923A0F"/>
    <w:rsid w:val="00925397"/>
    <w:rsid w:val="009258BE"/>
    <w:rsid w:val="009327C9"/>
    <w:rsid w:val="00933A21"/>
    <w:rsid w:val="00933F4C"/>
    <w:rsid w:val="00934C10"/>
    <w:rsid w:val="0093662A"/>
    <w:rsid w:val="00937840"/>
    <w:rsid w:val="0094060C"/>
    <w:rsid w:val="00942C4B"/>
    <w:rsid w:val="00944196"/>
    <w:rsid w:val="0095303D"/>
    <w:rsid w:val="00953716"/>
    <w:rsid w:val="0095428F"/>
    <w:rsid w:val="00954437"/>
    <w:rsid w:val="00955FFE"/>
    <w:rsid w:val="00956E08"/>
    <w:rsid w:val="009606A5"/>
    <w:rsid w:val="00962A23"/>
    <w:rsid w:val="00962F1F"/>
    <w:rsid w:val="00963064"/>
    <w:rsid w:val="0096315F"/>
    <w:rsid w:val="00965304"/>
    <w:rsid w:val="00965D99"/>
    <w:rsid w:val="0096623C"/>
    <w:rsid w:val="0096704D"/>
    <w:rsid w:val="00971293"/>
    <w:rsid w:val="009719CA"/>
    <w:rsid w:val="00971BDD"/>
    <w:rsid w:val="00972C74"/>
    <w:rsid w:val="00973700"/>
    <w:rsid w:val="00973A3B"/>
    <w:rsid w:val="00973E5B"/>
    <w:rsid w:val="00974A42"/>
    <w:rsid w:val="0097538B"/>
    <w:rsid w:val="00976913"/>
    <w:rsid w:val="00977090"/>
    <w:rsid w:val="009770B0"/>
    <w:rsid w:val="00983081"/>
    <w:rsid w:val="00983EAE"/>
    <w:rsid w:val="00984DA9"/>
    <w:rsid w:val="00987529"/>
    <w:rsid w:val="0098760B"/>
    <w:rsid w:val="0098767B"/>
    <w:rsid w:val="009904FB"/>
    <w:rsid w:val="00990C04"/>
    <w:rsid w:val="00992530"/>
    <w:rsid w:val="0099289A"/>
    <w:rsid w:val="00995AA4"/>
    <w:rsid w:val="009A0AA7"/>
    <w:rsid w:val="009A11DD"/>
    <w:rsid w:val="009A1E47"/>
    <w:rsid w:val="009A2789"/>
    <w:rsid w:val="009A29BE"/>
    <w:rsid w:val="009A612F"/>
    <w:rsid w:val="009A6202"/>
    <w:rsid w:val="009A6893"/>
    <w:rsid w:val="009A7478"/>
    <w:rsid w:val="009A79AC"/>
    <w:rsid w:val="009A7D9C"/>
    <w:rsid w:val="009B30AA"/>
    <w:rsid w:val="009B5217"/>
    <w:rsid w:val="009B6056"/>
    <w:rsid w:val="009B76FF"/>
    <w:rsid w:val="009C4031"/>
    <w:rsid w:val="009C48DE"/>
    <w:rsid w:val="009C49AC"/>
    <w:rsid w:val="009C5F09"/>
    <w:rsid w:val="009C6A6E"/>
    <w:rsid w:val="009D5014"/>
    <w:rsid w:val="009D5255"/>
    <w:rsid w:val="009D5F09"/>
    <w:rsid w:val="009D60D9"/>
    <w:rsid w:val="009D6393"/>
    <w:rsid w:val="009E07CE"/>
    <w:rsid w:val="009E1DDB"/>
    <w:rsid w:val="009E1E1E"/>
    <w:rsid w:val="009E2DC1"/>
    <w:rsid w:val="009E33E3"/>
    <w:rsid w:val="009E5F87"/>
    <w:rsid w:val="009E657B"/>
    <w:rsid w:val="009E6CC5"/>
    <w:rsid w:val="009E7F16"/>
    <w:rsid w:val="009E7F82"/>
    <w:rsid w:val="009F0411"/>
    <w:rsid w:val="009F0821"/>
    <w:rsid w:val="009F1345"/>
    <w:rsid w:val="009F1E65"/>
    <w:rsid w:val="009F27DC"/>
    <w:rsid w:val="009F309A"/>
    <w:rsid w:val="009F32C9"/>
    <w:rsid w:val="009F5052"/>
    <w:rsid w:val="009F6478"/>
    <w:rsid w:val="009F77F1"/>
    <w:rsid w:val="00A003C4"/>
    <w:rsid w:val="00A01489"/>
    <w:rsid w:val="00A02B46"/>
    <w:rsid w:val="00A03083"/>
    <w:rsid w:val="00A040E8"/>
    <w:rsid w:val="00A04A54"/>
    <w:rsid w:val="00A04C85"/>
    <w:rsid w:val="00A0532E"/>
    <w:rsid w:val="00A0746C"/>
    <w:rsid w:val="00A100F0"/>
    <w:rsid w:val="00A12525"/>
    <w:rsid w:val="00A14968"/>
    <w:rsid w:val="00A156E6"/>
    <w:rsid w:val="00A15B86"/>
    <w:rsid w:val="00A15F31"/>
    <w:rsid w:val="00A16AA5"/>
    <w:rsid w:val="00A177C5"/>
    <w:rsid w:val="00A20B30"/>
    <w:rsid w:val="00A20B9A"/>
    <w:rsid w:val="00A25C99"/>
    <w:rsid w:val="00A27D86"/>
    <w:rsid w:val="00A30A3D"/>
    <w:rsid w:val="00A3193F"/>
    <w:rsid w:val="00A31BC6"/>
    <w:rsid w:val="00A33151"/>
    <w:rsid w:val="00A344B8"/>
    <w:rsid w:val="00A3643A"/>
    <w:rsid w:val="00A36970"/>
    <w:rsid w:val="00A36BD3"/>
    <w:rsid w:val="00A37956"/>
    <w:rsid w:val="00A41EB4"/>
    <w:rsid w:val="00A44BFF"/>
    <w:rsid w:val="00A501E3"/>
    <w:rsid w:val="00A50F0C"/>
    <w:rsid w:val="00A53D7B"/>
    <w:rsid w:val="00A55C81"/>
    <w:rsid w:val="00A56441"/>
    <w:rsid w:val="00A64AA3"/>
    <w:rsid w:val="00A655D6"/>
    <w:rsid w:val="00A65924"/>
    <w:rsid w:val="00A66D1E"/>
    <w:rsid w:val="00A71936"/>
    <w:rsid w:val="00A732C9"/>
    <w:rsid w:val="00A736DD"/>
    <w:rsid w:val="00A74D8E"/>
    <w:rsid w:val="00A77F1B"/>
    <w:rsid w:val="00A77F2C"/>
    <w:rsid w:val="00A805C2"/>
    <w:rsid w:val="00A82869"/>
    <w:rsid w:val="00A83D90"/>
    <w:rsid w:val="00A8758C"/>
    <w:rsid w:val="00A879DC"/>
    <w:rsid w:val="00A92D2A"/>
    <w:rsid w:val="00A93F02"/>
    <w:rsid w:val="00AA001C"/>
    <w:rsid w:val="00AA127E"/>
    <w:rsid w:val="00AA19AE"/>
    <w:rsid w:val="00AA39CF"/>
    <w:rsid w:val="00AA423D"/>
    <w:rsid w:val="00AA4AD1"/>
    <w:rsid w:val="00AA4F3C"/>
    <w:rsid w:val="00AA579D"/>
    <w:rsid w:val="00AA6A95"/>
    <w:rsid w:val="00AA71CE"/>
    <w:rsid w:val="00AA7AA1"/>
    <w:rsid w:val="00AB0E27"/>
    <w:rsid w:val="00AB10DE"/>
    <w:rsid w:val="00AB2AD6"/>
    <w:rsid w:val="00AB3668"/>
    <w:rsid w:val="00AB3E21"/>
    <w:rsid w:val="00AB4A38"/>
    <w:rsid w:val="00AB5221"/>
    <w:rsid w:val="00AB5ED7"/>
    <w:rsid w:val="00AB6608"/>
    <w:rsid w:val="00AB70F5"/>
    <w:rsid w:val="00AB7F8F"/>
    <w:rsid w:val="00AC0B4C"/>
    <w:rsid w:val="00AC1662"/>
    <w:rsid w:val="00AC301F"/>
    <w:rsid w:val="00AC4C92"/>
    <w:rsid w:val="00AC611C"/>
    <w:rsid w:val="00AC7494"/>
    <w:rsid w:val="00AD05D6"/>
    <w:rsid w:val="00AD0AEE"/>
    <w:rsid w:val="00AD0C03"/>
    <w:rsid w:val="00AD2349"/>
    <w:rsid w:val="00AD283F"/>
    <w:rsid w:val="00AD36FE"/>
    <w:rsid w:val="00AD49E3"/>
    <w:rsid w:val="00AD4B4F"/>
    <w:rsid w:val="00AD6D09"/>
    <w:rsid w:val="00AD7380"/>
    <w:rsid w:val="00AE2878"/>
    <w:rsid w:val="00AE309A"/>
    <w:rsid w:val="00AE3E99"/>
    <w:rsid w:val="00AE41AB"/>
    <w:rsid w:val="00AE4EA1"/>
    <w:rsid w:val="00AE52C5"/>
    <w:rsid w:val="00AF0616"/>
    <w:rsid w:val="00AF0E28"/>
    <w:rsid w:val="00AF261C"/>
    <w:rsid w:val="00AF5F5D"/>
    <w:rsid w:val="00AF6E98"/>
    <w:rsid w:val="00AF6F9B"/>
    <w:rsid w:val="00B0063A"/>
    <w:rsid w:val="00B01409"/>
    <w:rsid w:val="00B05785"/>
    <w:rsid w:val="00B05E29"/>
    <w:rsid w:val="00B10DBD"/>
    <w:rsid w:val="00B112C6"/>
    <w:rsid w:val="00B112E4"/>
    <w:rsid w:val="00B146C0"/>
    <w:rsid w:val="00B15142"/>
    <w:rsid w:val="00B15629"/>
    <w:rsid w:val="00B15ED7"/>
    <w:rsid w:val="00B1678B"/>
    <w:rsid w:val="00B2116F"/>
    <w:rsid w:val="00B2372C"/>
    <w:rsid w:val="00B24F84"/>
    <w:rsid w:val="00B26486"/>
    <w:rsid w:val="00B30C63"/>
    <w:rsid w:val="00B32F70"/>
    <w:rsid w:val="00B3469E"/>
    <w:rsid w:val="00B3526B"/>
    <w:rsid w:val="00B373D0"/>
    <w:rsid w:val="00B37A8E"/>
    <w:rsid w:val="00B40A50"/>
    <w:rsid w:val="00B417D4"/>
    <w:rsid w:val="00B42327"/>
    <w:rsid w:val="00B43AAA"/>
    <w:rsid w:val="00B471EA"/>
    <w:rsid w:val="00B513C6"/>
    <w:rsid w:val="00B53139"/>
    <w:rsid w:val="00B555E9"/>
    <w:rsid w:val="00B562CE"/>
    <w:rsid w:val="00B60EFF"/>
    <w:rsid w:val="00B6116A"/>
    <w:rsid w:val="00B62DE2"/>
    <w:rsid w:val="00B63BC0"/>
    <w:rsid w:val="00B64A6A"/>
    <w:rsid w:val="00B665C4"/>
    <w:rsid w:val="00B67D1C"/>
    <w:rsid w:val="00B67D5D"/>
    <w:rsid w:val="00B70841"/>
    <w:rsid w:val="00B70AF2"/>
    <w:rsid w:val="00B70D4C"/>
    <w:rsid w:val="00B71E11"/>
    <w:rsid w:val="00B73864"/>
    <w:rsid w:val="00B74417"/>
    <w:rsid w:val="00B77246"/>
    <w:rsid w:val="00B804D4"/>
    <w:rsid w:val="00B8059B"/>
    <w:rsid w:val="00B80953"/>
    <w:rsid w:val="00B82BC5"/>
    <w:rsid w:val="00B82DE3"/>
    <w:rsid w:val="00B83E11"/>
    <w:rsid w:val="00B84B34"/>
    <w:rsid w:val="00B855D0"/>
    <w:rsid w:val="00B85A4D"/>
    <w:rsid w:val="00B866CD"/>
    <w:rsid w:val="00B87568"/>
    <w:rsid w:val="00B87DC4"/>
    <w:rsid w:val="00B9028A"/>
    <w:rsid w:val="00B923D6"/>
    <w:rsid w:val="00B93034"/>
    <w:rsid w:val="00B93497"/>
    <w:rsid w:val="00B93A81"/>
    <w:rsid w:val="00B94425"/>
    <w:rsid w:val="00B97637"/>
    <w:rsid w:val="00B97C5D"/>
    <w:rsid w:val="00B97DBE"/>
    <w:rsid w:val="00BA0495"/>
    <w:rsid w:val="00BA1290"/>
    <w:rsid w:val="00BA169B"/>
    <w:rsid w:val="00BA4E8A"/>
    <w:rsid w:val="00BA686E"/>
    <w:rsid w:val="00BA6F11"/>
    <w:rsid w:val="00BA7B74"/>
    <w:rsid w:val="00BB051F"/>
    <w:rsid w:val="00BB2792"/>
    <w:rsid w:val="00BB5F26"/>
    <w:rsid w:val="00BB76BF"/>
    <w:rsid w:val="00BC040A"/>
    <w:rsid w:val="00BC1AD1"/>
    <w:rsid w:val="00BC1D82"/>
    <w:rsid w:val="00BC31F6"/>
    <w:rsid w:val="00BC4A58"/>
    <w:rsid w:val="00BC4EDB"/>
    <w:rsid w:val="00BC5178"/>
    <w:rsid w:val="00BC53BF"/>
    <w:rsid w:val="00BC613B"/>
    <w:rsid w:val="00BC6716"/>
    <w:rsid w:val="00BD0014"/>
    <w:rsid w:val="00BD4743"/>
    <w:rsid w:val="00BD482E"/>
    <w:rsid w:val="00BD51D9"/>
    <w:rsid w:val="00BD64E2"/>
    <w:rsid w:val="00BE2054"/>
    <w:rsid w:val="00BE2229"/>
    <w:rsid w:val="00BE311C"/>
    <w:rsid w:val="00BE33F3"/>
    <w:rsid w:val="00BE43C0"/>
    <w:rsid w:val="00BE4995"/>
    <w:rsid w:val="00BE69BD"/>
    <w:rsid w:val="00BF0F21"/>
    <w:rsid w:val="00BF1822"/>
    <w:rsid w:val="00BF1B9F"/>
    <w:rsid w:val="00BF2558"/>
    <w:rsid w:val="00BF2851"/>
    <w:rsid w:val="00BF2FA8"/>
    <w:rsid w:val="00BF429A"/>
    <w:rsid w:val="00BF48CD"/>
    <w:rsid w:val="00BF6106"/>
    <w:rsid w:val="00BF62BE"/>
    <w:rsid w:val="00BF6645"/>
    <w:rsid w:val="00BF7316"/>
    <w:rsid w:val="00C01603"/>
    <w:rsid w:val="00C032DC"/>
    <w:rsid w:val="00C037C5"/>
    <w:rsid w:val="00C03C3D"/>
    <w:rsid w:val="00C03DD3"/>
    <w:rsid w:val="00C04400"/>
    <w:rsid w:val="00C0440D"/>
    <w:rsid w:val="00C0463F"/>
    <w:rsid w:val="00C050F3"/>
    <w:rsid w:val="00C064BD"/>
    <w:rsid w:val="00C07126"/>
    <w:rsid w:val="00C13580"/>
    <w:rsid w:val="00C1459D"/>
    <w:rsid w:val="00C1491C"/>
    <w:rsid w:val="00C15C29"/>
    <w:rsid w:val="00C16853"/>
    <w:rsid w:val="00C208A8"/>
    <w:rsid w:val="00C21BF8"/>
    <w:rsid w:val="00C263F0"/>
    <w:rsid w:val="00C26B91"/>
    <w:rsid w:val="00C302B6"/>
    <w:rsid w:val="00C32522"/>
    <w:rsid w:val="00C330FB"/>
    <w:rsid w:val="00C333D0"/>
    <w:rsid w:val="00C33D41"/>
    <w:rsid w:val="00C34B0E"/>
    <w:rsid w:val="00C40AFD"/>
    <w:rsid w:val="00C4151B"/>
    <w:rsid w:val="00C41E20"/>
    <w:rsid w:val="00C42E3E"/>
    <w:rsid w:val="00C4464F"/>
    <w:rsid w:val="00C45A22"/>
    <w:rsid w:val="00C45BFE"/>
    <w:rsid w:val="00C500F6"/>
    <w:rsid w:val="00C502D6"/>
    <w:rsid w:val="00C516E0"/>
    <w:rsid w:val="00C51C13"/>
    <w:rsid w:val="00C51E47"/>
    <w:rsid w:val="00C525A5"/>
    <w:rsid w:val="00C5300F"/>
    <w:rsid w:val="00C540E0"/>
    <w:rsid w:val="00C54594"/>
    <w:rsid w:val="00C55BCA"/>
    <w:rsid w:val="00C564A1"/>
    <w:rsid w:val="00C57182"/>
    <w:rsid w:val="00C6123A"/>
    <w:rsid w:val="00C61D16"/>
    <w:rsid w:val="00C62DC2"/>
    <w:rsid w:val="00C6441D"/>
    <w:rsid w:val="00C64995"/>
    <w:rsid w:val="00C64C46"/>
    <w:rsid w:val="00C65A95"/>
    <w:rsid w:val="00C66CE0"/>
    <w:rsid w:val="00C66E9E"/>
    <w:rsid w:val="00C676DF"/>
    <w:rsid w:val="00C701D4"/>
    <w:rsid w:val="00C711BC"/>
    <w:rsid w:val="00C71BED"/>
    <w:rsid w:val="00C737B2"/>
    <w:rsid w:val="00C74CEC"/>
    <w:rsid w:val="00C75898"/>
    <w:rsid w:val="00C8010C"/>
    <w:rsid w:val="00C816BB"/>
    <w:rsid w:val="00C81A93"/>
    <w:rsid w:val="00C81B53"/>
    <w:rsid w:val="00C81D35"/>
    <w:rsid w:val="00C824AC"/>
    <w:rsid w:val="00C829A5"/>
    <w:rsid w:val="00C82AD2"/>
    <w:rsid w:val="00C82EEB"/>
    <w:rsid w:val="00C83C05"/>
    <w:rsid w:val="00C83FC6"/>
    <w:rsid w:val="00C84F18"/>
    <w:rsid w:val="00C86BB4"/>
    <w:rsid w:val="00C907C3"/>
    <w:rsid w:val="00C90FB6"/>
    <w:rsid w:val="00C9220E"/>
    <w:rsid w:val="00C932BD"/>
    <w:rsid w:val="00C93429"/>
    <w:rsid w:val="00C93751"/>
    <w:rsid w:val="00C9405E"/>
    <w:rsid w:val="00C94B48"/>
    <w:rsid w:val="00C95068"/>
    <w:rsid w:val="00C95742"/>
    <w:rsid w:val="00C96349"/>
    <w:rsid w:val="00CA0D97"/>
    <w:rsid w:val="00CA16C5"/>
    <w:rsid w:val="00CA3EF2"/>
    <w:rsid w:val="00CA3FB6"/>
    <w:rsid w:val="00CA3FF6"/>
    <w:rsid w:val="00CA40B3"/>
    <w:rsid w:val="00CA415A"/>
    <w:rsid w:val="00CA7303"/>
    <w:rsid w:val="00CA7A35"/>
    <w:rsid w:val="00CA7F1A"/>
    <w:rsid w:val="00CB062A"/>
    <w:rsid w:val="00CB1536"/>
    <w:rsid w:val="00CB434D"/>
    <w:rsid w:val="00CB6667"/>
    <w:rsid w:val="00CB6F04"/>
    <w:rsid w:val="00CB7FB8"/>
    <w:rsid w:val="00CC0C29"/>
    <w:rsid w:val="00CC1F71"/>
    <w:rsid w:val="00CC2A9A"/>
    <w:rsid w:val="00CC2C88"/>
    <w:rsid w:val="00CC3CD1"/>
    <w:rsid w:val="00CC4DAB"/>
    <w:rsid w:val="00CC5588"/>
    <w:rsid w:val="00CC58E3"/>
    <w:rsid w:val="00CC5EB3"/>
    <w:rsid w:val="00CC64E9"/>
    <w:rsid w:val="00CD08A6"/>
    <w:rsid w:val="00CD0E7B"/>
    <w:rsid w:val="00CD2513"/>
    <w:rsid w:val="00CD27E0"/>
    <w:rsid w:val="00CD2ABD"/>
    <w:rsid w:val="00CD4024"/>
    <w:rsid w:val="00CD4617"/>
    <w:rsid w:val="00CD4855"/>
    <w:rsid w:val="00CD785A"/>
    <w:rsid w:val="00CD791B"/>
    <w:rsid w:val="00CE0C35"/>
    <w:rsid w:val="00CE116D"/>
    <w:rsid w:val="00CE2995"/>
    <w:rsid w:val="00CE4AF1"/>
    <w:rsid w:val="00CE678C"/>
    <w:rsid w:val="00CE6D43"/>
    <w:rsid w:val="00CE7888"/>
    <w:rsid w:val="00CE78A6"/>
    <w:rsid w:val="00CE7ECE"/>
    <w:rsid w:val="00CF53B2"/>
    <w:rsid w:val="00CF57DC"/>
    <w:rsid w:val="00CF6CF1"/>
    <w:rsid w:val="00CF76B3"/>
    <w:rsid w:val="00CF7BE9"/>
    <w:rsid w:val="00D00790"/>
    <w:rsid w:val="00D021B4"/>
    <w:rsid w:val="00D024D2"/>
    <w:rsid w:val="00D03993"/>
    <w:rsid w:val="00D041D0"/>
    <w:rsid w:val="00D04576"/>
    <w:rsid w:val="00D068E6"/>
    <w:rsid w:val="00D10E1C"/>
    <w:rsid w:val="00D12CFB"/>
    <w:rsid w:val="00D13E5F"/>
    <w:rsid w:val="00D14E84"/>
    <w:rsid w:val="00D15BD5"/>
    <w:rsid w:val="00D161A3"/>
    <w:rsid w:val="00D167BC"/>
    <w:rsid w:val="00D16F56"/>
    <w:rsid w:val="00D22E49"/>
    <w:rsid w:val="00D23716"/>
    <w:rsid w:val="00D2418A"/>
    <w:rsid w:val="00D24FD5"/>
    <w:rsid w:val="00D25213"/>
    <w:rsid w:val="00D25ED8"/>
    <w:rsid w:val="00D26376"/>
    <w:rsid w:val="00D2650F"/>
    <w:rsid w:val="00D265FF"/>
    <w:rsid w:val="00D26652"/>
    <w:rsid w:val="00D2671E"/>
    <w:rsid w:val="00D277E8"/>
    <w:rsid w:val="00D27F8F"/>
    <w:rsid w:val="00D3039A"/>
    <w:rsid w:val="00D306C2"/>
    <w:rsid w:val="00D316B8"/>
    <w:rsid w:val="00D31CFC"/>
    <w:rsid w:val="00D3255D"/>
    <w:rsid w:val="00D32CF1"/>
    <w:rsid w:val="00D33B13"/>
    <w:rsid w:val="00D33C6B"/>
    <w:rsid w:val="00D340C3"/>
    <w:rsid w:val="00D35751"/>
    <w:rsid w:val="00D36279"/>
    <w:rsid w:val="00D40474"/>
    <w:rsid w:val="00D409CD"/>
    <w:rsid w:val="00D40CDD"/>
    <w:rsid w:val="00D418A1"/>
    <w:rsid w:val="00D4197A"/>
    <w:rsid w:val="00D423D4"/>
    <w:rsid w:val="00D42CAF"/>
    <w:rsid w:val="00D436BA"/>
    <w:rsid w:val="00D4422D"/>
    <w:rsid w:val="00D44F32"/>
    <w:rsid w:val="00D45E81"/>
    <w:rsid w:val="00D45EA8"/>
    <w:rsid w:val="00D46070"/>
    <w:rsid w:val="00D464C3"/>
    <w:rsid w:val="00D4735B"/>
    <w:rsid w:val="00D4762E"/>
    <w:rsid w:val="00D50ECD"/>
    <w:rsid w:val="00D51ABA"/>
    <w:rsid w:val="00D52FFE"/>
    <w:rsid w:val="00D5310F"/>
    <w:rsid w:val="00D53EA2"/>
    <w:rsid w:val="00D5484B"/>
    <w:rsid w:val="00D558C2"/>
    <w:rsid w:val="00D55FCD"/>
    <w:rsid w:val="00D56B6D"/>
    <w:rsid w:val="00D56D46"/>
    <w:rsid w:val="00D601EF"/>
    <w:rsid w:val="00D6111B"/>
    <w:rsid w:val="00D61326"/>
    <w:rsid w:val="00D61533"/>
    <w:rsid w:val="00D61B1E"/>
    <w:rsid w:val="00D637FE"/>
    <w:rsid w:val="00D63B2F"/>
    <w:rsid w:val="00D65217"/>
    <w:rsid w:val="00D67D06"/>
    <w:rsid w:val="00D70747"/>
    <w:rsid w:val="00D71432"/>
    <w:rsid w:val="00D71EF5"/>
    <w:rsid w:val="00D72306"/>
    <w:rsid w:val="00D7261D"/>
    <w:rsid w:val="00D72B36"/>
    <w:rsid w:val="00D755FC"/>
    <w:rsid w:val="00D75C1C"/>
    <w:rsid w:val="00D75FBD"/>
    <w:rsid w:val="00D76B6D"/>
    <w:rsid w:val="00D8132D"/>
    <w:rsid w:val="00D816F0"/>
    <w:rsid w:val="00D83752"/>
    <w:rsid w:val="00D83C36"/>
    <w:rsid w:val="00D84B3A"/>
    <w:rsid w:val="00D84D07"/>
    <w:rsid w:val="00D8526A"/>
    <w:rsid w:val="00D8640A"/>
    <w:rsid w:val="00D90E91"/>
    <w:rsid w:val="00D9115D"/>
    <w:rsid w:val="00D91AD4"/>
    <w:rsid w:val="00D92519"/>
    <w:rsid w:val="00D92AF9"/>
    <w:rsid w:val="00D931A0"/>
    <w:rsid w:val="00D940C8"/>
    <w:rsid w:val="00D95CCB"/>
    <w:rsid w:val="00DA0DA0"/>
    <w:rsid w:val="00DA15BD"/>
    <w:rsid w:val="00DA3CED"/>
    <w:rsid w:val="00DB27EF"/>
    <w:rsid w:val="00DB382C"/>
    <w:rsid w:val="00DB60E1"/>
    <w:rsid w:val="00DB6D11"/>
    <w:rsid w:val="00DB6DA6"/>
    <w:rsid w:val="00DC00F7"/>
    <w:rsid w:val="00DC04EC"/>
    <w:rsid w:val="00DC0E09"/>
    <w:rsid w:val="00DC1347"/>
    <w:rsid w:val="00DC39F1"/>
    <w:rsid w:val="00DC4812"/>
    <w:rsid w:val="00DC514F"/>
    <w:rsid w:val="00DC564F"/>
    <w:rsid w:val="00DC70C3"/>
    <w:rsid w:val="00DC766A"/>
    <w:rsid w:val="00DD2E3C"/>
    <w:rsid w:val="00DD3A5E"/>
    <w:rsid w:val="00DD3F31"/>
    <w:rsid w:val="00DD4AF4"/>
    <w:rsid w:val="00DD68C5"/>
    <w:rsid w:val="00DD71D9"/>
    <w:rsid w:val="00DE0D9A"/>
    <w:rsid w:val="00DE4B35"/>
    <w:rsid w:val="00DE5011"/>
    <w:rsid w:val="00DE594A"/>
    <w:rsid w:val="00DE6295"/>
    <w:rsid w:val="00DE6947"/>
    <w:rsid w:val="00DF19C1"/>
    <w:rsid w:val="00DF32E5"/>
    <w:rsid w:val="00DF4D53"/>
    <w:rsid w:val="00DF54CA"/>
    <w:rsid w:val="00DF56C9"/>
    <w:rsid w:val="00DF596F"/>
    <w:rsid w:val="00DF5B64"/>
    <w:rsid w:val="00DF7105"/>
    <w:rsid w:val="00E01DE7"/>
    <w:rsid w:val="00E02794"/>
    <w:rsid w:val="00E041CA"/>
    <w:rsid w:val="00E043E3"/>
    <w:rsid w:val="00E04B1E"/>
    <w:rsid w:val="00E0505B"/>
    <w:rsid w:val="00E0658A"/>
    <w:rsid w:val="00E06BB7"/>
    <w:rsid w:val="00E11280"/>
    <w:rsid w:val="00E11F93"/>
    <w:rsid w:val="00E12359"/>
    <w:rsid w:val="00E12CC6"/>
    <w:rsid w:val="00E152FF"/>
    <w:rsid w:val="00E162F3"/>
    <w:rsid w:val="00E174BB"/>
    <w:rsid w:val="00E21A6D"/>
    <w:rsid w:val="00E2461B"/>
    <w:rsid w:val="00E24886"/>
    <w:rsid w:val="00E260DA"/>
    <w:rsid w:val="00E276FB"/>
    <w:rsid w:val="00E319E5"/>
    <w:rsid w:val="00E32595"/>
    <w:rsid w:val="00E32DC6"/>
    <w:rsid w:val="00E33A74"/>
    <w:rsid w:val="00E35E3C"/>
    <w:rsid w:val="00E4030B"/>
    <w:rsid w:val="00E40965"/>
    <w:rsid w:val="00E41C12"/>
    <w:rsid w:val="00E41D56"/>
    <w:rsid w:val="00E4202B"/>
    <w:rsid w:val="00E44189"/>
    <w:rsid w:val="00E45720"/>
    <w:rsid w:val="00E457DF"/>
    <w:rsid w:val="00E46642"/>
    <w:rsid w:val="00E5012D"/>
    <w:rsid w:val="00E5139A"/>
    <w:rsid w:val="00E53A51"/>
    <w:rsid w:val="00E5413D"/>
    <w:rsid w:val="00E54473"/>
    <w:rsid w:val="00E544C0"/>
    <w:rsid w:val="00E55918"/>
    <w:rsid w:val="00E57977"/>
    <w:rsid w:val="00E635D7"/>
    <w:rsid w:val="00E64721"/>
    <w:rsid w:val="00E64B27"/>
    <w:rsid w:val="00E70576"/>
    <w:rsid w:val="00E71548"/>
    <w:rsid w:val="00E71DED"/>
    <w:rsid w:val="00E71F87"/>
    <w:rsid w:val="00E73213"/>
    <w:rsid w:val="00E743E4"/>
    <w:rsid w:val="00E74E94"/>
    <w:rsid w:val="00E75691"/>
    <w:rsid w:val="00E80C8B"/>
    <w:rsid w:val="00E82573"/>
    <w:rsid w:val="00E8273E"/>
    <w:rsid w:val="00E833C8"/>
    <w:rsid w:val="00E83954"/>
    <w:rsid w:val="00E86073"/>
    <w:rsid w:val="00E86506"/>
    <w:rsid w:val="00E86D85"/>
    <w:rsid w:val="00E9125D"/>
    <w:rsid w:val="00E91730"/>
    <w:rsid w:val="00E96F04"/>
    <w:rsid w:val="00E97AEC"/>
    <w:rsid w:val="00EA1838"/>
    <w:rsid w:val="00EA20FE"/>
    <w:rsid w:val="00EA21E2"/>
    <w:rsid w:val="00EA2A92"/>
    <w:rsid w:val="00EA5A86"/>
    <w:rsid w:val="00EA7E47"/>
    <w:rsid w:val="00EA7F4E"/>
    <w:rsid w:val="00EB3145"/>
    <w:rsid w:val="00EB385B"/>
    <w:rsid w:val="00EB491E"/>
    <w:rsid w:val="00EB5901"/>
    <w:rsid w:val="00EB63AC"/>
    <w:rsid w:val="00EB681B"/>
    <w:rsid w:val="00EB688B"/>
    <w:rsid w:val="00EB6A3C"/>
    <w:rsid w:val="00EC11AA"/>
    <w:rsid w:val="00EC1A98"/>
    <w:rsid w:val="00EC4FAD"/>
    <w:rsid w:val="00EC5FBA"/>
    <w:rsid w:val="00EC7E4C"/>
    <w:rsid w:val="00ED1ABC"/>
    <w:rsid w:val="00ED2AE3"/>
    <w:rsid w:val="00ED2D85"/>
    <w:rsid w:val="00ED325C"/>
    <w:rsid w:val="00ED3EB5"/>
    <w:rsid w:val="00ED6B81"/>
    <w:rsid w:val="00EE1989"/>
    <w:rsid w:val="00EE20D9"/>
    <w:rsid w:val="00EE3CFA"/>
    <w:rsid w:val="00EE6612"/>
    <w:rsid w:val="00EE69E4"/>
    <w:rsid w:val="00EE708D"/>
    <w:rsid w:val="00EE72CF"/>
    <w:rsid w:val="00EF10E0"/>
    <w:rsid w:val="00EF2A7F"/>
    <w:rsid w:val="00EF3AD5"/>
    <w:rsid w:val="00EF6231"/>
    <w:rsid w:val="00EF63E4"/>
    <w:rsid w:val="00EF796C"/>
    <w:rsid w:val="00EF7E90"/>
    <w:rsid w:val="00F002B6"/>
    <w:rsid w:val="00F01736"/>
    <w:rsid w:val="00F01B6F"/>
    <w:rsid w:val="00F028D9"/>
    <w:rsid w:val="00F0507A"/>
    <w:rsid w:val="00F0527B"/>
    <w:rsid w:val="00F05436"/>
    <w:rsid w:val="00F06FBA"/>
    <w:rsid w:val="00F10AFE"/>
    <w:rsid w:val="00F12E4B"/>
    <w:rsid w:val="00F158B0"/>
    <w:rsid w:val="00F15C6C"/>
    <w:rsid w:val="00F167B2"/>
    <w:rsid w:val="00F16E17"/>
    <w:rsid w:val="00F17173"/>
    <w:rsid w:val="00F20987"/>
    <w:rsid w:val="00F22425"/>
    <w:rsid w:val="00F224DC"/>
    <w:rsid w:val="00F25150"/>
    <w:rsid w:val="00F263DF"/>
    <w:rsid w:val="00F2687F"/>
    <w:rsid w:val="00F26A5E"/>
    <w:rsid w:val="00F27F29"/>
    <w:rsid w:val="00F324E7"/>
    <w:rsid w:val="00F32D54"/>
    <w:rsid w:val="00F34FF5"/>
    <w:rsid w:val="00F36C54"/>
    <w:rsid w:val="00F3791B"/>
    <w:rsid w:val="00F40894"/>
    <w:rsid w:val="00F418EA"/>
    <w:rsid w:val="00F41A29"/>
    <w:rsid w:val="00F426AC"/>
    <w:rsid w:val="00F44C1C"/>
    <w:rsid w:val="00F44EC7"/>
    <w:rsid w:val="00F518DF"/>
    <w:rsid w:val="00F53551"/>
    <w:rsid w:val="00F544DB"/>
    <w:rsid w:val="00F54815"/>
    <w:rsid w:val="00F55091"/>
    <w:rsid w:val="00F56586"/>
    <w:rsid w:val="00F57AFE"/>
    <w:rsid w:val="00F61B1B"/>
    <w:rsid w:val="00F63C66"/>
    <w:rsid w:val="00F64895"/>
    <w:rsid w:val="00F648EA"/>
    <w:rsid w:val="00F6502E"/>
    <w:rsid w:val="00F65663"/>
    <w:rsid w:val="00F65DD7"/>
    <w:rsid w:val="00F67844"/>
    <w:rsid w:val="00F70A09"/>
    <w:rsid w:val="00F71BA6"/>
    <w:rsid w:val="00F72D52"/>
    <w:rsid w:val="00F74655"/>
    <w:rsid w:val="00F74BE2"/>
    <w:rsid w:val="00F75147"/>
    <w:rsid w:val="00F756C0"/>
    <w:rsid w:val="00F75A40"/>
    <w:rsid w:val="00F75D1F"/>
    <w:rsid w:val="00F7674E"/>
    <w:rsid w:val="00F77637"/>
    <w:rsid w:val="00F8187C"/>
    <w:rsid w:val="00F8405D"/>
    <w:rsid w:val="00F8435D"/>
    <w:rsid w:val="00F84DF9"/>
    <w:rsid w:val="00F862E5"/>
    <w:rsid w:val="00F86A48"/>
    <w:rsid w:val="00F87DD0"/>
    <w:rsid w:val="00F93360"/>
    <w:rsid w:val="00F93FE4"/>
    <w:rsid w:val="00F96727"/>
    <w:rsid w:val="00F9676D"/>
    <w:rsid w:val="00F97E4E"/>
    <w:rsid w:val="00FA1A40"/>
    <w:rsid w:val="00FA217B"/>
    <w:rsid w:val="00FA3F14"/>
    <w:rsid w:val="00FA5CF9"/>
    <w:rsid w:val="00FA5DC8"/>
    <w:rsid w:val="00FA772D"/>
    <w:rsid w:val="00FB0BC5"/>
    <w:rsid w:val="00FB0BCC"/>
    <w:rsid w:val="00FB107D"/>
    <w:rsid w:val="00FB1F15"/>
    <w:rsid w:val="00FB6FEA"/>
    <w:rsid w:val="00FB73C5"/>
    <w:rsid w:val="00FC0BCD"/>
    <w:rsid w:val="00FC0FE5"/>
    <w:rsid w:val="00FC18D6"/>
    <w:rsid w:val="00FC39B5"/>
    <w:rsid w:val="00FD11B5"/>
    <w:rsid w:val="00FD1ABC"/>
    <w:rsid w:val="00FD4932"/>
    <w:rsid w:val="00FD4CED"/>
    <w:rsid w:val="00FD5AB7"/>
    <w:rsid w:val="00FD6330"/>
    <w:rsid w:val="00FD6DBC"/>
    <w:rsid w:val="00FD7DDF"/>
    <w:rsid w:val="00FE0770"/>
    <w:rsid w:val="00FE1671"/>
    <w:rsid w:val="00FE3094"/>
    <w:rsid w:val="00FE4BFC"/>
    <w:rsid w:val="00FE4C92"/>
    <w:rsid w:val="00FE5EB1"/>
    <w:rsid w:val="00FE6A55"/>
    <w:rsid w:val="00FF01E3"/>
    <w:rsid w:val="00FF0FAA"/>
    <w:rsid w:val="00FF10A2"/>
    <w:rsid w:val="00FF11D9"/>
    <w:rsid w:val="00FF3759"/>
    <w:rsid w:val="00FF4396"/>
    <w:rsid w:val="00FF6A0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29F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uiPriority w:val="99"/>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locked/>
    <w:rsid w:val="00CB1536"/>
    <w:rPr>
      <w:sz w:val="16"/>
      <w:lang w:val="fr-FR"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character" w:styleId="CommentReference">
    <w:name w:val="annotation reference"/>
    <w:basedOn w:val="DefaultParagraphFont"/>
    <w:semiHidden/>
    <w:unhideWhenUsed/>
    <w:rsid w:val="009F77F1"/>
    <w:rPr>
      <w:sz w:val="16"/>
      <w:szCs w:val="16"/>
    </w:rPr>
  </w:style>
  <w:style w:type="paragraph" w:styleId="CommentText">
    <w:name w:val="annotation text"/>
    <w:basedOn w:val="Normal"/>
    <w:link w:val="CommentTextChar"/>
    <w:semiHidden/>
    <w:unhideWhenUsed/>
    <w:rsid w:val="009F77F1"/>
    <w:pPr>
      <w:spacing w:line="240" w:lineRule="auto"/>
    </w:pPr>
    <w:rPr>
      <w:sz w:val="20"/>
      <w:szCs w:val="20"/>
    </w:rPr>
  </w:style>
  <w:style w:type="character" w:customStyle="1" w:styleId="CommentTextChar">
    <w:name w:val="Comment Text Char"/>
    <w:basedOn w:val="DefaultParagraphFont"/>
    <w:link w:val="CommentText"/>
    <w:semiHidden/>
    <w:rsid w:val="009F77F1"/>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9F77F1"/>
    <w:rPr>
      <w:b/>
      <w:bCs/>
    </w:rPr>
  </w:style>
  <w:style w:type="character" w:customStyle="1" w:styleId="CommentSubjectChar">
    <w:name w:val="Comment Subject Char"/>
    <w:basedOn w:val="CommentTextChar"/>
    <w:link w:val="CommentSubject"/>
    <w:uiPriority w:val="99"/>
    <w:semiHidden/>
    <w:rsid w:val="009F77F1"/>
    <w:rPr>
      <w:b/>
      <w:bCs/>
      <w:sz w:val="20"/>
      <w:szCs w:val="20"/>
      <w:lang w:eastAsia="en-US" w:bidi="ar-SA"/>
    </w:rPr>
  </w:style>
  <w:style w:type="character" w:customStyle="1" w:styleId="UnresolvedMention1">
    <w:name w:val="Unresolved Mention1"/>
    <w:basedOn w:val="DefaultParagraphFont"/>
    <w:uiPriority w:val="99"/>
    <w:semiHidden/>
    <w:unhideWhenUsed/>
    <w:rsid w:val="00E40965"/>
    <w:rPr>
      <w:color w:val="605E5C"/>
      <w:shd w:val="clear" w:color="auto" w:fill="E1DFDD"/>
    </w:rPr>
  </w:style>
  <w:style w:type="paragraph" w:styleId="ListParagraph">
    <w:name w:val="List Paragraph"/>
    <w:basedOn w:val="Normal"/>
    <w:uiPriority w:val="34"/>
    <w:qFormat/>
    <w:rsid w:val="00CF57DC"/>
    <w:pPr>
      <w:ind w:left="720"/>
      <w:contextualSpacing/>
    </w:pPr>
  </w:style>
  <w:style w:type="table" w:styleId="TableGrid">
    <w:name w:val="Table Grid"/>
    <w:basedOn w:val="TableNormal"/>
    <w:locked/>
    <w:rsid w:val="00CF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F4823"/>
    <w:pPr>
      <w:spacing w:line="288" w:lineRule="auto"/>
      <w:jc w:val="both"/>
    </w:pPr>
    <w:rPr>
      <w:sz w:val="20"/>
      <w:szCs w:val="20"/>
      <w:lang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3F4823"/>
    <w:pPr>
      <w:spacing w:before="120" w:after="120" w:line="240" w:lineRule="auto"/>
      <w:ind w:left="850"/>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28784">
      <w:bodyDiv w:val="1"/>
      <w:marLeft w:val="0"/>
      <w:marRight w:val="0"/>
      <w:marTop w:val="0"/>
      <w:marBottom w:val="0"/>
      <w:divBdr>
        <w:top w:val="none" w:sz="0" w:space="0" w:color="auto"/>
        <w:left w:val="none" w:sz="0" w:space="0" w:color="auto"/>
        <w:bottom w:val="none" w:sz="0" w:space="0" w:color="auto"/>
        <w:right w:val="none" w:sz="0" w:space="0" w:color="auto"/>
      </w:divBdr>
    </w:div>
    <w:div w:id="612324433">
      <w:bodyDiv w:val="1"/>
      <w:marLeft w:val="0"/>
      <w:marRight w:val="0"/>
      <w:marTop w:val="0"/>
      <w:marBottom w:val="0"/>
      <w:divBdr>
        <w:top w:val="none" w:sz="0" w:space="0" w:color="auto"/>
        <w:left w:val="none" w:sz="0" w:space="0" w:color="auto"/>
        <w:bottom w:val="none" w:sz="0" w:space="0" w:color="auto"/>
        <w:right w:val="none" w:sz="0" w:space="0" w:color="auto"/>
      </w:divBdr>
    </w:div>
    <w:div w:id="623275163">
      <w:bodyDiv w:val="1"/>
      <w:marLeft w:val="0"/>
      <w:marRight w:val="0"/>
      <w:marTop w:val="0"/>
      <w:marBottom w:val="0"/>
      <w:divBdr>
        <w:top w:val="none" w:sz="0" w:space="0" w:color="auto"/>
        <w:left w:val="none" w:sz="0" w:space="0" w:color="auto"/>
        <w:bottom w:val="none" w:sz="0" w:space="0" w:color="auto"/>
        <w:right w:val="none" w:sz="0" w:space="0" w:color="auto"/>
      </w:divBdr>
      <w:divsChild>
        <w:div w:id="967857973">
          <w:marLeft w:val="0"/>
          <w:marRight w:val="0"/>
          <w:marTop w:val="0"/>
          <w:marBottom w:val="0"/>
          <w:divBdr>
            <w:top w:val="none" w:sz="0" w:space="0" w:color="auto"/>
            <w:left w:val="none" w:sz="0" w:space="0" w:color="auto"/>
            <w:bottom w:val="none" w:sz="0" w:space="0" w:color="auto"/>
            <w:right w:val="none" w:sz="0" w:space="0" w:color="auto"/>
          </w:divBdr>
          <w:divsChild>
            <w:div w:id="1159494416">
              <w:marLeft w:val="0"/>
              <w:marRight w:val="0"/>
              <w:marTop w:val="0"/>
              <w:marBottom w:val="0"/>
              <w:divBdr>
                <w:top w:val="none" w:sz="0" w:space="0" w:color="auto"/>
                <w:left w:val="none" w:sz="0" w:space="0" w:color="auto"/>
                <w:bottom w:val="none" w:sz="0" w:space="0" w:color="auto"/>
                <w:right w:val="none" w:sz="0" w:space="0" w:color="auto"/>
              </w:divBdr>
              <w:divsChild>
                <w:div w:id="926885465">
                  <w:marLeft w:val="-180"/>
                  <w:marRight w:val="-180"/>
                  <w:marTop w:val="0"/>
                  <w:marBottom w:val="0"/>
                  <w:divBdr>
                    <w:top w:val="none" w:sz="0" w:space="0" w:color="auto"/>
                    <w:left w:val="none" w:sz="0" w:space="0" w:color="auto"/>
                    <w:bottom w:val="none" w:sz="0" w:space="0" w:color="auto"/>
                    <w:right w:val="none" w:sz="0" w:space="0" w:color="auto"/>
                  </w:divBdr>
                  <w:divsChild>
                    <w:div w:id="1836991204">
                      <w:marLeft w:val="0"/>
                      <w:marRight w:val="0"/>
                      <w:marTop w:val="0"/>
                      <w:marBottom w:val="0"/>
                      <w:divBdr>
                        <w:top w:val="none" w:sz="0" w:space="0" w:color="auto"/>
                        <w:left w:val="none" w:sz="0" w:space="0" w:color="auto"/>
                        <w:bottom w:val="none" w:sz="0" w:space="0" w:color="auto"/>
                        <w:right w:val="none" w:sz="0" w:space="0" w:color="auto"/>
                      </w:divBdr>
                      <w:divsChild>
                        <w:div w:id="1440950283">
                          <w:marLeft w:val="-180"/>
                          <w:marRight w:val="-180"/>
                          <w:marTop w:val="0"/>
                          <w:marBottom w:val="210"/>
                          <w:divBdr>
                            <w:top w:val="none" w:sz="0" w:space="0" w:color="auto"/>
                            <w:left w:val="none" w:sz="0" w:space="0" w:color="auto"/>
                            <w:bottom w:val="none" w:sz="0" w:space="0" w:color="auto"/>
                            <w:right w:val="none" w:sz="0" w:space="0" w:color="auto"/>
                          </w:divBdr>
                          <w:divsChild>
                            <w:div w:id="64839542">
                              <w:marLeft w:val="0"/>
                              <w:marRight w:val="0"/>
                              <w:marTop w:val="0"/>
                              <w:marBottom w:val="0"/>
                              <w:divBdr>
                                <w:top w:val="none" w:sz="0" w:space="0" w:color="auto"/>
                                <w:left w:val="none" w:sz="0" w:space="0" w:color="auto"/>
                                <w:bottom w:val="none" w:sz="0" w:space="0" w:color="auto"/>
                                <w:right w:val="none" w:sz="0" w:space="0" w:color="auto"/>
                              </w:divBdr>
                            </w:div>
                          </w:divsChild>
                        </w:div>
                        <w:div w:id="876242354">
                          <w:marLeft w:val="-180"/>
                          <w:marRight w:val="-180"/>
                          <w:marTop w:val="0"/>
                          <w:marBottom w:val="210"/>
                          <w:divBdr>
                            <w:top w:val="none" w:sz="0" w:space="0" w:color="auto"/>
                            <w:left w:val="none" w:sz="0" w:space="0" w:color="auto"/>
                            <w:bottom w:val="none" w:sz="0" w:space="0" w:color="auto"/>
                            <w:right w:val="none" w:sz="0" w:space="0" w:color="auto"/>
                          </w:divBdr>
                          <w:divsChild>
                            <w:div w:id="1192839855">
                              <w:marLeft w:val="0"/>
                              <w:marRight w:val="0"/>
                              <w:marTop w:val="0"/>
                              <w:marBottom w:val="0"/>
                              <w:divBdr>
                                <w:top w:val="none" w:sz="0" w:space="0" w:color="auto"/>
                                <w:left w:val="none" w:sz="0" w:space="0" w:color="auto"/>
                                <w:bottom w:val="none" w:sz="0" w:space="0" w:color="auto"/>
                                <w:right w:val="none" w:sz="0" w:space="0" w:color="auto"/>
                              </w:divBdr>
                            </w:div>
                            <w:div w:id="881094862">
                              <w:marLeft w:val="0"/>
                              <w:marRight w:val="0"/>
                              <w:marTop w:val="0"/>
                              <w:marBottom w:val="0"/>
                              <w:divBdr>
                                <w:top w:val="none" w:sz="0" w:space="0" w:color="auto"/>
                                <w:left w:val="none" w:sz="0" w:space="0" w:color="auto"/>
                                <w:bottom w:val="none" w:sz="0" w:space="0" w:color="auto"/>
                                <w:right w:val="none" w:sz="0" w:space="0" w:color="auto"/>
                              </w:divBdr>
                            </w:div>
                          </w:divsChild>
                        </w:div>
                        <w:div w:id="1443575605">
                          <w:marLeft w:val="-180"/>
                          <w:marRight w:val="-180"/>
                          <w:marTop w:val="0"/>
                          <w:marBottom w:val="210"/>
                          <w:divBdr>
                            <w:top w:val="none" w:sz="0" w:space="0" w:color="auto"/>
                            <w:left w:val="none" w:sz="0" w:space="0" w:color="auto"/>
                            <w:bottom w:val="none" w:sz="0" w:space="0" w:color="auto"/>
                            <w:right w:val="none" w:sz="0" w:space="0" w:color="auto"/>
                          </w:divBdr>
                          <w:divsChild>
                            <w:div w:id="356010202">
                              <w:marLeft w:val="0"/>
                              <w:marRight w:val="0"/>
                              <w:marTop w:val="0"/>
                              <w:marBottom w:val="0"/>
                              <w:divBdr>
                                <w:top w:val="none" w:sz="0" w:space="0" w:color="auto"/>
                                <w:left w:val="none" w:sz="0" w:space="0" w:color="auto"/>
                                <w:bottom w:val="none" w:sz="0" w:space="0" w:color="auto"/>
                                <w:right w:val="none" w:sz="0" w:space="0" w:color="auto"/>
                              </w:divBdr>
                            </w:div>
                            <w:div w:id="1579175440">
                              <w:marLeft w:val="0"/>
                              <w:marRight w:val="0"/>
                              <w:marTop w:val="0"/>
                              <w:marBottom w:val="0"/>
                              <w:divBdr>
                                <w:top w:val="none" w:sz="0" w:space="0" w:color="auto"/>
                                <w:left w:val="none" w:sz="0" w:space="0" w:color="auto"/>
                                <w:bottom w:val="none" w:sz="0" w:space="0" w:color="auto"/>
                                <w:right w:val="none" w:sz="0" w:space="0" w:color="auto"/>
                              </w:divBdr>
                            </w:div>
                          </w:divsChild>
                        </w:div>
                        <w:div w:id="1854419591">
                          <w:marLeft w:val="-180"/>
                          <w:marRight w:val="-180"/>
                          <w:marTop w:val="0"/>
                          <w:marBottom w:val="210"/>
                          <w:divBdr>
                            <w:top w:val="none" w:sz="0" w:space="0" w:color="auto"/>
                            <w:left w:val="none" w:sz="0" w:space="0" w:color="auto"/>
                            <w:bottom w:val="none" w:sz="0" w:space="0" w:color="auto"/>
                            <w:right w:val="none" w:sz="0" w:space="0" w:color="auto"/>
                          </w:divBdr>
                          <w:divsChild>
                            <w:div w:id="3929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107374">
          <w:marLeft w:val="0"/>
          <w:marRight w:val="0"/>
          <w:marTop w:val="0"/>
          <w:marBottom w:val="0"/>
          <w:divBdr>
            <w:top w:val="none" w:sz="0" w:space="0" w:color="auto"/>
            <w:left w:val="none" w:sz="0" w:space="0" w:color="auto"/>
            <w:bottom w:val="none" w:sz="0" w:space="0" w:color="auto"/>
            <w:right w:val="none" w:sz="0" w:space="0" w:color="auto"/>
          </w:divBdr>
          <w:divsChild>
            <w:div w:id="1036661546">
              <w:marLeft w:val="0"/>
              <w:marRight w:val="0"/>
              <w:marTop w:val="0"/>
              <w:marBottom w:val="210"/>
              <w:divBdr>
                <w:top w:val="none" w:sz="0" w:space="0" w:color="auto"/>
                <w:left w:val="none" w:sz="0" w:space="0" w:color="auto"/>
                <w:bottom w:val="single" w:sz="6" w:space="0" w:color="D9D9D9"/>
                <w:right w:val="none" w:sz="0" w:space="0" w:color="auto"/>
              </w:divBdr>
              <w:divsChild>
                <w:div w:id="640354199">
                  <w:marLeft w:val="0"/>
                  <w:marRight w:val="0"/>
                  <w:marTop w:val="0"/>
                  <w:marBottom w:val="0"/>
                  <w:divBdr>
                    <w:top w:val="none" w:sz="0" w:space="0" w:color="auto"/>
                    <w:left w:val="none" w:sz="0" w:space="0" w:color="auto"/>
                    <w:bottom w:val="none" w:sz="0" w:space="0" w:color="auto"/>
                    <w:right w:val="none" w:sz="0" w:space="0" w:color="auto"/>
                  </w:divBdr>
                </w:div>
                <w:div w:id="1177765748">
                  <w:marLeft w:val="0"/>
                  <w:marRight w:val="0"/>
                  <w:marTop w:val="0"/>
                  <w:marBottom w:val="0"/>
                  <w:divBdr>
                    <w:top w:val="none" w:sz="0" w:space="0" w:color="auto"/>
                    <w:left w:val="none" w:sz="0" w:space="0" w:color="auto"/>
                    <w:bottom w:val="none" w:sz="0" w:space="0" w:color="auto"/>
                    <w:right w:val="none" w:sz="0" w:space="0" w:color="auto"/>
                  </w:divBdr>
                </w:div>
              </w:divsChild>
            </w:div>
            <w:div w:id="1769155524">
              <w:marLeft w:val="0"/>
              <w:marRight w:val="0"/>
              <w:marTop w:val="0"/>
              <w:marBottom w:val="0"/>
              <w:divBdr>
                <w:top w:val="none" w:sz="0" w:space="0" w:color="auto"/>
                <w:left w:val="none" w:sz="0" w:space="0" w:color="auto"/>
                <w:bottom w:val="none" w:sz="0" w:space="0" w:color="auto"/>
                <w:right w:val="none" w:sz="0" w:space="0" w:color="auto"/>
              </w:divBdr>
              <w:divsChild>
                <w:div w:id="892351865">
                  <w:marLeft w:val="-180"/>
                  <w:marRight w:val="-180"/>
                  <w:marTop w:val="0"/>
                  <w:marBottom w:val="0"/>
                  <w:divBdr>
                    <w:top w:val="none" w:sz="0" w:space="0" w:color="auto"/>
                    <w:left w:val="none" w:sz="0" w:space="0" w:color="auto"/>
                    <w:bottom w:val="none" w:sz="0" w:space="0" w:color="auto"/>
                    <w:right w:val="none" w:sz="0" w:space="0" w:color="auto"/>
                  </w:divBdr>
                  <w:divsChild>
                    <w:div w:id="964198260">
                      <w:marLeft w:val="0"/>
                      <w:marRight w:val="0"/>
                      <w:marTop w:val="0"/>
                      <w:marBottom w:val="0"/>
                      <w:divBdr>
                        <w:top w:val="none" w:sz="0" w:space="0" w:color="auto"/>
                        <w:left w:val="none" w:sz="0" w:space="0" w:color="auto"/>
                        <w:bottom w:val="none" w:sz="0" w:space="0" w:color="auto"/>
                        <w:right w:val="none" w:sz="0" w:space="0" w:color="auto"/>
                      </w:divBdr>
                      <w:divsChild>
                        <w:div w:id="668607135">
                          <w:marLeft w:val="-180"/>
                          <w:marRight w:val="-180"/>
                          <w:marTop w:val="0"/>
                          <w:marBottom w:val="210"/>
                          <w:divBdr>
                            <w:top w:val="none" w:sz="0" w:space="0" w:color="auto"/>
                            <w:left w:val="none" w:sz="0" w:space="0" w:color="auto"/>
                            <w:bottom w:val="none" w:sz="0" w:space="0" w:color="auto"/>
                            <w:right w:val="none" w:sz="0" w:space="0" w:color="auto"/>
                          </w:divBdr>
                          <w:divsChild>
                            <w:div w:id="1631741467">
                              <w:marLeft w:val="0"/>
                              <w:marRight w:val="0"/>
                              <w:marTop w:val="0"/>
                              <w:marBottom w:val="0"/>
                              <w:divBdr>
                                <w:top w:val="none" w:sz="0" w:space="0" w:color="auto"/>
                                <w:left w:val="none" w:sz="0" w:space="0" w:color="auto"/>
                                <w:bottom w:val="none" w:sz="0" w:space="0" w:color="auto"/>
                                <w:right w:val="none" w:sz="0" w:space="0" w:color="auto"/>
                              </w:divBdr>
                            </w:div>
                            <w:div w:id="1395353241">
                              <w:marLeft w:val="0"/>
                              <w:marRight w:val="0"/>
                              <w:marTop w:val="0"/>
                              <w:marBottom w:val="0"/>
                              <w:divBdr>
                                <w:top w:val="none" w:sz="0" w:space="0" w:color="auto"/>
                                <w:left w:val="none" w:sz="0" w:space="0" w:color="auto"/>
                                <w:bottom w:val="none" w:sz="0" w:space="0" w:color="auto"/>
                                <w:right w:val="none" w:sz="0" w:space="0" w:color="auto"/>
                              </w:divBdr>
                            </w:div>
                          </w:divsChild>
                        </w:div>
                        <w:div w:id="1789934981">
                          <w:marLeft w:val="-180"/>
                          <w:marRight w:val="-180"/>
                          <w:marTop w:val="0"/>
                          <w:marBottom w:val="210"/>
                          <w:divBdr>
                            <w:top w:val="none" w:sz="0" w:space="0" w:color="auto"/>
                            <w:left w:val="none" w:sz="0" w:space="0" w:color="auto"/>
                            <w:bottom w:val="none" w:sz="0" w:space="0" w:color="auto"/>
                            <w:right w:val="none" w:sz="0" w:space="0" w:color="auto"/>
                          </w:divBdr>
                          <w:divsChild>
                            <w:div w:id="12724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12528364">
      <w:bodyDiv w:val="1"/>
      <w:marLeft w:val="0"/>
      <w:marRight w:val="0"/>
      <w:marTop w:val="0"/>
      <w:marBottom w:val="0"/>
      <w:divBdr>
        <w:top w:val="none" w:sz="0" w:space="0" w:color="auto"/>
        <w:left w:val="none" w:sz="0" w:space="0" w:color="auto"/>
        <w:bottom w:val="none" w:sz="0" w:space="0" w:color="auto"/>
        <w:right w:val="none" w:sz="0" w:space="0" w:color="auto"/>
      </w:divBdr>
    </w:div>
    <w:div w:id="978804833">
      <w:bodyDiv w:val="1"/>
      <w:marLeft w:val="0"/>
      <w:marRight w:val="0"/>
      <w:marTop w:val="0"/>
      <w:marBottom w:val="0"/>
      <w:divBdr>
        <w:top w:val="none" w:sz="0" w:space="0" w:color="auto"/>
        <w:left w:val="none" w:sz="0" w:space="0" w:color="auto"/>
        <w:bottom w:val="none" w:sz="0" w:space="0" w:color="auto"/>
        <w:right w:val="none" w:sz="0" w:space="0" w:color="auto"/>
      </w:divBdr>
    </w:div>
    <w:div w:id="1147087209">
      <w:bodyDiv w:val="1"/>
      <w:marLeft w:val="0"/>
      <w:marRight w:val="0"/>
      <w:marTop w:val="0"/>
      <w:marBottom w:val="0"/>
      <w:divBdr>
        <w:top w:val="none" w:sz="0" w:space="0" w:color="auto"/>
        <w:left w:val="none" w:sz="0" w:space="0" w:color="auto"/>
        <w:bottom w:val="none" w:sz="0" w:space="0" w:color="auto"/>
        <w:right w:val="none" w:sz="0" w:space="0" w:color="auto"/>
      </w:divBdr>
    </w:div>
    <w:div w:id="1256018054">
      <w:bodyDiv w:val="1"/>
      <w:marLeft w:val="0"/>
      <w:marRight w:val="0"/>
      <w:marTop w:val="0"/>
      <w:marBottom w:val="0"/>
      <w:divBdr>
        <w:top w:val="none" w:sz="0" w:space="0" w:color="auto"/>
        <w:left w:val="none" w:sz="0" w:space="0" w:color="auto"/>
        <w:bottom w:val="none" w:sz="0" w:space="0" w:color="auto"/>
        <w:right w:val="none" w:sz="0" w:space="0" w:color="auto"/>
      </w:divBdr>
    </w:div>
    <w:div w:id="1265991345">
      <w:bodyDiv w:val="1"/>
      <w:marLeft w:val="0"/>
      <w:marRight w:val="0"/>
      <w:marTop w:val="0"/>
      <w:marBottom w:val="0"/>
      <w:divBdr>
        <w:top w:val="none" w:sz="0" w:space="0" w:color="auto"/>
        <w:left w:val="none" w:sz="0" w:space="0" w:color="auto"/>
        <w:bottom w:val="none" w:sz="0" w:space="0" w:color="auto"/>
        <w:right w:val="none" w:sz="0" w:space="0" w:color="auto"/>
      </w:divBdr>
    </w:div>
    <w:div w:id="1283683776">
      <w:bodyDiv w:val="1"/>
      <w:marLeft w:val="0"/>
      <w:marRight w:val="0"/>
      <w:marTop w:val="0"/>
      <w:marBottom w:val="0"/>
      <w:divBdr>
        <w:top w:val="none" w:sz="0" w:space="0" w:color="auto"/>
        <w:left w:val="none" w:sz="0" w:space="0" w:color="auto"/>
        <w:bottom w:val="none" w:sz="0" w:space="0" w:color="auto"/>
        <w:right w:val="none" w:sz="0" w:space="0" w:color="auto"/>
      </w:divBdr>
    </w:div>
    <w:div w:id="1685092165">
      <w:bodyDiv w:val="1"/>
      <w:marLeft w:val="0"/>
      <w:marRight w:val="0"/>
      <w:marTop w:val="0"/>
      <w:marBottom w:val="0"/>
      <w:divBdr>
        <w:top w:val="none" w:sz="0" w:space="0" w:color="auto"/>
        <w:left w:val="none" w:sz="0" w:space="0" w:color="auto"/>
        <w:bottom w:val="none" w:sz="0" w:space="0" w:color="auto"/>
        <w:right w:val="none" w:sz="0" w:space="0" w:color="auto"/>
      </w:divBdr>
    </w:div>
    <w:div w:id="1826894461">
      <w:bodyDiv w:val="1"/>
      <w:marLeft w:val="0"/>
      <w:marRight w:val="0"/>
      <w:marTop w:val="0"/>
      <w:marBottom w:val="0"/>
      <w:divBdr>
        <w:top w:val="none" w:sz="0" w:space="0" w:color="auto"/>
        <w:left w:val="none" w:sz="0" w:space="0" w:color="auto"/>
        <w:bottom w:val="none" w:sz="0" w:space="0" w:color="auto"/>
        <w:right w:val="none" w:sz="0" w:space="0" w:color="auto"/>
      </w:divBdr>
    </w:div>
    <w:div w:id="1890995382">
      <w:bodyDiv w:val="1"/>
      <w:marLeft w:val="0"/>
      <w:marRight w:val="0"/>
      <w:marTop w:val="0"/>
      <w:marBottom w:val="0"/>
      <w:divBdr>
        <w:top w:val="none" w:sz="0" w:space="0" w:color="auto"/>
        <w:left w:val="none" w:sz="0" w:space="0" w:color="auto"/>
        <w:bottom w:val="none" w:sz="0" w:space="0" w:color="auto"/>
        <w:right w:val="none" w:sz="0" w:space="0" w:color="auto"/>
      </w:divBdr>
    </w:div>
    <w:div w:id="1915355697">
      <w:bodyDiv w:val="1"/>
      <w:marLeft w:val="0"/>
      <w:marRight w:val="0"/>
      <w:marTop w:val="0"/>
      <w:marBottom w:val="0"/>
      <w:divBdr>
        <w:top w:val="none" w:sz="0" w:space="0" w:color="auto"/>
        <w:left w:val="none" w:sz="0" w:space="0" w:color="auto"/>
        <w:bottom w:val="none" w:sz="0" w:space="0" w:color="auto"/>
        <w:right w:val="none" w:sz="0" w:space="0" w:color="auto"/>
      </w:divBdr>
    </w:div>
    <w:div w:id="2001814102">
      <w:bodyDiv w:val="1"/>
      <w:marLeft w:val="0"/>
      <w:marRight w:val="0"/>
      <w:marTop w:val="0"/>
      <w:marBottom w:val="0"/>
      <w:divBdr>
        <w:top w:val="none" w:sz="0" w:space="0" w:color="auto"/>
        <w:left w:val="none" w:sz="0" w:space="0" w:color="auto"/>
        <w:bottom w:val="none" w:sz="0" w:space="0" w:color="auto"/>
        <w:right w:val="none" w:sz="0" w:space="0" w:color="auto"/>
      </w:divBdr>
    </w:div>
    <w:div w:id="2091539314">
      <w:bodyDiv w:val="1"/>
      <w:marLeft w:val="0"/>
      <w:marRight w:val="0"/>
      <w:marTop w:val="0"/>
      <w:marBottom w:val="0"/>
      <w:divBdr>
        <w:top w:val="none" w:sz="0" w:space="0" w:color="auto"/>
        <w:left w:val="none" w:sz="0" w:space="0" w:color="auto"/>
        <w:bottom w:val="none" w:sz="0" w:space="0" w:color="auto"/>
        <w:right w:val="none" w:sz="0" w:space="0" w:color="auto"/>
      </w:divBdr>
    </w:div>
    <w:div w:id="21199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artek.Bednarowicz@eesc.europa.eu" TargetMode="External"/><Relationship Id="rId18" Type="http://schemas.openxmlformats.org/officeDocument/2006/relationships/header" Target="header3.xml"/><Relationship Id="rId26" Type="http://schemas.openxmlformats.org/officeDocument/2006/relationships/hyperlink" Target="https://sdgs.un.org/fr/goals" TargetMode="External"/><Relationship Id="rId39" Type="http://schemas.openxmlformats.org/officeDocument/2006/relationships/header" Target="header9.xml"/><Relationship Id="rId21" Type="http://schemas.openxmlformats.org/officeDocument/2006/relationships/hyperlink" Target="https://eur-lex.europa.eu/legal-content/FR/TXT/?uri=celex%3A52025PC0558" TargetMode="External"/><Relationship Id="rId34" Type="http://schemas.openxmlformats.org/officeDocument/2006/relationships/footer" Target="footer6.xml"/><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footer" Target="footer14.xml"/><Relationship Id="rId55" Type="http://schemas.openxmlformats.org/officeDocument/2006/relationships/footer" Target="footer16.xml"/><Relationship Id="rId63" Type="http://schemas.openxmlformats.org/officeDocument/2006/relationships/header" Target="header21.xml"/><Relationship Id="rId68" Type="http://schemas.openxmlformats.org/officeDocument/2006/relationships/footer" Target="footer23.xml"/><Relationship Id="rId76" Type="http://schemas.openxmlformats.org/officeDocument/2006/relationships/footer" Target="footer27.xml"/><Relationship Id="rId7" Type="http://schemas.openxmlformats.org/officeDocument/2006/relationships/styles" Target="styles.xml"/><Relationship Id="rId71"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hyperlink" Target="https://sdgs.un.org/fr/goals"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header" Target="header12.xml"/><Relationship Id="rId53" Type="http://schemas.openxmlformats.org/officeDocument/2006/relationships/header" Target="header16.xml"/><Relationship Id="rId58" Type="http://schemas.openxmlformats.org/officeDocument/2006/relationships/footer" Target="footer18.xml"/><Relationship Id="rId66" Type="http://schemas.openxmlformats.org/officeDocument/2006/relationships/header" Target="header23.xml"/><Relationship Id="rId74" Type="http://schemas.openxmlformats.org/officeDocument/2006/relationships/footer" Target="footer2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sdgs.un.org/fr/goals" TargetMode="External"/><Relationship Id="rId28" Type="http://schemas.openxmlformats.org/officeDocument/2006/relationships/hyperlink" Target="https://sdgs.un.org/fr/goals" TargetMode="External"/><Relationship Id="rId36" Type="http://schemas.openxmlformats.org/officeDocument/2006/relationships/header" Target="header8.xml"/><Relationship Id="rId49" Type="http://schemas.openxmlformats.org/officeDocument/2006/relationships/footer" Target="footer13.xml"/><Relationship Id="rId57" Type="http://schemas.openxmlformats.org/officeDocument/2006/relationships/header" Target="header18.xml"/><Relationship Id="rId61" Type="http://schemas.openxmlformats.org/officeDocument/2006/relationships/footer" Target="footer19.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4.xml"/><Relationship Id="rId44" Type="http://schemas.openxmlformats.org/officeDocument/2006/relationships/footer" Target="footer11.xml"/><Relationship Id="rId52" Type="http://schemas.openxmlformats.org/officeDocument/2006/relationships/footer" Target="footer15.xml"/><Relationship Id="rId60" Type="http://schemas.openxmlformats.org/officeDocument/2006/relationships/header" Target="header20.xml"/><Relationship Id="rId65" Type="http://schemas.openxmlformats.org/officeDocument/2006/relationships/header" Target="header22.xml"/><Relationship Id="rId73" Type="http://schemas.openxmlformats.org/officeDocument/2006/relationships/footer" Target="footer25.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sdgs.un.org/fr/goals" TargetMode="External"/><Relationship Id="rId27" Type="http://schemas.openxmlformats.org/officeDocument/2006/relationships/hyperlink" Target="https://sdgs.un.org/fr/goals" TargetMode="Externa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footer" Target="footer10.xml"/><Relationship Id="rId48" Type="http://schemas.openxmlformats.org/officeDocument/2006/relationships/header" Target="header14.xml"/><Relationship Id="rId56" Type="http://schemas.openxmlformats.org/officeDocument/2006/relationships/footer" Target="footer17.xml"/><Relationship Id="rId64" Type="http://schemas.openxmlformats.org/officeDocument/2006/relationships/footer" Target="footer21.xml"/><Relationship Id="rId69" Type="http://schemas.openxmlformats.org/officeDocument/2006/relationships/header" Target="header24.xm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15.xml"/><Relationship Id="rId72" Type="http://schemas.openxmlformats.org/officeDocument/2006/relationships/header" Target="header26.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yperlink" Target="https://sdgs.un.org/fr/goals" TargetMode="External"/><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footer" Target="footer12.xml"/><Relationship Id="rId59" Type="http://schemas.openxmlformats.org/officeDocument/2006/relationships/header" Target="header19.xml"/><Relationship Id="rId67" Type="http://schemas.openxmlformats.org/officeDocument/2006/relationships/footer" Target="footer22.xml"/><Relationship Id="rId20" Type="http://schemas.openxmlformats.org/officeDocument/2006/relationships/hyperlink" Target="https://law-tracker.europa.eu/procedure/2025_239?lang=fr" TargetMode="External"/><Relationship Id="rId41" Type="http://schemas.openxmlformats.org/officeDocument/2006/relationships/header" Target="header10.xml"/><Relationship Id="rId54" Type="http://schemas.openxmlformats.org/officeDocument/2006/relationships/header" Target="header17.xml"/><Relationship Id="rId62" Type="http://schemas.openxmlformats.org/officeDocument/2006/relationships/footer" Target="footer20.xml"/><Relationship Id="rId70" Type="http://schemas.openxmlformats.org/officeDocument/2006/relationships/footer" Target="footer24.xml"/><Relationship Id="rId75"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A6WAAD5KZT2Q-284857674-5465</_dlc_DocId>
    <_dlc_DocIdUrl xmlns="1a33af13-4045-4f88-9d7b-618e30f79918">
      <Url>http://dm/eesc/2025/_layouts/15/DocIdRedir.aspx?ID=A6WAAD5KZT2Q-284857674-5465</Url>
      <Description>A6WAAD5KZT2Q-284857674-5465</Description>
    </_dlc_DocIdUrl>
    <Procedure xmlns="1a33af13-4045-4f88-9d7b-618e30f79918">2025/0239(COD)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2025-12-05T12:00:00+00:00</ProductionDate>
    <DocumentNumber xmlns="27994258-8564-426c-a7a1-d6286d62992e">3058</DocumentNumber>
    <FicheYear xmlns="1a33af13-4045-4f88-9d7b-618e30f79918" xsi:nil="true"/>
    <DossierNumber xmlns="1a33af13-4045-4f88-9d7b-618e30f79918">845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75</Value>
      <Value>67</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1a33af13-4045-4f88-9d7b-618e30f79918">MERLO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297109</FicheNumber>
    <OriginalSender xmlns="1a33af13-4045-4f88-9d7b-618e30f79918">
      <UserInfo>
        <DisplayName>Lacroix Grégory</DisplayName>
        <AccountId>1634</AccountId>
        <AccountType/>
      </UserInfo>
    </OriginalSender>
    <DocumentPart xmlns="1a33af13-4045-4f88-9d7b-618e30f79918">0</DocumentPart>
    <AdoptionDate xmlns="1a33af13-4045-4f88-9d7b-618e30f79918" xsi:nil="true"/>
    <RequestingService xmlns="1a33af13-4045-4f88-9d7b-618e30f79918">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1a33af13-4045-4f88-9d7b-618e30f79918">0</Documen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D28FF-8EA8-4C52-A170-1CA5B8B66F44}">
  <ds:schemaRefs>
    <ds:schemaRef ds:uri="http://schemas.openxmlformats.org/officeDocument/2006/bibliography"/>
  </ds:schemaRefs>
</ds:datastoreItem>
</file>

<file path=customXml/itemProps2.xml><?xml version="1.0" encoding="utf-8"?>
<ds:datastoreItem xmlns:ds="http://schemas.openxmlformats.org/officeDocument/2006/customXml" ds:itemID="{019CA055-EFFA-4CB9-95D7-82F83634FF2F}"/>
</file>

<file path=customXml/itemProps3.xml><?xml version="1.0" encoding="utf-8"?>
<ds:datastoreItem xmlns:ds="http://schemas.openxmlformats.org/officeDocument/2006/customXml" ds:itemID="{560AC6A5-3DC3-4596-B9D9-A5272C835704}">
  <ds:schemaRefs>
    <ds:schemaRef ds:uri="http://schemas.microsoft.com/sharepoint/events"/>
  </ds:schemaRefs>
</ds:datastoreItem>
</file>

<file path=customXml/itemProps4.xml><?xml version="1.0" encoding="utf-8"?>
<ds:datastoreItem xmlns:ds="http://schemas.openxmlformats.org/officeDocument/2006/customXml" ds:itemID="{B572A8B1-9A06-4F1C-A376-D53AA90D3810}">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27994258-8564-426c-a7a1-d6286d62992e"/>
  </ds:schemaRefs>
</ds:datastoreItem>
</file>

<file path=customXml/itemProps5.xml><?xml version="1.0" encoding="utf-8"?>
<ds:datastoreItem xmlns:ds="http://schemas.openxmlformats.org/officeDocument/2006/customXml" ds:itemID="{63C5A782-7834-4ABA-BBEE-BF0312FF1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5821</Words>
  <Characters>32880</Characters>
  <Application>Microsoft Office Word</Application>
  <DocSecurity>0</DocSecurity>
  <Lines>274</Lines>
  <Paragraphs>77</Paragraphs>
  <ScaleCrop>false</ScaleCrop>
  <HeadingPairs>
    <vt:vector size="6" baseType="variant">
      <vt:variant>
        <vt:lpstr>Title</vt:lpstr>
      </vt:variant>
      <vt:variant>
        <vt:i4>1</vt:i4>
      </vt:variant>
      <vt:variant>
        <vt:lpstr>Titolo</vt:lpstr>
      </vt:variant>
      <vt:variant>
        <vt:i4>1</vt:i4>
      </vt:variant>
      <vt:variant>
        <vt:lpstr>Titlu</vt:lpstr>
      </vt:variant>
      <vt:variant>
        <vt:i4>1</vt:i4>
      </vt:variant>
    </vt:vector>
  </HeadingPairs>
  <TitlesOfParts>
    <vt:vector size="3" baseType="lpstr">
      <vt:lpstr>Establishing the European Social Fund as part of the National and Regional Partnership Plan</vt:lpstr>
      <vt:lpstr>Istituzione del Fondo sociale europeo quale parte del piano di partenariato nazionale e regionale</vt:lpstr>
      <vt:lpstr>European Agenda on Migration: Second implementation package - A permanent crisis relocation mechanism under the Dublin system</vt:lpstr>
    </vt:vector>
  </TitlesOfParts>
  <Manager/>
  <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Établissement du Fonds social européen dans le cadre du plan de partenariat national et régional</dc:title>
  <dc:subject>Progetto di parere</dc:subject>
  <dc:creator/>
  <cp:keywords>EESC-2025-03058-00-00-PA-TRA-IT</cp:keywords>
  <dc:description>Rapporteur: - MERLO Original language: - IT Date of document: - 13/11/2025 Date of meeting: - 26/11/2025 External documents: - COM(2025)558- final Administrator responsible: -  BEDNAROWICZ BARTŁOMIEJ</dc:description>
  <cp:lastModifiedBy/>
  <cp:revision>7</cp:revision>
  <cp:lastPrinted>2016-01-26T08:31:00Z</cp:lastPrinted>
  <dcterms:created xsi:type="dcterms:W3CDTF">2025-12-02T11:01:00Z</dcterms:created>
  <dcterms:modified xsi:type="dcterms:W3CDTF">2025-12-05T10:33:00Z</dcterms:modified>
  <cp:category>SOC/845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02/12/2025, 19/11/2025, 13/11/2025, 30/10/2025, 14/10/2025, 22/02/2024, 13/09/2023, 31/05/2023, 22/03/2023, 04/11/2015, 27/10/2015, 19/10/2015, 09/10/2015, 05/10/2015, 05/10/2015, 26/08/2015, 26/08/2015, 25/08/2015</vt:lpwstr>
  </property>
  <property fmtid="{D5CDD505-2E9C-101B-9397-08002B2CF9AE}" pid="4" name="Pref_Time">
    <vt:lpwstr>11:54:50, 11:50:16, 09:30:58, 16:01:40, 17:02:22, 16:19:03, 16:35:44, 12:54:05, 10:10:10, 12/10/07, 14:44:02, 16/04/16, 14:09:30, 16:24:55, 16:04:02, 08:56:14, 07:27:56, 17:31:53</vt:lpwstr>
  </property>
  <property fmtid="{D5CDD505-2E9C-101B-9397-08002B2CF9AE}" pid="5" name="Pref_User">
    <vt:lpwstr>jhvi, pacup, pacup, amett, pacup, pacup, enied, amett, amett, ssex, enied, amett, tvoc, mreg, mreg, amett, enied, ssex</vt:lpwstr>
  </property>
  <property fmtid="{D5CDD505-2E9C-101B-9397-08002B2CF9AE}" pid="6" name="Pref_FileName">
    <vt:lpwstr>EESC-2025-03058-00-00-AS-TRA-EN-CRR.docx, EESC-2025-03058-00-01-PA-ORI.docx, EESC-2025-03058-00-00-PA-TRA-IT-CRR.docx, EESC-2025-03058-00-00-APA-TRA-IT-CRR.docx, EESC-2025-03058-00-00-DT-TRA-IT-CRR.docx, EESC-2024-00141-00-00-DT-TRA.docx, EESC-2023-03943-</vt:lpwstr>
  </property>
  <property fmtid="{D5CDD505-2E9C-101B-9397-08002B2CF9AE}" pid="7" name="ContentTypeId">
    <vt:lpwstr>0x010100EA97B91038054C99906057A708A1480A00B192796EE9568A4C8E77C6EF5F22B614</vt:lpwstr>
  </property>
  <property fmtid="{D5CDD505-2E9C-101B-9397-08002B2CF9AE}" pid="8" name="_dlc_DocIdItemGuid">
    <vt:lpwstr>274d7c3b-c44a-4ed3-bcc6-efe653e1a071</vt:lpwstr>
  </property>
  <property fmtid="{D5CDD505-2E9C-101B-9397-08002B2CF9AE}" pid="9" name="Procedure">
    <vt:lpwstr>2025/0239(COD)</vt:lpwstr>
  </property>
  <property fmtid="{D5CDD505-2E9C-101B-9397-08002B2CF9AE}" pid="10" name="AvailableTranslations">
    <vt:lpwstr>32;#MT|7df99101-6854-4a26-b53a-b88c0da02c26;#33;#PT|50ccc04a-eadd-42ae-a0cb-acaf45f812ba;#39;#LV|46f7e311-5d9f-4663-b433-18aeccb7ace7;#35;#FI|87606a43-d45f-42d6-b8c9-e1a3457db5b7;#41;#ET|ff6c3f4c-b02c-4c3c-ab07-2c37995a7a0a;#46;#SK|46d9fce0-ef79-4f71-b89b-cd6aa82426b8;#29;#CS|72f9705b-0217-4fd3-bea2-cbc7ed80e26e;#43;#GA|762d2456-c427-4ecb-b312-af3dad8e258c;#36;#RO|feb747a2-64cd-4299-af12-4833ddc30497;#28;#SV|c2ed69e7-a339-43d7-8f22-d93680a92aa0;#47;#BG|1a1b3951-7821-4e6a-85f5-5673fc08bd2c;#16;#ES|e7a6b05b-ae16-40c8-add9-68b64b03aeba;#27;#NL|55c6556c-b4f4-441d-9acf-c498d4f838bd;#31;#SL|98a412ae-eb01-49e9-ae3d-585a81724cfc;#23;#DE|f6b31e5a-26fa-4935-b661-318e46daf27e;#42;#EL|6d4f4d51-af9b-4650-94b4-4276bee85c91;#40;#DA|5d49c027-8956-412b-aa16-e85a0f96ad0e;#37;#HU|6b229040-c589-4408-b4c1-4285663d20a8;#24;#PL|1e03da61-4678-4e07-b136-b5024ca9197b;#5;#EN|f2175f21-25d7-44a3-96da-d6a61b075e1b;#34;#IT|0774613c-01ed-4e5d-a25d-11d2388de825;#30;#LT|a7ff5ce7-6123-4f68-865a-a57c31810414;#50;#HR|2f555653-ed1a-4fe6-8362-9082d95989e5;#12;#FR|d2afafd3-4c81-4f60-8f52-ee33f2f54ff3</vt:lpwstr>
  </property>
  <property fmtid="{D5CDD505-2E9C-101B-9397-08002B2CF9AE}" pid="11" name="DocumentType_0">
    <vt:lpwstr>AS|c7a748eb-f6f2-4d9d-8b5a-af0cafebc224</vt:lpwstr>
  </property>
  <property fmtid="{D5CDD505-2E9C-101B-9397-08002B2CF9AE}" pid="12" name="MeetingNumber">
    <vt:i4>247</vt:i4>
  </property>
  <property fmtid="{D5CDD505-2E9C-101B-9397-08002B2CF9AE}" pid="13" name="DossierName_0">
    <vt:lpwstr>SOC|13795804-ecbd-4ce5-9693-9b8be1981b20</vt:lpwstr>
  </property>
  <property fmtid="{D5CDD505-2E9C-101B-9397-08002B2CF9AE}" pid="14" name="DocumentSource_0">
    <vt:lpwstr>EESC|422833ec-8d7e-4e65-8e4e-8bed07ffb729</vt:lpwstr>
  </property>
  <property fmtid="{D5CDD505-2E9C-101B-9397-08002B2CF9AE}" pid="15" name="DocumentNumber">
    <vt:i4>3058</vt:i4>
  </property>
  <property fmtid="{D5CDD505-2E9C-101B-9397-08002B2CF9AE}" pid="16" name="FicheYear">
    <vt:i4>2025</vt:i4>
  </property>
  <property fmtid="{D5CDD505-2E9C-101B-9397-08002B2CF9AE}" pid="17" name="DocumentVersion">
    <vt:i4>0</vt:i4>
  </property>
  <property fmtid="{D5CDD505-2E9C-101B-9397-08002B2CF9AE}" pid="18" name="DossierNumber">
    <vt:i4>845</vt:i4>
  </property>
  <property fmtid="{D5CDD505-2E9C-101B-9397-08002B2CF9AE}" pid="19" name="DocumentStatus">
    <vt:lpwstr>13;#TRA|150d2a88-1431-44e6-a8ca-0bb753ab8672</vt:lpwstr>
  </property>
  <property fmtid="{D5CDD505-2E9C-101B-9397-08002B2CF9AE}" pid="20" name="DossierName">
    <vt:lpwstr>75;#SOC|13795804-ecbd-4ce5-9693-9b8be1981b20</vt:lpwstr>
  </property>
  <property fmtid="{D5CDD505-2E9C-101B-9397-08002B2CF9AE}" pid="21" name="RequestingService">
    <vt:lpwstr>Emploi, affaires sociales, citoyenneté</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2026-01-21T12:00:00Z</vt:filetime>
  </property>
  <property fmtid="{D5CDD505-2E9C-101B-9397-08002B2CF9AE}" pid="28" name="AvailableTranslations_0">
    <vt:lpwstr>LV|46f7e311-5d9f-4663-b433-18aeccb7ace7;FI|87606a43-d45f-42d6-b8c9-e1a3457db5b7;SK|46d9fce0-ef79-4f71-b89b-cd6aa82426b8;CS|72f9705b-0217-4fd3-bea2-cbc7ed80e26e;SV|c2ed69e7-a339-43d7-8f22-d93680a92aa0;BG|1a1b3951-7821-4e6a-85f5-5673fc08bd2c;ES|e7a6b05b-ae16-40c8-add9-68b64b03aeba;NL|55c6556c-b4f4-441d-9acf-c498d4f838bd;SL|98a412ae-eb01-49e9-ae3d-585a81724cfc;DE|f6b31e5a-26fa-4935-b661-318e46daf27e;PL|1e03da61-4678-4e07-b136-b5024ca9197b;EN|f2175f21-25d7-44a3-96da-d6a61b075e1b;LT|a7ff5ce7-6123-4f68-865a-a57c31810414;HR|2f555653-ed1a-4fe6-8362-9082d95989e5</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FI|87606a43-d45f-42d6-b8c9-e1a3457db5b7;#34;#IT|0774613c-01ed-4e5d-a25d-11d2388de825;#31;#SL|98a412ae-eb01-49e9-ae3d-585a81724cfc;#67;#SPL-CES|32d8cb1f-c9ec-4365-95c7-8385a18618ac;#29;#CS|72f9705b-0217-4fd3-bea2-cbc7ed80e26e;#28;#SV|c2ed69e7-a339-43d7-8f22-d93680a92aa0;#27;#NL|55c6556c-b4f4-441d-9acf-c498d4f838bd;#24;#PL|1e03da61-4678-4e07-b136-b5024ca9197b;#23;#DE|f6b31e5a-26fa-4935-b661-318e46daf27e;#50;#HR|2f555653-ed1a-4fe6-8362-9082d95989e5;#15;#Unrestricted|826e22d7-d029-4ec0-a450-0c28ff673572;#75;#SOC|13795804-ecbd-4ce5-9693-9b8be1981b20;#16;#ES|e7a6b05b-ae16-40c8-add9-68b64b03aeba;#126;#AS|c7a748eb-f6f2-4d9d-8b5a-af0cafebc224;#13;#TRA|150d2a88-1431-44e6-a8ca-0bb753ab8672;#47;#BG|1a1b3951-7821-4e6a-85f5-5673fc08bd2c;#46;#SK|46d9fce0-ef79-4f71-b89b-cd6aa82426b8;#8;#Final|ea5e6674-7b27-4bac-b091-73adbb394efe;#5;#EN|f2175f21-25d7-44a3-96da-d6a61b075e1b;#39;#LV|46f7e311-5d9f-4663-b433-18aeccb7ace7;#1;#EESC|422833ec-8d7e-4e65-8e4e-8bed07ffb729;#30;#LT|a7ff5ce7-6123-4f68-865a-a57c31810414</vt:lpwstr>
  </property>
  <property fmtid="{D5CDD505-2E9C-101B-9397-08002B2CF9AE}" pid="32" name="Rapporteur">
    <vt:lpwstr>MERLO</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297109</vt:i4>
  </property>
  <property fmtid="{D5CDD505-2E9C-101B-9397-08002B2CF9AE}" pid="37" name="DocumentPart">
    <vt:i4>0</vt:i4>
  </property>
  <property fmtid="{D5CDD505-2E9C-101B-9397-08002B2CF9AE}" pid="38" name="DocumentSource">
    <vt:lpwstr>1;#EESC|422833ec-8d7e-4e65-8e4e-8bed07ffb729</vt:lpwstr>
  </property>
  <property fmtid="{D5CDD505-2E9C-101B-9397-08002B2CF9AE}" pid="39" name="DocumentType">
    <vt:lpwstr>126;#AS|c7a748eb-f6f2-4d9d-8b5a-af0cafebc224</vt:lpwstr>
  </property>
  <property fmtid="{D5CDD505-2E9C-101B-9397-08002B2CF9AE}" pid="40" name="DocumentLanguage">
    <vt:lpwstr>12;#FR|d2afafd3-4c81-4f60-8f52-ee33f2f54ff3</vt:lpwstr>
  </property>
  <property fmtid="{D5CDD505-2E9C-101B-9397-08002B2CF9AE}" pid="41" name="_docset_NoMedatataSyncRequired">
    <vt:lpwstr>False</vt:lpwstr>
  </property>
  <property fmtid="{D5CDD505-2E9C-101B-9397-08002B2CF9AE}" pid="42" name="DocumentLanguage_0">
    <vt:lpwstr>IT|0774613c-01ed-4e5d-a25d-11d2388de825</vt:lpwstr>
  </property>
</Properties>
</file>