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29C9" w14:textId="34BCE919" w:rsidR="00646AC2" w:rsidRDefault="00743339" w:rsidP="00A95135">
      <w:pPr>
        <w:overflowPunct/>
        <w:adjustRightInd/>
        <w:jc w:val="center"/>
        <w:textAlignment w:val="auto"/>
      </w:pPr>
      <w:r>
        <w:rPr>
          <w:noProof/>
        </w:rPr>
        <w:drawing>
          <wp:inline distT="0" distB="0" distL="0" distR="0" wp14:anchorId="3D621BE1" wp14:editId="7DB21AD9">
            <wp:extent cx="1792605" cy="1239520"/>
            <wp:effectExtent l="0" t="0" r="0" b="0"/>
            <wp:docPr id="1318859090" name="Picture 1" title="EESCLogo_H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59090" name="Picture 1" title="EESCLogo_H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E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72791BF" wp14:editId="4E473E12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7E995" w14:textId="77777777" w:rsidR="00DB53C1" w:rsidRPr="00260E65" w:rsidRDefault="00DB53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791B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3F07E995" w14:textId="77777777" w:rsidR="00DB53C1" w:rsidRPr="00260E65" w:rsidRDefault="00DB53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8B9A77" w14:textId="77777777" w:rsidR="003E0EB4" w:rsidRPr="003E0EB4" w:rsidRDefault="003E0EB4" w:rsidP="003E0EB4">
      <w:pPr>
        <w:overflowPunct/>
        <w:adjustRightInd/>
        <w:jc w:val="left"/>
        <w:textAlignment w:val="auto"/>
      </w:pPr>
    </w:p>
    <w:p w14:paraId="6E5229CA" w14:textId="0AC2F0FE" w:rsidR="00646AC2" w:rsidRDefault="008D7189" w:rsidP="3E1CF757">
      <w:pPr>
        <w:overflowPunct/>
        <w:adjustRightInd/>
        <w:jc w:val="right"/>
        <w:textAlignment w:val="auto"/>
        <w:rPr>
          <w:b/>
          <w:bCs/>
        </w:rPr>
      </w:pPr>
      <w:r>
        <w:rPr>
          <w:b/>
        </w:rPr>
        <w:t>NAT/968</w:t>
      </w:r>
    </w:p>
    <w:p w14:paraId="09BFAD4C" w14:textId="05C02A88" w:rsidR="001960C6" w:rsidRPr="002C1D46" w:rsidRDefault="008D7189" w:rsidP="00375C20">
      <w:pPr>
        <w:overflowPunct/>
        <w:adjustRightInd/>
        <w:jc w:val="right"/>
        <w:textAlignment w:val="auto"/>
      </w:pPr>
      <w:r>
        <w:rPr>
          <w:b/>
        </w:rPr>
        <w:t>Evaluacija zajedničke poljoprivredne politike</w:t>
      </w:r>
    </w:p>
    <w:p w14:paraId="6E5229CC" w14:textId="77777777" w:rsidR="009B30AA" w:rsidRPr="002C1D46" w:rsidRDefault="009B30AA" w:rsidP="00375C20">
      <w:pPr>
        <w:overflowPunct/>
        <w:adjustRightInd/>
        <w:textAlignment w:val="auto"/>
      </w:pPr>
    </w:p>
    <w:p w14:paraId="6E5229CD" w14:textId="77777777" w:rsidR="009B30AA" w:rsidRPr="002C1D46" w:rsidRDefault="009B30AA" w:rsidP="00375C20">
      <w:pPr>
        <w:overflowPunct/>
        <w:adjustRightInd/>
        <w:textAlignment w:val="auto"/>
      </w:pPr>
    </w:p>
    <w:p w14:paraId="222005A0" w14:textId="6E6A24A7" w:rsidR="00AA2096" w:rsidRDefault="3E1CF757" w:rsidP="00375C20">
      <w:pPr>
        <w:overflowPunct/>
        <w:adjustRightInd/>
        <w:jc w:val="center"/>
        <w:textAlignment w:val="auto"/>
        <w:rPr>
          <w:b/>
          <w:bCs/>
          <w:sz w:val="28"/>
          <w:szCs w:val="28"/>
        </w:rPr>
      </w:pPr>
      <w:r>
        <w:rPr>
          <w:b/>
          <w:sz w:val="28"/>
        </w:rPr>
        <w:t>NACRT EVALUACIJSKOG IZVJEŠĆA</w:t>
      </w:r>
    </w:p>
    <w:p w14:paraId="1C4BB2B5" w14:textId="77777777" w:rsidR="00AA2096" w:rsidRDefault="00AA2096" w:rsidP="00375C20">
      <w:pPr>
        <w:overflowPunct/>
        <w:adjustRightInd/>
        <w:jc w:val="center"/>
        <w:textAlignment w:val="auto"/>
      </w:pPr>
    </w:p>
    <w:p w14:paraId="05A62E27" w14:textId="798A2F08" w:rsidR="00AA2096" w:rsidRDefault="00782D15" w:rsidP="00375C20">
      <w:pPr>
        <w:overflowPunct/>
        <w:adjustRightInd/>
        <w:jc w:val="center"/>
        <w:textAlignment w:val="auto"/>
      </w:pPr>
      <w:r>
        <w:t>Stručna skupina za poljoprivredu, ruralni razvoj i okoliš</w:t>
      </w:r>
    </w:p>
    <w:p w14:paraId="6BAF680E" w14:textId="77777777" w:rsidR="00AA2096" w:rsidRDefault="00AA2096" w:rsidP="00375C20">
      <w:pPr>
        <w:overflowPunct/>
        <w:adjustRightInd/>
        <w:jc w:val="center"/>
        <w:textAlignment w:val="auto"/>
      </w:pPr>
    </w:p>
    <w:p w14:paraId="1C089295" w14:textId="005EC80B" w:rsidR="00AA2096" w:rsidRDefault="00862C39" w:rsidP="00375C20">
      <w:pPr>
        <w:overflowPunct/>
        <w:adjustRightInd/>
        <w:jc w:val="center"/>
        <w:textAlignment w:val="auto"/>
        <w:rPr>
          <w:b/>
          <w:bCs/>
        </w:rPr>
      </w:pPr>
      <w:r>
        <w:rPr>
          <w:b/>
        </w:rPr>
        <w:t>Evaluacija ostvarivanja ciljeva zajedničke poljoprivredne politike</w:t>
      </w:r>
    </w:p>
    <w:p w14:paraId="6E5229CF" w14:textId="59C73453" w:rsidR="009B30AA" w:rsidRPr="002C1D46" w:rsidRDefault="009B30AA" w:rsidP="00375C20">
      <w:pPr>
        <w:overflowPunct/>
        <w:adjustRightInd/>
        <w:jc w:val="center"/>
        <w:textAlignment w:val="auto"/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525F6C" w:rsidRPr="002C1D46" w14:paraId="6E5229D1" w14:textId="77777777" w:rsidTr="3E1CF757">
        <w:tc>
          <w:tcPr>
            <w:tcW w:w="9289" w:type="dxa"/>
            <w:gridSpan w:val="2"/>
          </w:tcPr>
          <w:p w14:paraId="6E5229D0" w14:textId="790D15EC" w:rsidR="00525F6C" w:rsidRPr="002C1D46" w:rsidRDefault="3E1CF757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Članovima i članicama Stručne skupine</w:t>
            </w:r>
          </w:p>
        </w:tc>
      </w:tr>
      <w:tr w:rsidR="001C0ABE" w:rsidRPr="002C1D46" w14:paraId="6E5229D3" w14:textId="77777777" w:rsidTr="3E1CF757">
        <w:tc>
          <w:tcPr>
            <w:tcW w:w="9289" w:type="dxa"/>
            <w:gridSpan w:val="2"/>
          </w:tcPr>
          <w:p w14:paraId="6E5229D2" w14:textId="77777777" w:rsidR="001C0ABE" w:rsidRPr="002C1D46" w:rsidRDefault="001C0ABE" w:rsidP="00375C20">
            <w:pPr>
              <w:overflowPunct/>
              <w:adjustRightInd/>
              <w:jc w:val="left"/>
              <w:textAlignment w:val="auto"/>
              <w:rPr>
                <w:szCs w:val="22"/>
                <w:lang w:eastAsia="en-GB" w:bidi="en-GB"/>
              </w:rPr>
            </w:pPr>
          </w:p>
        </w:tc>
      </w:tr>
      <w:tr w:rsidR="00C40106" w:rsidRPr="002C1D46" w14:paraId="6E5229D6" w14:textId="77777777" w:rsidTr="3E1CF757">
        <w:tc>
          <w:tcPr>
            <w:tcW w:w="3085" w:type="dxa"/>
          </w:tcPr>
          <w:p w14:paraId="6E5229D4" w14:textId="060EF74C" w:rsidR="00C40106" w:rsidRPr="002C1D46" w:rsidRDefault="00F4310E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Sastanak Stručne skupine:</w:t>
            </w:r>
          </w:p>
        </w:tc>
        <w:tc>
          <w:tcPr>
            <w:tcW w:w="6204" w:type="dxa"/>
          </w:tcPr>
          <w:p w14:paraId="6E5229D5" w14:textId="08B3C0DE" w:rsidR="00C40106" w:rsidRPr="002C1D46" w:rsidRDefault="009F005B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21/5/2026, 10:30</w:t>
            </w:r>
          </w:p>
        </w:tc>
      </w:tr>
      <w:tr w:rsidR="00B534D5" w:rsidRPr="002C1D46" w14:paraId="3F99AA9A" w14:textId="77777777" w:rsidTr="3E1CF757">
        <w:tc>
          <w:tcPr>
            <w:tcW w:w="3085" w:type="dxa"/>
          </w:tcPr>
          <w:p w14:paraId="2E758E8F" w14:textId="2D4FA87B" w:rsidR="00B534D5" w:rsidRDefault="00B534D5" w:rsidP="00B534D5">
            <w:pPr>
              <w:overflowPunct/>
              <w:adjustRightInd/>
              <w:jc w:val="left"/>
              <w:textAlignment w:val="auto"/>
            </w:pPr>
            <w:r>
              <w:rPr>
                <w:b/>
              </w:rPr>
              <w:t>Rok za podnošenje amandmana:</w:t>
            </w:r>
          </w:p>
        </w:tc>
        <w:tc>
          <w:tcPr>
            <w:tcW w:w="6204" w:type="dxa"/>
          </w:tcPr>
          <w:p w14:paraId="6EEAC522" w14:textId="7DB2807E" w:rsidR="00B534D5" w:rsidRDefault="00067DEB" w:rsidP="00B534D5">
            <w:pPr>
              <w:overflowPunct/>
              <w:adjustRightInd/>
              <w:jc w:val="left"/>
              <w:textAlignment w:val="auto"/>
            </w:pPr>
            <w:r>
              <w:rPr>
                <w:b/>
              </w:rPr>
              <w:t>18/5/2026, 12:00</w:t>
            </w:r>
          </w:p>
        </w:tc>
      </w:tr>
      <w:tr w:rsidR="007F5E0D" w:rsidRPr="002C1D46" w14:paraId="6E5229D9" w14:textId="77777777" w:rsidTr="3E1CF757">
        <w:tc>
          <w:tcPr>
            <w:tcW w:w="3085" w:type="dxa"/>
          </w:tcPr>
          <w:p w14:paraId="6E5229D7" w14:textId="77777777" w:rsidR="007F5E0D" w:rsidRPr="002C1D46" w:rsidRDefault="3E1CF757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Kontakt:</w:t>
            </w:r>
          </w:p>
        </w:tc>
        <w:tc>
          <w:tcPr>
            <w:tcW w:w="6204" w:type="dxa"/>
          </w:tcPr>
          <w:p w14:paraId="6E5229D8" w14:textId="620AA771" w:rsidR="007F5E0D" w:rsidRPr="002C1D46" w:rsidRDefault="00743339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hyperlink r:id="rId12" w:history="1">
              <w:r>
                <w:rPr>
                  <w:rStyle w:val="Hyperlink"/>
                </w:rPr>
                <w:t>Myrto.Kolyva@eesc.europa.eu</w:t>
              </w:r>
            </w:hyperlink>
          </w:p>
        </w:tc>
      </w:tr>
      <w:tr w:rsidR="007F5E0D" w:rsidRPr="002C1D46" w14:paraId="6E5229DC" w14:textId="77777777" w:rsidTr="3E1CF757">
        <w:tc>
          <w:tcPr>
            <w:tcW w:w="3085" w:type="dxa"/>
          </w:tcPr>
          <w:p w14:paraId="6E5229DA" w14:textId="77777777" w:rsidR="007F5E0D" w:rsidRPr="002C1D46" w:rsidRDefault="3E1CF757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Administrator/</w:t>
            </w:r>
            <w:proofErr w:type="spellStart"/>
            <w:r>
              <w:t>ica</w:t>
            </w:r>
            <w:proofErr w:type="spellEnd"/>
            <w:r>
              <w:t>:</w:t>
            </w:r>
          </w:p>
        </w:tc>
        <w:tc>
          <w:tcPr>
            <w:tcW w:w="6204" w:type="dxa"/>
          </w:tcPr>
          <w:p w14:paraId="6E5229DB" w14:textId="36397BEE" w:rsidR="007F5E0D" w:rsidRPr="002C1D46" w:rsidRDefault="007655D4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proofErr w:type="spellStart"/>
            <w:r>
              <w:t>Myrto</w:t>
            </w:r>
            <w:proofErr w:type="spellEnd"/>
            <w:r>
              <w:t xml:space="preserve"> KOLYVA</w:t>
            </w:r>
          </w:p>
        </w:tc>
      </w:tr>
      <w:tr w:rsidR="007F5E0D" w:rsidRPr="002C1D46" w14:paraId="6E5229DF" w14:textId="77777777" w:rsidTr="3E1CF757">
        <w:tc>
          <w:tcPr>
            <w:tcW w:w="3085" w:type="dxa"/>
          </w:tcPr>
          <w:p w14:paraId="6E5229DD" w14:textId="77777777" w:rsidR="007F5E0D" w:rsidRPr="002C1D46" w:rsidRDefault="3E1CF757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Datum dokumenta:</w:t>
            </w:r>
          </w:p>
        </w:tc>
        <w:tc>
          <w:tcPr>
            <w:tcW w:w="6204" w:type="dxa"/>
          </w:tcPr>
          <w:p w14:paraId="6E5229DE" w14:textId="0500A6D8" w:rsidR="007F5E0D" w:rsidRPr="002C1D46" w:rsidRDefault="000D77A4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16/4/2026</w:t>
            </w:r>
          </w:p>
        </w:tc>
      </w:tr>
    </w:tbl>
    <w:p w14:paraId="6E5229E0" w14:textId="72BE3A45" w:rsidR="00704FBB" w:rsidRPr="00964F07" w:rsidRDefault="3E1CF757" w:rsidP="00375C20">
      <w:pPr>
        <w:overflowPunct/>
        <w:adjustRightInd/>
        <w:jc w:val="center"/>
        <w:textAlignment w:val="auto"/>
        <w:rPr>
          <w:bCs/>
        </w:rPr>
      </w:pPr>
      <w:r>
        <w:t xml:space="preserve">Izvjestitelj: </w:t>
      </w:r>
      <w:r>
        <w:rPr>
          <w:b/>
        </w:rPr>
        <w:t>Joe</w:t>
      </w:r>
      <w:r>
        <w:t xml:space="preserve"> </w:t>
      </w:r>
      <w:r>
        <w:rPr>
          <w:b/>
        </w:rPr>
        <w:t>HEALY</w:t>
      </w:r>
    </w:p>
    <w:p w14:paraId="6E5229E1" w14:textId="789E8CEC" w:rsidR="00704FBB" w:rsidRPr="000103E4" w:rsidRDefault="00AA2096" w:rsidP="00F350D6">
      <w:pPr>
        <w:overflowPunct/>
        <w:adjustRightInd/>
        <w:jc w:val="center"/>
        <w:textAlignment w:val="auto"/>
      </w:pPr>
      <w:r>
        <w:t xml:space="preserve">Suizvjestitelj: </w:t>
      </w:r>
      <w:proofErr w:type="spellStart"/>
      <w:r>
        <w:rPr>
          <w:b/>
        </w:rPr>
        <w:t>Josep</w:t>
      </w:r>
      <w:proofErr w:type="spellEnd"/>
      <w:r>
        <w:rPr>
          <w:b/>
        </w:rPr>
        <w:t xml:space="preserve"> PUXEU ROCAMORA</w:t>
      </w:r>
    </w:p>
    <w:p w14:paraId="6E5229E2" w14:textId="77777777" w:rsidR="00646AC2" w:rsidRPr="000103E4" w:rsidRDefault="00646AC2" w:rsidP="00375C20">
      <w:pPr>
        <w:overflowPunct/>
        <w:adjustRightInd/>
        <w:textAlignment w:val="auto"/>
        <w:rPr>
          <w:lang w:val="fr-BE"/>
        </w:rPr>
      </w:pPr>
    </w:p>
    <w:p w14:paraId="6E5229E3" w14:textId="77777777" w:rsidR="00646AC2" w:rsidRPr="000103E4" w:rsidRDefault="00646AC2" w:rsidP="00375C20">
      <w:pPr>
        <w:overflowPunct/>
        <w:adjustRightInd/>
        <w:textAlignment w:val="auto"/>
        <w:rPr>
          <w:lang w:val="fr-BE"/>
        </w:rPr>
        <w:sectPr w:rsidR="00646AC2" w:rsidRPr="000103E4" w:rsidSect="00215A2F">
          <w:footerReference w:type="default" r:id="rId13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4"/>
      </w:tblGrid>
      <w:tr w:rsidR="0011656A" w:rsidRPr="002C1D46" w14:paraId="6E5229E7" w14:textId="77777777" w:rsidTr="3E1CF757">
        <w:tc>
          <w:tcPr>
            <w:tcW w:w="3119" w:type="dxa"/>
          </w:tcPr>
          <w:p w14:paraId="6E5229E5" w14:textId="77777777" w:rsidR="0011656A" w:rsidRPr="002C1D46" w:rsidRDefault="3E1CF757" w:rsidP="009D01A2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lastRenderedPageBreak/>
              <w:t>Studijska skupina:</w:t>
            </w:r>
          </w:p>
        </w:tc>
        <w:tc>
          <w:tcPr>
            <w:tcW w:w="5954" w:type="dxa"/>
          </w:tcPr>
          <w:p w14:paraId="6E5229E6" w14:textId="2380FE04" w:rsidR="0011656A" w:rsidRPr="002C1D46" w:rsidRDefault="00413270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Evaluacija zajedničke poljoprivredne politike</w:t>
            </w:r>
          </w:p>
        </w:tc>
      </w:tr>
      <w:tr w:rsidR="00033913" w:rsidRPr="002C1D46" w14:paraId="6E5229EA" w14:textId="77777777" w:rsidTr="3E1CF757">
        <w:tc>
          <w:tcPr>
            <w:tcW w:w="3119" w:type="dxa"/>
          </w:tcPr>
          <w:p w14:paraId="6E5229E8" w14:textId="77777777" w:rsidR="00033913" w:rsidRPr="002C1D46" w:rsidRDefault="00033913" w:rsidP="009D01A2">
            <w:pPr>
              <w:overflowPunct/>
              <w:adjustRightInd/>
              <w:jc w:val="left"/>
              <w:textAlignment w:val="auto"/>
            </w:pPr>
          </w:p>
        </w:tc>
        <w:tc>
          <w:tcPr>
            <w:tcW w:w="5954" w:type="dxa"/>
          </w:tcPr>
          <w:p w14:paraId="6E5229E9" w14:textId="77777777" w:rsidR="00033913" w:rsidRPr="002C1D46" w:rsidRDefault="00033913" w:rsidP="00375C20">
            <w:pPr>
              <w:overflowPunct/>
              <w:adjustRightInd/>
              <w:jc w:val="left"/>
              <w:textAlignment w:val="auto"/>
            </w:pPr>
          </w:p>
        </w:tc>
      </w:tr>
      <w:tr w:rsidR="0011656A" w:rsidRPr="002C1D46" w14:paraId="6E5229ED" w14:textId="77777777" w:rsidTr="3E1CF757">
        <w:tc>
          <w:tcPr>
            <w:tcW w:w="3119" w:type="dxa"/>
          </w:tcPr>
          <w:p w14:paraId="6E5229EB" w14:textId="77777777" w:rsidR="0011656A" w:rsidRPr="002C1D46" w:rsidRDefault="3E1CF757" w:rsidP="009D01A2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Predsjednica:</w:t>
            </w:r>
          </w:p>
        </w:tc>
        <w:tc>
          <w:tcPr>
            <w:tcW w:w="5954" w:type="dxa"/>
          </w:tcPr>
          <w:p w14:paraId="6E5229EC" w14:textId="7D202610" w:rsidR="0011656A" w:rsidRPr="002C1D46" w:rsidRDefault="00C33A0A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proofErr w:type="spellStart"/>
            <w:r>
              <w:t>Nicoletta</w:t>
            </w:r>
            <w:proofErr w:type="spellEnd"/>
            <w:r>
              <w:t xml:space="preserve"> MERLO (IT-II)</w:t>
            </w:r>
          </w:p>
        </w:tc>
      </w:tr>
      <w:tr w:rsidR="0011656A" w:rsidRPr="002C1D46" w14:paraId="6E5229F0" w14:textId="77777777" w:rsidTr="3E1CF757">
        <w:tc>
          <w:tcPr>
            <w:tcW w:w="3119" w:type="dxa"/>
          </w:tcPr>
          <w:p w14:paraId="6E5229EE" w14:textId="77777777" w:rsidR="0011656A" w:rsidRPr="002C1D46" w:rsidRDefault="3E1CF757" w:rsidP="009D01A2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Izvjestitelj:</w:t>
            </w:r>
          </w:p>
        </w:tc>
        <w:tc>
          <w:tcPr>
            <w:tcW w:w="5954" w:type="dxa"/>
          </w:tcPr>
          <w:p w14:paraId="6E5229EF" w14:textId="1498F757" w:rsidR="0011656A" w:rsidRPr="002C1D46" w:rsidRDefault="004679F2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Joe HEALY (IE-III)</w:t>
            </w:r>
          </w:p>
        </w:tc>
      </w:tr>
      <w:tr w:rsidR="0069577E" w:rsidRPr="009F005B" w14:paraId="6E5229F3" w14:textId="77777777" w:rsidTr="3E1CF757">
        <w:tc>
          <w:tcPr>
            <w:tcW w:w="3119" w:type="dxa"/>
          </w:tcPr>
          <w:p w14:paraId="6E5229F1" w14:textId="77777777" w:rsidR="0069577E" w:rsidRPr="002C1D46" w:rsidRDefault="3E1CF757" w:rsidP="009D01A2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Suizvjestitelj:</w:t>
            </w:r>
          </w:p>
        </w:tc>
        <w:tc>
          <w:tcPr>
            <w:tcW w:w="5954" w:type="dxa"/>
          </w:tcPr>
          <w:p w14:paraId="6E5229F2" w14:textId="3A85D7CC" w:rsidR="0069577E" w:rsidRPr="00FB2595" w:rsidRDefault="002157D2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proofErr w:type="spellStart"/>
            <w:r>
              <w:t>Josep</w:t>
            </w:r>
            <w:proofErr w:type="spellEnd"/>
            <w:r>
              <w:t xml:space="preserve"> PUXEU ROCAMORA (ES-I)</w:t>
            </w:r>
          </w:p>
        </w:tc>
      </w:tr>
      <w:tr w:rsidR="008C3049" w:rsidRPr="009F005B" w14:paraId="6E5229F6" w14:textId="77777777" w:rsidTr="3E1CF757">
        <w:tc>
          <w:tcPr>
            <w:tcW w:w="3119" w:type="dxa"/>
          </w:tcPr>
          <w:p w14:paraId="6E5229F4" w14:textId="77777777" w:rsidR="008C3049" w:rsidRPr="00FB2595" w:rsidRDefault="008C3049" w:rsidP="009D01A2">
            <w:pPr>
              <w:overflowPunct/>
              <w:adjustRightInd/>
              <w:jc w:val="left"/>
              <w:textAlignment w:val="auto"/>
              <w:rPr>
                <w:lang w:val="pt-PT"/>
              </w:rPr>
            </w:pPr>
          </w:p>
        </w:tc>
        <w:tc>
          <w:tcPr>
            <w:tcW w:w="5954" w:type="dxa"/>
          </w:tcPr>
          <w:p w14:paraId="6E5229F5" w14:textId="77777777" w:rsidR="008C3049" w:rsidRPr="00FB2595" w:rsidRDefault="008C3049" w:rsidP="00375C20">
            <w:pPr>
              <w:overflowPunct/>
              <w:adjustRightInd/>
              <w:jc w:val="left"/>
              <w:textAlignment w:val="auto"/>
              <w:rPr>
                <w:szCs w:val="22"/>
                <w:lang w:val="pt-PT"/>
              </w:rPr>
            </w:pPr>
          </w:p>
        </w:tc>
      </w:tr>
      <w:tr w:rsidR="0011656A" w:rsidRPr="00B91E3F" w14:paraId="6E5229F9" w14:textId="77777777" w:rsidTr="3E1CF757">
        <w:tc>
          <w:tcPr>
            <w:tcW w:w="3119" w:type="dxa"/>
          </w:tcPr>
          <w:p w14:paraId="6E5229F7" w14:textId="77777777" w:rsidR="0011656A" w:rsidRPr="002C1D46" w:rsidRDefault="3E1CF757" w:rsidP="009D01A2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Članovi/</w:t>
            </w:r>
            <w:proofErr w:type="spellStart"/>
            <w:r>
              <w:t>ice</w:t>
            </w:r>
            <w:proofErr w:type="spellEnd"/>
            <w:r>
              <w:t>:</w:t>
            </w:r>
          </w:p>
        </w:tc>
        <w:tc>
          <w:tcPr>
            <w:tcW w:w="5954" w:type="dxa"/>
          </w:tcPr>
          <w:p w14:paraId="27C77E84" w14:textId="17A594F4" w:rsidR="007C3DC7" w:rsidRDefault="00FB2595" w:rsidP="007C3DC7">
            <w:pPr>
              <w:overflowPunct/>
              <w:adjustRightInd/>
              <w:jc w:val="left"/>
              <w:textAlignment w:val="auto"/>
            </w:pPr>
            <w:r>
              <w:t>Marc DECOSTER (BE-III)</w:t>
            </w:r>
          </w:p>
          <w:p w14:paraId="2B4D5955" w14:textId="77809529" w:rsidR="007C3DC7" w:rsidRPr="00215A2F" w:rsidRDefault="001F38D7" w:rsidP="007C3DC7">
            <w:pPr>
              <w:overflowPunct/>
              <w:adjustRightInd/>
              <w:jc w:val="left"/>
              <w:textAlignment w:val="auto"/>
            </w:pPr>
            <w:proofErr w:type="spellStart"/>
            <w:r>
              <w:t>Piroska</w:t>
            </w:r>
            <w:proofErr w:type="spellEnd"/>
            <w:r>
              <w:t xml:space="preserve"> KÁLLAY (HU-II)</w:t>
            </w:r>
          </w:p>
          <w:p w14:paraId="375E122C" w14:textId="2C584748" w:rsidR="0011656A" w:rsidRPr="00215A2F" w:rsidRDefault="0077750B" w:rsidP="007C3DC7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Florian MARIN (RO-II)</w:t>
            </w:r>
          </w:p>
          <w:p w14:paraId="4701AB3B" w14:textId="612EFDBA" w:rsidR="0077750B" w:rsidRPr="00215A2F" w:rsidRDefault="0077750B" w:rsidP="007C3DC7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Maria NIKOLOPOULOU (ES-II)</w:t>
            </w:r>
          </w:p>
          <w:p w14:paraId="41ED5078" w14:textId="7FD76BFA" w:rsidR="0077750B" w:rsidRPr="00215A2F" w:rsidRDefault="001A0A73" w:rsidP="007C3DC7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proofErr w:type="spellStart"/>
            <w:r>
              <w:t>Krzysztof</w:t>
            </w:r>
            <w:proofErr w:type="spellEnd"/>
            <w:r>
              <w:t xml:space="preserve"> OSTROWSKI (PL-I) </w:t>
            </w:r>
          </w:p>
          <w:p w14:paraId="38EE7C74" w14:textId="07FF5CC2" w:rsidR="001A0A73" w:rsidRPr="00D34599" w:rsidRDefault="001A0A73" w:rsidP="007C3DC7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proofErr w:type="spellStart"/>
            <w:r>
              <w:t>Maurizio</w:t>
            </w:r>
            <w:proofErr w:type="spellEnd"/>
            <w:r>
              <w:t xml:space="preserve"> REALE (IT-I)</w:t>
            </w:r>
          </w:p>
          <w:p w14:paraId="3412D23D" w14:textId="1A4870FC" w:rsidR="001A0A73" w:rsidRPr="00D34599" w:rsidRDefault="001A0A73" w:rsidP="007C3DC7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 xml:space="preserve">José Manuel ROCHE RAMO (ES-III) </w:t>
            </w:r>
          </w:p>
          <w:p w14:paraId="1CCC1C93" w14:textId="463300DF" w:rsidR="001A0A73" w:rsidRPr="00B91E3F" w:rsidRDefault="001A0A73" w:rsidP="007C3DC7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proofErr w:type="spellStart"/>
            <w:r>
              <w:t>Katalin</w:t>
            </w:r>
            <w:proofErr w:type="spellEnd"/>
            <w:r>
              <w:t xml:space="preserve"> Elza SÜLE (HU-I)</w:t>
            </w:r>
          </w:p>
          <w:p w14:paraId="6E5229F8" w14:textId="7C16A181" w:rsidR="001A0A73" w:rsidRPr="00B91E3F" w:rsidRDefault="00526B31" w:rsidP="007C3DC7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Andreas THURNER (AT-III)</w:t>
            </w:r>
          </w:p>
        </w:tc>
      </w:tr>
    </w:tbl>
    <w:p w14:paraId="6E522A00" w14:textId="77777777" w:rsidR="0012220C" w:rsidRPr="00B91E3F" w:rsidRDefault="0012220C" w:rsidP="00375C20">
      <w:pPr>
        <w:overflowPunct/>
        <w:adjustRightInd/>
        <w:textAlignment w:val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4"/>
      </w:tblGrid>
      <w:tr w:rsidR="00A74A00" w:rsidRPr="00993357" w14:paraId="6C065D6F" w14:textId="77777777" w:rsidTr="00497125">
        <w:tc>
          <w:tcPr>
            <w:tcW w:w="3119" w:type="dxa"/>
          </w:tcPr>
          <w:p w14:paraId="6C29A550" w14:textId="14D173AE" w:rsidR="00A74A00" w:rsidRDefault="00A74A00" w:rsidP="00955A4A">
            <w:pPr>
              <w:overflowPunct/>
              <w:adjustRightInd/>
              <w:jc w:val="left"/>
              <w:textAlignment w:val="auto"/>
            </w:pPr>
            <w:r>
              <w:t>Savjetnik/</w:t>
            </w:r>
            <w:proofErr w:type="spellStart"/>
            <w:r>
              <w:t>ica</w:t>
            </w:r>
            <w:proofErr w:type="spellEnd"/>
            <w:r>
              <w:t>:</w:t>
            </w:r>
          </w:p>
        </w:tc>
        <w:tc>
          <w:tcPr>
            <w:tcW w:w="5954" w:type="dxa"/>
          </w:tcPr>
          <w:p w14:paraId="30304EC8" w14:textId="654DE8B5" w:rsidR="00993357" w:rsidRPr="00993357" w:rsidRDefault="00993357" w:rsidP="00375C20">
            <w:pPr>
              <w:overflowPunct/>
              <w:adjustRightInd/>
              <w:jc w:val="left"/>
              <w:textAlignment w:val="auto"/>
            </w:pPr>
            <w:r>
              <w:t>Kevin KINSELLA (za izvjestitelja)</w:t>
            </w:r>
          </w:p>
          <w:p w14:paraId="14B7D8D7" w14:textId="53455F04" w:rsidR="001F38D7" w:rsidRPr="00993357" w:rsidRDefault="001F38D7" w:rsidP="00375C20">
            <w:pPr>
              <w:overflowPunct/>
              <w:adjustRightInd/>
              <w:jc w:val="left"/>
              <w:textAlignment w:val="auto"/>
            </w:pPr>
            <w:proofErr w:type="spellStart"/>
            <w:r>
              <w:t>Alun</w:t>
            </w:r>
            <w:proofErr w:type="spellEnd"/>
            <w:r>
              <w:t xml:space="preserve"> JONES (za suizvjestitelja)</w:t>
            </w:r>
          </w:p>
        </w:tc>
      </w:tr>
      <w:tr w:rsidR="00A74A00" w:rsidRPr="00993357" w14:paraId="54FA11D0" w14:textId="77777777" w:rsidTr="00497125">
        <w:tc>
          <w:tcPr>
            <w:tcW w:w="3119" w:type="dxa"/>
          </w:tcPr>
          <w:p w14:paraId="1136704E" w14:textId="77777777" w:rsidR="00A74A00" w:rsidRPr="00993357" w:rsidRDefault="00A74A00" w:rsidP="00955A4A">
            <w:pPr>
              <w:overflowPunct/>
              <w:adjustRightInd/>
              <w:jc w:val="left"/>
              <w:textAlignment w:val="auto"/>
            </w:pPr>
          </w:p>
        </w:tc>
        <w:tc>
          <w:tcPr>
            <w:tcW w:w="5954" w:type="dxa"/>
          </w:tcPr>
          <w:p w14:paraId="707F0BF1" w14:textId="77777777" w:rsidR="00A74A00" w:rsidRPr="00993357" w:rsidRDefault="00A74A00" w:rsidP="00375C20">
            <w:pPr>
              <w:overflowPunct/>
              <w:adjustRightInd/>
              <w:jc w:val="left"/>
              <w:textAlignment w:val="auto"/>
            </w:pPr>
          </w:p>
        </w:tc>
      </w:tr>
      <w:tr w:rsidR="0011656A" w:rsidRPr="002C1D46" w14:paraId="6E522A03" w14:textId="77777777" w:rsidTr="00497125">
        <w:tc>
          <w:tcPr>
            <w:tcW w:w="3119" w:type="dxa"/>
          </w:tcPr>
          <w:p w14:paraId="6E522A01" w14:textId="5C011C6A" w:rsidR="0011656A" w:rsidRPr="002C1D46" w:rsidRDefault="3E1CF757" w:rsidP="00955A4A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Zahtjev za savjetovanje:</w:t>
            </w:r>
          </w:p>
        </w:tc>
        <w:tc>
          <w:tcPr>
            <w:tcW w:w="5954" w:type="dxa"/>
          </w:tcPr>
          <w:p w14:paraId="6E522A02" w14:textId="2C9F3519" w:rsidR="0011656A" w:rsidRPr="002C1D46" w:rsidRDefault="00A901DE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Europska komisija, 8/8/2025</w:t>
            </w:r>
          </w:p>
        </w:tc>
      </w:tr>
      <w:tr w:rsidR="0016503F" w:rsidRPr="002C1D46" w14:paraId="6E522A06" w14:textId="77777777" w:rsidTr="00497125">
        <w:trPr>
          <w:trHeight w:val="251"/>
        </w:trPr>
        <w:tc>
          <w:tcPr>
            <w:tcW w:w="3119" w:type="dxa"/>
          </w:tcPr>
          <w:p w14:paraId="6E522A04" w14:textId="77777777" w:rsidR="0016503F" w:rsidRPr="002C1D46" w:rsidRDefault="3E1CF757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Pravna osnova:</w:t>
            </w:r>
          </w:p>
        </w:tc>
        <w:tc>
          <w:tcPr>
            <w:tcW w:w="5954" w:type="dxa"/>
          </w:tcPr>
          <w:p w14:paraId="6E522A05" w14:textId="73553BB9" w:rsidR="0016503F" w:rsidRPr="002C1D46" w:rsidRDefault="0016503F" w:rsidP="001E7C5D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članak 304. Ugovora o funkcioniranju Europske unije</w:t>
            </w:r>
          </w:p>
        </w:tc>
      </w:tr>
      <w:tr w:rsidR="00DF5B64" w:rsidRPr="002C1D46" w14:paraId="6E522A21" w14:textId="77777777" w:rsidTr="00497125">
        <w:tc>
          <w:tcPr>
            <w:tcW w:w="3119" w:type="dxa"/>
          </w:tcPr>
          <w:p w14:paraId="6E522A1F" w14:textId="77777777" w:rsidR="00DF5B64" w:rsidRPr="002C1D46" w:rsidRDefault="3E1CF757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Nadležna Stručna skupina:</w:t>
            </w:r>
          </w:p>
        </w:tc>
        <w:tc>
          <w:tcPr>
            <w:tcW w:w="5954" w:type="dxa"/>
          </w:tcPr>
          <w:p w14:paraId="6E522A20" w14:textId="7EE3C623" w:rsidR="00DF5B64" w:rsidRPr="002C1D46" w:rsidRDefault="006758EB" w:rsidP="00375C2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Stručna skupina za poljoprivredu, ruralni razvoj i okoliš</w:t>
            </w:r>
          </w:p>
        </w:tc>
      </w:tr>
      <w:tr w:rsidR="0086017F" w:rsidRPr="002C1D46" w14:paraId="2F32FC09" w14:textId="77777777" w:rsidTr="3E1CF757">
        <w:tc>
          <w:tcPr>
            <w:tcW w:w="3119" w:type="dxa"/>
          </w:tcPr>
          <w:p w14:paraId="4C378323" w14:textId="43F34661" w:rsidR="0086017F" w:rsidRPr="002C1D46" w:rsidRDefault="009F4A92" w:rsidP="009F4A92">
            <w:pPr>
              <w:overflowPunct/>
              <w:adjustRightInd/>
              <w:jc w:val="left"/>
              <w:textAlignment w:val="auto"/>
            </w:pPr>
            <w:r>
              <w:t>Datum usvajanja u Stručnoj skupini:</w:t>
            </w:r>
          </w:p>
        </w:tc>
        <w:tc>
          <w:tcPr>
            <w:tcW w:w="5954" w:type="dxa"/>
          </w:tcPr>
          <w:p w14:paraId="08AEA66B" w14:textId="65599483" w:rsidR="0086017F" w:rsidRPr="002C1D46" w:rsidRDefault="0086017F" w:rsidP="0086017F">
            <w:pPr>
              <w:overflowPunct/>
              <w:adjustRightInd/>
              <w:jc w:val="left"/>
              <w:textAlignment w:val="auto"/>
            </w:pPr>
            <w:r>
              <w:t>D/M/YYYY</w:t>
            </w:r>
          </w:p>
        </w:tc>
      </w:tr>
      <w:tr w:rsidR="00211D82" w:rsidRPr="002C1D46" w14:paraId="60147C16" w14:textId="77777777" w:rsidTr="3E1CF757">
        <w:tc>
          <w:tcPr>
            <w:tcW w:w="3119" w:type="dxa"/>
          </w:tcPr>
          <w:p w14:paraId="59B8F6B2" w14:textId="67495895" w:rsidR="00211D82" w:rsidRDefault="00211D82" w:rsidP="009D01A2">
            <w:pPr>
              <w:overflowPunct/>
              <w:adjustRightInd/>
              <w:jc w:val="left"/>
            </w:pPr>
            <w:r>
              <w:t>Rezultat glasanja</w:t>
            </w:r>
            <w:r>
              <w:br/>
              <w:t>(za/protiv/suzdržani):</w:t>
            </w:r>
          </w:p>
        </w:tc>
        <w:tc>
          <w:tcPr>
            <w:tcW w:w="5954" w:type="dxa"/>
            <w:vAlign w:val="bottom"/>
          </w:tcPr>
          <w:p w14:paraId="27DCE39B" w14:textId="53C3D6BA" w:rsidR="00211D82" w:rsidRPr="002B4F9E" w:rsidRDefault="00211D82" w:rsidP="00375C20">
            <w:pPr>
              <w:overflowPunct/>
              <w:adjustRightInd/>
              <w:jc w:val="left"/>
              <w:textAlignment w:val="auto"/>
            </w:pPr>
            <w:r>
              <w:t>…/…/…</w:t>
            </w:r>
          </w:p>
        </w:tc>
      </w:tr>
      <w:tr w:rsidR="006E64DF" w:rsidRPr="002C1D46" w14:paraId="6FE48FAF" w14:textId="77777777" w:rsidTr="3E1CF757">
        <w:tc>
          <w:tcPr>
            <w:tcW w:w="3119" w:type="dxa"/>
          </w:tcPr>
          <w:p w14:paraId="7C747425" w14:textId="558752F7" w:rsidR="006E64DF" w:rsidRPr="00C344BC" w:rsidRDefault="3E1CF757" w:rsidP="00375C20">
            <w:pPr>
              <w:overflowPunct/>
              <w:adjustRightInd/>
              <w:jc w:val="left"/>
            </w:pPr>
            <w:r>
              <w:t>Datum usvajanja na plenarnom zasjedanju:</w:t>
            </w:r>
          </w:p>
        </w:tc>
        <w:tc>
          <w:tcPr>
            <w:tcW w:w="5954" w:type="dxa"/>
            <w:vAlign w:val="bottom"/>
          </w:tcPr>
          <w:p w14:paraId="1A98B857" w14:textId="6B54BEA7" w:rsidR="006E64DF" w:rsidRPr="00C344BC" w:rsidRDefault="3E1CF757" w:rsidP="00375C20">
            <w:pPr>
              <w:overflowPunct/>
              <w:adjustRightInd/>
              <w:jc w:val="left"/>
              <w:textAlignment w:val="auto"/>
            </w:pPr>
            <w:r>
              <w:t>D/M/YYYY</w:t>
            </w:r>
          </w:p>
        </w:tc>
      </w:tr>
      <w:tr w:rsidR="00541739" w:rsidRPr="002C1D46" w14:paraId="63CB7FCF" w14:textId="77777777" w:rsidTr="3E1CF757">
        <w:tc>
          <w:tcPr>
            <w:tcW w:w="3119" w:type="dxa"/>
          </w:tcPr>
          <w:p w14:paraId="51AB2A36" w14:textId="77A1534F" w:rsidR="00541739" w:rsidRPr="00C344BC" w:rsidRDefault="3E1CF757" w:rsidP="00375C20">
            <w:pPr>
              <w:overflowPunct/>
              <w:adjustRightInd/>
              <w:jc w:val="left"/>
            </w:pPr>
            <w:r>
              <w:t>Plenarno zasjedanje br.:</w:t>
            </w:r>
          </w:p>
        </w:tc>
        <w:tc>
          <w:tcPr>
            <w:tcW w:w="5954" w:type="dxa"/>
            <w:vAlign w:val="bottom"/>
          </w:tcPr>
          <w:p w14:paraId="2E7F46CA" w14:textId="6E41F70E" w:rsidR="00541739" w:rsidRPr="00C344BC" w:rsidRDefault="3E1CF757" w:rsidP="00375C20">
            <w:pPr>
              <w:overflowPunct/>
              <w:adjustRightInd/>
              <w:jc w:val="left"/>
              <w:textAlignment w:val="auto"/>
            </w:pPr>
            <w:r>
              <w:t>…</w:t>
            </w:r>
          </w:p>
        </w:tc>
      </w:tr>
      <w:tr w:rsidR="009F4A92" w:rsidRPr="002C1D46" w14:paraId="22774BDF" w14:textId="77777777" w:rsidTr="3E1CF757">
        <w:tc>
          <w:tcPr>
            <w:tcW w:w="3119" w:type="dxa"/>
          </w:tcPr>
          <w:p w14:paraId="0A1E68AA" w14:textId="0C26AB04" w:rsidR="009F4A92" w:rsidRDefault="3E1CF757" w:rsidP="009D01A2">
            <w:pPr>
              <w:overflowPunct/>
              <w:adjustRightInd/>
              <w:jc w:val="left"/>
            </w:pPr>
            <w:r>
              <w:t>Rezultat glasanja</w:t>
            </w:r>
            <w:r>
              <w:br/>
              <w:t>(za/protiv/suzdržani):</w:t>
            </w:r>
          </w:p>
        </w:tc>
        <w:tc>
          <w:tcPr>
            <w:tcW w:w="5954" w:type="dxa"/>
            <w:vAlign w:val="bottom"/>
          </w:tcPr>
          <w:p w14:paraId="4BA20A70" w14:textId="71EBCBD1" w:rsidR="009F4A92" w:rsidRDefault="3E1CF757" w:rsidP="00375C20">
            <w:pPr>
              <w:overflowPunct/>
              <w:adjustRightInd/>
              <w:jc w:val="left"/>
              <w:textAlignment w:val="auto"/>
            </w:pPr>
            <w:r>
              <w:t>…/…/…</w:t>
            </w:r>
          </w:p>
        </w:tc>
      </w:tr>
    </w:tbl>
    <w:p w14:paraId="6E522A2F" w14:textId="77777777" w:rsidR="00646AC2" w:rsidRPr="002C1D46" w:rsidRDefault="00646AC2" w:rsidP="00375C20">
      <w:pPr>
        <w:overflowPunct/>
        <w:adjustRightInd/>
        <w:textAlignment w:val="auto"/>
      </w:pPr>
      <w:r>
        <w:br w:type="page"/>
      </w:r>
    </w:p>
    <w:p w14:paraId="0502A017" w14:textId="74A945FA" w:rsidR="00A86BA8" w:rsidRPr="009E085B" w:rsidRDefault="3E1CF757" w:rsidP="009D01A2">
      <w:pPr>
        <w:pStyle w:val="Heading1"/>
        <w:ind w:left="567" w:hanging="567"/>
        <w:rPr>
          <w:b/>
          <w:bCs/>
        </w:rPr>
      </w:pPr>
      <w:r>
        <w:rPr>
          <w:b/>
        </w:rPr>
        <w:lastRenderedPageBreak/>
        <w:t>Uvod</w:t>
      </w:r>
    </w:p>
    <w:p w14:paraId="1CEE6C3A" w14:textId="77777777" w:rsidR="00A86BA8" w:rsidRPr="009E085B" w:rsidRDefault="00A86BA8" w:rsidP="009D01A2"/>
    <w:p w14:paraId="35FA1A4A" w14:textId="77777777" w:rsidR="002C2B61" w:rsidRPr="00631EF0" w:rsidRDefault="002C2B61" w:rsidP="002C2B61">
      <w:pPr>
        <w:pStyle w:val="Heading2"/>
        <w:ind w:left="567" w:hanging="567"/>
      </w:pPr>
      <w:r>
        <w:rPr>
          <w:b/>
        </w:rPr>
        <w:t>Fokus evaluacije</w:t>
      </w:r>
    </w:p>
    <w:p w14:paraId="19B2E86C" w14:textId="77777777" w:rsidR="00631EF0" w:rsidRPr="00631EF0" w:rsidRDefault="00631EF0" w:rsidP="00631EF0"/>
    <w:p w14:paraId="56CF699D" w14:textId="1BE1C2EC" w:rsidR="002C2B61" w:rsidRDefault="002C2B61" w:rsidP="002C2B61">
      <w:pPr>
        <w:ind w:left="567"/>
      </w:pPr>
      <w:r>
        <w:t xml:space="preserve">Zajednička poljoprivredna politika (ZPP) glavni je okvir politike EU-a osmišljen za potporu dohotku poljoprivrednih gospodarstava, povećanje poljoprivredne produktivnosti i osiguravanje stabilne, održive, </w:t>
      </w:r>
      <w:proofErr w:type="spellStart"/>
      <w:r>
        <w:t>priuštive</w:t>
      </w:r>
      <w:proofErr w:type="spellEnd"/>
      <w:r>
        <w:t xml:space="preserve"> i sigurne opskrbe hranom u EU-u, uz istodobno održavanje bioraznolikosti.</w:t>
      </w:r>
    </w:p>
    <w:p w14:paraId="687A45C3" w14:textId="77777777" w:rsidR="00975BA5" w:rsidRPr="00AB3EA6" w:rsidRDefault="00975BA5" w:rsidP="002C2B61">
      <w:pPr>
        <w:ind w:left="567"/>
      </w:pPr>
    </w:p>
    <w:p w14:paraId="6E1398FA" w14:textId="64CB6D0A" w:rsidR="002C2B61" w:rsidRDefault="002C2B61" w:rsidP="002C2B61">
      <w:pPr>
        <w:ind w:left="567"/>
      </w:pPr>
      <w:r>
        <w:t>Nakon prethodnih reformi u okviru postojećeg ZPP-a (za razdoblje 2023. – 2027.) od svake se države članice zahtijeva da izradi Nacionalni strateški plan (NSP) u kojem se utvrđuje kako će usmjeriti instrumente financiranja ZPP-a kako bi se zadovoljile njezine nacionalne potrebe i postigli konkretni rezultati u pogledu ciljeva na razini EU-a.</w:t>
      </w:r>
    </w:p>
    <w:p w14:paraId="2955F107" w14:textId="77777777" w:rsidR="00975BA5" w:rsidRPr="002C2B61" w:rsidRDefault="00975BA5" w:rsidP="002C2B61">
      <w:pPr>
        <w:ind w:left="567"/>
      </w:pPr>
    </w:p>
    <w:p w14:paraId="00E0B313" w14:textId="494A47F0" w:rsidR="002C2B61" w:rsidRDefault="002C2B61" w:rsidP="002C2B61">
      <w:pPr>
        <w:ind w:left="567"/>
      </w:pPr>
      <w:r>
        <w:t xml:space="preserve">Cilj je </w:t>
      </w:r>
      <w:proofErr w:type="spellStart"/>
      <w:r>
        <w:t>međuevaluacije</w:t>
      </w:r>
      <w:proofErr w:type="spellEnd"/>
      <w:r>
        <w:t xml:space="preserve"> ZPP-a (za razdoblje 2023. – 2027.) procijeniti njegov napredak tijekom programskog razdoblja 2023. – 2027. i pružiti ranu procjenu djelotvornosti nacionalnih strateških planova. Rezultati bi trebali poslužiti kao temelj za oblikovanje buduće politike ZPP-a.</w:t>
      </w:r>
    </w:p>
    <w:p w14:paraId="15D5A3FA" w14:textId="77777777" w:rsidR="00054D30" w:rsidRPr="002C2B61" w:rsidRDefault="00054D30" w:rsidP="002C2B61">
      <w:pPr>
        <w:ind w:left="567"/>
      </w:pPr>
    </w:p>
    <w:p w14:paraId="474283F1" w14:textId="07413442" w:rsidR="002C2B61" w:rsidRDefault="002C2B61" w:rsidP="002C2B61">
      <w:pPr>
        <w:ind w:left="567"/>
      </w:pPr>
      <w:r>
        <w:t>U svojoj metodologiji Europski gospodarski i socijalni odbor (EGSO) slijedi smjernice Europske komisije za bolju regulativu pa svoja evaluacijska izvješća oblikuje prema sljedećim evaluacijskim kriterijima: djelotvornosti, relevantnosti i dodanoj vrijednosti angažmana civilnog društva.</w:t>
      </w:r>
    </w:p>
    <w:p w14:paraId="530FBAFD" w14:textId="77777777" w:rsidR="00975BA5" w:rsidRPr="002C2B61" w:rsidRDefault="00975BA5" w:rsidP="002C2B61">
      <w:pPr>
        <w:ind w:left="567"/>
      </w:pPr>
    </w:p>
    <w:p w14:paraId="5DCC9C8D" w14:textId="47D471AD" w:rsidR="002C2B61" w:rsidRPr="002C2B61" w:rsidRDefault="002C2B61" w:rsidP="002C2B61">
      <w:pPr>
        <w:ind w:left="567"/>
      </w:pPr>
      <w:r>
        <w:t>Kako bi se dopunila evaluacija Komisije, evaluacija EGSO-a bila je posebno usmjerena na sljedeće socijalne aspekte specifičnih ciljeva (SC-ovi) ZPP-a:</w:t>
      </w:r>
    </w:p>
    <w:p w14:paraId="0D9EB706" w14:textId="1AD22A76" w:rsidR="002C2B61" w:rsidRPr="00215A2F" w:rsidRDefault="002C2B61" w:rsidP="007B2EEF">
      <w:pPr>
        <w:pStyle w:val="ListParagraph"/>
        <w:numPr>
          <w:ilvl w:val="0"/>
          <w:numId w:val="23"/>
        </w:numPr>
        <w:ind w:left="851" w:hanging="284"/>
      </w:pPr>
      <w:r>
        <w:t>SC1 Pravedan dohodak za poljoprivrednike</w:t>
      </w:r>
    </w:p>
    <w:p w14:paraId="1CE026F1" w14:textId="098E8949" w:rsidR="002C2B61" w:rsidRPr="00215A2F" w:rsidRDefault="002C2B61" w:rsidP="007B2EEF">
      <w:pPr>
        <w:pStyle w:val="ListParagraph"/>
        <w:numPr>
          <w:ilvl w:val="0"/>
          <w:numId w:val="23"/>
        </w:numPr>
        <w:ind w:left="851" w:hanging="284"/>
      </w:pPr>
      <w:r>
        <w:t>SC3 Poboljšani položaj za poljoprivrednike u vrijednosnom lancu</w:t>
      </w:r>
    </w:p>
    <w:p w14:paraId="5E42A325" w14:textId="68DBA6DE" w:rsidR="002C2B61" w:rsidRPr="00215A2F" w:rsidRDefault="002C2B61" w:rsidP="007B2EEF">
      <w:pPr>
        <w:pStyle w:val="ListParagraph"/>
        <w:numPr>
          <w:ilvl w:val="0"/>
          <w:numId w:val="23"/>
        </w:numPr>
        <w:ind w:left="851" w:hanging="284"/>
      </w:pPr>
      <w:r>
        <w:t>SC7 Potpora generacijskoj obnovi poljoprivrednika</w:t>
      </w:r>
    </w:p>
    <w:p w14:paraId="3D79BA1A" w14:textId="2C2F5F62" w:rsidR="002C2B61" w:rsidRPr="00215A2F" w:rsidRDefault="002C2B61" w:rsidP="007B2EEF">
      <w:pPr>
        <w:pStyle w:val="ListParagraph"/>
        <w:numPr>
          <w:ilvl w:val="0"/>
          <w:numId w:val="23"/>
        </w:numPr>
        <w:ind w:left="851" w:hanging="284"/>
      </w:pPr>
      <w:r>
        <w:t>SC8 Promicanje gospodarskog i socijalnog razvoja ruralnih područja</w:t>
      </w:r>
    </w:p>
    <w:p w14:paraId="01E5545C" w14:textId="15648140" w:rsidR="002C2B61" w:rsidRPr="00631EF0" w:rsidRDefault="002C2B61" w:rsidP="007B2EEF">
      <w:pPr>
        <w:pStyle w:val="ListParagraph"/>
        <w:numPr>
          <w:ilvl w:val="0"/>
          <w:numId w:val="23"/>
        </w:numPr>
        <w:ind w:left="851" w:hanging="284"/>
      </w:pPr>
      <w:r>
        <w:t>X10 Poticanje znanja i inovacija u poljoprivrednom sektoru (samo osposobljavanje)</w:t>
      </w:r>
    </w:p>
    <w:p w14:paraId="00CCDF49" w14:textId="77777777" w:rsidR="002C2B61" w:rsidRPr="00631EF0" w:rsidRDefault="002C2B61" w:rsidP="002C2B61">
      <w:pPr>
        <w:ind w:left="567"/>
      </w:pPr>
    </w:p>
    <w:p w14:paraId="55E209E3" w14:textId="405C7AD0" w:rsidR="002C2B61" w:rsidRPr="00344385" w:rsidRDefault="002C2B61" w:rsidP="00054D30">
      <w:pPr>
        <w:pStyle w:val="Heading2"/>
        <w:ind w:left="567" w:hanging="567"/>
      </w:pPr>
      <w:r>
        <w:rPr>
          <w:b/>
        </w:rPr>
        <w:t>Metodologija i studijska skupina</w:t>
      </w:r>
    </w:p>
    <w:p w14:paraId="3908C5F1" w14:textId="77777777" w:rsidR="00F147DB" w:rsidRPr="00F147DB" w:rsidRDefault="00F147DB" w:rsidP="00F147DB"/>
    <w:p w14:paraId="4B579F6C" w14:textId="4ABC99A5" w:rsidR="00A86BA8" w:rsidRPr="009E085B" w:rsidRDefault="002C2B61" w:rsidP="00054D30">
      <w:pPr>
        <w:ind w:left="567"/>
      </w:pPr>
      <w:r>
        <w:t xml:space="preserve">EGSO-ova metodologija za evaluaciju temelji se na smjernicama Komisije za bolju regulativu, a posebno na sljedećim kriterijima: </w:t>
      </w:r>
      <w:r>
        <w:rPr>
          <w:b/>
        </w:rPr>
        <w:t>djelotvornosti i relevantnosti</w:t>
      </w:r>
      <w:r>
        <w:t xml:space="preserve">. Osim toga, EGSO razmatra </w:t>
      </w:r>
      <w:r>
        <w:rPr>
          <w:b/>
        </w:rPr>
        <w:t>dodanu vrijednost sudjelovanja civilnog društva</w:t>
      </w:r>
      <w:r>
        <w:t xml:space="preserve"> u toj politici i dosljednosti. Primarni podaci prikupljeni su i. osobnim i virtualnim misijama za utvrđivanje činjenica u Austriji (virtualno), Irskoj (fizički), Italiji (virtualno), Rumunjskoj (virtualno) i Španjolskoj (fizički), ii. internetskim upitnikom koji je podijeljen nacionalnim socijalnim partnerima i organizacijama civilnog društva te iii. pisanim doprinosima. Sastanci s dionicima (u kojima je sudjelovalo 60 organizacija) i odgovori na upitnik (148 potpunih odgovora) osnovna su baza dokaza za zaključke u nastavku.</w:t>
      </w:r>
    </w:p>
    <w:p w14:paraId="556F48EB" w14:textId="77777777" w:rsidR="00A86BA8" w:rsidRPr="009E085B" w:rsidRDefault="00A86BA8" w:rsidP="009D01A2"/>
    <w:p w14:paraId="6E522A30" w14:textId="15D64768" w:rsidR="00194B36" w:rsidRPr="009E085B" w:rsidRDefault="3E1CF757" w:rsidP="009D01A2">
      <w:pPr>
        <w:pStyle w:val="Heading1"/>
        <w:ind w:left="567" w:hanging="567"/>
        <w:rPr>
          <w:b/>
          <w:bCs/>
        </w:rPr>
      </w:pPr>
      <w:r>
        <w:rPr>
          <w:b/>
        </w:rPr>
        <w:t>Zaključci o djelotvornosti</w:t>
      </w:r>
    </w:p>
    <w:p w14:paraId="6E522A31" w14:textId="77777777" w:rsidR="00194B36" w:rsidRPr="009E085B" w:rsidRDefault="00194B36" w:rsidP="009D01A2">
      <w:pPr>
        <w:overflowPunct/>
        <w:adjustRightInd/>
        <w:ind w:left="142" w:hanging="142"/>
        <w:jc w:val="left"/>
        <w:textAlignment w:val="auto"/>
      </w:pPr>
    </w:p>
    <w:p w14:paraId="7C3BB17F" w14:textId="5610885D" w:rsidR="003557A2" w:rsidRDefault="003557A2" w:rsidP="003557A2">
      <w:pPr>
        <w:pStyle w:val="Heading2"/>
        <w:ind w:left="567" w:hanging="567"/>
      </w:pPr>
      <w:r>
        <w:lastRenderedPageBreak/>
        <w:t>Dionici iz pet država članica slažu se da instrumenti ZPP-a imaju vrlo važnu ulogu u podupiranju prihoda poljoprivrednih gospodarstava, posebno s obzirom na nestabilnost tržišta, klimatske rizike i geopolitičke šokove. Izravna plaćanja i mjere preraspodjele u više su navrata opisani kao ključna „sigurnosna mreža” kojom se spriječio veći pad prihoda, posebno u sektorima stočarstva, mlijeka i mliječnih proizvoda te maloposjednika. Podaci iz upitnika potvrđuju to stajalište: 55 % ispitanika ocijenilo je ZPP vrlo ili umjereno djelotvornim u podupiranju pravednog dohotka poljoprivrednih gospodarstava, a 57 % u održavanju poljoprivredne proizvodnje.</w:t>
      </w:r>
    </w:p>
    <w:p w14:paraId="3605EF0D" w14:textId="77777777" w:rsidR="00A313DF" w:rsidRPr="00A313DF" w:rsidRDefault="00A313DF" w:rsidP="00A313DF"/>
    <w:p w14:paraId="19154395" w14:textId="51515862" w:rsidR="003557A2" w:rsidRDefault="003557A2" w:rsidP="00A313DF">
      <w:pPr>
        <w:pStyle w:val="Heading2"/>
        <w:ind w:left="567" w:hanging="567"/>
      </w:pPr>
      <w:r>
        <w:t>Strukturne nejednakosti i dalje su veliko ograničenje. Plaćanja po površini i dalje pogoduju većim poljoprivrednim gospodarstvima, dok mala i srednja poljoprivredna gospodarstva u rubnim područjima primaju ograničenu potporu. Proizvodno vezana plaćanja smatrala su se djelotvornijom metodom podupiranja aktivnih poljoprivrednika. Socijalni partneri u Austriji, Italiji, Rumunjskoj i Španjolskoj istaknuli su da se ZPP-om nije u dovoljnoj mjeri uklonila razlika u dohotku u odnosu na druge sektore niti se smanjilo siromaštvo u ruralnim područjima. U Irskoj su organizacije poljoprivrednih gospodarstava napomenule da neki poljoprivredni sektori u potpunosti ovise o izravnim plaćanjima te da su kašnjenja u plaćanjima u okviru programa za 2023. uzrokovala probleme s likvidnošću.</w:t>
      </w:r>
    </w:p>
    <w:p w14:paraId="78B29A54" w14:textId="77777777" w:rsidR="00A313DF" w:rsidRPr="00A313DF" w:rsidRDefault="00A313DF" w:rsidP="00A313DF"/>
    <w:p w14:paraId="5FCE7B13" w14:textId="171CA695" w:rsidR="003557A2" w:rsidRDefault="003557A2" w:rsidP="00A313DF">
      <w:pPr>
        <w:pStyle w:val="Heading2"/>
        <w:ind w:left="567" w:hanging="567"/>
      </w:pPr>
      <w:r>
        <w:t xml:space="preserve">Položaj poljoprivrednika u vrijednosnom lancu pokazuje umjereno poboljšanje. 43 % ispitanika smatralo je da su mjere ZPP-a za prehrambeni lanac bile djelotvorne u poboljšanju položaja poljoprivrednika u prehrambenom lancu, ali da bi mogle biti djelotvornije u rješavanju neravnoteža između velikih trgovaca na malo i malih proizvođača. Organizacije proizvođača pozdravile su sektorske programe u sektoru voća i povrća, vina i maslina kojima je ojačano zajedničko stavljanje na tržište, ali su izvijestile o trajnim neravnotežama u odnosu na trgovce na malo i prerađivače (zakašnjela plaćanja, </w:t>
      </w:r>
      <w:r>
        <w:rPr>
          <w:i/>
        </w:rPr>
        <w:t>ex post</w:t>
      </w:r>
      <w:r>
        <w:t xml:space="preserve"> rabati, naknade za uvrštavanje). U Irskoj i Italiji zadruge pružaju dodatnu snagu u nekim sektorima, ali većina proizvođača i dalje prihvaća cijene. Nacionalno zakonodavstvo o nepoštenim trgovačkim praksama često se smatralo učinkovitijim.</w:t>
      </w:r>
    </w:p>
    <w:p w14:paraId="76BE6BA7" w14:textId="77777777" w:rsidR="00A313DF" w:rsidRPr="00A313DF" w:rsidRDefault="00A313DF" w:rsidP="00A313DF"/>
    <w:p w14:paraId="0F5480D7" w14:textId="1C6AD6C5" w:rsidR="003557A2" w:rsidRDefault="003557A2" w:rsidP="00A313DF">
      <w:pPr>
        <w:pStyle w:val="Heading2"/>
        <w:ind w:left="567" w:hanging="567"/>
      </w:pPr>
      <w:r>
        <w:t>Izazovi povezani s mentalnim zdravljem općenito su prepoznati. Glavni uzročnici stresa bili su nestabilnost cijena i neodržive tržišne cijene (57 %), birokratsko opterećenje zbog papirologije u okviru ZPP-a (57 %), dugo radno vrijeme (26 %) i društveno „blaćenje poljoprivrednika” (19 %). Dionici u svih pet zemalja povezali su te pritiske s regulatornom složenošću, nesigurnošću prihoda i kritikama javnosti, naglašavajući da sama funkcija stabilizacije prihoda ZPP-a nije dovoljna da bi se poljoprivrednicima pružila razumna razina mira.</w:t>
      </w:r>
    </w:p>
    <w:p w14:paraId="4890C130" w14:textId="77777777" w:rsidR="00A313DF" w:rsidRPr="00A313DF" w:rsidRDefault="00A313DF" w:rsidP="00A313DF"/>
    <w:p w14:paraId="37DF7207" w14:textId="0CD70139" w:rsidR="003557A2" w:rsidRDefault="003557A2" w:rsidP="00A313DF">
      <w:pPr>
        <w:pStyle w:val="Heading2"/>
        <w:ind w:left="567" w:hanging="567"/>
      </w:pPr>
      <w:r>
        <w:t xml:space="preserve">Generacijska obnova i dalje je slaba točka unatoč namjenskim instrumentima ZPP-a za mlade poljoprivrednike. Irska navodi da je prosječna dob poljoprivrednika 59 godina, što je nešto iznad prosjeka EU-a (57 – 58) te da je broj mladih poljoprivrednika ograničen. Snažan okvir potpore u Austriji znači da je 25 % upravitelja poljoprivrednih gospodarstava mlađe od 40 godina. Italija i Rumunjska mnogo su uložile u bespovratna sredstva za pokretanje poslovanja i veća plaćanja, no stope preživljavanja novih poljoprivrednih gospodarstava niske su zbog prepreka pristupu zemljištu, kreditnih ograničenja i nestabilnih prihoda. Odgovori na upitnik pokazuju da 62 % ispitanika mjere ZPP-a smatra učinkovitima u pružanju potpore mladim poljoprivrednicima i poboljšanju vještina i osposobljavanja. Ipak, 64 % ispitanika </w:t>
      </w:r>
      <w:r>
        <w:lastRenderedPageBreak/>
        <w:t>smatra da mjere za poticanje novih poljoprivrednika i pomoć starijim poljoprivrednicima prilikom odlaska u mirovinu nisu učinkovite. Strukturni čimbenici (cijene zemljišta, regulatorna nesigurnost, ravnoteža između poslovnog i privatnog života, oporezivanje) nisu se riješili i ne mogu se na odgovarajući način riješiti samo ZPP-om te postoji potreba za dodatnim instrumentima potpore nacionalnim mjerama izvan ZPP-a.</w:t>
      </w:r>
    </w:p>
    <w:p w14:paraId="52F17FA5" w14:textId="77777777" w:rsidR="00A313DF" w:rsidRPr="00A313DF" w:rsidRDefault="00A313DF" w:rsidP="00A313DF"/>
    <w:p w14:paraId="122639AF" w14:textId="31BBED77" w:rsidR="003557A2" w:rsidRDefault="003557A2" w:rsidP="00A313DF">
      <w:pPr>
        <w:pStyle w:val="Heading2"/>
        <w:ind w:left="567" w:hanging="567"/>
      </w:pPr>
      <w:r>
        <w:t>Potrebno je povećati vidljivost i ulogu žena u donošenju odluka na poljoprivrednim gospodarstvima. Rodno specifični izazovi i uloga žena u poljoprivredi često se podcjenjuju, na primjer, postoji velika „ovisnost o neplaćenom ili nedovoljno priznatom radu žena” te je potrebno poboljšati „rodno osjetljive značajke kao što su financijski bonusi za mlade poljoprivrednice” i „ciljana potpora poljoprivrednim gospodarstvima kojima upravljaju žene”, pri čemu su ta pitanja posebno važna za generacijsku obnovu.</w:t>
      </w:r>
    </w:p>
    <w:p w14:paraId="2D7A78B0" w14:textId="77777777" w:rsidR="00A313DF" w:rsidRPr="00A313DF" w:rsidRDefault="00A313DF" w:rsidP="00A313DF"/>
    <w:p w14:paraId="5F7F9875" w14:textId="261F5EF3" w:rsidR="003557A2" w:rsidRDefault="003557A2" w:rsidP="00A313DF">
      <w:pPr>
        <w:pStyle w:val="Heading2"/>
        <w:ind w:left="567" w:hanging="567"/>
      </w:pPr>
      <w:r>
        <w:t>Iako nisu obuhvaćeni mjerama ZPP-a, dionici na sastancima za utvrđivanje činjenica i u upitniku (148 ispitanika) ocijenili su da su odredbe o socijalnoj zaštiti u državama članicama uglavnom nedovoljne. Više od polovine (57 %) smatralo je da su mirovine, bolovanje i davanja za majčinstvo nedostatni. Ključna pitanja uključuju niske razine mirovina, fragmentiranu povijest rada (posebno za žene u ruralnim područjima i sezonske radnike), neformalno zapošljavanje i ograničeno priznavanje neplaćenog obiteljskog rada. Javna tijela i organizacije poljoprivrednih gospodarstava naglasili su da su postojeći ruralni mirovinski okviri i okviri socijalnog osiguranja, iako prisutni u nekim državama članicama (npr. Austriji), i dalje rascjepkani te da se njima u dovoljnoj mjeri ne podupire nasljeđivanje poljoprivrednih gospodarstava ili ravnoteža između poslovnog i privatnog života.</w:t>
      </w:r>
    </w:p>
    <w:p w14:paraId="135E9324" w14:textId="77777777" w:rsidR="00A313DF" w:rsidRPr="00A313DF" w:rsidRDefault="00A313DF" w:rsidP="00A313DF"/>
    <w:p w14:paraId="3D08AEF3" w14:textId="2AA8936F" w:rsidR="003557A2" w:rsidRDefault="00523192" w:rsidP="00523192">
      <w:pPr>
        <w:pStyle w:val="Heading2"/>
        <w:ind w:left="567" w:hanging="567"/>
      </w:pPr>
      <w:r>
        <w:t>Program LEADER pozitivno utječe na ruralni gospodarski i društveni razvoj, ali ima skroman učinak na zapošljavanje, smanjenje siromaštva i usluge u ruralnim područjima. LEADER je neprestano hvaljen za diversifikaciju, otvaranje radnih mjesta i upravljanje u zajednici, no dionici su primijetili nedovoljna ulaganja u odnosu na potrebe i nedovoljnu usredotočenost na nepoljoprivredne aktivnosti, što bi moglo imati ulogu u gospodarskoj održivosti poljoprivrednih gospodarstava. Ukupno 50 % ispitanika u upitniku navelo je da su mjere ZPP-a bile umjereno djelotvorne u podupiranju gospodarskog razvoja u ruralnim područjima, ali samo ih je 42 % mislilo isto u pogledu njihova učinka na radna mjesta. Depopulacija, infrastrukturni nedostaci i ograničene socijalne usluge i dalje tjeraju mlade da napuste ruralna područja. Dostupnost radnih mjesta, kvalitetnih usluga i povezanosti u ruralnim područjima ključni su za poljoprivredni sektor i mogu imati dugotrajan pozitivan učinak na generacijsku obnovu.</w:t>
      </w:r>
    </w:p>
    <w:p w14:paraId="2E553AD1" w14:textId="77777777" w:rsidR="00A313DF" w:rsidRPr="00A313DF" w:rsidRDefault="00A313DF" w:rsidP="00A313DF"/>
    <w:p w14:paraId="112C7014" w14:textId="45FDE19A" w:rsidR="003557A2" w:rsidRDefault="003557A2" w:rsidP="00A313DF">
      <w:pPr>
        <w:pStyle w:val="Heading2"/>
        <w:ind w:left="567" w:hanging="567"/>
      </w:pPr>
      <w:r>
        <w:t>Strukovno osposobljavanje i instrumenti sustava znanja i inovacija u poljoprivredi (AKIS) smatraju se relevantnima, uz pozitivnu primjenu u Austriji i Irskoj, ali kašnjenja u provedbi, administrativno opterećenje i njihova ograničena dostupnost malim poljoprivrednim gospodarstvima smanjuju njihov učinak. Rezultati upitnika pokazuju 55 % djelotvornosti u pristupu strukovnom osposobljavanju, no dionici u Italiji i Rumunjskoj istaknuli su kasno pokretanje mjera i slabe savjetodavne sustave. Uzajamno učenje i europska partnerstva za inovacije za produktivnost i održivost u poljoprivredi (EIP-AGRI) istaknuti su kao obećavajući, ali nedovoljno financirani.</w:t>
      </w:r>
    </w:p>
    <w:p w14:paraId="752BCFB2" w14:textId="77777777" w:rsidR="00A313DF" w:rsidRPr="00A313DF" w:rsidRDefault="00A313DF" w:rsidP="00A313DF"/>
    <w:p w14:paraId="70D473E6" w14:textId="2833B86A" w:rsidR="003557A2" w:rsidRDefault="003557A2" w:rsidP="00A313DF">
      <w:pPr>
        <w:pStyle w:val="Heading2"/>
        <w:ind w:left="567" w:hanging="567"/>
      </w:pPr>
      <w:r>
        <w:lastRenderedPageBreak/>
        <w:t>Čimbenici koji utječu na ukupnu uspješnost ZPP-a usmjereni su na administrativnu složenost i vanjske šokove. Dionici iz svih zemalja utvrdili su da su birokracija, česte regulatorne promjene i zahtjevi u pogledu kontrole velika opterećenja koja narušavaju povjerenje i sudjelovanje. Klimatske pojave, nestabilnost tržišta, porast ulaznih cijena i geopolitički poremećaji (npr. rat u Ukrajini) dodatno ograničavaju djelotvornost.</w:t>
      </w:r>
    </w:p>
    <w:p w14:paraId="7770F627" w14:textId="77777777" w:rsidR="00A313DF" w:rsidRPr="00A313DF" w:rsidRDefault="00A313DF" w:rsidP="00A313DF"/>
    <w:p w14:paraId="6E522A32" w14:textId="1B8C115A" w:rsidR="00194B36" w:rsidRDefault="003557A2" w:rsidP="00A313DF">
      <w:pPr>
        <w:pStyle w:val="Heading2"/>
        <w:ind w:left="567" w:hanging="567"/>
      </w:pPr>
      <w:r>
        <w:t>Organizacije radnika i socijalne organizacije uglavnom su socijalnu uvjetovanost smatrale pozitivnim načelom, ali ograničenim u području primjene i provedbe, posebno za sezonske radnike i radnike migrante zbog isključivanja ključnih radno intenzivnih sektora kao što je hortikultura. Skupine poslodavaca smatrale su da bi socijalna uvjetovanost mogla nepravedno predstavljati „dvostruku novčanu kaznu” s obzirom na to da je ograničen broj slučajeva već kažnjen nacionalnim zakonima o zapošljavanju. Nacionalne uprave, posebno Španjolska, smatrale su da je mehanizam složen i zahtjevan za provedbu te da ima mali učinak na prakse poslodavaca.</w:t>
      </w:r>
    </w:p>
    <w:p w14:paraId="4AFEC6D7" w14:textId="77777777" w:rsidR="00D61F10" w:rsidRDefault="00D61F10" w:rsidP="00D61F10"/>
    <w:p w14:paraId="0347B9F2" w14:textId="77777777" w:rsidR="00D61F10" w:rsidRDefault="00D61F10" w:rsidP="007B2EEF">
      <w:pPr>
        <w:pStyle w:val="Heading1"/>
        <w:keepNext/>
        <w:keepLines/>
        <w:ind w:left="567" w:hanging="567"/>
        <w:rPr>
          <w:b/>
          <w:bCs/>
        </w:rPr>
      </w:pPr>
      <w:r>
        <w:rPr>
          <w:b/>
        </w:rPr>
        <w:t>Zaključci o važnosti</w:t>
      </w:r>
    </w:p>
    <w:p w14:paraId="612D65AD" w14:textId="77777777" w:rsidR="00D61F10" w:rsidRPr="00A64BF4" w:rsidRDefault="00D61F10" w:rsidP="007B2EEF">
      <w:pPr>
        <w:pStyle w:val="Heading1"/>
        <w:keepNext/>
        <w:keepLines/>
        <w:numPr>
          <w:ilvl w:val="0"/>
          <w:numId w:val="0"/>
        </w:numPr>
      </w:pPr>
    </w:p>
    <w:p w14:paraId="14C40CFC" w14:textId="29080163" w:rsidR="00A64BF4" w:rsidRDefault="00A64BF4" w:rsidP="007B2EEF">
      <w:pPr>
        <w:pStyle w:val="Heading2"/>
        <w:keepNext/>
        <w:keepLines/>
        <w:ind w:left="567" w:hanging="567"/>
      </w:pPr>
      <w:r>
        <w:t>U usporedbi s drugim instrumentima EU-a / nacionalnim instrumentima ZPP je i dalje ključan i iznimno važan za potporu dohotku i ulaganja u ruralna područja. Nijedna druga politika ne odgovara njegovu učinku i dosegu. Dionici su naglasili potrebu za boljom koordinacijom (npr. pristupi koji se financiraju iz više fondova) i jasnijim razgraničenjem uloga kako bi se izbjegla preklapanja i nedostaci. U nekim državama članicama istaknute su poteškoće povezane s pravednošću izravnih plaćanja u okviru ZPP-a.</w:t>
      </w:r>
    </w:p>
    <w:p w14:paraId="23084378" w14:textId="77777777" w:rsidR="00A64BF4" w:rsidRPr="00A64BF4" w:rsidRDefault="00A64BF4" w:rsidP="00A64BF4"/>
    <w:p w14:paraId="4032E3F5" w14:textId="38280FF0" w:rsidR="00A64BF4" w:rsidRDefault="00A64BF4" w:rsidP="00A64BF4">
      <w:pPr>
        <w:pStyle w:val="Heading2"/>
        <w:ind w:left="567" w:hanging="567"/>
      </w:pPr>
      <w:r>
        <w:t xml:space="preserve">Mjere ZPP-a uglavnom su usklađene s lokalnim potrebama u pogledu stabilizacije prihoda, zaštite okoliša i ruralnog razvoja, ali i dalje postoje nedostaci. Austrijski sustav kompenzacijskih naknada za planinska područja i irski programi za ekologiju navedeni su kao dobro usmjereni. Socijalni ciljevi, uključujući pravedan dohodak i generacijsku obnovu, službeno su priznati, ali se nedovoljno podupiru instrumentima koji se odnose na pristup zemljištu, kreditiranje i ruralne usluge. Ispitanici u upitniku ocijenili su ciljeve u području okoliša i bioraznolikosti najvišim ocjenama (oko 70 % ispitanika smatralo ih je vrlo/umjereno djelotvornima). Međutim, dionici u Italiji, Rumunjskoj i Španjolskoj izvijestili su da jedinstveni programi za ekologiju i pravila o uvjetovanosti nisu uvijek uzimali u obzir regionalne klimatske ili strukturne okolnosti (npr. područja sklona suši, </w:t>
      </w:r>
      <w:proofErr w:type="spellStart"/>
      <w:r>
        <w:t>fragmentiranost</w:t>
      </w:r>
      <w:proofErr w:type="spellEnd"/>
      <w:r>
        <w:t xml:space="preserve"> zemljišta).</w:t>
      </w:r>
    </w:p>
    <w:p w14:paraId="6012F019" w14:textId="77777777" w:rsidR="00A64BF4" w:rsidRPr="00A64BF4" w:rsidRDefault="00A64BF4" w:rsidP="00A64BF4"/>
    <w:p w14:paraId="7B60019F" w14:textId="5129AA23" w:rsidR="00A64BF4" w:rsidRDefault="0094609C" w:rsidP="00A64BF4">
      <w:pPr>
        <w:pStyle w:val="Heading2"/>
        <w:ind w:left="567" w:hanging="567"/>
      </w:pPr>
      <w:r>
        <w:t>Postoji djelomična usklađenost sa širim ciljevima EU-a (zeleni plan, socijalna uključenost, trgovinska politika EU-a). Ambicije u području okoliša integrirane su, ali se ponekad smatraju prevelikim opterećenjem bez odgovarajuće naknade. Podaci iz upitnika pokazuju da su mjere u području klime i biološke raznolikosti umjereno djelotvorne, uz slabije rezultate za socijalne ishode. Dionici su pozvali na bolju koordinaciju s nacionalnim politikama u području rada, migracija i kohezije te na snažniji reciprocitet u trgovinskim standardima i trgovinskim sporazumima EU-a, posebno u pogledu minimalnih okolišnih i socijalnih standarda za uvoz hrane u EU.</w:t>
      </w:r>
    </w:p>
    <w:p w14:paraId="0B50A61A" w14:textId="77777777" w:rsidR="00A64BF4" w:rsidRPr="00A64BF4" w:rsidRDefault="00A64BF4" w:rsidP="00A64BF4"/>
    <w:p w14:paraId="2D2B25E0" w14:textId="127F2AB1" w:rsidR="00A64BF4" w:rsidRDefault="00A64BF4" w:rsidP="00A64BF4">
      <w:pPr>
        <w:pStyle w:val="Heading2"/>
        <w:ind w:left="567" w:hanging="567"/>
      </w:pPr>
      <w:r>
        <w:t xml:space="preserve">Razlike između ciljeva i izazova s kojima se suočavaju poljoprivrednici vidljive su u raspodjeli dohotka, neravnotežama moći u lancu vrijednosti, generacijskim preprekama i administrativnom </w:t>
      </w:r>
      <w:r>
        <w:lastRenderedPageBreak/>
        <w:t>opterećenju. Ispitanici su istaknuli da su plaćanja po površini pogodovala većim poljoprivrednim gospodarstvima. Proizvodno vezana potpora pomaže aktivnim poljoprivrednicima. Pristup zemljištu i dalje je strukturna prepreka. Mentalno zdravlje, sigurnost na radu i prava sezonskih radnika / radnika migranata nisu dovoljno uzeti u obzir.</w:t>
      </w:r>
    </w:p>
    <w:p w14:paraId="0DF703ED" w14:textId="06239EE9" w:rsidR="00A64BF4" w:rsidRPr="00A64BF4" w:rsidRDefault="00A64BF4" w:rsidP="00AA73ED">
      <w:pPr>
        <w:tabs>
          <w:tab w:val="left" w:pos="7307"/>
        </w:tabs>
      </w:pPr>
    </w:p>
    <w:p w14:paraId="6B58D89D" w14:textId="33EEEDB2" w:rsidR="00A64BF4" w:rsidRDefault="00A64BF4" w:rsidP="00A64BF4">
      <w:pPr>
        <w:pStyle w:val="Heading2"/>
        <w:ind w:left="567" w:hanging="567"/>
      </w:pPr>
      <w:r>
        <w:t>Nedavno uvedena socijalna uvjetovanost dosad je imala ograničen učinak na radne uvjete. Iako postoje nacionalne prilagodbe, koordinacija provedbe je slaba, a pokrivenost visokorizičnih skupina (sezonski radnici, radnici migranti, samozaposleni radnici) i dalje je nepotpuna. Dionici u Italiji, Španjolskoj i Rumunjskoj izvijestili su o dodatnoj birokraciji bez jasne dodane vrijednosti. Skupine radnika i socijalne skupine također su pozvale na snažniju povezanost s inspektoratima rada i prošireno područje primjene, pri čemu se stajališta radnika i poslodavaca razlikuju u pogledu potonjeg. Istaknuta je veća uloga socijalnih partnera u upravljanju socijalnom uvjetovanošću.</w:t>
      </w:r>
    </w:p>
    <w:p w14:paraId="06F6347C" w14:textId="77777777" w:rsidR="00A64BF4" w:rsidRPr="00A64BF4" w:rsidRDefault="00A64BF4" w:rsidP="00A64BF4"/>
    <w:p w14:paraId="4A7B01DC" w14:textId="73E2E1A3" w:rsidR="00A64BF4" w:rsidRPr="00C40959" w:rsidRDefault="00A64BF4" w:rsidP="00A64BF4">
      <w:pPr>
        <w:pStyle w:val="Heading2"/>
        <w:ind w:left="567" w:hanging="567"/>
      </w:pPr>
      <w:r>
        <w:t xml:space="preserve">Mirovinski sustavi i širi sustavi socijalne sigurnosti prvenstveno su u nacionalnoj nadležnosti i izvan su izravnog područja primjene ZPP-a, ali su u više navrata utvrđeni kao ključni komplementarni instrumenti. U Irskoj su dionici pozvali na poboljšanje nacionalnih mirovinskih sustava (programa paušalnih iznosa s poreznim olakšicama i mirovinskih poticaja) kako bi se poduprla generacijska obnova. U Italiji i Španjolskoj neodgovarajuće mirovine bile su povezane s faktorima odvraćanja od predaje poljoprivrednih gospodarstava i nedovoljnim priznavanjem </w:t>
      </w:r>
      <w:proofErr w:type="spellStart"/>
      <w:r>
        <w:t>nekontinuiranih</w:t>
      </w:r>
      <w:proofErr w:type="spellEnd"/>
      <w:r>
        <w:t xml:space="preserve"> doprinosa žena.</w:t>
      </w:r>
    </w:p>
    <w:p w14:paraId="5A1E6560" w14:textId="77777777" w:rsidR="00D61F10" w:rsidRDefault="00D61F10" w:rsidP="00D61F10"/>
    <w:p w14:paraId="6C533CFD" w14:textId="0DD4947E" w:rsidR="00D61F10" w:rsidRPr="009E085B" w:rsidRDefault="00D61F10" w:rsidP="007B2EEF">
      <w:pPr>
        <w:pStyle w:val="Heading1"/>
        <w:keepNext/>
        <w:keepLines/>
        <w:ind w:left="567" w:hanging="567"/>
        <w:rPr>
          <w:b/>
          <w:bCs/>
        </w:rPr>
      </w:pPr>
      <w:r>
        <w:rPr>
          <w:b/>
        </w:rPr>
        <w:t>Zaključci o sudjelovanju civilnog društva</w:t>
      </w:r>
    </w:p>
    <w:p w14:paraId="50579A04" w14:textId="77777777" w:rsidR="00D61F10" w:rsidRPr="009E085B" w:rsidRDefault="00D61F10" w:rsidP="007B2EEF">
      <w:pPr>
        <w:keepNext/>
        <w:keepLines/>
        <w:overflowPunct/>
        <w:adjustRightInd/>
        <w:ind w:left="142" w:hanging="142"/>
        <w:jc w:val="left"/>
        <w:textAlignment w:val="auto"/>
      </w:pPr>
    </w:p>
    <w:p w14:paraId="4D17D7A6" w14:textId="1C803636" w:rsidR="0060006A" w:rsidRDefault="0060006A" w:rsidP="0060006A">
      <w:pPr>
        <w:pStyle w:val="Heading2"/>
        <w:ind w:left="567" w:hanging="567"/>
      </w:pPr>
      <w:r>
        <w:t xml:space="preserve">Sudjelovanje civilnog društva u planiranju ZPP-a općenito je dobro i široko strukturirano, s odborima za praćenje, partnerskim aranžmanima i stručnim skupinama u svih pet zemalja. Sastanci s dionicima i podaci iz upitnika pokazuju da se redovito provode savjetovanja s poljoprivrednim organizacijama, zadrugama, sindikatima i nevladinim organizacijama. Austrijski model socijalnog partnerstva i talijanski forum nacionalnog partnerstva navedeni su kao </w:t>
      </w:r>
      <w:proofErr w:type="spellStart"/>
      <w:r>
        <w:t>uključivi</w:t>
      </w:r>
      <w:proofErr w:type="spellEnd"/>
      <w:r>
        <w:t xml:space="preserve"> primjeri. Program LEADER i lokalne akcijske skupine pohvaljeni su jer su omogućili sudjelovanje „odozdo prema gore”.</w:t>
      </w:r>
    </w:p>
    <w:p w14:paraId="31A3C194" w14:textId="77777777" w:rsidR="00813FFD" w:rsidRPr="00813FFD" w:rsidRDefault="00813FFD" w:rsidP="00813FFD"/>
    <w:p w14:paraId="26B8D4D9" w14:textId="02CAEAF3" w:rsidR="0060006A" w:rsidRDefault="0060006A" w:rsidP="00813FFD">
      <w:pPr>
        <w:pStyle w:val="Heading2"/>
        <w:ind w:left="567" w:hanging="567"/>
      </w:pPr>
      <w:r>
        <w:t>Međutim, utjecaj na konačne odluke o ZPP-u smatra se ograničenim. Ispitanici iz svih zemalja izvijestili su da su doprinosi prikupljeni, ali nisu uvijek na vidljiv način uzeti u obzir ili se na njih nije reagiralo; kratki rokovi i tehnička složenost ograničili su smislen doprinos, posebno za manje organizacije. Rezultati upitnika potvrđuju umjereno sudjelovanje u nacionalnim planovima (62 %) i politici prihoda poljoprivrednih gospodarstava (59 %), ali nižu djelotvornost politike lanca opskrbe hranom (43 %) i mjera povezanih s rodnim pitanjima. Transparentnost u pogledu načina na koji doprinosi oblikuju ishode i dalje je nedostatna.</w:t>
      </w:r>
    </w:p>
    <w:p w14:paraId="73E6F845" w14:textId="77777777" w:rsidR="00813FFD" w:rsidRPr="00813FFD" w:rsidRDefault="00813FFD" w:rsidP="00813FFD"/>
    <w:p w14:paraId="1BCA3EA2" w14:textId="54FDDFCE" w:rsidR="0060006A" w:rsidRDefault="0060006A" w:rsidP="00813FFD">
      <w:pPr>
        <w:pStyle w:val="Heading2"/>
        <w:ind w:left="567" w:hanging="567"/>
      </w:pPr>
      <w:proofErr w:type="spellStart"/>
      <w:r>
        <w:t>Uključivost</w:t>
      </w:r>
      <w:proofErr w:type="spellEnd"/>
      <w:r>
        <w:t xml:space="preserve"> i transparentnost razlikuju se. Veće organizacije s dostatnim resursima djelotvornije sudjeluju od lokalnih skupina ili skupina potrošača. Organizacije potrošača u Rumunjskoj i sindikati u Italiji primijetili su nedovoljnu zastupljenost. Vremenska ograničenja povezana s kalendarima EU-a i novim modelom ostvarivanja politike opetovano su se navodila kao prepreke. Dionici su predložili jasnije mehanizme povratnih informacija, dulja razdoblja savjetovanja i ciljanu izgradnju kapaciteta.</w:t>
      </w:r>
    </w:p>
    <w:p w14:paraId="6A202A74" w14:textId="77777777" w:rsidR="00813FFD" w:rsidRPr="00813FFD" w:rsidRDefault="00813FFD" w:rsidP="00813FFD"/>
    <w:p w14:paraId="38D1905D" w14:textId="405F26E8" w:rsidR="0060006A" w:rsidRDefault="001F6EB1" w:rsidP="00813FFD">
      <w:pPr>
        <w:pStyle w:val="Heading2"/>
        <w:ind w:left="567" w:hanging="567"/>
      </w:pPr>
      <w:r>
        <w:t>Dostupnost informacija o ZPP-u primjerena je u formalnom smislu, ali predstavlja izazov u praksi. Tehnički jezik, opsežni dokumenti i sažeci koji nisu prilagođeni korisnicima otežavaju sudjelovanje, posebno starijih poljoprivrednika, mladih u ruralnim područjima i manjih organizacija. Dionici su pozvali na pojednostavnjenje smjernica, ciljano informiranje i jačanje posredničkih uloga savjetodavnih službi i lokalnih tijela.</w:t>
      </w:r>
    </w:p>
    <w:p w14:paraId="502BD950" w14:textId="77777777" w:rsidR="00813FFD" w:rsidRPr="00813FFD" w:rsidRDefault="00813FFD" w:rsidP="00813FFD"/>
    <w:p w14:paraId="123C0C2D" w14:textId="68BE170B" w:rsidR="00D61F10" w:rsidRPr="00D61F10" w:rsidRDefault="0060006A" w:rsidP="001F6EB1">
      <w:pPr>
        <w:pStyle w:val="Heading2"/>
        <w:ind w:left="567" w:hanging="567"/>
      </w:pPr>
      <w:r>
        <w:t>Općenito, ZPP umjereno doprinosi sudjelovanju civilnog društva u ruralnom razvoju (53 % ispitanika smatra da je njegov doprinos velik ili umjeren), posebno u okviru programa LEADER. Pozitivni primjeri uključuju projekte jačanja položaja žena u Španjolskoj, inicijative za ekološku poljoprivredu u Irskoj i prilagodbu šumarstva u Rumunjskoj. Međutim, izvan programa LEADER sudjelovanje je često pasivno, ograničeno administrativnim opterećenjem i nejednakim regionalnim kapacitetima.</w:t>
      </w:r>
    </w:p>
    <w:p w14:paraId="6E522A39" w14:textId="77777777" w:rsidR="00194B36" w:rsidRPr="008709FB" w:rsidRDefault="00194B36" w:rsidP="009D01A2">
      <w:pPr>
        <w:overflowPunct/>
        <w:adjustRightInd/>
        <w:textAlignment w:val="auto"/>
        <w:rPr>
          <w:highlight w:val="yellow"/>
        </w:rPr>
      </w:pPr>
    </w:p>
    <w:p w14:paraId="33850980" w14:textId="73755C0C" w:rsidR="004F39DD" w:rsidRPr="004F39DD" w:rsidRDefault="004F39DD" w:rsidP="009D01A2">
      <w:pPr>
        <w:pStyle w:val="Heading1"/>
        <w:ind w:left="567" w:hanging="567"/>
        <w:rPr>
          <w:b/>
        </w:rPr>
      </w:pPr>
      <w:r>
        <w:rPr>
          <w:b/>
        </w:rPr>
        <w:t>Preporuke za sljedeći ZPP</w:t>
      </w:r>
    </w:p>
    <w:p w14:paraId="11CA36DD" w14:textId="3E56C771" w:rsidR="004F39DD" w:rsidRDefault="008145B1" w:rsidP="008145B1">
      <w:pPr>
        <w:ind w:left="567"/>
      </w:pPr>
      <w:r>
        <w:t>Preporuke se temelje na sastancima dionika i podacima prikupljenima u državama članicama.</w:t>
      </w:r>
    </w:p>
    <w:p w14:paraId="115A68E3" w14:textId="77777777" w:rsidR="008145B1" w:rsidRDefault="008145B1" w:rsidP="00A47A52">
      <w:pPr>
        <w:ind w:left="567"/>
      </w:pPr>
    </w:p>
    <w:p w14:paraId="1846FD17" w14:textId="18DC0360" w:rsidR="00493AF5" w:rsidRDefault="00493AF5" w:rsidP="00493AF5">
      <w:pPr>
        <w:pStyle w:val="Heading2"/>
        <w:ind w:left="567" w:hanging="567"/>
      </w:pPr>
      <w:r>
        <w:t>Ključni prioriteti utvrđeni u evaluaciji su zaštita potpore dohotku u okviru ZPP-a izravnim plaćanjima i osiguravanje snažnog proračuna ZPP-a. Izravna plaćanja i ukupno financiranje ZPP-a moraju se povećati i indeksirati kako bi se suzbila inflacija, rastući troškovi i nestabilnost tržišta. U odgovorima se spominje važnost dovršetka vanjske konvergencije i povećanih proizvodno vezanih potpora za aktivne poljoprivrednike.</w:t>
      </w:r>
    </w:p>
    <w:p w14:paraId="53172C2E" w14:textId="77777777" w:rsidR="00AD1453" w:rsidRPr="00AD1453" w:rsidRDefault="00AD1453" w:rsidP="00AD1453"/>
    <w:p w14:paraId="766829A7" w14:textId="3CE1A817" w:rsidR="00493AF5" w:rsidRDefault="00493AF5" w:rsidP="00493AF5">
      <w:pPr>
        <w:pStyle w:val="Heading2"/>
        <w:ind w:left="567" w:hanging="567"/>
      </w:pPr>
      <w:r>
        <w:t>Zadržati ZPP s dva stupa, pri čemu prvi stup obuhvaća potporu dohotku poljoprivrednih gospodarstava putem izravnih plaćanja i tržišnih potpora, a drugi stup obuhvaća ruralni razvoj i potporu ruralnim područjima.</w:t>
      </w:r>
    </w:p>
    <w:p w14:paraId="068CC914" w14:textId="77777777" w:rsidR="00AD1453" w:rsidRPr="00AD1453" w:rsidRDefault="00AD1453" w:rsidP="00AD1453"/>
    <w:p w14:paraId="1512E4C1" w14:textId="0F82D655" w:rsidR="00493AF5" w:rsidRDefault="00493AF5" w:rsidP="00493AF5">
      <w:pPr>
        <w:pStyle w:val="Heading2"/>
        <w:ind w:left="567" w:hanging="567"/>
      </w:pPr>
      <w:r>
        <w:t>Ojačati položaj poljoprivrednika u lancu opskrbe hranom i povećati transparentnost cijena. Ojačati organizacije proizvođača, povećati provedbe zakona o nepoštenim trgovačkim praksama i osigurati snažnu istovrijednost standarda u trgovinskoj politici (npr. usklađenost s konvencijama Međunarodne organizacije rada).</w:t>
      </w:r>
    </w:p>
    <w:p w14:paraId="07D9323A" w14:textId="77777777" w:rsidR="00AD1453" w:rsidRPr="00AD1453" w:rsidRDefault="00AD1453" w:rsidP="00AD1453"/>
    <w:p w14:paraId="10DE87F9" w14:textId="787BCC3B" w:rsidR="00493AF5" w:rsidRDefault="00FD0DD6" w:rsidP="00493AF5">
      <w:pPr>
        <w:pStyle w:val="Heading2"/>
        <w:ind w:left="567" w:hanging="567"/>
      </w:pPr>
      <w:r>
        <w:t>Poboljšati i povećati generacijsku obnovu. Kombinirati bespovratna sredstva za pokretanje poslovanja s instrumentima za pristup zemljištu, kreditnim instrumentima i mirovinskim poticajima s pomoću mjera kao što su nacionalni porezni poticaji. Pružiti potporu ženama i poljoprivrednicima koji su zaposleni na nepuno radno vrijeme. Osigurati dugoročnu stabilnost politika.</w:t>
      </w:r>
    </w:p>
    <w:p w14:paraId="35034BAE" w14:textId="77777777" w:rsidR="00AD1453" w:rsidRPr="00AD1453" w:rsidRDefault="00AD1453" w:rsidP="00AD1453"/>
    <w:p w14:paraId="4413165A" w14:textId="3087EF66" w:rsidR="00493AF5" w:rsidRDefault="00493AF5" w:rsidP="00493AF5">
      <w:pPr>
        <w:pStyle w:val="Heading2"/>
        <w:ind w:left="567" w:hanging="567"/>
      </w:pPr>
      <w:r>
        <w:t>Prikupljati podatke razvrstane po spolu za sve instrumente ZPP-a i nacionalne strateške planove kako bi se podržalo razmjerno oblikovanje politika za poljoprivrednice utemeljeno na dokazima.</w:t>
      </w:r>
    </w:p>
    <w:p w14:paraId="17CF73F8" w14:textId="77777777" w:rsidR="00AD1453" w:rsidRPr="00AD1453" w:rsidRDefault="00AD1453" w:rsidP="00AD1453"/>
    <w:p w14:paraId="2B4D4BB2" w14:textId="4056E94C" w:rsidR="00493AF5" w:rsidRDefault="00493AF5" w:rsidP="00493AF5">
      <w:pPr>
        <w:pStyle w:val="Heading2"/>
        <w:ind w:left="567" w:hanging="567"/>
      </w:pPr>
      <w:r>
        <w:t>Uvesti ili proširiti ciljane financijske i strukturne poticaje, posebno za poljoprivrednice i projekte pod vodstvom žena, slične irskim i španjolskim „rodno usmjerenim mjerama”.</w:t>
      </w:r>
    </w:p>
    <w:p w14:paraId="015463C3" w14:textId="77777777" w:rsidR="00AD1453" w:rsidRPr="00AD1453" w:rsidRDefault="00AD1453" w:rsidP="00AD1453"/>
    <w:p w14:paraId="4F5DACB4" w14:textId="2BD31FC2" w:rsidR="00493AF5" w:rsidRDefault="00FD0DD6" w:rsidP="00AD1453">
      <w:pPr>
        <w:pStyle w:val="Heading2"/>
        <w:ind w:left="567" w:hanging="567"/>
      </w:pPr>
      <w:r>
        <w:lastRenderedPageBreak/>
        <w:t>Postaviti ambicioznije ciljeve zaštite okoliša s razmjernim poticajima. Uvesti programe za ekologiju koji su fleksibilniji, prilagođeni svakoj regiji i popraćeni odgovarajućom naknadom i ciljanim savjetodavnim uslugama.</w:t>
      </w:r>
    </w:p>
    <w:p w14:paraId="74D2991E" w14:textId="77777777" w:rsidR="00AD1453" w:rsidRPr="00AD1453" w:rsidRDefault="00AD1453" w:rsidP="00AD1453"/>
    <w:p w14:paraId="57B74257" w14:textId="067B53FF" w:rsidR="00493AF5" w:rsidRDefault="00493AF5" w:rsidP="00AD1453">
      <w:pPr>
        <w:pStyle w:val="Heading2"/>
        <w:ind w:left="567" w:hanging="567"/>
      </w:pPr>
      <w:r>
        <w:t>Radnici i socijalne skupine pozvali su na proširenje socijalne uvjetovanosti na visokorizične sektore, kao što je hortikultura, i na radnike migrante / sezonske radnike, dok su skupine poljoprivrednika i poslodavaca te nacionalne uprave dovele u pitanje djelotvornost mehanizma, za koji smatraju da povećava administrativno opterećenje, a da pritom sektoru ne pruža ono što smatraju očitim socijalnim koristima. Međutim, klauzula o socijalnoj uvjetovanosti bila je djelotvorna u postavljanju radnih uvjeta ranjivih skupina u tom sektoru na politički program EU-a i nacionalni politički program te u stvaranju potrebnog političkog dijaloga između uprava za poljoprivredu i zapošljavanje. Neovisno o tome, stajališta među radnicima, poslodavcima i vladinim partnerima i dalje se razlikuju, a Europska komisija uskoro će ocijeniti mehanizam socijalne uvjetovanosti.</w:t>
      </w:r>
    </w:p>
    <w:p w14:paraId="358EB7B3" w14:textId="77777777" w:rsidR="00AD1453" w:rsidRPr="00AD1453" w:rsidRDefault="00AD1453" w:rsidP="00AD1453"/>
    <w:p w14:paraId="2C78F25A" w14:textId="1A0E5520" w:rsidR="00493AF5" w:rsidRDefault="00493AF5" w:rsidP="00AD1453">
      <w:pPr>
        <w:pStyle w:val="Heading2"/>
        <w:ind w:left="567" w:hanging="567"/>
      </w:pPr>
      <w:r>
        <w:t>Pojednostavniti administrativno opterećenje, posebno na razini poljoprivrednih gospodarstava, uz istodobno zadržavanje odgovornosti. Smanjiti birokratsko opterećenje poštovanjem načela „samo jednom”, pružanjem dulje sigurnosti planiranja i uvođenjem digitalnih alata prilagođenih korisnicima.</w:t>
      </w:r>
    </w:p>
    <w:p w14:paraId="6888CD9C" w14:textId="77777777" w:rsidR="00AD1453" w:rsidRPr="00AD1453" w:rsidRDefault="00AD1453" w:rsidP="00AD1453"/>
    <w:p w14:paraId="36F62C01" w14:textId="15EE18A4" w:rsidR="00493AF5" w:rsidRDefault="00493AF5" w:rsidP="00AD1453">
      <w:pPr>
        <w:pStyle w:val="Heading2"/>
        <w:ind w:left="567" w:hanging="567"/>
      </w:pPr>
      <w:r>
        <w:t xml:space="preserve">Povećati potporu za program LEADER i mjere lokalnog razvoja. Namjensko financiranje, smanjenje administrativne složenosti i integracija poljoprivredno-prehrambenih projekata koji su više usmjereni na poljoprivredna gospodarstva kako bi se potaknula </w:t>
      </w:r>
      <w:proofErr w:type="spellStart"/>
      <w:r>
        <w:t>uključiva</w:t>
      </w:r>
      <w:proofErr w:type="spellEnd"/>
      <w:r>
        <w:t xml:space="preserve"> ruralna gospodarstva.</w:t>
      </w:r>
    </w:p>
    <w:p w14:paraId="674F8A85" w14:textId="77777777" w:rsidR="00AD1453" w:rsidRPr="00AD1453" w:rsidRDefault="00AD1453" w:rsidP="00AD1453"/>
    <w:p w14:paraId="6E522A41" w14:textId="14B2FF28" w:rsidR="001B2D02" w:rsidRPr="002C1D46" w:rsidRDefault="00493AF5" w:rsidP="00493AF5">
      <w:pPr>
        <w:pStyle w:val="Heading2"/>
        <w:ind w:left="567" w:hanging="567"/>
      </w:pPr>
      <w:r>
        <w:t>Poboljšati angažman civilnog društva. Uspostaviti trajne okvire zajedničke odgovornosti, djelotvornija razdoblja savjetovanja i transparentne mehanizme povratnih informacija. Ojačati ulogu ustanova za istraživanje i osposobljavanje / AKIS-a u provedbi ZPP-a.</w:t>
      </w:r>
    </w:p>
    <w:p w14:paraId="53822FA0" w14:textId="77777777" w:rsidR="002501BA" w:rsidRDefault="002501BA" w:rsidP="002501BA">
      <w:pPr>
        <w:overflowPunct/>
        <w:adjustRightInd/>
        <w:jc w:val="left"/>
        <w:textAlignment w:val="auto"/>
      </w:pPr>
    </w:p>
    <w:p w14:paraId="1D3BF7F9" w14:textId="6AD5989E" w:rsidR="00D61F10" w:rsidRPr="009E085B" w:rsidRDefault="00D61F10" w:rsidP="007B2EEF">
      <w:pPr>
        <w:pStyle w:val="Heading1"/>
        <w:keepNext/>
        <w:keepLines/>
        <w:ind w:left="567" w:hanging="567"/>
        <w:rPr>
          <w:b/>
          <w:bCs/>
        </w:rPr>
      </w:pPr>
      <w:r>
        <w:rPr>
          <w:b/>
        </w:rPr>
        <w:t>Opće preporuke</w:t>
      </w:r>
    </w:p>
    <w:p w14:paraId="0CC6FD80" w14:textId="5331F966" w:rsidR="00D61F10" w:rsidRPr="009E085B" w:rsidRDefault="00D61F10" w:rsidP="007B2EEF">
      <w:pPr>
        <w:pStyle w:val="Heading2"/>
        <w:keepNext/>
        <w:keepLines/>
        <w:numPr>
          <w:ilvl w:val="0"/>
          <w:numId w:val="0"/>
        </w:numPr>
        <w:overflowPunct/>
        <w:adjustRightInd/>
        <w:textAlignment w:val="auto"/>
      </w:pPr>
    </w:p>
    <w:p w14:paraId="3F9EE40D" w14:textId="115EA5E7" w:rsidR="00D61F10" w:rsidRPr="009E085B" w:rsidRDefault="61D75B45" w:rsidP="007B2EEF">
      <w:pPr>
        <w:pStyle w:val="Heading2"/>
        <w:keepNext/>
        <w:keepLines/>
        <w:numPr>
          <w:ilvl w:val="0"/>
          <w:numId w:val="0"/>
        </w:numPr>
        <w:overflowPunct/>
        <w:adjustRightInd/>
        <w:ind w:left="567"/>
        <w:textAlignment w:val="auto"/>
      </w:pPr>
      <w:r>
        <w:t xml:space="preserve">Preporuke se temelje na sastancima dionika i podacima prikupljenima u državama članicama. </w:t>
      </w:r>
    </w:p>
    <w:p w14:paraId="20A4DC3B" w14:textId="7B39164A" w:rsidR="00D61F10" w:rsidRPr="009E085B" w:rsidRDefault="00D61F10" w:rsidP="00D61F10">
      <w:pPr>
        <w:overflowPunct/>
        <w:adjustRightInd/>
        <w:ind w:left="142" w:hanging="142"/>
        <w:jc w:val="left"/>
        <w:textAlignment w:val="auto"/>
      </w:pPr>
    </w:p>
    <w:p w14:paraId="20983EB0" w14:textId="25EFD98A" w:rsidR="00570D18" w:rsidRDefault="00570D18" w:rsidP="00570D18">
      <w:pPr>
        <w:pStyle w:val="Heading2"/>
        <w:ind w:left="567" w:hanging="567"/>
      </w:pPr>
      <w:r>
        <w:t>Zadržati dobro financiran ZPP kao ključnu temeljnu politiku EU-a kojom se pruža ključna potpora i stabilnost za prihode poljoprivrednih gospodarstava, štite ruralna područja, osigurava održiva sigurnost hrane putem stabilne opskrbe sigurnom, kvalitetnom i cjenovno pristupačnom hranom te štite okoliš i bioraznolikost.</w:t>
      </w:r>
    </w:p>
    <w:p w14:paraId="49A593F0" w14:textId="77777777" w:rsidR="00570D18" w:rsidRPr="00570D18" w:rsidRDefault="00570D18" w:rsidP="00570D18"/>
    <w:p w14:paraId="0BA99DA6" w14:textId="123B7C3C" w:rsidR="00570D18" w:rsidRDefault="00570D18" w:rsidP="00570D18">
      <w:pPr>
        <w:pStyle w:val="Heading2"/>
        <w:ind w:left="567" w:hanging="567"/>
      </w:pPr>
      <w:r>
        <w:t>Osigurati usklađenost politika EU-a i nacionalnih politika. Djelotvornije uskladiti ZPP s politikama u području trgovine, rada, migracija, kohezije i socijalne zaštite.</w:t>
      </w:r>
    </w:p>
    <w:p w14:paraId="1448DD4F" w14:textId="77777777" w:rsidR="00570D18" w:rsidRPr="00570D18" w:rsidRDefault="00570D18" w:rsidP="00570D18"/>
    <w:p w14:paraId="0511B1E0" w14:textId="5842309C" w:rsidR="00570D18" w:rsidRDefault="00570D18" w:rsidP="00570D18">
      <w:pPr>
        <w:pStyle w:val="Heading2"/>
        <w:ind w:left="567" w:hanging="567"/>
      </w:pPr>
      <w:r>
        <w:t>EU bi trebao poticati veću potporu generacijskoj obnovi i snažniju koordinaciju između ZPP-a i nacionalnih poticaja u tom području.</w:t>
      </w:r>
      <w:r w:rsidR="005D1037">
        <w:rPr>
          <w:rStyle w:val="FootnoteReference"/>
        </w:rPr>
        <w:footnoteReference w:id="2"/>
      </w:r>
    </w:p>
    <w:p w14:paraId="748DEA65" w14:textId="77777777" w:rsidR="00570D18" w:rsidRPr="00570D18" w:rsidRDefault="00570D18" w:rsidP="00570D18"/>
    <w:p w14:paraId="12E1A1ED" w14:textId="40E9B86E" w:rsidR="00570D18" w:rsidRDefault="00570D18" w:rsidP="00570D18">
      <w:pPr>
        <w:pStyle w:val="Heading2"/>
        <w:ind w:left="567" w:hanging="567"/>
      </w:pPr>
      <w:r>
        <w:t>Nacionalni mirovinski instrumenti prilagođeni poljoprivrednicima (porezni poticaji, priznavanje neplaćenih kredita za radnu snagu) ključni su kako bi poljoprivreda postala socijalno održiva i privlačna sljedećoj generaciji. Povezivanje izravnih plaćanja s nacionalnim mirovinskim pravima ne smatra se prihvatljivim poticajem za prijevremeno umirovljenje poljoprivrednika.</w:t>
      </w:r>
    </w:p>
    <w:p w14:paraId="1B87B56E" w14:textId="77777777" w:rsidR="00570D18" w:rsidRPr="00570D18" w:rsidRDefault="00570D18" w:rsidP="00570D18"/>
    <w:p w14:paraId="750DBE20" w14:textId="2D5D48FE" w:rsidR="00570D18" w:rsidRDefault="00570D18" w:rsidP="00570D18">
      <w:pPr>
        <w:pStyle w:val="Heading2"/>
        <w:ind w:left="567" w:hanging="567"/>
      </w:pPr>
      <w:r>
        <w:t xml:space="preserve">Zadržati drugi stup ZPP-a kako bi se ojačala potpora ruralnim područjima i regijama u nepovoljnom položaju te mjere ruralnog razvoja. Ulagati u ruralnu infrastrukturu, usluge i digitalnu </w:t>
      </w:r>
      <w:proofErr w:type="spellStart"/>
      <w:r>
        <w:t>povezivost</w:t>
      </w:r>
      <w:proofErr w:type="spellEnd"/>
      <w:r>
        <w:t xml:space="preserve"> kako bi poljoprivreda postala privlačna i kako bi se održalo ruralno stanovništvo.</w:t>
      </w:r>
    </w:p>
    <w:p w14:paraId="26FD0D5E" w14:textId="77777777" w:rsidR="00570D18" w:rsidRPr="00570D18" w:rsidRDefault="00570D18" w:rsidP="00570D18"/>
    <w:p w14:paraId="2B43BC96" w14:textId="70C246E4" w:rsidR="00570D18" w:rsidRDefault="00570D18" w:rsidP="00570D18">
      <w:pPr>
        <w:pStyle w:val="Heading2"/>
        <w:ind w:left="567" w:hanging="567"/>
      </w:pPr>
      <w:r>
        <w:t>Ulagati u znanje i inovacije. Proširiti AKIS, savjetodavne usluge i mreže uzajamnog učenja s ciljanim informiranjem malih i novih sudionika. Primijeniti pristupe temeljene na podacima i procjene učinka za usmjeravanje budućih reformi.</w:t>
      </w:r>
    </w:p>
    <w:p w14:paraId="4522DD99" w14:textId="77777777" w:rsidR="00570D18" w:rsidRPr="00570D18" w:rsidRDefault="00570D18" w:rsidP="00570D18"/>
    <w:p w14:paraId="60A69863" w14:textId="511F573C" w:rsidR="00570D18" w:rsidRPr="00AB3EA6" w:rsidRDefault="00570D18" w:rsidP="00570D18">
      <w:pPr>
        <w:pStyle w:val="Heading2"/>
        <w:ind w:left="567" w:hanging="567"/>
      </w:pPr>
      <w:r>
        <w:rPr>
          <w:b/>
          <w:bCs/>
        </w:rPr>
        <w:t>Pružati informacije o strateškoj ulozi poljoprivrede.</w:t>
      </w:r>
      <w:r>
        <w:t xml:space="preserve"> Razviti informativne kampanje i obrazovne inicijative prilagođene korisnicima kako bi se javnost informirala o doprinosu ZPP-a sigurnosti opskrbe hranom, upravljanju okolišem i vitalnosti ruralnih područja.</w:t>
      </w:r>
    </w:p>
    <w:p w14:paraId="1B8C2988" w14:textId="77777777" w:rsidR="00570D18" w:rsidRDefault="00570D18" w:rsidP="00600E5D">
      <w:pPr>
        <w:pStyle w:val="Heading2"/>
        <w:numPr>
          <w:ilvl w:val="0"/>
          <w:numId w:val="0"/>
        </w:numPr>
      </w:pPr>
    </w:p>
    <w:p w14:paraId="6E522A42" w14:textId="1E378669" w:rsidR="00646AC2" w:rsidRPr="00717184" w:rsidRDefault="3E1CF757" w:rsidP="00375C20">
      <w:pPr>
        <w:overflowPunct/>
        <w:adjustRightInd/>
        <w:jc w:val="center"/>
        <w:textAlignment w:val="auto"/>
      </w:pPr>
      <w:r>
        <w:t>_____________</w:t>
      </w:r>
    </w:p>
    <w:sectPr w:rsidR="00646AC2" w:rsidRPr="00717184" w:rsidSect="00215A2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3E55" w14:textId="77777777" w:rsidR="00C945A4" w:rsidRDefault="00C945A4">
      <w:r>
        <w:separator/>
      </w:r>
    </w:p>
  </w:endnote>
  <w:endnote w:type="continuationSeparator" w:id="0">
    <w:p w14:paraId="59CA1F84" w14:textId="77777777" w:rsidR="00C945A4" w:rsidRDefault="00C945A4">
      <w:r>
        <w:continuationSeparator/>
      </w:r>
    </w:p>
  </w:endnote>
  <w:endnote w:type="continuationNotice" w:id="1">
    <w:p w14:paraId="2A1633AD" w14:textId="77777777" w:rsidR="00C945A4" w:rsidRDefault="00C945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A4E" w14:textId="1C54DCF0" w:rsidR="00CB5F3C" w:rsidRPr="00215A2F" w:rsidRDefault="00215A2F" w:rsidP="00215A2F">
    <w:pPr>
      <w:pStyle w:val="Footer"/>
    </w:pPr>
    <w:r>
      <w:t xml:space="preserve">NAT/968 – EESC-2025-03221-00-00-PRE-TRA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283DD6">
      <w:t>1</w:t>
    </w:r>
    <w:r>
      <w:fldChar w:fldCharType="end"/>
    </w:r>
    <w:r>
      <w:t>/</w:t>
    </w:r>
    <w:r w:rsidR="00FE1D2A">
      <w:fldChar w:fldCharType="begin"/>
    </w:r>
    <w:r w:rsidR="00FE1D2A">
      <w:instrText xml:space="preserve"> NUMPAGES </w:instrText>
    </w:r>
    <w:r w:rsidR="00FE1D2A">
      <w:fldChar w:fldCharType="separate"/>
    </w:r>
    <w:r w:rsidR="00283DD6">
      <w:t>1</w:t>
    </w:r>
    <w:r w:rsidR="00FE1D2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A53" w14:textId="77777777" w:rsidR="00B43AAA" w:rsidRPr="00215A2F" w:rsidRDefault="00B43AAA" w:rsidP="00215A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A54" w14:textId="7EACB694" w:rsidR="00646AC2" w:rsidRPr="00215A2F" w:rsidRDefault="00215A2F" w:rsidP="00215A2F">
    <w:pPr>
      <w:pStyle w:val="Footer"/>
    </w:pPr>
    <w:r>
      <w:t xml:space="preserve">NAT/968 – EESC-2025-03221-00-00-PRE-TRA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r w:rsidR="00FE1D2A">
      <w:fldChar w:fldCharType="begin"/>
    </w:r>
    <w:r w:rsidR="00FE1D2A">
      <w:instrText xml:space="preserve"> NUMPAGES </w:instrText>
    </w:r>
    <w:r w:rsidR="00FE1D2A">
      <w:fldChar w:fldCharType="separate"/>
    </w:r>
    <w:r>
      <w:t>1</w:t>
    </w:r>
    <w:r w:rsidR="00FE1D2A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A56" w14:textId="77777777" w:rsidR="00B43AAA" w:rsidRPr="00215A2F" w:rsidRDefault="00B43AAA" w:rsidP="00215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C70F" w14:textId="77777777" w:rsidR="00C945A4" w:rsidRDefault="00C945A4">
      <w:r>
        <w:separator/>
      </w:r>
    </w:p>
  </w:footnote>
  <w:footnote w:type="continuationSeparator" w:id="0">
    <w:p w14:paraId="599490CA" w14:textId="77777777" w:rsidR="00C945A4" w:rsidRDefault="00C945A4">
      <w:r>
        <w:continuationSeparator/>
      </w:r>
    </w:p>
  </w:footnote>
  <w:footnote w:type="continuationNotice" w:id="1">
    <w:p w14:paraId="5600BBDA" w14:textId="77777777" w:rsidR="00C945A4" w:rsidRDefault="00C945A4">
      <w:pPr>
        <w:spacing w:line="240" w:lineRule="auto"/>
      </w:pPr>
    </w:p>
  </w:footnote>
  <w:footnote w:id="2">
    <w:p w14:paraId="7E4FB2F9" w14:textId="56A2A696" w:rsidR="005D1037" w:rsidRPr="00282C8C" w:rsidRDefault="005D1037" w:rsidP="00282C8C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Mišljenje EGSO-a </w:t>
      </w:r>
      <w:hyperlink r:id="rId1" w:history="1">
        <w:r>
          <w:rPr>
            <w:rStyle w:val="Hyperlink"/>
          </w:rPr>
          <w:t>„Strategija za generacijsku obnovu u poljoprivredi”</w:t>
        </w:r>
      </w:hyperlink>
      <w:r>
        <w:t xml:space="preserve"> (još nije objavljeno u Službenom listu).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A51" w14:textId="77777777" w:rsidR="00B43AAA" w:rsidRPr="00215A2F" w:rsidRDefault="00B43AAA" w:rsidP="00215A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A52" w14:textId="0608E157" w:rsidR="00646AC2" w:rsidRPr="00215A2F" w:rsidRDefault="00646AC2" w:rsidP="00215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A55" w14:textId="77777777" w:rsidR="00B43AAA" w:rsidRPr="00215A2F" w:rsidRDefault="00B43AAA" w:rsidP="00215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6D4D17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C856084"/>
    <w:multiLevelType w:val="hybridMultilevel"/>
    <w:tmpl w:val="ECD068A2"/>
    <w:lvl w:ilvl="0" w:tplc="200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151582">
    <w:abstractNumId w:val="0"/>
  </w:num>
  <w:num w:numId="2" w16cid:durableId="741026171">
    <w:abstractNumId w:val="0"/>
  </w:num>
  <w:num w:numId="3" w16cid:durableId="1046946663">
    <w:abstractNumId w:val="0"/>
  </w:num>
  <w:num w:numId="4" w16cid:durableId="966355636">
    <w:abstractNumId w:val="0"/>
  </w:num>
  <w:num w:numId="5" w16cid:durableId="1635677116">
    <w:abstractNumId w:val="0"/>
  </w:num>
  <w:num w:numId="6" w16cid:durableId="308285851">
    <w:abstractNumId w:val="0"/>
  </w:num>
  <w:num w:numId="7" w16cid:durableId="1334917101">
    <w:abstractNumId w:val="0"/>
  </w:num>
  <w:num w:numId="8" w16cid:durableId="539439046">
    <w:abstractNumId w:val="0"/>
  </w:num>
  <w:num w:numId="9" w16cid:durableId="286814700">
    <w:abstractNumId w:val="0"/>
  </w:num>
  <w:num w:numId="10" w16cid:durableId="34740607">
    <w:abstractNumId w:val="0"/>
  </w:num>
  <w:num w:numId="11" w16cid:durableId="3748816">
    <w:abstractNumId w:val="0"/>
  </w:num>
  <w:num w:numId="12" w16cid:durableId="1706369047">
    <w:abstractNumId w:val="0"/>
  </w:num>
  <w:num w:numId="13" w16cid:durableId="819880971">
    <w:abstractNumId w:val="0"/>
  </w:num>
  <w:num w:numId="14" w16cid:durableId="630211168">
    <w:abstractNumId w:val="0"/>
  </w:num>
  <w:num w:numId="15" w16cid:durableId="1587181676">
    <w:abstractNumId w:val="0"/>
  </w:num>
  <w:num w:numId="16" w16cid:durableId="2125999150">
    <w:abstractNumId w:val="0"/>
  </w:num>
  <w:num w:numId="17" w16cid:durableId="222445422">
    <w:abstractNumId w:val="0"/>
  </w:num>
  <w:num w:numId="18" w16cid:durableId="235942614">
    <w:abstractNumId w:val="0"/>
  </w:num>
  <w:num w:numId="19" w16cid:durableId="1916283028">
    <w:abstractNumId w:val="0"/>
  </w:num>
  <w:num w:numId="20" w16cid:durableId="1828783505">
    <w:abstractNumId w:val="0"/>
  </w:num>
  <w:num w:numId="21" w16cid:durableId="1527013832">
    <w:abstractNumId w:val="0"/>
  </w:num>
  <w:num w:numId="22" w16cid:durableId="76246302">
    <w:abstractNumId w:val="0"/>
  </w:num>
  <w:num w:numId="23" w16cid:durableId="134270667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8F"/>
    <w:rsid w:val="00001A85"/>
    <w:rsid w:val="00005AB9"/>
    <w:rsid w:val="00005EB9"/>
    <w:rsid w:val="00006E24"/>
    <w:rsid w:val="00007A40"/>
    <w:rsid w:val="00007D32"/>
    <w:rsid w:val="000103E4"/>
    <w:rsid w:val="00014405"/>
    <w:rsid w:val="00017B45"/>
    <w:rsid w:val="00020E6E"/>
    <w:rsid w:val="00027FAF"/>
    <w:rsid w:val="00031A4B"/>
    <w:rsid w:val="00033913"/>
    <w:rsid w:val="00033DB4"/>
    <w:rsid w:val="00033E5B"/>
    <w:rsid w:val="0003527C"/>
    <w:rsid w:val="000357A8"/>
    <w:rsid w:val="0004133D"/>
    <w:rsid w:val="00041E2A"/>
    <w:rsid w:val="00042030"/>
    <w:rsid w:val="000430A6"/>
    <w:rsid w:val="00044923"/>
    <w:rsid w:val="0005249C"/>
    <w:rsid w:val="000534A5"/>
    <w:rsid w:val="00054D30"/>
    <w:rsid w:val="0005680D"/>
    <w:rsid w:val="00056E19"/>
    <w:rsid w:val="00063FB4"/>
    <w:rsid w:val="00064FC5"/>
    <w:rsid w:val="0006793E"/>
    <w:rsid w:val="00067DEB"/>
    <w:rsid w:val="00072E0F"/>
    <w:rsid w:val="000735E5"/>
    <w:rsid w:val="0007392F"/>
    <w:rsid w:val="00081C7D"/>
    <w:rsid w:val="00087B39"/>
    <w:rsid w:val="00093DE0"/>
    <w:rsid w:val="00096502"/>
    <w:rsid w:val="000A49BB"/>
    <w:rsid w:val="000A5670"/>
    <w:rsid w:val="000B7FB5"/>
    <w:rsid w:val="000C3441"/>
    <w:rsid w:val="000C7F53"/>
    <w:rsid w:val="000D2F8E"/>
    <w:rsid w:val="000D4065"/>
    <w:rsid w:val="000D77A4"/>
    <w:rsid w:val="000F196B"/>
    <w:rsid w:val="00105361"/>
    <w:rsid w:val="001101F8"/>
    <w:rsid w:val="0011206F"/>
    <w:rsid w:val="0011656A"/>
    <w:rsid w:val="0012220C"/>
    <w:rsid w:val="00131E3C"/>
    <w:rsid w:val="00136EA3"/>
    <w:rsid w:val="00137575"/>
    <w:rsid w:val="00137DBF"/>
    <w:rsid w:val="00144231"/>
    <w:rsid w:val="00150434"/>
    <w:rsid w:val="00155721"/>
    <w:rsid w:val="0016503F"/>
    <w:rsid w:val="0016674F"/>
    <w:rsid w:val="00167CA0"/>
    <w:rsid w:val="0017120D"/>
    <w:rsid w:val="001714F6"/>
    <w:rsid w:val="00176168"/>
    <w:rsid w:val="00177158"/>
    <w:rsid w:val="00184FD4"/>
    <w:rsid w:val="00186B04"/>
    <w:rsid w:val="00186F1E"/>
    <w:rsid w:val="00190836"/>
    <w:rsid w:val="0019204E"/>
    <w:rsid w:val="00193930"/>
    <w:rsid w:val="00194B2A"/>
    <w:rsid w:val="00194B36"/>
    <w:rsid w:val="001960C6"/>
    <w:rsid w:val="001963A5"/>
    <w:rsid w:val="00196D11"/>
    <w:rsid w:val="00196F1E"/>
    <w:rsid w:val="00197251"/>
    <w:rsid w:val="00197FCA"/>
    <w:rsid w:val="001A0A73"/>
    <w:rsid w:val="001A210F"/>
    <w:rsid w:val="001A27DB"/>
    <w:rsid w:val="001A4094"/>
    <w:rsid w:val="001A4860"/>
    <w:rsid w:val="001A6678"/>
    <w:rsid w:val="001A6852"/>
    <w:rsid w:val="001A6C13"/>
    <w:rsid w:val="001A7E24"/>
    <w:rsid w:val="001B286A"/>
    <w:rsid w:val="001B2D02"/>
    <w:rsid w:val="001B3647"/>
    <w:rsid w:val="001B4880"/>
    <w:rsid w:val="001B77FA"/>
    <w:rsid w:val="001C0ABE"/>
    <w:rsid w:val="001C22B8"/>
    <w:rsid w:val="001C5852"/>
    <w:rsid w:val="001D3144"/>
    <w:rsid w:val="001D45F0"/>
    <w:rsid w:val="001E1335"/>
    <w:rsid w:val="001E4A33"/>
    <w:rsid w:val="001E5C27"/>
    <w:rsid w:val="001E7C5D"/>
    <w:rsid w:val="001F38D7"/>
    <w:rsid w:val="001F602B"/>
    <w:rsid w:val="001F6AC8"/>
    <w:rsid w:val="001F6EB1"/>
    <w:rsid w:val="002037D5"/>
    <w:rsid w:val="00206153"/>
    <w:rsid w:val="00206F90"/>
    <w:rsid w:val="00211D82"/>
    <w:rsid w:val="00212B03"/>
    <w:rsid w:val="002157D2"/>
    <w:rsid w:val="00215A2F"/>
    <w:rsid w:val="00215C10"/>
    <w:rsid w:val="00215C2D"/>
    <w:rsid w:val="002228DE"/>
    <w:rsid w:val="002252C4"/>
    <w:rsid w:val="00227EAC"/>
    <w:rsid w:val="0023140A"/>
    <w:rsid w:val="0023183E"/>
    <w:rsid w:val="00235138"/>
    <w:rsid w:val="00243E36"/>
    <w:rsid w:val="0024540B"/>
    <w:rsid w:val="00245EF4"/>
    <w:rsid w:val="002501BA"/>
    <w:rsid w:val="00250E11"/>
    <w:rsid w:val="00251383"/>
    <w:rsid w:val="002522C9"/>
    <w:rsid w:val="00252A21"/>
    <w:rsid w:val="00253E4F"/>
    <w:rsid w:val="002542E4"/>
    <w:rsid w:val="00261053"/>
    <w:rsid w:val="00262FDE"/>
    <w:rsid w:val="00263629"/>
    <w:rsid w:val="002769BD"/>
    <w:rsid w:val="002809EA"/>
    <w:rsid w:val="00282C8C"/>
    <w:rsid w:val="00283DD6"/>
    <w:rsid w:val="00284962"/>
    <w:rsid w:val="00287B0E"/>
    <w:rsid w:val="0029549C"/>
    <w:rsid w:val="002955D4"/>
    <w:rsid w:val="002A0B53"/>
    <w:rsid w:val="002A0EEF"/>
    <w:rsid w:val="002A585C"/>
    <w:rsid w:val="002B07F8"/>
    <w:rsid w:val="002B2DF7"/>
    <w:rsid w:val="002B4EFE"/>
    <w:rsid w:val="002C1D46"/>
    <w:rsid w:val="002C2B61"/>
    <w:rsid w:val="002C3BF4"/>
    <w:rsid w:val="002C482E"/>
    <w:rsid w:val="002C749F"/>
    <w:rsid w:val="002D5E50"/>
    <w:rsid w:val="002E381E"/>
    <w:rsid w:val="002E3E3D"/>
    <w:rsid w:val="002F059B"/>
    <w:rsid w:val="002F454E"/>
    <w:rsid w:val="002F5B0B"/>
    <w:rsid w:val="00300924"/>
    <w:rsid w:val="003050AA"/>
    <w:rsid w:val="0030596E"/>
    <w:rsid w:val="003073C3"/>
    <w:rsid w:val="0031516B"/>
    <w:rsid w:val="00323637"/>
    <w:rsid w:val="00324E8A"/>
    <w:rsid w:val="00331D87"/>
    <w:rsid w:val="003326A2"/>
    <w:rsid w:val="00332850"/>
    <w:rsid w:val="00334478"/>
    <w:rsid w:val="003346B4"/>
    <w:rsid w:val="00334AE6"/>
    <w:rsid w:val="003365D0"/>
    <w:rsid w:val="00342203"/>
    <w:rsid w:val="003439AB"/>
    <w:rsid w:val="00344385"/>
    <w:rsid w:val="00354695"/>
    <w:rsid w:val="0035549B"/>
    <w:rsid w:val="00355563"/>
    <w:rsid w:val="003557A2"/>
    <w:rsid w:val="00361C78"/>
    <w:rsid w:val="00367292"/>
    <w:rsid w:val="003715B8"/>
    <w:rsid w:val="003755C8"/>
    <w:rsid w:val="00375687"/>
    <w:rsid w:val="00375C20"/>
    <w:rsid w:val="0038034C"/>
    <w:rsid w:val="00380AE0"/>
    <w:rsid w:val="003820B8"/>
    <w:rsid w:val="00383324"/>
    <w:rsid w:val="00387A75"/>
    <w:rsid w:val="003904FD"/>
    <w:rsid w:val="00394254"/>
    <w:rsid w:val="003B288B"/>
    <w:rsid w:val="003B4B6A"/>
    <w:rsid w:val="003C21A1"/>
    <w:rsid w:val="003C2BFB"/>
    <w:rsid w:val="003C436B"/>
    <w:rsid w:val="003C4C0A"/>
    <w:rsid w:val="003C5337"/>
    <w:rsid w:val="003C5A77"/>
    <w:rsid w:val="003C5F92"/>
    <w:rsid w:val="003D2885"/>
    <w:rsid w:val="003D7A8C"/>
    <w:rsid w:val="003D7C00"/>
    <w:rsid w:val="003E0EB4"/>
    <w:rsid w:val="003E423D"/>
    <w:rsid w:val="003E56E5"/>
    <w:rsid w:val="003E7E60"/>
    <w:rsid w:val="003F00D4"/>
    <w:rsid w:val="003F2209"/>
    <w:rsid w:val="003F3D39"/>
    <w:rsid w:val="003F646A"/>
    <w:rsid w:val="003F6761"/>
    <w:rsid w:val="003F6A0A"/>
    <w:rsid w:val="0040248B"/>
    <w:rsid w:val="004024F5"/>
    <w:rsid w:val="00402DE1"/>
    <w:rsid w:val="00403D8B"/>
    <w:rsid w:val="004058F1"/>
    <w:rsid w:val="0040626C"/>
    <w:rsid w:val="00406DAA"/>
    <w:rsid w:val="00407E7D"/>
    <w:rsid w:val="0041283D"/>
    <w:rsid w:val="00413270"/>
    <w:rsid w:val="00413AB4"/>
    <w:rsid w:val="004171AC"/>
    <w:rsid w:val="00421373"/>
    <w:rsid w:val="00421FB7"/>
    <w:rsid w:val="0042763B"/>
    <w:rsid w:val="004300C3"/>
    <w:rsid w:val="0043024C"/>
    <w:rsid w:val="0043586A"/>
    <w:rsid w:val="00435E98"/>
    <w:rsid w:val="00436227"/>
    <w:rsid w:val="00436706"/>
    <w:rsid w:val="00443D38"/>
    <w:rsid w:val="0044734C"/>
    <w:rsid w:val="00450E7A"/>
    <w:rsid w:val="00456AF8"/>
    <w:rsid w:val="004651B8"/>
    <w:rsid w:val="004679F2"/>
    <w:rsid w:val="00470B15"/>
    <w:rsid w:val="00475869"/>
    <w:rsid w:val="00475A77"/>
    <w:rsid w:val="004765AC"/>
    <w:rsid w:val="004801EB"/>
    <w:rsid w:val="00482DDC"/>
    <w:rsid w:val="00483E6C"/>
    <w:rsid w:val="004866A9"/>
    <w:rsid w:val="00492774"/>
    <w:rsid w:val="00493AF5"/>
    <w:rsid w:val="00496D7A"/>
    <w:rsid w:val="00497125"/>
    <w:rsid w:val="004A31BC"/>
    <w:rsid w:val="004A3F1A"/>
    <w:rsid w:val="004A3F45"/>
    <w:rsid w:val="004B1AFA"/>
    <w:rsid w:val="004B6047"/>
    <w:rsid w:val="004B7088"/>
    <w:rsid w:val="004C5B76"/>
    <w:rsid w:val="004D02CD"/>
    <w:rsid w:val="004D0B24"/>
    <w:rsid w:val="004D1D19"/>
    <w:rsid w:val="004D4B90"/>
    <w:rsid w:val="004D6B95"/>
    <w:rsid w:val="004D7D7E"/>
    <w:rsid w:val="004D7F41"/>
    <w:rsid w:val="004E03A2"/>
    <w:rsid w:val="004E317E"/>
    <w:rsid w:val="004E3954"/>
    <w:rsid w:val="004E5856"/>
    <w:rsid w:val="004F093D"/>
    <w:rsid w:val="004F2330"/>
    <w:rsid w:val="004F39DD"/>
    <w:rsid w:val="004F53C6"/>
    <w:rsid w:val="004F69DB"/>
    <w:rsid w:val="004F6B87"/>
    <w:rsid w:val="00501C2D"/>
    <w:rsid w:val="00502637"/>
    <w:rsid w:val="00511140"/>
    <w:rsid w:val="00513CFE"/>
    <w:rsid w:val="00523192"/>
    <w:rsid w:val="00523B6A"/>
    <w:rsid w:val="00525F6C"/>
    <w:rsid w:val="00526B31"/>
    <w:rsid w:val="0053755A"/>
    <w:rsid w:val="00540003"/>
    <w:rsid w:val="00541739"/>
    <w:rsid w:val="00546AB4"/>
    <w:rsid w:val="005514E5"/>
    <w:rsid w:val="00552CC5"/>
    <w:rsid w:val="00563C84"/>
    <w:rsid w:val="00570D18"/>
    <w:rsid w:val="005762F6"/>
    <w:rsid w:val="0057630C"/>
    <w:rsid w:val="00584FBE"/>
    <w:rsid w:val="00585483"/>
    <w:rsid w:val="00587378"/>
    <w:rsid w:val="00587C05"/>
    <w:rsid w:val="00590AAB"/>
    <w:rsid w:val="005938C3"/>
    <w:rsid w:val="0059468C"/>
    <w:rsid w:val="00594FCD"/>
    <w:rsid w:val="00595125"/>
    <w:rsid w:val="005957EA"/>
    <w:rsid w:val="0059620A"/>
    <w:rsid w:val="00596F21"/>
    <w:rsid w:val="005A4AED"/>
    <w:rsid w:val="005A54C7"/>
    <w:rsid w:val="005B1CDD"/>
    <w:rsid w:val="005B1E19"/>
    <w:rsid w:val="005B55FC"/>
    <w:rsid w:val="005C2D5E"/>
    <w:rsid w:val="005C3B81"/>
    <w:rsid w:val="005C650C"/>
    <w:rsid w:val="005D081C"/>
    <w:rsid w:val="005D086C"/>
    <w:rsid w:val="005D1037"/>
    <w:rsid w:val="005D11D3"/>
    <w:rsid w:val="005D4E1F"/>
    <w:rsid w:val="005D4FB3"/>
    <w:rsid w:val="005E2F07"/>
    <w:rsid w:val="005E2FEA"/>
    <w:rsid w:val="005E3768"/>
    <w:rsid w:val="005E536E"/>
    <w:rsid w:val="005F08C9"/>
    <w:rsid w:val="005F314B"/>
    <w:rsid w:val="005F4E90"/>
    <w:rsid w:val="005F54DA"/>
    <w:rsid w:val="0060006A"/>
    <w:rsid w:val="00600E5D"/>
    <w:rsid w:val="00611AF2"/>
    <w:rsid w:val="0061212B"/>
    <w:rsid w:val="006127AF"/>
    <w:rsid w:val="00615FB2"/>
    <w:rsid w:val="00617BD1"/>
    <w:rsid w:val="00617CE8"/>
    <w:rsid w:val="00626FE3"/>
    <w:rsid w:val="006278A0"/>
    <w:rsid w:val="0063095F"/>
    <w:rsid w:val="00631EF0"/>
    <w:rsid w:val="00646AC2"/>
    <w:rsid w:val="00650390"/>
    <w:rsid w:val="00654DAB"/>
    <w:rsid w:val="0066204A"/>
    <w:rsid w:val="00670E3C"/>
    <w:rsid w:val="006758EB"/>
    <w:rsid w:val="00675ED3"/>
    <w:rsid w:val="00677F57"/>
    <w:rsid w:val="00681088"/>
    <w:rsid w:val="006832BE"/>
    <w:rsid w:val="0069577E"/>
    <w:rsid w:val="0069634B"/>
    <w:rsid w:val="00696536"/>
    <w:rsid w:val="00696623"/>
    <w:rsid w:val="006A04E9"/>
    <w:rsid w:val="006A46EF"/>
    <w:rsid w:val="006A4A03"/>
    <w:rsid w:val="006A7543"/>
    <w:rsid w:val="006B7234"/>
    <w:rsid w:val="006B725C"/>
    <w:rsid w:val="006C273D"/>
    <w:rsid w:val="006C5C4F"/>
    <w:rsid w:val="006C606C"/>
    <w:rsid w:val="006C6282"/>
    <w:rsid w:val="006C762A"/>
    <w:rsid w:val="006D10CD"/>
    <w:rsid w:val="006D5FF9"/>
    <w:rsid w:val="006E0772"/>
    <w:rsid w:val="006E0F86"/>
    <w:rsid w:val="006E1765"/>
    <w:rsid w:val="006E3EEB"/>
    <w:rsid w:val="006E64DF"/>
    <w:rsid w:val="006F0B15"/>
    <w:rsid w:val="006F0DCC"/>
    <w:rsid w:val="00702CB1"/>
    <w:rsid w:val="00703DF9"/>
    <w:rsid w:val="007048EB"/>
    <w:rsid w:val="00704FBB"/>
    <w:rsid w:val="007059BF"/>
    <w:rsid w:val="007067F6"/>
    <w:rsid w:val="0070726A"/>
    <w:rsid w:val="007109F1"/>
    <w:rsid w:val="0071226B"/>
    <w:rsid w:val="00716DCD"/>
    <w:rsid w:val="00717040"/>
    <w:rsid w:val="00717184"/>
    <w:rsid w:val="007303D7"/>
    <w:rsid w:val="00730921"/>
    <w:rsid w:val="00743339"/>
    <w:rsid w:val="007509F8"/>
    <w:rsid w:val="00755426"/>
    <w:rsid w:val="00756EBF"/>
    <w:rsid w:val="00763572"/>
    <w:rsid w:val="007655D4"/>
    <w:rsid w:val="007660E2"/>
    <w:rsid w:val="00766CC0"/>
    <w:rsid w:val="007746EB"/>
    <w:rsid w:val="007750A2"/>
    <w:rsid w:val="0077750B"/>
    <w:rsid w:val="007817D6"/>
    <w:rsid w:val="00782D15"/>
    <w:rsid w:val="00787912"/>
    <w:rsid w:val="0079177A"/>
    <w:rsid w:val="00794836"/>
    <w:rsid w:val="007948D5"/>
    <w:rsid w:val="007A0AE9"/>
    <w:rsid w:val="007A15C9"/>
    <w:rsid w:val="007A6676"/>
    <w:rsid w:val="007B2EEF"/>
    <w:rsid w:val="007B7FF5"/>
    <w:rsid w:val="007C3DC7"/>
    <w:rsid w:val="007C3FC6"/>
    <w:rsid w:val="007D14EA"/>
    <w:rsid w:val="007D1CD3"/>
    <w:rsid w:val="007D2CE9"/>
    <w:rsid w:val="007D4FED"/>
    <w:rsid w:val="007D69DA"/>
    <w:rsid w:val="007D70B1"/>
    <w:rsid w:val="007D7140"/>
    <w:rsid w:val="007E1C73"/>
    <w:rsid w:val="007E1CDB"/>
    <w:rsid w:val="007E408C"/>
    <w:rsid w:val="007E57A0"/>
    <w:rsid w:val="007E7E21"/>
    <w:rsid w:val="007F0386"/>
    <w:rsid w:val="007F0460"/>
    <w:rsid w:val="007F0DA2"/>
    <w:rsid w:val="007F39CE"/>
    <w:rsid w:val="007F5E0D"/>
    <w:rsid w:val="007F6DBD"/>
    <w:rsid w:val="00801085"/>
    <w:rsid w:val="00801A89"/>
    <w:rsid w:val="00810452"/>
    <w:rsid w:val="00812138"/>
    <w:rsid w:val="00813FFD"/>
    <w:rsid w:val="008145B1"/>
    <w:rsid w:val="008151F2"/>
    <w:rsid w:val="0081777A"/>
    <w:rsid w:val="008210E0"/>
    <w:rsid w:val="00824079"/>
    <w:rsid w:val="00831F0A"/>
    <w:rsid w:val="00833A78"/>
    <w:rsid w:val="0084585F"/>
    <w:rsid w:val="00851A8A"/>
    <w:rsid w:val="00853E53"/>
    <w:rsid w:val="0086017F"/>
    <w:rsid w:val="00862C15"/>
    <w:rsid w:val="00862C39"/>
    <w:rsid w:val="008645FF"/>
    <w:rsid w:val="00864D76"/>
    <w:rsid w:val="008656C9"/>
    <w:rsid w:val="0086711C"/>
    <w:rsid w:val="00867535"/>
    <w:rsid w:val="008709FB"/>
    <w:rsid w:val="00875C5B"/>
    <w:rsid w:val="00883C5F"/>
    <w:rsid w:val="00891C7D"/>
    <w:rsid w:val="00892FA7"/>
    <w:rsid w:val="008A3301"/>
    <w:rsid w:val="008A4DF1"/>
    <w:rsid w:val="008A5602"/>
    <w:rsid w:val="008A5636"/>
    <w:rsid w:val="008B125E"/>
    <w:rsid w:val="008B241C"/>
    <w:rsid w:val="008B408B"/>
    <w:rsid w:val="008B4F11"/>
    <w:rsid w:val="008B6C65"/>
    <w:rsid w:val="008C0533"/>
    <w:rsid w:val="008C2362"/>
    <w:rsid w:val="008C3049"/>
    <w:rsid w:val="008C3E9B"/>
    <w:rsid w:val="008D4AE9"/>
    <w:rsid w:val="008D5CF3"/>
    <w:rsid w:val="008D62AF"/>
    <w:rsid w:val="008D7189"/>
    <w:rsid w:val="008D7D39"/>
    <w:rsid w:val="008E3F1D"/>
    <w:rsid w:val="008E4574"/>
    <w:rsid w:val="008F4016"/>
    <w:rsid w:val="008F42FE"/>
    <w:rsid w:val="008F4A00"/>
    <w:rsid w:val="008F5402"/>
    <w:rsid w:val="0090053A"/>
    <w:rsid w:val="00901C2A"/>
    <w:rsid w:val="00905942"/>
    <w:rsid w:val="009076F9"/>
    <w:rsid w:val="009118C7"/>
    <w:rsid w:val="009129CA"/>
    <w:rsid w:val="009201A0"/>
    <w:rsid w:val="009225B6"/>
    <w:rsid w:val="009228BC"/>
    <w:rsid w:val="00922F72"/>
    <w:rsid w:val="00925090"/>
    <w:rsid w:val="00925397"/>
    <w:rsid w:val="00933A21"/>
    <w:rsid w:val="00934C10"/>
    <w:rsid w:val="0093662A"/>
    <w:rsid w:val="0094060C"/>
    <w:rsid w:val="00944781"/>
    <w:rsid w:val="0094609C"/>
    <w:rsid w:val="009515D6"/>
    <w:rsid w:val="00955A4A"/>
    <w:rsid w:val="009606A5"/>
    <w:rsid w:val="00962F1F"/>
    <w:rsid w:val="00964F07"/>
    <w:rsid w:val="00965304"/>
    <w:rsid w:val="00966442"/>
    <w:rsid w:val="00971293"/>
    <w:rsid w:val="00973A3B"/>
    <w:rsid w:val="009748A4"/>
    <w:rsid w:val="00975BA5"/>
    <w:rsid w:val="00983EAE"/>
    <w:rsid w:val="009858B0"/>
    <w:rsid w:val="00986072"/>
    <w:rsid w:val="0098760B"/>
    <w:rsid w:val="00993357"/>
    <w:rsid w:val="009A11DD"/>
    <w:rsid w:val="009B015D"/>
    <w:rsid w:val="009B15A0"/>
    <w:rsid w:val="009B30AA"/>
    <w:rsid w:val="009B5217"/>
    <w:rsid w:val="009B58EE"/>
    <w:rsid w:val="009B5CF4"/>
    <w:rsid w:val="009C4798"/>
    <w:rsid w:val="009C48DE"/>
    <w:rsid w:val="009D01A2"/>
    <w:rsid w:val="009D272D"/>
    <w:rsid w:val="009D75D1"/>
    <w:rsid w:val="009E085B"/>
    <w:rsid w:val="009E1E1E"/>
    <w:rsid w:val="009E33E3"/>
    <w:rsid w:val="009E7F16"/>
    <w:rsid w:val="009F005B"/>
    <w:rsid w:val="009F2F7F"/>
    <w:rsid w:val="009F4A92"/>
    <w:rsid w:val="009F5052"/>
    <w:rsid w:val="00A04C85"/>
    <w:rsid w:val="00A100F0"/>
    <w:rsid w:val="00A145C1"/>
    <w:rsid w:val="00A156E6"/>
    <w:rsid w:val="00A27D86"/>
    <w:rsid w:val="00A313DF"/>
    <w:rsid w:val="00A316C0"/>
    <w:rsid w:val="00A33151"/>
    <w:rsid w:val="00A36970"/>
    <w:rsid w:val="00A41788"/>
    <w:rsid w:val="00A41EB4"/>
    <w:rsid w:val="00A44BFF"/>
    <w:rsid w:val="00A46810"/>
    <w:rsid w:val="00A47A52"/>
    <w:rsid w:val="00A501E3"/>
    <w:rsid w:val="00A50F0C"/>
    <w:rsid w:val="00A52356"/>
    <w:rsid w:val="00A56441"/>
    <w:rsid w:val="00A576AF"/>
    <w:rsid w:val="00A64BF4"/>
    <w:rsid w:val="00A67A0B"/>
    <w:rsid w:val="00A736DD"/>
    <w:rsid w:val="00A74A00"/>
    <w:rsid w:val="00A81D58"/>
    <w:rsid w:val="00A82869"/>
    <w:rsid w:val="00A8334C"/>
    <w:rsid w:val="00A8623E"/>
    <w:rsid w:val="00A86BA8"/>
    <w:rsid w:val="00A8758C"/>
    <w:rsid w:val="00A87CF0"/>
    <w:rsid w:val="00A901DE"/>
    <w:rsid w:val="00A95135"/>
    <w:rsid w:val="00A96C78"/>
    <w:rsid w:val="00AA127E"/>
    <w:rsid w:val="00AA19AE"/>
    <w:rsid w:val="00AA2096"/>
    <w:rsid w:val="00AA2B56"/>
    <w:rsid w:val="00AA34C0"/>
    <w:rsid w:val="00AA423D"/>
    <w:rsid w:val="00AA55F3"/>
    <w:rsid w:val="00AA6A95"/>
    <w:rsid w:val="00AA73ED"/>
    <w:rsid w:val="00AB10DE"/>
    <w:rsid w:val="00AB3668"/>
    <w:rsid w:val="00AB5ED7"/>
    <w:rsid w:val="00AB7978"/>
    <w:rsid w:val="00AC0B4C"/>
    <w:rsid w:val="00AC51B2"/>
    <w:rsid w:val="00AD0AEE"/>
    <w:rsid w:val="00AD1453"/>
    <w:rsid w:val="00AD49E3"/>
    <w:rsid w:val="00AD4B4F"/>
    <w:rsid w:val="00AD7008"/>
    <w:rsid w:val="00AE1BC8"/>
    <w:rsid w:val="00AE2F60"/>
    <w:rsid w:val="00AF0616"/>
    <w:rsid w:val="00AF0E28"/>
    <w:rsid w:val="00AF3864"/>
    <w:rsid w:val="00AF38F6"/>
    <w:rsid w:val="00AF6F9B"/>
    <w:rsid w:val="00B01409"/>
    <w:rsid w:val="00B035C0"/>
    <w:rsid w:val="00B07AB7"/>
    <w:rsid w:val="00B10DBD"/>
    <w:rsid w:val="00B14368"/>
    <w:rsid w:val="00B15629"/>
    <w:rsid w:val="00B221F9"/>
    <w:rsid w:val="00B22ED8"/>
    <w:rsid w:val="00B2372C"/>
    <w:rsid w:val="00B32F70"/>
    <w:rsid w:val="00B373D0"/>
    <w:rsid w:val="00B43AAA"/>
    <w:rsid w:val="00B43AF7"/>
    <w:rsid w:val="00B53139"/>
    <w:rsid w:val="00B534D5"/>
    <w:rsid w:val="00B562CE"/>
    <w:rsid w:val="00B60B84"/>
    <w:rsid w:val="00B62DE2"/>
    <w:rsid w:val="00B645B2"/>
    <w:rsid w:val="00B70D9B"/>
    <w:rsid w:val="00B71D7F"/>
    <w:rsid w:val="00B74417"/>
    <w:rsid w:val="00B77246"/>
    <w:rsid w:val="00B77A80"/>
    <w:rsid w:val="00B866CD"/>
    <w:rsid w:val="00B91E3F"/>
    <w:rsid w:val="00B93034"/>
    <w:rsid w:val="00B97C5D"/>
    <w:rsid w:val="00BA1290"/>
    <w:rsid w:val="00BA3101"/>
    <w:rsid w:val="00BB2792"/>
    <w:rsid w:val="00BB76BF"/>
    <w:rsid w:val="00BC1AD1"/>
    <w:rsid w:val="00BC4A58"/>
    <w:rsid w:val="00BC613B"/>
    <w:rsid w:val="00BD45D9"/>
    <w:rsid w:val="00BD51D9"/>
    <w:rsid w:val="00BD5C76"/>
    <w:rsid w:val="00BD64E2"/>
    <w:rsid w:val="00BE07CC"/>
    <w:rsid w:val="00BE4995"/>
    <w:rsid w:val="00BF23C6"/>
    <w:rsid w:val="00BF429A"/>
    <w:rsid w:val="00BF62BE"/>
    <w:rsid w:val="00C02688"/>
    <w:rsid w:val="00C07126"/>
    <w:rsid w:val="00C1251F"/>
    <w:rsid w:val="00C16853"/>
    <w:rsid w:val="00C24853"/>
    <w:rsid w:val="00C263F0"/>
    <w:rsid w:val="00C31696"/>
    <w:rsid w:val="00C33A0A"/>
    <w:rsid w:val="00C33D41"/>
    <w:rsid w:val="00C344BC"/>
    <w:rsid w:val="00C363B5"/>
    <w:rsid w:val="00C37C2E"/>
    <w:rsid w:val="00C40106"/>
    <w:rsid w:val="00C40AFD"/>
    <w:rsid w:val="00C41E20"/>
    <w:rsid w:val="00C41F18"/>
    <w:rsid w:val="00C42E3E"/>
    <w:rsid w:val="00C51C13"/>
    <w:rsid w:val="00C525A5"/>
    <w:rsid w:val="00C5300F"/>
    <w:rsid w:val="00C53F04"/>
    <w:rsid w:val="00C66CE0"/>
    <w:rsid w:val="00C71BED"/>
    <w:rsid w:val="00C747C0"/>
    <w:rsid w:val="00C759C1"/>
    <w:rsid w:val="00C81B53"/>
    <w:rsid w:val="00C82AD2"/>
    <w:rsid w:val="00C854FE"/>
    <w:rsid w:val="00C90FB6"/>
    <w:rsid w:val="00C9220E"/>
    <w:rsid w:val="00C9304F"/>
    <w:rsid w:val="00C932BD"/>
    <w:rsid w:val="00C93429"/>
    <w:rsid w:val="00C945A4"/>
    <w:rsid w:val="00C972BA"/>
    <w:rsid w:val="00CA1663"/>
    <w:rsid w:val="00CA16C5"/>
    <w:rsid w:val="00CA415A"/>
    <w:rsid w:val="00CA7A35"/>
    <w:rsid w:val="00CB1536"/>
    <w:rsid w:val="00CB5F3C"/>
    <w:rsid w:val="00CB7FB8"/>
    <w:rsid w:val="00CC1F71"/>
    <w:rsid w:val="00CC5EB3"/>
    <w:rsid w:val="00CD0E7B"/>
    <w:rsid w:val="00CD2ABD"/>
    <w:rsid w:val="00CD4024"/>
    <w:rsid w:val="00CD4617"/>
    <w:rsid w:val="00CD4855"/>
    <w:rsid w:val="00CE6D43"/>
    <w:rsid w:val="00CE7888"/>
    <w:rsid w:val="00CE7AFF"/>
    <w:rsid w:val="00CE7BB6"/>
    <w:rsid w:val="00D10E1C"/>
    <w:rsid w:val="00D14774"/>
    <w:rsid w:val="00D161A3"/>
    <w:rsid w:val="00D17607"/>
    <w:rsid w:val="00D22E49"/>
    <w:rsid w:val="00D23716"/>
    <w:rsid w:val="00D25ED8"/>
    <w:rsid w:val="00D27F8F"/>
    <w:rsid w:val="00D30487"/>
    <w:rsid w:val="00D316B8"/>
    <w:rsid w:val="00D31CFC"/>
    <w:rsid w:val="00D3255D"/>
    <w:rsid w:val="00D340C3"/>
    <w:rsid w:val="00D34599"/>
    <w:rsid w:val="00D409CD"/>
    <w:rsid w:val="00D423CE"/>
    <w:rsid w:val="00D423D4"/>
    <w:rsid w:val="00D42CAF"/>
    <w:rsid w:val="00D4763B"/>
    <w:rsid w:val="00D53136"/>
    <w:rsid w:val="00D601EF"/>
    <w:rsid w:val="00D61533"/>
    <w:rsid w:val="00D61F10"/>
    <w:rsid w:val="00D63B2F"/>
    <w:rsid w:val="00D6495D"/>
    <w:rsid w:val="00D70747"/>
    <w:rsid w:val="00D7261D"/>
    <w:rsid w:val="00D755FC"/>
    <w:rsid w:val="00D76B6D"/>
    <w:rsid w:val="00D84D07"/>
    <w:rsid w:val="00D8526A"/>
    <w:rsid w:val="00D90E91"/>
    <w:rsid w:val="00D933C6"/>
    <w:rsid w:val="00D955B8"/>
    <w:rsid w:val="00D97257"/>
    <w:rsid w:val="00DA4CB3"/>
    <w:rsid w:val="00DB53C1"/>
    <w:rsid w:val="00DC027E"/>
    <w:rsid w:val="00DC1347"/>
    <w:rsid w:val="00DC17B4"/>
    <w:rsid w:val="00DC39F1"/>
    <w:rsid w:val="00DC4C48"/>
    <w:rsid w:val="00DE4B35"/>
    <w:rsid w:val="00DE5BC9"/>
    <w:rsid w:val="00DE6DAE"/>
    <w:rsid w:val="00DF0D2C"/>
    <w:rsid w:val="00DF19C1"/>
    <w:rsid w:val="00DF54CA"/>
    <w:rsid w:val="00DF5B64"/>
    <w:rsid w:val="00DF5DD3"/>
    <w:rsid w:val="00E02794"/>
    <w:rsid w:val="00E02ABE"/>
    <w:rsid w:val="00E03B8F"/>
    <w:rsid w:val="00E043E3"/>
    <w:rsid w:val="00E0505B"/>
    <w:rsid w:val="00E11280"/>
    <w:rsid w:val="00E12359"/>
    <w:rsid w:val="00E14789"/>
    <w:rsid w:val="00E152FF"/>
    <w:rsid w:val="00E20186"/>
    <w:rsid w:val="00E2461B"/>
    <w:rsid w:val="00E24886"/>
    <w:rsid w:val="00E276FB"/>
    <w:rsid w:val="00E306D2"/>
    <w:rsid w:val="00E32595"/>
    <w:rsid w:val="00E33A49"/>
    <w:rsid w:val="00E33A74"/>
    <w:rsid w:val="00E4030B"/>
    <w:rsid w:val="00E40CFC"/>
    <w:rsid w:val="00E41D56"/>
    <w:rsid w:val="00E457DF"/>
    <w:rsid w:val="00E46642"/>
    <w:rsid w:val="00E5139A"/>
    <w:rsid w:val="00E5413D"/>
    <w:rsid w:val="00E55D7A"/>
    <w:rsid w:val="00E57977"/>
    <w:rsid w:val="00E6225F"/>
    <w:rsid w:val="00E631E5"/>
    <w:rsid w:val="00E635D7"/>
    <w:rsid w:val="00E70576"/>
    <w:rsid w:val="00E73709"/>
    <w:rsid w:val="00E76869"/>
    <w:rsid w:val="00E8065B"/>
    <w:rsid w:val="00E83954"/>
    <w:rsid w:val="00E91730"/>
    <w:rsid w:val="00E96F04"/>
    <w:rsid w:val="00E97AEC"/>
    <w:rsid w:val="00EA20FE"/>
    <w:rsid w:val="00EA2582"/>
    <w:rsid w:val="00EA290C"/>
    <w:rsid w:val="00EA3389"/>
    <w:rsid w:val="00EA3645"/>
    <w:rsid w:val="00EB491E"/>
    <w:rsid w:val="00EB681B"/>
    <w:rsid w:val="00EB7816"/>
    <w:rsid w:val="00EC0A75"/>
    <w:rsid w:val="00EC4B1C"/>
    <w:rsid w:val="00EC4FAD"/>
    <w:rsid w:val="00EC71C8"/>
    <w:rsid w:val="00EE3CFA"/>
    <w:rsid w:val="00EE69E4"/>
    <w:rsid w:val="00EF2A7F"/>
    <w:rsid w:val="00EF7E90"/>
    <w:rsid w:val="00F002B6"/>
    <w:rsid w:val="00F10AFE"/>
    <w:rsid w:val="00F147DB"/>
    <w:rsid w:val="00F15C6C"/>
    <w:rsid w:val="00F15CCF"/>
    <w:rsid w:val="00F17173"/>
    <w:rsid w:val="00F2001C"/>
    <w:rsid w:val="00F224DC"/>
    <w:rsid w:val="00F265CF"/>
    <w:rsid w:val="00F2687F"/>
    <w:rsid w:val="00F27F29"/>
    <w:rsid w:val="00F32D54"/>
    <w:rsid w:val="00F350D6"/>
    <w:rsid w:val="00F366DA"/>
    <w:rsid w:val="00F36C54"/>
    <w:rsid w:val="00F418EA"/>
    <w:rsid w:val="00F41A29"/>
    <w:rsid w:val="00F4310E"/>
    <w:rsid w:val="00F44C1C"/>
    <w:rsid w:val="00F518DF"/>
    <w:rsid w:val="00F544DB"/>
    <w:rsid w:val="00F57282"/>
    <w:rsid w:val="00F6502E"/>
    <w:rsid w:val="00F65663"/>
    <w:rsid w:val="00F7506E"/>
    <w:rsid w:val="00F756C0"/>
    <w:rsid w:val="00F75A40"/>
    <w:rsid w:val="00F77637"/>
    <w:rsid w:val="00F8231F"/>
    <w:rsid w:val="00F8435D"/>
    <w:rsid w:val="00F87DD0"/>
    <w:rsid w:val="00F90A84"/>
    <w:rsid w:val="00F912FA"/>
    <w:rsid w:val="00F93360"/>
    <w:rsid w:val="00F93753"/>
    <w:rsid w:val="00F93FE4"/>
    <w:rsid w:val="00F969AD"/>
    <w:rsid w:val="00F97E4E"/>
    <w:rsid w:val="00FA217B"/>
    <w:rsid w:val="00FB0BC5"/>
    <w:rsid w:val="00FB0BCC"/>
    <w:rsid w:val="00FB2595"/>
    <w:rsid w:val="00FC0FE5"/>
    <w:rsid w:val="00FD0DD6"/>
    <w:rsid w:val="00FD1ABC"/>
    <w:rsid w:val="00FD1B88"/>
    <w:rsid w:val="00FD1D02"/>
    <w:rsid w:val="00FD3CDE"/>
    <w:rsid w:val="00FD5B13"/>
    <w:rsid w:val="00FD74A4"/>
    <w:rsid w:val="00FD7DDF"/>
    <w:rsid w:val="00FE1D2A"/>
    <w:rsid w:val="00FE4C92"/>
    <w:rsid w:val="00FF0FAA"/>
    <w:rsid w:val="00FF1E28"/>
    <w:rsid w:val="00FF4396"/>
    <w:rsid w:val="08EDF5A3"/>
    <w:rsid w:val="2C7770E3"/>
    <w:rsid w:val="3A250082"/>
    <w:rsid w:val="3E1CF757"/>
    <w:rsid w:val="61D75B45"/>
    <w:rsid w:val="6D76A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E522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C0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Cs w:val="20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A316C0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316C0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A316C0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316C0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316C0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316C0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316C0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316C0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316C0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szCs w:val="20"/>
      <w:lang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szCs w:val="20"/>
      <w:lang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szCs w:val="20"/>
      <w:lang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szCs w:val="20"/>
      <w:lang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szCs w:val="20"/>
      <w:lang w:eastAsia="en-US" w:bidi="ar-SA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szCs w:val="20"/>
      <w:lang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szCs w:val="20"/>
      <w:lang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szCs w:val="20"/>
      <w:lang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szCs w:val="20"/>
      <w:lang w:eastAsia="en-US" w:bidi="ar-SA"/>
    </w:rPr>
  </w:style>
  <w:style w:type="paragraph" w:styleId="Footer">
    <w:name w:val="footer"/>
    <w:basedOn w:val="Normal"/>
    <w:link w:val="FooterChar"/>
    <w:rsid w:val="00A316C0"/>
  </w:style>
  <w:style w:type="character" w:customStyle="1" w:styleId="FooterChar">
    <w:name w:val="Footer Char"/>
    <w:basedOn w:val="DefaultParagraphFont"/>
    <w:link w:val="Footer"/>
    <w:locked/>
    <w:rsid w:val="00CB1536"/>
    <w:rPr>
      <w:szCs w:val="20"/>
      <w:lang w:eastAsia="en-US" w:bidi="ar-SA"/>
    </w:rPr>
  </w:style>
  <w:style w:type="paragraph" w:styleId="FootnoteText">
    <w:name w:val="footnote text"/>
    <w:basedOn w:val="Normal"/>
    <w:link w:val="FootnoteTextChar"/>
    <w:rsid w:val="00A316C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szCs w:val="20"/>
      <w:lang w:eastAsia="en-US" w:bidi="ar-SA"/>
    </w:rPr>
  </w:style>
  <w:style w:type="paragraph" w:styleId="Header">
    <w:name w:val="header"/>
    <w:basedOn w:val="Normal"/>
    <w:link w:val="HeaderChar"/>
    <w:rsid w:val="00A316C0"/>
  </w:style>
  <w:style w:type="character" w:customStyle="1" w:styleId="HeaderChar">
    <w:name w:val="Header Char"/>
    <w:basedOn w:val="DefaultParagraphFont"/>
    <w:link w:val="Header"/>
    <w:locked/>
    <w:rsid w:val="00CB1536"/>
    <w:rPr>
      <w:szCs w:val="20"/>
      <w:lang w:eastAsia="en-US" w:bidi="ar-SA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rsid w:val="00A316C0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styleId="BalloonText">
    <w:name w:val="Balloon Text"/>
    <w:basedOn w:val="Normal"/>
    <w:link w:val="BalloonTextChar"/>
    <w:uiPriority w:val="99"/>
    <w:semiHidden/>
    <w:unhideWhenUsed/>
    <w:rsid w:val="00CB5F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3C"/>
    <w:rPr>
      <w:rFonts w:ascii="Tahoma" w:hAnsi="Tahoma" w:cs="Tahoma"/>
      <w:sz w:val="16"/>
      <w:szCs w:val="16"/>
      <w:lang w:eastAsia="en-US" w:bidi="ar-SA"/>
    </w:rPr>
  </w:style>
  <w:style w:type="character" w:styleId="CommentReference">
    <w:name w:val="annotation reference"/>
    <w:basedOn w:val="DefaultParagraphFont"/>
    <w:semiHidden/>
    <w:unhideWhenUsed/>
    <w:rsid w:val="008601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017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017F"/>
    <w:rPr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17F"/>
    <w:rPr>
      <w:b/>
      <w:bCs/>
      <w:sz w:val="20"/>
      <w:szCs w:val="20"/>
      <w:lang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4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5A2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2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yrto.Kolyva@eesc.europa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sc.europa.eu/en/our-work/opinions-information-reports/opinions/generational-renewal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A6WAAD5KZT2Q-284857674-12098</_dlc_DocId>
    <_dlc_DocIdUrl xmlns="1a33af13-4045-4f88-9d7b-618e30f79918">
      <Url>http://dm/eesc/2025/_layouts/15/DocIdRedir.aspx?ID=A6WAAD5KZT2Q-284857674-12098</Url>
      <Description>A6WAAD5KZT2Q-284857674-12098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</TermName>
          <TermId xmlns="http://schemas.microsoft.com/office/infopath/2007/PartnerControls">a43f56f4-99f1-4067-b8f3-d4f85fda4bbc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2026-04-21T12:00:00+00:00</ProductionDate>
    <DocumentNumber xmlns="27994258-8564-426c-a7a1-d6286d62992e">3221</DocumentNumber>
    <FicheYea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2026-05-21T12:00:00+00:00</MeetingDate>
    <TaxCatchAll xmlns="1a33af13-4045-4f88-9d7b-618e30f79918">
      <Value>31</Value>
      <Value>65</Value>
      <Value>50</Value>
      <Value>47</Value>
      <Value>46</Value>
      <Value>368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120</Value>
      <Value>30</Value>
      <Value>29</Value>
      <Value>28</Value>
      <Value>27</Value>
      <Value>24</Value>
      <Value>23</Value>
      <Value>16</Value>
      <Value>15</Value>
      <Value>13</Value>
      <Value>12</Value>
      <Value>8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Rapporteur xmlns="1a33af13-4045-4f88-9d7b-618e30f79918">HEALY &amp; PUXEU ROCAMORA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301166</FicheNumber>
    <OriginalSender xmlns="1a33af13-4045-4f88-9d7b-618e30f79918">
      <UserInfo>
        <DisplayName>Vecko Stanko</DisplayName>
        <AccountId>1540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Systèmes alimentaires durables, environnement, dév. rural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f16741f4-080c-493c-9d65-073efaae9647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>245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1a33af13-4045-4f88-9d7b-618e30f79918">0</DocumentVersion>
    <DossierNumber xmlns="1a33af13-4045-4f88-9d7b-618e30f79918">968</DossierNumb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6A2E75-D73F-4156-A268-9BAF2907F213}"/>
</file>

<file path=customXml/itemProps2.xml><?xml version="1.0" encoding="utf-8"?>
<ds:datastoreItem xmlns:ds="http://schemas.openxmlformats.org/officeDocument/2006/customXml" ds:itemID="{D4C71251-E51F-47F1-873C-41E1F9321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C4E85-C6BF-49A4-A0B3-DFCEADB5D8CE}">
  <ds:schemaRefs>
    <ds:schemaRef ds:uri="http://schemas.microsoft.com/office/2006/metadata/properties"/>
    <ds:schemaRef ds:uri="http://schemas.microsoft.com/office/infopath/2007/PartnerControls"/>
    <ds:schemaRef ds:uri="9261d1b3-4cb3-41df-92fe-a415948bf796"/>
    <ds:schemaRef ds:uri="cadbf247-b25c-47df-b11b-efd5fcd3b105"/>
  </ds:schemaRefs>
</ds:datastoreItem>
</file>

<file path=customXml/itemProps4.xml><?xml version="1.0" encoding="utf-8"?>
<ds:datastoreItem xmlns:ds="http://schemas.openxmlformats.org/officeDocument/2006/customXml" ds:itemID="{36C2CC1C-A2B7-458D-87E7-E9726320CE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47519C-8D47-4604-951B-20EFC45AAF24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3207</Words>
  <Characters>21187</Characters>
  <Application>Microsoft Office Word</Application>
  <DocSecurity>0</DocSecurity>
  <Lines>415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Common Agricultural Policy</vt:lpstr>
    </vt:vector>
  </TitlesOfParts>
  <Manager/>
  <Company/>
  <LinksUpToDate>false</LinksUpToDate>
  <CharactersWithSpaces>24260</CharactersWithSpaces>
  <SharedDoc>false</SharedDoc>
  <HLinks>
    <vt:vector size="6" baseType="variant"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mailto:Myrto.Kolyva@eesc.europa.eu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Evaluacija zajedničke poljoprivredne politike</dc:title>
  <dc:creator/>
  <cp:keywords>EESC-2025-03221-00-00-APRE-TRA-EN</cp:keywords>
  <dc:description>Rapporteur: - HEALY &amp; PUXEU ROCAMORA Original language: - EN Date of document: - 25/03/2026 Date of meeting: - 27/03/2026 External documents: -  Administrator responsible: -  KOLYVA Myrto</dc:description>
  <cp:lastModifiedBy/>
  <cp:revision>7</cp:revision>
  <cp:lastPrinted>2016-01-26T17:31:00Z</cp:lastPrinted>
  <dcterms:created xsi:type="dcterms:W3CDTF">2026-04-16T10:16:00Z</dcterms:created>
  <dcterms:modified xsi:type="dcterms:W3CDTF">2026-04-21T10:00:00Z</dcterms:modified>
  <cp:category>NAT/968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16/04/2026, 25/03/2026, 12/04/2024, 17/05/2022, 04/11/2015, 27/10/2015, 19/10/2015, 09/10/2015, 05/10/2015, 05/10/2015, 26/08/2015, 26/08/2015, 25/08/2015</vt:lpwstr>
  </property>
  <property fmtid="{D5CDD505-2E9C-101B-9397-08002B2CF9AE}" pid="4" name="Pref_Time">
    <vt:lpwstr>12:15:21, 11:59:54, 12:19:36, 13:11:39, 12/10/07, 14:44:02, 16/04/16, 14:09:30, 16:24:55, 16:04:02, 08:56:14, 07:27:56, 17:31:53</vt:lpwstr>
  </property>
  <property fmtid="{D5CDD505-2E9C-101B-9397-08002B2CF9AE}" pid="5" name="Pref_User">
    <vt:lpwstr>jhvi, jhvi, enied, enied, ssex, enied, amett, tvoc, mreg, mreg, amett, enied, ssex</vt:lpwstr>
  </property>
  <property fmtid="{D5CDD505-2E9C-101B-9397-08002B2CF9AE}" pid="6" name="Pref_FileName">
    <vt:lpwstr>EESC-2025-03221-00-00-PRE-ORI.docx, EESC-2025-03221-00-00-APRE-ORI.docx, COR-EESC-2024-01326-19-00-ADMIN-ORI.docx, COR-EESC-2022-02555-00-00-ADMIN-ORI.docx, EESC-2015-05408-00-00-PA-CRR-EN.docx, EESC-2015-05408-00-01-APA-ORI.docx, EESC-2015-04319-00-00-TC</vt:lpwstr>
  </property>
  <property fmtid="{D5CDD505-2E9C-101B-9397-08002B2CF9AE}" pid="7" name="_dlc_DocIdItemGuid">
    <vt:lpwstr>e472bf67-b4eb-4a65-965c-7c7623b9fac9</vt:lpwstr>
  </property>
  <property fmtid="{D5CDD505-2E9C-101B-9397-08002B2CF9AE}" pid="8" name="AvailableTranslations">
    <vt:lpwstr>5;#EN|f2175f21-25d7-44a3-96da-d6a61b075e1b;#24;#PL|1e03da61-4678-4e07-b136-b5024ca9197b;#32;#MT|7df99101-6854-4a26-b53a-b88c0da02c26;#12;#FR|d2afafd3-4c81-4f60-8f52-ee33f2f54ff3;#37;#HU|6b229040-c589-4408-b4c1-4285663d20a8;#46;#SK|46d9fce0-ef79-4f71-b89b-cd6aa82426b8;#34;#IT|0774613c-01ed-4e5d-a25d-11d2388de825;#36;#RO|feb747a2-64cd-4299-af12-4833ddc30497;#43;#GA|762d2456-c427-4ecb-b312-af3dad8e258c;#30;#LT|a7ff5ce7-6123-4f68-865a-a57c31810414;#47;#BG|1a1b3951-7821-4e6a-85f5-5673fc08bd2c;#42;#EL|6d4f4d51-af9b-4650-94b4-4276bee85c91;#28;#SV|c2ed69e7-a339-43d7-8f22-d93680a92aa0;#50;#HR|2f555653-ed1a-4fe6-8362-9082d95989e5;#33;#PT|50ccc04a-eadd-42ae-a0cb-acaf45f812ba;#27;#NL|55c6556c-b4f4-441d-9acf-c498d4f838bd;#39;#LV|46f7e311-5d9f-4663-b433-18aeccb7ace7;#40;#DA|5d49c027-8956-412b-aa16-e85a0f96ad0e;#23;#DE|f6b31e5a-26fa-4935-b661-318e46daf27e;#29;#CS|72f9705b-0217-4fd3-bea2-cbc7ed80e26e;#31;#SL|98a412ae-eb01-49e9-ae3d-585a81724cfc;#35;#FI|87606a43-d45f-42d6-b8c9-e1a3457db5b7;#16;#ES|e7a6b05b-ae16-40c8-add9-68b64b03aeba;#41;#ET|ff6c3f4c-b02c-4c3c-ab07-2c37995a7a0a</vt:lpwstr>
  </property>
  <property fmtid="{D5CDD505-2E9C-101B-9397-08002B2CF9AE}" pid="9" name="DocumentType_0">
    <vt:lpwstr>PRE|a43f56f4-99f1-4067-b8f3-d4f85fda4bbc</vt:lpwstr>
  </property>
  <property fmtid="{D5CDD505-2E9C-101B-9397-08002B2CF9AE}" pid="10" name="MeetingNumber">
    <vt:i4>245</vt:i4>
  </property>
  <property fmtid="{D5CDD505-2E9C-101B-9397-08002B2CF9AE}" pid="11" name="DossierName_0">
    <vt:lpwstr>NAT|b263ab5d-0564-42a8-87bf-1cc57d938922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3221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968</vt:i4>
  </property>
  <property fmtid="{D5CDD505-2E9C-101B-9397-08002B2CF9AE}" pid="17" name="DocumentStatus">
    <vt:lpwstr>13;#TRA|150d2a88-1431-44e6-a8ca-0bb753ab8672</vt:lpwstr>
  </property>
  <property fmtid="{D5CDD505-2E9C-101B-9397-08002B2CF9AE}" pid="18" name="DossierName">
    <vt:lpwstr>120;#NAT|b263ab5d-0564-42a8-87bf-1cc57d938922</vt:lpwstr>
  </property>
  <property fmtid="{D5CDD505-2E9C-101B-9397-08002B2CF9AE}" pid="19" name="RequestingService">
    <vt:lpwstr>Systèmes alimentaires durables, environnement, dév. rural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>NAT|f16741f4-080c-493c-9d65-073efaae9647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65;#NAT|f16741f4-080c-493c-9d65-073efaae9647</vt:lpwstr>
  </property>
  <property fmtid="{D5CDD505-2E9C-101B-9397-08002B2CF9AE}" pid="25" name="MeetingDate">
    <vt:filetime>2026-05-21T12:00:00Z</vt:filetime>
  </property>
  <property fmtid="{D5CDD505-2E9C-101B-9397-08002B2CF9AE}" pid="26" name="AvailableTranslations_0">
    <vt:lpwstr>EN|f2175f21-25d7-44a3-96da-d6a61b075e1b;MT|7df99101-6854-4a26-b53a-b88c0da02c26;FR|d2afafd3-4c81-4f60-8f52-ee33f2f54ff3;HU|6b229040-c589-4408-b4c1-4285663d20a8;SK|46d9fce0-ef79-4f71-b89b-cd6aa82426b8;RO|feb747a2-64cd-4299-af12-4833ddc30497;GA|762d2456-c427-4ecb-b312-af3dad8e258c;BG|1a1b3951-7821-4e6a-85f5-5673fc08bd2c;SV|c2ed69e7-a339-43d7-8f22-d93680a92aa0;PT|50ccc04a-eadd-42ae-a0cb-acaf45f812ba;CS|72f9705b-0217-4fd3-bea2-cbc7ed80e26e;SL|98a412ae-eb01-49e9-ae3d-585a81724cfc;FI|87606a43-d45f-42d6-b8c9-e1a3457db5b7;ES|e7a6b05b-ae16-40c8-add9-68b64b03aeba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36;#RO|feb747a2-64cd-4299-af12-4833ddc30497;#368;#PRE|a43f56f4-99f1-4067-b8f3-d4f85fda4bbc;#120;#NAT|b263ab5d-0564-42a8-87bf-1cc57d938922;#28;#SV|c2ed69e7-a339-43d7-8f22-d93680a92aa0;#32;#MT|7df99101-6854-4a26-b53a-b88c0da02c26;#31;#SL|98a412ae-eb01-49e9-ae3d-585a81724cfc;#29;#CS|72f9705b-0217-4fd3-bea2-cbc7ed80e26e;#65;#NAT|f16741f4-080c-493c-9d65-073efaae9647;#33;#PT|50ccc04a-eadd-42ae-a0cb-acaf45f812ba;#16;#ES|e7a6b05b-ae16-40c8-add9-68b64b03aeba;#15;#Unrestricted|826e22d7-d029-4ec0-a450-0c28ff673572;#35;#FI|87606a43-d45f-42d6-b8c9-e1a3457db5b7;#13;#TRA|150d2a88-1431-44e6-a8ca-0bb753ab8672;#12;#FR|d2afafd3-4c81-4f60-8f52-ee33f2f54ff3;#47;#BG|1a1b3951-7821-4e6a-85f5-5673fc08bd2c;#46;#SK|46d9fce0-ef79-4f71-b89b-cd6aa82426b8;#8;#Final|ea5e6674-7b27-4bac-b091-73adbb394efe;#43;#GA|762d2456-c427-4ecb-b312-af3dad8e258c;#5;#EN|f2175f21-25d7-44a3-96da-d6a61b075e1b;#1;#EESC|422833ec-8d7e-4e65-8e4e-8bed07ffb729;#37;#HU|6b229040-c589-4408-b4c1-4285663d20a8</vt:lpwstr>
  </property>
  <property fmtid="{D5CDD505-2E9C-101B-9397-08002B2CF9AE}" pid="30" name="Rapporteur">
    <vt:lpwstr>HEALY &amp; PUXEU ROCAMORA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301166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DocumentType">
    <vt:lpwstr>368;#PRE|a43f56f4-99f1-4067-b8f3-d4f85fda4bbc</vt:lpwstr>
  </property>
  <property fmtid="{D5CDD505-2E9C-101B-9397-08002B2CF9AE}" pid="38" name="DocumentLanguage">
    <vt:lpwstr>50;#HR|2f555653-ed1a-4fe6-8362-9082d95989e5</vt:lpwstr>
  </property>
  <property fmtid="{D5CDD505-2E9C-101B-9397-08002B2CF9AE}" pid="39" name="_docset_NoMedatataSyncRequired">
    <vt:lpwstr>False</vt:lpwstr>
  </property>
  <property fmtid="{D5CDD505-2E9C-101B-9397-08002B2CF9AE}" pid="40" name="ContentTypeId">
    <vt:lpwstr>0x010100EA97B91038054C99906057A708A1480A00B192796EE9568A4C8E77C6EF5F22B614</vt:lpwstr>
  </property>
  <property fmtid="{D5CDD505-2E9C-101B-9397-08002B2CF9AE}" pid="41" name="MediaServiceImageTags">
    <vt:lpwstr/>
  </property>
  <property fmtid="{D5CDD505-2E9C-101B-9397-08002B2CF9AE}" pid="42" name="docLang">
    <vt:lpwstr>en</vt:lpwstr>
  </property>
  <property fmtid="{D5CDD505-2E9C-101B-9397-08002B2CF9AE}" pid="43" name="DocumentLanguage_0">
    <vt:lpwstr>EN|f2175f21-25d7-44a3-96da-d6a61b075e1b</vt:lpwstr>
  </property>
</Properties>
</file>