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9"/>
      </w:tblGrid>
      <w:tr w:rsidR="00574C9B" w:rsidRPr="002B4F9E" w14:paraId="4B18B74B" w14:textId="77777777" w:rsidTr="008E4CC5">
        <w:trPr>
          <w:jc w:val="center"/>
        </w:trPr>
        <w:tc>
          <w:tcPr>
            <w:tcW w:w="5000" w:type="pct"/>
            <w:vAlign w:val="center"/>
          </w:tcPr>
          <w:p w14:paraId="4B8F14AB" w14:textId="1DC17AD9" w:rsidR="00574C9B" w:rsidRPr="002B4F9E" w:rsidRDefault="00360204" w:rsidP="006125A1">
            <w:pPr>
              <w:jc w:val="center"/>
              <w:rPr>
                <w:b/>
                <w:sz w:val="72"/>
                <w:szCs w:val="72"/>
              </w:rPr>
            </w:pPr>
            <w:r>
              <w:rPr>
                <w:b/>
                <w:sz w:val="72"/>
              </w:rPr>
              <w:t>INFORMATIEF RAPPORT</w:t>
            </w:r>
          </w:p>
        </w:tc>
      </w:tr>
      <w:tr w:rsidR="00574C9B" w:rsidRPr="002B4F9E" w14:paraId="428F80C1" w14:textId="77777777" w:rsidTr="008E4CC5">
        <w:trPr>
          <w:trHeight w:val="567"/>
          <w:jc w:val="center"/>
        </w:trPr>
        <w:tc>
          <w:tcPr>
            <w:tcW w:w="5000" w:type="pct"/>
            <w:vAlign w:val="center"/>
          </w:tcPr>
          <w:p w14:paraId="0E3C838D" w14:textId="2E0F4618" w:rsidR="00574C9B" w:rsidRPr="002B4F9E" w:rsidRDefault="00574C9B" w:rsidP="006125A1">
            <w:pPr>
              <w:jc w:val="center"/>
              <w:rPr>
                <w:sz w:val="24"/>
                <w:szCs w:val="24"/>
              </w:rPr>
            </w:pPr>
            <w:r>
              <w:rPr>
                <w:sz w:val="24"/>
              </w:rPr>
              <w:t>Europees Economisch en Sociaal Comité</w:t>
            </w:r>
          </w:p>
        </w:tc>
      </w:tr>
      <w:tr w:rsidR="00574C9B" w:rsidRPr="002B4F9E" w14:paraId="5FCA7EB1" w14:textId="77777777" w:rsidTr="008E4CC5">
        <w:trPr>
          <w:jc w:val="center"/>
        </w:trPr>
        <w:tc>
          <w:tcPr>
            <w:tcW w:w="5000" w:type="pct"/>
            <w:vAlign w:val="center"/>
          </w:tcPr>
          <w:p w14:paraId="164B3F5D" w14:textId="2DACC184" w:rsidR="00574C9B" w:rsidRPr="003E12E2" w:rsidRDefault="003E12E2" w:rsidP="00DD641B">
            <w:pPr>
              <w:jc w:val="center"/>
              <w:rPr>
                <w:b/>
                <w:sz w:val="44"/>
                <w:szCs w:val="44"/>
              </w:rPr>
            </w:pPr>
            <w:r>
              <w:rPr>
                <w:b/>
                <w:sz w:val="44"/>
              </w:rPr>
              <w:t>Nationale hervormings- en investeringsvoorstellen en de uitvoering daarvan: cyclus van het Europees Semester 2025-2026</w:t>
            </w:r>
          </w:p>
        </w:tc>
      </w:tr>
      <w:tr w:rsidR="00574C9B" w:rsidRPr="002B4F9E" w14:paraId="0A2CA787" w14:textId="77777777" w:rsidTr="008E4CC5">
        <w:trPr>
          <w:jc w:val="center"/>
        </w:trPr>
        <w:tc>
          <w:tcPr>
            <w:tcW w:w="5000" w:type="pct"/>
            <w:vAlign w:val="center"/>
          </w:tcPr>
          <w:p w14:paraId="766B3712" w14:textId="77777777" w:rsidR="00574C9B" w:rsidRPr="00252A94" w:rsidRDefault="00574C9B" w:rsidP="006125A1">
            <w:pPr>
              <w:overflowPunct w:val="0"/>
              <w:autoSpaceDE w:val="0"/>
              <w:autoSpaceDN w:val="0"/>
              <w:adjustRightInd w:val="0"/>
              <w:jc w:val="center"/>
              <w:textAlignment w:val="baseline"/>
              <w:rPr>
                <w:b/>
                <w:position w:val="24"/>
                <w:sz w:val="24"/>
                <w:szCs w:val="24"/>
              </w:rPr>
            </w:pPr>
            <w:r>
              <w:rPr>
                <w:sz w:val="24"/>
              </w:rPr>
              <w:t>_____________</w:t>
            </w:r>
          </w:p>
        </w:tc>
      </w:tr>
      <w:tr w:rsidR="00574C9B" w:rsidRPr="000C43AD" w14:paraId="651BE820" w14:textId="77777777" w:rsidTr="008E4CC5">
        <w:trPr>
          <w:jc w:val="center"/>
        </w:trPr>
        <w:tc>
          <w:tcPr>
            <w:tcW w:w="5000" w:type="pct"/>
            <w:vAlign w:val="center"/>
          </w:tcPr>
          <w:p w14:paraId="6E238E6D" w14:textId="22EAB2A1" w:rsidR="00574C9B" w:rsidRPr="00252A94" w:rsidRDefault="00503AF7" w:rsidP="003E12E2">
            <w:pPr>
              <w:jc w:val="center"/>
              <w:rPr>
                <w:sz w:val="24"/>
                <w:szCs w:val="24"/>
              </w:rPr>
            </w:pPr>
            <w:r>
              <w:rPr>
                <w:sz w:val="24"/>
              </w:rPr>
              <w:t>Het standpunt van het maatschappelijk middenveld in de EU-lidstaten over de nationale hervormings- en investeringsvoorstellen en de uitvoering daarvan (cyclus van het Europees Semester 2025-2026)</w:t>
            </w:r>
          </w:p>
        </w:tc>
      </w:tr>
      <w:tr w:rsidR="00574C9B" w:rsidRPr="000C43AD" w14:paraId="295584EE" w14:textId="77777777" w:rsidTr="008E4CC5">
        <w:trPr>
          <w:jc w:val="center"/>
        </w:trPr>
        <w:tc>
          <w:tcPr>
            <w:tcW w:w="5000" w:type="pct"/>
            <w:vAlign w:val="center"/>
          </w:tcPr>
          <w:p w14:paraId="7AA50FA1" w14:textId="77777777" w:rsidR="00574C9B" w:rsidRPr="00252A94" w:rsidRDefault="00574C9B" w:rsidP="006125A1">
            <w:pPr>
              <w:jc w:val="center"/>
              <w:rPr>
                <w:sz w:val="24"/>
                <w:szCs w:val="24"/>
                <w:lang w:val="en-US"/>
              </w:rPr>
            </w:pPr>
          </w:p>
        </w:tc>
      </w:tr>
      <w:tr w:rsidR="00574C9B" w:rsidRPr="002B4F9E" w14:paraId="41F47321" w14:textId="77777777" w:rsidTr="008E4CC5">
        <w:trPr>
          <w:jc w:val="center"/>
        </w:trPr>
        <w:tc>
          <w:tcPr>
            <w:tcW w:w="5000" w:type="pct"/>
            <w:vAlign w:val="center"/>
          </w:tcPr>
          <w:p w14:paraId="50D97899" w14:textId="6045D4AD" w:rsidR="00574C9B" w:rsidRPr="00252A94" w:rsidRDefault="003E12E2" w:rsidP="006125A1">
            <w:pPr>
              <w:jc w:val="center"/>
              <w:rPr>
                <w:b/>
                <w:sz w:val="24"/>
                <w:szCs w:val="24"/>
              </w:rPr>
            </w:pPr>
            <w:r>
              <w:rPr>
                <w:b/>
                <w:sz w:val="24"/>
              </w:rPr>
              <w:t>ECO/691</w:t>
            </w:r>
          </w:p>
        </w:tc>
      </w:tr>
      <w:tr w:rsidR="00574C9B" w:rsidRPr="002B4F9E" w14:paraId="2110FDEB" w14:textId="77777777" w:rsidTr="008E4CC5">
        <w:trPr>
          <w:jc w:val="center"/>
        </w:trPr>
        <w:tc>
          <w:tcPr>
            <w:tcW w:w="5000" w:type="pct"/>
            <w:vAlign w:val="center"/>
          </w:tcPr>
          <w:p w14:paraId="59F181E4" w14:textId="77777777" w:rsidR="00574C9B" w:rsidRPr="00252A94" w:rsidRDefault="00574C9B" w:rsidP="006125A1">
            <w:pPr>
              <w:jc w:val="center"/>
              <w:rPr>
                <w:sz w:val="24"/>
                <w:szCs w:val="24"/>
                <w:lang w:val="en-GB"/>
              </w:rPr>
            </w:pPr>
          </w:p>
        </w:tc>
      </w:tr>
      <w:tr w:rsidR="00574C9B" w:rsidRPr="0098024E" w14:paraId="5DF7EBEA" w14:textId="77777777" w:rsidTr="008E4CC5">
        <w:trPr>
          <w:jc w:val="center"/>
        </w:trPr>
        <w:tc>
          <w:tcPr>
            <w:tcW w:w="5000" w:type="pct"/>
            <w:vAlign w:val="center"/>
          </w:tcPr>
          <w:p w14:paraId="3689D708" w14:textId="77777777" w:rsidR="00353502" w:rsidRDefault="00574C9B" w:rsidP="006125A1">
            <w:pPr>
              <w:jc w:val="center"/>
              <w:rPr>
                <w:b/>
                <w:sz w:val="24"/>
                <w:szCs w:val="24"/>
              </w:rPr>
            </w:pPr>
            <w:r>
              <w:rPr>
                <w:sz w:val="24"/>
              </w:rPr>
              <w:t xml:space="preserve">Rapporteurs: </w:t>
            </w:r>
            <w:r>
              <w:rPr>
                <w:b/>
                <w:sz w:val="24"/>
              </w:rPr>
              <w:t>Gonçalo LOBO XAVIER</w:t>
            </w:r>
          </w:p>
          <w:p w14:paraId="3ACAEDA7" w14:textId="05BB6A1A" w:rsidR="00353502" w:rsidRDefault="003E12E2" w:rsidP="006125A1">
            <w:pPr>
              <w:jc w:val="center"/>
              <w:rPr>
                <w:b/>
                <w:sz w:val="24"/>
                <w:szCs w:val="24"/>
              </w:rPr>
            </w:pPr>
            <w:r>
              <w:rPr>
                <w:b/>
                <w:sz w:val="24"/>
              </w:rPr>
              <w:t>Andrea MONE</w:t>
            </w:r>
          </w:p>
          <w:p w14:paraId="23E9DE0A" w14:textId="01E20D70" w:rsidR="00574C9B" w:rsidRPr="00252A94" w:rsidRDefault="003E12E2" w:rsidP="006125A1">
            <w:pPr>
              <w:jc w:val="center"/>
              <w:rPr>
                <w:sz w:val="24"/>
                <w:szCs w:val="24"/>
              </w:rPr>
            </w:pPr>
            <w:r>
              <w:rPr>
                <w:b/>
                <w:sz w:val="24"/>
              </w:rPr>
              <w:t>Luca JAHIER</w:t>
            </w:r>
          </w:p>
        </w:tc>
      </w:tr>
      <w:tr w:rsidR="00CB7CD0" w:rsidRPr="0098024E" w14:paraId="1AE590E4" w14:textId="77777777" w:rsidTr="008E4CC5">
        <w:trPr>
          <w:jc w:val="center"/>
        </w:trPr>
        <w:tc>
          <w:tcPr>
            <w:tcW w:w="5000" w:type="pct"/>
            <w:vAlign w:val="center"/>
          </w:tcPr>
          <w:p w14:paraId="3CA82D7B" w14:textId="71FCE549" w:rsidR="00CB7CD0" w:rsidRPr="00503AF7" w:rsidRDefault="00CB7CD0" w:rsidP="006125A1">
            <w:pPr>
              <w:jc w:val="center"/>
              <w:rPr>
                <w:sz w:val="24"/>
                <w:szCs w:val="24"/>
              </w:rPr>
            </w:pPr>
          </w:p>
        </w:tc>
      </w:tr>
    </w:tbl>
    <w:p w14:paraId="0B225863" w14:textId="77777777" w:rsidR="00574C9B" w:rsidRPr="00503AF7" w:rsidRDefault="00574C9B" w:rsidP="00574C9B">
      <w:r>
        <w:rPr>
          <w:noProof/>
          <w:sz w:val="20"/>
        </w:rPr>
        <mc:AlternateContent>
          <mc:Choice Requires="wps">
            <w:drawing>
              <wp:anchor distT="0" distB="0" distL="114300" distR="114300" simplePos="0" relativeHeight="251659264" behindDoc="1" locked="0" layoutInCell="0" allowOverlap="1" wp14:anchorId="3735E109" wp14:editId="3357AC0E">
                <wp:simplePos x="0" y="0"/>
                <wp:positionH relativeFrom="rightMargin">
                  <wp:posOffset>-201930</wp:posOffset>
                </wp:positionH>
                <wp:positionV relativeFrom="page">
                  <wp:posOffset>9486900</wp:posOffset>
                </wp:positionV>
                <wp:extent cx="741600" cy="432000"/>
                <wp:effectExtent l="0" t="0" r="0" b="635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00" cy="43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00903" w14:textId="77777777" w:rsidR="00574C9B" w:rsidRDefault="00574C9B" w:rsidP="00574C9B">
                            <w:pPr>
                              <w:jc w:val="center"/>
                            </w:pPr>
                            <w:r>
                              <w:rPr>
                                <w:rFonts w:ascii="Arial" w:hAnsi="Arial"/>
                                <w:b/>
                                <w:sz w:val="48"/>
                              </w:rPr>
                              <w:t>NL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35E109" id="_x0000_t202" coordsize="21600,21600" o:spt="202" path="m,l,21600r21600,l21600,xe">
                <v:stroke joinstyle="miter"/>
                <v:path gradientshapeok="t" o:connecttype="rect"/>
              </v:shapetype>
              <v:shape id="Text Box 17" o:spid="_x0000_s1026" type="#_x0000_t202" style="position:absolute;left:0;text-align:left;margin-left:-15.9pt;margin-top:747pt;width:58.4pt;height:34pt;z-index:-2516572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" o:allowincell="f" filled="f" stroked="f">
                <v:textbox>
                  <w:txbxContent>
                    <w:p w14:paraId="03B00903" w14:textId="77777777" w:rsidR="00574C9B" w:rsidRDefault="00574C9B" w:rsidP="00574C9B">
                      <w:pPr>
                        <w:jc w:val="center"/>
                      </w:pPr>
                      <w:r>
                        <w:rPr>
                          <w:rFonts w:ascii="Arial" w:hAnsi="Arial"/>
                          <w:b/>
                          <w:sz w:val="48"/>
                        </w:rPr>
                        <w:t>NL</w:t>
                      </w:r>
                    </w:p>
                  </w:txbxContent>
                </v:textbox>
                <w10:wrap anchorx="margin" anchory="page"/>
              </v:shape>
            </w:pict>
          </mc:Fallback>
        </mc:AlternateContent>
      </w:r>
    </w:p>
    <w:p w14:paraId="3FA5826A" w14:textId="77777777" w:rsidR="00574C9B" w:rsidRPr="00503AF7" w:rsidRDefault="00574C9B" w:rsidP="00574C9B">
      <w:pPr>
        <w:rPr>
          <w:lang w:val="fr-BE"/>
        </w:rPr>
      </w:pPr>
    </w:p>
    <w:p w14:paraId="4B88FC0A" w14:textId="77777777" w:rsidR="00574C9B" w:rsidRPr="00503AF7" w:rsidRDefault="00574C9B" w:rsidP="00574C9B">
      <w:pPr>
        <w:rPr>
          <w:lang w:val="fr-BE"/>
        </w:rPr>
        <w:sectPr w:rsidR="00574C9B" w:rsidRPr="00503AF7" w:rsidSect="000425A4">
          <w:headerReference w:type="even" r:id="rId11"/>
          <w:headerReference w:type="default" r:id="rId12"/>
          <w:footerReference w:type="even" r:id="rId13"/>
          <w:footerReference w:type="default" r:id="rId14"/>
          <w:headerReference w:type="first" r:id="rId15"/>
          <w:footerReference w:type="first" r:id="rId16"/>
          <w:pgSz w:w="11907" w:h="16839" w:code="9"/>
          <w:pgMar w:top="5669" w:right="1417" w:bottom="1417" w:left="1417" w:header="709" w:footer="709" w:gutter="0"/>
          <w:cols w:space="720"/>
          <w:docGrid w:linePitch="360"/>
        </w:sectPr>
      </w:pPr>
    </w:p>
    <w:tbl>
      <w:tblPr>
        <w:tblpPr w:leftFromText="181" w:rightFromText="181" w:tblpYSpec="bottom"/>
        <w:tblOverlap w:val="never"/>
        <w:tblW w:w="9289" w:type="dxa"/>
        <w:tblLayout w:type="fixed"/>
        <w:tblLook w:val="04A0" w:firstRow="1" w:lastRow="0" w:firstColumn="1" w:lastColumn="0" w:noHBand="0" w:noVBand="1"/>
      </w:tblPr>
      <w:tblGrid>
        <w:gridCol w:w="3085"/>
        <w:gridCol w:w="6204"/>
      </w:tblGrid>
      <w:tr w:rsidR="00C5137B" w:rsidRPr="00814825" w14:paraId="6755593A" w14:textId="77777777" w:rsidTr="00E15BF4">
        <w:tc>
          <w:tcPr>
            <w:tcW w:w="3085" w:type="dxa"/>
          </w:tcPr>
          <w:p w14:paraId="5F91A05F" w14:textId="0198DB58" w:rsidR="00C5137B" w:rsidRDefault="00C5137B" w:rsidP="0058411F">
            <w:pPr>
              <w:autoSpaceDE w:val="0"/>
              <w:autoSpaceDN w:val="0"/>
              <w:jc w:val="left"/>
              <w:rPr>
                <w:szCs w:val="20"/>
              </w:rPr>
            </w:pPr>
            <w:r>
              <w:lastRenderedPageBreak/>
              <w:t>Adviseurs</w:t>
            </w:r>
          </w:p>
        </w:tc>
        <w:tc>
          <w:tcPr>
            <w:tcW w:w="6204" w:type="dxa"/>
            <w:vAlign w:val="bottom"/>
          </w:tcPr>
          <w:p w14:paraId="70C24170" w14:textId="3A30D15F" w:rsidR="00C5137B" w:rsidRPr="00530BE9" w:rsidRDefault="007552EA" w:rsidP="0058411F">
            <w:pPr>
              <w:autoSpaceDE w:val="0"/>
              <w:autoSpaceDN w:val="0"/>
              <w:jc w:val="left"/>
            </w:pPr>
            <w:r>
              <w:t>Anna COLOMBO (van rapporteur Luca Jahier)</w:t>
            </w:r>
            <w:r>
              <w:br/>
              <w:t>Marco CILENTO (van rapporteur Andrea Mone)</w:t>
            </w:r>
          </w:p>
        </w:tc>
      </w:tr>
      <w:tr w:rsidR="00C5137B" w:rsidRPr="00814825" w14:paraId="0F2D8E06" w14:textId="77777777" w:rsidTr="00E15BF4">
        <w:tc>
          <w:tcPr>
            <w:tcW w:w="3085" w:type="dxa"/>
          </w:tcPr>
          <w:p w14:paraId="4CD317AD" w14:textId="77777777" w:rsidR="00C5137B" w:rsidRPr="00530BE9" w:rsidRDefault="00C5137B" w:rsidP="0058411F">
            <w:pPr>
              <w:autoSpaceDE w:val="0"/>
              <w:autoSpaceDN w:val="0"/>
              <w:jc w:val="left"/>
              <w:rPr>
                <w:szCs w:val="20"/>
                <w:lang w:val="it-IT"/>
              </w:rPr>
            </w:pPr>
          </w:p>
        </w:tc>
        <w:tc>
          <w:tcPr>
            <w:tcW w:w="6204" w:type="dxa"/>
            <w:vAlign w:val="bottom"/>
          </w:tcPr>
          <w:p w14:paraId="59403491" w14:textId="77777777" w:rsidR="00C5137B" w:rsidRPr="00530BE9" w:rsidRDefault="00C5137B" w:rsidP="0058411F">
            <w:pPr>
              <w:autoSpaceDE w:val="0"/>
              <w:autoSpaceDN w:val="0"/>
              <w:jc w:val="left"/>
              <w:rPr>
                <w:lang w:val="it-IT"/>
              </w:rPr>
            </w:pPr>
          </w:p>
        </w:tc>
      </w:tr>
      <w:tr w:rsidR="00914683" w:rsidRPr="00AC5114" w14:paraId="3E385435" w14:textId="77777777" w:rsidTr="00E15BF4">
        <w:tc>
          <w:tcPr>
            <w:tcW w:w="3085" w:type="dxa"/>
          </w:tcPr>
          <w:p w14:paraId="3054D729" w14:textId="5D5B5FF6" w:rsidR="00914683" w:rsidRDefault="00914683" w:rsidP="0058411F">
            <w:pPr>
              <w:autoSpaceDE w:val="0"/>
              <w:autoSpaceDN w:val="0"/>
              <w:jc w:val="left"/>
              <w:rPr>
                <w:szCs w:val="20"/>
              </w:rPr>
            </w:pPr>
            <w:r>
              <w:t>Rechtsgrond</w:t>
            </w:r>
          </w:p>
        </w:tc>
        <w:tc>
          <w:tcPr>
            <w:tcW w:w="6204" w:type="dxa"/>
            <w:vAlign w:val="bottom"/>
          </w:tcPr>
          <w:p w14:paraId="41CF067A" w14:textId="078CEC90" w:rsidR="00914683" w:rsidRPr="002B4F9E" w:rsidRDefault="00401903" w:rsidP="0058411F">
            <w:pPr>
              <w:autoSpaceDE w:val="0"/>
              <w:autoSpaceDN w:val="0"/>
              <w:jc w:val="left"/>
            </w:pPr>
            <w:r>
              <w:t>Artikel 52, lid 3, van het reglement van orde</w:t>
            </w:r>
          </w:p>
        </w:tc>
      </w:tr>
      <w:tr w:rsidR="00AC5114" w:rsidRPr="00AC5114" w14:paraId="0E2099A6" w14:textId="77777777" w:rsidTr="00E15BF4">
        <w:tc>
          <w:tcPr>
            <w:tcW w:w="3085" w:type="dxa"/>
          </w:tcPr>
          <w:p w14:paraId="0BC68BA5" w14:textId="77777777" w:rsidR="00AC5114" w:rsidRPr="00AC5114" w:rsidRDefault="00AC5114" w:rsidP="0058411F">
            <w:pPr>
              <w:autoSpaceDE w:val="0"/>
              <w:autoSpaceDN w:val="0"/>
              <w:jc w:val="left"/>
            </w:pPr>
            <w:r>
              <w:t>Bevoegde afdeling</w:t>
            </w:r>
          </w:p>
        </w:tc>
        <w:tc>
          <w:tcPr>
            <w:tcW w:w="6204" w:type="dxa"/>
            <w:vAlign w:val="bottom"/>
          </w:tcPr>
          <w:p w14:paraId="5AE7EA9E" w14:textId="15E1DF98" w:rsidR="00AC5114" w:rsidRPr="00AC5114" w:rsidRDefault="00401903" w:rsidP="0058411F">
            <w:pPr>
              <w:autoSpaceDE w:val="0"/>
              <w:autoSpaceDN w:val="0"/>
              <w:jc w:val="left"/>
            </w:pPr>
            <w:r>
              <w:t>Economische en Monetaire Unie, Economische en Sociale Samenhang</w:t>
            </w:r>
          </w:p>
        </w:tc>
      </w:tr>
      <w:tr w:rsidR="00AC5114" w:rsidRPr="00AC5114" w14:paraId="53972E32" w14:textId="77777777" w:rsidTr="00E15BF4">
        <w:tc>
          <w:tcPr>
            <w:tcW w:w="3085" w:type="dxa"/>
          </w:tcPr>
          <w:p w14:paraId="13B33E83" w14:textId="77777777" w:rsidR="00AC5114" w:rsidRPr="002B4F9E" w:rsidRDefault="00AC5114" w:rsidP="0058411F">
            <w:pPr>
              <w:autoSpaceDE w:val="0"/>
              <w:autoSpaceDN w:val="0"/>
              <w:jc w:val="left"/>
            </w:pPr>
            <w:r>
              <w:t>Goedkeuring door de afdeling</w:t>
            </w:r>
          </w:p>
        </w:tc>
        <w:tc>
          <w:tcPr>
            <w:tcW w:w="6204" w:type="dxa"/>
            <w:vAlign w:val="bottom"/>
          </w:tcPr>
          <w:p w14:paraId="5E71ECD2" w14:textId="3802C5F1" w:rsidR="00AC5114" w:rsidRDefault="00401903" w:rsidP="0058411F">
            <w:pPr>
              <w:autoSpaceDE w:val="0"/>
              <w:autoSpaceDN w:val="0"/>
              <w:jc w:val="left"/>
            </w:pPr>
            <w:r>
              <w:t>4/6/2026</w:t>
            </w:r>
          </w:p>
        </w:tc>
      </w:tr>
      <w:tr w:rsidR="0058411F" w:rsidRPr="00AC5114" w14:paraId="7AE47B93" w14:textId="77777777" w:rsidTr="00E15BF4">
        <w:tc>
          <w:tcPr>
            <w:tcW w:w="3085" w:type="dxa"/>
          </w:tcPr>
          <w:p w14:paraId="26DE3092" w14:textId="352FC8CA" w:rsidR="0058411F" w:rsidRPr="002B4F9E" w:rsidRDefault="0058411F" w:rsidP="0058411F">
            <w:pPr>
              <w:autoSpaceDE w:val="0"/>
              <w:autoSpaceDN w:val="0"/>
              <w:jc w:val="left"/>
            </w:pPr>
            <w:r>
              <w:t>Goedkeuring door de voltallige vergadering</w:t>
            </w:r>
          </w:p>
        </w:tc>
        <w:tc>
          <w:tcPr>
            <w:tcW w:w="6204" w:type="dxa"/>
            <w:vAlign w:val="bottom"/>
          </w:tcPr>
          <w:p w14:paraId="34FA2183" w14:textId="49DA8393" w:rsidR="0058411F" w:rsidRDefault="00401903" w:rsidP="0058411F">
            <w:pPr>
              <w:autoSpaceDE w:val="0"/>
              <w:autoSpaceDN w:val="0"/>
              <w:jc w:val="left"/>
            </w:pPr>
            <w:r>
              <w:t>17/6/2026</w:t>
            </w:r>
          </w:p>
        </w:tc>
      </w:tr>
      <w:tr w:rsidR="0058411F" w:rsidRPr="00AC5114" w14:paraId="2FE8AE44" w14:textId="77777777" w:rsidTr="00E15BF4">
        <w:tc>
          <w:tcPr>
            <w:tcW w:w="3085" w:type="dxa"/>
          </w:tcPr>
          <w:p w14:paraId="2A65A034" w14:textId="77777777" w:rsidR="0058411F" w:rsidRDefault="0058411F" w:rsidP="0058411F">
            <w:pPr>
              <w:autoSpaceDE w:val="0"/>
              <w:autoSpaceDN w:val="0"/>
              <w:jc w:val="left"/>
            </w:pPr>
            <w:r>
              <w:t>Zitting nr.</w:t>
            </w:r>
          </w:p>
        </w:tc>
        <w:tc>
          <w:tcPr>
            <w:tcW w:w="6204" w:type="dxa"/>
            <w:vAlign w:val="bottom"/>
          </w:tcPr>
          <w:p w14:paraId="17BFB0A7" w14:textId="09CB78B4" w:rsidR="0058411F" w:rsidRPr="002B4F9E" w:rsidRDefault="00401903" w:rsidP="0058411F">
            <w:pPr>
              <w:autoSpaceDE w:val="0"/>
              <w:autoSpaceDN w:val="0"/>
              <w:jc w:val="left"/>
            </w:pPr>
            <w:r>
              <w:t>606</w:t>
            </w:r>
          </w:p>
        </w:tc>
      </w:tr>
      <w:tr w:rsidR="0058411F" w:rsidRPr="00AC5114" w14:paraId="3889B17A" w14:textId="77777777" w:rsidTr="00E15BF4">
        <w:tc>
          <w:tcPr>
            <w:tcW w:w="3085" w:type="dxa"/>
          </w:tcPr>
          <w:p w14:paraId="0C723801" w14:textId="77777777" w:rsidR="0058411F" w:rsidRPr="00074913" w:rsidRDefault="0058411F" w:rsidP="0058411F">
            <w:pPr>
              <w:autoSpaceDE w:val="0"/>
              <w:autoSpaceDN w:val="0"/>
              <w:jc w:val="left"/>
            </w:pPr>
            <w:r>
              <w:t>Stemuitslag</w:t>
            </w:r>
            <w:r>
              <w:br/>
              <w:t>(voor/tegen/onthoudingen)</w:t>
            </w:r>
          </w:p>
        </w:tc>
        <w:tc>
          <w:tcPr>
            <w:tcW w:w="6204" w:type="dxa"/>
            <w:vAlign w:val="bottom"/>
          </w:tcPr>
          <w:p w14:paraId="14DB34EA" w14:textId="5BC46326" w:rsidR="0058411F" w:rsidRDefault="00D57995" w:rsidP="0058411F">
            <w:pPr>
              <w:autoSpaceDE w:val="0"/>
              <w:autoSpaceDN w:val="0"/>
              <w:jc w:val="left"/>
            </w:pPr>
            <w:r>
              <w:t>157/0/2</w:t>
            </w:r>
          </w:p>
        </w:tc>
      </w:tr>
    </w:tbl>
    <w:p w14:paraId="156A5F34" w14:textId="77777777" w:rsidR="00AC5114" w:rsidRDefault="00AC5114" w:rsidP="00574C9B">
      <w:pPr>
        <w:rPr>
          <w:lang w:val="en-GB"/>
        </w:rPr>
      </w:pPr>
    </w:p>
    <w:p w14:paraId="2CD3051D" w14:textId="77777777" w:rsidR="00AC5114" w:rsidRPr="002B4F9E" w:rsidRDefault="00AC5114" w:rsidP="00574C9B">
      <w:pPr>
        <w:rPr>
          <w:lang w:val="en-GB"/>
        </w:rPr>
        <w:sectPr w:rsidR="00AC5114" w:rsidRPr="002B4F9E" w:rsidSect="000425A4">
          <w:headerReference w:type="even" r:id="rId17"/>
          <w:headerReference w:type="default" r:id="rId18"/>
          <w:footerReference w:type="default" r:id="rId19"/>
          <w:headerReference w:type="first" r:id="rId20"/>
          <w:pgSz w:w="11907" w:h="16839" w:code="9"/>
          <w:pgMar w:top="5669" w:right="1418" w:bottom="1418" w:left="1418" w:header="709" w:footer="709" w:gutter="0"/>
          <w:cols w:space="720"/>
          <w:docGrid w:linePitch="360"/>
        </w:sectPr>
      </w:pPr>
    </w:p>
    <w:p w14:paraId="3677FE5B" w14:textId="1EAACE37" w:rsidR="00E2376B" w:rsidRPr="0059130C" w:rsidRDefault="00C5137B" w:rsidP="00ED0759">
      <w:pPr>
        <w:pStyle w:val="Heading1"/>
        <w:overflowPunct w:val="0"/>
        <w:autoSpaceDE w:val="0"/>
        <w:autoSpaceDN w:val="0"/>
        <w:adjustRightInd w:val="0"/>
        <w:textAlignment w:val="baseline"/>
        <w:rPr>
          <w:b/>
        </w:rPr>
      </w:pPr>
      <w:r>
        <w:rPr>
          <w:b/>
        </w:rPr>
        <w:lastRenderedPageBreak/>
        <w:t>Inleiding</w:t>
      </w:r>
    </w:p>
    <w:p w14:paraId="3465B436" w14:textId="77777777" w:rsidR="00E2376B" w:rsidRPr="0059130C" w:rsidRDefault="00E2376B" w:rsidP="00ED0759">
      <w:pPr>
        <w:ind w:left="142" w:hanging="142"/>
        <w:jc w:val="left"/>
      </w:pPr>
    </w:p>
    <w:p w14:paraId="3CBF5C93" w14:textId="7AC71687" w:rsidR="00E2376B" w:rsidRPr="0059130C" w:rsidRDefault="00D31AA3" w:rsidP="00ED0759">
      <w:pPr>
        <w:pStyle w:val="Heading2"/>
        <w:overflowPunct w:val="0"/>
        <w:autoSpaceDE w:val="0"/>
        <w:autoSpaceDN w:val="0"/>
        <w:adjustRightInd w:val="0"/>
        <w:textAlignment w:val="baseline"/>
      </w:pPr>
      <w:r>
        <w:t>Dit informatief rapport maakt deel uit van een pakket met een resolutie</w:t>
      </w:r>
      <w:r w:rsidRPr="00D45677">
        <w:rPr>
          <w:rStyle w:val="FootnoteReference"/>
          <w:szCs w:val="24"/>
        </w:rPr>
        <w:footnoteReference w:id="1"/>
      </w:r>
      <w:r>
        <w:t xml:space="preserve"> en ligt in het verlengde van de werkzaamheden van de groep Europees Semester (ESG) van het EESC, die nationale sociaal-economische raden, sociale partners en maatschappelijke organisaties uit de EU</w:t>
      </w:r>
      <w:r w:rsidR="008C2877">
        <w:noBreakHyphen/>
      </w:r>
      <w:r>
        <w:t>lidstaten heeft geraadpleegd over belangrijke thema’s van het Europees Semester. In dit informatief rapport worden de standpunten van de sociale partners en maatschappelijke organisaties in de lidstaten verzameld. De gedetailleerde resultaten van deze raadpleging zijn te vinden in de bijlage</w:t>
      </w:r>
      <w:r w:rsidRPr="00D45677">
        <w:rPr>
          <w:rStyle w:val="FootnoteReference"/>
          <w:szCs w:val="24"/>
        </w:rPr>
        <w:footnoteReference w:id="2"/>
      </w:r>
      <w:r>
        <w:t>.</w:t>
      </w:r>
    </w:p>
    <w:p w14:paraId="7E37ADD0" w14:textId="77777777" w:rsidR="00E2376B" w:rsidRPr="0059130C" w:rsidRDefault="00E2376B" w:rsidP="00ED0759"/>
    <w:p w14:paraId="62CF4C99" w14:textId="5F8A9647" w:rsidR="00360204" w:rsidRPr="005D4DB3" w:rsidRDefault="00D31AA3" w:rsidP="00ED0759">
      <w:pPr>
        <w:pStyle w:val="Heading1"/>
        <w:overflowPunct w:val="0"/>
        <w:autoSpaceDE w:val="0"/>
        <w:autoSpaceDN w:val="0"/>
        <w:adjustRightInd w:val="0"/>
        <w:textAlignment w:val="baseline"/>
        <w:rPr>
          <w:b/>
        </w:rPr>
      </w:pPr>
      <w:r>
        <w:rPr>
          <w:b/>
        </w:rPr>
        <w:t>Achtergrond</w:t>
      </w:r>
    </w:p>
    <w:p w14:paraId="45BA67EB" w14:textId="77777777" w:rsidR="00360204" w:rsidRPr="005D4DB3" w:rsidRDefault="00360204" w:rsidP="00ED0759"/>
    <w:p w14:paraId="1B317026" w14:textId="18741014" w:rsidR="00360204" w:rsidRDefault="00D31AA3" w:rsidP="00ED0759">
      <w:pPr>
        <w:pStyle w:val="Heading2"/>
        <w:overflowPunct w:val="0"/>
        <w:autoSpaceDE w:val="0"/>
        <w:autoSpaceDN w:val="0"/>
        <w:adjustRightInd w:val="0"/>
        <w:textAlignment w:val="baseline"/>
      </w:pPr>
      <w:r>
        <w:t>De raadpleging van dit jaar is toegespitst op de hervormings- en investeringsmaatregelen in de lidstaten, met name de maatregelen die zijn gebaseerd op de landspecifieke aanbevelingen voor 2025</w:t>
      </w:r>
      <w:r w:rsidRPr="00D45677">
        <w:rPr>
          <w:rStyle w:val="FootnoteReference"/>
          <w:szCs w:val="24"/>
        </w:rPr>
        <w:footnoteReference w:id="3"/>
      </w:r>
      <w:r>
        <w:t>, en de uitvoering daarvan. Het is de bedoeling na te gaan hoe effectief deze maatregelen zijn en wat er gedaan kan worden om gerichter voorstellen te doen, de uitvoering ervan te verbeteren en de monitoring te intensiveren door er het maatschappelijk middenveld bij te betrekken.</w:t>
      </w:r>
    </w:p>
    <w:p w14:paraId="44C6A949" w14:textId="77777777" w:rsidR="000C43AD" w:rsidRPr="00353502" w:rsidRDefault="000C43AD" w:rsidP="001F3AF8"/>
    <w:p w14:paraId="585D7A2B" w14:textId="2E35107F" w:rsidR="00210400" w:rsidRPr="00BF727A" w:rsidRDefault="00210400" w:rsidP="00210400">
      <w:pPr>
        <w:pStyle w:val="Heading2"/>
      </w:pPr>
      <w:r>
        <w:t>Voortbouwend op eerdere raadplegingen wordt de vooruitgang onderzocht bij het voltooien en uitvoeren van de hervormingen en investeringen die in de nationale herstel- en veerkrachtplannen zijn opgenomen, evenals de belangrijkste positieve en negatieve lessen die uit dit instrument zijn getrokken.</w:t>
      </w:r>
    </w:p>
    <w:p w14:paraId="152495E5" w14:textId="77777777" w:rsidR="00210400" w:rsidRPr="00353502" w:rsidRDefault="00210400" w:rsidP="001F3AF8"/>
    <w:p w14:paraId="2E52A057" w14:textId="77777777" w:rsidR="00210400" w:rsidRDefault="00210400" w:rsidP="00210400">
      <w:pPr>
        <w:pStyle w:val="Heading2"/>
      </w:pPr>
      <w:r>
        <w:t>Daarnaast wordt in de raadpleging ingegaan op de uitvoering en monitoring van de budgettair-structurele plannen voor de middellange termijn</w:t>
      </w:r>
      <w:r w:rsidRPr="00D45677">
        <w:rPr>
          <w:rStyle w:val="FootnoteReference"/>
          <w:szCs w:val="24"/>
        </w:rPr>
        <w:footnoteReference w:id="4"/>
      </w:r>
      <w:r>
        <w:t xml:space="preserve"> die zijn ingevoerd na de herziening van het kader voor economische governance</w:t>
      </w:r>
      <w:r w:rsidRPr="00D45677">
        <w:rPr>
          <w:rStyle w:val="FootnoteReference"/>
          <w:szCs w:val="24"/>
        </w:rPr>
        <w:footnoteReference w:id="5"/>
      </w:r>
      <w:r>
        <w:t>. De voorbereiding, uitvoering en monitoring van deze plannen zijn opgenomen in het Europees Semester.</w:t>
      </w:r>
    </w:p>
    <w:p w14:paraId="0817B688" w14:textId="77777777" w:rsidR="00210400" w:rsidRPr="00210400" w:rsidRDefault="00210400" w:rsidP="00210400"/>
    <w:p w14:paraId="07B57BDD" w14:textId="10C23E0D" w:rsidR="00210400" w:rsidRDefault="00210400" w:rsidP="00210400">
      <w:pPr>
        <w:pStyle w:val="Heading2"/>
      </w:pPr>
      <w:r>
        <w:t>Tot slot worden ook de standpunten van de sociale partners en maatschappelijke organisaties over de koppeling tussen het volgende meerjarig financieel kader (MFK) en het Europees Semester geëvalueerd. Ook wordt aandacht besteed aan het waarborgen van zinvolle en effectieve betrokkenheid en het onderzoeken van de potentiële voordelen, risico’s en belemmeringen van deze koppeling.</w:t>
      </w:r>
    </w:p>
    <w:p w14:paraId="10EDBF2F" w14:textId="77777777" w:rsidR="00D80167" w:rsidRPr="00D80167" w:rsidRDefault="00D80167" w:rsidP="00D80167"/>
    <w:p w14:paraId="451D23B7" w14:textId="77777777" w:rsidR="00D80167" w:rsidRPr="00BF727A" w:rsidRDefault="00D80167" w:rsidP="00D80167">
      <w:pPr>
        <w:pStyle w:val="Heading1"/>
        <w:keepNext/>
        <w:rPr>
          <w:b/>
        </w:rPr>
      </w:pPr>
      <w:r>
        <w:rPr>
          <w:b/>
        </w:rPr>
        <w:lastRenderedPageBreak/>
        <w:t>Methode</w:t>
      </w:r>
      <w:r w:rsidRPr="00D45677">
        <w:rPr>
          <w:rStyle w:val="FootnoteReference"/>
          <w:b/>
          <w:szCs w:val="24"/>
        </w:rPr>
        <w:footnoteReference w:id="6"/>
      </w:r>
    </w:p>
    <w:p w14:paraId="09F0086A" w14:textId="77777777" w:rsidR="00D80167" w:rsidRPr="00BF727A" w:rsidRDefault="00D80167" w:rsidP="00D80167">
      <w:pPr>
        <w:keepNext/>
      </w:pPr>
    </w:p>
    <w:p w14:paraId="587F7152" w14:textId="77777777" w:rsidR="00D80167" w:rsidRDefault="00D80167" w:rsidP="00D80167">
      <w:pPr>
        <w:pStyle w:val="Heading2"/>
      </w:pPr>
      <w:r>
        <w:t>De voor dit verslag vereiste gegevens en informatie werden tussen januari 2026 en maart 2026 verzameld. Er werden in totaal 27 nationale bijdragen ontvangen (22 schriftelijke antwoorden op de vragenlijst</w:t>
      </w:r>
      <w:r w:rsidRPr="00D45677">
        <w:rPr>
          <w:rStyle w:val="FootnoteReference"/>
          <w:bCs/>
          <w:szCs w:val="24"/>
        </w:rPr>
        <w:footnoteReference w:id="7"/>
      </w:r>
      <w:r>
        <w:t xml:space="preserve"> en 5 verslagen over de landspecifieke onderzoeksmissies</w:t>
      </w:r>
      <w:r w:rsidRPr="00D45677">
        <w:rPr>
          <w:rStyle w:val="FootnoteReference"/>
          <w:bCs/>
          <w:szCs w:val="24"/>
        </w:rPr>
        <w:footnoteReference w:id="8"/>
      </w:r>
      <w:r>
        <w:t>).</w:t>
      </w:r>
    </w:p>
    <w:p w14:paraId="08CFCD7E" w14:textId="77777777" w:rsidR="00D80167" w:rsidRPr="00BF727A" w:rsidRDefault="00D80167" w:rsidP="00D80167">
      <w:pPr>
        <w:ind w:left="567" w:hanging="567"/>
      </w:pPr>
    </w:p>
    <w:p w14:paraId="47078EE3" w14:textId="77777777" w:rsidR="00D80167" w:rsidRDefault="00D80167" w:rsidP="00D80167">
      <w:pPr>
        <w:pStyle w:val="Heading2"/>
      </w:pPr>
      <w:r>
        <w:rPr>
          <w:color w:val="000000"/>
        </w:rPr>
        <w:t>De schriftelijke bijdragen van elk van de 22 nationale delegaties</w:t>
      </w:r>
      <w:r w:rsidRPr="00D45677">
        <w:rPr>
          <w:rStyle w:val="FootnoteReference"/>
          <w:color w:val="000000"/>
          <w:szCs w:val="24"/>
        </w:rPr>
        <w:footnoteReference w:id="9"/>
      </w:r>
      <w:r>
        <w:rPr>
          <w:color w:val="000000"/>
        </w:rPr>
        <w:t xml:space="preserve"> waren gebaseerd op de eigen kennis van de rapporteurs (één rapporteur van elk van de drie groepen) en/of op voorafgaande raadpleging van nationale sociale partners en maatschappelijke organisaties. De verslagen van de vijf onderzoeksmissies bevatten de hoofdpunten die tijdens de bijeenkomsten in die landen met de nationale sociale partners en nationale maatschappelijke organisaties aan de orde zijn gekomen. Bovendien waren in sommige van deze landen nationale sociaal-economische raden of gelijkwaardige organen betrokken.</w:t>
      </w:r>
      <w:r>
        <w:t xml:space="preserve"> De punten, zorgen en aanbevelingen die in deze 27 bijdragen (schriftelijke reacties en landverslagen) naar voren zijn gebracht, zijn gebundeld, samengevat en gepresenteerd in dit document. </w:t>
      </w:r>
    </w:p>
    <w:p w14:paraId="38C3DDEF" w14:textId="77777777" w:rsidR="00D80167" w:rsidRPr="00D80167" w:rsidRDefault="00D80167" w:rsidP="00D80167"/>
    <w:p w14:paraId="697A02F1" w14:textId="1853198A" w:rsidR="00D80167" w:rsidRDefault="00D80167" w:rsidP="00D80167">
      <w:pPr>
        <w:pStyle w:val="Heading2"/>
      </w:pPr>
      <w:r>
        <w:t>De bijlage bij dit document bevat alle resultaten die voor elke lidstaat zijn verzameld in antwoord op elke vraag, gepresenteerd in de vorm van tabellen en grafieken, en bevat ook antwoorden van twee leden van de verbindingsgroep van het EESC</w:t>
      </w:r>
      <w:r w:rsidRPr="00D45677">
        <w:rPr>
          <w:rStyle w:val="FootnoteReference"/>
          <w:szCs w:val="24"/>
        </w:rPr>
        <w:footnoteReference w:id="10"/>
      </w:r>
      <w:r>
        <w:t>.</w:t>
      </w:r>
    </w:p>
    <w:p w14:paraId="43357B9D" w14:textId="77777777" w:rsidR="00D80167" w:rsidRDefault="00D80167" w:rsidP="00D80167"/>
    <w:p w14:paraId="09778E11" w14:textId="77777777" w:rsidR="00D80167" w:rsidRPr="00D57DC2" w:rsidRDefault="00D80167" w:rsidP="00D80167">
      <w:pPr>
        <w:pStyle w:val="Heading1"/>
        <w:keepNext/>
        <w:rPr>
          <w:b/>
        </w:rPr>
      </w:pPr>
      <w:r>
        <w:rPr>
          <w:b/>
        </w:rPr>
        <w:t>Opmerkingen over de resultaten van de raadpleging</w:t>
      </w:r>
    </w:p>
    <w:p w14:paraId="4A91CBD6" w14:textId="77777777" w:rsidR="00D80167" w:rsidRPr="00BF727A" w:rsidRDefault="00D80167" w:rsidP="00D80167">
      <w:pPr>
        <w:keepNext/>
      </w:pPr>
    </w:p>
    <w:p w14:paraId="5645AA48" w14:textId="77777777" w:rsidR="00D80167" w:rsidRDefault="00D80167" w:rsidP="00D80167">
      <w:pPr>
        <w:pStyle w:val="Heading2"/>
      </w:pPr>
      <w:r>
        <w:t>Deel I: De hervormings- en investeringsmaatregelen in de lidstaten, met name die welke zijn gebaseerd op de landspecifieke aanbevelingen voor 2025, en de uitvoering van die maatregelen</w:t>
      </w:r>
    </w:p>
    <w:p w14:paraId="1F1649B4" w14:textId="77777777" w:rsidR="00D80167" w:rsidRPr="00BF727A" w:rsidRDefault="00D80167" w:rsidP="00D80167">
      <w:pPr>
        <w:keepNext/>
        <w:rPr>
          <w:i/>
          <w:iCs/>
        </w:rPr>
      </w:pPr>
    </w:p>
    <w:p w14:paraId="45B07F73" w14:textId="3516450D" w:rsidR="00D80167" w:rsidRPr="00D80167" w:rsidRDefault="00D80167" w:rsidP="00D80167">
      <w:r>
        <w:rPr>
          <w:u w:val="single"/>
        </w:rPr>
        <w:t>Vraag 1:</w:t>
      </w:r>
      <w:r>
        <w:t xml:space="preserve"> </w:t>
      </w:r>
      <w:r>
        <w:rPr>
          <w:b/>
        </w:rPr>
        <w:t>Wat is uw algemene mening over de landspecifieke aanbevelingen van de Europese Commissie voor uw land voor 2025?</w:t>
      </w:r>
    </w:p>
    <w:p w14:paraId="2FA341BE" w14:textId="77777777" w:rsidR="00D80167" w:rsidRPr="00D80167" w:rsidRDefault="00D80167" w:rsidP="00D80167"/>
    <w:p w14:paraId="2596B721" w14:textId="77777777" w:rsidR="00D80167" w:rsidRPr="00BF727A" w:rsidRDefault="00D80167" w:rsidP="00D80167">
      <w:pPr>
        <w:pStyle w:val="Heading3"/>
      </w:pPr>
      <w:r>
        <w:t>In AT, BG, CY (groepen</w:t>
      </w:r>
      <w:r>
        <w:rPr>
          <w:rStyle w:val="FootnoteReference"/>
        </w:rPr>
        <w:footnoteReference w:id="11"/>
      </w:r>
      <w:r>
        <w:t> II en III), CZ (Gr.I en Gr.II), EL, ES (Gr.I), FI, FR, HR (Gr.I</w:t>
      </w:r>
      <w:r w:rsidRPr="00BF727A">
        <w:rPr>
          <w:rStyle w:val="FootnoteReference"/>
        </w:rPr>
        <w:footnoteReference w:id="12"/>
      </w:r>
      <w:r>
        <w:t>, Gr.III), IE, IT</w:t>
      </w:r>
      <w:r w:rsidRPr="00BF727A">
        <w:rPr>
          <w:rStyle w:val="FootnoteReference"/>
        </w:rPr>
        <w:footnoteReference w:id="13"/>
      </w:r>
      <w:r>
        <w:t>, LT, LV, MT, PT, RO (Gr.I en Gr.II) en SK zijn de sociale partners en maatschappelijke organisaties van mening dat de landspecifieke aanbevelingen over het algemeen relevant, doelgericht en analytisch goed onderbouwd zijn en aansluiten bij de feitelijke nationale uitdagingen.</w:t>
      </w:r>
    </w:p>
    <w:p w14:paraId="21FC2FE7" w14:textId="77777777" w:rsidR="00D80167" w:rsidRPr="00BF727A" w:rsidRDefault="00D80167" w:rsidP="00D80167">
      <w:pPr>
        <w:ind w:left="567" w:hanging="567"/>
      </w:pPr>
    </w:p>
    <w:p w14:paraId="62C66C42" w14:textId="77777777" w:rsidR="00D80167" w:rsidRPr="00BF727A" w:rsidRDefault="00D80167" w:rsidP="00D80167">
      <w:pPr>
        <w:pStyle w:val="Heading3"/>
      </w:pPr>
      <w:r>
        <w:lastRenderedPageBreak/>
        <w:t>In BE, DE, DK (Gr.II en Gr.III), ES (Gr.II en Gr.III), HR (Gr.I</w:t>
      </w:r>
      <w:r w:rsidRPr="00BF727A">
        <w:rPr>
          <w:rStyle w:val="FootnoteReference"/>
        </w:rPr>
        <w:footnoteReference w:id="14"/>
      </w:r>
      <w:r>
        <w:t xml:space="preserve"> en Gr.II), HU, IT (Gr.III</w:t>
      </w:r>
      <w:r w:rsidRPr="00BF727A">
        <w:rPr>
          <w:rStyle w:val="FootnoteReference"/>
        </w:rPr>
        <w:footnoteReference w:id="15"/>
      </w:r>
      <w:r>
        <w:t>), LU, NL, PL, SE en SI is de overheersende trend er niet een van afwijzing van de landspecifieke aanbevelingen, maar van genuanceerde aanvaarding: belanghebbenden zien enige waarde in de landspecifieke aanbevelingen, maar wijzen consequent op hiaten, omissies of een gebrek aan contextualisering. Hoewel ze de aanbevelingen nuttig vinden, wijzen velen van hen er bijvoorbeeld op dat sociale dimensies onvoldoende gewicht krijgen. Ze vragen om meer ruimte voor sociale rechtvaardigheid, lonen en arbeidsbescherming. Daarnaast wijzen ze op een gebrek aan evenwicht tussen beleidsprioriteiten (bijv. defensie, het milieu, de economie).</w:t>
      </w:r>
    </w:p>
    <w:p w14:paraId="71341AC8" w14:textId="77777777" w:rsidR="00D80167" w:rsidRPr="00BF727A" w:rsidRDefault="00D80167" w:rsidP="00D80167">
      <w:pPr>
        <w:rPr>
          <w:lang w:eastAsia="fr-BE"/>
        </w:rPr>
      </w:pPr>
    </w:p>
    <w:p w14:paraId="76F45FB1" w14:textId="77777777" w:rsidR="00D80167" w:rsidRPr="00BF727A" w:rsidRDefault="00D80167" w:rsidP="00D80167">
      <w:pPr>
        <w:keepNext/>
        <w:keepLines/>
      </w:pPr>
      <w:r>
        <w:rPr>
          <w:u w:val="single"/>
        </w:rPr>
        <w:t>Vraag 2:</w:t>
      </w:r>
      <w:r>
        <w:t xml:space="preserve"> </w:t>
      </w:r>
      <w:r>
        <w:rPr>
          <w:b/>
        </w:rPr>
        <w:t>Komen deze aanbevelingen tegemoet aan de uitdagingen waarmee uw land wordt geconfronteerd?</w:t>
      </w:r>
    </w:p>
    <w:p w14:paraId="1807FF04" w14:textId="77777777" w:rsidR="00D80167" w:rsidRPr="00BF727A" w:rsidRDefault="00D80167" w:rsidP="00D80167">
      <w:pPr>
        <w:keepNext/>
        <w:keepLines/>
      </w:pPr>
    </w:p>
    <w:p w14:paraId="05CEFDB8" w14:textId="77777777" w:rsidR="00D80167" w:rsidRPr="00BF727A" w:rsidRDefault="00D80167" w:rsidP="00D80167">
      <w:pPr>
        <w:pStyle w:val="Heading3"/>
      </w:pPr>
      <w:r>
        <w:t>De sociale partners en maatschappelijke organisaties in BE, BG, CY, CZ (Gr.I en Gr.II), DK (Gr.II), EL, ES, FI, FR, HR (Gr.I en Gr.III), IE, IT</w:t>
      </w:r>
      <w:r w:rsidRPr="00BF727A">
        <w:rPr>
          <w:rStyle w:val="FootnoteReference"/>
        </w:rPr>
        <w:footnoteReference w:id="16"/>
      </w:r>
      <w:r>
        <w:t xml:space="preserve">, LT, LV, MT, NL, PL, PT, RO (Gr.I en Gr.II), SE, SI en SK zijn het er over het algemeen over eens dat in de landspecifieke aanbevelingen de belangrijkste nationale uitdagingen correct worden geïdentificeerd, met name structurele, economische en arbeidsmarktkwesties. Hoewel ze in grote lijnen accuraat zijn, worden ze vaak als onvolledig gezien: er wordt dan wel voldoende aandacht besteed aan het sturen van macro-economisch en structureel beleid, maar de indruk wordt gewekt dat sociale kwesties onvoldoende aan bod komen. </w:t>
      </w:r>
    </w:p>
    <w:p w14:paraId="70E83756" w14:textId="77777777" w:rsidR="00D80167" w:rsidRPr="00353502" w:rsidRDefault="00D80167" w:rsidP="001F3AF8"/>
    <w:p w14:paraId="179FC0A0" w14:textId="77777777" w:rsidR="00D80167" w:rsidRPr="00BF727A" w:rsidRDefault="00D80167" w:rsidP="00D80167">
      <w:pPr>
        <w:pStyle w:val="Heading3"/>
      </w:pPr>
      <w:r>
        <w:t>De sociale partners en maatschappelijke organisaties in AT, CZ (Gr.III), DE, DK (Gr.III), HR (Gr.II), HU, IT (Gr.II)</w:t>
      </w:r>
      <w:r w:rsidRPr="00BF727A">
        <w:rPr>
          <w:rStyle w:val="FootnoteReference"/>
        </w:rPr>
        <w:footnoteReference w:id="17"/>
      </w:r>
      <w:r>
        <w:t xml:space="preserve"> en LU daarentegen beschouwen de aanbevelingen als te algemeen, met beperkte aandacht voor de specifieke kenmerken van elk land en een gebrek aan concrete en gerichte sturing. Ze zijn ook bezorgd dat in de landspecifieke aanbevelingen de sociale realiteit en de realiteit op de arbeidsmarkt worden onderschat.</w:t>
      </w:r>
    </w:p>
    <w:p w14:paraId="66AD80A1" w14:textId="77777777" w:rsidR="00D80167" w:rsidRPr="00BF727A" w:rsidRDefault="00D80167" w:rsidP="00D80167">
      <w:pPr>
        <w:rPr>
          <w:lang w:eastAsia="fr-BE"/>
        </w:rPr>
      </w:pPr>
    </w:p>
    <w:p w14:paraId="292C9DC5" w14:textId="77777777" w:rsidR="00D80167" w:rsidRPr="00BF727A" w:rsidRDefault="00D80167" w:rsidP="00D80167">
      <w:pPr>
        <w:keepNext/>
        <w:keepLines/>
        <w:rPr>
          <w:b/>
        </w:rPr>
      </w:pPr>
      <w:r>
        <w:rPr>
          <w:u w:val="single"/>
        </w:rPr>
        <w:t>Vraag 3:</w:t>
      </w:r>
      <w:r>
        <w:t xml:space="preserve"> </w:t>
      </w:r>
      <w:r>
        <w:rPr>
          <w:b/>
        </w:rPr>
        <w:t>Wat vindt u van de manier waarop uw regering deze aanbevelingen omzet in tastbare politieke actie?</w:t>
      </w:r>
    </w:p>
    <w:p w14:paraId="2FAD5D05" w14:textId="77777777" w:rsidR="00D80167" w:rsidRPr="00BF727A" w:rsidRDefault="00D80167" w:rsidP="00D80167">
      <w:pPr>
        <w:keepNext/>
        <w:keepLines/>
        <w:rPr>
          <w:b/>
        </w:rPr>
      </w:pPr>
    </w:p>
    <w:p w14:paraId="28D6431D" w14:textId="77777777" w:rsidR="00D80167" w:rsidRPr="00BF727A" w:rsidRDefault="00D80167" w:rsidP="00D80167">
      <w:pPr>
        <w:pStyle w:val="Heading3"/>
      </w:pPr>
      <w:r>
        <w:t>De sociale partners en maatschappelijke organisaties in CY (Gr.III), EL, ES (Gr.II en Gr.III), HR, HU, IT (Gr.I) en MT zijn van mening dat hun nationale regeringen de landspecifieke aanbevelingen actief in beleidsmaatregelen omzetten, maar dat de uitvoering niet volledig is verwezenlijkt en per sector ongelijk blijft. In EL, ES en HU zijn er bijvoorbeeld economische en budgettaire verbeteringen (groei, schuldvermindering, stabiliteit), terwijl in CY, EL, ES en MT de hardnekkige sociale problemen nog niet volledig zijn aangepakt (lonen, pensioenen, ongelijkheid, huisvesting).</w:t>
      </w:r>
    </w:p>
    <w:p w14:paraId="3ED96F26" w14:textId="77777777" w:rsidR="00D80167" w:rsidRPr="00353502" w:rsidRDefault="00D80167" w:rsidP="001F3AF8"/>
    <w:p w14:paraId="3689E6D0" w14:textId="77777777" w:rsidR="00D80167" w:rsidRPr="00BF727A" w:rsidRDefault="00D80167" w:rsidP="00D80167">
      <w:pPr>
        <w:pStyle w:val="Heading3"/>
      </w:pPr>
      <w:r>
        <w:t xml:space="preserve">De sociale partners en maatschappelijke organisaties in BG, CY (Gr.I), DE, DK (Gr.II), ES (Gr.I), FI, HR (GR II), IE, PL, PT, SI en SK erkennen de inspanningen van hun nationale </w:t>
      </w:r>
      <w:r>
        <w:lastRenderedPageBreak/>
        <w:t>regeringen om actie te ondernemen en de juiste richting in te slaan. Zij zijn echter van mening dat de maatregelen onvoldoende doeltreffend zijn vanwege het gebrek aan duidelijkheid en samenhang, en als gevolg van hiaten in de uitvoering en het beperkte effect.</w:t>
      </w:r>
    </w:p>
    <w:p w14:paraId="63688384" w14:textId="77777777" w:rsidR="00D80167" w:rsidRPr="00353502" w:rsidRDefault="00D80167" w:rsidP="001F3AF8"/>
    <w:p w14:paraId="3B8A4382" w14:textId="77777777" w:rsidR="00D80167" w:rsidRPr="00BF727A" w:rsidRDefault="00D80167" w:rsidP="00D80167">
      <w:pPr>
        <w:pStyle w:val="Heading3"/>
      </w:pPr>
      <w:r>
        <w:t>In AT, BE, CY (Gr.II), CZ (Gr.I en Gr.II), DK (Gr.III), EE, IT (Gr.II en Gr.III), LT, LU, LV, NL, RO (Gr.I en Gr.II) en SE slagen de nationale regeringen er volgens de sociale partners en maatschappelijke organisaties niet in om de landspecifieke aanbevelingen doeltreffend om te zetten in concreet beleid, waarbij de uitvoering vaak wordt beschreven als gedeeltelijk, zwak, traag of onvolledig.</w:t>
      </w:r>
    </w:p>
    <w:p w14:paraId="424CA2ED" w14:textId="77777777" w:rsidR="00D80167" w:rsidRPr="00353502" w:rsidRDefault="00D80167" w:rsidP="001F3AF8"/>
    <w:p w14:paraId="111329A1" w14:textId="77777777" w:rsidR="00D80167" w:rsidRPr="00BF727A" w:rsidRDefault="00D80167" w:rsidP="00D80167">
      <w:pPr>
        <w:pStyle w:val="Heading3"/>
      </w:pPr>
      <w:r>
        <w:t>De sociale partners en maatschappelijke organisaties uit AT, IT, PT en SK benadrukken dat er een grote kloof gaapt tussen de beleidsopzet en de praktische uitvoering ervan.</w:t>
      </w:r>
    </w:p>
    <w:p w14:paraId="2730BC90" w14:textId="77777777" w:rsidR="00D80167" w:rsidRPr="00D57DC2" w:rsidRDefault="00D80167" w:rsidP="00D80167">
      <w:pPr>
        <w:pStyle w:val="ListParagraph"/>
        <w:spacing w:line="288" w:lineRule="auto"/>
        <w:ind w:left="-115"/>
        <w:jc w:val="both"/>
        <w:rPr>
          <w:rFonts w:ascii="Times New Roman" w:eastAsia="Times New Roman" w:hAnsi="Times New Roman" w:cs="Times New Roman"/>
          <w:noProof w:val="0"/>
          <w:sz w:val="22"/>
          <w:szCs w:val="22"/>
        </w:rPr>
      </w:pPr>
    </w:p>
    <w:p w14:paraId="13BEA733" w14:textId="77777777" w:rsidR="00D80167" w:rsidRPr="00BF727A" w:rsidRDefault="00D80167" w:rsidP="00D80167">
      <w:pPr>
        <w:pStyle w:val="Heading3"/>
      </w:pPr>
      <w:r>
        <w:t>Sommige vertegenwoordigers uit EL, IT en LV benadrukken dat het simpelweg identificeren van uitdagingen niet volstaat, aangezien de grootste moeilijkheid schuilt in de implementatie en uitvoering. Zij zijn van mening dat er een sterke politieke wil nodig is om ervoor te zorgen dat de landspecifieke aanbevelingen daadwerkelijk in concrete beleidsmaatregelen worden omgezet.</w:t>
      </w:r>
    </w:p>
    <w:p w14:paraId="1420FC90" w14:textId="77777777" w:rsidR="00D80167" w:rsidRPr="00BF727A" w:rsidRDefault="00D80167" w:rsidP="00D80167">
      <w:pPr>
        <w:rPr>
          <w:kern w:val="28"/>
          <w:u w:val="single"/>
        </w:rPr>
      </w:pPr>
    </w:p>
    <w:p w14:paraId="5085DA28" w14:textId="77777777" w:rsidR="00D80167" w:rsidRPr="00BF727A" w:rsidRDefault="00D80167" w:rsidP="00D80167">
      <w:pPr>
        <w:keepNext/>
        <w:keepLines/>
        <w:rPr>
          <w:b/>
        </w:rPr>
      </w:pPr>
      <w:r>
        <w:rPr>
          <w:u w:val="single"/>
        </w:rPr>
        <w:t>Vraag 4:</w:t>
      </w:r>
      <w:r>
        <w:t xml:space="preserve"> </w:t>
      </w:r>
      <w:r>
        <w:rPr>
          <w:b/>
        </w:rPr>
        <w:t>Is de inbreng van sociale partners en maatschappelijke organisaties verbeterd bij de dialoog tussen uw regering en de Europese Commissie in 2025? Hoe beoordeelt u deze inbreng? Hoe kunnen sociale partners en maatschappelijke organisaties beter worden betrokken?</w:t>
      </w:r>
    </w:p>
    <w:p w14:paraId="3A0F1310" w14:textId="77777777" w:rsidR="00D80167" w:rsidRPr="00BF727A" w:rsidRDefault="00D80167" w:rsidP="00D80167">
      <w:pPr>
        <w:keepNext/>
        <w:keepLines/>
        <w:rPr>
          <w:b/>
        </w:rPr>
      </w:pPr>
    </w:p>
    <w:p w14:paraId="6F5B212E" w14:textId="77777777" w:rsidR="00D80167" w:rsidRPr="00BF727A" w:rsidRDefault="00D80167" w:rsidP="00D80167">
      <w:pPr>
        <w:pStyle w:val="Heading3"/>
      </w:pPr>
      <w:r>
        <w:t>In CY, EL, HR (Gr.I en Gr.III), HU, IT (Gr.I en Gr.III), LT, PL, RO (Gr.I) en SI zijn de sociale partners en maatschappelijke organisaties van mening dat de raadpleging van en dialoog met hun regering en de Europese Commissie in 2025 is toegenomen. Ze vinden dat de dialoog beter is qua vorm, maar inhoudelijk nog voor verbetering vatbaar is. Ook vinden ze dat de kwaliteit, diepgang en werkelijke invloed op de beleidsvorming nog steeds niet volstaan.</w:t>
      </w:r>
    </w:p>
    <w:p w14:paraId="1614CFC9" w14:textId="77777777" w:rsidR="00D80167" w:rsidRPr="00353502" w:rsidRDefault="00D80167" w:rsidP="001F3AF8"/>
    <w:p w14:paraId="3773FF0D" w14:textId="77777777" w:rsidR="00D80167" w:rsidRPr="00BF727A" w:rsidRDefault="00D80167" w:rsidP="00D80167">
      <w:pPr>
        <w:pStyle w:val="Heading3"/>
      </w:pPr>
      <w:r>
        <w:t>In AT, BE, BG, CZ, DE, DK (Gr.II en Gr.III), EE (Gr.II en Gr.III), ES, FI, FR, HR (Gr.II), IE, IT (Gr.II en Gr.III), LV, LU, MT, NL, PT, RO (Gr.II en Gr.III), SE en SK blijft de betrokkenheid van de sociale partners en het maatschappelijk middenveld grotendeels ongewijzigd, procedureel of onvoldoende. In 2025 was er geen wezenlijke vooruitgang en in sommige gevallen zelfs een achteruitgang. Participatie wordt vaak eerder gezien als symbolische naleving dan als werkelijk medebeslissen of medeontwerpen. Er is vaak geen coherent nationaal kader waarmee raadplegingen worden gekoppeld aan EU-dialoogprocessen.</w:t>
      </w:r>
    </w:p>
    <w:p w14:paraId="780C75ED" w14:textId="77777777" w:rsidR="00D80167" w:rsidRPr="00353502" w:rsidRDefault="00D80167" w:rsidP="001F3AF8"/>
    <w:p w14:paraId="11150DFF" w14:textId="77777777" w:rsidR="00D80167" w:rsidRPr="00BF727A" w:rsidRDefault="00D80167" w:rsidP="00D80167">
      <w:pPr>
        <w:pStyle w:val="Heading3"/>
      </w:pPr>
      <w:r>
        <w:t>Wat de betrokkenheid van de sociale partners en maatschappelijke organisaties bij de dialoog tussen regeringen en de Europese Commissie over de landspecifieke aanbevelingen betreft, zijn de beoordelingen per land als volgt: “actieve betrokkenheid” in HR (Gr.I en Gr.III), HU en SE; “zichtbare betrokkenheid, doch onvoldoende” in BE, CY, CZ (Gr.I en Gr.II), EL, FI, FR, HR (Gr.II), IT (Gr.I en voor sommige vertegenwoordigers uit Gr.III), LV, LT, LU, PL, RO (Gr.I), SI en SK; “zwakke betrokkenheid” in AT, BG, DE, DK (Gr.II en Gr.III), EE (Gr.II en Gr.III), ES (Gr.I en Gr.III), IE, IT (Gr.II en voor sommige vertegenwoordigers uit Gr.III), MT, NL, PT en RO (Gr.II); en “geen betrokkenheid” in CZ (Gr.III) en ES (Gr.II).</w:t>
      </w:r>
    </w:p>
    <w:p w14:paraId="6FC69DB7" w14:textId="77777777" w:rsidR="00D80167" w:rsidRPr="00353502" w:rsidRDefault="00D80167" w:rsidP="001F3AF8"/>
    <w:p w14:paraId="319D6A85" w14:textId="29FE925B" w:rsidR="00D80167" w:rsidRPr="00BF727A" w:rsidRDefault="00D80167" w:rsidP="00D80167">
      <w:pPr>
        <w:pStyle w:val="Heading3"/>
      </w:pPr>
      <w:r>
        <w:lastRenderedPageBreak/>
        <w:t>Tot slot benadrukken de sociale partners en maatschappelijke organisaties in de meeste EU</w:t>
      </w:r>
      <w:r w:rsidR="008C2877">
        <w:noBreakHyphen/>
      </w:r>
      <w:r>
        <w:t>lidstaten de noodzaak van een vroegtijdigere, meer gestructureerde en meer inhoudelijke betrokkenheid bij de hele beleidscyclus (van ontwerp tot uitvoering en evaluatie) in plaats van raadplegingen die laattijdig, procedureel of op ad-hocbasis plaatsvinden. In BE, DE, ES (Gr.III), PL, PT, SI en SK vinden de respondenten dat overheden moeten reageren op input en moeten uitleggen waarom bepaalde voorstellen worden aanvaard of verworpen. De respondenten uit BE, CZ, HU, MT en PL benadrukken de noodzaak om de capaciteit en de middelen van de sociale partners en maatschappelijke organisaties te versterken, met name door betere financiële steun, opleidingsmogelijkheden en institutionele capaciteitsopbouw, met het oog op een effectievere deelname aan het proces van het Europees Semester. De respondenten uit AT, DK (Gr.II en Gr.III), EL, ES (Gr.II en Gr.III), HR (Gr.II en Gr.III), IT, LU en SI benadrukken de behoefte aan meer gestructureerde en geïnstitutionaliseerde dialoogmechanismen, waaronder geformaliseerde kaders, stabiele en voorspelbare raadplegingsprocessen en regelmatig geplande fora om een systematische en voortdurende betrokkenheid te waarborgen.</w:t>
      </w:r>
    </w:p>
    <w:p w14:paraId="7F0C3FA9" w14:textId="77777777" w:rsidR="00D80167" w:rsidRPr="00BF727A" w:rsidRDefault="00D80167" w:rsidP="00D80167"/>
    <w:p w14:paraId="13F34450" w14:textId="77777777" w:rsidR="00D80167" w:rsidRPr="00BF727A" w:rsidRDefault="00D80167" w:rsidP="00D80167">
      <w:pPr>
        <w:pStyle w:val="Heading2"/>
        <w:keepNext/>
      </w:pPr>
      <w:r>
        <w:rPr>
          <w:i/>
        </w:rPr>
        <w:t>Deel II: De uitvoering en monitoring van de nationale budgettair-structurele plannen voor de middellange termijn</w:t>
      </w:r>
    </w:p>
    <w:p w14:paraId="769065BC" w14:textId="77777777" w:rsidR="00D80167" w:rsidRPr="00BF727A" w:rsidRDefault="00D80167" w:rsidP="00D80167">
      <w:pPr>
        <w:keepNext/>
      </w:pPr>
    </w:p>
    <w:p w14:paraId="1C9BD1BD" w14:textId="77777777" w:rsidR="00D80167" w:rsidRPr="00BF727A" w:rsidRDefault="00D80167" w:rsidP="00D80167">
      <w:pPr>
        <w:rPr>
          <w:b/>
        </w:rPr>
      </w:pPr>
      <w:r>
        <w:rPr>
          <w:u w:val="single"/>
        </w:rPr>
        <w:t>Vraag 5:</w:t>
      </w:r>
      <w:r>
        <w:t xml:space="preserve"> </w:t>
      </w:r>
      <w:r>
        <w:rPr>
          <w:b/>
        </w:rPr>
        <w:t>Beschikt u over de nodige capaciteit en middelen (administratieve middelen, kennis, tijd enz.) om toezicht te houden op de uitvoering van het plan van uw land en het jaarlijkse voortgangsverslag? Zo niet, wat heeft u dan nodig om dat mogelijk te maken?</w:t>
      </w:r>
    </w:p>
    <w:p w14:paraId="20C9FDA1" w14:textId="77777777" w:rsidR="00D80167" w:rsidRPr="00BF727A" w:rsidRDefault="00D80167" w:rsidP="00D80167"/>
    <w:p w14:paraId="0013C549" w14:textId="77777777" w:rsidR="00D80167" w:rsidRPr="00BF727A" w:rsidRDefault="00D80167" w:rsidP="00D80167">
      <w:pPr>
        <w:pStyle w:val="Heading3"/>
      </w:pPr>
      <w:r w:rsidRPr="008C2877">
        <w:rPr>
          <w:spacing w:val="-4"/>
        </w:rPr>
        <w:t>De sociale partners en maatschappelijke organisaties in de meeste lidstaten vinden dat ze in theorie over voldoende administratieve capaciteit beschikken om de uitvoering te monitoren, maar benadrukken dat de capaciteit in de praktijk ongelijk is en aanzienlijk wordt geremd door tijdsdruk, werklast en beperkte middelen (vooral voor kleinere organisaties). Een asymmetrische capaciteit tussen organisaties is een steeds terugkerend structureel probleem. Bovendien geven de respondenten over het algemeen aan dat ze over de nodige kennis en het nodige analytisch inzicht beschikken. Deze kennis en dit inzicht zijn echter ongelijk verdeeld en onvoldoende gestructureerd</w:t>
      </w:r>
      <w:r>
        <w:t>.</w:t>
      </w:r>
    </w:p>
    <w:p w14:paraId="1184330D" w14:textId="77777777" w:rsidR="00D80167" w:rsidRPr="00353502" w:rsidRDefault="00D80167" w:rsidP="001F3AF8"/>
    <w:p w14:paraId="17A72FAD" w14:textId="77777777" w:rsidR="00D80167" w:rsidRPr="00BF727A" w:rsidRDefault="00D80167" w:rsidP="00D80167">
      <w:pPr>
        <w:pStyle w:val="Heading3"/>
      </w:pPr>
      <w:r>
        <w:t>De sociale partners en maatschappelijke organisaties in BE, BG, DK (Gr.II), ES (Gr.II), FR, HR, IT (Gr.II), PT en SI melden dat ze weliswaar tijd hebben om het proces te volgen, maar dat die tijd onvoldoende is om de informatie terdege te analyseren, raadplegingen te houden en inhoudelijke input te leveren.</w:t>
      </w:r>
    </w:p>
    <w:p w14:paraId="03DCB897" w14:textId="77777777" w:rsidR="00D80167" w:rsidRPr="00353502" w:rsidRDefault="00D80167" w:rsidP="001F3AF8"/>
    <w:p w14:paraId="45A237BD" w14:textId="77777777" w:rsidR="00D80167" w:rsidRPr="00BF727A" w:rsidRDefault="00D80167" w:rsidP="00D80167">
      <w:pPr>
        <w:pStyle w:val="Heading3"/>
      </w:pPr>
      <w:r>
        <w:t>Bovendien benadrukken de respondenten in BE, DE, IT (Gr.III) en LT dat, hoewel er capaciteit voorhanden is, monitoring wordt belemmerd door een gebrek aan transparantie, gefragmenteerde verslaglegging en onvoldoende tijdige of bruikbare gegevens van de overheid.</w:t>
      </w:r>
    </w:p>
    <w:p w14:paraId="7B412EDC" w14:textId="77777777" w:rsidR="00D80167" w:rsidRPr="00353502" w:rsidRDefault="00D80167" w:rsidP="001F3AF8"/>
    <w:p w14:paraId="0EAF9673" w14:textId="77777777" w:rsidR="00D80167" w:rsidRPr="00BF727A" w:rsidRDefault="00D80167" w:rsidP="00D80167">
      <w:pPr>
        <w:pStyle w:val="Heading3"/>
        <w:rPr>
          <w:kern w:val="28"/>
          <w:u w:val="single"/>
        </w:rPr>
      </w:pPr>
      <w:r>
        <w:t>Tot slot benadrukken de sociale partners en maatschappelijke organisaties uit CZ (Gr.III), DK (Gr.III), HU, IE, IT (Gr.III), MT, NL, PL, RO (Gr.I en Gr.III), SI en SK dat ze niet over voldoende institutionele middelen beschikken om de uitvoering systematisch te monitoren, zelfs als ze over enige technische kennis beschikken.</w:t>
      </w:r>
    </w:p>
    <w:p w14:paraId="012B7C3E" w14:textId="77777777" w:rsidR="00D80167" w:rsidRPr="00BF727A" w:rsidRDefault="00D80167" w:rsidP="00D80167"/>
    <w:p w14:paraId="7C4A0E6B" w14:textId="77777777" w:rsidR="00D80167" w:rsidRPr="008C2877" w:rsidRDefault="00D80167" w:rsidP="008C2877">
      <w:pPr>
        <w:pStyle w:val="Heading2"/>
        <w:spacing w:line="240" w:lineRule="auto"/>
        <w:rPr>
          <w:sz w:val="14"/>
          <w:szCs w:val="14"/>
        </w:rPr>
      </w:pPr>
      <w:r w:rsidRPr="008C2877">
        <w:rPr>
          <w:i/>
          <w:sz w:val="14"/>
          <w:szCs w:val="14"/>
        </w:rPr>
        <w:t>Deel III: De afronding van de hervormingen en investeringen waarin de nationale herstel- en veerkrachtplannen voorzien</w:t>
      </w:r>
    </w:p>
    <w:p w14:paraId="40180C0B" w14:textId="77777777" w:rsidR="00D80167" w:rsidRPr="008C2877" w:rsidRDefault="00D80167" w:rsidP="008C2877">
      <w:pPr>
        <w:spacing w:line="240" w:lineRule="auto"/>
        <w:rPr>
          <w:kern w:val="28"/>
          <w:sz w:val="14"/>
          <w:szCs w:val="14"/>
          <w:u w:val="single"/>
        </w:rPr>
      </w:pPr>
    </w:p>
    <w:p w14:paraId="7592DA09" w14:textId="77777777" w:rsidR="00D80167" w:rsidRPr="00BF727A" w:rsidRDefault="00D80167" w:rsidP="00D80167">
      <w:pPr>
        <w:rPr>
          <w:b/>
        </w:rPr>
      </w:pPr>
      <w:r>
        <w:rPr>
          <w:u w:val="single"/>
        </w:rPr>
        <w:lastRenderedPageBreak/>
        <w:t>Vraag 6:</w:t>
      </w:r>
      <w:r>
        <w:t xml:space="preserve"> </w:t>
      </w:r>
      <w:r>
        <w:rPr>
          <w:b/>
        </w:rPr>
        <w:t>Hoe beoordeelt u de vooruitgang die werd geboekt bij de uitvoering van het nationale herstel- en veerkrachtplan in uw land?</w:t>
      </w:r>
    </w:p>
    <w:p w14:paraId="1DC37585" w14:textId="77777777" w:rsidR="00D80167" w:rsidRPr="008C2877" w:rsidRDefault="00D80167" w:rsidP="00D80167">
      <w:pPr>
        <w:rPr>
          <w:bCs/>
        </w:rPr>
      </w:pPr>
    </w:p>
    <w:p w14:paraId="6E8038AB" w14:textId="77777777" w:rsidR="00D80167" w:rsidRPr="00BF727A" w:rsidRDefault="00D80167" w:rsidP="00D80167">
      <w:pPr>
        <w:pStyle w:val="Heading3"/>
      </w:pPr>
      <w:r>
        <w:t>In AT (Gr.I), BG, CY (Gr.III), CZ (Gr.I en Gr.III), EE (Gr.I), EL, ES, FR, HR, IE, IT (Gr.I en Gr.III ), LU, MT, PT, SE en SI zijn de sociale partners en maatschappelijke organisaties van mening dat de uitvoering van de nationale herstel- en veerkrachtplannen goed vordert, waarbij veel mijlpalen en doelstellingen zijn gehaald, en dat er vooruitgang wordt geboekt op het vlak van de hervormingen en investeringen, zij het ongelijkmatig of onvolledig.</w:t>
      </w:r>
    </w:p>
    <w:p w14:paraId="480AF1A8" w14:textId="77777777" w:rsidR="00D80167" w:rsidRPr="00353502" w:rsidRDefault="00D80167" w:rsidP="001F3AF8"/>
    <w:p w14:paraId="66E5857B" w14:textId="50C61924" w:rsidR="00D80167" w:rsidRPr="00BF727A" w:rsidRDefault="00D80167" w:rsidP="00D80167">
      <w:pPr>
        <w:pStyle w:val="Heading3"/>
      </w:pPr>
      <w:r>
        <w:t>Velen wijzen echter op de resterende uitdagingen bij de uitvoering. Ze benadrukken bijvoorbeeld de voortdurende beperkingen die van invloed zijn op de snelheid en effectiviteit van de uitvoering. De respondenten uit EL melden vertragingen die worden veroorzaakt door de structuur van de diensten die verantwoordelijk zijn voor middelenbeheer en hun personeelstekort, het ontbreken van verplichte tussentijdse termijnen voor de uitvoering van projecten naast de met de EU overeengekomen fasen en ontoereikende monitoring van de uitvoering van projecten. In HR en IT zijn de respondenten van mening dat een van de grootste uitdagingen voor de uitvoering de noodzaak is om de administratieve capaciteit te versterken. De respondenten uit PT merken ook op dat het onwaarschijnlijk is dat het land in staat zal zijn om het hele plan uit te voeren.</w:t>
      </w:r>
    </w:p>
    <w:p w14:paraId="0E3EBC84" w14:textId="77777777" w:rsidR="00D80167" w:rsidRPr="00BF727A" w:rsidRDefault="00D80167" w:rsidP="00D80167"/>
    <w:p w14:paraId="17D2DEF6" w14:textId="77777777" w:rsidR="00D80167" w:rsidRPr="00BF727A" w:rsidRDefault="00D80167" w:rsidP="00D80167">
      <w:pPr>
        <w:pStyle w:val="Heading3"/>
      </w:pPr>
      <w:r>
        <w:t>Bovendien benadrukken sommige respondenten ook het belang van hervormingen die verder gaan dan de uitgaven, waarbij ze benadrukken dat de structurele impact nog onzeker is en dat de financiële uitvoering nog niet volledig is vertaald in diepere structurele transformatie. De respondenten uit SI stellen bijvoorbeeld dat het algemene effect van deze maatregelen onduidelijk blijft. De respondenten uit IT merken dan weer op dat het plan nog geen zichtbare effecten heeft gehad op het gebied van administratieve hervormingen, modernisering van de infrastructuur, een concurrerender productiesysteem als geheel of de toename van menselijk kapitaal en vaardigheden die nodig zijn voor ontwikkeling. Daarnaast benadrukken de respondenten uit IE, IT en LT de resterende sociale uitdagingen, zoals armoede en tekorten aan sociale en betaalbare huisvesting en de integratie van kwetsbare groepen in de arbeidsmarkt.</w:t>
      </w:r>
    </w:p>
    <w:p w14:paraId="0FC03007" w14:textId="77777777" w:rsidR="00D80167" w:rsidRPr="00353502" w:rsidRDefault="00D80167" w:rsidP="001F3AF8"/>
    <w:p w14:paraId="5AFF39E8" w14:textId="77777777" w:rsidR="00D80167" w:rsidRPr="00BF727A" w:rsidRDefault="00D80167" w:rsidP="00D80167">
      <w:pPr>
        <w:pStyle w:val="Heading3"/>
      </w:pPr>
      <w:r>
        <w:t>In AT (Gr.II), CY (Gr.I), DE, DK (Gr.II en Gr.III), FI, IT (Gr.II en Gr.III), LV, PL en SK staan de sociale partners en maatschappelijke organisaties neutraal tegenover deze kwestie. Over het algemeen vinden ze dat er vooruitgang is geboekt, maar dat het nog steeds moeilijk is om dit volledig te beoordelen. De werkelijke impact, snelheid en effectiviteit van de uitvoering blijven onzeker of worden belemmerd door administratieve en procedurele kwesties.</w:t>
      </w:r>
    </w:p>
    <w:p w14:paraId="0C5D706C" w14:textId="77777777" w:rsidR="00D80167" w:rsidRPr="00353502" w:rsidRDefault="00D80167" w:rsidP="001F3AF8"/>
    <w:p w14:paraId="77AE8B5D" w14:textId="77777777" w:rsidR="00D80167" w:rsidRPr="00BF727A" w:rsidRDefault="00D80167" w:rsidP="00D80167">
      <w:pPr>
        <w:pStyle w:val="Heading3"/>
        <w:rPr>
          <w:kern w:val="28"/>
          <w:u w:val="single"/>
        </w:rPr>
      </w:pPr>
      <w:r>
        <w:t xml:space="preserve">In AT (Gr.III), EE (Gr.II en Gr.III), ES (Gr.I), HU, IT (Gr.II), NL en RO hebben de sociale partners en maatschappelijke organisaties een negatief beeld van de vooruitgang die is geboekt bij de uitvoering van de nationale herstel- en veerkrachtplannen. Over het algemeen benadrukken ze hun zwakke participatie, die leidt tot slecht ontworpen plannen, weinig eigen inbreng en mislukte uitvoering. Bovendien melden de meeste van hen ernstige problemen bij de uitvoering, waaronder vertragingen, geblokkeerde hervormingen of het onvermogen om termijnen aan te houden en doelstellingen te halen. Volgens de respondenten in AT (Gr.III), ES (Gr.I) en RO vertragen de zwakke administratieve capaciteit en omslachtige procedures de </w:t>
      </w:r>
      <w:r>
        <w:lastRenderedPageBreak/>
        <w:t>uitvoering en de absorptie van middelen. Terugkerende problemen zijn onduidelijke processen, een gebrek aan toegankelijke informatie en een zwakke verantwoordingsplicht.</w:t>
      </w:r>
    </w:p>
    <w:p w14:paraId="7E256E76" w14:textId="77777777" w:rsidR="00D80167" w:rsidRPr="00BF727A" w:rsidRDefault="00D80167" w:rsidP="00D80167">
      <w:pPr>
        <w:rPr>
          <w:kern w:val="28"/>
          <w:u w:val="single"/>
        </w:rPr>
      </w:pPr>
    </w:p>
    <w:p w14:paraId="7D0B927C" w14:textId="77777777" w:rsidR="00D80167" w:rsidRPr="00BF727A" w:rsidRDefault="00D80167" w:rsidP="00D80167">
      <w:pPr>
        <w:keepNext/>
        <w:keepLines/>
        <w:rPr>
          <w:b/>
        </w:rPr>
      </w:pPr>
      <w:r>
        <w:rPr>
          <w:u w:val="single"/>
        </w:rPr>
        <w:t>Vraag 7:</w:t>
      </w:r>
      <w:r>
        <w:t xml:space="preserve"> </w:t>
      </w:r>
      <w:r>
        <w:rPr>
          <w:b/>
        </w:rPr>
        <w:t>Wat zijn, nu de herstel- en veerkrachtfaciliteit eind 2026 afloopt, de belangrijkste lessen die u uit dit instrument hebt getrokken, zowel in positieve als negatieve zin?</w:t>
      </w:r>
    </w:p>
    <w:p w14:paraId="3FFF955C" w14:textId="77777777" w:rsidR="00D80167" w:rsidRPr="00BF727A" w:rsidRDefault="00D80167" w:rsidP="00D80167">
      <w:pPr>
        <w:keepNext/>
        <w:keepLines/>
        <w:rPr>
          <w:kern w:val="28"/>
          <w:u w:val="single"/>
        </w:rPr>
      </w:pPr>
    </w:p>
    <w:p w14:paraId="4B11BD11" w14:textId="77777777" w:rsidR="00D80167" w:rsidRPr="00BF727A" w:rsidRDefault="00D80167" w:rsidP="00D80167">
      <w:pPr>
        <w:pStyle w:val="Heading3"/>
      </w:pPr>
      <w:r>
        <w:rPr>
          <w:b/>
        </w:rPr>
        <w:t>Wat de positieve lessen betreft</w:t>
      </w:r>
      <w:r>
        <w:t>, stellen de sociale partners en maatschappelijke organisaties uit BE, CZ (Gr.I en Gr.II), EL, ES, IE, IT, LV, MT, PL, RO (Gr.I en Gr.III), SE, SI en SK dat dankzij de herstel- en veerkrachtfaciliteit hervormingen met succes worden gekoppeld aan investeringen en tegelijkertijd strategische prioriteiten (groen, digitaal, veerkracht) op zowel nationaal als EU-niveau worden aangestuurd. De herstel- en veerkrachtfaciliteit wordt alom gewaardeerd voor het combineren van financiering met hervormingen en het afstemmen van de uitgaven op langetermijnprioriteiten van de EU, waardoor het strategischer is dan traditionele instrumenten.</w:t>
      </w:r>
    </w:p>
    <w:p w14:paraId="028F1C6E" w14:textId="77777777" w:rsidR="00D80167" w:rsidRPr="00353502" w:rsidRDefault="00D80167" w:rsidP="001F3AF8"/>
    <w:p w14:paraId="474266FA" w14:textId="77777777" w:rsidR="00D80167" w:rsidRPr="00BF727A" w:rsidRDefault="00D80167" w:rsidP="00D80167">
      <w:pPr>
        <w:pStyle w:val="Heading3"/>
      </w:pPr>
      <w:r>
        <w:t xml:space="preserve">Bovendien heeft de herstel- en veerkrachtfaciliteit volgens de respondenten in DE, ES (Gr.I en Gr.II), IT, LT en SK een sterke meerwaarde van de EU aangetoond door solidariteit, opschaling en coördinatie, vooral in crises. Er wordt van uitgegaan dat het positieve overloopeffecten genereert binnen en tussen de EU-lidstaten. </w:t>
      </w:r>
    </w:p>
    <w:p w14:paraId="59755572" w14:textId="77777777" w:rsidR="00D80167" w:rsidRPr="00353502" w:rsidRDefault="00D80167" w:rsidP="001F3AF8"/>
    <w:p w14:paraId="055BD1FB" w14:textId="77777777" w:rsidR="00D80167" w:rsidRPr="00BF727A" w:rsidRDefault="00D80167" w:rsidP="00D80167">
      <w:pPr>
        <w:pStyle w:val="Heading3"/>
      </w:pPr>
      <w:r>
        <w:t>Een andere belangrijke les die de respondenten uit CZ (Gr.I en Gr.II), EL, ES (Gr.I), IT, RO (Gr.I) en SI onderstrepen, is de doeltreffendheid van een prestatiegerichte (resultaatgerichte) governanceaanpak, waarmee volgens hen de beleidsuitvoering wordt versterkt.</w:t>
      </w:r>
    </w:p>
    <w:p w14:paraId="2E933C50" w14:textId="77777777" w:rsidR="00D80167" w:rsidRPr="00353502" w:rsidRDefault="00D80167" w:rsidP="001F3AF8"/>
    <w:p w14:paraId="617D9064" w14:textId="77777777" w:rsidR="00D80167" w:rsidRPr="00BF727A" w:rsidRDefault="00D80167" w:rsidP="00D80167">
      <w:pPr>
        <w:pStyle w:val="Heading3"/>
      </w:pPr>
      <w:r>
        <w:t>Tot slot merken sommige respondenten in BE, DK (Gr.II), HR (Gr.I), IT en RO ook op dat de herstel- en veerkrachtfaciliteit bijdraagt tot betere governancepraktijken en coördinatie tussen actoren.</w:t>
      </w:r>
    </w:p>
    <w:p w14:paraId="29194989" w14:textId="77777777" w:rsidR="00D80167" w:rsidRPr="00D57DC2" w:rsidRDefault="00D80167" w:rsidP="00D80167">
      <w:pPr>
        <w:pStyle w:val="ListParagraph"/>
        <w:spacing w:line="288" w:lineRule="auto"/>
        <w:ind w:left="-115"/>
        <w:jc w:val="both"/>
        <w:rPr>
          <w:rFonts w:ascii="Times New Roman" w:hAnsi="Times New Roman" w:cs="Times New Roman"/>
          <w:noProof w:val="0"/>
          <w:sz w:val="22"/>
          <w:szCs w:val="22"/>
        </w:rPr>
      </w:pPr>
    </w:p>
    <w:p w14:paraId="4A26D440" w14:textId="77777777" w:rsidR="00D80167" w:rsidRPr="00BF727A" w:rsidRDefault="00D80167" w:rsidP="00D80167">
      <w:pPr>
        <w:pStyle w:val="Heading3"/>
      </w:pPr>
      <w:r>
        <w:rPr>
          <w:b/>
        </w:rPr>
        <w:t>Wat de negatieve lessen betreft</w:t>
      </w:r>
      <w:r>
        <w:t>, melden de sociale partners en maatschappelijke organisaties uit AT, BE, CY, EL, ES, FR, HR, IT en SK dat het instrument een zware administratieve last met zich meebrengt en zeer complex is, vaak in combinatie met capaciteitsbeperkingen en daaruit voortvloeiende vertragingen of inefficiënties bij de uitvoering. De herstel- en veerkrachtfaciliteit wordt algemeen beschouwd als te complex en omslachtig, wat de uitvoering vertraagt, de toegang beperkt en de algemene doeltreffendheid vermindert.</w:t>
      </w:r>
    </w:p>
    <w:p w14:paraId="4EA98007" w14:textId="77777777" w:rsidR="00D80167" w:rsidRPr="00353502" w:rsidRDefault="00D80167" w:rsidP="001F3AF8"/>
    <w:p w14:paraId="57A17225" w14:textId="77777777" w:rsidR="00D80167" w:rsidRPr="00BF727A" w:rsidRDefault="00D80167" w:rsidP="00D80167">
      <w:pPr>
        <w:pStyle w:val="Heading3"/>
      </w:pPr>
      <w:r w:rsidRPr="008C2877">
        <w:rPr>
          <w:spacing w:val="-2"/>
        </w:rPr>
        <w:t>Bovendien wordt de deelname van de sociale partners en het maatschappelijk middenveld vaak bekritiseerd in de antwoorden van AT, CZ, DK, EL, ES, IT, NL, RO en SI. Het wordt vaak als ontoereikend, te laattijdig of puur procedureel beschouwd, wat het eigenaarschap en de kwaliteit van het beleid verzwakt. De respondenten uit BE, ES, IT en RO benadrukken ook dat de governance vaak wordt gezien als te gecentraliseerd, onvoldoende transparant en niet inclusief</w:t>
      </w:r>
      <w:r>
        <w:t>.</w:t>
      </w:r>
    </w:p>
    <w:p w14:paraId="67A4DAF8" w14:textId="77777777" w:rsidR="00D80167" w:rsidRPr="00353502" w:rsidRDefault="00D80167" w:rsidP="001F3AF8"/>
    <w:p w14:paraId="3A713AA7" w14:textId="77777777" w:rsidR="00D80167" w:rsidRPr="00BF727A" w:rsidRDefault="00D80167" w:rsidP="00D80167">
      <w:pPr>
        <w:pStyle w:val="Heading3"/>
      </w:pPr>
      <w:r>
        <w:t>Bovendien benadrukken sommige respondenten uit ES, PL, SI en SK de beperkingen van de prestatiegerichte aanpak (mijlpalen): deze aanpak is weliswaar nuttig, maar wordt ook bekritiseerd omdat hij formele naleving aanmoedigt in plaats van echte impact. Het kan leiden tot starheid en een focus op procedures in plaats van resultaten.</w:t>
      </w:r>
    </w:p>
    <w:p w14:paraId="24E3FB5A" w14:textId="77777777" w:rsidR="00D80167" w:rsidRPr="00BF727A" w:rsidRDefault="00D80167" w:rsidP="00D80167"/>
    <w:p w14:paraId="592E67A3" w14:textId="77777777" w:rsidR="00D80167" w:rsidRPr="00BF727A" w:rsidRDefault="00D80167" w:rsidP="00D80167">
      <w:pPr>
        <w:pStyle w:val="Heading3"/>
      </w:pPr>
      <w:r>
        <w:lastRenderedPageBreak/>
        <w:t>De sociale partners en maatschappelijke organisaties uit IT, NL, RO en SI onderstrepen het krappe tijdschema, dat algemeen als problematisch wordt beschouwd. De termijn creëert druk en risico’s voor de kwaliteit en zorgt voor een overhaaste uitvoering.</w:t>
      </w:r>
    </w:p>
    <w:p w14:paraId="644ABE0A" w14:textId="77777777" w:rsidR="00D80167" w:rsidRPr="00353502" w:rsidRDefault="00D80167" w:rsidP="001F3AF8"/>
    <w:p w14:paraId="22698011" w14:textId="77777777" w:rsidR="00D80167" w:rsidRPr="00BF727A" w:rsidRDefault="00D80167" w:rsidP="00D80167">
      <w:pPr>
        <w:pStyle w:val="Heading3"/>
      </w:pPr>
      <w:r>
        <w:t>Tot slot benadrukken de respondenten uit CY, ES, HR en SK de beperkte toegang en ongelijke deelname (vooral voor kleine en middelgrote ondernemingen), waarbij ze erop wijzen dat kleinere spelers structurele nadelen ondervinden en dat met het systeem grotere spelers worden bevoordeeld.</w:t>
      </w:r>
    </w:p>
    <w:p w14:paraId="4462DE5F" w14:textId="77777777" w:rsidR="00D80167" w:rsidRPr="00BF727A" w:rsidRDefault="00D80167" w:rsidP="00D80167"/>
    <w:p w14:paraId="1FF9C652" w14:textId="77777777" w:rsidR="00D80167" w:rsidRPr="00BF727A" w:rsidRDefault="00D80167" w:rsidP="00D80167">
      <w:pPr>
        <w:pStyle w:val="Heading3"/>
      </w:pPr>
      <w:r>
        <w:t>Deel IV: Over de koppeling tussen het MFK en het Europees Semester</w:t>
      </w:r>
    </w:p>
    <w:p w14:paraId="4C39E92B" w14:textId="77777777" w:rsidR="00D80167" w:rsidRPr="00BF727A" w:rsidRDefault="00D80167" w:rsidP="00D80167">
      <w:pPr>
        <w:rPr>
          <w:kern w:val="28"/>
        </w:rPr>
      </w:pPr>
    </w:p>
    <w:p w14:paraId="64B2E4FF" w14:textId="77777777" w:rsidR="00D80167" w:rsidRPr="00BF727A" w:rsidRDefault="00D80167" w:rsidP="00D80167">
      <w:pPr>
        <w:keepNext/>
        <w:keepLines/>
        <w:rPr>
          <w:b/>
        </w:rPr>
      </w:pPr>
      <w:r>
        <w:rPr>
          <w:u w:val="single"/>
        </w:rPr>
        <w:t>Vraag 8:</w:t>
      </w:r>
      <w:r>
        <w:t xml:space="preserve"> </w:t>
      </w:r>
      <w:r>
        <w:rPr>
          <w:b/>
        </w:rPr>
        <w:t>Wat denkt u van de koppeling die zal worden gelegd tussen het Europees Semester en het volgende MFK?</w:t>
      </w:r>
    </w:p>
    <w:p w14:paraId="3E07E454" w14:textId="77777777" w:rsidR="00D80167" w:rsidRPr="008C2877" w:rsidRDefault="00D80167" w:rsidP="00D80167">
      <w:pPr>
        <w:keepNext/>
        <w:keepLines/>
        <w:rPr>
          <w:bCs/>
        </w:rPr>
      </w:pPr>
    </w:p>
    <w:p w14:paraId="4FCF2E40" w14:textId="77777777" w:rsidR="00D80167" w:rsidRPr="00BF727A" w:rsidRDefault="00D80167" w:rsidP="00D80167">
      <w:pPr>
        <w:pStyle w:val="Heading3"/>
      </w:pPr>
      <w:r>
        <w:t xml:space="preserve">De sociale partners en maatschappelijke organisaties uit AT, CY (Gr.I), CZ (Gr.I en Gr.II), EL, ES, FI, HR (Gr.I), IE, IT (Gr.III), LT, LV, MT, PT, RO (Gr.I) en SK staan positief tegenover de koppeling die zal worden gelegd tussen het Europees Semester en het volgende MFK. </w:t>
      </w:r>
    </w:p>
    <w:p w14:paraId="5A2E2EE1" w14:textId="77777777" w:rsidR="00D80167" w:rsidRPr="00353502" w:rsidRDefault="00D80167" w:rsidP="001F3AF8"/>
    <w:p w14:paraId="38C96194" w14:textId="77777777" w:rsidR="00D80167" w:rsidRPr="00BF727A" w:rsidRDefault="00D80167" w:rsidP="00D80167">
      <w:pPr>
        <w:pStyle w:val="Heading3"/>
      </w:pPr>
      <w:r>
        <w:t xml:space="preserve">Bovendien merken respondenten uit EL, ES, IE, LT, LV, RO en SK op dat het koppelen van het Europees Semester aan het volgende MFK de coördinatie tussen EU-aanbevelingen, nationale hervormingen en EU-financiering zou versterken, waardoor de beleidsuitvoering coherenter en doeltreffender zou worden. </w:t>
      </w:r>
    </w:p>
    <w:p w14:paraId="20B13D90" w14:textId="77777777" w:rsidR="00D80167" w:rsidRPr="00353502" w:rsidRDefault="00D80167" w:rsidP="001F3AF8"/>
    <w:p w14:paraId="4A938C23" w14:textId="77777777" w:rsidR="00D80167" w:rsidRPr="00BF727A" w:rsidRDefault="00D80167" w:rsidP="00D80167">
      <w:pPr>
        <w:pStyle w:val="Heading3"/>
      </w:pPr>
      <w:r>
        <w:t>De respondenten uit AT, CZ, EL, ES en MT benadrukken dat ze de koppeling in principe steunen, maar benadrukken dat conditionaliteit niet ten koste mag gaan van de nationale autonomie en flexibiliteit. Sommige respondenten uit AT, ES (Gr.II) en IT (Gr.III) waarschuwen voor een te grote machtsverschuiving naar het EU-niveau of de centrale regeringen, omdat ze geloven dat centralisatie de democratische legitimiteit kan verzwakken.</w:t>
      </w:r>
    </w:p>
    <w:p w14:paraId="1973F7DA" w14:textId="77777777" w:rsidR="00D80167" w:rsidRPr="00353502" w:rsidRDefault="00D80167" w:rsidP="001F3AF8"/>
    <w:p w14:paraId="10F83792" w14:textId="77777777" w:rsidR="00D80167" w:rsidRPr="00BF727A" w:rsidRDefault="00D80167" w:rsidP="00D80167">
      <w:pPr>
        <w:pStyle w:val="Heading3"/>
      </w:pPr>
      <w:r>
        <w:t xml:space="preserve">De sociale partners en maatschappelijke organisaties uit BE, BG, FR, HR (Gr.III), HU, IT (Gr.II en Gr.III), LU, RO (Gr.II), SE en SI staan neutraal tegenover deze kwestie. De sociale partners en maatschappelijke organisaties uit BE, FR, HR (Gr.III), HU, IT (Gr.II), SE en SI zijn terughoudend over de governance-implicaties van het koppelen van EU-financiering aan het Europees Semester en maken zich vooral zorgen over conditionaliteit, beslissingsbevoegdheid en institutioneel evenwicht. Zelfs degenen die niet tegen de koppeling gekant zijn, beschouwen deze als politiek gevoelig en vinden dat er voorzorgsmaatregelen moeten worden genomen. </w:t>
      </w:r>
    </w:p>
    <w:p w14:paraId="1D78998F" w14:textId="77777777" w:rsidR="00D80167" w:rsidRPr="00353502" w:rsidRDefault="00D80167" w:rsidP="001F3AF8"/>
    <w:p w14:paraId="36A7BB4C" w14:textId="77777777" w:rsidR="00D80167" w:rsidRPr="00BF727A" w:rsidRDefault="00D80167" w:rsidP="00D80167">
      <w:pPr>
        <w:pStyle w:val="Heading3"/>
      </w:pPr>
      <w:r>
        <w:t xml:space="preserve">Daarnaast erkennen de respondenten uit BE, BG, FR, RO (Gr.II) en SI de potentiële voordelen van de koppeling van het Europees Semester aan het MFK, maar over het algemeen alleen onder bepaalde voorwaarden. Ze denken dat met de aanpak de samenhang en doeltreffendheid van de EU-financiering en de afstemming van de hervormingen kan worden verbeterd, maar dat het succes afhangt van de manier waarop een en ander wordt opgezet en uitgevoerd. Zoals de respondenten uit SI opmerkten, zouden de hervormingsprioriteiten beter kunnen worden afgestemd op de EU-financiering. De respondenten uit RO (Gr.II) zijn echter van mening dat hoewel er inspanningen worden geleverd om de afstemming te verbeteren, dit geen garantie is </w:t>
      </w:r>
      <w:r>
        <w:lastRenderedPageBreak/>
        <w:t xml:space="preserve">voor een efficiënte uitvoering, terwijl in FR de koppeling als logisch en wenselijk wordt beschouwd, maar de praktische vormgeving ervan nog onduidelijk is. Ook benadrukken de respondenten uit BE dat het zowel positieve als negatieve effecten kan hebben, afhankelijk van ambitie en middelen, en wijzen ze op het voorwaardelijke en onzekere karakter van de potentiële voordelen. </w:t>
      </w:r>
    </w:p>
    <w:p w14:paraId="5BC91CDD" w14:textId="77777777" w:rsidR="00D80167" w:rsidRPr="00353502" w:rsidRDefault="00D80167" w:rsidP="001F3AF8"/>
    <w:p w14:paraId="4D652459" w14:textId="77777777" w:rsidR="00D80167" w:rsidRPr="00BF727A" w:rsidRDefault="00D80167" w:rsidP="00D80167">
      <w:pPr>
        <w:pStyle w:val="Heading3"/>
      </w:pPr>
      <w:r>
        <w:t>In IT (Gr.II), LU en SI is het een steeds terugkerende zorg dat sociale en cohesiedoelstellingen kunnen verwateren in een meer gecentraliseerd financieringsmodel. De respondenten vinden dat de economische governance niet ten koste mag gaan van sociale doelstellingen.</w:t>
      </w:r>
    </w:p>
    <w:p w14:paraId="3C3050E9" w14:textId="77777777" w:rsidR="00D80167" w:rsidRPr="00353502" w:rsidRDefault="00D80167" w:rsidP="001F3AF8"/>
    <w:p w14:paraId="249CC7AC" w14:textId="5F40D6B4" w:rsidR="00D80167" w:rsidRPr="00BF727A" w:rsidRDefault="00D80167" w:rsidP="00D80167">
      <w:pPr>
        <w:pStyle w:val="Heading3"/>
      </w:pPr>
      <w:r>
        <w:t>De sociale partners en maatschappelijke organisaties in DE, DK (Gr.II en Gr.III), IT (Gr.I en Gr.II), NL en RO (Gr.III) staan negatief tegenover de koppeling die zal worden gelegd tussen het Europees Semester en het volgende MFK. De belangrijkste zorg die met name in DK (Gr.II en Gr.III), IT (Gr.I en Gr.II) en NL is geuit, is dat de koppeling van het Europees Semester aan het volgende MFK het democratisch toezicht dreigt te beperken en de zinvolle participatie van de sociale partners, het maatschappelijk middenveld en de nationale parlementen dreigt te belemmeren, terwijl de besluitvorming zou verschuiven naar technocratische processen op EU</w:t>
      </w:r>
      <w:r w:rsidR="008C2877">
        <w:noBreakHyphen/>
      </w:r>
      <w:r>
        <w:t>niveau. De respondenten in IT, NL en RO (Gr.III) zijn bezorgd over het risico van een gebrek aan evenwicht tussen sociaal, economisch en milieubeleid en -doelstellingen. De respondenten uit DK en IT waarschuwen ook voor het risico van buitensporige conditionaliteit en een buitensporige administratieve last: meer regels, meer bureaucratie en een tragere besteding van middelen.</w:t>
      </w:r>
    </w:p>
    <w:p w14:paraId="2DA4E0D6" w14:textId="77777777" w:rsidR="00D80167" w:rsidRPr="00BF727A" w:rsidRDefault="00D80167" w:rsidP="00D80167">
      <w:pPr>
        <w:rPr>
          <w:b/>
        </w:rPr>
      </w:pPr>
    </w:p>
    <w:p w14:paraId="295232EE" w14:textId="77777777" w:rsidR="00D80167" w:rsidRPr="00BF727A" w:rsidRDefault="00D80167" w:rsidP="00D80167">
      <w:pPr>
        <w:keepNext/>
        <w:keepLines/>
        <w:rPr>
          <w:b/>
        </w:rPr>
      </w:pPr>
      <w:r>
        <w:rPr>
          <w:u w:val="single"/>
        </w:rPr>
        <w:t>Vraag 9:</w:t>
      </w:r>
      <w:r>
        <w:t xml:space="preserve"> </w:t>
      </w:r>
      <w:r>
        <w:rPr>
          <w:b/>
        </w:rPr>
        <w:t>In afwachting van het overleg en de komende onderhandelingen tussen de medewetgevers over het voorstel van de Europese Commissie (die in 2026 zouden kunnen eindigen of tot in 2027 zouden kunnen duren): wat zijn, op basis van uw ervaring, de potentiële voordelen van een dergelijk nieuw systeem en tegelijkertijd de risico’s en belemmeringen?</w:t>
      </w:r>
    </w:p>
    <w:p w14:paraId="5178AF59" w14:textId="77777777" w:rsidR="00D80167" w:rsidRPr="00BF727A" w:rsidRDefault="00D80167" w:rsidP="00D80167">
      <w:pPr>
        <w:keepNext/>
        <w:keepLines/>
        <w:rPr>
          <w:b/>
        </w:rPr>
      </w:pPr>
    </w:p>
    <w:p w14:paraId="1DEBCFD6" w14:textId="77777777" w:rsidR="00D80167" w:rsidRPr="00BF727A" w:rsidRDefault="00D80167" w:rsidP="00D80167">
      <w:pPr>
        <w:pStyle w:val="Heading3"/>
      </w:pPr>
      <w:r>
        <w:rPr>
          <w:b/>
        </w:rPr>
        <w:t>Wat de mogelijke voordelen</w:t>
      </w:r>
      <w:r>
        <w:t xml:space="preserve"> </w:t>
      </w:r>
      <w:r>
        <w:rPr>
          <w:b/>
        </w:rPr>
        <w:t>betreft</w:t>
      </w:r>
      <w:r>
        <w:t>, zijn de sociale partners en maatschappelijke organisaties in BG, CZ, ES (Gr.III), FI, HR, IT, RO (Gr.I) en SI van mening dat het nieuwe systeem de beleidscohesie kan verbeteren door de EU-financiering beter af te stemmen op de prioriteiten van het Europees Semester (hervormingen, aanbevelingen en investeringsbehoeften). Dit zou de consistentie, doelgerichtheid en strategische afstemming van het beleid ten goede komen. In EL, HR, IT, LV en PT verwachten de respondenten een meer gestroomlijnd systeem met minder administratieve lasten, vereenvoudiging en meer efficiëntie. De respondenten uit ES (Gr.II), HR, IT, LV, RO (Gr.I) onderstrepen de potentiële grotere flexibiliteit en aanpasbaarheid van de financiering. Een steeds terugkerend voordeel dat in de antwoorden van CZ, EL, HR, IT en SE naar voren kwam, is verbeterde prioritering en resultaatgerichtheid. Tot slot benadrukken de respondenten uit BE, DE, EL, ES (Gr.II), HR (Gr.III), PL en SI dat doeltreffendheid en voordelen afhangen van hoe inclusief en transparant de governance is, van de democratische legitimiteit en van de betrokkenheid van belanghebbenden.</w:t>
      </w:r>
    </w:p>
    <w:p w14:paraId="7A910ACC" w14:textId="77777777" w:rsidR="00D80167" w:rsidRPr="00BF727A" w:rsidRDefault="00D80167" w:rsidP="00D80167"/>
    <w:p w14:paraId="29582DF2" w14:textId="77777777" w:rsidR="00D80167" w:rsidRPr="00BF727A" w:rsidRDefault="00D80167" w:rsidP="00D80167">
      <w:pPr>
        <w:pStyle w:val="Heading3"/>
      </w:pPr>
      <w:r>
        <w:rPr>
          <w:b/>
        </w:rPr>
        <w:t>Wat de potentiële risico’s betreft</w:t>
      </w:r>
      <w:r>
        <w:t xml:space="preserve">, wijzen de sociale partners en maatschappelijke organisaties in AT, DE, ES (Gr.II), FR, HR, IT, LV, PL, PT, RO (Gr.I en Gr.II), SE en SI op het potentiële risico van buitensporige centralisatie en verlies van subsidiariteit, waardoor de </w:t>
      </w:r>
      <w:r>
        <w:lastRenderedPageBreak/>
        <w:t>nationale, regionale en lokale autonomie in de besluitvorming zou afnemen. Dit gaat vaak gepaard met zorgen over verminderde democratische legitimiteit en beperkte betrokkenheid van belanghebbenden. De respondenten uit BE, CZ, EL, ES, FR, HR en SK benadrukken het risico van buitensporige bureaucratie en complexiteit en een grotere administratieve last. Daarnaast wijzen de respondenten uit BG, CZ, EE, EL, IE en SI op het potentiële risico van starre conditionaliteit, die het aanpasbaarheid (flexibiliteit) zou kunnen verminderen en de uitvoering zou kunnen vertragen. De respondenten uit ES, FR, IT, NL, RO (Gr.III) en SI wijzen op het potentiële risico van een slecht sociaal evenwicht en een zwakker sociaal beleid.</w:t>
      </w:r>
    </w:p>
    <w:p w14:paraId="36E75DE1" w14:textId="77777777" w:rsidR="00D80167" w:rsidRPr="00BF727A" w:rsidRDefault="00D80167" w:rsidP="00D80167"/>
    <w:p w14:paraId="650946B8" w14:textId="77777777" w:rsidR="00D80167" w:rsidRPr="00BF727A" w:rsidRDefault="00D80167" w:rsidP="00D80167">
      <w:pPr>
        <w:pStyle w:val="Heading3"/>
        <w:rPr>
          <w:b/>
        </w:rPr>
      </w:pPr>
      <w:r>
        <w:rPr>
          <w:b/>
        </w:rPr>
        <w:t>Wat de potentiële belemmeringen betreft</w:t>
      </w:r>
      <w:r>
        <w:t>, zijn de sociale partners en maatschappelijke organisaties in BE, EL, ES (Gr.III), FR, HR, IT en NL van mening dat de grootste potentiële belemmering het hoge risico op een complexe governance en uitvoering is, met name als gevolg van coördinatieproblemen op verschillende niveaus (EU, nationaal, regionaal), een zware administratieve last en procedurele overbelasting. Ze vrezen dat het systeem te complex kan worden om het effectief te beheren, wat kan leiden tot vertragingen, inefficiëntie en coördinatieproblemen op verschillende governanceniveaus. Respondenten in BG, CZ, PT en SI wijzen ook op nationale politieke onenigheid en instabiliteit als belemmeringen die de uitvoering kunnen vertragen.</w:t>
      </w:r>
    </w:p>
    <w:p w14:paraId="2FEAF3B6" w14:textId="77777777" w:rsidR="00D80167" w:rsidRPr="008C2877" w:rsidRDefault="00D80167" w:rsidP="00D80167">
      <w:pPr>
        <w:rPr>
          <w:bCs/>
        </w:rPr>
      </w:pPr>
    </w:p>
    <w:p w14:paraId="6394520D" w14:textId="77777777" w:rsidR="00D80167" w:rsidRPr="00BF727A" w:rsidRDefault="00D80167" w:rsidP="00D80167">
      <w:pPr>
        <w:keepNext/>
        <w:keepLines/>
        <w:rPr>
          <w:b/>
        </w:rPr>
      </w:pPr>
      <w:r>
        <w:rPr>
          <w:u w:val="single"/>
        </w:rPr>
        <w:t>Vraag 10:</w:t>
      </w:r>
      <w:r>
        <w:t xml:space="preserve"> </w:t>
      </w:r>
      <w:r>
        <w:rPr>
          <w:b/>
        </w:rPr>
        <w:t>Hoe kunnen we volgens u zorgen voor een sterke en doeltreffende inbreng van lokale en regionale partners, sociale partners en maatschappelijke organisaties, alsook vertegenwoordigers van sectoren en industrieën?</w:t>
      </w:r>
    </w:p>
    <w:p w14:paraId="4C1C9AC2" w14:textId="77777777" w:rsidR="00D80167" w:rsidRPr="008C2877" w:rsidRDefault="00D80167" w:rsidP="00D80167">
      <w:pPr>
        <w:keepNext/>
        <w:keepLines/>
        <w:rPr>
          <w:bCs/>
        </w:rPr>
      </w:pPr>
    </w:p>
    <w:p w14:paraId="0069DCBF" w14:textId="77777777" w:rsidR="00D80167" w:rsidRPr="00BF727A" w:rsidRDefault="00D80167" w:rsidP="00D80167">
      <w:pPr>
        <w:pStyle w:val="Heading3"/>
      </w:pPr>
      <w:r>
        <w:t>Ten eerste onderstrepen de sociale partners en maatschappelijke organisaties in de meeste lidstaten dat het van cruciaal belang is dat de Europese Commissie in een EU-verordening duidelijke richtsnoeren voor de lidstaten ontwikkelt over hoe de sociale partners en maatschappelijke organisaties structureel en op zinvolle wijze bij het proces kunnen worden betrokken.</w:t>
      </w:r>
    </w:p>
    <w:p w14:paraId="78463DCF" w14:textId="77777777" w:rsidR="00D80167" w:rsidRPr="00353502" w:rsidRDefault="00D80167" w:rsidP="001F3AF8"/>
    <w:p w14:paraId="39BE37C5" w14:textId="77777777" w:rsidR="00D80167" w:rsidRPr="00BF727A" w:rsidRDefault="00D80167" w:rsidP="00D80167">
      <w:pPr>
        <w:pStyle w:val="Heading3"/>
      </w:pPr>
      <w:r>
        <w:t>Ten tweede benadrukken de sociale partners en maatschappelijke organisaties in AT, CZ, DK (Gr.II en Gr.III), EE, ES, FI, FR, HR (Gr.I) en Gr.III), HU, IT, LV, NL, PT en SI dat de Europese Commissie ook een “controle van het maatschappelijk middenveld” moet voorstellen om de volledige betrokkenheid van nationale vertegenwoordigers van het maatschappelijk middenveld bij de voorbereiding, uitvoering en evaluatie van de plannen te waarborgen.</w:t>
      </w:r>
    </w:p>
    <w:p w14:paraId="516E554F" w14:textId="77777777" w:rsidR="00D80167" w:rsidRPr="00353502" w:rsidRDefault="00D80167" w:rsidP="001F3AF8"/>
    <w:p w14:paraId="10CBA240" w14:textId="77777777" w:rsidR="00D80167" w:rsidRPr="00BF727A" w:rsidRDefault="00D80167" w:rsidP="00D80167">
      <w:pPr>
        <w:pStyle w:val="Heading3"/>
      </w:pPr>
      <w:r>
        <w:t>Ten derde zijn de respondenten uit BG, CZ, DE, DK, EL, ES, FR (Gr.III), HR (Gr.I en Gr.II), IT, MT, PT, SE, SI en SK van mening dat de Europese Commissie de nationale sociale partners en maatschappelijke organisaties moet vragen voorstellen in te dienen om de in het Europees Semester geïdentificeerde uitdagingen aan te pakken, op basis van beleidsbepalende factoren, in het bijzonder wanneer deze uitdagingen verband houden met sociale, werk- en arbeidsmarktkwesties, zoals geïdentificeerd in het kader voor sociale convergentie.</w:t>
      </w:r>
    </w:p>
    <w:p w14:paraId="6F1C2FF6" w14:textId="77777777" w:rsidR="00D80167" w:rsidRPr="00353502" w:rsidRDefault="00D80167" w:rsidP="001F3AF8"/>
    <w:p w14:paraId="2768F1D8" w14:textId="77777777" w:rsidR="00D80167" w:rsidRPr="00BF727A" w:rsidRDefault="00D80167" w:rsidP="00D80167">
      <w:pPr>
        <w:pStyle w:val="Heading3"/>
      </w:pPr>
      <w:r>
        <w:t>Ten vierde roepen de respondenten uit BG, CZ, EL, ES, IE, IT (Gr.II en Gr.III), LV, MT, PT, SI en SK de Europese Commissie op om van zinvolle betrokkenheid van sociale partners en maatschappelijke organisaties een criterium te maken voor het goedkeuren of, als er geen sprake is van een dergelijke betrokkenheid, afwijzen van nationale plannen.</w:t>
      </w:r>
    </w:p>
    <w:p w14:paraId="0012C084" w14:textId="77777777" w:rsidR="00D80167" w:rsidRPr="008C2877" w:rsidRDefault="00D80167" w:rsidP="008C2877">
      <w:pPr>
        <w:shd w:val="clear" w:color="auto" w:fill="FFFFFF" w:themeFill="background1"/>
        <w:spacing w:line="240" w:lineRule="auto"/>
        <w:rPr>
          <w:sz w:val="2"/>
          <w:szCs w:val="2"/>
        </w:rPr>
      </w:pPr>
    </w:p>
    <w:p w14:paraId="6A7041A5" w14:textId="77777777" w:rsidR="00D80167" w:rsidRPr="00BF727A" w:rsidRDefault="00D80167" w:rsidP="00D80167">
      <w:pPr>
        <w:pStyle w:val="Heading3"/>
      </w:pPr>
      <w:r>
        <w:lastRenderedPageBreak/>
        <w:t>Ten vijfde benadrukken de sociale partners en maatschappelijke organisaties in DE, EL, ES, HR, IE, IT, LT, LV, PL en SI dat de Europese Commissie het beginsel van partnerschap moet versterken door de gedragscode te verbeteren en financiering vrij te maken voor capaciteitsopbouw en technische bijstand. Ze vinden dat alle belanghebbenden op elk niveau effectief moeten worden betrokken bij de besluitvorming over de toewijzing van middelen, strategische prioriteiten, programma’s, indicatoren en evaluaties.</w:t>
      </w:r>
    </w:p>
    <w:p w14:paraId="6F9351E6" w14:textId="77777777" w:rsidR="00D80167" w:rsidRPr="00353502" w:rsidRDefault="00D80167" w:rsidP="001F3AF8"/>
    <w:p w14:paraId="01B9CECF" w14:textId="77777777" w:rsidR="00D80167" w:rsidRPr="00E66C2D" w:rsidRDefault="00D80167" w:rsidP="00D80167">
      <w:pPr>
        <w:pStyle w:val="Heading3"/>
        <w:rPr>
          <w:b/>
        </w:rPr>
      </w:pPr>
      <w:r>
        <w:t>Tot slot stellen de respondenten uit IE voor dat de Commissie leidende beginselen ontwikkelt in de vorm van een richtlijn in plaats van een verordening, zodat deze gemakkelijk kunnen worden aangepast aan de verschillende nationale mechanismen voor dialoog. Een aantal bedrijfsvertegenwoordigers in IT stellen voor om een permanente Europese waarnemingspost op te richten en een jaarverslag op te stellen over de beste praktijken in beleidslijnen en programma’s voor de ontwikkeling van kleine en middelgrote ondernemingen.</w:t>
      </w:r>
    </w:p>
    <w:p w14:paraId="503F7E31" w14:textId="77777777" w:rsidR="00D80167" w:rsidRPr="00EE18EC" w:rsidRDefault="00D80167" w:rsidP="00D80167">
      <w:pPr>
        <w:ind w:left="567"/>
      </w:pPr>
    </w:p>
    <w:p w14:paraId="2ED8F0FA" w14:textId="77777777" w:rsidR="00D80167" w:rsidRPr="00E66C2D" w:rsidRDefault="00D80167" w:rsidP="00D80167">
      <w:pPr>
        <w:pStyle w:val="Heading1"/>
        <w:keepNext/>
        <w:keepLines/>
      </w:pPr>
      <w:r>
        <w:rPr>
          <w:b/>
        </w:rPr>
        <w:t>Conclusies</w:t>
      </w:r>
    </w:p>
    <w:p w14:paraId="53A162C3" w14:textId="77777777" w:rsidR="00D80167" w:rsidRPr="00EE18EC" w:rsidRDefault="00D80167" w:rsidP="00D80167">
      <w:pPr>
        <w:keepNext/>
        <w:keepLines/>
      </w:pPr>
    </w:p>
    <w:p w14:paraId="7156B8AA" w14:textId="77777777" w:rsidR="00D80167" w:rsidRPr="00BF727A" w:rsidRDefault="00D80167" w:rsidP="00D80167">
      <w:pPr>
        <w:pStyle w:val="Heading3"/>
      </w:pPr>
      <w:r>
        <w:t>In alle lidstaten worden de landspecifieke aanbevelingen door de sociale partners en maatschappelijke organisaties algemeen aanvaard als relevant en afgestemd op de belangrijkste nationale economische en structurele uitdagingen. Deze acceptatie gaat echter consequent gepaard met gemelde tekortkomingen met betrekking tot de omzetting van deze aanbevelingen in concrete beleidsmaatregelen door nationale regeringen, evenals de betrokkenheid van de sociale partners en maatschappelijke organisaties. Daarnaast wijzen belanghebbenden vaak op een gebrek aan evenwicht in beleidsprioriteiten, waarbij economische en begrotingsdoelstellingen meer aandacht lijken te krijgen dan sociale overwegingen. Sociale dimensies, waaronder arbeidsmarktomstandigheden, lonen en ongelijkheid, worden vaak als ondervertegenwoordigd beschouwd in verschillende beleidskaders. Dit gebrek aan evenwicht wordt gezien als een bijdrage aan een breder structureel democratisch tekort in het Europees Semester, waardoor zowel de legitimiteit als de effectiviteit van de beleidscoördinatie van de EU kan worden ondermijnd. Bovendien wordt de mate van uitvoering van sociale landspecifieke aanbevelingen vaak als onvoldoende, inefficiënt of ontbrekend ervaren, zelfs als ze na verloop van tijd een zekere nationale hervormingsdynamiek op gang brengen.</w:t>
      </w:r>
    </w:p>
    <w:p w14:paraId="26F74C31" w14:textId="77777777" w:rsidR="00D80167" w:rsidRPr="00353502" w:rsidRDefault="00D80167" w:rsidP="001F3AF8"/>
    <w:p w14:paraId="7832C625" w14:textId="77777777" w:rsidR="00D80167" w:rsidRPr="00BF727A" w:rsidRDefault="00D80167" w:rsidP="00D80167">
      <w:pPr>
        <w:pStyle w:val="Heading3"/>
      </w:pPr>
      <w:r>
        <w:t xml:space="preserve">Wat de uitvoering van de herstel- en veerkrachtfaciliteit betreft, stellen veel belanghebbenden vast dat er een kloof bestaat tussen de beleidsopzet en de daadwerkelijke uitvoering, waarbij de uitvoering wordt beschreven als ongelijkmatig, onvolledig of belemmerd door administratieve en institutionele beperkingen. Een steeds terugkerend punt van zorg is de rol van administratieve capaciteit en complexe procedures. </w:t>
      </w:r>
    </w:p>
    <w:p w14:paraId="4EE86B2F" w14:textId="77777777" w:rsidR="00D80167" w:rsidRPr="00353502" w:rsidRDefault="00D80167" w:rsidP="001F3AF8"/>
    <w:p w14:paraId="4564B9B9" w14:textId="77777777" w:rsidR="00D80167" w:rsidRPr="00BF727A" w:rsidRDefault="00D80167" w:rsidP="00D80167">
      <w:pPr>
        <w:pStyle w:val="Heading3"/>
        <w:rPr>
          <w:b/>
          <w:bCs/>
        </w:rPr>
      </w:pPr>
      <w:r>
        <w:t>Wat de middelen betreft die beschikbaar zijn voor de sociale partners en maatschappelijke organisaties en hun vermogen om de uitvoering van het nationaal budgettair-structureel plan voor de middellange termijn en het jaarlijkse voortgangsverslag te monitoren, benadrukken de respondenten dat beperkte middelen, een zware administratieve last en gefragmenteerde processen van invloed zijn op zowel de uitvoering van de hervormingen als hun vermogen om de voortgang doeltreffend te monitoren. Deze beperkingen worden vaak nog verergerd door onvoldoende transparantie en beperkte beschikbaarheid van tijdige en bruikbare gegevens.</w:t>
      </w:r>
    </w:p>
    <w:p w14:paraId="4435CB45" w14:textId="77777777" w:rsidR="00D80167" w:rsidRPr="00BF727A" w:rsidRDefault="00D80167" w:rsidP="00D80167"/>
    <w:p w14:paraId="5EC3E078" w14:textId="77777777" w:rsidR="00D80167" w:rsidRPr="00BF727A" w:rsidRDefault="00D80167" w:rsidP="00D80167">
      <w:pPr>
        <w:pStyle w:val="Heading3"/>
      </w:pPr>
      <w:r>
        <w:lastRenderedPageBreak/>
        <w:t>Een andere consistente bevinding heeft betrekking op de betrokkenheid van de sociale partners en maatschappelijke organisaties bij het Europees Semester en aanverwante EU-instrumenten. Hoewel er in de meeste lidstaten formele raadplegingsmechanismen bestaan, wordt de participatie over het algemeen als wezenlijk onvoldoende bestempeld, vindt ze vaak te laat in het proces plaats of heeft ze beperkte invloed op de uiteindelijke beleidsbeslissingen. Dit leidt tot de perceptie dat betrokkenheid nog steeds eerder procedureel dan impactvol is.</w:t>
      </w:r>
    </w:p>
    <w:p w14:paraId="1B874399" w14:textId="77777777" w:rsidR="00D80167" w:rsidRPr="00353502" w:rsidRDefault="00D80167" w:rsidP="001F3AF8"/>
    <w:p w14:paraId="4BDF9450" w14:textId="5CC4D069" w:rsidR="00210400" w:rsidRPr="00246446" w:rsidRDefault="00D80167" w:rsidP="00210400">
      <w:pPr>
        <w:pStyle w:val="Heading3"/>
      </w:pPr>
      <w:r>
        <w:t>Wat de koppeling tussen het MFK en het Europees Semester betreft, zijn er tegenstrijdige standpunten over enerzijds de inspanningen om de coördinatie op EU-niveau te versterken en anderzijds de bezorgdheid over centralisatie. Hoewel de nauwere afstemming tussen EU</w:t>
      </w:r>
      <w:r w:rsidR="008C2877">
        <w:noBreakHyphen/>
      </w:r>
      <w:r>
        <w:t>instrumenten, met name het Europees Semester en het volgende meerjarig financieel kader, en nationaal beleid wordt erkend als een potentiële manier om de samenhang en doeltreffendheid te verbeteren, uiten belanghebbenden in verschillende lidstaten hun bezorgdheid over de gevolgen ervan. Deze omvatten mogelijke gevolgen voor de nationale autonomie, risico’s voor het democratisch toezicht en een mogelijk gebrek aan evenwicht in de besluitvormingsprocessen, vooral als de governance meer gecentraliseerd wordt of conditionaliteit toeneemt.</w:t>
      </w:r>
    </w:p>
    <w:p w14:paraId="186458E1" w14:textId="77777777" w:rsidR="00360204" w:rsidRPr="00246446" w:rsidRDefault="00360204" w:rsidP="00ED0759"/>
    <w:p w14:paraId="66784737" w14:textId="1BE63348" w:rsidR="00360204" w:rsidRPr="00246446" w:rsidRDefault="00360204" w:rsidP="00ED0759">
      <w:r>
        <w:t>Brussel, 18 juni 2026.</w:t>
      </w:r>
    </w:p>
    <w:p w14:paraId="4E9E7280" w14:textId="77777777" w:rsidR="00360204" w:rsidRPr="00246446" w:rsidRDefault="00360204" w:rsidP="00ED0759"/>
    <w:p w14:paraId="2F9B84FF" w14:textId="77777777" w:rsidR="00360204" w:rsidRPr="00246446" w:rsidRDefault="00360204" w:rsidP="00360204"/>
    <w:p w14:paraId="04C42146" w14:textId="581F06D5" w:rsidR="00735641" w:rsidRPr="00530BE9" w:rsidRDefault="00735641" w:rsidP="00735641">
      <w:pPr>
        <w:jc w:val="left"/>
        <w:rPr>
          <w:i/>
          <w:iCs/>
        </w:rPr>
      </w:pPr>
      <w:r>
        <w:rPr>
          <w:i/>
        </w:rPr>
        <w:t>De voorzitter van het Europees Economisch en Sociaal Comité</w:t>
      </w:r>
    </w:p>
    <w:p w14:paraId="3914066A" w14:textId="32E1ABB0" w:rsidR="00E2376B" w:rsidRPr="00246446" w:rsidRDefault="00735641" w:rsidP="00E2376B">
      <w:r>
        <w:t>Séamus BOLAND</w:t>
      </w:r>
    </w:p>
    <w:p w14:paraId="46FCDD49" w14:textId="561D4155" w:rsidR="00ED0759" w:rsidRPr="00574C9B" w:rsidRDefault="00E2376B" w:rsidP="00DB7F50">
      <w:pPr>
        <w:jc w:val="center"/>
      </w:pPr>
      <w:r>
        <w:t>_____________</w:t>
      </w:r>
    </w:p>
    <w:sectPr w:rsidR="00ED0759" w:rsidRPr="00574C9B" w:rsidSect="001E74A1">
      <w:headerReference w:type="even" r:id="rId21"/>
      <w:headerReference w:type="default" r:id="rId22"/>
      <w:footerReference w:type="default" r:id="rId23"/>
      <w:headerReference w:type="first" r:id="rId24"/>
      <w:pgSz w:w="11907" w:h="16839" w:code="9"/>
      <w:pgMar w:top="1418" w:right="1418" w:bottom="1418" w:left="1418" w:header="709"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A9892" w14:textId="77777777" w:rsidR="00286BA8" w:rsidRDefault="00286BA8" w:rsidP="00F53370">
      <w:pPr>
        <w:spacing w:line="240" w:lineRule="auto"/>
      </w:pPr>
      <w:r>
        <w:separator/>
      </w:r>
    </w:p>
  </w:endnote>
  <w:endnote w:type="continuationSeparator" w:id="0">
    <w:p w14:paraId="24503884" w14:textId="77777777" w:rsidR="00286BA8" w:rsidRDefault="00286BA8" w:rsidP="00F533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451F9" w14:textId="77777777" w:rsidR="00252A94" w:rsidRDefault="00252A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7CE03" w14:textId="77777777" w:rsidR="00252A94" w:rsidRDefault="00252A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395D2" w14:textId="77777777" w:rsidR="00252A94" w:rsidRDefault="00252A9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FD4BD" w14:textId="77777777" w:rsidR="00574C9B" w:rsidRDefault="00574C9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3217E" w14:textId="10386CFA" w:rsidR="0013369C" w:rsidRPr="003065C9" w:rsidRDefault="000425A4" w:rsidP="000425A4">
    <w:pPr>
      <w:pStyle w:val="Footer"/>
      <w:jc w:val="left"/>
    </w:pPr>
    <w:r>
      <w:t xml:space="preserve">ECO/691 – EESC-2025-04323-00-02-RI-TRA (EN) </w:t>
    </w:r>
    <w:r>
      <w:fldChar w:fldCharType="begin"/>
    </w:r>
    <w:r>
      <w:instrText xml:space="preserve"> PAGE  \* Arabic  \* MERGEFORMAT </w:instrText>
    </w:r>
    <w:r>
      <w:fldChar w:fldCharType="separate"/>
    </w:r>
    <w:r>
      <w:t>2</w:t>
    </w:r>
    <w:r>
      <w:fldChar w:fldCharType="end"/>
    </w:r>
    <w:r>
      <w:t>/</w:t>
    </w:r>
    <w:r>
      <w:fldChar w:fldCharType="begin"/>
    </w:r>
    <w:r>
      <w:instrText xml:space="preserve"> = </w:instrText>
    </w:r>
    <w:fldSimple w:instr=" NUMPAGES ">
      <w:r w:rsidR="00941EC1">
        <w:rPr>
          <w:noProof/>
        </w:rPr>
        <w:instrText>14</w:instrText>
      </w:r>
    </w:fldSimple>
    <w:r>
      <w:instrText xml:space="preserve"> - 2 </w:instrText>
    </w:r>
    <w:r>
      <w:fldChar w:fldCharType="separate"/>
    </w:r>
    <w:r w:rsidR="00941EC1">
      <w:rPr>
        <w:noProof/>
      </w:rPr>
      <w:t>12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559D4" w14:textId="77777777" w:rsidR="00286BA8" w:rsidRDefault="00286BA8" w:rsidP="00F53370">
      <w:pPr>
        <w:spacing w:line="240" w:lineRule="auto"/>
      </w:pPr>
      <w:r>
        <w:separator/>
      </w:r>
    </w:p>
  </w:footnote>
  <w:footnote w:type="continuationSeparator" w:id="0">
    <w:p w14:paraId="34424054" w14:textId="77777777" w:rsidR="00286BA8" w:rsidRDefault="00286BA8" w:rsidP="00F53370">
      <w:pPr>
        <w:spacing w:line="240" w:lineRule="auto"/>
      </w:pPr>
      <w:r>
        <w:continuationSeparator/>
      </w:r>
    </w:p>
  </w:footnote>
  <w:footnote w:id="1">
    <w:p w14:paraId="7E52E97E" w14:textId="148E097D" w:rsidR="00D31AA3" w:rsidRPr="00574598" w:rsidRDefault="00D31AA3" w:rsidP="00D31AA3">
      <w:pPr>
        <w:pStyle w:val="FootnoteText"/>
      </w:pPr>
      <w:r>
        <w:rPr>
          <w:rStyle w:val="FootnoteReference"/>
        </w:rPr>
        <w:footnoteRef/>
      </w:r>
      <w:r>
        <w:tab/>
      </w:r>
      <w:hyperlink r:id="rId1" w:history="1">
        <w:r>
          <w:rPr>
            <w:rStyle w:val="Hyperlink"/>
          </w:rPr>
          <w:t>Aanbevelingen van het EESC over de hervormings- en investeringsvoorstellen die zijn geformuleerd in het kader van de cyclus van het Europees Semester 2025-2026</w:t>
        </w:r>
      </w:hyperlink>
      <w:r>
        <w:t>.</w:t>
      </w:r>
    </w:p>
  </w:footnote>
  <w:footnote w:id="2">
    <w:p w14:paraId="4DD478BD" w14:textId="58C9E99B" w:rsidR="00D31AA3" w:rsidRPr="00574598" w:rsidRDefault="00D31AA3" w:rsidP="00D31AA3">
      <w:pPr>
        <w:pStyle w:val="FootnoteText"/>
      </w:pPr>
      <w:r>
        <w:rPr>
          <w:rStyle w:val="FootnoteReference"/>
        </w:rPr>
        <w:footnoteRef/>
      </w:r>
      <w:r>
        <w:tab/>
      </w:r>
      <w:hyperlink r:id="rId2" w:history="1">
        <w:r>
          <w:rPr>
            <w:rStyle w:val="Hyperlink"/>
          </w:rPr>
          <w:t>Bijlage</w:t>
        </w:r>
      </w:hyperlink>
      <w:r>
        <w:t>.</w:t>
      </w:r>
    </w:p>
  </w:footnote>
  <w:footnote w:id="3">
    <w:p w14:paraId="379982BE" w14:textId="751C65A6" w:rsidR="00D31AA3" w:rsidRPr="00574598" w:rsidRDefault="00D31AA3" w:rsidP="00D31AA3">
      <w:pPr>
        <w:pStyle w:val="FootnoteText"/>
      </w:pPr>
      <w:r>
        <w:rPr>
          <w:rStyle w:val="FootnoteReference"/>
        </w:rPr>
        <w:footnoteRef/>
      </w:r>
      <w:r>
        <w:tab/>
      </w:r>
      <w:hyperlink r:id="rId3" w:history="1">
        <w:r>
          <w:rPr>
            <w:rStyle w:val="Hyperlink"/>
          </w:rPr>
          <w:t>Landspecifieke aanbevelingen 2025</w:t>
        </w:r>
      </w:hyperlink>
      <w:r>
        <w:t>.</w:t>
      </w:r>
    </w:p>
  </w:footnote>
  <w:footnote w:id="4">
    <w:p w14:paraId="7ADE5DC3" w14:textId="5AAEA92E" w:rsidR="00210400" w:rsidRPr="00447ECF" w:rsidRDefault="00210400" w:rsidP="00210400">
      <w:pPr>
        <w:pStyle w:val="FootnoteText"/>
      </w:pPr>
      <w:r>
        <w:rPr>
          <w:rStyle w:val="FootnoteReference"/>
        </w:rPr>
        <w:footnoteRef/>
      </w:r>
      <w:r>
        <w:tab/>
      </w:r>
      <w:hyperlink r:id="rId4" w:anchor="#hungary" w:history="1">
        <w:r>
          <w:rPr>
            <w:rStyle w:val="Hyperlink"/>
          </w:rPr>
          <w:t>Nationale budgettair-structurele plannen voor de middellange termijn — Europese Commissie</w:t>
        </w:r>
      </w:hyperlink>
      <w:r>
        <w:t>.</w:t>
      </w:r>
    </w:p>
  </w:footnote>
  <w:footnote w:id="5">
    <w:p w14:paraId="3FBFFDB2" w14:textId="1BF3CF33" w:rsidR="00210400" w:rsidRPr="00447ECF" w:rsidRDefault="00210400" w:rsidP="00210400">
      <w:pPr>
        <w:pStyle w:val="FootnoteText"/>
      </w:pPr>
      <w:r>
        <w:rPr>
          <w:rStyle w:val="FootnoteReference"/>
        </w:rPr>
        <w:footnoteRef/>
      </w:r>
      <w:r>
        <w:tab/>
      </w:r>
      <w:hyperlink r:id="rId5">
        <w:r>
          <w:rPr>
            <w:rStyle w:val="Hyperlink"/>
          </w:rPr>
          <w:t>Herziening van het kader voor economisch bestuur</w:t>
        </w:r>
      </w:hyperlink>
      <w:r>
        <w:t>.</w:t>
      </w:r>
    </w:p>
  </w:footnote>
  <w:footnote w:id="6">
    <w:p w14:paraId="2C2B3414" w14:textId="77777777" w:rsidR="00D80167" w:rsidRPr="00F458A6" w:rsidRDefault="00D80167" w:rsidP="00D80167">
      <w:pPr>
        <w:pStyle w:val="FootnoteText"/>
      </w:pPr>
      <w:r>
        <w:rPr>
          <w:rStyle w:val="FootnoteReference"/>
        </w:rPr>
        <w:footnoteRef/>
      </w:r>
      <w:r>
        <w:tab/>
        <w:t>Een meer gedetailleerde beschrijving van de methodologie is beschikbaar in de bijlage.</w:t>
      </w:r>
    </w:p>
  </w:footnote>
  <w:footnote w:id="7">
    <w:p w14:paraId="10799C37" w14:textId="77777777" w:rsidR="00D80167" w:rsidRPr="00005D99" w:rsidRDefault="00D80167" w:rsidP="00D80167">
      <w:pPr>
        <w:pStyle w:val="FootnoteText"/>
      </w:pPr>
      <w:r>
        <w:rPr>
          <w:rStyle w:val="FootnoteReference"/>
        </w:rPr>
        <w:footnoteRef/>
      </w:r>
      <w:r>
        <w:tab/>
        <w:t>Uit België (BE), Bulgarije (BG), Denemarken (DK), Duitsland (DE), Finland (FI), Griekenland (EL), Hongarije (HU), Ierland (IE), Italië (IT), Kroatië (HR), Letland (LV), Litouwen (LT), Luxemburg (LU), Malta (MT), Nederland (NL), Polen (PL), Portugal (PT), Slovenië (SL), Slowakije (SK), Spanje (ES), Tsjechië (CZ) en Zweden (SE).</w:t>
      </w:r>
    </w:p>
  </w:footnote>
  <w:footnote w:id="8">
    <w:p w14:paraId="246A9F42" w14:textId="141813E7" w:rsidR="00D80167" w:rsidRPr="00005D99" w:rsidRDefault="00D80167" w:rsidP="00D80167">
      <w:pPr>
        <w:pStyle w:val="FootnoteText"/>
      </w:pPr>
      <w:r>
        <w:rPr>
          <w:rStyle w:val="FootnoteReference"/>
        </w:rPr>
        <w:footnoteRef/>
      </w:r>
      <w:r>
        <w:tab/>
        <w:t>In Roemenië op 3 februari 2026 (</w:t>
      </w:r>
      <w:hyperlink r:id="rId6" w:history="1">
        <w:r>
          <w:rPr>
            <w:rStyle w:val="Hyperlink"/>
          </w:rPr>
          <w:t>verslag</w:t>
        </w:r>
      </w:hyperlink>
      <w:r>
        <w:t>), in Cyprus (CY) op 4 februari 2026 (</w:t>
      </w:r>
      <w:hyperlink r:id="rId7" w:history="1">
        <w:r>
          <w:rPr>
            <w:rStyle w:val="Hyperlink"/>
          </w:rPr>
          <w:t>verslag</w:t>
        </w:r>
      </w:hyperlink>
      <w:r>
        <w:t>), in Estland (EE) op 9 februari 2026 (</w:t>
      </w:r>
      <w:hyperlink r:id="rId8" w:history="1">
        <w:r>
          <w:rPr>
            <w:rStyle w:val="Hyperlink"/>
          </w:rPr>
          <w:t>verslag</w:t>
        </w:r>
      </w:hyperlink>
      <w:r>
        <w:t>), in Oostenrijk (AT) op 24 februari 2026 (</w:t>
      </w:r>
      <w:hyperlink r:id="rId9" w:history="1">
        <w:r>
          <w:rPr>
            <w:rStyle w:val="Hyperlink"/>
          </w:rPr>
          <w:t>verslag</w:t>
        </w:r>
      </w:hyperlink>
      <w:r>
        <w:t>) en in Frankrijk (FR) op 2 maart 2026 (</w:t>
      </w:r>
      <w:hyperlink r:id="rId10" w:history="1">
        <w:r>
          <w:rPr>
            <w:rStyle w:val="Hyperlink"/>
          </w:rPr>
          <w:t>verslag</w:t>
        </w:r>
      </w:hyperlink>
      <w:r>
        <w:t>).</w:t>
      </w:r>
    </w:p>
  </w:footnote>
  <w:footnote w:id="9">
    <w:p w14:paraId="565ED8C9" w14:textId="77777777" w:rsidR="00D80167" w:rsidRPr="00A46610" w:rsidRDefault="00D80167" w:rsidP="00D80167">
      <w:pPr>
        <w:pStyle w:val="FootnoteText"/>
      </w:pPr>
      <w:r>
        <w:rPr>
          <w:rStyle w:val="FootnoteReference"/>
        </w:rPr>
        <w:footnoteRef/>
      </w:r>
      <w:r>
        <w:tab/>
        <w:t>De samenstelling van deze delegaties is opgenomen in de bijlage.</w:t>
      </w:r>
    </w:p>
  </w:footnote>
  <w:footnote w:id="10">
    <w:p w14:paraId="0FAF8072" w14:textId="3E56C8CD" w:rsidR="00D80167" w:rsidRPr="00761545" w:rsidRDefault="00D80167" w:rsidP="00D80167">
      <w:pPr>
        <w:pStyle w:val="FootnoteText"/>
      </w:pPr>
      <w:r>
        <w:rPr>
          <w:rStyle w:val="FootnoteReference"/>
        </w:rPr>
        <w:footnoteRef/>
      </w:r>
      <w:r>
        <w:tab/>
      </w:r>
      <w:hyperlink r:id="rId11" w:history="1">
        <w:r>
          <w:rPr>
            <w:rStyle w:val="Hyperlink"/>
          </w:rPr>
          <w:t>Verbindingsgroep met Europese organisaties en netwerken van het maatschappelijk middenveld</w:t>
        </w:r>
      </w:hyperlink>
      <w:r>
        <w:t>.</w:t>
      </w:r>
    </w:p>
  </w:footnote>
  <w:footnote w:id="11">
    <w:p w14:paraId="383DA15D" w14:textId="77777777" w:rsidR="00D80167" w:rsidRPr="00F95C2C" w:rsidRDefault="00D80167" w:rsidP="00D80167">
      <w:pPr>
        <w:pStyle w:val="FootnoteText"/>
      </w:pPr>
      <w:r>
        <w:rPr>
          <w:rStyle w:val="FootnoteReference"/>
        </w:rPr>
        <w:footnoteRef/>
      </w:r>
      <w:r>
        <w:tab/>
        <w:t>Gr.I: Groep I (werkgevers) — Gr.II: Groep II (werknemers) — Gr.III: Groep III (maatschappelijke organisaties).</w:t>
      </w:r>
    </w:p>
  </w:footnote>
  <w:footnote w:id="12">
    <w:p w14:paraId="2F643518" w14:textId="77777777" w:rsidR="00D80167" w:rsidRPr="00954E59" w:rsidRDefault="00D80167" w:rsidP="00D80167">
      <w:pPr>
        <w:pStyle w:val="FootnoteText"/>
      </w:pPr>
      <w:r>
        <w:rPr>
          <w:rStyle w:val="FootnoteReference"/>
        </w:rPr>
        <w:footnoteRef/>
      </w:r>
      <w:r>
        <w:tab/>
        <w:t>Dit standpunt wordt gedeeld door ten minste enkele vertegenwoordigers uit Gr.I in HR.</w:t>
      </w:r>
    </w:p>
  </w:footnote>
  <w:footnote w:id="13">
    <w:p w14:paraId="3255980F" w14:textId="77777777" w:rsidR="00D80167" w:rsidRPr="00954E59" w:rsidRDefault="00D80167" w:rsidP="00D80167">
      <w:pPr>
        <w:pStyle w:val="FootnoteText"/>
      </w:pPr>
      <w:r>
        <w:rPr>
          <w:rStyle w:val="FootnoteReference"/>
        </w:rPr>
        <w:footnoteRef/>
      </w:r>
      <w:r>
        <w:tab/>
        <w:t>Dit standpunt wordt gedeeld door respondenten uit Gr.I en Gr.II, evenals door ten minste enkele vertegenwoordigers uit Gr.III in IT.</w:t>
      </w:r>
    </w:p>
  </w:footnote>
  <w:footnote w:id="14">
    <w:p w14:paraId="18B75616" w14:textId="77777777" w:rsidR="00D80167" w:rsidRPr="00954E59" w:rsidRDefault="00D80167" w:rsidP="00D80167">
      <w:pPr>
        <w:pStyle w:val="FootnoteText"/>
      </w:pPr>
      <w:r>
        <w:rPr>
          <w:rStyle w:val="FootnoteReference"/>
        </w:rPr>
        <w:footnoteRef/>
      </w:r>
      <w:r>
        <w:tab/>
        <w:t>Dit standpunt wordt gedeeld door ten minste enkele vertegenwoordigers uit Gr.I in HR.</w:t>
      </w:r>
    </w:p>
  </w:footnote>
  <w:footnote w:id="15">
    <w:p w14:paraId="4C6E4D47" w14:textId="77777777" w:rsidR="00D80167" w:rsidRPr="00954E59" w:rsidRDefault="00D80167" w:rsidP="00D80167">
      <w:pPr>
        <w:pStyle w:val="FootnoteText"/>
      </w:pPr>
      <w:r>
        <w:rPr>
          <w:rStyle w:val="FootnoteReference"/>
        </w:rPr>
        <w:footnoteRef/>
      </w:r>
      <w:r>
        <w:tab/>
        <w:t>Dit standpunt wordt gedeeld door ten minste enkele vertegenwoordigers uit Gr.III in IT.</w:t>
      </w:r>
    </w:p>
  </w:footnote>
  <w:footnote w:id="16">
    <w:p w14:paraId="3E977AFA" w14:textId="77777777" w:rsidR="00D80167" w:rsidRPr="00954E59" w:rsidRDefault="00D80167" w:rsidP="00D80167">
      <w:pPr>
        <w:pStyle w:val="FootnoteText"/>
      </w:pPr>
      <w:r>
        <w:rPr>
          <w:rStyle w:val="FootnoteReference"/>
        </w:rPr>
        <w:footnoteRef/>
      </w:r>
      <w:r>
        <w:tab/>
        <w:t>Dit standpunt wordt gedeeld door respondenten uit Gr.I en Gr.III, evenals door ten minste enkele vertegenwoordigers uit Gr.II in IT.</w:t>
      </w:r>
    </w:p>
  </w:footnote>
  <w:footnote w:id="17">
    <w:p w14:paraId="5455AF06" w14:textId="77777777" w:rsidR="00D80167" w:rsidRPr="00954E59" w:rsidRDefault="00D80167" w:rsidP="00D80167">
      <w:pPr>
        <w:pStyle w:val="FootnoteText"/>
      </w:pPr>
      <w:r>
        <w:rPr>
          <w:rStyle w:val="FootnoteReference"/>
        </w:rPr>
        <w:footnoteRef/>
      </w:r>
      <w:r>
        <w:tab/>
        <w:t>Dit standpunt wordt gedeeld door ten minste enkele vertegenwoordigers uit Gr.II in 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4A669" w14:textId="252CAFAF" w:rsidR="00574C9B" w:rsidRDefault="00286BA8">
    <w:pPr>
      <w:pStyle w:val="Header"/>
    </w:pPr>
    <w:r>
      <w:pict w14:anchorId="3E5C97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6" o:spid="_x0000_s1036" type="#_x0000_t75" style="position:absolute;left:0;text-align:left;margin-left:0;margin-top:0;width:595.2pt;height:841.9pt;z-index:-251649024;mso-position-horizontal:center;mso-position-horizontal-relative:margin;mso-position-vertical:center;mso-position-vertical-relative:margin" o:allowincell="f">
          <v:imagedata r:id="rId1" o:title="footer onl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CD6FB" w14:textId="77777777" w:rsidR="008C2877" w:rsidRDefault="008C2877" w:rsidP="008C2877">
    <w:pPr>
      <w:pStyle w:val="Header"/>
    </w:pPr>
    <w:r>
      <w:rPr>
        <w:noProof/>
        <w:lang w:val="en-US"/>
      </w:rPr>
      <w:drawing>
        <wp:anchor distT="0" distB="0" distL="114300" distR="114300" simplePos="0" relativeHeight="251677696" behindDoc="0" locked="0" layoutInCell="1" allowOverlap="1" wp14:anchorId="0C3015A2" wp14:editId="2BBA8F0A">
          <wp:simplePos x="0" y="0"/>
          <wp:positionH relativeFrom="page">
            <wp:posOffset>214685</wp:posOffset>
          </wp:positionH>
          <wp:positionV relativeFrom="page">
            <wp:posOffset>198783</wp:posOffset>
          </wp:positionV>
          <wp:extent cx="7117009" cy="3387255"/>
          <wp:effectExtent l="0" t="0" r="8255" b="3810"/>
          <wp:wrapNone/>
          <wp:docPr id="6" name="Picture 6" title="EESCLogo2021_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vis-20213.jpg"/>
                  <pic:cNvPicPr/>
                </pic:nvPicPr>
                <pic:blipFill>
                  <a:blip r:embed="rId1">
                    <a:extLst>
                      <a:ext uri="{28A0092B-C50C-407E-A947-70E740481C1C}">
                        <a14:useLocalDpi xmlns:a14="http://schemas.microsoft.com/office/drawing/2010/main" val="0"/>
                      </a:ext>
                    </a:extLst>
                  </a:blip>
                  <a:stretch>
                    <a:fillRect/>
                  </a:stretch>
                </pic:blipFill>
                <pic:spPr>
                  <a:xfrm>
                    <a:off x="0" y="0"/>
                    <a:ext cx="7128198" cy="3392580"/>
                  </a:xfrm>
                  <a:prstGeom prst="rect">
                    <a:avLst/>
                  </a:prstGeom>
                </pic:spPr>
              </pic:pic>
            </a:graphicData>
          </a:graphic>
          <wp14:sizeRelH relativeFrom="margin">
            <wp14:pctWidth>0</wp14:pctWidth>
          </wp14:sizeRelH>
          <wp14:sizeRelV relativeFrom="margin">
            <wp14:pctHeight>0</wp14:pctHeight>
          </wp14:sizeRelV>
        </wp:anchor>
      </w:drawing>
    </w:r>
    <w:r>
      <w:pict w14:anchorId="226F96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7" o:spid="_x0000_s1044" type="#_x0000_t75" style="position:absolute;left:0;text-align:left;margin-left:0;margin-top:0;width:595.2pt;height:841.9pt;z-index:-251637760;mso-position-horizontal:center;mso-position-horizontal-relative:page;mso-position-vertical:top;mso-position-vertical-relative:page" o:allowincell="f">
          <v:imagedata r:id="rId2" o:title="footer only"/>
          <w10:wrap anchorx="page" anchory="page"/>
        </v:shape>
      </w:pict>
    </w:r>
    <w:r>
      <w:rPr>
        <w:noProof/>
      </w:rPr>
      <w:drawing>
        <wp:anchor distT="0" distB="0" distL="114300" distR="114300" simplePos="0" relativeHeight="251676672" behindDoc="0" locked="0" layoutInCell="1" allowOverlap="1" wp14:anchorId="2F0E4C66" wp14:editId="5295AFC2">
          <wp:simplePos x="898497" y="453224"/>
          <wp:positionH relativeFrom="page">
            <wp:align>center</wp:align>
          </wp:positionH>
          <wp:positionV relativeFrom="page">
            <wp:posOffset>288290</wp:posOffset>
          </wp:positionV>
          <wp:extent cx="6944398" cy="3344276"/>
          <wp:effectExtent l="0" t="0" r="0" b="8890"/>
          <wp:wrapNone/>
          <wp:docPr id="9" name="Picture 9" title="EESCLogo2021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title="EESCLogo2021_EN"/>
                  <pic:cNvPicPr/>
                </pic:nvPicPr>
                <pic:blipFill>
                  <a:blip r:embed="rId3">
                    <a:extLst>
                      <a:ext uri="{28A0092B-C50C-407E-A947-70E740481C1C}">
                        <a14:useLocalDpi xmlns:a14="http://schemas.microsoft.com/office/drawing/2010/main" val="0"/>
                      </a:ext>
                    </a:extLst>
                  </a:blip>
                  <a:stretch>
                    <a:fillRect/>
                  </a:stretch>
                </pic:blipFill>
                <pic:spPr>
                  <a:xfrm>
                    <a:off x="0" y="0"/>
                    <a:ext cx="6944398" cy="3344276"/>
                  </a:xfrm>
                  <a:prstGeom prst="rect">
                    <a:avLst/>
                  </a:prstGeom>
                </pic:spPr>
              </pic:pic>
            </a:graphicData>
          </a:graphic>
          <wp14:sizeRelH relativeFrom="margin">
            <wp14:pctWidth>0</wp14:pctWidth>
          </wp14:sizeRelH>
          <wp14:sizeRelV relativeFrom="margin">
            <wp14:pctHeight>0</wp14:pctHeight>
          </wp14:sizeRelV>
        </wp:anchor>
      </w:drawing>
    </w:r>
  </w:p>
  <w:p w14:paraId="20C95081" w14:textId="4F20CF26" w:rsidR="00574C9B" w:rsidRPr="008C2877" w:rsidRDefault="00574C9B" w:rsidP="008C28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5837F" w14:textId="007EBCA1" w:rsidR="00574C9B" w:rsidRDefault="00286BA8">
    <w:pPr>
      <w:pStyle w:val="Header"/>
    </w:pPr>
    <w:r>
      <w:pict w14:anchorId="191712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5" o:spid="_x0000_s1035" type="#_x0000_t75" style="position:absolute;left:0;text-align:left;margin-left:0;margin-top:0;width:595.2pt;height:841.9pt;z-index:-251650048;mso-position-horizontal:center;mso-position-horizontal-relative:margin;mso-position-vertical:center;mso-position-vertical-relative:margin" o:allowincell="f">
          <v:imagedata r:id="rId1" o:title="footer only"/>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B9C34" w14:textId="7FEF32E3" w:rsidR="00574C9B" w:rsidRDefault="00286BA8">
    <w:pPr>
      <w:pStyle w:val="Header"/>
    </w:pPr>
    <w:r>
      <w:pict w14:anchorId="16802F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9" o:spid="_x0000_s1039" type="#_x0000_t75" style="position:absolute;left:0;text-align:left;margin-left:0;margin-top:0;width:595.2pt;height:841.9pt;z-index:-251645952;mso-position-horizontal:center;mso-position-horizontal-relative:margin;mso-position-vertical:center;mso-position-vertical-relative:margin" o:allowincell="f">
          <v:imagedata r:id="rId1" o:title="footer only"/>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9FC7C" w14:textId="308D261F" w:rsidR="00574C9B" w:rsidRDefault="00286BA8">
    <w:pPr>
      <w:pStyle w:val="Header"/>
    </w:pPr>
    <w:r>
      <w:pict w14:anchorId="31FC4A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0" o:spid="_x0000_s1040" type="#_x0000_t75" style="position:absolute;left:0;text-align:left;margin-left:0;margin-top:0;width:595.2pt;height:841.9pt;z-index:-251644928;visibility:hidden;mso-position-horizontal:center;mso-position-horizontal-relative:margin;mso-position-vertical:center;mso-position-vertical-relative:margin" o:allowincell="f">
          <v:imagedata r:id="rId1" o:title="footer only"/>
          <w10:wrap anchorx="margin" anchory="margin"/>
        </v:shape>
      </w:pict>
    </w:r>
    <w:r w:rsidR="0086095F">
      <w:rPr>
        <w:noProof/>
      </w:rPr>
      <w:drawing>
        <wp:anchor distT="0" distB="0" distL="114300" distR="114300" simplePos="0" relativeHeight="251661824" behindDoc="1" locked="0" layoutInCell="1" allowOverlap="1" wp14:anchorId="5FA9E479" wp14:editId="13AEE0F5">
          <wp:simplePos x="0" y="0"/>
          <wp:positionH relativeFrom="page">
            <wp:posOffset>-10571</wp:posOffset>
          </wp:positionH>
          <wp:positionV relativeFrom="page">
            <wp:posOffset>-221993</wp:posOffset>
          </wp:positionV>
          <wp:extent cx="7581265" cy="10898802"/>
          <wp:effectExtent l="0" t="0" r="63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ckground (footer) recto.png"/>
                  <pic:cNvPicPr/>
                </pic:nvPicPr>
                <pic:blipFill>
                  <a:blip r:embed="rId2">
                    <a:extLst>
                      <a:ext uri="{28A0092B-C50C-407E-A947-70E740481C1C}">
                        <a14:useLocalDpi xmlns:a14="http://schemas.microsoft.com/office/drawing/2010/main" val="0"/>
                      </a:ext>
                    </a:extLst>
                  </a:blip>
                  <a:stretch>
                    <a:fillRect/>
                  </a:stretch>
                </pic:blipFill>
                <pic:spPr>
                  <a:xfrm>
                    <a:off x="0" y="0"/>
                    <a:ext cx="7585107" cy="10904325"/>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67873" w14:textId="56798CB4" w:rsidR="00574C9B" w:rsidRDefault="00286BA8">
    <w:pPr>
      <w:pStyle w:val="Header"/>
    </w:pPr>
    <w:r>
      <w:pict w14:anchorId="1017B5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8" o:spid="_x0000_s1038" type="#_x0000_t75" style="position:absolute;left:0;text-align:left;margin-left:0;margin-top:0;width:595.2pt;height:841.9pt;z-index:-251646976;mso-position-horizontal:center;mso-position-horizontal-relative:margin;mso-position-vertical:center;mso-position-vertical-relative:margin" o:allowincell="f">
          <v:imagedata r:id="rId1" o:title="footer only"/>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FAD5" w14:textId="60B66FCE" w:rsidR="004871B8" w:rsidRDefault="00286BA8">
    <w:pPr>
      <w:pStyle w:val="Header"/>
    </w:pPr>
    <w:r>
      <w:pict w14:anchorId="51EC15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2" o:spid="_x0000_s1042" type="#_x0000_t75" style="position:absolute;left:0;text-align:left;margin-left:0;margin-top:0;width:595.2pt;height:841.9pt;z-index:-251642880;mso-position-horizontal:center;mso-position-horizontal-relative:margin;mso-position-vertical:center;mso-position-vertical-relative:margin" o:allowincell="f">
          <v:imagedata r:id="rId1" o:title="footer only"/>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32120" w14:textId="43FA7B78" w:rsidR="0013369C" w:rsidRDefault="00286BA8">
    <w:pPr>
      <w:pStyle w:val="Header"/>
    </w:pPr>
    <w:r>
      <w:pict w14:anchorId="7B5F8F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3" o:spid="_x0000_s1043" type="#_x0000_t75" style="position:absolute;left:0;text-align:left;margin-left:0;margin-top:0;width:595.2pt;height:841.9pt;z-index:-251641856;visibility:hidden;mso-position-horizontal:center;mso-position-horizontal-relative:margin;mso-position-vertical:center;mso-position-vertical-relative:margin" o:allowincell="f">
          <v:imagedata r:id="rId1" o:title="footer only"/>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EDF91" w14:textId="4DD3A706" w:rsidR="004871B8" w:rsidRDefault="00286BA8">
    <w:pPr>
      <w:pStyle w:val="Header"/>
    </w:pPr>
    <w:r>
      <w:pict w14:anchorId="4BBB7A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1" o:spid="_x0000_s1041" type="#_x0000_t75" style="position:absolute;left:0;text-align:left;margin-left:0;margin-top:0;width:595.2pt;height:841.9pt;z-index:-251643904;mso-position-horizontal:center;mso-position-horizontal-relative:margin;mso-position-vertical:center;mso-position-vertical-relative:margin" o:allowincell="f">
          <v:imagedata r:id="rId1" o:title="footer onl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26F4DC1A"/>
    <w:lvl w:ilvl="0">
      <w:start w:val="1"/>
      <w:numFmt w:val="decimal"/>
      <w:pStyle w:val="Heading1"/>
      <w:lvlText w:val="%1."/>
      <w:legacy w:legacy="1" w:legacySpace="0" w:legacyIndent="0"/>
      <w:lvlJc w:val="left"/>
      <w:rPr>
        <w:b w:val="0"/>
      </w:rPr>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rPr>
        <w:b w:val="0"/>
        <w:bCs/>
      </w:rPr>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num w:numId="1" w16cid:durableId="380399458">
    <w:abstractNumId w:val="0"/>
  </w:num>
  <w:num w:numId="2" w16cid:durableId="8424032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370"/>
    <w:rsid w:val="00003107"/>
    <w:rsid w:val="00020389"/>
    <w:rsid w:val="000425A4"/>
    <w:rsid w:val="00053D00"/>
    <w:rsid w:val="00061DAD"/>
    <w:rsid w:val="00074913"/>
    <w:rsid w:val="000A0F3B"/>
    <w:rsid w:val="000C43AD"/>
    <w:rsid w:val="000C502E"/>
    <w:rsid w:val="00126EA3"/>
    <w:rsid w:val="0013369C"/>
    <w:rsid w:val="001337D6"/>
    <w:rsid w:val="00185E99"/>
    <w:rsid w:val="0019063C"/>
    <w:rsid w:val="0019231D"/>
    <w:rsid w:val="001955B6"/>
    <w:rsid w:val="001B1DF1"/>
    <w:rsid w:val="001B709E"/>
    <w:rsid w:val="001C23F3"/>
    <w:rsid w:val="001D61AC"/>
    <w:rsid w:val="001E15AA"/>
    <w:rsid w:val="001E3FA1"/>
    <w:rsid w:val="001F3AF8"/>
    <w:rsid w:val="00200E87"/>
    <w:rsid w:val="00206D14"/>
    <w:rsid w:val="00210400"/>
    <w:rsid w:val="00214BDC"/>
    <w:rsid w:val="00215A99"/>
    <w:rsid w:val="00215E81"/>
    <w:rsid w:val="0023669E"/>
    <w:rsid w:val="00246446"/>
    <w:rsid w:val="0024727F"/>
    <w:rsid w:val="00252A94"/>
    <w:rsid w:val="00286BA8"/>
    <w:rsid w:val="002B6A7B"/>
    <w:rsid w:val="002C0164"/>
    <w:rsid w:val="003353D7"/>
    <w:rsid w:val="00353502"/>
    <w:rsid w:val="0035720D"/>
    <w:rsid w:val="00360204"/>
    <w:rsid w:val="003659F9"/>
    <w:rsid w:val="003A7E9B"/>
    <w:rsid w:val="003C0AFD"/>
    <w:rsid w:val="003E12E2"/>
    <w:rsid w:val="003F07F2"/>
    <w:rsid w:val="00401903"/>
    <w:rsid w:val="00401DE5"/>
    <w:rsid w:val="00454A68"/>
    <w:rsid w:val="00461CAF"/>
    <w:rsid w:val="004871B8"/>
    <w:rsid w:val="004A139E"/>
    <w:rsid w:val="00503AF7"/>
    <w:rsid w:val="00530BE9"/>
    <w:rsid w:val="00574598"/>
    <w:rsid w:val="00574C9B"/>
    <w:rsid w:val="00576D2F"/>
    <w:rsid w:val="0058411F"/>
    <w:rsid w:val="005961A4"/>
    <w:rsid w:val="005B55E2"/>
    <w:rsid w:val="005C2475"/>
    <w:rsid w:val="005E44B5"/>
    <w:rsid w:val="006125A1"/>
    <w:rsid w:val="00653E7D"/>
    <w:rsid w:val="00662207"/>
    <w:rsid w:val="006671FB"/>
    <w:rsid w:val="00667F09"/>
    <w:rsid w:val="006868CB"/>
    <w:rsid w:val="006B57A6"/>
    <w:rsid w:val="006C5F03"/>
    <w:rsid w:val="006D53A6"/>
    <w:rsid w:val="00735641"/>
    <w:rsid w:val="007552EA"/>
    <w:rsid w:val="00787837"/>
    <w:rsid w:val="00787ABB"/>
    <w:rsid w:val="007B6C64"/>
    <w:rsid w:val="007B7C14"/>
    <w:rsid w:val="00812C58"/>
    <w:rsid w:val="00814825"/>
    <w:rsid w:val="00822952"/>
    <w:rsid w:val="00836505"/>
    <w:rsid w:val="00840D91"/>
    <w:rsid w:val="00844B87"/>
    <w:rsid w:val="0086095F"/>
    <w:rsid w:val="0089251B"/>
    <w:rsid w:val="008A6DD4"/>
    <w:rsid w:val="008C2877"/>
    <w:rsid w:val="008F74D7"/>
    <w:rsid w:val="00904C42"/>
    <w:rsid w:val="00914683"/>
    <w:rsid w:val="00924C05"/>
    <w:rsid w:val="00937CF2"/>
    <w:rsid w:val="00941EC1"/>
    <w:rsid w:val="009451D6"/>
    <w:rsid w:val="009506A6"/>
    <w:rsid w:val="00976645"/>
    <w:rsid w:val="00976F77"/>
    <w:rsid w:val="0098024E"/>
    <w:rsid w:val="0098228C"/>
    <w:rsid w:val="009A734F"/>
    <w:rsid w:val="009C37A0"/>
    <w:rsid w:val="009E2100"/>
    <w:rsid w:val="00A278CE"/>
    <w:rsid w:val="00A310E1"/>
    <w:rsid w:val="00A3397C"/>
    <w:rsid w:val="00A36AB0"/>
    <w:rsid w:val="00A45154"/>
    <w:rsid w:val="00A5734B"/>
    <w:rsid w:val="00AB37A3"/>
    <w:rsid w:val="00AC5114"/>
    <w:rsid w:val="00AE4394"/>
    <w:rsid w:val="00B237A3"/>
    <w:rsid w:val="00B25683"/>
    <w:rsid w:val="00B51901"/>
    <w:rsid w:val="00B71F4C"/>
    <w:rsid w:val="00B9726E"/>
    <w:rsid w:val="00BB0A75"/>
    <w:rsid w:val="00BC4FD4"/>
    <w:rsid w:val="00BD0251"/>
    <w:rsid w:val="00BD259A"/>
    <w:rsid w:val="00BD50F6"/>
    <w:rsid w:val="00C0056A"/>
    <w:rsid w:val="00C073E1"/>
    <w:rsid w:val="00C25647"/>
    <w:rsid w:val="00C5137B"/>
    <w:rsid w:val="00C66AEA"/>
    <w:rsid w:val="00C8481D"/>
    <w:rsid w:val="00C9040A"/>
    <w:rsid w:val="00C91E4D"/>
    <w:rsid w:val="00CB110A"/>
    <w:rsid w:val="00CB7CD0"/>
    <w:rsid w:val="00CD7AD8"/>
    <w:rsid w:val="00CE2F7C"/>
    <w:rsid w:val="00CE7454"/>
    <w:rsid w:val="00D039AF"/>
    <w:rsid w:val="00D13128"/>
    <w:rsid w:val="00D31AA3"/>
    <w:rsid w:val="00D45677"/>
    <w:rsid w:val="00D57995"/>
    <w:rsid w:val="00D77F9E"/>
    <w:rsid w:val="00D80167"/>
    <w:rsid w:val="00D95232"/>
    <w:rsid w:val="00DA24AE"/>
    <w:rsid w:val="00DB7F50"/>
    <w:rsid w:val="00DD641B"/>
    <w:rsid w:val="00DE30C7"/>
    <w:rsid w:val="00DF400F"/>
    <w:rsid w:val="00E00B73"/>
    <w:rsid w:val="00E15BF4"/>
    <w:rsid w:val="00E2376B"/>
    <w:rsid w:val="00E2441D"/>
    <w:rsid w:val="00E26935"/>
    <w:rsid w:val="00E27707"/>
    <w:rsid w:val="00E333C8"/>
    <w:rsid w:val="00E47484"/>
    <w:rsid w:val="00E52B04"/>
    <w:rsid w:val="00E661B7"/>
    <w:rsid w:val="00E90A9D"/>
    <w:rsid w:val="00ED0759"/>
    <w:rsid w:val="00F02D58"/>
    <w:rsid w:val="00F053BF"/>
    <w:rsid w:val="00F2069F"/>
    <w:rsid w:val="00F50326"/>
    <w:rsid w:val="00F53370"/>
    <w:rsid w:val="00F90BE2"/>
    <w:rsid w:val="00F97327"/>
    <w:rsid w:val="00FA305D"/>
    <w:rsid w:val="00FB1D7A"/>
    <w:rsid w:val="00FB5338"/>
    <w:rsid w:val="00FC0C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6F6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C9B"/>
    <w:pPr>
      <w:spacing w:after="0" w:line="288" w:lineRule="auto"/>
      <w:jc w:val="both"/>
    </w:pPr>
    <w:rPr>
      <w:rFonts w:ascii="Times New Roman" w:eastAsia="Times New Roman" w:hAnsi="Times New Roman" w:cs="Times New Roman"/>
    </w:rPr>
  </w:style>
  <w:style w:type="paragraph" w:styleId="Heading1">
    <w:name w:val="heading 1"/>
    <w:basedOn w:val="Normal"/>
    <w:next w:val="Normal"/>
    <w:link w:val="Heading1Char"/>
    <w:qFormat/>
    <w:rsid w:val="00F53370"/>
    <w:pPr>
      <w:numPr>
        <w:numId w:val="1"/>
      </w:numPr>
      <w:ind w:left="567" w:hanging="567"/>
      <w:outlineLvl w:val="0"/>
    </w:pPr>
    <w:rPr>
      <w:kern w:val="28"/>
    </w:rPr>
  </w:style>
  <w:style w:type="paragraph" w:styleId="Heading2">
    <w:name w:val="heading 2"/>
    <w:basedOn w:val="Normal"/>
    <w:next w:val="Normal"/>
    <w:link w:val="Heading2Char"/>
    <w:qFormat/>
    <w:rsid w:val="00F53370"/>
    <w:pPr>
      <w:numPr>
        <w:ilvl w:val="1"/>
        <w:numId w:val="1"/>
      </w:numPr>
      <w:ind w:left="567" w:hanging="567"/>
      <w:outlineLvl w:val="1"/>
    </w:pPr>
  </w:style>
  <w:style w:type="paragraph" w:styleId="Heading3">
    <w:name w:val="heading 3"/>
    <w:basedOn w:val="Normal"/>
    <w:next w:val="Normal"/>
    <w:link w:val="Heading3Char"/>
    <w:qFormat/>
    <w:rsid w:val="00F53370"/>
    <w:pPr>
      <w:numPr>
        <w:ilvl w:val="2"/>
        <w:numId w:val="1"/>
      </w:numPr>
      <w:ind w:left="567" w:hanging="567"/>
      <w:outlineLvl w:val="2"/>
    </w:pPr>
  </w:style>
  <w:style w:type="paragraph" w:styleId="Heading4">
    <w:name w:val="heading 4"/>
    <w:basedOn w:val="Normal"/>
    <w:next w:val="Normal"/>
    <w:link w:val="Heading4Char"/>
    <w:qFormat/>
    <w:rsid w:val="00F53370"/>
    <w:pPr>
      <w:numPr>
        <w:ilvl w:val="3"/>
        <w:numId w:val="1"/>
      </w:numPr>
      <w:ind w:left="567" w:hanging="567"/>
      <w:outlineLvl w:val="3"/>
    </w:pPr>
  </w:style>
  <w:style w:type="paragraph" w:styleId="Heading5">
    <w:name w:val="heading 5"/>
    <w:basedOn w:val="Normal"/>
    <w:next w:val="Normal"/>
    <w:link w:val="Heading5Char"/>
    <w:qFormat/>
    <w:rsid w:val="00F53370"/>
    <w:pPr>
      <w:numPr>
        <w:ilvl w:val="4"/>
        <w:numId w:val="1"/>
      </w:numPr>
      <w:ind w:left="567" w:hanging="567"/>
      <w:outlineLvl w:val="4"/>
    </w:pPr>
  </w:style>
  <w:style w:type="paragraph" w:styleId="Heading6">
    <w:name w:val="heading 6"/>
    <w:basedOn w:val="Normal"/>
    <w:next w:val="Normal"/>
    <w:link w:val="Heading6Char"/>
    <w:qFormat/>
    <w:rsid w:val="00F53370"/>
    <w:pPr>
      <w:numPr>
        <w:ilvl w:val="5"/>
        <w:numId w:val="1"/>
      </w:numPr>
      <w:ind w:left="567" w:hanging="567"/>
      <w:outlineLvl w:val="5"/>
    </w:pPr>
  </w:style>
  <w:style w:type="paragraph" w:styleId="Heading7">
    <w:name w:val="heading 7"/>
    <w:basedOn w:val="Normal"/>
    <w:next w:val="Normal"/>
    <w:link w:val="Heading7Char"/>
    <w:qFormat/>
    <w:rsid w:val="00F53370"/>
    <w:pPr>
      <w:numPr>
        <w:ilvl w:val="6"/>
        <w:numId w:val="1"/>
      </w:numPr>
      <w:ind w:left="567" w:hanging="567"/>
      <w:outlineLvl w:val="6"/>
    </w:pPr>
  </w:style>
  <w:style w:type="paragraph" w:styleId="Heading8">
    <w:name w:val="heading 8"/>
    <w:basedOn w:val="Normal"/>
    <w:next w:val="Normal"/>
    <w:link w:val="Heading8Char"/>
    <w:qFormat/>
    <w:rsid w:val="00F53370"/>
    <w:pPr>
      <w:numPr>
        <w:ilvl w:val="7"/>
        <w:numId w:val="1"/>
      </w:numPr>
      <w:ind w:left="567" w:hanging="567"/>
      <w:outlineLvl w:val="7"/>
    </w:pPr>
  </w:style>
  <w:style w:type="paragraph" w:styleId="Heading9">
    <w:name w:val="heading 9"/>
    <w:basedOn w:val="Normal"/>
    <w:next w:val="Normal"/>
    <w:link w:val="Heading9Char"/>
    <w:qFormat/>
    <w:rsid w:val="00F53370"/>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53370"/>
    <w:rPr>
      <w:rFonts w:ascii="Times New Roman" w:eastAsia="Times New Roman" w:hAnsi="Times New Roman" w:cs="Times New Roman"/>
      <w:kern w:val="28"/>
    </w:rPr>
  </w:style>
  <w:style w:type="character" w:customStyle="1" w:styleId="Heading2Char">
    <w:name w:val="Heading 2 Char"/>
    <w:basedOn w:val="DefaultParagraphFont"/>
    <w:link w:val="Heading2"/>
    <w:rsid w:val="00F53370"/>
    <w:rPr>
      <w:rFonts w:ascii="Times New Roman" w:eastAsia="Times New Roman" w:hAnsi="Times New Roman" w:cs="Times New Roman"/>
    </w:rPr>
  </w:style>
  <w:style w:type="character" w:customStyle="1" w:styleId="Heading3Char">
    <w:name w:val="Heading 3 Char"/>
    <w:basedOn w:val="DefaultParagraphFont"/>
    <w:link w:val="Heading3"/>
    <w:rsid w:val="00F53370"/>
    <w:rPr>
      <w:rFonts w:ascii="Times New Roman" w:eastAsia="Times New Roman" w:hAnsi="Times New Roman" w:cs="Times New Roman"/>
    </w:rPr>
  </w:style>
  <w:style w:type="character" w:customStyle="1" w:styleId="Heading4Char">
    <w:name w:val="Heading 4 Char"/>
    <w:basedOn w:val="DefaultParagraphFont"/>
    <w:link w:val="Heading4"/>
    <w:rsid w:val="00F53370"/>
    <w:rPr>
      <w:rFonts w:ascii="Times New Roman" w:eastAsia="Times New Roman" w:hAnsi="Times New Roman" w:cs="Times New Roman"/>
    </w:rPr>
  </w:style>
  <w:style w:type="character" w:customStyle="1" w:styleId="Heading5Char">
    <w:name w:val="Heading 5 Char"/>
    <w:basedOn w:val="DefaultParagraphFont"/>
    <w:link w:val="Heading5"/>
    <w:rsid w:val="00F53370"/>
    <w:rPr>
      <w:rFonts w:ascii="Times New Roman" w:eastAsia="Times New Roman" w:hAnsi="Times New Roman" w:cs="Times New Roman"/>
    </w:rPr>
  </w:style>
  <w:style w:type="character" w:customStyle="1" w:styleId="Heading6Char">
    <w:name w:val="Heading 6 Char"/>
    <w:basedOn w:val="DefaultParagraphFont"/>
    <w:link w:val="Heading6"/>
    <w:rsid w:val="00F53370"/>
    <w:rPr>
      <w:rFonts w:ascii="Times New Roman" w:eastAsia="Times New Roman" w:hAnsi="Times New Roman" w:cs="Times New Roman"/>
    </w:rPr>
  </w:style>
  <w:style w:type="character" w:customStyle="1" w:styleId="Heading7Char">
    <w:name w:val="Heading 7 Char"/>
    <w:basedOn w:val="DefaultParagraphFont"/>
    <w:link w:val="Heading7"/>
    <w:rsid w:val="00F53370"/>
    <w:rPr>
      <w:rFonts w:ascii="Times New Roman" w:eastAsia="Times New Roman" w:hAnsi="Times New Roman" w:cs="Times New Roman"/>
    </w:rPr>
  </w:style>
  <w:style w:type="character" w:customStyle="1" w:styleId="Heading8Char">
    <w:name w:val="Heading 8 Char"/>
    <w:basedOn w:val="DefaultParagraphFont"/>
    <w:link w:val="Heading8"/>
    <w:rsid w:val="00F53370"/>
    <w:rPr>
      <w:rFonts w:ascii="Times New Roman" w:eastAsia="Times New Roman" w:hAnsi="Times New Roman" w:cs="Times New Roman"/>
    </w:rPr>
  </w:style>
  <w:style w:type="character" w:customStyle="1" w:styleId="Heading9Char">
    <w:name w:val="Heading 9 Char"/>
    <w:basedOn w:val="DefaultParagraphFont"/>
    <w:link w:val="Heading9"/>
    <w:rsid w:val="00F53370"/>
    <w:rPr>
      <w:rFonts w:ascii="Times New Roman" w:eastAsia="Times New Roman" w:hAnsi="Times New Roman" w:cs="Times New Roman"/>
    </w:rPr>
  </w:style>
  <w:style w:type="paragraph" w:styleId="Footer">
    <w:name w:val="footer"/>
    <w:basedOn w:val="Normal"/>
    <w:link w:val="FooterChar"/>
    <w:qFormat/>
    <w:rsid w:val="00F53370"/>
  </w:style>
  <w:style w:type="character" w:customStyle="1" w:styleId="FooterChar">
    <w:name w:val="Footer Char"/>
    <w:basedOn w:val="DefaultParagraphFont"/>
    <w:link w:val="Footer"/>
    <w:rsid w:val="00F53370"/>
    <w:rPr>
      <w:rFonts w:ascii="Times New Roman" w:eastAsia="Times New Roman" w:hAnsi="Times New Roman" w:cs="Times New Roman"/>
    </w:rPr>
  </w:style>
  <w:style w:type="paragraph" w:styleId="FootnoteText">
    <w:name w:val="footnote text"/>
    <w:basedOn w:val="Normal"/>
    <w:link w:val="FootnoteTextChar"/>
    <w:qFormat/>
    <w:rsid w:val="00F53370"/>
    <w:pPr>
      <w:keepLines/>
      <w:spacing w:after="60" w:line="240" w:lineRule="auto"/>
      <w:ind w:left="567" w:hanging="567"/>
    </w:pPr>
    <w:rPr>
      <w:sz w:val="16"/>
    </w:rPr>
  </w:style>
  <w:style w:type="character" w:customStyle="1" w:styleId="FootnoteTextChar">
    <w:name w:val="Footnote Text Char"/>
    <w:basedOn w:val="DefaultParagraphFont"/>
    <w:link w:val="FootnoteText"/>
    <w:qFormat/>
    <w:rsid w:val="00F53370"/>
    <w:rPr>
      <w:rFonts w:ascii="Times New Roman" w:eastAsia="Times New Roman" w:hAnsi="Times New Roman" w:cs="Times New Roman"/>
      <w:sz w:val="16"/>
    </w:rPr>
  </w:style>
  <w:style w:type="paragraph" w:styleId="Header">
    <w:name w:val="header"/>
    <w:basedOn w:val="Normal"/>
    <w:link w:val="HeaderChar"/>
    <w:qFormat/>
    <w:rsid w:val="00F53370"/>
  </w:style>
  <w:style w:type="character" w:customStyle="1" w:styleId="HeaderChar">
    <w:name w:val="Header Char"/>
    <w:basedOn w:val="DefaultParagraphFont"/>
    <w:link w:val="Header"/>
    <w:rsid w:val="00F53370"/>
    <w:rPr>
      <w:rFonts w:ascii="Times New Roman" w:eastAsia="Times New Roman" w:hAnsi="Times New Roman" w:cs="Times New Roman"/>
    </w:rPr>
  </w:style>
  <w:style w:type="paragraph" w:customStyle="1" w:styleId="quotes">
    <w:name w:val="quotes"/>
    <w:basedOn w:val="Normal"/>
    <w:next w:val="Normal"/>
    <w:rsid w:val="00F53370"/>
    <w:pPr>
      <w:ind w:left="720"/>
    </w:pPr>
    <w:rPr>
      <w:i/>
    </w:rPr>
  </w:style>
  <w:style w:type="character" w:styleId="FootnoteReference">
    <w:name w:val="footnote reference"/>
    <w:aliases w:val="Footnote symbol"/>
    <w:basedOn w:val="DefaultParagraphFont"/>
    <w:uiPriority w:val="99"/>
    <w:unhideWhenUsed/>
    <w:qFormat/>
    <w:rsid w:val="00F53370"/>
    <w:rPr>
      <w:sz w:val="24"/>
      <w:vertAlign w:val="superscript"/>
    </w:rPr>
  </w:style>
  <w:style w:type="table" w:styleId="TableGrid">
    <w:name w:val="Table Grid"/>
    <w:basedOn w:val="TableNormal"/>
    <w:uiPriority w:val="39"/>
    <w:rsid w:val="00F53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8A6DD4"/>
    <w:rPr>
      <w:color w:val="0000FF"/>
      <w:u w:val="single"/>
    </w:rPr>
  </w:style>
  <w:style w:type="character" w:styleId="CommentReference">
    <w:name w:val="annotation reference"/>
    <w:basedOn w:val="DefaultParagraphFont"/>
    <w:uiPriority w:val="99"/>
    <w:semiHidden/>
    <w:unhideWhenUsed/>
    <w:rsid w:val="00976F77"/>
    <w:rPr>
      <w:sz w:val="16"/>
      <w:szCs w:val="16"/>
    </w:rPr>
  </w:style>
  <w:style w:type="paragraph" w:styleId="CommentText">
    <w:name w:val="annotation text"/>
    <w:basedOn w:val="Normal"/>
    <w:link w:val="CommentTextChar"/>
    <w:uiPriority w:val="99"/>
    <w:semiHidden/>
    <w:unhideWhenUsed/>
    <w:rsid w:val="00976F77"/>
    <w:pPr>
      <w:spacing w:line="240" w:lineRule="auto"/>
    </w:pPr>
    <w:rPr>
      <w:sz w:val="20"/>
      <w:szCs w:val="20"/>
    </w:rPr>
  </w:style>
  <w:style w:type="character" w:customStyle="1" w:styleId="CommentTextChar">
    <w:name w:val="Comment Text Char"/>
    <w:basedOn w:val="DefaultParagraphFont"/>
    <w:link w:val="CommentText"/>
    <w:uiPriority w:val="99"/>
    <w:semiHidden/>
    <w:rsid w:val="00976F7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76F77"/>
    <w:rPr>
      <w:b/>
      <w:bCs/>
    </w:rPr>
  </w:style>
  <w:style w:type="character" w:customStyle="1" w:styleId="CommentSubjectChar">
    <w:name w:val="Comment Subject Char"/>
    <w:basedOn w:val="CommentTextChar"/>
    <w:link w:val="CommentSubject"/>
    <w:uiPriority w:val="99"/>
    <w:semiHidden/>
    <w:rsid w:val="00976F77"/>
    <w:rPr>
      <w:rFonts w:ascii="Times New Roman" w:eastAsia="Times New Roman" w:hAnsi="Times New Roman" w:cs="Times New Roman"/>
      <w:b/>
      <w:bCs/>
      <w:sz w:val="20"/>
      <w:szCs w:val="20"/>
    </w:rPr>
  </w:style>
  <w:style w:type="paragraph" w:styleId="Revision">
    <w:name w:val="Revision"/>
    <w:hidden/>
    <w:uiPriority w:val="99"/>
    <w:semiHidden/>
    <w:rsid w:val="00976F77"/>
    <w:pPr>
      <w:spacing w:after="0" w:line="240" w:lineRule="auto"/>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976F77"/>
    <w:pPr>
      <w:spacing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976F77"/>
    <w:rPr>
      <w:rFonts w:ascii="Segoe UI" w:eastAsia="Times New Roman" w:hAnsi="Segoe UI" w:cs="Times New Roman"/>
      <w:sz w:val="18"/>
      <w:szCs w:val="18"/>
    </w:rPr>
  </w:style>
  <w:style w:type="paragraph" w:styleId="ListParagraph">
    <w:name w:val="List Paragraph"/>
    <w:basedOn w:val="Normal"/>
    <w:link w:val="ListParagraphChar"/>
    <w:uiPriority w:val="34"/>
    <w:qFormat/>
    <w:rsid w:val="00D80167"/>
    <w:pPr>
      <w:spacing w:line="240" w:lineRule="auto"/>
      <w:ind w:left="720"/>
      <w:contextualSpacing/>
      <w:jc w:val="left"/>
    </w:pPr>
    <w:rPr>
      <w:rFonts w:asciiTheme="minorHAnsi" w:eastAsiaTheme="minorHAnsi" w:hAnsiTheme="minorHAnsi" w:cstheme="minorBidi"/>
      <w:noProof/>
      <w:sz w:val="24"/>
      <w:szCs w:val="24"/>
    </w:rPr>
  </w:style>
  <w:style w:type="character" w:customStyle="1" w:styleId="ListParagraphChar">
    <w:name w:val="List Paragraph Char"/>
    <w:basedOn w:val="DefaultParagraphFont"/>
    <w:link w:val="ListParagraph"/>
    <w:uiPriority w:val="34"/>
    <w:locked/>
    <w:rsid w:val="00D80167"/>
    <w:rPr>
      <w:noProof/>
      <w:sz w:val="24"/>
      <w:szCs w:val="24"/>
      <w:lang w:val="nl-NL"/>
    </w:rPr>
  </w:style>
  <w:style w:type="character" w:customStyle="1" w:styleId="UnresolvedMention1">
    <w:name w:val="Unresolved Mention1"/>
    <w:basedOn w:val="DefaultParagraphFont"/>
    <w:uiPriority w:val="99"/>
    <w:semiHidden/>
    <w:unhideWhenUsed/>
    <w:rsid w:val="0098024E"/>
    <w:rPr>
      <w:color w:val="605E5C"/>
      <w:shd w:val="clear" w:color="auto" w:fill="E1DFDD"/>
    </w:rPr>
  </w:style>
  <w:style w:type="character" w:styleId="FollowedHyperlink">
    <w:name w:val="FollowedHyperlink"/>
    <w:basedOn w:val="DefaultParagraphFont"/>
    <w:uiPriority w:val="99"/>
    <w:semiHidden/>
    <w:unhideWhenUsed/>
    <w:rsid w:val="0057459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8.xml"/></Relationships>
</file>

<file path=word/_rels/footnotes.xml.rels><?xml version="1.0" encoding="UTF-8" standalone="yes"?>
<Relationships xmlns="http://schemas.openxmlformats.org/package/2006/relationships"><Relationship Id="rId8" Type="http://schemas.openxmlformats.org/officeDocument/2006/relationships/hyperlink" Target="https://www.eesc.europa.eu/en/documents/report/national-european-semester-days-estonia-09-02-2026" TargetMode="External"/><Relationship Id="rId3" Type="http://schemas.openxmlformats.org/officeDocument/2006/relationships/hyperlink" Target="https://commission.europa.eu/publications/2025-european-semester-country-specific-recommendations-commission-recommendations_en" TargetMode="External"/><Relationship Id="rId7" Type="http://schemas.openxmlformats.org/officeDocument/2006/relationships/hyperlink" Target="https://www.eesc.europa.eu/en/documents/report/national-european-semester-days-cyprus-04-02-2026" TargetMode="External"/><Relationship Id="rId2" Type="http://schemas.openxmlformats.org/officeDocument/2006/relationships/hyperlink" Target="https://www.eesc.europa.eu/nl/our-work/opinions-information-reports/information-reports/point-view-organised-civil-society-eu-member-states-national-reform-and-investment-proposals-and-their-implementation-0/annex" TargetMode="External"/><Relationship Id="rId1" Type="http://schemas.openxmlformats.org/officeDocument/2006/relationships/hyperlink" Target="https://www.eesc.europa.eu/en/our-work/opinions-information-reports/opinions/eescs-recommendations-reform-and-investment-proposals-formulated-part-2025-2026-european-semester-cycle" TargetMode="External"/><Relationship Id="rId6" Type="http://schemas.openxmlformats.org/officeDocument/2006/relationships/hyperlink" Target="https://www.eesc.europa.eu/en/documents/report/national-european-semester-days-romania-03-02-2026" TargetMode="External"/><Relationship Id="rId11" Type="http://schemas.openxmlformats.org/officeDocument/2006/relationships/hyperlink" Target="https://www.eesc.europa.eu/nl/sections-other-bodies/other/liaison-group-european-civil-society-organisations-and-networks" TargetMode="External"/><Relationship Id="rId5" Type="http://schemas.openxmlformats.org/officeDocument/2006/relationships/hyperlink" Target="https://economy-finance.ec.europa.eu/economic-and-fiscal-governance/new-economic-governance-framework_en" TargetMode="External"/><Relationship Id="rId10" Type="http://schemas.openxmlformats.org/officeDocument/2006/relationships/hyperlink" Target="https://www.eesc.europa.eu/en/documents/report/national-european-semester-days-france-02-03-2026" TargetMode="External"/><Relationship Id="rId4" Type="http://schemas.openxmlformats.org/officeDocument/2006/relationships/hyperlink" Target="https://economy-finance.ec.europa.eu/economic-and-fiscal-governance/stability-and-growth-pact/preventive-arm/national-medium-term-fiscal-structural-plans_en" TargetMode="External"/><Relationship Id="rId9" Type="http://schemas.openxmlformats.org/officeDocument/2006/relationships/hyperlink" Target="https://www.eesc.europa.eu/en/documents/report/national-european-semester-days-austria-24-02-202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jpe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M Document" ma:contentTypeID="0x010100EA97B91038054C99906057A708A1480A007FAFB00F4882C04A82CD69E07FC3C83E" ma:contentTypeVersion="4" ma:contentTypeDescription="Defines the documents for Document Manager V2" ma:contentTypeScope="" ma:versionID="e1f91dccb3ac38b965a7df337298240c">
  <xsd:schema xmlns:xsd="http://www.w3.org/2001/XMLSchema" xmlns:xs="http://www.w3.org/2001/XMLSchema" xmlns:p="http://schemas.microsoft.com/office/2006/metadata/properties" xmlns:ns2="1a33af13-4045-4f88-9d7b-618e30f79918" xmlns:ns3="http://schemas.microsoft.com/sharepoint/v3/fields" xmlns:ns4="03db1768-8e83-4c4e-a8fb-1eb1d05ab6cf" targetNamespace="http://schemas.microsoft.com/office/2006/metadata/properties" ma:root="true" ma:fieldsID="729eb5977a1faeb1512aca3b9df79d2e" ns2:_="" ns3:_="" ns4:_="">
    <xsd:import namespace="1a33af13-4045-4f88-9d7b-618e30f79918"/>
    <xsd:import namespace="http://schemas.microsoft.com/sharepoint/v3/fields"/>
    <xsd:import namespace="03db1768-8e83-4c4e-a8fb-1eb1d05ab6cf"/>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33af13-4045-4f88-9d7b-618e30f7991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c795c8aa-ad9d-4177-b7c3-7e58e1f2dfdf}" ma:internalName="TaxCatchAll" ma:showField="CatchAllData" ma:web="1a33af13-4045-4f88-9d7b-618e30f79918">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c795c8aa-ad9d-4177-b7c3-7e58e1f2dfdf}" ma:internalName="TaxCatchAllLabel" ma:readOnly="true" ma:showField="CatchAllDataLabel" ma:web="1a33af13-4045-4f88-9d7b-618e30f79918">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3db1768-8e83-4c4e-a8fb-1eb1d05ab6cf"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1a33af13-4045-4f88-9d7b-618e30f79918">A6WAAD5KZT2Q-1415362569-8816</_dlc_DocId>
    <_dlc_DocIdUrl xmlns="1a33af13-4045-4f88-9d7b-618e30f79918">
      <Url>http://dm/eesc/2025/_layouts/15/DocIdRedir.aspx?ID=A6WAAD5KZT2Q-1415362569-8816</Url>
      <Description>A6WAAD5KZT2Q-1415362569-8816</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RI</TermName>
          <TermId xmlns="http://schemas.microsoft.com/office/infopath/2007/PartnerControls">0e66e8df-1601-4fe1-947b-eb539760261a</TermId>
        </TermInfo>
      </Terms>
    </DocumentType_0>
    <Procedure xmlns="1a33af13-4045-4f88-9d7b-618e30f79918"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1a33af13-4045-4f88-9d7b-618e30f79918">2026-06-26T12:00:00+00:00</ProductionDate>
    <DocumentNumber xmlns="03db1768-8e83-4c4e-a8fb-1eb1d05ab6cf">4323</DocumentNumber>
    <FicheYear xmlns="1a33af13-4045-4f88-9d7b-618e30f79918" xsi:nil="true"/>
    <DossierNumber xmlns="1a33af13-4045-4f88-9d7b-618e30f79918">691</Dossier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TaxCatchAll xmlns="1a33af13-4045-4f88-9d7b-618e30f79918">
      <Value>246</Value>
      <Value>50</Value>
      <Value>47</Value>
      <Value>46</Value>
      <Value>43</Value>
      <Value>42</Value>
      <Value>41</Value>
      <Value>40</Value>
      <Value>39</Value>
      <Value>37</Value>
      <Value>36</Value>
      <Value>35</Value>
      <Value>34</Value>
      <Value>33</Value>
      <Value>32</Value>
      <Value>31</Value>
      <Value>30</Value>
      <Value>29</Value>
      <Value>28</Value>
      <Value>27</Value>
      <Value>24</Value>
      <Value>23</Value>
      <Value>16</Value>
      <Value>15</Value>
      <Value>103</Value>
      <Value>13</Value>
      <Value>12</Value>
      <Value>8</Value>
      <Value>5</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NL</TermName>
          <TermId xmlns="http://schemas.microsoft.com/office/infopath/2007/PartnerControls">55c6556c-b4f4-441d-9acf-c498d4f838bd</TermId>
        </TermInfo>
      </Terms>
    </DocumentLanguage_0>
    <MeetingDate xmlns="1a33af13-4045-4f88-9d7b-618e30f79918" xsi:nil="true"/>
    <Rapporteur xmlns="1a33af13-4045-4f88-9d7b-618e30f79918">LOBO XAVIER &amp; MONE &amp; JAHIER</Rapporteur>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DocumentYear xmlns="1a33af13-4045-4f88-9d7b-618e30f79918">2025</DocumentYear>
    <FicheNumber xmlns="1a33af13-4045-4f88-9d7b-618e30f79918">304828</FicheNumber>
    <OriginalSender xmlns="1a33af13-4045-4f88-9d7b-618e30f79918">
      <UserInfo>
        <DisplayName>Bialkowska Anna Maria</DisplayName>
        <AccountId>1525</AccountId>
        <AccountType/>
      </UserInfo>
    </OriginalSender>
    <DocumentPart xmlns="1a33af13-4045-4f88-9d7b-618e30f79918">0</DocumentPart>
    <AdoptionDate xmlns="1a33af13-4045-4f88-9d7b-618e30f79918" xsi:nil="true"/>
    <RequestingService xmlns="1a33af13-4045-4f88-9d7b-618e30f79918">Union économique et monétaire et cohésion économique et sociale</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GA</TermName>
          <TermId xmlns="http://schemas.microsoft.com/office/infopath/2007/PartnerControls">762d2456-c427-4ecb-b312-af3dad8e258c</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03db1768-8e83-4c4e-a8fb-1eb1d05ab6cf" xsi:nil="true"/>
    <DossierName_0 xmlns="http://schemas.microsoft.com/sharepoint/v3/fields">
      <Terms xmlns="http://schemas.microsoft.com/office/infopath/2007/PartnerControls">
        <TermInfo xmlns="http://schemas.microsoft.com/office/infopath/2007/PartnerControls">
          <TermName xmlns="http://schemas.microsoft.com/office/infopath/2007/PartnerControls">ECO</TermName>
          <TermId xmlns="http://schemas.microsoft.com/office/infopath/2007/PartnerControls">8df351f5-c957-404c-8cf3-8ffb22c9cba2</TermId>
        </TermInfo>
      </Terms>
    </DossierName_0>
    <DocumentVersion xmlns="1a33af13-4045-4f88-9d7b-618e30f79918">2</DocumentVersion>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81D48B-7B94-4DE2-ADE0-762CFB3247B4}">
  <ds:schemaRefs>
    <ds:schemaRef ds:uri="http://schemas.microsoft.com/sharepoint/events"/>
  </ds:schemaRefs>
</ds:datastoreItem>
</file>

<file path=customXml/itemProps2.xml><?xml version="1.0" encoding="utf-8"?>
<ds:datastoreItem xmlns:ds="http://schemas.openxmlformats.org/officeDocument/2006/customXml" ds:itemID="{447DB152-1F22-4F21-833F-125038C0CCF2}"/>
</file>

<file path=customXml/itemProps3.xml><?xml version="1.0" encoding="utf-8"?>
<ds:datastoreItem xmlns:ds="http://schemas.openxmlformats.org/officeDocument/2006/customXml" ds:itemID="{FCE5AA7A-F83E-44BC-8A8D-4F623ECC8212}">
  <ds:schemaRefs>
    <ds:schemaRef ds:uri="http://schemas.microsoft.com/office/2006/metadata/properties"/>
    <ds:schemaRef ds:uri="http://schemas.microsoft.com/office/infopath/2007/PartnerControls"/>
    <ds:schemaRef ds:uri="1a33af13-4045-4f88-9d7b-618e30f79918"/>
    <ds:schemaRef ds:uri="http://schemas.microsoft.com/sharepoint/v3/fields"/>
    <ds:schemaRef ds:uri="03db1768-8e83-4c4e-a8fb-1eb1d05ab6cf"/>
  </ds:schemaRefs>
</ds:datastoreItem>
</file>

<file path=customXml/itemProps4.xml><?xml version="1.0" encoding="utf-8"?>
<ds:datastoreItem xmlns:ds="http://schemas.openxmlformats.org/officeDocument/2006/customXml" ds:itemID="{0D55EA89-DD5A-4503-881D-DEB0C138E5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5265</Words>
  <Characters>30596</Characters>
  <Application>Microsoft Office Word</Application>
  <DocSecurity>0</DocSecurity>
  <Lines>546</Lines>
  <Paragraphs>122</Paragraphs>
  <ScaleCrop>false</ScaleCrop>
  <HeadingPairs>
    <vt:vector size="2" baseType="variant">
      <vt:variant>
        <vt:lpstr>Title</vt:lpstr>
      </vt:variant>
      <vt:variant>
        <vt:i4>1</vt:i4>
      </vt:variant>
    </vt:vector>
  </HeadingPairs>
  <TitlesOfParts>
    <vt:vector size="1" baseType="lpstr">
      <vt:lpstr>EESC RI - Model</vt:lpstr>
    </vt:vector>
  </TitlesOfParts>
  <Manager/>
  <Company/>
  <LinksUpToDate>false</LinksUpToDate>
  <CharactersWithSpaces>35739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Nationale hervormings- en investeringsvoorstellen en de uitvoering daarvan: cyclus van het Europees Semester 2025-2026</dc:title>
  <dc:subject>Information report</dc:subject>
  <dc:creator/>
  <cp:keywords>EESC-2025-04323-00-01-RI-TRA-EN</cp:keywords>
  <dc:description>Rapporteur: - LOBO XAVIER &amp; MONE &amp; JAHIER Original language: - EN Date of document: - 19/06/2026 Date of meeting: -  External documents: -  Administrator responsible: -  GREGOIRE COLOMBE</dc:description>
  <cp:lastModifiedBy/>
  <cp:revision>7</cp:revision>
  <dcterms:created xsi:type="dcterms:W3CDTF">2026-06-22T13:49:00Z</dcterms:created>
  <dcterms:modified xsi:type="dcterms:W3CDTF">2026-06-26T07:58:00Z</dcterms:modified>
  <cp:category>ECO/691</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22/06/2026, 19/06/2026, 19/06/2026, 12/04/2024, 17/05/2022</vt:lpwstr>
  </property>
  <property fmtid="{D5CDD505-2E9C-101B-9397-08002B2CF9AE}" pid="4" name="Pref_Time">
    <vt:lpwstr>15:47:06, 12:32:42, 09:40:32, 12:04:59, 14:58:36</vt:lpwstr>
  </property>
  <property fmtid="{D5CDD505-2E9C-101B-9397-08002B2CF9AE}" pid="5" name="Pref_User">
    <vt:lpwstr>jhvi, pacup, pacup, enied, enied</vt:lpwstr>
  </property>
  <property fmtid="{D5CDD505-2E9C-101B-9397-08002B2CF9AE}" pid="6" name="Pref_FileName">
    <vt:lpwstr>EESC-2025-04323-00-02-RI-ORI.docx, EESC-2025-04323-00-01-RI-ORI.docx, EESC-2025-04323-00-00-RI-TRA-EN-CRR.docx, COR-EESC-2024-01326-27-00-ADMIN-ORI.docx, COR-EESC-2022-02592-00-00-ADMIN-ORI.docx</vt:lpwstr>
  </property>
  <property fmtid="{D5CDD505-2E9C-101B-9397-08002B2CF9AE}" pid="7" name="ContentTypeId">
    <vt:lpwstr>0x010100EA97B91038054C99906057A708A1480A007FAFB00F4882C04A82CD69E07FC3C83E</vt:lpwstr>
  </property>
  <property fmtid="{D5CDD505-2E9C-101B-9397-08002B2CF9AE}" pid="8" name="_dlc_DocIdItemGuid">
    <vt:lpwstr>3f157115-ab46-4778-8168-47739656549e</vt:lpwstr>
  </property>
  <property fmtid="{D5CDD505-2E9C-101B-9397-08002B2CF9AE}" pid="9" name="AvailableTranslations">
    <vt:lpwstr>16;#ES|e7a6b05b-ae16-40c8-add9-68b64b03aeba;#28;#SV|c2ed69e7-a339-43d7-8f22-d93680a92aa0;#46;#SK|46d9fce0-ef79-4f71-b89b-cd6aa82426b8;#47;#BG|1a1b3951-7821-4e6a-85f5-5673fc08bd2c;#31;#SL|98a412ae-eb01-49e9-ae3d-585a81724cfc;#37;#HU|6b229040-c589-4408-b4c1-4285663d20a8;#27;#NL|55c6556c-b4f4-441d-9acf-c498d4f838bd;#41;#ET|ff6c3f4c-b02c-4c3c-ab07-2c37995a7a0a;#32;#MT|7df99101-6854-4a26-b53a-b88c0da02c26;#30;#LT|a7ff5ce7-6123-4f68-865a-a57c31810414;#50;#HR|2f555653-ed1a-4fe6-8362-9082d95989e5;#29;#CS|72f9705b-0217-4fd3-bea2-cbc7ed80e26e;#43;#GA|762d2456-c427-4ecb-b312-af3dad8e258c;#23;#DE|f6b31e5a-26fa-4935-b661-318e46daf27e;#12;#FR|d2afafd3-4c81-4f60-8f52-ee33f2f54ff3;#36;#RO|feb747a2-64cd-4299-af12-4833ddc30497;#39;#LV|46f7e311-5d9f-4663-b433-18aeccb7ace7;#34;#IT|0774613c-01ed-4e5d-a25d-11d2388de825;#33;#PT|50ccc04a-eadd-42ae-a0cb-acaf45f812ba;#42;#EL|6d4f4d51-af9b-4650-94b4-4276bee85c91;#5;#EN|f2175f21-25d7-44a3-96da-d6a61b075e1b;#35;#FI|87606a43-d45f-42d6-b8c9-e1a3457db5b7;#24;#PL|1e03da61-4678-4e07-b136-b5024ca9197b;#40;#DA|5d49c027-8956-412b-aa16-e85a0f96ad0e</vt:lpwstr>
  </property>
  <property fmtid="{D5CDD505-2E9C-101B-9397-08002B2CF9AE}" pid="10" name="DocumentType_0">
    <vt:lpwstr>RI|0e66e8df-1601-4fe1-947b-eb539760261a</vt:lpwstr>
  </property>
  <property fmtid="{D5CDD505-2E9C-101B-9397-08002B2CF9AE}" pid="11" name="DossierName_0">
    <vt:lpwstr>ECO|8df351f5-c957-404c-8cf3-8ffb22c9cba2</vt:lpwstr>
  </property>
  <property fmtid="{D5CDD505-2E9C-101B-9397-08002B2CF9AE}" pid="12" name="DocumentSource_0">
    <vt:lpwstr>EESC|422833ec-8d7e-4e65-8e4e-8bed07ffb729</vt:lpwstr>
  </property>
  <property fmtid="{D5CDD505-2E9C-101B-9397-08002B2CF9AE}" pid="13" name="DocumentNumber">
    <vt:i4>4323</vt:i4>
  </property>
  <property fmtid="{D5CDD505-2E9C-101B-9397-08002B2CF9AE}" pid="14" name="FicheYear">
    <vt:i4>2025</vt:i4>
  </property>
  <property fmtid="{D5CDD505-2E9C-101B-9397-08002B2CF9AE}" pid="15" name="DocumentVersion">
    <vt:i4>2</vt:i4>
  </property>
  <property fmtid="{D5CDD505-2E9C-101B-9397-08002B2CF9AE}" pid="16" name="DossierNumber">
    <vt:i4>691</vt:i4>
  </property>
  <property fmtid="{D5CDD505-2E9C-101B-9397-08002B2CF9AE}" pid="17" name="DocumentStatus">
    <vt:lpwstr>13;#TRA|150d2a88-1431-44e6-a8ca-0bb753ab8672</vt:lpwstr>
  </property>
  <property fmtid="{D5CDD505-2E9C-101B-9397-08002B2CF9AE}" pid="18" name="DossierName">
    <vt:lpwstr>103;#ECO|8df351f5-c957-404c-8cf3-8ffb22c9cba2</vt:lpwstr>
  </property>
  <property fmtid="{D5CDD505-2E9C-101B-9397-08002B2CF9AE}" pid="19" name="RequestingService">
    <vt:lpwstr>Union économique et monétaire et cohésion économique et sociale</vt:lpwstr>
  </property>
  <property fmtid="{D5CDD505-2E9C-101B-9397-08002B2CF9AE}" pid="20" name="Confidentiality">
    <vt:lpwstr>15;#Unrestricted|826e22d7-d029-4ec0-a450-0c28ff673572</vt:lpwstr>
  </property>
  <property fmtid="{D5CDD505-2E9C-101B-9397-08002B2CF9AE}" pid="21" name="MeetingName_0">
    <vt:lpwstr/>
  </property>
  <property fmtid="{D5CDD505-2E9C-101B-9397-08002B2CF9AE}" pid="22" name="Confidentiality_0">
    <vt:lpwstr>Unrestricted|826e22d7-d029-4ec0-a450-0c28ff673572</vt:lpwstr>
  </property>
  <property fmtid="{D5CDD505-2E9C-101B-9397-08002B2CF9AE}" pid="23" name="OriginalLanguage">
    <vt:lpwstr>5;#EN|f2175f21-25d7-44a3-96da-d6a61b075e1b</vt:lpwstr>
  </property>
  <property fmtid="{D5CDD505-2E9C-101B-9397-08002B2CF9AE}" pid="24" name="MeetingName">
    <vt:lpwstr/>
  </property>
  <property fmtid="{D5CDD505-2E9C-101B-9397-08002B2CF9AE}" pid="25" name="AvailableTranslations_0">
    <vt:lpwstr>ES|e7a6b05b-ae16-40c8-add9-68b64b03aeba;SL|98a412ae-eb01-49e9-ae3d-585a81724cfc;HU|6b229040-c589-4408-b4c1-4285663d20a8;MT|7df99101-6854-4a26-b53a-b88c0da02c26;HR|2f555653-ed1a-4fe6-8362-9082d95989e5;CS|72f9705b-0217-4fd3-bea2-cbc7ed80e26e;GA|762d2456-c427-4ecb-b312-af3dad8e258c;DE|f6b31e5a-26fa-4935-b661-318e46daf27e;FR|d2afafd3-4c81-4f60-8f52-ee33f2f54ff3;LV|46f7e311-5d9f-4663-b433-18aeccb7ace7;IT|0774613c-01ed-4e5d-a25d-11d2388de825;PT|50ccc04a-eadd-42ae-a0cb-acaf45f812ba;EN|f2175f21-25d7-44a3-96da-d6a61b075e1b;FI|87606a43-d45f-42d6-b8c9-e1a3457db5b7;DA|5d49c027-8956-412b-aa16-e85a0f96ad0e</vt:lpwstr>
  </property>
  <property fmtid="{D5CDD505-2E9C-101B-9397-08002B2CF9AE}" pid="26" name="DocumentStatus_0">
    <vt:lpwstr>TRA|150d2a88-1431-44e6-a8ca-0bb753ab8672</vt:lpwstr>
  </property>
  <property fmtid="{D5CDD505-2E9C-101B-9397-08002B2CF9AE}" pid="27" name="OriginalLanguage_0">
    <vt:lpwstr>EN|f2175f21-25d7-44a3-96da-d6a61b075e1b</vt:lpwstr>
  </property>
  <property fmtid="{D5CDD505-2E9C-101B-9397-08002B2CF9AE}" pid="28" name="TaxCatchAll">
    <vt:lpwstr>35;#FI|87606a43-d45f-42d6-b8c9-e1a3457db5b7;#34;#IT|0774613c-01ed-4e5d-a25d-11d2388de825;#33;#PT|50ccc04a-eadd-42ae-a0cb-acaf45f812ba;#32;#MT|7df99101-6854-4a26-b53a-b88c0da02c26;#13;#TRA|150d2a88-1431-44e6-a8ca-0bb753ab8672;#31;#SL|98a412ae-eb01-49e9-ae3d-585a81724cfc;#103;#ECO|8df351f5-c957-404c-8cf3-8ffb22c9cba2;#246;#RI|0e66e8df-1601-4fe1-947b-eb539760261a;#23;#DE|f6b31e5a-26fa-4935-b661-318e46daf27e;#43;#GA|762d2456-c427-4ecb-b312-af3dad8e258c;#16;#ES|e7a6b05b-ae16-40c8-add9-68b64b03aeba;#15;#Unrestricted|826e22d7-d029-4ec0-a450-0c28ff673572;#50;#HR|2f555653-ed1a-4fe6-8362-9082d95989e5;#12;#FR|d2afafd3-4c81-4f60-8f52-ee33f2f54ff3;#8;#Final|ea5e6674-7b27-4bac-b091-73adbb394efe;#29;#CS|72f9705b-0217-4fd3-bea2-cbc7ed80e26e;#5;#EN|f2175f21-25d7-44a3-96da-d6a61b075e1b;#40;#DA|5d49c027-8956-412b-aa16-e85a0f96ad0e;#39;#LV|46f7e311-5d9f-4663-b433-18aeccb7ace7;#1;#EESC|422833ec-8d7e-4e65-8e4e-8bed07ffb729;#37;#HU|6b229040-c589-4408-b4c1-4285663d20a8</vt:lpwstr>
  </property>
  <property fmtid="{D5CDD505-2E9C-101B-9397-08002B2CF9AE}" pid="29" name="Rapporteur">
    <vt:lpwstr>LOBO XAVIER &amp; MONE &amp; JAHIER</vt:lpwstr>
  </property>
  <property fmtid="{D5CDD505-2E9C-101B-9397-08002B2CF9AE}" pid="30" name="VersionStatus_0">
    <vt:lpwstr>Final|ea5e6674-7b27-4bac-b091-73adbb394efe</vt:lpwstr>
  </property>
  <property fmtid="{D5CDD505-2E9C-101B-9397-08002B2CF9AE}" pid="31" name="VersionStatus">
    <vt:lpwstr>8;#Final|ea5e6674-7b27-4bac-b091-73adbb394efe</vt:lpwstr>
  </property>
  <property fmtid="{D5CDD505-2E9C-101B-9397-08002B2CF9AE}" pid="32" name="DocumentYear">
    <vt:i4>2025</vt:i4>
  </property>
  <property fmtid="{D5CDD505-2E9C-101B-9397-08002B2CF9AE}" pid="33" name="FicheNumber">
    <vt:i4>304828</vt:i4>
  </property>
  <property fmtid="{D5CDD505-2E9C-101B-9397-08002B2CF9AE}" pid="34" name="DocumentPart">
    <vt:i4>0</vt:i4>
  </property>
  <property fmtid="{D5CDD505-2E9C-101B-9397-08002B2CF9AE}" pid="35" name="DocumentSource">
    <vt:lpwstr>1;#EESC|422833ec-8d7e-4e65-8e4e-8bed07ffb729</vt:lpwstr>
  </property>
  <property fmtid="{D5CDD505-2E9C-101B-9397-08002B2CF9AE}" pid="37" name="DocumentType">
    <vt:lpwstr>246;#RI|0e66e8df-1601-4fe1-947b-eb539760261a</vt:lpwstr>
  </property>
  <property fmtid="{D5CDD505-2E9C-101B-9397-08002B2CF9AE}" pid="38" name="DocumentLanguage">
    <vt:lpwstr>27;#NL|55c6556c-b4f4-441d-9acf-c498d4f838bd</vt:lpwstr>
  </property>
  <property fmtid="{D5CDD505-2E9C-101B-9397-08002B2CF9AE}" pid="39" name="_docset_NoMedatataSyncRequired">
    <vt:lpwstr>False</vt:lpwstr>
  </property>
  <property fmtid="{D5CDD505-2E9C-101B-9397-08002B2CF9AE}" pid="40" name="DocumentLanguage_0">
    <vt:lpwstr>EN|f2175f21-25d7-44a3-96da-d6a61b075e1b</vt:lpwstr>
  </property>
</Properties>
</file>