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218B" w14:textId="73CDA8BD" w:rsidR="00376C78" w:rsidRPr="003F0403" w:rsidRDefault="00376C78" w:rsidP="00376C78">
      <w:pPr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S3 Table</w:t>
      </w:r>
      <w:r w:rsidRPr="003F0403">
        <w:rPr>
          <w:rFonts w:ascii="Garamond" w:hAnsi="Garamond"/>
          <w:b/>
          <w:bCs/>
          <w:lang w:val="en-US"/>
        </w:rPr>
        <w:t xml:space="preserve">. Prescription of systemic therapeutic antibiotics within 48 hours of VL diagnosis, stratified by CRP values at baseline in </w:t>
      </w:r>
      <w:r w:rsidRPr="003F0403">
        <w:rPr>
          <w:rFonts w:ascii="Garamond" w:hAnsi="Garamond"/>
          <w:b/>
          <w:bCs/>
          <w:lang w:val="en-GB"/>
        </w:rPr>
        <w:t>VL cases in Gondar, Ethiopia (2023-2024)</w:t>
      </w:r>
      <w:r w:rsidRPr="003F0403">
        <w:rPr>
          <w:rFonts w:ascii="Garamond" w:hAnsi="Garamond"/>
          <w:b/>
          <w:bCs/>
          <w:lang w:val="en-US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6C78" w:rsidRPr="003F0403" w14:paraId="0FF8EE78" w14:textId="77777777" w:rsidTr="00073723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D4B2D4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  <w:b/>
                <w:bCs/>
              </w:rPr>
            </w:pPr>
            <w:r w:rsidRPr="003F0403">
              <w:rPr>
                <w:rFonts w:ascii="Garamond" w:hAnsi="Garamond"/>
                <w:b/>
                <w:bCs/>
              </w:rPr>
              <w:t>CRP values at VL diagnosis</w:t>
            </w:r>
            <w:r w:rsidRPr="003F0403">
              <w:rPr>
                <w:rFonts w:ascii="Garamond" w:hAnsi="Garamond"/>
                <w:vertAlign w:val="superscript"/>
              </w:rPr>
              <w:t xml:space="preserve">a 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DD46FB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  <w:b/>
                <w:bCs/>
                <w:lang w:val="en-US"/>
              </w:rPr>
            </w:pPr>
            <w:r w:rsidRPr="003F0403">
              <w:rPr>
                <w:rFonts w:ascii="Garamond" w:hAnsi="Garamond"/>
                <w:b/>
                <w:bCs/>
                <w:lang w:val="en-US"/>
              </w:rPr>
              <w:t>Antibiotics prescribed (&lt; 48 hours of VL diagnosis)</w:t>
            </w:r>
          </w:p>
        </w:tc>
      </w:tr>
      <w:tr w:rsidR="00376C78" w:rsidRPr="003F0403" w14:paraId="4477DE44" w14:textId="77777777" w:rsidTr="00073723"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E1188E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&lt;10 mg/L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77EACE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13/40 (32.5%)</w:t>
            </w:r>
          </w:p>
        </w:tc>
      </w:tr>
      <w:tr w:rsidR="00376C78" w:rsidRPr="003F0403" w14:paraId="4D8AD94B" w14:textId="77777777" w:rsidTr="00073723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6B317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10-49.9 mg/L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151C5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41/127 (32.3%)</w:t>
            </w:r>
          </w:p>
        </w:tc>
      </w:tr>
      <w:tr w:rsidR="00376C78" w:rsidRPr="003F0403" w14:paraId="5A925C82" w14:textId="77777777" w:rsidTr="00073723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EED35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50-99.9 mg/L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EF7B9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35/86 (40.7%)</w:t>
            </w:r>
          </w:p>
        </w:tc>
      </w:tr>
      <w:tr w:rsidR="00376C78" w:rsidRPr="003F0403" w14:paraId="486E98F8" w14:textId="77777777" w:rsidTr="00073723"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F3BB12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&gt;100 mg/L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5C8532" w14:textId="77777777" w:rsidR="00376C78" w:rsidRPr="003F0403" w:rsidRDefault="00376C78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21/56 (37.5%)</w:t>
            </w:r>
          </w:p>
        </w:tc>
      </w:tr>
    </w:tbl>
    <w:p w14:paraId="55EF38B6" w14:textId="77777777" w:rsidR="00376C78" w:rsidRPr="003F0403" w:rsidRDefault="00376C78" w:rsidP="00376C78">
      <w:pPr>
        <w:rPr>
          <w:rFonts w:ascii="Garamond" w:hAnsi="Garamond"/>
          <w:lang w:val="en-US"/>
        </w:rPr>
      </w:pPr>
      <w:r w:rsidRPr="003F0403">
        <w:rPr>
          <w:rFonts w:ascii="Garamond" w:hAnsi="Garamond"/>
          <w:vertAlign w:val="superscript"/>
          <w:lang w:val="en-US"/>
        </w:rPr>
        <w:t xml:space="preserve">a </w:t>
      </w:r>
      <w:r w:rsidRPr="003F0403">
        <w:rPr>
          <w:rFonts w:ascii="Garamond" w:hAnsi="Garamond"/>
          <w:lang w:val="en-US"/>
        </w:rPr>
        <w:t xml:space="preserve">As CRP testing was done for study purposes, CRP values were not used by the treating physician when deciding on starting antibiotics </w:t>
      </w:r>
    </w:p>
    <w:p w14:paraId="555F770E" w14:textId="77777777" w:rsidR="00376C78" w:rsidRPr="003F0403" w:rsidRDefault="00376C78" w:rsidP="00376C78">
      <w:pPr>
        <w:rPr>
          <w:rFonts w:ascii="Garamond" w:hAnsi="Garamond"/>
          <w:lang w:val="en-US"/>
        </w:rPr>
      </w:pPr>
      <w:r w:rsidRPr="003F0403">
        <w:rPr>
          <w:rFonts w:ascii="Garamond" w:hAnsi="Garamond"/>
          <w:lang w:val="en-US"/>
        </w:rPr>
        <w:t>CRP: C-reactive protein; VL: visceral leishmaniasis</w:t>
      </w:r>
    </w:p>
    <w:p w14:paraId="5F311D65" w14:textId="77777777" w:rsidR="006C52AA" w:rsidRDefault="006C52AA"/>
    <w:sectPr w:rsidR="006C52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78"/>
    <w:rsid w:val="000B5460"/>
    <w:rsid w:val="001E5805"/>
    <w:rsid w:val="00376C78"/>
    <w:rsid w:val="004C12F9"/>
    <w:rsid w:val="006C52AA"/>
    <w:rsid w:val="00B5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5B18EA"/>
  <w15:chartTrackingRefBased/>
  <w15:docId w15:val="{B2A5D5E2-68E5-6B44-BC9C-A9B8CDB5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C78"/>
    <w:pPr>
      <w:spacing w:after="160" w:line="278" w:lineRule="auto"/>
    </w:pPr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C7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C7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C7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C7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C7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C7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C7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C7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C7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C7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C7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C78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C78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C78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C7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C78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C7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C78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76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76C7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C7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76C7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76C78"/>
    <w:pPr>
      <w:spacing w:before="160" w:line="240" w:lineRule="auto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76C78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376C78"/>
    <w:pPr>
      <w:spacing w:after="0" w:line="240" w:lineRule="auto"/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376C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C78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376C7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6C78"/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</dc:creator>
  <cp:keywords/>
  <dc:description/>
  <cp:lastModifiedBy>Eleni</cp:lastModifiedBy>
  <cp:revision>1</cp:revision>
  <dcterms:created xsi:type="dcterms:W3CDTF">2026-05-29T09:00:00Z</dcterms:created>
  <dcterms:modified xsi:type="dcterms:W3CDTF">2026-05-29T09:00:00Z</dcterms:modified>
</cp:coreProperties>
</file>