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alt="C9A02E05-AB12-4847-874F-BA10BDF0BE5C" style="width:450.2pt;height:559.95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0"/>
          <w:cols w:space="720"/>
          <w:docGrid w:linePitch="360"/>
        </w:sectPr>
      </w:pPr>
    </w:p>
    <w:tbl>
      <w:tblPr>
        <w:tblStyle w:val="TableGrid"/>
        <w:tblW w:w="10188" w:type="dxa"/>
        <w:tblInd w:w="0" w:type="dxa"/>
        <w:tblLook w:val="01E0" w:firstRow="1" w:lastRow="1" w:firstColumn="1" w:lastColumn="1" w:noHBand="0" w:noVBand="0"/>
      </w:tblPr>
      <w:tblGrid>
        <w:gridCol w:w="10188"/>
      </w:tblGrid>
      <w:tr>
        <w:tc>
          <w:tcPr>
            <w:tcW w:w="10188" w:type="dxa"/>
            <w:tcBorders>
              <w:bottom w:val="single" w:sz="4" w:space="0" w:color="auto"/>
            </w:tcBorders>
            <w:shd w:val="clear" w:color="auto" w:fill="CCCCCC"/>
          </w:tcPr>
          <w:p>
            <w:pPr>
              <w:spacing w:after="120" w:afterAutospacing="0"/>
              <w:jc w:val="center"/>
              <w:rPr>
                <w:rFonts w:ascii="Tahoma" w:hAnsi="Tahoma" w:cs="Tahoma"/>
                <w:b/>
                <w:noProof/>
                <w:sz w:val="22"/>
                <w:szCs w:val="22"/>
              </w:rPr>
            </w:pPr>
            <w:bookmarkStart w:id="1" w:name="_GoBack"/>
            <w:bookmarkEnd w:id="1"/>
            <w:r>
              <w:rPr>
                <w:rFonts w:ascii="Tahoma" w:hAnsi="Tahoma"/>
                <w:b/>
                <w:noProof/>
                <w:sz w:val="22"/>
              </w:rPr>
              <w:lastRenderedPageBreak/>
              <w:t>Обобщение</w:t>
            </w:r>
          </w:p>
        </w:tc>
      </w:tr>
      <w:tr>
        <w:tc>
          <w:tcPr>
            <w:tcW w:w="10188" w:type="dxa"/>
            <w:tcBorders>
              <w:top w:val="single" w:sz="4" w:space="0" w:color="auto"/>
              <w:left w:val="single" w:sz="4" w:space="0" w:color="auto"/>
              <w:bottom w:val="single" w:sz="4" w:space="0" w:color="auto"/>
              <w:right w:val="single" w:sz="4" w:space="0" w:color="auto"/>
            </w:tcBorders>
            <w:shd w:val="clear" w:color="auto" w:fill="4F81BD" w:themeFill="accent1"/>
          </w:tcPr>
          <w:p>
            <w:pPr>
              <w:spacing w:after="120" w:afterAutospacing="0"/>
              <w:rPr>
                <w:rFonts w:ascii="Tahoma" w:hAnsi="Tahoma" w:cs="Tahoma"/>
                <w:noProof/>
                <w:color w:val="FFFFFF" w:themeColor="background1"/>
              </w:rPr>
            </w:pPr>
            <w:r>
              <w:rPr>
                <w:rFonts w:ascii="Tahoma" w:hAnsi="Tahoma"/>
                <w:noProof/>
                <w:color w:val="FFFFFF" w:themeColor="background1"/>
              </w:rPr>
              <w:t>Оценка на въздействието на Регламента за определяне на изисквания за екопроектиране на светлинни източници и отделна пусково-регулираща апаратура и за отмяна на регламенти (ЕО) № 244/2009, (ЕО) № 245/2009 и (ЕС) № 1194/2012 на Комисията</w:t>
            </w:r>
            <w:r>
              <w:rPr>
                <w:rStyle w:val="FootnoteReference"/>
                <w:rFonts w:ascii="Tahoma" w:hAnsi="Tahoma"/>
                <w:noProof/>
                <w:color w:val="FFFFFF" w:themeColor="background1"/>
              </w:rPr>
              <w:footnoteReference w:id="1"/>
            </w:r>
            <w:r>
              <w:rPr>
                <w:rFonts w:ascii="Tahoma" w:hAnsi="Tahoma"/>
                <w:noProof/>
                <w:color w:val="FFFFFF" w:themeColor="background1"/>
              </w:rPr>
              <w:t xml:space="preserve"> и на Регламента за установяването на енергийно етикетиране на светлинни източници и за отмяна на Регламент (ЕС) № 874/2012</w:t>
            </w:r>
            <w:r>
              <w:rPr>
                <w:rStyle w:val="FootnoteReference"/>
                <w:rFonts w:ascii="Tahoma" w:hAnsi="Tahoma"/>
                <w:noProof/>
                <w:color w:val="FFFFFF" w:themeColor="background1"/>
              </w:rPr>
              <w:footnoteReference w:id="2"/>
            </w:r>
          </w:p>
        </w:tc>
      </w:tr>
      <w:tr>
        <w:tc>
          <w:tcPr>
            <w:tcW w:w="10188" w:type="dxa"/>
            <w:tcBorders>
              <w:bottom w:val="single" w:sz="4" w:space="0" w:color="auto"/>
            </w:tcBorders>
            <w:shd w:val="clear" w:color="auto" w:fill="CCCCCC"/>
          </w:tcPr>
          <w:p>
            <w:pPr>
              <w:spacing w:after="120" w:afterAutospacing="0"/>
              <w:jc w:val="center"/>
              <w:rPr>
                <w:rFonts w:ascii="Tahoma" w:hAnsi="Tahoma" w:cs="Tahoma"/>
                <w:b/>
                <w:noProof/>
                <w:sz w:val="22"/>
                <w:szCs w:val="22"/>
              </w:rPr>
            </w:pPr>
            <w:r>
              <w:rPr>
                <w:rFonts w:ascii="Tahoma" w:hAnsi="Tahoma"/>
                <w:b/>
                <w:noProof/>
                <w:sz w:val="22"/>
              </w:rPr>
              <w:t>A. Необходимост от действия</w:t>
            </w:r>
          </w:p>
        </w:tc>
      </w:tr>
      <w:tr>
        <w:tc>
          <w:tcPr>
            <w:tcW w:w="10188" w:type="dxa"/>
            <w:tcBorders>
              <w:bottom w:val="single" w:sz="4" w:space="0" w:color="auto"/>
            </w:tcBorders>
            <w:shd w:val="clear" w:color="auto" w:fill="E0E0E0"/>
          </w:tcPr>
          <w:p>
            <w:pPr>
              <w:spacing w:after="120" w:afterAutospacing="0"/>
              <w:rPr>
                <w:rFonts w:ascii="Tahoma" w:hAnsi="Tahoma" w:cs="Tahoma"/>
                <w:noProof/>
              </w:rPr>
            </w:pPr>
            <w:r>
              <w:rPr>
                <w:rFonts w:ascii="Tahoma" w:hAnsi="Tahoma"/>
                <w:b/>
                <w:noProof/>
              </w:rPr>
              <w:t xml:space="preserve">Защо? Какъв е разглежданият проблем? </w:t>
            </w:r>
          </w:p>
        </w:tc>
      </w:tr>
      <w:tr>
        <w:tc>
          <w:tcPr>
            <w:tcW w:w="10188" w:type="dxa"/>
            <w:tcBorders>
              <w:bottom w:val="single" w:sz="4" w:space="0" w:color="auto"/>
            </w:tcBorders>
            <w:shd w:val="clear" w:color="auto" w:fill="auto"/>
          </w:tcPr>
          <w:p>
            <w:pPr>
              <w:spacing w:after="120" w:afterAutospacing="0"/>
              <w:rPr>
                <w:rFonts w:ascii="Arial" w:hAnsi="Arial" w:cs="Arial"/>
                <w:noProof/>
              </w:rPr>
            </w:pPr>
            <w:r>
              <w:rPr>
                <w:rFonts w:ascii="Arial" w:hAnsi="Arial"/>
                <w:noProof/>
              </w:rPr>
              <w:t>Продуктите за осветление все още представляват един от най-големите консуматори на електроенергия в Европейския съюз (около 12 % от цялото общо производство на електроенергия в ЕС-28). Очакваше се икономиите на електроенергия при съществуващите изисквания да достигнат 110 TWh през 2020 г., но според последните прогнози ще бъдат ограничени до 70 TWh. Според анализа на база на оценката на въздействието очакваните икономии може да не бъдат постигнати поради:</w:t>
            </w:r>
          </w:p>
          <w:p>
            <w:pPr>
              <w:pStyle w:val="ListParagraph"/>
              <w:numPr>
                <w:ilvl w:val="0"/>
                <w:numId w:val="37"/>
              </w:numPr>
              <w:spacing w:after="120" w:afterAutospacing="0"/>
              <w:contextualSpacing w:val="0"/>
              <w:rPr>
                <w:rFonts w:ascii="Arial" w:hAnsi="Arial" w:cs="Arial"/>
                <w:noProof/>
              </w:rPr>
            </w:pPr>
            <w:r>
              <w:rPr>
                <w:rFonts w:ascii="Arial" w:hAnsi="Arial"/>
                <w:noProof/>
              </w:rPr>
              <w:t>остарели изисквания за енергийна ефективност;</w:t>
            </w:r>
          </w:p>
          <w:p>
            <w:pPr>
              <w:pStyle w:val="ListParagraph"/>
              <w:numPr>
                <w:ilvl w:val="0"/>
                <w:numId w:val="37"/>
              </w:numPr>
              <w:spacing w:after="120" w:afterAutospacing="0"/>
              <w:contextualSpacing w:val="0"/>
              <w:rPr>
                <w:rFonts w:ascii="Arial" w:hAnsi="Arial" w:cs="Arial"/>
                <w:noProof/>
              </w:rPr>
            </w:pPr>
            <w:r>
              <w:rPr>
                <w:rFonts w:ascii="Arial" w:hAnsi="Arial"/>
                <w:noProof/>
              </w:rPr>
              <w:t>трудно прилагане и надзор, дължащи се на:</w:t>
            </w:r>
          </w:p>
          <w:p>
            <w:pPr>
              <w:pStyle w:val="ListParagraph"/>
              <w:spacing w:after="120" w:afterAutospacing="0"/>
              <w:ind w:left="774"/>
              <w:contextualSpacing w:val="0"/>
              <w:rPr>
                <w:rFonts w:ascii="Arial" w:hAnsi="Arial" w:cs="Arial"/>
                <w:noProof/>
              </w:rPr>
            </w:pPr>
            <w:r>
              <w:rPr>
                <w:rFonts w:ascii="Arial" w:hAnsi="Arial"/>
                <w:noProof/>
              </w:rPr>
              <w:t>а) сложно законодателство;</w:t>
            </w:r>
          </w:p>
          <w:p>
            <w:pPr>
              <w:pStyle w:val="ListParagraph"/>
              <w:spacing w:after="120" w:afterAutospacing="0"/>
              <w:ind w:left="774"/>
              <w:contextualSpacing w:val="0"/>
              <w:rPr>
                <w:rFonts w:ascii="Arial" w:hAnsi="Arial" w:cs="Arial"/>
                <w:noProof/>
              </w:rPr>
            </w:pPr>
            <w:r>
              <w:rPr>
                <w:rFonts w:ascii="Arial" w:hAnsi="Arial"/>
                <w:noProof/>
              </w:rPr>
              <w:t>б) неясен и двусмислен обхват и изключения;</w:t>
            </w:r>
          </w:p>
          <w:p>
            <w:pPr>
              <w:pStyle w:val="ListParagraph"/>
              <w:spacing w:after="120" w:afterAutospacing="0"/>
              <w:ind w:left="774"/>
              <w:contextualSpacing w:val="0"/>
              <w:rPr>
                <w:rFonts w:ascii="Arial" w:hAnsi="Arial" w:cs="Arial"/>
                <w:noProof/>
              </w:rPr>
            </w:pPr>
            <w:r>
              <w:rPr>
                <w:rFonts w:ascii="Arial" w:hAnsi="Arial"/>
                <w:noProof/>
              </w:rPr>
              <w:t>в) изисква се твърде много параметри да бъдат проверявани от органите за надзор на пазара, както и твърде скъпо/продължително изпитване за проверката;</w:t>
            </w:r>
          </w:p>
          <w:p>
            <w:pPr>
              <w:pStyle w:val="ListParagraph"/>
              <w:numPr>
                <w:ilvl w:val="0"/>
                <w:numId w:val="37"/>
              </w:numPr>
              <w:spacing w:after="120" w:afterAutospacing="0"/>
              <w:contextualSpacing w:val="0"/>
              <w:rPr>
                <w:rFonts w:ascii="Arial" w:hAnsi="Arial" w:cs="Arial"/>
                <w:noProof/>
              </w:rPr>
            </w:pPr>
            <w:r>
              <w:rPr>
                <w:rFonts w:ascii="Arial" w:hAnsi="Arial"/>
                <w:noProof/>
              </w:rPr>
              <w:t>скорошната поява на пазара на „напълно интегрирани осветители“ (от които светлинният източник не може да се отстранява за проверка): липсва яснота по въпроса дали тези продукти за осветление са в обхвата на съществуващото законодателство и за правилата за проверка на съответствието. Съществува риск икономиите на енергия от тези продукти за осветление да бъдат ограничени.</w:t>
            </w:r>
          </w:p>
        </w:tc>
      </w:tr>
      <w:tr>
        <w:tc>
          <w:tcPr>
            <w:tcW w:w="10188" w:type="dxa"/>
            <w:tcBorders>
              <w:bottom w:val="single" w:sz="4" w:space="0" w:color="auto"/>
            </w:tcBorders>
            <w:shd w:val="clear" w:color="auto" w:fill="E6E6E6"/>
          </w:tcPr>
          <w:p>
            <w:pPr>
              <w:spacing w:after="120" w:afterAutospacing="0"/>
              <w:rPr>
                <w:rFonts w:ascii="Tahoma" w:hAnsi="Tahoma" w:cs="Tahoma"/>
                <w:noProof/>
              </w:rPr>
            </w:pPr>
            <w:r>
              <w:rPr>
                <w:rFonts w:ascii="Tahoma" w:hAnsi="Tahoma"/>
                <w:b/>
                <w:noProof/>
              </w:rPr>
              <w:t xml:space="preserve">Какво се очаква да бъде постигнато с настоящата инициатива? </w:t>
            </w:r>
          </w:p>
        </w:tc>
      </w:tr>
      <w:tr>
        <w:tc>
          <w:tcPr>
            <w:tcW w:w="10188" w:type="dxa"/>
            <w:tcBorders>
              <w:bottom w:val="single" w:sz="4" w:space="0" w:color="auto"/>
            </w:tcBorders>
            <w:shd w:val="clear" w:color="auto" w:fill="auto"/>
          </w:tcPr>
          <w:p>
            <w:pPr>
              <w:spacing w:after="120" w:afterAutospacing="0"/>
              <w:rPr>
                <w:rFonts w:ascii="Arial" w:hAnsi="Arial" w:cs="Arial"/>
                <w:noProof/>
              </w:rPr>
            </w:pPr>
            <w:r>
              <w:rPr>
                <w:rFonts w:ascii="Arial" w:hAnsi="Arial"/>
                <w:noProof/>
              </w:rPr>
              <w:t>Актуализираните изисквания за енергийна ефективност и актуализираният енергиен етикет ще повишат конкурентоспособността на промишлеността на ЕС, ще подобрят комуникацията с потребителите по отношение на ефективните продукти и ще доведат до допълнителни икономии на енергия.</w:t>
            </w:r>
          </w:p>
          <w:p>
            <w:pPr>
              <w:spacing w:after="120" w:afterAutospacing="0"/>
              <w:rPr>
                <w:rFonts w:ascii="Arial" w:hAnsi="Arial" w:cs="Arial"/>
                <w:noProof/>
              </w:rPr>
            </w:pPr>
            <w:r>
              <w:rPr>
                <w:rFonts w:ascii="Arial" w:hAnsi="Arial"/>
                <w:noProof/>
              </w:rPr>
              <w:t>Опростеното законодателство, предефинирането на обхвата и изключенията и опростените изпитвания ще запълнят евентуалните пропуски, като това ще създаде равнопоставени условия на конкуренция за промишлеността и ще улесни постигането на съответствие и осигуряването на изпълнението.</w:t>
            </w:r>
          </w:p>
        </w:tc>
      </w:tr>
      <w:tr>
        <w:tc>
          <w:tcPr>
            <w:tcW w:w="10188" w:type="dxa"/>
            <w:tcBorders>
              <w:bottom w:val="single" w:sz="4" w:space="0" w:color="auto"/>
            </w:tcBorders>
            <w:shd w:val="clear" w:color="auto" w:fill="E6E6E6"/>
          </w:tcPr>
          <w:p>
            <w:pPr>
              <w:spacing w:after="120" w:afterAutospacing="0"/>
              <w:rPr>
                <w:rFonts w:ascii="Tahoma" w:hAnsi="Tahoma" w:cs="Tahoma"/>
                <w:noProof/>
              </w:rPr>
            </w:pPr>
            <w:r>
              <w:rPr>
                <w:rFonts w:ascii="Tahoma" w:hAnsi="Tahoma"/>
                <w:b/>
                <w:noProof/>
              </w:rPr>
              <w:t>Каква е добавената стойност от действие на равнището на ЕС?</w:t>
            </w:r>
            <w:r>
              <w:rPr>
                <w:rFonts w:ascii="Tahoma" w:hAnsi="Tahoma"/>
                <w:noProof/>
              </w:rPr>
              <w:t xml:space="preserve"> </w:t>
            </w:r>
          </w:p>
        </w:tc>
      </w:tr>
      <w:tr>
        <w:tc>
          <w:tcPr>
            <w:tcW w:w="10188" w:type="dxa"/>
            <w:tcBorders>
              <w:bottom w:val="single" w:sz="4" w:space="0" w:color="auto"/>
            </w:tcBorders>
            <w:shd w:val="clear" w:color="auto" w:fill="auto"/>
          </w:tcPr>
          <w:p>
            <w:pPr>
              <w:spacing w:after="120" w:afterAutospacing="0"/>
              <w:rPr>
                <w:rFonts w:ascii="Arial" w:hAnsi="Arial" w:cs="Arial"/>
                <w:noProof/>
              </w:rPr>
            </w:pPr>
            <w:r>
              <w:rPr>
                <w:rFonts w:ascii="Arial" w:hAnsi="Arial"/>
                <w:noProof/>
              </w:rPr>
              <w:t>В изискването за минимални нива на енергийна ефективност и енергиен етикет на равнището на ЕС е налице ясна добавена стойност.</w:t>
            </w:r>
          </w:p>
          <w:p>
            <w:pPr>
              <w:rPr>
                <w:i/>
                <w:noProof/>
              </w:rPr>
            </w:pPr>
            <w:r>
              <w:rPr>
                <w:rFonts w:ascii="Arial" w:hAnsi="Arial"/>
                <w:noProof/>
              </w:rPr>
              <w:t xml:space="preserve">Без хармонизирани изисквания на равнището на ЕС държавите членки биха имали стимул да определят национални минимални изисквания за енергийна ефективност за отделните продукти в рамките на своите политики в областта на околната среда и енергетиката. Това би могло да възпрепятства </w:t>
            </w:r>
            <w:r>
              <w:rPr>
                <w:rFonts w:ascii="Arial" w:hAnsi="Arial"/>
                <w:noProof/>
              </w:rPr>
              <w:lastRenderedPageBreak/>
              <w:t>свободното движение на продукти. Всъщност за много продукти случаят беше такъв, преди да бъдат приложени съществуващите мерки за екопроектиране и енергиен етикет на равнището на ЕС.</w:t>
            </w:r>
          </w:p>
        </w:tc>
      </w:tr>
    </w:tbl>
    <w:p>
      <w:pPr>
        <w:rPr>
          <w:noProof/>
        </w:rPr>
      </w:pPr>
      <w:r>
        <w:rPr>
          <w:noProof/>
        </w:rPr>
        <w:lastRenderedPageBreak/>
        <w:br w:type="page"/>
      </w:r>
    </w:p>
    <w:tbl>
      <w:tblPr>
        <w:tblStyle w:val="TableGrid"/>
        <w:tblW w:w="10188" w:type="dxa"/>
        <w:tblInd w:w="0" w:type="dxa"/>
        <w:tblLook w:val="01E0" w:firstRow="1" w:lastRow="1" w:firstColumn="1" w:lastColumn="1" w:noHBand="0" w:noVBand="0"/>
      </w:tblPr>
      <w:tblGrid>
        <w:gridCol w:w="10188"/>
      </w:tblGrid>
      <w:tr>
        <w:tc>
          <w:tcPr>
            <w:tcW w:w="10188" w:type="dxa"/>
            <w:tcBorders>
              <w:bottom w:val="single" w:sz="4" w:space="0" w:color="auto"/>
            </w:tcBorders>
            <w:shd w:val="clear" w:color="auto" w:fill="CCCCCC"/>
          </w:tcPr>
          <w:p>
            <w:pPr>
              <w:spacing w:after="120" w:afterAutospacing="0"/>
              <w:jc w:val="center"/>
              <w:rPr>
                <w:rFonts w:ascii="Tahoma" w:hAnsi="Tahoma" w:cs="Tahoma"/>
                <w:b/>
                <w:noProof/>
                <w:sz w:val="22"/>
                <w:szCs w:val="22"/>
              </w:rPr>
            </w:pPr>
            <w:r>
              <w:rPr>
                <w:rFonts w:ascii="Tahoma" w:hAnsi="Tahoma"/>
                <w:b/>
                <w:noProof/>
                <w:sz w:val="22"/>
              </w:rPr>
              <w:t>Б. Решения</w:t>
            </w:r>
          </w:p>
        </w:tc>
      </w:tr>
      <w:tr>
        <w:tc>
          <w:tcPr>
            <w:tcW w:w="10188" w:type="dxa"/>
            <w:tcBorders>
              <w:bottom w:val="single" w:sz="4" w:space="0" w:color="auto"/>
            </w:tcBorders>
            <w:shd w:val="clear" w:color="auto" w:fill="E6E6E6"/>
          </w:tcPr>
          <w:p>
            <w:pPr>
              <w:spacing w:after="120" w:afterAutospacing="0"/>
              <w:rPr>
                <w:rFonts w:ascii="Tahoma" w:hAnsi="Tahoma" w:cs="Tahoma"/>
                <w:noProof/>
              </w:rPr>
            </w:pPr>
            <w:r>
              <w:rPr>
                <w:rFonts w:ascii="Tahoma" w:hAnsi="Tahoma"/>
                <w:b/>
                <w:noProof/>
              </w:rPr>
              <w:t>Какви законодателни и незаконодателни варианти на политиката са разгледани? Има ли предпочитан вариант? Защо?</w:t>
            </w:r>
            <w:r>
              <w:rPr>
                <w:rFonts w:ascii="Tahoma" w:hAnsi="Tahoma"/>
                <w:noProof/>
              </w:rPr>
              <w:t xml:space="preserve"> </w:t>
            </w:r>
          </w:p>
        </w:tc>
      </w:tr>
      <w:tr>
        <w:tc>
          <w:tcPr>
            <w:tcW w:w="10188" w:type="dxa"/>
            <w:tcBorders>
              <w:bottom w:val="single" w:sz="4" w:space="0" w:color="auto"/>
            </w:tcBorders>
            <w:shd w:val="clear" w:color="auto" w:fill="auto"/>
          </w:tcPr>
          <w:p>
            <w:pPr>
              <w:spacing w:after="120" w:afterAutospacing="0"/>
              <w:rPr>
                <w:rFonts w:ascii="Arial" w:hAnsi="Arial" w:cs="Arial"/>
                <w:noProof/>
              </w:rPr>
            </w:pPr>
            <w:r>
              <w:rPr>
                <w:rFonts w:ascii="Arial" w:hAnsi="Arial"/>
                <w:noProof/>
              </w:rPr>
              <w:t>Бяха разгледани четири варианта на политиката:</w:t>
            </w:r>
          </w:p>
          <w:p>
            <w:pPr>
              <w:pStyle w:val="ListParagraph"/>
              <w:numPr>
                <w:ilvl w:val="0"/>
                <w:numId w:val="33"/>
              </w:numPr>
              <w:spacing w:after="120" w:afterAutospacing="0"/>
              <w:rPr>
                <w:rFonts w:ascii="Arial" w:hAnsi="Arial" w:cs="Arial"/>
                <w:noProof/>
                <w:u w:val="single"/>
              </w:rPr>
            </w:pPr>
            <w:r>
              <w:rPr>
                <w:rFonts w:ascii="Arial" w:hAnsi="Arial"/>
                <w:noProof/>
                <w:u w:val="single"/>
              </w:rPr>
              <w:t>Базов сценарий</w:t>
            </w:r>
            <w:r>
              <w:rPr>
                <w:rFonts w:ascii="Arial" w:hAnsi="Arial"/>
                <w:noProof/>
              </w:rPr>
              <w:t>: никакви действия.</w:t>
            </w:r>
          </w:p>
          <w:p>
            <w:pPr>
              <w:pStyle w:val="ListParagraph"/>
              <w:numPr>
                <w:ilvl w:val="0"/>
                <w:numId w:val="33"/>
              </w:numPr>
              <w:spacing w:after="120" w:afterAutospacing="0"/>
              <w:rPr>
                <w:rFonts w:ascii="Arial" w:hAnsi="Arial" w:cs="Arial"/>
                <w:noProof/>
              </w:rPr>
            </w:pPr>
            <w:r>
              <w:rPr>
                <w:rFonts w:ascii="Arial" w:hAnsi="Arial"/>
                <w:noProof/>
                <w:u w:val="single"/>
              </w:rPr>
              <w:t>Само енергиен етикет (само EL)</w:t>
            </w:r>
            <w:r>
              <w:rPr>
                <w:rFonts w:ascii="Arial" w:hAnsi="Arial"/>
                <w:noProof/>
              </w:rPr>
              <w:t xml:space="preserve">: Вариант 2, с нови количествени показатели за енергийния етикет и гранични стойности за класа, предефиниран обхват и изключения, както и етикети с преобразувани скали от A до G. Прилагането ще започне от септември 2021 г. Законодателството относно екопроектирането остава непроменено. </w:t>
            </w:r>
          </w:p>
          <w:p>
            <w:pPr>
              <w:pStyle w:val="ListParagraph"/>
              <w:numPr>
                <w:ilvl w:val="0"/>
                <w:numId w:val="33"/>
              </w:numPr>
              <w:spacing w:after="120" w:afterAutospacing="0"/>
              <w:rPr>
                <w:rFonts w:ascii="Arial" w:hAnsi="Arial" w:cs="Arial"/>
                <w:noProof/>
              </w:rPr>
            </w:pPr>
            <w:r>
              <w:rPr>
                <w:rFonts w:ascii="Arial" w:hAnsi="Arial"/>
                <w:noProof/>
                <w:u w:val="single"/>
              </w:rPr>
              <w:t>Енергиен етикет и екопроектиране към 2021 г. (ECOEL2021)</w:t>
            </w:r>
            <w:r>
              <w:rPr>
                <w:rFonts w:ascii="Arial" w:hAnsi="Arial"/>
                <w:noProof/>
              </w:rPr>
              <w:t>: вариант 3, в който допълнително е включено преразглеждане на законодателството относно екопроектирането с нови изисквания за енергийна ефективност и функционални изисквания, както и с предефиниране на обхвата и изключенията. Това е предпочетеният вариант.</w:t>
            </w:r>
          </w:p>
          <w:p>
            <w:pPr>
              <w:pStyle w:val="ListParagraph"/>
              <w:numPr>
                <w:ilvl w:val="0"/>
                <w:numId w:val="33"/>
              </w:numPr>
              <w:spacing w:after="120" w:afterAutospacing="0"/>
              <w:rPr>
                <w:rFonts w:ascii="Arial" w:hAnsi="Arial" w:cs="Arial"/>
                <w:noProof/>
              </w:rPr>
            </w:pPr>
            <w:r>
              <w:rPr>
                <w:rFonts w:ascii="Arial" w:hAnsi="Arial"/>
                <w:noProof/>
                <w:u w:val="single"/>
              </w:rPr>
              <w:t>Енергиен етикет и екопроектиране към 2021—2023 г. (ECOEL2нива)</w:t>
            </w:r>
            <w:r>
              <w:rPr>
                <w:rFonts w:ascii="Arial" w:hAnsi="Arial"/>
                <w:noProof/>
              </w:rPr>
              <w:t>: вариант 4, при който прилагането на изискванията за линейните луминесцентни лампи T8 се отлага за септември 2023 г.</w:t>
            </w:r>
          </w:p>
        </w:tc>
      </w:tr>
      <w:tr>
        <w:tc>
          <w:tcPr>
            <w:tcW w:w="10188" w:type="dxa"/>
            <w:shd w:val="clear" w:color="auto" w:fill="CCCCCC"/>
          </w:tcPr>
          <w:p>
            <w:pPr>
              <w:spacing w:after="120" w:afterAutospacing="0"/>
              <w:rPr>
                <w:rFonts w:ascii="Tahoma" w:hAnsi="Tahoma" w:cs="Tahoma"/>
                <w:noProof/>
              </w:rPr>
            </w:pPr>
            <w:r>
              <w:rPr>
                <w:rFonts w:ascii="Tahoma" w:hAnsi="Tahoma"/>
                <w:b/>
                <w:noProof/>
              </w:rPr>
              <w:t>Кой подкрепя отделните варианти?</w:t>
            </w:r>
            <w:r>
              <w:rPr>
                <w:rFonts w:ascii="Tahoma" w:hAnsi="Tahoma"/>
                <w:noProof/>
              </w:rPr>
              <w:t xml:space="preserve"> </w:t>
            </w:r>
          </w:p>
        </w:tc>
      </w:tr>
      <w:tr>
        <w:tc>
          <w:tcPr>
            <w:tcW w:w="10188" w:type="dxa"/>
            <w:shd w:val="clear" w:color="auto" w:fill="auto"/>
          </w:tcPr>
          <w:p>
            <w:pPr>
              <w:spacing w:after="120" w:afterAutospacing="0"/>
              <w:rPr>
                <w:rFonts w:ascii="Arial" w:hAnsi="Arial" w:cs="Arial"/>
                <w:noProof/>
              </w:rPr>
            </w:pPr>
            <w:r>
              <w:rPr>
                <w:rFonts w:ascii="Arial" w:hAnsi="Arial"/>
                <w:noProof/>
              </w:rPr>
              <w:t xml:space="preserve">Всички заинтересовани страни подкрепят преразглеждането на изискванията както относно енергийния етикет, така и относно екопроектирането на продукти за осветление. Преразглеждането само на енергийния етикет не би обхванало важни части от пазара; в зависимост от резултатите от оценката на въздействието ще бъде пропусната възможността за осъществяване на икономии и ще има загуба на конкурентоспособност поради дъмпинг. </w:t>
            </w:r>
          </w:p>
          <w:p>
            <w:pPr>
              <w:spacing w:after="120" w:afterAutospacing="0"/>
              <w:rPr>
                <w:rFonts w:ascii="Arial" w:hAnsi="Arial" w:cs="Arial"/>
                <w:noProof/>
              </w:rPr>
            </w:pPr>
            <w:r>
              <w:rPr>
                <w:rFonts w:ascii="Arial" w:hAnsi="Arial"/>
                <w:noProof/>
              </w:rPr>
              <w:t>Заинтересованите страни подкрепят също така навлизането на висококачествени светодиоди, опростяването на законодателството, преразглеждането на обхвата и допълнително изясняване на изключенията.</w:t>
            </w:r>
          </w:p>
          <w:p>
            <w:pPr>
              <w:spacing w:after="120" w:afterAutospacing="0"/>
              <w:rPr>
                <w:rFonts w:ascii="Arial" w:hAnsi="Arial" w:cs="Arial"/>
                <w:noProof/>
              </w:rPr>
            </w:pPr>
            <w:r>
              <w:rPr>
                <w:rFonts w:ascii="Arial" w:hAnsi="Arial"/>
                <w:noProof/>
              </w:rPr>
              <w:t>Времевите параметри за поетапното извеждане от експлоатация на луминесцентните лампи T8 са най-чувствителният въпрос, тъй като някои заинтересовани страни (част от промишлеността и малък брой държави членки) поставят под въпрос наличието на светодиодни заместители за всички приложения, в които се използват T8, към септември 2021 г. и подкрепят варианта извеждането от експлоатация да се извърши няколко години по-късно. По-голямата част от държавите членки подкрепят ранно извеждане от експлоатация на лампите T8 заедно с целеви изключения за проблемни сектори. НПО и сдружения на потребители се противопоставят на късното извеждане от експлоатация на лампите T8.</w:t>
            </w:r>
          </w:p>
        </w:tc>
      </w:tr>
      <w:tr>
        <w:tc>
          <w:tcPr>
            <w:tcW w:w="10188" w:type="dxa"/>
            <w:tcBorders>
              <w:bottom w:val="single" w:sz="4" w:space="0" w:color="auto"/>
            </w:tcBorders>
            <w:shd w:val="clear" w:color="auto" w:fill="CCCCCC"/>
          </w:tcPr>
          <w:p>
            <w:pPr>
              <w:spacing w:after="120" w:afterAutospacing="0"/>
              <w:jc w:val="center"/>
              <w:rPr>
                <w:rFonts w:ascii="Tahoma" w:hAnsi="Tahoma" w:cs="Tahoma"/>
                <w:b/>
                <w:noProof/>
                <w:sz w:val="22"/>
                <w:szCs w:val="22"/>
              </w:rPr>
            </w:pPr>
            <w:r>
              <w:rPr>
                <w:rFonts w:ascii="Tahoma" w:hAnsi="Tahoma"/>
                <w:b/>
                <w:noProof/>
                <w:sz w:val="22"/>
              </w:rPr>
              <w:t>В. Въздействие на предпочетения вариант</w:t>
            </w:r>
          </w:p>
        </w:tc>
      </w:tr>
      <w:tr>
        <w:tc>
          <w:tcPr>
            <w:tcW w:w="10188" w:type="dxa"/>
            <w:tcBorders>
              <w:bottom w:val="single" w:sz="4" w:space="0" w:color="auto"/>
            </w:tcBorders>
            <w:shd w:val="clear" w:color="auto" w:fill="E6E6E6"/>
          </w:tcPr>
          <w:p>
            <w:pPr>
              <w:spacing w:after="120" w:afterAutospacing="0"/>
              <w:rPr>
                <w:rFonts w:ascii="Tahoma" w:hAnsi="Tahoma" w:cs="Tahoma"/>
                <w:noProof/>
                <w:u w:val="single"/>
              </w:rPr>
            </w:pPr>
            <w:r>
              <w:rPr>
                <w:rFonts w:ascii="Tahoma" w:hAnsi="Tahoma"/>
                <w:b/>
                <w:noProof/>
              </w:rPr>
              <w:t>Какви са ползите от предпочетения вариант (ако има такъв; в противен случай — от основните варианти)?</w:t>
            </w:r>
            <w:r>
              <w:rPr>
                <w:rFonts w:ascii="Tahoma" w:hAnsi="Tahoma"/>
                <w:noProof/>
              </w:rPr>
              <w:t xml:space="preserve"> </w:t>
            </w:r>
          </w:p>
        </w:tc>
      </w:tr>
      <w:tr>
        <w:tc>
          <w:tcPr>
            <w:tcW w:w="10188" w:type="dxa"/>
            <w:tcBorders>
              <w:bottom w:val="single" w:sz="4" w:space="0" w:color="auto"/>
            </w:tcBorders>
            <w:shd w:val="clear" w:color="auto" w:fill="auto"/>
          </w:tcPr>
          <w:p>
            <w:pPr>
              <w:spacing w:after="120" w:afterAutospacing="0"/>
              <w:rPr>
                <w:rFonts w:ascii="Arial" w:hAnsi="Arial" w:cs="Arial"/>
                <w:noProof/>
              </w:rPr>
            </w:pPr>
            <w:r>
              <w:rPr>
                <w:rFonts w:ascii="Arial" w:hAnsi="Arial"/>
                <w:noProof/>
              </w:rPr>
              <w:t>Към 2030 г. ползите от вариант 3 (ECOEL2021) ще бъдат, както следва:</w:t>
            </w:r>
          </w:p>
          <w:p>
            <w:pPr>
              <w:pStyle w:val="ListParagraph"/>
              <w:numPr>
                <w:ilvl w:val="0"/>
                <w:numId w:val="38"/>
              </w:numPr>
              <w:spacing w:before="120" w:after="120" w:afterAutospacing="0" w:line="20" w:lineRule="atLeast"/>
              <w:rPr>
                <w:rFonts w:ascii="Arial" w:hAnsi="Arial" w:cs="Arial"/>
                <w:noProof/>
              </w:rPr>
            </w:pPr>
            <w:r>
              <w:rPr>
                <w:rFonts w:ascii="Arial" w:hAnsi="Arial"/>
                <w:noProof/>
              </w:rPr>
              <w:t>допълнителни икономии на енергия от 41,9 TWh годишно и намаляване на емисиите на парникови газове с 14,3 млн.т. еквивалент на CO</w:t>
            </w:r>
            <w:r>
              <w:rPr>
                <w:rFonts w:ascii="Arial" w:hAnsi="Arial"/>
                <w:noProof/>
                <w:vertAlign w:val="subscript"/>
              </w:rPr>
              <w:t>2</w:t>
            </w:r>
            <w:r>
              <w:rPr>
                <w:rFonts w:ascii="Arial" w:hAnsi="Arial"/>
                <w:noProof/>
              </w:rPr>
              <w:t xml:space="preserve"> годишно, т.е. 2,88 % от целта на Комисията до 2030 г. за икономии от крайно енергопотребление и 1,34 % от целта на Комисията до 2030 г. за намаляване на емисиите на парникови газове;</w:t>
            </w:r>
          </w:p>
          <w:p>
            <w:pPr>
              <w:pStyle w:val="ListParagraph"/>
              <w:numPr>
                <w:ilvl w:val="0"/>
                <w:numId w:val="38"/>
              </w:numPr>
              <w:spacing w:before="120" w:after="120" w:afterAutospacing="0" w:line="20" w:lineRule="atLeast"/>
              <w:rPr>
                <w:rFonts w:ascii="Arial" w:hAnsi="Arial" w:cs="Arial"/>
                <w:noProof/>
              </w:rPr>
            </w:pPr>
            <w:r>
              <w:rPr>
                <w:rFonts w:ascii="Arial" w:hAnsi="Arial"/>
                <w:noProof/>
              </w:rPr>
              <w:t>допълнителни икономии при годишните разходи на крайните потребители в размер на 7,7 млрд. евро и допълнителни приходи за предприятията от 1,1 млрд. евро годишно;</w:t>
            </w:r>
          </w:p>
          <w:p>
            <w:pPr>
              <w:pStyle w:val="ListParagraph"/>
              <w:numPr>
                <w:ilvl w:val="0"/>
                <w:numId w:val="38"/>
              </w:numPr>
              <w:spacing w:before="120" w:after="120" w:afterAutospacing="0" w:line="20" w:lineRule="atLeast"/>
              <w:rPr>
                <w:rFonts w:ascii="Arial" w:hAnsi="Arial" w:cs="Arial"/>
                <w:noProof/>
              </w:rPr>
            </w:pPr>
            <w:r>
              <w:rPr>
                <w:rFonts w:ascii="Arial" w:hAnsi="Arial"/>
                <w:noProof/>
              </w:rPr>
              <w:t>постигане на съответствие с технологичния напредък и глобалните изисквания за минимална енергийна ефективност в други икономики;</w:t>
            </w:r>
          </w:p>
          <w:p>
            <w:pPr>
              <w:pStyle w:val="ListParagraph"/>
              <w:numPr>
                <w:ilvl w:val="0"/>
                <w:numId w:val="38"/>
              </w:numPr>
              <w:spacing w:before="120" w:after="120" w:afterAutospacing="0" w:line="20" w:lineRule="atLeast"/>
              <w:rPr>
                <w:rFonts w:ascii="Arial" w:hAnsi="Arial" w:cs="Arial"/>
                <w:noProof/>
              </w:rPr>
            </w:pPr>
            <w:r>
              <w:rPr>
                <w:rFonts w:ascii="Arial" w:hAnsi="Arial"/>
                <w:noProof/>
              </w:rPr>
              <w:t>гарантиране на конкурентоспособността на промишлеността на ЕС и водещата роля като висококачествен производител;</w:t>
            </w:r>
          </w:p>
          <w:p>
            <w:pPr>
              <w:pStyle w:val="ListParagraph"/>
              <w:numPr>
                <w:ilvl w:val="0"/>
                <w:numId w:val="38"/>
              </w:numPr>
              <w:spacing w:before="120" w:after="120" w:afterAutospacing="0" w:line="20" w:lineRule="atLeast"/>
              <w:rPr>
                <w:noProof/>
              </w:rPr>
            </w:pPr>
            <w:r>
              <w:rPr>
                <w:rFonts w:ascii="Arial" w:hAnsi="Arial"/>
                <w:noProof/>
              </w:rPr>
              <w:t>защита на европейските МСП</w:t>
            </w:r>
            <w:r>
              <w:rPr>
                <w:noProof/>
              </w:rPr>
              <w:t xml:space="preserve">. </w:t>
            </w:r>
          </w:p>
        </w:tc>
      </w:tr>
      <w:tr>
        <w:tc>
          <w:tcPr>
            <w:tcW w:w="10188" w:type="dxa"/>
            <w:tcBorders>
              <w:bottom w:val="single" w:sz="4" w:space="0" w:color="auto"/>
            </w:tcBorders>
            <w:shd w:val="clear" w:color="auto" w:fill="E6E6E6"/>
          </w:tcPr>
          <w:p>
            <w:pPr>
              <w:spacing w:after="120" w:afterAutospacing="0"/>
              <w:rPr>
                <w:rFonts w:ascii="Tahoma" w:hAnsi="Tahoma" w:cs="Tahoma"/>
                <w:noProof/>
              </w:rPr>
            </w:pPr>
            <w:r>
              <w:rPr>
                <w:rFonts w:ascii="Tahoma" w:hAnsi="Tahoma"/>
                <w:b/>
                <w:noProof/>
              </w:rPr>
              <w:t>Какви са разходите за предпочетения вариант (ако има такъв, в противен случай — за основните варианти)?</w:t>
            </w:r>
            <w:r>
              <w:rPr>
                <w:rFonts w:ascii="Tahoma" w:hAnsi="Tahoma"/>
                <w:noProof/>
              </w:rPr>
              <w:t xml:space="preserve"> </w:t>
            </w:r>
          </w:p>
        </w:tc>
      </w:tr>
      <w:tr>
        <w:tc>
          <w:tcPr>
            <w:tcW w:w="10188" w:type="dxa"/>
            <w:tcBorders>
              <w:bottom w:val="single" w:sz="4" w:space="0" w:color="auto"/>
            </w:tcBorders>
            <w:shd w:val="clear" w:color="auto" w:fill="auto"/>
          </w:tcPr>
          <w:p>
            <w:pPr>
              <w:pStyle w:val="ListParagraph"/>
              <w:spacing w:after="120" w:afterAutospacing="0"/>
              <w:ind w:left="0"/>
              <w:contextualSpacing w:val="0"/>
              <w:rPr>
                <w:rFonts w:ascii="Arial" w:hAnsi="Arial" w:cs="Arial"/>
                <w:noProof/>
              </w:rPr>
            </w:pPr>
            <w:r>
              <w:rPr>
                <w:rFonts w:ascii="Arial" w:hAnsi="Arial"/>
                <w:noProof/>
              </w:rPr>
              <w:t>Очакват се следните разходи:</w:t>
            </w:r>
          </w:p>
          <w:p>
            <w:pPr>
              <w:pStyle w:val="ListParagraph"/>
              <w:numPr>
                <w:ilvl w:val="0"/>
                <w:numId w:val="39"/>
              </w:numPr>
              <w:spacing w:after="120" w:afterAutospacing="0"/>
              <w:contextualSpacing w:val="0"/>
              <w:rPr>
                <w:rFonts w:ascii="Arial" w:hAnsi="Arial" w:cs="Arial"/>
                <w:noProof/>
              </w:rPr>
            </w:pPr>
            <w:r>
              <w:rPr>
                <w:rFonts w:ascii="Arial" w:hAnsi="Arial"/>
                <w:noProof/>
              </w:rPr>
              <w:t>потребители: допълнителни разходи за придобиване в размер на 1,1 млрд. евро през 2030 г. (но общите разходи, в това число потреблението на енергия, намаляват със 7,7 милиарда);</w:t>
            </w:r>
          </w:p>
          <w:p>
            <w:pPr>
              <w:pStyle w:val="ListParagraph"/>
              <w:numPr>
                <w:ilvl w:val="0"/>
                <w:numId w:val="39"/>
              </w:numPr>
              <w:spacing w:after="120" w:afterAutospacing="0"/>
              <w:contextualSpacing w:val="0"/>
              <w:rPr>
                <w:rFonts w:ascii="Arial" w:hAnsi="Arial" w:cs="Arial"/>
                <w:noProof/>
              </w:rPr>
            </w:pPr>
            <w:r>
              <w:rPr>
                <w:rFonts w:ascii="Arial" w:hAnsi="Arial"/>
                <w:noProof/>
              </w:rPr>
              <w:t>монтажници: 0,2 млрд. евро вследствие на понижените приходи през 2030 г. (но общите приходи на предприятията се увеличават);</w:t>
            </w:r>
          </w:p>
          <w:p>
            <w:pPr>
              <w:pStyle w:val="ListParagraph"/>
              <w:numPr>
                <w:ilvl w:val="0"/>
                <w:numId w:val="39"/>
              </w:numPr>
              <w:spacing w:after="120" w:afterAutospacing="0"/>
              <w:contextualSpacing w:val="0"/>
              <w:rPr>
                <w:rFonts w:ascii="Arial" w:hAnsi="Arial" w:cs="Arial"/>
                <w:noProof/>
              </w:rPr>
            </w:pPr>
            <w:r>
              <w:rPr>
                <w:rFonts w:ascii="Arial" w:hAnsi="Arial"/>
                <w:noProof/>
              </w:rPr>
              <w:t>доставчици: еднократно 0,03 млрд. евро за преетикетиране през 2022 г.;</w:t>
            </w:r>
          </w:p>
          <w:p>
            <w:pPr>
              <w:pStyle w:val="ListParagraph"/>
              <w:numPr>
                <w:ilvl w:val="0"/>
                <w:numId w:val="39"/>
              </w:numPr>
              <w:spacing w:after="120" w:afterAutospacing="0"/>
              <w:contextualSpacing w:val="0"/>
              <w:rPr>
                <w:rFonts w:ascii="Arial" w:hAnsi="Arial" w:cs="Arial"/>
                <w:noProof/>
              </w:rPr>
            </w:pPr>
            <w:r>
              <w:rPr>
                <w:rFonts w:ascii="Arial" w:hAnsi="Arial"/>
                <w:noProof/>
              </w:rPr>
              <w:t>търговци: еднократно 0 004 млрд. евро за преетикетиране през 2022 г.</w:t>
            </w:r>
          </w:p>
          <w:p>
            <w:pPr>
              <w:spacing w:after="120" w:afterAutospacing="0"/>
              <w:rPr>
                <w:rFonts w:ascii="Arial" w:hAnsi="Arial" w:cs="Arial"/>
                <w:i/>
                <w:noProof/>
              </w:rPr>
            </w:pPr>
            <w:r>
              <w:rPr>
                <w:rFonts w:ascii="Arial" w:hAnsi="Arial"/>
                <w:noProof/>
              </w:rPr>
              <w:t xml:space="preserve">Разходите за търговците и доставчиците се явяват последица от прилагането на новия Рамков регламент относно енергийното етикетиране. </w:t>
            </w:r>
          </w:p>
        </w:tc>
      </w:tr>
    </w:tbl>
    <w:p>
      <w:pPr>
        <w:rPr>
          <w:noProof/>
        </w:rPr>
      </w:pPr>
      <w:r>
        <w:rPr>
          <w:noProof/>
        </w:rPr>
        <w:br w:type="page"/>
      </w:r>
    </w:p>
    <w:tbl>
      <w:tblPr>
        <w:tblStyle w:val="TableGrid"/>
        <w:tblW w:w="10188" w:type="dxa"/>
        <w:tblInd w:w="0" w:type="dxa"/>
        <w:tblLook w:val="01E0" w:firstRow="1" w:lastRow="1" w:firstColumn="1" w:lastColumn="1" w:noHBand="0" w:noVBand="0"/>
      </w:tblPr>
      <w:tblGrid>
        <w:gridCol w:w="10188"/>
      </w:tblGrid>
      <w:tr>
        <w:tc>
          <w:tcPr>
            <w:tcW w:w="10188" w:type="dxa"/>
            <w:tcBorders>
              <w:bottom w:val="single" w:sz="4" w:space="0" w:color="auto"/>
            </w:tcBorders>
            <w:shd w:val="clear" w:color="auto" w:fill="E6E6E6"/>
          </w:tcPr>
          <w:p>
            <w:pPr>
              <w:spacing w:after="120" w:afterAutospacing="0"/>
              <w:rPr>
                <w:rFonts w:ascii="Tahoma" w:hAnsi="Tahoma" w:cs="Tahoma"/>
                <w:noProof/>
              </w:rPr>
            </w:pPr>
            <w:r>
              <w:rPr>
                <w:rFonts w:ascii="Tahoma" w:hAnsi="Tahoma"/>
                <w:b/>
                <w:noProof/>
              </w:rPr>
              <w:t xml:space="preserve">Какви ще са последиците за предприятията, МСП и микропредприятията? </w:t>
            </w:r>
          </w:p>
        </w:tc>
      </w:tr>
      <w:tr>
        <w:tc>
          <w:tcPr>
            <w:tcW w:w="10188" w:type="dxa"/>
            <w:tcBorders>
              <w:bottom w:val="single" w:sz="4" w:space="0" w:color="auto"/>
            </w:tcBorders>
            <w:shd w:val="clear" w:color="auto" w:fill="auto"/>
          </w:tcPr>
          <w:p>
            <w:pPr>
              <w:spacing w:after="120" w:afterAutospacing="0"/>
              <w:rPr>
                <w:rFonts w:ascii="Arial" w:hAnsi="Arial" w:cs="Arial"/>
                <w:noProof/>
              </w:rPr>
            </w:pPr>
            <w:r>
              <w:rPr>
                <w:rFonts w:ascii="Arial" w:hAnsi="Arial"/>
                <w:noProof/>
              </w:rPr>
              <w:t>Общите приходи за предприятията като цяло ще се увеличат, особено за промишлеността, търговията на едро и дребно и услугите по поддръжка. Азиатските производители в сектора на осветлението бързо увеличават своя пазарен дял в глобален мащаб, като използват цената като главен аргумент за насърчаване на продажбите. Енергийният етикет и изискванията за екопроектиране изпълняват важна роля за промишлеността на ЕС, като ѝ позволяват да се отличи благодарение на качеството и иновациите.</w:t>
            </w:r>
          </w:p>
          <w:p>
            <w:pPr>
              <w:spacing w:after="120" w:afterAutospacing="0"/>
              <w:rPr>
                <w:rFonts w:ascii="Arial" w:hAnsi="Arial" w:cs="Arial"/>
                <w:noProof/>
              </w:rPr>
            </w:pPr>
            <w:r>
              <w:rPr>
                <w:rFonts w:ascii="Arial" w:hAnsi="Arial"/>
                <w:noProof/>
              </w:rPr>
              <w:t xml:space="preserve">Новата скала за етикетиране ще стимулира иновациите в промишлеността за разработването на светодиоди, които могат да достигнат новите най-добри класове. </w:t>
            </w:r>
          </w:p>
          <w:p>
            <w:pPr>
              <w:spacing w:after="120" w:afterAutospacing="0"/>
              <w:rPr>
                <w:rFonts w:ascii="Arial" w:hAnsi="Arial" w:cs="Arial"/>
                <w:noProof/>
              </w:rPr>
            </w:pPr>
            <w:r>
              <w:rPr>
                <w:rFonts w:ascii="Arial" w:hAnsi="Arial"/>
                <w:noProof/>
              </w:rPr>
              <w:t xml:space="preserve">Производителите на осветители, които са предимно европейски МСП, ще имат полза от премахването на енергийния етикет, изрично предназначен за осветители, тъй като административната тежест ще се намали. </w:t>
            </w:r>
          </w:p>
        </w:tc>
      </w:tr>
      <w:tr>
        <w:tc>
          <w:tcPr>
            <w:tcW w:w="10188" w:type="dxa"/>
            <w:tcBorders>
              <w:bottom w:val="single" w:sz="4" w:space="0" w:color="auto"/>
            </w:tcBorders>
            <w:shd w:val="clear" w:color="auto" w:fill="E6E6E6"/>
          </w:tcPr>
          <w:p>
            <w:pPr>
              <w:spacing w:after="120" w:afterAutospacing="0"/>
              <w:rPr>
                <w:rFonts w:ascii="Tahoma" w:hAnsi="Tahoma" w:cs="Tahoma"/>
                <w:b/>
                <w:i/>
                <w:noProof/>
              </w:rPr>
            </w:pPr>
            <w:r>
              <w:rPr>
                <w:rFonts w:ascii="Tahoma" w:hAnsi="Tahoma"/>
                <w:b/>
                <w:noProof/>
              </w:rPr>
              <w:t>Ще има ли значително въздействие върху националните бюджети и администрации?</w:t>
            </w:r>
            <w:r>
              <w:rPr>
                <w:rFonts w:ascii="Tahoma" w:hAnsi="Tahoma"/>
                <w:noProof/>
              </w:rPr>
              <w:t xml:space="preserve"> </w:t>
            </w:r>
          </w:p>
        </w:tc>
      </w:tr>
      <w:tr>
        <w:tc>
          <w:tcPr>
            <w:tcW w:w="10188" w:type="dxa"/>
            <w:shd w:val="clear" w:color="auto" w:fill="auto"/>
          </w:tcPr>
          <w:p>
            <w:pPr>
              <w:spacing w:after="120" w:afterAutospacing="0"/>
              <w:rPr>
                <w:rFonts w:ascii="Arial" w:hAnsi="Arial" w:cs="Arial"/>
                <w:noProof/>
              </w:rPr>
            </w:pPr>
            <w:r>
              <w:rPr>
                <w:rFonts w:ascii="Arial" w:hAnsi="Arial"/>
                <w:noProof/>
              </w:rPr>
              <w:t>Няма допълнително отражение върху националните бюджети или администрации, различно от посочените по-горе.</w:t>
            </w:r>
          </w:p>
        </w:tc>
      </w:tr>
      <w:tr>
        <w:tc>
          <w:tcPr>
            <w:tcW w:w="10188" w:type="dxa"/>
            <w:tcBorders>
              <w:bottom w:val="single" w:sz="4" w:space="0" w:color="auto"/>
            </w:tcBorders>
            <w:shd w:val="clear" w:color="auto" w:fill="E6E6E6"/>
          </w:tcPr>
          <w:p>
            <w:pPr>
              <w:spacing w:after="120" w:afterAutospacing="0"/>
              <w:rPr>
                <w:rFonts w:ascii="Tahoma" w:hAnsi="Tahoma" w:cs="Tahoma"/>
                <w:noProof/>
              </w:rPr>
            </w:pPr>
            <w:r>
              <w:rPr>
                <w:rFonts w:ascii="Tahoma" w:hAnsi="Tahoma"/>
                <w:b/>
                <w:noProof/>
              </w:rPr>
              <w:t>Ще има ли други значителни въздействия?</w:t>
            </w:r>
          </w:p>
        </w:tc>
      </w:tr>
      <w:tr>
        <w:tc>
          <w:tcPr>
            <w:tcW w:w="10188" w:type="dxa"/>
            <w:tcBorders>
              <w:bottom w:val="single" w:sz="4" w:space="0" w:color="auto"/>
            </w:tcBorders>
            <w:shd w:val="clear" w:color="auto" w:fill="auto"/>
          </w:tcPr>
          <w:p>
            <w:pPr>
              <w:spacing w:after="120" w:afterAutospacing="0"/>
              <w:rPr>
                <w:rFonts w:ascii="Arial" w:hAnsi="Arial" w:cs="Arial"/>
                <w:noProof/>
              </w:rPr>
            </w:pPr>
            <w:r>
              <w:rPr>
                <w:rFonts w:ascii="Arial" w:hAnsi="Arial"/>
                <w:noProof/>
              </w:rPr>
              <w:t xml:space="preserve">Да, очаква се предпочетеният вариант да окаже положително въздействие върху конкурентоспособността и иновациите в ЕС. </w:t>
            </w:r>
          </w:p>
        </w:tc>
      </w:tr>
      <w:tr>
        <w:tc>
          <w:tcPr>
            <w:tcW w:w="10188" w:type="dxa"/>
            <w:tcBorders>
              <w:bottom w:val="single" w:sz="4" w:space="0" w:color="auto"/>
            </w:tcBorders>
            <w:shd w:val="clear" w:color="auto" w:fill="C0C0C0"/>
          </w:tcPr>
          <w:p>
            <w:pPr>
              <w:spacing w:after="120" w:afterAutospacing="0"/>
              <w:jc w:val="center"/>
              <w:rPr>
                <w:rFonts w:ascii="Tahoma" w:hAnsi="Tahoma" w:cs="Tahoma"/>
                <w:b/>
                <w:noProof/>
                <w:sz w:val="22"/>
                <w:szCs w:val="22"/>
              </w:rPr>
            </w:pPr>
            <w:r>
              <w:rPr>
                <w:rFonts w:ascii="Tahoma" w:hAnsi="Tahoma"/>
                <w:b/>
                <w:noProof/>
                <w:sz w:val="22"/>
              </w:rPr>
              <w:t>Г. Последващи действия</w:t>
            </w:r>
          </w:p>
        </w:tc>
      </w:tr>
      <w:tr>
        <w:tc>
          <w:tcPr>
            <w:tcW w:w="10188" w:type="dxa"/>
            <w:tcBorders>
              <w:bottom w:val="single" w:sz="4" w:space="0" w:color="auto"/>
            </w:tcBorders>
            <w:shd w:val="clear" w:color="auto" w:fill="E6E6E6"/>
          </w:tcPr>
          <w:p>
            <w:pPr>
              <w:spacing w:after="120" w:afterAutospacing="0"/>
              <w:rPr>
                <w:rFonts w:ascii="Tahoma" w:hAnsi="Tahoma" w:cs="Tahoma"/>
                <w:noProof/>
              </w:rPr>
            </w:pPr>
            <w:r>
              <w:rPr>
                <w:rFonts w:ascii="Tahoma" w:hAnsi="Tahoma"/>
                <w:b/>
                <w:noProof/>
              </w:rPr>
              <w:t xml:space="preserve">Кога ще се извърши преглед на политиката? </w:t>
            </w:r>
          </w:p>
        </w:tc>
      </w:tr>
      <w:tr>
        <w:tc>
          <w:tcPr>
            <w:tcW w:w="10188" w:type="dxa"/>
            <w:tcBorders>
              <w:bottom w:val="single" w:sz="4" w:space="0" w:color="auto"/>
            </w:tcBorders>
            <w:shd w:val="clear" w:color="auto" w:fill="auto"/>
          </w:tcPr>
          <w:p>
            <w:pPr>
              <w:spacing w:after="120" w:afterAutospacing="0"/>
              <w:rPr>
                <w:rFonts w:ascii="Tahoma" w:hAnsi="Tahoma" w:cs="Tahoma"/>
                <w:noProof/>
              </w:rPr>
            </w:pPr>
            <w:r>
              <w:rPr>
                <w:rFonts w:ascii="Tahoma" w:hAnsi="Tahoma"/>
                <w:noProof/>
              </w:rPr>
              <w:t>Ще бъде включена клауза за преразглеждане 5 години след приемането.</w:t>
            </w:r>
          </w:p>
        </w:tc>
      </w:tr>
    </w:tbl>
    <w:p>
      <w:pPr>
        <w:rPr>
          <w:noProof/>
        </w:rPr>
      </w:pPr>
    </w:p>
    <w:sectPr>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280" w:left="1417"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pPr>
      <w:r>
        <w:separator/>
      </w:r>
    </w:p>
  </w:endnote>
  <w:endnote w:type="continuationSeparator" w:id="0">
    <w:p>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Times New Roman Bold">
    <w:altName w:val="Times New Roman"/>
    <w:panose1 w:val="02020803070505020304"/>
    <w:charset w:val="00"/>
    <w:family w:val="roman"/>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BG</w:t>
    </w:r>
    <w:r>
      <w:rPr>
        <w:rFonts w:ascii="Arial" w:hAnsi="Arial" w:cs="Arial"/>
        <w:b/>
        <w:sz w:val="48"/>
      </w:rPr>
      <w:tab/>
    </w:r>
    <w:r>
      <w:rPr>
        <w:rFonts w:ascii="Arial" w:hAnsi="Arial" w:cs="Arial"/>
        <w:b/>
        <w:sz w:val="48"/>
      </w:rPr>
      <w:tab/>
    </w:r>
    <w:r>
      <w:tab/>
    </w:r>
    <w:r>
      <w:rPr>
        <w:rFonts w:ascii="Arial" w:hAnsi="Arial" w:cs="Arial"/>
        <w:b/>
        <w:sz w:val="48"/>
      </w:rPr>
      <w:t>BG</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spacing w:afterAutospacing="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pPr>
      <w:r>
        <w:separator/>
      </w:r>
    </w:p>
  </w:footnote>
  <w:footnote w:type="continuationSeparator" w:id="0">
    <w:p>
      <w:pPr>
        <w:spacing w:after="0"/>
      </w:pPr>
      <w:r>
        <w:continuationSeparator/>
      </w:r>
    </w:p>
  </w:footnote>
  <w:footnote w:id="1">
    <w:p>
      <w:pPr>
        <w:pStyle w:val="FootnoteText"/>
      </w:pPr>
      <w:r>
        <w:rPr>
          <w:rStyle w:val="FootnoteReference"/>
        </w:rPr>
        <w:footnoteRef/>
      </w:r>
      <w:r>
        <w:tab/>
        <w:t xml:space="preserve">Регламент (ЕО) № 244/2009 на Комисията за прилагане на Директива 2005/32/ЕО на Европейския парламент и на Съвета по отношение на изискванията за екопроектиране на ненасочени лампи за бита (ОВ L 76/3, 24.3.2009 г.) и измененията с регламенти (ЕО) № 859/2009 и (ЕС) 2015/1428 на Комисията; Регламент (ЕО) № 245/2009 на Комисията за прилагане на Директива 2005/32/ЕО на Европейския парламент и на Съвета по отношение на изискванията за екопроектиране на луминесцентни лампи без вграден баласт, газоразрядни лампи с висок интензитет и баласти и осветители, които могат да работят с такива лампи (ОВ L 76/17, 24.3.2009 г.) и измененията с регламенти (ЕО) № 347/2010 и (ЕС) 2015/1428 на Комисията; </w:t>
      </w:r>
      <w:hyperlink r:id="rId1">
        <w:r>
          <w:rPr>
            <w:rFonts w:eastAsiaTheme="majorEastAsia"/>
          </w:rPr>
          <w:t>Регламент (ЕС) № 1194/2012 на Комисията за прилагане на Директива 2009/125/ЕО на Европейския парламент и на Съвета по отношение на изискванията за екопроектиране на насочени лампи, светодиодни лампи и съответното оборудване</w:t>
        </w:r>
      </w:hyperlink>
      <w:r>
        <w:rPr>
          <w:rFonts w:eastAsiaTheme="majorEastAsia"/>
        </w:rPr>
        <w:t xml:space="preserve"> (</w:t>
      </w:r>
      <w:r>
        <w:t>ОВ L 342/1, 14.12.2012 г.) и изменението с Регламент (ЕС) 2015/1428 на Комисията.</w:t>
      </w:r>
    </w:p>
  </w:footnote>
  <w:footnote w:id="2">
    <w:p>
      <w:pPr>
        <w:pStyle w:val="FootnoteText"/>
      </w:pPr>
      <w:r>
        <w:rPr>
          <w:rStyle w:val="FootnoteReference"/>
        </w:rPr>
        <w:footnoteRef/>
      </w:r>
      <w:r>
        <w:tab/>
      </w:r>
      <w:hyperlink r:id="rId2">
        <w:r>
          <w:rPr>
            <w:rFonts w:eastAsiaTheme="majorEastAsia"/>
          </w:rPr>
          <w:t>Делегиран регламент (ЕС) № 874/2012 на Комисията за допълване на Директива 2010/30/ЕС на Европейския парламент и на Съвета по отношение на енергийното етикетиране на електрически лампи и осветители</w:t>
        </w:r>
      </w:hyperlink>
      <w:r>
        <w:rPr>
          <w:rFonts w:eastAsiaTheme="majorEastAsia"/>
        </w:rPr>
        <w:t xml:space="preserve"> (</w:t>
      </w:r>
      <w:r>
        <w:t>ОВ L 258/1, 26.9.2012 г.) и изменението с Делегиран регламент (ЕС) № 518/2014 на Комисията.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7F8A688A"/>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561988"/>
    <w:multiLevelType w:val="hybridMultilevel"/>
    <w:tmpl w:val="9F366418"/>
    <w:lvl w:ilvl="0" w:tplc="2F4E13D0">
      <w:start w:val="1"/>
      <w:numFmt w:val="decimal"/>
      <w:lvlText w:val="(%1)"/>
      <w:lvlJc w:val="right"/>
      <w:pPr>
        <w:ind w:left="774" w:hanging="360"/>
      </w:pPr>
      <w:rPr>
        <w:rFonts w:hint="default"/>
      </w:rPr>
    </w:lvl>
    <w:lvl w:ilvl="1" w:tplc="08090019" w:tentative="1">
      <w:start w:val="1"/>
      <w:numFmt w:val="lowerLetter"/>
      <w:lvlText w:val="%2."/>
      <w:lvlJc w:val="left"/>
      <w:pPr>
        <w:ind w:left="1494" w:hanging="360"/>
      </w:pPr>
    </w:lvl>
    <w:lvl w:ilvl="2" w:tplc="0809001B" w:tentative="1">
      <w:start w:val="1"/>
      <w:numFmt w:val="lowerRoman"/>
      <w:lvlText w:val="%3."/>
      <w:lvlJc w:val="right"/>
      <w:pPr>
        <w:ind w:left="2214" w:hanging="180"/>
      </w:pPr>
    </w:lvl>
    <w:lvl w:ilvl="3" w:tplc="0809000F" w:tentative="1">
      <w:start w:val="1"/>
      <w:numFmt w:val="decimal"/>
      <w:lvlText w:val="%4."/>
      <w:lvlJc w:val="left"/>
      <w:pPr>
        <w:ind w:left="2934" w:hanging="360"/>
      </w:pPr>
    </w:lvl>
    <w:lvl w:ilvl="4" w:tplc="08090019" w:tentative="1">
      <w:start w:val="1"/>
      <w:numFmt w:val="lowerLetter"/>
      <w:lvlText w:val="%5."/>
      <w:lvlJc w:val="left"/>
      <w:pPr>
        <w:ind w:left="3654" w:hanging="360"/>
      </w:pPr>
    </w:lvl>
    <w:lvl w:ilvl="5" w:tplc="0809001B" w:tentative="1">
      <w:start w:val="1"/>
      <w:numFmt w:val="lowerRoman"/>
      <w:lvlText w:val="%6."/>
      <w:lvlJc w:val="right"/>
      <w:pPr>
        <w:ind w:left="4374" w:hanging="180"/>
      </w:pPr>
    </w:lvl>
    <w:lvl w:ilvl="6" w:tplc="0809000F" w:tentative="1">
      <w:start w:val="1"/>
      <w:numFmt w:val="decimal"/>
      <w:lvlText w:val="%7."/>
      <w:lvlJc w:val="left"/>
      <w:pPr>
        <w:ind w:left="5094" w:hanging="360"/>
      </w:pPr>
    </w:lvl>
    <w:lvl w:ilvl="7" w:tplc="08090019" w:tentative="1">
      <w:start w:val="1"/>
      <w:numFmt w:val="lowerLetter"/>
      <w:lvlText w:val="%8."/>
      <w:lvlJc w:val="left"/>
      <w:pPr>
        <w:ind w:left="5814" w:hanging="360"/>
      </w:pPr>
    </w:lvl>
    <w:lvl w:ilvl="8" w:tplc="0809001B" w:tentative="1">
      <w:start w:val="1"/>
      <w:numFmt w:val="lowerRoman"/>
      <w:lvlText w:val="%9."/>
      <w:lvlJc w:val="right"/>
      <w:pPr>
        <w:ind w:left="6534" w:hanging="180"/>
      </w:pPr>
    </w:lvl>
  </w:abstractNum>
  <w:abstractNum w:abstractNumId="2">
    <w:nsid w:val="039768C0"/>
    <w:multiLevelType w:val="multilevel"/>
    <w:tmpl w:val="54C6BB9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5751731"/>
    <w:multiLevelType w:val="hybridMultilevel"/>
    <w:tmpl w:val="E190054A"/>
    <w:lvl w:ilvl="0" w:tplc="5C24634E">
      <w:start w:val="1"/>
      <w:numFmt w:val="decimal"/>
      <w:lvlText w:val="%1."/>
      <w:lvlJc w:val="left"/>
      <w:pPr>
        <w:ind w:left="1080" w:hanging="360"/>
      </w:pPr>
      <w:rPr>
        <w:rFonts w:ascii="Times New Roman Bold" w:hAnsi="Times New Roman Bold" w:hint="default"/>
        <w:b/>
        <w:i w:val="0"/>
        <w:sz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nsid w:val="074064DF"/>
    <w:multiLevelType w:val="multilevel"/>
    <w:tmpl w:val="3D66F4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0D81432E"/>
    <w:multiLevelType w:val="hybridMultilevel"/>
    <w:tmpl w:val="59047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F875606"/>
    <w:multiLevelType w:val="multilevel"/>
    <w:tmpl w:val="2E025512"/>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11A47F21"/>
    <w:multiLevelType w:val="singleLevel"/>
    <w:tmpl w:val="E632BF7E"/>
    <w:lvl w:ilvl="0">
      <w:start w:val="1"/>
      <w:numFmt w:val="bullet"/>
      <w:pStyle w:val="ListBulletlast"/>
      <w:lvlText w:val=""/>
      <w:lvlJc w:val="left"/>
      <w:pPr>
        <w:ind w:left="360" w:hanging="360"/>
      </w:pPr>
      <w:rPr>
        <w:rFonts w:ascii="Symbol" w:hAnsi="Symbol" w:hint="default"/>
        <w:color w:val="002060"/>
      </w:rPr>
    </w:lvl>
  </w:abstractNum>
  <w:abstractNum w:abstractNumId="8">
    <w:nsid w:val="1AE20662"/>
    <w:multiLevelType w:val="hybridMultilevel"/>
    <w:tmpl w:val="2200C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3BE5FA8"/>
    <w:multiLevelType w:val="hybridMultilevel"/>
    <w:tmpl w:val="ED34A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07B13BC"/>
    <w:multiLevelType w:val="hybridMultilevel"/>
    <w:tmpl w:val="783650A8"/>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11">
    <w:nsid w:val="31070C1B"/>
    <w:multiLevelType w:val="hybridMultilevel"/>
    <w:tmpl w:val="5AC471F0"/>
    <w:lvl w:ilvl="0" w:tplc="A314B902">
      <w:start w:val="1"/>
      <w:numFmt w:val="decimal"/>
      <w:lvlText w:val="2.%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4324002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4B025C8D"/>
    <w:multiLevelType w:val="hybridMultilevel"/>
    <w:tmpl w:val="F2B8074A"/>
    <w:lvl w:ilvl="0" w:tplc="025E416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52095F76"/>
    <w:multiLevelType w:val="hybridMultilevel"/>
    <w:tmpl w:val="05341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65E2630A"/>
    <w:multiLevelType w:val="hybridMultilevel"/>
    <w:tmpl w:val="6D105DF8"/>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7320581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74233697"/>
    <w:multiLevelType w:val="multilevel"/>
    <w:tmpl w:val="EDCA1094"/>
    <w:lvl w:ilvl="0">
      <w:start w:val="1"/>
      <w:numFmt w:val="decimal"/>
      <w:pStyle w:val="Heading1"/>
      <w:lvlText w:val="%1"/>
      <w:lvlJc w:val="left"/>
      <w:pPr>
        <w:ind w:left="716" w:hanging="432"/>
      </w:pPr>
      <w:rPr>
        <w:rFonts w:hint="default"/>
      </w:rPr>
    </w:lvl>
    <w:lvl w:ilvl="1">
      <w:start w:val="1"/>
      <w:numFmt w:val="decimal"/>
      <w:lvlText w:val="%1.%2"/>
      <w:lvlJc w:val="left"/>
      <w:pPr>
        <w:ind w:left="576" w:hanging="576"/>
      </w:pPr>
      <w:rPr>
        <w:rFonts w:hint="default"/>
        <w:lang w:val="en-GB"/>
      </w:rPr>
    </w:lvl>
    <w:lvl w:ilvl="2">
      <w:start w:val="1"/>
      <w:numFmt w:val="decimal"/>
      <w:pStyle w:val="Heading3"/>
      <w:lvlText w:val="%1.%2.%3"/>
      <w:lvlJc w:val="left"/>
      <w:pPr>
        <w:ind w:left="72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8">
    <w:nsid w:val="778B6E15"/>
    <w:multiLevelType w:val="hybridMultilevel"/>
    <w:tmpl w:val="B5FCFD82"/>
    <w:lvl w:ilvl="0" w:tplc="A790B3C8">
      <w:start w:val="10"/>
      <w:numFmt w:val="bullet"/>
      <w:lvlText w:val="-"/>
      <w:lvlJc w:val="left"/>
      <w:pPr>
        <w:ind w:left="360" w:hanging="360"/>
      </w:pPr>
      <w:rPr>
        <w:rFonts w:ascii="Times New Roman" w:eastAsia="Times New Roman" w:hAnsi="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1"/>
  </w:num>
  <w:num w:numId="2">
    <w:abstractNumId w:val="3"/>
  </w:num>
  <w:num w:numId="3">
    <w:abstractNumId w:val="13"/>
  </w:num>
  <w:num w:numId="4">
    <w:abstractNumId w:val="6"/>
  </w:num>
  <w:num w:numId="5">
    <w:abstractNumId w:val="13"/>
  </w:num>
  <w:num w:numId="6">
    <w:abstractNumId w:val="11"/>
  </w:num>
  <w:num w:numId="7">
    <w:abstractNumId w:val="3"/>
  </w:num>
  <w:num w:numId="8">
    <w:abstractNumId w:val="4"/>
  </w:num>
  <w:num w:numId="9">
    <w:abstractNumId w:val="2"/>
  </w:num>
  <w:num w:numId="10">
    <w:abstractNumId w:val="4"/>
  </w:num>
  <w:num w:numId="11">
    <w:abstractNumId w:val="2"/>
  </w:num>
  <w:num w:numId="12">
    <w:abstractNumId w:val="4"/>
  </w:num>
  <w:num w:numId="13">
    <w:abstractNumId w:val="2"/>
  </w:num>
  <w:num w:numId="14">
    <w:abstractNumId w:val="17"/>
  </w:num>
  <w:num w:numId="15">
    <w:abstractNumId w:val="17"/>
  </w:num>
  <w:num w:numId="16">
    <w:abstractNumId w:val="0"/>
  </w:num>
  <w:num w:numId="17">
    <w:abstractNumId w:val="7"/>
  </w:num>
  <w:num w:numId="18">
    <w:abstractNumId w:val="17"/>
  </w:num>
  <w:num w:numId="19">
    <w:abstractNumId w:val="17"/>
  </w:num>
  <w:num w:numId="20">
    <w:abstractNumId w:val="17"/>
  </w:num>
  <w:num w:numId="21">
    <w:abstractNumId w:val="17"/>
  </w:num>
  <w:num w:numId="22">
    <w:abstractNumId w:val="17"/>
  </w:num>
  <w:num w:numId="23">
    <w:abstractNumId w:val="17"/>
  </w:num>
  <w:num w:numId="24">
    <w:abstractNumId w:val="17"/>
  </w:num>
  <w:num w:numId="25">
    <w:abstractNumId w:val="17"/>
  </w:num>
  <w:num w:numId="26">
    <w:abstractNumId w:val="17"/>
  </w:num>
  <w:num w:numId="27">
    <w:abstractNumId w:val="17"/>
  </w:num>
  <w:num w:numId="28">
    <w:abstractNumId w:val="17"/>
  </w:num>
  <w:num w:numId="29">
    <w:abstractNumId w:val="7"/>
  </w:num>
  <w:num w:numId="30">
    <w:abstractNumId w:val="14"/>
  </w:num>
  <w:num w:numId="31">
    <w:abstractNumId w:val="9"/>
  </w:num>
  <w:num w:numId="32">
    <w:abstractNumId w:val="16"/>
  </w:num>
  <w:num w:numId="33">
    <w:abstractNumId w:val="12"/>
  </w:num>
  <w:num w:numId="34">
    <w:abstractNumId w:val="15"/>
  </w:num>
  <w:num w:numId="35">
    <w:abstractNumId w:val="18"/>
  </w:num>
  <w:num w:numId="36">
    <w:abstractNumId w:val="10"/>
  </w:num>
  <w:num w:numId="37">
    <w:abstractNumId w:val="1"/>
  </w:num>
  <w:num w:numId="38">
    <w:abstractNumId w:val="5"/>
  </w:num>
  <w:num w:numId="39">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UIJ Robert (ENER)">
    <w15:presenceInfo w15:providerId="None" w15:userId="NUIJ Robert (EN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0"/>
  <w:hideSpellingErrors/>
  <w:hideGrammaticalErrors/>
  <w:revisionView w:markup="0"/>
  <w:defaultTabStop w:val="720"/>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ACCOMPAGNANT.CP" w:val="\u1087?\u1088?\u1080?\u1076?\u1088?\u1091?\u1078?\u1072?\u1074?\u1072?\u1097?"/>
    <w:docVar w:name="LW_CORRIGENDUM" w:val="&lt;UNUSED&gt;"/>
    <w:docVar w:name="LW_COVERPAGE_EXISTS" w:val="True"/>
    <w:docVar w:name="LW_COVERPAGE_GUID" w:val="C9A02E05-AB12-4847-874F-BA10BDF0BE5C"/>
    <w:docVar w:name="LW_COVERPAGE_TYPE" w:val="1"/>
    <w:docVar w:name="LW_CROSSREFERENCE" w:val="{C(2019) 1805 final} - {C(2019) 2121 final} - {SEC(2019) 340 final} - {SWD(2019) 357 final}"/>
    <w:docVar w:name="LW_DocType" w:val="NORMAL"/>
    <w:docVar w:name="LW_EMISSION" w:val="1.10.2019"/>
    <w:docVar w:name="LW_EMISSION_ISODATE" w:val="2019-10-01"/>
    <w:docVar w:name="LW_EMISSION_LOCATION" w:val="BRX"/>
    <w:docVar w:name="LW_EMISSION_PREFIX" w:val="Брюксел, "/>
    <w:docVar w:name="LW_EMISSION_SUFFIX" w:val=" \u1075?."/>
    <w:docVar w:name="LW_ID_DOCTYPE_NONLW" w:val="CP-027"/>
    <w:docVar w:name="LW_LANGUE" w:val="BG"/>
    <w:docVar w:name="LW_LEVEL_OF_SENSITIVITY" w:val="Standard treatment"/>
    <w:docVar w:name="LW_NOM.INST" w:val="\u1045?\u1042?\u1056?\u1054?\u1055?\u1045?\u1049?\u1057?\u1050?\u1040? \u1050?\u1054?\u1052?\u1048?\u1057?\u1048?\u1071?"/>
    <w:docVar w:name="LW_NOM.INST_JOINTDOC" w:val="&lt;EMPTY&gt;"/>
    <w:docVar w:name="LW_OBJETACTEPRINCIPAL.CP" w:val="\u1056?\u1045?\u1043?\u1051?\u1040?\u1052?\u1045?\u1053?\u1058? (\u1045?\u1057?) \u8470? .../... \u1053?\u1040? \u1050?\u1054?\u1052?\u1048?\u1057?\u1048?\u1071?\u1058?\u1040? \u1079?\u1072? \u1086?\u1087?\u1088?\u1077?\u1076?\u1077?\u1083?\u1103?\u1085?\u1077? \u1085?\u1072? \u1080?\u1079?\u1080?\u1089?\u1082?\u1074?\u1072?\u1085?\u1080?\u1103? \u1079?\u1072? \u1077?\u1082?\u1086?\u1087?\u1088?\u1086?\u1077?\u1082?\u1090?\u1080?\u1088?\u1072?\u1085?\u1077? \u1085?\u1072? \u1089?\u1074?\u1077?\u1090?\u1083?\u1080?\u1085?\u1085?\u1080? \u1080?\u1079?\u1090?\u1086?\u1095?\u1085?\u1080?\u1094?\u1080? \u1080? \u1086?\u1090?\u1076?\u1077?\u1083?\u1085?\u1072? \u1087?\u1091?\u1089?\u1082?\u1086?\u1074?\u1086?-\u1088?\u1077?\u1075?\u1091?\u1083?\u1080?\u1088?\u1072?\u1097?\u1072? \u1072?\u1087?\u1072?\u1088?\u1072?\u1090?\u1091?\u1088?\u1072? \u1074? \u1089?\u1098?\u1086?\u1090?\u1074?\u1077?\u1090?\u1089?\u1090?\u1074?\u1080?\u1077? \u1089? \u1044?\u1080?\u1088?\u1077?\u1082?\u1090?\u1080?\u1074?\u1072? 2009/125/\u1045?\u1054? \u1085?\u1072? \u1045?\u1074?\u1088?\u1086?\u1087?\u1077?\u1081?\u1089?\u1082?\u1080?\u1103? \u1087?\u1072?\u1088?\u1083?\u1072?\u1084?\u1077?\u1085?\u1090? \u1080? \u1085?\u1072? \u1057?\u1098?\u1074?\u1077?\u1090?\u1072?_x000b_\u1080? \u1079?\u1072? \u1086?\u1090?\u1084?\u1103?\u1085?\u1072? \u1085?\u1072? \u1088?\u1077?\u1075?\u1083?\u1072?\u1084?\u1077?\u1085?\u1090?\u1080? \u8470? 244/2009, (\u1045?\u1054?) \u8470? 245/2009 \u1080?_x000b_(\u1045?\u1057?) \u8470? 1194/2012 \u1085?\u1072? \u1050?\u1086?\u1084?\u1080?\u1089?\u1080?\u1103?\u1090?\u1072?_x000b__x000b_\u1080?_x000b__x000b_\u1044?\u1045?\u1051?\u1045?\u1043?\u1048?\u1056?\u1040?\u1053? \u1056?\u1045?\u1043?\u1051?\u1040?\u1052?\u1045?\u1053?\u1058? (\u1045?\u1057?) \u8470? .../... \u1053?\u1040? \u1050?\u1054?\u1052?\u1048?\u1057?\u1048?\u1071?\u1058?\u1040?_x000b_\u1079?\u1072? \u1076?\u1086?\u1087?\u1098?\u1083?\u1085?\u1077?\u1085?\u1080?\u1077? \u1085?\u1072? _x000b_\u1056?\u1077?\u1075?\u1083?\u1072?\u1084?\u1077?\u1085?\u1090? (\u1045?\u1057?) 2017/1369 \u1085?\u1072? \u1045?\u1074?\u1088?\u1086?\u1087?\u1077?\u1081?\u1089?\u1082?\u1080?\u1103? \u1087?\u1072?\u1088?\u1083?\u1072?\u1084?\u1077?\u1085?\u1090? \u1080? \u1085?\u1072? \u1057?\u1098?\u1074?\u1077?\u1090?\u1072? _x000b_\u1087?\u1086? \u1086?\u1090?\u1085?\u1086?\u1096?\u1077?\u1085?\u1080?\u1077? \u1085?\u1072? \u1077?\u1085?\u1077?\u1088?\u1075?\u1080?\u1081?\u1085?\u1086?\u1090?\u1086? \u1077?\u1090?\u1080?\u1082?\u1077?\u1090?\u1080?\u1088?\u1072?\u1085?\u1077? \u1085?\u1072? \u1089?\u1074?\u1077?\u1090?\u1083?\u1080?\u1085?\u1085?\u1080? \u1080?\u1079?\u1090?\u1086?\u1095?\u1085?\u1080?\u1094?\u1080?_x000b__x000b_\u1080? \u1079?\u1072? \u1086?\u1090?\u1084?\u1103?\u1085?\u1072? \u1085?\u1072? \u1044?\u1077?\u1083?\u1077?\u1075?\u1080?\u1088?\u1072?\u1085? \u1088?\u1077?\u1075?\u1083?\u1072?\u1084?\u1077?\u1085?\u1090? (\u1045?\u1057?) \u8470? 874/2012 \u1085?\u1072? \u1050?\u1086?\u1084?\u1080?\u1089?\u1080?\u1103?\u1090?\u1072?"/>
    <w:docVar w:name="LW_PART_NBR" w:val="1"/>
    <w:docVar w:name="LW_PART_NBR_TOTAL" w:val="1"/>
    <w:docVar w:name="LW_REF.INST.NEW" w:val="SWD"/>
    <w:docVar w:name="LW_REF.INST.NEW_ADOPTED" w:val="final"/>
    <w:docVar w:name="LW_REF.INST.NEW_TEXT" w:val="(2019) 358"/>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ITRE.OBJ.CP" w:val="&lt;UNUSED&gt;"/>
    <w:docVar w:name="LW_TYPE.DOC.CP" w:val="\u1056?\u1040?\u1041?\u1054?\u1058?\u1045?\u1053? \u1044?\u1054?\u1050?\u1059?\u1052?\u1045?\u1053?\u1058? \u1053?\u1040? \u1057?\u1051?\u1059?\u1046?\u1041?\u1048?\u1058?\u1045? \u1053?\u1040? \u1050?\u1054?\u1052?\u1048?\u1057?\u1048?\u1071?\u1058?\u1040?_x000b__x000b_\u1054?\u1041?\u1054?\u1041?\u1065?\u1045?\u1053?\u1040? \u1054?\u1062?\u1045?\u1053?\u1050?\u1040? \u1053?\u1040? \u1042?\u1066?\u1047?\u1044?\u1045?\u1049?\u1057?\u1058?\u1042?\u1048?\u1045?\u1058?\u1054?_x000b_"/>
    <w:docVar w:name="LW_TYPEACTEPRINCIPAL.CP" w:val="&lt;UNUSED&gt;"/>
  </w:docVar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bg-BG" w:eastAsia="bg-BG" w:bidi="bg-BG"/>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0" w:qFormat="1"/>
    <w:lsdException w:name="footnote reference" w:semiHidden="0" w:unhideWhenUsed="0" w:qFormat="1"/>
    <w:lsdException w:name="Title" w:semiHidden="0" w:uiPriority="0" w:unhideWhenUsed="0" w:qFormat="1"/>
    <w:lsdException w:name="Default Paragraph Font" w:uiPriority="1"/>
    <w:lsdException w:name="Body Text" w:uiPriority="0" w:qFormat="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nhideWhenUsed="0" w:qFormat="1"/>
    <w:lsdException w:name="Bibliography" w:uiPriority="37"/>
    <w:lsdException w:name="TOC Heading" w:uiPriority="0" w:qFormat="1"/>
  </w:latentStyles>
  <w:style w:type="paragraph" w:default="1" w:styleId="Normal">
    <w:name w:val="Normal"/>
    <w:qFormat/>
    <w:pPr>
      <w:spacing w:after="100" w:afterAutospacing="1"/>
      <w:jc w:val="both"/>
    </w:pPr>
  </w:style>
  <w:style w:type="paragraph" w:styleId="Heading1">
    <w:name w:val="heading 1"/>
    <w:aliases w:val=" Char,(Section),MOVE-it 1,Heading 11,Hoofdstuk,Επικεφαλίδα 1 ΌΧΙ,Heading 1 - Main Heading of Document,F3 Heading 1 - Section,Numbered - 1,Section,Chapter Hdg,h1,CH TITLE 1,Chapter Heading,AChapter,Sub code header,Section Heading,Do Not Use,1"/>
    <w:basedOn w:val="Normal"/>
    <w:next w:val="Normal"/>
    <w:link w:val="Heading1Char"/>
    <w:qFormat/>
    <w:pPr>
      <w:keepNext/>
      <w:numPr>
        <w:numId w:val="28"/>
      </w:numPr>
      <w:spacing w:before="360" w:after="180"/>
      <w:outlineLvl w:val="0"/>
    </w:pPr>
    <w:rPr>
      <w:rFonts w:eastAsiaTheme="majorEastAsia" w:cstheme="majorBidi"/>
      <w:b/>
      <w:bCs/>
      <w:kern w:val="32"/>
      <w:sz w:val="32"/>
      <w:szCs w:val="32"/>
    </w:rPr>
  </w:style>
  <w:style w:type="paragraph" w:styleId="Heading2">
    <w:name w:val="heading 2"/>
    <w:aliases w:val="Heading Two,h2,(1.1,1.2,1.3 etc),Prophead 2,2,RFP Heading 2,Activit...,Activity,l2,H2,2/1,Heading 21,Paragraaf,cv titles,(SubSection),F4 Heading 2 - SubSection,(Main Heading),ASection,Heading 2 - Main Heading within Document,Major,Outline2,Par"/>
    <w:basedOn w:val="Normal"/>
    <w:link w:val="Heading2Char"/>
    <w:autoRedefine/>
    <w:qFormat/>
    <w:pPr>
      <w:spacing w:before="240" w:after="240" w:afterAutospacing="0"/>
      <w:outlineLvl w:val="1"/>
    </w:pPr>
  </w:style>
  <w:style w:type="paragraph" w:styleId="Heading3">
    <w:name w:val="heading 3"/>
    <w:aliases w:val="H3,Prophead 3,h3,HHHeading,Heading 31,Heading 32,Heading 33,Heading...,Subparagraaf,Heading 3 - Bold heading for document - will appear in index,Outline3,F5 Heading 3,Numbered - 3,Heading level 3,l3,CT,h3 sub heading,Head 3,3m,H31,(Alt+3),1.2."/>
    <w:basedOn w:val="Normal"/>
    <w:next w:val="Normal"/>
    <w:link w:val="Heading3Char"/>
    <w:unhideWhenUsed/>
    <w:qFormat/>
    <w:pPr>
      <w:keepNext/>
      <w:numPr>
        <w:ilvl w:val="2"/>
        <w:numId w:val="28"/>
      </w:numPr>
      <w:spacing w:before="240" w:after="480"/>
      <w:outlineLvl w:val="2"/>
    </w:pPr>
    <w:rPr>
      <w:b/>
      <w:bCs/>
    </w:rPr>
  </w:style>
  <w:style w:type="paragraph" w:styleId="Heading4">
    <w:name w:val="heading 4"/>
    <w:aliases w:val="ALK_K4,NEA4,Kopje,Tussenkop,NEAbijlage,12u,ADVICE 4,Kop 4 Char,12u Char,ADVICE 4 Char,H4,h4,Kop 4 Char1,NEA4 Char1,12u Char1,ADVICE 4 Char1,Kop 4 Char Char,NEAbijlage Char Char,12u Char Char"/>
    <w:basedOn w:val="Normal"/>
    <w:next w:val="Normal"/>
    <w:link w:val="Heading4Char"/>
    <w:qFormat/>
    <w:pPr>
      <w:keepNext/>
      <w:numPr>
        <w:ilvl w:val="3"/>
        <w:numId w:val="28"/>
      </w:numPr>
      <w:spacing w:before="120" w:after="120"/>
      <w:outlineLvl w:val="3"/>
    </w:pPr>
    <w:rPr>
      <w:b/>
      <w:bCs/>
      <w:szCs w:val="28"/>
    </w:rPr>
  </w:style>
  <w:style w:type="paragraph" w:styleId="Heading5">
    <w:name w:val="heading 5"/>
    <w:basedOn w:val="Normal"/>
    <w:next w:val="Normal"/>
    <w:link w:val="Heading5Char"/>
    <w:unhideWhenUsed/>
    <w:qFormat/>
    <w:pPr>
      <w:keepNext/>
      <w:keepLines/>
      <w:numPr>
        <w:ilvl w:val="4"/>
        <w:numId w:val="28"/>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pPr>
      <w:keepNext/>
      <w:keepLines/>
      <w:numPr>
        <w:ilvl w:val="5"/>
        <w:numId w:val="28"/>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qFormat/>
    <w:pPr>
      <w:numPr>
        <w:ilvl w:val="6"/>
        <w:numId w:val="28"/>
      </w:numPr>
      <w:spacing w:before="240" w:after="60" w:afterAutospacing="0"/>
      <w:outlineLvl w:val="6"/>
    </w:pPr>
    <w:rPr>
      <w:rFonts w:ascii="Arial" w:hAnsi="Arial"/>
      <w:sz w:val="20"/>
      <w:szCs w:val="20"/>
    </w:rPr>
  </w:style>
  <w:style w:type="paragraph" w:styleId="Heading8">
    <w:name w:val="heading 8"/>
    <w:basedOn w:val="Normal"/>
    <w:next w:val="Normal"/>
    <w:link w:val="Heading8Char"/>
    <w:qFormat/>
    <w:pPr>
      <w:numPr>
        <w:ilvl w:val="7"/>
        <w:numId w:val="28"/>
      </w:numPr>
      <w:spacing w:before="240" w:after="60" w:afterAutospacing="0"/>
      <w:outlineLvl w:val="7"/>
    </w:pPr>
    <w:rPr>
      <w:rFonts w:ascii="Arial" w:hAnsi="Arial"/>
      <w:i/>
      <w:sz w:val="20"/>
      <w:szCs w:val="20"/>
    </w:rPr>
  </w:style>
  <w:style w:type="paragraph" w:styleId="Heading9">
    <w:name w:val="heading 9"/>
    <w:basedOn w:val="Normal"/>
    <w:next w:val="Normal"/>
    <w:link w:val="Heading9Char"/>
    <w:qFormat/>
    <w:pPr>
      <w:numPr>
        <w:ilvl w:val="8"/>
        <w:numId w:val="28"/>
      </w:numPr>
      <w:spacing w:before="240" w:after="60" w:afterAutospacing="0"/>
      <w:outlineLvl w:val="8"/>
    </w:pPr>
    <w:rPr>
      <w:rFonts w:ascii="Arial" w:hAnsi="Arial" w:cs="Arial"/>
      <w:i/>
      <w:sz w:val="18"/>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IIIA">
    <w:name w:val="Heading II IA"/>
    <w:basedOn w:val="Normal"/>
    <w:link w:val="HeadingIIIAChar"/>
    <w:autoRedefine/>
    <w:pPr>
      <w:autoSpaceDE w:val="0"/>
      <w:autoSpaceDN w:val="0"/>
      <w:adjustRightInd w:val="0"/>
      <w:spacing w:before="120" w:after="120"/>
      <w:ind w:left="720" w:hanging="360"/>
    </w:pPr>
    <w:rPr>
      <w:b/>
      <w:bCs/>
      <w:color w:val="000000"/>
    </w:rPr>
  </w:style>
  <w:style w:type="character" w:customStyle="1" w:styleId="HeadingIIIAChar">
    <w:name w:val="Heading II IA Char"/>
    <w:basedOn w:val="DefaultParagraphFont"/>
    <w:link w:val="HeadingIIIA"/>
    <w:rPr>
      <w:b/>
      <w:bCs/>
      <w:color w:val="000000"/>
    </w:rPr>
  </w:style>
  <w:style w:type="paragraph" w:customStyle="1" w:styleId="Style1">
    <w:name w:val="Style1"/>
    <w:basedOn w:val="Heading1"/>
    <w:link w:val="Style1Char"/>
    <w:pPr>
      <w:numPr>
        <w:numId w:val="0"/>
      </w:numPr>
      <w:autoSpaceDE w:val="0"/>
      <w:autoSpaceDN w:val="0"/>
      <w:adjustRightInd w:val="0"/>
      <w:spacing w:before="120" w:after="120"/>
      <w:ind w:left="1080" w:hanging="360"/>
    </w:pPr>
    <w:rPr>
      <w:rFonts w:ascii="Cambria" w:eastAsia="Times New Roman" w:hAnsi="Cambria" w:cs="Times New Roman"/>
      <w:b w:val="0"/>
      <w:bCs w:val="0"/>
      <w:sz w:val="28"/>
      <w:szCs w:val="23"/>
    </w:rPr>
  </w:style>
  <w:style w:type="character" w:customStyle="1" w:styleId="Style1Char">
    <w:name w:val="Style1 Char"/>
    <w:basedOn w:val="ListParagraphChar"/>
    <w:link w:val="Style1"/>
    <w:rPr>
      <w:rFonts w:ascii="Cambria" w:hAnsi="Cambria"/>
      <w:color w:val="000000"/>
      <w:kern w:val="32"/>
      <w:sz w:val="28"/>
      <w:szCs w:val="23"/>
      <w:lang w:eastAsia="bg-BG"/>
    </w:rPr>
  </w:style>
  <w:style w:type="character" w:customStyle="1" w:styleId="Heading1Char">
    <w:name w:val="Heading 1 Char"/>
    <w:aliases w:val=" Char Char,(Section) Char,MOVE-it 1 Char,Heading 11 Char,Hoofdstuk Char,Επικεφαλίδα 1 ΌΧΙ Char,Heading 1 - Main Heading of Document Char,F3 Heading 1 - Section Char,Numbered - 1 Char,Section Char,Chapter Hdg Char,h1 Char,CH TITLE 1 Char"/>
    <w:link w:val="Heading1"/>
    <w:rPr>
      <w:rFonts w:eastAsiaTheme="majorEastAsia" w:cstheme="majorBidi"/>
      <w:b/>
      <w:bCs/>
      <w:kern w:val="32"/>
      <w:sz w:val="32"/>
      <w:szCs w:val="32"/>
    </w:rPr>
  </w:style>
  <w:style w:type="character" w:customStyle="1" w:styleId="Heading2Char">
    <w:name w:val="Heading 2 Char"/>
    <w:aliases w:val="Heading Two Char,h2 Char,(1.1 Char,1.2 Char,1.3 etc) Char,Prophead 2 Char,2 Char,RFP Heading 2 Char,Activit... Char,Activity Char,l2 Char,H2 Char,2/1 Char,Heading 21 Char,Paragraaf Char,cv titles Char,(SubSection) Char,(Main Heading) Char"/>
    <w:link w:val="Heading2"/>
    <w:rPr>
      <w:lang w:val="bg-BG"/>
    </w:rPr>
  </w:style>
  <w:style w:type="character" w:customStyle="1" w:styleId="Heading3Char">
    <w:name w:val="Heading 3 Char"/>
    <w:aliases w:val="H3 Char,Prophead 3 Char,h3 Char,HHHeading Char,Heading 31 Char,Heading 32 Char,Heading 33 Char,Heading... Char,Subparagraaf Char,Heading 3 - Bold heading for document - will appear in index Char,Outline3 Char,F5 Heading 3 Char,l3 Char"/>
    <w:link w:val="Heading3"/>
    <w:rPr>
      <w:b/>
      <w:bCs/>
    </w:rPr>
  </w:style>
  <w:style w:type="character" w:customStyle="1" w:styleId="Heading4Char">
    <w:name w:val="Heading 4 Char"/>
    <w:aliases w:val="ALK_K4 Char,NEA4 Char,Kopje Char,Tussenkop Char,NEAbijlage Char,12u Char2,ADVICE 4 Char2,Kop 4 Char Char1,12u Char Char1,ADVICE 4 Char Char,H4 Char,h4 Char,Kop 4 Char1 Char,NEA4 Char1 Char,12u Char1 Char,ADVICE 4 Char1 Char"/>
    <w:link w:val="Heading4"/>
    <w:rPr>
      <w:b/>
      <w:bCs/>
      <w:szCs w:val="28"/>
    </w:rPr>
  </w:style>
  <w:style w:type="character" w:customStyle="1" w:styleId="Heading5Char">
    <w:name w:val="Heading 5 Char"/>
    <w:basedOn w:val="DefaultParagraphFont"/>
    <w:link w:val="Heading5"/>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rPr>
      <w:rFonts w:ascii="Arial" w:hAnsi="Arial"/>
      <w:sz w:val="20"/>
      <w:szCs w:val="20"/>
    </w:rPr>
  </w:style>
  <w:style w:type="character" w:customStyle="1" w:styleId="Heading8Char">
    <w:name w:val="Heading 8 Char"/>
    <w:basedOn w:val="DefaultParagraphFont"/>
    <w:link w:val="Heading8"/>
    <w:rPr>
      <w:rFonts w:ascii="Arial" w:hAnsi="Arial"/>
      <w:i/>
      <w:sz w:val="20"/>
      <w:szCs w:val="20"/>
    </w:rPr>
  </w:style>
  <w:style w:type="character" w:customStyle="1" w:styleId="Heading9Char">
    <w:name w:val="Heading 9 Char"/>
    <w:basedOn w:val="DefaultParagraphFont"/>
    <w:link w:val="Heading9"/>
    <w:rPr>
      <w:rFonts w:ascii="Arial" w:hAnsi="Arial" w:cs="Arial"/>
      <w:i/>
      <w:sz w:val="18"/>
      <w:szCs w:val="20"/>
    </w:rPr>
  </w:style>
  <w:style w:type="paragraph" w:styleId="TOC1">
    <w:name w:val="toc 1"/>
    <w:basedOn w:val="Normal"/>
    <w:next w:val="Normal"/>
    <w:autoRedefine/>
    <w:uiPriority w:val="39"/>
    <w:unhideWhenUsed/>
    <w:pPr>
      <w:tabs>
        <w:tab w:val="left" w:pos="440"/>
        <w:tab w:val="right" w:leader="dot" w:pos="9062"/>
      </w:tabs>
    </w:pPr>
    <w:rPr>
      <w:noProof/>
      <w:sz w:val="32"/>
      <w:szCs w:val="32"/>
    </w:rPr>
  </w:style>
  <w:style w:type="paragraph" w:styleId="TOC2">
    <w:name w:val="toc 2"/>
    <w:basedOn w:val="Normal"/>
    <w:next w:val="Normal"/>
    <w:autoRedefine/>
    <w:uiPriority w:val="39"/>
    <w:unhideWhenUsed/>
    <w:pPr>
      <w:ind w:left="220"/>
    </w:pPr>
  </w:style>
  <w:style w:type="paragraph" w:styleId="TOC3">
    <w:name w:val="toc 3"/>
    <w:basedOn w:val="Normal"/>
    <w:next w:val="Normal"/>
    <w:autoRedefine/>
    <w:uiPriority w:val="39"/>
    <w:unhideWhenUsed/>
    <w:pPr>
      <w:ind w:left="440"/>
    </w:pPr>
  </w:style>
  <w:style w:type="paragraph" w:styleId="FootnoteText">
    <w:name w:val="footnote text"/>
    <w:aliases w:val="-E Fußnotentext,Fußnotentext Ursprung,-E Fußnotentext1,-E Fußnotentext2,-E Fußnotentext3,Schriftart: 9 pt,Schriftart: 10 pt,Schriftart: 8 pt,WB-Fußnotentext,fn,Footnotes,Footnote ak,Char,Fußnote,Carattere,Footnote Text Char1,fn Char Char,f"/>
    <w:basedOn w:val="Normal"/>
    <w:link w:val="FootnoteTextChar"/>
    <w:uiPriority w:val="99"/>
    <w:qFormat/>
    <w:pPr>
      <w:spacing w:after="0" w:afterAutospacing="0"/>
    </w:pPr>
    <w:rPr>
      <w:sz w:val="20"/>
      <w:szCs w:val="20"/>
    </w:rPr>
  </w:style>
  <w:style w:type="character" w:customStyle="1" w:styleId="FootnoteTextChar">
    <w:name w:val="Footnote Text Char"/>
    <w:aliases w:val="-E Fußnotentext Char,Fußnotentext Ursprung Char,-E Fußnotentext1 Char,-E Fußnotentext2 Char,-E Fußnotentext3 Char,Schriftart: 9 pt Char,Schriftart: 10 pt Char,Schriftart: 8 pt Char,WB-Fußnotentext Char,fn Char,Footnotes Char,Char Char"/>
    <w:basedOn w:val="DefaultParagraphFont"/>
    <w:link w:val="FootnoteText"/>
    <w:uiPriority w:val="99"/>
    <w:rPr>
      <w:sz w:val="20"/>
      <w:szCs w:val="20"/>
    </w:rPr>
  </w:style>
  <w:style w:type="paragraph" w:styleId="Caption">
    <w:name w:val="caption"/>
    <w:aliases w:val="caption for tables,figures,Beschriftung Char1 Cha...,Beschriftung Char2,Beschriftung Char1 Char1,Beschriftung Char Char Char1,Beschriftung Char1 Char Char,Beschriftung Char Char Char Char,Beschriftung Char Char1 Char,Tasks"/>
    <w:basedOn w:val="Normal"/>
    <w:next w:val="Normal"/>
    <w:link w:val="CaptionChar"/>
    <w:unhideWhenUsed/>
    <w:qFormat/>
    <w:rPr>
      <w:b/>
      <w:bCs/>
      <w:sz w:val="20"/>
      <w:szCs w:val="20"/>
    </w:rPr>
  </w:style>
  <w:style w:type="character" w:customStyle="1" w:styleId="CaptionChar">
    <w:name w:val="Caption Char"/>
    <w:aliases w:val="caption for tables Char,figures Char,Beschriftung Char1 Cha... Char,Beschriftung Char2 Char,Beschriftung Char1 Char1 Char,Beschriftung Char Char Char1 Char,Beschriftung Char1 Char Char Char,Beschriftung Char Char Char Char Char,Tasks Char"/>
    <w:link w:val="Caption"/>
    <w:uiPriority w:val="99"/>
    <w:locked/>
    <w:rPr>
      <w:b/>
      <w:bCs/>
      <w:sz w:val="20"/>
      <w:szCs w:val="20"/>
    </w:rPr>
  </w:style>
  <w:style w:type="character" w:styleId="FootnoteReference">
    <w:name w:val="footnote reference"/>
    <w:aliases w:val="SUPERS,Footnote symbol,Footnote,Voetnootverwijzing,Footnote number,fr,o,Footnotemark,FR,Footnotemark1,Footnotemark2,FR1,Footnotemark3,FR2,Footnotemark4,FR3,Footnotemark5,FR4,Footnotemark6,Footnotemark7,Footnotemark8,FR5,Footnotemark11"/>
    <w:uiPriority w:val="99"/>
    <w:qFormat/>
    <w:rPr>
      <w:vertAlign w:val="superscript"/>
    </w:rPr>
  </w:style>
  <w:style w:type="character" w:styleId="Emphasis">
    <w:name w:val="Emphasis"/>
    <w:qFormat/>
    <w:rPr>
      <w:i/>
      <w:iCs/>
    </w:rPr>
  </w:style>
  <w:style w:type="paragraph" w:styleId="ListParagraph">
    <w:name w:val="List Paragraph"/>
    <w:aliases w:val="Numbered Para 1,Dot pt,No Spacing1,List Paragraph Char Char Char,Indicator Text,List Paragraph1,Bullet Points,MAIN CONTENT,List Paragraph12,F5 List Paragraph,Heading 2_sj,Report Para,WinDForce-Letter,List Paragraph (numbered (a),LISTA"/>
    <w:basedOn w:val="Normal"/>
    <w:link w:val="ListParagraphChar"/>
    <w:uiPriority w:val="34"/>
    <w:qFormat/>
    <w:pPr>
      <w:ind w:left="720"/>
      <w:contextualSpacing/>
    </w:pPr>
  </w:style>
  <w:style w:type="character" w:customStyle="1" w:styleId="ListParagraphChar">
    <w:name w:val="List Paragraph Char"/>
    <w:aliases w:val="Numbered Para 1 Char,Dot pt Char,No Spacing1 Char,List Paragraph Char Char Char Char,Indicator Text Char,List Paragraph1 Char,Bullet Points Char,MAIN CONTENT Char,List Paragraph12 Char,F5 List Paragraph Char,Heading 2_sj Char"/>
    <w:link w:val="ListParagraph"/>
    <w:uiPriority w:val="34"/>
    <w:qFormat/>
    <w:locked/>
  </w:style>
  <w:style w:type="paragraph" w:styleId="TOCHeading">
    <w:name w:val="TOC Heading"/>
    <w:basedOn w:val="Heading1"/>
    <w:next w:val="Normal"/>
    <w:unhideWhenUsed/>
    <w:qFormat/>
    <w:pPr>
      <w:keepLines/>
      <w:numPr>
        <w:numId w:val="0"/>
      </w:numPr>
      <w:spacing w:before="480" w:after="0" w:line="276" w:lineRule="auto"/>
      <w:outlineLvl w:val="9"/>
    </w:pPr>
    <w:rPr>
      <w:rFonts w:eastAsia="MS Gothic" w:cs="Times New Roman"/>
      <w:color w:val="365F91"/>
      <w:kern w:val="0"/>
      <w:sz w:val="28"/>
      <w:szCs w:val="28"/>
    </w:rPr>
  </w:style>
  <w:style w:type="paragraph" w:customStyle="1" w:styleId="Style3heading3">
    <w:name w:val="Style3_heading 3"/>
    <w:basedOn w:val="Heading3"/>
    <w:link w:val="Style3heading3Char"/>
    <w:qFormat/>
    <w:pPr>
      <w:numPr>
        <w:ilvl w:val="0"/>
        <w:numId w:val="0"/>
      </w:numPr>
      <w:spacing w:afterAutospacing="0"/>
      <w:ind w:left="720" w:hanging="720"/>
      <w:jc w:val="left"/>
    </w:pPr>
    <w:rPr>
      <w:b w:val="0"/>
      <w:i/>
    </w:rPr>
  </w:style>
  <w:style w:type="character" w:customStyle="1" w:styleId="Style3heading3Char">
    <w:name w:val="Style3_heading 3 Char"/>
    <w:basedOn w:val="DefaultParagraphFont"/>
    <w:link w:val="Style3heading3"/>
    <w:locked/>
    <w:rPr>
      <w:bCs/>
      <w:i/>
    </w:rPr>
  </w:style>
  <w:style w:type="paragraph" w:customStyle="1" w:styleId="Style2Heading2">
    <w:name w:val="Style2_Heading 2"/>
    <w:basedOn w:val="Heading3"/>
    <w:link w:val="Style2Heading2Char"/>
    <w:qFormat/>
    <w:pPr>
      <w:numPr>
        <w:ilvl w:val="0"/>
        <w:numId w:val="0"/>
      </w:numPr>
      <w:spacing w:afterAutospacing="0"/>
      <w:ind w:left="720" w:hanging="720"/>
      <w:jc w:val="left"/>
    </w:pPr>
  </w:style>
  <w:style w:type="character" w:customStyle="1" w:styleId="Style2Heading2Char">
    <w:name w:val="Style2_Heading 2 Char"/>
    <w:basedOn w:val="Heading3Char"/>
    <w:link w:val="Style2Heading2"/>
    <w:rPr>
      <w:b/>
      <w:bCs/>
    </w:rPr>
  </w:style>
  <w:style w:type="paragraph" w:customStyle="1" w:styleId="Releasable">
    <w:name w:val="Releasable"/>
    <w:basedOn w:val="Normal"/>
    <w:qFormat/>
    <w:pPr>
      <w:spacing w:after="0" w:afterAutospacing="0"/>
      <w:jc w:val="center"/>
    </w:pPr>
    <w:rPr>
      <w:b/>
      <w:caps/>
      <w:sz w:val="32"/>
      <w:szCs w:val="20"/>
    </w:rPr>
  </w:style>
  <w:style w:type="paragraph" w:customStyle="1" w:styleId="Normaldense">
    <w:name w:val="Normal dense"/>
    <w:basedOn w:val="Normal"/>
    <w:link w:val="NormaldenseChar"/>
    <w:qFormat/>
    <w:pPr>
      <w:spacing w:after="180" w:afterAutospacing="0"/>
    </w:pPr>
    <w:rPr>
      <w:rFonts w:asciiTheme="minorHAnsi" w:eastAsiaTheme="minorHAnsi" w:hAnsiTheme="minorHAnsi" w:cstheme="minorBidi"/>
      <w:sz w:val="20"/>
      <w:szCs w:val="20"/>
    </w:rPr>
  </w:style>
  <w:style w:type="character" w:customStyle="1" w:styleId="NormaldenseChar">
    <w:name w:val="Normal dense Char"/>
    <w:basedOn w:val="DefaultParagraphFont"/>
    <w:link w:val="Normaldense"/>
    <w:rPr>
      <w:rFonts w:asciiTheme="minorHAnsi" w:eastAsiaTheme="minorHAnsi" w:hAnsiTheme="minorHAnsi" w:cstheme="minorBidi"/>
      <w:sz w:val="20"/>
      <w:szCs w:val="20"/>
      <w:lang w:eastAsia="bg-BG"/>
    </w:rPr>
  </w:style>
  <w:style w:type="paragraph" w:customStyle="1" w:styleId="ListBulletlast">
    <w:name w:val="List Bullet last"/>
    <w:basedOn w:val="ListBullet"/>
    <w:next w:val="BodyText"/>
    <w:qFormat/>
    <w:pPr>
      <w:numPr>
        <w:numId w:val="29"/>
      </w:numPr>
      <w:tabs>
        <w:tab w:val="left" w:pos="6840"/>
      </w:tabs>
      <w:spacing w:after="240" w:afterAutospacing="0" w:line="280" w:lineRule="exact"/>
      <w:contextualSpacing w:val="0"/>
      <w:jc w:val="left"/>
    </w:pPr>
    <w:rPr>
      <w:rFonts w:ascii="Arial" w:hAnsi="Arial"/>
      <w:snapToGrid w:val="0"/>
      <w:sz w:val="22"/>
      <w:szCs w:val="20"/>
    </w:rPr>
  </w:style>
  <w:style w:type="paragraph" w:styleId="ListBullet">
    <w:name w:val="List Bullet"/>
    <w:basedOn w:val="Normal"/>
    <w:uiPriority w:val="99"/>
    <w:semiHidden/>
    <w:unhideWhenUsed/>
    <w:pPr>
      <w:numPr>
        <w:numId w:val="16"/>
      </w:numPr>
      <w:contextualSpacing/>
    </w:pPr>
  </w:style>
  <w:style w:type="paragraph" w:styleId="BodyText">
    <w:name w:val="Body Text"/>
    <w:basedOn w:val="Normal"/>
    <w:link w:val="BodyTextChar"/>
    <w:uiPriority w:val="1"/>
    <w:qFormat/>
    <w:pPr>
      <w:widowControl w:val="0"/>
      <w:spacing w:after="0" w:afterAutospacing="0"/>
      <w:jc w:val="left"/>
    </w:pPr>
    <w:rPr>
      <w:sz w:val="22"/>
      <w:szCs w:val="22"/>
    </w:rPr>
  </w:style>
  <w:style w:type="character" w:customStyle="1" w:styleId="BodyTextChar">
    <w:name w:val="Body Text Char"/>
    <w:basedOn w:val="DefaultParagraphFont"/>
    <w:link w:val="BodyText"/>
    <w:uiPriority w:val="1"/>
    <w:rPr>
      <w:sz w:val="22"/>
      <w:szCs w:val="22"/>
      <w:lang w:val="bg-BG"/>
    </w:rPr>
  </w:style>
  <w:style w:type="paragraph" w:styleId="Title">
    <w:name w:val="Title"/>
    <w:basedOn w:val="Normal"/>
    <w:next w:val="Normal"/>
    <w:link w:val="TitleChar"/>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qFormat/>
    <w:pPr>
      <w:numPr>
        <w:ilvl w:val="1"/>
      </w:numPr>
    </w:pPr>
    <w:rPr>
      <w:rFonts w:eastAsiaTheme="majorEastAsia" w:cstheme="majorBidi"/>
      <w:iCs/>
      <w:spacing w:val="15"/>
      <w:sz w:val="20"/>
    </w:rPr>
  </w:style>
  <w:style w:type="character" w:customStyle="1" w:styleId="SubtitleChar">
    <w:name w:val="Subtitle Char"/>
    <w:basedOn w:val="DefaultParagraphFont"/>
    <w:link w:val="Subtitle"/>
    <w:rPr>
      <w:rFonts w:eastAsiaTheme="majorEastAsia" w:cstheme="majorBidi"/>
      <w:iCs/>
      <w:spacing w:val="15"/>
      <w:sz w:val="20"/>
    </w:rPr>
  </w:style>
  <w:style w:type="character" w:styleId="Strong">
    <w:name w:val="Strong"/>
    <w:basedOn w:val="DefaultParagraphFont"/>
    <w:uiPriority w:val="22"/>
    <w:qFormat/>
    <w:rPr>
      <w:b/>
      <w:bCs/>
    </w:rPr>
  </w:style>
  <w:style w:type="character" w:styleId="BookTitle">
    <w:name w:val="Book Title"/>
    <w:basedOn w:val="DefaultParagraphFont"/>
    <w:uiPriority w:val="99"/>
    <w:qFormat/>
    <w:rPr>
      <w:rFonts w:ascii="Times New Roman" w:hAnsi="Times New Roman" w:cs="Times New Roman" w:hint="default"/>
      <w:b/>
      <w:bCs/>
      <w:smallCaps/>
      <w:spacing w:val="5"/>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link w:val="PagedecouvertureChar"/>
    <w:pPr>
      <w:spacing w:after="0" w:afterAutospacing="0"/>
    </w:pPr>
    <w:rPr>
      <w:rFonts w:eastAsiaTheme="minorHAnsi"/>
      <w:szCs w:val="22"/>
    </w:rPr>
  </w:style>
  <w:style w:type="paragraph" w:styleId="Header">
    <w:name w:val="header"/>
    <w:basedOn w:val="Normal"/>
    <w:link w:val="HeaderChar"/>
    <w:uiPriority w:val="99"/>
    <w:unhideWhenUsed/>
    <w:pPr>
      <w:tabs>
        <w:tab w:val="center" w:pos="4536"/>
        <w:tab w:val="right" w:pos="9072"/>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FooterCoverPageChar">
    <w:name w:val="Footer Cover Page Char"/>
    <w:basedOn w:val="DefaultParagraphFont"/>
    <w:link w:val="FooterCoverPage"/>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character" w:customStyle="1" w:styleId="FooterSensitivityChar">
    <w:name w:val="Footer Sensitivity Char"/>
    <w:basedOn w:val="DefaultParagraphFont"/>
    <w:link w:val="FooterSensitivity"/>
    <w:rPr>
      <w:b/>
      <w:sz w:val="32"/>
    </w:rPr>
  </w:style>
  <w:style w:type="paragraph" w:customStyle="1" w:styleId="HeaderCoverPage">
    <w:name w:val="Header Cover Page"/>
    <w:basedOn w:val="Normal"/>
    <w:link w:val="HeaderCoverPageChar"/>
    <w:pPr>
      <w:tabs>
        <w:tab w:val="center" w:pos="4535"/>
        <w:tab w:val="right" w:pos="9071"/>
      </w:tabs>
      <w:spacing w:after="120"/>
    </w:pPr>
  </w:style>
  <w:style w:type="character" w:customStyle="1" w:styleId="HeaderCoverPageChar">
    <w:name w:val="Header Cover Page Char"/>
    <w:basedOn w:val="DefaultParagraphFont"/>
    <w:link w:val="HeaderCoverPage"/>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HeaderSensitivityChar">
    <w:name w:val="Header Sensitivity Char"/>
    <w:basedOn w:val="DefaultParagraphFont"/>
    <w:link w:val="HeaderSensitivity"/>
    <w:rPr>
      <w:b/>
      <w:sz w:val="32"/>
    </w:rPr>
  </w:style>
  <w:style w:type="table" w:styleId="TableGrid">
    <w:name w:val="Table Grid"/>
    <w:aliases w:val="Document Table,CV1"/>
    <w:basedOn w:val="TableNormal"/>
    <w:uiPriority w:val="39"/>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Pr>
      <w:color w:val="0000FF"/>
      <w:u w:val="single"/>
    </w:rPr>
  </w:style>
  <w:style w:type="paragraph" w:styleId="BalloonText">
    <w:name w:val="Balloon Text"/>
    <w:basedOn w:val="Normal"/>
    <w:link w:val="BalloonTextChar"/>
    <w:uiPriority w:val="99"/>
    <w:semiHidden/>
    <w:unhideWhenUse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customStyle="1" w:styleId="HeaderSensitivityRight">
    <w:name w:val="Header Sensitivity Right"/>
    <w:basedOn w:val="Normal"/>
    <w:link w:val="HeaderSensitivityRightChar"/>
    <w:pPr>
      <w:spacing w:after="120"/>
      <w:jc w:val="right"/>
    </w:pPr>
    <w:rPr>
      <w:sz w:val="28"/>
    </w:rPr>
  </w:style>
  <w:style w:type="character" w:customStyle="1" w:styleId="PagedecouvertureChar">
    <w:name w:val="Page de couverture Char"/>
    <w:basedOn w:val="DefaultParagraphFont"/>
    <w:link w:val="Pagedecouverture"/>
    <w:rPr>
      <w:rFonts w:eastAsiaTheme="minorHAnsi"/>
      <w:szCs w:val="22"/>
    </w:rPr>
  </w:style>
  <w:style w:type="character" w:customStyle="1" w:styleId="HeaderSensitivityRightChar">
    <w:name w:val="Header Sensitivity Right Char"/>
    <w:basedOn w:val="PagedecouvertureChar"/>
    <w:link w:val="HeaderSensitivityRight"/>
    <w:rPr>
      <w:rFonts w:eastAsiaTheme="minorHAnsi"/>
      <w:sz w:val="28"/>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bg-BG" w:eastAsia="bg-BG" w:bidi="bg-BG"/>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0" w:qFormat="1"/>
    <w:lsdException w:name="footnote reference" w:semiHidden="0" w:unhideWhenUsed="0" w:qFormat="1"/>
    <w:lsdException w:name="Title" w:semiHidden="0" w:uiPriority="0" w:unhideWhenUsed="0" w:qFormat="1"/>
    <w:lsdException w:name="Default Paragraph Font" w:uiPriority="1"/>
    <w:lsdException w:name="Body Text" w:uiPriority="0" w:qFormat="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nhideWhenUsed="0" w:qFormat="1"/>
    <w:lsdException w:name="Bibliography" w:uiPriority="37"/>
    <w:lsdException w:name="TOC Heading" w:uiPriority="0" w:qFormat="1"/>
  </w:latentStyles>
  <w:style w:type="paragraph" w:default="1" w:styleId="Normal">
    <w:name w:val="Normal"/>
    <w:qFormat/>
    <w:pPr>
      <w:spacing w:after="100" w:afterAutospacing="1"/>
      <w:jc w:val="both"/>
    </w:pPr>
  </w:style>
  <w:style w:type="paragraph" w:styleId="Heading1">
    <w:name w:val="heading 1"/>
    <w:aliases w:val=" Char,(Section),MOVE-it 1,Heading 11,Hoofdstuk,Επικεφαλίδα 1 ΌΧΙ,Heading 1 - Main Heading of Document,F3 Heading 1 - Section,Numbered - 1,Section,Chapter Hdg,h1,CH TITLE 1,Chapter Heading,AChapter,Sub code header,Section Heading,Do Not Use,1"/>
    <w:basedOn w:val="Normal"/>
    <w:next w:val="Normal"/>
    <w:link w:val="Heading1Char"/>
    <w:qFormat/>
    <w:pPr>
      <w:keepNext/>
      <w:numPr>
        <w:numId w:val="28"/>
      </w:numPr>
      <w:spacing w:before="360" w:after="180"/>
      <w:outlineLvl w:val="0"/>
    </w:pPr>
    <w:rPr>
      <w:rFonts w:eastAsiaTheme="majorEastAsia" w:cstheme="majorBidi"/>
      <w:b/>
      <w:bCs/>
      <w:kern w:val="32"/>
      <w:sz w:val="32"/>
      <w:szCs w:val="32"/>
    </w:rPr>
  </w:style>
  <w:style w:type="paragraph" w:styleId="Heading2">
    <w:name w:val="heading 2"/>
    <w:aliases w:val="Heading Two,h2,(1.1,1.2,1.3 etc),Prophead 2,2,RFP Heading 2,Activit...,Activity,l2,H2,2/1,Heading 21,Paragraaf,cv titles,(SubSection),F4 Heading 2 - SubSection,(Main Heading),ASection,Heading 2 - Main Heading within Document,Major,Outline2,Par"/>
    <w:basedOn w:val="Normal"/>
    <w:link w:val="Heading2Char"/>
    <w:autoRedefine/>
    <w:qFormat/>
    <w:pPr>
      <w:spacing w:before="240" w:after="240" w:afterAutospacing="0"/>
      <w:outlineLvl w:val="1"/>
    </w:pPr>
  </w:style>
  <w:style w:type="paragraph" w:styleId="Heading3">
    <w:name w:val="heading 3"/>
    <w:aliases w:val="H3,Prophead 3,h3,HHHeading,Heading 31,Heading 32,Heading 33,Heading...,Subparagraaf,Heading 3 - Bold heading for document - will appear in index,Outline3,F5 Heading 3,Numbered - 3,Heading level 3,l3,CT,h3 sub heading,Head 3,3m,H31,(Alt+3),1.2."/>
    <w:basedOn w:val="Normal"/>
    <w:next w:val="Normal"/>
    <w:link w:val="Heading3Char"/>
    <w:unhideWhenUsed/>
    <w:qFormat/>
    <w:pPr>
      <w:keepNext/>
      <w:numPr>
        <w:ilvl w:val="2"/>
        <w:numId w:val="28"/>
      </w:numPr>
      <w:spacing w:before="240" w:after="480"/>
      <w:outlineLvl w:val="2"/>
    </w:pPr>
    <w:rPr>
      <w:b/>
      <w:bCs/>
    </w:rPr>
  </w:style>
  <w:style w:type="paragraph" w:styleId="Heading4">
    <w:name w:val="heading 4"/>
    <w:aliases w:val="ALK_K4,NEA4,Kopje,Tussenkop,NEAbijlage,12u,ADVICE 4,Kop 4 Char,12u Char,ADVICE 4 Char,H4,h4,Kop 4 Char1,NEA4 Char1,12u Char1,ADVICE 4 Char1,Kop 4 Char Char,NEAbijlage Char Char,12u Char Char"/>
    <w:basedOn w:val="Normal"/>
    <w:next w:val="Normal"/>
    <w:link w:val="Heading4Char"/>
    <w:qFormat/>
    <w:pPr>
      <w:keepNext/>
      <w:numPr>
        <w:ilvl w:val="3"/>
        <w:numId w:val="28"/>
      </w:numPr>
      <w:spacing w:before="120" w:after="120"/>
      <w:outlineLvl w:val="3"/>
    </w:pPr>
    <w:rPr>
      <w:b/>
      <w:bCs/>
      <w:szCs w:val="28"/>
    </w:rPr>
  </w:style>
  <w:style w:type="paragraph" w:styleId="Heading5">
    <w:name w:val="heading 5"/>
    <w:basedOn w:val="Normal"/>
    <w:next w:val="Normal"/>
    <w:link w:val="Heading5Char"/>
    <w:unhideWhenUsed/>
    <w:qFormat/>
    <w:pPr>
      <w:keepNext/>
      <w:keepLines/>
      <w:numPr>
        <w:ilvl w:val="4"/>
        <w:numId w:val="28"/>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pPr>
      <w:keepNext/>
      <w:keepLines/>
      <w:numPr>
        <w:ilvl w:val="5"/>
        <w:numId w:val="28"/>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qFormat/>
    <w:pPr>
      <w:numPr>
        <w:ilvl w:val="6"/>
        <w:numId w:val="28"/>
      </w:numPr>
      <w:spacing w:before="240" w:after="60" w:afterAutospacing="0"/>
      <w:outlineLvl w:val="6"/>
    </w:pPr>
    <w:rPr>
      <w:rFonts w:ascii="Arial" w:hAnsi="Arial"/>
      <w:sz w:val="20"/>
      <w:szCs w:val="20"/>
    </w:rPr>
  </w:style>
  <w:style w:type="paragraph" w:styleId="Heading8">
    <w:name w:val="heading 8"/>
    <w:basedOn w:val="Normal"/>
    <w:next w:val="Normal"/>
    <w:link w:val="Heading8Char"/>
    <w:qFormat/>
    <w:pPr>
      <w:numPr>
        <w:ilvl w:val="7"/>
        <w:numId w:val="28"/>
      </w:numPr>
      <w:spacing w:before="240" w:after="60" w:afterAutospacing="0"/>
      <w:outlineLvl w:val="7"/>
    </w:pPr>
    <w:rPr>
      <w:rFonts w:ascii="Arial" w:hAnsi="Arial"/>
      <w:i/>
      <w:sz w:val="20"/>
      <w:szCs w:val="20"/>
    </w:rPr>
  </w:style>
  <w:style w:type="paragraph" w:styleId="Heading9">
    <w:name w:val="heading 9"/>
    <w:basedOn w:val="Normal"/>
    <w:next w:val="Normal"/>
    <w:link w:val="Heading9Char"/>
    <w:qFormat/>
    <w:pPr>
      <w:numPr>
        <w:ilvl w:val="8"/>
        <w:numId w:val="28"/>
      </w:numPr>
      <w:spacing w:before="240" w:after="60" w:afterAutospacing="0"/>
      <w:outlineLvl w:val="8"/>
    </w:pPr>
    <w:rPr>
      <w:rFonts w:ascii="Arial" w:hAnsi="Arial" w:cs="Arial"/>
      <w:i/>
      <w:sz w:val="18"/>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IIIA">
    <w:name w:val="Heading II IA"/>
    <w:basedOn w:val="Normal"/>
    <w:link w:val="HeadingIIIAChar"/>
    <w:autoRedefine/>
    <w:pPr>
      <w:autoSpaceDE w:val="0"/>
      <w:autoSpaceDN w:val="0"/>
      <w:adjustRightInd w:val="0"/>
      <w:spacing w:before="120" w:after="120"/>
      <w:ind w:left="720" w:hanging="360"/>
    </w:pPr>
    <w:rPr>
      <w:b/>
      <w:bCs/>
      <w:color w:val="000000"/>
    </w:rPr>
  </w:style>
  <w:style w:type="character" w:customStyle="1" w:styleId="HeadingIIIAChar">
    <w:name w:val="Heading II IA Char"/>
    <w:basedOn w:val="DefaultParagraphFont"/>
    <w:link w:val="HeadingIIIA"/>
    <w:rPr>
      <w:b/>
      <w:bCs/>
      <w:color w:val="000000"/>
    </w:rPr>
  </w:style>
  <w:style w:type="paragraph" w:customStyle="1" w:styleId="Style1">
    <w:name w:val="Style1"/>
    <w:basedOn w:val="Heading1"/>
    <w:link w:val="Style1Char"/>
    <w:pPr>
      <w:numPr>
        <w:numId w:val="0"/>
      </w:numPr>
      <w:autoSpaceDE w:val="0"/>
      <w:autoSpaceDN w:val="0"/>
      <w:adjustRightInd w:val="0"/>
      <w:spacing w:before="120" w:after="120"/>
      <w:ind w:left="1080" w:hanging="360"/>
    </w:pPr>
    <w:rPr>
      <w:rFonts w:ascii="Cambria" w:eastAsia="Times New Roman" w:hAnsi="Cambria" w:cs="Times New Roman"/>
      <w:b w:val="0"/>
      <w:bCs w:val="0"/>
      <w:sz w:val="28"/>
      <w:szCs w:val="23"/>
    </w:rPr>
  </w:style>
  <w:style w:type="character" w:customStyle="1" w:styleId="Style1Char">
    <w:name w:val="Style1 Char"/>
    <w:basedOn w:val="ListParagraphChar"/>
    <w:link w:val="Style1"/>
    <w:rPr>
      <w:rFonts w:ascii="Cambria" w:hAnsi="Cambria"/>
      <w:color w:val="000000"/>
      <w:kern w:val="32"/>
      <w:sz w:val="28"/>
      <w:szCs w:val="23"/>
      <w:lang w:eastAsia="bg-BG"/>
    </w:rPr>
  </w:style>
  <w:style w:type="character" w:customStyle="1" w:styleId="Heading1Char">
    <w:name w:val="Heading 1 Char"/>
    <w:aliases w:val=" Char Char,(Section) Char,MOVE-it 1 Char,Heading 11 Char,Hoofdstuk Char,Επικεφαλίδα 1 ΌΧΙ Char,Heading 1 - Main Heading of Document Char,F3 Heading 1 - Section Char,Numbered - 1 Char,Section Char,Chapter Hdg Char,h1 Char,CH TITLE 1 Char"/>
    <w:link w:val="Heading1"/>
    <w:rPr>
      <w:rFonts w:eastAsiaTheme="majorEastAsia" w:cstheme="majorBidi"/>
      <w:b/>
      <w:bCs/>
      <w:kern w:val="32"/>
      <w:sz w:val="32"/>
      <w:szCs w:val="32"/>
    </w:rPr>
  </w:style>
  <w:style w:type="character" w:customStyle="1" w:styleId="Heading2Char">
    <w:name w:val="Heading 2 Char"/>
    <w:aliases w:val="Heading Two Char,h2 Char,(1.1 Char,1.2 Char,1.3 etc) Char,Prophead 2 Char,2 Char,RFP Heading 2 Char,Activit... Char,Activity Char,l2 Char,H2 Char,2/1 Char,Heading 21 Char,Paragraaf Char,cv titles Char,(SubSection) Char,(Main Heading) Char"/>
    <w:link w:val="Heading2"/>
    <w:rPr>
      <w:lang w:val="bg-BG"/>
    </w:rPr>
  </w:style>
  <w:style w:type="character" w:customStyle="1" w:styleId="Heading3Char">
    <w:name w:val="Heading 3 Char"/>
    <w:aliases w:val="H3 Char,Prophead 3 Char,h3 Char,HHHeading Char,Heading 31 Char,Heading 32 Char,Heading 33 Char,Heading... Char,Subparagraaf Char,Heading 3 - Bold heading for document - will appear in index Char,Outline3 Char,F5 Heading 3 Char,l3 Char"/>
    <w:link w:val="Heading3"/>
    <w:rPr>
      <w:b/>
      <w:bCs/>
    </w:rPr>
  </w:style>
  <w:style w:type="character" w:customStyle="1" w:styleId="Heading4Char">
    <w:name w:val="Heading 4 Char"/>
    <w:aliases w:val="ALK_K4 Char,NEA4 Char,Kopje Char,Tussenkop Char,NEAbijlage Char,12u Char2,ADVICE 4 Char2,Kop 4 Char Char1,12u Char Char1,ADVICE 4 Char Char,H4 Char,h4 Char,Kop 4 Char1 Char,NEA4 Char1 Char,12u Char1 Char,ADVICE 4 Char1 Char"/>
    <w:link w:val="Heading4"/>
    <w:rPr>
      <w:b/>
      <w:bCs/>
      <w:szCs w:val="28"/>
    </w:rPr>
  </w:style>
  <w:style w:type="character" w:customStyle="1" w:styleId="Heading5Char">
    <w:name w:val="Heading 5 Char"/>
    <w:basedOn w:val="DefaultParagraphFont"/>
    <w:link w:val="Heading5"/>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rPr>
      <w:rFonts w:ascii="Arial" w:hAnsi="Arial"/>
      <w:sz w:val="20"/>
      <w:szCs w:val="20"/>
    </w:rPr>
  </w:style>
  <w:style w:type="character" w:customStyle="1" w:styleId="Heading8Char">
    <w:name w:val="Heading 8 Char"/>
    <w:basedOn w:val="DefaultParagraphFont"/>
    <w:link w:val="Heading8"/>
    <w:rPr>
      <w:rFonts w:ascii="Arial" w:hAnsi="Arial"/>
      <w:i/>
      <w:sz w:val="20"/>
      <w:szCs w:val="20"/>
    </w:rPr>
  </w:style>
  <w:style w:type="character" w:customStyle="1" w:styleId="Heading9Char">
    <w:name w:val="Heading 9 Char"/>
    <w:basedOn w:val="DefaultParagraphFont"/>
    <w:link w:val="Heading9"/>
    <w:rPr>
      <w:rFonts w:ascii="Arial" w:hAnsi="Arial" w:cs="Arial"/>
      <w:i/>
      <w:sz w:val="18"/>
      <w:szCs w:val="20"/>
    </w:rPr>
  </w:style>
  <w:style w:type="paragraph" w:styleId="TOC1">
    <w:name w:val="toc 1"/>
    <w:basedOn w:val="Normal"/>
    <w:next w:val="Normal"/>
    <w:autoRedefine/>
    <w:uiPriority w:val="39"/>
    <w:unhideWhenUsed/>
    <w:pPr>
      <w:tabs>
        <w:tab w:val="left" w:pos="440"/>
        <w:tab w:val="right" w:leader="dot" w:pos="9062"/>
      </w:tabs>
    </w:pPr>
    <w:rPr>
      <w:noProof/>
      <w:sz w:val="32"/>
      <w:szCs w:val="32"/>
    </w:rPr>
  </w:style>
  <w:style w:type="paragraph" w:styleId="TOC2">
    <w:name w:val="toc 2"/>
    <w:basedOn w:val="Normal"/>
    <w:next w:val="Normal"/>
    <w:autoRedefine/>
    <w:uiPriority w:val="39"/>
    <w:unhideWhenUsed/>
    <w:pPr>
      <w:ind w:left="220"/>
    </w:pPr>
  </w:style>
  <w:style w:type="paragraph" w:styleId="TOC3">
    <w:name w:val="toc 3"/>
    <w:basedOn w:val="Normal"/>
    <w:next w:val="Normal"/>
    <w:autoRedefine/>
    <w:uiPriority w:val="39"/>
    <w:unhideWhenUsed/>
    <w:pPr>
      <w:ind w:left="440"/>
    </w:pPr>
  </w:style>
  <w:style w:type="paragraph" w:styleId="FootnoteText">
    <w:name w:val="footnote text"/>
    <w:aliases w:val="-E Fußnotentext,Fußnotentext Ursprung,-E Fußnotentext1,-E Fußnotentext2,-E Fußnotentext3,Schriftart: 9 pt,Schriftart: 10 pt,Schriftart: 8 pt,WB-Fußnotentext,fn,Footnotes,Footnote ak,Char,Fußnote,Carattere,Footnote Text Char1,fn Char Char,f"/>
    <w:basedOn w:val="Normal"/>
    <w:link w:val="FootnoteTextChar"/>
    <w:uiPriority w:val="99"/>
    <w:qFormat/>
    <w:pPr>
      <w:spacing w:after="0" w:afterAutospacing="0"/>
    </w:pPr>
    <w:rPr>
      <w:sz w:val="20"/>
      <w:szCs w:val="20"/>
    </w:rPr>
  </w:style>
  <w:style w:type="character" w:customStyle="1" w:styleId="FootnoteTextChar">
    <w:name w:val="Footnote Text Char"/>
    <w:aliases w:val="-E Fußnotentext Char,Fußnotentext Ursprung Char,-E Fußnotentext1 Char,-E Fußnotentext2 Char,-E Fußnotentext3 Char,Schriftart: 9 pt Char,Schriftart: 10 pt Char,Schriftart: 8 pt Char,WB-Fußnotentext Char,fn Char,Footnotes Char,Char Char"/>
    <w:basedOn w:val="DefaultParagraphFont"/>
    <w:link w:val="FootnoteText"/>
    <w:uiPriority w:val="99"/>
    <w:rPr>
      <w:sz w:val="20"/>
      <w:szCs w:val="20"/>
    </w:rPr>
  </w:style>
  <w:style w:type="paragraph" w:styleId="Caption">
    <w:name w:val="caption"/>
    <w:aliases w:val="caption for tables,figures,Beschriftung Char1 Cha...,Beschriftung Char2,Beschriftung Char1 Char1,Beschriftung Char Char Char1,Beschriftung Char1 Char Char,Beschriftung Char Char Char Char,Beschriftung Char Char1 Char,Tasks"/>
    <w:basedOn w:val="Normal"/>
    <w:next w:val="Normal"/>
    <w:link w:val="CaptionChar"/>
    <w:unhideWhenUsed/>
    <w:qFormat/>
    <w:rPr>
      <w:b/>
      <w:bCs/>
      <w:sz w:val="20"/>
      <w:szCs w:val="20"/>
    </w:rPr>
  </w:style>
  <w:style w:type="character" w:customStyle="1" w:styleId="CaptionChar">
    <w:name w:val="Caption Char"/>
    <w:aliases w:val="caption for tables Char,figures Char,Beschriftung Char1 Cha... Char,Beschriftung Char2 Char,Beschriftung Char1 Char1 Char,Beschriftung Char Char Char1 Char,Beschriftung Char1 Char Char Char,Beschriftung Char Char Char Char Char,Tasks Char"/>
    <w:link w:val="Caption"/>
    <w:uiPriority w:val="99"/>
    <w:locked/>
    <w:rPr>
      <w:b/>
      <w:bCs/>
      <w:sz w:val="20"/>
      <w:szCs w:val="20"/>
    </w:rPr>
  </w:style>
  <w:style w:type="character" w:styleId="FootnoteReference">
    <w:name w:val="footnote reference"/>
    <w:aliases w:val="SUPERS,Footnote symbol,Footnote,Voetnootverwijzing,Footnote number,fr,o,Footnotemark,FR,Footnotemark1,Footnotemark2,FR1,Footnotemark3,FR2,Footnotemark4,FR3,Footnotemark5,FR4,Footnotemark6,Footnotemark7,Footnotemark8,FR5,Footnotemark11"/>
    <w:uiPriority w:val="99"/>
    <w:qFormat/>
    <w:rPr>
      <w:vertAlign w:val="superscript"/>
    </w:rPr>
  </w:style>
  <w:style w:type="character" w:styleId="Emphasis">
    <w:name w:val="Emphasis"/>
    <w:qFormat/>
    <w:rPr>
      <w:i/>
      <w:iCs/>
    </w:rPr>
  </w:style>
  <w:style w:type="paragraph" w:styleId="ListParagraph">
    <w:name w:val="List Paragraph"/>
    <w:aliases w:val="Numbered Para 1,Dot pt,No Spacing1,List Paragraph Char Char Char,Indicator Text,List Paragraph1,Bullet Points,MAIN CONTENT,List Paragraph12,F5 List Paragraph,Heading 2_sj,Report Para,WinDForce-Letter,List Paragraph (numbered (a),LISTA"/>
    <w:basedOn w:val="Normal"/>
    <w:link w:val="ListParagraphChar"/>
    <w:uiPriority w:val="34"/>
    <w:qFormat/>
    <w:pPr>
      <w:ind w:left="720"/>
      <w:contextualSpacing/>
    </w:pPr>
  </w:style>
  <w:style w:type="character" w:customStyle="1" w:styleId="ListParagraphChar">
    <w:name w:val="List Paragraph Char"/>
    <w:aliases w:val="Numbered Para 1 Char,Dot pt Char,No Spacing1 Char,List Paragraph Char Char Char Char,Indicator Text Char,List Paragraph1 Char,Bullet Points Char,MAIN CONTENT Char,List Paragraph12 Char,F5 List Paragraph Char,Heading 2_sj Char"/>
    <w:link w:val="ListParagraph"/>
    <w:uiPriority w:val="34"/>
    <w:qFormat/>
    <w:locked/>
  </w:style>
  <w:style w:type="paragraph" w:styleId="TOCHeading">
    <w:name w:val="TOC Heading"/>
    <w:basedOn w:val="Heading1"/>
    <w:next w:val="Normal"/>
    <w:unhideWhenUsed/>
    <w:qFormat/>
    <w:pPr>
      <w:keepLines/>
      <w:numPr>
        <w:numId w:val="0"/>
      </w:numPr>
      <w:spacing w:before="480" w:after="0" w:line="276" w:lineRule="auto"/>
      <w:outlineLvl w:val="9"/>
    </w:pPr>
    <w:rPr>
      <w:rFonts w:eastAsia="MS Gothic" w:cs="Times New Roman"/>
      <w:color w:val="365F91"/>
      <w:kern w:val="0"/>
      <w:sz w:val="28"/>
      <w:szCs w:val="28"/>
    </w:rPr>
  </w:style>
  <w:style w:type="paragraph" w:customStyle="1" w:styleId="Style3heading3">
    <w:name w:val="Style3_heading 3"/>
    <w:basedOn w:val="Heading3"/>
    <w:link w:val="Style3heading3Char"/>
    <w:qFormat/>
    <w:pPr>
      <w:numPr>
        <w:ilvl w:val="0"/>
        <w:numId w:val="0"/>
      </w:numPr>
      <w:spacing w:afterAutospacing="0"/>
      <w:ind w:left="720" w:hanging="720"/>
      <w:jc w:val="left"/>
    </w:pPr>
    <w:rPr>
      <w:b w:val="0"/>
      <w:i/>
    </w:rPr>
  </w:style>
  <w:style w:type="character" w:customStyle="1" w:styleId="Style3heading3Char">
    <w:name w:val="Style3_heading 3 Char"/>
    <w:basedOn w:val="DefaultParagraphFont"/>
    <w:link w:val="Style3heading3"/>
    <w:locked/>
    <w:rPr>
      <w:bCs/>
      <w:i/>
    </w:rPr>
  </w:style>
  <w:style w:type="paragraph" w:customStyle="1" w:styleId="Style2Heading2">
    <w:name w:val="Style2_Heading 2"/>
    <w:basedOn w:val="Heading3"/>
    <w:link w:val="Style2Heading2Char"/>
    <w:qFormat/>
    <w:pPr>
      <w:numPr>
        <w:ilvl w:val="0"/>
        <w:numId w:val="0"/>
      </w:numPr>
      <w:spacing w:afterAutospacing="0"/>
      <w:ind w:left="720" w:hanging="720"/>
      <w:jc w:val="left"/>
    </w:pPr>
  </w:style>
  <w:style w:type="character" w:customStyle="1" w:styleId="Style2Heading2Char">
    <w:name w:val="Style2_Heading 2 Char"/>
    <w:basedOn w:val="Heading3Char"/>
    <w:link w:val="Style2Heading2"/>
    <w:rPr>
      <w:b/>
      <w:bCs/>
    </w:rPr>
  </w:style>
  <w:style w:type="paragraph" w:customStyle="1" w:styleId="Releasable">
    <w:name w:val="Releasable"/>
    <w:basedOn w:val="Normal"/>
    <w:qFormat/>
    <w:pPr>
      <w:spacing w:after="0" w:afterAutospacing="0"/>
      <w:jc w:val="center"/>
    </w:pPr>
    <w:rPr>
      <w:b/>
      <w:caps/>
      <w:sz w:val="32"/>
      <w:szCs w:val="20"/>
    </w:rPr>
  </w:style>
  <w:style w:type="paragraph" w:customStyle="1" w:styleId="Normaldense">
    <w:name w:val="Normal dense"/>
    <w:basedOn w:val="Normal"/>
    <w:link w:val="NormaldenseChar"/>
    <w:qFormat/>
    <w:pPr>
      <w:spacing w:after="180" w:afterAutospacing="0"/>
    </w:pPr>
    <w:rPr>
      <w:rFonts w:asciiTheme="minorHAnsi" w:eastAsiaTheme="minorHAnsi" w:hAnsiTheme="minorHAnsi" w:cstheme="minorBidi"/>
      <w:sz w:val="20"/>
      <w:szCs w:val="20"/>
    </w:rPr>
  </w:style>
  <w:style w:type="character" w:customStyle="1" w:styleId="NormaldenseChar">
    <w:name w:val="Normal dense Char"/>
    <w:basedOn w:val="DefaultParagraphFont"/>
    <w:link w:val="Normaldense"/>
    <w:rPr>
      <w:rFonts w:asciiTheme="minorHAnsi" w:eastAsiaTheme="minorHAnsi" w:hAnsiTheme="minorHAnsi" w:cstheme="minorBidi"/>
      <w:sz w:val="20"/>
      <w:szCs w:val="20"/>
      <w:lang w:eastAsia="bg-BG"/>
    </w:rPr>
  </w:style>
  <w:style w:type="paragraph" w:customStyle="1" w:styleId="ListBulletlast">
    <w:name w:val="List Bullet last"/>
    <w:basedOn w:val="ListBullet"/>
    <w:next w:val="BodyText"/>
    <w:qFormat/>
    <w:pPr>
      <w:numPr>
        <w:numId w:val="29"/>
      </w:numPr>
      <w:tabs>
        <w:tab w:val="left" w:pos="6840"/>
      </w:tabs>
      <w:spacing w:after="240" w:afterAutospacing="0" w:line="280" w:lineRule="exact"/>
      <w:contextualSpacing w:val="0"/>
      <w:jc w:val="left"/>
    </w:pPr>
    <w:rPr>
      <w:rFonts w:ascii="Arial" w:hAnsi="Arial"/>
      <w:snapToGrid w:val="0"/>
      <w:sz w:val="22"/>
      <w:szCs w:val="20"/>
    </w:rPr>
  </w:style>
  <w:style w:type="paragraph" w:styleId="ListBullet">
    <w:name w:val="List Bullet"/>
    <w:basedOn w:val="Normal"/>
    <w:uiPriority w:val="99"/>
    <w:semiHidden/>
    <w:unhideWhenUsed/>
    <w:pPr>
      <w:numPr>
        <w:numId w:val="16"/>
      </w:numPr>
      <w:contextualSpacing/>
    </w:pPr>
  </w:style>
  <w:style w:type="paragraph" w:styleId="BodyText">
    <w:name w:val="Body Text"/>
    <w:basedOn w:val="Normal"/>
    <w:link w:val="BodyTextChar"/>
    <w:uiPriority w:val="1"/>
    <w:qFormat/>
    <w:pPr>
      <w:widowControl w:val="0"/>
      <w:spacing w:after="0" w:afterAutospacing="0"/>
      <w:jc w:val="left"/>
    </w:pPr>
    <w:rPr>
      <w:sz w:val="22"/>
      <w:szCs w:val="22"/>
    </w:rPr>
  </w:style>
  <w:style w:type="character" w:customStyle="1" w:styleId="BodyTextChar">
    <w:name w:val="Body Text Char"/>
    <w:basedOn w:val="DefaultParagraphFont"/>
    <w:link w:val="BodyText"/>
    <w:uiPriority w:val="1"/>
    <w:rPr>
      <w:sz w:val="22"/>
      <w:szCs w:val="22"/>
      <w:lang w:val="bg-BG"/>
    </w:rPr>
  </w:style>
  <w:style w:type="paragraph" w:styleId="Title">
    <w:name w:val="Title"/>
    <w:basedOn w:val="Normal"/>
    <w:next w:val="Normal"/>
    <w:link w:val="TitleChar"/>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qFormat/>
    <w:pPr>
      <w:numPr>
        <w:ilvl w:val="1"/>
      </w:numPr>
    </w:pPr>
    <w:rPr>
      <w:rFonts w:eastAsiaTheme="majorEastAsia" w:cstheme="majorBidi"/>
      <w:iCs/>
      <w:spacing w:val="15"/>
      <w:sz w:val="20"/>
    </w:rPr>
  </w:style>
  <w:style w:type="character" w:customStyle="1" w:styleId="SubtitleChar">
    <w:name w:val="Subtitle Char"/>
    <w:basedOn w:val="DefaultParagraphFont"/>
    <w:link w:val="Subtitle"/>
    <w:rPr>
      <w:rFonts w:eastAsiaTheme="majorEastAsia" w:cstheme="majorBidi"/>
      <w:iCs/>
      <w:spacing w:val="15"/>
      <w:sz w:val="20"/>
    </w:rPr>
  </w:style>
  <w:style w:type="character" w:styleId="Strong">
    <w:name w:val="Strong"/>
    <w:basedOn w:val="DefaultParagraphFont"/>
    <w:uiPriority w:val="22"/>
    <w:qFormat/>
    <w:rPr>
      <w:b/>
      <w:bCs/>
    </w:rPr>
  </w:style>
  <w:style w:type="character" w:styleId="BookTitle">
    <w:name w:val="Book Title"/>
    <w:basedOn w:val="DefaultParagraphFont"/>
    <w:uiPriority w:val="99"/>
    <w:qFormat/>
    <w:rPr>
      <w:rFonts w:ascii="Times New Roman" w:hAnsi="Times New Roman" w:cs="Times New Roman" w:hint="default"/>
      <w:b/>
      <w:bCs/>
      <w:smallCaps/>
      <w:spacing w:val="5"/>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link w:val="PagedecouvertureChar"/>
    <w:pPr>
      <w:spacing w:after="0" w:afterAutospacing="0"/>
    </w:pPr>
    <w:rPr>
      <w:rFonts w:eastAsiaTheme="minorHAnsi"/>
      <w:szCs w:val="22"/>
    </w:rPr>
  </w:style>
  <w:style w:type="paragraph" w:styleId="Header">
    <w:name w:val="header"/>
    <w:basedOn w:val="Normal"/>
    <w:link w:val="HeaderChar"/>
    <w:uiPriority w:val="99"/>
    <w:unhideWhenUsed/>
    <w:pPr>
      <w:tabs>
        <w:tab w:val="center" w:pos="4536"/>
        <w:tab w:val="right" w:pos="9072"/>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FooterCoverPageChar">
    <w:name w:val="Footer Cover Page Char"/>
    <w:basedOn w:val="DefaultParagraphFont"/>
    <w:link w:val="FooterCoverPage"/>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character" w:customStyle="1" w:styleId="FooterSensitivityChar">
    <w:name w:val="Footer Sensitivity Char"/>
    <w:basedOn w:val="DefaultParagraphFont"/>
    <w:link w:val="FooterSensitivity"/>
    <w:rPr>
      <w:b/>
      <w:sz w:val="32"/>
    </w:rPr>
  </w:style>
  <w:style w:type="paragraph" w:customStyle="1" w:styleId="HeaderCoverPage">
    <w:name w:val="Header Cover Page"/>
    <w:basedOn w:val="Normal"/>
    <w:link w:val="HeaderCoverPageChar"/>
    <w:pPr>
      <w:tabs>
        <w:tab w:val="center" w:pos="4535"/>
        <w:tab w:val="right" w:pos="9071"/>
      </w:tabs>
      <w:spacing w:after="120"/>
    </w:pPr>
  </w:style>
  <w:style w:type="character" w:customStyle="1" w:styleId="HeaderCoverPageChar">
    <w:name w:val="Header Cover Page Char"/>
    <w:basedOn w:val="DefaultParagraphFont"/>
    <w:link w:val="HeaderCoverPage"/>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HeaderSensitivityChar">
    <w:name w:val="Header Sensitivity Char"/>
    <w:basedOn w:val="DefaultParagraphFont"/>
    <w:link w:val="HeaderSensitivity"/>
    <w:rPr>
      <w:b/>
      <w:sz w:val="32"/>
    </w:rPr>
  </w:style>
  <w:style w:type="table" w:styleId="TableGrid">
    <w:name w:val="Table Grid"/>
    <w:aliases w:val="Document Table,CV1"/>
    <w:basedOn w:val="TableNormal"/>
    <w:uiPriority w:val="39"/>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Pr>
      <w:color w:val="0000FF"/>
      <w:u w:val="single"/>
    </w:rPr>
  </w:style>
  <w:style w:type="paragraph" w:styleId="BalloonText">
    <w:name w:val="Balloon Text"/>
    <w:basedOn w:val="Normal"/>
    <w:link w:val="BalloonTextChar"/>
    <w:uiPriority w:val="99"/>
    <w:semiHidden/>
    <w:unhideWhenUse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customStyle="1" w:styleId="HeaderSensitivityRight">
    <w:name w:val="Header Sensitivity Right"/>
    <w:basedOn w:val="Normal"/>
    <w:link w:val="HeaderSensitivityRightChar"/>
    <w:pPr>
      <w:spacing w:after="120"/>
      <w:jc w:val="right"/>
    </w:pPr>
    <w:rPr>
      <w:sz w:val="28"/>
    </w:rPr>
  </w:style>
  <w:style w:type="character" w:customStyle="1" w:styleId="PagedecouvertureChar">
    <w:name w:val="Page de couverture Char"/>
    <w:basedOn w:val="DefaultParagraphFont"/>
    <w:link w:val="Pagedecouverture"/>
    <w:rPr>
      <w:rFonts w:eastAsiaTheme="minorHAnsi"/>
      <w:szCs w:val="22"/>
    </w:rPr>
  </w:style>
  <w:style w:type="character" w:customStyle="1" w:styleId="HeaderSensitivityRightChar">
    <w:name w:val="Header Sensitivity Right Char"/>
    <w:basedOn w:val="PagedecouvertureChar"/>
    <w:link w:val="HeaderSensitivityRight"/>
    <w:rPr>
      <w:rFonts w:eastAsiaTheme="minorHAnsi"/>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eur-lex.europa.eu/legal-content/EN/TXT/?qid=1523268170086&amp;uri=CELEX:32012R0874" TargetMode="External"/><Relationship Id="rId1" Type="http://schemas.openxmlformats.org/officeDocument/2006/relationships/hyperlink" Target="http://eur-lex.europa.eu/legal-content/EN/TXT/?qid=1523268097398&amp;uri=CELEX:32012R11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129A8A-3979-44F3-BA55-9B3F97B82A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6</Pages>
  <Words>1156</Words>
  <Characters>7113</Characters>
  <Application>Microsoft Office Word</Application>
  <DocSecurity>0</DocSecurity>
  <Lines>120</Lines>
  <Paragraphs>62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23</cp:revision>
  <cp:lastPrinted>2018-07-02T09:04:00Z</cp:lastPrinted>
  <dcterms:created xsi:type="dcterms:W3CDTF">2018-11-29T08:26:00Z</dcterms:created>
  <dcterms:modified xsi:type="dcterms:W3CDTF">2019-09-20T14:17:00Z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Last edited using">
    <vt:lpwstr>LW 6.0.1, Build 20180503</vt:lpwstr>
  </property>
  <property fmtid="{D5CDD505-2E9C-101B-9397-08002B2CF9AE}" pid="7" name="Created using">
    <vt:lpwstr>LW 6.0.1, Build 20180503</vt:lpwstr>
  </property>
  <property name="OP_sanitized" fmtid="{D5CDD505-2E9C-101B-9397-08002B2CF9AE}" pid="8">
    <vt:lpwstr>True</vt:lpwstr>
  </property>
</Properties>
</file>