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8A" w:rsidRPr="00664AC3" w:rsidRDefault="00664AC3" w:rsidP="00664AC3">
      <w:pPr>
        <w:pStyle w:val="Pagedecouverture"/>
        <w:rPr>
          <w:noProof/>
          <w:szCs w:val="24"/>
        </w:rPr>
      </w:pPr>
      <w:bookmarkStart w:id="0" w:name="LW_BM_COVERPAGE"/>
      <w:bookmarkStart w:id="1" w:name="_GoBack"/>
      <w:bookmarkEnd w:id="1"/>
      <w:r w:rsidRPr="00664AC3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E790350-8C40-45DD-9424-A321D859137F" style="width:451pt;height:348pt">
            <v:imagedata r:id="rId8" o:title=""/>
          </v:shape>
        </w:pict>
      </w:r>
    </w:p>
    <w:bookmarkEnd w:id="0"/>
    <w:p w:rsidR="00BF428A" w:rsidRPr="00664AC3" w:rsidRDefault="00BF428A" w:rsidP="00664AC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GB"/>
        </w:rPr>
        <w:sectPr w:rsidR="00BF428A" w:rsidRPr="00664A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BF428A" w:rsidRPr="00664AC3" w:rsidRDefault="00664AC3" w:rsidP="00664AC3">
      <w:pPr>
        <w:pStyle w:val="Body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Sdělení Komise </w:t>
      </w:r>
    </w:p>
    <w:p w:rsidR="00BF428A" w:rsidRPr="00664AC3" w:rsidRDefault="00664AC3" w:rsidP="00664AC3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Podpora západního Balkánu v boji s pandemií COVID-19 a při obnově po ní </w:t>
      </w:r>
    </w:p>
    <w:p w:rsidR="00BF428A" w:rsidRPr="00664AC3" w:rsidRDefault="00BF428A" w:rsidP="00664AC3">
      <w:pPr>
        <w:pStyle w:val="Body"/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BF428A" w:rsidRPr="00664AC3" w:rsidRDefault="00664AC3" w:rsidP="00664AC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Úvod </w:t>
      </w: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Západní Balkán je nedílnou součástí Evropy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geostrategickou prioritou pro Evropskou unii. Evropská perspektiva celého regionu byla opět potvrzena v březnu 2020, když členské státy schválily návrhy Komise na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posílenou metodiku</w:t>
      </w:r>
      <w:r w:rsidRPr="00664AC3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/>
        </w:rPr>
        <w:footnoteReference w:id="2"/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pro proces přistoupení a rozhodly se zahájit jednání o přistoupení s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Albánskou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republikou a Republikou Severní Makedonie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Je velmi důležité, aby Evropská unie i nadále podporovala stabilitu a prosperitu regionu a vycházela z našich společných strategických zájmů. 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>I přes rázná opatření, která přijaly samy partnerské země zá</w:t>
      </w:r>
      <w:r w:rsidRPr="00664AC3">
        <w:rPr>
          <w:rFonts w:ascii="Times New Roman" w:hAnsi="Times New Roman"/>
          <w:noProof/>
          <w:sz w:val="24"/>
          <w:szCs w:val="24"/>
        </w:rPr>
        <w:t xml:space="preserve">padního Balkánu,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pandemie COVID-19</w:t>
      </w:r>
      <w:r w:rsidRPr="00664AC3">
        <w:rPr>
          <w:rFonts w:ascii="Times New Roman" w:hAnsi="Times New Roman"/>
          <w:noProof/>
          <w:sz w:val="24"/>
          <w:szCs w:val="24"/>
        </w:rPr>
        <w:t xml:space="preserve"> má kromě svého bezprostředního lidského dopadu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rušivý vliv na ekonomiky regionu a na životy lidí</w:t>
      </w:r>
      <w:r w:rsidRPr="00664AC3">
        <w:rPr>
          <w:rFonts w:ascii="Times New Roman" w:hAnsi="Times New Roman"/>
          <w:noProof/>
          <w:sz w:val="24"/>
          <w:szCs w:val="24"/>
        </w:rPr>
        <w:t>. Představuje nebývalou zátěž pro jejich systémy zdravotní péče a sociální ochrany. Tisíce občanů jsou ohroženy ztrátou zaměs</w:t>
      </w:r>
      <w:r w:rsidRPr="00664AC3">
        <w:rPr>
          <w:rFonts w:ascii="Times New Roman" w:hAnsi="Times New Roman"/>
          <w:noProof/>
          <w:sz w:val="24"/>
          <w:szCs w:val="24"/>
        </w:rPr>
        <w:t>tnání a dočasná státní podpůrná opatření (dávky v nezaměstnanosti, odklady/prominutí daní a příspěvků na sociální zabezpečení atd.) mají významný fiskální dopad. Vlády musí rovněž rychle rozšířit pokrytí systémů sociální ochrany. Pandemie také ovlivnila sp</w:t>
      </w:r>
      <w:r w:rsidRPr="00664AC3">
        <w:rPr>
          <w:rFonts w:ascii="Times New Roman" w:hAnsi="Times New Roman"/>
          <w:noProof/>
          <w:sz w:val="24"/>
          <w:szCs w:val="24"/>
        </w:rPr>
        <w:t xml:space="preserve">olečné úsilí související s migrací.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I když je sama EU pandemií těžce postižena, má zvláštní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odpovědnost a zájem vést celosvětovou reakci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poskytovat pomoc partnerům, kteří ji potřebují, a to tím spíše ve svém bezprostředním sousedství. EU jako součást sv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ého mezinárodního úsilí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poskytuje západnímu Balkánu zásadní a nebývalou podporu</w:t>
      </w:r>
      <w:r w:rsidRPr="00664AC3">
        <w:rPr>
          <w:rFonts w:ascii="Times New Roman" w:hAnsi="Times New Roman" w:cs="Times New Roman"/>
          <w:noProof/>
          <w:sz w:val="24"/>
          <w:szCs w:val="24"/>
        </w:rPr>
        <w:t>. EU zajišťuje finanční podporu ve výši přes 3,3 miliardy EUR pro země v regionu na řešení bezprostřední zdravotní krize a z ní vyplývajících humanitárních potřeb, jakož i dlouh</w:t>
      </w:r>
      <w:r w:rsidRPr="00664AC3">
        <w:rPr>
          <w:rFonts w:ascii="Times New Roman" w:hAnsi="Times New Roman" w:cs="Times New Roman"/>
          <w:noProof/>
          <w:sz w:val="24"/>
          <w:szCs w:val="24"/>
        </w:rPr>
        <w:t>odobějšího a strukturálního dopadu na jejich společnosti a ekonomiky. EU se dále k zemím západního Balkánu chová s ohledem na jejich evropskou perspektivu jako k privilegovaným partnerům a umožňuje jim přístup k mnoha iniciativám a nástrojům vyhrazeným pro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členské státy EU.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Vedoucí představitelé EU a regionu se dne 6. května 2020 setkají, aby se zamysleli nad výzvami, jimž společně čelí. S cílem přispět k těmto jednáním objasňuje toto sdělení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solidaritu Evropské unie se západním Balkánem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při řešení bezpros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tředního dopadu pandemie COVID-19 a vytyčuje oblasti vzájemné spolupráce. Předvídá dlouhodobější podporu EU pro hospodářské oživení 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připravuje půdu pro podrobnější hospodářský a investiční plán týkající se regionu, který má Komise předložit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v průběhu toh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oto roku.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Očekává rovněž další intenzivnější angažovanost a podporu EU s cílem realizovat evropskou perspektivu regionu tím, že podpoří všechny partnery při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řešení nezbytných zásadních demokratických a hospodářských reforem a reforem právního státu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s ještě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větším nasazením, jak je stanoveno v posílené metodice.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428A" w:rsidRPr="00664AC3" w:rsidRDefault="00664AC3" w:rsidP="00664AC3">
      <w:pPr>
        <w:pStyle w:val="ListParagraph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83" w:hanging="482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Podpora EU pro boj západního Balkánu s pandemií COVID-19 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>V reakci na krizi se EU rozhodla poskytnout podstatnou finanční podporu, ale také v maximální možné míře zahrnout západní Balkán do své vl</w:t>
      </w:r>
      <w:r w:rsidRPr="00664AC3">
        <w:rPr>
          <w:rFonts w:ascii="Times New Roman" w:hAnsi="Times New Roman"/>
          <w:noProof/>
          <w:sz w:val="24"/>
          <w:szCs w:val="24"/>
        </w:rPr>
        <w:t>astní reakce. I když podporu regionu poskytli i jiní partneři, EU je díky pružným postupům a včasným rozhodnutím opět nejefektivnějším a nejspolehlivějším partnerem regionu.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 xml:space="preserve">EU zmobilizovala </w:t>
      </w:r>
      <w:r w:rsidRPr="00664AC3">
        <w:rPr>
          <w:rFonts w:ascii="Times New Roman" w:hAnsi="Times New Roman"/>
          <w:b/>
          <w:noProof/>
          <w:sz w:val="24"/>
          <w:szCs w:val="24"/>
        </w:rPr>
        <w:t>balíček více než 3,3 miliardy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ve prospěch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občanů</w:t>
      </w:r>
      <w:r w:rsidRPr="00664AC3">
        <w:rPr>
          <w:rFonts w:ascii="Times New Roman" w:hAnsi="Times New Roman"/>
          <w:noProof/>
          <w:sz w:val="24"/>
          <w:szCs w:val="24"/>
        </w:rPr>
        <w:t xml:space="preserve"> zemí západní</w:t>
      </w:r>
      <w:r w:rsidRPr="00664AC3">
        <w:rPr>
          <w:rFonts w:ascii="Times New Roman" w:hAnsi="Times New Roman"/>
          <w:noProof/>
          <w:sz w:val="24"/>
          <w:szCs w:val="24"/>
        </w:rPr>
        <w:t>ho Balkánu</w:t>
      </w:r>
      <w:r w:rsidRPr="00664AC3">
        <w:rPr>
          <w:rFonts w:ascii="Times New Roman" w:eastAsia="Times New Roman" w:hAnsi="Times New Roman"/>
          <w:b/>
          <w:bCs/>
          <w:noProof/>
          <w:sz w:val="24"/>
          <w:szCs w:val="24"/>
          <w:vertAlign w:val="superscript"/>
          <w:lang w:val="en-US"/>
        </w:rPr>
        <w:footnoteReference w:id="3"/>
      </w:r>
      <w:r w:rsidRPr="00664AC3">
        <w:rPr>
          <w:rFonts w:ascii="Times New Roman" w:hAnsi="Times New Roman"/>
          <w:noProof/>
          <w:sz w:val="24"/>
          <w:szCs w:val="24"/>
        </w:rPr>
        <w:t>.</w:t>
      </w:r>
      <w:r w:rsidRPr="00664AC3">
        <w:rPr>
          <w:rFonts w:ascii="Times New Roman" w:hAnsi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/>
          <w:noProof/>
          <w:sz w:val="24"/>
          <w:szCs w:val="24"/>
        </w:rPr>
        <w:t xml:space="preserve">To zahrnuje přerozdělení prostředků z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nástroje předvstupní pomoci (NPP)</w:t>
      </w:r>
      <w:r w:rsidRPr="00664AC3">
        <w:rPr>
          <w:rFonts w:ascii="Times New Roman" w:eastAsia="Times New Roman" w:hAnsi="Times New Roman"/>
          <w:b/>
          <w:bCs/>
          <w:noProof/>
          <w:sz w:val="24"/>
          <w:szCs w:val="24"/>
          <w:vertAlign w:val="superscript"/>
          <w:lang w:val="en-US"/>
        </w:rPr>
        <w:footnoteReference w:id="4"/>
      </w:r>
      <w:r w:rsidRPr="00664AC3">
        <w:rPr>
          <w:rFonts w:ascii="Times New Roman" w:hAnsi="Times New Roman"/>
          <w:noProof/>
          <w:sz w:val="24"/>
          <w:szCs w:val="24"/>
        </w:rPr>
        <w:t xml:space="preserve"> ve výši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38 milionů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na okamžitou podporu zdravotnictví, zejména dodávkami základního vybavení pro záchranu životů, jako jsou osobní ochranné prostředky, testy a ventilátory</w:t>
      </w:r>
      <w:r w:rsidRPr="00664AC3">
        <w:rPr>
          <w:rFonts w:ascii="Times New Roman" w:eastAsia="Times New Roman" w:hAnsi="Times New Roman"/>
          <w:noProof/>
          <w:sz w:val="24"/>
          <w:szCs w:val="24"/>
          <w:vertAlign w:val="superscript"/>
          <w:lang w:val="en-US"/>
        </w:rPr>
        <w:footnoteReference w:id="5"/>
      </w:r>
      <w:r w:rsidRPr="00664AC3">
        <w:rPr>
          <w:rFonts w:ascii="Times New Roman" w:hAnsi="Times New Roman"/>
          <w:noProof/>
          <w:sz w:val="24"/>
          <w:szCs w:val="24"/>
        </w:rPr>
        <w:t xml:space="preserve">,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389 milionů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na pokrytí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potřeb sociálního a hospodářského oživení</w:t>
      </w:r>
      <w:r w:rsidRPr="00664AC3">
        <w:rPr>
          <w:rFonts w:ascii="Times New Roman" w:hAnsi="Times New Roman"/>
          <w:noProof/>
          <w:sz w:val="24"/>
          <w:szCs w:val="24"/>
        </w:rPr>
        <w:t xml:space="preserve"> a dalších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455</w:t>
      </w:r>
      <w:r w:rsidRPr="00664AC3">
        <w:rPr>
          <w:rFonts w:ascii="Times New Roman" w:hAnsi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milionů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v pod</w:t>
      </w:r>
      <w:r w:rsidRPr="00664AC3">
        <w:rPr>
          <w:rFonts w:ascii="Times New Roman" w:hAnsi="Times New Roman"/>
          <w:noProof/>
          <w:sz w:val="24"/>
          <w:szCs w:val="24"/>
        </w:rPr>
        <w:t xml:space="preserve">obě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balíčku hospodářské reaktivace</w:t>
      </w:r>
      <w:r w:rsidRPr="00664AC3">
        <w:rPr>
          <w:rFonts w:ascii="Times New Roman" w:hAnsi="Times New Roman"/>
          <w:noProof/>
          <w:sz w:val="24"/>
          <w:szCs w:val="24"/>
        </w:rPr>
        <w:t xml:space="preserve"> pro region v úzké spolupráci s mezinárodními finančními institucemi, jakož i návrh</w:t>
      </w:r>
      <w:r w:rsidRPr="00664AC3">
        <w:rPr>
          <w:rFonts w:ascii="Times New Roman" w:eastAsia="Times New Roman" w:hAnsi="Times New Roman"/>
          <w:noProof/>
          <w:sz w:val="24"/>
          <w:szCs w:val="24"/>
          <w:vertAlign w:val="superscript"/>
          <w:lang w:val="en-US"/>
        </w:rPr>
        <w:footnoteReference w:id="6"/>
      </w:r>
      <w:r w:rsidRPr="00664AC3">
        <w:rPr>
          <w:rFonts w:ascii="Times New Roman" w:hAnsi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makrofinanční pomoci </w:t>
      </w:r>
      <w:r w:rsidRPr="00664AC3">
        <w:rPr>
          <w:rFonts w:ascii="Times New Roman" w:hAnsi="Times New Roman"/>
          <w:noProof/>
          <w:sz w:val="24"/>
          <w:szCs w:val="24"/>
        </w:rPr>
        <w:t xml:space="preserve">ve výši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750 milionů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a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balíček</w:t>
      </w:r>
      <w:r w:rsidRPr="00664AC3">
        <w:rPr>
          <w:rFonts w:ascii="Times New Roman" w:hAnsi="Times New Roman"/>
          <w:noProof/>
          <w:sz w:val="24"/>
          <w:szCs w:val="24"/>
        </w:rPr>
        <w:t xml:space="preserve"> pomoci ve výši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1,7 miliardy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od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Evropské investiční banky</w:t>
      </w:r>
      <w:r w:rsidRPr="00664AC3">
        <w:rPr>
          <w:rFonts w:ascii="Times New Roman" w:hAnsi="Times New Roman"/>
          <w:noProof/>
          <w:sz w:val="24"/>
          <w:szCs w:val="24"/>
        </w:rPr>
        <w:t xml:space="preserve">. EU také poskytuje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ok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amžitou humanitární pomoc zranitelným uprchlíkům a migrantům ve výši 4,5 milionu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na ochranu, podporu nezletilých osob bez doprovodu a zdravotní péči, včetně připravenosti na pandemii COVID-19, a mimořádnou podporu pro migranty a uprchlíky, kteří uvízli</w:t>
      </w:r>
      <w:r w:rsidRPr="00664AC3">
        <w:rPr>
          <w:rFonts w:ascii="Times New Roman" w:hAnsi="Times New Roman"/>
          <w:noProof/>
          <w:sz w:val="24"/>
          <w:szCs w:val="24"/>
        </w:rPr>
        <w:t xml:space="preserve"> na západním Balkáně, ve výši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8 milionů EUR</w:t>
      </w:r>
      <w:r w:rsidRPr="00664AC3">
        <w:rPr>
          <w:rFonts w:ascii="Times New Roman" w:hAnsi="Times New Roman"/>
          <w:noProof/>
          <w:sz w:val="24"/>
          <w:szCs w:val="24"/>
        </w:rPr>
        <w:t xml:space="preserve"> z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nástroje přispívajícího ke stabilitě a míru</w:t>
      </w:r>
      <w:r w:rsidRPr="00664AC3">
        <w:rPr>
          <w:rFonts w:ascii="Times New Roman" w:hAnsi="Times New Roman"/>
          <w:noProof/>
          <w:sz w:val="24"/>
          <w:szCs w:val="24"/>
        </w:rPr>
        <w:t xml:space="preserve">. Kromě toho se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Fond solidarity</w:t>
      </w:r>
      <w:r w:rsidRPr="00664AC3">
        <w:rPr>
          <w:rFonts w:ascii="Times New Roman" w:hAnsi="Times New Roman"/>
          <w:noProof/>
          <w:sz w:val="24"/>
          <w:szCs w:val="24"/>
        </w:rPr>
        <w:t xml:space="preserve"> EU, který je otevřen těm zemím západního Balkánu, které začaly jednat o svém přistoupení, nyní rovněž vztahuje na krize v oblasti veřej</w:t>
      </w:r>
      <w:r w:rsidRPr="00664AC3">
        <w:rPr>
          <w:rFonts w:ascii="Times New Roman" w:hAnsi="Times New Roman"/>
          <w:noProof/>
          <w:sz w:val="24"/>
          <w:szCs w:val="24"/>
        </w:rPr>
        <w:t>ného zdraví.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 xml:space="preserve">Významná část ekonomické podpory EU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pomůže soukromému sektoru řešit problémy s likviditou a finanční problémy</w:t>
      </w:r>
      <w:r w:rsidRPr="00664AC3">
        <w:rPr>
          <w:rFonts w:ascii="Times New Roman" w:hAnsi="Times New Roman"/>
          <w:noProof/>
          <w:sz w:val="24"/>
          <w:szCs w:val="24"/>
        </w:rPr>
        <w:t xml:space="preserve"> prostřednictvím mobilizace systémů záruk financovaných z prostředků EU, a to ve spolupráci s mezinárodními finančními institucemi. 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 xml:space="preserve">Reakce EU se řídí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přístupem „tým Evropa“</w:t>
      </w:r>
      <w:r w:rsidRPr="00664AC3">
        <w:rPr>
          <w:rFonts w:ascii="Times New Roman" w:eastAsia="Times New Roman" w:hAnsi="Times New Roman"/>
          <w:b/>
          <w:bCs/>
          <w:noProof/>
          <w:sz w:val="24"/>
          <w:szCs w:val="24"/>
          <w:vertAlign w:val="superscript"/>
          <w:lang w:val="en-US"/>
        </w:rPr>
        <w:footnoteReference w:id="7"/>
      </w:r>
      <w:r w:rsidRPr="00664AC3">
        <w:rPr>
          <w:rFonts w:ascii="Times New Roman" w:hAnsi="Times New Roman"/>
          <w:noProof/>
          <w:sz w:val="24"/>
          <w:szCs w:val="24"/>
        </w:rPr>
        <w:t>: naše rychlá a cílená podpora kombinuje zdroje od orgánů EU, členských států a finančních institucí, zejména Evropské investiční banky a Evropské banky pro obnovu a rozvoj. Společně se svými partnery zajišťujeme, a</w:t>
      </w:r>
      <w:r w:rsidRPr="00664AC3">
        <w:rPr>
          <w:rFonts w:ascii="Times New Roman" w:hAnsi="Times New Roman"/>
          <w:noProof/>
          <w:sz w:val="24"/>
          <w:szCs w:val="24"/>
        </w:rPr>
        <w:t>by značné finanční prostředky EU, které jim již byly přiděleny, byly zacíleny tak, aby pomohly řešit dopad pandemie. Některé členské státy EU zároveň poskytují dvoustrannou podporu, ať už v podobě finanční pomoci, nebo darů zásob.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>V důsledku šíření onemocn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ění COVID-19 západní Balkán rovněž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aktivoval mechanismus civilní ochrany Unie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již začal dostávat pomoc od členských států a zúčastněných států mechanismu.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Srbsko, Severní Makedonie a Černá Hora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jako zúčastněné státy mechanismu jsou schopny přispívat a žá</w:t>
      </w:r>
      <w:r w:rsidRPr="00664AC3">
        <w:rPr>
          <w:rFonts w:ascii="Times New Roman" w:hAnsi="Times New Roman" w:cs="Times New Roman"/>
          <w:noProof/>
          <w:sz w:val="24"/>
          <w:szCs w:val="24"/>
        </w:rPr>
        <w:t>dat o podporu kapacit rescEU, včetně vytváření zásob lékařských protiopatření a vybavení. Mezi osobami repatriovanými do Evropy díky letům organizovaným a spolufinancovaným mechanismem civilní ochrany Unie byli i uvízlí občané ze zemí západního Balkánu. Or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gány civilní ochrany zemí západního Balkánu se budou nadále účastnit školení, cvičení a výměny odborníků v mechanismu civilní ochrany Unie. EU rovněž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oceňuje cennou podporu</w:t>
      </w:r>
      <w:r w:rsidRPr="00664AC3">
        <w:rPr>
          <w:rFonts w:ascii="Times New Roman" w:hAnsi="Times New Roman" w:cs="Times New Roman"/>
          <w:noProof/>
          <w:sz w:val="24"/>
          <w:szCs w:val="24"/>
        </w:rPr>
        <w:t>, kterou země západního Balkánu poskytují EU a svým bezprostředním sousedům, pokud j</w:t>
      </w:r>
      <w:r w:rsidRPr="00664AC3">
        <w:rPr>
          <w:rFonts w:ascii="Times New Roman" w:hAnsi="Times New Roman" w:cs="Times New Roman"/>
          <w:noProof/>
          <w:sz w:val="24"/>
          <w:szCs w:val="24"/>
        </w:rPr>
        <w:t>de o zdravotnický personál a vybavení. Je to výrazem solidarity a základních hodnot, na nichž je EU založena.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 xml:space="preserve">Nynější pandemie tak jasně ukazuje, jak EU a západní Balkán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společně řeší společné problémy</w:t>
      </w:r>
      <w:r w:rsidRPr="00664AC3">
        <w:rPr>
          <w:rFonts w:ascii="Times New Roman" w:hAnsi="Times New Roman"/>
          <w:noProof/>
          <w:sz w:val="24"/>
          <w:szCs w:val="24"/>
        </w:rPr>
        <w:t xml:space="preserve">. To zahrnuje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společné zadávání veřejných zakázek na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zdravotnické vybavení</w:t>
      </w:r>
      <w:r w:rsidRPr="00664AC3">
        <w:rPr>
          <w:rFonts w:ascii="Times New Roman" w:hAnsi="Times New Roman"/>
          <w:noProof/>
          <w:sz w:val="24"/>
          <w:szCs w:val="24"/>
        </w:rPr>
        <w:t xml:space="preserve">, vynětí regionu z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režimu vývozních povolení</w:t>
      </w:r>
      <w:r w:rsidRPr="00664AC3">
        <w:rPr>
          <w:rFonts w:ascii="Times New Roman" w:hAnsi="Times New Roman"/>
          <w:noProof/>
          <w:sz w:val="24"/>
          <w:szCs w:val="24"/>
        </w:rPr>
        <w:t xml:space="preserve"> EU pro osobní ochranné prostředky</w:t>
      </w:r>
      <w:r w:rsidRPr="00664AC3">
        <w:rPr>
          <w:rFonts w:ascii="Times New Roman" w:eastAsia="Times New Roman" w:hAnsi="Times New Roman"/>
          <w:noProof/>
          <w:sz w:val="24"/>
          <w:szCs w:val="24"/>
          <w:vertAlign w:val="superscript"/>
          <w:lang w:val="en-US"/>
        </w:rPr>
        <w:footnoteReference w:id="8"/>
      </w:r>
      <w:r w:rsidRPr="00664AC3">
        <w:rPr>
          <w:rFonts w:ascii="Times New Roman" w:hAnsi="Times New Roman"/>
          <w:noProof/>
          <w:sz w:val="24"/>
          <w:szCs w:val="24"/>
        </w:rPr>
        <w:t xml:space="preserve"> a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dodávky testovacího materiálu EU</w:t>
      </w:r>
      <w:r w:rsidRPr="00664AC3">
        <w:rPr>
          <w:rFonts w:ascii="Times New Roman" w:hAnsi="Times New Roman"/>
          <w:noProof/>
          <w:sz w:val="24"/>
          <w:szCs w:val="24"/>
        </w:rPr>
        <w:t xml:space="preserve"> vyvinutého společným výzkumným střediskem Evropské komise k zajištění správného fungování testů na koronavirus na západn</w:t>
      </w:r>
      <w:r w:rsidRPr="00664AC3">
        <w:rPr>
          <w:rFonts w:ascii="Times New Roman" w:hAnsi="Times New Roman"/>
          <w:noProof/>
          <w:sz w:val="24"/>
          <w:szCs w:val="24"/>
        </w:rPr>
        <w:t>ím Balkáně.</w:t>
      </w:r>
      <w:r w:rsidRPr="00664AC3">
        <w:rPr>
          <w:rFonts w:ascii="Times New Roman" w:hAnsi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/>
          <w:noProof/>
          <w:sz w:val="24"/>
          <w:szCs w:val="24"/>
        </w:rPr>
        <w:t xml:space="preserve">Zúčastněné strany z celého regionu jsou plně začleněny do evropského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výzkumného a inovačního</w:t>
      </w:r>
      <w:r w:rsidRPr="00664AC3">
        <w:rPr>
          <w:rFonts w:ascii="Times New Roman" w:hAnsi="Times New Roman"/>
          <w:noProof/>
          <w:sz w:val="24"/>
          <w:szCs w:val="24"/>
        </w:rPr>
        <w:t xml:space="preserve"> úsilí v souvislosti s onemocněním COVID-19. </w:t>
      </w:r>
      <w:r w:rsidRPr="00664AC3">
        <w:rPr>
          <w:rFonts w:ascii="Times New Roman" w:hAnsi="Times New Roman"/>
          <w:noProof/>
          <w:sz w:val="24"/>
          <w:szCs w:val="24"/>
        </w:rPr>
        <w:t xml:space="preserve">Celý region rovněž využívá technickou pomoc a výměnu informací, kterou usnadňuje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Evropské středisko pro pre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venci a kontrolu nemocí</w:t>
      </w:r>
      <w:r w:rsidRPr="00664AC3">
        <w:rPr>
          <w:rFonts w:ascii="Times New Roman" w:hAnsi="Times New Roman"/>
          <w:noProof/>
          <w:sz w:val="24"/>
          <w:szCs w:val="24"/>
        </w:rPr>
        <w:t xml:space="preserve">, zatímco kandidátské země západního Balkánu byly pozvány jako pozorovatelé do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Výboru EU pro zdravotní bezpečnost</w:t>
      </w:r>
      <w:r w:rsidRPr="00664AC3">
        <w:rPr>
          <w:rFonts w:ascii="Times New Roman" w:hAnsi="Times New Roman"/>
          <w:noProof/>
          <w:sz w:val="24"/>
          <w:szCs w:val="24"/>
        </w:rPr>
        <w:t xml:space="preserve"> a získaly přístup k souvisejícímu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systému včasného varování a reakce</w:t>
      </w:r>
      <w:r w:rsidRPr="00664AC3">
        <w:rPr>
          <w:rFonts w:ascii="Times New Roman" w:hAnsi="Times New Roman"/>
          <w:noProof/>
          <w:sz w:val="24"/>
          <w:szCs w:val="24"/>
        </w:rPr>
        <w:t>.</w:t>
      </w:r>
    </w:p>
    <w:p w:rsidR="00BF428A" w:rsidRPr="00664AC3" w:rsidRDefault="00664AC3" w:rsidP="00664AC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>Díky společnému návrhu stálého sekretariátu Dopr</w:t>
      </w:r>
      <w:r w:rsidRPr="00664AC3">
        <w:rPr>
          <w:rFonts w:ascii="Times New Roman" w:hAnsi="Times New Roman" w:cs="Times New Roman"/>
          <w:noProof/>
          <w:sz w:val="24"/>
          <w:szCs w:val="24"/>
        </w:rPr>
        <w:t>avního společenství a CEFTA byl koncept „zelených pruhů“ rozšířen na země západního Balkánu a zajišťuje rychlý tok základního zboží v regionu. Komise je také připravena tento region úzce spojit s prováděním svého „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společného evropského plánu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rušení opatřen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í proti šíření COVID-19“. </w:t>
      </w:r>
      <w:r w:rsidRPr="00664AC3">
        <w:rPr>
          <w:rFonts w:ascii="Times New Roman" w:hAnsi="Times New Roman" w:cs="Times New Roman"/>
          <w:noProof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Kromě této mimořádné hygienické situace a souvisejících omezení pohybu zboží a cestujících je Komise rovněž odhodlána dlouhodobě přispívat k lepšímu propojení se západním Balkánem a řešit strukturální překážky na hranicích mezi EU</w:t>
      </w:r>
      <w:r w:rsidRPr="00664AC3">
        <w:rPr>
          <w:rFonts w:ascii="Times New Roman" w:hAnsi="Times New Roman" w:cs="Times New Roman"/>
          <w:noProof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zeměmi západního Balkánu.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Komise také vydala pokyny</w:t>
      </w:r>
      <w:r w:rsidRPr="00664AC3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jak zavádět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dočasná cestovní omezení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vztahující se na veškeré cesty, jež nejsou nezbytně nutné, ze třetích zemí do EU, včetně zacházení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s těmi, kdo jsou nuceni pobývat v EU déle, než je jim povoleno.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Tato spolupráce mezi EU a západním Balkánem a podpora EU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daleko přesahuje to, co regionu poskytl kterýkoli jiný partner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a odráží strategické zakotvení regionu. Orgány EU se zapojily do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intenzivních komunikačních kampaní, v nichž informovaly o poskytování pomoci EU, spolu s členskými státy zveřejnily v regionu společné názorové články podporující kampaně „zůstaňte doma“ a přispěly k šíření věcných informací o onemocnění COVID-19.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V tomto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ohledu je třeba veřejně a důrazně reagovat na pokusy zkreslit původ krize a úsilí o její řešení, přičemž je třeba posílit spolupráci při prosazování svobody projevu a svobody sdělovacích prostředků.</w:t>
      </w: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428A" w:rsidRPr="00664AC3" w:rsidRDefault="00664AC3" w:rsidP="00664AC3">
      <w:pPr>
        <w:pStyle w:val="ListParagraph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83" w:hanging="482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/>
          <w:b/>
          <w:bCs/>
          <w:noProof/>
          <w:sz w:val="24"/>
          <w:szCs w:val="24"/>
        </w:rPr>
        <w:t>Doba po pandemii COVID-19 – hospodářský a investiční plá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n oživení </w:t>
      </w:r>
    </w:p>
    <w:p w:rsidR="00BF428A" w:rsidRPr="00664AC3" w:rsidRDefault="00664AC3" w:rsidP="00664AC3">
      <w:pPr>
        <w:pStyle w:val="FootnoteText"/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64AC3">
        <w:rPr>
          <w:rFonts w:ascii="Times New Roman" w:hAnsi="Times New Roman"/>
          <w:noProof/>
          <w:sz w:val="24"/>
          <w:szCs w:val="24"/>
        </w:rPr>
        <w:t xml:space="preserve">Západní Balkán bude potřebovat i nadále podporu při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řešení dopadu krize COVID-19</w:t>
      </w:r>
      <w:r w:rsidRPr="00664AC3">
        <w:rPr>
          <w:rFonts w:ascii="Times New Roman" w:hAnsi="Times New Roman"/>
          <w:noProof/>
          <w:sz w:val="24"/>
          <w:szCs w:val="24"/>
        </w:rPr>
        <w:t>.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664AC3">
        <w:rPr>
          <w:rFonts w:ascii="Times New Roman" w:hAnsi="Times New Roman"/>
          <w:noProof/>
          <w:sz w:val="24"/>
          <w:szCs w:val="24"/>
        </w:rPr>
        <w:t>Jakmile budou okamžitá opatření k omezení pandemie COVID-19 zmírněna, začne nová fáze úzké spolupráce s cílem řešit tvrdý sociálně-ekonomický dopad krize. Evropská</w:t>
      </w:r>
      <w:r w:rsidRPr="00664AC3">
        <w:rPr>
          <w:rFonts w:ascii="Times New Roman" w:hAnsi="Times New Roman"/>
          <w:noProof/>
          <w:sz w:val="24"/>
          <w:szCs w:val="24"/>
        </w:rPr>
        <w:t xml:space="preserve"> komise v průběhu tohoto roku předloží </w:t>
      </w:r>
      <w:r w:rsidRPr="00664AC3">
        <w:rPr>
          <w:rFonts w:ascii="Times New Roman" w:hAnsi="Times New Roman"/>
          <w:b/>
          <w:bCs/>
          <w:noProof/>
          <w:sz w:val="24"/>
          <w:szCs w:val="24"/>
        </w:rPr>
        <w:t>hospodářský a investiční plán pro region</w:t>
      </w:r>
      <w:r w:rsidRPr="00664AC3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Součástí plánu bude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velký investiční balíček pro region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Pro nástroj předvstupní pomoci III na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období 2021–2027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Komise dne 2. května 2018 navrhla celkovou částku 14,5 miliard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y EUR, z níž největší část je určena pro země západního Balkánu. Komise plánuje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zdvojnásobit poskytování grantů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prostřednictvím investičního rámce pro západní Balkán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na podporu rozvoje soukromého sektoru, propojení, digitalizace, zelené agendy a sociálních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investic. Předpokládá rovněž výrazné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zvýšení finančních záruk na podporu veřejných a soukromých investic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v regionu prostřednictvím zvláštního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záručního nástroje v rámci investičního rámce pro západní Balkán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Ekologická a digitální transformace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budou hrát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ústřední roli při obnově a modernizaci ekonomik zemí západního Balkánu. Investice do čistých a digitálních technologií a kapacit spolu s oběhovým hospodářstvím pomohou vytvářet pracovní místa a růst. Podpora bude rovněž poskytována s cílem zlepšit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konkure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nceschopnost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ekonomik zemí západního Balkánu,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lépe je propojit v rámci regionu a s EU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přispět k tomu, aby byly země západního Balkánu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připravené na digitální věk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Podpora bude poskytována pro hospodářství ve prospěch lidí, a to i prostřednictvím spoluprá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ce, pokud jde o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vzdělávání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zdravotnictví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(v neposlední řadě s cílem budovat odolnost systémů zdravotní péče),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sociální ochranu a začleňování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rovné příležitosti, přístup na trh práce (zejména větším zajištěním aktivních politik na trhu práce),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spravedliv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é pracovní podmínky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(mimo jiné prostřednictvím podpory pro posílení sociálního dialogu), kulturu, výzkum a inovace.</w:t>
      </w:r>
    </w:p>
    <w:p w:rsidR="00BF428A" w:rsidRPr="00664AC3" w:rsidRDefault="00664AC3" w:rsidP="00664AC3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Bude kladen velký důraz na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dopravní a energetické vazby</w:t>
      </w:r>
      <w:r w:rsidRPr="00664AC3">
        <w:rPr>
          <w:rFonts w:ascii="Times New Roman" w:hAnsi="Times New Roman" w:cs="Times New Roman"/>
          <w:noProof/>
          <w:sz w:val="24"/>
          <w:szCs w:val="24"/>
        </w:rPr>
        <w:t>, které jsou zásadní pro hospodářský rozvoj regionu i EU. EU má v úmyslu navrhnout le</w:t>
      </w:r>
      <w:r w:rsidRPr="00664AC3">
        <w:rPr>
          <w:rFonts w:ascii="Times New Roman" w:hAnsi="Times New Roman" w:cs="Times New Roman"/>
          <w:noProof/>
          <w:sz w:val="24"/>
          <w:szCs w:val="24"/>
        </w:rPr>
        <w:t>tos balíček ve výši 135 milionů EUR</w:t>
      </w:r>
      <w:r w:rsidRPr="00664AC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footnoteReference w:id="10"/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na financování šesti dalších infrastrukturních investičních projektů v rámci agendy v oblasti propojení pro západní Balkán. S ohledem na tyto finanční prostředky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překročí EU svůj příslib z roku 2015 poskytnout na agendu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 oblasti propojení do roku 2020 granty v hodnotě 1 miliardy EUR</w:t>
      </w:r>
      <w:r w:rsidRPr="00664AC3">
        <w:rPr>
          <w:rFonts w:ascii="Times New Roman" w:hAnsi="Times New Roman" w:cs="Times New Roman"/>
          <w:noProof/>
          <w:sz w:val="24"/>
          <w:szCs w:val="24"/>
        </w:rPr>
        <w:t>, které následně zmobilizují téměř 4 miliardy EUR na 45 investic do infrastruktury propojujících region s prioritními osami transevropských dopravních sítí (TEN-T) a do projektů společného zá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jmu Energetického společenství. Aktivní regionální spolupráce v rámci Energetického společenství a iniciativy pro energetické propojení střední a jihovýchodní Evropy je dobrým základem pro urychlení investic do těchto energetických spojení i do projektů v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oblasti energie z obnovitelných zdrojů a energetické účinnosti.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EU bude i nadále věnovat zvláštní pozornost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problémům, s nimiž se potýkají mladí lidé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zejména pokud jde o pracovní vyhlídky, nerovnost a udržení mladých talentů v regionu,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 cílem bojovat pro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ti odlivu mozků</w:t>
      </w:r>
      <w:r w:rsidRPr="00664AC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a dalším demografickým problémům, </w:t>
      </w:r>
      <w:r w:rsidRPr="00664A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jimž region čelí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Finanční prostředky z programu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Erasmus+ pro region se od roku 2018 zdvojnásobily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(na více než 65 milionů EUR), přičemž větší důraz se kladl na odborné vzdělávání. V budoucnosti bude ještě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více posíleno zaměření na digitální dovednosti i na výzkum a podnikatelské dovednosti s cílem připravit mladé lidi tak, aby byli hospodářsky úspěšní a aby se jim dařilo v digitálním věku.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Pandemie COVID-19 zvýraznila význam řádného fungování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jednotného tr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hu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EU jako klíčového prvku naší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prosperity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odolnosti</w:t>
      </w:r>
      <w:r w:rsidRPr="00664AC3">
        <w:rPr>
          <w:rFonts w:ascii="Times New Roman" w:hAnsi="Times New Roman" w:cs="Times New Roman"/>
          <w:noProof/>
          <w:sz w:val="24"/>
          <w:szCs w:val="24"/>
        </w:rPr>
        <w:t>.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Rovněž podtrhla vysokou sociálně-ekonomickou vzájemnou závislost mezi ekonomikami EU a zemí západního Balkánu a v rámci regionu samého. Proto bude mít zásadní význam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účinnější propojení ekonomik západ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ního Balkánu – v rámci regionu a s EU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To vyžaduje silnější angažovanost všech partnerských zemí západního Balkánu, pokud jde o prohloubení inkluzivní regionální hospodářské integrace 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rozvoj společného regionálního trhu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jak bylo dohodnuto, na základě </w:t>
      </w:r>
      <w:r w:rsidRPr="00664AC3">
        <w:rPr>
          <w:rFonts w:ascii="Times New Roman" w:hAnsi="Times New Roman" w:cs="Times New Roman"/>
          <w:i/>
          <w:iCs/>
          <w:noProof/>
          <w:sz w:val="24"/>
          <w:szCs w:val="24"/>
        </w:rPr>
        <w:t>ac</w:t>
      </w:r>
      <w:r w:rsidRPr="00664AC3">
        <w:rPr>
          <w:rFonts w:ascii="Times New Roman" w:hAnsi="Times New Roman" w:cs="Times New Roman"/>
          <w:i/>
          <w:iCs/>
          <w:noProof/>
          <w:sz w:val="24"/>
          <w:szCs w:val="24"/>
        </w:rPr>
        <w:t>quis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EU a dodržování závazků EU, které rovněž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učiní region přitažlivější oblastí pro investice</w:t>
      </w:r>
      <w:r w:rsidRPr="00664AC3">
        <w:rPr>
          <w:rFonts w:ascii="Times New Roman" w:hAnsi="Times New Roman" w:cs="Times New Roman"/>
          <w:noProof/>
          <w:sz w:val="24"/>
          <w:szCs w:val="24"/>
        </w:rPr>
        <w:t>.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V tomto ohledu jsou nápomocny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regionální organizace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– Rada pro regionální spolupráci, Dopravní společenství, Energetické společenství a Středoevropská zóna vol</w:t>
      </w:r>
      <w:r w:rsidRPr="00664AC3">
        <w:rPr>
          <w:rFonts w:ascii="Times New Roman" w:hAnsi="Times New Roman" w:cs="Times New Roman"/>
          <w:noProof/>
          <w:sz w:val="24"/>
          <w:szCs w:val="24"/>
        </w:rPr>
        <w:t>ného obchodu. Projekty financované z prostředků EU také hrály klíčovou roli při snižování překážek obchodu.</w:t>
      </w:r>
      <w:r w:rsidRPr="00664AC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/>
        </w:rPr>
        <w:footnoteReference w:id="11"/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Všechna tato podpůrná opatření mají stejné cíle: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přeměnit země západního Balkánu ve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fungující tržní ekonomiky schopné plně se začlenit do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jednotného trhu EU</w:t>
      </w:r>
      <w:r w:rsidRPr="00664AC3">
        <w:rPr>
          <w:rFonts w:ascii="Times New Roman" w:hAnsi="Times New Roman" w:cs="Times New Roman"/>
          <w:noProof/>
          <w:sz w:val="24"/>
          <w:szCs w:val="24"/>
        </w:rPr>
        <w:t>, zlepšit podnikatelské a investiční prostředí, a tak přispět ke zvýšení obchodních toků v rámci regionu a s EU</w:t>
      </w:r>
      <w:r w:rsidRPr="00664AC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/>
        </w:rPr>
        <w:footnoteReference w:id="12"/>
      </w:r>
      <w:r w:rsidRPr="00664AC3">
        <w:rPr>
          <w:rFonts w:ascii="Times New Roman" w:hAnsi="Times New Roman" w:cs="Times New Roman"/>
          <w:noProof/>
          <w:sz w:val="24"/>
          <w:szCs w:val="24"/>
        </w:rPr>
        <w:t>, vytvářet pracovní místa a příležitosti, a tím snížit odliv mozků z regionu.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Současná krize tedy nesmí odvést pozornost od hl</w:t>
      </w:r>
      <w:r w:rsidRPr="00664AC3">
        <w:rPr>
          <w:rFonts w:ascii="Times New Roman" w:hAnsi="Times New Roman" w:cs="Times New Roman"/>
          <w:noProof/>
          <w:sz w:val="24"/>
          <w:szCs w:val="24"/>
        </w:rPr>
        <w:t>avních strukturálních nedostatků, jako jsou vysoká nezaměstnanost (zejména mezi mladými lidmi), nízká účast na trhu práce (zejména u žen); nesoulad mezi dovednostmi a potřebami trhu práce; nedostatečná sociální ochrana; nízká produktivita a konkurenceschop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nost zemědělství, nediverzifikované dodávky energie a nízká energetická účinnost. Důležitým rámcem pro řízení a podporu makroekonomických a strukturálních reforem je i nadále dobře zavedený hospodářský a finanční dialog, založený na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programech hospodářskýc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h reforem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partnerských zemí.  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Cílem hospodářského a investičního plánu bude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uspíšit dlouhodobé oživení</w:t>
      </w:r>
      <w:r w:rsidRPr="00664AC3">
        <w:rPr>
          <w:rFonts w:ascii="Times New Roman" w:hAnsi="Times New Roman" w:cs="Times New Roman"/>
          <w:noProof/>
          <w:sz w:val="24"/>
          <w:szCs w:val="24"/>
        </w:rPr>
        <w:t>, zvýšit hospodářský růst a podpořit reformy nutné k pokroku na cestě do EU. Hospodářský a investiční plán bude vycházet z priorit, které stanovila Evro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pská komise pro svou vlastní práci na období 2019–2024, a bude s nimi sladěn. </w:t>
      </w: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428A" w:rsidRPr="00664AC3" w:rsidRDefault="00664AC3" w:rsidP="00664AC3">
      <w:pPr>
        <w:pStyle w:val="ListParagraph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83" w:hanging="482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/>
          <w:b/>
          <w:bCs/>
          <w:noProof/>
          <w:sz w:val="24"/>
          <w:szCs w:val="24"/>
        </w:rPr>
        <w:t xml:space="preserve">Provedení zásadních reforem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Oživení po nynější krizi bude účinné, pouze pokud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země budou nadále plnit své reformní závazky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a dosahovat hmatatelných výsledků při jejich provádění. To je klíčem k uskutečnění jejich evropské perspektivy. Kromě pokračujících hospodářských reforem to vyžaduje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větší zaměření na právní stát a fungování demokratických institucí a veřejné správy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>Zás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adní je posílení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právního státu ve všech jeho aspektech</w:t>
      </w:r>
      <w:r w:rsidRPr="00664AC3">
        <w:rPr>
          <w:rFonts w:ascii="Times New Roman" w:hAnsi="Times New Roman" w:cs="Times New Roman"/>
          <w:noProof/>
          <w:sz w:val="24"/>
          <w:szCs w:val="24"/>
        </w:rPr>
        <w:t>. Vyžaduje to nezávislé a účinné soudnictví, solidní výsledky v boji proti korupci a organizované trestné činnosti a terorismu i účinnou ochranu základních práv, včetně svobody projevu a sdělovacích pr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ostředků. Konkrétněji je nanejvýš důležité, aby mimořádná opatření přijatá během krize nebyla na úkor základních zásad a hodnot a aby tato opatření zůstala přiměřená, časově vymezená a nadále podléhala demokratickému dohledu.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>Na základě již existující roz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sáhlé spolupráce je nezbytné zajistit trvalé aktivní zapojení prostřednictvím společných opatření stanovených po vzájemné dohodě v oblasti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bezpečnosti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, včetně boje proti rizikům praní peněz a financování terorismu, a v oblasti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řízení migrace a správy hrani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Pr="00664AC3">
        <w:rPr>
          <w:rFonts w:ascii="Times New Roman" w:hAnsi="Times New Roman" w:cs="Times New Roman"/>
          <w:noProof/>
          <w:sz w:val="24"/>
          <w:szCs w:val="24"/>
        </w:rPr>
        <w:t>.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Klíčovými prioritami zůstávají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silnější demokratické instituce a inkluzivnější demokratické procesy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Reforma veřejné správy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má zásadní význam pro zlepšení správy na všech úrovních.</w:t>
      </w: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To zahrnuje větší transparentnost a vyvozování odpovědnosti, řádné řízen</w:t>
      </w:r>
      <w:r w:rsidRPr="00664AC3">
        <w:rPr>
          <w:rFonts w:ascii="Times New Roman" w:hAnsi="Times New Roman" w:cs="Times New Roman"/>
          <w:noProof/>
          <w:sz w:val="24"/>
          <w:szCs w:val="24"/>
        </w:rPr>
        <w:t>í veřejných financí a profesionálnější orgány veřejné správy. Výše uvedené jako celek tvoří základ pro trvalé hospodářské oživení.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>Komise je i nadále pevně odhodlána podporovat region při řešení těchto reforem. Další opatření budou uvedena ve sdělení Komis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e v průběhu tohoto roku.  </w:t>
      </w:r>
    </w:p>
    <w:p w:rsidR="00BF428A" w:rsidRPr="00664AC3" w:rsidRDefault="00664AC3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Krize COVID-19 je zkouškou naší solidarity a odhodlání, ale také jasným dokladem toho, že jako Evropané se společným osudem spolupracujeme úžeji.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V tomto ohledu uznáváme, že partnerské země západního Balkánu budou muset najít své</w:t>
      </w:r>
      <w:r w:rsidRPr="00664AC3">
        <w:rPr>
          <w:rFonts w:ascii="Times New Roman" w:hAnsi="Times New Roman" w:cs="Times New Roman"/>
          <w:noProof/>
          <w:sz w:val="24"/>
          <w:szCs w:val="24"/>
        </w:rPr>
        <w:t xml:space="preserve"> místo v našich nadcházejících úvahách o budoucnosti Evropy. </w:t>
      </w:r>
      <w:r w:rsidRPr="00664AC3">
        <w:rPr>
          <w:rFonts w:ascii="Times New Roman" w:hAnsi="Times New Roman" w:cs="Times New Roman"/>
          <w:noProof/>
          <w:sz w:val="24"/>
          <w:szCs w:val="24"/>
        </w:rPr>
        <w:t>Společně tuto krizi překonáme a zotavíme se. A společně budeme dále posilovat svou spolupráci, abychom pomohli našim partnerům splnit požadavky pro členství v EU.</w:t>
      </w:r>
    </w:p>
    <w:p w:rsidR="00BF428A" w:rsidRPr="00664AC3" w:rsidRDefault="00BF428A" w:rsidP="00664AC3">
      <w:pPr>
        <w:pStyle w:val="Body"/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428A" w:rsidRPr="00664AC3" w:rsidRDefault="00664AC3" w:rsidP="00664AC3">
      <w:pPr>
        <w:pStyle w:val="Body"/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4AC3">
        <w:rPr>
          <w:rFonts w:ascii="Times New Roman" w:hAnsi="Times New Roman" w:cs="Times New Roman"/>
          <w:b/>
          <w:bCs/>
          <w:noProof/>
          <w:sz w:val="24"/>
          <w:szCs w:val="24"/>
        </w:rPr>
        <w:t>**</w:t>
      </w:r>
    </w:p>
    <w:p w:rsidR="00BF428A" w:rsidRPr="00664AC3" w:rsidRDefault="00BF428A" w:rsidP="00664AC3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</w:p>
    <w:sectPr w:rsidR="00BF428A" w:rsidRPr="00664A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8A" w:rsidRDefault="00664AC3">
      <w:pPr>
        <w:spacing w:after="0" w:line="240" w:lineRule="auto"/>
      </w:pPr>
      <w:r>
        <w:separator/>
      </w:r>
    </w:p>
  </w:endnote>
  <w:endnote w:type="continuationSeparator" w:id="0">
    <w:p w:rsidR="00BF428A" w:rsidRDefault="00664AC3">
      <w:pPr>
        <w:spacing w:after="0" w:line="240" w:lineRule="auto"/>
      </w:pPr>
      <w:r>
        <w:continuationSeparator/>
      </w:r>
    </w:p>
  </w:endnote>
  <w:endnote w:type="continuationNotice" w:id="1">
    <w:p w:rsidR="00BF428A" w:rsidRDefault="00BF4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664AC3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664AC3">
    <w:pPr>
      <w:pStyle w:val="Footer"/>
      <w:tabs>
        <w:tab w:val="clear" w:pos="9360"/>
        <w:tab w:val="right" w:pos="9046"/>
      </w:tabs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8A" w:rsidRDefault="00664AC3">
      <w:pPr>
        <w:spacing w:after="0" w:line="240" w:lineRule="auto"/>
      </w:pPr>
      <w:r>
        <w:separator/>
      </w:r>
    </w:p>
  </w:footnote>
  <w:footnote w:type="continuationSeparator" w:id="0">
    <w:p w:rsidR="00BF428A" w:rsidRDefault="00664AC3">
      <w:pPr>
        <w:spacing w:after="0" w:line="240" w:lineRule="auto"/>
      </w:pPr>
      <w:r>
        <w:continuationSeparator/>
      </w:r>
    </w:p>
  </w:footnote>
  <w:footnote w:type="continuationNotice" w:id="1">
    <w:p w:rsidR="00BF428A" w:rsidRDefault="00BF428A">
      <w:pPr>
        <w:spacing w:after="0" w:line="240" w:lineRule="auto"/>
      </w:pPr>
    </w:p>
  </w:footnote>
  <w:footnote w:id="2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b/>
          <w:bCs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Sdělení Komise „</w:t>
      </w:r>
      <w:r>
        <w:rPr>
          <w:rFonts w:ascii="Times New Roman" w:hAnsi="Times New Roman"/>
          <w:i/>
          <w:iCs/>
        </w:rPr>
        <w:t>Posílení procesu přistoupení – přesvědčivá perspektiva EU pro západní Balkán</w:t>
      </w:r>
      <w:r>
        <w:rPr>
          <w:rFonts w:ascii="Times New Roman" w:hAnsi="Times New Roman"/>
        </w:rPr>
        <w:t xml:space="preserve">“, </w:t>
      </w:r>
      <w:hyperlink r:id="rId1" w:history="1">
        <w:r>
          <w:rPr>
            <w:rStyle w:val="Hyperlink0"/>
            <w:rFonts w:eastAsia="Calibri"/>
          </w:rPr>
          <w:t>COM(2020) 57 final</w:t>
        </w:r>
      </w:hyperlink>
      <w:r>
        <w:t>.</w:t>
      </w:r>
    </w:p>
  </w:footnote>
  <w:footnote w:id="3">
    <w:p w:rsidR="00BF428A" w:rsidRDefault="00664AC3">
      <w:pPr>
        <w:pStyle w:val="FootnoteText"/>
      </w:pPr>
      <w:r>
        <w:rPr>
          <w:rFonts w:ascii="Times New Roman" w:eastAsia="Times New Roman" w:hAnsi="Times New Roman"/>
          <w:b/>
          <w:bCs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Finanční prostředky přiděle</w:t>
      </w:r>
      <w:r>
        <w:rPr>
          <w:rFonts w:ascii="Times New Roman" w:hAnsi="Times New Roman"/>
        </w:rPr>
        <w:t>né ve stávajícím víceletém orientačním programu na období 2014–2020.</w:t>
      </w:r>
    </w:p>
  </w:footnote>
  <w:footnote w:id="4">
    <w:p w:rsidR="00BF428A" w:rsidRDefault="00664AC3">
      <w:pPr>
        <w:pStyle w:val="FootnoteText"/>
      </w:pPr>
      <w:r>
        <w:rPr>
          <w:rFonts w:ascii="Times New Roman" w:eastAsia="Times New Roman" w:hAnsi="Times New Roman"/>
          <w:b/>
          <w:bCs/>
          <w:vertAlign w:val="superscript"/>
          <w:lang w:val="en-US"/>
        </w:rPr>
        <w:footnoteRef/>
      </w:r>
      <w:r>
        <w:t xml:space="preserve"> </w:t>
      </w:r>
      <w:r>
        <w:rPr>
          <w:rFonts w:ascii="Times New Roman" w:hAnsi="Times New Roman"/>
        </w:rPr>
        <w:t>Upravují a urychlují se také stávající programy podpory NPP, např. předvstupní pomoc EU na rozvoj venkova (IPARD) a přeshraniční spolupráce EU a západního Balkánu (REGIO).</w:t>
      </w:r>
    </w:p>
  </w:footnote>
  <w:footnote w:id="5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EU financuj</w:t>
      </w:r>
      <w:r>
        <w:rPr>
          <w:rFonts w:ascii="Times New Roman" w:hAnsi="Times New Roman"/>
        </w:rPr>
        <w:t>e dodání přibližně 95 000 testů na onemocnění COVID, 500 nemocničních lůžek, 450 ventilátorů, 100 monitorů intenzivní péče, 100 kontejnerů pro třídění, 10 sanitek, jakož i více než 4,5 milionu kusů ochranného vybavení a stovky zdravotnických prostředků (ja</w:t>
      </w:r>
      <w:r>
        <w:rPr>
          <w:rFonts w:ascii="Times New Roman" w:hAnsi="Times New Roman"/>
        </w:rPr>
        <w:t>ko jsou rentgenové přístroje, elektrokardiografy, výpočetní tomografy, defibrilátory, infuzní pumpy) a tisíce kusů zdravotnických potřeb (např. teploměrů, katetrů, trubiček, injekčních stříkaček, roušek). EU rovněž uhradila náklady na 16 dálkových letů, ji</w:t>
      </w:r>
      <w:r>
        <w:rPr>
          <w:rFonts w:ascii="Times New Roman" w:hAnsi="Times New Roman"/>
        </w:rPr>
        <w:t xml:space="preserve">miž bylo přepraveno 750 tun zdravotnických potřeb zakoupených z jiných zdrojů. </w:t>
      </w:r>
    </w:p>
  </w:footnote>
  <w:footnote w:id="6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Návrh rozhodnutí Evropského parlamentu a Rady o poskytnutí makrofinanční pomoci partnerským zemím procesu rozšíření a evropského sousedství v souvislosti s krizí způsobenou p</w:t>
      </w:r>
      <w:r>
        <w:rPr>
          <w:rFonts w:ascii="Times New Roman" w:hAnsi="Times New Roman"/>
        </w:rPr>
        <w:t>andemií COVID-19, 2020/0065 (COD), 22. dubna 2020.</w:t>
      </w:r>
    </w:p>
  </w:footnote>
  <w:footnote w:id="7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b/>
          <w:bCs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Sdělení o globální reakci EU na COVID-19 (JOIN(2020) 11 final) ze dne 8.4.2020.</w:t>
      </w:r>
    </w:p>
  </w:footnote>
  <w:footnote w:id="8">
    <w:p w:rsidR="00BF428A" w:rsidRDefault="00664AC3">
      <w:pPr>
        <w:pStyle w:val="NormalWeb"/>
        <w:jc w:val="both"/>
      </w:pPr>
      <w:r>
        <w:rPr>
          <w:sz w:val="20"/>
          <w:szCs w:val="20"/>
          <w:vertAlign w:val="superscript"/>
          <w:lang w:val="en-US"/>
        </w:rPr>
        <w:footnoteRef/>
      </w:r>
      <w:r>
        <w:rPr>
          <w:sz w:val="20"/>
          <w:szCs w:val="20"/>
        </w:rPr>
        <w:t xml:space="preserve"> Prováděcí nařízení Komise (EU) 2020/568 ze dne 23. dubna 2020, kterým se vývoz některých produktů podmiňuje předložením v</w:t>
      </w:r>
      <w:r>
        <w:rPr>
          <w:sz w:val="20"/>
          <w:szCs w:val="20"/>
        </w:rPr>
        <w:t>ývozního povolení (Úř. věst. L 129, 24.4.2020).</w:t>
      </w:r>
    </w:p>
  </w:footnote>
  <w:footnote w:id="9">
    <w:p w:rsidR="00BF428A" w:rsidRDefault="00664AC3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C(2020) 2050 final.</w:t>
      </w:r>
    </w:p>
  </w:footnote>
  <w:footnote w:id="10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Kromě toho bude na podporu přípravy a provádění projektů v rámci investičního rámce pro západní Balkán poskytnuto 65 milionů EUR. Hodnota balíčku v oblasti propojení z roku 2020 financovaného z prostředků EU tak dosáhne 200 milionů EUR.</w:t>
      </w:r>
    </w:p>
  </w:footnote>
  <w:footnote w:id="11">
    <w:p w:rsidR="00BF428A" w:rsidRDefault="00664AC3">
      <w:pPr>
        <w:pStyle w:val="FootnoteText"/>
        <w:jc w:val="both"/>
      </w:pPr>
      <w:r>
        <w:rPr>
          <w:rFonts w:ascii="Times New Roman" w:eastAsia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Systém pro výměn</w:t>
      </w:r>
      <w:r>
        <w:rPr>
          <w:rFonts w:ascii="Times New Roman" w:hAnsi="Times New Roman"/>
        </w:rPr>
        <w:t>u údajů o spotřební dani byl například modernizován tak, aby byla zajištěna včasná elektronická identifikace nákladních vozidel přepravujících základní zboží, sdělovaná hraničním přechodům s cílem umožnit nákladním vozidlům překročit hranici zelenými pruhy</w:t>
      </w:r>
      <w:r>
        <w:rPr>
          <w:rFonts w:ascii="Times New Roman" w:hAnsi="Times New Roman"/>
        </w:rPr>
        <w:t>.</w:t>
      </w:r>
    </w:p>
  </w:footnote>
  <w:footnote w:id="12">
    <w:p w:rsidR="00BF428A" w:rsidRDefault="00664AC3">
      <w:pPr>
        <w:pStyle w:val="FootnoteTex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V tomto ohledu Komise dne 3. dubna navrhla prodloužit autonomní obchodní opatření EU pro země západního Balkánu o další období 5 let do konce roku 2025 (COM(2020) 135 final), </w:t>
      </w:r>
    </w:p>
    <w:p w:rsidR="00BF428A" w:rsidRDefault="00664AC3">
      <w:pPr>
        <w:pStyle w:val="FootnoteText"/>
      </w:pPr>
      <w:r>
        <w:rPr>
          <w:rFonts w:ascii="Times New Roman" w:hAnsi="Times New Roman"/>
        </w:rPr>
        <w:t xml:space="preserve">2020/0051 (COD).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"/>
      <w:tabs>
        <w:tab w:val="clear" w:pos="9360"/>
        <w:tab w:val="right" w:pos="904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8A" w:rsidRDefault="00BF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03D"/>
    <w:multiLevelType w:val="hybridMultilevel"/>
    <w:tmpl w:val="50DA3C46"/>
    <w:lvl w:ilvl="0" w:tplc="08090013">
      <w:start w:val="1"/>
      <w:numFmt w:val="upperRoman"/>
      <w:lvlText w:val="%1."/>
      <w:lvlJc w:val="righ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8C6320"/>
    <w:multiLevelType w:val="hybridMultilevel"/>
    <w:tmpl w:val="34CCDB36"/>
    <w:lvl w:ilvl="0" w:tplc="18090011">
      <w:start w:val="1"/>
      <w:numFmt w:val="decimal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51692"/>
    <w:multiLevelType w:val="hybridMultilevel"/>
    <w:tmpl w:val="6628A694"/>
    <w:lvl w:ilvl="0" w:tplc="08090013">
      <w:start w:val="1"/>
      <w:numFmt w:val="upperRoman"/>
      <w:lvlText w:val="%1."/>
      <w:lvlJc w:val="righ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156DC"/>
    <w:multiLevelType w:val="hybridMultilevel"/>
    <w:tmpl w:val="1A942A5A"/>
    <w:lvl w:ilvl="0" w:tplc="080C000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41F9"/>
    <w:multiLevelType w:val="hybridMultilevel"/>
    <w:tmpl w:val="80584BB8"/>
    <w:lvl w:ilvl="0" w:tplc="FDEE4844">
      <w:start w:val="1"/>
      <w:numFmt w:val="bullet"/>
      <w:lvlText w:val="-"/>
      <w:lvlJc w:val="left"/>
      <w:pPr>
        <w:ind w:left="675" w:hanging="67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B3A38"/>
    <w:multiLevelType w:val="hybridMultilevel"/>
    <w:tmpl w:val="E430A882"/>
    <w:lvl w:ilvl="0" w:tplc="C77EC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057F"/>
    <w:multiLevelType w:val="hybridMultilevel"/>
    <w:tmpl w:val="328E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3502D"/>
    <w:multiLevelType w:val="hybridMultilevel"/>
    <w:tmpl w:val="A41C6E94"/>
    <w:numStyleLink w:val="ImportedStyle1"/>
  </w:abstractNum>
  <w:abstractNum w:abstractNumId="8" w15:restartNumberingAfterBreak="0">
    <w:nsid w:val="2F000009"/>
    <w:multiLevelType w:val="hybridMultilevel"/>
    <w:tmpl w:val="34B116FA"/>
    <w:lvl w:ilvl="0" w:tplc="D922A03E">
      <w:start w:val="1"/>
      <w:numFmt w:val="bullet"/>
      <w:lvlText w:val="Ø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F696803E">
      <w:start w:val="1"/>
      <w:numFmt w:val="bullet"/>
      <w:lvlText w:val="Ø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47F4BE3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5548F6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760CF8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A2AF56E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B0CC496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7A2DE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F8A2E6E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26"/>
    <w:multiLevelType w:val="hybridMultilevel"/>
    <w:tmpl w:val="43EE3B82"/>
    <w:lvl w:ilvl="0" w:tplc="FEE2DBB8">
      <w:start w:val="15"/>
      <w:numFmt w:val="bullet"/>
      <w:lvlText w:val="-"/>
      <w:lvlJc w:val="left"/>
      <w:pPr>
        <w:ind w:left="720" w:hanging="360"/>
        <w:jc w:val="both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1" w:tplc="B55C1D74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B2C698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1FCB00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BB254B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B045024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7F4F9F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2F609A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8A4740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2F000030"/>
    <w:multiLevelType w:val="hybridMultilevel"/>
    <w:tmpl w:val="1F34BE0E"/>
    <w:lvl w:ilvl="0" w:tplc="246A393C">
      <w:start w:val="1"/>
      <w:numFmt w:val="bullet"/>
      <w:lvlText w:val="Ø"/>
      <w:lvlJc w:val="left"/>
      <w:pPr>
        <w:ind w:left="592" w:hanging="400"/>
        <w:jc w:val="both"/>
      </w:pPr>
      <w:rPr>
        <w:rFonts w:ascii="Wingdings" w:eastAsia="Wingdings" w:hAnsi="Wingdings"/>
        <w:b w:val="0"/>
        <w:w w:val="100"/>
        <w:sz w:val="24"/>
        <w:szCs w:val="24"/>
        <w:u w:val="none"/>
        <w:shd w:val="clear" w:color="auto" w:fill="auto"/>
      </w:rPr>
    </w:lvl>
    <w:lvl w:ilvl="1" w:tplc="118EBD14">
      <w:start w:val="1"/>
      <w:numFmt w:val="bullet"/>
      <w:lvlText w:val="n"/>
      <w:lvlJc w:val="left"/>
      <w:pPr>
        <w:ind w:left="9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5104660A">
      <w:start w:val="1"/>
      <w:numFmt w:val="bullet"/>
      <w:lvlText w:val="u"/>
      <w:lvlJc w:val="left"/>
      <w:pPr>
        <w:ind w:left="13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2E686DC">
      <w:start w:val="1"/>
      <w:numFmt w:val="bullet"/>
      <w:lvlText w:val="Ø"/>
      <w:lvlJc w:val="left"/>
      <w:pPr>
        <w:ind w:left="17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317603B6">
      <w:start w:val="1"/>
      <w:numFmt w:val="bullet"/>
      <w:lvlText w:val="n"/>
      <w:lvlJc w:val="left"/>
      <w:pPr>
        <w:ind w:left="21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DCC88D5E">
      <w:start w:val="1"/>
      <w:numFmt w:val="bullet"/>
      <w:lvlText w:val="u"/>
      <w:lvlJc w:val="left"/>
      <w:pPr>
        <w:ind w:left="25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39839E8">
      <w:start w:val="1"/>
      <w:numFmt w:val="bullet"/>
      <w:lvlText w:val="Ø"/>
      <w:lvlJc w:val="left"/>
      <w:pPr>
        <w:ind w:left="29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F3442810">
      <w:start w:val="1"/>
      <w:numFmt w:val="bullet"/>
      <w:lvlText w:val="n"/>
      <w:lvlJc w:val="left"/>
      <w:pPr>
        <w:ind w:left="33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459CFE62">
      <w:start w:val="1"/>
      <w:numFmt w:val="bullet"/>
      <w:lvlText w:val="u"/>
      <w:lvlJc w:val="left"/>
      <w:pPr>
        <w:ind w:left="3792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3162379A"/>
    <w:multiLevelType w:val="hybridMultilevel"/>
    <w:tmpl w:val="839A3770"/>
    <w:lvl w:ilvl="0" w:tplc="FDEE4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20EBD"/>
    <w:multiLevelType w:val="hybridMultilevel"/>
    <w:tmpl w:val="215C1B9C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751E2"/>
    <w:multiLevelType w:val="hybridMultilevel"/>
    <w:tmpl w:val="29B8FF8C"/>
    <w:lvl w:ilvl="0" w:tplc="FDEE484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F7D93"/>
    <w:multiLevelType w:val="hybridMultilevel"/>
    <w:tmpl w:val="C7CEC9F4"/>
    <w:lvl w:ilvl="0" w:tplc="FDEE484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E902D2"/>
    <w:multiLevelType w:val="hybridMultilevel"/>
    <w:tmpl w:val="C0061EF4"/>
    <w:lvl w:ilvl="0" w:tplc="C680B46C">
      <w:start w:val="1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C0670"/>
    <w:multiLevelType w:val="hybridMultilevel"/>
    <w:tmpl w:val="5B6A7AE0"/>
    <w:lvl w:ilvl="0" w:tplc="FDEE48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50132"/>
    <w:multiLevelType w:val="hybridMultilevel"/>
    <w:tmpl w:val="2DC07B7E"/>
    <w:lvl w:ilvl="0" w:tplc="FDEE4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244"/>
    <w:multiLevelType w:val="hybridMultilevel"/>
    <w:tmpl w:val="A41C6E94"/>
    <w:styleLink w:val="ImportedStyle1"/>
    <w:lvl w:ilvl="0" w:tplc="826AB56E">
      <w:start w:val="1"/>
      <w:numFmt w:val="upperRoman"/>
      <w:lvlText w:val="%1."/>
      <w:lvlJc w:val="left"/>
      <w:pPr>
        <w:ind w:left="7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62A8C">
      <w:start w:val="1"/>
      <w:numFmt w:val="lowerLetter"/>
      <w:lvlText w:val="%2."/>
      <w:lvlJc w:val="left"/>
      <w:pPr>
        <w:ind w:left="15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C6F396">
      <w:start w:val="1"/>
      <w:numFmt w:val="lowerRoman"/>
      <w:lvlText w:val="%3."/>
      <w:lvlJc w:val="left"/>
      <w:pPr>
        <w:ind w:left="22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F852DE">
      <w:start w:val="1"/>
      <w:numFmt w:val="decimal"/>
      <w:lvlText w:val="%4."/>
      <w:lvlJc w:val="left"/>
      <w:pPr>
        <w:ind w:left="29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9C4E04">
      <w:start w:val="1"/>
      <w:numFmt w:val="lowerLetter"/>
      <w:lvlText w:val="%5."/>
      <w:lvlJc w:val="left"/>
      <w:pPr>
        <w:ind w:left="36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3CF178">
      <w:start w:val="1"/>
      <w:numFmt w:val="lowerRoman"/>
      <w:lvlText w:val="%6."/>
      <w:lvlJc w:val="left"/>
      <w:pPr>
        <w:ind w:left="43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01B84">
      <w:start w:val="1"/>
      <w:numFmt w:val="decimal"/>
      <w:lvlText w:val="%7."/>
      <w:lvlJc w:val="left"/>
      <w:pPr>
        <w:ind w:left="5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4A7C1E">
      <w:start w:val="1"/>
      <w:numFmt w:val="lowerLetter"/>
      <w:lvlText w:val="%8."/>
      <w:lvlJc w:val="left"/>
      <w:pPr>
        <w:ind w:left="5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C45F8">
      <w:start w:val="1"/>
      <w:numFmt w:val="lowerRoman"/>
      <w:lvlText w:val="%9."/>
      <w:lvlJc w:val="left"/>
      <w:pPr>
        <w:ind w:left="65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A8105DE"/>
    <w:multiLevelType w:val="hybridMultilevel"/>
    <w:tmpl w:val="85989ECE"/>
    <w:lvl w:ilvl="0" w:tplc="FDEE4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2"/>
  </w:num>
  <w:num w:numId="10">
    <w:abstractNumId w:val="17"/>
  </w:num>
  <w:num w:numId="11">
    <w:abstractNumId w:val="16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11"/>
  </w:num>
  <w:num w:numId="17">
    <w:abstractNumId w:val="19"/>
  </w:num>
  <w:num w:numId="18">
    <w:abstractNumId w:val="5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4E790350-8C40-45DD-9424-A321D859137F"/>
    <w:docVar w:name="LW_COVERPAGE_TYPE" w:val="1"/>
    <w:docVar w:name="LW_CROSSREFERENCE" w:val="&lt;UNUSED&gt;"/>
    <w:docVar w:name="LW_DocType" w:val="NORMAL"/>
    <w:docVar w:name="LW_EMISSION" w:val="29.4.2020"/>
    <w:docVar w:name="LW_EMISSION_ISODATE" w:val="2020-04-29"/>
    <w:docVar w:name="LW_EMISSION_LOCATION" w:val="BRX"/>
    <w:docVar w:name="LW_EMISSION_PREFIX" w:val="V Bruselu dne "/>
    <w:docVar w:name="LW_EMISSION_SUFFIX" w:val=" "/>
    <w:docVar w:name="LW_ID_DOCTYPE_NONLW" w:val="CP-014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31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Podpora západního Balkánu v boji s pandemií COVID-19 a p\u345?i obnov\u283? po ní&lt;/FMT&gt;_x000d__x000b__x000d__x000d__x000d__x000d__x000d__x000d__x000b__x000d__x000d__x000d__x000d__x000d_&lt;FMT:Bold&gt;P\u345?ísp\u283?vek Komise p\u345?ed setkáním vedoucích p\u345?edstavitel\u367? EU a zemí západního Balkánu dne 6. kv\u283?tna 2020&lt;/FMT&gt;"/>
    <w:docVar w:name="LW_TYPE.DOC.CP" w:val="SD\u282?LENÍ KOMISE EVROPSKÉMU PARLAMENTU, RAD\u282?, EVROPSKÉMU HOSPODÁ\u344?SKÉMU A SOCIÁLNÍMU VÝBORU A VÝBORU REGION\u366?"/>
    <w:docVar w:name="LW_TYPE.DOC.CP.USERTEXT" w:val="&lt;EMPTY&gt;"/>
  </w:docVars>
  <w:rsids>
    <w:rsidRoot w:val="00BF428A"/>
    <w:rsid w:val="00664AC3"/>
    <w:rsid w:val="00B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17CBB2E-B8FD-4058-850F-32A32B91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styleId="ListParagraph">
    <w:name w:val="List Paragraph"/>
    <w:aliases w:val="Table/Figure Heading,Colorful List - Accent 11,Dot pt,F5 List Paragraph,List Paragraph1,No Spacing1,List Paragraph Char Char Char,Indicator Text,Numbered Para 1,Bullet 1,Bullet Points,MAIN CONTENT,List Paragraph11,List Paragraph12,L,Ha"/>
    <w:basedOn w:val="Normal"/>
    <w:link w:val="ListParagraphChar"/>
    <w:qFormat/>
    <w:pPr>
      <w:spacing w:after="0" w:line="240" w:lineRule="auto"/>
      <w:ind w:left="720"/>
    </w:pPr>
    <w:rPr>
      <w:rFonts w:ascii="Calibri" w:eastAsia="Calibri" w:hAnsi="Calibri" w:cs="Times New Roman"/>
      <w:lang w:eastAsia="fr-BE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Times New Roman"/>
      <w:sz w:val="20"/>
      <w:szCs w:val="20"/>
      <w:lang w:val="cs-CZ" w:eastAsia="fr-BE"/>
    </w:rPr>
  </w:style>
  <w:style w:type="character" w:styleId="FootnoteReference">
    <w:name w:val="footnote reference"/>
    <w:aliases w:val="Voetnoot verwijzing,number,Footnote reference number,Footnote symbol,note TESI,-E Fußnotenzeichen,SUPERS,stylish,Footnote Reference_EP-LCA,BVI fnr,Odwołanie przypisu,Footnote Reference2,Footnote Reference Number,E FNZ,Footnote#,n,Nota"/>
    <w:basedOn w:val="DefaultParagraphFont"/>
    <w:link w:val="FootnotesymbolCarZchn"/>
    <w:uiPriority w:val="99"/>
    <w:unhideWhenUsed/>
    <w:qFormat/>
    <w:rPr>
      <w:w w:val="100"/>
      <w:sz w:val="20"/>
      <w:szCs w:val="20"/>
      <w:shd w:val="clear" w:color="auto" w:fill="auto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cs-CZ" w:eastAsia="fr-BE"/>
    </w:rPr>
  </w:style>
  <w:style w:type="paragraph" w:styleId="NormalWeb">
    <w:name w:val="Normal (Web)"/>
    <w:basedOn w:val="Normal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ListParagraphChar">
    <w:name w:val="List Paragraph Char"/>
    <w:aliases w:val="Table/Figure Heading Char,Colorful List - Accent 11 Char,Dot pt Char,F5 List Paragraph Char,List Paragraph1 Char,No Spacing1 Char,List Paragraph Char Char Char Char,Indicator Text Char,Numbered Para 1 Char,Bullet 1 Char,L Char"/>
    <w:basedOn w:val="DefaultParagraphFont"/>
    <w:link w:val="ListParagraph"/>
    <w:uiPriority w:val="34"/>
    <w:qFormat/>
    <w:rPr>
      <w:rFonts w:ascii="Calibri" w:eastAsia="Calibri" w:hAnsi="Calibri" w:cs="Times New Roman"/>
      <w:lang w:val="cs-CZ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cs-CZ" w:eastAsia="fr-B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qFormat/>
    <w:pPr>
      <w:spacing w:after="160" w:line="240" w:lineRule="exact"/>
      <w:jc w:val="both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9"/>
      </w:numPr>
    </w:pPr>
  </w:style>
  <w:style w:type="character" w:customStyle="1" w:styleId="Hyperlink0">
    <w:name w:val="Hyperlink.0"/>
    <w:basedOn w:val="DefaultParagraphFont"/>
    <w:rPr>
      <w:rFonts w:ascii="Times New Roman" w:eastAsia="Times New Roman" w:hAnsi="Times New Roman" w:cs="Times New Roman"/>
      <w:color w:val="0000FF"/>
      <w:u w:val="single" w:color="0000FF"/>
      <w:lang w:val="cs-CZ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c.europa.eu/neighbourhood-enlargement/sites/near/files/enlargement-methodology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0F63-6C83-4E2C-8B15-70B54EBE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1939</Words>
  <Characters>14277</Characters>
  <Application>Microsoft Office Word</Application>
  <DocSecurity>0</DocSecurity>
  <Lines>203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cp:lastPrinted>2020-04-28T19:27:00Z</cp:lastPrinted>
  <dcterms:created xsi:type="dcterms:W3CDTF">2020-04-28T19:14:00Z</dcterms:created>
  <dcterms:modified xsi:type="dcterms:W3CDTF">2020-05-04T12:23:00Z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CP-014</vt:lpwstr>
  </property>
  <property fmtid="{D5CDD505-2E9C-101B-9397-08002B2CF9AE}" pid="7" name="Last edited using">
    <vt:lpwstr>LW 7.0.1, Build 20190916</vt:lpwstr>
  </property>
  <property fmtid="{D5CDD505-2E9C-101B-9397-08002B2CF9AE}" pid="8" name="Created using">
    <vt:lpwstr>LW 7.0.1, Build 20190916</vt:lpwstr>
  </property>
  <property name="OP_sanitized" fmtid="{D5CDD505-2E9C-101B-9397-08002B2CF9AE}" pid="9">
    <vt:lpwstr>True</vt:lpwstr>
  </property>
</Properties>
</file>