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610DADC-52DC-4843-A6BF-5B01690FE566" style="width:451pt;height:336.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120"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rPr>
        <w:lastRenderedPageBreak/>
        <w:t xml:space="preserve">Styrkelse af tiltrædelsesprocessen — Et troværdigt EU-perspektiv for landene på Vestbalkan  </w:t>
      </w:r>
    </w:p>
    <w:p>
      <w:pPr>
        <w:spacing w:after="120" w:line="240" w:lineRule="auto"/>
        <w:rPr>
          <w:rFonts w:ascii="Times New Roman" w:hAnsi="Times New Roman" w:cs="Times New Roman"/>
          <w:b/>
          <w:noProof/>
          <w:sz w:val="24"/>
          <w:szCs w:val="24"/>
          <w:u w:val="single"/>
        </w:rPr>
      </w:pP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rPr>
        <w:t>Indledning</w:t>
      </w:r>
    </w:p>
    <w:p>
      <w:pPr>
        <w:spacing w:after="120" w:line="240" w:lineRule="auto"/>
        <w:jc w:val="both"/>
        <w:rPr>
          <w:rFonts w:ascii="Times New Roman" w:hAnsi="Times New Roman" w:cs="Times New Roman"/>
          <w:noProof/>
          <w:sz w:val="24"/>
          <w:szCs w:val="24"/>
        </w:rPr>
      </w:pPr>
    </w:p>
    <w:p>
      <w:pPr>
        <w:spacing w:after="120" w:line="240" w:lineRule="auto"/>
        <w:jc w:val="both"/>
        <w:rPr>
          <w:rFonts w:ascii="Times New Roman" w:eastAsia="Calibri" w:hAnsi="Times New Roman" w:cs="Times New Roman"/>
          <w:iCs/>
          <w:noProof/>
          <w:sz w:val="24"/>
          <w:szCs w:val="24"/>
        </w:rPr>
      </w:pPr>
      <w:r>
        <w:rPr>
          <w:rFonts w:ascii="Times New Roman" w:hAnsi="Times New Roman"/>
          <w:noProof/>
        </w:rPr>
        <w:t xml:space="preserve">Den Europæiske Union og dens medlemsstater har siden topmøderne i Feira og Thessaloniki i 2000 og 2003 konsekvent givet udtryk for deres </w:t>
      </w:r>
      <w:r>
        <w:rPr>
          <w:rFonts w:ascii="Times New Roman" w:hAnsi="Times New Roman"/>
          <w:b/>
          <w:bCs/>
          <w:noProof/>
        </w:rPr>
        <w:t>uforbeholdne støtte til det europæiske perspektiv for landene på Vestbalkan</w:t>
      </w:r>
      <w:r>
        <w:rPr>
          <w:rFonts w:ascii="Times New Roman" w:hAnsi="Times New Roman"/>
          <w:noProof/>
        </w:rPr>
        <w:t xml:space="preserve">. I de konklusioner, der blev vedtaget på samlingen i Rådet (almindelige anliggender) i juni 2019, bekræftede Rådet på ny </w:t>
      </w:r>
      <w:r>
        <w:rPr>
          <w:rFonts w:ascii="Times New Roman" w:hAnsi="Times New Roman"/>
          <w:i/>
          <w:iCs/>
          <w:noProof/>
        </w:rPr>
        <w:t xml:space="preserve">"sin </w:t>
      </w:r>
      <w:r>
        <w:rPr>
          <w:rFonts w:ascii="Times New Roman" w:hAnsi="Times New Roman"/>
          <w:b/>
          <w:bCs/>
          <w:i/>
          <w:iCs/>
          <w:noProof/>
        </w:rPr>
        <w:t>vilje til udvidelse</w:t>
      </w:r>
      <w:r>
        <w:rPr>
          <w:rFonts w:ascii="Times New Roman" w:hAnsi="Times New Roman"/>
          <w:i/>
          <w:iCs/>
          <w:noProof/>
        </w:rPr>
        <w:t xml:space="preserve"> som en fortsat central politik for Den Europæiske Union i overensstemmelse med den nye konsensus om udvidelse, som Det Europæiske Råd godkendte den 14.-15. december 2006, og efterfølgende konklusioner fra Rådet"</w:t>
      </w:r>
      <w:r>
        <w:rPr>
          <w:rFonts w:ascii="Times New Roman" w:hAnsi="Times New Roman"/>
          <w:noProof/>
        </w:rPr>
        <w:t>.</w:t>
      </w:r>
      <w:r>
        <w:rPr>
          <w:rFonts w:ascii="Times New Roman" w:hAnsi="Times New Roman"/>
          <w:iCs/>
          <w:noProof/>
        </w:rPr>
        <w:t xml:space="preserve"> På Rådets samling i november 2019 var der en fælles forståelse af nytten af at undersøge effektiviteten af tiltrædelsesforhandlingerne.</w:t>
      </w:r>
    </w:p>
    <w:p>
      <w:pPr>
        <w:spacing w:after="120" w:line="240" w:lineRule="auto"/>
        <w:jc w:val="both"/>
        <w:rPr>
          <w:rFonts w:ascii="Times New Roman" w:eastAsia="Calibri" w:hAnsi="Times New Roman" w:cs="Times New Roman"/>
          <w:noProof/>
          <w:sz w:val="24"/>
          <w:szCs w:val="24"/>
        </w:rPr>
      </w:pPr>
      <w:r>
        <w:rPr>
          <w:rFonts w:ascii="Times New Roman" w:hAnsi="Times New Roman"/>
          <w:noProof/>
        </w:rPr>
        <w:t xml:space="preserve">Den </w:t>
      </w:r>
      <w:r>
        <w:rPr>
          <w:rFonts w:ascii="Times New Roman" w:hAnsi="Times New Roman"/>
          <w:b/>
          <w:noProof/>
        </w:rPr>
        <w:t>faste, meritbaserede udsigt til fuldt EU-medlemskab</w:t>
      </w:r>
      <w:r>
        <w:rPr>
          <w:rFonts w:ascii="Times New Roman" w:hAnsi="Times New Roman"/>
          <w:noProof/>
        </w:rPr>
        <w:t xml:space="preserve"> for landene på Vestbalkan er i høj grad i Unionens egen politiske, sikkerhedsmæssige og økonomiske interesse. I en tid med voksende globale udfordringer og splittelser udgør dette mere end nogensinde før </w:t>
      </w:r>
      <w:r>
        <w:rPr>
          <w:rFonts w:ascii="Times New Roman" w:hAnsi="Times New Roman"/>
          <w:b/>
          <w:noProof/>
        </w:rPr>
        <w:t>en geostrategisk investering</w:t>
      </w:r>
      <w:r>
        <w:rPr>
          <w:rFonts w:ascii="Times New Roman" w:hAnsi="Times New Roman"/>
          <w:noProof/>
        </w:rPr>
        <w:t xml:space="preserve"> i et stabilt, stærkt og forenet Europa. Et troværdigt tiltrædelsesperspektiv er et centralt incitament og en af de vigtigste drivkræfter for omstillingen i regionen og øger dermed vores fælles sikkerhed og velstand. Det er et vigtigt redskab til at fremme demokratiet, retsstatsprincippet og respekten for de grundlæggende rettigheder, som også er de vigtigste drivkræfter for økonomisk integration og et væsentligt grundlag for at fremme regional forsoning og stabilitet. Det er derfor absolut nødvendigt for </w:t>
      </w:r>
      <w:r>
        <w:rPr>
          <w:rFonts w:ascii="Times New Roman" w:hAnsi="Times New Roman"/>
          <w:b/>
          <w:noProof/>
        </w:rPr>
        <w:t>EU's troværdighed, for EU's succes og for EU's indflydelse i og uden for regionen</w:t>
      </w:r>
      <w:r>
        <w:rPr>
          <w:rFonts w:ascii="Times New Roman" w:hAnsi="Times New Roman"/>
          <w:noProof/>
        </w:rPr>
        <w:t xml:space="preserve">, at denne politik opretholdes og styrkes — navnlig i disse tider med øget geopolitisk konkurrence. </w:t>
      </w:r>
    </w:p>
    <w:p>
      <w:pPr>
        <w:spacing w:after="120" w:line="240" w:lineRule="auto"/>
        <w:jc w:val="both"/>
        <w:rPr>
          <w:rFonts w:ascii="Times New Roman" w:eastAsia="Calibri" w:hAnsi="Times New Roman" w:cs="Times New Roman"/>
          <w:noProof/>
          <w:sz w:val="24"/>
          <w:szCs w:val="24"/>
        </w:rPr>
      </w:pPr>
      <w:r>
        <w:rPr>
          <w:rFonts w:ascii="Times New Roman" w:hAnsi="Times New Roman"/>
          <w:noProof/>
        </w:rPr>
        <w:t xml:space="preserve">Det er dog også klart, at </w:t>
      </w:r>
      <w:r>
        <w:rPr>
          <w:rFonts w:ascii="Times New Roman" w:hAnsi="Times New Roman"/>
          <w:b/>
          <w:noProof/>
        </w:rPr>
        <w:t>effektiviteten af den</w:t>
      </w:r>
      <w:r>
        <w:rPr>
          <w:rFonts w:ascii="Times New Roman" w:hAnsi="Times New Roman"/>
          <w:noProof/>
        </w:rPr>
        <w:t xml:space="preserve"> </w:t>
      </w:r>
      <w:r>
        <w:rPr>
          <w:rFonts w:ascii="Times New Roman" w:hAnsi="Times New Roman"/>
          <w:b/>
          <w:noProof/>
        </w:rPr>
        <w:t>samlede tiltrædelsesproces og dens gennemførelse</w:t>
      </w:r>
      <w:r>
        <w:rPr>
          <w:rFonts w:ascii="Times New Roman" w:hAnsi="Times New Roman"/>
          <w:noProof/>
        </w:rPr>
        <w:t xml:space="preserve"> </w:t>
      </w:r>
      <w:r>
        <w:rPr>
          <w:rFonts w:ascii="Times New Roman" w:hAnsi="Times New Roman"/>
          <w:b/>
          <w:noProof/>
        </w:rPr>
        <w:t>skal forbedres yderligere</w:t>
      </w:r>
      <w:r>
        <w:rPr>
          <w:rFonts w:ascii="Times New Roman" w:hAnsi="Times New Roman"/>
          <w:noProof/>
        </w:rPr>
        <w:t xml:space="preserve">. Den strategiske kurs for politikken er fortsat og mere end nogensinde før relevant, men den skal omsættes langt bedre i praksis. </w:t>
      </w:r>
    </w:p>
    <w:p>
      <w:pPr>
        <w:spacing w:after="120" w:line="240" w:lineRule="auto"/>
        <w:jc w:val="both"/>
        <w:rPr>
          <w:rFonts w:ascii="Times New Roman" w:eastAsia="Calibri" w:hAnsi="Times New Roman" w:cs="Times New Roman"/>
          <w:noProof/>
          <w:sz w:val="24"/>
          <w:szCs w:val="24"/>
        </w:rPr>
      </w:pPr>
      <w:r>
        <w:rPr>
          <w:rFonts w:ascii="Times New Roman" w:hAnsi="Times New Roman"/>
          <w:noProof/>
        </w:rPr>
        <w:t>På trods af flere på hinanden følgende reformer, såsom den nye tilgang til retsstatsprincippet, fokus på grundprincipperne og forbedringer inden for rammerne af Kommissionens 2018-strategi for Vestbalkan</w:t>
      </w:r>
      <w:r>
        <w:rPr>
          <w:rStyle w:val="FootnoteReference"/>
          <w:noProof/>
        </w:rPr>
        <w:footnoteReference w:id="2"/>
      </w:r>
      <w:r>
        <w:rPr>
          <w:rFonts w:ascii="Times New Roman" w:hAnsi="Times New Roman"/>
          <w:noProof/>
        </w:rPr>
        <w:t xml:space="preserve">, skal der i processen være bedre redskaber til at håndtere </w:t>
      </w:r>
      <w:r>
        <w:rPr>
          <w:rFonts w:ascii="Times New Roman" w:hAnsi="Times New Roman"/>
          <w:b/>
          <w:noProof/>
        </w:rPr>
        <w:t>strukturelle svagheder</w:t>
      </w:r>
      <w:r>
        <w:rPr>
          <w:rFonts w:ascii="Times New Roman" w:hAnsi="Times New Roman"/>
          <w:noProof/>
        </w:rPr>
        <w:t xml:space="preserve"> i landene, navnlig hvad angår grundprincipperne. </w:t>
      </w:r>
    </w:p>
    <w:p>
      <w:pPr>
        <w:spacing w:after="120" w:line="240" w:lineRule="auto"/>
        <w:jc w:val="both"/>
        <w:rPr>
          <w:rFonts w:ascii="Times New Roman" w:eastAsia="Calibri" w:hAnsi="Times New Roman" w:cs="Times New Roman"/>
          <w:noProof/>
          <w:sz w:val="24"/>
          <w:szCs w:val="24"/>
        </w:rPr>
      </w:pPr>
      <w:r>
        <w:rPr>
          <w:rFonts w:ascii="Times New Roman" w:hAnsi="Times New Roman"/>
          <w:noProof/>
        </w:rPr>
        <w:t xml:space="preserve">Det er meget vigtigt, at der </w:t>
      </w:r>
      <w:r>
        <w:rPr>
          <w:rFonts w:ascii="Times New Roman" w:hAnsi="Times New Roman"/>
          <w:b/>
          <w:noProof/>
        </w:rPr>
        <w:t>opbygges større tillid mellem alle de interesserede parter</w:t>
      </w:r>
      <w:r>
        <w:rPr>
          <w:rFonts w:ascii="Times New Roman" w:hAnsi="Times New Roman"/>
          <w:noProof/>
        </w:rPr>
        <w:t xml:space="preserve">, og at </w:t>
      </w:r>
      <w:r>
        <w:rPr>
          <w:rFonts w:ascii="Times New Roman" w:hAnsi="Times New Roman"/>
          <w:b/>
          <w:noProof/>
        </w:rPr>
        <w:t>tiltrædelsesprocessen styrkes og gøres mere effektiv</w:t>
      </w:r>
      <w:r>
        <w:rPr>
          <w:rFonts w:ascii="Times New Roman" w:hAnsi="Times New Roman"/>
          <w:noProof/>
        </w:rPr>
        <w:t>.</w:t>
      </w:r>
      <w:r>
        <w:rPr>
          <w:rFonts w:ascii="Times New Roman" w:hAnsi="Times New Roman"/>
          <w:b/>
          <w:noProof/>
        </w:rPr>
        <w:t xml:space="preserve"> </w:t>
      </w:r>
      <w:r>
        <w:rPr>
          <w:rFonts w:ascii="Times New Roman" w:hAnsi="Times New Roman"/>
          <w:noProof/>
        </w:rPr>
        <w:t>Den skal være</w:t>
      </w:r>
      <w:r>
        <w:rPr>
          <w:rFonts w:ascii="Times New Roman" w:hAnsi="Times New Roman"/>
          <w:b/>
          <w:noProof/>
        </w:rPr>
        <w:t xml:space="preserve"> mere forudsigelig, mere troværdig —</w:t>
      </w:r>
      <w:r>
        <w:rPr>
          <w:rFonts w:ascii="Times New Roman" w:hAnsi="Times New Roman"/>
          <w:noProof/>
        </w:rPr>
        <w:t xml:space="preserve"> baseret på objektive kriterier og streng positiv og negativ konditionalitet samt reversibilitet — </w:t>
      </w:r>
      <w:r>
        <w:rPr>
          <w:rFonts w:ascii="Times New Roman" w:hAnsi="Times New Roman"/>
          <w:b/>
          <w:noProof/>
        </w:rPr>
        <w:t>mere dynamisk og med en stærkere politisk styring</w:t>
      </w:r>
      <w:r>
        <w:rPr>
          <w:rFonts w:ascii="Times New Roman" w:hAnsi="Times New Roman"/>
          <w:noProof/>
        </w:rPr>
        <w:t>.</w:t>
      </w:r>
    </w:p>
    <w:p>
      <w:pPr>
        <w:spacing w:after="120" w:line="240" w:lineRule="auto"/>
        <w:jc w:val="both"/>
        <w:rPr>
          <w:rFonts w:ascii="Times New Roman" w:eastAsia="Calibri" w:hAnsi="Times New Roman" w:cs="Times New Roman"/>
          <w:b/>
          <w:bCs/>
          <w:noProof/>
          <w:sz w:val="24"/>
          <w:szCs w:val="24"/>
        </w:rPr>
      </w:pPr>
      <w:r>
        <w:rPr>
          <w:rFonts w:ascii="Times New Roman" w:hAnsi="Times New Roman"/>
          <w:b/>
          <w:bCs/>
          <w:noProof/>
        </w:rPr>
        <w:t>Denne meddelelse indeholder Kommissionens konkrete forslag</w:t>
      </w:r>
      <w:r>
        <w:rPr>
          <w:rFonts w:ascii="Times New Roman" w:hAnsi="Times New Roman"/>
          <w:noProof/>
        </w:rPr>
        <w:t xml:space="preserve"> til at styrke hele tiltrædelsesprocessen. Det overordnede mål er at øge troværdigheden og tilliden på begge sider og opnå bedre praktiske resultater. De foreslåede ændringer kan indarbejdes i de eksisterende forhandlingsrammer, således at der sikres lige vilkår i regionen. Det betyder, at forhandlingsrammerne for Serbien og Montenegro ikke vil blive ændret, men at de foreslåede ændringer vil kunne indarbejdes i de eksisterende rammer efter aftale med disse to lande.</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Et af de centrale mål i Den Europæiske Unions engagement i forhold til landene på Vestbalkan er at forberede dem på at opfylde alle kravene til medlemsskab. Derfor ydes der bl.a. støtte til </w:t>
      </w:r>
      <w:r>
        <w:rPr>
          <w:rFonts w:ascii="Times New Roman" w:hAnsi="Times New Roman"/>
          <w:b/>
          <w:noProof/>
        </w:rPr>
        <w:t>grundlæggende demokratiske, retsstatslige og økonomiske reformer</w:t>
      </w:r>
      <w:r>
        <w:rPr>
          <w:rFonts w:ascii="Times New Roman" w:hAnsi="Times New Roman"/>
          <w:noProof/>
        </w:rPr>
        <w:t xml:space="preserve"> og tilpasning til centrale europæiske værdier. Disse tiltag fremmer igen en solid og hurtig </w:t>
      </w:r>
      <w:r>
        <w:rPr>
          <w:rFonts w:ascii="Times New Roman" w:hAnsi="Times New Roman"/>
          <w:b/>
          <w:noProof/>
        </w:rPr>
        <w:t>økonomisk vækst og social konvergens</w:t>
      </w:r>
      <w:r>
        <w:rPr>
          <w:rFonts w:ascii="Times New Roman" w:hAnsi="Times New Roman"/>
          <w:noProof/>
        </w:rPr>
        <w:t xml:space="preserve">. </w:t>
      </w:r>
    </w:p>
    <w:p>
      <w:pPr>
        <w:pStyle w:val="Briefingtext"/>
        <w:spacing w:after="120"/>
        <w:rPr>
          <w:rFonts w:ascii="Times New Roman" w:eastAsia="Calibri" w:hAnsi="Times New Roman" w:cs="Times New Roman"/>
          <w:noProof/>
          <w:sz w:val="24"/>
        </w:rPr>
      </w:pPr>
      <w:r>
        <w:rPr>
          <w:rFonts w:ascii="Times New Roman" w:hAnsi="Times New Roman"/>
          <w:noProof/>
        </w:rPr>
        <w:lastRenderedPageBreak/>
        <w:t xml:space="preserve">Desuden vil det, for at tiltrædelsesprocessen kan blive mere effektiv, være væsentligt med </w:t>
      </w:r>
      <w:r>
        <w:rPr>
          <w:rFonts w:ascii="Times New Roman" w:hAnsi="Times New Roman"/>
          <w:b/>
          <w:noProof/>
        </w:rPr>
        <w:t>strategisk kommunikation</w:t>
      </w:r>
      <w:r>
        <w:rPr>
          <w:rFonts w:ascii="Times New Roman" w:hAnsi="Times New Roman"/>
          <w:noProof/>
        </w:rPr>
        <w:t xml:space="preserve">. Det er af afgørende betydning at øge bevidstheden i regionen om de muligheder, som en tættere integration og reformer kan medføre, og at tackle ondsindet indflydelse fra tredjelande. Dette kræver også, at landene selv gør en mere troværdig indsats. Myndighedernes offentlige politiske tilsagn om at nå det strategiske mål om tiltrædelse af EU vil blive vurderet tydeligere i årsrapporterne.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Denne politiske tilgang vil således være hjørnestenen i </w:t>
      </w:r>
      <w:r>
        <w:rPr>
          <w:rFonts w:ascii="Times New Roman" w:hAnsi="Times New Roman"/>
          <w:b/>
          <w:noProof/>
        </w:rPr>
        <w:t>en fremadrettet dagsorden</w:t>
      </w:r>
      <w:r>
        <w:rPr>
          <w:rFonts w:ascii="Times New Roman" w:hAnsi="Times New Roman"/>
          <w:noProof/>
        </w:rPr>
        <w:t xml:space="preserve">. Denne dagsorden vil støtte omstillingen i landene på Vestbalkan til fungerende markedsøkonomier, der fuldt ud kan integreres i EU's indre marked og kan skabe job og muligheder for iværksættere, forbedre erhvervs- og investeringsklimaet, fremme retsstatsprincippet og standse hjerneflugten fra regionen. Disse reformer er afgørende for at sætte gang i økonomierne i Balkanlandene og knytte dem sammen med EU-markederne ved at fremskynde den nødvendige konvergens med EU. Kommissionen vil især overveje, hvordan man kan fremme investeringer, socioøkonomisk integration og retsstatsprincippet, forbedre adgangen til EU's indre marked, styrke konnektiviteten og udnytte mulighederne i den grønne økonomi. Kommissionen vil forelægge en meddelelse herom inden topmødet i Zagreb i maj 2020. </w:t>
      </w:r>
    </w:p>
    <w:p>
      <w:pPr>
        <w:spacing w:after="120" w:line="240" w:lineRule="auto"/>
        <w:jc w:val="both"/>
        <w:rPr>
          <w:rFonts w:ascii="Times New Roman" w:hAnsi="Times New Roman" w:cs="Times New Roman"/>
          <w:noProof/>
          <w:sz w:val="24"/>
          <w:szCs w:val="24"/>
        </w:rPr>
      </w:pPr>
    </w:p>
    <w:p>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rPr>
        <w:t>Ny dynamik i tiltrædelsesprocessen</w:t>
      </w:r>
    </w:p>
    <w:p>
      <w:pPr>
        <w:pStyle w:val="ListParagraph"/>
        <w:spacing w:after="120" w:line="240" w:lineRule="auto"/>
        <w:ind w:left="1080"/>
        <w:contextualSpacing w:val="0"/>
        <w:rPr>
          <w:rFonts w:ascii="Times New Roman" w:hAnsi="Times New Roman" w:cs="Times New Roman"/>
          <w:b/>
          <w:noProof/>
          <w:sz w:val="24"/>
          <w:szCs w:val="24"/>
          <w:u w:val="single"/>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Større troværdighed</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For at tiltrædelsesprocessen igen kan få troværdighed for begge sider og give optimale resultater, er det nødvendigt, at den bygger på solid </w:t>
      </w:r>
      <w:r>
        <w:rPr>
          <w:rFonts w:ascii="Times New Roman" w:hAnsi="Times New Roman"/>
          <w:b/>
          <w:noProof/>
        </w:rPr>
        <w:t>tiltro, gensidig tillid og klare forpligtelser for begge siders vedkommende</w:t>
      </w:r>
      <w:r>
        <w:rPr>
          <w:rFonts w:ascii="Times New Roman" w:hAnsi="Times New Roman"/>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Det </w:t>
      </w:r>
      <w:r>
        <w:rPr>
          <w:rFonts w:ascii="Times New Roman" w:hAnsi="Times New Roman"/>
          <w:b/>
          <w:noProof/>
        </w:rPr>
        <w:t>betyder, at lederne i landene på Vestbalkan skal levere mere troværdige resultater vedrørende deres tilsagn</w:t>
      </w:r>
      <w:r>
        <w:rPr>
          <w:rFonts w:ascii="Times New Roman" w:hAnsi="Times New Roman"/>
          <w:noProof/>
        </w:rPr>
        <w:t xml:space="preserve"> om at gennemføre de nødvendige grundlæggende reformer, uanset om det gælder retsstatsprincippet, bekæmpelse af korruption, økonomien eller sikring af velfungerende demokratiske institutioner og offentlig forvaltning eller tilpasning af udenrigspolitikken. EU's medlemsstater og borgere har legitime betænkeligheder og har behov for at få bekræftet landenes utvetydige politiske vilje, som skal bevises af håndgribelige strukturelle reformer. Lederne i landene på Vestbalkan skal også gøre en yderligere indsats for at styrke regionalt samarbejde og gode naboskabsforbindelser med henblik på at skabe stabilitet og velstand for deres borgere og samtidig give EU tillid til, at regionen gør noget ved de historisk betingede problemer.</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Dette betyder også, at </w:t>
      </w:r>
      <w:r>
        <w:rPr>
          <w:rFonts w:ascii="Times New Roman" w:hAnsi="Times New Roman"/>
          <w:b/>
          <w:noProof/>
        </w:rPr>
        <w:t>Den Europæiske Union skal leve op til sit urokkelige tilsagn om en meritbaseret proces</w:t>
      </w:r>
      <w:r>
        <w:rPr>
          <w:rFonts w:ascii="Times New Roman" w:hAnsi="Times New Roman"/>
          <w:noProof/>
        </w:rPr>
        <w:t xml:space="preserve">. Når partnerlandene opfylder de objektive kriterier og betingelser, skal medlemsstaterne acceptere at gå videre til næste fase i processen. Alle parter skal afstå fra at misbruge udestående spørgsmål i EU-tiltrædelsesprocessen. På samme måde skal medlemsstaterne og institutionerne tale med én stemme i regionen, sende klare signaler om støtte og opmuntring og tale klart og ærligt om manglerne, når de opstår.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Troværdigheden bør styrkes gennem et </w:t>
      </w:r>
      <w:r>
        <w:rPr>
          <w:rFonts w:ascii="Times New Roman" w:hAnsi="Times New Roman"/>
          <w:b/>
          <w:noProof/>
        </w:rPr>
        <w:t>endnu stærkere fokus på de grundlæggende reformer</w:t>
      </w:r>
      <w:r>
        <w:rPr>
          <w:rFonts w:ascii="Times New Roman" w:hAnsi="Times New Roman"/>
          <w:noProof/>
        </w:rPr>
        <w:t xml:space="preserve">, der er afgørende for at gøre fremskridt på vejen mod EU. Disse grundprincipper vil være endnu mere centrale i tiltrædelsesforhandlingerne. </w:t>
      </w:r>
      <w:r>
        <w:rPr>
          <w:rFonts w:ascii="Times New Roman" w:hAnsi="Times New Roman"/>
          <w:b/>
          <w:noProof/>
        </w:rPr>
        <w:t>Forhandlingerne om grundprincipperne vil blive åbnet som det første og afsluttet som det sidste</w:t>
      </w:r>
      <w:r>
        <w:rPr>
          <w:rFonts w:ascii="Times New Roman" w:hAnsi="Times New Roman"/>
          <w:noProof/>
        </w:rPr>
        <w:t>, og fremskridtene på dette område vil være afgørende for det generelle forhandlingstempo. Forhandlingerne om grundprincipperne vil bygge på følgende:</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En </w:t>
      </w:r>
      <w:r>
        <w:rPr>
          <w:rFonts w:ascii="Times New Roman" w:hAnsi="Times New Roman"/>
          <w:b/>
          <w:noProof/>
        </w:rPr>
        <w:t>køreplan for retsstatskapitlerne</w:t>
      </w:r>
      <w:r>
        <w:rPr>
          <w:rFonts w:ascii="Times New Roman" w:hAnsi="Times New Roman"/>
          <w:noProof/>
        </w:rPr>
        <w:t xml:space="preserve"> svarende til de tidligere handlingsplaner vil udgøre åbningsbenchmarket. Der vil fortsat blive fastsat foreløbige benchmarks. Intet andet kapitel vil blive foreløbigt lukket, før disse benchmarks er opfyldt.</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En </w:t>
      </w:r>
      <w:r>
        <w:rPr>
          <w:rFonts w:ascii="Times New Roman" w:hAnsi="Times New Roman"/>
          <w:b/>
          <w:noProof/>
        </w:rPr>
        <w:t>køreplan for demokratiske institutioners funktionsmåde</w:t>
      </w:r>
      <w:r>
        <w:rPr>
          <w:rFonts w:ascii="Times New Roman" w:hAnsi="Times New Roman"/>
          <w:noProof/>
        </w:rPr>
        <w:t xml:space="preserve"> og reform af den offentlige forvaltning.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En </w:t>
      </w:r>
      <w:r>
        <w:rPr>
          <w:rFonts w:ascii="Times New Roman" w:hAnsi="Times New Roman"/>
          <w:b/>
          <w:bCs/>
          <w:noProof/>
        </w:rPr>
        <w:t>stærkere sammenkædning med det økonomiske reformprogram</w:t>
      </w:r>
      <w:r>
        <w:rPr>
          <w:rFonts w:ascii="Times New Roman" w:hAnsi="Times New Roman"/>
          <w:noProof/>
        </w:rPr>
        <w:t xml:space="preserve"> for at hjælpe landene med at opfylde de økonomiske kriterier.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Kommissionen vil også styrke foranstaltningerne vedrørende retsstaten og opbygningen af institutioner. Resultaterne af disse reformer vil være en forudsætning for at opnå en dybere sektorintegration og mere generelle fremskridt. Desuden vil indsatsen for at bekæmpe korruption blive integreret i hele processen, ved at der i de relevante kapitler fokuseres kraftigt herpå. Støtten til regionalt samarbejde vil fortsætte med uformindsket styrke. Der skal gøres alt for at løse bilaterale tvister, med særlig vægt på den EU-støttede dialog mellem Beograd og Pristina, som bør afsluttes med, at der indgås en omfattende og retligt bindende normaliseringsaftale. </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En stærkere politisk styring</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Tiltrædelse af Den Europæiske Union er en proces, som kræver, at der gennemføres grundlæggende reformer og politiske og økonomiske ændringer i de lande, der ønsker at tiltræde EU, samtidig med at der også ydes støtte dertil; landene skal desuden vise, at de er i stand til at påtage sig det fælles ansvar, der vil påhvile dem som medlemsstater i EU. Tiltrædelse er ikke en automatisk proces, men derimod et forløb, som skal afspejle </w:t>
      </w:r>
      <w:r>
        <w:rPr>
          <w:rFonts w:ascii="Times New Roman" w:hAnsi="Times New Roman"/>
          <w:b/>
          <w:noProof/>
        </w:rPr>
        <w:t>et aktivt samfundsmæssigt valg</w:t>
      </w:r>
      <w:r>
        <w:rPr>
          <w:rFonts w:ascii="Times New Roman" w:hAnsi="Times New Roman"/>
          <w:noProof/>
        </w:rPr>
        <w:t xml:space="preserve"> fra deres side for at nå og respektere de højeste europæiske standarder og værdier. På samme måde er medlemsstaternes tilsagn om at dele en fælles fremtid med landene på Vestbalkan som fuldgyldige medlemmer af Unionen et betydningsfuldt politisk og ikke blot teknisk tilsagn.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Det betyder, at begge parter bør </w:t>
      </w:r>
      <w:r>
        <w:rPr>
          <w:rFonts w:ascii="Times New Roman" w:hAnsi="Times New Roman"/>
          <w:b/>
          <w:noProof/>
        </w:rPr>
        <w:t>udvise større lederskab</w:t>
      </w:r>
      <w:r>
        <w:rPr>
          <w:rFonts w:ascii="Times New Roman" w:hAnsi="Times New Roman"/>
          <w:noProof/>
        </w:rPr>
        <w:t xml:space="preserve"> og leve op til deres respektive offentlige tilsagn, samtidig med at de mere direkte kommer ind på de spørgsmål, der giver anledning til bekymring. I betragtning af, hvad der står på spil, er tiden inde til at </w:t>
      </w:r>
      <w:r>
        <w:rPr>
          <w:rFonts w:ascii="Times New Roman" w:hAnsi="Times New Roman"/>
          <w:b/>
          <w:noProof/>
        </w:rPr>
        <w:t>sætte processens politiske karakter i centrum</w:t>
      </w:r>
      <w:r>
        <w:rPr>
          <w:rFonts w:ascii="Times New Roman" w:hAnsi="Times New Roman"/>
          <w:noProof/>
        </w:rPr>
        <w:t xml:space="preserve"> og sikre en stærkere styring og et højt engagement fra medlemsstaternes side.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Dette bør indebære, at der skabes nye muligheder for </w:t>
      </w:r>
      <w:r>
        <w:rPr>
          <w:rFonts w:ascii="Times New Roman" w:hAnsi="Times New Roman"/>
          <w:b/>
          <w:noProof/>
        </w:rPr>
        <w:t>politisk dialog på højt plan</w:t>
      </w:r>
      <w:r>
        <w:rPr>
          <w:rFonts w:ascii="Times New Roman" w:hAnsi="Times New Roman"/>
          <w:noProof/>
        </w:rPr>
        <w:t xml:space="preserve"> med landene </w:t>
      </w:r>
      <w:r>
        <w:rPr>
          <w:rFonts w:ascii="Times New Roman" w:hAnsi="Times New Roman"/>
          <w:b/>
          <w:noProof/>
        </w:rPr>
        <w:t>takket være regelmæssige topmøder mellem EU og landene på Vestbalkan og intensiverede kontakter på ministerplan</w:t>
      </w:r>
      <w:r>
        <w:rPr>
          <w:rFonts w:ascii="Times New Roman" w:hAnsi="Times New Roman"/>
          <w:noProof/>
        </w:rPr>
        <w:t xml:space="preserve">, navnlig på de områder, hvor tilpasningen skrider godt frem og de afgørende kriterier opfyldes. Et sådant øget engagement vil kunne føre til, at landene kan deltage som </w:t>
      </w:r>
      <w:r>
        <w:rPr>
          <w:rFonts w:ascii="Times New Roman" w:hAnsi="Times New Roman"/>
          <w:b/>
          <w:noProof/>
        </w:rPr>
        <w:t>observatører</w:t>
      </w:r>
      <w:r>
        <w:rPr>
          <w:rFonts w:ascii="Times New Roman" w:hAnsi="Times New Roman"/>
          <w:noProof/>
        </w:rPr>
        <w:t xml:space="preserve"> i vigtige EU-møder om spørgsmål, der er af væsentlig betydning for dem.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Det vil være vigtigt at sikre, at </w:t>
      </w:r>
      <w:r>
        <w:rPr>
          <w:rFonts w:ascii="Times New Roman" w:hAnsi="Times New Roman"/>
          <w:b/>
          <w:noProof/>
        </w:rPr>
        <w:t>alle organerne under stabiliserings- og associeringsaftalerne (SAA) fokuserer meget mere på de centrale politiske spørgsmål og reformer</w:t>
      </w:r>
      <w:r>
        <w:rPr>
          <w:rFonts w:ascii="Times New Roman" w:hAnsi="Times New Roman"/>
          <w:noProof/>
        </w:rPr>
        <w:t xml:space="preserve">, og at der åbnes mulighed for en reel politisk dialog. Via regeringskonferencer skal der opnås en stærkere politisk styring af tiltrædelsesforhandlingerne. </w:t>
      </w:r>
    </w:p>
    <w:p>
      <w:pPr>
        <w:spacing w:after="120" w:line="240" w:lineRule="auto"/>
        <w:jc w:val="both"/>
        <w:rPr>
          <w:rFonts w:ascii="Times New Roman" w:hAnsi="Times New Roman" w:cs="Times New Roman"/>
          <w:noProof/>
          <w:sz w:val="24"/>
          <w:szCs w:val="24"/>
        </w:rPr>
      </w:pPr>
      <w:r>
        <w:rPr>
          <w:rFonts w:ascii="Times New Roman" w:hAnsi="Times New Roman"/>
          <w:b/>
          <w:noProof/>
          <w:u w:val="single"/>
        </w:rPr>
        <w:t>Medlemsstaterne</w:t>
      </w:r>
      <w:r>
        <w:rPr>
          <w:rFonts w:ascii="Times New Roman" w:hAnsi="Times New Roman"/>
          <w:b/>
          <w:noProof/>
        </w:rPr>
        <w:t xml:space="preserve"> vil blive opfordret til at bidrage mere systematisk til tiltrædelsesprocessen</w:t>
      </w:r>
      <w:r>
        <w:rPr>
          <w:rFonts w:ascii="Times New Roman" w:hAnsi="Times New Roman"/>
          <w:noProof/>
        </w:rPr>
        <w:t xml:space="preserve">, bl.a. via deres eksperters overvågning på stedet, gennem direkte bidrag til årsrapporterne og gennem sektorspecifik ekspertise. Medlemsstaterne vil også få mulighed for at vurdere og overvåge de samlede fremskridt mere regelmæssigt.   </w:t>
      </w:r>
    </w:p>
    <w:p>
      <w:pPr>
        <w:spacing w:after="120" w:line="240" w:lineRule="auto"/>
        <w:jc w:val="both"/>
        <w:rPr>
          <w:rFonts w:ascii="Times New Roman" w:hAnsi="Times New Roman" w:cs="Times New Roman"/>
          <w:noProof/>
          <w:sz w:val="24"/>
          <w:szCs w:val="24"/>
        </w:rPr>
      </w:pPr>
      <w:r>
        <w:rPr>
          <w:rFonts w:ascii="Times New Roman" w:hAnsi="Times New Roman"/>
          <w:b/>
          <w:noProof/>
          <w:u w:val="single"/>
        </w:rPr>
        <w:t>Kommissionen</w:t>
      </w:r>
      <w:r>
        <w:rPr>
          <w:rFonts w:ascii="Times New Roman" w:hAnsi="Times New Roman"/>
          <w:noProof/>
        </w:rPr>
        <w:t xml:space="preserve"> vil fortsat gøre status over de samlede fremskridt i forhandlingerne. Den vil </w:t>
      </w:r>
      <w:r>
        <w:rPr>
          <w:rFonts w:ascii="Times New Roman" w:hAnsi="Times New Roman"/>
          <w:b/>
          <w:noProof/>
        </w:rPr>
        <w:t>i sin årlige udvidelsespakke foreslå det videre forløb</w:t>
      </w:r>
      <w:r>
        <w:rPr>
          <w:rFonts w:ascii="Times New Roman" w:hAnsi="Times New Roman"/>
          <w:noProof/>
        </w:rPr>
        <w:t xml:space="preserve"> for det følgende år med nærmere reformdetaljer med henblik på medlemsstaternes godkendelse, </w:t>
      </w:r>
      <w:r>
        <w:rPr>
          <w:rFonts w:ascii="Times New Roman" w:hAnsi="Times New Roman"/>
          <w:b/>
          <w:noProof/>
        </w:rPr>
        <w:t>herunder forslag til korrigerende foranstaltninger</w:t>
      </w:r>
      <w:r>
        <w:rPr>
          <w:rFonts w:ascii="Times New Roman" w:hAnsi="Times New Roman"/>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noProof/>
        </w:rPr>
        <w:t xml:space="preserve">Der bør afholdes </w:t>
      </w:r>
      <w:r>
        <w:rPr>
          <w:rFonts w:ascii="Times New Roman" w:hAnsi="Times New Roman"/>
          <w:b/>
          <w:noProof/>
          <w:u w:val="single"/>
        </w:rPr>
        <w:t>landespecifikke regeringskonferencer</w:t>
      </w:r>
      <w:r>
        <w:rPr>
          <w:rFonts w:ascii="Times New Roman" w:hAnsi="Times New Roman"/>
          <w:b/>
          <w:noProof/>
        </w:rPr>
        <w:t xml:space="preserve"> efter offentliggørelsen af Kommissionens årlige pakke</w:t>
      </w:r>
      <w:r>
        <w:rPr>
          <w:rFonts w:ascii="Times New Roman" w:hAnsi="Times New Roman"/>
          <w:noProof/>
        </w:rPr>
        <w:t xml:space="preserve"> af rapporter om hvert enkelt land og på den baggrund </w:t>
      </w:r>
      <w:r>
        <w:rPr>
          <w:rFonts w:ascii="Times New Roman" w:hAnsi="Times New Roman"/>
          <w:b/>
          <w:noProof/>
        </w:rPr>
        <w:t>skabes fora for politisk dialog</w:t>
      </w:r>
      <w:r>
        <w:rPr>
          <w:rFonts w:ascii="Times New Roman" w:hAnsi="Times New Roman"/>
          <w:noProof/>
        </w:rPr>
        <w:t xml:space="preserve"> om reformer, gøres status over den samlede tiltrædelsesproces og foretages planlægning for det kommende år, herunder åbning og lukning af kapitler/klynger af kapitler og eventuelle korrigerende foranstaltninger. Alle parter skal sikre, at de er repræsenteret på regeringskonferencen på et </w:t>
      </w:r>
      <w:r>
        <w:rPr>
          <w:rFonts w:ascii="Times New Roman" w:hAnsi="Times New Roman"/>
          <w:b/>
          <w:noProof/>
        </w:rPr>
        <w:t>passende niveau, således at der kan føres en produktiv politisk dialog</w:t>
      </w:r>
      <w:r>
        <w:rPr>
          <w:rFonts w:ascii="Times New Roman" w:hAnsi="Times New Roman"/>
          <w:noProof/>
        </w:rPr>
        <w:t>.</w:t>
      </w:r>
    </w:p>
    <w:p>
      <w:pPr>
        <w:spacing w:after="120" w:line="240" w:lineRule="auto"/>
        <w:jc w:val="both"/>
        <w:rPr>
          <w:rFonts w:ascii="Times New Roman" w:hAnsi="Times New Roman" w:cs="Times New Roman"/>
          <w:noProof/>
          <w:sz w:val="24"/>
          <w:szCs w:val="24"/>
        </w:rPr>
      </w:pPr>
      <w:r>
        <w:rPr>
          <w:rFonts w:ascii="Times New Roman" w:hAnsi="Times New Roman"/>
          <w:b/>
          <w:noProof/>
          <w:u w:val="single"/>
        </w:rPr>
        <w:t>Stabiliserings- og associeringsrådene</w:t>
      </w:r>
      <w:r>
        <w:rPr>
          <w:rFonts w:ascii="Times New Roman" w:hAnsi="Times New Roman"/>
          <w:noProof/>
        </w:rPr>
        <w:t xml:space="preserve"> vil også være et vigtigt og supplerende forum for den politiske dialog om reformer. Desuden kan de sammen med stabiliserings- og associeringsudvalgene og underudvalgene muliggøre en </w:t>
      </w:r>
      <w:r>
        <w:rPr>
          <w:rFonts w:ascii="Times New Roman" w:hAnsi="Times New Roman"/>
          <w:b/>
          <w:noProof/>
        </w:rPr>
        <w:t>stærkere overvågning af fremskridtene og håndtere aspekterne vedrørende fremskyndet integration</w:t>
      </w:r>
      <w:r>
        <w:rPr>
          <w:rFonts w:ascii="Times New Roman" w:hAnsi="Times New Roman"/>
          <w:noProof/>
        </w:rPr>
        <w:t xml:space="preserve"> i de respektive klynger (se nedenfor). </w:t>
      </w:r>
    </w:p>
    <w:p>
      <w:pPr>
        <w:spacing w:after="120" w:line="240" w:lineRule="auto"/>
        <w:jc w:val="both"/>
        <w:rPr>
          <w:rFonts w:ascii="Times New Roman" w:hAnsi="Times New Roman" w:cs="Times New Roman"/>
          <w:noProof/>
          <w:sz w:val="24"/>
          <w:szCs w:val="24"/>
        </w:rPr>
      </w:pPr>
      <w:r>
        <w:rPr>
          <w:rFonts w:ascii="Times New Roman" w:hAnsi="Times New Roman"/>
          <w:noProof/>
        </w:rPr>
        <w:t>Der bør foretages en mere tilbundsgående politisk statusopgørelse på vigtige tidspunkter i hver partners tiltrædelsesproces, f.eks. når foreløbige benchmarks for grundlæggende reformer er opfyldt, hver gang Rådet beslutter, om betingelserne for at åbne en klynge er opfyldt, og når de overordnede forhandlinger teknisk set kan afsluttes.</w:t>
      </w:r>
    </w:p>
    <w:p>
      <w:pPr>
        <w:spacing w:after="120" w:line="240" w:lineRule="auto"/>
        <w:jc w:val="both"/>
        <w:rPr>
          <w:rFonts w:ascii="Times New Roman" w:hAnsi="Times New Roman" w:cs="Times New Roman"/>
          <w:noProof/>
          <w:sz w:val="24"/>
          <w:szCs w:val="24"/>
        </w:rPr>
      </w:pPr>
    </w:p>
    <w:p>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rPr>
        <w:t xml:space="preserve">En mere dynamisk proces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For at puste nyt liv i forhandlingsprocessen og fremme interaktionen i indsatsen ud over de enkelte kapitler vil </w:t>
      </w:r>
      <w:r>
        <w:rPr>
          <w:rFonts w:ascii="Times New Roman" w:hAnsi="Times New Roman"/>
          <w:b/>
          <w:bCs/>
          <w:noProof/>
        </w:rPr>
        <w:t>forhandlingskapitlerne blive organiseret i tematiske klynger</w:t>
      </w:r>
      <w:r>
        <w:rPr>
          <w:rFonts w:ascii="Times New Roman" w:hAnsi="Times New Roman"/>
          <w:noProof/>
        </w:rPr>
        <w:t xml:space="preserve">. Disse klynger er centreret om brede temaer som god forvaltning, det indre marked, økonomisk konkurrenceevne og konnektivitet.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Ved at samle kapitler i klynger bliver det muligt at sætte </w:t>
      </w:r>
      <w:r>
        <w:rPr>
          <w:rFonts w:ascii="Times New Roman" w:hAnsi="Times New Roman"/>
          <w:b/>
          <w:bCs/>
          <w:noProof/>
        </w:rPr>
        <w:t>større fokus på centrale sektorer i den politiske dialog</w:t>
      </w:r>
      <w:r>
        <w:rPr>
          <w:rFonts w:ascii="Times New Roman" w:hAnsi="Times New Roman"/>
          <w:noProof/>
        </w:rPr>
        <w:t xml:space="preserve"> og skabe bedre rammer for politisk engagement på højere niveau. Det vil gøre det muligt at </w:t>
      </w:r>
      <w:r>
        <w:rPr>
          <w:rFonts w:ascii="Times New Roman" w:hAnsi="Times New Roman"/>
          <w:b/>
          <w:bCs/>
          <w:noProof/>
        </w:rPr>
        <w:t>fastlægge de vigtigste og mest presserende reformer i hver sektor</w:t>
      </w:r>
      <w:r>
        <w:rPr>
          <w:rFonts w:ascii="Times New Roman" w:hAnsi="Times New Roman"/>
          <w:noProof/>
        </w:rPr>
        <w:t>.  Dermed kommer der mere gang i den samlede faktiske reformproces, i og med at der tilskyndes til sektorreformer til gavn for borgerne og erhvervslivet.</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Frem for at være koncentreret om de enkelte kapitler </w:t>
      </w:r>
      <w:r>
        <w:rPr>
          <w:rFonts w:ascii="Times New Roman" w:hAnsi="Times New Roman"/>
          <w:b/>
          <w:bCs/>
          <w:noProof/>
        </w:rPr>
        <w:t>vil forhandlingerne om hver enkelt klynge blive åbnet som en helhed</w:t>
      </w:r>
      <w:r>
        <w:rPr>
          <w:rFonts w:ascii="Times New Roman" w:hAnsi="Times New Roman"/>
          <w:noProof/>
        </w:rPr>
        <w:t xml:space="preserve"> — når de indledende benchmarks er opfyldt. Efter den screeningproces, der foretages for de enkelte klynger, vil EU og kandidatlandet aftale prioriteterne for fremskyndet integration og centrale reformer. Når der er gjort tilstrækkeligt ved disse prioriteter, åbnes klyngen (der omfatter alle de tilknyttede kapitler) uden yderligere betingelser, og der fastsættes afsluttende benchmarks for hvert kapitel. I de tilfælde hvor der allerede er gennemført vigtige reformer inden åbningen, bør tidsrummet fra åbningen af klyngen til lukningen af de enkelte kapitler være begrænset og helst ikke længere end et år, afhængigt af de fremskridt, der gøres med reformerne, og med fokus på de resterende foranstaltninger, der er nødvendige for at sikre fuld tilpasning. </w:t>
      </w:r>
    </w:p>
    <w:p>
      <w:pPr>
        <w:widowControl w:val="0"/>
        <w:spacing w:after="120" w:line="240" w:lineRule="auto"/>
        <w:jc w:val="both"/>
        <w:rPr>
          <w:rFonts w:ascii="Times New Roman" w:hAnsi="Times New Roman" w:cs="Times New Roman"/>
          <w:noProof/>
          <w:sz w:val="24"/>
          <w:szCs w:val="24"/>
        </w:rPr>
      </w:pPr>
      <w:r>
        <w:rPr>
          <w:rFonts w:ascii="Times New Roman" w:hAnsi="Times New Roman"/>
          <w:b/>
          <w:bCs/>
          <w:noProof/>
        </w:rPr>
        <w:t>Klyngerne vil blive knyttet til SAA-underudvalgenes arbejdsområder</w:t>
      </w:r>
      <w:r>
        <w:rPr>
          <w:rFonts w:ascii="Times New Roman" w:hAnsi="Times New Roman"/>
          <w:noProof/>
        </w:rPr>
        <w:t xml:space="preserve">, således at fremskridtene i hver klynge kan overvåges, og der kan træffes specifikke foranstaltninger for at fremskynde tilpasningen inden for rammerne af SAA-strukturerne. Dette vil give mulighed for målrettede dialoger og fastlæggelse af </w:t>
      </w:r>
      <w:r>
        <w:rPr>
          <w:rFonts w:ascii="Times New Roman" w:hAnsi="Times New Roman"/>
          <w:b/>
          <w:bCs/>
          <w:noProof/>
        </w:rPr>
        <w:t>muligheder for fremskyndet tilpasning</w:t>
      </w:r>
      <w:r>
        <w:rPr>
          <w:rFonts w:ascii="Times New Roman" w:hAnsi="Times New Roman"/>
          <w:noProof/>
        </w:rPr>
        <w:t xml:space="preserve"> og integration i alle EU's politikområder med klare fordele for både Den Europæiske Union og kandidatlandene.</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For at skabe mere dynamik i </w:t>
      </w:r>
      <w:r>
        <w:rPr>
          <w:rFonts w:ascii="Times New Roman" w:hAnsi="Times New Roman"/>
          <w:b/>
          <w:bCs/>
          <w:noProof/>
        </w:rPr>
        <w:t>forhandlingerne med Serbien og Montenegro</w:t>
      </w:r>
      <w:r>
        <w:rPr>
          <w:rFonts w:ascii="Times New Roman" w:hAnsi="Times New Roman"/>
          <w:noProof/>
        </w:rPr>
        <w:t xml:space="preserve"> kan arbejdet inden for kapitler også organiseres i klynger, hvis disse lande giver deres samtykke dertil, og de eksisterende forhandlingsrammer samtidig respekteres. Dermed bliver det også muligt at opnå et mere politisk fokus på centrale sektorer og skabe politisk momentum i landene omkring centrale spørgsmål, der skal tilpasses. Der vil blive mulighed for at deltage i en proces med henblik på at identificere områder af interesse for en fremskyndet sektortilpasning og integration, med fælles køreplaner, der skal vedtages og følges op under SAA-strukturerne.</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 </w:t>
      </w:r>
    </w:p>
    <w:p>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b/>
          <w:noProof/>
        </w:rPr>
        <w:t xml:space="preserve">Forudsigelighed, positiv og negativ konditionalitet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Både medlemsstaterne og landene på Vestbalkan er kommet med stærke opfordringer til, at der iværksætte en proces, der er mere forudsigelig, og som sikrer </w:t>
      </w:r>
      <w:r>
        <w:rPr>
          <w:rFonts w:ascii="Times New Roman" w:hAnsi="Times New Roman"/>
          <w:b/>
          <w:bCs/>
          <w:noProof/>
        </w:rPr>
        <w:t>større klarhed om, hvad Unionen forventer</w:t>
      </w:r>
      <w:r>
        <w:rPr>
          <w:rFonts w:ascii="Times New Roman" w:hAnsi="Times New Roman"/>
          <w:noProof/>
        </w:rPr>
        <w:t xml:space="preserve"> af udvidelseslandene i de forskellige faser af processen, og hvilke </w:t>
      </w:r>
      <w:r>
        <w:rPr>
          <w:rFonts w:ascii="Times New Roman" w:hAnsi="Times New Roman"/>
          <w:b/>
          <w:bCs/>
          <w:noProof/>
        </w:rPr>
        <w:t>positive og negative konsekvenser</w:t>
      </w:r>
      <w:r>
        <w:rPr>
          <w:rFonts w:ascii="Times New Roman" w:hAnsi="Times New Roman"/>
          <w:noProof/>
        </w:rPr>
        <w:t xml:space="preserve"> fremskridt eller manglende fremskridt vil have. </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Kommissionen vil anvende </w:t>
      </w:r>
      <w:r>
        <w:rPr>
          <w:rFonts w:ascii="Times New Roman" w:hAnsi="Times New Roman"/>
          <w:b/>
          <w:bCs/>
          <w:noProof/>
        </w:rPr>
        <w:t>udvidelsespakken til at kontrollere kandidatlandenes overholdelse</w:t>
      </w:r>
      <w:r>
        <w:rPr>
          <w:rFonts w:ascii="Times New Roman" w:hAnsi="Times New Roman"/>
          <w:noProof/>
        </w:rPr>
        <w:t xml:space="preserve"> af gældende EU-ret og </w:t>
      </w:r>
      <w:r>
        <w:rPr>
          <w:rFonts w:ascii="Times New Roman" w:hAnsi="Times New Roman"/>
          <w:b/>
          <w:bCs/>
          <w:noProof/>
        </w:rPr>
        <w:t>udstikke klarere retningslinjer</w:t>
      </w:r>
      <w:r>
        <w:rPr>
          <w:rFonts w:ascii="Times New Roman" w:hAnsi="Times New Roman"/>
          <w:noProof/>
        </w:rPr>
        <w:t xml:space="preserve"> for specifikke reformprioriteter og tilpasningskriterier såvel som forventninger til de næste skridt i processen . En stærkere politisk styring og refokuserede regeringskonferencer vil øge forudsigeligheden med en klarere</w:t>
      </w:r>
      <w:r>
        <w:rPr>
          <w:rFonts w:ascii="Times New Roman" w:hAnsi="Times New Roman"/>
          <w:b/>
          <w:noProof/>
        </w:rPr>
        <w:t xml:space="preserve"> </w:t>
      </w:r>
      <w:r>
        <w:rPr>
          <w:rFonts w:ascii="Times New Roman" w:hAnsi="Times New Roman"/>
          <w:noProof/>
        </w:rPr>
        <w:t xml:space="preserve">planlægning for det kommende år. De politiske aktører i landene vil således få en klarere angivelse af, hvad de skal gøre for at komme videre. De vil bl.a. få en angivelse af, hvilke klynger/kapitler der potentielt kan åbnes eller lukkes, og hvis det er relevant, hvilke betingelser der i så tilfælde mangler at blive opfyldt. </w:t>
      </w:r>
    </w:p>
    <w:p>
      <w:pPr>
        <w:widowControl w:val="0"/>
        <w:spacing w:after="120" w:line="240" w:lineRule="auto"/>
        <w:jc w:val="both"/>
        <w:rPr>
          <w:rFonts w:ascii="Times New Roman" w:hAnsi="Times New Roman" w:cs="Times New Roman"/>
          <w:noProof/>
          <w:sz w:val="24"/>
          <w:szCs w:val="24"/>
        </w:rPr>
      </w:pPr>
      <w:r>
        <w:rPr>
          <w:rFonts w:ascii="Times New Roman" w:hAnsi="Times New Roman"/>
          <w:b/>
          <w:noProof/>
        </w:rPr>
        <w:t xml:space="preserve">Hovedelementet i den meritbaserede tiltrædelsesproces er konditionalitet. </w:t>
      </w:r>
      <w:r>
        <w:rPr>
          <w:rFonts w:ascii="Times New Roman" w:hAnsi="Times New Roman"/>
          <w:noProof/>
        </w:rPr>
        <w:t xml:space="preserve">Derfor skal </w:t>
      </w:r>
      <w:r>
        <w:rPr>
          <w:rFonts w:ascii="Times New Roman" w:hAnsi="Times New Roman"/>
          <w:b/>
          <w:bCs/>
          <w:noProof/>
        </w:rPr>
        <w:t>betingelserne være klare</w:t>
      </w:r>
      <w:r>
        <w:rPr>
          <w:rFonts w:ascii="Times New Roman" w:hAnsi="Times New Roman"/>
          <w:noProof/>
        </w:rPr>
        <w:t xml:space="preserve"> lige fra starten. Det er vigtigt, at kandidatlandene er klar over, hvilke benchmarks deres resultater vil blive holdt op mod, og at medlemsstaterne klart forstår, præcist hvad der forlanges af kandidatlandene. </w:t>
      </w:r>
      <w:r>
        <w:rPr>
          <w:rFonts w:ascii="Times New Roman" w:hAnsi="Times New Roman"/>
          <w:b/>
          <w:bCs/>
          <w:noProof/>
        </w:rPr>
        <w:t>Kommissionen vil fastlægge klarere betingelser for kandidatlandenes fremskridt</w:t>
      </w:r>
      <w:r>
        <w:rPr>
          <w:rFonts w:ascii="Times New Roman" w:hAnsi="Times New Roman"/>
          <w:noProof/>
        </w:rPr>
        <w:t xml:space="preserve">, navnlig via sine årsrapporter. Disse betingelser skal være objektive, præcise, detaljerede, strenge og kunne verificeres. Kommissionen vil også i relevante tilfælde anvende indikatorer fra tredjeparter for at give medlemsstaterne mulighed for at træffe beslutninger på det bredest mulige grundlag. </w:t>
      </w:r>
    </w:p>
    <w:p>
      <w:pPr>
        <w:spacing w:after="120" w:line="240" w:lineRule="auto"/>
        <w:jc w:val="both"/>
        <w:rPr>
          <w:rFonts w:ascii="Times New Roman" w:hAnsi="Times New Roman" w:cs="Times New Roman"/>
          <w:b/>
          <w:noProof/>
          <w:sz w:val="24"/>
          <w:szCs w:val="24"/>
          <w:u w:val="single"/>
        </w:rPr>
      </w:pPr>
      <w:r>
        <w:rPr>
          <w:rFonts w:ascii="Times New Roman" w:hAnsi="Times New Roman"/>
          <w:noProof/>
        </w:rPr>
        <w:t xml:space="preserve">Ved at skabe </w:t>
      </w:r>
      <w:r>
        <w:rPr>
          <w:rFonts w:ascii="Times New Roman" w:hAnsi="Times New Roman"/>
          <w:b/>
          <w:bCs/>
          <w:noProof/>
        </w:rPr>
        <w:t>klare og håndgribelige incitamenter af direkte interesse for borgerne kan EU anspore til reel politisk vilje</w:t>
      </w:r>
      <w:r>
        <w:rPr>
          <w:rFonts w:ascii="Times New Roman" w:hAnsi="Times New Roman"/>
          <w:noProof/>
        </w:rPr>
        <w:t xml:space="preserve"> og belønne de resultater, der fremkommer som følge af krævende reformer og processen med politiske, økonomiske og samfundsmæssige forandringer. </w:t>
      </w:r>
      <w:r>
        <w:rPr>
          <w:rFonts w:ascii="Times New Roman" w:hAnsi="Times New Roman"/>
          <w:b/>
          <w:noProof/>
        </w:rPr>
        <w:t xml:space="preserve">Hvis et land gør tilstrækkelige fremskridt med reformprioriteter, der er aftalt under forhandlingerne, bør dette føre til: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Tættere integration</w:t>
      </w:r>
      <w:r>
        <w:rPr>
          <w:rFonts w:ascii="Times New Roman" w:hAnsi="Times New Roman"/>
          <w:noProof/>
        </w:rPr>
        <w:t xml:space="preserve"> af landet med Den Europæiske Union, </w:t>
      </w:r>
      <w:r>
        <w:rPr>
          <w:rFonts w:ascii="Times New Roman" w:hAnsi="Times New Roman"/>
          <w:noProof/>
          <w:u w:val="single"/>
        </w:rPr>
        <w:t>tiltag for at fremskynde integrationen og "indfasningen" i forhold til de enkelte EU-politikker</w:t>
      </w:r>
      <w:r>
        <w:rPr>
          <w:rFonts w:ascii="Times New Roman" w:hAnsi="Times New Roman"/>
          <w:noProof/>
        </w:rPr>
        <w:t xml:space="preserve">, EU-markedet og EU-programmerne, samtidig med at der sikres lige vilkår. </w:t>
      </w:r>
    </w:p>
    <w:p>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Øget finansiering og større investeringer</w:t>
      </w:r>
      <w:r>
        <w:rPr>
          <w:rFonts w:ascii="Times New Roman" w:hAnsi="Times New Roman"/>
          <w:noProof/>
        </w:rPr>
        <w:t xml:space="preserve"> — bl.a. gennem et resultatbaseret og reformorienteret instrument til førtiltrædelsesstøtte og tættere samarbejde med internationale finansielle institutioner for at øge støttens løftestangseffekt.</w:t>
      </w:r>
    </w:p>
    <w:p>
      <w:pPr>
        <w:spacing w:after="120" w:line="240" w:lineRule="auto"/>
        <w:jc w:val="both"/>
        <w:rPr>
          <w:rFonts w:ascii="Times New Roman" w:hAnsi="Times New Roman" w:cs="Times New Roman"/>
          <w:noProof/>
          <w:sz w:val="24"/>
          <w:szCs w:val="24"/>
        </w:rPr>
      </w:pPr>
      <w:r>
        <w:rPr>
          <w:rFonts w:ascii="Times New Roman" w:hAnsi="Times New Roman"/>
          <w:noProof/>
        </w:rPr>
        <w:t xml:space="preserve">Disse foranstaltninger bør via anvendelsen af EU-midler bidrage til at skabe en stærk europæisk præference, der er kompatibel med WTO's regler, samtidig med at der skabes en stærk lokal økonomi.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Samtidig med at fremskridtene med reformerne skal intensiveres og belønnes, er der også behov for </w:t>
      </w:r>
      <w:r>
        <w:rPr>
          <w:rFonts w:ascii="Times New Roman" w:hAnsi="Times New Roman"/>
          <w:b/>
          <w:bCs/>
          <w:noProof/>
        </w:rPr>
        <w:t>mere resolutte foranstaltninger med forholdsmæssig sanktionering af alvorlig eller længerevarende stagnation eller tilbagegang</w:t>
      </w:r>
      <w:r>
        <w:rPr>
          <w:rFonts w:ascii="Times New Roman" w:hAnsi="Times New Roman"/>
          <w:noProof/>
        </w:rPr>
        <w:t xml:space="preserve"> med hensyn til gennemførelse af reformer og opfyldelse af kravene i tiltrædelsesprocessen.</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Sådanne afgørelser om at standse eller endda sætte processen i bakgear bør tages på grundlag af oplysningerne i </w:t>
      </w:r>
      <w:r>
        <w:rPr>
          <w:rFonts w:ascii="Times New Roman" w:hAnsi="Times New Roman"/>
          <w:b/>
          <w:bCs/>
          <w:noProof/>
        </w:rPr>
        <w:t>Kommissionens årlige vurdering</w:t>
      </w:r>
      <w:r>
        <w:rPr>
          <w:rFonts w:ascii="Times New Roman" w:hAnsi="Times New Roman"/>
          <w:noProof/>
        </w:rPr>
        <w:t xml:space="preserve"> i udvidelsespakken om den overordnede balance i tiltrædelsesforhandlingerne og på grundlag af, i hvilket omfang de grundlæggende reformer, navnlig på retsstatsområdet, bliver gennemført. Medlemsstaterne vil fortsat kunne bidrage til denne proces ved at gøre Kommissionen opmærksom på enhver stagnation eller alvorlig tilbagegang i reformprocessen. </w:t>
      </w:r>
    </w:p>
    <w:p>
      <w:pPr>
        <w:widowControl w:val="0"/>
        <w:spacing w:after="120" w:line="240" w:lineRule="auto"/>
        <w:jc w:val="both"/>
        <w:rPr>
          <w:rFonts w:ascii="Times New Roman" w:hAnsi="Times New Roman" w:cs="Times New Roman"/>
          <w:noProof/>
          <w:sz w:val="24"/>
          <w:szCs w:val="24"/>
        </w:rPr>
      </w:pPr>
      <w:r>
        <w:rPr>
          <w:rFonts w:ascii="Times New Roman" w:hAnsi="Times New Roman"/>
          <w:noProof/>
        </w:rPr>
        <w:t xml:space="preserve">I alvorlige tilfælde kan Kommissionen til enhver tid selv eller efter behørigt begrundet anmodning fra en medlemsstat fremsætte forslag for at sikre en hurtig reaktion på situationen gennem forenklede procedurer, herunder omvendt kvalificeret flertal, når dette er relevant.   </w:t>
      </w:r>
    </w:p>
    <w:p>
      <w:pPr>
        <w:rPr>
          <w:noProof/>
        </w:rPr>
      </w:pPr>
      <w:r>
        <w:rPr>
          <w:noProof/>
        </w:rPr>
        <w:br w:type="page"/>
      </w:r>
    </w:p>
    <w:p>
      <w:pPr>
        <w:widowControl w:val="0"/>
        <w:spacing w:after="120" w:line="240" w:lineRule="auto"/>
        <w:jc w:val="both"/>
        <w:rPr>
          <w:rFonts w:ascii="Times New Roman" w:hAnsi="Times New Roman" w:cs="Times New Roman"/>
          <w:noProof/>
          <w:sz w:val="24"/>
          <w:szCs w:val="24"/>
        </w:rPr>
      </w:pPr>
      <w:r>
        <w:rPr>
          <w:rFonts w:ascii="Times New Roman" w:hAnsi="Times New Roman"/>
          <w:b/>
          <w:bCs/>
          <w:noProof/>
        </w:rPr>
        <w:t>EU vil kunne imødegå potentielle problemer på flere måder:</w:t>
      </w:r>
      <w:r>
        <w:rPr>
          <w:rFonts w:ascii="Times New Roman" w:hAnsi="Times New Roman"/>
          <w:b/>
          <w:noProof/>
        </w:rPr>
        <w:t xml:space="preserve">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Medlemsstaterne vil kunne beslutte, at </w:t>
      </w:r>
      <w:r>
        <w:rPr>
          <w:rFonts w:ascii="Times New Roman" w:hAnsi="Times New Roman"/>
          <w:noProof/>
          <w:u w:val="single"/>
        </w:rPr>
        <w:t>forhandlingerne</w:t>
      </w:r>
      <w:r>
        <w:rPr>
          <w:rFonts w:ascii="Times New Roman" w:hAnsi="Times New Roman"/>
          <w:noProof/>
        </w:rPr>
        <w:t xml:space="preserve"> på visse områder kan </w:t>
      </w:r>
      <w:r>
        <w:rPr>
          <w:rFonts w:ascii="Times New Roman" w:hAnsi="Times New Roman"/>
          <w:noProof/>
          <w:u w:val="single"/>
        </w:rPr>
        <w:t>sættes i bero</w:t>
      </w:r>
      <w:r>
        <w:rPr>
          <w:rFonts w:ascii="Times New Roman" w:hAnsi="Times New Roman"/>
          <w:noProof/>
        </w:rPr>
        <w:t xml:space="preserve"> eller i de mest alvorlige tilfælde </w:t>
      </w:r>
      <w:r>
        <w:rPr>
          <w:rFonts w:ascii="Times New Roman" w:hAnsi="Times New Roman"/>
          <w:noProof/>
          <w:u w:val="single"/>
        </w:rPr>
        <w:t>suspenderes</w:t>
      </w:r>
      <w:r>
        <w:rPr>
          <w:rFonts w:ascii="Times New Roman" w:hAnsi="Times New Roman"/>
          <w:noProof/>
        </w:rPr>
        <w:t xml:space="preserve"> fuldstændigt. </w:t>
      </w:r>
      <w:r>
        <w:rPr>
          <w:rFonts w:ascii="Times New Roman" w:hAnsi="Times New Roman"/>
          <w:noProof/>
          <w:u w:val="single"/>
        </w:rPr>
        <w:t>Kapitler, som allerede er blevet lukket, vil kunne genåbnes</w:t>
      </w:r>
      <w:r>
        <w:rPr>
          <w:rFonts w:ascii="Times New Roman" w:hAnsi="Times New Roman"/>
          <w:noProof/>
        </w:rPr>
        <w:t xml:space="preserve"> eller genforhandles, hvis der er spørgsmål, som skal revurderes.</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u w:val="single"/>
        </w:rPr>
        <w:t>EU-finansieringens omfang og intensitet kan eventuelt blive nedjusteret, undtagen i forbindelse med støtte til civilsamfundet</w:t>
      </w:r>
      <w:r>
        <w:rPr>
          <w:rFonts w:ascii="Times New Roman" w:hAnsi="Times New Roman"/>
          <w:noProof/>
        </w:rPr>
        <w:t xml:space="preserve">. </w:t>
      </w:r>
    </w:p>
    <w:p>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rPr>
        <w:t xml:space="preserve">Visse </w:t>
      </w:r>
      <w:r>
        <w:rPr>
          <w:rFonts w:ascii="Times New Roman" w:hAnsi="Times New Roman"/>
          <w:noProof/>
          <w:u w:val="single"/>
        </w:rPr>
        <w:t>fordele ved en tættere integration</w:t>
      </w:r>
      <w:r>
        <w:rPr>
          <w:rFonts w:ascii="Times New Roman" w:hAnsi="Times New Roman"/>
          <w:noProof/>
        </w:rPr>
        <w:t xml:space="preserve">, f.eks. adgang til EU-programmer eller unilaterale indrømmelser vedrørende markedsadgang, vil kunne </w:t>
      </w:r>
      <w:r>
        <w:rPr>
          <w:rFonts w:ascii="Times New Roman" w:hAnsi="Times New Roman"/>
          <w:noProof/>
          <w:u w:val="single"/>
        </w:rPr>
        <w:t>sættes i bero eller trækkes tilbage</w:t>
      </w:r>
      <w:r>
        <w:rPr>
          <w:rFonts w:ascii="Times New Roman" w:hAnsi="Times New Roman"/>
          <w:noProof/>
        </w:rPr>
        <w:t>.</w:t>
      </w:r>
    </w:p>
    <w:p>
      <w:pPr>
        <w:widowControl w:val="0"/>
        <w:spacing w:after="120" w:line="240" w:lineRule="auto"/>
        <w:jc w:val="both"/>
        <w:rPr>
          <w:rFonts w:ascii="Times New Roman" w:hAnsi="Times New Roman" w:cs="Times New Roman"/>
          <w:noProof/>
          <w:sz w:val="24"/>
          <w:szCs w:val="24"/>
          <w:u w:val="single"/>
        </w:rPr>
      </w:pPr>
      <w:r>
        <w:rPr>
          <w:rFonts w:ascii="Times New Roman" w:hAnsi="Times New Roman"/>
          <w:noProof/>
        </w:rPr>
        <w:t xml:space="preserve">Forudsigeligheden og konditionaliteten vil også blive styrket gennem </w:t>
      </w:r>
      <w:r>
        <w:rPr>
          <w:rFonts w:ascii="Times New Roman" w:hAnsi="Times New Roman"/>
          <w:b/>
          <w:bCs/>
          <w:noProof/>
        </w:rPr>
        <w:t>større gennemsigtighed</w:t>
      </w:r>
      <w:r>
        <w:rPr>
          <w:rFonts w:ascii="Times New Roman" w:hAnsi="Times New Roman"/>
          <w:noProof/>
        </w:rPr>
        <w:t>. For at sikre reformernes bæredygtighed og lette overvågningen af gennemførelsen bør alle de centrale reformer i landene gennemføres på en fuldstændig gennemsigtig og inklusiv måde med inddragelse af de vigtigste interesseparter. Den Europæiske Union bør på sin side bestræbe sig på at gøre processen mere gennemsigtig og i højere grad offentliggøre vigtige dokumenter.</w:t>
      </w:r>
      <w:r>
        <w:rPr>
          <w:rFonts w:ascii="Times New Roman" w:hAnsi="Times New Roman"/>
          <w:noProof/>
          <w:u w:val="single"/>
        </w:rPr>
        <w:t xml:space="preserve"> </w:t>
      </w:r>
    </w:p>
    <w:p>
      <w:pPr>
        <w:pStyle w:val="Briefingtext"/>
        <w:spacing w:after="120"/>
        <w:rPr>
          <w:rFonts w:ascii="Times New Roman" w:eastAsia="Calibri" w:hAnsi="Times New Roman" w:cs="Times New Roman"/>
          <w:noProof/>
          <w:sz w:val="24"/>
        </w:rPr>
      </w:pPr>
      <w:r>
        <w:rPr>
          <w:rFonts w:ascii="Times New Roman" w:hAnsi="Times New Roman"/>
          <w:noProof/>
        </w:rPr>
        <w:t xml:space="preserve">Kommissionen vil også fortsætte sine kommunikations- og informationsaktiviteter, bl.a. i EU's medlemsstater, hvor det primært er medlemsstaterne, der skal informere deres borgere og give dem faktuelle oplysninger om de strategiske muligheder og udfordringer, der er forbundet med processen. </w:t>
      </w:r>
    </w:p>
    <w:p>
      <w:pPr>
        <w:pStyle w:val="Briefingtext"/>
        <w:spacing w:after="120"/>
        <w:rPr>
          <w:rFonts w:ascii="Times New Roman" w:hAnsi="Times New Roman" w:cs="Times New Roman"/>
          <w:noProof/>
          <w:sz w:val="24"/>
        </w:rPr>
      </w:pPr>
      <w:r>
        <w:rPr>
          <w:rFonts w:ascii="Times New Roman" w:hAnsi="Times New Roman"/>
          <w:noProof/>
        </w:rPr>
        <w:t>I bilaget findes en tabel over de foreslåede klynger af kapitler. Kapitel 34 "</w:t>
      </w:r>
      <w:r>
        <w:rPr>
          <w:rFonts w:ascii="Times New Roman" w:hAnsi="Times New Roman"/>
          <w:i/>
          <w:iCs/>
          <w:noProof/>
        </w:rPr>
        <w:t>Institutioner</w:t>
      </w:r>
      <w:r>
        <w:rPr>
          <w:rFonts w:ascii="Times New Roman" w:hAnsi="Times New Roman"/>
          <w:noProof/>
        </w:rPr>
        <w:t>" og kapitel 35 "</w:t>
      </w:r>
      <w:r>
        <w:rPr>
          <w:rFonts w:ascii="Times New Roman" w:hAnsi="Times New Roman"/>
          <w:i/>
          <w:iCs/>
          <w:noProof/>
        </w:rPr>
        <w:t>Andre spørgsmål</w:t>
      </w:r>
      <w:r>
        <w:rPr>
          <w:rFonts w:ascii="Times New Roman" w:hAnsi="Times New Roman"/>
          <w:noProof/>
        </w:rPr>
        <w:t xml:space="preserve">" vil blive behandlet særskilt. </w:t>
      </w:r>
      <w:r>
        <w:rPr>
          <w:rFonts w:ascii="Times New Roman" w:hAnsi="Times New Roman"/>
          <w:noProof/>
        </w:rPr>
        <w:br w:type="page"/>
      </w:r>
    </w:p>
    <w:p>
      <w:pPr>
        <w:pageBreakBefore/>
        <w:spacing w:after="120" w:line="240" w:lineRule="auto"/>
        <w:jc w:val="both"/>
        <w:rPr>
          <w:rFonts w:ascii="Times New Roman" w:hAnsi="Times New Roman"/>
          <w:b/>
          <w:noProof/>
          <w:sz w:val="24"/>
          <w:u w:val="single"/>
        </w:rPr>
      </w:pPr>
      <w:r>
        <w:rPr>
          <w:rFonts w:ascii="Times New Roman" w:hAnsi="Times New Roman"/>
          <w:b/>
          <w:noProof/>
          <w:u w:val="single"/>
        </w:rPr>
        <w:t>Teknisk bilag: klynger af forhandlingskapitler</w:t>
      </w:r>
    </w:p>
    <w:p>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4656"/>
        <w:gridCol w:w="4630"/>
      </w:tblGrid>
      <w:tr>
        <w:tc>
          <w:tcPr>
            <w:tcW w:w="4656" w:type="dxa"/>
          </w:tcPr>
          <w:p>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b/>
                <w:noProof/>
              </w:rPr>
              <w:t xml:space="preserve">Grundprincipper </w:t>
            </w:r>
          </w:p>
        </w:tc>
        <w:tc>
          <w:tcPr>
            <w:tcW w:w="4630" w:type="dxa"/>
          </w:tcPr>
          <w:p>
            <w:pPr>
              <w:rPr>
                <w:rFonts w:ascii="Times New Roman" w:hAnsi="Times New Roman" w:cs="Times New Roman"/>
                <w:noProof/>
                <w:sz w:val="24"/>
                <w:szCs w:val="24"/>
              </w:rPr>
            </w:pPr>
            <w:r>
              <w:rPr>
                <w:rFonts w:ascii="Times New Roman" w:hAnsi="Times New Roman"/>
                <w:noProof/>
              </w:rPr>
              <w:t xml:space="preserve">23 — Retsvæsen og grundlæggende rettigheder </w:t>
            </w:r>
          </w:p>
          <w:p>
            <w:pPr>
              <w:rPr>
                <w:rFonts w:ascii="Times New Roman" w:hAnsi="Times New Roman" w:cs="Times New Roman"/>
                <w:noProof/>
                <w:sz w:val="24"/>
                <w:szCs w:val="24"/>
              </w:rPr>
            </w:pPr>
            <w:r>
              <w:rPr>
                <w:rFonts w:ascii="Times New Roman" w:hAnsi="Times New Roman"/>
                <w:noProof/>
              </w:rPr>
              <w:t>24 — Retfærdighed, frihed og sikkerhed</w:t>
            </w:r>
          </w:p>
          <w:p>
            <w:pPr>
              <w:rPr>
                <w:rFonts w:ascii="Times New Roman" w:hAnsi="Times New Roman" w:cs="Times New Roman"/>
                <w:noProof/>
                <w:sz w:val="24"/>
                <w:szCs w:val="24"/>
              </w:rPr>
            </w:pPr>
            <w:r>
              <w:rPr>
                <w:rFonts w:ascii="Times New Roman" w:hAnsi="Times New Roman"/>
                <w:noProof/>
              </w:rPr>
              <w:t>Økonomiske kriterier</w:t>
            </w:r>
          </w:p>
          <w:p>
            <w:pPr>
              <w:rPr>
                <w:rFonts w:ascii="Times New Roman" w:hAnsi="Times New Roman" w:cs="Times New Roman"/>
                <w:noProof/>
                <w:sz w:val="24"/>
                <w:szCs w:val="24"/>
              </w:rPr>
            </w:pPr>
            <w:r>
              <w:rPr>
                <w:rFonts w:ascii="Times New Roman" w:hAnsi="Times New Roman"/>
                <w:noProof/>
              </w:rPr>
              <w:t xml:space="preserve">De demokratiske institutioners funktionsmåde </w:t>
            </w:r>
          </w:p>
          <w:p>
            <w:pPr>
              <w:rPr>
                <w:rFonts w:ascii="Times New Roman" w:hAnsi="Times New Roman" w:cs="Times New Roman"/>
                <w:noProof/>
                <w:sz w:val="24"/>
                <w:szCs w:val="24"/>
              </w:rPr>
            </w:pPr>
            <w:r>
              <w:rPr>
                <w:rFonts w:ascii="Times New Roman" w:hAnsi="Times New Roman"/>
                <w:noProof/>
              </w:rPr>
              <w:t xml:space="preserve">Reform af den offentlige forvaltning </w:t>
            </w:r>
          </w:p>
          <w:p>
            <w:pPr>
              <w:rPr>
                <w:rFonts w:ascii="Times New Roman" w:hAnsi="Times New Roman" w:cs="Times New Roman"/>
                <w:noProof/>
                <w:sz w:val="24"/>
                <w:szCs w:val="24"/>
              </w:rPr>
            </w:pPr>
            <w:r>
              <w:rPr>
                <w:rFonts w:ascii="Times New Roman" w:hAnsi="Times New Roman"/>
                <w:noProof/>
              </w:rPr>
              <w:t xml:space="preserve">5 — Offentlige udbud </w:t>
            </w:r>
          </w:p>
          <w:p>
            <w:pPr>
              <w:rPr>
                <w:rFonts w:ascii="Times New Roman" w:hAnsi="Times New Roman" w:cs="Times New Roman"/>
                <w:noProof/>
                <w:sz w:val="24"/>
                <w:szCs w:val="24"/>
              </w:rPr>
            </w:pPr>
            <w:r>
              <w:rPr>
                <w:rFonts w:ascii="Times New Roman" w:hAnsi="Times New Roman"/>
                <w:noProof/>
              </w:rPr>
              <w:t>18 — Statistikker</w:t>
            </w:r>
          </w:p>
          <w:p>
            <w:pPr>
              <w:rPr>
                <w:rFonts w:ascii="Times New Roman" w:hAnsi="Times New Roman" w:cs="Times New Roman"/>
                <w:noProof/>
                <w:sz w:val="24"/>
                <w:szCs w:val="24"/>
              </w:rPr>
            </w:pPr>
            <w:r>
              <w:rPr>
                <w:rFonts w:ascii="Times New Roman" w:hAnsi="Times New Roman"/>
                <w:noProof/>
              </w:rPr>
              <w:t>32 — Finanskontrol</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Det indre marked</w:t>
            </w:r>
          </w:p>
        </w:tc>
        <w:tc>
          <w:tcPr>
            <w:tcW w:w="4630" w:type="dxa"/>
          </w:tcPr>
          <w:p>
            <w:pPr>
              <w:rPr>
                <w:rFonts w:ascii="Times New Roman" w:hAnsi="Times New Roman" w:cs="Times New Roman"/>
                <w:noProof/>
                <w:sz w:val="24"/>
                <w:szCs w:val="24"/>
              </w:rPr>
            </w:pPr>
            <w:r>
              <w:rPr>
                <w:rFonts w:ascii="Times New Roman" w:hAnsi="Times New Roman"/>
                <w:noProof/>
              </w:rPr>
              <w:t xml:space="preserve">1 — Fri bevægelighed for varer </w:t>
            </w:r>
          </w:p>
          <w:p>
            <w:pPr>
              <w:rPr>
                <w:rFonts w:ascii="Times New Roman" w:hAnsi="Times New Roman" w:cs="Times New Roman"/>
                <w:noProof/>
                <w:sz w:val="24"/>
                <w:szCs w:val="24"/>
              </w:rPr>
            </w:pPr>
            <w:r>
              <w:rPr>
                <w:rFonts w:ascii="Times New Roman" w:hAnsi="Times New Roman"/>
                <w:noProof/>
              </w:rPr>
              <w:t xml:space="preserve">2 — Fri bevægelighed for arbejdstagere </w:t>
            </w:r>
          </w:p>
          <w:p>
            <w:pPr>
              <w:rPr>
                <w:rFonts w:ascii="Times New Roman" w:hAnsi="Times New Roman" w:cs="Times New Roman"/>
                <w:noProof/>
                <w:sz w:val="24"/>
                <w:szCs w:val="24"/>
              </w:rPr>
            </w:pPr>
            <w:r>
              <w:rPr>
                <w:rFonts w:ascii="Times New Roman" w:hAnsi="Times New Roman"/>
                <w:noProof/>
              </w:rPr>
              <w:t xml:space="preserve">3 — Etableringsret og fri udveksling af tjenesteydelser </w:t>
            </w:r>
          </w:p>
          <w:p>
            <w:pPr>
              <w:rPr>
                <w:rFonts w:ascii="Times New Roman" w:hAnsi="Times New Roman" w:cs="Times New Roman"/>
                <w:noProof/>
                <w:sz w:val="24"/>
                <w:szCs w:val="24"/>
              </w:rPr>
            </w:pPr>
            <w:r>
              <w:rPr>
                <w:rFonts w:ascii="Times New Roman" w:hAnsi="Times New Roman"/>
                <w:noProof/>
              </w:rPr>
              <w:t>4 — Frie kapitalbevægelser</w:t>
            </w:r>
          </w:p>
          <w:p>
            <w:pPr>
              <w:rPr>
                <w:rFonts w:ascii="Times New Roman" w:hAnsi="Times New Roman" w:cs="Times New Roman"/>
                <w:noProof/>
                <w:sz w:val="24"/>
                <w:szCs w:val="24"/>
              </w:rPr>
            </w:pPr>
            <w:r>
              <w:rPr>
                <w:rFonts w:ascii="Times New Roman" w:hAnsi="Times New Roman"/>
                <w:noProof/>
              </w:rPr>
              <w:t>6 — Selskabsret</w:t>
            </w:r>
          </w:p>
          <w:p>
            <w:pPr>
              <w:rPr>
                <w:rFonts w:ascii="Times New Roman" w:hAnsi="Times New Roman" w:cs="Times New Roman"/>
                <w:noProof/>
                <w:sz w:val="24"/>
                <w:szCs w:val="24"/>
              </w:rPr>
            </w:pPr>
            <w:r>
              <w:rPr>
                <w:rFonts w:ascii="Times New Roman" w:hAnsi="Times New Roman"/>
                <w:noProof/>
              </w:rPr>
              <w:t>7 — Intellektuel ejendomsret</w:t>
            </w:r>
          </w:p>
          <w:p>
            <w:pPr>
              <w:rPr>
                <w:rFonts w:ascii="Times New Roman" w:hAnsi="Times New Roman" w:cs="Times New Roman"/>
                <w:noProof/>
                <w:sz w:val="24"/>
                <w:szCs w:val="24"/>
              </w:rPr>
            </w:pPr>
            <w:r>
              <w:rPr>
                <w:rFonts w:ascii="Times New Roman" w:hAnsi="Times New Roman"/>
                <w:noProof/>
              </w:rPr>
              <w:t>8 — Konkurrencepolitik</w:t>
            </w:r>
          </w:p>
          <w:p>
            <w:pPr>
              <w:rPr>
                <w:rFonts w:ascii="Times New Roman" w:hAnsi="Times New Roman" w:cs="Times New Roman"/>
                <w:noProof/>
                <w:sz w:val="24"/>
                <w:szCs w:val="24"/>
              </w:rPr>
            </w:pPr>
            <w:r>
              <w:rPr>
                <w:rFonts w:ascii="Times New Roman" w:hAnsi="Times New Roman"/>
                <w:noProof/>
              </w:rPr>
              <w:t xml:space="preserve">9 — Finansielle tjenesteydelser </w:t>
            </w:r>
          </w:p>
          <w:p>
            <w:pPr>
              <w:rPr>
                <w:rFonts w:ascii="Times New Roman" w:hAnsi="Times New Roman" w:cs="Times New Roman"/>
                <w:noProof/>
                <w:sz w:val="24"/>
                <w:szCs w:val="24"/>
              </w:rPr>
            </w:pPr>
            <w:r>
              <w:rPr>
                <w:rFonts w:ascii="Times New Roman" w:hAnsi="Times New Roman"/>
                <w:noProof/>
              </w:rPr>
              <w:t>28 — Forbruger- og sundhedsbeskyttelse</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Konkurrenceevne og inklusiv vækst</w:t>
            </w:r>
          </w:p>
        </w:tc>
        <w:tc>
          <w:tcPr>
            <w:tcW w:w="4630" w:type="dxa"/>
          </w:tcPr>
          <w:p>
            <w:pPr>
              <w:rPr>
                <w:rFonts w:ascii="Times New Roman" w:hAnsi="Times New Roman" w:cs="Times New Roman"/>
                <w:noProof/>
                <w:sz w:val="24"/>
                <w:szCs w:val="24"/>
              </w:rPr>
            </w:pPr>
            <w:r>
              <w:rPr>
                <w:rFonts w:ascii="Times New Roman" w:hAnsi="Times New Roman"/>
                <w:noProof/>
              </w:rPr>
              <w:t xml:space="preserve">10 — Informationssamfund og medier </w:t>
            </w:r>
          </w:p>
          <w:p>
            <w:pPr>
              <w:rPr>
                <w:rFonts w:ascii="Times New Roman" w:hAnsi="Times New Roman" w:cs="Times New Roman"/>
                <w:noProof/>
                <w:sz w:val="24"/>
                <w:szCs w:val="24"/>
              </w:rPr>
            </w:pPr>
            <w:r>
              <w:rPr>
                <w:rFonts w:ascii="Times New Roman" w:hAnsi="Times New Roman"/>
                <w:noProof/>
              </w:rPr>
              <w:t xml:space="preserve">16 — Beskatning </w:t>
            </w:r>
          </w:p>
          <w:p>
            <w:pPr>
              <w:rPr>
                <w:rFonts w:ascii="Times New Roman" w:hAnsi="Times New Roman" w:cs="Times New Roman"/>
                <w:noProof/>
                <w:sz w:val="24"/>
                <w:szCs w:val="24"/>
              </w:rPr>
            </w:pPr>
            <w:r>
              <w:rPr>
                <w:rFonts w:ascii="Times New Roman" w:hAnsi="Times New Roman"/>
                <w:noProof/>
              </w:rPr>
              <w:t xml:space="preserve">17 — Økonomisk og monetær politik </w:t>
            </w:r>
          </w:p>
          <w:p>
            <w:pPr>
              <w:rPr>
                <w:rFonts w:ascii="Times New Roman" w:hAnsi="Times New Roman" w:cs="Times New Roman"/>
                <w:noProof/>
                <w:sz w:val="24"/>
                <w:szCs w:val="24"/>
              </w:rPr>
            </w:pPr>
            <w:r>
              <w:rPr>
                <w:rFonts w:ascii="Times New Roman" w:hAnsi="Times New Roman"/>
                <w:noProof/>
              </w:rPr>
              <w:t xml:space="preserve">19 — Socialpolitik og beskæftigelse </w:t>
            </w:r>
          </w:p>
          <w:p>
            <w:pPr>
              <w:rPr>
                <w:rFonts w:ascii="Times New Roman" w:hAnsi="Times New Roman" w:cs="Times New Roman"/>
                <w:noProof/>
                <w:sz w:val="24"/>
                <w:szCs w:val="24"/>
              </w:rPr>
            </w:pPr>
            <w:r>
              <w:rPr>
                <w:rFonts w:ascii="Times New Roman" w:hAnsi="Times New Roman"/>
                <w:noProof/>
              </w:rPr>
              <w:t>20 — Virksomheds- og industripolitik</w:t>
            </w:r>
          </w:p>
          <w:p>
            <w:pPr>
              <w:rPr>
                <w:rFonts w:ascii="Times New Roman" w:hAnsi="Times New Roman" w:cs="Times New Roman"/>
                <w:noProof/>
                <w:sz w:val="24"/>
                <w:szCs w:val="24"/>
              </w:rPr>
            </w:pPr>
            <w:r>
              <w:rPr>
                <w:rFonts w:ascii="Times New Roman" w:hAnsi="Times New Roman"/>
                <w:noProof/>
              </w:rPr>
              <w:t xml:space="preserve">25 — Videnskab og forskning </w:t>
            </w:r>
          </w:p>
          <w:p>
            <w:pPr>
              <w:rPr>
                <w:rFonts w:ascii="Times New Roman" w:hAnsi="Times New Roman" w:cs="Times New Roman"/>
                <w:noProof/>
                <w:sz w:val="24"/>
                <w:szCs w:val="24"/>
              </w:rPr>
            </w:pPr>
            <w:r>
              <w:rPr>
                <w:rFonts w:ascii="Times New Roman" w:hAnsi="Times New Roman"/>
                <w:noProof/>
              </w:rPr>
              <w:t>26 — Uddannelse og kultur</w:t>
            </w:r>
          </w:p>
          <w:p>
            <w:pPr>
              <w:rPr>
                <w:rFonts w:ascii="Times New Roman" w:hAnsi="Times New Roman" w:cs="Times New Roman"/>
                <w:b/>
                <w:noProof/>
                <w:color w:val="C00000"/>
                <w:sz w:val="24"/>
                <w:szCs w:val="24"/>
              </w:rPr>
            </w:pPr>
            <w:r>
              <w:rPr>
                <w:rFonts w:ascii="Times New Roman" w:hAnsi="Times New Roman"/>
                <w:noProof/>
              </w:rPr>
              <w:t>29 — Toldunionen</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Grøn dagsorden og bæredygtig konnektivitet</w:t>
            </w:r>
          </w:p>
        </w:tc>
        <w:tc>
          <w:tcPr>
            <w:tcW w:w="4630" w:type="dxa"/>
          </w:tcPr>
          <w:p>
            <w:pPr>
              <w:rPr>
                <w:rFonts w:ascii="Times New Roman" w:hAnsi="Times New Roman" w:cs="Times New Roman"/>
                <w:noProof/>
                <w:sz w:val="24"/>
                <w:szCs w:val="24"/>
              </w:rPr>
            </w:pPr>
            <w:r>
              <w:rPr>
                <w:rFonts w:ascii="Times New Roman" w:hAnsi="Times New Roman"/>
                <w:noProof/>
              </w:rPr>
              <w:t xml:space="preserve">14 — Transportpolitik </w:t>
            </w:r>
          </w:p>
          <w:p>
            <w:pPr>
              <w:rPr>
                <w:rFonts w:ascii="Times New Roman" w:hAnsi="Times New Roman" w:cs="Times New Roman"/>
                <w:noProof/>
                <w:sz w:val="24"/>
                <w:szCs w:val="24"/>
              </w:rPr>
            </w:pPr>
            <w:r>
              <w:rPr>
                <w:rFonts w:ascii="Times New Roman" w:hAnsi="Times New Roman"/>
                <w:noProof/>
              </w:rPr>
              <w:t xml:space="preserve">15 — Energi </w:t>
            </w:r>
          </w:p>
          <w:p>
            <w:pPr>
              <w:rPr>
                <w:rFonts w:ascii="Times New Roman" w:hAnsi="Times New Roman" w:cs="Times New Roman"/>
                <w:noProof/>
                <w:sz w:val="24"/>
                <w:szCs w:val="24"/>
              </w:rPr>
            </w:pPr>
            <w:r>
              <w:rPr>
                <w:rFonts w:ascii="Times New Roman" w:hAnsi="Times New Roman"/>
                <w:noProof/>
              </w:rPr>
              <w:t xml:space="preserve">21 — Transeuropæiske net </w:t>
            </w:r>
          </w:p>
          <w:p>
            <w:pPr>
              <w:rPr>
                <w:rFonts w:ascii="Times New Roman" w:hAnsi="Times New Roman" w:cs="Times New Roman"/>
                <w:b/>
                <w:noProof/>
                <w:color w:val="C00000"/>
                <w:sz w:val="24"/>
                <w:szCs w:val="24"/>
              </w:rPr>
            </w:pPr>
            <w:r>
              <w:rPr>
                <w:rFonts w:ascii="Times New Roman" w:hAnsi="Times New Roman"/>
                <w:noProof/>
              </w:rPr>
              <w:t>27 — Miljø og klimaændringer</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Ressourcer, landbrug og samhørighed</w:t>
            </w:r>
          </w:p>
        </w:tc>
        <w:tc>
          <w:tcPr>
            <w:tcW w:w="4630" w:type="dxa"/>
          </w:tcPr>
          <w:p>
            <w:pPr>
              <w:rPr>
                <w:rFonts w:ascii="Times New Roman" w:hAnsi="Times New Roman" w:cs="Times New Roman"/>
                <w:noProof/>
                <w:sz w:val="24"/>
                <w:szCs w:val="24"/>
              </w:rPr>
            </w:pPr>
            <w:r>
              <w:rPr>
                <w:rFonts w:ascii="Times New Roman" w:hAnsi="Times New Roman"/>
                <w:noProof/>
              </w:rPr>
              <w:t>11 — Landbrug og udvikling af landdistrikter</w:t>
            </w:r>
          </w:p>
          <w:p>
            <w:pPr>
              <w:rPr>
                <w:rFonts w:ascii="Times New Roman" w:hAnsi="Times New Roman" w:cs="Times New Roman"/>
                <w:noProof/>
                <w:sz w:val="24"/>
                <w:szCs w:val="24"/>
              </w:rPr>
            </w:pPr>
            <w:r>
              <w:rPr>
                <w:rFonts w:ascii="Times New Roman" w:hAnsi="Times New Roman"/>
                <w:noProof/>
              </w:rPr>
              <w:t xml:space="preserve">12 — Fødevaresikkerhed, veterinær- og plantesundhedspolitik </w:t>
            </w:r>
          </w:p>
          <w:p>
            <w:pPr>
              <w:rPr>
                <w:rFonts w:ascii="Times New Roman" w:hAnsi="Times New Roman" w:cs="Times New Roman"/>
                <w:noProof/>
                <w:sz w:val="24"/>
                <w:szCs w:val="24"/>
              </w:rPr>
            </w:pPr>
            <w:r>
              <w:rPr>
                <w:rFonts w:ascii="Times New Roman" w:hAnsi="Times New Roman"/>
                <w:noProof/>
              </w:rPr>
              <w:t xml:space="preserve">13 — Fiskeri </w:t>
            </w:r>
          </w:p>
          <w:p>
            <w:pPr>
              <w:rPr>
                <w:rFonts w:ascii="Times New Roman" w:hAnsi="Times New Roman" w:cs="Times New Roman"/>
                <w:noProof/>
                <w:sz w:val="24"/>
                <w:szCs w:val="24"/>
              </w:rPr>
            </w:pPr>
            <w:r>
              <w:rPr>
                <w:rFonts w:ascii="Times New Roman" w:hAnsi="Times New Roman"/>
                <w:noProof/>
              </w:rPr>
              <w:t xml:space="preserve">22 — Regionalpolitik og koordination af strukturinstrumenterne </w:t>
            </w:r>
          </w:p>
          <w:p>
            <w:pPr>
              <w:rPr>
                <w:rFonts w:ascii="Times New Roman" w:hAnsi="Times New Roman" w:cs="Times New Roman"/>
                <w:b/>
                <w:noProof/>
                <w:color w:val="C00000"/>
                <w:sz w:val="24"/>
                <w:szCs w:val="24"/>
              </w:rPr>
            </w:pPr>
            <w:r>
              <w:rPr>
                <w:rFonts w:ascii="Times New Roman" w:hAnsi="Times New Roman"/>
                <w:noProof/>
              </w:rPr>
              <w:t>33 — Finansielle og budgetmæssige bestemmelser</w:t>
            </w:r>
          </w:p>
        </w:tc>
      </w:tr>
      <w:tr>
        <w:tc>
          <w:tcPr>
            <w:tcW w:w="4656" w:type="dxa"/>
          </w:tcPr>
          <w:p>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rPr>
              <w:t>Eksterne forbindelser</w:t>
            </w:r>
          </w:p>
        </w:tc>
        <w:tc>
          <w:tcPr>
            <w:tcW w:w="4630" w:type="dxa"/>
          </w:tcPr>
          <w:p>
            <w:pPr>
              <w:rPr>
                <w:rFonts w:ascii="Times New Roman" w:hAnsi="Times New Roman" w:cs="Times New Roman"/>
                <w:noProof/>
                <w:sz w:val="24"/>
                <w:szCs w:val="24"/>
              </w:rPr>
            </w:pPr>
            <w:r>
              <w:rPr>
                <w:rFonts w:ascii="Times New Roman" w:hAnsi="Times New Roman"/>
                <w:noProof/>
              </w:rPr>
              <w:t xml:space="preserve">30 — Eksterne forbindelser </w:t>
            </w:r>
          </w:p>
          <w:p>
            <w:pPr>
              <w:rPr>
                <w:rFonts w:ascii="Times New Roman" w:hAnsi="Times New Roman" w:cs="Times New Roman"/>
                <w:b/>
                <w:noProof/>
                <w:color w:val="C00000"/>
                <w:sz w:val="24"/>
                <w:szCs w:val="24"/>
              </w:rPr>
            </w:pPr>
            <w:r>
              <w:rPr>
                <w:rFonts w:ascii="Times New Roman" w:hAnsi="Times New Roman"/>
                <w:noProof/>
              </w:rPr>
              <w:t>31 — Udenrigs-, sikkerheds- og forsvarspolitik</w:t>
            </w:r>
          </w:p>
        </w:tc>
      </w:tr>
    </w:tbl>
    <w:p>
      <w:pPr>
        <w:spacing w:after="120" w:line="240" w:lineRule="auto"/>
        <w:rPr>
          <w:noProof/>
        </w:rPr>
      </w:pPr>
    </w:p>
    <w:p>
      <w:pPr>
        <w:spacing w:before="100" w:beforeAutospacing="1" w:after="100" w:afterAutospacing="1"/>
        <w:rPr>
          <w:noProof/>
          <w:color w:val="1F497D"/>
        </w:rPr>
      </w:pPr>
      <w:r>
        <w:rPr>
          <w:noProof/>
          <w:color w:val="1F497D"/>
        </w:rPr>
        <w:t xml:space="preserve">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924416"/>
      <w:docPartObj>
        <w:docPartGallery w:val="Page Numbers (Bottom of Page)"/>
        <w:docPartUnique/>
      </w:docPartObj>
    </w:sdtPr>
    <w:sdtEndPr>
      <w:rPr>
        <w:rFonts w:ascii="Times New Roman" w:hAnsi="Times New Roman"/>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1</w:t>
        </w:r>
        <w:r>
          <w:rPr>
            <w:rFonts w:ascii="Times New Roman" w:hAnsi="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Et troværdigt udvidelsesperspektiv for landene på Vestbalkan og et øget engagement heri fra Den Europæiske Unions side (COM(2018) 65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610DADC-52DC-4843-A6BF-5B01690FE566"/>
    <w:docVar w:name="LW_COVERPAGE_TYPE" w:val="1"/>
    <w:docVar w:name="LW_CROSSREFERENCE" w:val="&lt;UNUSED&gt;"/>
    <w:docVar w:name="LW_DocType" w:val="NORMAL"/>
    <w:docVar w:name="LW_EMISSION" w:val="5.2.2020"/>
    <w:docVar w:name="LW_EMISSION_ISODATE" w:val="2020-02-05"/>
    <w:docVar w:name="LW_EMISSION_LOCATION" w:val="BRX"/>
    <w:docVar w:name="LW_EMISSION_PREFIX" w:val="Bruxelles, den "/>
    <w:docVar w:name="LW_EMISSION_SUFFIX" w:val=" "/>
    <w:docVar w:name="LW_ID_DOCTYPE_NONLW" w:val="CP-014"/>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gt;Styrkelse af tiltrædelsesprocessen \u8212? Et troværdigt EU-perspektiv for landene på Vestbalkan&lt;/FMT&gt;"/>
    <w:docVar w:name="LW_TYPE.DOC.CP" w:val="MEDDELELSE FRA KOMMISSIONEN TIL EUROPA-PARLAMENTET, RÅDET, DET EUROPÆISKE ØKONOMISKE OG SOCIALE UDVALG OG REGIONSUDVALGE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9143D-958D-4A9C-9CD9-F8842F44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3040</Words>
  <Characters>18671</Characters>
  <Application>Microsoft Office Word</Application>
  <DocSecurity>0</DocSecurity>
  <Lines>296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2020-02-05T07:16:00Z</dcterms:created>
  <dcterms:modified xsi:type="dcterms:W3CDTF">2020-02-17T10:47:00Z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7.0.1, Build 20190916</vt:lpwstr>
  </property>
  <property fmtid="{D5CDD505-2E9C-101B-9397-08002B2CF9AE}" pid="8" name="Created using">
    <vt:lpwstr>LW 7.0, Build 20190717</vt:lpwstr>
  </property>
</Properties>
</file>