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852" w:rsidRPr="007D4EB5" w:rsidRDefault="007D4EB5" w:rsidP="007D4EB5">
      <w:pPr>
        <w:pStyle w:val="Pagedecouverture"/>
        <w:rPr>
          <w:noProof/>
          <w:szCs w:val="24"/>
        </w:rPr>
      </w:pPr>
      <w:bookmarkStart w:id="0" w:name="LW_BM_COVERPAGE"/>
      <w:r w:rsidRPr="007D4EB5">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4D38B72-EAEA-442E-974B-FA19BBBA4C2A" style="width:450pt;height:376.3pt">
            <v:imagedata r:id="rId8" o:title=""/>
          </v:shape>
        </w:pict>
      </w:r>
    </w:p>
    <w:p w:rsidR="00044852" w:rsidRPr="007D4EB5" w:rsidRDefault="00044852" w:rsidP="007D4EB5">
      <w:pPr>
        <w:spacing w:after="120" w:line="240" w:lineRule="auto"/>
        <w:rPr>
          <w:rFonts w:ascii="Times New Roman" w:hAnsi="Times New Roman"/>
          <w:noProof/>
          <w:sz w:val="24"/>
          <w:szCs w:val="24"/>
        </w:rPr>
        <w:sectPr w:rsidR="00044852" w:rsidRPr="007D4EB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bookmarkStart w:id="1" w:name="_GoBack"/>
      <w:bookmarkEnd w:id="0"/>
      <w:bookmarkEnd w:id="1"/>
    </w:p>
    <w:p w:rsidR="00044852" w:rsidRPr="007D4EB5" w:rsidRDefault="007D4EB5" w:rsidP="007D4EB5">
      <w:pPr>
        <w:pStyle w:val="Body"/>
        <w:spacing w:after="120" w:line="240" w:lineRule="auto"/>
        <w:jc w:val="center"/>
        <w:rPr>
          <w:rFonts w:ascii="Times New Roman" w:eastAsia="Times New Roman" w:hAnsi="Times New Roman" w:cs="Times New Roman"/>
          <w:b/>
          <w:bCs/>
          <w:noProof/>
          <w:sz w:val="24"/>
          <w:szCs w:val="24"/>
        </w:rPr>
      </w:pPr>
      <w:r w:rsidRPr="007D4EB5">
        <w:rPr>
          <w:rFonts w:ascii="Times New Roman" w:hAnsi="Times New Roman"/>
          <w:b/>
          <w:bCs/>
          <w:noProof/>
          <w:sz w:val="24"/>
          <w:szCs w:val="24"/>
        </w:rPr>
        <w:lastRenderedPageBreak/>
        <w:t xml:space="preserve">Mitteilung der Kommission </w:t>
      </w:r>
    </w:p>
    <w:p w:rsidR="00044852" w:rsidRPr="007D4EB5" w:rsidRDefault="007D4EB5" w:rsidP="007D4EB5">
      <w:pPr>
        <w:pStyle w:val="Body"/>
        <w:spacing w:line="240" w:lineRule="auto"/>
        <w:jc w:val="center"/>
        <w:rPr>
          <w:rFonts w:ascii="Times New Roman" w:eastAsia="Times New Roman" w:hAnsi="Times New Roman" w:cs="Times New Roman"/>
          <w:b/>
          <w:bCs/>
          <w:noProof/>
          <w:sz w:val="24"/>
          <w:szCs w:val="24"/>
        </w:rPr>
      </w:pPr>
      <w:r w:rsidRPr="007D4EB5">
        <w:rPr>
          <w:rFonts w:ascii="Times New Roman" w:hAnsi="Times New Roman"/>
          <w:b/>
          <w:bCs/>
          <w:noProof/>
          <w:sz w:val="24"/>
          <w:szCs w:val="24"/>
        </w:rPr>
        <w:t xml:space="preserve">Unterstützung des westlichen Balkans bei der Bekämpfung von COVID-19 und beim Wiederaufbau nach der Pandemie </w:t>
      </w:r>
    </w:p>
    <w:p w:rsidR="00044852" w:rsidRPr="007D4EB5" w:rsidRDefault="00044852" w:rsidP="007D4EB5">
      <w:pPr>
        <w:pStyle w:val="Body"/>
        <w:spacing w:after="120" w:line="240" w:lineRule="auto"/>
        <w:rPr>
          <w:rFonts w:ascii="Times New Roman" w:eastAsia="Times New Roman" w:hAnsi="Times New Roman" w:cs="Times New Roman"/>
          <w:noProof/>
          <w:sz w:val="24"/>
          <w:szCs w:val="24"/>
        </w:rPr>
      </w:pPr>
    </w:p>
    <w:p w:rsidR="00044852" w:rsidRPr="007D4EB5" w:rsidRDefault="007D4EB5" w:rsidP="007D4EB5">
      <w:pPr>
        <w:pStyle w:val="ListParagraph"/>
        <w:numPr>
          <w:ilvl w:val="0"/>
          <w:numId w:val="20"/>
        </w:numPr>
        <w:pBdr>
          <w:top w:val="nil"/>
          <w:left w:val="nil"/>
          <w:bottom w:val="nil"/>
          <w:right w:val="nil"/>
          <w:between w:val="nil"/>
          <w:bar w:val="nil"/>
        </w:pBdr>
        <w:spacing w:after="120"/>
        <w:jc w:val="both"/>
        <w:rPr>
          <w:rFonts w:ascii="Times New Roman" w:hAnsi="Times New Roman"/>
          <w:b/>
          <w:bCs/>
          <w:noProof/>
          <w:sz w:val="24"/>
          <w:szCs w:val="24"/>
        </w:rPr>
      </w:pPr>
      <w:r w:rsidRPr="007D4EB5">
        <w:rPr>
          <w:rFonts w:ascii="Times New Roman" w:hAnsi="Times New Roman"/>
          <w:b/>
          <w:bCs/>
          <w:noProof/>
          <w:sz w:val="24"/>
          <w:szCs w:val="24"/>
        </w:rPr>
        <w:t xml:space="preserve">Einleitung </w:t>
      </w:r>
    </w:p>
    <w:p w:rsidR="00044852" w:rsidRPr="007D4EB5" w:rsidRDefault="00044852" w:rsidP="007D4EB5">
      <w:pPr>
        <w:pStyle w:val="Body"/>
        <w:spacing w:after="120" w:line="240" w:lineRule="auto"/>
        <w:jc w:val="both"/>
        <w:rPr>
          <w:rFonts w:ascii="Times New Roman" w:eastAsia="Times New Roman" w:hAnsi="Times New Roman" w:cs="Times New Roman"/>
          <w:noProof/>
          <w:sz w:val="24"/>
          <w:szCs w:val="24"/>
        </w:rPr>
      </w:pP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Der </w:t>
      </w:r>
      <w:r w:rsidRPr="007D4EB5">
        <w:rPr>
          <w:rFonts w:ascii="Times New Roman" w:hAnsi="Times New Roman"/>
          <w:b/>
          <w:bCs/>
          <w:noProof/>
          <w:sz w:val="24"/>
          <w:szCs w:val="24"/>
        </w:rPr>
        <w:t>westliche Balkan ist integraler Bestandteil Europas</w:t>
      </w:r>
      <w:r w:rsidRPr="007D4EB5">
        <w:rPr>
          <w:rFonts w:ascii="Times New Roman" w:hAnsi="Times New Roman"/>
          <w:noProof/>
          <w:sz w:val="24"/>
          <w:szCs w:val="24"/>
        </w:rPr>
        <w:t xml:space="preserve"> und daher von zentraler geostrategischer Bedeutung für die Europäische Union. Die europäische Perspektive der gesamten Region wurde im März 2020 erneut bekräftigt, als die Mitgliedstaaten</w:t>
      </w:r>
      <w:r w:rsidRPr="007D4EB5">
        <w:rPr>
          <w:rFonts w:ascii="Times New Roman" w:hAnsi="Times New Roman"/>
          <w:noProof/>
          <w:sz w:val="24"/>
          <w:szCs w:val="24"/>
        </w:rPr>
        <w:t xml:space="preserve"> die Vorschläge der Kommission für eine </w:t>
      </w:r>
      <w:r w:rsidRPr="007D4EB5">
        <w:rPr>
          <w:rFonts w:ascii="Times New Roman" w:hAnsi="Times New Roman"/>
          <w:b/>
          <w:bCs/>
          <w:noProof/>
          <w:sz w:val="24"/>
          <w:szCs w:val="24"/>
        </w:rPr>
        <w:t>verbesserte Methodik</w:t>
      </w:r>
      <w:r w:rsidRPr="007D4EB5">
        <w:rPr>
          <w:rFonts w:ascii="Times New Roman" w:eastAsia="Times New Roman" w:hAnsi="Times New Roman" w:cs="Times New Roman"/>
          <w:b/>
          <w:bCs/>
          <w:noProof/>
          <w:sz w:val="24"/>
          <w:szCs w:val="24"/>
          <w:vertAlign w:val="superscript"/>
        </w:rPr>
        <w:footnoteReference w:id="2"/>
      </w:r>
      <w:r w:rsidRPr="007D4EB5">
        <w:rPr>
          <w:rFonts w:ascii="Times New Roman" w:hAnsi="Times New Roman"/>
          <w:noProof/>
          <w:sz w:val="24"/>
          <w:szCs w:val="24"/>
        </w:rPr>
        <w:t xml:space="preserve"> für den Beitrittsprozess billigten und beschlossen, Beitrittsverhandlungen mit der </w:t>
      </w:r>
      <w:r w:rsidRPr="007D4EB5">
        <w:rPr>
          <w:rFonts w:ascii="Times New Roman" w:hAnsi="Times New Roman"/>
          <w:b/>
          <w:bCs/>
          <w:noProof/>
          <w:sz w:val="24"/>
          <w:szCs w:val="24"/>
        </w:rPr>
        <w:t>Republik Albanien</w:t>
      </w:r>
      <w:r w:rsidRPr="007D4EB5">
        <w:rPr>
          <w:rFonts w:ascii="Times New Roman" w:hAnsi="Times New Roman"/>
          <w:noProof/>
          <w:sz w:val="24"/>
          <w:szCs w:val="24"/>
        </w:rPr>
        <w:t xml:space="preserve"> und der </w:t>
      </w:r>
      <w:r w:rsidRPr="007D4EB5">
        <w:rPr>
          <w:rFonts w:ascii="Times New Roman" w:hAnsi="Times New Roman"/>
          <w:b/>
          <w:bCs/>
          <w:noProof/>
          <w:sz w:val="24"/>
          <w:szCs w:val="24"/>
        </w:rPr>
        <w:t>Republik Nordmazedonien</w:t>
      </w:r>
      <w:r w:rsidRPr="007D4EB5">
        <w:rPr>
          <w:rFonts w:ascii="Times New Roman" w:hAnsi="Times New Roman"/>
          <w:noProof/>
          <w:sz w:val="24"/>
          <w:szCs w:val="24"/>
        </w:rPr>
        <w:t xml:space="preserve"> aufzunehmen. Es ist von entscheidender Bedeutung für die Euro</w:t>
      </w:r>
      <w:r w:rsidRPr="007D4EB5">
        <w:rPr>
          <w:rFonts w:ascii="Times New Roman" w:hAnsi="Times New Roman"/>
          <w:noProof/>
          <w:sz w:val="24"/>
          <w:szCs w:val="24"/>
        </w:rPr>
        <w:t xml:space="preserve">päische Union, die Stabilität und den Wohlstand in dieser Region weiter zu fördern und auf unseren gemeinsamen strategischen Interessen aufzubauen. </w:t>
      </w:r>
    </w:p>
    <w:p w:rsidR="00044852" w:rsidRPr="007D4EB5" w:rsidRDefault="007D4EB5" w:rsidP="007D4EB5">
      <w:pPr>
        <w:pStyle w:val="FootnoteText"/>
        <w:spacing w:after="120"/>
        <w:jc w:val="both"/>
        <w:rPr>
          <w:rFonts w:ascii="Times New Roman" w:eastAsia="Times New Roman" w:hAnsi="Times New Roman"/>
          <w:noProof/>
          <w:sz w:val="24"/>
          <w:szCs w:val="24"/>
        </w:rPr>
      </w:pPr>
      <w:r w:rsidRPr="007D4EB5">
        <w:rPr>
          <w:rFonts w:ascii="Times New Roman" w:hAnsi="Times New Roman"/>
          <w:noProof/>
          <w:sz w:val="24"/>
          <w:szCs w:val="24"/>
        </w:rPr>
        <w:t xml:space="preserve">Trotz der entschlossenen Maßnahmen, die die Partner im westlichen Balkan ergriffen haben‚ wirkt sich die </w:t>
      </w:r>
      <w:r w:rsidRPr="007D4EB5">
        <w:rPr>
          <w:rFonts w:ascii="Times New Roman" w:hAnsi="Times New Roman"/>
          <w:b/>
          <w:bCs/>
          <w:noProof/>
          <w:sz w:val="24"/>
          <w:szCs w:val="24"/>
        </w:rPr>
        <w:t>COVID-19-Pandemie</w:t>
      </w:r>
      <w:r w:rsidRPr="007D4EB5">
        <w:rPr>
          <w:rFonts w:ascii="Times New Roman" w:hAnsi="Times New Roman"/>
          <w:noProof/>
          <w:sz w:val="24"/>
          <w:szCs w:val="24"/>
        </w:rPr>
        <w:t xml:space="preserve"> – neben ihren unmittelbaren Folgen für die Menschen – </w:t>
      </w:r>
      <w:r w:rsidRPr="007D4EB5">
        <w:rPr>
          <w:rFonts w:ascii="Times New Roman" w:hAnsi="Times New Roman"/>
          <w:b/>
          <w:bCs/>
          <w:noProof/>
          <w:sz w:val="24"/>
          <w:szCs w:val="24"/>
        </w:rPr>
        <w:t>negativ auf die Wirtschaft der Region und das Leben der Menschen aus</w:t>
      </w:r>
      <w:r w:rsidRPr="007D4EB5">
        <w:rPr>
          <w:rFonts w:ascii="Times New Roman" w:hAnsi="Times New Roman"/>
          <w:noProof/>
          <w:sz w:val="24"/>
          <w:szCs w:val="24"/>
        </w:rPr>
        <w:t>. Sie stellt eine beispiellose Belastung für die dortigen Gesundheits- und Sozialschutzsysteme dar. Tausende von Bür</w:t>
      </w:r>
      <w:r w:rsidRPr="007D4EB5">
        <w:rPr>
          <w:rFonts w:ascii="Times New Roman" w:hAnsi="Times New Roman"/>
          <w:noProof/>
          <w:sz w:val="24"/>
          <w:szCs w:val="24"/>
        </w:rPr>
        <w:t>gerinnen und Bürgern laufen Gefahr, ihren Arbeitsplatz zu verlieren, und befristete staatliche Unterstützungsmaßnahmen (Arbeitslosenunterstützung, Stundung/Befreiung von Steuern und Sozialversicherungsbeiträgen usw.) haben erhebliche Auswirkungen auf die ö</w:t>
      </w:r>
      <w:r w:rsidRPr="007D4EB5">
        <w:rPr>
          <w:rFonts w:ascii="Times New Roman" w:hAnsi="Times New Roman"/>
          <w:noProof/>
          <w:sz w:val="24"/>
          <w:szCs w:val="24"/>
        </w:rPr>
        <w:t xml:space="preserve">ffentlichen Haushalte. Die Regierungen sehen sich auch gezwungen, den Leistungsumfang der Sozialschutzsysteme rasch ausweiten. Die Pandemie hat sich ebenfalls auf die gemeinsamen Bemühungen im Bereich der Migration ausgewirkt.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Obwohl die EU selbst von der</w:t>
      </w:r>
      <w:r w:rsidRPr="007D4EB5">
        <w:rPr>
          <w:rFonts w:ascii="Times New Roman" w:hAnsi="Times New Roman"/>
          <w:noProof/>
          <w:sz w:val="24"/>
          <w:szCs w:val="24"/>
        </w:rPr>
        <w:t xml:space="preserve"> Pandemie stark betroffen ist, liegt es in ihrer besonderen </w:t>
      </w:r>
      <w:r w:rsidRPr="007D4EB5">
        <w:rPr>
          <w:rFonts w:ascii="Times New Roman" w:hAnsi="Times New Roman"/>
          <w:b/>
          <w:bCs/>
          <w:noProof/>
          <w:sz w:val="24"/>
          <w:szCs w:val="24"/>
        </w:rPr>
        <w:t>Verantwortung und ihrem Interesse</w:t>
      </w:r>
      <w:r w:rsidRPr="007D4EB5">
        <w:rPr>
          <w:rFonts w:ascii="Times New Roman" w:hAnsi="Times New Roman"/>
          <w:noProof/>
          <w:sz w:val="24"/>
          <w:szCs w:val="24"/>
        </w:rPr>
        <w:t>, bei der globalen Reaktion auf die Pandemie eine Vorreiterrolle zu übernehmen und in Not geratenen Partnern, vor allem in ihrer unmittelbaren Nachbarschaft, Hilfe</w:t>
      </w:r>
      <w:r w:rsidRPr="007D4EB5">
        <w:rPr>
          <w:rFonts w:ascii="Times New Roman" w:hAnsi="Times New Roman"/>
          <w:noProof/>
          <w:sz w:val="24"/>
          <w:szCs w:val="24"/>
        </w:rPr>
        <w:t xml:space="preserve"> zu leisten. Im Rahmen ihrer internationalen Bemühungen </w:t>
      </w:r>
      <w:r w:rsidRPr="007D4EB5">
        <w:rPr>
          <w:rFonts w:ascii="Times New Roman" w:hAnsi="Times New Roman"/>
          <w:b/>
          <w:bCs/>
          <w:noProof/>
          <w:sz w:val="24"/>
          <w:szCs w:val="24"/>
        </w:rPr>
        <w:t>leistet die EU dem westlichen Balkan wesentliche und beispiellose Unterstützung</w:t>
      </w:r>
      <w:r w:rsidRPr="007D4EB5">
        <w:rPr>
          <w:rFonts w:ascii="Times New Roman" w:hAnsi="Times New Roman"/>
          <w:noProof/>
          <w:sz w:val="24"/>
          <w:szCs w:val="24"/>
        </w:rPr>
        <w:t>. Die EU stellt den Ländern in der Region finanzielle Unterstützung in Höhe von mehr als 3,3 Mrd. EUR sicher, um die unmi</w:t>
      </w:r>
      <w:r w:rsidRPr="007D4EB5">
        <w:rPr>
          <w:rFonts w:ascii="Times New Roman" w:hAnsi="Times New Roman"/>
          <w:noProof/>
          <w:sz w:val="24"/>
          <w:szCs w:val="24"/>
        </w:rPr>
        <w:t>ttelbare Gesundheitskrise und den daraus resultierenden humanitären Bedarf sowie die längerfristigen und strukturellen Auswirkungen auf Gesellschaft und Wirtschaft zu bewältigen. Aufgrund der europäischen Perspektive der Region behandelt die EU den westlic</w:t>
      </w:r>
      <w:r w:rsidRPr="007D4EB5">
        <w:rPr>
          <w:rFonts w:ascii="Times New Roman" w:hAnsi="Times New Roman"/>
          <w:noProof/>
          <w:sz w:val="24"/>
          <w:szCs w:val="24"/>
        </w:rPr>
        <w:t xml:space="preserve">hen Balkan als privilegierten Partner, dem sie Zugang zu zahlreichen Initiativen und Instrumenten gewährt, die sonst den EU-Mitgliedstaaten vorbehalten sind.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Die Staats- und Regierungschefs der EU und der Region werden am 6. Mai 2020 zusammenkommen, um si</w:t>
      </w:r>
      <w:r w:rsidRPr="007D4EB5">
        <w:rPr>
          <w:rFonts w:ascii="Times New Roman" w:hAnsi="Times New Roman"/>
          <w:noProof/>
          <w:sz w:val="24"/>
          <w:szCs w:val="24"/>
        </w:rPr>
        <w:t xml:space="preserve">ch über die Herausforderungen auszutauschen, denen sie gemeinsam gegenüberstehen. Als Beitrag zu diesen Beratungen wird in dieser Mitteilung die </w:t>
      </w:r>
      <w:r w:rsidRPr="007D4EB5">
        <w:rPr>
          <w:rFonts w:ascii="Times New Roman" w:hAnsi="Times New Roman"/>
          <w:b/>
          <w:bCs/>
          <w:noProof/>
          <w:sz w:val="24"/>
          <w:szCs w:val="24"/>
        </w:rPr>
        <w:t>Solidarität der Europäischen Union mit dem westlichen Balkan</w:t>
      </w:r>
      <w:r w:rsidRPr="007D4EB5">
        <w:rPr>
          <w:rFonts w:ascii="Times New Roman" w:hAnsi="Times New Roman"/>
          <w:noProof/>
          <w:sz w:val="24"/>
          <w:szCs w:val="24"/>
        </w:rPr>
        <w:t xml:space="preserve"> im Kampf gegen die unmittelbaren Folgen von COVID-</w:t>
      </w:r>
      <w:r w:rsidRPr="007D4EB5">
        <w:rPr>
          <w:rFonts w:ascii="Times New Roman" w:hAnsi="Times New Roman"/>
          <w:noProof/>
          <w:sz w:val="24"/>
          <w:szCs w:val="24"/>
        </w:rPr>
        <w:t xml:space="preserve">19 dargelegt und eine Reihe möglicher Kooperationsbereiche ermittelt. Darin wird auch auf die längerfristige Unterstützung der EU für die wirtschaftliche Erholung der Region eingegangen, </w:t>
      </w:r>
      <w:r w:rsidRPr="007D4EB5">
        <w:rPr>
          <w:rFonts w:ascii="Times New Roman" w:hAnsi="Times New Roman"/>
          <w:b/>
          <w:bCs/>
          <w:noProof/>
          <w:sz w:val="24"/>
          <w:szCs w:val="24"/>
        </w:rPr>
        <w:t xml:space="preserve">als Grundlage für einen </w:t>
      </w:r>
      <w:r w:rsidRPr="007D4EB5">
        <w:rPr>
          <w:rFonts w:ascii="Times New Roman" w:hAnsi="Times New Roman"/>
          <w:b/>
          <w:bCs/>
          <w:noProof/>
          <w:sz w:val="24"/>
          <w:szCs w:val="24"/>
        </w:rPr>
        <w:lastRenderedPageBreak/>
        <w:t>detaillierteren Wirtschafts- und Investitions</w:t>
      </w:r>
      <w:r w:rsidRPr="007D4EB5">
        <w:rPr>
          <w:rFonts w:ascii="Times New Roman" w:hAnsi="Times New Roman"/>
          <w:b/>
          <w:bCs/>
          <w:noProof/>
          <w:sz w:val="24"/>
          <w:szCs w:val="24"/>
        </w:rPr>
        <w:t>plan für die Region, den die Kommission später in diesem Jahr vorlegen wird.</w:t>
      </w:r>
      <w:r w:rsidRPr="007D4EB5">
        <w:rPr>
          <w:rFonts w:ascii="Times New Roman" w:hAnsi="Times New Roman"/>
          <w:noProof/>
          <w:sz w:val="24"/>
          <w:szCs w:val="24"/>
        </w:rPr>
        <w:t xml:space="preserve"> Schließlich sieht die Mitteilung eine weitere Intensivierung des Engagements und der Unterstützung der EU für die Verwirklichung der europäischen Perspektive der Region vor. So so</w:t>
      </w:r>
      <w:r w:rsidRPr="007D4EB5">
        <w:rPr>
          <w:rFonts w:ascii="Times New Roman" w:hAnsi="Times New Roman"/>
          <w:noProof/>
          <w:sz w:val="24"/>
          <w:szCs w:val="24"/>
        </w:rPr>
        <w:t xml:space="preserve">ll allen Partnern dabei geholfen werden, die </w:t>
      </w:r>
      <w:r w:rsidRPr="007D4EB5">
        <w:rPr>
          <w:rFonts w:ascii="Times New Roman" w:hAnsi="Times New Roman"/>
          <w:b/>
          <w:bCs/>
          <w:noProof/>
          <w:sz w:val="24"/>
          <w:szCs w:val="24"/>
        </w:rPr>
        <w:t>erforderlichen grundlegenden Reformen mit noch größerem Nachdruck umzusetzen</w:t>
      </w:r>
      <w:r w:rsidRPr="007D4EB5">
        <w:rPr>
          <w:rFonts w:ascii="Times New Roman" w:hAnsi="Times New Roman"/>
          <w:noProof/>
          <w:sz w:val="24"/>
          <w:szCs w:val="24"/>
        </w:rPr>
        <w:t xml:space="preserve">, wie im Rahmen der neuen Beitrittsmethodik vorgesehen. </w:t>
      </w:r>
    </w:p>
    <w:p w:rsidR="00044852" w:rsidRPr="007D4EB5" w:rsidRDefault="00044852" w:rsidP="007D4EB5">
      <w:pPr>
        <w:pStyle w:val="Body"/>
        <w:spacing w:after="120" w:line="240" w:lineRule="auto"/>
        <w:jc w:val="both"/>
        <w:rPr>
          <w:rFonts w:ascii="Times New Roman" w:eastAsia="Times New Roman" w:hAnsi="Times New Roman" w:cs="Times New Roman"/>
          <w:noProof/>
          <w:sz w:val="24"/>
          <w:szCs w:val="24"/>
        </w:rPr>
      </w:pPr>
    </w:p>
    <w:p w:rsidR="00044852" w:rsidRPr="007D4EB5" w:rsidRDefault="007D4EB5" w:rsidP="007D4EB5">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7D4EB5">
        <w:rPr>
          <w:rFonts w:ascii="Times New Roman" w:hAnsi="Times New Roman"/>
          <w:b/>
          <w:bCs/>
          <w:noProof/>
          <w:sz w:val="24"/>
          <w:szCs w:val="24"/>
        </w:rPr>
        <w:t>Unterstützung der EU für den westlichen Balkan bei der Bekämpfung von COVID-1</w:t>
      </w:r>
      <w:r w:rsidRPr="007D4EB5">
        <w:rPr>
          <w:rFonts w:ascii="Times New Roman" w:hAnsi="Times New Roman"/>
          <w:b/>
          <w:bCs/>
          <w:noProof/>
          <w:sz w:val="24"/>
          <w:szCs w:val="24"/>
        </w:rPr>
        <w:t xml:space="preserve">9 </w:t>
      </w:r>
    </w:p>
    <w:p w:rsidR="00044852" w:rsidRPr="007D4EB5" w:rsidRDefault="007D4EB5" w:rsidP="007D4EB5">
      <w:pPr>
        <w:pStyle w:val="FootnoteText"/>
        <w:spacing w:after="120"/>
        <w:jc w:val="both"/>
        <w:rPr>
          <w:rFonts w:ascii="Times New Roman" w:eastAsia="Times New Roman" w:hAnsi="Times New Roman"/>
          <w:noProof/>
          <w:sz w:val="24"/>
          <w:szCs w:val="24"/>
        </w:rPr>
      </w:pPr>
      <w:r w:rsidRPr="007D4EB5">
        <w:rPr>
          <w:rFonts w:ascii="Times New Roman" w:hAnsi="Times New Roman"/>
          <w:noProof/>
          <w:sz w:val="24"/>
          <w:szCs w:val="24"/>
        </w:rPr>
        <w:t>Als Reaktion auf die Krise beschloss die EU, nicht nur erhebliche finanzielle Unterstützung bereitzustellen, sondern den westlichen Balkan auch so weit wie möglich in ihre eigenen Abwehrmaßnahmen einzubeziehen. Die Region hat zwar auch von anderen Lände</w:t>
      </w:r>
      <w:r w:rsidRPr="007D4EB5">
        <w:rPr>
          <w:rFonts w:ascii="Times New Roman" w:hAnsi="Times New Roman"/>
          <w:noProof/>
          <w:sz w:val="24"/>
          <w:szCs w:val="24"/>
        </w:rPr>
        <w:t>rn Unterstützung erhalten, doch die EU hat sich dank flexibler Verfahren und zeitnaher Entscheidungen erneut als wirksamster und verlässlichster Partner der Region erwiesen.</w:t>
      </w:r>
    </w:p>
    <w:p w:rsidR="00044852" w:rsidRPr="007D4EB5" w:rsidRDefault="007D4EB5" w:rsidP="007D4EB5">
      <w:pPr>
        <w:pStyle w:val="FootnoteText"/>
        <w:spacing w:after="120"/>
        <w:jc w:val="both"/>
        <w:rPr>
          <w:rFonts w:ascii="Times New Roman" w:eastAsia="Times New Roman" w:hAnsi="Times New Roman"/>
          <w:noProof/>
          <w:sz w:val="24"/>
          <w:szCs w:val="24"/>
        </w:rPr>
      </w:pPr>
      <w:r w:rsidRPr="007D4EB5">
        <w:rPr>
          <w:rFonts w:ascii="Times New Roman" w:hAnsi="Times New Roman"/>
          <w:noProof/>
          <w:sz w:val="24"/>
          <w:szCs w:val="24"/>
        </w:rPr>
        <w:t xml:space="preserve">Die EU hat ein </w:t>
      </w:r>
      <w:r w:rsidRPr="007D4EB5">
        <w:rPr>
          <w:rFonts w:ascii="Times New Roman" w:hAnsi="Times New Roman"/>
          <w:b/>
          <w:noProof/>
          <w:sz w:val="24"/>
          <w:szCs w:val="24"/>
        </w:rPr>
        <w:t>Finanzpaket von über 3,3 Mrd. EUR zugunsten der Bürgerinnen und Bür</w:t>
      </w:r>
      <w:r w:rsidRPr="007D4EB5">
        <w:rPr>
          <w:rFonts w:ascii="Times New Roman" w:hAnsi="Times New Roman"/>
          <w:b/>
          <w:noProof/>
          <w:sz w:val="24"/>
          <w:szCs w:val="24"/>
        </w:rPr>
        <w:t>ger des westlichen Balkans</w:t>
      </w:r>
      <w:r w:rsidRPr="007D4EB5">
        <w:rPr>
          <w:rFonts w:ascii="Times New Roman" w:eastAsia="Times New Roman" w:hAnsi="Times New Roman"/>
          <w:b/>
          <w:bCs/>
          <w:noProof/>
          <w:sz w:val="24"/>
          <w:szCs w:val="24"/>
          <w:vertAlign w:val="superscript"/>
        </w:rPr>
        <w:footnoteReference w:id="3"/>
      </w:r>
      <w:r w:rsidRPr="007D4EB5">
        <w:rPr>
          <w:rFonts w:ascii="Times New Roman" w:hAnsi="Times New Roman"/>
          <w:noProof/>
          <w:sz w:val="24"/>
          <w:szCs w:val="24"/>
        </w:rPr>
        <w:t xml:space="preserve"> mobilisiert. Das Paket umfasst neben der Umschichtung von Mitteln des </w:t>
      </w:r>
      <w:r w:rsidRPr="007D4EB5">
        <w:rPr>
          <w:rFonts w:ascii="Times New Roman" w:hAnsi="Times New Roman"/>
          <w:b/>
          <w:noProof/>
          <w:sz w:val="24"/>
          <w:szCs w:val="24"/>
        </w:rPr>
        <w:t>Instruments für Heranführungshilfe</w:t>
      </w:r>
      <w:r w:rsidRPr="007D4EB5">
        <w:rPr>
          <w:rFonts w:ascii="Times New Roman" w:eastAsia="Times New Roman" w:hAnsi="Times New Roman"/>
          <w:b/>
          <w:bCs/>
          <w:noProof/>
          <w:sz w:val="24"/>
          <w:szCs w:val="24"/>
          <w:vertAlign w:val="superscript"/>
        </w:rPr>
        <w:footnoteReference w:id="4"/>
      </w:r>
      <w:r w:rsidRPr="007D4EB5">
        <w:rPr>
          <w:rFonts w:ascii="Times New Roman" w:hAnsi="Times New Roman"/>
          <w:b/>
          <w:noProof/>
          <w:sz w:val="24"/>
          <w:szCs w:val="24"/>
        </w:rPr>
        <w:t xml:space="preserve"> (38 Mio. EUR</w:t>
      </w:r>
      <w:r w:rsidRPr="007D4EB5">
        <w:rPr>
          <w:rFonts w:ascii="Times New Roman" w:hAnsi="Times New Roman"/>
          <w:noProof/>
          <w:sz w:val="24"/>
          <w:szCs w:val="24"/>
        </w:rPr>
        <w:t xml:space="preserve"> für Soforthilfe im Gesundheitssektor, insbesondere für die Bereitstellung grundlegender Hilfsgüter zur Rettun</w:t>
      </w:r>
      <w:r w:rsidRPr="007D4EB5">
        <w:rPr>
          <w:rFonts w:ascii="Times New Roman" w:hAnsi="Times New Roman"/>
          <w:noProof/>
          <w:sz w:val="24"/>
          <w:szCs w:val="24"/>
        </w:rPr>
        <w:t>g von Menschenleben wie persönlicher Schutzausrüstungen, Tests und Beatmungsgeräte</w:t>
      </w:r>
      <w:r w:rsidRPr="007D4EB5">
        <w:rPr>
          <w:rFonts w:ascii="Times New Roman" w:eastAsia="Times New Roman" w:hAnsi="Times New Roman"/>
          <w:noProof/>
          <w:sz w:val="24"/>
          <w:szCs w:val="24"/>
          <w:vertAlign w:val="superscript"/>
        </w:rPr>
        <w:footnoteReference w:id="5"/>
      </w:r>
      <w:r w:rsidRPr="007D4EB5">
        <w:rPr>
          <w:rFonts w:ascii="Times New Roman" w:hAnsi="Times New Roman"/>
          <w:noProof/>
          <w:sz w:val="24"/>
          <w:szCs w:val="24"/>
        </w:rPr>
        <w:t xml:space="preserve">, </w:t>
      </w:r>
      <w:r w:rsidRPr="007D4EB5">
        <w:rPr>
          <w:rFonts w:ascii="Times New Roman" w:hAnsi="Times New Roman"/>
          <w:b/>
          <w:bCs/>
          <w:noProof/>
          <w:sz w:val="24"/>
          <w:szCs w:val="24"/>
        </w:rPr>
        <w:t>389 Mio. EUR</w:t>
      </w:r>
      <w:r w:rsidRPr="007D4EB5">
        <w:rPr>
          <w:rFonts w:ascii="Times New Roman" w:hAnsi="Times New Roman"/>
          <w:noProof/>
          <w:sz w:val="24"/>
          <w:szCs w:val="24"/>
        </w:rPr>
        <w:t xml:space="preserve"> zur Deckung des </w:t>
      </w:r>
      <w:r w:rsidRPr="007D4EB5">
        <w:rPr>
          <w:rFonts w:ascii="Times New Roman" w:hAnsi="Times New Roman"/>
          <w:b/>
          <w:bCs/>
          <w:noProof/>
          <w:sz w:val="24"/>
          <w:szCs w:val="24"/>
        </w:rPr>
        <w:t>Bedarfs beim sozialen und wirtschaftlichen Wiederaufbau</w:t>
      </w:r>
      <w:r w:rsidRPr="007D4EB5">
        <w:rPr>
          <w:rFonts w:ascii="Times New Roman" w:hAnsi="Times New Roman"/>
          <w:noProof/>
          <w:sz w:val="24"/>
          <w:szCs w:val="24"/>
        </w:rPr>
        <w:t xml:space="preserve"> und ein </w:t>
      </w:r>
      <w:r w:rsidRPr="007D4EB5">
        <w:rPr>
          <w:rFonts w:ascii="Times New Roman" w:hAnsi="Times New Roman"/>
          <w:b/>
          <w:bCs/>
          <w:noProof/>
          <w:sz w:val="24"/>
          <w:szCs w:val="24"/>
        </w:rPr>
        <w:t>Paket von 455 Mio. EUR zur Wiederankurbelung der Wirtschaft</w:t>
      </w:r>
      <w:r w:rsidRPr="007D4EB5">
        <w:rPr>
          <w:rFonts w:ascii="Times New Roman" w:hAnsi="Times New Roman"/>
          <w:noProof/>
          <w:sz w:val="24"/>
          <w:szCs w:val="24"/>
        </w:rPr>
        <w:t xml:space="preserve"> in der Region in e</w:t>
      </w:r>
      <w:r w:rsidRPr="007D4EB5">
        <w:rPr>
          <w:rFonts w:ascii="Times New Roman" w:hAnsi="Times New Roman"/>
          <w:noProof/>
          <w:sz w:val="24"/>
          <w:szCs w:val="24"/>
        </w:rPr>
        <w:t>nger Zusammenarbeit mit den internationalen Finanzinstitutionen) einen Vorschlag</w:t>
      </w:r>
      <w:r w:rsidRPr="007D4EB5">
        <w:rPr>
          <w:rFonts w:ascii="Times New Roman" w:eastAsia="Times New Roman" w:hAnsi="Times New Roman"/>
          <w:noProof/>
          <w:sz w:val="24"/>
          <w:szCs w:val="24"/>
          <w:vertAlign w:val="superscript"/>
        </w:rPr>
        <w:footnoteReference w:id="6"/>
      </w:r>
      <w:r w:rsidRPr="007D4EB5">
        <w:rPr>
          <w:rFonts w:ascii="Times New Roman" w:hAnsi="Times New Roman"/>
          <w:noProof/>
          <w:sz w:val="24"/>
          <w:szCs w:val="24"/>
        </w:rPr>
        <w:t xml:space="preserve"> für </w:t>
      </w:r>
      <w:r w:rsidRPr="007D4EB5">
        <w:rPr>
          <w:rFonts w:ascii="Times New Roman" w:hAnsi="Times New Roman"/>
          <w:b/>
          <w:bCs/>
          <w:noProof/>
          <w:sz w:val="24"/>
          <w:szCs w:val="24"/>
        </w:rPr>
        <w:t>Makrofinanzhilfen in Höhe von 750 Mio. EUR</w:t>
      </w:r>
      <w:r w:rsidRPr="007D4EB5">
        <w:rPr>
          <w:rFonts w:ascii="Times New Roman" w:hAnsi="Times New Roman"/>
          <w:noProof/>
          <w:sz w:val="24"/>
          <w:szCs w:val="24"/>
        </w:rPr>
        <w:t xml:space="preserve"> und ein </w:t>
      </w:r>
      <w:r w:rsidRPr="007D4EB5">
        <w:rPr>
          <w:rFonts w:ascii="Times New Roman" w:hAnsi="Times New Roman"/>
          <w:b/>
          <w:bCs/>
          <w:noProof/>
          <w:sz w:val="24"/>
          <w:szCs w:val="24"/>
        </w:rPr>
        <w:t>Unterstützungspaket der Europäischen Investitionsbank in Höhe von 1,7 Mrd. EUR</w:t>
      </w:r>
      <w:r w:rsidRPr="007D4EB5">
        <w:rPr>
          <w:rFonts w:ascii="Times New Roman" w:hAnsi="Times New Roman"/>
          <w:noProof/>
          <w:sz w:val="24"/>
          <w:szCs w:val="24"/>
        </w:rPr>
        <w:t xml:space="preserve">. Darüber hinaus leistet die EU sowohl </w:t>
      </w:r>
      <w:r w:rsidRPr="007D4EB5">
        <w:rPr>
          <w:rFonts w:ascii="Times New Roman" w:hAnsi="Times New Roman"/>
          <w:b/>
          <w:bCs/>
          <w:noProof/>
          <w:sz w:val="24"/>
          <w:szCs w:val="24"/>
        </w:rPr>
        <w:t>hu</w:t>
      </w:r>
      <w:r w:rsidRPr="007D4EB5">
        <w:rPr>
          <w:rFonts w:ascii="Times New Roman" w:hAnsi="Times New Roman"/>
          <w:b/>
          <w:bCs/>
          <w:noProof/>
          <w:sz w:val="24"/>
          <w:szCs w:val="24"/>
        </w:rPr>
        <w:t>manitäre Soforthilfe für bedürftige Flüchtlinge und Migranten in Höhe von 4,5 Mio. EUR</w:t>
      </w:r>
      <w:r w:rsidRPr="007D4EB5">
        <w:rPr>
          <w:rFonts w:ascii="Times New Roman" w:hAnsi="Times New Roman"/>
          <w:noProof/>
          <w:sz w:val="24"/>
          <w:szCs w:val="24"/>
        </w:rPr>
        <w:t xml:space="preserve"> in den Bereichen Schutz, Unterstützung unbegleiteter Minderjähriger und Gesundheitsfürsorge, einschließlich der COVID-19-Vorsorge, als auch Nothilfe für im westlichen Ba</w:t>
      </w:r>
      <w:r w:rsidRPr="007D4EB5">
        <w:rPr>
          <w:rFonts w:ascii="Times New Roman" w:hAnsi="Times New Roman"/>
          <w:noProof/>
          <w:sz w:val="24"/>
          <w:szCs w:val="24"/>
        </w:rPr>
        <w:t xml:space="preserve">lkan gestrandete Migranten und Flüchtlinge in Höhe von </w:t>
      </w:r>
      <w:r w:rsidRPr="007D4EB5">
        <w:rPr>
          <w:rFonts w:ascii="Times New Roman" w:hAnsi="Times New Roman"/>
          <w:b/>
          <w:bCs/>
          <w:noProof/>
          <w:sz w:val="24"/>
          <w:szCs w:val="24"/>
        </w:rPr>
        <w:t>8 Mio. EUR</w:t>
      </w:r>
      <w:r w:rsidRPr="007D4EB5">
        <w:rPr>
          <w:rFonts w:ascii="Times New Roman" w:hAnsi="Times New Roman"/>
          <w:noProof/>
          <w:sz w:val="24"/>
          <w:szCs w:val="24"/>
        </w:rPr>
        <w:t xml:space="preserve"> aus Mitteln des </w:t>
      </w:r>
      <w:r w:rsidRPr="007D4EB5">
        <w:rPr>
          <w:rFonts w:ascii="Times New Roman" w:hAnsi="Times New Roman"/>
          <w:b/>
          <w:bCs/>
          <w:noProof/>
          <w:sz w:val="24"/>
          <w:szCs w:val="24"/>
        </w:rPr>
        <w:t>Stabilitäts- und Friedensinstruments</w:t>
      </w:r>
      <w:r w:rsidRPr="007D4EB5">
        <w:rPr>
          <w:rFonts w:ascii="Times New Roman" w:hAnsi="Times New Roman"/>
          <w:noProof/>
          <w:sz w:val="24"/>
          <w:szCs w:val="24"/>
        </w:rPr>
        <w:t xml:space="preserve">. Hinzu kommt, dass der </w:t>
      </w:r>
      <w:r w:rsidRPr="007D4EB5">
        <w:rPr>
          <w:rFonts w:ascii="Times New Roman" w:hAnsi="Times New Roman"/>
          <w:b/>
          <w:bCs/>
          <w:noProof/>
          <w:sz w:val="24"/>
          <w:szCs w:val="24"/>
        </w:rPr>
        <w:t>Solidaritätsfonds</w:t>
      </w:r>
      <w:r w:rsidRPr="007D4EB5">
        <w:rPr>
          <w:rFonts w:ascii="Times New Roman" w:hAnsi="Times New Roman"/>
          <w:noProof/>
          <w:sz w:val="24"/>
          <w:szCs w:val="24"/>
        </w:rPr>
        <w:t xml:space="preserve"> der EU, der denjenigen Ländern des westlichen Balkans offensteht, die Beitrittsverhandlungen aufgenommen haben, nun auch bei Krisen im Bereich der öffentlichen Gesundheit in Anspruch genommen werden kann.</w:t>
      </w:r>
    </w:p>
    <w:p w:rsidR="00044852" w:rsidRPr="007D4EB5" w:rsidRDefault="007D4EB5" w:rsidP="007D4EB5">
      <w:pPr>
        <w:pStyle w:val="FootnoteText"/>
        <w:spacing w:after="120"/>
        <w:jc w:val="both"/>
        <w:rPr>
          <w:rFonts w:ascii="Times New Roman" w:eastAsia="Times New Roman" w:hAnsi="Times New Roman"/>
          <w:noProof/>
          <w:sz w:val="24"/>
          <w:szCs w:val="24"/>
        </w:rPr>
      </w:pPr>
      <w:r w:rsidRPr="007D4EB5">
        <w:rPr>
          <w:rFonts w:ascii="Times New Roman" w:hAnsi="Times New Roman"/>
          <w:noProof/>
          <w:sz w:val="24"/>
          <w:szCs w:val="24"/>
        </w:rPr>
        <w:t>Ein erheblicher Teil der wirtschaftlichen Unterstü</w:t>
      </w:r>
      <w:r w:rsidRPr="007D4EB5">
        <w:rPr>
          <w:rFonts w:ascii="Times New Roman" w:hAnsi="Times New Roman"/>
          <w:noProof/>
          <w:sz w:val="24"/>
          <w:szCs w:val="24"/>
        </w:rPr>
        <w:t xml:space="preserve">tzung der EU dient dazu, </w:t>
      </w:r>
      <w:r w:rsidRPr="007D4EB5">
        <w:rPr>
          <w:rFonts w:ascii="Times New Roman" w:hAnsi="Times New Roman"/>
          <w:b/>
          <w:bCs/>
          <w:noProof/>
          <w:sz w:val="24"/>
          <w:szCs w:val="24"/>
        </w:rPr>
        <w:t>dem Privatsektor bei der Bewältigung von Liquiditäts- und Finanzproblemen zu helfen</w:t>
      </w:r>
      <w:r w:rsidRPr="007D4EB5">
        <w:rPr>
          <w:rFonts w:ascii="Times New Roman" w:hAnsi="Times New Roman"/>
          <w:noProof/>
          <w:sz w:val="24"/>
          <w:szCs w:val="24"/>
        </w:rPr>
        <w:t xml:space="preserve">. Zu diesem Zweck werden in Zusammenarbeit mit internationalen Finanzinstitutionen EU-finanzierte Garantieregelungen geschaffen. </w:t>
      </w:r>
    </w:p>
    <w:p w:rsidR="00044852" w:rsidRPr="007D4EB5" w:rsidRDefault="007D4EB5" w:rsidP="007D4EB5">
      <w:pPr>
        <w:pStyle w:val="FootnoteText"/>
        <w:spacing w:after="120"/>
        <w:jc w:val="both"/>
        <w:rPr>
          <w:rFonts w:ascii="Times New Roman" w:eastAsia="Times New Roman" w:hAnsi="Times New Roman"/>
          <w:noProof/>
          <w:sz w:val="24"/>
          <w:szCs w:val="24"/>
        </w:rPr>
      </w:pPr>
      <w:r w:rsidRPr="007D4EB5">
        <w:rPr>
          <w:rFonts w:ascii="Times New Roman" w:hAnsi="Times New Roman"/>
          <w:noProof/>
          <w:sz w:val="24"/>
          <w:szCs w:val="24"/>
        </w:rPr>
        <w:t>Der Krisenreaktion</w:t>
      </w:r>
      <w:r w:rsidRPr="007D4EB5">
        <w:rPr>
          <w:rFonts w:ascii="Times New Roman" w:hAnsi="Times New Roman"/>
          <w:noProof/>
          <w:sz w:val="24"/>
          <w:szCs w:val="24"/>
        </w:rPr>
        <w:t xml:space="preserve"> der EU liegt das </w:t>
      </w:r>
      <w:r w:rsidRPr="007D4EB5">
        <w:rPr>
          <w:rFonts w:ascii="Times New Roman" w:hAnsi="Times New Roman"/>
          <w:b/>
          <w:bCs/>
          <w:noProof/>
          <w:sz w:val="24"/>
          <w:szCs w:val="24"/>
        </w:rPr>
        <w:t>Konzept „Team Europa“</w:t>
      </w:r>
      <w:r w:rsidRPr="007D4EB5">
        <w:rPr>
          <w:rFonts w:ascii="Times New Roman" w:eastAsia="Times New Roman" w:hAnsi="Times New Roman"/>
          <w:b/>
          <w:bCs/>
          <w:noProof/>
          <w:sz w:val="24"/>
          <w:szCs w:val="24"/>
          <w:vertAlign w:val="superscript"/>
        </w:rPr>
        <w:footnoteReference w:id="7"/>
      </w:r>
      <w:r w:rsidRPr="007D4EB5">
        <w:rPr>
          <w:rFonts w:ascii="Times New Roman" w:hAnsi="Times New Roman"/>
          <w:noProof/>
          <w:sz w:val="24"/>
          <w:szCs w:val="24"/>
        </w:rPr>
        <w:t xml:space="preserve"> zugrunde, dem zufolge wir bei unserer schnellen und gezielten Unterstützung Ressourcen der EU-Organe‚ der Mitgliedstaaten und verschiedener Finanzinstitutionen, insbesondere der Europäischen Investitionsbank und der</w:t>
      </w:r>
      <w:r w:rsidRPr="007D4EB5">
        <w:rPr>
          <w:rFonts w:ascii="Times New Roman" w:hAnsi="Times New Roman"/>
          <w:noProof/>
          <w:sz w:val="24"/>
          <w:szCs w:val="24"/>
        </w:rPr>
        <w:t xml:space="preserve"> Europäischen Bank für Wiederaufbau und Entwicklung, miteinander kombinieren. Gemeinsam mit unseren Partnern stellen wir sicher, dass die beträchtlichen EU-Mittel, die ihnen bereits zugewiesen wurden, gezielt für die Bewältigung der Auswirkungen der Pandem</w:t>
      </w:r>
      <w:r w:rsidRPr="007D4EB5">
        <w:rPr>
          <w:rFonts w:ascii="Times New Roman" w:hAnsi="Times New Roman"/>
          <w:noProof/>
          <w:sz w:val="24"/>
          <w:szCs w:val="24"/>
        </w:rPr>
        <w:t>ie eingesetzt werden. Parallel dazu leisten einige EU-Mitgliedstaaten auch bilaterale Unterstützung, sei es in finanzieller Hinsicht oder in Form gespendeter Lieferungen.</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Angesichts des Ausbruchs von COVID-19 haben die Partner im westlichen Balkan auch das </w:t>
      </w:r>
      <w:r w:rsidRPr="007D4EB5">
        <w:rPr>
          <w:rFonts w:ascii="Times New Roman" w:hAnsi="Times New Roman"/>
          <w:b/>
          <w:bCs/>
          <w:noProof/>
          <w:sz w:val="24"/>
          <w:szCs w:val="24"/>
        </w:rPr>
        <w:t>Katastrophenschutzverfahren der Union aktiviert</w:t>
      </w:r>
      <w:r w:rsidRPr="007D4EB5">
        <w:rPr>
          <w:rFonts w:ascii="Times New Roman" w:hAnsi="Times New Roman"/>
          <w:noProof/>
          <w:sz w:val="24"/>
          <w:szCs w:val="24"/>
        </w:rPr>
        <w:t xml:space="preserve"> und erhalten inzwischen entsprechende Hilfe von EU-Mitgliedstaaten und anderen am Verfahren teilnehmenden Staaten. Als Tei</w:t>
      </w:r>
      <w:r w:rsidRPr="007D4EB5">
        <w:rPr>
          <w:rFonts w:ascii="Times New Roman" w:hAnsi="Times New Roman"/>
          <w:noProof/>
          <w:sz w:val="24"/>
          <w:szCs w:val="24"/>
        </w:rPr>
        <w:t xml:space="preserve">lnehmerstaaten können </w:t>
      </w:r>
      <w:r w:rsidRPr="007D4EB5">
        <w:rPr>
          <w:rFonts w:ascii="Times New Roman" w:hAnsi="Times New Roman"/>
          <w:b/>
          <w:bCs/>
          <w:noProof/>
          <w:sz w:val="24"/>
          <w:szCs w:val="24"/>
        </w:rPr>
        <w:t>Serbien, Nordmazedonien und Montenegro</w:t>
      </w:r>
      <w:r w:rsidRPr="007D4EB5">
        <w:rPr>
          <w:rFonts w:ascii="Times New Roman" w:hAnsi="Times New Roman"/>
          <w:noProof/>
          <w:sz w:val="24"/>
          <w:szCs w:val="24"/>
        </w:rPr>
        <w:t xml:space="preserve"> zur EU-Reserve „rescEU“, einschließlich der Vorräte an medizinischer Ausrüstung, beitragen und daraus Unterstützung anfordern. Im Ausland gestrandete Staatsbürger aus dem westlichen Balkan zählte</w:t>
      </w:r>
      <w:r w:rsidRPr="007D4EB5">
        <w:rPr>
          <w:rFonts w:ascii="Times New Roman" w:hAnsi="Times New Roman"/>
          <w:noProof/>
          <w:sz w:val="24"/>
          <w:szCs w:val="24"/>
        </w:rPr>
        <w:t>n zu den Personen, die dank Repatriierungsflügen, die im Rahmen des Katastrophenschutzverfahrens organisiert und kofinanziert wurden, in ihr Heimatland zurückkehren konnten. Die Katastrophenschutzbehörden des westlichen Balkans werden weiterhin an Schulung</w:t>
      </w:r>
      <w:r w:rsidRPr="007D4EB5">
        <w:rPr>
          <w:rFonts w:ascii="Times New Roman" w:hAnsi="Times New Roman"/>
          <w:noProof/>
          <w:sz w:val="24"/>
          <w:szCs w:val="24"/>
        </w:rPr>
        <w:t xml:space="preserve">en, Übungen und dem Austausch von Experten im Rahmen des Katastrophenschutzverfahrens teilnehmen. Die EU </w:t>
      </w:r>
      <w:r w:rsidRPr="007D4EB5">
        <w:rPr>
          <w:rFonts w:ascii="Times New Roman" w:hAnsi="Times New Roman"/>
          <w:b/>
          <w:bCs/>
          <w:noProof/>
          <w:sz w:val="24"/>
          <w:szCs w:val="24"/>
        </w:rPr>
        <w:t>schätzt auch die wertvolle Unterstützung</w:t>
      </w:r>
      <w:r w:rsidRPr="007D4EB5">
        <w:rPr>
          <w:rFonts w:ascii="Times New Roman" w:hAnsi="Times New Roman"/>
          <w:noProof/>
          <w:sz w:val="24"/>
          <w:szCs w:val="24"/>
        </w:rPr>
        <w:t>‚ die die Partner im westlichen Balkan der EU und ihren unmittelbaren Nachbarn im Hinblick auf medizinisches Pe</w:t>
      </w:r>
      <w:r w:rsidRPr="007D4EB5">
        <w:rPr>
          <w:rFonts w:ascii="Times New Roman" w:hAnsi="Times New Roman"/>
          <w:noProof/>
          <w:sz w:val="24"/>
          <w:szCs w:val="24"/>
        </w:rPr>
        <w:t>rsonal und medizinische Ausrüstung geleistet haben. Dies spiegelt die Solidarität und die Grundwerte wider, auf denen die EU beruht.</w:t>
      </w:r>
      <w:r w:rsidRPr="007D4EB5">
        <w:rPr>
          <w:noProof/>
          <w:sz w:val="24"/>
          <w:szCs w:val="24"/>
        </w:rPr>
        <w:t xml:space="preserve"> </w:t>
      </w:r>
    </w:p>
    <w:p w:rsidR="00044852" w:rsidRPr="007D4EB5" w:rsidRDefault="007D4EB5" w:rsidP="007D4EB5">
      <w:pPr>
        <w:pStyle w:val="FootnoteText"/>
        <w:spacing w:after="120"/>
        <w:jc w:val="both"/>
        <w:rPr>
          <w:rFonts w:ascii="Times New Roman" w:hAnsi="Times New Roman"/>
          <w:b/>
          <w:bCs/>
          <w:noProof/>
          <w:sz w:val="24"/>
          <w:szCs w:val="24"/>
        </w:rPr>
      </w:pPr>
      <w:r w:rsidRPr="007D4EB5">
        <w:rPr>
          <w:rFonts w:ascii="Times New Roman" w:hAnsi="Times New Roman"/>
          <w:noProof/>
          <w:sz w:val="24"/>
          <w:szCs w:val="24"/>
        </w:rPr>
        <w:t xml:space="preserve">Die Reaktion auf die Pandemie zeigt somit deutlich, wie die EU und der westliche Balkan bei der </w:t>
      </w:r>
      <w:r w:rsidRPr="007D4EB5">
        <w:rPr>
          <w:rFonts w:ascii="Times New Roman" w:hAnsi="Times New Roman"/>
          <w:b/>
          <w:bCs/>
          <w:noProof/>
          <w:sz w:val="24"/>
          <w:szCs w:val="24"/>
        </w:rPr>
        <w:t>Bewältigung gemeinsamer He</w:t>
      </w:r>
      <w:r w:rsidRPr="007D4EB5">
        <w:rPr>
          <w:rFonts w:ascii="Times New Roman" w:hAnsi="Times New Roman"/>
          <w:b/>
          <w:bCs/>
          <w:noProof/>
          <w:sz w:val="24"/>
          <w:szCs w:val="24"/>
        </w:rPr>
        <w:t>rausforderungen zusammenarbeiten</w:t>
      </w:r>
      <w:r w:rsidRPr="007D4EB5">
        <w:rPr>
          <w:rFonts w:ascii="Times New Roman" w:hAnsi="Times New Roman"/>
          <w:noProof/>
          <w:sz w:val="24"/>
          <w:szCs w:val="24"/>
        </w:rPr>
        <w:t xml:space="preserve">. Weitere Beispiele dafür sind die </w:t>
      </w:r>
      <w:r w:rsidRPr="007D4EB5">
        <w:rPr>
          <w:rFonts w:ascii="Times New Roman" w:hAnsi="Times New Roman"/>
          <w:b/>
          <w:bCs/>
          <w:noProof/>
          <w:sz w:val="24"/>
          <w:szCs w:val="24"/>
        </w:rPr>
        <w:t>gemeinsame Beschaffung medizinischer Ausrüstung</w:t>
      </w:r>
      <w:r w:rsidRPr="007D4EB5">
        <w:rPr>
          <w:rFonts w:ascii="Times New Roman" w:hAnsi="Times New Roman"/>
          <w:noProof/>
          <w:sz w:val="24"/>
          <w:szCs w:val="24"/>
        </w:rPr>
        <w:t>‚ der Beschluss, die Region von der EU-</w:t>
      </w:r>
      <w:r w:rsidRPr="007D4EB5">
        <w:rPr>
          <w:rFonts w:ascii="Times New Roman" w:hAnsi="Times New Roman"/>
          <w:b/>
          <w:bCs/>
          <w:noProof/>
          <w:sz w:val="24"/>
          <w:szCs w:val="24"/>
        </w:rPr>
        <w:t>Ausfuhrgenehmigungsregelung</w:t>
      </w:r>
      <w:r w:rsidRPr="007D4EB5">
        <w:rPr>
          <w:rFonts w:ascii="Times New Roman" w:hAnsi="Times New Roman"/>
          <w:noProof/>
          <w:sz w:val="24"/>
          <w:szCs w:val="24"/>
        </w:rPr>
        <w:t xml:space="preserve"> für persönliche Schutzausrüstungen</w:t>
      </w:r>
      <w:r w:rsidRPr="007D4EB5">
        <w:rPr>
          <w:rFonts w:ascii="Times New Roman" w:eastAsia="Times New Roman" w:hAnsi="Times New Roman"/>
          <w:noProof/>
          <w:sz w:val="24"/>
          <w:szCs w:val="24"/>
          <w:vertAlign w:val="superscript"/>
        </w:rPr>
        <w:footnoteReference w:id="8"/>
      </w:r>
      <w:r w:rsidRPr="007D4EB5">
        <w:rPr>
          <w:rFonts w:ascii="Times New Roman" w:hAnsi="Times New Roman"/>
          <w:noProof/>
          <w:sz w:val="24"/>
          <w:szCs w:val="24"/>
        </w:rPr>
        <w:t xml:space="preserve"> auszunehmen, und die</w:t>
      </w:r>
      <w:r w:rsidRPr="007D4EB5">
        <w:rPr>
          <w:rFonts w:ascii="Times New Roman" w:hAnsi="Times New Roman"/>
          <w:b/>
          <w:bCs/>
          <w:noProof/>
          <w:sz w:val="24"/>
          <w:szCs w:val="24"/>
        </w:rPr>
        <w:t xml:space="preserve"> Lieferung von Test</w:t>
      </w:r>
      <w:r w:rsidRPr="007D4EB5">
        <w:rPr>
          <w:rFonts w:ascii="Times New Roman" w:hAnsi="Times New Roman"/>
          <w:b/>
          <w:bCs/>
          <w:noProof/>
          <w:sz w:val="24"/>
          <w:szCs w:val="24"/>
        </w:rPr>
        <w:t>material</w:t>
      </w:r>
      <w:r w:rsidRPr="007D4EB5">
        <w:rPr>
          <w:rFonts w:ascii="Times New Roman" w:hAnsi="Times New Roman"/>
          <w:noProof/>
          <w:sz w:val="24"/>
          <w:szCs w:val="24"/>
        </w:rPr>
        <w:t>, das von der Gemeinsamen Forschungsstelle der Europäischen Kommission entwickelt wurde, um das ordnungsgemäße Funktionieren der Coronavirus-Tests im westlichen Balkan zu gewährleisten. Interessenträger in der gesamten Region sind vollständig in di</w:t>
      </w:r>
      <w:r w:rsidRPr="007D4EB5">
        <w:rPr>
          <w:rFonts w:ascii="Times New Roman" w:hAnsi="Times New Roman"/>
          <w:noProof/>
          <w:sz w:val="24"/>
          <w:szCs w:val="24"/>
        </w:rPr>
        <w:t xml:space="preserve">e </w:t>
      </w:r>
      <w:r w:rsidRPr="007D4EB5">
        <w:rPr>
          <w:rFonts w:ascii="Times New Roman" w:hAnsi="Times New Roman"/>
          <w:b/>
          <w:noProof/>
          <w:sz w:val="24"/>
          <w:szCs w:val="24"/>
        </w:rPr>
        <w:t>Forschungs- und Innovationsbemühungen</w:t>
      </w:r>
      <w:r w:rsidRPr="007D4EB5">
        <w:rPr>
          <w:rFonts w:ascii="Times New Roman" w:hAnsi="Times New Roman"/>
          <w:noProof/>
          <w:sz w:val="24"/>
          <w:szCs w:val="24"/>
        </w:rPr>
        <w:t xml:space="preserve"> im Zusammenhang mit COVID-19 eingebunden. Die gesamte Region profitiert außerdem von der technischen Hilfe und dem Informationsaustausch, die vom </w:t>
      </w:r>
      <w:r w:rsidRPr="007D4EB5">
        <w:rPr>
          <w:rFonts w:ascii="Times New Roman" w:hAnsi="Times New Roman"/>
          <w:b/>
          <w:bCs/>
          <w:noProof/>
          <w:sz w:val="24"/>
          <w:szCs w:val="24"/>
        </w:rPr>
        <w:t>Europäischen Zentrum für die Prävention und die Kontrolle von Krankhei</w:t>
      </w:r>
      <w:r w:rsidRPr="007D4EB5">
        <w:rPr>
          <w:rFonts w:ascii="Times New Roman" w:hAnsi="Times New Roman"/>
          <w:b/>
          <w:bCs/>
          <w:noProof/>
          <w:sz w:val="24"/>
          <w:szCs w:val="24"/>
        </w:rPr>
        <w:t>ten</w:t>
      </w:r>
      <w:r w:rsidRPr="007D4EB5">
        <w:rPr>
          <w:rFonts w:ascii="Times New Roman" w:hAnsi="Times New Roman"/>
          <w:noProof/>
          <w:sz w:val="24"/>
          <w:szCs w:val="24"/>
        </w:rPr>
        <w:t xml:space="preserve"> gefördert werden. Darüber hinaus sind die Kandidatenländer des westlichen Balkans Beobachter im </w:t>
      </w:r>
      <w:r w:rsidRPr="007D4EB5">
        <w:rPr>
          <w:rFonts w:ascii="Times New Roman" w:hAnsi="Times New Roman"/>
          <w:b/>
          <w:bCs/>
          <w:noProof/>
          <w:sz w:val="24"/>
          <w:szCs w:val="24"/>
        </w:rPr>
        <w:t>EU-Gesundheitssicherheitsausschuss</w:t>
      </w:r>
      <w:r w:rsidRPr="007D4EB5">
        <w:rPr>
          <w:rFonts w:ascii="Times New Roman" w:hAnsi="Times New Roman"/>
          <w:noProof/>
          <w:sz w:val="24"/>
          <w:szCs w:val="24"/>
        </w:rPr>
        <w:t xml:space="preserve"> und haben Zugang zu dem entsprechenden </w:t>
      </w:r>
      <w:r w:rsidRPr="007D4EB5">
        <w:rPr>
          <w:rFonts w:ascii="Times New Roman" w:hAnsi="Times New Roman"/>
          <w:b/>
          <w:bCs/>
          <w:noProof/>
          <w:sz w:val="24"/>
          <w:szCs w:val="24"/>
        </w:rPr>
        <w:t>Frühwarn- und Reaktionssystem</w:t>
      </w:r>
      <w:r w:rsidRPr="007D4EB5">
        <w:rPr>
          <w:rFonts w:ascii="Times New Roman" w:hAnsi="Times New Roman"/>
          <w:noProof/>
          <w:sz w:val="24"/>
          <w:szCs w:val="24"/>
        </w:rPr>
        <w:t xml:space="preserve"> erhalten.</w:t>
      </w:r>
    </w:p>
    <w:p w:rsidR="00044852" w:rsidRPr="007D4EB5" w:rsidRDefault="007D4EB5" w:rsidP="007D4EB5">
      <w:pPr>
        <w:spacing w:line="240" w:lineRule="auto"/>
        <w:jc w:val="both"/>
        <w:rPr>
          <w:rFonts w:ascii="Times New Roman" w:hAnsi="Times New Roman" w:cs="Times New Roman"/>
          <w:noProof/>
          <w:sz w:val="24"/>
          <w:szCs w:val="24"/>
        </w:rPr>
      </w:pPr>
      <w:r w:rsidRPr="007D4EB5">
        <w:rPr>
          <w:rFonts w:ascii="Times New Roman" w:hAnsi="Times New Roman" w:cs="Times New Roman"/>
          <w:noProof/>
          <w:sz w:val="24"/>
          <w:szCs w:val="24"/>
        </w:rPr>
        <w:t xml:space="preserve">Mit dem gemeinsamen Vorschlag des </w:t>
      </w:r>
      <w:r w:rsidRPr="007D4EB5">
        <w:rPr>
          <w:rFonts w:ascii="Times New Roman" w:hAnsi="Times New Roman" w:cs="Times New Roman"/>
          <w:noProof/>
          <w:sz w:val="24"/>
          <w:szCs w:val="24"/>
        </w:rPr>
        <w:t>Ständigen Sekretariats der Verkehrsgemeinschaft und des CEFTA wurde sichergestellt, dass das Konzept der „Green Lanes“ (Sonderfahrspuren) auf den westlichen Balkan ausgedehnt wurde, um den ungehinderten Fluss unentbehrlicher Güter in der Region zu gewährle</w:t>
      </w:r>
      <w:r w:rsidRPr="007D4EB5">
        <w:rPr>
          <w:rFonts w:ascii="Times New Roman" w:hAnsi="Times New Roman" w:cs="Times New Roman"/>
          <w:noProof/>
          <w:sz w:val="24"/>
          <w:szCs w:val="24"/>
        </w:rPr>
        <w:t>isten. Die Kommission ist bereit, die Region eng in die Umsetzung ihres „</w:t>
      </w:r>
      <w:r w:rsidRPr="007D4EB5">
        <w:rPr>
          <w:rFonts w:ascii="Times New Roman" w:hAnsi="Times New Roman" w:cs="Times New Roman"/>
          <w:b/>
          <w:noProof/>
          <w:sz w:val="24"/>
          <w:szCs w:val="24"/>
        </w:rPr>
        <w:t>Gemeinsamen europäischen Fahrplans</w:t>
      </w:r>
      <w:r w:rsidRPr="007D4EB5">
        <w:rPr>
          <w:rFonts w:ascii="Times New Roman" w:hAnsi="Times New Roman" w:cs="Times New Roman"/>
          <w:noProof/>
          <w:sz w:val="24"/>
          <w:szCs w:val="24"/>
        </w:rPr>
        <w:t xml:space="preserve"> zur Aufhebung der COVID-19-Eindämmungsmaßnahmen“ einzubinden. Über diesen Gesundheitsnotstand und die damit verbundenen Beschränkungen des Waren- un</w:t>
      </w:r>
      <w:r w:rsidRPr="007D4EB5">
        <w:rPr>
          <w:rFonts w:ascii="Times New Roman" w:hAnsi="Times New Roman" w:cs="Times New Roman"/>
          <w:noProof/>
          <w:sz w:val="24"/>
          <w:szCs w:val="24"/>
        </w:rPr>
        <w:t>d Personenverkehrs hinaus ist die Kommission auch entschlossen, langfristig zu einer besseren Anbindung des westlichen Balkans durch Beseitigung der strukturellen Engpässe an den Grenzen zwischen der EU und dem westlichen Balkan beizutragen. Die Kommission</w:t>
      </w:r>
      <w:r w:rsidRPr="007D4EB5">
        <w:rPr>
          <w:rFonts w:ascii="Times New Roman" w:hAnsi="Times New Roman" w:cs="Times New Roman"/>
          <w:noProof/>
          <w:sz w:val="24"/>
          <w:szCs w:val="24"/>
        </w:rPr>
        <w:t xml:space="preserve"> hat ferner Leitlinien</w:t>
      </w:r>
      <w:r w:rsidRPr="007D4EB5">
        <w:rPr>
          <w:rStyle w:val="FootnoteReference"/>
          <w:rFonts w:ascii="Times New Roman" w:hAnsi="Times New Roman" w:cs="Times New Roman"/>
          <w:noProof/>
          <w:sz w:val="24"/>
          <w:szCs w:val="24"/>
        </w:rPr>
        <w:footnoteReference w:id="9"/>
      </w:r>
      <w:r w:rsidRPr="007D4EB5">
        <w:rPr>
          <w:rFonts w:ascii="Times New Roman" w:hAnsi="Times New Roman" w:cs="Times New Roman"/>
          <w:noProof/>
          <w:sz w:val="24"/>
          <w:szCs w:val="24"/>
        </w:rPr>
        <w:t xml:space="preserve"> dazu herausgegeben, wie die </w:t>
      </w:r>
      <w:r w:rsidRPr="007D4EB5">
        <w:rPr>
          <w:rFonts w:ascii="Times New Roman" w:hAnsi="Times New Roman" w:cs="Times New Roman"/>
          <w:b/>
          <w:noProof/>
          <w:sz w:val="24"/>
          <w:szCs w:val="24"/>
        </w:rPr>
        <w:t>befristeten Reisebeschränkungen</w:t>
      </w:r>
      <w:r w:rsidRPr="007D4EB5">
        <w:rPr>
          <w:rFonts w:ascii="Times New Roman" w:hAnsi="Times New Roman" w:cs="Times New Roman"/>
          <w:noProof/>
          <w:sz w:val="24"/>
          <w:szCs w:val="24"/>
        </w:rPr>
        <w:t xml:space="preserve"> für alle nicht unbedingt notwendigen Reisen aus Drittländern in die EU umzusetzen sind, auch im Hinblick auf Personen, die aufgrund von Reisebeschränkungen gezwungen sind, </w:t>
      </w:r>
      <w:r w:rsidRPr="007D4EB5">
        <w:rPr>
          <w:rFonts w:ascii="Times New Roman" w:hAnsi="Times New Roman" w:cs="Times New Roman"/>
          <w:noProof/>
          <w:sz w:val="24"/>
          <w:szCs w:val="24"/>
        </w:rPr>
        <w:t>länger in der EU zu bleiben, als ihnen gestattet ist.</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Diese Zusammenarbeit zwischen der EU und dem westlichen Balkan und die Unterstützung der EU für die Region</w:t>
      </w:r>
      <w:r w:rsidRPr="007D4EB5">
        <w:rPr>
          <w:rFonts w:ascii="Times New Roman" w:hAnsi="Times New Roman"/>
          <w:b/>
          <w:bCs/>
          <w:noProof/>
          <w:sz w:val="24"/>
          <w:szCs w:val="24"/>
        </w:rPr>
        <w:t xml:space="preserve"> gehen weit über das hinaus, was andere Partner der Region geleistet haben</w:t>
      </w:r>
      <w:r w:rsidRPr="007D4EB5">
        <w:rPr>
          <w:rFonts w:ascii="Times New Roman" w:hAnsi="Times New Roman"/>
          <w:noProof/>
          <w:sz w:val="24"/>
          <w:szCs w:val="24"/>
        </w:rPr>
        <w:t>. Dies entspricht der</w:t>
      </w:r>
      <w:r w:rsidRPr="007D4EB5">
        <w:rPr>
          <w:rFonts w:ascii="Times New Roman" w:hAnsi="Times New Roman"/>
          <w:noProof/>
          <w:sz w:val="24"/>
          <w:szCs w:val="24"/>
        </w:rPr>
        <w:t xml:space="preserve"> strategischen Bedeutung der Region für die EU. Die EU-Institutionen haben nicht nur intensive Kommunikationskampagnen zur EU-Hilfe durchgeführt, sondern auch gemeinsam mit EU-Mitgliedstaaten Pressebeiträge vor Ort veröffentlicht, Initiativen unter dem Mot</w:t>
      </w:r>
      <w:r w:rsidRPr="007D4EB5">
        <w:rPr>
          <w:rFonts w:ascii="Times New Roman" w:hAnsi="Times New Roman"/>
          <w:noProof/>
          <w:sz w:val="24"/>
          <w:szCs w:val="24"/>
        </w:rPr>
        <w:t>to „Bleibt zu Hause“ unterstützt und zur Verbreitung von Fakten zu COVID-19 beigetragen.</w:t>
      </w:r>
      <w:r w:rsidRPr="007D4EB5">
        <w:rPr>
          <w:rFonts w:ascii="Times New Roman" w:hAnsi="Times New Roman"/>
          <w:b/>
          <w:bCs/>
          <w:noProof/>
          <w:sz w:val="24"/>
          <w:szCs w:val="24"/>
        </w:rPr>
        <w:t xml:space="preserve"> </w:t>
      </w:r>
      <w:r w:rsidRPr="007D4EB5">
        <w:rPr>
          <w:rFonts w:ascii="Times New Roman" w:hAnsi="Times New Roman"/>
          <w:noProof/>
          <w:sz w:val="24"/>
          <w:szCs w:val="24"/>
        </w:rPr>
        <w:t xml:space="preserve">In diesem Zusammenhang müssen alle Versuche, die Ursprünge der Krise und die Anstrengungen zu ihrer Bewältigung falsch darzustellen, öffentlich und energisch bekämpft </w:t>
      </w:r>
      <w:r w:rsidRPr="007D4EB5">
        <w:rPr>
          <w:rFonts w:ascii="Times New Roman" w:hAnsi="Times New Roman"/>
          <w:noProof/>
          <w:sz w:val="24"/>
          <w:szCs w:val="24"/>
        </w:rPr>
        <w:t>werden, wobei auch die Zusammenarbeit zur Wahrung der Meinungs- und Medienfreiheit intensiviert werden muss.</w:t>
      </w:r>
    </w:p>
    <w:p w:rsidR="00044852" w:rsidRPr="007D4EB5" w:rsidRDefault="00044852" w:rsidP="007D4EB5">
      <w:pPr>
        <w:pStyle w:val="Body"/>
        <w:spacing w:after="120" w:line="240" w:lineRule="auto"/>
        <w:jc w:val="both"/>
        <w:rPr>
          <w:rFonts w:ascii="Times New Roman" w:eastAsia="Times New Roman" w:hAnsi="Times New Roman" w:cs="Times New Roman"/>
          <w:noProof/>
          <w:sz w:val="24"/>
          <w:szCs w:val="24"/>
        </w:rPr>
      </w:pPr>
    </w:p>
    <w:p w:rsidR="00044852" w:rsidRPr="007D4EB5" w:rsidRDefault="007D4EB5" w:rsidP="007D4EB5">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7D4EB5">
        <w:rPr>
          <w:rFonts w:ascii="Times New Roman" w:hAnsi="Times New Roman"/>
          <w:b/>
          <w:bCs/>
          <w:noProof/>
          <w:sz w:val="24"/>
          <w:szCs w:val="24"/>
        </w:rPr>
        <w:t xml:space="preserve">Die Zeit nach COVID-19 – ein Wirtschafts- und Investitionsplan zur Wiederbelebung der Wirtschaft </w:t>
      </w:r>
    </w:p>
    <w:p w:rsidR="00044852" w:rsidRPr="007D4EB5" w:rsidRDefault="007D4EB5" w:rsidP="007D4EB5">
      <w:pPr>
        <w:pStyle w:val="FootnoteText"/>
        <w:spacing w:after="120"/>
        <w:jc w:val="both"/>
        <w:rPr>
          <w:rFonts w:ascii="Times New Roman" w:eastAsia="Times New Roman" w:hAnsi="Times New Roman"/>
          <w:noProof/>
          <w:sz w:val="24"/>
          <w:szCs w:val="24"/>
        </w:rPr>
      </w:pPr>
      <w:r w:rsidRPr="007D4EB5">
        <w:rPr>
          <w:rFonts w:ascii="Times New Roman" w:hAnsi="Times New Roman"/>
          <w:noProof/>
          <w:sz w:val="24"/>
          <w:szCs w:val="24"/>
        </w:rPr>
        <w:t>Der westliche Balkan wird kontinuierliche Unters</w:t>
      </w:r>
      <w:r w:rsidRPr="007D4EB5">
        <w:rPr>
          <w:rFonts w:ascii="Times New Roman" w:hAnsi="Times New Roman"/>
          <w:noProof/>
          <w:sz w:val="24"/>
          <w:szCs w:val="24"/>
        </w:rPr>
        <w:t xml:space="preserve">tützung benötigen, um die </w:t>
      </w:r>
      <w:r w:rsidRPr="007D4EB5">
        <w:rPr>
          <w:rFonts w:ascii="Times New Roman" w:hAnsi="Times New Roman"/>
          <w:b/>
          <w:bCs/>
          <w:noProof/>
          <w:sz w:val="24"/>
          <w:szCs w:val="24"/>
        </w:rPr>
        <w:t xml:space="preserve">Auswirkungen der COVID-19-Krise zu bewältigen. </w:t>
      </w:r>
      <w:r w:rsidRPr="007D4EB5">
        <w:rPr>
          <w:rFonts w:ascii="Times New Roman" w:hAnsi="Times New Roman"/>
          <w:noProof/>
          <w:sz w:val="24"/>
          <w:szCs w:val="24"/>
        </w:rPr>
        <w:t xml:space="preserve">Nach der Lockerung der Sofortmaßnahmen zur Eindämmung der COVID-19-Pandemie wird eine neue Phase enger Zusammenarbeit eingeleitet werden, um die harten sozioökonomischen Auswirkungen </w:t>
      </w:r>
      <w:r w:rsidRPr="007D4EB5">
        <w:rPr>
          <w:rFonts w:ascii="Times New Roman" w:hAnsi="Times New Roman"/>
          <w:noProof/>
          <w:sz w:val="24"/>
          <w:szCs w:val="24"/>
        </w:rPr>
        <w:t xml:space="preserve">der Krise abzufedern. Dazu wird die Europäische Kommission später in diesem Jahr einen </w:t>
      </w:r>
      <w:r w:rsidRPr="007D4EB5">
        <w:rPr>
          <w:rFonts w:ascii="Times New Roman" w:hAnsi="Times New Roman"/>
          <w:b/>
          <w:bCs/>
          <w:noProof/>
          <w:sz w:val="24"/>
          <w:szCs w:val="24"/>
        </w:rPr>
        <w:t>Wirtschafts- und Investitionsplan für die Region</w:t>
      </w:r>
      <w:r w:rsidRPr="007D4EB5">
        <w:rPr>
          <w:rFonts w:ascii="Times New Roman" w:hAnsi="Times New Roman"/>
          <w:noProof/>
          <w:sz w:val="24"/>
          <w:szCs w:val="24"/>
        </w:rPr>
        <w:t xml:space="preserve"> vorlegen.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Der Plan wird ein </w:t>
      </w:r>
      <w:r w:rsidRPr="007D4EB5">
        <w:rPr>
          <w:rFonts w:ascii="Times New Roman" w:hAnsi="Times New Roman"/>
          <w:b/>
          <w:bCs/>
          <w:noProof/>
          <w:sz w:val="24"/>
          <w:szCs w:val="24"/>
        </w:rPr>
        <w:t>umfangreiches Investitionspaket für die Region</w:t>
      </w:r>
      <w:r w:rsidRPr="007D4EB5">
        <w:rPr>
          <w:rFonts w:ascii="Times New Roman" w:hAnsi="Times New Roman"/>
          <w:noProof/>
          <w:sz w:val="24"/>
          <w:szCs w:val="24"/>
        </w:rPr>
        <w:t xml:space="preserve"> vorsehen. Für den</w:t>
      </w:r>
      <w:r w:rsidRPr="007D4EB5">
        <w:rPr>
          <w:rFonts w:ascii="Times New Roman" w:hAnsi="Times New Roman"/>
          <w:b/>
          <w:bCs/>
          <w:noProof/>
          <w:sz w:val="24"/>
          <w:szCs w:val="24"/>
        </w:rPr>
        <w:t xml:space="preserve"> Zeitraum 2021-2027</w:t>
      </w:r>
      <w:r w:rsidRPr="007D4EB5">
        <w:rPr>
          <w:rFonts w:ascii="Times New Roman" w:hAnsi="Times New Roman"/>
          <w:noProof/>
          <w:sz w:val="24"/>
          <w:szCs w:val="24"/>
        </w:rPr>
        <w:t xml:space="preserve"> hat die</w:t>
      </w:r>
      <w:r w:rsidRPr="007D4EB5">
        <w:rPr>
          <w:rFonts w:ascii="Times New Roman" w:hAnsi="Times New Roman"/>
          <w:noProof/>
          <w:sz w:val="24"/>
          <w:szCs w:val="24"/>
        </w:rPr>
        <w:t xml:space="preserve"> Kommission am 2. Mai 2018 für das Heranführungsinstrument III eine Gesamtmittelausstattung in Höhe von 14,5 Mrd. EUR vorgeschlagen‚ die zum Großteil für den westlichen Balkan bestimmt ist. Die Kommission plant eine </w:t>
      </w:r>
      <w:r w:rsidRPr="007D4EB5">
        <w:rPr>
          <w:rFonts w:ascii="Times New Roman" w:hAnsi="Times New Roman"/>
          <w:b/>
          <w:bCs/>
          <w:noProof/>
          <w:sz w:val="24"/>
          <w:szCs w:val="24"/>
        </w:rPr>
        <w:t>Verdoppelung</w:t>
      </w:r>
      <w:r w:rsidRPr="007D4EB5">
        <w:rPr>
          <w:rFonts w:ascii="Times New Roman" w:hAnsi="Times New Roman"/>
          <w:noProof/>
          <w:sz w:val="24"/>
          <w:szCs w:val="24"/>
        </w:rPr>
        <w:t xml:space="preserve"> der über den Investitionsra</w:t>
      </w:r>
      <w:r w:rsidRPr="007D4EB5">
        <w:rPr>
          <w:rFonts w:ascii="Times New Roman" w:hAnsi="Times New Roman"/>
          <w:noProof/>
          <w:sz w:val="24"/>
          <w:szCs w:val="24"/>
        </w:rPr>
        <w:t xml:space="preserve">hmen für den westlichen Balkan gewährten </w:t>
      </w:r>
      <w:r w:rsidRPr="007D4EB5">
        <w:rPr>
          <w:rFonts w:ascii="Times New Roman" w:hAnsi="Times New Roman"/>
          <w:b/>
          <w:bCs/>
          <w:noProof/>
          <w:sz w:val="24"/>
          <w:szCs w:val="24"/>
        </w:rPr>
        <w:t>Finanzhilfen</w:t>
      </w:r>
      <w:r w:rsidRPr="007D4EB5">
        <w:rPr>
          <w:rFonts w:ascii="Times New Roman" w:hAnsi="Times New Roman"/>
          <w:noProof/>
          <w:sz w:val="24"/>
          <w:szCs w:val="24"/>
        </w:rPr>
        <w:t xml:space="preserve">, um die Entwicklung des Privatsektors, die Konnektivität, die Digitalisierung, die grüne Agenda und soziale Investitionen zu fördern. Ferner ist vorgesehen, die </w:t>
      </w:r>
      <w:r w:rsidRPr="007D4EB5">
        <w:rPr>
          <w:rFonts w:ascii="Times New Roman" w:hAnsi="Times New Roman"/>
          <w:b/>
          <w:bCs/>
          <w:noProof/>
          <w:sz w:val="24"/>
          <w:szCs w:val="24"/>
        </w:rPr>
        <w:t>Finanzgarantien zur Unterstützung öffentl</w:t>
      </w:r>
      <w:r w:rsidRPr="007D4EB5">
        <w:rPr>
          <w:rFonts w:ascii="Times New Roman" w:hAnsi="Times New Roman"/>
          <w:b/>
          <w:bCs/>
          <w:noProof/>
          <w:sz w:val="24"/>
          <w:szCs w:val="24"/>
        </w:rPr>
        <w:t>icher und privater Investitionen</w:t>
      </w:r>
      <w:r w:rsidRPr="007D4EB5">
        <w:rPr>
          <w:rFonts w:ascii="Times New Roman" w:hAnsi="Times New Roman"/>
          <w:noProof/>
          <w:sz w:val="24"/>
          <w:szCs w:val="24"/>
        </w:rPr>
        <w:t xml:space="preserve"> in der Region über das spezifische </w:t>
      </w:r>
      <w:r w:rsidRPr="007D4EB5">
        <w:rPr>
          <w:rFonts w:ascii="Times New Roman" w:hAnsi="Times New Roman"/>
          <w:b/>
          <w:bCs/>
          <w:noProof/>
          <w:sz w:val="24"/>
          <w:szCs w:val="24"/>
        </w:rPr>
        <w:t>Garantieinstrument des Investitionsrahmens für den westlichen Balkan</w:t>
      </w:r>
      <w:r w:rsidRPr="007D4EB5">
        <w:rPr>
          <w:rFonts w:ascii="Times New Roman" w:hAnsi="Times New Roman"/>
          <w:noProof/>
          <w:sz w:val="24"/>
          <w:szCs w:val="24"/>
        </w:rPr>
        <w:t xml:space="preserve"> erheblich aufzustocken.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b/>
          <w:bCs/>
          <w:noProof/>
          <w:sz w:val="24"/>
          <w:szCs w:val="24"/>
        </w:rPr>
        <w:t>Der grüne und der digitale Wandel</w:t>
      </w:r>
      <w:r w:rsidRPr="007D4EB5">
        <w:rPr>
          <w:rFonts w:ascii="Times New Roman" w:hAnsi="Times New Roman"/>
          <w:noProof/>
          <w:sz w:val="24"/>
          <w:szCs w:val="24"/>
        </w:rPr>
        <w:t xml:space="preserve"> werden bei der Wiederbelebung und Modernisierung der Volkswirtschaften des westlichen Balkans eine zentrale Rolle spielen. Investitionen in saubere und digitale Technologien und entsprechende Kapazitäten werden zusammen mit einer Kreislaufwirtschaft zur S</w:t>
      </w:r>
      <w:r w:rsidRPr="007D4EB5">
        <w:rPr>
          <w:rFonts w:ascii="Times New Roman" w:hAnsi="Times New Roman"/>
          <w:noProof/>
          <w:sz w:val="24"/>
          <w:szCs w:val="24"/>
        </w:rPr>
        <w:t xml:space="preserve">chaffung von Arbeitsplätzen und Wachstum beitragen. Ferner wird Unterstützung geleistet, um die </w:t>
      </w:r>
      <w:r w:rsidRPr="007D4EB5">
        <w:rPr>
          <w:rFonts w:ascii="Times New Roman" w:hAnsi="Times New Roman"/>
          <w:b/>
          <w:bCs/>
          <w:noProof/>
          <w:sz w:val="24"/>
          <w:szCs w:val="24"/>
        </w:rPr>
        <w:t>Wettbewerbsfähigkeit</w:t>
      </w:r>
      <w:r w:rsidRPr="007D4EB5">
        <w:rPr>
          <w:rFonts w:ascii="Times New Roman" w:hAnsi="Times New Roman"/>
          <w:noProof/>
          <w:sz w:val="24"/>
          <w:szCs w:val="24"/>
        </w:rPr>
        <w:t xml:space="preserve"> der Volkswirtschaften des westlichen Balkans zu stärken, die </w:t>
      </w:r>
      <w:r w:rsidRPr="007D4EB5">
        <w:rPr>
          <w:rFonts w:ascii="Times New Roman" w:hAnsi="Times New Roman"/>
          <w:b/>
          <w:bCs/>
          <w:noProof/>
          <w:sz w:val="24"/>
          <w:szCs w:val="24"/>
        </w:rPr>
        <w:t>Konnektivität innerhalb der Region und mit der EU</w:t>
      </w:r>
      <w:r w:rsidRPr="007D4EB5">
        <w:rPr>
          <w:rFonts w:ascii="Times New Roman" w:hAnsi="Times New Roman"/>
          <w:noProof/>
          <w:sz w:val="24"/>
          <w:szCs w:val="24"/>
        </w:rPr>
        <w:t xml:space="preserve"> zu verbessern und den westli</w:t>
      </w:r>
      <w:r w:rsidRPr="007D4EB5">
        <w:rPr>
          <w:rFonts w:ascii="Times New Roman" w:hAnsi="Times New Roman"/>
          <w:noProof/>
          <w:sz w:val="24"/>
          <w:szCs w:val="24"/>
        </w:rPr>
        <w:t>chen Balkan</w:t>
      </w:r>
      <w:r w:rsidRPr="007D4EB5">
        <w:rPr>
          <w:rFonts w:ascii="Times New Roman" w:hAnsi="Times New Roman"/>
          <w:b/>
          <w:bCs/>
          <w:noProof/>
          <w:sz w:val="24"/>
          <w:szCs w:val="24"/>
        </w:rPr>
        <w:t xml:space="preserve"> für das digitale Zeitalter zu rüsten.</w:t>
      </w:r>
      <w:r w:rsidRPr="007D4EB5">
        <w:rPr>
          <w:rFonts w:ascii="Times New Roman" w:hAnsi="Times New Roman"/>
          <w:noProof/>
          <w:sz w:val="24"/>
          <w:szCs w:val="24"/>
        </w:rPr>
        <w:t xml:space="preserve"> Unterstützt wird dabei auch ein Wirtschaftsmodell, das im Dienst der Menschen steht, unter anderem durch Zusammenarbeit in den Bereichen </w:t>
      </w:r>
      <w:r w:rsidRPr="007D4EB5">
        <w:rPr>
          <w:rFonts w:ascii="Times New Roman" w:hAnsi="Times New Roman"/>
          <w:b/>
          <w:bCs/>
          <w:noProof/>
          <w:sz w:val="24"/>
          <w:szCs w:val="24"/>
        </w:rPr>
        <w:t>Bildung</w:t>
      </w:r>
      <w:r w:rsidRPr="007D4EB5">
        <w:rPr>
          <w:rFonts w:ascii="Times New Roman" w:hAnsi="Times New Roman"/>
          <w:noProof/>
          <w:sz w:val="24"/>
          <w:szCs w:val="24"/>
        </w:rPr>
        <w:t xml:space="preserve"> und </w:t>
      </w:r>
      <w:r w:rsidRPr="007D4EB5">
        <w:rPr>
          <w:rFonts w:ascii="Times New Roman" w:hAnsi="Times New Roman"/>
          <w:b/>
          <w:noProof/>
          <w:sz w:val="24"/>
          <w:szCs w:val="24"/>
        </w:rPr>
        <w:t>Gesundheit</w:t>
      </w:r>
      <w:r w:rsidRPr="007D4EB5">
        <w:rPr>
          <w:rFonts w:ascii="Times New Roman" w:hAnsi="Times New Roman"/>
          <w:noProof/>
          <w:sz w:val="24"/>
          <w:szCs w:val="24"/>
        </w:rPr>
        <w:t>, um nicht zuletzt die Resilienz der Gesundheit</w:t>
      </w:r>
      <w:r w:rsidRPr="007D4EB5">
        <w:rPr>
          <w:rFonts w:ascii="Times New Roman" w:hAnsi="Times New Roman"/>
          <w:noProof/>
          <w:sz w:val="24"/>
          <w:szCs w:val="24"/>
        </w:rPr>
        <w:t xml:space="preserve">ssysteme zu stärken, sowie in den Bereichen </w:t>
      </w:r>
      <w:r w:rsidRPr="007D4EB5">
        <w:rPr>
          <w:rFonts w:ascii="Times New Roman" w:hAnsi="Times New Roman"/>
          <w:b/>
          <w:noProof/>
          <w:sz w:val="24"/>
          <w:szCs w:val="24"/>
        </w:rPr>
        <w:t>Sozialschutz und Inklusion</w:t>
      </w:r>
      <w:r w:rsidRPr="007D4EB5">
        <w:rPr>
          <w:rFonts w:ascii="Times New Roman" w:hAnsi="Times New Roman"/>
          <w:noProof/>
          <w:sz w:val="24"/>
          <w:szCs w:val="24"/>
        </w:rPr>
        <w:t xml:space="preserve">, Chancengleichheit, Zugang zum Arbeitsmarkt (insbesondere durch eine aktivere Arbeitsmarktpolitik), </w:t>
      </w:r>
      <w:r w:rsidRPr="007D4EB5">
        <w:rPr>
          <w:rFonts w:ascii="Times New Roman" w:hAnsi="Times New Roman"/>
          <w:b/>
          <w:noProof/>
          <w:sz w:val="24"/>
          <w:szCs w:val="24"/>
        </w:rPr>
        <w:t>faire Arbeitsbedingungen</w:t>
      </w:r>
      <w:r w:rsidRPr="007D4EB5">
        <w:rPr>
          <w:rFonts w:ascii="Times New Roman" w:hAnsi="Times New Roman"/>
          <w:noProof/>
          <w:sz w:val="24"/>
          <w:szCs w:val="24"/>
        </w:rPr>
        <w:t xml:space="preserve"> (u. a. durch Stärkung des sozialen Dialogs), Kultur sowie Fo</w:t>
      </w:r>
      <w:r w:rsidRPr="007D4EB5">
        <w:rPr>
          <w:rFonts w:ascii="Times New Roman" w:hAnsi="Times New Roman"/>
          <w:noProof/>
          <w:sz w:val="24"/>
          <w:szCs w:val="24"/>
        </w:rPr>
        <w:t>rschung und Innovation.</w:t>
      </w:r>
    </w:p>
    <w:p w:rsidR="00044852" w:rsidRPr="007D4EB5" w:rsidRDefault="007D4EB5" w:rsidP="007D4EB5">
      <w:pPr>
        <w:spacing w:after="120" w:line="240" w:lineRule="auto"/>
        <w:jc w:val="both"/>
        <w:rPr>
          <w:rFonts w:ascii="Times New Roman" w:eastAsia="Times New Roman" w:hAnsi="Times New Roman" w:cs="Times New Roman"/>
          <w:noProof/>
          <w:sz w:val="24"/>
          <w:szCs w:val="24"/>
        </w:rPr>
      </w:pPr>
      <w:r w:rsidRPr="007D4EB5">
        <w:rPr>
          <w:rFonts w:ascii="Times New Roman" w:hAnsi="Times New Roman" w:cs="Times New Roman"/>
          <w:noProof/>
          <w:sz w:val="24"/>
          <w:szCs w:val="24"/>
        </w:rPr>
        <w:t xml:space="preserve">Ein besonderer Schwerpunkt wird auf </w:t>
      </w:r>
      <w:r w:rsidRPr="007D4EB5">
        <w:rPr>
          <w:rFonts w:ascii="Times New Roman" w:hAnsi="Times New Roman" w:cs="Times New Roman"/>
          <w:b/>
          <w:bCs/>
          <w:noProof/>
          <w:sz w:val="24"/>
          <w:szCs w:val="24"/>
        </w:rPr>
        <w:t>der Verkehrs- und Energieanbindung</w:t>
      </w:r>
      <w:r w:rsidRPr="007D4EB5">
        <w:rPr>
          <w:rFonts w:ascii="Times New Roman" w:hAnsi="Times New Roman" w:cs="Times New Roman"/>
          <w:noProof/>
          <w:sz w:val="24"/>
          <w:szCs w:val="24"/>
        </w:rPr>
        <w:t xml:space="preserve"> liegen, die für die wirtschaftliche Entwicklung sowohl der Region als auch der EU von entscheidender Bedeutung ist. In diesem Jahr beabsichtigt die EU, ein Paket</w:t>
      </w:r>
      <w:r w:rsidRPr="007D4EB5">
        <w:rPr>
          <w:rFonts w:ascii="Times New Roman" w:hAnsi="Times New Roman" w:cs="Times New Roman"/>
          <w:noProof/>
          <w:sz w:val="24"/>
          <w:szCs w:val="24"/>
        </w:rPr>
        <w:t xml:space="preserve"> von 135 Mio. EUR</w:t>
      </w:r>
      <w:r w:rsidRPr="007D4EB5">
        <w:rPr>
          <w:rFonts w:ascii="Times New Roman" w:hAnsi="Times New Roman" w:cs="Times New Roman"/>
          <w:noProof/>
          <w:sz w:val="24"/>
          <w:szCs w:val="24"/>
          <w:vertAlign w:val="superscript"/>
        </w:rPr>
        <w:footnoteReference w:id="10"/>
      </w:r>
      <w:r w:rsidRPr="007D4EB5">
        <w:rPr>
          <w:rFonts w:ascii="Times New Roman" w:hAnsi="Times New Roman" w:cs="Times New Roman"/>
          <w:noProof/>
          <w:sz w:val="24"/>
          <w:szCs w:val="24"/>
        </w:rPr>
        <w:t xml:space="preserve"> zur Finanzierung von sechs weiteren Infrastrukturinvestitionsprojekten im Rahmen der Konnektivitätsagenda für den westlichen Balkan vorzuschlagen. Damit wird die </w:t>
      </w:r>
      <w:r w:rsidRPr="007D4EB5">
        <w:rPr>
          <w:rFonts w:ascii="Times New Roman" w:hAnsi="Times New Roman" w:cs="Times New Roman"/>
          <w:b/>
          <w:bCs/>
          <w:noProof/>
          <w:sz w:val="24"/>
          <w:szCs w:val="24"/>
        </w:rPr>
        <w:t>EU ihre Zusage aus dem Jahr 2015, bis 2020 EU-Finanzhilfen in Höhe von 1 Mr</w:t>
      </w:r>
      <w:r w:rsidRPr="007D4EB5">
        <w:rPr>
          <w:rFonts w:ascii="Times New Roman" w:hAnsi="Times New Roman" w:cs="Times New Roman"/>
          <w:b/>
          <w:bCs/>
          <w:noProof/>
          <w:sz w:val="24"/>
          <w:szCs w:val="24"/>
        </w:rPr>
        <w:t>d. EUR für die Konnektivitätsagenda bereitzustellen, übertreffen</w:t>
      </w:r>
      <w:r w:rsidRPr="007D4EB5">
        <w:rPr>
          <w:rFonts w:ascii="Times New Roman" w:hAnsi="Times New Roman" w:cs="Times New Roman"/>
          <w:noProof/>
          <w:sz w:val="24"/>
          <w:szCs w:val="24"/>
        </w:rPr>
        <w:t>. Mit diesen Mitteln werden durch Hebelwirkung fast 4 Mrd. EUR für 45 Infrastrukturinvestitionen mobilisiert werden, um die Region mit den vorrangigen Achsen der transeuropäischen Netze (TEN-V</w:t>
      </w:r>
      <w:r w:rsidRPr="007D4EB5">
        <w:rPr>
          <w:rFonts w:ascii="Times New Roman" w:hAnsi="Times New Roman" w:cs="Times New Roman"/>
          <w:noProof/>
          <w:sz w:val="24"/>
          <w:szCs w:val="24"/>
        </w:rPr>
        <w:t>) zu verbinden und Projekte von gegenseitigem Interesse der Energiegemeinschaft durchzuführen. Die aktive regionale Zusammenarbeit im Rahmen der Energiegemeinschaft und der Initiative für Energieverbindungsleitungen in Mittel- und Südosteuropa ist eine gut</w:t>
      </w:r>
      <w:r w:rsidRPr="007D4EB5">
        <w:rPr>
          <w:rFonts w:ascii="Times New Roman" w:hAnsi="Times New Roman" w:cs="Times New Roman"/>
          <w:noProof/>
          <w:sz w:val="24"/>
          <w:szCs w:val="24"/>
        </w:rPr>
        <w:t>e Grundlage, um die Investitionen in diese Energieverbindungen sowie in Projekte für erneuerbare Energien und Energieeffizienz zu beschleunigen.</w:t>
      </w:r>
    </w:p>
    <w:p w:rsidR="00044852" w:rsidRPr="007D4EB5" w:rsidRDefault="007D4EB5" w:rsidP="007D4EB5">
      <w:pPr>
        <w:pStyle w:val="Body"/>
        <w:spacing w:after="120" w:line="240" w:lineRule="auto"/>
        <w:jc w:val="both"/>
        <w:rPr>
          <w:noProof/>
          <w:sz w:val="24"/>
          <w:szCs w:val="24"/>
        </w:rPr>
      </w:pPr>
      <w:r w:rsidRPr="007D4EB5">
        <w:rPr>
          <w:rFonts w:ascii="Times New Roman" w:hAnsi="Times New Roman"/>
          <w:noProof/>
          <w:sz w:val="24"/>
          <w:szCs w:val="24"/>
        </w:rPr>
        <w:t xml:space="preserve">Die EU wird den </w:t>
      </w:r>
      <w:r w:rsidRPr="007D4EB5">
        <w:rPr>
          <w:rFonts w:ascii="Times New Roman" w:hAnsi="Times New Roman"/>
          <w:b/>
          <w:bCs/>
          <w:noProof/>
          <w:sz w:val="24"/>
          <w:szCs w:val="24"/>
        </w:rPr>
        <w:t>Herausforderungen, mit denen junge Menschen konfrontiert sind</w:t>
      </w:r>
      <w:r w:rsidRPr="007D4EB5">
        <w:rPr>
          <w:rFonts w:ascii="Times New Roman" w:hAnsi="Times New Roman"/>
          <w:noProof/>
          <w:sz w:val="24"/>
          <w:szCs w:val="24"/>
        </w:rPr>
        <w:t>‚ insbesondere in Bezug auf Beschä</w:t>
      </w:r>
      <w:r w:rsidRPr="007D4EB5">
        <w:rPr>
          <w:rFonts w:ascii="Times New Roman" w:hAnsi="Times New Roman"/>
          <w:noProof/>
          <w:sz w:val="24"/>
          <w:szCs w:val="24"/>
        </w:rPr>
        <w:t xml:space="preserve">ftigungsaussichten‚ Ungleichheit und die Bindung junger Talente in der Region‚ weiterhin besondere Aufmerksamkeit widmen, </w:t>
      </w:r>
      <w:r w:rsidRPr="007D4EB5">
        <w:rPr>
          <w:rFonts w:ascii="Times New Roman" w:hAnsi="Times New Roman"/>
          <w:b/>
          <w:bCs/>
          <w:noProof/>
          <w:sz w:val="24"/>
          <w:szCs w:val="24"/>
        </w:rPr>
        <w:t>um gegen die Abwanderung hochqualifizierter Arbeitskräfte und andere demographische Probleme in der Region vorzugehen</w:t>
      </w:r>
      <w:r w:rsidRPr="007D4EB5">
        <w:rPr>
          <w:rFonts w:ascii="Times New Roman" w:hAnsi="Times New Roman"/>
          <w:noProof/>
          <w:sz w:val="24"/>
          <w:szCs w:val="24"/>
        </w:rPr>
        <w:t xml:space="preserve">. Die </w:t>
      </w:r>
      <w:r w:rsidRPr="007D4EB5">
        <w:rPr>
          <w:rFonts w:ascii="Times New Roman" w:hAnsi="Times New Roman"/>
          <w:b/>
          <w:bCs/>
          <w:noProof/>
          <w:sz w:val="24"/>
          <w:szCs w:val="24"/>
        </w:rPr>
        <w:t>Erasmus+-Fö</w:t>
      </w:r>
      <w:r w:rsidRPr="007D4EB5">
        <w:rPr>
          <w:rFonts w:ascii="Times New Roman" w:hAnsi="Times New Roman"/>
          <w:b/>
          <w:bCs/>
          <w:noProof/>
          <w:sz w:val="24"/>
          <w:szCs w:val="24"/>
        </w:rPr>
        <w:t>rdermittel für die Region wurden seit 2018 verdoppelt</w:t>
      </w:r>
      <w:r w:rsidRPr="007D4EB5">
        <w:rPr>
          <w:rFonts w:ascii="Times New Roman" w:hAnsi="Times New Roman"/>
          <w:noProof/>
          <w:sz w:val="24"/>
          <w:szCs w:val="24"/>
        </w:rPr>
        <w:t xml:space="preserve"> (auf über 65 Mio. EUR), und dabei der Schwerpunkt auf berufliche Bildung verlagert. In Zukunft werden digitale Kompetenzen sowie Forschungs- und Unternehmerkompetenzen noch mehr in den Mittelpunkt rücke</w:t>
      </w:r>
      <w:r w:rsidRPr="007D4EB5">
        <w:rPr>
          <w:rFonts w:ascii="Times New Roman" w:hAnsi="Times New Roman"/>
          <w:noProof/>
          <w:sz w:val="24"/>
          <w:szCs w:val="24"/>
        </w:rPr>
        <w:t xml:space="preserve">n‚ damit junge Menschen gerüstet sind, sich im digitalen Zeitalter wirtschaftlich erfolgreich zu behaupten. </w:t>
      </w:r>
    </w:p>
    <w:p w:rsidR="00044852" w:rsidRPr="007D4EB5" w:rsidRDefault="007D4EB5" w:rsidP="007D4EB5">
      <w:pPr>
        <w:pStyle w:val="Body"/>
        <w:spacing w:after="120" w:line="240" w:lineRule="auto"/>
        <w:jc w:val="both"/>
        <w:rPr>
          <w:rFonts w:ascii="Times New Roman" w:eastAsia="Times New Roman" w:hAnsi="Times New Roman" w:cs="Times New Roman"/>
          <w:b/>
          <w:bCs/>
          <w:noProof/>
          <w:sz w:val="24"/>
          <w:szCs w:val="24"/>
        </w:rPr>
      </w:pPr>
      <w:r w:rsidRPr="007D4EB5">
        <w:rPr>
          <w:rFonts w:ascii="Times New Roman" w:hAnsi="Times New Roman"/>
          <w:noProof/>
          <w:sz w:val="24"/>
          <w:szCs w:val="24"/>
        </w:rPr>
        <w:t xml:space="preserve">Durch die COVID-19-Pandemie ist die Bedeutung eines ordnungsgemäß funktionierenden </w:t>
      </w:r>
      <w:r w:rsidRPr="007D4EB5">
        <w:rPr>
          <w:rFonts w:ascii="Times New Roman" w:hAnsi="Times New Roman"/>
          <w:b/>
          <w:bCs/>
          <w:noProof/>
          <w:sz w:val="24"/>
          <w:szCs w:val="24"/>
        </w:rPr>
        <w:t>EU-Binnenmarkts</w:t>
      </w:r>
      <w:r w:rsidRPr="007D4EB5">
        <w:rPr>
          <w:rFonts w:ascii="Times New Roman" w:hAnsi="Times New Roman"/>
          <w:noProof/>
          <w:sz w:val="24"/>
          <w:szCs w:val="24"/>
        </w:rPr>
        <w:t xml:space="preserve"> als Schlüsselelement unseres </w:t>
      </w:r>
      <w:r w:rsidRPr="007D4EB5">
        <w:rPr>
          <w:rFonts w:ascii="Times New Roman" w:hAnsi="Times New Roman"/>
          <w:b/>
          <w:bCs/>
          <w:noProof/>
          <w:sz w:val="24"/>
          <w:szCs w:val="24"/>
        </w:rPr>
        <w:t>Wohlstands</w:t>
      </w:r>
      <w:r w:rsidRPr="007D4EB5">
        <w:rPr>
          <w:rFonts w:ascii="Times New Roman" w:hAnsi="Times New Roman"/>
          <w:noProof/>
          <w:sz w:val="24"/>
          <w:szCs w:val="24"/>
        </w:rPr>
        <w:t xml:space="preserve"> und unse</w:t>
      </w:r>
      <w:r w:rsidRPr="007D4EB5">
        <w:rPr>
          <w:rFonts w:ascii="Times New Roman" w:hAnsi="Times New Roman"/>
          <w:noProof/>
          <w:sz w:val="24"/>
          <w:szCs w:val="24"/>
        </w:rPr>
        <w:t xml:space="preserve">rer </w:t>
      </w:r>
      <w:r w:rsidRPr="007D4EB5">
        <w:rPr>
          <w:rFonts w:ascii="Times New Roman" w:hAnsi="Times New Roman"/>
          <w:b/>
          <w:bCs/>
          <w:noProof/>
          <w:sz w:val="24"/>
          <w:szCs w:val="24"/>
        </w:rPr>
        <w:t>Resilienz</w:t>
      </w:r>
      <w:r w:rsidRPr="007D4EB5">
        <w:rPr>
          <w:rFonts w:ascii="Times New Roman" w:hAnsi="Times New Roman"/>
          <w:noProof/>
          <w:sz w:val="24"/>
          <w:szCs w:val="24"/>
        </w:rPr>
        <w:t xml:space="preserve"> deutlich hervorgetreten.</w:t>
      </w:r>
      <w:r w:rsidRPr="007D4EB5">
        <w:rPr>
          <w:rFonts w:ascii="Times New Roman" w:hAnsi="Times New Roman"/>
          <w:b/>
          <w:bCs/>
          <w:noProof/>
          <w:sz w:val="24"/>
          <w:szCs w:val="24"/>
        </w:rPr>
        <w:t xml:space="preserve"> </w:t>
      </w:r>
      <w:r w:rsidRPr="007D4EB5">
        <w:rPr>
          <w:rFonts w:ascii="Times New Roman" w:hAnsi="Times New Roman"/>
          <w:noProof/>
          <w:sz w:val="24"/>
          <w:szCs w:val="24"/>
        </w:rPr>
        <w:t xml:space="preserve">Ebenso hat sie die hohe sozioökonomische Interdependenz zwischen der EU und den Volkswirtschaften des westlichen Balkans sowie innerhalb der Region selbst vor Augen geführt. Es wird daher von entscheidender Bedeutung </w:t>
      </w:r>
      <w:r w:rsidRPr="007D4EB5">
        <w:rPr>
          <w:rFonts w:ascii="Times New Roman" w:hAnsi="Times New Roman"/>
          <w:noProof/>
          <w:sz w:val="24"/>
          <w:szCs w:val="24"/>
        </w:rPr>
        <w:t>sein,</w:t>
      </w:r>
      <w:r w:rsidRPr="007D4EB5">
        <w:rPr>
          <w:rFonts w:ascii="Times New Roman" w:hAnsi="Times New Roman"/>
          <w:b/>
          <w:bCs/>
          <w:noProof/>
          <w:sz w:val="24"/>
          <w:szCs w:val="24"/>
        </w:rPr>
        <w:t xml:space="preserve"> die Volkswirtschaften des westlichen Balkans effizienter zu verbinden – sowohl untereinander als auch mit der EU</w:t>
      </w:r>
      <w:r w:rsidRPr="007D4EB5">
        <w:rPr>
          <w:rFonts w:ascii="Times New Roman" w:hAnsi="Times New Roman"/>
          <w:noProof/>
          <w:sz w:val="24"/>
          <w:szCs w:val="24"/>
        </w:rPr>
        <w:t>. Dies erfordert ein stärkeres Engagement aller Partner des westlichen Balkans für die Vertiefung der inklusiven regionalen Wirtschaftsint</w:t>
      </w:r>
      <w:r w:rsidRPr="007D4EB5">
        <w:rPr>
          <w:rFonts w:ascii="Times New Roman" w:hAnsi="Times New Roman"/>
          <w:noProof/>
          <w:sz w:val="24"/>
          <w:szCs w:val="24"/>
        </w:rPr>
        <w:t xml:space="preserve">egration und die </w:t>
      </w:r>
      <w:r w:rsidRPr="007D4EB5">
        <w:rPr>
          <w:rFonts w:ascii="Times New Roman" w:hAnsi="Times New Roman"/>
          <w:b/>
          <w:bCs/>
          <w:noProof/>
          <w:sz w:val="24"/>
          <w:szCs w:val="24"/>
        </w:rPr>
        <w:t>Entwicklung eines regionalen Binnenmarktes</w:t>
      </w:r>
      <w:r w:rsidRPr="007D4EB5">
        <w:rPr>
          <w:rFonts w:ascii="Times New Roman" w:hAnsi="Times New Roman"/>
          <w:noProof/>
          <w:sz w:val="24"/>
          <w:szCs w:val="24"/>
        </w:rPr>
        <w:t xml:space="preserve"> auf der Grundlage des EU-Besitzstands sowie für die Einhaltung der gegenüber der EU eingegangenen Verpflichtungen, was </w:t>
      </w:r>
      <w:r w:rsidRPr="007D4EB5">
        <w:rPr>
          <w:rFonts w:ascii="Times New Roman" w:hAnsi="Times New Roman"/>
          <w:b/>
          <w:bCs/>
          <w:noProof/>
          <w:sz w:val="24"/>
          <w:szCs w:val="24"/>
        </w:rPr>
        <w:t xml:space="preserve">die Region auch zu einem attraktiveren Investitionsraum machen wird.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Dabei spielen die </w:t>
      </w:r>
      <w:r w:rsidRPr="007D4EB5">
        <w:rPr>
          <w:rFonts w:ascii="Times New Roman" w:hAnsi="Times New Roman"/>
          <w:b/>
          <w:bCs/>
          <w:noProof/>
          <w:sz w:val="24"/>
          <w:szCs w:val="24"/>
        </w:rPr>
        <w:t>regionalen Organisationen</w:t>
      </w:r>
      <w:r w:rsidRPr="007D4EB5">
        <w:rPr>
          <w:rFonts w:ascii="Times New Roman" w:hAnsi="Times New Roman"/>
          <w:noProof/>
          <w:sz w:val="24"/>
          <w:szCs w:val="24"/>
        </w:rPr>
        <w:t xml:space="preserve"> – der Regionale Kooperationsrat, die Verkehrsgemeinschaft, die Energiegemeinschaft und die mitteleuropäische Freihandelszone – eine maßgebliche Rolle. Von der EU finanzierte Projekte haben auch entschieden zum Ab</w:t>
      </w:r>
      <w:r w:rsidRPr="007D4EB5">
        <w:rPr>
          <w:rFonts w:ascii="Times New Roman" w:hAnsi="Times New Roman"/>
          <w:noProof/>
          <w:sz w:val="24"/>
          <w:szCs w:val="24"/>
        </w:rPr>
        <w:t>bau von Handelshemmnissen beigetragen</w:t>
      </w:r>
      <w:r w:rsidRPr="007D4EB5">
        <w:rPr>
          <w:rFonts w:ascii="Times New Roman" w:eastAsia="Times New Roman" w:hAnsi="Times New Roman" w:cs="Times New Roman"/>
          <w:noProof/>
          <w:sz w:val="24"/>
          <w:szCs w:val="24"/>
          <w:vertAlign w:val="superscript"/>
        </w:rPr>
        <w:footnoteReference w:id="11"/>
      </w:r>
      <w:r w:rsidRPr="007D4EB5">
        <w:rPr>
          <w:rFonts w:ascii="Times New Roman" w:hAnsi="Times New Roman"/>
          <w:noProof/>
          <w:sz w:val="24"/>
          <w:szCs w:val="24"/>
        </w:rPr>
        <w:t>.</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All diese Unterstützungsmaßnahmen sind auf dieselben Ziele aufgerichtet: die Umwandlung der Volkswirtschaften des westlichen Balkans in </w:t>
      </w:r>
      <w:r w:rsidRPr="007D4EB5">
        <w:rPr>
          <w:rFonts w:ascii="Times New Roman" w:hAnsi="Times New Roman"/>
          <w:b/>
          <w:bCs/>
          <w:noProof/>
          <w:sz w:val="24"/>
          <w:szCs w:val="24"/>
        </w:rPr>
        <w:t>funktionierende Marktwirtschaften, die in der Lage sind, sich vollständig in den</w:t>
      </w:r>
      <w:r w:rsidRPr="007D4EB5">
        <w:rPr>
          <w:rFonts w:ascii="Times New Roman" w:hAnsi="Times New Roman"/>
          <w:b/>
          <w:bCs/>
          <w:noProof/>
          <w:sz w:val="24"/>
          <w:szCs w:val="24"/>
        </w:rPr>
        <w:t xml:space="preserve"> EU-Binnenmarkt zu integrieren</w:t>
      </w:r>
      <w:r w:rsidRPr="007D4EB5">
        <w:rPr>
          <w:rFonts w:ascii="Times New Roman" w:hAnsi="Times New Roman"/>
          <w:noProof/>
          <w:sz w:val="24"/>
          <w:szCs w:val="24"/>
        </w:rPr>
        <w:t>‚ die Verbesserung des Geschäfts- und Investitionsklimas, um so einen Beitrag zum Ausbau der Handelsströme innerhalb der Region und mit der EU zu leisten,</w:t>
      </w:r>
      <w:r w:rsidRPr="007D4EB5">
        <w:rPr>
          <w:rFonts w:ascii="Times New Roman" w:eastAsia="Times New Roman" w:hAnsi="Times New Roman" w:cs="Times New Roman"/>
          <w:noProof/>
          <w:sz w:val="24"/>
          <w:szCs w:val="24"/>
          <w:vertAlign w:val="superscript"/>
        </w:rPr>
        <w:footnoteReference w:id="12"/>
      </w:r>
      <w:r w:rsidRPr="007D4EB5">
        <w:rPr>
          <w:rFonts w:ascii="Times New Roman" w:hAnsi="Times New Roman"/>
          <w:noProof/>
          <w:sz w:val="24"/>
          <w:szCs w:val="24"/>
        </w:rPr>
        <w:t xml:space="preserve"> sowie die Schaffung von Arbeitsplätzen und Chancen, um damit die Abwan</w:t>
      </w:r>
      <w:r w:rsidRPr="007D4EB5">
        <w:rPr>
          <w:rFonts w:ascii="Times New Roman" w:hAnsi="Times New Roman"/>
          <w:noProof/>
          <w:sz w:val="24"/>
          <w:szCs w:val="24"/>
        </w:rPr>
        <w:t>derung hochqualifizierter Arbeitskräfte aus der Region einzudämmen. Die derzeitige Krise darf nicht von wichtigen strukturellen Schwächen ablenken, wie der hohen Arbeitslosigkeit (insbesondere bei jungen Menschen) und der geringen Erwerbsbeteiligung (insbe</w:t>
      </w:r>
      <w:r w:rsidRPr="007D4EB5">
        <w:rPr>
          <w:rFonts w:ascii="Times New Roman" w:hAnsi="Times New Roman"/>
          <w:noProof/>
          <w:sz w:val="24"/>
          <w:szCs w:val="24"/>
        </w:rPr>
        <w:t>sondere bei Frauen); der Diskrepanz zwischen Qualifikationen und Arbeitsmarkterfordernissen; dem unzureichenden Sozialschutz; der unzureichenden landwirtschaftlichen Produktivität und Wettbewerbsfähigkeit und der nicht diversifizierten Energieversorgung un</w:t>
      </w:r>
      <w:r w:rsidRPr="007D4EB5">
        <w:rPr>
          <w:rFonts w:ascii="Times New Roman" w:hAnsi="Times New Roman"/>
          <w:noProof/>
          <w:sz w:val="24"/>
          <w:szCs w:val="24"/>
        </w:rPr>
        <w:t xml:space="preserve">d geringen Energieeffizienz. Der fest etablierte Wirtschafts- und Finanzdialog, der auf den </w:t>
      </w:r>
      <w:r w:rsidRPr="007D4EB5">
        <w:rPr>
          <w:rFonts w:ascii="Times New Roman" w:hAnsi="Times New Roman"/>
          <w:b/>
          <w:bCs/>
          <w:noProof/>
          <w:sz w:val="24"/>
          <w:szCs w:val="24"/>
        </w:rPr>
        <w:t>Wirtschaftsreformprogrammen</w:t>
      </w:r>
      <w:r w:rsidRPr="007D4EB5">
        <w:rPr>
          <w:rFonts w:ascii="Times New Roman" w:hAnsi="Times New Roman"/>
          <w:noProof/>
          <w:sz w:val="24"/>
          <w:szCs w:val="24"/>
        </w:rPr>
        <w:t xml:space="preserve"> der Partner beruht‚ ist nach wie vor ein wichtiges Instrument für die Steuerung und Unterstützung makroökonomischer und struktureller Re</w:t>
      </w:r>
      <w:r w:rsidRPr="007D4EB5">
        <w:rPr>
          <w:rFonts w:ascii="Times New Roman" w:hAnsi="Times New Roman"/>
          <w:noProof/>
          <w:sz w:val="24"/>
          <w:szCs w:val="24"/>
        </w:rPr>
        <w:t xml:space="preserve">formen.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Ziel des Wirtschafts- und Investitionsplans ist es, </w:t>
      </w:r>
      <w:r w:rsidRPr="007D4EB5">
        <w:rPr>
          <w:rFonts w:ascii="Times New Roman" w:hAnsi="Times New Roman"/>
          <w:b/>
          <w:bCs/>
          <w:noProof/>
          <w:sz w:val="24"/>
          <w:szCs w:val="24"/>
        </w:rPr>
        <w:t>die langfristige Erholung zu fördern,</w:t>
      </w:r>
      <w:r w:rsidRPr="007D4EB5">
        <w:rPr>
          <w:rFonts w:ascii="Times New Roman" w:hAnsi="Times New Roman"/>
          <w:noProof/>
          <w:sz w:val="24"/>
          <w:szCs w:val="24"/>
        </w:rPr>
        <w:t xml:space="preserve"> das Wirtschaftswachstum anzukurbeln und die Reformen voranzubringen, die erforderlich sind, um auf dem Weg in die EU weiter voranzukommen. Dieser Wirtschaf</w:t>
      </w:r>
      <w:r w:rsidRPr="007D4EB5">
        <w:rPr>
          <w:rFonts w:ascii="Times New Roman" w:hAnsi="Times New Roman"/>
          <w:noProof/>
          <w:sz w:val="24"/>
          <w:szCs w:val="24"/>
        </w:rPr>
        <w:t xml:space="preserve">ts- und Investitionsplan wird sich an den Prioritäten orientieren, die sich die Europäische Kommission für ihre eigene Arbeit im Zeitraum 2019-2024 gesetzt hat. </w:t>
      </w:r>
    </w:p>
    <w:p w:rsidR="00044852" w:rsidRPr="007D4EB5" w:rsidRDefault="00044852" w:rsidP="007D4EB5">
      <w:pPr>
        <w:pStyle w:val="Body"/>
        <w:spacing w:after="120" w:line="240" w:lineRule="auto"/>
        <w:jc w:val="both"/>
        <w:rPr>
          <w:rFonts w:ascii="Times New Roman" w:eastAsia="Times New Roman" w:hAnsi="Times New Roman" w:cs="Times New Roman"/>
          <w:noProof/>
          <w:sz w:val="24"/>
          <w:szCs w:val="24"/>
        </w:rPr>
      </w:pPr>
    </w:p>
    <w:p w:rsidR="00044852" w:rsidRPr="007D4EB5" w:rsidRDefault="007D4EB5" w:rsidP="007D4EB5">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7D4EB5">
        <w:rPr>
          <w:rFonts w:ascii="Times New Roman" w:hAnsi="Times New Roman"/>
          <w:b/>
          <w:bCs/>
          <w:noProof/>
          <w:sz w:val="24"/>
          <w:szCs w:val="24"/>
        </w:rPr>
        <w:t xml:space="preserve">Grundlegende Reformen auf den Weg bringen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Für eine wirksame Erholung von der derzeitigen Krise ist es unabdingbar, dass </w:t>
      </w:r>
      <w:r w:rsidRPr="007D4EB5">
        <w:rPr>
          <w:rFonts w:ascii="Times New Roman" w:hAnsi="Times New Roman"/>
          <w:b/>
          <w:bCs/>
          <w:noProof/>
          <w:sz w:val="24"/>
          <w:szCs w:val="24"/>
        </w:rPr>
        <w:t>die Länder ihren Reformzusagen weiter nachkommen</w:t>
      </w:r>
      <w:r w:rsidRPr="007D4EB5">
        <w:rPr>
          <w:rFonts w:ascii="Times New Roman" w:hAnsi="Times New Roman"/>
          <w:noProof/>
          <w:sz w:val="24"/>
          <w:szCs w:val="24"/>
        </w:rPr>
        <w:t xml:space="preserve"> und greifbare Ergebnisse bei deren Umsetzung erzielen. Dies ist eine wesentliche Voraussetzung für die Verwirklichung ihrer europ</w:t>
      </w:r>
      <w:r w:rsidRPr="007D4EB5">
        <w:rPr>
          <w:rFonts w:ascii="Times New Roman" w:hAnsi="Times New Roman"/>
          <w:noProof/>
          <w:sz w:val="24"/>
          <w:szCs w:val="24"/>
        </w:rPr>
        <w:t xml:space="preserve">äischen Perspektive. Neben der Fortsetzung der Wirtschaftsreformen ist eine </w:t>
      </w:r>
      <w:r w:rsidRPr="007D4EB5">
        <w:rPr>
          <w:rFonts w:ascii="Times New Roman" w:hAnsi="Times New Roman"/>
          <w:b/>
          <w:bCs/>
          <w:noProof/>
          <w:sz w:val="24"/>
          <w:szCs w:val="24"/>
        </w:rPr>
        <w:t>stärkere Fokussierung auf Rechtsstaatlichkeit sowie die Funktionsweise demokratischer Institutionen und der öffentlichen Verwaltung erforderlich</w:t>
      </w:r>
      <w:r w:rsidRPr="007D4EB5">
        <w:rPr>
          <w:rFonts w:ascii="Times New Roman" w:hAnsi="Times New Roman"/>
          <w:noProof/>
          <w:sz w:val="24"/>
          <w:szCs w:val="24"/>
        </w:rPr>
        <w:t xml:space="preserve">.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 xml:space="preserve">Die Stärkung der </w:t>
      </w:r>
      <w:r w:rsidRPr="007D4EB5">
        <w:rPr>
          <w:rFonts w:ascii="Times New Roman" w:hAnsi="Times New Roman"/>
          <w:b/>
          <w:bCs/>
          <w:noProof/>
          <w:sz w:val="24"/>
          <w:szCs w:val="24"/>
        </w:rPr>
        <w:t>Rechtsstaatlichk</w:t>
      </w:r>
      <w:r w:rsidRPr="007D4EB5">
        <w:rPr>
          <w:rFonts w:ascii="Times New Roman" w:hAnsi="Times New Roman"/>
          <w:b/>
          <w:bCs/>
          <w:noProof/>
          <w:sz w:val="24"/>
          <w:szCs w:val="24"/>
        </w:rPr>
        <w:t>eit in all ihren Aspekten</w:t>
      </w:r>
      <w:r w:rsidRPr="007D4EB5">
        <w:rPr>
          <w:rFonts w:ascii="Times New Roman" w:hAnsi="Times New Roman"/>
          <w:noProof/>
          <w:sz w:val="24"/>
          <w:szCs w:val="24"/>
        </w:rPr>
        <w:t xml:space="preserve"> ist von entscheidender Bedeutung. Sie erfordert eine unabhängige und effiziente Justiz, solide Ergebnisse bei der Bekämpfung von Korruption, organisierter Kriminalität und Terrorismus sowie einen wirksamen Schutz der Grundrechte, </w:t>
      </w:r>
      <w:r w:rsidRPr="007D4EB5">
        <w:rPr>
          <w:rFonts w:ascii="Times New Roman" w:hAnsi="Times New Roman"/>
          <w:noProof/>
          <w:sz w:val="24"/>
          <w:szCs w:val="24"/>
        </w:rPr>
        <w:t>einschließlich der Meinungs- und Medienfreiheit. Von besonderer Bedeutung ist es, dass die während der Krise ergriffenen Notfallmaßnahmen nicht zulasten grundlegender Prinzipien und Werte gehen und dass diese Maßnahmen verhältnismäßig und zeitlich begrenzt</w:t>
      </w:r>
      <w:r w:rsidRPr="007D4EB5">
        <w:rPr>
          <w:rFonts w:ascii="Times New Roman" w:hAnsi="Times New Roman"/>
          <w:noProof/>
          <w:sz w:val="24"/>
          <w:szCs w:val="24"/>
        </w:rPr>
        <w:t xml:space="preserve"> bleiben und der demokratischen Kontrolle unterliegen. </w:t>
      </w:r>
    </w:p>
    <w:p w:rsidR="00044852" w:rsidRPr="007D4EB5" w:rsidRDefault="007D4EB5" w:rsidP="007D4EB5">
      <w:pPr>
        <w:pStyle w:val="Body"/>
        <w:spacing w:after="120" w:line="240" w:lineRule="auto"/>
        <w:jc w:val="both"/>
        <w:rPr>
          <w:rFonts w:ascii="Times New Roman" w:eastAsia="Times New Roman" w:hAnsi="Times New Roman" w:cs="Times New Roman"/>
          <w:b/>
          <w:bCs/>
          <w:noProof/>
          <w:sz w:val="24"/>
          <w:szCs w:val="24"/>
        </w:rPr>
      </w:pPr>
      <w:r w:rsidRPr="007D4EB5">
        <w:rPr>
          <w:rFonts w:ascii="Times New Roman" w:hAnsi="Times New Roman"/>
          <w:noProof/>
          <w:sz w:val="24"/>
          <w:szCs w:val="24"/>
        </w:rPr>
        <w:t>Aufbauend auf der bereits bestehenden umfassenden Zusammenarbeit muss durch gemeinsame und einvernehmlich vereinbarte Maßnahmen in den Bereichen</w:t>
      </w:r>
      <w:r w:rsidRPr="007D4EB5">
        <w:rPr>
          <w:rFonts w:ascii="Times New Roman" w:hAnsi="Times New Roman"/>
          <w:b/>
          <w:bCs/>
          <w:noProof/>
          <w:sz w:val="24"/>
          <w:szCs w:val="24"/>
        </w:rPr>
        <w:t xml:space="preserve"> Sicherheit</w:t>
      </w:r>
      <w:r w:rsidRPr="007D4EB5">
        <w:rPr>
          <w:rFonts w:ascii="Times New Roman" w:hAnsi="Times New Roman"/>
          <w:noProof/>
          <w:sz w:val="24"/>
          <w:szCs w:val="24"/>
        </w:rPr>
        <w:t xml:space="preserve"> (einschließlich Geldwäsche und Terrorismusfi</w:t>
      </w:r>
      <w:r w:rsidRPr="007D4EB5">
        <w:rPr>
          <w:rFonts w:ascii="Times New Roman" w:hAnsi="Times New Roman"/>
          <w:noProof/>
          <w:sz w:val="24"/>
          <w:szCs w:val="24"/>
        </w:rPr>
        <w:t xml:space="preserve">nanzierung), </w:t>
      </w:r>
      <w:r w:rsidRPr="007D4EB5">
        <w:rPr>
          <w:rFonts w:ascii="Times New Roman" w:hAnsi="Times New Roman"/>
          <w:b/>
          <w:bCs/>
          <w:noProof/>
          <w:sz w:val="24"/>
          <w:szCs w:val="24"/>
        </w:rPr>
        <w:t>Migration und Grenzmanagement</w:t>
      </w:r>
      <w:r w:rsidRPr="007D4EB5">
        <w:rPr>
          <w:rFonts w:ascii="Times New Roman" w:hAnsi="Times New Roman"/>
          <w:noProof/>
          <w:sz w:val="24"/>
          <w:szCs w:val="24"/>
        </w:rPr>
        <w:t xml:space="preserve"> ein kontinuierliches aktives Engagement sichergestellt werden.</w:t>
      </w:r>
      <w:r w:rsidRPr="007D4EB5">
        <w:rPr>
          <w:rFonts w:ascii="Times New Roman" w:hAnsi="Times New Roman"/>
          <w:b/>
          <w:bCs/>
          <w:noProof/>
          <w:sz w:val="24"/>
          <w:szCs w:val="24"/>
        </w:rPr>
        <w:t xml:space="preserve"> </w:t>
      </w:r>
      <w:r w:rsidRPr="007D4EB5">
        <w:rPr>
          <w:rFonts w:ascii="Times New Roman" w:hAnsi="Times New Roman"/>
          <w:noProof/>
          <w:sz w:val="24"/>
          <w:szCs w:val="24"/>
        </w:rPr>
        <w:t xml:space="preserve">Die </w:t>
      </w:r>
      <w:r w:rsidRPr="007D4EB5">
        <w:rPr>
          <w:rFonts w:ascii="Times New Roman" w:hAnsi="Times New Roman"/>
          <w:b/>
          <w:bCs/>
          <w:noProof/>
          <w:sz w:val="24"/>
          <w:szCs w:val="24"/>
        </w:rPr>
        <w:t>Stärkung demokratischer Institutionen und inklusiver demokratischer Prozesse</w:t>
      </w:r>
      <w:r w:rsidRPr="007D4EB5">
        <w:rPr>
          <w:rFonts w:ascii="Times New Roman" w:hAnsi="Times New Roman"/>
          <w:noProof/>
          <w:sz w:val="24"/>
          <w:szCs w:val="24"/>
        </w:rPr>
        <w:t xml:space="preserve"> gehört nach wie vor zu den zentralen Prioritäten. Die </w:t>
      </w:r>
      <w:r w:rsidRPr="007D4EB5">
        <w:rPr>
          <w:rFonts w:ascii="Times New Roman" w:hAnsi="Times New Roman"/>
          <w:b/>
          <w:bCs/>
          <w:noProof/>
          <w:sz w:val="24"/>
          <w:szCs w:val="24"/>
        </w:rPr>
        <w:t>Reform der öffe</w:t>
      </w:r>
      <w:r w:rsidRPr="007D4EB5">
        <w:rPr>
          <w:rFonts w:ascii="Times New Roman" w:hAnsi="Times New Roman"/>
          <w:b/>
          <w:bCs/>
          <w:noProof/>
          <w:sz w:val="24"/>
          <w:szCs w:val="24"/>
        </w:rPr>
        <w:t>ntlichen Verwaltung</w:t>
      </w:r>
      <w:r w:rsidRPr="007D4EB5">
        <w:rPr>
          <w:rFonts w:ascii="Times New Roman" w:hAnsi="Times New Roman"/>
          <w:noProof/>
          <w:sz w:val="24"/>
          <w:szCs w:val="24"/>
        </w:rPr>
        <w:t xml:space="preserve"> ist von entscheidender Bedeutung für die Verbesserung des staatlichen Handelns auf allen Ebenen.</w:t>
      </w:r>
      <w:r w:rsidRPr="007D4EB5">
        <w:rPr>
          <w:rFonts w:ascii="Times New Roman" w:hAnsi="Times New Roman"/>
          <w:b/>
          <w:bCs/>
          <w:noProof/>
          <w:sz w:val="24"/>
          <w:szCs w:val="24"/>
        </w:rPr>
        <w:t xml:space="preserve"> </w:t>
      </w:r>
      <w:r w:rsidRPr="007D4EB5">
        <w:rPr>
          <w:rFonts w:ascii="Times New Roman" w:hAnsi="Times New Roman"/>
          <w:noProof/>
          <w:sz w:val="24"/>
          <w:szCs w:val="24"/>
        </w:rPr>
        <w:t>Dies schließt stärkere Transparenz und Rechenschaftspflicht, eine solide Verwaltung der öffentlichen Finanzen und professionellere Verwaltu</w:t>
      </w:r>
      <w:r w:rsidRPr="007D4EB5">
        <w:rPr>
          <w:rFonts w:ascii="Times New Roman" w:hAnsi="Times New Roman"/>
          <w:noProof/>
          <w:sz w:val="24"/>
          <w:szCs w:val="24"/>
        </w:rPr>
        <w:t>ngen ein. Sie bilden die Ausgangsbasis für eine nachhaltige wirtschaftliche Erholung.</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Die Kommission ist nach wie vor fest entschlossen, die Region bei der Umsetzung dieser Reformen zu unterstützen. Weitere Maßnahmen werden noch in diesem Jahr in einer Mit</w:t>
      </w:r>
      <w:r w:rsidRPr="007D4EB5">
        <w:rPr>
          <w:rFonts w:ascii="Times New Roman" w:hAnsi="Times New Roman"/>
          <w:noProof/>
          <w:sz w:val="24"/>
          <w:szCs w:val="24"/>
        </w:rPr>
        <w:t xml:space="preserve">teilung der Kommission dargelegt werden.  </w:t>
      </w:r>
    </w:p>
    <w:p w:rsidR="00044852" w:rsidRPr="007D4EB5" w:rsidRDefault="007D4EB5" w:rsidP="007D4EB5">
      <w:pPr>
        <w:pStyle w:val="Body"/>
        <w:spacing w:after="120" w:line="240" w:lineRule="auto"/>
        <w:jc w:val="both"/>
        <w:rPr>
          <w:rFonts w:ascii="Times New Roman" w:eastAsia="Times New Roman" w:hAnsi="Times New Roman" w:cs="Times New Roman"/>
          <w:noProof/>
          <w:sz w:val="24"/>
          <w:szCs w:val="24"/>
        </w:rPr>
      </w:pPr>
      <w:r w:rsidRPr="007D4EB5">
        <w:rPr>
          <w:rFonts w:ascii="Times New Roman" w:hAnsi="Times New Roman"/>
          <w:noProof/>
          <w:sz w:val="24"/>
          <w:szCs w:val="24"/>
        </w:rPr>
        <w:t>Die COVID-19-Krise ist eine Belastungsprobe für unsere Solidarität und Entschlossenheit, bietet aber auch zugleich ein Beispiel dafür, wie wir als Europäer mit einem gemeinsamen Schicksal enger zusammenarbeiten kö</w:t>
      </w:r>
      <w:r w:rsidRPr="007D4EB5">
        <w:rPr>
          <w:rFonts w:ascii="Times New Roman" w:hAnsi="Times New Roman"/>
          <w:noProof/>
          <w:sz w:val="24"/>
          <w:szCs w:val="24"/>
        </w:rPr>
        <w:t xml:space="preserve">nnen. In dieser Hinsicht erkennen wir an, dass unsere Partner im westlichen Balkan bei den anstehenden Überlegungen über die Zukunft Europas ihren Platz werden finden müssen. Gemeinsam werden wir diese Krise überwinden und uns davon erholen. Und gemeinsam </w:t>
      </w:r>
      <w:r w:rsidRPr="007D4EB5">
        <w:rPr>
          <w:rFonts w:ascii="Times New Roman" w:hAnsi="Times New Roman"/>
          <w:noProof/>
          <w:sz w:val="24"/>
          <w:szCs w:val="24"/>
        </w:rPr>
        <w:t>werden wir unsere Zusammenarbeit weiter ausbauen, um unseren Partnern dabei zu helfen, die Anforderungen der EU-Mitgliedschaft zu erfüllen.</w:t>
      </w:r>
    </w:p>
    <w:p w:rsidR="00044852" w:rsidRPr="007D4EB5" w:rsidRDefault="00044852" w:rsidP="007D4EB5">
      <w:pPr>
        <w:pStyle w:val="Body"/>
        <w:spacing w:after="120" w:line="240" w:lineRule="auto"/>
        <w:jc w:val="both"/>
        <w:rPr>
          <w:rFonts w:ascii="Times New Roman" w:eastAsia="Times New Roman" w:hAnsi="Times New Roman" w:cs="Times New Roman"/>
          <w:noProof/>
          <w:sz w:val="24"/>
          <w:szCs w:val="24"/>
        </w:rPr>
      </w:pPr>
    </w:p>
    <w:p w:rsidR="00044852" w:rsidRPr="007D4EB5" w:rsidRDefault="007D4EB5" w:rsidP="007D4EB5">
      <w:pPr>
        <w:pStyle w:val="Body"/>
        <w:spacing w:after="120" w:line="240" w:lineRule="auto"/>
        <w:jc w:val="center"/>
        <w:rPr>
          <w:noProof/>
          <w:sz w:val="24"/>
          <w:szCs w:val="24"/>
        </w:rPr>
      </w:pPr>
      <w:r w:rsidRPr="007D4EB5">
        <w:rPr>
          <w:rFonts w:ascii="Times New Roman" w:hAnsi="Times New Roman"/>
          <w:b/>
          <w:bCs/>
          <w:noProof/>
          <w:sz w:val="24"/>
          <w:szCs w:val="24"/>
        </w:rPr>
        <w:t>**</w:t>
      </w:r>
    </w:p>
    <w:p w:rsidR="00044852" w:rsidRPr="007D4EB5" w:rsidRDefault="00044852" w:rsidP="007D4EB5">
      <w:pPr>
        <w:spacing w:after="120" w:line="240" w:lineRule="auto"/>
        <w:rPr>
          <w:rFonts w:ascii="Times New Roman" w:hAnsi="Times New Roman"/>
          <w:b/>
          <w:noProof/>
          <w:sz w:val="24"/>
          <w:szCs w:val="24"/>
        </w:rPr>
      </w:pPr>
    </w:p>
    <w:sectPr w:rsidR="00044852" w:rsidRPr="007D4EB5">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852" w:rsidRDefault="007D4EB5">
      <w:pPr>
        <w:spacing w:after="0" w:line="240" w:lineRule="auto"/>
      </w:pPr>
      <w:r>
        <w:separator/>
      </w:r>
    </w:p>
  </w:endnote>
  <w:endnote w:type="continuationSeparator" w:id="0">
    <w:p w:rsidR="00044852" w:rsidRDefault="007D4EB5">
      <w:pPr>
        <w:spacing w:after="0" w:line="240" w:lineRule="auto"/>
      </w:pPr>
      <w:r>
        <w:continuationSeparator/>
      </w:r>
    </w:p>
  </w:endnote>
  <w:endnote w:type="continuationNotice" w:id="1">
    <w:p w:rsidR="00044852" w:rsidRDefault="00044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7D4EB5">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7D4EB5">
    <w:pPr>
      <w:pStyle w:val="Footer"/>
      <w:tabs>
        <w:tab w:val="clear" w:pos="9360"/>
        <w:tab w:val="right" w:pos="9046"/>
      </w:tabs>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6</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852" w:rsidRDefault="007D4EB5">
      <w:pPr>
        <w:spacing w:after="0" w:line="240" w:lineRule="auto"/>
      </w:pPr>
      <w:r>
        <w:separator/>
      </w:r>
    </w:p>
  </w:footnote>
  <w:footnote w:type="continuationSeparator" w:id="0">
    <w:p w:rsidR="00044852" w:rsidRDefault="007D4EB5">
      <w:pPr>
        <w:spacing w:after="0" w:line="240" w:lineRule="auto"/>
      </w:pPr>
      <w:r>
        <w:continuationSeparator/>
      </w:r>
    </w:p>
  </w:footnote>
  <w:footnote w:type="continuationNotice" w:id="1">
    <w:p w:rsidR="00044852" w:rsidRDefault="00044852">
      <w:pPr>
        <w:spacing w:after="0" w:line="240" w:lineRule="auto"/>
      </w:pPr>
    </w:p>
  </w:footnote>
  <w:footnote w:id="2">
    <w:p w:rsidR="00044852" w:rsidRDefault="007D4EB5">
      <w:pPr>
        <w:pStyle w:val="FootnoteText"/>
        <w:jc w:val="both"/>
      </w:pPr>
      <w:r>
        <w:rPr>
          <w:rFonts w:ascii="Times New Roman" w:eastAsia="Times New Roman" w:hAnsi="Times New Roman"/>
          <w:b/>
          <w:bCs/>
          <w:vertAlign w:val="superscript"/>
        </w:rPr>
        <w:footnoteRef/>
      </w:r>
      <w:r>
        <w:rPr>
          <w:rFonts w:ascii="Times New Roman" w:hAnsi="Times New Roman"/>
        </w:rPr>
        <w:t xml:space="preserve"> Mitteilung der Kommission „</w:t>
      </w:r>
      <w:r>
        <w:rPr>
          <w:rFonts w:ascii="Times New Roman" w:hAnsi="Times New Roman"/>
          <w:i/>
          <w:iCs/>
        </w:rPr>
        <w:t xml:space="preserve">Stärkung des Beitrittsprozesses – Eine glaubwürdige </w:t>
      </w:r>
      <w:r>
        <w:rPr>
          <w:rFonts w:ascii="Times New Roman" w:hAnsi="Times New Roman"/>
          <w:i/>
          <w:iCs/>
        </w:rPr>
        <w:t>EU-Perspektive für den westlichen Balkan</w:t>
      </w:r>
      <w:r>
        <w:rPr>
          <w:rFonts w:ascii="Times New Roman" w:hAnsi="Times New Roman"/>
        </w:rPr>
        <w:t xml:space="preserve">“ </w:t>
      </w:r>
      <w:hyperlink r:id="rId1" w:history="1">
        <w:r>
          <w:rPr>
            <w:rStyle w:val="Hyperlink0"/>
            <w:rFonts w:eastAsia="Calibri"/>
          </w:rPr>
          <w:t>(COM(2020) 57 final)</w:t>
        </w:r>
      </w:hyperlink>
      <w:r>
        <w:rPr>
          <w:rFonts w:ascii="Times New Roman" w:hAnsi="Times New Roman"/>
        </w:rPr>
        <w:t>.</w:t>
      </w:r>
    </w:p>
  </w:footnote>
  <w:footnote w:id="3">
    <w:p w:rsidR="00044852" w:rsidRDefault="007D4EB5">
      <w:pPr>
        <w:pStyle w:val="FootnoteText"/>
      </w:pPr>
      <w:r>
        <w:rPr>
          <w:rFonts w:ascii="Times New Roman" w:eastAsia="Times New Roman" w:hAnsi="Times New Roman"/>
          <w:b/>
          <w:bCs/>
          <w:vertAlign w:val="superscript"/>
        </w:rPr>
        <w:footnoteRef/>
      </w:r>
      <w:r>
        <w:rPr>
          <w:rFonts w:ascii="Times New Roman" w:hAnsi="Times New Roman"/>
        </w:rPr>
        <w:t xml:space="preserve"> Mittelzuweisungen im Rahmen des Mehrjahresrichtprogramms 2014-2020.</w:t>
      </w:r>
    </w:p>
  </w:footnote>
  <w:footnote w:id="4">
    <w:p w:rsidR="00044852" w:rsidRDefault="007D4EB5">
      <w:pPr>
        <w:pStyle w:val="FootnoteText"/>
      </w:pPr>
      <w:r>
        <w:rPr>
          <w:rFonts w:ascii="Times New Roman" w:eastAsia="Times New Roman" w:hAnsi="Times New Roman"/>
          <w:b/>
          <w:bCs/>
          <w:vertAlign w:val="superscript"/>
        </w:rPr>
        <w:footnoteRef/>
      </w:r>
      <w:r>
        <w:rPr>
          <w:rFonts w:ascii="Times New Roman" w:hAnsi="Times New Roman"/>
        </w:rPr>
        <w:t xml:space="preserve"> Die beste</w:t>
      </w:r>
      <w:r>
        <w:rPr>
          <w:rFonts w:ascii="Times New Roman" w:hAnsi="Times New Roman"/>
        </w:rPr>
        <w:t>henden IPA-Unterstützungsprogramme, z. B. die EU-Heranführungshilfe für die Entwicklung des ländlichen Raums (IPARD) und für die grenzübergreifende Zusammenarbeit zwischen der EU und dem westlichen Balkan (REGIO), werden ebenfalls angepasst und beschleunig</w:t>
      </w:r>
      <w:r>
        <w:rPr>
          <w:rFonts w:ascii="Times New Roman" w:hAnsi="Times New Roman"/>
        </w:rPr>
        <w:t>t.</w:t>
      </w:r>
    </w:p>
  </w:footnote>
  <w:footnote w:id="5">
    <w:p w:rsidR="00044852" w:rsidRDefault="007D4EB5">
      <w:pPr>
        <w:pStyle w:val="FootnoteText"/>
        <w:jc w:val="both"/>
      </w:pPr>
      <w:r>
        <w:rPr>
          <w:rFonts w:ascii="Times New Roman" w:eastAsia="Times New Roman" w:hAnsi="Times New Roman"/>
          <w:vertAlign w:val="superscript"/>
        </w:rPr>
        <w:footnoteRef/>
      </w:r>
      <w:r>
        <w:rPr>
          <w:rFonts w:ascii="Times New Roman" w:hAnsi="Times New Roman"/>
        </w:rPr>
        <w:t xml:space="preserve"> Die EU finanziert die Lieferung von etwa 95 000 COVID-Tests, 500 Krankenhausbetten, 450 Beatmungsgeräten, 100 Intensivpflege-Monitoren, 100 Containern für die Triage, 10 Krankenwagen sowie mehr als 4,5 Millionen Stück Schutzausrüstung und Hunderten me</w:t>
      </w:r>
      <w:r>
        <w:rPr>
          <w:rFonts w:ascii="Times New Roman" w:hAnsi="Times New Roman"/>
        </w:rPr>
        <w:t xml:space="preserve">dizinischer Geräte (wie Röntgengeräte, EKG, CT-Scanner, Defibrillatoren, Infusionspumpen) und Tausenden sonstiger Medizinprodukte (wie Thermometer, Katheter, Röhren, Spritzen, Masken). Die EU hat auch die Kosten für 16 Langstreckenflüge übernommen, um 750 </w:t>
      </w:r>
      <w:r>
        <w:rPr>
          <w:rFonts w:ascii="Times New Roman" w:hAnsi="Times New Roman"/>
        </w:rPr>
        <w:t xml:space="preserve">Tonnen medizinischen Materials aus anderen Quellen zu transportieren. </w:t>
      </w:r>
    </w:p>
  </w:footnote>
  <w:footnote w:id="6">
    <w:p w:rsidR="00044852" w:rsidRDefault="007D4EB5">
      <w:pPr>
        <w:pStyle w:val="FootnoteText"/>
        <w:jc w:val="both"/>
      </w:pPr>
      <w:r>
        <w:rPr>
          <w:rFonts w:ascii="Times New Roman" w:eastAsia="Times New Roman" w:hAnsi="Times New Roman"/>
          <w:vertAlign w:val="superscript"/>
        </w:rPr>
        <w:footnoteRef/>
      </w:r>
      <w:r>
        <w:rPr>
          <w:rFonts w:ascii="Times New Roman" w:hAnsi="Times New Roman"/>
        </w:rPr>
        <w:t xml:space="preserve"> 2020/0065 (COD) Vorschlag für einen Beschluss des Europäischen Parlaments und des Rates über die Bereitstellung einer Makrofinanzhilfe für Erweiterungs- und Nachbarschaftspartner vor </w:t>
      </w:r>
      <w:r>
        <w:rPr>
          <w:rFonts w:ascii="Times New Roman" w:hAnsi="Times New Roman"/>
        </w:rPr>
        <w:t>dem Hintergrund der COVID-19-Pandemie. 22. April 2020.</w:t>
      </w:r>
    </w:p>
  </w:footnote>
  <w:footnote w:id="7">
    <w:p w:rsidR="00044852" w:rsidRDefault="007D4EB5">
      <w:pPr>
        <w:pStyle w:val="FootnoteText"/>
        <w:jc w:val="both"/>
      </w:pPr>
      <w:r>
        <w:rPr>
          <w:rFonts w:ascii="Times New Roman" w:eastAsia="Times New Roman" w:hAnsi="Times New Roman"/>
          <w:b/>
          <w:bCs/>
          <w:vertAlign w:val="superscript"/>
        </w:rPr>
        <w:footnoteRef/>
      </w:r>
      <w:r>
        <w:rPr>
          <w:rFonts w:ascii="Times New Roman" w:hAnsi="Times New Roman"/>
        </w:rPr>
        <w:t xml:space="preserve"> Mitteilung über die globale Reaktion der EU auf COVID-19 (JOIN (2020) 11 final) vom 8.4.2020.</w:t>
      </w:r>
    </w:p>
  </w:footnote>
  <w:footnote w:id="8">
    <w:p w:rsidR="00044852" w:rsidRDefault="007D4EB5">
      <w:pPr>
        <w:pStyle w:val="NormalWeb"/>
        <w:jc w:val="both"/>
      </w:pPr>
      <w:r>
        <w:rPr>
          <w:sz w:val="20"/>
          <w:szCs w:val="20"/>
          <w:vertAlign w:val="superscript"/>
        </w:rPr>
        <w:footnoteRef/>
      </w:r>
      <w:r>
        <w:rPr>
          <w:sz w:val="20"/>
          <w:szCs w:val="20"/>
        </w:rPr>
        <w:t xml:space="preserve"> Durchführungsverordnung (EU) 2020/568 der Kommission vom 23. April 2020 über die Einführung der Verpfli</w:t>
      </w:r>
      <w:r>
        <w:rPr>
          <w:sz w:val="20"/>
          <w:szCs w:val="20"/>
        </w:rPr>
        <w:t>chtung zur Vorlage einer Ausfuhrgenehmigung bei der Ausfuhr bestimmter Produkte (ABl. L 129 vom 24.4.20).</w:t>
      </w:r>
    </w:p>
  </w:footnote>
  <w:footnote w:id="9">
    <w:p w:rsidR="00044852" w:rsidRDefault="007D4EB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C(2020) 2050 final.</w:t>
      </w:r>
    </w:p>
  </w:footnote>
  <w:footnote w:id="10">
    <w:p w:rsidR="00044852" w:rsidRDefault="007D4EB5">
      <w:pPr>
        <w:pStyle w:val="FootnoteText"/>
        <w:jc w:val="both"/>
      </w:pPr>
      <w:r>
        <w:rPr>
          <w:rFonts w:ascii="Times New Roman" w:eastAsia="Times New Roman" w:hAnsi="Times New Roman"/>
          <w:vertAlign w:val="superscript"/>
        </w:rPr>
        <w:footnoteRef/>
      </w:r>
      <w:r>
        <w:rPr>
          <w:rFonts w:ascii="Times New Roman" w:hAnsi="Times New Roman"/>
        </w:rPr>
        <w:t xml:space="preserve"> Darüber hinaus werden 65 Mio. EUR zur Unterstützung der Projektvorbereitung und -durchführung im Rahmen des Investitionsrahmen</w:t>
      </w:r>
      <w:r>
        <w:rPr>
          <w:rFonts w:ascii="Times New Roman" w:hAnsi="Times New Roman"/>
        </w:rPr>
        <w:t>s für den westlichen Balkan (WBIF) bereitgestellt, wodurch das von der EU finanzierte Konnektivitätspaket 2020 auf 200 Mio. EUR aufgestockt wird.</w:t>
      </w:r>
    </w:p>
  </w:footnote>
  <w:footnote w:id="11">
    <w:p w:rsidR="00044852" w:rsidRDefault="007D4EB5">
      <w:pPr>
        <w:pStyle w:val="FootnoteText"/>
        <w:jc w:val="both"/>
      </w:pPr>
      <w:r>
        <w:rPr>
          <w:rFonts w:ascii="Times New Roman" w:eastAsia="Times New Roman" w:hAnsi="Times New Roman"/>
          <w:vertAlign w:val="superscript"/>
        </w:rPr>
        <w:footnoteRef/>
      </w:r>
      <w:r>
        <w:rPr>
          <w:rFonts w:ascii="Times New Roman" w:hAnsi="Times New Roman"/>
        </w:rPr>
        <w:t xml:space="preserve"> So wurde beispielsweise das System für den Austausch von Verbrauchsteuerdaten modernisiert, um eine frühzeitige elektronische Identifizierung von Lastkraftwagen mit unentbehrlichen Gütern zu gewährleisten, die den Grenzübergangsstellen mitgeteilt werden, </w:t>
      </w:r>
      <w:r>
        <w:rPr>
          <w:rFonts w:ascii="Times New Roman" w:hAnsi="Times New Roman"/>
        </w:rPr>
        <w:t>damit die Lastkraftwagen die Grenze über die "Green Lanes" überqueren können</w:t>
      </w:r>
      <w:r>
        <w:t>.</w:t>
      </w:r>
    </w:p>
  </w:footnote>
  <w:footnote w:id="12">
    <w:p w:rsidR="00044852" w:rsidRDefault="007D4EB5">
      <w:pPr>
        <w:pStyle w:val="FootnoteText"/>
        <w:jc w:val="both"/>
        <w:rPr>
          <w:rFonts w:ascii="Times New Roman" w:eastAsia="Times New Roman" w:hAnsi="Times New Roman"/>
        </w:rPr>
      </w:pPr>
      <w:r>
        <w:rPr>
          <w:rFonts w:ascii="Times New Roman" w:eastAsia="Times New Roman" w:hAnsi="Times New Roman"/>
          <w:vertAlign w:val="superscript"/>
        </w:rPr>
        <w:footnoteRef/>
      </w:r>
      <w:r>
        <w:rPr>
          <w:rFonts w:ascii="Times New Roman" w:hAnsi="Times New Roman"/>
        </w:rPr>
        <w:t xml:space="preserve"> Zu diesem Zweck schlug die Kommission am 3. April vor, die autonomen Handelsmaßnahmen der EU für die westlichen Balkanstaaten um weitere 5 Jahre bis Ende 2025 zu verlängern (CO</w:t>
      </w:r>
      <w:r>
        <w:rPr>
          <w:rFonts w:ascii="Times New Roman" w:hAnsi="Times New Roman"/>
        </w:rPr>
        <w:t>M(2020) 135 final)</w:t>
      </w:r>
      <w:r>
        <w:t>.</w:t>
      </w:r>
      <w:r>
        <w:rPr>
          <w:rFonts w:ascii="Times New Roman" w:hAnsi="Times New Roman"/>
        </w:rPr>
        <w:t xml:space="preserve"> </w:t>
      </w:r>
    </w:p>
    <w:p w:rsidR="00044852" w:rsidRDefault="007D4EB5">
      <w:pPr>
        <w:pStyle w:val="FootnoteText"/>
      </w:pPr>
      <w:r>
        <w:rPr>
          <w:rFonts w:ascii="Times New Roman" w:hAnsi="Times New Roman"/>
        </w:rPr>
        <w:t xml:space="preserve">2020/0051 (COD)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Header"/>
      <w:tabs>
        <w:tab w:val="clear" w:pos="9360"/>
        <w:tab w:val="right" w:pos="904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2" w:rsidRDefault="00044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03D"/>
    <w:multiLevelType w:val="hybridMultilevel"/>
    <w:tmpl w:val="50DA3C46"/>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98C6320"/>
    <w:multiLevelType w:val="hybridMultilevel"/>
    <w:tmpl w:val="34CCDB36"/>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B51692"/>
    <w:multiLevelType w:val="hybridMultilevel"/>
    <w:tmpl w:val="6628A694"/>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1B156DC"/>
    <w:multiLevelType w:val="hybridMultilevel"/>
    <w:tmpl w:val="1A942A5A"/>
    <w:lvl w:ilvl="0" w:tplc="080C0001">
      <w:start w:val="1"/>
      <w:numFmt w:val="bullet"/>
      <w:lvlText w:val=""/>
      <w:lvlJc w:val="left"/>
      <w:pPr>
        <w:ind w:left="1035" w:hanging="675"/>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F641F9"/>
    <w:multiLevelType w:val="hybridMultilevel"/>
    <w:tmpl w:val="80584BB8"/>
    <w:lvl w:ilvl="0" w:tplc="FDEE4844">
      <w:start w:val="1"/>
      <w:numFmt w:val="bullet"/>
      <w:lvlText w:val="-"/>
      <w:lvlJc w:val="left"/>
      <w:pPr>
        <w:ind w:left="675" w:hanging="675"/>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5B3A38"/>
    <w:multiLevelType w:val="hybridMultilevel"/>
    <w:tmpl w:val="E430A882"/>
    <w:lvl w:ilvl="0" w:tplc="C77EC6F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057F"/>
    <w:multiLevelType w:val="hybridMultilevel"/>
    <w:tmpl w:val="328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3502D"/>
    <w:multiLevelType w:val="hybridMultilevel"/>
    <w:tmpl w:val="A41C6E94"/>
    <w:numStyleLink w:val="ImportedStyle1"/>
  </w:abstractNum>
  <w:abstractNum w:abstractNumId="8" w15:restartNumberingAfterBreak="0">
    <w:nsid w:val="2F000009"/>
    <w:multiLevelType w:val="hybridMultilevel"/>
    <w:tmpl w:val="34B116FA"/>
    <w:lvl w:ilvl="0" w:tplc="D922A03E">
      <w:start w:val="1"/>
      <w:numFmt w:val="bullet"/>
      <w:lvlText w:val="Ø"/>
      <w:lvlJc w:val="left"/>
      <w:pPr>
        <w:ind w:left="720" w:hanging="360"/>
        <w:jc w:val="both"/>
      </w:pPr>
      <w:rPr>
        <w:rFonts w:ascii="Wingdings" w:eastAsia="Wingdings" w:hAnsi="Wingdings"/>
        <w:w w:val="100"/>
        <w:sz w:val="20"/>
        <w:szCs w:val="20"/>
        <w:shd w:val="clear" w:color="auto" w:fill="auto"/>
      </w:rPr>
    </w:lvl>
    <w:lvl w:ilvl="1" w:tplc="F696803E">
      <w:start w:val="1"/>
      <w:numFmt w:val="bullet"/>
      <w:lvlText w:val="Ø"/>
      <w:lvlJc w:val="left"/>
      <w:pPr>
        <w:ind w:left="1440" w:hanging="360"/>
        <w:jc w:val="both"/>
      </w:pPr>
      <w:rPr>
        <w:rFonts w:ascii="Wingdings" w:eastAsia="Wingdings" w:hAnsi="Wingdings"/>
        <w:w w:val="100"/>
        <w:sz w:val="20"/>
        <w:szCs w:val="20"/>
        <w:shd w:val="clear" w:color="auto" w:fill="auto"/>
      </w:rPr>
    </w:lvl>
    <w:lvl w:ilvl="2" w:tplc="47F4BE3C">
      <w:start w:val="1"/>
      <w:numFmt w:val="bullet"/>
      <w:lvlText w:val="§"/>
      <w:lvlJc w:val="left"/>
      <w:pPr>
        <w:ind w:left="2160" w:hanging="360"/>
        <w:jc w:val="both"/>
      </w:pPr>
      <w:rPr>
        <w:rFonts w:ascii="Wingdings" w:eastAsia="Wingdings" w:hAnsi="Wingdings"/>
        <w:w w:val="100"/>
        <w:sz w:val="20"/>
        <w:szCs w:val="20"/>
        <w:shd w:val="clear" w:color="auto" w:fill="auto"/>
      </w:rPr>
    </w:lvl>
    <w:lvl w:ilvl="3" w:tplc="75548F68">
      <w:start w:val="1"/>
      <w:numFmt w:val="bullet"/>
      <w:lvlText w:val="·"/>
      <w:lvlJc w:val="left"/>
      <w:pPr>
        <w:ind w:left="2880" w:hanging="360"/>
        <w:jc w:val="both"/>
      </w:pPr>
      <w:rPr>
        <w:rFonts w:ascii="Symbol" w:eastAsia="Symbol" w:hAnsi="Symbol"/>
        <w:w w:val="100"/>
        <w:sz w:val="20"/>
        <w:szCs w:val="20"/>
        <w:shd w:val="clear" w:color="auto" w:fill="auto"/>
      </w:rPr>
    </w:lvl>
    <w:lvl w:ilvl="4" w:tplc="F760CF8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A2AF56E">
      <w:start w:val="1"/>
      <w:numFmt w:val="bullet"/>
      <w:lvlText w:val="§"/>
      <w:lvlJc w:val="left"/>
      <w:pPr>
        <w:ind w:left="4320" w:hanging="360"/>
        <w:jc w:val="both"/>
      </w:pPr>
      <w:rPr>
        <w:rFonts w:ascii="Wingdings" w:eastAsia="Wingdings" w:hAnsi="Wingdings"/>
        <w:w w:val="100"/>
        <w:sz w:val="20"/>
        <w:szCs w:val="20"/>
        <w:shd w:val="clear" w:color="auto" w:fill="auto"/>
      </w:rPr>
    </w:lvl>
    <w:lvl w:ilvl="6" w:tplc="2B0CC496">
      <w:start w:val="1"/>
      <w:numFmt w:val="bullet"/>
      <w:lvlText w:val="·"/>
      <w:lvlJc w:val="left"/>
      <w:pPr>
        <w:ind w:left="5040" w:hanging="360"/>
        <w:jc w:val="both"/>
      </w:pPr>
      <w:rPr>
        <w:rFonts w:ascii="Symbol" w:eastAsia="Symbol" w:hAnsi="Symbol"/>
        <w:w w:val="100"/>
        <w:sz w:val="20"/>
        <w:szCs w:val="20"/>
        <w:shd w:val="clear" w:color="auto" w:fill="auto"/>
      </w:rPr>
    </w:lvl>
    <w:lvl w:ilvl="7" w:tplc="437A2DE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F8A2E6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9" w15:restartNumberingAfterBreak="0">
    <w:nsid w:val="2F000026"/>
    <w:multiLevelType w:val="hybridMultilevel"/>
    <w:tmpl w:val="43EE3B82"/>
    <w:lvl w:ilvl="0" w:tplc="FEE2DBB8">
      <w:start w:val="15"/>
      <w:numFmt w:val="bullet"/>
      <w:lvlText w:val="-"/>
      <w:lvlJc w:val="left"/>
      <w:pPr>
        <w:ind w:left="720" w:hanging="360"/>
        <w:jc w:val="both"/>
      </w:pPr>
      <w:rPr>
        <w:rFonts w:ascii="Times New Roman" w:eastAsia="Times New Roman" w:hAnsi="Times New Roman"/>
        <w:w w:val="100"/>
        <w:sz w:val="20"/>
        <w:szCs w:val="20"/>
        <w:shd w:val="clear" w:color="auto" w:fill="auto"/>
      </w:rPr>
    </w:lvl>
    <w:lvl w:ilvl="1" w:tplc="B55C1D7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B2C698C">
      <w:start w:val="1"/>
      <w:numFmt w:val="bullet"/>
      <w:lvlText w:val="§"/>
      <w:lvlJc w:val="left"/>
      <w:pPr>
        <w:ind w:left="2160" w:hanging="360"/>
        <w:jc w:val="both"/>
      </w:pPr>
      <w:rPr>
        <w:rFonts w:ascii="Wingdings" w:eastAsia="Wingdings" w:hAnsi="Wingdings"/>
        <w:w w:val="100"/>
        <w:sz w:val="20"/>
        <w:szCs w:val="20"/>
        <w:shd w:val="clear" w:color="auto" w:fill="auto"/>
      </w:rPr>
    </w:lvl>
    <w:lvl w:ilvl="3" w:tplc="A1FCB008">
      <w:start w:val="1"/>
      <w:numFmt w:val="bullet"/>
      <w:lvlText w:val="·"/>
      <w:lvlJc w:val="left"/>
      <w:pPr>
        <w:ind w:left="2880" w:hanging="360"/>
        <w:jc w:val="both"/>
      </w:pPr>
      <w:rPr>
        <w:rFonts w:ascii="Symbol" w:eastAsia="Symbol" w:hAnsi="Symbol"/>
        <w:w w:val="100"/>
        <w:sz w:val="20"/>
        <w:szCs w:val="20"/>
        <w:shd w:val="clear" w:color="auto" w:fill="auto"/>
      </w:rPr>
    </w:lvl>
    <w:lvl w:ilvl="4" w:tplc="BBB254B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FB045024">
      <w:start w:val="1"/>
      <w:numFmt w:val="bullet"/>
      <w:lvlText w:val="§"/>
      <w:lvlJc w:val="left"/>
      <w:pPr>
        <w:ind w:left="4320" w:hanging="360"/>
        <w:jc w:val="both"/>
      </w:pPr>
      <w:rPr>
        <w:rFonts w:ascii="Wingdings" w:eastAsia="Wingdings" w:hAnsi="Wingdings"/>
        <w:w w:val="100"/>
        <w:sz w:val="20"/>
        <w:szCs w:val="20"/>
        <w:shd w:val="clear" w:color="auto" w:fill="auto"/>
      </w:rPr>
    </w:lvl>
    <w:lvl w:ilvl="6" w:tplc="F7F4F9F2">
      <w:start w:val="1"/>
      <w:numFmt w:val="bullet"/>
      <w:lvlText w:val="·"/>
      <w:lvlJc w:val="left"/>
      <w:pPr>
        <w:ind w:left="5040" w:hanging="360"/>
        <w:jc w:val="both"/>
      </w:pPr>
      <w:rPr>
        <w:rFonts w:ascii="Symbol" w:eastAsia="Symbol" w:hAnsi="Symbol"/>
        <w:w w:val="100"/>
        <w:sz w:val="20"/>
        <w:szCs w:val="20"/>
        <w:shd w:val="clear" w:color="auto" w:fill="auto"/>
      </w:rPr>
    </w:lvl>
    <w:lvl w:ilvl="7" w:tplc="52F609A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8A4740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0" w15:restartNumberingAfterBreak="0">
    <w:nsid w:val="2F000030"/>
    <w:multiLevelType w:val="hybridMultilevel"/>
    <w:tmpl w:val="1F34BE0E"/>
    <w:lvl w:ilvl="0" w:tplc="246A393C">
      <w:start w:val="1"/>
      <w:numFmt w:val="bullet"/>
      <w:lvlText w:val="Ø"/>
      <w:lvlJc w:val="left"/>
      <w:pPr>
        <w:ind w:left="592" w:hanging="400"/>
        <w:jc w:val="both"/>
      </w:pPr>
      <w:rPr>
        <w:rFonts w:ascii="Wingdings" w:eastAsia="Wingdings" w:hAnsi="Wingdings"/>
        <w:b w:val="0"/>
        <w:w w:val="100"/>
        <w:sz w:val="24"/>
        <w:szCs w:val="24"/>
        <w:u w:val="none"/>
        <w:shd w:val="clear" w:color="auto" w:fill="auto"/>
      </w:rPr>
    </w:lvl>
    <w:lvl w:ilvl="1" w:tplc="118EBD14">
      <w:start w:val="1"/>
      <w:numFmt w:val="bullet"/>
      <w:lvlText w:val="n"/>
      <w:lvlJc w:val="left"/>
      <w:pPr>
        <w:ind w:left="992" w:hanging="400"/>
        <w:jc w:val="both"/>
      </w:pPr>
      <w:rPr>
        <w:rFonts w:ascii="Wingdings" w:eastAsia="Wingdings" w:hAnsi="Wingdings"/>
        <w:w w:val="100"/>
        <w:sz w:val="20"/>
        <w:szCs w:val="20"/>
        <w:shd w:val="clear" w:color="auto" w:fill="auto"/>
      </w:rPr>
    </w:lvl>
    <w:lvl w:ilvl="2" w:tplc="5104660A">
      <w:start w:val="1"/>
      <w:numFmt w:val="bullet"/>
      <w:lvlText w:val="u"/>
      <w:lvlJc w:val="left"/>
      <w:pPr>
        <w:ind w:left="1392" w:hanging="400"/>
        <w:jc w:val="both"/>
      </w:pPr>
      <w:rPr>
        <w:rFonts w:ascii="Wingdings" w:eastAsia="Wingdings" w:hAnsi="Wingdings"/>
        <w:w w:val="100"/>
        <w:sz w:val="20"/>
        <w:szCs w:val="20"/>
        <w:shd w:val="clear" w:color="auto" w:fill="auto"/>
      </w:rPr>
    </w:lvl>
    <w:lvl w:ilvl="3" w:tplc="02E686DC">
      <w:start w:val="1"/>
      <w:numFmt w:val="bullet"/>
      <w:lvlText w:val="Ø"/>
      <w:lvlJc w:val="left"/>
      <w:pPr>
        <w:ind w:left="1792" w:hanging="400"/>
        <w:jc w:val="both"/>
      </w:pPr>
      <w:rPr>
        <w:rFonts w:ascii="Wingdings" w:eastAsia="Wingdings" w:hAnsi="Wingdings"/>
        <w:w w:val="100"/>
        <w:sz w:val="20"/>
        <w:szCs w:val="20"/>
        <w:shd w:val="clear" w:color="auto" w:fill="auto"/>
      </w:rPr>
    </w:lvl>
    <w:lvl w:ilvl="4" w:tplc="317603B6">
      <w:start w:val="1"/>
      <w:numFmt w:val="bullet"/>
      <w:lvlText w:val="n"/>
      <w:lvlJc w:val="left"/>
      <w:pPr>
        <w:ind w:left="2192" w:hanging="400"/>
        <w:jc w:val="both"/>
      </w:pPr>
      <w:rPr>
        <w:rFonts w:ascii="Wingdings" w:eastAsia="Wingdings" w:hAnsi="Wingdings"/>
        <w:w w:val="100"/>
        <w:sz w:val="20"/>
        <w:szCs w:val="20"/>
        <w:shd w:val="clear" w:color="auto" w:fill="auto"/>
      </w:rPr>
    </w:lvl>
    <w:lvl w:ilvl="5" w:tplc="DCC88D5E">
      <w:start w:val="1"/>
      <w:numFmt w:val="bullet"/>
      <w:lvlText w:val="u"/>
      <w:lvlJc w:val="left"/>
      <w:pPr>
        <w:ind w:left="2592" w:hanging="400"/>
        <w:jc w:val="both"/>
      </w:pPr>
      <w:rPr>
        <w:rFonts w:ascii="Wingdings" w:eastAsia="Wingdings" w:hAnsi="Wingdings"/>
        <w:w w:val="100"/>
        <w:sz w:val="20"/>
        <w:szCs w:val="20"/>
        <w:shd w:val="clear" w:color="auto" w:fill="auto"/>
      </w:rPr>
    </w:lvl>
    <w:lvl w:ilvl="6" w:tplc="C39839E8">
      <w:start w:val="1"/>
      <w:numFmt w:val="bullet"/>
      <w:lvlText w:val="Ø"/>
      <w:lvlJc w:val="left"/>
      <w:pPr>
        <w:ind w:left="2992" w:hanging="400"/>
        <w:jc w:val="both"/>
      </w:pPr>
      <w:rPr>
        <w:rFonts w:ascii="Wingdings" w:eastAsia="Wingdings" w:hAnsi="Wingdings"/>
        <w:w w:val="100"/>
        <w:sz w:val="20"/>
        <w:szCs w:val="20"/>
        <w:shd w:val="clear" w:color="auto" w:fill="auto"/>
      </w:rPr>
    </w:lvl>
    <w:lvl w:ilvl="7" w:tplc="F3442810">
      <w:start w:val="1"/>
      <w:numFmt w:val="bullet"/>
      <w:lvlText w:val="n"/>
      <w:lvlJc w:val="left"/>
      <w:pPr>
        <w:ind w:left="3392" w:hanging="400"/>
        <w:jc w:val="both"/>
      </w:pPr>
      <w:rPr>
        <w:rFonts w:ascii="Wingdings" w:eastAsia="Wingdings" w:hAnsi="Wingdings"/>
        <w:w w:val="100"/>
        <w:sz w:val="20"/>
        <w:szCs w:val="20"/>
        <w:shd w:val="clear" w:color="auto" w:fill="auto"/>
      </w:rPr>
    </w:lvl>
    <w:lvl w:ilvl="8" w:tplc="459CFE62">
      <w:start w:val="1"/>
      <w:numFmt w:val="bullet"/>
      <w:lvlText w:val="u"/>
      <w:lvlJc w:val="left"/>
      <w:pPr>
        <w:ind w:left="3792" w:hanging="400"/>
        <w:jc w:val="both"/>
      </w:pPr>
      <w:rPr>
        <w:rFonts w:ascii="Wingdings" w:eastAsia="Wingdings" w:hAnsi="Wingdings"/>
        <w:w w:val="100"/>
        <w:sz w:val="20"/>
        <w:szCs w:val="20"/>
        <w:shd w:val="clear" w:color="auto" w:fill="auto"/>
      </w:rPr>
    </w:lvl>
  </w:abstractNum>
  <w:abstractNum w:abstractNumId="11" w15:restartNumberingAfterBreak="0">
    <w:nsid w:val="3162379A"/>
    <w:multiLevelType w:val="hybridMultilevel"/>
    <w:tmpl w:val="839A3770"/>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720EBD"/>
    <w:multiLevelType w:val="hybridMultilevel"/>
    <w:tmpl w:val="215C1B9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C751E2"/>
    <w:multiLevelType w:val="hybridMultilevel"/>
    <w:tmpl w:val="29B8FF8C"/>
    <w:lvl w:ilvl="0" w:tplc="FDEE4844">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ECF7D93"/>
    <w:multiLevelType w:val="hybridMultilevel"/>
    <w:tmpl w:val="C7CEC9F4"/>
    <w:lvl w:ilvl="0" w:tplc="FDEE4844">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902D2"/>
    <w:multiLevelType w:val="hybridMultilevel"/>
    <w:tmpl w:val="C0061EF4"/>
    <w:lvl w:ilvl="0" w:tplc="C680B46C">
      <w:start w:val="15"/>
      <w:numFmt w:val="bullet"/>
      <w:lvlText w:val="-"/>
      <w:lvlJc w:val="left"/>
      <w:pPr>
        <w:ind w:left="360" w:hanging="360"/>
      </w:pPr>
      <w:rPr>
        <w:rFonts w:ascii="Times New Roman" w:eastAsia="Calibri"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07C0670"/>
    <w:multiLevelType w:val="hybridMultilevel"/>
    <w:tmpl w:val="5B6A7AE0"/>
    <w:lvl w:ilvl="0" w:tplc="FDEE4844">
      <w:start w:val="1"/>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3D50132"/>
    <w:multiLevelType w:val="hybridMultilevel"/>
    <w:tmpl w:val="2DC07B7E"/>
    <w:lvl w:ilvl="0" w:tplc="FDEE4844">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6962244"/>
    <w:multiLevelType w:val="hybridMultilevel"/>
    <w:tmpl w:val="A41C6E94"/>
    <w:styleLink w:val="ImportedStyle1"/>
    <w:lvl w:ilvl="0" w:tplc="826AB56E">
      <w:start w:val="1"/>
      <w:numFmt w:val="upperRoman"/>
      <w:lvlText w:val="%1."/>
      <w:lvlJc w:val="left"/>
      <w:pPr>
        <w:ind w:left="7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D0F62A8C">
      <w:start w:val="1"/>
      <w:numFmt w:val="lowerLetter"/>
      <w:lvlText w:val="%2."/>
      <w:lvlJc w:val="left"/>
      <w:pPr>
        <w:ind w:left="15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C6F396">
      <w:start w:val="1"/>
      <w:numFmt w:val="lowerRoman"/>
      <w:lvlText w:val="%3."/>
      <w:lvlJc w:val="left"/>
      <w:pPr>
        <w:ind w:left="22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1F852DE">
      <w:start w:val="1"/>
      <w:numFmt w:val="decimal"/>
      <w:lvlText w:val="%4."/>
      <w:lvlJc w:val="left"/>
      <w:pPr>
        <w:ind w:left="2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9C4E04">
      <w:start w:val="1"/>
      <w:numFmt w:val="lowerLetter"/>
      <w:lvlText w:val="%5."/>
      <w:lvlJc w:val="left"/>
      <w:pPr>
        <w:ind w:left="36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3CF178">
      <w:start w:val="1"/>
      <w:numFmt w:val="lowerRoman"/>
      <w:lvlText w:val="%6."/>
      <w:lvlJc w:val="left"/>
      <w:pPr>
        <w:ind w:left="43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7501B84">
      <w:start w:val="1"/>
      <w:numFmt w:val="decimal"/>
      <w:lvlText w:val="%7."/>
      <w:lvlJc w:val="left"/>
      <w:pPr>
        <w:ind w:left="5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4A7C1E">
      <w:start w:val="1"/>
      <w:numFmt w:val="lowerLetter"/>
      <w:lvlText w:val="%8."/>
      <w:lvlJc w:val="left"/>
      <w:pPr>
        <w:ind w:left="5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3C45F8">
      <w:start w:val="1"/>
      <w:numFmt w:val="lowerRoman"/>
      <w:lvlText w:val="%9."/>
      <w:lvlJc w:val="left"/>
      <w:pPr>
        <w:ind w:left="65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A8105DE"/>
    <w:multiLevelType w:val="hybridMultilevel"/>
    <w:tmpl w:val="85989ECE"/>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0"/>
  </w:num>
  <w:num w:numId="6">
    <w:abstractNumId w:val="6"/>
  </w:num>
  <w:num w:numId="7">
    <w:abstractNumId w:val="14"/>
  </w:num>
  <w:num w:numId="8">
    <w:abstractNumId w:val="12"/>
  </w:num>
  <w:num w:numId="9">
    <w:abstractNumId w:val="2"/>
  </w:num>
  <w:num w:numId="10">
    <w:abstractNumId w:val="17"/>
  </w:num>
  <w:num w:numId="11">
    <w:abstractNumId w:val="16"/>
  </w:num>
  <w:num w:numId="12">
    <w:abstractNumId w:val="3"/>
  </w:num>
  <w:num w:numId="13">
    <w:abstractNumId w:val="4"/>
  </w:num>
  <w:num w:numId="14">
    <w:abstractNumId w:val="1"/>
  </w:num>
  <w:num w:numId="15">
    <w:abstractNumId w:val="13"/>
  </w:num>
  <w:num w:numId="16">
    <w:abstractNumId w:val="11"/>
  </w:num>
  <w:num w:numId="17">
    <w:abstractNumId w:val="19"/>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4D38B72-EAEA-442E-974B-FA19BBBA4C2A"/>
    <w:docVar w:name="LW_COVERPAGE_TYPE" w:val="1"/>
    <w:docVar w:name="LW_CROSSREFERENCE" w:val="&lt;UNUSED&gt;"/>
    <w:docVar w:name="LW_DocType" w:val="NORMAL"/>
    <w:docVar w:name="LW_EMISSION" w:val="29.4.2020"/>
    <w:docVar w:name="LW_EMISSION_ISODATE" w:val="2020-04-29"/>
    <w:docVar w:name="LW_EMISSION_LOCATION" w:val="BRX"/>
    <w:docVar w:name="LW_EMISSION_PREFIX" w:val="Brüssel, den "/>
    <w:docVar w:name="LW_EMISSION_SUFFIX" w:val=" "/>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0) 3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nterstützung des westlichen Balkans bei der Bekämpfung von COVID-19 und beim Wiederaufbau nach der Pandemie&lt;/FMT&gt;_x000d__x000d__x000d__x000d__x000b__x000d__x000d__x000d__x000d__x000b_&lt;FMT:Bold&gt;Beitrag der Kommission im Vorfeld der Tagung der Staats- und Regierungschefs der EU und des westlichen Balkans am 6. Mai 2020&lt;/FMT&gt;"/>
    <w:docVar w:name="LW_TYPE.DOC.CP" w:val="MITTEILUNG DER KOMMISSION AN DAS EUROPÄISCHE PARLAMENT, DEN RAT, DEN EUROPÄISCHEN WIRTSCHAFTS- UND SOZIALAUSSCHUSS UND DEN AUSSCHUSS DER REGIONEN"/>
    <w:docVar w:name="LW_TYPE.DOC.CP.USERTEXT" w:val="&lt;EMPTY&gt;"/>
  </w:docVars>
  <w:rsids>
    <w:rsidRoot w:val="00044852"/>
    <w:rsid w:val="00044852"/>
    <w:rsid w:val="007D4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ACBAF498-A8C6-4C94-9E27-4BBF4417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Ha"/>
    <w:basedOn w:val="Normal"/>
    <w:link w:val="ListParagraphChar"/>
    <w:qFormat/>
    <w:pPr>
      <w:spacing w:after="0" w:line="240" w:lineRule="auto"/>
      <w:ind w:left="720"/>
    </w:pPr>
    <w:rPr>
      <w:rFonts w:ascii="Calibri" w:eastAsia="Calibri" w:hAnsi="Calibri" w:cs="Times New Roman"/>
      <w:lang w:eastAsia="fr-BE"/>
    </w:rPr>
  </w:style>
  <w:style w:type="paragraph" w:styleId="FootnoteText">
    <w:name w:val="footnote text"/>
    <w:basedOn w:val="Normal"/>
    <w:link w:val="FootnoteTextChar"/>
    <w:uiPriority w:val="99"/>
    <w:unhideWhenUsed/>
    <w:qFormat/>
    <w:pPr>
      <w:spacing w:after="0" w:line="240" w:lineRule="auto"/>
    </w:pPr>
    <w:rPr>
      <w:rFonts w:ascii="Calibri" w:eastAsia="Calibri" w:hAnsi="Calibri" w:cs="Times New Roman"/>
      <w:sz w:val="20"/>
      <w:szCs w:val="20"/>
      <w:lang w:eastAsia="fr-BE"/>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lang w:val="de-DE" w:eastAsia="fr-B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n,Nota"/>
    <w:basedOn w:val="DefaultParagraphFont"/>
    <w:link w:val="FootnotesymbolCarZchn"/>
    <w:uiPriority w:val="99"/>
    <w:unhideWhenUsed/>
    <w:qFormat/>
    <w:rPr>
      <w:w w:val="100"/>
      <w:sz w:val="20"/>
      <w:szCs w:val="20"/>
      <w:shd w:val="clear" w:color="auto" w:fill="auto"/>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semiHidden/>
    <w:unhideWhenUsed/>
    <w:pPr>
      <w:spacing w:after="0" w:line="240" w:lineRule="auto"/>
    </w:pPr>
    <w:rPr>
      <w:rFonts w:ascii="Calibri" w:eastAsia="Calibri" w:hAnsi="Calibri" w:cs="Times New Roman"/>
      <w:sz w:val="20"/>
      <w:szCs w:val="20"/>
      <w:lang w:eastAsia="fr-BE"/>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de-DE" w:eastAsia="fr-BE"/>
    </w:rPr>
  </w:style>
  <w:style w:type="paragraph" w:styleId="NormalWeb">
    <w:name w:val="Normal (Web)"/>
    <w:basedOn w:val="Normal"/>
    <w:unhideWhenUsed/>
    <w:pPr>
      <w:spacing w:after="0" w:line="240" w:lineRule="auto"/>
    </w:pPr>
    <w:rPr>
      <w:rFonts w:ascii="Times New Roman" w:eastAsia="Times New Roman" w:hAnsi="Times New Roman" w:cs="Times New Roman"/>
      <w:sz w:val="24"/>
      <w:szCs w:val="24"/>
      <w:lang w:eastAsia="fr-BE"/>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basedOn w:val="DefaultParagraphFont"/>
    <w:link w:val="ListParagraph"/>
    <w:uiPriority w:val="34"/>
    <w:qFormat/>
    <w:rPr>
      <w:rFonts w:ascii="Calibri" w:eastAsia="Calibri" w:hAnsi="Calibri" w:cs="Times New Roman"/>
      <w:lang w:val="de-DE"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de-DE" w:eastAsia="fr-BE"/>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sz w:val="20"/>
      <w:szCs w:val="20"/>
      <w:vertAlign w:val="superscript"/>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numbering" w:customStyle="1" w:styleId="ImportedStyle1">
    <w:name w:val="Imported Style 1"/>
    <w:pPr>
      <w:numPr>
        <w:numId w:val="19"/>
      </w:numPr>
    </w:pPr>
  </w:style>
  <w:style w:type="character" w:customStyle="1" w:styleId="Hyperlink0">
    <w:name w:val="Hyperlink.0"/>
    <w:basedOn w:val="DefaultParagraphFont"/>
    <w:rPr>
      <w:rFonts w:ascii="Times New Roman" w:eastAsia="Times New Roman" w:hAnsi="Times New Roman" w:cs="Times New Roman"/>
      <w:color w:val="0000FF"/>
      <w:u w:val="single" w:color="0000FF"/>
      <w:lang w:val="de-DE"/>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462">
      <w:bodyDiv w:val="1"/>
      <w:marLeft w:val="0"/>
      <w:marRight w:val="0"/>
      <w:marTop w:val="0"/>
      <w:marBottom w:val="0"/>
      <w:divBdr>
        <w:top w:val="none" w:sz="0" w:space="0" w:color="auto"/>
        <w:left w:val="none" w:sz="0" w:space="0" w:color="auto"/>
        <w:bottom w:val="none" w:sz="0" w:space="0" w:color="auto"/>
        <w:right w:val="none" w:sz="0" w:space="0" w:color="auto"/>
      </w:divBdr>
    </w:div>
    <w:div w:id="193353803">
      <w:bodyDiv w:val="1"/>
      <w:marLeft w:val="0"/>
      <w:marRight w:val="0"/>
      <w:marTop w:val="0"/>
      <w:marBottom w:val="0"/>
      <w:divBdr>
        <w:top w:val="none" w:sz="0" w:space="0" w:color="auto"/>
        <w:left w:val="none" w:sz="0" w:space="0" w:color="auto"/>
        <w:bottom w:val="none" w:sz="0" w:space="0" w:color="auto"/>
        <w:right w:val="none" w:sz="0" w:space="0" w:color="auto"/>
      </w:divBdr>
    </w:div>
    <w:div w:id="452789347">
      <w:bodyDiv w:val="1"/>
      <w:marLeft w:val="0"/>
      <w:marRight w:val="0"/>
      <w:marTop w:val="0"/>
      <w:marBottom w:val="0"/>
      <w:divBdr>
        <w:top w:val="none" w:sz="0" w:space="0" w:color="auto"/>
        <w:left w:val="none" w:sz="0" w:space="0" w:color="auto"/>
        <w:bottom w:val="none" w:sz="0" w:space="0" w:color="auto"/>
        <w:right w:val="none" w:sz="0" w:space="0" w:color="auto"/>
      </w:divBdr>
    </w:div>
    <w:div w:id="676232197">
      <w:bodyDiv w:val="1"/>
      <w:marLeft w:val="0"/>
      <w:marRight w:val="0"/>
      <w:marTop w:val="0"/>
      <w:marBottom w:val="0"/>
      <w:divBdr>
        <w:top w:val="none" w:sz="0" w:space="0" w:color="auto"/>
        <w:left w:val="none" w:sz="0" w:space="0" w:color="auto"/>
        <w:bottom w:val="none" w:sz="0" w:space="0" w:color="auto"/>
        <w:right w:val="none" w:sz="0" w:space="0" w:color="auto"/>
      </w:divBdr>
    </w:div>
    <w:div w:id="700055688">
      <w:bodyDiv w:val="1"/>
      <w:marLeft w:val="0"/>
      <w:marRight w:val="0"/>
      <w:marTop w:val="0"/>
      <w:marBottom w:val="0"/>
      <w:divBdr>
        <w:top w:val="none" w:sz="0" w:space="0" w:color="auto"/>
        <w:left w:val="none" w:sz="0" w:space="0" w:color="auto"/>
        <w:bottom w:val="none" w:sz="0" w:space="0" w:color="auto"/>
        <w:right w:val="none" w:sz="0" w:space="0" w:color="auto"/>
      </w:divBdr>
    </w:div>
    <w:div w:id="736166459">
      <w:bodyDiv w:val="1"/>
      <w:marLeft w:val="0"/>
      <w:marRight w:val="0"/>
      <w:marTop w:val="0"/>
      <w:marBottom w:val="0"/>
      <w:divBdr>
        <w:top w:val="none" w:sz="0" w:space="0" w:color="auto"/>
        <w:left w:val="none" w:sz="0" w:space="0" w:color="auto"/>
        <w:bottom w:val="none" w:sz="0" w:space="0" w:color="auto"/>
        <w:right w:val="none" w:sz="0" w:space="0" w:color="auto"/>
      </w:divBdr>
    </w:div>
    <w:div w:id="756904911">
      <w:bodyDiv w:val="1"/>
      <w:marLeft w:val="0"/>
      <w:marRight w:val="0"/>
      <w:marTop w:val="0"/>
      <w:marBottom w:val="0"/>
      <w:divBdr>
        <w:top w:val="none" w:sz="0" w:space="0" w:color="auto"/>
        <w:left w:val="none" w:sz="0" w:space="0" w:color="auto"/>
        <w:bottom w:val="none" w:sz="0" w:space="0" w:color="auto"/>
        <w:right w:val="none" w:sz="0" w:space="0" w:color="auto"/>
      </w:divBdr>
    </w:div>
    <w:div w:id="911962017">
      <w:bodyDiv w:val="1"/>
      <w:marLeft w:val="0"/>
      <w:marRight w:val="0"/>
      <w:marTop w:val="0"/>
      <w:marBottom w:val="0"/>
      <w:divBdr>
        <w:top w:val="none" w:sz="0" w:space="0" w:color="auto"/>
        <w:left w:val="none" w:sz="0" w:space="0" w:color="auto"/>
        <w:bottom w:val="none" w:sz="0" w:space="0" w:color="auto"/>
        <w:right w:val="none" w:sz="0" w:space="0" w:color="auto"/>
      </w:divBdr>
    </w:div>
    <w:div w:id="938295663">
      <w:bodyDiv w:val="1"/>
      <w:marLeft w:val="0"/>
      <w:marRight w:val="0"/>
      <w:marTop w:val="0"/>
      <w:marBottom w:val="0"/>
      <w:divBdr>
        <w:top w:val="none" w:sz="0" w:space="0" w:color="auto"/>
        <w:left w:val="none" w:sz="0" w:space="0" w:color="auto"/>
        <w:bottom w:val="none" w:sz="0" w:space="0" w:color="auto"/>
        <w:right w:val="none" w:sz="0" w:space="0" w:color="auto"/>
      </w:divBdr>
    </w:div>
    <w:div w:id="1168449821">
      <w:bodyDiv w:val="1"/>
      <w:marLeft w:val="0"/>
      <w:marRight w:val="0"/>
      <w:marTop w:val="0"/>
      <w:marBottom w:val="0"/>
      <w:divBdr>
        <w:top w:val="none" w:sz="0" w:space="0" w:color="auto"/>
        <w:left w:val="none" w:sz="0" w:space="0" w:color="auto"/>
        <w:bottom w:val="none" w:sz="0" w:space="0" w:color="auto"/>
        <w:right w:val="none" w:sz="0" w:space="0" w:color="auto"/>
      </w:divBdr>
    </w:div>
    <w:div w:id="1331561304">
      <w:bodyDiv w:val="1"/>
      <w:marLeft w:val="0"/>
      <w:marRight w:val="0"/>
      <w:marTop w:val="0"/>
      <w:marBottom w:val="0"/>
      <w:divBdr>
        <w:top w:val="none" w:sz="0" w:space="0" w:color="auto"/>
        <w:left w:val="none" w:sz="0" w:space="0" w:color="auto"/>
        <w:bottom w:val="none" w:sz="0" w:space="0" w:color="auto"/>
        <w:right w:val="none" w:sz="0" w:space="0" w:color="auto"/>
      </w:divBdr>
    </w:div>
    <w:div w:id="1403748287">
      <w:bodyDiv w:val="1"/>
      <w:marLeft w:val="0"/>
      <w:marRight w:val="0"/>
      <w:marTop w:val="0"/>
      <w:marBottom w:val="0"/>
      <w:divBdr>
        <w:top w:val="none" w:sz="0" w:space="0" w:color="auto"/>
        <w:left w:val="none" w:sz="0" w:space="0" w:color="auto"/>
        <w:bottom w:val="none" w:sz="0" w:space="0" w:color="auto"/>
        <w:right w:val="none" w:sz="0" w:space="0" w:color="auto"/>
      </w:divBdr>
    </w:div>
    <w:div w:id="1974796326">
      <w:bodyDiv w:val="1"/>
      <w:marLeft w:val="0"/>
      <w:marRight w:val="0"/>
      <w:marTop w:val="0"/>
      <w:marBottom w:val="0"/>
      <w:divBdr>
        <w:top w:val="none" w:sz="0" w:space="0" w:color="auto"/>
        <w:left w:val="none" w:sz="0" w:space="0" w:color="auto"/>
        <w:bottom w:val="none" w:sz="0" w:space="0" w:color="auto"/>
        <w:right w:val="none" w:sz="0" w:space="0" w:color="auto"/>
      </w:divBdr>
    </w:div>
    <w:div w:id="2141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ighbourhood-enlargement/sites/near/files/enlargement-methodolog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B4CC-3231-4872-8821-DFB9AD1B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2634</Words>
  <Characters>18077</Characters>
  <Application>Microsoft Office Word</Application>
  <DocSecurity>0</DocSecurity>
  <Lines>269</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2020-04-28T19:27:00Z</cp:lastPrinted>
  <dcterms:created xsi:type="dcterms:W3CDTF">2020-04-28T19:14:00Z</dcterms:created>
  <dcterms:modified xsi:type="dcterms:W3CDTF">2020-04-29T11:05:00Z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name="OP_sanitized" fmtid="{D5CDD505-2E9C-101B-9397-08002B2CF9AE}" pid="9">
    <vt:lpwstr>True</vt:lpwstr>
  </property>
</Properties>
</file>