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B1C91D3-8BD1-45D2-9CD6-09F80CD4BE55" style="width:451.25pt;height:570.1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rPr>
          <w:noProof/>
        </w:rPr>
      </w:pPr>
      <w:r>
        <w:rPr>
          <w:noProof/>
        </w:rPr>
        <w:t>Η πανδημία COVID-19 συνιστά εκτεταμένη και σοβαρή κρίση στον τομέα της δημόσιας υγείας. Πλήττει σοβαρά τους πολίτες, τις κοινωνίες και τις οικονομίες παγκοσμίως. Η έκταση της κρίσης στον τομέα της υγείας και τα μέτρα πολιτικής που ελήφθησαν για τον έλεγχό της είναι πρωτοφανή. Λόγω των ανωτέρω, το βάθος του κοινωνικοοικονομικού αντικτύπου είναι εξαιρετικά αβέβαιο. Ήδη σε αυτό το στάδιο, είναι βέβαιο ότι παρουσιάζει πρωτοφανείς και οξείες προκλήσεις για τα χρηματοπιστωτικά και οικονομικά συστήματα των κρατών μελών. Σύμφωνα με τις εαρινές οικονομικές προβλέψεις της Επιτροπής</w:t>
      </w:r>
      <w:r>
        <w:rPr>
          <w:rStyle w:val="FootnoteReference"/>
          <w:noProof/>
        </w:rPr>
        <w:footnoteReference w:id="2"/>
      </w:r>
      <w:r>
        <w:rPr>
          <w:noProof/>
        </w:rPr>
        <w:t>, το ΑΕΠ της ΕΕ προβλέπεται να συρρικνωθεί κατά περίπου 7,5 % εφέτος— πολύ περισσότερο από ό, τι κατά τη διάρκεια της παγκόσμιας χρηματοπιστωτικής κρίσης το 2009— και να ανακάμψει μόνο κατά 6 % το 2021.</w:t>
      </w:r>
    </w:p>
    <w:p>
      <w:pPr>
        <w:rPr>
          <w:noProof/>
        </w:rPr>
      </w:pPr>
      <w:r>
        <w:rPr>
          <w:noProof/>
        </w:rPr>
        <w:t xml:space="preserve">Ως απάντηση, τα κράτη μέλη θέσπισαν έκτακτα οικονομικά και δημοσιονομικά μέτρα διακριτικής ευχέρειας. Παράλληλα με τους ονομαζόμενους «αυτόματους σταθεροποιητές», δηλ. πληρωμές που προβλέπονται στα συστήματα ασφάλισης ανεργίας και κοινωνικής ασφάλισης και σε συνδυασμό με απώλεια φορολογικών εσόδων, τα εν λόγω μέτρα έχουν σημαντική επίπτωση στα δημόσια οικονομικά, με το έλλειμμα της γενικής κυβέρνησης να εκτινάσσεται από το 0,6 % του ΑΕΠ το 2019 στο 8,5 % του ΑΕΠ εφέτος, τόσο στη ζώνη του ευρώ όσο και στην ΕΕ. </w:t>
      </w:r>
    </w:p>
    <w:p>
      <w:pPr>
        <w:rPr>
          <w:noProof/>
        </w:rPr>
      </w:pPr>
      <w:r>
        <w:rPr>
          <w:noProof/>
        </w:rPr>
        <w:t>Η κρίση που προκάλεσε η πανδημία COVID-19 έχει σημαντικό αντίκτυπο και στις κοινωνίες σε ολόκληρο τον κόσμο, επηρεάζοντας αρχικά τα συστήματα υγείας και προκαλώντας στη συνέχεια σοβαρές κοινωνικές και οικονομικές επιπτώσεις παγκοσμίως. Η στρατηγική μας αντίδρασης στην κρίση πρέπει να είναι σφαιρική, συνεκτική και ολοκληρωμένη, και να αντιμετωπίζει τόσο τις προκλήσεις στη δημόσια υγεία όσο και τις κοινωνικοοικονομικές προκλήσεις. Οι λιγότερο ανεπτυγμένες χώρες είναι οι πλέον ευάλωτες στην COVID-19, δεδομένων των αδύναμων, μη ανθεκτικών συστημάτων υγείας τους και των πολύπλοκων κοινωνικοοικονομικών προβλημάτων και προκλήσεων σε θέματα διακυβέρνησης. Είναι ήδη εμφανές ότι η COVID-19 θα έχει σημαντικό αντίκτυπο στα οικονομικά και μακροοικονομικά συστήματα των χωρών εταίρων μας. Οι κυβερνήσεις θα κληθούν να στηρίξουν τη μακροοικονομική σταθερότητα και να διατηρήσουν δημοσιονομικά περιθώρια για την προστασία των πλέον ευάλωτων, των επιχειρήσεών τους, των εργαζομένων τους, καθώς και να εξακολουθήσουν να παρέχουν βασικές κοινωνικές υπηρεσίες.</w:t>
      </w:r>
    </w:p>
    <w:p>
      <w:pPr>
        <w:rPr>
          <w:noProof/>
        </w:rPr>
      </w:pPr>
      <w:r>
        <w:rPr>
          <w:noProof/>
        </w:rPr>
        <w:t xml:space="preserve">Η έκτακτη αυτή κατάσταση απαιτεί συνεκτική και ενιαία προσέγγιση σε επίπεδο Ένωσης. </w:t>
      </w:r>
    </w:p>
    <w:p>
      <w:pPr>
        <w:rPr>
          <w:noProof/>
        </w:rPr>
      </w:pPr>
      <w:r>
        <w:rPr>
          <w:noProof/>
        </w:rPr>
        <w:t>Η θέσπιση ενός ολοκληρωμένου σχεδίου για την ανάκαμψη της Ευρώπης θα απαιτήσει την κινητοποίηση μαζικών δημόσιων και ιδιωτικών επενδύσεων σε ευρωπαϊκό επίπεδο για την ενεργοποίηση της οικονομίας, τη δημιουργία υψηλής ποιότητας θέσεων εργασίας και την επένδυση στην αποκατάσταση των άμεσων ζημιών που προκάλεσε ο κορονοϊός. Η Επιτροπή προτείνει ως εκ τούτου να αξιοποιηθούν στο έπακρο όλες οι δυνατότητες που προσφέρει ο προϋπολογισμός της ΕΕ για την κινητοποίηση επενδύσεων και την εμπροσθοβαρή χρηματοδοτική στήριξη κατά τα κρίσιμα πρώτα έτη ανάκαμψης με βάση τα εξής:.</w:t>
      </w:r>
    </w:p>
    <w:p>
      <w:pPr>
        <w:rPr>
          <w:noProof/>
        </w:rPr>
      </w:pPr>
      <w:r>
        <w:rPr>
          <w:noProof/>
        </w:rPr>
        <w:t>Ένα Μέσο Ανάκαμψης της Ευρωπαϊκής Ένωσης ως έκτακτο μέτρο βάσει</w:t>
      </w:r>
    </w:p>
    <w:p>
      <w:pPr>
        <w:rPr>
          <w:noProof/>
        </w:rPr>
      </w:pPr>
      <w:r>
        <w:rPr>
          <w:noProof/>
        </w:rPr>
        <w:t xml:space="preserve">του άρθρου 122 της ΣΛΕΕ, η χρηματοδότηση του οποίου θα βασίζεται σε εξουσιοδότηση που προβλέπεται στην πρόταση απόφασης για τους ιδίους πόρους.  Τα κεφάλαια θα επιτρέψουν </w:t>
      </w:r>
      <w:r>
        <w:rPr>
          <w:noProof/>
        </w:rPr>
        <w:lastRenderedPageBreak/>
        <w:t>την εφαρμογή μέτρων ταχείας δράσης για την προστασία των μέσων βιοπορισμού, την αύξηση της πρόληψης και την ενίσχυση της ανθεκτικότητας και της ανάκαμψης για την αντιμετώπιση της κρίσης.</w:t>
      </w:r>
    </w:p>
    <w:p>
      <w:pPr>
        <w:pStyle w:val="Bullet0"/>
        <w:numPr>
          <w:ilvl w:val="0"/>
          <w:numId w:val="20"/>
        </w:numPr>
        <w:rPr>
          <w:b/>
          <w:noProof/>
          <w:u w:color="000000"/>
          <w:bdr w:val="nil"/>
        </w:rPr>
      </w:pPr>
      <w:r>
        <w:rPr>
          <w:b/>
          <w:noProof/>
          <w:u w:color="000000"/>
          <w:bdr w:val="nil"/>
        </w:rPr>
        <w:t>Ένα ενισχυμένο πολυετές δημοσιονομικό πλαίσιο για την περίοδο 2021-2027</w:t>
      </w:r>
    </w:p>
    <w:p>
      <w:pPr>
        <w:rPr>
          <w:noProof/>
        </w:rPr>
      </w:pPr>
      <w:r>
        <w:rPr>
          <w:noProof/>
        </w:rPr>
        <w:t>Τα μέτρα ανάκαμψης και ανθεκτικότητας στο πλαίσιο του Ευρωπαϊκού Μέσου Ανάκαμψης θα υλοποιηθούν μέσω των ήδη υφιστάμενων μέσων εφαρμογής όπως προβλέπονται από ορισμένα ειδικά προγράμματα της Ένωσης που πρότεινε η Επιτροπή βάσει του πολυετούς δημοσιονομικού πλαισίου για την περίοδο 2021-2027, και τα οποία περιλαμβάνουν:</w:t>
      </w:r>
    </w:p>
    <w:p>
      <w:pPr>
        <w:pStyle w:val="Tiret0"/>
        <w:numPr>
          <w:ilvl w:val="0"/>
          <w:numId w:val="35"/>
        </w:numPr>
        <w:rPr>
          <w:noProof/>
        </w:rPr>
      </w:pPr>
      <w:r>
        <w:rPr>
          <w:noProof/>
        </w:rPr>
        <w:t xml:space="preserve">το πρόγραμμα-πλαίσιο έρευνας και καινοτομίας και το ειδικό πρόγραμμα υλοποίησης του προγράμματος «Ορίζων Ευρώπη», </w:t>
      </w:r>
    </w:p>
    <w:p>
      <w:pPr>
        <w:pStyle w:val="Tiret0"/>
        <w:rPr>
          <w:noProof/>
        </w:rPr>
      </w:pPr>
      <w:r>
        <w:rPr>
          <w:noProof/>
        </w:rPr>
        <w:t>τον Μηχανισμό Γειτονίας, Ανάπτυξης και Διεθνούς Συνεργασίας,</w:t>
      </w:r>
    </w:p>
    <w:p>
      <w:pPr>
        <w:pStyle w:val="Tiret0"/>
        <w:rPr>
          <w:noProof/>
        </w:rPr>
      </w:pPr>
      <w:r>
        <w:rPr>
          <w:noProof/>
        </w:rPr>
        <w:t>το Ευρωπαϊκό Γεωργικό Ταμείο Αγροτικής Ανάπτυξης.</w:t>
      </w:r>
    </w:p>
    <w:p>
      <w:pPr>
        <w:pBdr>
          <w:top w:val="nil"/>
          <w:left w:val="nil"/>
          <w:bottom w:val="nil"/>
          <w:right w:val="nil"/>
          <w:between w:val="nil"/>
          <w:bar w:val="nil"/>
        </w:pBdr>
        <w:spacing w:before="0" w:after="240"/>
        <w:rPr>
          <w:noProof/>
        </w:rPr>
      </w:pPr>
      <w:r>
        <w:rPr>
          <w:noProof/>
        </w:rPr>
        <w:t xml:space="preserve">Ως εκ τούτου, είναι αναγκαίο να τροποποιηθούν οι προτάσεις της Επιτροπής που αφορούν τα ανωτέρω προγράμματα της Ένωσης. </w:t>
      </w:r>
    </w:p>
    <w:p>
      <w:pPr>
        <w:pStyle w:val="ManualHeading1"/>
        <w:rPr>
          <w:noProof/>
        </w:rPr>
      </w:pPr>
      <w:r>
        <w:rPr>
          <w:noProof/>
        </w:rPr>
        <w:t>2.</w:t>
      </w:r>
      <w:r>
        <w:rPr>
          <w:noProof/>
        </w:rPr>
        <w:tab/>
        <w:t>ΝΟΜΙΚΗ ΒΑΣΗ, ΕΠΙΚΟΥΡΙΚΟΤΗΤΑ ΚΑΙ ΑΝΑΛΟΓΙΚΟΤΗΤΑ</w:t>
      </w:r>
    </w:p>
    <w:p>
      <w:pPr>
        <w:pStyle w:val="Bullet0"/>
        <w:rPr>
          <w:b/>
          <w:noProof/>
          <w:u w:color="000000"/>
          <w:bdr w:val="nil"/>
        </w:rPr>
      </w:pPr>
      <w:r>
        <w:rPr>
          <w:b/>
          <w:noProof/>
          <w:u w:color="000000"/>
          <w:bdr w:val="nil"/>
        </w:rPr>
        <w:t>Νομική βάση</w:t>
      </w:r>
    </w:p>
    <w:p>
      <w:pPr>
        <w:pBdr>
          <w:top w:val="nil"/>
          <w:left w:val="nil"/>
          <w:bottom w:val="nil"/>
          <w:right w:val="nil"/>
          <w:between w:val="nil"/>
          <w:bar w:val="nil"/>
        </w:pBdr>
        <w:spacing w:before="0" w:after="240"/>
        <w:rPr>
          <w:rFonts w:eastAsia="Arial Unicode MS"/>
          <w:noProof/>
          <w:color w:val="000000" w:themeColor="text1"/>
        </w:rPr>
      </w:pPr>
      <w:r>
        <w:rPr>
          <w:noProof/>
        </w:rPr>
        <w:t>Η δράση της ΕΕ δικαιολογείται βάσει του άρθρου 43 παράγραφος 2, του άρθρου 173 παράγραφος 3, του άρθρου 182 παράγραφοι 1 και 4, των άρθρων 183, 188, 209, 212 της Συνθήκης για τη λειτουργία της Ευρωπαϊκής Ένωσης.</w:t>
      </w:r>
    </w:p>
    <w:p>
      <w:pPr>
        <w:pStyle w:val="Bullet0"/>
        <w:rPr>
          <w:b/>
          <w:noProof/>
          <w:u w:color="000000"/>
          <w:bdr w:val="nil"/>
        </w:rPr>
      </w:pPr>
      <w:r>
        <w:rPr>
          <w:b/>
          <w:noProof/>
          <w:u w:color="000000"/>
          <w:bdr w:val="nil"/>
        </w:rPr>
        <w:t>Επικουρικότητα (σε περίπτωση μη αποκλειστικής αρμοδιότητας)</w:t>
      </w:r>
    </w:p>
    <w:p>
      <w:pPr>
        <w:pBdr>
          <w:top w:val="nil"/>
          <w:left w:val="nil"/>
          <w:bottom w:val="nil"/>
          <w:right w:val="nil"/>
          <w:between w:val="nil"/>
          <w:bar w:val="nil"/>
        </w:pBdr>
        <w:spacing w:before="0" w:after="240"/>
        <w:rPr>
          <w:rFonts w:eastAsia="Arial Unicode MS"/>
          <w:noProof/>
        </w:rPr>
      </w:pPr>
      <w:r>
        <w:rPr>
          <w:noProof/>
        </w:rPr>
        <w:t xml:space="preserve">Στην αιτιολογική έκθεση του [ERI] αναφέρονται λεπτομερώς οι πτυχές της επικουρικότητας και της αναλογικότητας. </w:t>
      </w:r>
    </w:p>
    <w:p>
      <w:pPr>
        <w:pBdr>
          <w:top w:val="nil"/>
          <w:left w:val="nil"/>
          <w:bottom w:val="nil"/>
          <w:right w:val="nil"/>
          <w:between w:val="nil"/>
          <w:bar w:val="nil"/>
        </w:pBdr>
        <w:spacing w:before="0" w:after="240"/>
        <w:rPr>
          <w:rFonts w:eastAsia="Arial Unicode MS"/>
          <w:noProof/>
        </w:rPr>
      </w:pPr>
      <w:r>
        <w:rPr>
          <w:noProof/>
        </w:rPr>
        <w:t>Επιπλέον, οι αιτιολογικές εκθέσεις των ακόλουθων προτάσεων της Επιτροπής αναφέρουν λεπτομερώς τις πτυχές της επικουρικότητας και της αναλογικότητας που ισχύουν για τα οικεία προγράμματα:</w:t>
      </w:r>
    </w:p>
    <w:p>
      <w:pPr>
        <w:pStyle w:val="Tiret0"/>
        <w:numPr>
          <w:ilvl w:val="0"/>
          <w:numId w:val="19"/>
        </w:numPr>
        <w:rPr>
          <w:noProof/>
        </w:rPr>
      </w:pPr>
      <w:r>
        <w:rPr>
          <w:noProof/>
        </w:rPr>
        <w:t>COM(2018) 392 για ΚΑΝΟΝΙΣΜΟ ΤΟΥ ΕΥΡΩΠΑΪΚΟΥ ΚΟΙΝΟΒΟΥΛΙΟΥ ΚΑΙ ΤΟΥ ΣΥΜΒΟΥΛΙΟΥ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της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του κανονισμού (ΕΕ) αριθ. 1305/2013 του Ευρωπαϊκού Κοινοβουλίου και του Συμβουλίου και του κανονισμού (ΕΕ) αριθ. 1307/2013 του Ευρωπαϊκού Κοινοβουλίου και του Συμβουλίου (στο εξής: πρόταση της Επιτροπής COM(2018) 392),</w:t>
      </w:r>
    </w:p>
    <w:p>
      <w:pPr>
        <w:pStyle w:val="Tiret0"/>
        <w:rPr>
          <w:noProof/>
        </w:rPr>
      </w:pPr>
      <w:r>
        <w:rPr>
          <w:noProof/>
        </w:rPr>
        <w:t xml:space="preserve">COM(2018) 435: Πρόταση για ΚΑΝΟΝΙΣΜΟ ΤΟΥ ΕΥΡΩΠΑΪΚΟΥ ΚΟΙΝΟΒΟΥΛΙΟΥ ΚΑΙ ΤΟΥ ΣΥΜΒΟΥΛΙΟΥ για τη θέσπιση του προγράμματος-πλαισίου έρευνας και καινοτομίας «Ορίζων Ευρώπη» και των κανόνων συμμετοχής και διάδοσής του (στο εξής: πρόταση της Επιτροπής COM(2018) 435), </w:t>
      </w:r>
    </w:p>
    <w:p>
      <w:pPr>
        <w:pStyle w:val="Tiret0"/>
        <w:rPr>
          <w:noProof/>
        </w:rPr>
      </w:pPr>
      <w:r>
        <w:rPr>
          <w:noProof/>
        </w:rPr>
        <w:t>COM(2018) 436 για πρόταση ΑΠΟΦΑΣΗΣ ΤΟΥ ΕΥΡΩΠΑΪΚΟΥ ΚΟΙΝΟΒΟΥΛΙΟΥ ΚΑΙ ΤΟΥ ΣΥΜΒΟΥΛΙΟΥ για τη θέσπιση του ειδικού προγράμματος υλοποίησης του προγράμματος Ορίζων Ευρώπη – Πρόγραμμα-</w:t>
      </w:r>
      <w:r>
        <w:rPr>
          <w:noProof/>
        </w:rPr>
        <w:lastRenderedPageBreak/>
        <w:t>πλαίσιο έρευνας και καινοτομίας (στο εξής: πρόταση της Επιτροπής COM(2018) 436),</w:t>
      </w:r>
    </w:p>
    <w:p>
      <w:pPr>
        <w:pStyle w:val="Tiret0"/>
        <w:rPr>
          <w:noProof/>
        </w:rPr>
      </w:pPr>
      <w:r>
        <w:rPr>
          <w:noProof/>
        </w:rPr>
        <w:t>COM(2018) 460: Πρόταση ΚΑΝΟΝΙΣΜΟΥ ΤΟΥ ΕΥΡΩΠΑΪΚΟΥ ΚΟΙΝΟΒΟΥΛΙΟΥ ΚΑΙ ΤΟΥ ΣΥΜΒΟΥΛΙΟΥ για τη θέσπιση Μηχανισμού Γειτονίας, Ανάπτυξης και Διεθνούς Συνεργασίας (στο εξής: πρόταση της Επιτροπής COM (2018) 460),</w:t>
      </w:r>
    </w:p>
    <w:p>
      <w:pPr>
        <w:pStyle w:val="Bullet0"/>
        <w:rPr>
          <w:b/>
          <w:noProof/>
          <w:u w:color="000000"/>
          <w:bdr w:val="nil"/>
        </w:rPr>
      </w:pPr>
      <w:r>
        <w:rPr>
          <w:b/>
          <w:noProof/>
          <w:u w:color="000000"/>
          <w:bdr w:val="nil"/>
        </w:rPr>
        <w:t>Επιλογή της νομικής πράξης</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Η παρούσα πρόταση τροποποιεί τις προτάσεις της Επιτροπής COM(2018) 392, COM(2018) 435, COM(2018) 436 και COM(2018) 460.</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Bullet0"/>
        <w:rPr>
          <w:b/>
          <w:noProof/>
          <w:u w:color="000000"/>
          <w:bdr w:val="nil"/>
        </w:rPr>
      </w:pPr>
      <w:r>
        <w:rPr>
          <w:b/>
          <w:noProof/>
          <w:u w:color="000000"/>
          <w:bdr w:val="nil"/>
        </w:rPr>
        <w:t>Διαβουλεύσεις με τα ενδιαφερόμενα μέρη</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Η αιτιολογική έκθεση των ακόλουθων αρχικών προτάσεων της Επιτροπής περιγράφει λεπτομερώς τις διαβουλεύσεις που πραγματοποιήθηκαν με το κοινό και τα ενδιαφερόμενα μέρη: COM(2018) 392, COM(2018) 435, COM(2018) 436 και COM(2018) 460.</w:t>
      </w:r>
    </w:p>
    <w:p>
      <w:pPr>
        <w:pStyle w:val="Bullet0"/>
        <w:rPr>
          <w:b/>
          <w:noProof/>
          <w:u w:color="000000"/>
          <w:bdr w:val="nil"/>
        </w:rPr>
      </w:pPr>
      <w:r>
        <w:rPr>
          <w:b/>
          <w:noProof/>
          <w:u w:color="000000"/>
          <w:bdr w:val="nil"/>
        </w:rPr>
        <w:t>Αξιολογήσεις και εκτιμήσεις επιπτώσεων</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Η αιτιολογική έκθεση των ακόλουθων αρχικών προτάσεων της Επιτροπής περιγράφει λεπτομερώς τις εκ των υστέρων και ενδιάμεσες διαβουλεύσεις που πραγματοποιήθηκαν προς υποστήριξη της πρότασης: COM(2018) 392, COM(2018) 435, COM(2018) 436 και COM(2018) 460.</w:t>
      </w:r>
    </w:p>
    <w:p>
      <w:pPr>
        <w:pStyle w:val="ManualHeading1"/>
        <w:rPr>
          <w:noProof/>
        </w:rPr>
      </w:pPr>
      <w:r>
        <w:rPr>
          <w:noProof/>
        </w:rPr>
        <w:t>4.</w:t>
      </w:r>
      <w:r>
        <w:rPr>
          <w:noProof/>
        </w:rPr>
        <w:tab/>
        <w:t>ΔΗΜΟΣΙΟΝΟΜΙΚΕΣ ΕΠΙΠΤΩΣΕΙΣ</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Η Ένωση θα διαθέσει συνολικό ποσό 14 647 εκατ. EUR για το πρόγραμμα «Ορίζων Ευρώπη» - το πρόγραμμα-πλαίσιο έρευνας και καινοτομίας, συνολικό ποσό 16 483 εκατ. EUR για το Ευρωπαϊκό Γεωργικό Ταμείο Αγροτικής Ανάπτυξης και συνολικό ποσό 11 448 εκατ. EUR για την ενίσχυση της εγγύησης εξωτερικής δράσης στο πλαίσιο του Μηχανισμού Γειτονίας, Ανάπτυξης και Διεθνούς Συνεργασίας. Οι δικαιούχοι που παρατίθενται στο παράρτημα Ι του μηχανισμού προενταξιακής βοήθειας (ΜΠΒ) θα είναι επιλέξιμοι στο πλαίσιο αυτής της ενίσχυσης. </w:t>
      </w:r>
      <w:r>
        <w:rPr>
          <w:noProof/>
        </w:rPr>
        <w:t>Η πρόσθετη χρηματοδότηση θα διατεθεί από το Ευρωπαϊκό Μέσο Ανάκαμψης βάσει εξουσιοδότησης η οποία προβλέπεται στη νέα απόφαση για τους ιδίους πόρους.</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Περισσότερες λεπτομέρειες σχετικά με τις δημοσιονομικές επιπτώσεις περιλαμβάνονται στο νομοθετικό δημοσιονομικό δελτίο.</w:t>
      </w:r>
    </w:p>
    <w:p>
      <w:pPr>
        <w:pStyle w:val="ManualHeading1"/>
        <w:rPr>
          <w:noProof/>
        </w:rPr>
      </w:pPr>
      <w:r>
        <w:rPr>
          <w:noProof/>
        </w:rPr>
        <w:t>5.</w:t>
      </w:r>
      <w:r>
        <w:rPr>
          <w:noProof/>
        </w:rPr>
        <w:tab/>
        <w:t>ΛΟΙΠΑ ΣΤΟΙΧΕΙΑ</w:t>
      </w:r>
    </w:p>
    <w:p>
      <w:pPr>
        <w:pStyle w:val="Bullet0"/>
        <w:rPr>
          <w:b/>
          <w:noProof/>
          <w:u w:color="000000"/>
          <w:bdr w:val="nil"/>
        </w:rPr>
      </w:pPr>
      <w:r>
        <w:rPr>
          <w:b/>
          <w:noProof/>
          <w:u w:color="000000"/>
          <w:bdr w:val="nil"/>
        </w:rPr>
        <w:t>Αναλυτική επεξήγηση των επιμέρους διατάξεων της πρότασης</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Η πρόταση συνίσταται σε στοχευμένες τροποποιήσεις στις ακόλουθες προτάσεις της Επιτροπής: COM(2018) 392, COM(2018) 435, COM(2018) 436 και COM(2018)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Οι κύριες τροποποιήσεις έχουν ως στόχο: </w:t>
      </w:r>
    </w:p>
    <w:p>
      <w:pPr>
        <w:pStyle w:val="Tiret0"/>
        <w:numPr>
          <w:ilvl w:val="0"/>
          <w:numId w:val="10"/>
        </w:numPr>
        <w:rPr>
          <w:noProof/>
        </w:rPr>
      </w:pPr>
      <w:r>
        <w:rPr>
          <w:noProof/>
        </w:rPr>
        <w:lastRenderedPageBreak/>
        <w:t>τη διευκόλυνση της εφαρμογής των μέτρων που προβλέπονται στην πρόταση κανονισμού σχετικά με τη θέσπιση ενός Μέσου Ανάκαμψης της Ευρωπαϊκής Ένωσης, μέσω των μηχανισμών υλοποίησης του προγράμματος-πλαισίου έρευνας και καινοτομίας, του Μηχανισμού Γειτονίας, Ανάπτυξης και Διεθνούς Συνεργασίας και του Ευρωπαϊκού Γεωργικού Ταμείου Αγροτικής Ανάπτυξης·</w:t>
      </w:r>
    </w:p>
    <w:p>
      <w:pPr>
        <w:pStyle w:val="Tiret0"/>
        <w:rPr>
          <w:noProof/>
        </w:rPr>
      </w:pPr>
      <w:r>
        <w:rPr>
          <w:noProof/>
        </w:rPr>
        <w:t>τη διευκόλυνση της χρηματοδότησης από το Μέσο Ανάκαμψης της Ευρωπαϊκής Ένωσης ως εξωτερικά έσοδα για ειδικό προορισμό, σύμφωνα με το άρθρο 21 παράγραφος 5 του δημοσιονομικού κανονισμού·</w:t>
      </w:r>
    </w:p>
    <w:p>
      <w:pPr>
        <w:pStyle w:val="Tiret0"/>
        <w:rPr>
          <w:noProof/>
        </w:rPr>
      </w:pPr>
      <w:r>
        <w:rPr>
          <w:noProof/>
        </w:rPr>
        <w:t>τη διασφάλιση της συμμόρφωσης με τις συγκεκριμένες προθεσμίες που ορίζονται στο άρθρο 4 της πρότασης κανονισμού σχετικά με τη θέσπιση ενός Μέσου Ανάκαμψης της Ευρωπαϊκής Ένωσης μέσω κατάλληλων διασταυρούμενων παραπομπών·</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Τροποποιημένη 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 xml:space="preserve">για τη θέσπιση του προγράμματος-πλαισίου έρευνας και καινοτομίας «Ορίζων Ευρώπη» και των κανόνων συμμετοχής και διάδοσής του, </w:t>
      </w:r>
      <w:r>
        <w:rPr>
          <w:noProof/>
        </w:rPr>
        <w:br/>
        <w:t xml:space="preserve">  </w:t>
      </w:r>
      <w:r>
        <w:rPr>
          <w:noProof/>
        </w:rPr>
        <w:br/>
        <w:t xml:space="preserve">ΑΠΟΦΑΣΗ ΤΟΥ ΕΥΡΩΠΑΪΚΟΥ ΚΟΙΝΟΒΟΥΛΙΟΥ ΚΑΙ ΤΟΥ ΣΥΜΒΟΥΛΙΟΥ </w:t>
      </w:r>
      <w:r>
        <w:rPr>
          <w:noProof/>
        </w:rPr>
        <w:br/>
        <w:t xml:space="preserve">για τη θέσπιση του ειδικού προγράμματος υλοποίησης του προγράμματος Ορίζων Ευρώπη – Πρόγραμμα-πλαίσιο έρευνας και καινοτομίας, </w:t>
      </w:r>
      <w:r>
        <w:rPr>
          <w:noProof/>
        </w:rPr>
        <w:br/>
        <w:t xml:space="preserve">  </w:t>
      </w:r>
      <w:r>
        <w:rPr>
          <w:noProof/>
        </w:rPr>
        <w:br/>
        <w:t xml:space="preserve">ΚΑΝΟΝΙΣΜΟΣ ΤΟΥ ΕΥΡΩΠΑΪΚΟΥ ΚΟΙΝΟΒΟΥΛΙΟΥ ΚΑΙ ΤΟΥ ΣΥΜΒΟΥΛΙΟΥ για τη θέσπιση Μηχανισμού Γειτονίας, Ανάπτυξης και Διεθνούς Συνεργασίας, </w:t>
      </w:r>
      <w:r>
        <w:rPr>
          <w:noProof/>
        </w:rPr>
        <w:br/>
        <w:t xml:space="preserve"> </w:t>
      </w:r>
      <w:r>
        <w:rPr>
          <w:noProof/>
        </w:rPr>
        <w:br/>
        <w:t>ΚΑΝΟΝΙΣΜΟΣ ΤΟΥ ΕΥΡΩΠΑΪΚΟΥ ΚΟΙΝΟΒΟΥΛΙΟΥ ΚΑΙ ΤΟΥ ΣΥΜΒΟΥΛΙΟΥ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της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του κανονισμού (ΕΕ) αριθ. 1305/2013 του Ευρωπαϊκού Κοινοβουλίου και του Συμβουλίου και του κανονισμού (ΕΕ) αριθ. 1307/2013 του Ευρωπαϊκού Κοινοβουλίου και του Συμβουλίου</w:t>
      </w:r>
    </w:p>
    <w:p>
      <w:pPr>
        <w:rPr>
          <w:noProof/>
        </w:rPr>
      </w:pPr>
      <w:r>
        <w:rPr>
          <w:noProof/>
        </w:rPr>
        <w:t xml:space="preserve">Οι προτάσεις της Επιτροπής COM(2018) 435, COM(2018) 436, COM(2018) 460, COM(2018) 392 τροποποιούνται ως εξής: </w:t>
      </w:r>
    </w:p>
    <w:p>
      <w:pPr>
        <w:pStyle w:val="ManualNumPar1"/>
        <w:rPr>
          <w:noProof/>
        </w:rPr>
      </w:pPr>
      <w:r>
        <w:rPr>
          <w:noProof/>
        </w:rPr>
        <w:t>1.</w:t>
      </w:r>
      <w:r>
        <w:rPr>
          <w:noProof/>
        </w:rPr>
        <w:tab/>
        <w:t>Η πρόταση της Επιτροπής COM(2018) 435 για ΚΑΝΟΝΙΣΜΟ ΤΟΥ ΕΥΡΩΠΑΪΚΟΥ ΚΟΙΝΟΒΟΥΛΙΟΥ ΚΑΙ ΤΟΥ ΣΥΜΒΟΥΛΙΟΥ για τη θέσπιση του προγράμματος-πλαισίου έρευνας και καινοτομίας «Ορίζων Ευρώπη» και των κανόνων συμμετοχής και διάδοσής του τροποποιείται ως εξής:</w:t>
      </w:r>
    </w:p>
    <w:p>
      <w:pPr>
        <w:pStyle w:val="Point0"/>
        <w:rPr>
          <w:noProof/>
        </w:rPr>
      </w:pPr>
      <w:r>
        <w:rPr>
          <w:noProof/>
        </w:rPr>
        <w:t>(1)</w:t>
      </w:r>
      <w:r>
        <w:rPr>
          <w:noProof/>
        </w:rPr>
        <w:tab/>
        <w:t xml:space="preserve">παρεμβάλλεται η ακόλουθη αιτιολογική σκέψη 15α: </w:t>
      </w:r>
    </w:p>
    <w:p>
      <w:pPr>
        <w:pStyle w:val="Text1"/>
        <w:rPr>
          <w:noProof/>
          <w:color w:val="00B050"/>
          <w:sz w:val="22"/>
        </w:rPr>
      </w:pPr>
      <w:r>
        <w:rPr>
          <w:noProof/>
          <w:color w:val="000000" w:themeColor="text1"/>
        </w:rPr>
        <w:t xml:space="preserve">«(15α) </w:t>
      </w:r>
      <w:r>
        <w:rPr>
          <w:noProof/>
        </w:rPr>
        <w:tab/>
        <w:t>«Σύμφωνα με τον κανονισμό [Μέσο Ανάκαμψης της Ευρωπαϊκής Ένωσης] και εντός των ορίων των πόρων που διατίθενται σε αυτό, τα μέτρα ανάκαμψης και ανθεκτικότητας στο πλαίσιο του παρόντος προγράμματος θα πρέπει να εφαρμόζονται για την αντιμετώπιση του πρωτοφανούς αντικτύπου της κρίσης COVID-19.  Οι εν λόγω πρόσθετοι πόροι θα πρέπει να χρησιμοποιούνται κατά τρόπο ώστε να εξασφαλίζεται η συμμόρφωση με τις προθεσμίες που προβλέπονται στον κανονισμό [ERI].»</w:t>
      </w:r>
    </w:p>
    <w:p>
      <w:pPr>
        <w:pStyle w:val="Point0"/>
        <w:rPr>
          <w:noProof/>
        </w:rPr>
      </w:pPr>
      <w:r>
        <w:rPr>
          <w:noProof/>
        </w:rPr>
        <w:t>(2)</w:t>
      </w:r>
      <w:r>
        <w:rPr>
          <w:noProof/>
        </w:rPr>
        <w:tab/>
        <w:t xml:space="preserve">παρεμβάλλεται το ακόλουθο άρθρο 9α: </w:t>
      </w:r>
    </w:p>
    <w:p>
      <w:pPr>
        <w:pStyle w:val="Titrearticle"/>
        <w:rPr>
          <w:noProof/>
        </w:rPr>
      </w:pPr>
      <w:r>
        <w:rPr>
          <w:noProof/>
        </w:rPr>
        <w:t xml:space="preserve">«Άρθρο 9α </w:t>
      </w:r>
      <w:r>
        <w:rPr>
          <w:noProof/>
        </w:rPr>
        <w:br/>
        <w:t>Πόροι από το Μέσο Ανάκαμψης της Ευρωπαϊκής Ένωσης</w:t>
      </w:r>
    </w:p>
    <w:p>
      <w:pPr>
        <w:pStyle w:val="Text1"/>
        <w:rPr>
          <w:noProof/>
        </w:rPr>
      </w:pPr>
      <w:r>
        <w:rPr>
          <w:noProof/>
        </w:rPr>
        <w:t xml:space="preserve">Τα μέτρα που αναφέρονται στο άρθρο 2 του κανονισμού [ERI] υλοποιούνται στο πλαίσιο του παρόντος προγράμματος με τα ποσά που αναφέρονται στο άρθρο 3 παράγραφος 2 στοιχείο α) σημείο v) του εν λόγω κανονισμού (ERI), με την επιφύλαξη του άρθρου 4 παράγραφοι 4 και 8 αυτού.  </w:t>
      </w:r>
    </w:p>
    <w:p>
      <w:pPr>
        <w:pStyle w:val="Text1"/>
        <w:rPr>
          <w:noProof/>
        </w:rPr>
      </w:pPr>
      <w:r>
        <w:rPr>
          <w:noProof/>
        </w:rPr>
        <w:lastRenderedPageBreak/>
        <w:t>Τα ποσά αυτά αποτελούν εξωτερικά έσοδα για ειδικό προορισμό σύμφωνα με το άρθρο 21 παράγραφος 5 του δημοσιονομικού κανονισμού.»</w:t>
      </w:r>
    </w:p>
    <w:p>
      <w:pPr>
        <w:pStyle w:val="ManualNumPar1"/>
        <w:rPr>
          <w:noProof/>
        </w:rPr>
      </w:pPr>
      <w:r>
        <w:rPr>
          <w:noProof/>
        </w:rPr>
        <w:t>2.</w:t>
      </w:r>
      <w:r>
        <w:rPr>
          <w:noProof/>
        </w:rPr>
        <w:tab/>
        <w:t xml:space="preserve">Το ακόλουθο άρθρο 4α παρεμβάλλεται στην πρόταση της Επιτροπής COM(2018) 436 για ΑΠΟΦΑΣΗ ΤΟΥ ΕΥΡΩΠΑΪΚΟΥ ΚΟΙΝΟΒΟΥΛΙΟΥ ΚΑΙ ΤΟΥ ΣΥΜΒΟΥΛΙΟΥ για τη θέσπιση του ειδικού προγράμματος υλοποίησης του προγράμματος Ορίζων Ευρώπη – Πρόγραμμα-πλαίσιο έρευνας και καινοτομίας </w:t>
      </w:r>
    </w:p>
    <w:p>
      <w:pPr>
        <w:pStyle w:val="Titrearticle"/>
        <w:rPr>
          <w:bCs/>
          <w:noProof/>
        </w:rPr>
      </w:pPr>
      <w:r>
        <w:rPr>
          <w:noProof/>
        </w:rPr>
        <w:t xml:space="preserve">«Άρθρο 4α </w:t>
      </w:r>
      <w:r>
        <w:rPr>
          <w:noProof/>
        </w:rPr>
        <w:br/>
        <w:t>Πόροι από το Μέσο Ανάκαμψης της Ευρωπαϊκής Ένωσης</w:t>
      </w:r>
    </w:p>
    <w:p>
      <w:pPr>
        <w:pStyle w:val="Text1"/>
        <w:rPr>
          <w:noProof/>
        </w:rPr>
      </w:pPr>
      <w:r>
        <w:rPr>
          <w:noProof/>
        </w:rPr>
        <w:t>Σύμφωνα με το άρθρο 9α του κανονισμού [κανονισμός για το πρόγραμμα-πλαίσιο] τα μέτρα που αναφέρονται στο άρθρο 2 του κανονισμού [ERI] εφαρμόζονται στο πλαίσιο του παρόντος ειδικού προγράμματος με τα ποσά που αναφέρονται στο άρθρο 3 παράγραφος 2 στοιχείο α) σημείο v) του εν λόγω κανονισμού [ERI], με την επιφύλαξη του άρθρου 4 παράγραφοι 4 και 8 αυτού.»</w:t>
      </w:r>
    </w:p>
    <w:p>
      <w:pPr>
        <w:pStyle w:val="ManualNumPar1"/>
        <w:rPr>
          <w:noProof/>
        </w:rPr>
      </w:pPr>
      <w:r>
        <w:rPr>
          <w:noProof/>
        </w:rPr>
        <w:t>3.</w:t>
      </w:r>
      <w:r>
        <w:rPr>
          <w:noProof/>
        </w:rPr>
        <w:tab/>
        <w:t xml:space="preserve">Η πρόταση της Επιτροπής COM(2018) 460 για ΚΑΝΟΝΙΣΜΟ ΤΟΥ ΕΥΡΩΠΑΪΚΟΥ ΚΟΙΝΟΒΟΥΛΙΟΥ ΚΑΙ ΤΟΥ ΣΥΜΒΟΥΛΙΟΥ για τη θέσπιση Μηχανισμού Γειτονίας, Ανάπτυξης και Διεθνούς Συνεργασίας τροποποιείται ως εξής: </w:t>
      </w:r>
    </w:p>
    <w:p>
      <w:pPr>
        <w:pStyle w:val="Point0"/>
        <w:rPr>
          <w:noProof/>
        </w:rPr>
      </w:pPr>
      <w:r>
        <w:rPr>
          <w:noProof/>
        </w:rPr>
        <w:t>(1)</w:t>
      </w:r>
      <w:r>
        <w:rPr>
          <w:noProof/>
        </w:rPr>
        <w:tab/>
        <w:t>παρεμβάλλεται η ακόλουθη αιτιολογική σκέψη 36α:</w:t>
      </w:r>
    </w:p>
    <w:p>
      <w:pPr>
        <w:pStyle w:val="Text1"/>
        <w:rPr>
          <w:noProof/>
        </w:rPr>
      </w:pPr>
      <w:r>
        <w:rPr>
          <w:noProof/>
        </w:rPr>
        <w:t xml:space="preserve">«(36α) Σύμφωνα με τον κανονισμό [Μέσο Ανάκαμψης της Ευρωπαϊκής Ένωσης] και εντός των ορίων των πόρων που διατίθενται σε αυτό, τα μέτρα ανάκαμψης και ανθεκτικότητας στο πλαίσιο του Μηχανισμού Γειτονίας, Ανάπτυξης και Διεθνούς Συνεργασίας θα πρέπει να εφαρμόζονται για την αντιμετώπιση του πρωτοφανούς αντικτύπου της κρίσης COVID-19.  Οι εν λόγω πρόσθετοι πόροι θα πρέπει να χρησιμοποιούνται κατά τρόπο ώστε να εξασφαλίζεται η συμμόρφωση με τις προθεσμίες που προβλέπονται στον κανονισμό [ERI].»· </w:t>
      </w:r>
    </w:p>
    <w:p>
      <w:pPr>
        <w:pStyle w:val="Point0"/>
        <w:rPr>
          <w:noProof/>
        </w:rPr>
      </w:pPr>
      <w:r>
        <w:rPr>
          <w:noProof/>
        </w:rPr>
        <w:t>(2)</w:t>
      </w:r>
      <w:r>
        <w:rPr>
          <w:noProof/>
        </w:rPr>
        <w:tab/>
        <w:t>παρεμβάλλεται το ακόλουθο άρθρο 6α:</w:t>
      </w:r>
    </w:p>
    <w:p>
      <w:pPr>
        <w:pStyle w:val="Titrearticle"/>
        <w:rPr>
          <w:noProof/>
        </w:rPr>
      </w:pPr>
      <w:r>
        <w:rPr>
          <w:noProof/>
        </w:rPr>
        <w:t xml:space="preserve">«Άρθρο 6α </w:t>
      </w:r>
      <w:r>
        <w:rPr>
          <w:noProof/>
        </w:rPr>
        <w:br/>
        <w:t>Πόροι από το Μέσο Ανάκαμψης της Ευρωπαϊκής Ένωσης</w:t>
      </w:r>
    </w:p>
    <w:p>
      <w:pPr>
        <w:pStyle w:val="Point1"/>
        <w:rPr>
          <w:noProof/>
        </w:rPr>
      </w:pPr>
      <w:r>
        <w:rPr>
          <w:noProof/>
        </w:rPr>
        <w:t>(1)</w:t>
      </w:r>
      <w:r>
        <w:rPr>
          <w:noProof/>
        </w:rPr>
        <w:tab/>
        <w:t>Στο πλαίσιο της εγγύησης εξωτερικής δράσης, το ποσό που αναφέρεται στο άρθρο 26 παράγραφος 3 δεύτερο εδάφιο χορηγείται σύμφωνα με τους όρους που προβλέπονται στο άρθρο 4 παράγραφος 6 του κανονισμού [ERI], εξαιρουμένων των ποσών για τις πράξεις μακροοικονομικής χρηματοδοτικής συνδρομής που χορηγούνται σύμφωνα με το άρθρο 4 παράγραφος 7 του εν λόγω κανονισμού [ERI]. Το εν λόγω ποσό στηρίζει επίσης πράξεις στους δικαιούχους που παρατίθενται στο παράρτημα Ι του κανονισμού ΜΠΒ ΙΙΙ.</w:t>
      </w:r>
    </w:p>
    <w:p>
      <w:pPr>
        <w:pStyle w:val="Point1"/>
        <w:rPr>
          <w:noProof/>
        </w:rPr>
      </w:pPr>
      <w:r>
        <w:rPr>
          <w:noProof/>
        </w:rPr>
        <w:t>(2)</w:t>
      </w:r>
      <w:r>
        <w:rPr>
          <w:noProof/>
        </w:rPr>
        <w:tab/>
        <w:t xml:space="preserve">Το ποσό που αναφέρεται στο άρθρο 3 παράγραφος 2 στοιχείο γ) σημείο iii) του κανονισμού [ERI] χρησιμοποιείται για τις προβλέψεις της εγγύησης εξωτερικής δράσης δυνάμει του παρόντος κανονισμού, επιπλέον των πόρων που αναφέρονται στο άρθρο 211 παράγραφος 4 πρώτο εδάφιο του δημοσιονομικού κανονισμού, και για τα μέτρα που αναφέρονται στο άρθρο 2 παράγραφος 2 δεύτερη περίοδος του κανονισμού [ERI], με την επιφύλαξη του άρθρου 4 παράγραφος 8 αυτού. </w:t>
      </w:r>
    </w:p>
    <w:p>
      <w:pPr>
        <w:pStyle w:val="Text2"/>
        <w:rPr>
          <w:b/>
          <w:noProof/>
        </w:rPr>
      </w:pPr>
      <w:r>
        <w:rPr>
          <w:noProof/>
        </w:rPr>
        <w:t xml:space="preserve">Επιπλέον των πόρων που αναφέρονται στο άρθρο 211 παράγραφος 4 δεύτερο εδάφιο του δημοσιονομικού κανονισμού, ποσό μέχρι 11 285 762 000 EUR </w:t>
      </w:r>
      <w:r>
        <w:rPr>
          <w:noProof/>
        </w:rPr>
        <w:lastRenderedPageBreak/>
        <w:t>λαμβάνεται υπόψη για τον υπολογισμό των προβλέψεων οι οποίες προκύπτουν από τον συντελεστή προβλέψεων που αναφέρεται στο άρθρο 211 παράγραφος 1 του δημοσιονομικού κανονισμού</w:t>
      </w:r>
      <w:r>
        <w:rPr>
          <w:b/>
          <w:noProof/>
        </w:rPr>
        <w:t xml:space="preserve">. </w:t>
      </w:r>
    </w:p>
    <w:p>
      <w:pPr>
        <w:pStyle w:val="Text2"/>
        <w:rPr>
          <w:noProof/>
        </w:rPr>
      </w:pPr>
      <w:r>
        <w:rPr>
          <w:noProof/>
        </w:rPr>
        <w:t>Το ποσό που αναφέρεται το πρώτο εδάφιο συνιστά εξωτερικό έσοδο για ειδικό προορισμό, σύμφωνα με το άρθρο 21 παράγραφος 5 του δημοσιονομικού κανονισμού.»·</w:t>
      </w:r>
    </w:p>
    <w:p>
      <w:pPr>
        <w:pStyle w:val="Point0"/>
        <w:rPr>
          <w:noProof/>
        </w:rPr>
      </w:pPr>
      <w:r>
        <w:rPr>
          <w:noProof/>
        </w:rPr>
        <w:t>(3)</w:t>
      </w:r>
      <w:r>
        <w:rPr>
          <w:noProof/>
        </w:rPr>
        <w:tab/>
        <w:t>το άρθρο 26 τροποποιείται ως εξής:</w:t>
      </w:r>
    </w:p>
    <w:p>
      <w:pPr>
        <w:pStyle w:val="Point1"/>
        <w:rPr>
          <w:noProof/>
        </w:rPr>
      </w:pPr>
      <w:r>
        <w:rPr>
          <w:noProof/>
        </w:rPr>
        <w:t>α)</w:t>
      </w:r>
      <w:r>
        <w:rPr>
          <w:noProof/>
        </w:rPr>
        <w:tab/>
        <w:t xml:space="preserve">η παράγραφος 3 αντικαθίσταται από τα ακόλουθα: </w:t>
      </w:r>
    </w:p>
    <w:p>
      <w:pPr>
        <w:pStyle w:val="Text2"/>
        <w:rPr>
          <w:noProof/>
        </w:rPr>
      </w:pPr>
      <w:r>
        <w:rPr>
          <w:noProof/>
        </w:rPr>
        <w:t xml:space="preserve">«3. Στο πλαίσιο της εγγύησης εξωτερικής δράσης, η Ένωση μπορεί να εγγυηθεί πράξεις που θα υπογραφούν μεταξύ της 1ης Ιανουαρίου 2021 και της 31ης Δεκεμβρίου 2027 για ποσό έως 130 000 000 000 EUR. </w:t>
      </w:r>
    </w:p>
    <w:p>
      <w:pPr>
        <w:pStyle w:val="Text2"/>
        <w:rPr>
          <w:noProof/>
        </w:rPr>
      </w:pPr>
      <w:r>
        <w:rPr>
          <w:noProof/>
        </w:rPr>
        <w:t>Ποσό μέχρι 70 000 000 000 EUR από το εν λόγω ποσό διατίθεται για τις πράξεις εφαρμογής των μέτρων που αναφέρονται στο άρθρο 2 παράγραφος 1 δεύτερο εδάφιο του κανονισμού [ERI], και διατίθεται μόνο από την ημερομηνία που αναφέρεται στο άρθρο 4 παράγραφος 3 του εν λόγω κανονισμού.»·</w:t>
      </w:r>
    </w:p>
    <w:p>
      <w:pPr>
        <w:pStyle w:val="Point1"/>
        <w:rPr>
          <w:noProof/>
        </w:rPr>
      </w:pPr>
      <w:r>
        <w:rPr>
          <w:noProof/>
        </w:rPr>
        <w:t>β)</w:t>
      </w:r>
      <w:r>
        <w:rPr>
          <w:noProof/>
        </w:rPr>
        <w:tab/>
        <w:t xml:space="preserve">η παράγραφος 6 αντικαθίσταται από τα ακόλουθα: </w:t>
      </w:r>
    </w:p>
    <w:p>
      <w:pPr>
        <w:pStyle w:val="Text2"/>
        <w:rPr>
          <w:noProof/>
        </w:rPr>
      </w:pPr>
      <w:r>
        <w:rPr>
          <w:noProof/>
        </w:rPr>
        <w:t>«6. Το ΕΤΒΑ+ και η εγγύηση εξωτερικής δράσης δύνανται να στηρίζουν τις χρηματοδοτικές και επενδυτικές πράξεις στις χώρες εταίρους στις γεωγραφικές περιοχές που αναφέρονται στο άρθρο 4 παράγραφος 2. Οι προβλέψεις της εγγύησης εξωτερικής δράσης χρηματοδοτούνται από τον προϋπολογισμό των σχετικών γεωγραφικών προγραμμάτων που ορίζονται στο άρθρο 6 παράγραφος 2 στοιχείο α) με την επιφύλαξη του άρθρου 6α, και μεταφέρονται στο κοινό ταμείο προβλέψεων. Το ΕΤΒΑ+ και η εγγύηση εξωτερικής δράσης μπορεί επίσης να στηρίζουν πράξεις σε δικαιούχους που παρατίθενται στο παράρτημα Ι του κανονισμού [ΜΠΒ ΙΙΙ]. Η χρηματοδότηση για τις εν λόγω πράξεις στο πλαίσιο του ΕΤΒΑ+ και για τις προβλέψεις της εγγύησης εξωτερικής δράσης γίνεται δυνάμει του κανονισμού [ΜΠΒ], με την επιφύλαξη του άρθρου 6α παράγραφος 1 του παρόντος κανονισμού. Οι προβλέψεις της εγγύησης εξωτερικής δράσης για τη χορήγηση δανείων σε τρίτες χώρες που αναφέρονται στο άρθρο 10 παράγραφος 2 του κανονισμού EINS χρηματοδοτούνται από τον εν λόγω κανονισμό.»</w:t>
      </w:r>
    </w:p>
    <w:p>
      <w:pPr>
        <w:pStyle w:val="Point0"/>
        <w:rPr>
          <w:noProof/>
        </w:rPr>
      </w:pPr>
      <w:r>
        <w:rPr>
          <w:noProof/>
        </w:rPr>
        <w:t>(4)</w:t>
      </w:r>
      <w:r>
        <w:rPr>
          <w:noProof/>
        </w:rPr>
        <w:tab/>
        <w:t>στο άρθρο 39, η παράγραφος 1 αντικαθίσταται από το ακόλουθο κείμενο:</w:t>
      </w:r>
    </w:p>
    <w:p>
      <w:pPr>
        <w:pStyle w:val="Text1"/>
        <w:rPr>
          <w:noProof/>
        </w:rPr>
      </w:pPr>
      <w:r>
        <w:rPr>
          <w:noProof/>
        </w:rPr>
        <w:t>«1. Η απόφαση αριθ. 466/2014/ΕΕ και ο κανονισμός (ΕΚ, Ευρατόμ) αριθ. 480/2009 καταργούνται με ισχύ από την 1η Ιανουαρίου 2021. Ο κανονισμός (ΕΕ) 2017/1601 καταργείται με ισχύ από τις 31 Δεκεμβρίου 2021.»</w:t>
      </w:r>
    </w:p>
    <w:p>
      <w:pPr>
        <w:pStyle w:val="ManualNumPar1"/>
        <w:rPr>
          <w:noProof/>
        </w:rPr>
      </w:pPr>
      <w:r>
        <w:rPr>
          <w:noProof/>
        </w:rPr>
        <w:t>4.</w:t>
      </w:r>
      <w:r>
        <w:rPr>
          <w:noProof/>
        </w:rPr>
        <w:tab/>
        <w:t xml:space="preserve">Η πρόταση της Επιτροπής COM(2018) 392 για ΚΑΝΟΝΙΣΜΟ ΤΟΥ ΕΥΡΩΠΑΪΚΟΥ ΚΟΙΝΟΒΟΥΛΙΟΥ ΚΑΙ ΤΟΥ ΣΥΜΒΟΥΛΙΟΥ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της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του κανονισμού (ΕΕ) αριθ. 1305/2013 του Ευρωπαϊκού Κοινοβουλίου και του Συμβουλίου και του κανονισμού (ΕΕ) αριθ. 1307/2013 του Ευρωπαϊκού Κοινοβουλίου και του Συμβουλίου τροποποιείται ως εξής: </w:t>
      </w:r>
    </w:p>
    <w:p>
      <w:pPr>
        <w:pStyle w:val="Point0"/>
        <w:rPr>
          <w:noProof/>
        </w:rPr>
      </w:pPr>
      <w:r>
        <w:rPr>
          <w:noProof/>
        </w:rPr>
        <w:lastRenderedPageBreak/>
        <w:t>(1)</w:t>
      </w:r>
      <w:r>
        <w:rPr>
          <w:noProof/>
        </w:rPr>
        <w:tab/>
        <w:t xml:space="preserve">παρεμβάλλεται η ακόλουθη νέα αιτιολογική σκέψη (71α): </w:t>
      </w:r>
    </w:p>
    <w:p>
      <w:pPr>
        <w:pStyle w:val="Text1"/>
        <w:rPr>
          <w:noProof/>
        </w:rPr>
      </w:pPr>
      <w:r>
        <w:rPr>
          <w:noProof/>
        </w:rPr>
        <w:t>«(71α) Σύμφωνα με τον κανονισμό [Μέσο Ανάκαμψης της Ευρωπαϊκής Ένωσης] και εντός των ορίων των πόρων που διατίθενται σε αυτό, τα μέτρα ανάκαμψης και ανθεκτικότητας στο πλαίσιο του Ευρωπαϊκού Γεωργικού Ταμείου Αγροτικής Ανάπτυξης θα πρέπει να εφαρμόζονται για την αντιμετώπιση του πρωτοφανούς αντικτύπου της κρίσης COVID-19.  Οι εν λόγω πρόσθετοι πόροι θα πρέπει να χρησιμοποιούνται κατά τρόπο ώστε να εξασφαλίζεται η συμμόρφωση με τις προθεσμίες που προβλέπονται στον κανονισμό [ERI].»·</w:t>
      </w:r>
    </w:p>
    <w:p>
      <w:pPr>
        <w:pStyle w:val="Point0"/>
        <w:rPr>
          <w:noProof/>
        </w:rPr>
      </w:pPr>
      <w:r>
        <w:rPr>
          <w:noProof/>
        </w:rPr>
        <w:t>(2)</w:t>
      </w:r>
      <w:r>
        <w:rPr>
          <w:noProof/>
        </w:rPr>
        <w:tab/>
        <w:t xml:space="preserve">παρεμβάλλεται το ακόλουθο νέο άρθρο 84α: </w:t>
      </w:r>
    </w:p>
    <w:p>
      <w:pPr>
        <w:pStyle w:val="Titrearticle"/>
        <w:rPr>
          <w:noProof/>
        </w:rPr>
      </w:pPr>
      <w:r>
        <w:rPr>
          <w:noProof/>
        </w:rPr>
        <w:t xml:space="preserve">«Άρθρο 84α </w:t>
      </w:r>
      <w:r>
        <w:rPr>
          <w:noProof/>
        </w:rPr>
        <w:br/>
        <w:t>Πόροι από το Μέσο Ανάκαμψης της Ευρωπαϊκής Ένωσης</w:t>
      </w:r>
    </w:p>
    <w:p>
      <w:pPr>
        <w:pStyle w:val="Point1"/>
        <w:rPr>
          <w:noProof/>
        </w:rPr>
      </w:pPr>
      <w:r>
        <w:rPr>
          <w:noProof/>
        </w:rPr>
        <w:t>(1)</w:t>
      </w:r>
      <w:r>
        <w:rPr>
          <w:noProof/>
        </w:rPr>
        <w:tab/>
        <w:t>Τα μέτρα που αναφέρονται στο άρθρο 2 του κανονισμού [ERI] υλοποιούνται στο πλαίσιο του ΕΓΤΑΑ με ποσό 16 483 εκατ. EUR, σε τρέχουσες τιμές, από το ποσό που αναφέρεται στο άρθρο 3 παράγραφος 2 στοιχείο α) σημείο vii) του εν λόγω κανονισμού, με την επιφύλαξη του άρθρου 4 παράγραφοι 3, 4 και 8 αυτού.</w:t>
      </w:r>
    </w:p>
    <w:p>
      <w:pPr>
        <w:pStyle w:val="Text2"/>
        <w:rPr>
          <w:noProof/>
        </w:rPr>
      </w:pPr>
      <w:r>
        <w:rPr>
          <w:noProof/>
        </w:rPr>
        <w:t>Το ποσό αυτό συνιστά εξωτερικά έσοδα για ειδικό προορισμό σύμφωνα με το άρθρο 21 παράγραφος 5 του δημοσιονομικού κανονισμού.</w:t>
      </w:r>
    </w:p>
    <w:p>
      <w:pPr>
        <w:pStyle w:val="Text2"/>
        <w:rPr>
          <w:noProof/>
        </w:rPr>
      </w:pPr>
      <w:r>
        <w:rPr>
          <w:noProof/>
        </w:rPr>
        <w:t>Διατίθεται ως πρόσθετοι πόροι για δημοσιονομική δέσμευση στο πλαίσιο του ΕΓΤΑΑ για τα έτη 2022, 2023 και 2024 επιπλέον των συνολικών πόρων που καθορίζονται στο άρθρο 83 ως εξής:</w:t>
      </w:r>
    </w:p>
    <w:p>
      <w:pPr>
        <w:pStyle w:val="Tiret2"/>
        <w:numPr>
          <w:ilvl w:val="0"/>
          <w:numId w:val="14"/>
        </w:numPr>
        <w:rPr>
          <w:rStyle w:val="conf-macro"/>
          <w:noProof/>
        </w:rPr>
      </w:pPr>
      <w:r>
        <w:rPr>
          <w:rStyle w:val="conf-macro"/>
          <w:noProof/>
        </w:rPr>
        <w:t>2022: 8 117 εκατ. EUR</w:t>
      </w:r>
    </w:p>
    <w:p>
      <w:pPr>
        <w:pStyle w:val="Tiret2"/>
        <w:rPr>
          <w:rStyle w:val="conf-macro"/>
          <w:noProof/>
        </w:rPr>
      </w:pPr>
      <w:r>
        <w:rPr>
          <w:rStyle w:val="conf-macro"/>
          <w:noProof/>
        </w:rPr>
        <w:t>2023: 4 140 εκατ. EUR</w:t>
      </w:r>
    </w:p>
    <w:p>
      <w:pPr>
        <w:pStyle w:val="Tiret2"/>
        <w:rPr>
          <w:rStyle w:val="conf-macro"/>
          <w:noProof/>
        </w:rPr>
      </w:pPr>
      <w:r>
        <w:rPr>
          <w:rStyle w:val="conf-macro"/>
          <w:noProof/>
        </w:rPr>
        <w:t>2024: 4 226 εκατ. EUR</w:t>
      </w:r>
    </w:p>
    <w:p>
      <w:pPr>
        <w:pStyle w:val="Point1"/>
        <w:rPr>
          <w:noProof/>
        </w:rPr>
      </w:pPr>
      <w:r>
        <w:rPr>
          <w:noProof/>
        </w:rPr>
        <w:t>(2)</w:t>
      </w:r>
      <w:r>
        <w:rPr>
          <w:noProof/>
        </w:rPr>
        <w:tab/>
        <w:t xml:space="preserve">Η κατανομή των πρόσθετων πόρων που αναφέρονται στην παράγραφο 1 για κάθε κράτος μέλος καθορίζεται σύμφωνα με το άρθρο 83 παράγραφος 3. </w:t>
      </w:r>
    </w:p>
    <w:p>
      <w:pPr>
        <w:pStyle w:val="Point1"/>
        <w:rPr>
          <w:noProof/>
        </w:rPr>
      </w:pPr>
      <w:r>
        <w:rPr>
          <w:noProof/>
        </w:rPr>
        <w:t>(3)</w:t>
      </w:r>
      <w:r>
        <w:rPr>
          <w:noProof/>
        </w:rPr>
        <w:tab/>
        <w:t xml:space="preserve">Οι κανόνες αποδέσμευσης που ορίζονται στο άρθρο 32 της [COM πρότασης κανονισμού του Ευρωπαϊκού Κοινοβουλίου και του Συμβουλίου για τη χρηματοδότηση, τη διαχείριση και την παρακολούθηση της ΚΓΠ] εφαρμόζονται στις δημοσιονομικές δεσμεύσεις βάσει των πρόσθετων πόρων που αναφέρονται στην παράγραφο 1 του παρόντος άρθρου. </w:t>
      </w:r>
    </w:p>
    <w:p>
      <w:pPr>
        <w:pStyle w:val="Point1"/>
        <w:rPr>
          <w:noProof/>
        </w:rPr>
      </w:pPr>
      <w:r>
        <w:rPr>
          <w:noProof/>
        </w:rPr>
        <w:t>(4)</w:t>
      </w:r>
      <w:r>
        <w:rPr>
          <w:noProof/>
        </w:rPr>
        <w:tab/>
        <w:t>Το άρθρο 86 δεν εφαρμόζεται στους πρόσθετους πόρους που αναφέρονται στην παράγραφο 1 του παρόντος άρθρου.</w:t>
      </w:r>
    </w:p>
    <w:p>
      <w:pPr>
        <w:pStyle w:val="Point1"/>
        <w:rPr>
          <w:noProof/>
        </w:rPr>
      </w:pPr>
      <w:r>
        <w:rPr>
          <w:noProof/>
        </w:rPr>
        <w:t>(5)</w:t>
      </w:r>
      <w:r>
        <w:rPr>
          <w:noProof/>
        </w:rPr>
        <w:tab/>
        <w:t xml:space="preserve">Έως και το 4 % του συνόλου των πρόσθετων πόρων που αναφέρονται στην παράγραφο 1 μπορεί να διατεθεί στην τεχνική βοήθεια με πρωτοβουλία των κρατών μελών στο πλαίσιο των συνεισφορών του ΕΓΤΑΑ στα στρατηγικά σχέδια των κρατών μελών για την ΚΓΠ. </w:t>
      </w:r>
    </w:p>
    <w:p>
      <w:pPr>
        <w:pStyle w:val="Point1"/>
        <w:rPr>
          <w:rStyle w:val="conf-macro"/>
          <w:noProof/>
        </w:rPr>
      </w:pPr>
      <w:r>
        <w:rPr>
          <w:rStyle w:val="conf-macro"/>
          <w:noProof/>
        </w:rPr>
        <w:t>(6)</w:t>
      </w:r>
      <w:r>
        <w:rPr>
          <w:rStyle w:val="conf-macro"/>
          <w:noProof/>
        </w:rPr>
        <w:tab/>
      </w:r>
      <w:r>
        <w:rPr>
          <w:noProof/>
        </w:rPr>
        <w:t xml:space="preserve">Οι </w:t>
      </w:r>
      <w:r>
        <w:rPr>
          <w:rStyle w:val="conf-macro"/>
          <w:noProof/>
        </w:rPr>
        <w:t>πρόσθετοι πόροι</w:t>
      </w:r>
      <w:r>
        <w:rPr>
          <w:noProof/>
        </w:rPr>
        <w:t xml:space="preserve"> που αναφέρονται στην παράγραφο 1 </w:t>
      </w:r>
      <w:r>
        <w:rPr>
          <w:rStyle w:val="conf-macro"/>
          <w:noProof/>
        </w:rPr>
        <w:t>χρησιμοποιούνται στο πλαίσιο ενός νέου ειδικού στόχου που συμπληρώνει τους ειδικούς στόχους που ορίζονται στο άρθρο 6 για τη στήριξη πράξεων που προετοιμάζουν την ανάκαμψη της οικονομίας.»</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ΝΟΜΟΘΕΤΙΚΟ ΔΗΜΟΣΙΟΝΟΜΙΚΟ ΔΕΛΤΙΟ</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ΠΛΑΙΣΙΟ ΤΗΣ ΠΡΟΤΑΣΗΣ/ΠΡΩΤΟΒΟΥΛΙΑΣ </w:t>
      </w:r>
    </w:p>
    <w:p>
      <w:pPr>
        <w:keepNext/>
        <w:tabs>
          <w:tab w:val="left" w:pos="850"/>
        </w:tabs>
        <w:ind w:left="850" w:hanging="850"/>
        <w:outlineLvl w:val="1"/>
        <w:rPr>
          <w:noProof/>
        </w:rPr>
      </w:pPr>
      <w:r>
        <w:rPr>
          <w:noProof/>
        </w:rPr>
        <w:tab/>
        <w:t>1.1.</w:t>
      </w:r>
      <w:r>
        <w:rPr>
          <w:noProof/>
        </w:rPr>
        <w:tab/>
        <w:t xml:space="preserve">Τίτλος της πρότασης/πρωτοβουλίας </w:t>
      </w:r>
    </w:p>
    <w:p>
      <w:pPr>
        <w:keepNext/>
        <w:tabs>
          <w:tab w:val="left" w:pos="850"/>
        </w:tabs>
        <w:ind w:left="850" w:hanging="850"/>
        <w:outlineLvl w:val="1"/>
        <w:rPr>
          <w:noProof/>
        </w:rPr>
      </w:pPr>
      <w:r>
        <w:rPr>
          <w:noProof/>
        </w:rPr>
        <w:tab/>
        <w:t>1.2.</w:t>
      </w:r>
      <w:r>
        <w:rPr>
          <w:noProof/>
        </w:rPr>
        <w:tab/>
        <w:t>Σχετικοί τομείς πολιτικής που αφορούν τη δομή ΔΒΔ/ΠΒΔ</w:t>
      </w:r>
    </w:p>
    <w:p>
      <w:pPr>
        <w:keepNext/>
        <w:tabs>
          <w:tab w:val="left" w:pos="850"/>
        </w:tabs>
        <w:ind w:left="850" w:hanging="850"/>
        <w:outlineLvl w:val="1"/>
        <w:rPr>
          <w:noProof/>
        </w:rPr>
      </w:pPr>
      <w:r>
        <w:rPr>
          <w:noProof/>
        </w:rPr>
        <w:tab/>
        <w:t>1.3.</w:t>
      </w:r>
      <w:r>
        <w:rPr>
          <w:noProof/>
        </w:rPr>
        <w:tab/>
        <w:t xml:space="preserve">Χαρακτήρας της πρότασης/πρωτοβουλίας </w:t>
      </w:r>
    </w:p>
    <w:p>
      <w:pPr>
        <w:keepNext/>
        <w:tabs>
          <w:tab w:val="left" w:pos="850"/>
        </w:tabs>
        <w:ind w:left="850" w:hanging="850"/>
        <w:outlineLvl w:val="1"/>
        <w:rPr>
          <w:noProof/>
        </w:rPr>
      </w:pPr>
      <w:r>
        <w:rPr>
          <w:noProof/>
        </w:rPr>
        <w:tab/>
        <w:t>1.4.</w:t>
      </w:r>
      <w:r>
        <w:rPr>
          <w:noProof/>
        </w:rPr>
        <w:tab/>
        <w:t xml:space="preserve">Στόχοι </w:t>
      </w:r>
    </w:p>
    <w:p>
      <w:pPr>
        <w:keepNext/>
        <w:tabs>
          <w:tab w:val="left" w:pos="850"/>
        </w:tabs>
        <w:ind w:left="850" w:hanging="850"/>
        <w:outlineLvl w:val="1"/>
        <w:rPr>
          <w:noProof/>
        </w:rPr>
      </w:pPr>
      <w:r>
        <w:rPr>
          <w:noProof/>
        </w:rPr>
        <w:tab/>
        <w:t>1.5.</w:t>
      </w:r>
      <w:r>
        <w:rPr>
          <w:noProof/>
        </w:rPr>
        <w:tab/>
        <w:t xml:space="preserve">Αιτιολόγηση της πρότασης/πρωτοβουλίας </w:t>
      </w:r>
    </w:p>
    <w:p>
      <w:pPr>
        <w:keepNext/>
        <w:tabs>
          <w:tab w:val="left" w:pos="850"/>
        </w:tabs>
        <w:ind w:left="850" w:hanging="850"/>
        <w:outlineLvl w:val="1"/>
        <w:rPr>
          <w:noProof/>
        </w:rPr>
      </w:pPr>
      <w:r>
        <w:rPr>
          <w:noProof/>
        </w:rPr>
        <w:tab/>
        <w:t>1.6.</w:t>
      </w:r>
      <w:r>
        <w:rPr>
          <w:noProof/>
        </w:rPr>
        <w:tab/>
        <w:t xml:space="preserve">Διάρκεια και δημοσιονομικές επιπτώσεις </w:t>
      </w:r>
    </w:p>
    <w:p>
      <w:pPr>
        <w:keepNext/>
        <w:tabs>
          <w:tab w:val="left" w:pos="850"/>
        </w:tabs>
        <w:ind w:left="850" w:hanging="850"/>
        <w:outlineLvl w:val="1"/>
        <w:rPr>
          <w:noProof/>
        </w:rPr>
      </w:pPr>
      <w:r>
        <w:rPr>
          <w:noProof/>
        </w:rPr>
        <w:tab/>
        <w:t>1.7.</w:t>
      </w:r>
      <w:r>
        <w:rPr>
          <w:noProof/>
        </w:rPr>
        <w:tab/>
        <w:t xml:space="preserve">Προβλεπόμενοι τρόποι διαχείρισης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ΜΕΤΡΑ ΔΙΑΧΕΙΡΙΣΗΣ </w:t>
      </w:r>
    </w:p>
    <w:p>
      <w:pPr>
        <w:keepNext/>
        <w:tabs>
          <w:tab w:val="left" w:pos="850"/>
        </w:tabs>
        <w:ind w:left="850" w:hanging="850"/>
        <w:outlineLvl w:val="1"/>
        <w:rPr>
          <w:noProof/>
        </w:rPr>
      </w:pPr>
      <w:r>
        <w:rPr>
          <w:noProof/>
        </w:rPr>
        <w:tab/>
        <w:t>2.1.</w:t>
      </w:r>
      <w:r>
        <w:rPr>
          <w:noProof/>
        </w:rPr>
        <w:tab/>
        <w:t xml:space="preserve">Κανόνες παρακολούθησης και υποβολής εκθέσεων </w:t>
      </w:r>
    </w:p>
    <w:p>
      <w:pPr>
        <w:keepNext/>
        <w:tabs>
          <w:tab w:val="left" w:pos="850"/>
        </w:tabs>
        <w:ind w:left="850" w:hanging="850"/>
        <w:outlineLvl w:val="1"/>
        <w:rPr>
          <w:noProof/>
        </w:rPr>
      </w:pPr>
      <w:r>
        <w:rPr>
          <w:noProof/>
        </w:rPr>
        <w:tab/>
        <w:t>2.2.</w:t>
      </w:r>
      <w:r>
        <w:rPr>
          <w:noProof/>
        </w:rPr>
        <w:tab/>
        <w:t xml:space="preserve">Σύστημα διαχείρισης και ελέγχου </w:t>
      </w:r>
    </w:p>
    <w:p>
      <w:pPr>
        <w:keepNext/>
        <w:tabs>
          <w:tab w:val="left" w:pos="850"/>
        </w:tabs>
        <w:ind w:left="850" w:hanging="850"/>
        <w:outlineLvl w:val="1"/>
        <w:rPr>
          <w:noProof/>
        </w:rPr>
      </w:pPr>
      <w:r>
        <w:rPr>
          <w:noProof/>
        </w:rPr>
        <w:tab/>
        <w:t>2.3.</w:t>
      </w:r>
      <w:r>
        <w:rPr>
          <w:noProof/>
        </w:rPr>
        <w:tab/>
        <w:t xml:space="preserve">Μέτρα για την πρόληψη περιπτώσεων απάτης και παρατυπίας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ΕΚΤΙΜΩΜΕΝΕΣ ΔΗΜΟΣΙΟΝΟΜΙΚΕΣ ΕΠΙΠΤΩΣΕΙΣ ΤΗΣ ΠΡΟΤΑΣΗΣ/ΠΡΩΤΟΒΟΥΛΙΑΣ </w:t>
      </w:r>
    </w:p>
    <w:p>
      <w:pPr>
        <w:keepNext/>
        <w:tabs>
          <w:tab w:val="left" w:pos="850"/>
        </w:tabs>
        <w:ind w:left="850" w:hanging="850"/>
        <w:outlineLvl w:val="1"/>
        <w:rPr>
          <w:noProof/>
        </w:rPr>
      </w:pPr>
      <w:r>
        <w:rPr>
          <w:noProof/>
        </w:rPr>
        <w:tab/>
        <w:t>3.1.</w:t>
      </w:r>
      <w:r>
        <w:rPr>
          <w:noProof/>
        </w:rPr>
        <w:tab/>
        <w:t xml:space="preserve">Τομείς του πολυετούς δημοσιονομικού πλαισίου και γραμμές δαπανών του προϋπολογισμού που επηρεάζονται </w:t>
      </w:r>
    </w:p>
    <w:p>
      <w:pPr>
        <w:keepNext/>
        <w:tabs>
          <w:tab w:val="left" w:pos="850"/>
        </w:tabs>
        <w:ind w:left="850" w:hanging="850"/>
        <w:outlineLvl w:val="1"/>
        <w:rPr>
          <w:b/>
          <w:noProof/>
        </w:rPr>
      </w:pPr>
      <w:r>
        <w:rPr>
          <w:noProof/>
        </w:rPr>
        <w:tab/>
        <w:t>3.2.</w:t>
      </w:r>
      <w:r>
        <w:rPr>
          <w:noProof/>
        </w:rPr>
        <w:tab/>
        <w:t>Εκτιμώμενες επιπτώσεις στις δαπάνες</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Συνοπτική παρουσίαση των εκτιμώμενων επιπτώσεων στις δαπάνες </w:t>
      </w:r>
    </w:p>
    <w:p>
      <w:pPr>
        <w:keepNext/>
        <w:tabs>
          <w:tab w:val="left" w:pos="850"/>
        </w:tabs>
        <w:ind w:left="850" w:hanging="850"/>
        <w:outlineLvl w:val="2"/>
        <w:rPr>
          <w:i/>
          <w:noProof/>
        </w:rPr>
      </w:pPr>
      <w:r>
        <w:rPr>
          <w:noProof/>
        </w:rPr>
        <w:tab/>
      </w:r>
      <w:r>
        <w:rPr>
          <w:i/>
          <w:noProof/>
        </w:rPr>
        <w:t>3.2.2.</w:t>
      </w:r>
      <w:r>
        <w:rPr>
          <w:noProof/>
        </w:rPr>
        <w:tab/>
      </w:r>
      <w:r>
        <w:rPr>
          <w:i/>
          <w:noProof/>
        </w:rPr>
        <w:t xml:space="preserve">Εκτιμώμενες επιπτώσεις στις επιχειρησιακές πιστώσεις </w:t>
      </w:r>
    </w:p>
    <w:p>
      <w:pPr>
        <w:keepNext/>
        <w:tabs>
          <w:tab w:val="left" w:pos="850"/>
        </w:tabs>
        <w:ind w:left="850" w:hanging="850"/>
        <w:outlineLvl w:val="2"/>
        <w:rPr>
          <w:i/>
          <w:noProof/>
        </w:rPr>
      </w:pPr>
      <w:r>
        <w:rPr>
          <w:noProof/>
        </w:rPr>
        <w:tab/>
      </w:r>
      <w:r>
        <w:rPr>
          <w:i/>
          <w:noProof/>
        </w:rPr>
        <w:t>3.2.3.</w:t>
      </w:r>
      <w:r>
        <w:rPr>
          <w:noProof/>
        </w:rPr>
        <w:tab/>
      </w:r>
      <w:r>
        <w:rPr>
          <w:i/>
          <w:noProof/>
        </w:rPr>
        <w:t>Εκτιμώμενες επιπτώσεις στις πιστώσεις διοικητικού χαρακτήρα</w:t>
      </w:r>
    </w:p>
    <w:p>
      <w:pPr>
        <w:keepNext/>
        <w:tabs>
          <w:tab w:val="left" w:pos="850"/>
        </w:tabs>
        <w:ind w:left="850" w:hanging="850"/>
        <w:outlineLvl w:val="2"/>
        <w:rPr>
          <w:i/>
          <w:noProof/>
        </w:rPr>
      </w:pPr>
      <w:r>
        <w:rPr>
          <w:noProof/>
        </w:rPr>
        <w:tab/>
      </w:r>
      <w:r>
        <w:rPr>
          <w:i/>
          <w:noProof/>
        </w:rPr>
        <w:t>3.2.4.</w:t>
      </w:r>
      <w:r>
        <w:rPr>
          <w:noProof/>
        </w:rPr>
        <w:tab/>
      </w:r>
      <w:r>
        <w:rPr>
          <w:i/>
          <w:noProof/>
        </w:rPr>
        <w:t>Συμβατότητα με το ισχύον πολυετές δημοσιονομικό πλαίσιο</w:t>
      </w:r>
    </w:p>
    <w:p>
      <w:pPr>
        <w:keepNext/>
        <w:tabs>
          <w:tab w:val="left" w:pos="850"/>
        </w:tabs>
        <w:ind w:left="850" w:hanging="850"/>
        <w:outlineLvl w:val="2"/>
        <w:rPr>
          <w:i/>
          <w:noProof/>
        </w:rPr>
      </w:pPr>
      <w:r>
        <w:rPr>
          <w:noProof/>
        </w:rPr>
        <w:tab/>
      </w:r>
      <w:r>
        <w:rPr>
          <w:i/>
          <w:noProof/>
        </w:rPr>
        <w:t>3.2.5.</w:t>
      </w:r>
      <w:r>
        <w:rPr>
          <w:noProof/>
        </w:rPr>
        <w:tab/>
      </w:r>
      <w:r>
        <w:rPr>
          <w:i/>
          <w:noProof/>
        </w:rPr>
        <w:t xml:space="preserve">Συμμετοχή τρίτων στη χρηματοδότηση </w:t>
      </w:r>
    </w:p>
    <w:p>
      <w:pPr>
        <w:rPr>
          <w:noProof/>
        </w:rPr>
      </w:pPr>
      <w:r>
        <w:rPr>
          <w:noProof/>
        </w:rPr>
        <w:tab/>
        <w:t>3.3.</w:t>
      </w:r>
      <w:r>
        <w:rPr>
          <w:noProof/>
        </w:rPr>
        <w:tab/>
        <w:t>Εκτιμώμενες επιπτώσεις στα έσοδα</w:t>
      </w:r>
    </w:p>
    <w:p>
      <w:pPr>
        <w:spacing w:before="0" w:after="200" w:line="276" w:lineRule="auto"/>
        <w:jc w:val="left"/>
        <w:rPr>
          <w:noProof/>
        </w:rPr>
      </w:pPr>
      <w:r>
        <w:rPr>
          <w:noProof/>
        </w:rPr>
        <w:br w:type="page"/>
      </w:r>
    </w:p>
    <w:p>
      <w:pPr>
        <w:jc w:val="center"/>
        <w:rPr>
          <w:b/>
          <w:noProof/>
          <w:u w:val="single"/>
        </w:rPr>
      </w:pPr>
      <w:r>
        <w:rPr>
          <w:b/>
          <w:noProof/>
          <w:u w:val="single"/>
        </w:rPr>
        <w:lastRenderedPageBreak/>
        <w:t>ΝΟΜΟΘΕΤΙΚΟ ΔΗΜΟΣΙΟΝΟΜΙΚΟ ΔΕΛΤΙΟ</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ΠΛΑΙΣΙΟ ΤΗΣ ΠΡΟΤΑΣΗΣ/ΠΡΩΤΟΒΟΥΛΙΑΣ</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Τίτλος της πρότασης/πρωτοβουλίας</w:t>
      </w:r>
      <w:bookmarkEnd w:id="3"/>
      <w:bookmarkEnd w:id="4"/>
      <w:r>
        <w:rPr>
          <w:b/>
          <w:bCs/>
          <w:noProof/>
          <w:szCs w:val="26"/>
        </w:rPr>
        <w:t xml:space="preserve"> </w:t>
      </w:r>
    </w:p>
    <w:p>
      <w:pPr>
        <w:ind w:left="850"/>
        <w:rPr>
          <w:noProof/>
          <w:color w:val="0000FF"/>
        </w:rPr>
      </w:pPr>
      <w:bookmarkStart w:id="5" w:name="_Toc514941973"/>
      <w:r>
        <w:rPr>
          <w:noProof/>
          <w:color w:val="0000FF"/>
        </w:rPr>
        <w:t>Τροποποιημένες προτάσεις για ΚΑΝΟΝΙΣΜΟ ΤΟΥ ΕΥΡΩΠΑΪΚΟΥ ΚΟΙΝΟΒΟΥΛΙΟΥ ΚΑΙ ΤΟΥ ΣΥΜΒΟΥΛΙΟΥ για τη θέσπιση του προγράμματος-πλαισίου έρευνας και καινοτομίας «Ορίζων Ευρώπη» και των κανόνων συμμετοχής και διάδοσής του [COM(2018) 435]· ΑΠΟΦΑΣΗ ΤΟΥ ΕΥΡΩΠΑΪΚΟΥ ΚΟΙΝΟΒΟΥΛΙΟΥ ΚΑΙ ΤΟΥ ΣΥΜΒΟΥΛΙΟΥ για τη θέσπιση του ειδικού προγράμματος υλοποίησης του προγράμματος Ορίζων Ευρώπη – Πρόγραμμα-πλαίσιο έρευνας και καινοτομίας [COM(2018) 436]· ΚΑΝΟΝΙΣΜΟ ΤΟΥ ΕΥΡΩΠΑΪΚΟΥ ΚΟΙΝΟΒΟΥΛΙΟΥ ΚΑΙ ΤΟΥ ΣΥΜΒΟΥΛΙΟΥ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της ΚΓΠ) [COM(2018) 392]· ΚΑΝΟΝΙΣΜΟ ΤΟΥ ΕΥΡΩΠΑΪΚΟΥ ΚΟΙΝΟΒΟΥΛΙΟΥ ΚΑΙ ΤΟΥ ΣΥΜΒΟΥΛΙΟΥ για τη θέσπιση Μηχανισμού Γειτονίας, Ανάπτυξης και Διεθνούς Συνεργασίας</w:t>
      </w:r>
    </w:p>
    <w:p>
      <w:pPr>
        <w:keepNext/>
        <w:outlineLvl w:val="1"/>
        <w:rPr>
          <w:rFonts w:eastAsiaTheme="majorEastAsia"/>
          <w:b/>
          <w:bCs/>
          <w:noProof/>
          <w:szCs w:val="26"/>
        </w:rPr>
      </w:pPr>
      <w:bookmarkStart w:id="6" w:name="_Toc40374709"/>
      <w:bookmarkStart w:id="7" w:name="_Toc40376062"/>
      <w:bookmarkEnd w:id="6"/>
      <w:r>
        <w:rPr>
          <w:b/>
          <w:bCs/>
          <w:noProof/>
          <w:szCs w:val="26"/>
        </w:rPr>
        <w:t>Σχετικοί τομείς πολιτικής (ομάδα προγραμμάτων)</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color w:val="0000FF"/>
        </w:rPr>
        <w:t>01 Έρευνα και καινοτομία</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15 Εξωτερική δράση</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08 Γεωργία και θαλάσσια πολιτική </w:t>
      </w:r>
    </w:p>
    <w:p>
      <w:pPr>
        <w:keepNext/>
        <w:outlineLvl w:val="1"/>
        <w:rPr>
          <w:rFonts w:eastAsiaTheme="majorEastAsia"/>
          <w:b/>
          <w:noProof/>
          <w:szCs w:val="24"/>
        </w:rPr>
      </w:pPr>
      <w:bookmarkStart w:id="9" w:name="_Toc40374711"/>
      <w:bookmarkStart w:id="10" w:name="_Toc40376063"/>
      <w:bookmarkEnd w:id="9"/>
      <w:r>
        <w:rPr>
          <w:b/>
          <w:bCs/>
          <w:noProof/>
          <w:szCs w:val="26"/>
        </w:rPr>
        <w:t>Η πρόταση/πρωτοβουλία αφορά:</w:t>
      </w:r>
      <w:bookmarkEnd w:id="8"/>
      <w:bookmarkEnd w:id="10"/>
      <w:r>
        <w:rPr>
          <w:b/>
          <w:bCs/>
          <w:noProof/>
          <w:szCs w:val="26"/>
        </w:rPr>
        <w:t xml:space="preserve"> </w:t>
      </w:r>
    </w:p>
    <w:p>
      <w:pPr>
        <w:ind w:left="850"/>
        <w:rPr>
          <w:b/>
          <w:noProof/>
          <w:sz w:val="22"/>
        </w:rPr>
      </w:pPr>
      <w:r>
        <w:rPr>
          <w:noProof/>
          <w:sz w:val="22"/>
        </w:rPr>
        <w:sym w:font="Wingdings" w:char="F0A8"/>
      </w:r>
      <w:r>
        <w:rPr>
          <w:b/>
          <w:i/>
          <w:noProof/>
          <w:sz w:val="22"/>
        </w:rPr>
        <w:t xml:space="preserve"> νέα δράση</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νέα δράση μετά από δοκιμαστικό σχέδιο / προπαρασκευαστική ενέργεια</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την παράταση υφιστάμενης δράσης</w:t>
      </w:r>
      <w:r>
        <w:rPr>
          <w:noProof/>
          <w:sz w:val="22"/>
        </w:rPr>
        <w:t xml:space="preserve"> </w:t>
      </w:r>
    </w:p>
    <w:p>
      <w:pPr>
        <w:ind w:left="850"/>
        <w:rPr>
          <w:noProof/>
        </w:rPr>
      </w:pPr>
      <w:r>
        <w:rPr>
          <w:noProof/>
          <w:sz w:val="22"/>
        </w:rPr>
        <w:t>X</w:t>
      </w:r>
      <w:r>
        <w:rPr>
          <w:i/>
          <w:noProof/>
        </w:rPr>
        <w:t xml:space="preserve"> </w:t>
      </w:r>
      <w:r>
        <w:rPr>
          <w:b/>
          <w:noProof/>
        </w:rPr>
        <w:t>συγχώνευση ή αναπροσανατολισμό μίας ή περισσότερων δράσεων προς άλλη/νέα δράση</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Αιτιολόγηση της πρότασης/πρωτοβουλίας</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Οι εν λόγω στοχευμένες τροποποιήσεις του προγράμματος-πλαισίου «Ορίζων Ευρώπη» – του ειδικού προγράμματος έρευνας και καινοτομίας, του Μηχανισμού Γειτονίας, Ανάπτυξης και Διεθνούς Συνεργασίας (NDICI) και των παρεμβάσεων του ΕΓΤΑΑ βάσει των στρατηγικών σχεδίων της ΚΓΠ προτείνονται στο πλαίσιο της αναθεωρημένης πρότασης για το ΠΔΠ, συμπεριλαμβανομένου του Μέσου Ανάκαμψης της Ευρωπαϊκής Ένωσης (EURI). Αυτό το νέο μέσο θα παράσχει χρηματοδότηση στα εν λόγω προγράμματα για περιορισμένο χρονικό διάστημα πάνω από τα ανώτατα όρια που καθορίζονται για τις πιστώσεις ανάληψης υποχρεώσεων και τις πιστώσεις πληρωμών από το ΠΔΠ, ως εξωτερικά έσοδα για ειδικό προορισμό, κατά την έννοια του άρθρου 21 του δημοσιονομικού κανονισμού.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lastRenderedPageBreak/>
        <w:t>Κατά γενικό κανόνα, η χρηματοδοτική στήριξη και οι σχετικές δράσεις της Επιτροπής θα πρέπει να καλυφθούν εμπροσθοβαρώς έως το τέλος του 2024 και, όσον αφορά τη μη επιστρεπτέα χρηματοδοτική στήριξη, για τουλάχιστον 60 τοις εκατό του συνόλου, θα πρέπει να αναληφθούν έως το τέλος του 2022. Ως εκ τούτου, τα υπόλοιπα έτη μετά το 2024 έως τη λήξη του ΠΔΠ θα πρέπει να χρησιμοποιηθούν από την Επιτροπή για να ενισχυθεί η επιτόπια υλοποίηση των σχετικών δράσεων και να επιτευχθούν η αναμενόμενη ανάκαμψη στους σχετικούς οικονομικούς και κοινωνικούς τομείς και η προώθηση της ανθεκτικότητας και της σύγκλισης.</w:t>
      </w:r>
    </w:p>
    <w:p>
      <w:pPr>
        <w:ind w:left="850"/>
        <w:rPr>
          <w:noProof/>
          <w:color w:val="0000FF"/>
        </w:rPr>
      </w:pPr>
    </w:p>
    <w:p>
      <w:pPr>
        <w:keepNext/>
        <w:outlineLvl w:val="2"/>
        <w:rPr>
          <w:rFonts w:eastAsiaTheme="majorEastAsia"/>
          <w:bCs/>
          <w:i/>
          <w:noProof/>
        </w:rPr>
      </w:pPr>
      <w:bookmarkStart w:id="15" w:name="_Toc514941977"/>
      <w:bookmarkStart w:id="16" w:name="_Toc40376066"/>
      <w:r>
        <w:rPr>
          <w:bCs/>
          <w:i/>
          <w:noProof/>
        </w:rPr>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Για την ανάσχεση της εξάπλωσης της νόσου του κορονοϊού (στο εξής: COVID-19), η οποία, από την 11η Μαρτίου 2020, κηρύχθηκε πανδημία από τον Παγκόσμιο Οργανισμό Υγείας, τα κράτη μέλη και οι τρίτες χώρες θέσπισαν μια σειρά πρωτοφανών μέτρων. Τα μέτρα αυτά έχουν προκαλέσει σημαντικές διαταραχές στις οικονομικές δραστηριότητες. Ειδικότερα, τα μέτρα αυτά έχουν διαταράξει τις εφοδιαστικές αλυσίδες και την παραγωγή και έχουν προκαλέσει απουσίες από τον χώρο εργασίας. Γενικότερα, τα μέτρα αυτά έχουν ήδη οδηγήσει ή θα οδηγήσουν σε σοβαρή επιδείνωση της οικονομικής κατάστασης πολλών επιχειρήσεων στην Ένωση και σε τρίτες χώρες.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Η κρίση εξαπλώθηκε γρήγορα στο έδαφος της Ένωσης και σε τρίτες χώρες. Για το 2020 προβλέπεται τώρα έντονη συρρίκνωση της ανάπτυξης στην Ένωση η οποία μπορεί να διαρκέσει και το 2021. Οι κίνδυνοι για την ανάκαμψη είναι πολύ άνισοι στα διάφορα κράτη μέλη και αυξάνουν τις αποκλίσεις μεταξύ των εθνικών οικονομιών. Η διαφορετική δημοσιονομική ικανότητα των κρατών μελών να παρέχουν οικονομική στήριξη όπου απαιτείται περισσότερο για ανάκαμψη καθώς και η απόκλιση των εθνικών μέτρων θέτουν σε κίνδυνο την ενιαία αγορά.</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Είναι αναγκαίο να θεσπιστεί μια ολοκληρωμένη σειρά μέτρων για οικονομική ανάκαμψη, που θα απαιτήσουν σημαντικά ποσά δημόσιων και ιδιωτικών επενδύσεων για την ενεργοποίηση της οικονομίας, τη δημιουργία υψηλής ποιότητας θέσεων εργασίας και την επένδυση στην αποκατάσταση των άμεσων ζημιών που προκάλεσε η πανδημία COVID-19.</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Αυτή η έκτακτη κατάσταση απαιτεί μια συνεκτική και ενιαία προσέγγιση στο επίπεδο της Ένωσης για την πρόληψη περαιτέρω επιδείνωσης της οικονομίας και την προώθηση της ισορροπημένης ανάκαμψης της οικονομικής δραστηριότητας, με την εξασφάλιση της συνέχειας και την αύξηση των επενδύσεων για την πράσινη και ψηφιακή μετάβαση. Ως εκ τούτου, σε αυτό το πλαίσιο, είναι αναγκαίο να θεσπιστεί ένα Μέσο Ανάκαμψης της ΕΕ για την αντιμετώπιση των συνεπειών της πανδημίας COVID-19 ή των άμεσων αναγκών χρηματοδότησης ώστε να αποφευχθεί η επανεμφάνισής της. </w:t>
      </w:r>
    </w:p>
    <w:p>
      <w:pPr>
        <w:pBdr>
          <w:top w:val="single" w:sz="4" w:space="1" w:color="auto"/>
          <w:left w:val="single" w:sz="4" w:space="4" w:color="auto"/>
          <w:bottom w:val="single" w:sz="4" w:space="1" w:color="auto"/>
          <w:right w:val="single" w:sz="4" w:space="4" w:color="auto"/>
        </w:pBdr>
        <w:ind w:left="850"/>
        <w:rPr>
          <w:noProof/>
        </w:rPr>
      </w:pPr>
      <w:r>
        <w:rPr>
          <w:noProof/>
        </w:rPr>
        <w:t xml:space="preserve">(5) Με αυτή τη λογική, το μέσο θα πρέπει να ενισχύει τη στήριξη, μέσω του προγράμματος «Ορίζων Ευρώπη», στις δραστηριότητες έρευνας και καινοτομίας που σχετίζονται με την υγεία και το κλίμα. Αυτό θα συμβάλει στην ενίσχυση της ετοιμότητας για αποτελεσματική και ταχεία αντίδραση σε καταστάσεις έκτακτης </w:t>
      </w:r>
      <w:r>
        <w:rPr>
          <w:noProof/>
        </w:rPr>
        <w:lastRenderedPageBreak/>
        <w:t>ανάγκης και σε επενδύσεις σε λύσεις με γνώμονα την επιστήμη, καθώς και στη διασφάλιση της συνοχής με τους στόχους της Ευρωπαϊκής Πράσινης Συμφωνίας.</w:t>
      </w:r>
    </w:p>
    <w:p>
      <w:pPr>
        <w:pBdr>
          <w:top w:val="single" w:sz="4" w:space="1" w:color="auto"/>
          <w:left w:val="single" w:sz="4" w:space="4" w:color="auto"/>
          <w:bottom w:val="single" w:sz="4" w:space="1" w:color="auto"/>
          <w:right w:val="single" w:sz="4" w:space="4" w:color="auto"/>
        </w:pBdr>
        <w:ind w:left="850"/>
        <w:rPr>
          <w:noProof/>
        </w:rPr>
      </w:pPr>
      <w:r>
        <w:rPr>
          <w:noProof/>
        </w:rPr>
        <w:t>(6) Οι εμπορικές και οικονομικές σχέσεις με γειτονικές και αναπτυσσόμενες χώρες, συμπεριλαμβανομένων των Δυτικών Βαλκανίων, των χωρών της Ευρωπαϊκής Γειτονίας και των αφρικανικών χωρών, έχουν μεγάλη σημασία για την οικονομία στην Ένωση. Για τον λόγο αυτό, και σύμφωνα με τον παγκόσμιο ρόλο και την ευθύνη της Ένωσης, καθώς και με τις αξίες της, οι χρηματοδοτικοί πόροι από το Μέσο Ανάκαμψης μέσω του NDICI θα πρέπει επίσης να χρησιμοποιηθούν για την υποστήριξη των προσπαθειών των χωρών αυτών να αντιμετωπίσουν τις επιπτώσεις της πανδημίας COVID-19 και να ανακάμψουν από αυτήν.</w:t>
      </w:r>
    </w:p>
    <w:p>
      <w:pPr>
        <w:pBdr>
          <w:top w:val="single" w:sz="4" w:space="1" w:color="auto"/>
          <w:left w:val="single" w:sz="4" w:space="4" w:color="auto"/>
          <w:bottom w:val="single" w:sz="4" w:space="1" w:color="auto"/>
          <w:right w:val="single" w:sz="4" w:space="4" w:color="auto"/>
        </w:pBdr>
        <w:ind w:left="850"/>
        <w:rPr>
          <w:noProof/>
        </w:rPr>
      </w:pPr>
      <w:r>
        <w:rPr>
          <w:noProof/>
        </w:rPr>
        <w:t>(7) Το Μέσο θα πρέπει επίσης να ενισχύσει τη στήριξη, μέσω του Ευρωπαϊκού Γεωργικού Ταμείου Αγροτικής Ανάπτυξης (ΕΓΤΑΑ), παρέχοντας στα κράτη μέλη έκτακτους πρόσθετους πόρους για την παροχή βοήθειας στους τομείς της γεωργίας και των τροφίμων που έχουν πληγεί σοβαρά, για την ανασύνταξη μετά την κρίση λόγω της έξαρσης της νόσου COVID-19 και για την προετοιμασία της ανάκαμψης της οικονομίας.</w:t>
      </w:r>
    </w:p>
    <w:p>
      <w:pPr>
        <w:ind w:left="720"/>
        <w:rPr>
          <w:noProof/>
        </w:rPr>
      </w:pPr>
    </w:p>
    <w:p>
      <w:pPr>
        <w:keepNext/>
        <w:outlineLvl w:val="2"/>
        <w:rPr>
          <w:rFonts w:eastAsiaTheme="majorEastAsia"/>
          <w:bCs/>
          <w:i/>
          <w:noProof/>
        </w:rPr>
      </w:pPr>
      <w:bookmarkStart w:id="17" w:name="_Toc514941978"/>
      <w:bookmarkStart w:id="18" w:name="_Toc40376067"/>
      <w:r>
        <w:rPr>
          <w:bCs/>
          <w:i/>
          <w:noProof/>
        </w:rPr>
        <w:t>Διδάγματα από ανάλογες εμπειρίες του παρελθόντος</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Όσον αφορά τις εξωτερικές σχέσεις, η έκθεση ενδιάμεσης επανεξέτασης των μηχανισμών εξωτερικής χρηματοδότησης</w:t>
      </w:r>
      <w:r>
        <w:rPr>
          <w:rStyle w:val="FootnoteReference"/>
          <w:noProof/>
        </w:rPr>
        <w:footnoteReference w:id="4"/>
      </w:r>
      <w:r>
        <w:rPr>
          <w:noProof/>
          <w:color w:val="0000FF"/>
        </w:rPr>
        <w:t xml:space="preserve"> καταλήγει στο συμπέρασμα ότι, στο τρέχον πλαίσιο πολλαπλών κρίσεων και συγκρούσεων, το πολυετές δημοσιονομικό πλαίσιο της ΕΕ πρέπει να είναι σε θέση να προσαρμόζεται ταχέως στις μεταβαλλόμενες προτεραιότητες και σε απρόβλεπτα γεγονότα, και να επιτυγχάνει γρήγορα επιτόπου αποτελέσματα. Ομοίως, οι μηχανισμοί χρειάζονται χρηματοδοτική και άλλου είδους ευελιξία ώστε η εξωτερική δράση να ανταποκρίνεται στις πολλαπλές προκλήσεις που αντιμετωπίζει η ΕΕ στη διεθνή σκηνή. Η εν λόγω ευελιξία πρέπει να αναπτυχθεί σε διάφορα επίπεδα. Ξεκινώντας από τον προϋπολογισμό, ο οποίος θα πρέπει να περιλαμβάνει σημαντικά αποθεματικά, θα καλύπτει τον πολυετή προγραμματισμό και τη μεγαλύτερη απλούστευση σε επίπεδο εφαρμογής, με σκοπό την ενίσχυση της αποδοτικότητας και της αποτελεσματικότητας. Η παρούσα πρόταση ανταποκρίνεται στο εν λόγω συμπέρασμα αυξάνοντας τη διαθεσιμότητα πρόσθετων πόρων για την αντιμετώπιση της απρόβλεπτης κρίσης που προκλήθηκε από την πανδημία COVID-19.</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Η έρευνα και καινοτομία, και συγκεκριμένα το ευρωπαϊκό εμβληματικό πρόγραμμα «Ορίζων Ευρώπη», υλοποιεί τις προτεραιότητες των πολιτών, δίνει ώθηση στην παραγωγικότητα και στην ανταγωνιστικότητα της Ένωσης, είναι καίριας σημασίας για τη βιωσιμότητα του κοινωνικοοικονομικού μοντέλου και των αξιών μας και παρέχει τη δυνατότητα για λύσεις που αντιμετωπίζουν τις προκλήσεις με πιο συστημικό τρόπο. Υπό τις παρούσες έκτακτες περιστάσεις, η Ευρώπη χρειάζεται ταχείες λύσεις έρευνας και καινοτομίας και βαθύτερη επιστημονική κατανόηση των μεταδοτικών ασθενειών. Η ενίσχυση θα επιτρέψει την πραγματοποίηση ισχυρών επενδύσεων για έρευνα και καινοτομία σε οικονομικά προσιτά και καινοτόμα προστατευτικά μέτρα, στην ιολογία, σε εμβόλια, θεραπείες και διαγνωστικές μεθόδους, καθώς και για τη μετατροπή των αποτελεσμάτων της έρευνας σε μέτρα πολιτικής για τη δημόσια υγεία. Είναι σημαντικό να αφιερωθούν περισσότεροι πόροι </w:t>
      </w:r>
      <w:r>
        <w:rPr>
          <w:noProof/>
          <w:color w:val="0000FF"/>
        </w:rPr>
        <w:lastRenderedPageBreak/>
        <w:t>σε έρευνα και καινοτομία για το κλίμα προς στήριξη της ανταγωνιστικότητας της βιομηχανίας της ΕΕ σε σχετικούς οικονομικούς τομείς και για να εξασφαλιστεί ανάκαμψη σύμφωνη με τους στόχους της Ευρωπαϊκής Πράσινης Συμφωνίας. Οι επενδύσεις σε έρευνα και καινοτομία μπορούν να βοηθήσουν στην αντιμετώπιση των δραματικών αυξήσεων των εκπομπών και της υποβάθμισης της φύσης με υψηλό αντίκτυπο στην υγεία (π.χ. ζωοανθρωπονόσοι). Η ενίσχυση θα στηρίξει επιχειρήσεις που δραστηριοποιούνται σε έρευνα και καινοτομία για τη σταδιακή κατάργηση των ορυκτών καυσίμων και την πραγματοποίηση επενδύσεων σε ανατρεπτικές τεχνολογίες στους τομείς της Ευρωπαϊκής Πράσινης Συμφωνίας. Θα προσφέρει χρηματοδοτικά μέσα μεγαλύτερης κλίμακας για τις αναδυόμενες και επαναστατικές καινοτομίες από τις ΜΜΕ, τις νεοσύστατες επιχειρήσεις και τις εταιρείες μεσαίας κεφαλαιοποίησης. Η πρόταση συμπληρώνει άλλα ειδικά μέτρα που έχουν ήδη ληφθεί για την παροχή αρωγής στον γεωργικό τομέα. Ελήφθησαν ρυθμιστικά μέτρα, όπως η προσαρμογή των κανόνων για τις κρατικές ενισχύσεις ή η διευκόλυνση της διαθεσιμότητας εποχιακών εργαζομένων.</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Η Επιτροπή προσάρμοσε επίσης τους κανόνες και εισήγαγε αλλαγές στα δύο ειδικά γεωργικά ταμεία, το ΕΓΤΕ και το ΕΓΤΑΑ, για την παροχή έκτακτης ευελιξίας στη χρήση των Ευρωπαϊκών Διαρθρωτικών και Επενδυτικών Ταμείων ως αντίδραση στην έξαρση της νόσου COVID-19 (Πρωτοβουλία Επενδύσεων για την Αντιμετώπιση του Κορονοϊού), καθώς και για όλα τα άλλα μέτρα που αποσκοπούν στην αντιμετώπιση της τρέχουσας πρωτοφανούς κατάστασης. Τα μέτρα είναι σύμφωνα με την πρόταση της Επιτροπής για ένα Μέσο Ανάκαμψης της Ευρωπαϊκής Ένωσης που προβλέπεται από τον προτεινόμενο κανονισμό (ΕΕ) XXX/XX.</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Συμβατότητα και ενδεχόμενη συνέργεια με άλλα κατάλληλα μέσα</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Εκτός από τις συνέργειες που ήδη περιλαμβάνονται στον κατάλογο για τις παρεμβάσεις του προγράμματος «Ορίζων Ευρώπη», του NDICI και του ΕΓΤΑΑ βάσει των στρατηγικών σχεδίων της ΚΓΠ στις αντίστοιχες προτάσεις της προηγούμενης Επιτροπής του 2018, η συγκεκριμένη πρωτοβουλία στο πλαίσιο της αναθεωρημένης πρότασης για το ΠΔΠ καθορίζει ισχυρές συνέργειες μεταξύ των εν λόγω προγραμμάτων και του νέου Μέσου Ανάκαμψης της Ευρωπαϊκής Ένωσης, που προβλέπεται από τον προτεινόμενο κανονισμό (ΕΕ) XXX/XX. Ο εν λόγω κανονισμός θα επιτρέψει την παροχή πόρων σ’ αυτά τα τομεακά προγράμματα για περιορισμένο χρονικό διάστημα πάνω από τα ανώτατα όρια του ΠΔΠ, ως αποτέλεσμα της συμπληρωματικότητας των αντικειμενικών δραστηριοτήτων και της λειτουργίας των μέσων αυτών και υπό το πρίσμα του σκεπτικού και της προστιθέμενης αξίας που παρουσιάζεται στο τμήμα 1.4.2 ανωτέρω.</w:t>
      </w:r>
    </w:p>
    <w:p>
      <w:pPr>
        <w:ind w:left="720"/>
        <w:rPr>
          <w:noProof/>
        </w:rPr>
      </w:pPr>
    </w:p>
    <w:p>
      <w:pPr>
        <w:ind w:left="850"/>
        <w:rPr>
          <w:noProof/>
          <w:color w:val="0000F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Διάρκεια και δημοσιονομικές επιπτώσεις</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περιορισμένη διάρκεια </w:t>
      </w:r>
    </w:p>
    <w:p>
      <w:pPr>
        <w:rPr>
          <w:rFonts w:eastAsia="Times New Roman"/>
          <w:noProof/>
        </w:rPr>
      </w:pPr>
      <w:r>
        <w:rPr>
          <w:noProof/>
        </w:rPr>
        <w:sym w:font="Wingdings" w:char="F0A8"/>
      </w:r>
      <w:r>
        <w:rPr>
          <w:noProof/>
        </w:rPr>
        <w:tab/>
        <w:t xml:space="preserve">με ισχύ από [ΗΗ/MM]ΕΕΕΕ έως [ΗΗ/MM]ΕΕΕΕ </w:t>
      </w:r>
    </w:p>
    <w:p>
      <w:pPr>
        <w:rPr>
          <w:rFonts w:eastAsia="Times New Roman"/>
          <w:noProof/>
        </w:rPr>
      </w:pPr>
      <w:r>
        <w:rPr>
          <w:noProof/>
        </w:rPr>
        <w:sym w:font="Wingdings" w:char="F0A8"/>
      </w:r>
      <w:r>
        <w:rPr>
          <w:noProof/>
        </w:rPr>
        <w:tab/>
        <w:t xml:space="preserve">Δημοσιονομικές επιπτώσεις από το ΕΕΕΕ έως το ΕΕΕΕ για πιστώσεις ανάληψης υποχρεώσεων και από το ΕΕΕΕ έως το ΕΕΕΕ για πιστώσεις πληρωμών. </w:t>
      </w:r>
    </w:p>
    <w:p>
      <w:pPr>
        <w:ind w:left="850"/>
        <w:rPr>
          <w:noProof/>
        </w:rPr>
      </w:pPr>
      <w:r>
        <w:rPr>
          <w:noProof/>
        </w:rPr>
        <w:t xml:space="preserve">X </w:t>
      </w:r>
      <w:r>
        <w:rPr>
          <w:b/>
          <w:noProof/>
        </w:rPr>
        <w:t>απεριόριστη διάρκεια</w:t>
      </w:r>
    </w:p>
    <w:p>
      <w:pPr>
        <w:rPr>
          <w:rFonts w:eastAsia="Times New Roman"/>
          <w:noProof/>
        </w:rPr>
      </w:pPr>
      <w:r>
        <w:rPr>
          <w:noProof/>
        </w:rPr>
        <w:t>Περίοδος σταδιακής εφαρμογής από το 2021 και μετέπειτα,</w:t>
      </w:r>
    </w:p>
    <w:p>
      <w:pPr>
        <w:rPr>
          <w:rFonts w:eastAsia="Times New Roman"/>
          <w:noProof/>
        </w:rPr>
      </w:pPr>
      <w:r>
        <w:rPr>
          <w:noProof/>
        </w:rPr>
        <w:t>και στη συνέχεια πλήρης εφαρμογή.</w:t>
      </w:r>
    </w:p>
    <w:p>
      <w:pPr>
        <w:keepNext/>
        <w:outlineLvl w:val="1"/>
        <w:rPr>
          <w:rFonts w:eastAsiaTheme="majorEastAsia"/>
          <w:b/>
          <w:bCs/>
          <w:noProof/>
          <w:szCs w:val="26"/>
        </w:rPr>
      </w:pPr>
      <w:bookmarkStart w:id="25" w:name="_Toc514941981"/>
      <w:bookmarkStart w:id="26" w:name="_Toc40376070"/>
      <w:r>
        <w:rPr>
          <w:b/>
          <w:bCs/>
          <w:noProof/>
          <w:szCs w:val="26"/>
        </w:rPr>
        <w:t>Προβλεπόμενοι τρόποι διαχείρισης</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 xml:space="preserve">X </w:t>
      </w:r>
      <w:r>
        <w:rPr>
          <w:b/>
          <w:noProof/>
        </w:rPr>
        <w:t>Άμεση διαχείριση</w:t>
      </w:r>
      <w:r>
        <w:rPr>
          <w:noProof/>
        </w:rPr>
        <w:t xml:space="preserve"> από την Επιτροπή</w:t>
      </w:r>
    </w:p>
    <w:p>
      <w:pPr>
        <w:rPr>
          <w:rFonts w:eastAsia="Times New Roman" w:cs="EUAlbertina"/>
          <w:noProof/>
        </w:rPr>
      </w:pPr>
      <w:r>
        <w:rPr>
          <w:noProof/>
        </w:rPr>
        <w:t xml:space="preserve">X από τις υπηρεσίες της, συμπεριλαμβανομένου του προσωπικού της στις αντιπροσωπείες της Ένωσης </w:t>
      </w:r>
    </w:p>
    <w:p>
      <w:pPr>
        <w:rPr>
          <w:rFonts w:eastAsia="Times New Roman"/>
          <w:noProof/>
        </w:rPr>
      </w:pPr>
      <w:r>
        <w:rPr>
          <w:noProof/>
        </w:rPr>
        <w:t>X</w:t>
      </w:r>
      <w:r>
        <w:rPr>
          <w:noProof/>
        </w:rPr>
        <w:tab/>
        <w:t xml:space="preserve">από τους εκτελεστικούς οργανισμούς </w:t>
      </w:r>
    </w:p>
    <w:p>
      <w:pPr>
        <w:ind w:left="850"/>
        <w:rPr>
          <w:noProof/>
        </w:rPr>
      </w:pPr>
      <w:r>
        <w:rPr>
          <w:noProof/>
        </w:rPr>
        <w:sym w:font="Wingdings" w:char="F0A8"/>
      </w:r>
      <w:r>
        <w:rPr>
          <w:b/>
          <w:i/>
          <w:noProof/>
        </w:rPr>
        <w:t xml:space="preserve"> </w:t>
      </w:r>
      <w:r>
        <w:rPr>
          <w:b/>
          <w:noProof/>
        </w:rPr>
        <w:t xml:space="preserve">Επιμερισμένη διαχείριση </w:t>
      </w:r>
      <w:r>
        <w:rPr>
          <w:noProof/>
        </w:rPr>
        <w:t xml:space="preserve">με τα κράτη μέλη </w:t>
      </w:r>
    </w:p>
    <w:p>
      <w:pPr>
        <w:ind w:left="850"/>
        <w:rPr>
          <w:noProof/>
        </w:rPr>
      </w:pPr>
      <w:r>
        <w:rPr>
          <w:noProof/>
        </w:rPr>
        <w:t xml:space="preserve">X </w:t>
      </w:r>
      <w:r>
        <w:rPr>
          <w:b/>
          <w:noProof/>
        </w:rPr>
        <w:t>Έμμεση διαχείριση</w:t>
      </w:r>
      <w:r>
        <w:rPr>
          <w:noProof/>
        </w:rPr>
        <w:t xml:space="preserve"> με ανάθεση καθηκόντων εκτέλεσης του προϋπολογισμού:</w:t>
      </w:r>
    </w:p>
    <w:p>
      <w:pPr>
        <w:rPr>
          <w:rFonts w:eastAsia="Times New Roman"/>
          <w:noProof/>
        </w:rPr>
      </w:pPr>
      <w:r>
        <w:rPr>
          <w:noProof/>
        </w:rPr>
        <w:t>Χ σε τρίτες χώρες ή οργανισμούς που αυτές έχουν ορίσει</w:t>
      </w:r>
    </w:p>
    <w:p>
      <w:pPr>
        <w:rPr>
          <w:rFonts w:eastAsia="Times New Roman"/>
          <w:noProof/>
        </w:rPr>
      </w:pPr>
      <w:r>
        <w:rPr>
          <w:noProof/>
        </w:rPr>
        <w:t>X σε διεθνείς οργανισμούς και στις οργανώσεις τους (να προσδιοριστούν)</w:t>
      </w:r>
    </w:p>
    <w:p>
      <w:pPr>
        <w:rPr>
          <w:rFonts w:eastAsia="Times New Roman"/>
          <w:noProof/>
        </w:rPr>
      </w:pPr>
      <w:r>
        <w:rPr>
          <w:noProof/>
        </w:rPr>
        <w:t>Χ στην ΕΤΕπ και στο Ευρωπαϊκό Ταμείο Επενδύσεων</w:t>
      </w:r>
    </w:p>
    <w:p>
      <w:pPr>
        <w:rPr>
          <w:rFonts w:eastAsia="Times New Roman"/>
          <w:noProof/>
        </w:rPr>
      </w:pPr>
      <w:r>
        <w:rPr>
          <w:noProof/>
        </w:rPr>
        <w:t>X στους οργανισμούς που αναφέρονται στα άρθρα 70 και 71 του δημοσιονομικού κανονισμού</w:t>
      </w:r>
    </w:p>
    <w:p>
      <w:pPr>
        <w:rPr>
          <w:rFonts w:eastAsia="Times New Roman"/>
          <w:noProof/>
        </w:rPr>
      </w:pPr>
      <w:r>
        <w:rPr>
          <w:noProof/>
        </w:rPr>
        <w:t>X σε οργανισμούς δημοσίου δικαίου</w:t>
      </w:r>
    </w:p>
    <w:p>
      <w:pPr>
        <w:rPr>
          <w:rFonts w:eastAsia="Times New Roman"/>
          <w:noProof/>
        </w:rPr>
      </w:pPr>
      <w:r>
        <w:rPr>
          <w:noProof/>
        </w:rPr>
        <w:t>X σε οργανισμούς που διέπονται από ιδιωτικό δίκαιο και έχουν αποστολή δημόσιας υπηρεσίας, στον βαθμό που προσφέρουν επαρκείς οικονομικές εγγυήσεις</w:t>
      </w:r>
    </w:p>
    <w:p>
      <w:pPr>
        <w:rPr>
          <w:rFonts w:eastAsia="Times New Roman"/>
          <w:noProof/>
        </w:rPr>
      </w:pPr>
      <w:r>
        <w:rPr>
          <w:noProof/>
        </w:rPr>
        <w:t>X σε οργανισμούς που διέπονται από το ιδιωτικό δίκαιο κράτους μέλους, στους οποίους έχει ανατεθεί η εκτέλεση σύμπραξης δημόσιου και ιδιωτικού τομέα και οι οποίοι παρέχουν επαρκείς οικονομικές εγγυήσεις</w:t>
      </w:r>
    </w:p>
    <w:p>
      <w:pPr>
        <w:rPr>
          <w:rFonts w:eastAsia="Times New Roman"/>
          <w:noProof/>
        </w:rPr>
      </w:pPr>
      <w:r>
        <w:rPr>
          <w:noProof/>
        </w:rPr>
        <w:t>X σε πρόσωπα επιφορτισμένα με την εκτέλεση συγκεκριμένων δράσεων στην ΚΕΠΠΑ δυνάμει του τίτλου V της ΣΕΕ και τα οποία προσδιορίζονται στην αντίστοιχη βασική πράξη</w:t>
      </w:r>
    </w:p>
    <w:p>
      <w:pPr>
        <w:rPr>
          <w:noProof/>
        </w:rPr>
      </w:pPr>
      <w:r>
        <w:rPr>
          <w:noProof/>
        </w:rPr>
        <w:t>Παρατηρήσεις</w:t>
      </w:r>
    </w:p>
    <w:p>
      <w:pPr>
        <w:pBdr>
          <w:top w:val="single" w:sz="4" w:space="1" w:color="auto"/>
          <w:left w:val="single" w:sz="4" w:space="4" w:color="auto"/>
          <w:bottom w:val="single" w:sz="4" w:space="1" w:color="auto"/>
          <w:right w:val="single" w:sz="4" w:space="4" w:color="auto"/>
        </w:pBdr>
        <w:rPr>
          <w:noProof/>
        </w:rPr>
      </w:pPr>
      <w:r>
        <w:rPr>
          <w:noProof/>
        </w:rPr>
        <w:t>Η Επιτροπή μπορεί να αποφασίσει να αναθέσει μέρος της εφαρμογής της ενίσχυσης του προγράμματος «Ορίζων Ευρώπη» σε εκτελεστικό οργανισμό, σύμφωνα με τη μέθοδο διαχείρισης που έχει αποφασιστεί για τις δραστηριότητες που θα ενισχυθούν.</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ΜΕΤΡΑ ΔΙΑΧΕΙΡΙΣΗΣ</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Κανόνες παρακολούθησης και υποβολής εκθέσεων</w:t>
      </w:r>
      <w:bookmarkEnd w:id="31"/>
      <w:bookmarkEnd w:id="32"/>
      <w:bookmarkEnd w:id="33"/>
      <w:bookmarkEnd w:id="34"/>
      <w:r>
        <w:rPr>
          <w:b/>
          <w:bCs/>
          <w:noProof/>
          <w:szCs w:val="26"/>
        </w:rPr>
        <w:t xml:space="preserve"> </w:t>
      </w:r>
    </w:p>
    <w:p>
      <w:pPr>
        <w:ind w:left="850"/>
        <w:rPr>
          <w:i/>
          <w:noProof/>
          <w:sz w:val="20"/>
          <w:szCs w:val="20"/>
        </w:rPr>
      </w:pPr>
      <w:r>
        <w:rPr>
          <w:i/>
          <w:noProof/>
          <w:sz w:val="20"/>
          <w:szCs w:val="20"/>
        </w:rPr>
        <w:t>Να προσδιοριστούν η συχνότητα και οι όροι.</w:t>
      </w:r>
    </w:p>
    <w:p>
      <w:pPr>
        <w:pBdr>
          <w:top w:val="single" w:sz="4" w:space="1" w:color="auto"/>
          <w:left w:val="single" w:sz="4" w:space="4" w:color="auto"/>
          <w:bottom w:val="single" w:sz="4" w:space="1" w:color="auto"/>
          <w:right w:val="single" w:sz="4" w:space="4" w:color="auto"/>
        </w:pBdr>
        <w:ind w:left="850"/>
        <w:rPr>
          <w:noProof/>
        </w:rPr>
      </w:pPr>
      <w:r>
        <w:rPr>
          <w:noProof/>
          <w:color w:val="0000FF"/>
        </w:rPr>
        <w:t>Βλ. τα νομοθετικά δημοσιονομικά δελτία των προτάσεων της Επιτροπής: COM(2018) 460 final, COM(2018) 435 final, COM(2018) 436 final,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Σύστημα διαχείρισης και ελέγχου</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Βλ. τα νομοθετικά δημοσιονομικά δελτία των προτάσεων της Επιτροπής: COM(2018) 460 final, COM(2018) 435 final, COM(2018) 436 final,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Μέτρα για την πρόληψη περιπτώσεων απάτης και παρατυπίας</w:t>
      </w:r>
      <w:bookmarkEnd w:id="42"/>
      <w:bookmarkEnd w:id="43"/>
      <w:bookmarkEnd w:id="44"/>
      <w:bookmarkEnd w:id="45"/>
      <w:r>
        <w:rPr>
          <w:b/>
          <w:bCs/>
          <w:noProof/>
          <w:szCs w:val="26"/>
        </w:rPr>
        <w:t xml:space="preserve"> </w:t>
      </w:r>
    </w:p>
    <w:p>
      <w:pPr>
        <w:ind w:left="850"/>
        <w:rPr>
          <w:i/>
          <w:noProof/>
          <w:sz w:val="20"/>
          <w:szCs w:val="20"/>
        </w:rPr>
      </w:pPr>
      <w:r>
        <w:rPr>
          <w:i/>
          <w:noProof/>
          <w:sz w:val="20"/>
          <w:szCs w:val="20"/>
        </w:rPr>
        <w:t>Να προσδιοριστούν τα ισχύοντα ή τα προβλεπόμενα μέτρα πρόληψης και προστασίας, π.χ. στη στρατηγική για την καταπολέμηση της απάτης.</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Βλ. τα νομοθετικά δημοσιονομικά δελτία των προτάσεων της Επιτροπής: COM(2018) 460 final, COM(2018) 435 final, COM(2018) 436 final,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bookmarkStart w:id="46" w:name="_Toc40374726"/>
      <w:bookmarkStart w:id="47" w:name="_Toc40374727"/>
      <w:bookmarkStart w:id="48" w:name="_Toc514941989"/>
      <w:bookmarkStart w:id="49" w:name="_Toc40376075"/>
      <w:bookmarkEnd w:id="46"/>
      <w:bookmarkEnd w:id="47"/>
      <w:r>
        <w:rPr>
          <w:b/>
          <w:bCs/>
          <w:smallCaps/>
          <w:noProof/>
          <w:szCs w:val="28"/>
        </w:rPr>
        <w:t>ΕΚΤΙΜΩΜΕΝΕΣ ΔΗΜΟΣΙΟΝΟΜΙΚΕΣ ΕΠΙΠΤΩΣΕΙΣ ΤΗΣ ΠΡΟΤΑΣΗΣ/ΠΡΩΤΟΒΟΥΛΙΑΣ</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Τομείς του πολυετούς δημοσιονομικού πλαισίου και νέες γραμμές δαπανών του προϋπολογισμού που προτείνονται</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Τομέας του πολυετούς δημοσιονομικού πλαισίου</w:t>
            </w:r>
          </w:p>
        </w:tc>
        <w:tc>
          <w:tcPr>
            <w:tcW w:w="3960" w:type="dxa"/>
            <w:vAlign w:val="center"/>
          </w:tcPr>
          <w:p>
            <w:pPr>
              <w:spacing w:before="60" w:after="60"/>
              <w:jc w:val="center"/>
              <w:rPr>
                <w:noProof/>
              </w:rPr>
            </w:pPr>
            <w:r>
              <w:rPr>
                <w:noProof/>
                <w:sz w:val="20"/>
              </w:rPr>
              <w:t>Γραμμή του προϋπολογισμού</w:t>
            </w:r>
          </w:p>
        </w:tc>
        <w:tc>
          <w:tcPr>
            <w:tcW w:w="1080" w:type="dxa"/>
            <w:vAlign w:val="center"/>
          </w:tcPr>
          <w:p>
            <w:pPr>
              <w:spacing w:before="60" w:after="60"/>
              <w:jc w:val="center"/>
              <w:rPr>
                <w:noProof/>
              </w:rPr>
            </w:pPr>
            <w:r>
              <w:rPr>
                <w:noProof/>
                <w:sz w:val="18"/>
              </w:rPr>
              <w:t xml:space="preserve">Είδος </w:t>
            </w:r>
            <w:r>
              <w:rPr>
                <w:noProof/>
              </w:rPr>
              <w:t xml:space="preserve"> </w:t>
            </w:r>
            <w:r>
              <w:rPr>
                <w:noProof/>
              </w:rPr>
              <w:br/>
            </w:r>
            <w:r>
              <w:rPr>
                <w:noProof/>
                <w:sz w:val="18"/>
              </w:rPr>
              <w:t>δαπάνης</w:t>
            </w:r>
          </w:p>
        </w:tc>
        <w:tc>
          <w:tcPr>
            <w:tcW w:w="4440" w:type="dxa"/>
            <w:gridSpan w:val="4"/>
            <w:vAlign w:val="center"/>
          </w:tcPr>
          <w:p>
            <w:pPr>
              <w:spacing w:before="60" w:after="60"/>
              <w:jc w:val="center"/>
              <w:rPr>
                <w:noProof/>
              </w:rPr>
            </w:pPr>
            <w:r>
              <w:rPr>
                <w:noProof/>
                <w:sz w:val="20"/>
              </w:rPr>
              <w:t xml:space="preserve">Συμμετοχή </w:t>
            </w:r>
          </w:p>
        </w:tc>
      </w:tr>
      <w:tr>
        <w:tc>
          <w:tcPr>
            <w:tcW w:w="1080" w:type="dxa"/>
            <w:vAlign w:val="center"/>
          </w:tcPr>
          <w:p>
            <w:pPr>
              <w:jc w:val="center"/>
              <w:rPr>
                <w:noProof/>
              </w:rPr>
            </w:pPr>
          </w:p>
        </w:tc>
        <w:tc>
          <w:tcPr>
            <w:tcW w:w="3960" w:type="dxa"/>
            <w:vAlign w:val="center"/>
          </w:tcPr>
          <w:p>
            <w:pPr>
              <w:rPr>
                <w:b/>
                <w:noProof/>
                <w:sz w:val="20"/>
              </w:rPr>
            </w:pPr>
            <w:r>
              <w:rPr>
                <w:b/>
                <w:noProof/>
                <w:sz w:val="20"/>
              </w:rPr>
              <w:t>Τομέας 1. Ενιαία αγορά, καινοτομία και ψηφιακή οικονομία</w:t>
            </w:r>
          </w:p>
        </w:tc>
        <w:tc>
          <w:tcPr>
            <w:tcW w:w="1080" w:type="dxa"/>
            <w:vAlign w:val="center"/>
          </w:tcPr>
          <w:p>
            <w:pPr>
              <w:jc w:val="center"/>
              <w:rPr>
                <w:noProof/>
                <w:sz w:val="18"/>
              </w:rPr>
            </w:pPr>
            <w:r>
              <w:rPr>
                <w:noProof/>
                <w:sz w:val="18"/>
                <w:szCs w:val="18"/>
              </w:rPr>
              <w:t>ΔΠ/ΜΔΠ</w:t>
            </w:r>
            <w:r>
              <w:rPr>
                <w:rStyle w:val="FootnoteReference"/>
                <w:noProof/>
              </w:rPr>
              <w:footnoteReference w:id="6"/>
            </w:r>
          </w:p>
        </w:tc>
        <w:tc>
          <w:tcPr>
            <w:tcW w:w="1044" w:type="dxa"/>
            <w:vAlign w:val="center"/>
          </w:tcPr>
          <w:p>
            <w:pPr>
              <w:jc w:val="center"/>
              <w:rPr>
                <w:noProof/>
              </w:rPr>
            </w:pPr>
            <w:r>
              <w:rPr>
                <w:noProof/>
                <w:sz w:val="18"/>
                <w:szCs w:val="18"/>
              </w:rPr>
              <w:t>χωρών ΕΖΕΣ</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υποψηφίων για ένταξη χωρών</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τρίτων χωρών</w:t>
            </w:r>
          </w:p>
        </w:tc>
        <w:tc>
          <w:tcPr>
            <w:tcW w:w="1448" w:type="dxa"/>
            <w:vAlign w:val="center"/>
          </w:tcPr>
          <w:p>
            <w:pPr>
              <w:jc w:val="center"/>
              <w:rPr>
                <w:noProof/>
                <w:sz w:val="16"/>
              </w:rPr>
            </w:pPr>
            <w:r>
              <w:rPr>
                <w:noProof/>
                <w:sz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 xml:space="preserve">01 01 01 01, 01 01 01 02, 01 01 01 03, 01 01 01 61, 01 01 01 62, 01 01 01 62, 01 01 01 63, 01 01 01 64 Δαπάνες στήριξης για το πρόγραμμα «Ορίζων Ευρώπη», συμπεριλαμβανομένων των συνεισφορών σε εκτελεστικούς οργανισμούς για την </w:t>
            </w:r>
            <w:r>
              <w:rPr>
                <w:noProof/>
                <w:color w:val="0000FF"/>
                <w:sz w:val="22"/>
              </w:rPr>
              <w:lastRenderedPageBreak/>
              <w:t>εφαρμογή του προγράμματος</w:t>
            </w:r>
          </w:p>
          <w:p>
            <w:pPr>
              <w:rPr>
                <w:noProof/>
                <w:sz w:val="20"/>
              </w:rPr>
            </w:pPr>
          </w:p>
        </w:tc>
        <w:tc>
          <w:tcPr>
            <w:tcW w:w="1080" w:type="dxa"/>
            <w:vAlign w:val="center"/>
          </w:tcPr>
          <w:p>
            <w:pPr>
              <w:jc w:val="center"/>
              <w:rPr>
                <w:noProof/>
                <w:sz w:val="22"/>
              </w:rPr>
            </w:pPr>
            <w:r>
              <w:rPr>
                <w:noProof/>
                <w:sz w:val="22"/>
              </w:rPr>
              <w:lastRenderedPageBreak/>
              <w:t>ΜΔΠ</w:t>
            </w:r>
          </w:p>
        </w:tc>
        <w:tc>
          <w:tcPr>
            <w:tcW w:w="1044" w:type="dxa"/>
            <w:vAlign w:val="center"/>
          </w:tcPr>
          <w:p>
            <w:pPr>
              <w:jc w:val="center"/>
              <w:rPr>
                <w:noProof/>
                <w:sz w:val="18"/>
              </w:rPr>
            </w:pPr>
            <w:r>
              <w:rPr>
                <w:noProof/>
                <w:sz w:val="22"/>
              </w:rPr>
              <w:t>ΝΑΙ</w:t>
            </w:r>
          </w:p>
        </w:tc>
        <w:tc>
          <w:tcPr>
            <w:tcW w:w="1134" w:type="dxa"/>
            <w:vAlign w:val="center"/>
          </w:tcPr>
          <w:p>
            <w:pPr>
              <w:jc w:val="center"/>
              <w:rPr>
                <w:noProof/>
                <w:sz w:val="18"/>
              </w:rPr>
            </w:pPr>
            <w:r>
              <w:rPr>
                <w:noProof/>
                <w:sz w:val="22"/>
              </w:rPr>
              <w:t>ΝΑΙ</w:t>
            </w:r>
          </w:p>
        </w:tc>
        <w:tc>
          <w:tcPr>
            <w:tcW w:w="814" w:type="dxa"/>
            <w:vAlign w:val="center"/>
          </w:tcPr>
          <w:p>
            <w:pPr>
              <w:jc w:val="center"/>
              <w:rPr>
                <w:noProof/>
                <w:sz w:val="18"/>
              </w:rPr>
            </w:pPr>
            <w:r>
              <w:rPr>
                <w:noProof/>
                <w:sz w:val="22"/>
              </w:rPr>
              <w:t>ΝΑΙ</w:t>
            </w:r>
          </w:p>
        </w:tc>
        <w:tc>
          <w:tcPr>
            <w:tcW w:w="1448" w:type="dxa"/>
            <w:vAlign w:val="center"/>
          </w:tcPr>
          <w:p>
            <w:pPr>
              <w:jc w:val="center"/>
              <w:rPr>
                <w:noProof/>
                <w:sz w:val="16"/>
              </w:rPr>
            </w:pPr>
            <w:r>
              <w:rPr>
                <w:noProof/>
                <w:sz w:val="22"/>
              </w:rPr>
              <w:t>ΌΧΙ</w:t>
            </w:r>
          </w:p>
        </w:tc>
      </w:tr>
      <w:tr>
        <w:tc>
          <w:tcPr>
            <w:tcW w:w="1080" w:type="dxa"/>
            <w:vAlign w:val="center"/>
          </w:tcPr>
          <w:p>
            <w:pPr>
              <w:jc w:val="center"/>
              <w:rPr>
                <w:noProof/>
                <w:color w:val="0000FF"/>
              </w:rPr>
            </w:pPr>
            <w:r>
              <w:rPr>
                <w:noProof/>
                <w:color w:val="0000FF"/>
              </w:rPr>
              <w:lastRenderedPageBreak/>
              <w:t>1</w:t>
            </w:r>
          </w:p>
        </w:tc>
        <w:tc>
          <w:tcPr>
            <w:tcW w:w="3960" w:type="dxa"/>
            <w:vAlign w:val="center"/>
          </w:tcPr>
          <w:p>
            <w:pPr>
              <w:spacing w:before="60"/>
              <w:rPr>
                <w:noProof/>
                <w:color w:val="0000FF"/>
                <w:sz w:val="22"/>
              </w:rPr>
            </w:pPr>
            <w:r>
              <w:rPr>
                <w:noProof/>
                <w:color w:val="0000FF"/>
                <w:sz w:val="22"/>
              </w:rPr>
              <w:t>01 02 02 10 Ομάδα Υγεία</w:t>
            </w:r>
          </w:p>
        </w:tc>
        <w:tc>
          <w:tcPr>
            <w:tcW w:w="1080" w:type="dxa"/>
            <w:vAlign w:val="center"/>
          </w:tcPr>
          <w:p>
            <w:pPr>
              <w:jc w:val="center"/>
              <w:rPr>
                <w:noProof/>
                <w:sz w:val="18"/>
              </w:rPr>
            </w:pPr>
            <w:r>
              <w:rPr>
                <w:noProof/>
                <w:sz w:val="22"/>
              </w:rPr>
              <w:t>ΔΠ</w:t>
            </w:r>
          </w:p>
        </w:tc>
        <w:tc>
          <w:tcPr>
            <w:tcW w:w="1044" w:type="dxa"/>
            <w:vAlign w:val="center"/>
          </w:tcPr>
          <w:p>
            <w:pPr>
              <w:jc w:val="center"/>
              <w:rPr>
                <w:noProof/>
                <w:sz w:val="18"/>
              </w:rPr>
            </w:pPr>
            <w:r>
              <w:rPr>
                <w:noProof/>
                <w:sz w:val="22"/>
              </w:rPr>
              <w:t>ΝΑΙ</w:t>
            </w:r>
          </w:p>
        </w:tc>
        <w:tc>
          <w:tcPr>
            <w:tcW w:w="1134" w:type="dxa"/>
            <w:vAlign w:val="center"/>
          </w:tcPr>
          <w:p>
            <w:pPr>
              <w:jc w:val="center"/>
              <w:rPr>
                <w:noProof/>
                <w:sz w:val="18"/>
              </w:rPr>
            </w:pPr>
            <w:r>
              <w:rPr>
                <w:noProof/>
                <w:sz w:val="22"/>
              </w:rPr>
              <w:t>ΝΑΙ</w:t>
            </w:r>
          </w:p>
        </w:tc>
        <w:tc>
          <w:tcPr>
            <w:tcW w:w="814" w:type="dxa"/>
            <w:vAlign w:val="center"/>
          </w:tcPr>
          <w:p>
            <w:pPr>
              <w:jc w:val="center"/>
              <w:rPr>
                <w:noProof/>
                <w:sz w:val="18"/>
              </w:rPr>
            </w:pPr>
            <w:r>
              <w:rPr>
                <w:noProof/>
                <w:sz w:val="22"/>
              </w:rPr>
              <w:t>ΝΑΙ</w:t>
            </w:r>
          </w:p>
        </w:tc>
        <w:tc>
          <w:tcPr>
            <w:tcW w:w="1448" w:type="dxa"/>
            <w:vAlign w:val="center"/>
          </w:tcPr>
          <w:p>
            <w:pPr>
              <w:jc w:val="center"/>
              <w:rPr>
                <w:noProof/>
                <w:sz w:val="16"/>
              </w:rPr>
            </w:pPr>
            <w:r>
              <w:rPr>
                <w:noProof/>
                <w:sz w:val="22"/>
              </w:rPr>
              <w:t>ΌΧΙ</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40 Ομάδα Ψηφιακές τεχνολογίες, βιομηχανία και διάστημα</w:t>
            </w:r>
          </w:p>
        </w:tc>
        <w:tc>
          <w:tcPr>
            <w:tcW w:w="1080" w:type="dxa"/>
            <w:vAlign w:val="center"/>
          </w:tcPr>
          <w:p>
            <w:pPr>
              <w:jc w:val="center"/>
              <w:rPr>
                <w:noProof/>
                <w:sz w:val="18"/>
              </w:rPr>
            </w:pPr>
            <w:r>
              <w:rPr>
                <w:noProof/>
                <w:sz w:val="22"/>
              </w:rPr>
              <w:t>ΔΠ</w:t>
            </w:r>
          </w:p>
        </w:tc>
        <w:tc>
          <w:tcPr>
            <w:tcW w:w="1044" w:type="dxa"/>
            <w:vAlign w:val="center"/>
          </w:tcPr>
          <w:p>
            <w:pPr>
              <w:jc w:val="center"/>
              <w:rPr>
                <w:noProof/>
                <w:sz w:val="18"/>
              </w:rPr>
            </w:pPr>
            <w:r>
              <w:rPr>
                <w:noProof/>
                <w:sz w:val="22"/>
              </w:rPr>
              <w:t>ΝΑΙ</w:t>
            </w:r>
          </w:p>
        </w:tc>
        <w:tc>
          <w:tcPr>
            <w:tcW w:w="1134" w:type="dxa"/>
            <w:vAlign w:val="center"/>
          </w:tcPr>
          <w:p>
            <w:pPr>
              <w:jc w:val="center"/>
              <w:rPr>
                <w:noProof/>
                <w:sz w:val="18"/>
              </w:rPr>
            </w:pPr>
            <w:r>
              <w:rPr>
                <w:noProof/>
                <w:sz w:val="22"/>
              </w:rPr>
              <w:t>ΝΑΙ</w:t>
            </w:r>
          </w:p>
        </w:tc>
        <w:tc>
          <w:tcPr>
            <w:tcW w:w="814" w:type="dxa"/>
            <w:vAlign w:val="center"/>
          </w:tcPr>
          <w:p>
            <w:pPr>
              <w:jc w:val="center"/>
              <w:rPr>
                <w:noProof/>
                <w:sz w:val="18"/>
              </w:rPr>
            </w:pPr>
            <w:r>
              <w:rPr>
                <w:noProof/>
                <w:sz w:val="22"/>
              </w:rPr>
              <w:t>ΝΑΙ</w:t>
            </w:r>
          </w:p>
        </w:tc>
        <w:tc>
          <w:tcPr>
            <w:tcW w:w="1448" w:type="dxa"/>
            <w:vAlign w:val="center"/>
          </w:tcPr>
          <w:p>
            <w:pPr>
              <w:jc w:val="center"/>
              <w:rPr>
                <w:noProof/>
                <w:sz w:val="16"/>
              </w:rPr>
            </w:pPr>
            <w:r>
              <w:rPr>
                <w:noProof/>
                <w:sz w:val="22"/>
              </w:rPr>
              <w:t>ΌΧΙ</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50 Ομάδα Κλίμα, ενέργεια και κινητικότητα</w:t>
            </w:r>
          </w:p>
        </w:tc>
        <w:tc>
          <w:tcPr>
            <w:tcW w:w="1080" w:type="dxa"/>
            <w:vAlign w:val="center"/>
          </w:tcPr>
          <w:p>
            <w:pPr>
              <w:jc w:val="center"/>
              <w:rPr>
                <w:noProof/>
                <w:sz w:val="18"/>
              </w:rPr>
            </w:pPr>
            <w:r>
              <w:rPr>
                <w:noProof/>
                <w:sz w:val="22"/>
              </w:rPr>
              <w:t>ΔΠ</w:t>
            </w:r>
          </w:p>
        </w:tc>
        <w:tc>
          <w:tcPr>
            <w:tcW w:w="1044" w:type="dxa"/>
            <w:vAlign w:val="center"/>
          </w:tcPr>
          <w:p>
            <w:pPr>
              <w:jc w:val="center"/>
              <w:rPr>
                <w:noProof/>
                <w:sz w:val="18"/>
              </w:rPr>
            </w:pPr>
            <w:r>
              <w:rPr>
                <w:noProof/>
                <w:sz w:val="22"/>
              </w:rPr>
              <w:t>ΝΑΙ</w:t>
            </w:r>
          </w:p>
        </w:tc>
        <w:tc>
          <w:tcPr>
            <w:tcW w:w="1134" w:type="dxa"/>
            <w:vAlign w:val="center"/>
          </w:tcPr>
          <w:p>
            <w:pPr>
              <w:jc w:val="center"/>
              <w:rPr>
                <w:noProof/>
                <w:sz w:val="18"/>
              </w:rPr>
            </w:pPr>
            <w:r>
              <w:rPr>
                <w:noProof/>
                <w:sz w:val="22"/>
              </w:rPr>
              <w:t>ΝΑΙ</w:t>
            </w:r>
          </w:p>
        </w:tc>
        <w:tc>
          <w:tcPr>
            <w:tcW w:w="814" w:type="dxa"/>
            <w:vAlign w:val="center"/>
          </w:tcPr>
          <w:p>
            <w:pPr>
              <w:jc w:val="center"/>
              <w:rPr>
                <w:noProof/>
                <w:sz w:val="18"/>
              </w:rPr>
            </w:pPr>
            <w:r>
              <w:rPr>
                <w:noProof/>
                <w:sz w:val="22"/>
              </w:rPr>
              <w:t>ΝΑΙ</w:t>
            </w:r>
          </w:p>
        </w:tc>
        <w:tc>
          <w:tcPr>
            <w:tcW w:w="1448" w:type="dxa"/>
            <w:vAlign w:val="center"/>
          </w:tcPr>
          <w:p>
            <w:pPr>
              <w:jc w:val="center"/>
              <w:rPr>
                <w:noProof/>
                <w:sz w:val="16"/>
              </w:rPr>
            </w:pPr>
            <w:r>
              <w:rPr>
                <w:noProof/>
                <w:sz w:val="22"/>
              </w:rPr>
              <w:t>ΌΧΙ</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Ευρωπαϊκό Συμβούλιο Καινοτομίας</w:t>
            </w:r>
          </w:p>
        </w:tc>
        <w:tc>
          <w:tcPr>
            <w:tcW w:w="1080" w:type="dxa"/>
            <w:vAlign w:val="center"/>
          </w:tcPr>
          <w:p>
            <w:pPr>
              <w:jc w:val="center"/>
              <w:rPr>
                <w:noProof/>
                <w:sz w:val="18"/>
              </w:rPr>
            </w:pPr>
            <w:r>
              <w:rPr>
                <w:noProof/>
                <w:sz w:val="22"/>
              </w:rPr>
              <w:t>ΔΠ</w:t>
            </w:r>
          </w:p>
        </w:tc>
        <w:tc>
          <w:tcPr>
            <w:tcW w:w="1044" w:type="dxa"/>
            <w:vAlign w:val="center"/>
          </w:tcPr>
          <w:p>
            <w:pPr>
              <w:jc w:val="center"/>
              <w:rPr>
                <w:noProof/>
                <w:sz w:val="18"/>
              </w:rPr>
            </w:pPr>
            <w:r>
              <w:rPr>
                <w:noProof/>
                <w:sz w:val="22"/>
              </w:rPr>
              <w:t>ΝΑΙ</w:t>
            </w:r>
          </w:p>
        </w:tc>
        <w:tc>
          <w:tcPr>
            <w:tcW w:w="1134" w:type="dxa"/>
            <w:vAlign w:val="center"/>
          </w:tcPr>
          <w:p>
            <w:pPr>
              <w:jc w:val="center"/>
              <w:rPr>
                <w:noProof/>
                <w:sz w:val="18"/>
              </w:rPr>
            </w:pPr>
            <w:r>
              <w:rPr>
                <w:noProof/>
                <w:sz w:val="22"/>
              </w:rPr>
              <w:t>ΝΑΙ</w:t>
            </w:r>
          </w:p>
        </w:tc>
        <w:tc>
          <w:tcPr>
            <w:tcW w:w="814" w:type="dxa"/>
            <w:vAlign w:val="center"/>
          </w:tcPr>
          <w:p>
            <w:pPr>
              <w:jc w:val="center"/>
              <w:rPr>
                <w:noProof/>
                <w:sz w:val="18"/>
              </w:rPr>
            </w:pPr>
            <w:r>
              <w:rPr>
                <w:noProof/>
                <w:sz w:val="22"/>
              </w:rPr>
              <w:t>ΝΑΙ</w:t>
            </w:r>
          </w:p>
        </w:tc>
        <w:tc>
          <w:tcPr>
            <w:tcW w:w="1448" w:type="dxa"/>
            <w:vAlign w:val="center"/>
          </w:tcPr>
          <w:p>
            <w:pPr>
              <w:jc w:val="center"/>
              <w:rPr>
                <w:noProof/>
                <w:sz w:val="16"/>
              </w:rPr>
            </w:pPr>
            <w:r>
              <w:rPr>
                <w:noProof/>
                <w:sz w:val="22"/>
              </w:rPr>
              <w:t>ΌΧΙ</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Τομέας 3. Φυσικοί πόροι και περιβάλλον</w:t>
            </w:r>
          </w:p>
        </w:tc>
        <w:tc>
          <w:tcPr>
            <w:tcW w:w="1080" w:type="dxa"/>
            <w:vAlign w:val="center"/>
          </w:tcPr>
          <w:p>
            <w:pPr>
              <w:jc w:val="center"/>
              <w:rPr>
                <w:noProof/>
                <w:sz w:val="18"/>
                <w:szCs w:val="18"/>
              </w:rPr>
            </w:pPr>
            <w:r>
              <w:rPr>
                <w:noProof/>
                <w:sz w:val="18"/>
                <w:szCs w:val="18"/>
              </w:rPr>
              <w:t>ΔΠ/ΜΔΠ</w:t>
            </w:r>
            <w:r>
              <w:rPr>
                <w:rStyle w:val="FootnoteReference"/>
                <w:noProof/>
              </w:rPr>
              <w:footnoteReference w:id="9"/>
            </w:r>
          </w:p>
        </w:tc>
        <w:tc>
          <w:tcPr>
            <w:tcW w:w="1044" w:type="dxa"/>
            <w:vAlign w:val="center"/>
          </w:tcPr>
          <w:p>
            <w:pPr>
              <w:jc w:val="center"/>
              <w:rPr>
                <w:noProof/>
              </w:rPr>
            </w:pPr>
            <w:r>
              <w:rPr>
                <w:noProof/>
                <w:sz w:val="18"/>
                <w:szCs w:val="18"/>
              </w:rPr>
              <w:t>χωρών ΕΖΕΣ</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υποψηφίων για ένταξη χωρών</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τρίτων χωρών</w:t>
            </w:r>
          </w:p>
        </w:tc>
        <w:tc>
          <w:tcPr>
            <w:tcW w:w="1448" w:type="dxa"/>
            <w:vAlign w:val="center"/>
          </w:tcPr>
          <w:p>
            <w:pPr>
              <w:jc w:val="center"/>
              <w:rPr>
                <w:noProof/>
                <w:sz w:val="16"/>
                <w:szCs w:val="16"/>
              </w:rPr>
            </w:pPr>
            <w:r>
              <w:rPr>
                <w:noProof/>
                <w:sz w:val="16"/>
                <w:szCs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Δαπάνες στήριξης για το Ευρωπαϊκό Γεωργικό Ταμείο Αγροτικής Ανάπτυξης (ΕΓΤΑΑ)</w:t>
            </w:r>
          </w:p>
        </w:tc>
        <w:tc>
          <w:tcPr>
            <w:tcW w:w="1080" w:type="dxa"/>
            <w:vAlign w:val="center"/>
          </w:tcPr>
          <w:p>
            <w:pPr>
              <w:jc w:val="center"/>
              <w:rPr>
                <w:noProof/>
                <w:sz w:val="18"/>
                <w:szCs w:val="18"/>
              </w:rPr>
            </w:pPr>
            <w:r>
              <w:rPr>
                <w:noProof/>
                <w:sz w:val="22"/>
              </w:rPr>
              <w:t>ΜΔΠ</w:t>
            </w:r>
          </w:p>
        </w:tc>
        <w:tc>
          <w:tcPr>
            <w:tcW w:w="1044" w:type="dxa"/>
            <w:vAlign w:val="center"/>
          </w:tcPr>
          <w:p>
            <w:pPr>
              <w:jc w:val="center"/>
              <w:rPr>
                <w:noProof/>
                <w:sz w:val="18"/>
                <w:szCs w:val="18"/>
              </w:rPr>
            </w:pPr>
            <w:r>
              <w:rPr>
                <w:noProof/>
                <w:sz w:val="22"/>
              </w:rPr>
              <w:t>ΌΧΙ</w:t>
            </w:r>
          </w:p>
        </w:tc>
        <w:tc>
          <w:tcPr>
            <w:tcW w:w="1134" w:type="dxa"/>
            <w:vAlign w:val="center"/>
          </w:tcPr>
          <w:p>
            <w:pPr>
              <w:jc w:val="center"/>
              <w:rPr>
                <w:noProof/>
                <w:sz w:val="18"/>
                <w:szCs w:val="18"/>
              </w:rPr>
            </w:pPr>
            <w:r>
              <w:rPr>
                <w:noProof/>
                <w:sz w:val="22"/>
              </w:rPr>
              <w:t>ΌΧΙ</w:t>
            </w:r>
          </w:p>
        </w:tc>
        <w:tc>
          <w:tcPr>
            <w:tcW w:w="814" w:type="dxa"/>
            <w:vAlign w:val="center"/>
          </w:tcPr>
          <w:p>
            <w:pPr>
              <w:jc w:val="center"/>
              <w:rPr>
                <w:noProof/>
                <w:sz w:val="18"/>
                <w:szCs w:val="18"/>
              </w:rPr>
            </w:pPr>
            <w:r>
              <w:rPr>
                <w:noProof/>
                <w:sz w:val="22"/>
              </w:rPr>
              <w:t>ΌΧΙ</w:t>
            </w:r>
          </w:p>
        </w:tc>
        <w:tc>
          <w:tcPr>
            <w:tcW w:w="1448" w:type="dxa"/>
            <w:vAlign w:val="center"/>
          </w:tcPr>
          <w:p>
            <w:pPr>
              <w:jc w:val="center"/>
              <w:rPr>
                <w:noProof/>
                <w:sz w:val="16"/>
                <w:szCs w:val="16"/>
              </w:rPr>
            </w:pPr>
            <w:r>
              <w:rPr>
                <w:noProof/>
                <w:sz w:val="22"/>
              </w:rPr>
              <w:t>ΌΧΙ</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 xml:space="preserve">08 03 01 03 Είδη παρεμβάσεων αγροτικής ανάπτυξης στο πλαίσιο των στρατηγικών σχεδίων της ΚΓΠ που χρηματοδοτούνται από το EURI  </w:t>
            </w:r>
          </w:p>
        </w:tc>
        <w:tc>
          <w:tcPr>
            <w:tcW w:w="1080" w:type="dxa"/>
            <w:vAlign w:val="center"/>
          </w:tcPr>
          <w:p>
            <w:pPr>
              <w:jc w:val="center"/>
              <w:rPr>
                <w:noProof/>
                <w:sz w:val="18"/>
                <w:szCs w:val="18"/>
              </w:rPr>
            </w:pPr>
            <w:r>
              <w:rPr>
                <w:noProof/>
                <w:sz w:val="22"/>
              </w:rPr>
              <w:t>ΔΠ</w:t>
            </w:r>
          </w:p>
        </w:tc>
        <w:tc>
          <w:tcPr>
            <w:tcW w:w="1044" w:type="dxa"/>
            <w:vAlign w:val="center"/>
          </w:tcPr>
          <w:p>
            <w:pPr>
              <w:jc w:val="center"/>
              <w:rPr>
                <w:noProof/>
                <w:sz w:val="18"/>
                <w:szCs w:val="18"/>
              </w:rPr>
            </w:pPr>
            <w:r>
              <w:rPr>
                <w:noProof/>
                <w:sz w:val="22"/>
              </w:rPr>
              <w:t>ΌΧΙ</w:t>
            </w:r>
          </w:p>
        </w:tc>
        <w:tc>
          <w:tcPr>
            <w:tcW w:w="1134" w:type="dxa"/>
            <w:vAlign w:val="center"/>
          </w:tcPr>
          <w:p>
            <w:pPr>
              <w:jc w:val="center"/>
              <w:rPr>
                <w:noProof/>
                <w:sz w:val="18"/>
                <w:szCs w:val="18"/>
              </w:rPr>
            </w:pPr>
            <w:r>
              <w:rPr>
                <w:noProof/>
                <w:sz w:val="22"/>
              </w:rPr>
              <w:t>ΌΧΙ</w:t>
            </w:r>
          </w:p>
        </w:tc>
        <w:tc>
          <w:tcPr>
            <w:tcW w:w="814" w:type="dxa"/>
            <w:vAlign w:val="center"/>
          </w:tcPr>
          <w:p>
            <w:pPr>
              <w:jc w:val="center"/>
              <w:rPr>
                <w:noProof/>
                <w:sz w:val="18"/>
                <w:szCs w:val="18"/>
              </w:rPr>
            </w:pPr>
            <w:r>
              <w:rPr>
                <w:noProof/>
                <w:sz w:val="22"/>
              </w:rPr>
              <w:t>ΌΧΙ</w:t>
            </w:r>
          </w:p>
        </w:tc>
        <w:tc>
          <w:tcPr>
            <w:tcW w:w="1448" w:type="dxa"/>
            <w:vAlign w:val="center"/>
          </w:tcPr>
          <w:p>
            <w:pPr>
              <w:jc w:val="center"/>
              <w:rPr>
                <w:noProof/>
                <w:sz w:val="16"/>
                <w:szCs w:val="16"/>
              </w:rPr>
            </w:pPr>
            <w:r>
              <w:rPr>
                <w:noProof/>
                <w:sz w:val="22"/>
              </w:rPr>
              <w:t>ΌΧΙ</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ΕΓΤΑΑ – Επιχειρησιακή τεχνική βοήθεια</w:t>
            </w:r>
          </w:p>
        </w:tc>
        <w:tc>
          <w:tcPr>
            <w:tcW w:w="1080" w:type="dxa"/>
            <w:vAlign w:val="center"/>
          </w:tcPr>
          <w:p>
            <w:pPr>
              <w:jc w:val="center"/>
              <w:rPr>
                <w:noProof/>
                <w:sz w:val="22"/>
              </w:rPr>
            </w:pPr>
            <w:r>
              <w:rPr>
                <w:noProof/>
                <w:sz w:val="22"/>
              </w:rPr>
              <w:t>ΔΠ</w:t>
            </w:r>
          </w:p>
        </w:tc>
        <w:tc>
          <w:tcPr>
            <w:tcW w:w="1044" w:type="dxa"/>
            <w:vAlign w:val="center"/>
          </w:tcPr>
          <w:p>
            <w:pPr>
              <w:jc w:val="center"/>
              <w:rPr>
                <w:noProof/>
                <w:sz w:val="22"/>
              </w:rPr>
            </w:pPr>
            <w:r>
              <w:rPr>
                <w:noProof/>
                <w:sz w:val="22"/>
              </w:rPr>
              <w:t>ΌΧΙ</w:t>
            </w:r>
          </w:p>
        </w:tc>
        <w:tc>
          <w:tcPr>
            <w:tcW w:w="1134" w:type="dxa"/>
            <w:vAlign w:val="center"/>
          </w:tcPr>
          <w:p>
            <w:pPr>
              <w:jc w:val="center"/>
              <w:rPr>
                <w:noProof/>
                <w:sz w:val="22"/>
              </w:rPr>
            </w:pPr>
            <w:r>
              <w:rPr>
                <w:noProof/>
                <w:sz w:val="22"/>
              </w:rPr>
              <w:t>ΌΧΙ</w:t>
            </w:r>
          </w:p>
        </w:tc>
        <w:tc>
          <w:tcPr>
            <w:tcW w:w="814" w:type="dxa"/>
            <w:vAlign w:val="center"/>
          </w:tcPr>
          <w:p>
            <w:pPr>
              <w:jc w:val="center"/>
              <w:rPr>
                <w:noProof/>
                <w:sz w:val="22"/>
              </w:rPr>
            </w:pPr>
            <w:r>
              <w:rPr>
                <w:noProof/>
                <w:sz w:val="22"/>
              </w:rPr>
              <w:t>ΌΧΙ</w:t>
            </w:r>
          </w:p>
        </w:tc>
        <w:tc>
          <w:tcPr>
            <w:tcW w:w="1448" w:type="dxa"/>
            <w:vAlign w:val="center"/>
          </w:tcPr>
          <w:p>
            <w:pPr>
              <w:jc w:val="center"/>
              <w:rPr>
                <w:noProof/>
                <w:sz w:val="22"/>
              </w:rPr>
            </w:pPr>
            <w:r>
              <w:rPr>
                <w:noProof/>
                <w:sz w:val="22"/>
              </w:rPr>
              <w:t>ΌΧΙ</w:t>
            </w:r>
          </w:p>
        </w:tc>
      </w:tr>
      <w:tr>
        <w:tc>
          <w:tcPr>
            <w:tcW w:w="1080" w:type="dxa"/>
            <w:vAlign w:val="center"/>
          </w:tcPr>
          <w:p>
            <w:pPr>
              <w:jc w:val="center"/>
              <w:rPr>
                <w:noProof/>
              </w:rPr>
            </w:pPr>
          </w:p>
        </w:tc>
        <w:tc>
          <w:tcPr>
            <w:tcW w:w="3960" w:type="dxa"/>
            <w:vAlign w:val="center"/>
          </w:tcPr>
          <w:p>
            <w:pPr>
              <w:rPr>
                <w:b/>
                <w:noProof/>
              </w:rPr>
            </w:pPr>
            <w:r>
              <w:rPr>
                <w:b/>
                <w:noProof/>
                <w:sz w:val="20"/>
              </w:rPr>
              <w:t>Τομέας 6. Γειτονικές χώρες και υπόλοιπος κόσμος</w:t>
            </w:r>
          </w:p>
        </w:tc>
        <w:tc>
          <w:tcPr>
            <w:tcW w:w="1080" w:type="dxa"/>
            <w:vAlign w:val="center"/>
          </w:tcPr>
          <w:p>
            <w:pPr>
              <w:jc w:val="center"/>
              <w:rPr>
                <w:noProof/>
              </w:rPr>
            </w:pPr>
            <w:r>
              <w:rPr>
                <w:noProof/>
                <w:sz w:val="18"/>
                <w:szCs w:val="18"/>
              </w:rPr>
              <w:t>ΔΠ/ΜΔΠ</w:t>
            </w:r>
            <w:r>
              <w:rPr>
                <w:rStyle w:val="FootnoteReference"/>
                <w:noProof/>
              </w:rPr>
              <w:footnoteReference w:id="12"/>
            </w:r>
          </w:p>
        </w:tc>
        <w:tc>
          <w:tcPr>
            <w:tcW w:w="1044" w:type="dxa"/>
            <w:vAlign w:val="center"/>
          </w:tcPr>
          <w:p>
            <w:pPr>
              <w:jc w:val="center"/>
              <w:rPr>
                <w:noProof/>
              </w:rPr>
            </w:pPr>
            <w:r>
              <w:rPr>
                <w:noProof/>
                <w:sz w:val="18"/>
                <w:szCs w:val="18"/>
              </w:rPr>
              <w:t>χωρών ΕΖΕΣ</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υποψηφίων για ένταξη χωρών</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τρίτων χωρών</w:t>
            </w:r>
          </w:p>
        </w:tc>
        <w:tc>
          <w:tcPr>
            <w:tcW w:w="1448" w:type="dxa"/>
            <w:vAlign w:val="center"/>
          </w:tcPr>
          <w:p>
            <w:pPr>
              <w:jc w:val="center"/>
              <w:rPr>
                <w:noProof/>
              </w:rPr>
            </w:pPr>
            <w:r>
              <w:rPr>
                <w:noProof/>
                <w:sz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Δαπάνες στήριξης για τον Μηχανισμό Γειτονίας, Ανάπτυξης και Διεθνούς Συνεργασίας</w:t>
            </w:r>
          </w:p>
          <w:p>
            <w:pPr>
              <w:spacing w:after="60"/>
              <w:rPr>
                <w:noProof/>
              </w:rPr>
            </w:pPr>
          </w:p>
        </w:tc>
        <w:tc>
          <w:tcPr>
            <w:tcW w:w="1080" w:type="dxa"/>
            <w:vAlign w:val="center"/>
          </w:tcPr>
          <w:p>
            <w:pPr>
              <w:jc w:val="center"/>
              <w:rPr>
                <w:noProof/>
                <w:color w:val="0000FF"/>
              </w:rPr>
            </w:pPr>
            <w:r>
              <w:rPr>
                <w:noProof/>
                <w:sz w:val="22"/>
              </w:rPr>
              <w:t>ΜΔΠ</w:t>
            </w:r>
          </w:p>
        </w:tc>
        <w:tc>
          <w:tcPr>
            <w:tcW w:w="1044" w:type="dxa"/>
            <w:vAlign w:val="center"/>
          </w:tcPr>
          <w:p>
            <w:pPr>
              <w:jc w:val="center"/>
              <w:rPr>
                <w:noProof/>
              </w:rPr>
            </w:pPr>
            <w:r>
              <w:rPr>
                <w:noProof/>
                <w:sz w:val="22"/>
              </w:rPr>
              <w:t>ΌΧΙ</w:t>
            </w:r>
          </w:p>
        </w:tc>
        <w:tc>
          <w:tcPr>
            <w:tcW w:w="1134" w:type="dxa"/>
            <w:vAlign w:val="center"/>
          </w:tcPr>
          <w:p>
            <w:pPr>
              <w:jc w:val="center"/>
              <w:rPr>
                <w:noProof/>
              </w:rPr>
            </w:pPr>
            <w:r>
              <w:rPr>
                <w:noProof/>
                <w:sz w:val="22"/>
              </w:rPr>
              <w:t>ΌΧΙ</w:t>
            </w:r>
          </w:p>
        </w:tc>
        <w:tc>
          <w:tcPr>
            <w:tcW w:w="814" w:type="dxa"/>
            <w:vAlign w:val="center"/>
          </w:tcPr>
          <w:p>
            <w:pPr>
              <w:jc w:val="center"/>
              <w:rPr>
                <w:noProof/>
              </w:rPr>
            </w:pPr>
            <w:r>
              <w:rPr>
                <w:noProof/>
                <w:sz w:val="22"/>
              </w:rPr>
              <w:t>ΌΧΙ</w:t>
            </w:r>
          </w:p>
        </w:tc>
        <w:tc>
          <w:tcPr>
            <w:tcW w:w="1448" w:type="dxa"/>
            <w:vAlign w:val="center"/>
          </w:tcPr>
          <w:p>
            <w:pPr>
              <w:jc w:val="center"/>
              <w:rPr>
                <w:noProof/>
              </w:rPr>
            </w:pPr>
            <w:r>
              <w:rPr>
                <w:noProof/>
                <w:sz w:val="22"/>
              </w:rPr>
              <w:t>ΌΧΙ</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Προβλέψεις EURI για την εγγύηση εξωτερικής δράσης</w:t>
            </w:r>
          </w:p>
        </w:tc>
        <w:tc>
          <w:tcPr>
            <w:tcW w:w="1080" w:type="dxa"/>
            <w:vAlign w:val="center"/>
          </w:tcPr>
          <w:p>
            <w:pPr>
              <w:jc w:val="center"/>
              <w:rPr>
                <w:noProof/>
                <w:sz w:val="22"/>
              </w:rPr>
            </w:pPr>
            <w:r>
              <w:rPr>
                <w:noProof/>
                <w:sz w:val="22"/>
              </w:rPr>
              <w:t>ΔΠ</w:t>
            </w:r>
          </w:p>
        </w:tc>
        <w:tc>
          <w:tcPr>
            <w:tcW w:w="1044" w:type="dxa"/>
            <w:vAlign w:val="center"/>
          </w:tcPr>
          <w:p>
            <w:pPr>
              <w:jc w:val="center"/>
              <w:rPr>
                <w:noProof/>
                <w:sz w:val="22"/>
              </w:rPr>
            </w:pPr>
            <w:r>
              <w:rPr>
                <w:noProof/>
                <w:sz w:val="22"/>
              </w:rPr>
              <w:t>ΝΑΙ</w:t>
            </w:r>
          </w:p>
        </w:tc>
        <w:tc>
          <w:tcPr>
            <w:tcW w:w="1134" w:type="dxa"/>
            <w:vAlign w:val="center"/>
          </w:tcPr>
          <w:p>
            <w:pPr>
              <w:jc w:val="center"/>
              <w:rPr>
                <w:noProof/>
                <w:sz w:val="22"/>
              </w:rPr>
            </w:pPr>
            <w:r>
              <w:rPr>
                <w:noProof/>
                <w:sz w:val="22"/>
              </w:rPr>
              <w:t>ΝΑΙ</w:t>
            </w:r>
          </w:p>
        </w:tc>
        <w:tc>
          <w:tcPr>
            <w:tcW w:w="814" w:type="dxa"/>
            <w:vAlign w:val="center"/>
          </w:tcPr>
          <w:p>
            <w:pPr>
              <w:jc w:val="center"/>
              <w:rPr>
                <w:noProof/>
                <w:sz w:val="22"/>
              </w:rPr>
            </w:pPr>
            <w:r>
              <w:rPr>
                <w:noProof/>
                <w:sz w:val="22"/>
              </w:rPr>
              <w:t>ΝΑΙ</w:t>
            </w:r>
          </w:p>
        </w:tc>
        <w:tc>
          <w:tcPr>
            <w:tcW w:w="1448" w:type="dxa"/>
            <w:vAlign w:val="center"/>
          </w:tcPr>
          <w:p>
            <w:pPr>
              <w:jc w:val="center"/>
              <w:rPr>
                <w:noProof/>
                <w:sz w:val="22"/>
              </w:rPr>
            </w:pPr>
            <w:r>
              <w:rPr>
                <w:noProof/>
                <w:sz w:val="22"/>
              </w:rPr>
              <w:t>ΌΧΙ</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Εκτιμώμενες επιπτώσεις στις δαπάνες</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Συνοπτική παρουσίαση των εκτιμώμενων επιπτώσεων στις δαπάνες</w:t>
      </w:r>
      <w:bookmarkEnd w:id="54"/>
      <w:bookmarkEnd w:id="55"/>
      <w:r>
        <w:rPr>
          <w:bCs/>
          <w:i/>
          <w:noProof/>
        </w:rPr>
        <w:t xml:space="preserve"> </w:t>
      </w:r>
    </w:p>
    <w:p>
      <w:pPr>
        <w:jc w:val="right"/>
        <w:rPr>
          <w:noProof/>
          <w:sz w:val="20"/>
        </w:rPr>
      </w:pPr>
      <w:r>
        <w:rPr>
          <w:noProof/>
          <w:sz w:val="20"/>
        </w:rPr>
        <w:t>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rPr>
              <w:t>Τομέας του πολυετούς δημοσιονομικού</w:t>
            </w:r>
            <w:r>
              <w:rPr>
                <w:b/>
                <w:noProof/>
                <w:sz w:val="22"/>
              </w:rPr>
              <w:t xml:space="preserve"> </w:t>
            </w:r>
            <w:r>
              <w:rPr>
                <w:noProof/>
              </w:rPr>
              <w:t xml:space="preserve"> </w:t>
            </w:r>
            <w:r>
              <w:rPr>
                <w:noProof/>
              </w:rPr>
              <w:br/>
            </w:r>
            <w:r>
              <w:rPr>
                <w:b/>
                <w:noProof/>
                <w:sz w:val="22"/>
              </w:rPr>
              <w:t xml:space="preserve">πλαισίου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sz w:val="22"/>
              </w:rPr>
              <w:t>[Τομέας 1 - Ενιαία αγορά, καινοτομία και ψηφιακή οικονομία, Τομέας 3 - Φυσικοί πόροι και περιβάλλον, Τομέας 6 - Γειτονικές χώρες και υπόλοιπος κόσμος]</w:t>
            </w:r>
          </w:p>
        </w:tc>
      </w:tr>
    </w:tbl>
    <w:p>
      <w:pPr>
        <w:rPr>
          <w:i/>
          <w:iCs/>
          <w:noProof/>
        </w:rPr>
      </w:pPr>
    </w:p>
    <w:p>
      <w:pPr>
        <w:rPr>
          <w:i/>
          <w:noProof/>
        </w:rPr>
      </w:pPr>
      <w:r>
        <w:rPr>
          <w:i/>
          <w:iCs/>
          <w:noProof/>
        </w:rPr>
        <w:t>Εκτός από το χρηματοδοτικό κονδύλιο που ορίζεται στο</w:t>
      </w:r>
      <w:r>
        <w:rPr>
          <w:i/>
          <w:noProof/>
        </w:rPr>
        <w:t xml:space="preserve"> άρθρο 9 του προτεινόμενου κανονισμού COM(2018) 435 («</w:t>
      </w:r>
      <w:r>
        <w:rPr>
          <w:i/>
          <w:iCs/>
          <w:noProof/>
        </w:rPr>
        <w:t>κανονισμός για το πρόγραμμα-πλαίσιο Ορίζων Ευρώπη») και στο άρθρο 4 της προτεινόμενης απόφασης σχετικά με το ειδικό πρόγραμμα Ορίζων Ευρώπη, ποσό 14 647 εκατ. EUR (σε τρέχουσες τιμές) θα διατεθεί ως εξωτερικά έσοδα για ειδικό προορισμό, κατά την έννοια του άρθρου 21 παράγραφος 5 του δημοσιονομικού κανονισμού, ως χρηματοδότηση από το Μέσο Ανάκαμψης της Ευρωπαϊκής Ένωσης. Από το ποσό αυτό, ποσό έως 689,160 εκατ. EUR μπορεί να προορίζεται για διοικητικές δαπάνες, συμπεριλαμβανομένων των δαπανών εξωτερικού προσωπικού.</w:t>
      </w:r>
    </w:p>
    <w:p>
      <w:pPr>
        <w:rPr>
          <w:i/>
          <w:noProof/>
        </w:rPr>
      </w:pPr>
      <w:r>
        <w:rPr>
          <w:i/>
          <w:noProof/>
        </w:rPr>
        <w:t>Η ενδεικτική κατανομή των δαπανών από τα εξωτερικά έσοδα για ειδικό προορισμό έχει ως εξής:</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[Ορίζων Ευρώπη]</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033" w:type="dxa"/>
          </w:tcPr>
          <w:p>
            <w:pPr>
              <w:jc w:val="center"/>
              <w:rPr>
                <w:b/>
                <w:noProof/>
                <w:sz w:val="20"/>
              </w:rPr>
            </w:pPr>
            <w:r>
              <w:rPr>
                <w:b/>
                <w:i/>
                <w:noProof/>
                <w:sz w:val="20"/>
              </w:rPr>
              <w:t>Μετά το 2027</w:t>
            </w:r>
          </w:p>
        </w:tc>
        <w:tc>
          <w:tcPr>
            <w:tcW w:w="1127" w:type="dxa"/>
            <w:vAlign w:val="center"/>
          </w:tcPr>
          <w:p>
            <w:pPr>
              <w:jc w:val="center"/>
              <w:rPr>
                <w:b/>
                <w:noProof/>
                <w:sz w:val="20"/>
              </w:rPr>
            </w:pPr>
            <w:r>
              <w:rPr>
                <w:b/>
                <w:noProof/>
                <w:sz w:val="20"/>
              </w:rPr>
              <w:t>ΣΥΝΟΛΟ</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Επιχειρησιακές δαπάνες από εξωτερικά έσοδα για ειδικό προορισμό του EURI</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Δαπάνες διοικητικής στήριξης από εξωτερικά έσοδα για ειδικό προορισμό του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Αναλήψεις υποχρεώσεων = Πληρωμές</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Σύνολο εξωτερικών εσόδων για ειδικό προορισμό</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iCs/>
          <w:noProof/>
        </w:rPr>
        <w:t>Εκτός από το χρηματοδοτικό κονδύλιο που ορίζεται στο</w:t>
      </w:r>
      <w:r>
        <w:rPr>
          <w:i/>
          <w:noProof/>
        </w:rPr>
        <w:t xml:space="preserve"> </w:t>
      </w:r>
      <w:r>
        <w:rPr>
          <w:i/>
          <w:iCs/>
          <w:noProof/>
        </w:rPr>
        <w:t>άρθρο 83 του προτεινόμενου κανονισμού COM(2018) 392 (παρεμβάσεις του ΕΓΤΑΑ βάσει των στρατηγικών σχεδίων της ΚΓΠ), ποσό 16 483 εκατ. EUR (σε τρέχουσες τιμές) θα διατεθεί ως εξωτερικά έσοδα για ειδικό προορισμό για την περίοδο 2022-2024</w:t>
      </w:r>
      <w:r>
        <w:rPr>
          <w:rStyle w:val="FootnoteReference"/>
          <w:i/>
          <w:iCs/>
          <w:noProof/>
        </w:rPr>
        <w:footnoteReference w:id="15"/>
      </w:r>
      <w:r>
        <w:rPr>
          <w:i/>
          <w:iCs/>
          <w:noProof/>
        </w:rPr>
        <w:t>, κατά την έννοια του άρθρου 21 παράγραφος 5 του δημοσιονομικού κανονισμού, ως χρηματοδότηση από το Μέσο Ανάκαμψης της Ευρωπαϊκής Ένωσης. Από το ποσό αυτό, ποσό έως 6,000 εκατ. EUR μπορεί να προορίζεται για διοικητικές δαπάνες, συμπεριλαμβανομένων των δαπανών εξωτερικού προσωπικού. Η επιχειρησιακή τεχνική βοήθεια περιλαμβάνεται στο ποσό για τις επιχειρησιακές δαπάνες και θα υπολογιστεί όταν θα κατανεμηθούν οι πρόσθετοι πόροι που αναφέρονται στην παράγραφο 1 για κάθε κράτος μέλος, σύμφωνα με το άρθρο 83 παράγραφος 3 του COM(2018) 392.</w:t>
      </w:r>
    </w:p>
    <w:p>
      <w:pPr>
        <w:rPr>
          <w:i/>
          <w:noProof/>
        </w:rPr>
      </w:pPr>
      <w:r>
        <w:rPr>
          <w:i/>
          <w:noProof/>
        </w:rPr>
        <w:t>Η ενδεικτική κατανομή των δαπανών από τα εξωτερικά έσοδα για ειδικό προορισμό έχει ως εξής:</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[ΕΓΤΑΑ]</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w:t>
            </w:r>
          </w:p>
        </w:tc>
        <w:tc>
          <w:tcPr>
            <w:tcW w:w="990" w:type="dxa"/>
            <w:vAlign w:val="center"/>
          </w:tcPr>
          <w:p>
            <w:pPr>
              <w:jc w:val="center"/>
              <w:rPr>
                <w:noProof/>
                <w:sz w:val="20"/>
                <w:szCs w:val="20"/>
              </w:rPr>
            </w:pPr>
            <w:r>
              <w:rPr>
                <w:b/>
                <w:noProof/>
                <w:sz w:val="20"/>
                <w:szCs w:val="20"/>
              </w:rPr>
              <w:t>2022</w:t>
            </w:r>
          </w:p>
        </w:tc>
        <w:tc>
          <w:tcPr>
            <w:tcW w:w="990" w:type="dxa"/>
            <w:vAlign w:val="center"/>
          </w:tcPr>
          <w:p>
            <w:pPr>
              <w:jc w:val="center"/>
              <w:rPr>
                <w:noProof/>
                <w:sz w:val="20"/>
                <w:szCs w:val="20"/>
              </w:rPr>
            </w:pPr>
            <w:r>
              <w:rPr>
                <w:b/>
                <w:noProof/>
                <w:sz w:val="20"/>
                <w:szCs w:val="20"/>
              </w:rPr>
              <w:t>2023</w:t>
            </w:r>
          </w:p>
        </w:tc>
        <w:tc>
          <w:tcPr>
            <w:tcW w:w="976" w:type="dxa"/>
            <w:vAlign w:val="center"/>
          </w:tcPr>
          <w:p>
            <w:pPr>
              <w:jc w:val="center"/>
              <w:rPr>
                <w:noProof/>
                <w:sz w:val="20"/>
                <w:szCs w:val="20"/>
              </w:rPr>
            </w:pPr>
            <w:r>
              <w:rPr>
                <w:b/>
                <w:noProof/>
                <w:sz w:val="20"/>
                <w:szCs w:val="20"/>
              </w:rPr>
              <w:t>2024</w:t>
            </w:r>
          </w:p>
        </w:tc>
        <w:tc>
          <w:tcPr>
            <w:tcW w:w="1004" w:type="dxa"/>
            <w:vAlign w:val="center"/>
          </w:tcPr>
          <w:p>
            <w:pPr>
              <w:jc w:val="center"/>
              <w:rPr>
                <w:b/>
                <w:noProof/>
                <w:sz w:val="20"/>
                <w:szCs w:val="20"/>
              </w:rPr>
            </w:pPr>
            <w:r>
              <w:rPr>
                <w:b/>
                <w:noProof/>
                <w:sz w:val="20"/>
                <w:szCs w:val="20"/>
              </w:rPr>
              <w:t>2025</w:t>
            </w:r>
          </w:p>
        </w:tc>
        <w:tc>
          <w:tcPr>
            <w:tcW w:w="990" w:type="dxa"/>
            <w:vAlign w:val="center"/>
          </w:tcPr>
          <w:p>
            <w:pPr>
              <w:jc w:val="center"/>
              <w:rPr>
                <w:b/>
                <w:noProof/>
                <w:sz w:val="20"/>
                <w:szCs w:val="20"/>
              </w:rPr>
            </w:pPr>
            <w:r>
              <w:rPr>
                <w:b/>
                <w:noProof/>
                <w:sz w:val="20"/>
                <w:szCs w:val="20"/>
              </w:rPr>
              <w:t>2026</w:t>
            </w:r>
          </w:p>
        </w:tc>
        <w:tc>
          <w:tcPr>
            <w:tcW w:w="990" w:type="dxa"/>
            <w:vAlign w:val="center"/>
          </w:tcPr>
          <w:p>
            <w:pPr>
              <w:jc w:val="center"/>
              <w:rPr>
                <w:b/>
                <w:noProof/>
                <w:sz w:val="20"/>
                <w:szCs w:val="20"/>
              </w:rPr>
            </w:pPr>
            <w:r>
              <w:rPr>
                <w:b/>
                <w:noProof/>
                <w:sz w:val="20"/>
                <w:szCs w:val="20"/>
              </w:rPr>
              <w:t>2027</w:t>
            </w:r>
          </w:p>
        </w:tc>
        <w:tc>
          <w:tcPr>
            <w:tcW w:w="1033" w:type="dxa"/>
          </w:tcPr>
          <w:p>
            <w:pPr>
              <w:jc w:val="center"/>
              <w:rPr>
                <w:b/>
                <w:noProof/>
                <w:sz w:val="20"/>
                <w:szCs w:val="20"/>
              </w:rPr>
            </w:pPr>
            <w:r>
              <w:rPr>
                <w:b/>
                <w:i/>
                <w:noProof/>
                <w:sz w:val="20"/>
                <w:szCs w:val="20"/>
              </w:rPr>
              <w:t>Μετά το 2027</w:t>
            </w:r>
          </w:p>
        </w:tc>
        <w:tc>
          <w:tcPr>
            <w:tcW w:w="1127" w:type="dxa"/>
            <w:vAlign w:val="center"/>
          </w:tcPr>
          <w:p>
            <w:pPr>
              <w:jc w:val="center"/>
              <w:rPr>
                <w:b/>
                <w:noProof/>
                <w:sz w:val="20"/>
                <w:szCs w:val="20"/>
              </w:rPr>
            </w:pPr>
            <w:r>
              <w:rPr>
                <w:b/>
                <w:noProof/>
                <w:sz w:val="20"/>
                <w:szCs w:val="20"/>
              </w:rPr>
              <w:t>ΣΥΝΟΛΟ</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Επιχειρησιακές δαπάνες που χρηματοδοτούνται από εξωτερικά έσοδα για ειδικό προορισμό του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ΕΓΤΑΑ – Επιχειρησιακή τεχνική βοήθεια (συνεισφορά από εξωτερικά έσοδα για ειδικό προορισμό του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π.υ.</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π.υ.</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π.υ.</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π.υ.</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π.υ.</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Δαπάνες διοικητικής στήριξης (συνεισφορά από εξωτερικά έσοδα για ειδικό προορισμό του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Αναλήψεις υποχρεώσεων = Πληρωμές</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 xml:space="preserve">Σύνολο εξωτερικών εσόδων για ειδικό </w:t>
            </w:r>
            <w:r>
              <w:rPr>
                <w:noProof/>
                <w:sz w:val="22"/>
              </w:rPr>
              <w:lastRenderedPageBreak/>
              <w:t>προορισμό</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lastRenderedPageBreak/>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lastRenderedPageBreak/>
        <w:t>Εκτός από το χρηματοδοτικό κονδύλιο που ορίζεται στο άρθρο 6 του κανονισμού</w:t>
      </w:r>
      <w:r>
        <w:rPr>
          <w:noProof/>
        </w:rPr>
        <w:t xml:space="preserve"> </w:t>
      </w:r>
      <w:r>
        <w:rPr>
          <w:noProof/>
          <w:color w:val="0000FF"/>
        </w:rPr>
        <w:t>COM(2018) 460 final,</w:t>
      </w:r>
      <w:r>
        <w:rPr>
          <w:i/>
          <w:iCs/>
          <w:noProof/>
        </w:rPr>
        <w:t xml:space="preserve"> («NDICI»), ποσό 11 448,070 εκατ.  EUR (σε τρέχουσες τιμές) θα διατεθεί ως εξωτερικά έσοδα για ειδικό προορισμό, κατά την έννοια του άρθρου 21 παράγραφος 5 του δημοσιονομικού κανονισμού, ως χρηματοδότηση από το Μέσο Ανάκαμψης της Ευρωπαϊκής Ένωσης. Από το ποσό αυτό, ποσό έως 162,308 εκατ. EUR μπορεί να προορίζεται για διοικητικές δαπάνες, συμπεριλαμβανομένων των δαπανών εξωτερικού προσωπικού.</w:t>
      </w:r>
    </w:p>
    <w:p>
      <w:pPr>
        <w:rPr>
          <w:noProof/>
          <w:color w:val="0000FF"/>
        </w:rPr>
      </w:pPr>
    </w:p>
    <w:p>
      <w:pPr>
        <w:rPr>
          <w:i/>
          <w:noProof/>
        </w:rPr>
      </w:pPr>
      <w:r>
        <w:rPr>
          <w:i/>
          <w:noProof/>
        </w:rPr>
        <w:t>Η ενδεικτική κατανομή των δαπανών από τα εξωτερικά έσοδα για ειδικό προορισμό έχει ως εξής:</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[Εγγύηση εξωτερικής δράσης — NDICI]</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127" w:type="dxa"/>
            <w:vAlign w:val="center"/>
          </w:tcPr>
          <w:p>
            <w:pPr>
              <w:jc w:val="center"/>
              <w:rPr>
                <w:b/>
                <w:noProof/>
                <w:sz w:val="20"/>
              </w:rPr>
            </w:pPr>
            <w:r>
              <w:rPr>
                <w:b/>
                <w:noProof/>
                <w:sz w:val="20"/>
              </w:rPr>
              <w:t>ΣΥΝΟΛΟ</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Επιχειρησιακές δαπάνες από εξωτερικά έσοδα για ειδικό προορισμό του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Δαπάνες διοικητικής στήριξης από εξωτερικά έσοδα για ειδικό προορισμό του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Αναλήψεις υποχρεώσεων = Πληρωμές</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Σύνολο εξωτερικών εσόδων για ειδικό προορισμό</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Τομέας του πολυετούς δημοσιονομικού</w:t>
            </w:r>
            <w:r>
              <w:rPr>
                <w:b/>
                <w:noProof/>
                <w:sz w:val="22"/>
              </w:rPr>
              <w:t xml:space="preserve"> </w:t>
            </w:r>
            <w:r>
              <w:rPr>
                <w:noProof/>
              </w:rPr>
              <w:t xml:space="preserve"> </w:t>
            </w:r>
            <w:r>
              <w:rPr>
                <w:noProof/>
              </w:rPr>
              <w:br/>
            </w:r>
            <w:r>
              <w:rPr>
                <w:b/>
                <w:noProof/>
                <w:sz w:val="22"/>
              </w:rPr>
              <w:lastRenderedPageBreak/>
              <w:t xml:space="preserve">πλαισίου </w:t>
            </w:r>
          </w:p>
        </w:tc>
        <w:tc>
          <w:tcPr>
            <w:tcW w:w="1080" w:type="dxa"/>
            <w:shd w:val="thinDiagStripe" w:color="C0C0C0" w:fill="auto"/>
            <w:vAlign w:val="center"/>
          </w:tcPr>
          <w:p>
            <w:pPr>
              <w:spacing w:before="60" w:after="60"/>
              <w:jc w:val="center"/>
              <w:rPr>
                <w:noProof/>
              </w:rPr>
            </w:pPr>
            <w:r>
              <w:rPr>
                <w:noProof/>
              </w:rPr>
              <w:lastRenderedPageBreak/>
              <w:t>7</w:t>
            </w:r>
          </w:p>
        </w:tc>
        <w:tc>
          <w:tcPr>
            <w:tcW w:w="7817" w:type="dxa"/>
            <w:vAlign w:val="center"/>
          </w:tcPr>
          <w:p>
            <w:pPr>
              <w:spacing w:before="60" w:after="60"/>
              <w:rPr>
                <w:noProof/>
              </w:rPr>
            </w:pPr>
            <w:r>
              <w:rPr>
                <w:noProof/>
                <w:sz w:val="22"/>
              </w:rPr>
              <w:t>«Διοικητικές δαπάνες»</w:t>
            </w:r>
          </w:p>
        </w:tc>
      </w:tr>
    </w:tbl>
    <w:p>
      <w:pPr>
        <w:jc w:val="left"/>
        <w:rPr>
          <w:noProof/>
          <w:color w:val="0000FF"/>
        </w:rPr>
      </w:pPr>
    </w:p>
    <w:p>
      <w:pPr>
        <w:jc w:val="left"/>
        <w:rPr>
          <w:noProof/>
        </w:rPr>
      </w:pPr>
    </w:p>
    <w:p>
      <w:pPr>
        <w:jc w:val="right"/>
        <w:rPr>
          <w:noProof/>
          <w:sz w:val="20"/>
        </w:rPr>
      </w:pPr>
      <w:r>
        <w:rPr>
          <w:noProof/>
          <w:sz w:val="20"/>
        </w:rPr>
        <w:t>σε εκατ. EUR (με τρία δεκαδικά ψηφία)</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ΣΥΝΟΛΟ</w:t>
            </w:r>
          </w:p>
        </w:tc>
      </w:tr>
      <w:tr>
        <w:trPr>
          <w:trHeight w:val="313"/>
          <w:jc w:val="center"/>
        </w:trPr>
        <w:tc>
          <w:tcPr>
            <w:tcW w:w="6245" w:type="dxa"/>
            <w:gridSpan w:val="2"/>
            <w:vAlign w:val="center"/>
          </w:tcPr>
          <w:p>
            <w:pPr>
              <w:spacing w:before="20" w:after="20"/>
              <w:rPr>
                <w:noProof/>
              </w:rPr>
            </w:pPr>
            <w:r>
              <w:rPr>
                <w:noProof/>
                <w:sz w:val="22"/>
              </w:rPr>
              <w:t xml:space="preserve">Ανθρώπινοι πόροι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Άλλες διοικητικές δαπάνες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ΣΥΝΟΛΟ πιστώσεων του ΤΟΜΕΑ 7 του πολυετούς δημοσιονομικού πλαισίου</w:t>
            </w:r>
          </w:p>
        </w:tc>
        <w:tc>
          <w:tcPr>
            <w:tcW w:w="2046" w:type="dxa"/>
            <w:vAlign w:val="center"/>
          </w:tcPr>
          <w:p>
            <w:pPr>
              <w:spacing w:before="20" w:after="20"/>
              <w:rPr>
                <w:noProof/>
                <w:sz w:val="22"/>
              </w:rPr>
            </w:pPr>
            <w:r>
              <w:rPr>
                <w:noProof/>
                <w:sz w:val="18"/>
              </w:rPr>
              <w:t>(Σύνολο αναλήψεων υποχρεώσεων = Σύνολο πληρωμών)</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Συνοπτική παρουσίαση των εκτιμώμενων επιπτώσεων στις πιστώσεις διοικητικού χαρακτήρα</w:t>
      </w:r>
      <w:bookmarkEnd w:id="56"/>
      <w:bookmarkEnd w:id="57"/>
    </w:p>
    <w:p>
      <w:pPr>
        <w:rPr>
          <w:rFonts w:eastAsia="Times New Roman"/>
          <w:noProof/>
        </w:rPr>
      </w:pPr>
      <w:r>
        <w:rPr>
          <w:noProof/>
        </w:rPr>
        <w:sym w:font="Wingdings" w:char="F0A8"/>
      </w:r>
      <w:r>
        <w:rPr>
          <w:noProof/>
        </w:rPr>
        <w:tab/>
        <w:t xml:space="preserve">Η πρόταση/πρωτοβουλία δεν συνεπάγεται τη χρησιμοποίηση πιστώσεων διοικητικού χαρακτήρα. </w:t>
      </w:r>
    </w:p>
    <w:p>
      <w:pPr>
        <w:rPr>
          <w:rFonts w:eastAsia="Times New Roman"/>
          <w:noProof/>
        </w:rPr>
      </w:pPr>
      <w:r>
        <w:rPr>
          <w:noProof/>
        </w:rPr>
        <w:t>X</w:t>
      </w:r>
      <w:r>
        <w:rPr>
          <w:noProof/>
        </w:rPr>
        <w:tab/>
        <w:t>Η πρόταση/πρωτοβουλία συνεπάγεται τη χρησιμοποίηση πιστώσεων διοικητικού χαρακτήρα, όπως εξηγείται κατωτέρω:</w:t>
      </w:r>
    </w:p>
    <w:p>
      <w:pPr>
        <w:rPr>
          <w:noProof/>
          <w:sz w:val="20"/>
        </w:rPr>
      </w:pPr>
      <w:r>
        <w:rPr>
          <w:noProof/>
          <w:sz w:val="20"/>
        </w:rPr>
        <w:t>σε εκατ. EUR (με τρία δεκαδικά ψηφία)</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Έτη</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before="60" w:after="60" w:line="200" w:lineRule="exact"/>
              <w:jc w:val="center"/>
              <w:rPr>
                <w:b/>
                <w:noProof/>
                <w:sz w:val="20"/>
              </w:rPr>
            </w:pPr>
            <w:r>
              <w:rPr>
                <w:b/>
                <w:noProof/>
                <w:sz w:val="20"/>
              </w:rPr>
              <w:t>2025</w:t>
            </w:r>
          </w:p>
        </w:tc>
        <w:tc>
          <w:tcPr>
            <w:tcW w:w="1080" w:type="dxa"/>
            <w:vAlign w:val="center"/>
          </w:tcPr>
          <w:p>
            <w:pPr>
              <w:spacing w:before="60" w:after="60" w:line="200" w:lineRule="exact"/>
              <w:jc w:val="center"/>
              <w:rPr>
                <w:b/>
                <w:noProof/>
                <w:sz w:val="20"/>
              </w:rPr>
            </w:pPr>
            <w:r>
              <w:rPr>
                <w:b/>
                <w:noProof/>
                <w:sz w:val="20"/>
              </w:rPr>
              <w:t>2026</w:t>
            </w:r>
          </w:p>
        </w:tc>
        <w:tc>
          <w:tcPr>
            <w:tcW w:w="1080" w:type="dxa"/>
            <w:vAlign w:val="center"/>
          </w:tcPr>
          <w:p>
            <w:pPr>
              <w:spacing w:before="60" w:after="60" w:line="200" w:lineRule="exact"/>
              <w:jc w:val="center"/>
              <w:rPr>
                <w:b/>
                <w:noProof/>
                <w:sz w:val="20"/>
              </w:rPr>
            </w:pPr>
            <w:r>
              <w:rPr>
                <w:b/>
                <w:noProof/>
                <w:sz w:val="20"/>
              </w:rPr>
              <w:t>2027</w:t>
            </w:r>
          </w:p>
        </w:tc>
        <w:tc>
          <w:tcPr>
            <w:tcW w:w="1080" w:type="dxa"/>
            <w:vAlign w:val="center"/>
          </w:tcPr>
          <w:p>
            <w:pPr>
              <w:spacing w:before="60" w:after="60" w:line="200" w:lineRule="exact"/>
              <w:jc w:val="center"/>
              <w:rPr>
                <w:b/>
                <w:noProof/>
                <w:sz w:val="16"/>
                <w:szCs w:val="16"/>
              </w:rPr>
            </w:pPr>
            <w:r>
              <w:rPr>
                <w:b/>
                <w:noProof/>
                <w:sz w:val="20"/>
              </w:rPr>
              <w:t>ΣΥΝΟΛΟ</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ΤΟΜΕΑΣ 7</w:t>
            </w:r>
            <w:r>
              <w:rPr>
                <w:noProof/>
              </w:rPr>
              <w:t xml:space="preserve"> </w:t>
            </w:r>
            <w:r>
              <w:rPr>
                <w:noProof/>
              </w:rPr>
              <w:br/>
            </w:r>
            <w:r>
              <w:rPr>
                <w:b/>
                <w:noProof/>
                <w:sz w:val="16"/>
              </w:rPr>
              <w:t>του πολυετούς δημοσιονομικού πλαισίου</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Ανθρώπινοι πόροι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Άλλες διοικητικές δαπάνες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Μερικό σύνολο του ΤΟΜΕΑ 7</w:t>
            </w:r>
            <w:r>
              <w:rPr>
                <w:noProof/>
              </w:rPr>
              <w:t xml:space="preserve"> </w:t>
            </w:r>
            <w:r>
              <w:rPr>
                <w:noProof/>
              </w:rPr>
              <w:br/>
            </w:r>
            <w:r>
              <w:rPr>
                <w:b/>
                <w:noProof/>
                <w:sz w:val="16"/>
              </w:rPr>
              <w:t xml:space="preserve">του πολυετούς δημοσιονομικού πλαισίου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Εκτός του ΤΟΜΕΑ 7</w:t>
            </w:r>
            <w:r>
              <w:rPr>
                <w:rStyle w:val="FootnoteReference"/>
                <w:noProof/>
              </w:rPr>
              <w:footnoteReference w:id="16"/>
            </w:r>
            <w:r>
              <w:rPr>
                <w:noProof/>
              </w:rPr>
              <w:t xml:space="preserve"> </w:t>
            </w:r>
            <w:r>
              <w:rPr>
                <w:noProof/>
              </w:rPr>
              <w:br/>
            </w:r>
            <w:r>
              <w:rPr>
                <w:b/>
                <w:noProof/>
                <w:sz w:val="16"/>
              </w:rPr>
              <w:t>του πολυετούς δημοσιονομικού πλαισίου</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Ανθρώπινοι πόροι - εξωτερικά έσοδα για ειδικό προορισμό (έρευνα)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Άλλες δαπάνες</w:t>
            </w:r>
            <w:r>
              <w:rPr>
                <w:noProof/>
              </w:rPr>
              <w:t xml:space="preserve"> </w:t>
            </w:r>
            <w:r>
              <w:rPr>
                <w:noProof/>
              </w:rPr>
              <w:br/>
            </w:r>
            <w:r>
              <w:rPr>
                <w:noProof/>
                <w:sz w:val="16"/>
                <w:szCs w:val="16"/>
              </w:rPr>
              <w:t xml:space="preserve">διοικητικού χαρακτήρα - εξωτερικά έσοδα για ειδικό προορισμό (έρευνα)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Μερικό σύνολο εξωτερικών εσόδων για ειδικό προορισμό (έρευνα)</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Ανθρώπινοι πόροι - εξωτερικά έσοδα για ειδικό προορισμό (μη έρευνα) - NDICI</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Άλλες δαπάνες</w:t>
            </w:r>
            <w:r>
              <w:rPr>
                <w:noProof/>
              </w:rPr>
              <w:t xml:space="preserve"> </w:t>
            </w:r>
            <w:r>
              <w:rPr>
                <w:noProof/>
              </w:rPr>
              <w:br/>
            </w:r>
            <w:r>
              <w:rPr>
                <w:noProof/>
                <w:sz w:val="16"/>
                <w:szCs w:val="16"/>
              </w:rPr>
              <w:t>διοικητικού χαρακτήρα - εξωτερικά έσοδα για ειδικό προορισμό (μη έρευνα) - NDICI</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Ανθρώπινοι πόροι - εξωτερικά έσοδα για ειδικό προορισμό (μη </w:t>
            </w:r>
            <w:r>
              <w:rPr>
                <w:noProof/>
                <w:sz w:val="16"/>
                <w:szCs w:val="16"/>
              </w:rPr>
              <w:lastRenderedPageBreak/>
              <w:t>έρευνα) - ΕΓΤΑΑ</w:t>
            </w:r>
          </w:p>
        </w:tc>
        <w:tc>
          <w:tcPr>
            <w:tcW w:w="1080" w:type="dxa"/>
            <w:vAlign w:val="center"/>
          </w:tcPr>
          <w:p>
            <w:pPr>
              <w:spacing w:before="60" w:after="60" w:line="200" w:lineRule="exact"/>
              <w:jc w:val="right"/>
              <w:rPr>
                <w:noProof/>
                <w:sz w:val="16"/>
                <w:szCs w:val="16"/>
              </w:rPr>
            </w:pPr>
            <w:r>
              <w:rPr>
                <w:noProof/>
                <w:sz w:val="16"/>
                <w:szCs w:val="16"/>
              </w:rPr>
              <w:lastRenderedPageBreak/>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lastRenderedPageBreak/>
              <w:t>Άλλες δαπάνες</w:t>
            </w:r>
            <w:r>
              <w:rPr>
                <w:noProof/>
              </w:rPr>
              <w:t xml:space="preserve"> </w:t>
            </w:r>
            <w:r>
              <w:rPr>
                <w:noProof/>
              </w:rPr>
              <w:br/>
            </w:r>
            <w:r>
              <w:rPr>
                <w:noProof/>
                <w:sz w:val="16"/>
                <w:szCs w:val="16"/>
              </w:rPr>
              <w:t>διοικητικού χαρακτήρα - εξωτερικά έσοδα για ειδικό προορισμό (μη έρευνα) - ΕΓΤΑΑ</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t>Μερικό σύνολο εξωτερικών εσόδων για ειδικό προορισμό (μη έρευνα)</w:t>
            </w:r>
          </w:p>
        </w:tc>
        <w:tc>
          <w:tcPr>
            <w:tcW w:w="1080" w:type="dxa"/>
            <w:vAlign w:val="bottom"/>
          </w:tcPr>
          <w:p>
            <w:pPr>
              <w:spacing w:before="60" w:after="60" w:line="200" w:lineRule="exact"/>
              <w:rPr>
                <w:noProof/>
                <w:sz w:val="16"/>
                <w:szCs w:val="16"/>
              </w:rPr>
            </w:pPr>
            <w:r>
              <w:rPr>
                <w:rFonts w:ascii="Calibri" w:hAnsi="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Μερικό σύνολο </w:t>
            </w:r>
            <w:r>
              <w:rPr>
                <w:noProof/>
              </w:rPr>
              <w:t xml:space="preserve"> </w:t>
            </w:r>
            <w:r>
              <w:rPr>
                <w:noProof/>
              </w:rPr>
              <w:br/>
            </w:r>
            <w:r>
              <w:rPr>
                <w:b/>
                <w:noProof/>
                <w:sz w:val="16"/>
              </w:rPr>
              <w:t>εκτός του ΤΟΜΕΑ 7</w:t>
            </w:r>
            <w:r>
              <w:rPr>
                <w:noProof/>
              </w:rPr>
              <w:t xml:space="preserve"> </w:t>
            </w:r>
            <w:r>
              <w:rPr>
                <w:noProof/>
              </w:rPr>
              <w:br/>
            </w:r>
            <w:r>
              <w:rPr>
                <w:b/>
                <w:noProof/>
                <w:sz w:val="16"/>
              </w:rPr>
              <w:t xml:space="preserve">του πολυετούς δημοσιονομικού πλαισίου </w:t>
            </w:r>
          </w:p>
        </w:tc>
        <w:tc>
          <w:tcPr>
            <w:tcW w:w="1080" w:type="dxa"/>
            <w:vAlign w:val="bottom"/>
          </w:tcPr>
          <w:p>
            <w:pPr>
              <w:spacing w:before="60" w:after="60" w:line="200" w:lineRule="exact"/>
              <w:jc w:val="right"/>
              <w:rPr>
                <w:noProof/>
                <w:sz w:val="16"/>
                <w:szCs w:val="16"/>
              </w:rPr>
            </w:pPr>
            <w:r>
              <w:rPr>
                <w:rFonts w:ascii="Calibri" w:hAnsi="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noProof/>
                <w:color w:val="000000"/>
                <w:sz w:val="22"/>
              </w:rPr>
              <w:t>857,467</w:t>
            </w:r>
          </w:p>
        </w:tc>
      </w:tr>
    </w:tbl>
    <w:p>
      <w:pPr>
        <w:spacing w:line="200" w:lineRule="exact"/>
        <w:rPr>
          <w:noProof/>
          <w:sz w:val="16"/>
          <w:szCs w:val="16"/>
        </w:rPr>
      </w:pPr>
    </w:p>
    <w:p>
      <w:pPr>
        <w:rPr>
          <w:noProof/>
          <w:sz w:val="18"/>
          <w:szCs w:val="18"/>
        </w:rPr>
      </w:pPr>
      <w:r>
        <w:rPr>
          <w:noProof/>
          <w:sz w:val="18"/>
          <w:szCs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και οι οποίες θα συμπληρωθούν, κατά περίπτωση, με πρόσθετα κονδύλια που ενδέχεται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 Το πρόσθετο προσωπικό θα είναι μόνο εξωτερικό προσωπικό και θα χρηματοδοτείται αποκλειστικά από έσοδα για ειδικό προορισμό.</w:t>
      </w:r>
    </w:p>
    <w:p>
      <w:pPr>
        <w:keepNext/>
        <w:outlineLvl w:val="3"/>
        <w:rPr>
          <w:rFonts w:eastAsiaTheme="majorEastAsia"/>
          <w:iCs/>
          <w:noProof/>
          <w:szCs w:val="24"/>
        </w:rPr>
      </w:pPr>
      <w:r>
        <w:rPr>
          <w:noProof/>
        </w:rPr>
        <w:t>Εκτιμώμενες ανάγκες σε ανθρώπινους πόρους</w:t>
      </w:r>
    </w:p>
    <w:p>
      <w:pPr>
        <w:rPr>
          <w:rFonts w:eastAsia="Times New Roman"/>
          <w:noProof/>
        </w:rPr>
      </w:pPr>
      <w:r>
        <w:rPr>
          <w:noProof/>
        </w:rPr>
        <w:sym w:font="Wingdings" w:char="F0A8"/>
      </w:r>
      <w:r>
        <w:rPr>
          <w:noProof/>
        </w:rPr>
        <w:tab/>
        <w:t xml:space="preserve">Η πρόταση/πρωτοβουλία δεν συνεπάγεται τη χρησιμοποίηση ανθρώπινων πόρων. </w:t>
      </w:r>
    </w:p>
    <w:p>
      <w:pPr>
        <w:rPr>
          <w:rFonts w:eastAsia="Times New Roman"/>
          <w:noProof/>
        </w:rPr>
      </w:pPr>
      <w:r>
        <w:rPr>
          <w:noProof/>
        </w:rPr>
        <w:sym w:font="Wingdings" w:char="F0FE"/>
      </w:r>
      <w:r>
        <w:rPr>
          <w:noProof/>
        </w:rPr>
        <w:tab/>
        <w:t>Η πρόταση/πρωτοβουλία συνεπάγεται τη χρησιμοποίηση ανθρώπινων πόρων, όπως εξηγείται κατωτέρω:</w:t>
      </w:r>
    </w:p>
    <w:p>
      <w:pPr>
        <w:spacing w:after="60"/>
        <w:jc w:val="right"/>
        <w:rPr>
          <w:i/>
          <w:noProof/>
          <w:sz w:val="20"/>
        </w:rPr>
      </w:pPr>
      <w:r>
        <w:rPr>
          <w:i/>
          <w:noProof/>
          <w:sz w:val="20"/>
        </w:rPr>
        <w:t>Εκτίμηση η οποία πρέπει να εκφράζεται σε μονάδες ισοδυνάμων πλήρους απασχόλησης</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Έτη</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noProof/>
              </w:rPr>
              <w:t xml:space="preserve"> </w:t>
            </w:r>
            <w:r>
              <w:rPr>
                <w:b/>
                <w:noProof/>
              </w:rPr>
              <w:t>Θέσεις απασχόλησης του πίνακα προσωπικού (θέσεις μόνιμων και έκτακτων υπαλλήλων)</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Έδρα και αντιπροσωπείες της Επιτροπής</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Αντιπροσωπείες της ΕΕ</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Έρευνα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Εξωτερικό προσωπικό (σε μονάδα ισοδυνάμου πλήρους απασχόλησης: ΙΠΑ) – AC, AL, END, INT και JPD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Τομέας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Χρηματοδοτούμενο από τον ΤΟΜΕΑ 7 του πολυετούς δημοσιονομικού πλαισίου</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στην έδρα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στις αντιπροσωπείες της ΕΕ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Χρηματοδοτούμενο από το κονδύλιο του προγράμματος</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στην έδρα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στις αντιπροσωπείες της ΕΕ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lastRenderedPageBreak/>
              <w:t>Άλλα: εξωτερικά έσοδα για ειδικό προορισμό (έρευνα)</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Άλλα: εξωτερικά έσοδα για ειδικό προορισμό (μη έρευνα) - NDICI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Άλλα: εξωτερικά έσοδα για ειδικό προορισμό (μη έρευνα) - ΕΓΤΑΑ</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ΣΥΝΟΛΟ</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r>
        <w:rPr>
          <w:noProof/>
        </w:rPr>
        <w:t xml:space="preserve"> </w:t>
      </w:r>
      <w:r>
        <w:rPr>
          <w:noProof/>
          <w:sz w:val="18"/>
          <w:szCs w:val="18"/>
        </w:rPr>
        <w:t>Το πρόσθετο προσωπικό θα είναι μόνο εξωτερικό προσωπικό και θα χρηματοδοτείται αποκλειστικά από έσοδα για ειδικό προορισμό.</w:t>
      </w:r>
    </w:p>
    <w:p>
      <w:pPr>
        <w:rPr>
          <w:noProof/>
          <w:sz w:val="20"/>
        </w:rPr>
      </w:pPr>
      <w:r>
        <w:rPr>
          <w:noProof/>
          <w:sz w:val="20"/>
        </w:rPr>
        <w:t>Περιγραφή των προς εκτέλεση καθηκόντων:</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Εξωτερικό προσωπικό</w:t>
            </w:r>
          </w:p>
        </w:tc>
        <w:tc>
          <w:tcPr>
            <w:tcW w:w="7392" w:type="dxa"/>
          </w:tcPr>
          <w:p>
            <w:pPr>
              <w:rPr>
                <w:noProof/>
                <w:sz w:val="20"/>
              </w:rPr>
            </w:pPr>
            <w:r>
              <w:rPr>
                <w:noProof/>
                <w:sz w:val="20"/>
              </w:rPr>
              <w:t xml:space="preserve">Το εξωτερικό προσωπικό θα βοηθήσει τους μόνιμους και έκτακτους υπαλλήλους να συμβάλουν στην εφαρμογή των μέτρων που αναφέρονται στον κανονισμό ERI, τα οποία πρόκειται να υλοποιηθούν στο πλαίσιο των σχετικών προγραμμάτων.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Εκτιμώμενες επιπτώσεις στα έσοδα</w:t>
      </w:r>
      <w:bookmarkEnd w:id="58"/>
      <w:bookmarkEnd w:id="59"/>
      <w:r>
        <w:rPr>
          <w:b/>
          <w:bCs/>
          <w:noProof/>
          <w:szCs w:val="26"/>
        </w:rPr>
        <w:t xml:space="preserve"> </w:t>
      </w:r>
    </w:p>
    <w:p>
      <w:pPr>
        <w:rPr>
          <w:rFonts w:eastAsia="Times New Roman"/>
          <w:noProof/>
        </w:rPr>
      </w:pPr>
      <w:r>
        <w:rPr>
          <w:noProof/>
        </w:rPr>
        <w:t>X</w:t>
      </w:r>
      <w:r>
        <w:rPr>
          <w:noProof/>
        </w:rPr>
        <w:tab/>
        <w:t>Η πρόταση/πρωτοβουλία δεν έχει δημοσιονομικές επιπτώσεις στα έσοδα.</w:t>
      </w:r>
    </w:p>
    <w:p>
      <w:pPr>
        <w:rPr>
          <w:rFonts w:eastAsia="Times New Roman"/>
          <w:noProof/>
        </w:rPr>
      </w:pPr>
      <w:r>
        <w:rPr>
          <w:noProof/>
        </w:rPr>
        <w:sym w:font="Wingdings" w:char="F0A8"/>
      </w:r>
      <w:r>
        <w:rPr>
          <w:noProof/>
        </w:rPr>
        <w:tab/>
        <w:t>Η πρόταση/πρωτοβουλία έχει τις δημοσιονομικές επιπτώσεις που περιγράφονται κατωτέρω:</w:t>
      </w:r>
    </w:p>
    <w:p>
      <w:pPr>
        <w:ind w:left="2126" w:hanging="709"/>
        <w:rPr>
          <w:rFonts w:eastAsia="Times New Roman"/>
          <w:noProof/>
        </w:rPr>
      </w:pPr>
      <w:r>
        <w:rPr>
          <w:noProof/>
        </w:rPr>
        <w:sym w:font="Wingdings" w:char="F0A8"/>
      </w:r>
      <w:r>
        <w:rPr>
          <w:noProof/>
        </w:rPr>
        <w:tab/>
        <w:t xml:space="preserve">στους ιδίους πόρους </w:t>
      </w:r>
    </w:p>
    <w:p>
      <w:pPr>
        <w:ind w:left="2126" w:hanging="709"/>
        <w:rPr>
          <w:rFonts w:eastAsia="Times New Roman"/>
          <w:noProof/>
        </w:rPr>
      </w:pPr>
      <w:r>
        <w:rPr>
          <w:noProof/>
        </w:rPr>
        <w:sym w:font="Wingdings" w:char="F0A8"/>
      </w:r>
      <w:r>
        <w:rPr>
          <w:noProof/>
        </w:rPr>
        <w:tab/>
        <w:t>στα λοιπά έσοδα</w:t>
      </w:r>
    </w:p>
    <w:p>
      <w:pPr>
        <w:rPr>
          <w:noProof/>
        </w:rPr>
      </w:pPr>
      <w:r>
        <w:rPr>
          <w:noProof/>
        </w:rPr>
        <w:t>Να αναφερθεί αν τα έσοδα προορίζονται για γραμμές δαπανών Χ</w:t>
      </w:r>
      <w:r>
        <w:rPr>
          <w:noProof/>
        </w:rPr>
        <w:tab/>
      </w:r>
    </w:p>
    <w:p>
      <w:pPr>
        <w:jc w:val="right"/>
        <w:rPr>
          <w:i/>
          <w:noProof/>
          <w:sz w:val="20"/>
        </w:rPr>
      </w:pPr>
      <w:r>
        <w:rPr>
          <w:noProof/>
        </w:rPr>
        <w:t>σε εκατ. EUR (με τρία δεκαδικά ψηφία)</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Γραμμή εσόδων του προϋπολογισμού</w:t>
            </w:r>
          </w:p>
        </w:tc>
        <w:tc>
          <w:tcPr>
            <w:tcW w:w="7200" w:type="dxa"/>
            <w:gridSpan w:val="7"/>
            <w:vAlign w:val="center"/>
          </w:tcPr>
          <w:p>
            <w:pPr>
              <w:jc w:val="center"/>
              <w:rPr>
                <w:noProof/>
                <w:sz w:val="18"/>
              </w:rPr>
            </w:pPr>
            <w:r>
              <w:rPr>
                <w:noProof/>
                <w:sz w:val="18"/>
              </w:rPr>
              <w:t>Επιπτώσεις της πρότασης/πρωτοβουλίας</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Άρθρο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Ως προς τα έσοδα «για ειδικό προορισμό», να προσδιοριστούν οι γραμμές δαπανών του προϋπολογισμού που επηρεάζονται.</w:t>
      </w:r>
    </w:p>
    <w:p>
      <w:pPr>
        <w:ind w:left="850"/>
        <w:rPr>
          <w:noProof/>
        </w:rPr>
      </w:pPr>
      <w:r>
        <w:rPr>
          <w:noProof/>
          <w:color w:val="0000FF"/>
        </w:rPr>
        <w:t>[...]</w:t>
      </w:r>
    </w:p>
    <w:p>
      <w:pPr>
        <w:ind w:left="850"/>
        <w:rPr>
          <w:noProof/>
          <w:sz w:val="16"/>
          <w:szCs w:val="16"/>
        </w:rPr>
      </w:pPr>
      <w:r>
        <w:rPr>
          <w:noProof/>
          <w:sz w:val="20"/>
          <w:szCs w:val="20"/>
        </w:rPr>
        <w:t>Άλλες παρατηρήσεις (π.χ. μέθοδος/τύπος για τον υπολογισμό των επιπτώσεων στα έσοδα ή τυχόν άλλες πληροφορίες).</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European Economic Forecast, Institutional Paper 125. Μάιος 2020.</w:t>
      </w:r>
    </w:p>
  </w:footnote>
  <w:footnote w:id="3">
    <w:p>
      <w:pPr>
        <w:pStyle w:val="FootnoteText"/>
        <w:rPr>
          <w:szCs w:val="24"/>
        </w:rPr>
      </w:pPr>
      <w:r>
        <w:rPr>
          <w:rStyle w:val="FootnoteReference"/>
        </w:rPr>
        <w:footnoteRef/>
      </w:r>
      <w:r>
        <w:tab/>
        <w:t>Όπως αναφέρεται στο άρθρο 58 παράγραφος 2 στοιχείο α) ή β) του δημοσιονομικού κανονισμού.</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 xml:space="preserve">Οι λεπτομέρειες σχετικά με τους τρόπους διαχείρισης, καθώς και οι παραπομπές στον δημοσιονομικό κανονισμό είναι διαθέσιμες στον ιστότοπο BudgWeb: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ΔΠ = Διαχωριζόμενες πιστώσεις / ΜΔΠ = Μη διαχωριζόμενες πιστώσεις.</w:t>
      </w:r>
    </w:p>
  </w:footnote>
  <w:footnote w:id="7">
    <w:p>
      <w:pPr>
        <w:pStyle w:val="FootnoteText"/>
        <w:rPr>
          <w:szCs w:val="24"/>
        </w:rPr>
      </w:pPr>
      <w:r>
        <w:rPr>
          <w:rStyle w:val="FootnoteReference"/>
        </w:rPr>
        <w:footnoteRef/>
      </w:r>
      <w:r>
        <w:tab/>
        <w:t xml:space="preserve">ΕΖΕΣ: Ευρωπαϊκή Ζώνη Ελεύθερων Συναλλαγών. </w:t>
      </w:r>
    </w:p>
  </w:footnote>
  <w:footnote w:id="8">
    <w:p>
      <w:pPr>
        <w:pStyle w:val="FootnoteText"/>
      </w:pPr>
      <w:r>
        <w:rPr>
          <w:rStyle w:val="FootnoteReference"/>
        </w:rPr>
        <w:footnoteRef/>
      </w:r>
      <w:r>
        <w:tab/>
        <w:t>Υποψήφιες χώρες και, κατά περίπτωση, δυνάμει υποψήφια μέλη από τα Δυτικά Βαλκάνια.</w:t>
      </w:r>
    </w:p>
  </w:footnote>
  <w:footnote w:id="9">
    <w:p>
      <w:pPr>
        <w:pStyle w:val="FootnoteText"/>
        <w:rPr>
          <w:szCs w:val="24"/>
        </w:rPr>
      </w:pPr>
      <w:r>
        <w:rPr>
          <w:rStyle w:val="FootnoteReference"/>
        </w:rPr>
        <w:footnoteRef/>
      </w:r>
      <w:r>
        <w:tab/>
        <w:t>ΔΠ = Διαχωριζόμενες πιστώσεις / ΜΔΠ = Μη διαχωριζόμενες πιστώσεις.</w:t>
      </w:r>
    </w:p>
  </w:footnote>
  <w:footnote w:id="10">
    <w:p>
      <w:pPr>
        <w:pStyle w:val="FootnoteText"/>
        <w:rPr>
          <w:szCs w:val="24"/>
        </w:rPr>
      </w:pPr>
      <w:r>
        <w:rPr>
          <w:rStyle w:val="FootnoteReference"/>
        </w:rPr>
        <w:footnoteRef/>
      </w:r>
      <w:r>
        <w:tab/>
        <w:t xml:space="preserve">ΕΖΕΣ: Ευρωπαϊκή Ζώνη Ελεύθερων Συναλλαγών. </w:t>
      </w:r>
    </w:p>
  </w:footnote>
  <w:footnote w:id="11">
    <w:p>
      <w:pPr>
        <w:pStyle w:val="FootnoteText"/>
      </w:pPr>
      <w:r>
        <w:rPr>
          <w:rStyle w:val="FootnoteReference"/>
        </w:rPr>
        <w:footnoteRef/>
      </w:r>
      <w:r>
        <w:tab/>
        <w:t>Υποψήφιες χώρες και, κατά περίπτωση, δυνάμει υποψήφια μέλη από τα Δυτικά Βαλκάνια.</w:t>
      </w:r>
    </w:p>
  </w:footnote>
  <w:footnote w:id="12">
    <w:p>
      <w:pPr>
        <w:pStyle w:val="FootnoteText"/>
        <w:rPr>
          <w:szCs w:val="24"/>
        </w:rPr>
      </w:pPr>
      <w:r>
        <w:rPr>
          <w:rStyle w:val="FootnoteReference"/>
        </w:rPr>
        <w:footnoteRef/>
      </w:r>
      <w:r>
        <w:tab/>
        <w:t>ΔΠ = Διαχωριζόμενες πιστώσεις / ΜΔΠ = Μη διαχωριζόμενες πιστώσεις.</w:t>
      </w:r>
    </w:p>
  </w:footnote>
  <w:footnote w:id="13">
    <w:p>
      <w:pPr>
        <w:pStyle w:val="FootnoteText"/>
        <w:rPr>
          <w:szCs w:val="24"/>
        </w:rPr>
      </w:pPr>
      <w:r>
        <w:rPr>
          <w:rStyle w:val="FootnoteReference"/>
        </w:rPr>
        <w:footnoteRef/>
      </w:r>
      <w:r>
        <w:tab/>
        <w:t xml:space="preserve">ΕΖΕΣ: Ευρωπαϊκή Ζώνη Ελεύθερων Συναλλαγών. </w:t>
      </w:r>
    </w:p>
  </w:footnote>
  <w:footnote w:id="14">
    <w:p>
      <w:pPr>
        <w:pStyle w:val="FootnoteText"/>
      </w:pPr>
      <w:r>
        <w:rPr>
          <w:rStyle w:val="FootnoteReference"/>
        </w:rPr>
        <w:footnoteRef/>
      </w:r>
      <w:r>
        <w:tab/>
        <w:t>Υποψήφιες χώρες και, κατά περίπτωση, δυνάμει υποψήφια μέλη από τα Δυτικά Βαλκάνια.</w:t>
      </w:r>
    </w:p>
  </w:footnote>
  <w:footnote w:id="15">
    <w:p>
      <w:pPr>
        <w:pStyle w:val="FootnoteText"/>
      </w:pPr>
      <w:r>
        <w:rPr>
          <w:rStyle w:val="FootnoteReference"/>
        </w:rPr>
        <w:footnoteRef/>
      </w:r>
      <w:r>
        <w:tab/>
      </w:r>
      <w:r>
        <w:rPr>
          <w:i/>
        </w:rPr>
        <w:t>Για δραστηριότητες όπως η παρακολούθηση της εφαρμογής, συμπεριλαμβανομένων του λογιστικού ελέγχου και της δημοσιονομικής διαχείρισης, της συμμετοχής στη διαδικασία κλεισίματος των προγραμμάτων, που χρηματοδοτούνται από διοικητικές δαπάνες, μπορούν να αναληφθούν υποχρεώσεις έως το 2027 (βλ. λεπτομέρειες στον ανωτέρω πίνακα).</w:t>
      </w:r>
    </w:p>
  </w:footnote>
  <w:footnote w:id="16">
    <w:p>
      <w:pPr>
        <w:pStyle w:val="FootnoteText"/>
        <w:rPr>
          <w:szCs w:val="24"/>
        </w:rPr>
      </w:pPr>
      <w:r>
        <w:rPr>
          <w:rStyle w:val="FootnoteReference"/>
        </w:rPr>
        <w:footnoteRef/>
      </w:r>
      <w: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17">
    <w:p>
      <w:pPr>
        <w:pStyle w:val="FootnoteText"/>
        <w:rPr>
          <w:szCs w:val="24"/>
        </w:rPr>
      </w:pPr>
      <w:r>
        <w:rPr>
          <w:rStyle w:val="FootnoteReference"/>
        </w:rPr>
        <w:footnoteRef/>
      </w:r>
      <w:r>
        <w:tab/>
        <w:t xml:space="preserve">AC = Συμβασιούχος υπάλληλος· AL = Τοπικός υπάλληλος· END = Αποσπασμένος εθνικός εμπειρογνώμονας· INT = Προσωρινό προσωπικό· JPD = Νέος επαγγελματίας σε αντιπροσωπεία της ΕΕ. </w:t>
      </w:r>
    </w:p>
  </w:footnote>
  <w:footnote w:id="18">
    <w:p>
      <w:pPr>
        <w:pStyle w:val="FootnoteText"/>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19">
    <w:p>
      <w:pPr>
        <w:pStyle w:val="FootnoteText"/>
      </w:pPr>
      <w:r>
        <w:rPr>
          <w:rStyle w:val="FootnoteReference"/>
        </w:rPr>
        <w:footnoteRef/>
      </w:r>
      <w:r>
        <w:tab/>
        <w:t>Οι εκτιμήσεις αυτές δεν προδικάζουν το πρόσθετο προσωπικό που απαιτείται στους εκτελεστικούς οργανισμούς και χρηματοδοτείται από έσοδα για ειδικό προορισμό, βάσει διεξοδικής αξιολόγησης των επιπτώσεων στους πόρους.</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4"/>
    <w:lvlOverride w:ilvl="0">
      <w:startOverride w:val="1"/>
    </w:lvlOverride>
  </w:num>
  <w:num w:numId="21">
    <w:abstractNumId w:val="20"/>
  </w:num>
  <w:num w:numId="22">
    <w:abstractNumId w:val="12"/>
  </w:num>
  <w:num w:numId="23">
    <w:abstractNumId w:val="22"/>
  </w:num>
  <w:num w:numId="24">
    <w:abstractNumId w:val="11"/>
  </w:num>
  <w:num w:numId="25">
    <w:abstractNumId w:val="13"/>
  </w:num>
  <w:num w:numId="26">
    <w:abstractNumId w:val="9"/>
  </w:num>
  <w:num w:numId="27">
    <w:abstractNumId w:val="21"/>
  </w:num>
  <w:num w:numId="28">
    <w:abstractNumId w:val="8"/>
  </w:num>
  <w:num w:numId="29">
    <w:abstractNumId w:val="14"/>
  </w:num>
  <w:num w:numId="30">
    <w:abstractNumId w:val="18"/>
  </w:num>
  <w:num w:numId="31">
    <w:abstractNumId w:val="19"/>
  </w:num>
  <w:num w:numId="32">
    <w:abstractNumId w:val="10"/>
  </w:num>
  <w:num w:numId="33">
    <w:abstractNumId w:val="17"/>
  </w:num>
  <w:num w:numId="34">
    <w:abstractNumId w:val="23"/>
  </w:num>
  <w:num w:numId="35">
    <w:abstractNumId w:val="20"/>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hideSpellingErrors/>
  <w:hideGrammaticalErrors/>
  <w:attachedTemplate r:id="rId1"/>
  <w:revisionView w:markup="0"/>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2:2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B1C91D3-8BD1-45D2-9CD6-09F80CD4BE55"/>
    <w:docVar w:name="LW_COVERPAGE_TYPE" w:val="1"/>
    <w:docVar w:name="LW_CROSSREFERENCE" w:val="&lt;UNUSED&gt;"/>
    <w:docVar w:name="LW_DocType" w:val="COM"/>
    <w:docVar w:name="LW_EMISSION" w:val="29.5.2020"/>
    <w:docVar w:name="LW_EMISSION_ISODATE" w:val="2020-05-29"/>
    <w:docVar w:name="LW_EMISSION_LOCATION" w:val="BRX"/>
    <w:docVar w:name="LW_EMISSION_PREFIX" w:val="\u914?\u961?\u965?\u958?\u941?\u955?\u955?\u949?\u962?,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32?\u961?\u959?\u960?\u959?\u960?\u959?\u953?\u951?\u956?\u941?\u957?\u951? \u960?\u961?\u972?\u964?\u945?\u963?\u951?"/>
    <w:docVar w:name="LW_SUPERTITRE" w:val="&lt;UNUSED&gt;"/>
    <w:docVar w:name="LW_TITRE.OBJ.CP" w:val="\u947?\u953?\u945? \u964?\u951? \u952?\u941?\u963?\u960?\u953?\u963?\u951? \u964?\u959?\u965? \u960?\u961?\u959?\u947?\u961?\u940?\u956?\u956?\u945?\u964?\u959?\u962?-\u960?\u955?\u945?\u953?\u963?\u943?\u959?\u965? \u941?\u961?\u949?\u965?\u957?\u945?\u962? \u954?\u945?\u953? \u954?\u945?\u953?\u957?\u959?\u964?\u959?\u956?\u943?\u945?\u962? «\u927?\u961?\u943?\u950?\u969?\u957? \u917?\u965?\u961?\u974?\u960?\u951?» \u954?\u945?\u953? \u964?\u969?\u957? \u954?\u945?\u957?\u972?\u957?\u969?\u957? \u963?\u965?\u956?\u956?\u949?\u964?\u959?\u967?\u942?\u962? \u954?\u945?\u953? \u948?\u953?\u940?\u948?\u959?\u963?\u942?\u962? \u964?\u959?\u965?, _x000b_  _x000b_\u913?\u928?\u927?\u934?\u913?\u931?\u919? \u932?\u927?\u933? \u917?\u933?\u929?\u937?\u928?\u913?\u938?\u922?\u927?\u933? \u922?\u927?\u921?\u925?\u927?\u914?\u927?\u933?\u923?\u921?\u927?\u933? \u922?\u913?\u921? \u932?\u927?\u933? \u931?\u933?\u924?\u914?\u927?\u933?\u923?\u921?\u927?\u933? _x000b_\u947?\u953?\u945? \u964?\u951? \u952?\u941?\u963?\u960?\u953?\u963?\u951? \u964?\u959?\u965? \u949?\u953?\u948?\u953?\u954?\u959?\u973? \u960?\u961?\u959?\u947?\u961?\u940?\u956?\u956?\u945?\u964?\u959?\u962? \u965?\u955?\u959?\u960?\u959?\u943?\u951?\u963?\u951?\u962? \u964?\u959?\u965? \u960?\u961?\u959?\u947?\u961?\u940?\u956?\u956?\u945?\u964?\u959?\u962? \u927?\u961?\u943?\u950?\u969?\u957? \u917?\u965?\u961?\u974?\u960?\u951? \u8211? \u928?\u961?\u972?\u947?\u961?\u945?\u956?\u956?\u945?-\u960?\u955?\u945?\u943?\u963?\u953?\u959? \u941?\u961?\u949?\u965?\u957?\u945?\u962? \u954?\u945?\u953? \u954?\u945?\u953?\u957?\u959?\u964?\u959?\u956?\u943?\u945?\u962?, _x000b_  _x000b_\u922?\u913?\u925?\u927?\u925?\u921?\u931?\u924?\u927?\u931? \u932?\u927?\u933? \u917?\u933?\u929?\u937?\u928?\u913?\u938?\u922?\u927?\u933? \u922?\u927?\u921?\u925?\u927?\u914?\u927?\u933?\u923?\u921?\u927?\u933? \u922?\u913?\u921? \u932?\u927?\u933? \u931?\u933?\u924?\u914?\u927?\u933?\u923?\u921?\u927?\u933? \u947?\u953?\u945? \u964?\u951? \u952?\u941?\u963?\u960?\u953?\u963?\u951? \u924?\u951?\u967?\u945?\u957?\u953?\u963?\u956?\u959?\u973? \u915?\u949?\u953?\u964?\u959?\u957?\u943?\u945?\u962?, \u913?\u957?\u940?\u960?\u964?\u965?\u958?\u951?\u962? \u954?\u945?\u953? \u916?\u953?\u949?\u952?\u957?\u959?\u973?\u962? \u931?\u965?\u957?\u949?\u961?\u947?\u945?\u963?\u943?\u945?\u962?, _x000b_ _x000b_\u922?\u913?\u925?\u927?\u925?\u921?\u931?\u924?\u927?\u931? \u932?\u927?\u933? \u917?\u933?\u929?\u937?\u928?\u913?\u938?\u922?\u927?\u933? \u922?\u927?\u921?\u925?\u927?\u914?\u927?\u933?\u923?\u921?\u927?\u933? \u922?\u913?\u921? \u932?\u927?\u933? \u931?\u933?\u924?\u914?\u927?\u933?\u923?\u921?\u927?\u933? \u963?\u967?\u949?\u964?\u953?\u954?\u940? \u956?\u949? \u964?\u951? \u952?\u941?\u963?\u960?\u953?\u963?\u951? \u954?\u945?\u957?\u972?\u957?\u969?\u957? \u947?\u953?\u945? \u964?\u951? \u963?\u964?\u942?\u961?\u953?\u958?\u951? \u964?\u969?\u957? \u963?\u964?\u961?\u945?\u964?\u951?\u947?\u953?\u954?\u974?\u957? \u963?\u967?\u949?\u948?\u943?\u969?\u957? \u960?\u959?\u965? \u960?\u961?\u941?\u960?\u949?\u953? \u957?\u945? \u954?\u945?\u964?\u945?\u961?\u964?\u943?\u950?\u959?\u957?\u964?\u945?\u953? \u945?\u960?\u972? \u964?\u945? \u954?\u961?\u940?\u964?\u951? \u956?\u941?\u955?\u951? \u963?\u964?\u959? \u960?\u955?\u945?\u943?\u963?\u953?\u959? \u964?\u951?\u962? \u922?\u959?\u953?\u957?\u942?\u962? \u915?\u949?\u969?\u961?\u947?\u953?\u954?\u942?\u962? \u928?\u959?\u955?\u953?\u964?\u953?\u954?\u942?\u962? (\u963?\u964?\u961?\u945?\u964?\u951?\u947?\u953?\u954?\u940? \u963?\u967?\u941?\u948?\u953?\u945? \u964?\u951?\u962? \u922?\u915?\u928?) \u954?\u945?\u953? \u957?\u945? \u967?\u961?\u951?\u956?\u945?\u964?\u959?\u948?\u959?\u964?\u959?\u973?\u957?\u964?\u945?\u953? \u945?\u960?\u972? \u964?\u959? \u917?\u965?\u961?\u969?\u960?\u945?\u970?\u954?\u972? \u915?\u949?\u969?\u961?\u947?\u953?\u954?\u972? \u932?\u945?\u956?\u949?\u943?\u959? \u917?\u947?\u947?\u965?\u942?\u963?\u949?\u969?\u957? (\u917?\u915?\u932?\u917?) \u954?\u945?\u953? \u964?\u959? \u917?\u965?\u961?\u969?\u960?\u945?\u970?\u954?\u972? \u915?\u949?\u969?\u961?\u947?\u953?\u954?\u972? \u932?\u945?\u956?\u949?\u943?\u959? \u913?\u947?\u961?\u959?\u964?\u953?\u954?\u942?\u962? \u913?\u957?\u940?\u960?\u964?\u965?\u958?\u951?\u962? (\u917?\u915?\u932?\u913?\u913?), \u954?\u945?\u953? \u964?\u951?\u957? \u954?\u945?\u964?\u940?\u961?\u947?\u951?\u963?\u951? \u964?\u959?\u965? \u954?\u945?\u957?\u959?\u957?\u953?\u963?\u956?\u959?\u973? (\u917?\u917?) \u945?\u961?\u953?\u952?. 1305/2013 \u964?\u959?\u965? \u917?\u965?\u961?\u969?\u960?\u945?\u970?\u954?\u959?\u973? \u922?\u959?\u953?\u957?\u959?\u946?\u959?\u965?\u955?\u943?\u959?\u965? \u954?\u945?\u953? \u964?\u959?\u965? \u931?\u965?\u956?\u946?\u959?\u965?\u955?\u943?\u959?\u965? \u954?\u945?\u953? \u964?\u959?\u965? \u954?\u945?\u957?\u959?\u957?\u953?\u963?\u956?\u959?\u973? (\u917?\u917?) \u945?\u961?\u953?\u952?. 1307/2013 \u964?\u959?\u965? \u917?\u965?\u961?\u969?\u960?\u945?\u970?\u954?\u959?\u973? \u922?\u959?\u953?\u957?\u959?\u946?\u959?\u965?\u955?\u943?\u959?\u965? \u954?\u945?\u953? \u964?\u959?\u965? \u931?\u965?\u956?\u946?\u959?\u965?\u955?\u943?\u959?\u965?"/>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l-GR"/>
    </w:rPr>
  </w:style>
  <w:style w:type="character" w:customStyle="1" w:styleId="FooterSensitivityChar">
    <w:name w:val="Footer Sensitivity Char"/>
    <w:basedOn w:val="DefaultParagraphFont"/>
    <w:rPr>
      <w:rFonts w:ascii="Times New Roman" w:hAnsi="Times New Roman" w:cs="Times New Roman"/>
      <w:b/>
      <w:sz w:val="32"/>
      <w:lang w:val="el-G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l-GR"/>
    </w:rPr>
  </w:style>
  <w:style w:type="character" w:customStyle="1" w:styleId="HeaderSensitivityChar">
    <w:name w:val="Header Sensitivity Char"/>
    <w:basedOn w:val="DefaultParagraphFont"/>
    <w:rPr>
      <w:rFonts w:ascii="Times New Roman" w:hAnsi="Times New Roman" w:cs="Times New Roman"/>
      <w:b/>
      <w:sz w:val="32"/>
      <w:lang w:val="el-G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l-GR"/>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l-GR"/>
    </w:rPr>
  </w:style>
  <w:style w:type="character" w:customStyle="1" w:styleId="FooterSensitivityChar">
    <w:name w:val="Footer Sensitivity Char"/>
    <w:basedOn w:val="DefaultParagraphFont"/>
    <w:rPr>
      <w:rFonts w:ascii="Times New Roman" w:hAnsi="Times New Roman" w:cs="Times New Roman"/>
      <w:b/>
      <w:sz w:val="32"/>
      <w:lang w:val="el-GR"/>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l-GR"/>
    </w:rPr>
  </w:style>
  <w:style w:type="character" w:customStyle="1" w:styleId="HeaderSensitivityChar">
    <w:name w:val="Header Sensitivity Char"/>
    <w:basedOn w:val="DefaultParagraphFont"/>
    <w:rPr>
      <w:rFonts w:ascii="Times New Roman" w:hAnsi="Times New Roman" w:cs="Times New Roman"/>
      <w:b/>
      <w:sz w:val="32"/>
      <w:lang w:val="el-G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2.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2F9AB1-4B86-47BF-BE60-053414D77EE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113BA64-75C7-402E-A232-CE5C06C3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25</Pages>
  <Words>6787</Words>
  <Characters>39908</Characters>
  <Application>Microsoft Office Word</Application>
  <DocSecurity>0</DocSecurity>
  <Lines>1478</Lines>
  <Paragraphs>805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2020-05-29T11:01:00Z</dcterms:created>
  <dcterms:modified xsi:type="dcterms:W3CDTF">2020-05-29T14:12:00Z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