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8B" w:rsidRPr="00CE03EE" w:rsidRDefault="00FC71DD" w:rsidP="00FC71DD">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0D3C79B46F14B328F60C7EF1B341F28" style="width:450.75pt;height:334.5pt">
            <v:imagedata r:id="rId9" o:title=""/>
          </v:shape>
        </w:pict>
      </w:r>
    </w:p>
    <w:bookmarkEnd w:id="0"/>
    <w:p w:rsidR="00DB378B" w:rsidRPr="00CE03EE" w:rsidRDefault="00DB378B" w:rsidP="00C94D3B">
      <w:pPr>
        <w:spacing w:after="0"/>
        <w:sectPr w:rsidR="00DB378B" w:rsidRPr="00CE03EE" w:rsidSect="00FC71DD">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5F0D66" w:rsidRPr="00CD27F5" w:rsidRDefault="005F0D66" w:rsidP="004D2CC1">
      <w:pPr>
        <w:pStyle w:val="Heading1"/>
        <w:numPr>
          <w:ilvl w:val="0"/>
          <w:numId w:val="0"/>
        </w:numPr>
        <w:spacing w:before="120"/>
        <w:ind w:left="360" w:hanging="360"/>
        <w:rPr>
          <w:lang w:val="fr-BE"/>
        </w:rPr>
      </w:pPr>
      <w:r w:rsidRPr="00CE03EE">
        <w:lastRenderedPageBreak/>
        <w:t>Introduction</w:t>
      </w:r>
    </w:p>
    <w:p w:rsidR="00956D46" w:rsidRPr="00CE03EE" w:rsidRDefault="00956D46" w:rsidP="004D2CC1">
      <w:pPr>
        <w:spacing w:after="0"/>
        <w:rPr>
          <w:color w:val="000000"/>
        </w:rPr>
      </w:pPr>
      <w:r w:rsidRPr="00CD27F5">
        <w:rPr>
          <w:color w:val="000000"/>
          <w:lang w:val="fr-BE"/>
        </w:rPr>
        <w:t>L</w:t>
      </w:r>
      <w:r w:rsidR="00C869EE">
        <w:rPr>
          <w:color w:val="000000"/>
          <w:lang w:val="fr-BE"/>
        </w:rPr>
        <w:t>’</w:t>
      </w:r>
      <w:r w:rsidRPr="00CD27F5">
        <w:rPr>
          <w:color w:val="000000"/>
          <w:lang w:val="fr-BE"/>
        </w:rPr>
        <w:t>énergie</w:t>
      </w:r>
      <w:r w:rsidRPr="00CE03EE">
        <w:rPr>
          <w:color w:val="000000"/>
        </w:rPr>
        <w:t xml:space="preserve"> est un aspect indispensable de notre vie quotidienne. Nous en avons besoin pour le chauffage, le refroidissement, l</w:t>
      </w:r>
      <w:r w:rsidR="00C869EE">
        <w:rPr>
          <w:color w:val="000000"/>
        </w:rPr>
        <w:t>’</w:t>
      </w:r>
      <w:r w:rsidRPr="00CE03EE">
        <w:rPr>
          <w:color w:val="000000"/>
        </w:rPr>
        <w:t>éclairage et pour nous déplacer. Elle est essentielle au fonctionnement de nos maisons, de nos bureaux, de nos lieux de travail et à l</w:t>
      </w:r>
      <w:r w:rsidR="00C869EE">
        <w:rPr>
          <w:color w:val="000000"/>
        </w:rPr>
        <w:t>’</w:t>
      </w:r>
      <w:r w:rsidRPr="00CE03EE">
        <w:rPr>
          <w:color w:val="000000"/>
        </w:rPr>
        <w:t>économie dans son ensemble. Son importance fait de son accessibilité une question politique sensible. C</w:t>
      </w:r>
      <w:r w:rsidR="00C869EE">
        <w:rPr>
          <w:color w:val="000000"/>
        </w:rPr>
        <w:t>’</w:t>
      </w:r>
      <w:r w:rsidRPr="00CE03EE">
        <w:rPr>
          <w:color w:val="000000"/>
        </w:rPr>
        <w:t>est l</w:t>
      </w:r>
      <w:r w:rsidR="00C869EE">
        <w:rPr>
          <w:color w:val="000000"/>
        </w:rPr>
        <w:t>’</w:t>
      </w:r>
      <w:r w:rsidRPr="00CE03EE">
        <w:rPr>
          <w:color w:val="000000"/>
        </w:rPr>
        <w:t>une des raisons pour lesquelles la Commission a proposé sa stratégie de l</w:t>
      </w:r>
      <w:r w:rsidR="00C869EE">
        <w:rPr>
          <w:color w:val="000000"/>
        </w:rPr>
        <w:t>’</w:t>
      </w:r>
      <w:r w:rsidRPr="00CE03EE">
        <w:rPr>
          <w:color w:val="000000"/>
        </w:rPr>
        <w:t>Union en matière énergétique. Le prix de l</w:t>
      </w:r>
      <w:r w:rsidR="00C869EE">
        <w:rPr>
          <w:color w:val="000000"/>
        </w:rPr>
        <w:t>’</w:t>
      </w:r>
      <w:r w:rsidRPr="00CE03EE">
        <w:rPr>
          <w:color w:val="000000"/>
        </w:rPr>
        <w:t>énergie est aussi une question délicate. D</w:t>
      </w:r>
      <w:r w:rsidR="00C869EE">
        <w:rPr>
          <w:color w:val="000000"/>
        </w:rPr>
        <w:t>’</w:t>
      </w:r>
      <w:r w:rsidRPr="00CE03EE">
        <w:rPr>
          <w:color w:val="000000"/>
        </w:rPr>
        <w:t xml:space="preserve">une part, des prix bas peuvent être bénéfiques </w:t>
      </w:r>
      <w:r w:rsidR="003B5215" w:rsidRPr="00CE03EE">
        <w:noBreakHyphen/>
      </w:r>
      <w:r w:rsidRPr="00CE03EE">
        <w:rPr>
          <w:color w:val="000000"/>
        </w:rPr>
        <w:t xml:space="preserve"> ils augmentent notre pouvoir d</w:t>
      </w:r>
      <w:r w:rsidR="00C869EE">
        <w:rPr>
          <w:color w:val="000000"/>
        </w:rPr>
        <w:t>’</w:t>
      </w:r>
      <w:r w:rsidRPr="00CE03EE">
        <w:rPr>
          <w:color w:val="000000"/>
        </w:rPr>
        <w:t>achat et notre qualité de vie et ils réduisent les coûts de nos entreprises et accroissent ainsi leur compétitivité. D</w:t>
      </w:r>
      <w:r w:rsidR="00C869EE">
        <w:rPr>
          <w:color w:val="000000"/>
        </w:rPr>
        <w:t>’</w:t>
      </w:r>
      <w:r w:rsidRPr="00CE03EE">
        <w:rPr>
          <w:color w:val="000000"/>
        </w:rPr>
        <w:t>autre part, comme l</w:t>
      </w:r>
      <w:r w:rsidR="00C869EE">
        <w:rPr>
          <w:color w:val="000000"/>
        </w:rPr>
        <w:t>’</w:t>
      </w:r>
      <w:r w:rsidRPr="00CE03EE">
        <w:rPr>
          <w:color w:val="000000"/>
        </w:rPr>
        <w:t>énergie est fournie par l</w:t>
      </w:r>
      <w:r w:rsidR="00C869EE">
        <w:rPr>
          <w:color w:val="000000"/>
        </w:rPr>
        <w:t>’</w:t>
      </w:r>
      <w:r w:rsidRPr="00CE03EE">
        <w:rPr>
          <w:color w:val="000000"/>
        </w:rPr>
        <w:t>intermédiaire des marchés, les fournisseurs d</w:t>
      </w:r>
      <w:r w:rsidR="00C869EE">
        <w:rPr>
          <w:color w:val="000000"/>
        </w:rPr>
        <w:t>’</w:t>
      </w:r>
      <w:r w:rsidRPr="00CE03EE">
        <w:rPr>
          <w:color w:val="000000"/>
        </w:rPr>
        <w:t xml:space="preserve">énergie </w:t>
      </w:r>
      <w:r w:rsidR="003B5215" w:rsidRPr="00CE03EE">
        <w:rPr>
          <w:color w:val="000000"/>
        </w:rPr>
        <w:t>ont besoin des</w:t>
      </w:r>
      <w:r w:rsidRPr="00CE03EE">
        <w:rPr>
          <w:color w:val="000000"/>
        </w:rPr>
        <w:t xml:space="preserve"> prix pour couvrir leurs coûts et financer les investissements afin de garantir la fourniture d</w:t>
      </w:r>
      <w:r w:rsidR="00C869EE">
        <w:rPr>
          <w:color w:val="000000"/>
        </w:rPr>
        <w:t>’</w:t>
      </w:r>
      <w:r w:rsidRPr="00CE03EE">
        <w:rPr>
          <w:color w:val="000000"/>
        </w:rPr>
        <w:t>énergie à l</w:t>
      </w:r>
      <w:r w:rsidR="00C869EE">
        <w:rPr>
          <w:color w:val="000000"/>
        </w:rPr>
        <w:t>’</w:t>
      </w:r>
      <w:r w:rsidRPr="00CE03EE">
        <w:rPr>
          <w:color w:val="000000"/>
        </w:rPr>
        <w:t xml:space="preserve">avenir. </w:t>
      </w:r>
      <w:r w:rsidR="003B5215" w:rsidRPr="00CE03EE">
        <w:rPr>
          <w:color w:val="000000"/>
        </w:rPr>
        <w:t xml:space="preserve">Des </w:t>
      </w:r>
      <w:r w:rsidRPr="00CE03EE">
        <w:rPr>
          <w:color w:val="000000"/>
        </w:rPr>
        <w:t xml:space="preserve">prix élevés incitent à </w:t>
      </w:r>
      <w:r w:rsidR="00B15DCB" w:rsidRPr="00CE03EE">
        <w:rPr>
          <w:color w:val="000000"/>
        </w:rPr>
        <w:t xml:space="preserve">limiter </w:t>
      </w:r>
      <w:r w:rsidRPr="00CE03EE">
        <w:rPr>
          <w:color w:val="000000"/>
        </w:rPr>
        <w:t>l</w:t>
      </w:r>
      <w:r w:rsidR="00C869EE">
        <w:rPr>
          <w:color w:val="000000"/>
        </w:rPr>
        <w:t>’</w:t>
      </w:r>
      <w:r w:rsidRPr="00CE03EE">
        <w:rPr>
          <w:color w:val="000000"/>
        </w:rPr>
        <w:t>utilisation d</w:t>
      </w:r>
      <w:r w:rsidR="003B5215" w:rsidRPr="00CE03EE">
        <w:rPr>
          <w:color w:val="000000"/>
        </w:rPr>
        <w:t>'</w:t>
      </w:r>
      <w:r w:rsidRPr="00CE03EE">
        <w:rPr>
          <w:color w:val="000000"/>
        </w:rPr>
        <w:t>énergie à haute teneur en carbone ou encourage</w:t>
      </w:r>
      <w:r w:rsidR="00B15DCB" w:rsidRPr="00CE03EE">
        <w:rPr>
          <w:color w:val="000000"/>
        </w:rPr>
        <w:t>nt</w:t>
      </w:r>
      <w:r w:rsidRPr="00CE03EE">
        <w:rPr>
          <w:color w:val="000000"/>
        </w:rPr>
        <w:t xml:space="preserve"> l</w:t>
      </w:r>
      <w:r w:rsidR="00C869EE">
        <w:rPr>
          <w:color w:val="000000"/>
        </w:rPr>
        <w:t>’</w:t>
      </w:r>
      <w:r w:rsidRPr="00CE03EE">
        <w:rPr>
          <w:color w:val="000000"/>
        </w:rPr>
        <w:t>efficacité énergétique et l</w:t>
      </w:r>
      <w:r w:rsidR="00C869EE">
        <w:rPr>
          <w:color w:val="000000"/>
        </w:rPr>
        <w:t>’</w:t>
      </w:r>
      <w:r w:rsidRPr="00CE03EE">
        <w:rPr>
          <w:color w:val="000000"/>
        </w:rPr>
        <w:t xml:space="preserve">utilisation de produits innovants </w:t>
      </w:r>
      <w:r w:rsidR="00B15DCB" w:rsidRPr="00CE03EE">
        <w:rPr>
          <w:color w:val="000000"/>
        </w:rPr>
        <w:t xml:space="preserve">de conception écologique </w:t>
      </w:r>
      <w:r w:rsidRPr="00CE03EE">
        <w:rPr>
          <w:color w:val="000000"/>
        </w:rPr>
        <w:t>et de technologies propres.</w:t>
      </w:r>
    </w:p>
    <w:p w:rsidR="001C242D" w:rsidRPr="00CE03EE" w:rsidRDefault="00B632BD" w:rsidP="004D2CC1">
      <w:pPr>
        <w:spacing w:after="0"/>
        <w:rPr>
          <w:color w:val="000000"/>
        </w:rPr>
      </w:pPr>
      <w:r w:rsidRPr="00CE03EE">
        <w:rPr>
          <w:color w:val="000000"/>
        </w:rPr>
        <w:t>L</w:t>
      </w:r>
      <w:r w:rsidR="00C869EE">
        <w:rPr>
          <w:color w:val="000000"/>
        </w:rPr>
        <w:t>’</w:t>
      </w:r>
      <w:r w:rsidRPr="00CE03EE">
        <w:rPr>
          <w:color w:val="000000"/>
        </w:rPr>
        <w:t>histor</w:t>
      </w:r>
      <w:r w:rsidR="00EC7B9E" w:rsidRPr="00CE03EE">
        <w:rPr>
          <w:color w:val="000000"/>
        </w:rPr>
        <w:t>iqu</w:t>
      </w:r>
      <w:r w:rsidRPr="00CE03EE">
        <w:rPr>
          <w:color w:val="000000"/>
        </w:rPr>
        <w:t>e des prix et des coûts de l</w:t>
      </w:r>
      <w:r w:rsidR="00C869EE">
        <w:rPr>
          <w:color w:val="000000"/>
        </w:rPr>
        <w:t>’</w:t>
      </w:r>
      <w:r w:rsidRPr="00CE03EE">
        <w:rPr>
          <w:color w:val="000000"/>
        </w:rPr>
        <w:t xml:space="preserve">énergie témoigne de changements profonds et de répercussions majeures. Dans les années </w:t>
      </w:r>
      <w:r w:rsidRPr="00F30663">
        <w:rPr>
          <w:color w:val="000000"/>
        </w:rPr>
        <w:t>1970</w:t>
      </w:r>
      <w:r w:rsidRPr="00CE03EE">
        <w:rPr>
          <w:color w:val="000000"/>
        </w:rPr>
        <w:t xml:space="preserve"> et </w:t>
      </w:r>
      <w:r w:rsidRPr="00F30663">
        <w:rPr>
          <w:color w:val="000000"/>
        </w:rPr>
        <w:t>1980</w:t>
      </w:r>
      <w:r w:rsidRPr="00CE03EE">
        <w:rPr>
          <w:color w:val="000000"/>
        </w:rPr>
        <w:t xml:space="preserve">, les restrictions imposées par les producteurs de pétrole ont entraîné une hausse des prix et </w:t>
      </w:r>
      <w:r w:rsidR="00B15DCB" w:rsidRPr="00CE03EE">
        <w:rPr>
          <w:color w:val="000000"/>
        </w:rPr>
        <w:t xml:space="preserve">provoqué </w:t>
      </w:r>
      <w:r w:rsidRPr="00CE03EE">
        <w:rPr>
          <w:color w:val="000000"/>
        </w:rPr>
        <w:t>des chocs économiques. Plus récemment, les nouveaux approvisionnements en énergie et l</w:t>
      </w:r>
      <w:r w:rsidR="00C869EE">
        <w:rPr>
          <w:color w:val="000000"/>
        </w:rPr>
        <w:t>’</w:t>
      </w:r>
      <w:r w:rsidRPr="00CE03EE">
        <w:rPr>
          <w:color w:val="000000"/>
        </w:rPr>
        <w:t>utilisation croissante de sources énergétiques alternatives ont stimulé l</w:t>
      </w:r>
      <w:r w:rsidR="00C869EE">
        <w:rPr>
          <w:color w:val="000000"/>
        </w:rPr>
        <w:t>’</w:t>
      </w:r>
      <w:r w:rsidRPr="00CE03EE">
        <w:rPr>
          <w:color w:val="000000"/>
        </w:rPr>
        <w:t>offre, tandis que les mesures d</w:t>
      </w:r>
      <w:r w:rsidR="00C869EE">
        <w:rPr>
          <w:color w:val="000000"/>
        </w:rPr>
        <w:t>’</w:t>
      </w:r>
      <w:r w:rsidRPr="00CE03EE">
        <w:rPr>
          <w:color w:val="000000"/>
        </w:rPr>
        <w:t xml:space="preserve">efficacité énergétique et la croissance faible ont réduit la demande et </w:t>
      </w:r>
      <w:r w:rsidR="003B5215" w:rsidRPr="00CE03EE">
        <w:rPr>
          <w:color w:val="000000"/>
        </w:rPr>
        <w:t xml:space="preserve">fait baisser </w:t>
      </w:r>
      <w:r w:rsidRPr="00CE03EE">
        <w:rPr>
          <w:color w:val="000000"/>
        </w:rPr>
        <w:t>les prix de gros. L</w:t>
      </w:r>
      <w:r w:rsidR="00C869EE">
        <w:rPr>
          <w:color w:val="000000"/>
        </w:rPr>
        <w:t>’</w:t>
      </w:r>
      <w:r w:rsidRPr="00CE03EE">
        <w:rPr>
          <w:color w:val="000000"/>
        </w:rPr>
        <w:t>UE a constaté que plus le marché de l</w:t>
      </w:r>
      <w:r w:rsidR="00C869EE">
        <w:rPr>
          <w:color w:val="000000"/>
        </w:rPr>
        <w:t>’</w:t>
      </w:r>
      <w:r w:rsidRPr="00CE03EE">
        <w:rPr>
          <w:color w:val="000000"/>
        </w:rPr>
        <w:t>énergie est co</w:t>
      </w:r>
      <w:r w:rsidR="00BC1614" w:rsidRPr="00CE03EE">
        <w:rPr>
          <w:color w:val="000000"/>
        </w:rPr>
        <w:t>ncurrentiel</w:t>
      </w:r>
      <w:r w:rsidRPr="00CE03EE">
        <w:rPr>
          <w:color w:val="000000"/>
        </w:rPr>
        <w:t xml:space="preserve"> et </w:t>
      </w:r>
      <w:r w:rsidR="003B5215" w:rsidRPr="00CE03EE">
        <w:rPr>
          <w:color w:val="000000"/>
        </w:rPr>
        <w:t xml:space="preserve">fluide </w:t>
      </w:r>
      <w:r w:rsidRPr="00CE03EE">
        <w:rPr>
          <w:color w:val="000000"/>
        </w:rPr>
        <w:t>et plus nos approvisionnements en énergie et les fournisseurs sont nombreux et divers</w:t>
      </w:r>
      <w:r w:rsidR="00B15DCB" w:rsidRPr="00CE03EE">
        <w:rPr>
          <w:color w:val="000000"/>
        </w:rPr>
        <w:t>ifiés</w:t>
      </w:r>
      <w:r w:rsidRPr="00CE03EE">
        <w:rPr>
          <w:color w:val="000000"/>
        </w:rPr>
        <w:t xml:space="preserve">, moins nous sommes </w:t>
      </w:r>
      <w:r w:rsidR="009F57FF" w:rsidRPr="00CE03EE">
        <w:rPr>
          <w:color w:val="000000"/>
        </w:rPr>
        <w:t xml:space="preserve">sensibles </w:t>
      </w:r>
      <w:r w:rsidRPr="00CE03EE">
        <w:rPr>
          <w:color w:val="000000"/>
        </w:rPr>
        <w:t>à cette volatilité.</w:t>
      </w:r>
    </w:p>
    <w:p w:rsidR="008B66ED" w:rsidRPr="00CE03EE" w:rsidRDefault="001C242D" w:rsidP="004D2CC1">
      <w:pPr>
        <w:spacing w:after="0"/>
        <w:rPr>
          <w:color w:val="000000"/>
        </w:rPr>
      </w:pPr>
      <w:r w:rsidRPr="00CE03EE">
        <w:rPr>
          <w:color w:val="000000"/>
        </w:rPr>
        <w:t>La Commission a établi un premier rapport sur les prix et coûts de l</w:t>
      </w:r>
      <w:r w:rsidR="00C869EE">
        <w:rPr>
          <w:color w:val="000000"/>
        </w:rPr>
        <w:t>’</w:t>
      </w:r>
      <w:r w:rsidRPr="00CE03EE">
        <w:rPr>
          <w:color w:val="000000"/>
        </w:rPr>
        <w:t xml:space="preserve">énergie en </w:t>
      </w:r>
      <w:r w:rsidRPr="00F30663">
        <w:rPr>
          <w:color w:val="000000"/>
        </w:rPr>
        <w:t>2014</w:t>
      </w:r>
      <w:r w:rsidRPr="00CE03EE">
        <w:rPr>
          <w:rStyle w:val="FootnoteReference"/>
          <w:color w:val="000000"/>
        </w:rPr>
        <w:footnoteReference w:id="1"/>
      </w:r>
      <w:r w:rsidRPr="00CE03EE">
        <w:rPr>
          <w:color w:val="000000"/>
        </w:rPr>
        <w:t>. Ce rapport a mis en évidence des prix de l</w:t>
      </w:r>
      <w:r w:rsidR="00C869EE">
        <w:rPr>
          <w:color w:val="000000"/>
        </w:rPr>
        <w:t>’</w:t>
      </w:r>
      <w:r w:rsidRPr="00CE03EE">
        <w:rPr>
          <w:color w:val="000000"/>
        </w:rPr>
        <w:t>énergie élevés sur le marché mondial, des différences considérables entre les États membres de l</w:t>
      </w:r>
      <w:r w:rsidR="00C869EE">
        <w:rPr>
          <w:color w:val="000000"/>
        </w:rPr>
        <w:t>’</w:t>
      </w:r>
      <w:r w:rsidRPr="00CE03EE">
        <w:rPr>
          <w:color w:val="000000"/>
        </w:rPr>
        <w:t>UE et des prix nettement plus élevés en Europe que chez nos partenaires commerciaux internationaux, notamment les États-Unis. Les prix de détail ont augmenté davantage que les prix de gros en raison d</w:t>
      </w:r>
      <w:r w:rsidR="00C869EE">
        <w:rPr>
          <w:color w:val="000000"/>
        </w:rPr>
        <w:t>’</w:t>
      </w:r>
      <w:r w:rsidRPr="00CE03EE">
        <w:rPr>
          <w:color w:val="000000"/>
        </w:rPr>
        <w:t xml:space="preserve">augmentations des prix «réseau», des taxes et des prélèvements. </w:t>
      </w:r>
      <w:r w:rsidR="003B5215" w:rsidRPr="00CE03EE">
        <w:rPr>
          <w:color w:val="000000"/>
        </w:rPr>
        <w:t>L</w:t>
      </w:r>
      <w:r w:rsidR="00B15DCB" w:rsidRPr="00CE03EE">
        <w:rPr>
          <w:color w:val="000000"/>
        </w:rPr>
        <w:t>'imperfection</w:t>
      </w:r>
      <w:r w:rsidRPr="00CE03EE">
        <w:rPr>
          <w:color w:val="000000"/>
        </w:rPr>
        <w:t xml:space="preserve"> des données </w:t>
      </w:r>
      <w:r w:rsidR="003B5215" w:rsidRPr="00CE03EE">
        <w:rPr>
          <w:color w:val="000000"/>
        </w:rPr>
        <w:t>a conduit à</w:t>
      </w:r>
      <w:r w:rsidRPr="00CE03EE">
        <w:rPr>
          <w:color w:val="000000"/>
        </w:rPr>
        <w:t xml:space="preserve"> </w:t>
      </w:r>
      <w:r w:rsidR="003B5215" w:rsidRPr="00CE03EE">
        <w:rPr>
          <w:color w:val="000000"/>
        </w:rPr>
        <w:t xml:space="preserve">recommander </w:t>
      </w:r>
      <w:r w:rsidRPr="00CE03EE">
        <w:rPr>
          <w:color w:val="000000"/>
        </w:rPr>
        <w:t>d</w:t>
      </w:r>
      <w:r w:rsidR="00C869EE">
        <w:rPr>
          <w:color w:val="000000"/>
        </w:rPr>
        <w:t>’</w:t>
      </w:r>
      <w:r w:rsidRPr="00CE03EE">
        <w:rPr>
          <w:color w:val="000000"/>
        </w:rPr>
        <w:t xml:space="preserve">améliorer </w:t>
      </w:r>
      <w:r w:rsidR="00B15DCB" w:rsidRPr="00CE03EE">
        <w:rPr>
          <w:color w:val="000000"/>
        </w:rPr>
        <w:t>la précision</w:t>
      </w:r>
      <w:r w:rsidRPr="00CE03EE">
        <w:rPr>
          <w:color w:val="000000"/>
        </w:rPr>
        <w:t>, la transparence et la cohérence de la collecte de données sur les prix</w:t>
      </w:r>
      <w:r w:rsidRPr="00CE03EE">
        <w:rPr>
          <w:rStyle w:val="FootnoteReference"/>
          <w:color w:val="000000"/>
        </w:rPr>
        <w:footnoteReference w:id="2"/>
      </w:r>
      <w:r w:rsidRPr="00CE03EE">
        <w:rPr>
          <w:color w:val="000000"/>
        </w:rPr>
        <w:t xml:space="preserve">. </w:t>
      </w:r>
      <w:r w:rsidR="00B15DCB" w:rsidRPr="00CE03EE">
        <w:rPr>
          <w:color w:val="000000"/>
        </w:rPr>
        <w:t xml:space="preserve">Selon les </w:t>
      </w:r>
      <w:r w:rsidRPr="00CE03EE">
        <w:rPr>
          <w:color w:val="000000"/>
        </w:rPr>
        <w:t>conclusions politiques de ce rapport</w:t>
      </w:r>
      <w:r w:rsidR="00B15DCB" w:rsidRPr="00CE03EE">
        <w:rPr>
          <w:color w:val="000000"/>
        </w:rPr>
        <w:t>,</w:t>
      </w:r>
      <w:r w:rsidRPr="00CE03EE">
        <w:rPr>
          <w:color w:val="000000"/>
        </w:rPr>
        <w:t xml:space="preserve"> les données et les éléments présentés montrent </w:t>
      </w:r>
      <w:r w:rsidR="00B15DCB" w:rsidRPr="00CE03EE">
        <w:rPr>
          <w:color w:val="000000"/>
        </w:rPr>
        <w:t xml:space="preserve">que </w:t>
      </w:r>
      <w:r w:rsidRPr="00CE03EE">
        <w:rPr>
          <w:color w:val="000000"/>
        </w:rPr>
        <w:t>le développement du marché intérieur de l</w:t>
      </w:r>
      <w:r w:rsidR="00C869EE">
        <w:rPr>
          <w:color w:val="000000"/>
        </w:rPr>
        <w:t>’</w:t>
      </w:r>
      <w:r w:rsidRPr="00CE03EE">
        <w:rPr>
          <w:color w:val="000000"/>
        </w:rPr>
        <w:t xml:space="preserve">énergie </w:t>
      </w:r>
      <w:r w:rsidR="00B15DCB" w:rsidRPr="00CE03EE">
        <w:rPr>
          <w:color w:val="000000"/>
        </w:rPr>
        <w:t xml:space="preserve">n'est que partiel </w:t>
      </w:r>
      <w:r w:rsidRPr="00CE03EE">
        <w:rPr>
          <w:color w:val="000000"/>
        </w:rPr>
        <w:t xml:space="preserve">et </w:t>
      </w:r>
      <w:r w:rsidR="00B15DCB" w:rsidRPr="00CE03EE">
        <w:rPr>
          <w:color w:val="000000"/>
        </w:rPr>
        <w:t xml:space="preserve">qu'il faut prendre </w:t>
      </w:r>
      <w:r w:rsidRPr="00CE03EE">
        <w:rPr>
          <w:color w:val="000000"/>
        </w:rPr>
        <w:t>d</w:t>
      </w:r>
      <w:r w:rsidR="00C869EE">
        <w:rPr>
          <w:color w:val="000000"/>
        </w:rPr>
        <w:t>’</w:t>
      </w:r>
      <w:r w:rsidRPr="00CE03EE">
        <w:rPr>
          <w:color w:val="000000"/>
        </w:rPr>
        <w:t xml:space="preserve">autres mesures </w:t>
      </w:r>
      <w:r w:rsidR="00B15DCB" w:rsidRPr="00CE03EE">
        <w:rPr>
          <w:color w:val="000000"/>
        </w:rPr>
        <w:t xml:space="preserve">pour accroître </w:t>
      </w:r>
      <w:r w:rsidRPr="00CE03EE">
        <w:rPr>
          <w:color w:val="000000"/>
        </w:rPr>
        <w:t>l’efficacité énergétique et la sécurité de l’approvisionnement, ainsi que la diversité des approvisionnements énergétiques à faible teneur en carbone. Ce cadre stratégique pour une Union de l</w:t>
      </w:r>
      <w:r w:rsidR="00C869EE">
        <w:rPr>
          <w:color w:val="000000"/>
        </w:rPr>
        <w:t>’</w:t>
      </w:r>
      <w:r w:rsidRPr="00CE03EE">
        <w:rPr>
          <w:color w:val="000000"/>
        </w:rPr>
        <w:t xml:space="preserve">énergie et sa feuille de route </w:t>
      </w:r>
      <w:r w:rsidR="00DA2C64" w:rsidRPr="00CE03EE">
        <w:rPr>
          <w:color w:val="000000"/>
        </w:rPr>
        <w:t xml:space="preserve">définissent </w:t>
      </w:r>
      <w:r w:rsidRPr="00CE03EE">
        <w:rPr>
          <w:color w:val="000000"/>
        </w:rPr>
        <w:t xml:space="preserve">les grandes lignes pour faire avancer ces travaux tous les deux ans, à partir de </w:t>
      </w:r>
      <w:r w:rsidRPr="00F30663">
        <w:rPr>
          <w:color w:val="000000"/>
        </w:rPr>
        <w:t>2016</w:t>
      </w:r>
      <w:r w:rsidRPr="00CE03EE">
        <w:rPr>
          <w:rStyle w:val="FootnoteReference"/>
          <w:color w:val="000000"/>
        </w:rPr>
        <w:footnoteReference w:id="3"/>
      </w:r>
      <w:r w:rsidRPr="00CE03EE">
        <w:t>.</w:t>
      </w:r>
    </w:p>
    <w:p w:rsidR="00307430" w:rsidRPr="00CE03EE" w:rsidRDefault="008B66ED" w:rsidP="004D2CC1">
      <w:pPr>
        <w:spacing w:after="0"/>
        <w:rPr>
          <w:color w:val="000000"/>
        </w:rPr>
      </w:pPr>
      <w:r w:rsidRPr="00CE03EE">
        <w:rPr>
          <w:color w:val="000000"/>
        </w:rPr>
        <w:t>Le présent rapport</w:t>
      </w:r>
      <w:r w:rsidR="00163F5E" w:rsidRPr="00CE03EE">
        <w:rPr>
          <w:color w:val="000000"/>
        </w:rPr>
        <w:t>, qui est le deuxième,</w:t>
      </w:r>
      <w:r w:rsidRPr="00CE03EE">
        <w:rPr>
          <w:color w:val="000000"/>
        </w:rPr>
        <w:t xml:space="preserve"> actualise l</w:t>
      </w:r>
      <w:r w:rsidR="00C869EE">
        <w:rPr>
          <w:color w:val="000000"/>
        </w:rPr>
        <w:t>’</w:t>
      </w:r>
      <w:r w:rsidRPr="00CE03EE">
        <w:rPr>
          <w:color w:val="000000"/>
        </w:rPr>
        <w:t xml:space="preserve">analyse à plusieurs égards. Premièrement, grâce à une vaste collecte de données </w:t>
      </w:r>
      <w:r w:rsidRPr="00CE03EE">
        <w:rPr>
          <w:i/>
          <w:color w:val="000000"/>
        </w:rPr>
        <w:t xml:space="preserve">ad hoc, </w:t>
      </w:r>
      <w:r w:rsidRPr="00CE03EE">
        <w:rPr>
          <w:color w:val="000000"/>
        </w:rPr>
        <w:t>réalisée par les instituts nationaux de statistique des États membres, les données sur les prix de l</w:t>
      </w:r>
      <w:r w:rsidR="00C869EE">
        <w:rPr>
          <w:color w:val="000000"/>
        </w:rPr>
        <w:t>’</w:t>
      </w:r>
      <w:r w:rsidRPr="00CE03EE">
        <w:rPr>
          <w:color w:val="000000"/>
        </w:rPr>
        <w:t>énergie ont été considérablement améliorées, de sorte que les conclusions que nous pouvons tirer sont aujourd</w:t>
      </w:r>
      <w:r w:rsidR="00C869EE">
        <w:rPr>
          <w:color w:val="000000"/>
        </w:rPr>
        <w:t>’</w:t>
      </w:r>
      <w:r w:rsidRPr="00CE03EE">
        <w:rPr>
          <w:color w:val="000000"/>
        </w:rPr>
        <w:t xml:space="preserve">hui plus détaillées et </w:t>
      </w:r>
      <w:r w:rsidR="00DA2C64" w:rsidRPr="00CE03EE">
        <w:rPr>
          <w:color w:val="000000"/>
        </w:rPr>
        <w:t xml:space="preserve">plus </w:t>
      </w:r>
      <w:r w:rsidRPr="00CE03EE">
        <w:rPr>
          <w:color w:val="000000"/>
        </w:rPr>
        <w:t xml:space="preserve">claires. Ces données, </w:t>
      </w:r>
      <w:r w:rsidR="00DA2C64" w:rsidRPr="00CE03EE">
        <w:rPr>
          <w:color w:val="000000"/>
        </w:rPr>
        <w:t xml:space="preserve">qui ont été </w:t>
      </w:r>
      <w:r w:rsidRPr="00CE03EE">
        <w:rPr>
          <w:color w:val="000000"/>
        </w:rPr>
        <w:t>actualisées par la suite, rendent pleinement compte de la situation la plus récente des prix de l</w:t>
      </w:r>
      <w:r w:rsidR="00C869EE">
        <w:rPr>
          <w:color w:val="000000"/>
        </w:rPr>
        <w:t>’</w:t>
      </w:r>
      <w:r w:rsidRPr="00CE03EE">
        <w:rPr>
          <w:color w:val="000000"/>
        </w:rPr>
        <w:t>énergie dans les secteurs de l</w:t>
      </w:r>
      <w:r w:rsidR="00C869EE">
        <w:rPr>
          <w:color w:val="000000"/>
        </w:rPr>
        <w:t>’</w:t>
      </w:r>
      <w:r w:rsidRPr="00CE03EE">
        <w:rPr>
          <w:color w:val="000000"/>
        </w:rPr>
        <w:t>électricité, du gaz et des produits pétroliers. En outre, l</w:t>
      </w:r>
      <w:r w:rsidR="00C869EE">
        <w:rPr>
          <w:color w:val="000000"/>
        </w:rPr>
        <w:t>’</w:t>
      </w:r>
      <w:r w:rsidRPr="00CE03EE">
        <w:rPr>
          <w:color w:val="000000"/>
        </w:rPr>
        <w:t xml:space="preserve">analyse des données agrégées et des études de cas est </w:t>
      </w:r>
      <w:r w:rsidR="00DA2C64" w:rsidRPr="00CE03EE">
        <w:rPr>
          <w:color w:val="000000"/>
        </w:rPr>
        <w:t>plus poussée</w:t>
      </w:r>
      <w:r w:rsidRPr="00CE03EE">
        <w:rPr>
          <w:color w:val="000000"/>
        </w:rPr>
        <w:t xml:space="preserve"> </w:t>
      </w:r>
      <w:r w:rsidR="00DA2C64" w:rsidRPr="00CE03EE">
        <w:rPr>
          <w:color w:val="000000"/>
        </w:rPr>
        <w:t xml:space="preserve">et </w:t>
      </w:r>
      <w:r w:rsidRPr="00CE03EE">
        <w:rPr>
          <w:color w:val="000000"/>
        </w:rPr>
        <w:t>permet d</w:t>
      </w:r>
      <w:r w:rsidR="00C869EE">
        <w:rPr>
          <w:color w:val="000000"/>
        </w:rPr>
        <w:t>’</w:t>
      </w:r>
      <w:r w:rsidRPr="00CE03EE">
        <w:rPr>
          <w:color w:val="000000"/>
        </w:rPr>
        <w:t xml:space="preserve">examiner plus </w:t>
      </w:r>
      <w:r w:rsidR="00DA2C64" w:rsidRPr="00CE03EE">
        <w:rPr>
          <w:color w:val="000000"/>
        </w:rPr>
        <w:t xml:space="preserve">en </w:t>
      </w:r>
      <w:r w:rsidRPr="00CE03EE">
        <w:rPr>
          <w:color w:val="000000"/>
        </w:rPr>
        <w:t>profonde</w:t>
      </w:r>
      <w:r w:rsidR="00DA2C64" w:rsidRPr="00CE03EE">
        <w:rPr>
          <w:color w:val="000000"/>
        </w:rPr>
        <w:t>ur</w:t>
      </w:r>
      <w:r w:rsidRPr="00CE03EE">
        <w:rPr>
          <w:color w:val="000000"/>
        </w:rPr>
        <w:t xml:space="preserve"> les évolutions et les incidences des prix de l</w:t>
      </w:r>
      <w:r w:rsidR="00C869EE">
        <w:rPr>
          <w:color w:val="000000"/>
        </w:rPr>
        <w:t>’</w:t>
      </w:r>
      <w:r w:rsidRPr="00CE03EE">
        <w:rPr>
          <w:color w:val="000000"/>
        </w:rPr>
        <w:t>énergie pour les ménages (en particulier à faible revenu) et l‎</w:t>
      </w:r>
      <w:r w:rsidR="00D97FBD" w:rsidRPr="00CE03EE">
        <w:rPr>
          <w:color w:val="000000"/>
        </w:rPr>
        <w:t>es entreprises</w:t>
      </w:r>
      <w:r w:rsidRPr="00CE03EE">
        <w:rPr>
          <w:color w:val="000000"/>
        </w:rPr>
        <w:t xml:space="preserve"> (notamment les </w:t>
      </w:r>
      <w:r w:rsidRPr="00CE03EE">
        <w:rPr>
          <w:color w:val="000000"/>
        </w:rPr>
        <w:lastRenderedPageBreak/>
        <w:t>industries grandes consommatrices d</w:t>
      </w:r>
      <w:r w:rsidR="00C869EE">
        <w:rPr>
          <w:color w:val="000000"/>
        </w:rPr>
        <w:t>’</w:t>
      </w:r>
      <w:r w:rsidRPr="00CE03EE">
        <w:rPr>
          <w:color w:val="000000"/>
        </w:rPr>
        <w:t>énergie). L</w:t>
      </w:r>
      <w:r w:rsidR="00C869EE">
        <w:rPr>
          <w:color w:val="000000"/>
        </w:rPr>
        <w:t>’</w:t>
      </w:r>
      <w:r w:rsidRPr="00CE03EE">
        <w:rPr>
          <w:color w:val="000000"/>
        </w:rPr>
        <w:t xml:space="preserve">examen des </w:t>
      </w:r>
      <w:r w:rsidRPr="00CE03EE">
        <w:rPr>
          <w:i/>
          <w:color w:val="000000"/>
        </w:rPr>
        <w:t>coûts</w:t>
      </w:r>
      <w:r w:rsidRPr="00CE03EE">
        <w:rPr>
          <w:color w:val="000000"/>
        </w:rPr>
        <w:t xml:space="preserve"> de l</w:t>
      </w:r>
      <w:r w:rsidR="00C869EE">
        <w:rPr>
          <w:color w:val="000000"/>
        </w:rPr>
        <w:t>’</w:t>
      </w:r>
      <w:r w:rsidRPr="00CE03EE">
        <w:rPr>
          <w:color w:val="000000"/>
        </w:rPr>
        <w:t>énergie aide également à comprendre comment nous pouvons réagir aux prix de l</w:t>
      </w:r>
      <w:r w:rsidR="00C869EE">
        <w:rPr>
          <w:color w:val="000000"/>
        </w:rPr>
        <w:t>’</w:t>
      </w:r>
      <w:r w:rsidRPr="00CE03EE">
        <w:rPr>
          <w:color w:val="000000"/>
        </w:rPr>
        <w:t xml:space="preserve">énergie, souvent par une utilisation plus efficace de </w:t>
      </w:r>
      <w:r w:rsidR="00163F5E" w:rsidRPr="00CE03EE">
        <w:rPr>
          <w:color w:val="000000"/>
        </w:rPr>
        <w:t>celle-ci</w:t>
      </w:r>
      <w:r w:rsidRPr="00CE03EE">
        <w:rPr>
          <w:color w:val="000000"/>
        </w:rPr>
        <w:t xml:space="preserve">. Le présent rapport se fonde sur les informations du document de travail des services </w:t>
      </w:r>
      <w:r w:rsidR="00DA2C64" w:rsidRPr="00CE03EE">
        <w:rPr>
          <w:color w:val="000000"/>
        </w:rPr>
        <w:t xml:space="preserve">de la Commission </w:t>
      </w:r>
      <w:r w:rsidRPr="00CE03EE">
        <w:rPr>
          <w:color w:val="000000"/>
        </w:rPr>
        <w:t>qui l</w:t>
      </w:r>
      <w:r w:rsidR="00C869EE">
        <w:rPr>
          <w:color w:val="000000"/>
        </w:rPr>
        <w:t>’</w:t>
      </w:r>
      <w:r w:rsidRPr="00CE03EE">
        <w:rPr>
          <w:color w:val="000000"/>
        </w:rPr>
        <w:t>accompagne et sur des études réalisées pour le compte de la Commission.</w:t>
      </w:r>
    </w:p>
    <w:p w:rsidR="00EA3561" w:rsidRPr="00CE03EE" w:rsidRDefault="00EA3561" w:rsidP="004D2CC1">
      <w:pPr>
        <w:spacing w:before="0" w:after="200"/>
        <w:jc w:val="left"/>
        <w:rPr>
          <w:color w:val="000000"/>
        </w:rPr>
      </w:pPr>
      <w:r w:rsidRPr="00CE03EE">
        <w:br w:type="page"/>
      </w:r>
    </w:p>
    <w:p w:rsidR="005165C3" w:rsidRPr="00CE03EE" w:rsidRDefault="005165C3" w:rsidP="004D2CC1">
      <w:pPr>
        <w:pStyle w:val="Heading1"/>
        <w:spacing w:before="120"/>
      </w:pPr>
      <w:r w:rsidRPr="00CE03EE">
        <w:lastRenderedPageBreak/>
        <w:t>La facture d</w:t>
      </w:r>
      <w:r w:rsidR="00D97FBD" w:rsidRPr="00CE03EE">
        <w:t xml:space="preserve">es </w:t>
      </w:r>
      <w:r w:rsidRPr="00CE03EE">
        <w:t>‎importation</w:t>
      </w:r>
      <w:r w:rsidR="00D97FBD" w:rsidRPr="00CE03EE">
        <w:t>s</w:t>
      </w:r>
      <w:r w:rsidRPr="00CE03EE">
        <w:t xml:space="preserve"> d</w:t>
      </w:r>
      <w:r w:rsidR="00C869EE">
        <w:t>’</w:t>
      </w:r>
      <w:r w:rsidRPr="00CE03EE">
        <w:t>énergie de l</w:t>
      </w:r>
      <w:r w:rsidR="00C869EE">
        <w:t>’</w:t>
      </w:r>
      <w:r w:rsidRPr="00CE03EE">
        <w:t>UE</w:t>
      </w:r>
    </w:p>
    <w:p w:rsidR="00AB61E1" w:rsidRPr="00CE03EE" w:rsidRDefault="00725B97" w:rsidP="004D2CC1">
      <w:pPr>
        <w:spacing w:after="0"/>
        <w:rPr>
          <w:color w:val="000000"/>
        </w:rPr>
      </w:pPr>
      <w:r w:rsidRPr="00CE03EE">
        <w:rPr>
          <w:color w:val="000000"/>
        </w:rPr>
        <w:t>Comme</w:t>
      </w:r>
      <w:r w:rsidR="00E34D8D" w:rsidRPr="00CE03EE">
        <w:rPr>
          <w:color w:val="000000"/>
        </w:rPr>
        <w:t xml:space="preserve"> la proportion</w:t>
      </w:r>
      <w:r w:rsidRPr="00CE03EE">
        <w:rPr>
          <w:color w:val="000000"/>
        </w:rPr>
        <w:t xml:space="preserve"> d</w:t>
      </w:r>
      <w:r w:rsidR="00C869EE">
        <w:rPr>
          <w:color w:val="000000"/>
        </w:rPr>
        <w:t>’</w:t>
      </w:r>
      <w:r w:rsidRPr="00CE03EE">
        <w:rPr>
          <w:color w:val="000000"/>
        </w:rPr>
        <w:t>énergie importée</w:t>
      </w:r>
      <w:r w:rsidR="00E34D8D" w:rsidRPr="00CE03EE">
        <w:rPr>
          <w:color w:val="000000"/>
        </w:rPr>
        <w:t xml:space="preserve"> </w:t>
      </w:r>
      <w:r w:rsidRPr="00CE03EE">
        <w:rPr>
          <w:color w:val="000000"/>
        </w:rPr>
        <w:t>est grande</w:t>
      </w:r>
      <w:r w:rsidR="00E34D8D" w:rsidRPr="00CE03EE">
        <w:rPr>
          <w:color w:val="000000"/>
        </w:rPr>
        <w:t>, les prix et notre consommation d</w:t>
      </w:r>
      <w:r w:rsidR="00C869EE">
        <w:rPr>
          <w:color w:val="000000"/>
        </w:rPr>
        <w:t>’</w:t>
      </w:r>
      <w:r w:rsidR="00E34D8D" w:rsidRPr="00CE03EE">
        <w:rPr>
          <w:color w:val="000000"/>
        </w:rPr>
        <w:t xml:space="preserve">énergie </w:t>
      </w:r>
      <w:r w:rsidR="009F57FF" w:rsidRPr="00CE03EE">
        <w:rPr>
          <w:color w:val="000000"/>
        </w:rPr>
        <w:t xml:space="preserve">ont un impact </w:t>
      </w:r>
      <w:r w:rsidR="00163F5E" w:rsidRPr="00CE03EE">
        <w:rPr>
          <w:color w:val="000000"/>
        </w:rPr>
        <w:t>évident</w:t>
      </w:r>
      <w:r w:rsidR="00E34D8D" w:rsidRPr="00CE03EE">
        <w:rPr>
          <w:color w:val="000000"/>
        </w:rPr>
        <w:t xml:space="preserve"> </w:t>
      </w:r>
      <w:r w:rsidR="009F57FF" w:rsidRPr="00CE03EE">
        <w:rPr>
          <w:color w:val="000000"/>
        </w:rPr>
        <w:t xml:space="preserve">sur </w:t>
      </w:r>
      <w:r w:rsidR="00E34D8D" w:rsidRPr="00CE03EE">
        <w:rPr>
          <w:color w:val="000000"/>
        </w:rPr>
        <w:t>la facture d‎</w:t>
      </w:r>
      <w:r w:rsidR="00D97FBD" w:rsidRPr="00CE03EE">
        <w:rPr>
          <w:color w:val="000000"/>
        </w:rPr>
        <w:t xml:space="preserve">es </w:t>
      </w:r>
      <w:r w:rsidR="00E34D8D" w:rsidRPr="00CE03EE">
        <w:rPr>
          <w:color w:val="000000"/>
        </w:rPr>
        <w:t>importation</w:t>
      </w:r>
      <w:r w:rsidR="00D97FBD" w:rsidRPr="00CE03EE">
        <w:rPr>
          <w:color w:val="000000"/>
        </w:rPr>
        <w:t>s</w:t>
      </w:r>
      <w:r w:rsidR="00E34D8D" w:rsidRPr="00CE03EE">
        <w:rPr>
          <w:color w:val="000000"/>
        </w:rPr>
        <w:t xml:space="preserve"> de combustibles fossiles</w:t>
      </w:r>
      <w:r w:rsidRPr="00CE03EE">
        <w:rPr>
          <w:color w:val="000000"/>
        </w:rPr>
        <w:t xml:space="preserve"> de l'UE</w:t>
      </w:r>
      <w:r w:rsidR="00E34D8D" w:rsidRPr="00CE03EE">
        <w:rPr>
          <w:color w:val="000000"/>
        </w:rPr>
        <w:t xml:space="preserve">. Celle-ci montre </w:t>
      </w:r>
      <w:r w:rsidR="009F57FF" w:rsidRPr="00CE03EE">
        <w:rPr>
          <w:color w:val="000000"/>
        </w:rPr>
        <w:t>à quel point</w:t>
      </w:r>
      <w:r w:rsidR="00E34D8D" w:rsidRPr="00CE03EE">
        <w:rPr>
          <w:color w:val="000000"/>
        </w:rPr>
        <w:t xml:space="preserve"> l</w:t>
      </w:r>
      <w:r w:rsidR="00C869EE">
        <w:rPr>
          <w:color w:val="000000"/>
        </w:rPr>
        <w:t>’</w:t>
      </w:r>
      <w:r w:rsidR="00E34D8D" w:rsidRPr="00CE03EE">
        <w:rPr>
          <w:color w:val="000000"/>
        </w:rPr>
        <w:t>économie de l</w:t>
      </w:r>
      <w:r w:rsidR="00C869EE">
        <w:rPr>
          <w:color w:val="000000"/>
        </w:rPr>
        <w:t>’</w:t>
      </w:r>
      <w:r w:rsidR="00E34D8D" w:rsidRPr="00CE03EE">
        <w:rPr>
          <w:color w:val="000000"/>
        </w:rPr>
        <w:t xml:space="preserve">UE </w:t>
      </w:r>
      <w:r w:rsidR="009F57FF" w:rsidRPr="00CE03EE">
        <w:rPr>
          <w:color w:val="000000"/>
        </w:rPr>
        <w:t xml:space="preserve">est sensible </w:t>
      </w:r>
      <w:r w:rsidR="00E34D8D" w:rsidRPr="00CE03EE">
        <w:rPr>
          <w:color w:val="000000"/>
        </w:rPr>
        <w:t>à l</w:t>
      </w:r>
      <w:r w:rsidR="00C869EE">
        <w:rPr>
          <w:color w:val="000000"/>
        </w:rPr>
        <w:t>’</w:t>
      </w:r>
      <w:r w:rsidR="00E34D8D" w:rsidRPr="00CE03EE">
        <w:rPr>
          <w:color w:val="000000"/>
        </w:rPr>
        <w:t xml:space="preserve">évolution des prix </w:t>
      </w:r>
      <w:r w:rsidR="009F57FF" w:rsidRPr="00CE03EE">
        <w:rPr>
          <w:color w:val="000000"/>
        </w:rPr>
        <w:t xml:space="preserve">mondiaux </w:t>
      </w:r>
      <w:r w:rsidR="00E34D8D" w:rsidRPr="00CE03EE">
        <w:rPr>
          <w:color w:val="000000"/>
        </w:rPr>
        <w:t>de l</w:t>
      </w:r>
      <w:r w:rsidR="00C869EE">
        <w:rPr>
          <w:color w:val="000000"/>
        </w:rPr>
        <w:t>’</w:t>
      </w:r>
      <w:r w:rsidR="00E34D8D" w:rsidRPr="00CE03EE">
        <w:rPr>
          <w:color w:val="000000"/>
        </w:rPr>
        <w:t xml:space="preserve">énergie et nous rappelle également que, pour réduire </w:t>
      </w:r>
      <w:r w:rsidR="00D27D73" w:rsidRPr="00CE03EE">
        <w:rPr>
          <w:color w:val="000000"/>
        </w:rPr>
        <w:t>la</w:t>
      </w:r>
      <w:r w:rsidR="00E34D8D" w:rsidRPr="00CE03EE">
        <w:rPr>
          <w:color w:val="000000"/>
        </w:rPr>
        <w:t xml:space="preserve"> facture d</w:t>
      </w:r>
      <w:r w:rsidR="00D27D73" w:rsidRPr="00CE03EE">
        <w:rPr>
          <w:color w:val="000000"/>
        </w:rPr>
        <w:t xml:space="preserve">e nos </w:t>
      </w:r>
      <w:r w:rsidR="00E34D8D" w:rsidRPr="00CE03EE">
        <w:rPr>
          <w:color w:val="000000"/>
        </w:rPr>
        <w:t>importation</w:t>
      </w:r>
      <w:r w:rsidR="00D27D73" w:rsidRPr="00CE03EE">
        <w:rPr>
          <w:color w:val="000000"/>
        </w:rPr>
        <w:t>s</w:t>
      </w:r>
      <w:r w:rsidR="00E34D8D" w:rsidRPr="00CE03EE">
        <w:rPr>
          <w:color w:val="000000"/>
        </w:rPr>
        <w:t xml:space="preserve">, nous pouvons limiter notre consommation de combustibles fossiles </w:t>
      </w:r>
      <w:r w:rsidR="00163F5E" w:rsidRPr="00CE03EE">
        <w:rPr>
          <w:color w:val="000000"/>
        </w:rPr>
        <w:t xml:space="preserve">par </w:t>
      </w:r>
      <w:r w:rsidR="00E34D8D" w:rsidRPr="00CE03EE">
        <w:rPr>
          <w:color w:val="000000"/>
        </w:rPr>
        <w:t xml:space="preserve">une efficacité énergétique accrue et </w:t>
      </w:r>
      <w:r w:rsidR="00163F5E" w:rsidRPr="00CE03EE">
        <w:rPr>
          <w:color w:val="000000"/>
        </w:rPr>
        <w:t xml:space="preserve">le recours à des </w:t>
      </w:r>
      <w:r w:rsidR="00E34D8D" w:rsidRPr="00CE03EE">
        <w:rPr>
          <w:color w:val="000000"/>
        </w:rPr>
        <w:t>énergies alternative</w:t>
      </w:r>
      <w:r w:rsidR="00163F5E" w:rsidRPr="00CE03EE">
        <w:rPr>
          <w:color w:val="000000"/>
        </w:rPr>
        <w:t>s</w:t>
      </w:r>
      <w:r w:rsidR="00E34D8D" w:rsidRPr="00CE03EE">
        <w:rPr>
          <w:color w:val="000000"/>
        </w:rPr>
        <w:t xml:space="preserve"> locales et efficientes.</w:t>
      </w:r>
    </w:p>
    <w:p w:rsidR="005165C3" w:rsidRPr="00CE03EE" w:rsidRDefault="0002084F" w:rsidP="004D2CC1">
      <w:pPr>
        <w:spacing w:after="0"/>
        <w:rPr>
          <w:color w:val="000000"/>
        </w:rPr>
      </w:pPr>
      <w:r w:rsidRPr="00CE03EE">
        <w:rPr>
          <w:color w:val="000000"/>
        </w:rPr>
        <w:t>La facture d</w:t>
      </w:r>
      <w:r w:rsidR="00D97FBD" w:rsidRPr="00CE03EE">
        <w:rPr>
          <w:color w:val="000000"/>
        </w:rPr>
        <w:t xml:space="preserve">es </w:t>
      </w:r>
      <w:r w:rsidRPr="00CE03EE">
        <w:rPr>
          <w:color w:val="000000"/>
        </w:rPr>
        <w:t>importation</w:t>
      </w:r>
      <w:r w:rsidR="00D97FBD" w:rsidRPr="00CE03EE">
        <w:rPr>
          <w:color w:val="000000"/>
        </w:rPr>
        <w:t>s</w:t>
      </w:r>
      <w:r w:rsidRPr="00CE03EE">
        <w:rPr>
          <w:color w:val="000000"/>
        </w:rPr>
        <w:t xml:space="preserve"> d</w:t>
      </w:r>
      <w:r w:rsidR="00C869EE">
        <w:rPr>
          <w:color w:val="000000"/>
        </w:rPr>
        <w:t>’</w:t>
      </w:r>
      <w:r w:rsidRPr="00CE03EE">
        <w:rPr>
          <w:color w:val="000000"/>
        </w:rPr>
        <w:t xml:space="preserve">énergie a augmenté, passant de </w:t>
      </w:r>
      <w:r w:rsidRPr="00F30663">
        <w:rPr>
          <w:color w:val="000000"/>
        </w:rPr>
        <w:t>2</w:t>
      </w:r>
      <w:r w:rsidR="00280718" w:rsidRPr="00F30663">
        <w:rPr>
          <w:color w:val="000000"/>
        </w:rPr>
        <w:t>38</w:t>
      </w:r>
      <w:r w:rsidRPr="00CE03EE">
        <w:rPr>
          <w:color w:val="000000"/>
        </w:rPr>
        <w:t xml:space="preserve"> milliards d</w:t>
      </w:r>
      <w:r w:rsidR="00C869EE">
        <w:rPr>
          <w:color w:val="000000"/>
        </w:rPr>
        <w:t>’</w:t>
      </w:r>
      <w:r w:rsidRPr="00CE03EE">
        <w:rPr>
          <w:color w:val="000000"/>
        </w:rPr>
        <w:t xml:space="preserve">euros en </w:t>
      </w:r>
      <w:r w:rsidRPr="00F30663">
        <w:rPr>
          <w:color w:val="000000"/>
        </w:rPr>
        <w:t>2005</w:t>
      </w:r>
      <w:r w:rsidRPr="00CE03EE">
        <w:rPr>
          <w:color w:val="000000"/>
        </w:rPr>
        <w:t xml:space="preserve"> à </w:t>
      </w:r>
      <w:r w:rsidR="00163F5E" w:rsidRPr="00F30663">
        <w:rPr>
          <w:color w:val="000000"/>
        </w:rPr>
        <w:t>403</w:t>
      </w:r>
      <w:r w:rsidR="00163F5E" w:rsidRPr="00CE03EE">
        <w:rPr>
          <w:color w:val="000000"/>
        </w:rPr>
        <w:t> </w:t>
      </w:r>
      <w:r w:rsidRPr="00CE03EE">
        <w:rPr>
          <w:color w:val="000000"/>
        </w:rPr>
        <w:t>milliards d</w:t>
      </w:r>
      <w:r w:rsidR="00C869EE">
        <w:rPr>
          <w:color w:val="000000"/>
        </w:rPr>
        <w:t>’</w:t>
      </w:r>
      <w:r w:rsidRPr="00CE03EE">
        <w:rPr>
          <w:color w:val="000000"/>
        </w:rPr>
        <w:t xml:space="preserve">euros en </w:t>
      </w:r>
      <w:r w:rsidRPr="00F30663">
        <w:rPr>
          <w:color w:val="000000"/>
        </w:rPr>
        <w:t>2013</w:t>
      </w:r>
      <w:r w:rsidRPr="00CE03EE">
        <w:rPr>
          <w:color w:val="000000"/>
        </w:rPr>
        <w:t xml:space="preserve">. </w:t>
      </w:r>
      <w:r w:rsidR="00163F5E" w:rsidRPr="00CE03EE">
        <w:rPr>
          <w:color w:val="000000"/>
        </w:rPr>
        <w:t xml:space="preserve">La </w:t>
      </w:r>
      <w:r w:rsidRPr="00CE03EE">
        <w:rPr>
          <w:color w:val="000000"/>
        </w:rPr>
        <w:t xml:space="preserve">baisse </w:t>
      </w:r>
      <w:r w:rsidR="00C74859" w:rsidRPr="00CE03EE">
        <w:rPr>
          <w:color w:val="000000"/>
        </w:rPr>
        <w:t xml:space="preserve">du </w:t>
      </w:r>
      <w:r w:rsidRPr="00CE03EE">
        <w:rPr>
          <w:color w:val="000000"/>
        </w:rPr>
        <w:t xml:space="preserve">prix des produits énergétiques et de la consommation </w:t>
      </w:r>
      <w:r w:rsidR="00163F5E" w:rsidRPr="00CE03EE">
        <w:rPr>
          <w:color w:val="000000"/>
        </w:rPr>
        <w:t xml:space="preserve">a </w:t>
      </w:r>
      <w:r w:rsidR="00C74859" w:rsidRPr="00CE03EE">
        <w:rPr>
          <w:color w:val="000000"/>
        </w:rPr>
        <w:t xml:space="preserve">ramené </w:t>
      </w:r>
      <w:r w:rsidRPr="00CE03EE">
        <w:rPr>
          <w:color w:val="000000"/>
        </w:rPr>
        <w:t xml:space="preserve">la facture à </w:t>
      </w:r>
      <w:r w:rsidRPr="00F30663">
        <w:rPr>
          <w:color w:val="000000"/>
        </w:rPr>
        <w:t>261</w:t>
      </w:r>
      <w:r w:rsidRPr="00CE03EE">
        <w:rPr>
          <w:color w:val="000000"/>
        </w:rPr>
        <w:t xml:space="preserve"> milliards d</w:t>
      </w:r>
      <w:r w:rsidR="00C869EE">
        <w:rPr>
          <w:color w:val="000000"/>
        </w:rPr>
        <w:t>’</w:t>
      </w:r>
      <w:r w:rsidRPr="00CE03EE">
        <w:rPr>
          <w:color w:val="000000"/>
        </w:rPr>
        <w:t xml:space="preserve">euros en </w:t>
      </w:r>
      <w:r w:rsidRPr="00F30663">
        <w:rPr>
          <w:color w:val="000000"/>
        </w:rPr>
        <w:t>2015</w:t>
      </w:r>
      <w:r w:rsidRPr="00CE03EE">
        <w:rPr>
          <w:color w:val="000000"/>
        </w:rPr>
        <w:t xml:space="preserve">, soit environ </w:t>
      </w:r>
      <w:r w:rsidRPr="00F30663">
        <w:rPr>
          <w:color w:val="000000"/>
        </w:rPr>
        <w:t>35</w:t>
      </w:r>
      <w:r w:rsidR="0085744A" w:rsidRPr="00CE03EE">
        <w:rPr>
          <w:color w:val="000000"/>
        </w:rPr>
        <w:t> %</w:t>
      </w:r>
      <w:r w:rsidRPr="00CE03EE">
        <w:rPr>
          <w:color w:val="000000"/>
        </w:rPr>
        <w:t xml:space="preserve"> en</w:t>
      </w:r>
      <w:r w:rsidR="00C869EE">
        <w:rPr>
          <w:color w:val="000000"/>
        </w:rPr>
        <w:t xml:space="preserve"> </w:t>
      </w:r>
      <w:r w:rsidRPr="00CE03EE">
        <w:rPr>
          <w:color w:val="000000"/>
        </w:rPr>
        <w:t xml:space="preserve">deçà du niveau de </w:t>
      </w:r>
      <w:r w:rsidRPr="00F30663">
        <w:rPr>
          <w:color w:val="000000"/>
        </w:rPr>
        <w:t>2013</w:t>
      </w:r>
      <w:r w:rsidRPr="00CE03EE">
        <w:rPr>
          <w:color w:val="000000"/>
        </w:rPr>
        <w:t xml:space="preserve">. La baisse des prix a été </w:t>
      </w:r>
      <w:r w:rsidR="00C74859" w:rsidRPr="00CE03EE">
        <w:rPr>
          <w:color w:val="000000"/>
        </w:rPr>
        <w:t xml:space="preserve">la cause </w:t>
      </w:r>
      <w:r w:rsidRPr="00CE03EE">
        <w:rPr>
          <w:color w:val="000000"/>
        </w:rPr>
        <w:t>principal</w:t>
      </w:r>
      <w:r w:rsidR="00C74859" w:rsidRPr="00CE03EE">
        <w:rPr>
          <w:color w:val="000000"/>
        </w:rPr>
        <w:t>e</w:t>
      </w:r>
      <w:r w:rsidRPr="00CE03EE">
        <w:rPr>
          <w:color w:val="000000"/>
        </w:rPr>
        <w:t xml:space="preserve"> de cette réduction </w:t>
      </w:r>
      <w:r w:rsidR="00163F5E" w:rsidRPr="00CE03EE">
        <w:rPr>
          <w:color w:val="000000"/>
        </w:rPr>
        <w:t>car</w:t>
      </w:r>
      <w:r w:rsidRPr="00CE03EE">
        <w:rPr>
          <w:color w:val="000000"/>
        </w:rPr>
        <w:t xml:space="preserve">, bien que la consommation des trois combustibles fossiles </w:t>
      </w:r>
      <w:r w:rsidR="00C74859" w:rsidRPr="00CE03EE">
        <w:rPr>
          <w:color w:val="000000"/>
        </w:rPr>
        <w:t>soit en baisse</w:t>
      </w:r>
      <w:r w:rsidRPr="00CE03EE">
        <w:rPr>
          <w:color w:val="000000"/>
        </w:rPr>
        <w:t>, la production de ces combustibles dans l</w:t>
      </w:r>
      <w:r w:rsidR="00C869EE">
        <w:rPr>
          <w:color w:val="000000"/>
        </w:rPr>
        <w:t>’</w:t>
      </w:r>
      <w:r w:rsidRPr="00CE03EE">
        <w:rPr>
          <w:color w:val="000000"/>
        </w:rPr>
        <w:t>UE a également diminué, de sorte que les importations nettes (et la dépendance de l</w:t>
      </w:r>
      <w:r w:rsidR="00C869EE">
        <w:rPr>
          <w:color w:val="000000"/>
        </w:rPr>
        <w:t>’</w:t>
      </w:r>
      <w:r w:rsidRPr="00CE03EE">
        <w:rPr>
          <w:color w:val="000000"/>
        </w:rPr>
        <w:t>UE envers les importations de combustibles fossiles) ont augmenté.</w:t>
      </w:r>
    </w:p>
    <w:p w:rsidR="00F6553D" w:rsidRPr="00CE03EE" w:rsidRDefault="00F6553D" w:rsidP="004D2CC1">
      <w:pPr>
        <w:spacing w:after="0"/>
        <w:ind w:left="1134" w:hanging="1134"/>
        <w:rPr>
          <w:b/>
          <w:color w:val="000000"/>
        </w:rPr>
      </w:pPr>
      <w:r w:rsidRPr="00CE03EE">
        <w:rPr>
          <w:b/>
          <w:color w:val="000000"/>
        </w:rPr>
        <w:t xml:space="preserve">Figure </w:t>
      </w:r>
      <w:r w:rsidRPr="00F30663">
        <w:rPr>
          <w:b/>
          <w:color w:val="000000"/>
        </w:rPr>
        <w:t>1</w:t>
      </w:r>
      <w:r w:rsidRPr="00CE03EE">
        <w:rPr>
          <w:b/>
          <w:color w:val="000000"/>
        </w:rPr>
        <w:t>:</w:t>
      </w:r>
      <w:r w:rsidRPr="00CE03EE">
        <w:tab/>
      </w:r>
      <w:r w:rsidRPr="00CE03EE">
        <w:rPr>
          <w:b/>
          <w:color w:val="000000"/>
        </w:rPr>
        <w:t>Estimation de la facture d</w:t>
      </w:r>
      <w:r w:rsidR="00D97FBD" w:rsidRPr="00CE03EE">
        <w:rPr>
          <w:b/>
          <w:color w:val="000000"/>
        </w:rPr>
        <w:t xml:space="preserve">es </w:t>
      </w:r>
      <w:r w:rsidRPr="00CE03EE">
        <w:rPr>
          <w:b/>
          <w:color w:val="000000"/>
        </w:rPr>
        <w:t>importation</w:t>
      </w:r>
      <w:r w:rsidR="00D97FBD" w:rsidRPr="00CE03EE">
        <w:rPr>
          <w:b/>
          <w:color w:val="000000"/>
        </w:rPr>
        <w:t>s</w:t>
      </w:r>
      <w:r w:rsidRPr="00CE03EE">
        <w:rPr>
          <w:b/>
          <w:color w:val="000000"/>
        </w:rPr>
        <w:t xml:space="preserve"> de combustibles fossiles de l</w:t>
      </w:r>
      <w:r w:rsidR="00C869EE">
        <w:rPr>
          <w:b/>
          <w:color w:val="000000"/>
        </w:rPr>
        <w:t>’</w:t>
      </w:r>
      <w:r w:rsidRPr="00CE03EE">
        <w:rPr>
          <w:b/>
          <w:color w:val="000000"/>
        </w:rPr>
        <w:t>UE</w:t>
      </w:r>
    </w:p>
    <w:p w:rsidR="00446FE7" w:rsidRPr="00CE03EE" w:rsidRDefault="002C39D3" w:rsidP="004D2CC1">
      <w:pPr>
        <w:spacing w:after="0"/>
        <w:ind w:left="1134" w:hanging="1134"/>
        <w:rPr>
          <w:b/>
          <w:color w:val="000000"/>
        </w:rPr>
      </w:pPr>
      <w:r w:rsidRPr="00CE03EE">
        <w:rPr>
          <w:noProof/>
          <w:lang w:val="en-GB" w:eastAsia="en-GB" w:bidi="ar-SA"/>
        </w:rPr>
        <w:drawing>
          <wp:inline distT="0" distB="0" distL="0" distR="0" wp14:anchorId="35AFF9A4" wp14:editId="3B08CF03">
            <wp:extent cx="5831840" cy="322981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1840" cy="3229811"/>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calculs de la Commission</w:t>
      </w:r>
      <w:r w:rsidR="00267E81" w:rsidRPr="00CE03EE">
        <w:rPr>
          <w:color w:val="000000"/>
          <w:sz w:val="16"/>
        </w:rPr>
        <w:t>.</w:t>
      </w:r>
    </w:p>
    <w:p w:rsidR="00446FE7" w:rsidRPr="00CE03EE" w:rsidRDefault="00446FE7" w:rsidP="004D2CC1">
      <w:pPr>
        <w:spacing w:before="0" w:after="0"/>
        <w:rPr>
          <w:color w:val="000000"/>
        </w:rPr>
      </w:pPr>
    </w:p>
    <w:p w:rsidR="00416A38" w:rsidRPr="00CE03EE" w:rsidRDefault="00A35DA6" w:rsidP="004D2CC1">
      <w:pPr>
        <w:spacing w:before="0" w:after="0"/>
      </w:pPr>
      <w:r w:rsidRPr="00CE03EE">
        <w:rPr>
          <w:color w:val="000000"/>
        </w:rPr>
        <w:t xml:space="preserve">Le prix de tous les combustibles fossiles (plus particulièrement </w:t>
      </w:r>
      <w:r w:rsidR="00163F5E" w:rsidRPr="00CE03EE">
        <w:rPr>
          <w:color w:val="000000"/>
        </w:rPr>
        <w:t xml:space="preserve">du </w:t>
      </w:r>
      <w:r w:rsidRPr="00CE03EE">
        <w:rPr>
          <w:color w:val="000000"/>
        </w:rPr>
        <w:t xml:space="preserve">pétrole) </w:t>
      </w:r>
      <w:r w:rsidR="00C74859" w:rsidRPr="00CE03EE">
        <w:rPr>
          <w:color w:val="000000"/>
        </w:rPr>
        <w:t xml:space="preserve">a </w:t>
      </w:r>
      <w:r w:rsidRPr="00CE03EE">
        <w:rPr>
          <w:color w:val="000000"/>
        </w:rPr>
        <w:t xml:space="preserve">baissé. </w:t>
      </w:r>
      <w:r w:rsidRPr="00CE03EE">
        <w:t>Ce</w:t>
      </w:r>
      <w:r w:rsidR="00C74859" w:rsidRPr="00CE03EE">
        <w:t>la</w:t>
      </w:r>
      <w:r w:rsidRPr="00CE03EE">
        <w:t xml:space="preserve"> </w:t>
      </w:r>
      <w:r w:rsidR="00C869EE" w:rsidRPr="00CE03EE">
        <w:t>est dû</w:t>
      </w:r>
      <w:r w:rsidRPr="00CE03EE">
        <w:t xml:space="preserve"> à des augmentations de la production (huile et gaz de schiste aux États-Unis et au Canada, production soutenue de l</w:t>
      </w:r>
      <w:r w:rsidR="00C869EE">
        <w:t>’</w:t>
      </w:r>
      <w:r w:rsidRPr="00CE03EE">
        <w:t xml:space="preserve">OPEP, augmentation de la production mondiale de gaz, y compris </w:t>
      </w:r>
      <w:r w:rsidR="00163F5E" w:rsidRPr="00CE03EE">
        <w:t>d</w:t>
      </w:r>
      <w:r w:rsidRPr="00CE03EE">
        <w:t xml:space="preserve">e GNL, et de charbon) et à une baisse de la demande (ralentissement de la croissance mondiale, notamment en Chine, mais aussi changements structurels </w:t>
      </w:r>
      <w:r w:rsidR="00C42F99" w:rsidRPr="00CE03EE">
        <w:t xml:space="preserve">du côté </w:t>
      </w:r>
      <w:r w:rsidRPr="00CE03EE">
        <w:t xml:space="preserve">de la demande, </w:t>
      </w:r>
      <w:r w:rsidR="00C42F99" w:rsidRPr="00CE03EE">
        <w:t>comme</w:t>
      </w:r>
      <w:r w:rsidRPr="00CE03EE">
        <w:t xml:space="preserve"> </w:t>
      </w:r>
      <w:r w:rsidR="00C42F99" w:rsidRPr="00CE03EE">
        <w:t>l'</w:t>
      </w:r>
      <w:r w:rsidRPr="00CE03EE">
        <w:t>efficacité énergétique accrue et l</w:t>
      </w:r>
      <w:r w:rsidR="00C869EE">
        <w:t>’</w:t>
      </w:r>
      <w:r w:rsidRPr="00CE03EE">
        <w:t xml:space="preserve">utilisation de combustibles de substitution dans les secteurs du logement et des transports, </w:t>
      </w:r>
      <w:r w:rsidR="00C42F99" w:rsidRPr="00CE03EE">
        <w:t xml:space="preserve">provoqués </w:t>
      </w:r>
      <w:r w:rsidRPr="00CE03EE">
        <w:t xml:space="preserve">par </w:t>
      </w:r>
      <w:r w:rsidR="00C74859" w:rsidRPr="00CE03EE">
        <w:t>l</w:t>
      </w:r>
      <w:r w:rsidRPr="00CE03EE">
        <w:t>es politiques en faveur de l</w:t>
      </w:r>
      <w:r w:rsidR="00C869EE">
        <w:t>’</w:t>
      </w:r>
      <w:r w:rsidRPr="00CE03EE">
        <w:t>efficacité énergétique pour le bâtiment et l</w:t>
      </w:r>
      <w:r w:rsidR="00C869EE">
        <w:t>’</w:t>
      </w:r>
      <w:r w:rsidRPr="00CE03EE">
        <w:t>automobile).</w:t>
      </w:r>
    </w:p>
    <w:p w:rsidR="007E3B4C" w:rsidRPr="00CE03EE" w:rsidRDefault="002F4FB6" w:rsidP="004D2CC1">
      <w:pPr>
        <w:spacing w:after="0"/>
      </w:pPr>
      <w:r w:rsidRPr="00CE03EE">
        <w:t xml:space="preserve">À mesure </w:t>
      </w:r>
      <w:r w:rsidR="00163F5E" w:rsidRPr="00CE03EE">
        <w:t>que</w:t>
      </w:r>
      <w:r w:rsidRPr="00CE03EE">
        <w:t xml:space="preserve"> </w:t>
      </w:r>
      <w:r w:rsidR="00163F5E" w:rsidRPr="00CE03EE">
        <w:t xml:space="preserve">le </w:t>
      </w:r>
      <w:r w:rsidRPr="00CE03EE">
        <w:t xml:space="preserve">prix des combustibles fossiles importés </w:t>
      </w:r>
      <w:r w:rsidR="00163F5E" w:rsidRPr="00CE03EE">
        <w:t xml:space="preserve">a baissé </w:t>
      </w:r>
      <w:r w:rsidRPr="00CE03EE">
        <w:t xml:space="preserve">à la pompe, le revenu disponible des ménages a augmenté. Des effets similaires </w:t>
      </w:r>
      <w:r w:rsidR="00C42F99" w:rsidRPr="00CE03EE">
        <w:t>peuvent être observés</w:t>
      </w:r>
      <w:r w:rsidRPr="00CE03EE">
        <w:t xml:space="preserve"> dans une série de secteurs, tels que les transports et les industries grandes consommatrices d</w:t>
      </w:r>
      <w:r w:rsidR="00C869EE">
        <w:t>’</w:t>
      </w:r>
      <w:r w:rsidRPr="00CE03EE">
        <w:t>énergie. Dans un contexte de croissance a</w:t>
      </w:r>
      <w:r w:rsidR="0040058B" w:rsidRPr="00CE03EE">
        <w:t>tone</w:t>
      </w:r>
      <w:r w:rsidRPr="00CE03EE">
        <w:t xml:space="preserve"> persistante, cette situation a entraîné une relance ponctuelle de l</w:t>
      </w:r>
      <w:r w:rsidR="00C869EE">
        <w:t>’</w:t>
      </w:r>
      <w:r w:rsidRPr="00CE03EE">
        <w:t>économie de l</w:t>
      </w:r>
      <w:r w:rsidR="00C869EE">
        <w:t>’</w:t>
      </w:r>
      <w:r w:rsidRPr="00CE03EE">
        <w:t xml:space="preserve">UE, estimée à une croissance potentielle du PIB de </w:t>
      </w:r>
      <w:r w:rsidRPr="00F30663">
        <w:t>0</w:t>
      </w:r>
      <w:r w:rsidRPr="00CE03EE">
        <w:t>,</w:t>
      </w:r>
      <w:r w:rsidRPr="00F30663">
        <w:t>8</w:t>
      </w:r>
      <w:r w:rsidR="0085744A" w:rsidRPr="00CE03EE">
        <w:t> %</w:t>
      </w:r>
      <w:r w:rsidRPr="00CE03EE">
        <w:t xml:space="preserve"> en </w:t>
      </w:r>
      <w:r w:rsidRPr="00F30663">
        <w:t>2015</w:t>
      </w:r>
      <w:r w:rsidRPr="00CE03EE">
        <w:t xml:space="preserve"> et de </w:t>
      </w:r>
      <w:r w:rsidRPr="00F30663">
        <w:t>0</w:t>
      </w:r>
      <w:r w:rsidRPr="00CE03EE">
        <w:t>,</w:t>
      </w:r>
      <w:r w:rsidRPr="00F30663">
        <w:t>5</w:t>
      </w:r>
      <w:r w:rsidR="0085744A" w:rsidRPr="00CE03EE">
        <w:t> %</w:t>
      </w:r>
      <w:r w:rsidRPr="00CE03EE">
        <w:t xml:space="preserve"> en </w:t>
      </w:r>
      <w:r w:rsidRPr="00F30663">
        <w:t>2016</w:t>
      </w:r>
      <w:r w:rsidRPr="00CE03EE">
        <w:rPr>
          <w:rStyle w:val="FootnoteReference"/>
        </w:rPr>
        <w:footnoteReference w:id="4"/>
      </w:r>
      <w:r w:rsidRPr="00CE03EE">
        <w:t xml:space="preserve">. </w:t>
      </w:r>
    </w:p>
    <w:p w:rsidR="008C583A" w:rsidRPr="00CE03EE" w:rsidRDefault="008C583A" w:rsidP="004D2CC1">
      <w:pPr>
        <w:pStyle w:val="Heading1"/>
        <w:spacing w:before="120"/>
        <w:ind w:left="567" w:hanging="567"/>
      </w:pPr>
      <w:r w:rsidRPr="00CE03EE">
        <w:t>Prix de l</w:t>
      </w:r>
      <w:r w:rsidR="00C869EE">
        <w:t>’</w:t>
      </w:r>
      <w:r w:rsidRPr="00CE03EE">
        <w:t>électricité en Europe</w:t>
      </w:r>
    </w:p>
    <w:p w:rsidR="00DD3E33" w:rsidRPr="00CE03EE" w:rsidRDefault="004E63D1" w:rsidP="004D2CC1">
      <w:pPr>
        <w:pStyle w:val="Heading2"/>
        <w:spacing w:before="120"/>
        <w:ind w:left="567" w:hanging="567"/>
        <w:rPr>
          <w:rFonts w:ascii="Times New Roman" w:hAnsi="Times New Roman" w:cs="Times New Roman"/>
          <w:color w:val="auto"/>
        </w:rPr>
      </w:pPr>
      <w:r w:rsidRPr="00F30663">
        <w:rPr>
          <w:rFonts w:ascii="Times New Roman" w:hAnsi="Times New Roman"/>
          <w:color w:val="auto"/>
        </w:rPr>
        <w:t>2</w:t>
      </w:r>
      <w:r w:rsidRPr="00CE03EE">
        <w:rPr>
          <w:rFonts w:ascii="Times New Roman" w:hAnsi="Times New Roman"/>
          <w:color w:val="auto"/>
        </w:rPr>
        <w:t>.</w:t>
      </w:r>
      <w:r w:rsidRPr="00F30663">
        <w:rPr>
          <w:rFonts w:ascii="Times New Roman" w:hAnsi="Times New Roman"/>
          <w:color w:val="auto"/>
        </w:rPr>
        <w:t>1</w:t>
      </w:r>
      <w:r w:rsidRPr="00CE03EE">
        <w:rPr>
          <w:rFonts w:ascii="Times New Roman" w:hAnsi="Times New Roman"/>
          <w:color w:val="auto"/>
        </w:rPr>
        <w:t xml:space="preserve"> </w:t>
      </w:r>
      <w:r w:rsidRPr="00CE03EE">
        <w:tab/>
      </w:r>
      <w:r w:rsidRPr="00CE03EE">
        <w:rPr>
          <w:rFonts w:ascii="Times New Roman" w:hAnsi="Times New Roman"/>
          <w:color w:val="auto"/>
        </w:rPr>
        <w:t>Prix de gros</w:t>
      </w:r>
    </w:p>
    <w:p w:rsidR="0099090A" w:rsidRPr="00CE03EE" w:rsidRDefault="001B3A53" w:rsidP="004D2CC1">
      <w:pPr>
        <w:spacing w:after="0"/>
        <w:rPr>
          <w:szCs w:val="24"/>
        </w:rPr>
      </w:pPr>
      <w:r w:rsidRPr="00CE03EE">
        <w:t xml:space="preserve">Avec le développement du marché intérieur, les marchés </w:t>
      </w:r>
      <w:r w:rsidR="00163F5E" w:rsidRPr="00CE03EE">
        <w:t xml:space="preserve">de gros </w:t>
      </w:r>
      <w:r w:rsidRPr="00CE03EE">
        <w:t>de l</w:t>
      </w:r>
      <w:r w:rsidR="00C869EE">
        <w:t>’</w:t>
      </w:r>
      <w:r w:rsidRPr="00CE03EE">
        <w:t xml:space="preserve">électricité en Europe ont connu des changements importants au cours des dernières années. Des marchés </w:t>
      </w:r>
      <w:r w:rsidR="00163F5E" w:rsidRPr="00CE03EE">
        <w:t xml:space="preserve">de gros </w:t>
      </w:r>
      <w:r w:rsidRPr="00CE03EE">
        <w:t>de l</w:t>
      </w:r>
      <w:r w:rsidR="00C869EE">
        <w:t>’</w:t>
      </w:r>
      <w:r w:rsidRPr="00CE03EE">
        <w:t xml:space="preserve">électricité ont été </w:t>
      </w:r>
      <w:r w:rsidR="00C42F99" w:rsidRPr="00CE03EE">
        <w:t xml:space="preserve">mis en place </w:t>
      </w:r>
      <w:r w:rsidRPr="00CE03EE">
        <w:t xml:space="preserve">dans la plupart des États membres, afin de permettre les échanges sur le marché </w:t>
      </w:r>
      <w:r w:rsidR="00AC558F" w:rsidRPr="00CE03EE">
        <w:t xml:space="preserve">à un </w:t>
      </w:r>
      <w:r w:rsidRPr="00CE03EE">
        <w:t xml:space="preserve">jour, à terme, et intrajournalier. </w:t>
      </w:r>
      <w:r w:rsidR="00C42F99" w:rsidRPr="00CE03EE">
        <w:t>Avec d</w:t>
      </w:r>
      <w:r w:rsidRPr="00CE03EE">
        <w:t xml:space="preserve">es marchés </w:t>
      </w:r>
      <w:r w:rsidR="00AC558F" w:rsidRPr="00CE03EE">
        <w:t xml:space="preserve">souples </w:t>
      </w:r>
      <w:r w:rsidRPr="00CE03EE">
        <w:t xml:space="preserve">et </w:t>
      </w:r>
      <w:r w:rsidR="00AC558F" w:rsidRPr="00CE03EE">
        <w:t>fluides</w:t>
      </w:r>
      <w:r w:rsidR="00C42F99" w:rsidRPr="00CE03EE">
        <w:t>,</w:t>
      </w:r>
      <w:r w:rsidR="00AC558F" w:rsidRPr="00CE03EE">
        <w:t xml:space="preserve"> </w:t>
      </w:r>
      <w:r w:rsidR="00C42F99" w:rsidRPr="00CE03EE">
        <w:t xml:space="preserve">il est possible de mieux adapter </w:t>
      </w:r>
      <w:r w:rsidRPr="00CE03EE">
        <w:t>l</w:t>
      </w:r>
      <w:r w:rsidR="00C869EE">
        <w:t>’</w:t>
      </w:r>
      <w:r w:rsidRPr="00CE03EE">
        <w:t xml:space="preserve">offre et la demande, </w:t>
      </w:r>
      <w:r w:rsidR="00C42F99" w:rsidRPr="00CE03EE">
        <w:t xml:space="preserve">ce </w:t>
      </w:r>
      <w:r w:rsidRPr="00CE03EE">
        <w:t>qui réduit les coûts de production et par conséquent les prix. Ces échanges devraient également orienter les prix contractuels bilatéraux hors bourse sur la plupart des marchés à maturité.</w:t>
      </w:r>
    </w:p>
    <w:p w:rsidR="00325848" w:rsidRPr="00CE03EE" w:rsidRDefault="0099090A" w:rsidP="004D2CC1">
      <w:pPr>
        <w:spacing w:after="0"/>
        <w:rPr>
          <w:szCs w:val="24"/>
        </w:rPr>
      </w:pPr>
      <w:r w:rsidRPr="00CE03EE">
        <w:t xml:space="preserve">Ces </w:t>
      </w:r>
      <w:r w:rsidR="00C42F99" w:rsidRPr="00CE03EE">
        <w:t xml:space="preserve">différents </w:t>
      </w:r>
      <w:r w:rsidRPr="00CE03EE">
        <w:t xml:space="preserve">marchés </w:t>
      </w:r>
      <w:r w:rsidR="00AC558F" w:rsidRPr="00CE03EE">
        <w:t xml:space="preserve">de gros </w:t>
      </w:r>
      <w:r w:rsidRPr="00CE03EE">
        <w:t xml:space="preserve">nationaux sont progressivement couplés aux marchés voisins, ce qui </w:t>
      </w:r>
      <w:r w:rsidR="00AC558F" w:rsidRPr="00CE03EE">
        <w:noBreakHyphen/>
      </w:r>
      <w:r w:rsidRPr="00CE03EE">
        <w:t xml:space="preserve"> avec le développement des interconnexions sur les réseaux de transport </w:t>
      </w:r>
      <w:r w:rsidR="00AC558F" w:rsidRPr="00CE03EE">
        <w:noBreakHyphen/>
      </w:r>
      <w:r w:rsidRPr="00CE03EE">
        <w:t xml:space="preserve"> crée des marchés plus </w:t>
      </w:r>
      <w:r w:rsidR="00AC558F" w:rsidRPr="00CE03EE">
        <w:t>fl</w:t>
      </w:r>
      <w:r w:rsidRPr="00CE03EE">
        <w:t xml:space="preserve">uides et </w:t>
      </w:r>
      <w:r w:rsidR="00C42F99" w:rsidRPr="00CE03EE">
        <w:t xml:space="preserve">plus </w:t>
      </w:r>
      <w:r w:rsidRPr="00CE03EE">
        <w:t>efficaces.</w:t>
      </w:r>
    </w:p>
    <w:p w:rsidR="00456C9B" w:rsidRPr="00CE03EE" w:rsidRDefault="00954A6C" w:rsidP="004D2CC1">
      <w:pPr>
        <w:spacing w:after="0"/>
        <w:rPr>
          <w:szCs w:val="24"/>
        </w:rPr>
      </w:pPr>
      <w:r w:rsidRPr="00CE03EE">
        <w:t xml:space="preserve">Les prix sont déterminés par différents facteurs, </w:t>
      </w:r>
      <w:r w:rsidR="00C42F99" w:rsidRPr="00CE03EE">
        <w:t>comme</w:t>
      </w:r>
      <w:r w:rsidRPr="00CE03EE">
        <w:t xml:space="preserve"> le bouquet énergétique, les interconnexions transfrontalières, le couplage de marchés, la concentration des fournisseurs sur le marché et les conditions météorologiques. De m</w:t>
      </w:r>
      <w:r w:rsidR="00C42F99" w:rsidRPr="00CE03EE">
        <w:t>ême</w:t>
      </w:r>
      <w:r w:rsidRPr="00CE03EE">
        <w:t>, la demande des consommateurs et de</w:t>
      </w:r>
      <w:r w:rsidR="00D97FBD" w:rsidRPr="00CE03EE">
        <w:t>s</w:t>
      </w:r>
      <w:r w:rsidRPr="00CE03EE">
        <w:t xml:space="preserve"> </w:t>
      </w:r>
      <w:r w:rsidR="00D97FBD" w:rsidRPr="00CE03EE">
        <w:t>entreprises</w:t>
      </w:r>
      <w:r w:rsidRPr="00CE03EE">
        <w:t>, la gestion de la demande, l</w:t>
      </w:r>
      <w:r w:rsidR="00C869EE">
        <w:t>’</w:t>
      </w:r>
      <w:r w:rsidRPr="00CE03EE">
        <w:t xml:space="preserve">efficacité énergétique et les conditions météorologiques influent </w:t>
      </w:r>
      <w:r w:rsidR="00C42F99" w:rsidRPr="00CE03EE">
        <w:t xml:space="preserve">sur le côté </w:t>
      </w:r>
      <w:r w:rsidRPr="00CE03EE">
        <w:t xml:space="preserve">demande </w:t>
      </w:r>
      <w:r w:rsidR="00C42F99" w:rsidRPr="00CE03EE">
        <w:t>du</w:t>
      </w:r>
      <w:r w:rsidRPr="00CE03EE">
        <w:t xml:space="preserve"> marché.</w:t>
      </w:r>
    </w:p>
    <w:p w:rsidR="00F6553D" w:rsidRPr="00CE03EE" w:rsidRDefault="00F6553D" w:rsidP="004D2CC1">
      <w:pPr>
        <w:spacing w:after="0"/>
        <w:ind w:left="1134" w:hanging="1134"/>
        <w:rPr>
          <w:b/>
          <w:color w:val="000000"/>
        </w:rPr>
      </w:pPr>
      <w:r w:rsidRPr="00CE03EE">
        <w:rPr>
          <w:b/>
          <w:color w:val="000000"/>
        </w:rPr>
        <w:t xml:space="preserve">Figure </w:t>
      </w:r>
      <w:r w:rsidRPr="00F30663">
        <w:rPr>
          <w:b/>
          <w:color w:val="000000"/>
        </w:rPr>
        <w:t>2</w:t>
      </w:r>
      <w:r w:rsidRPr="00CE03EE">
        <w:rPr>
          <w:b/>
          <w:color w:val="000000"/>
        </w:rPr>
        <w:t>:</w:t>
      </w:r>
      <w:r w:rsidRPr="00CE03EE">
        <w:tab/>
      </w:r>
      <w:r w:rsidRPr="00CE03EE">
        <w:rPr>
          <w:b/>
          <w:color w:val="000000"/>
        </w:rPr>
        <w:t>Évolution des prix de gros de l</w:t>
      </w:r>
      <w:r w:rsidR="00C869EE">
        <w:rPr>
          <w:b/>
          <w:color w:val="000000"/>
        </w:rPr>
        <w:t>’</w:t>
      </w:r>
      <w:r w:rsidRPr="00CE03EE">
        <w:rPr>
          <w:b/>
          <w:color w:val="000000"/>
        </w:rPr>
        <w:t>électricité dans l</w:t>
      </w:r>
      <w:r w:rsidR="00C869EE">
        <w:rPr>
          <w:b/>
          <w:color w:val="000000"/>
        </w:rPr>
        <w:t>’</w:t>
      </w:r>
      <w:r w:rsidRPr="00CE03EE">
        <w:rPr>
          <w:b/>
          <w:color w:val="000000"/>
        </w:rPr>
        <w:t>UE</w:t>
      </w:r>
    </w:p>
    <w:p w:rsidR="008C583A" w:rsidRPr="00CE03EE" w:rsidRDefault="00080D4A" w:rsidP="004D2CC1">
      <w:pPr>
        <w:spacing w:after="0"/>
        <w:rPr>
          <w:szCs w:val="24"/>
        </w:rPr>
      </w:pPr>
      <w:r w:rsidRPr="00CE03EE">
        <w:rPr>
          <w:noProof/>
          <w:lang w:val="en-GB" w:eastAsia="en-GB" w:bidi="ar-SA"/>
        </w:rPr>
        <w:drawing>
          <wp:inline distT="0" distB="0" distL="0" distR="0" wp14:anchorId="5BFA7609" wp14:editId="328F3034">
            <wp:extent cx="5831840" cy="3120413"/>
            <wp:effectExtent l="0" t="0" r="0" b="381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1840" cy="3120413"/>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Platts et European power exchanges</w:t>
      </w:r>
      <w:r w:rsidR="00267E81" w:rsidRPr="00CE03EE">
        <w:rPr>
          <w:color w:val="000000"/>
          <w:sz w:val="16"/>
        </w:rPr>
        <w:t>.</w:t>
      </w:r>
    </w:p>
    <w:p w:rsidR="00C94D3B" w:rsidRPr="00CE03EE" w:rsidRDefault="0099090A" w:rsidP="004D2CC1">
      <w:pPr>
        <w:spacing w:after="0"/>
        <w:rPr>
          <w:szCs w:val="24"/>
        </w:rPr>
      </w:pPr>
      <w:r w:rsidRPr="00CE03EE">
        <w:t>Les prix de gros de l</w:t>
      </w:r>
      <w:r w:rsidR="00C869EE">
        <w:t>’</w:t>
      </w:r>
      <w:r w:rsidRPr="00CE03EE">
        <w:t xml:space="preserve">électricité en Europe ont culminé au troisième trimestre </w:t>
      </w:r>
      <w:r w:rsidRPr="00F30663">
        <w:t>2008</w:t>
      </w:r>
      <w:r w:rsidRPr="00CE03EE">
        <w:t xml:space="preserve"> et, à l</w:t>
      </w:r>
      <w:r w:rsidR="00C869EE">
        <w:t>’</w:t>
      </w:r>
      <w:r w:rsidRPr="00CE03EE">
        <w:t>exception d</w:t>
      </w:r>
      <w:r w:rsidR="00C869EE">
        <w:t>’</w:t>
      </w:r>
      <w:r w:rsidRPr="00CE03EE">
        <w:t xml:space="preserve">une légère reprise en </w:t>
      </w:r>
      <w:r w:rsidRPr="00F30663">
        <w:t>2011</w:t>
      </w:r>
      <w:r w:rsidRPr="00CE03EE">
        <w:t>, ont baiss</w:t>
      </w:r>
      <w:r w:rsidR="00AC558F" w:rsidRPr="00CE03EE">
        <w:t>é</w:t>
      </w:r>
      <w:r w:rsidRPr="00CE03EE">
        <w:t xml:space="preserve"> depuis lors. Les prix ont </w:t>
      </w:r>
      <w:r w:rsidR="00AC558F" w:rsidRPr="00CE03EE">
        <w:t xml:space="preserve">chuté </w:t>
      </w:r>
      <w:r w:rsidRPr="00CE03EE">
        <w:t xml:space="preserve">de près de </w:t>
      </w:r>
      <w:r w:rsidRPr="00F30663">
        <w:t>70</w:t>
      </w:r>
      <w:r w:rsidR="0085744A" w:rsidRPr="00CE03EE">
        <w:t> %</w:t>
      </w:r>
      <w:r w:rsidRPr="00CE03EE">
        <w:t xml:space="preserve"> depuis </w:t>
      </w:r>
      <w:r w:rsidRPr="00F30663">
        <w:t>2008</w:t>
      </w:r>
      <w:r w:rsidRPr="00CE03EE">
        <w:t xml:space="preserve"> et de </w:t>
      </w:r>
      <w:r w:rsidRPr="00F30663">
        <w:t>55</w:t>
      </w:r>
      <w:r w:rsidR="0085744A" w:rsidRPr="00CE03EE">
        <w:t> %</w:t>
      </w:r>
      <w:r w:rsidRPr="00CE03EE">
        <w:t xml:space="preserve"> depuis </w:t>
      </w:r>
      <w:r w:rsidRPr="00F30663">
        <w:t>2011</w:t>
      </w:r>
      <w:r w:rsidRPr="00CE03EE">
        <w:rPr>
          <w:rStyle w:val="FootnoteReference"/>
        </w:rPr>
        <w:footnoteReference w:id="5"/>
      </w:r>
      <w:r w:rsidRPr="00CE03EE">
        <w:t xml:space="preserve"> et ont atteint en </w:t>
      </w:r>
      <w:r w:rsidRPr="00F30663">
        <w:t>2016</w:t>
      </w:r>
      <w:r w:rsidRPr="00CE03EE">
        <w:t xml:space="preserve"> des niveaux </w:t>
      </w:r>
      <w:r w:rsidR="0040058B" w:rsidRPr="00CE03EE">
        <w:t xml:space="preserve">jamais observés </w:t>
      </w:r>
      <w:r w:rsidRPr="00CE03EE">
        <w:t xml:space="preserve">depuis </w:t>
      </w:r>
      <w:r w:rsidRPr="00F30663">
        <w:t>12</w:t>
      </w:r>
      <w:r w:rsidRPr="00CE03EE">
        <w:t xml:space="preserve"> ans.</w:t>
      </w:r>
    </w:p>
    <w:p w:rsidR="00C94D3B" w:rsidRPr="00CE03EE" w:rsidRDefault="00E0521B" w:rsidP="004D2CC1">
      <w:pPr>
        <w:pStyle w:val="ListParagraph"/>
        <w:spacing w:before="120"/>
        <w:ind w:left="0"/>
        <w:jc w:val="both"/>
        <w:rPr>
          <w:rFonts w:ascii="Times New Roman" w:hAnsi="Times New Roman"/>
          <w:sz w:val="24"/>
          <w:szCs w:val="24"/>
        </w:rPr>
      </w:pPr>
      <w:r w:rsidRPr="00CE03EE">
        <w:rPr>
          <w:rFonts w:ascii="Times New Roman" w:hAnsi="Times New Roman"/>
          <w:sz w:val="24"/>
        </w:rPr>
        <w:t>La répercussion de la baisse des prix du charbon et du gaz, ainsi que d</w:t>
      </w:r>
      <w:r w:rsidR="00C869EE">
        <w:rPr>
          <w:rFonts w:ascii="Times New Roman" w:hAnsi="Times New Roman"/>
          <w:sz w:val="24"/>
        </w:rPr>
        <w:t>’</w:t>
      </w:r>
      <w:r w:rsidRPr="00CE03EE">
        <w:rPr>
          <w:rFonts w:ascii="Times New Roman" w:hAnsi="Times New Roman"/>
          <w:sz w:val="24"/>
        </w:rPr>
        <w:t>autres facteurs, ont joué un rôle déterminant dans l</w:t>
      </w:r>
      <w:r w:rsidR="00C869EE">
        <w:rPr>
          <w:rFonts w:ascii="Times New Roman" w:hAnsi="Times New Roman"/>
          <w:sz w:val="24"/>
        </w:rPr>
        <w:t>’</w:t>
      </w:r>
      <w:r w:rsidRPr="00CE03EE">
        <w:rPr>
          <w:rFonts w:ascii="Times New Roman" w:hAnsi="Times New Roman"/>
          <w:sz w:val="24"/>
        </w:rPr>
        <w:t>établissement des prix de l</w:t>
      </w:r>
      <w:r w:rsidR="00C869EE">
        <w:rPr>
          <w:rFonts w:ascii="Times New Roman" w:hAnsi="Times New Roman"/>
          <w:sz w:val="24"/>
        </w:rPr>
        <w:t>’</w:t>
      </w:r>
      <w:r w:rsidRPr="00CE03EE">
        <w:rPr>
          <w:rFonts w:ascii="Times New Roman" w:hAnsi="Times New Roman"/>
          <w:sz w:val="24"/>
        </w:rPr>
        <w:t>électricité:</w:t>
      </w:r>
    </w:p>
    <w:p w:rsidR="00E0521B" w:rsidRPr="00CE03EE" w:rsidRDefault="00372547" w:rsidP="004D2CC1">
      <w:pPr>
        <w:pStyle w:val="ListParagraph"/>
        <w:numPr>
          <w:ilvl w:val="0"/>
          <w:numId w:val="9"/>
        </w:numPr>
        <w:spacing w:before="60"/>
        <w:ind w:left="426" w:hanging="426"/>
        <w:jc w:val="both"/>
        <w:rPr>
          <w:rFonts w:ascii="Times New Roman" w:hAnsi="Times New Roman"/>
          <w:szCs w:val="24"/>
        </w:rPr>
      </w:pPr>
      <w:r w:rsidRPr="00CE03EE">
        <w:rPr>
          <w:rFonts w:ascii="Times New Roman" w:hAnsi="Times New Roman"/>
          <w:sz w:val="24"/>
        </w:rPr>
        <w:t>une analyse économétrique indique qu</w:t>
      </w:r>
      <w:r w:rsidR="00C869EE">
        <w:rPr>
          <w:rFonts w:ascii="Times New Roman" w:hAnsi="Times New Roman"/>
          <w:sz w:val="24"/>
        </w:rPr>
        <w:t>’</w:t>
      </w:r>
      <w:r w:rsidRPr="00CE03EE">
        <w:rPr>
          <w:rFonts w:ascii="Times New Roman" w:hAnsi="Times New Roman"/>
          <w:sz w:val="24"/>
        </w:rPr>
        <w:t>un</w:t>
      </w:r>
      <w:r w:rsidR="0085744A" w:rsidRPr="00CE03EE">
        <w:rPr>
          <w:rFonts w:ascii="Times New Roman" w:hAnsi="Times New Roman"/>
          <w:sz w:val="24"/>
        </w:rPr>
        <w:t xml:space="preserve">e augmentation de </w:t>
      </w:r>
      <w:r w:rsidR="0085744A" w:rsidRPr="00F30663">
        <w:rPr>
          <w:rFonts w:ascii="Times New Roman" w:hAnsi="Times New Roman"/>
          <w:sz w:val="24"/>
        </w:rPr>
        <w:t>1</w:t>
      </w:r>
      <w:r w:rsidR="0085744A" w:rsidRPr="00CE03EE">
        <w:rPr>
          <w:rFonts w:ascii="Times New Roman" w:hAnsi="Times New Roman"/>
          <w:sz w:val="24"/>
        </w:rPr>
        <w:t> %</w:t>
      </w:r>
      <w:r w:rsidRPr="00CE03EE">
        <w:rPr>
          <w:rFonts w:ascii="Times New Roman" w:hAnsi="Times New Roman"/>
          <w:sz w:val="24"/>
        </w:rPr>
        <w:t xml:space="preserve"> de la part des combustibles fossiles (charbon, gaz et pétrole) dans la combinaison des sources de production d</w:t>
      </w:r>
      <w:r w:rsidR="00C869EE">
        <w:rPr>
          <w:rFonts w:ascii="Times New Roman" w:hAnsi="Times New Roman"/>
          <w:sz w:val="24"/>
        </w:rPr>
        <w:t>’</w:t>
      </w:r>
      <w:r w:rsidRPr="00CE03EE">
        <w:rPr>
          <w:rFonts w:ascii="Times New Roman" w:hAnsi="Times New Roman"/>
          <w:sz w:val="24"/>
        </w:rPr>
        <w:t xml:space="preserve">électricité entraîne une augmentation de </w:t>
      </w:r>
      <w:r w:rsidRPr="00F30663">
        <w:rPr>
          <w:rFonts w:ascii="Times New Roman" w:hAnsi="Times New Roman"/>
          <w:sz w:val="24"/>
        </w:rPr>
        <w:t>0</w:t>
      </w:r>
      <w:r w:rsidRPr="00CE03EE">
        <w:rPr>
          <w:rFonts w:ascii="Times New Roman" w:hAnsi="Times New Roman"/>
          <w:sz w:val="24"/>
        </w:rPr>
        <w:t>,</w:t>
      </w:r>
      <w:r w:rsidRPr="00F30663">
        <w:rPr>
          <w:rFonts w:ascii="Times New Roman" w:hAnsi="Times New Roman"/>
          <w:sz w:val="24"/>
        </w:rPr>
        <w:t>2</w:t>
      </w:r>
      <w:r w:rsidRPr="00CE03EE">
        <w:rPr>
          <w:rFonts w:ascii="Times New Roman" w:hAnsi="Times New Roman"/>
          <w:sz w:val="24"/>
        </w:rPr>
        <w:t>-</w:t>
      </w:r>
      <w:r w:rsidRPr="00F30663">
        <w:rPr>
          <w:rFonts w:ascii="Times New Roman" w:hAnsi="Times New Roman"/>
          <w:sz w:val="24"/>
        </w:rPr>
        <w:t>1</w:t>
      </w:r>
      <w:r w:rsidRPr="00CE03EE">
        <w:rPr>
          <w:rFonts w:ascii="Times New Roman" w:hAnsi="Times New Roman"/>
          <w:sz w:val="24"/>
        </w:rPr>
        <w:t>,</w:t>
      </w:r>
      <w:r w:rsidRPr="00F30663">
        <w:rPr>
          <w:rFonts w:ascii="Times New Roman" w:hAnsi="Times New Roman"/>
          <w:sz w:val="24"/>
        </w:rPr>
        <w:t>3</w:t>
      </w:r>
      <w:r w:rsidRPr="00CE03EE">
        <w:rPr>
          <w:rFonts w:ascii="Times New Roman" w:hAnsi="Times New Roman"/>
          <w:sz w:val="24"/>
        </w:rPr>
        <w:t xml:space="preserve"> EUR/MWh du prix de gros de l</w:t>
      </w:r>
      <w:r w:rsidR="00C869EE">
        <w:rPr>
          <w:rFonts w:ascii="Times New Roman" w:hAnsi="Times New Roman"/>
          <w:sz w:val="24"/>
        </w:rPr>
        <w:t>’</w:t>
      </w:r>
      <w:r w:rsidRPr="00CE03EE">
        <w:rPr>
          <w:rFonts w:ascii="Times New Roman" w:hAnsi="Times New Roman"/>
          <w:sz w:val="24"/>
        </w:rPr>
        <w:t>électricité, selon le marché régional;</w:t>
      </w:r>
    </w:p>
    <w:p w:rsidR="00AD251E" w:rsidRPr="00CE03EE" w:rsidRDefault="00AF5377" w:rsidP="004D2CC1">
      <w:pPr>
        <w:pStyle w:val="ListParagraph"/>
        <w:numPr>
          <w:ilvl w:val="0"/>
          <w:numId w:val="9"/>
        </w:numPr>
        <w:spacing w:before="60"/>
        <w:ind w:left="426" w:hanging="426"/>
        <w:jc w:val="both"/>
        <w:rPr>
          <w:rFonts w:ascii="Times New Roman" w:hAnsi="Times New Roman"/>
          <w:szCs w:val="24"/>
        </w:rPr>
      </w:pPr>
      <w:r w:rsidRPr="00CE03EE">
        <w:rPr>
          <w:rFonts w:ascii="Times New Roman" w:hAnsi="Times New Roman"/>
          <w:sz w:val="24"/>
        </w:rPr>
        <w:t xml:space="preserve">couplage de marchés: les pays participant à une ou plusieurs zones couplées </w:t>
      </w:r>
      <w:r w:rsidR="009A3E38" w:rsidRPr="00CE03EE">
        <w:rPr>
          <w:rFonts w:ascii="Times New Roman" w:hAnsi="Times New Roman"/>
          <w:sz w:val="24"/>
        </w:rPr>
        <w:t xml:space="preserve">présentent </w:t>
      </w:r>
      <w:r w:rsidRPr="00CE03EE">
        <w:rPr>
          <w:rFonts w:ascii="Times New Roman" w:hAnsi="Times New Roman"/>
          <w:sz w:val="24"/>
        </w:rPr>
        <w:t>une meilleure convergence des prix avec les marchés voisins et de moindres écarts de prix;</w:t>
      </w:r>
    </w:p>
    <w:p w:rsidR="00456C9B" w:rsidRPr="00CE03EE" w:rsidRDefault="00AD251E" w:rsidP="004D2CC1">
      <w:pPr>
        <w:pStyle w:val="ListParagraph"/>
        <w:numPr>
          <w:ilvl w:val="0"/>
          <w:numId w:val="9"/>
        </w:numPr>
        <w:spacing w:before="60"/>
        <w:ind w:left="426" w:hanging="426"/>
        <w:jc w:val="both"/>
        <w:rPr>
          <w:rFonts w:ascii="Times New Roman" w:hAnsi="Times New Roman"/>
          <w:szCs w:val="24"/>
        </w:rPr>
      </w:pPr>
      <w:r w:rsidRPr="00CE03EE">
        <w:rPr>
          <w:rFonts w:ascii="Times New Roman" w:hAnsi="Times New Roman"/>
          <w:sz w:val="24"/>
        </w:rPr>
        <w:t>développement de la capacité d</w:t>
      </w:r>
      <w:r w:rsidR="00C869EE">
        <w:rPr>
          <w:rFonts w:ascii="Times New Roman" w:hAnsi="Times New Roman"/>
          <w:sz w:val="24"/>
        </w:rPr>
        <w:t>’</w:t>
      </w:r>
      <w:r w:rsidRPr="00CE03EE">
        <w:rPr>
          <w:rFonts w:ascii="Times New Roman" w:hAnsi="Times New Roman"/>
          <w:sz w:val="24"/>
        </w:rPr>
        <w:t>interconnexion: les marchés qui affichent &lt;</w:t>
      </w:r>
      <w:r w:rsidRPr="00F30663">
        <w:rPr>
          <w:rFonts w:ascii="Times New Roman" w:hAnsi="Times New Roman"/>
          <w:sz w:val="24"/>
        </w:rPr>
        <w:t>10</w:t>
      </w:r>
      <w:r w:rsidR="0085744A" w:rsidRPr="00CE03EE">
        <w:rPr>
          <w:rFonts w:ascii="Times New Roman" w:hAnsi="Times New Roman"/>
          <w:sz w:val="24"/>
        </w:rPr>
        <w:t> %</w:t>
      </w:r>
      <w:r w:rsidRPr="00CE03EE">
        <w:rPr>
          <w:rFonts w:ascii="Times New Roman" w:hAnsi="Times New Roman"/>
          <w:sz w:val="24"/>
        </w:rPr>
        <w:t xml:space="preserve"> d</w:t>
      </w:r>
      <w:r w:rsidR="00C869EE">
        <w:rPr>
          <w:rFonts w:ascii="Times New Roman" w:hAnsi="Times New Roman"/>
          <w:sz w:val="24"/>
        </w:rPr>
        <w:t>’</w:t>
      </w:r>
      <w:r w:rsidRPr="00CE03EE">
        <w:rPr>
          <w:rFonts w:ascii="Times New Roman" w:hAnsi="Times New Roman"/>
          <w:sz w:val="24"/>
        </w:rPr>
        <w:t xml:space="preserve">interconnexion </w:t>
      </w:r>
      <w:r w:rsidR="007206E2" w:rsidRPr="00CE03EE">
        <w:rPr>
          <w:rFonts w:ascii="Times New Roman" w:hAnsi="Times New Roman"/>
          <w:sz w:val="24"/>
        </w:rPr>
        <w:t xml:space="preserve">ont </w:t>
      </w:r>
      <w:r w:rsidR="0040058B" w:rsidRPr="00CE03EE">
        <w:rPr>
          <w:rFonts w:ascii="Times New Roman" w:hAnsi="Times New Roman"/>
          <w:sz w:val="24"/>
        </w:rPr>
        <w:t>conn</w:t>
      </w:r>
      <w:r w:rsidR="007206E2" w:rsidRPr="00CE03EE">
        <w:rPr>
          <w:rFonts w:ascii="Times New Roman" w:hAnsi="Times New Roman"/>
          <w:sz w:val="24"/>
        </w:rPr>
        <w:t>u</w:t>
      </w:r>
      <w:r w:rsidRPr="00CE03EE">
        <w:rPr>
          <w:rFonts w:ascii="Times New Roman" w:hAnsi="Times New Roman"/>
          <w:sz w:val="24"/>
        </w:rPr>
        <w:t xml:space="preserve"> des prix légèrement plus élevés que ceux qui affichent &gt;</w:t>
      </w:r>
      <w:r w:rsidRPr="00F30663">
        <w:rPr>
          <w:rFonts w:ascii="Times New Roman" w:hAnsi="Times New Roman"/>
          <w:sz w:val="24"/>
        </w:rPr>
        <w:t>10</w:t>
      </w:r>
      <w:r w:rsidR="0085744A" w:rsidRPr="00CE03EE">
        <w:rPr>
          <w:rFonts w:ascii="Times New Roman" w:hAnsi="Times New Roman"/>
          <w:sz w:val="24"/>
        </w:rPr>
        <w:t> %</w:t>
      </w:r>
      <w:r w:rsidRPr="00CE03EE">
        <w:rPr>
          <w:rFonts w:ascii="Times New Roman" w:hAnsi="Times New Roman"/>
          <w:sz w:val="24"/>
        </w:rPr>
        <w:t xml:space="preserve"> d</w:t>
      </w:r>
      <w:r w:rsidR="00C869EE">
        <w:rPr>
          <w:rFonts w:ascii="Times New Roman" w:hAnsi="Times New Roman"/>
          <w:sz w:val="24"/>
        </w:rPr>
        <w:t>’</w:t>
      </w:r>
      <w:r w:rsidRPr="00CE03EE">
        <w:rPr>
          <w:rFonts w:ascii="Times New Roman" w:hAnsi="Times New Roman"/>
          <w:sz w:val="24"/>
        </w:rPr>
        <w:t>interconnexion. Cela montre l</w:t>
      </w:r>
      <w:r w:rsidR="00C869EE">
        <w:rPr>
          <w:rFonts w:ascii="Times New Roman" w:hAnsi="Times New Roman"/>
          <w:sz w:val="24"/>
        </w:rPr>
        <w:t>’</w:t>
      </w:r>
      <w:r w:rsidRPr="00CE03EE">
        <w:rPr>
          <w:rFonts w:ascii="Times New Roman" w:hAnsi="Times New Roman"/>
          <w:sz w:val="24"/>
        </w:rPr>
        <w:t>importance de poursuivre la mise en place du marché intérieur de l</w:t>
      </w:r>
      <w:r w:rsidR="00C869EE">
        <w:rPr>
          <w:rFonts w:ascii="Times New Roman" w:hAnsi="Times New Roman"/>
          <w:sz w:val="24"/>
        </w:rPr>
        <w:t>’</w:t>
      </w:r>
      <w:r w:rsidRPr="00CE03EE">
        <w:rPr>
          <w:rFonts w:ascii="Times New Roman" w:hAnsi="Times New Roman"/>
          <w:sz w:val="24"/>
        </w:rPr>
        <w:t>électricité et de l</w:t>
      </w:r>
      <w:r w:rsidR="00C869EE">
        <w:rPr>
          <w:rFonts w:ascii="Times New Roman" w:hAnsi="Times New Roman"/>
          <w:sz w:val="24"/>
        </w:rPr>
        <w:t>’</w:t>
      </w:r>
      <w:r w:rsidRPr="00CE03EE">
        <w:rPr>
          <w:rFonts w:ascii="Times New Roman" w:hAnsi="Times New Roman"/>
          <w:sz w:val="24"/>
        </w:rPr>
        <w:t>interconnexion transfrontalière;</w:t>
      </w:r>
    </w:p>
    <w:p w:rsidR="00456C9B" w:rsidRPr="00CE03EE" w:rsidRDefault="00AD251E" w:rsidP="004D2CC1">
      <w:pPr>
        <w:pStyle w:val="ListParagraph"/>
        <w:numPr>
          <w:ilvl w:val="0"/>
          <w:numId w:val="9"/>
        </w:numPr>
        <w:spacing w:before="60"/>
        <w:ind w:left="426" w:hanging="426"/>
        <w:jc w:val="both"/>
        <w:rPr>
          <w:rFonts w:ascii="Times New Roman" w:hAnsi="Times New Roman"/>
          <w:sz w:val="24"/>
          <w:szCs w:val="24"/>
        </w:rPr>
      </w:pPr>
      <w:r w:rsidRPr="00CE03EE">
        <w:rPr>
          <w:rFonts w:ascii="Times New Roman" w:hAnsi="Times New Roman"/>
          <w:sz w:val="24"/>
        </w:rPr>
        <w:t>sur plusieurs marchés, l</w:t>
      </w:r>
      <w:r w:rsidR="00C869EE">
        <w:rPr>
          <w:rFonts w:ascii="Times New Roman" w:hAnsi="Times New Roman"/>
          <w:sz w:val="24"/>
        </w:rPr>
        <w:t>’</w:t>
      </w:r>
      <w:r w:rsidR="007206E2" w:rsidRPr="00CE03EE">
        <w:rPr>
          <w:rFonts w:ascii="Times New Roman" w:hAnsi="Times New Roman"/>
          <w:sz w:val="24"/>
        </w:rPr>
        <w:t>essor d'une électricité d</w:t>
      </w:r>
      <w:r w:rsidR="00C869EE">
        <w:rPr>
          <w:rFonts w:ascii="Times New Roman" w:hAnsi="Times New Roman"/>
          <w:sz w:val="24"/>
        </w:rPr>
        <w:t>’</w:t>
      </w:r>
      <w:r w:rsidR="007206E2" w:rsidRPr="00CE03EE">
        <w:rPr>
          <w:rFonts w:ascii="Times New Roman" w:hAnsi="Times New Roman"/>
          <w:sz w:val="24"/>
        </w:rPr>
        <w:t xml:space="preserve">origine solaire et éolienne à </w:t>
      </w:r>
      <w:r w:rsidRPr="00CE03EE">
        <w:rPr>
          <w:rFonts w:ascii="Times New Roman" w:hAnsi="Times New Roman"/>
          <w:sz w:val="24"/>
        </w:rPr>
        <w:t xml:space="preserve">faible coût marginal </w:t>
      </w:r>
      <w:r w:rsidR="007206E2" w:rsidRPr="00CE03EE">
        <w:rPr>
          <w:rFonts w:ascii="Times New Roman" w:hAnsi="Times New Roman"/>
          <w:sz w:val="24"/>
        </w:rPr>
        <w:t xml:space="preserve">fait baisser </w:t>
      </w:r>
      <w:r w:rsidRPr="00CE03EE">
        <w:rPr>
          <w:rFonts w:ascii="Times New Roman" w:hAnsi="Times New Roman"/>
          <w:sz w:val="24"/>
        </w:rPr>
        <w:t>les prix de gros. L</w:t>
      </w:r>
      <w:r w:rsidR="00C869EE">
        <w:rPr>
          <w:rFonts w:ascii="Times New Roman" w:hAnsi="Times New Roman"/>
          <w:sz w:val="24"/>
        </w:rPr>
        <w:t>’</w:t>
      </w:r>
      <w:r w:rsidRPr="00CE03EE">
        <w:rPr>
          <w:rFonts w:ascii="Times New Roman" w:hAnsi="Times New Roman"/>
          <w:sz w:val="24"/>
        </w:rPr>
        <w:t>analyse économétrique indique qu</w:t>
      </w:r>
      <w:r w:rsidR="00C869EE">
        <w:rPr>
          <w:rFonts w:ascii="Times New Roman" w:hAnsi="Times New Roman"/>
          <w:sz w:val="24"/>
        </w:rPr>
        <w:t>’</w:t>
      </w:r>
      <w:r w:rsidRPr="00CE03EE">
        <w:rPr>
          <w:rFonts w:ascii="Times New Roman" w:hAnsi="Times New Roman"/>
          <w:sz w:val="24"/>
        </w:rPr>
        <w:t>à chaque augmentation d</w:t>
      </w:r>
      <w:r w:rsidR="00C869EE">
        <w:rPr>
          <w:rFonts w:ascii="Times New Roman" w:hAnsi="Times New Roman"/>
          <w:sz w:val="24"/>
        </w:rPr>
        <w:t>’</w:t>
      </w:r>
      <w:r w:rsidRPr="00CE03EE">
        <w:rPr>
          <w:rFonts w:ascii="Times New Roman" w:hAnsi="Times New Roman"/>
          <w:sz w:val="24"/>
        </w:rPr>
        <w:t>un point de pourcentage de la part des sources d</w:t>
      </w:r>
      <w:r w:rsidR="00C869EE">
        <w:rPr>
          <w:rFonts w:ascii="Times New Roman" w:hAnsi="Times New Roman"/>
          <w:sz w:val="24"/>
        </w:rPr>
        <w:t>’</w:t>
      </w:r>
      <w:r w:rsidRPr="00CE03EE">
        <w:rPr>
          <w:rFonts w:ascii="Times New Roman" w:hAnsi="Times New Roman"/>
          <w:sz w:val="24"/>
        </w:rPr>
        <w:t>énergie renouvelables correspond une baisse du prix de gros de l</w:t>
      </w:r>
      <w:r w:rsidR="00C869EE">
        <w:rPr>
          <w:rFonts w:ascii="Times New Roman" w:hAnsi="Times New Roman"/>
          <w:sz w:val="24"/>
        </w:rPr>
        <w:t>’</w:t>
      </w:r>
      <w:r w:rsidRPr="00CE03EE">
        <w:rPr>
          <w:rFonts w:ascii="Times New Roman" w:hAnsi="Times New Roman"/>
          <w:sz w:val="24"/>
        </w:rPr>
        <w:t xml:space="preserve">électricité de </w:t>
      </w:r>
      <w:r w:rsidRPr="00F30663">
        <w:rPr>
          <w:rFonts w:ascii="Times New Roman" w:hAnsi="Times New Roman"/>
          <w:sz w:val="24"/>
        </w:rPr>
        <w:t>0</w:t>
      </w:r>
      <w:r w:rsidRPr="00CE03EE">
        <w:rPr>
          <w:rFonts w:ascii="Times New Roman" w:hAnsi="Times New Roman"/>
          <w:sz w:val="24"/>
        </w:rPr>
        <w:t>,</w:t>
      </w:r>
      <w:r w:rsidRPr="00F30663">
        <w:rPr>
          <w:rFonts w:ascii="Times New Roman" w:hAnsi="Times New Roman"/>
          <w:sz w:val="24"/>
        </w:rPr>
        <w:t>4</w:t>
      </w:r>
      <w:r w:rsidRPr="00CE03EE">
        <w:rPr>
          <w:rFonts w:ascii="Times New Roman" w:hAnsi="Times New Roman"/>
          <w:sz w:val="24"/>
        </w:rPr>
        <w:t xml:space="preserve"> EUR/MWh dans l</w:t>
      </w:r>
      <w:r w:rsidR="00C869EE">
        <w:rPr>
          <w:rFonts w:ascii="Times New Roman" w:hAnsi="Times New Roman"/>
          <w:sz w:val="24"/>
        </w:rPr>
        <w:t>’</w:t>
      </w:r>
      <w:r w:rsidRPr="00CE03EE">
        <w:rPr>
          <w:rFonts w:ascii="Times New Roman" w:hAnsi="Times New Roman"/>
          <w:sz w:val="24"/>
        </w:rPr>
        <w:t xml:space="preserve">UE en moyenne; la </w:t>
      </w:r>
      <w:r w:rsidR="00EF7A3A" w:rsidRPr="00CE03EE">
        <w:rPr>
          <w:rFonts w:ascii="Times New Roman" w:hAnsi="Times New Roman"/>
          <w:sz w:val="24"/>
        </w:rPr>
        <w:t xml:space="preserve">baisse </w:t>
      </w:r>
      <w:r w:rsidRPr="00CE03EE">
        <w:rPr>
          <w:rFonts w:ascii="Times New Roman" w:hAnsi="Times New Roman"/>
          <w:sz w:val="24"/>
        </w:rPr>
        <w:t>effective dépend du marché régional et du combustible remplacé par les sources d</w:t>
      </w:r>
      <w:r w:rsidR="00C869EE">
        <w:rPr>
          <w:rFonts w:ascii="Times New Roman" w:hAnsi="Times New Roman"/>
          <w:sz w:val="24"/>
        </w:rPr>
        <w:t>’</w:t>
      </w:r>
      <w:r w:rsidRPr="00CE03EE">
        <w:rPr>
          <w:rFonts w:ascii="Times New Roman" w:hAnsi="Times New Roman"/>
          <w:sz w:val="24"/>
        </w:rPr>
        <w:t>énergie renouvelables. L</w:t>
      </w:r>
      <w:r w:rsidR="00C869EE">
        <w:rPr>
          <w:rFonts w:ascii="Times New Roman" w:hAnsi="Times New Roman"/>
          <w:sz w:val="24"/>
        </w:rPr>
        <w:t>’</w:t>
      </w:r>
      <w:r w:rsidRPr="00CE03EE">
        <w:rPr>
          <w:rFonts w:ascii="Times New Roman" w:hAnsi="Times New Roman"/>
          <w:sz w:val="24"/>
        </w:rPr>
        <w:t>incidence des sources d</w:t>
      </w:r>
      <w:r w:rsidR="00C869EE">
        <w:rPr>
          <w:rFonts w:ascii="Times New Roman" w:hAnsi="Times New Roman"/>
          <w:sz w:val="24"/>
        </w:rPr>
        <w:t>’</w:t>
      </w:r>
      <w:r w:rsidRPr="00CE03EE">
        <w:rPr>
          <w:rFonts w:ascii="Times New Roman" w:hAnsi="Times New Roman"/>
          <w:sz w:val="24"/>
        </w:rPr>
        <w:t>énergie renouvelables est plus importante (</w:t>
      </w:r>
      <w:r w:rsidRPr="00F30663">
        <w:rPr>
          <w:rFonts w:ascii="Times New Roman" w:hAnsi="Times New Roman"/>
          <w:sz w:val="24"/>
        </w:rPr>
        <w:t>0</w:t>
      </w:r>
      <w:r w:rsidRPr="00CE03EE">
        <w:rPr>
          <w:rFonts w:ascii="Times New Roman" w:hAnsi="Times New Roman"/>
          <w:sz w:val="24"/>
        </w:rPr>
        <w:t>,</w:t>
      </w:r>
      <w:r w:rsidRPr="00F30663">
        <w:rPr>
          <w:rFonts w:ascii="Times New Roman" w:hAnsi="Times New Roman"/>
          <w:sz w:val="24"/>
        </w:rPr>
        <w:t>6</w:t>
      </w:r>
      <w:r w:rsidRPr="00CE03EE">
        <w:rPr>
          <w:rFonts w:ascii="Times New Roman" w:hAnsi="Times New Roman"/>
          <w:sz w:val="24"/>
        </w:rPr>
        <w:t>-</w:t>
      </w:r>
      <w:r w:rsidRPr="00F30663">
        <w:rPr>
          <w:rFonts w:ascii="Times New Roman" w:hAnsi="Times New Roman"/>
          <w:sz w:val="24"/>
        </w:rPr>
        <w:t>0</w:t>
      </w:r>
      <w:r w:rsidRPr="00CE03EE">
        <w:rPr>
          <w:rFonts w:ascii="Times New Roman" w:hAnsi="Times New Roman"/>
          <w:sz w:val="24"/>
        </w:rPr>
        <w:t>,</w:t>
      </w:r>
      <w:r w:rsidRPr="00F30663">
        <w:rPr>
          <w:rFonts w:ascii="Times New Roman" w:hAnsi="Times New Roman"/>
          <w:sz w:val="24"/>
        </w:rPr>
        <w:t>8</w:t>
      </w:r>
      <w:r w:rsidRPr="00CE03EE">
        <w:rPr>
          <w:rFonts w:ascii="Times New Roman" w:hAnsi="Times New Roman"/>
          <w:sz w:val="24"/>
        </w:rPr>
        <w:t xml:space="preserve"> EUR/MWh) dans le nord-ouest de l</w:t>
      </w:r>
      <w:r w:rsidR="00C869EE">
        <w:rPr>
          <w:rFonts w:ascii="Times New Roman" w:hAnsi="Times New Roman"/>
          <w:sz w:val="24"/>
        </w:rPr>
        <w:t>’</w:t>
      </w:r>
      <w:r w:rsidRPr="00CE03EE">
        <w:rPr>
          <w:rFonts w:ascii="Times New Roman" w:hAnsi="Times New Roman"/>
          <w:sz w:val="24"/>
        </w:rPr>
        <w:t>Europe, les pays baltes et l</w:t>
      </w:r>
      <w:r w:rsidR="00C869EE">
        <w:rPr>
          <w:rFonts w:ascii="Times New Roman" w:hAnsi="Times New Roman"/>
          <w:sz w:val="24"/>
        </w:rPr>
        <w:t>’</w:t>
      </w:r>
      <w:r w:rsidRPr="00CE03EE">
        <w:rPr>
          <w:rFonts w:ascii="Times New Roman" w:hAnsi="Times New Roman"/>
          <w:sz w:val="24"/>
        </w:rPr>
        <w:t>Europe centrale et orientale;</w:t>
      </w:r>
    </w:p>
    <w:p w:rsidR="00637AC1" w:rsidRPr="00CE03EE" w:rsidRDefault="00AD251E" w:rsidP="004D2CC1">
      <w:pPr>
        <w:pStyle w:val="ListParagraph"/>
        <w:numPr>
          <w:ilvl w:val="0"/>
          <w:numId w:val="9"/>
        </w:numPr>
        <w:spacing w:before="60"/>
        <w:ind w:left="426" w:hanging="426"/>
        <w:jc w:val="both"/>
        <w:rPr>
          <w:rFonts w:ascii="Times New Roman" w:hAnsi="Times New Roman"/>
          <w:szCs w:val="24"/>
        </w:rPr>
      </w:pPr>
      <w:r w:rsidRPr="00CE03EE">
        <w:rPr>
          <w:rFonts w:ascii="Times New Roman" w:hAnsi="Times New Roman"/>
          <w:sz w:val="24"/>
        </w:rPr>
        <w:t>la baisse de la demande liée à la croissance économique atone, associée au développement des capacités, a entraîné une surcapacité dans plusieurs pays; et</w:t>
      </w:r>
    </w:p>
    <w:p w:rsidR="00637AC1" w:rsidRPr="00CE03EE" w:rsidRDefault="00AD251E" w:rsidP="004D2CC1">
      <w:pPr>
        <w:pStyle w:val="ListParagraph"/>
        <w:numPr>
          <w:ilvl w:val="0"/>
          <w:numId w:val="9"/>
        </w:numPr>
        <w:spacing w:before="60"/>
        <w:ind w:left="426" w:hanging="426"/>
        <w:jc w:val="both"/>
        <w:rPr>
          <w:rFonts w:ascii="Times New Roman" w:hAnsi="Times New Roman"/>
          <w:szCs w:val="24"/>
        </w:rPr>
      </w:pPr>
      <w:r w:rsidRPr="00CE03EE">
        <w:rPr>
          <w:rFonts w:ascii="Times New Roman" w:hAnsi="Times New Roman"/>
          <w:sz w:val="24"/>
        </w:rPr>
        <w:t>une baisse de la demande de quotas de CO</w:t>
      </w:r>
      <w:r w:rsidRPr="00F30663">
        <w:rPr>
          <w:rFonts w:ascii="Times New Roman" w:hAnsi="Times New Roman"/>
          <w:sz w:val="24"/>
          <w:vertAlign w:val="subscript"/>
        </w:rPr>
        <w:t>2</w:t>
      </w:r>
      <w:r w:rsidRPr="00CE03EE">
        <w:rPr>
          <w:rFonts w:ascii="Times New Roman" w:hAnsi="Times New Roman"/>
          <w:sz w:val="24"/>
        </w:rPr>
        <w:t xml:space="preserve"> et une offre considérable de crédits internationaux (</w:t>
      </w:r>
      <w:r w:rsidR="0040058B" w:rsidRPr="00CE03EE">
        <w:rPr>
          <w:rFonts w:ascii="Times New Roman" w:hAnsi="Times New Roman"/>
          <w:sz w:val="24"/>
        </w:rPr>
        <w:t>MDP</w:t>
      </w:r>
      <w:r w:rsidRPr="00CE03EE">
        <w:rPr>
          <w:rFonts w:ascii="Times New Roman" w:hAnsi="Times New Roman"/>
          <w:sz w:val="24"/>
        </w:rPr>
        <w:t>) ont engendré un excédent important sur le marché du régime d</w:t>
      </w:r>
      <w:r w:rsidR="00C869EE">
        <w:rPr>
          <w:rFonts w:ascii="Times New Roman" w:hAnsi="Times New Roman"/>
          <w:sz w:val="24"/>
        </w:rPr>
        <w:t>’</w:t>
      </w:r>
      <w:r w:rsidRPr="00CE03EE">
        <w:rPr>
          <w:rFonts w:ascii="Times New Roman" w:hAnsi="Times New Roman"/>
          <w:sz w:val="24"/>
        </w:rPr>
        <w:t>échange de droits d</w:t>
      </w:r>
      <w:r w:rsidR="00C869EE">
        <w:rPr>
          <w:rFonts w:ascii="Times New Roman" w:hAnsi="Times New Roman"/>
          <w:sz w:val="24"/>
        </w:rPr>
        <w:t>’</w:t>
      </w:r>
      <w:r w:rsidRPr="00CE03EE">
        <w:rPr>
          <w:rFonts w:ascii="Times New Roman" w:hAnsi="Times New Roman"/>
          <w:sz w:val="24"/>
        </w:rPr>
        <w:t xml:space="preserve">émission, </w:t>
      </w:r>
      <w:r w:rsidR="00EF7A3A" w:rsidRPr="00CE03EE">
        <w:rPr>
          <w:rFonts w:ascii="Times New Roman" w:hAnsi="Times New Roman"/>
          <w:sz w:val="24"/>
        </w:rPr>
        <w:t xml:space="preserve">d'où </w:t>
      </w:r>
      <w:r w:rsidRPr="00CE03EE">
        <w:rPr>
          <w:rFonts w:ascii="Times New Roman" w:hAnsi="Times New Roman"/>
          <w:sz w:val="24"/>
        </w:rPr>
        <w:t xml:space="preserve">une baisse </w:t>
      </w:r>
      <w:r w:rsidR="00EF7A3A" w:rsidRPr="00CE03EE">
        <w:rPr>
          <w:rFonts w:ascii="Times New Roman" w:hAnsi="Times New Roman"/>
          <w:sz w:val="24"/>
        </w:rPr>
        <w:t xml:space="preserve">du </w:t>
      </w:r>
      <w:r w:rsidRPr="00CE03EE">
        <w:rPr>
          <w:rFonts w:ascii="Times New Roman" w:hAnsi="Times New Roman"/>
          <w:sz w:val="24"/>
        </w:rPr>
        <w:t>prix du CO</w:t>
      </w:r>
      <w:r w:rsidRPr="00F30663">
        <w:rPr>
          <w:rFonts w:ascii="Times New Roman" w:hAnsi="Times New Roman"/>
          <w:sz w:val="24"/>
          <w:vertAlign w:val="subscript"/>
        </w:rPr>
        <w:t>2</w:t>
      </w:r>
      <w:r w:rsidRPr="00CE03EE">
        <w:rPr>
          <w:rFonts w:ascii="Times New Roman" w:hAnsi="Times New Roman"/>
          <w:sz w:val="24"/>
        </w:rPr>
        <w:t xml:space="preserve"> qui s</w:t>
      </w:r>
      <w:r w:rsidR="00C869EE">
        <w:rPr>
          <w:rFonts w:ascii="Times New Roman" w:hAnsi="Times New Roman"/>
          <w:sz w:val="24"/>
        </w:rPr>
        <w:t>’</w:t>
      </w:r>
      <w:r w:rsidRPr="00CE03EE">
        <w:rPr>
          <w:rFonts w:ascii="Times New Roman" w:hAnsi="Times New Roman"/>
          <w:sz w:val="24"/>
        </w:rPr>
        <w:t>est répercutée sur les prix de gros.</w:t>
      </w:r>
    </w:p>
    <w:p w:rsidR="00AE56D8" w:rsidRPr="00CE03EE" w:rsidRDefault="004E63D1" w:rsidP="004D2CC1">
      <w:pPr>
        <w:pStyle w:val="Heading2"/>
        <w:spacing w:before="120"/>
        <w:ind w:left="567" w:hanging="567"/>
        <w:rPr>
          <w:b w:val="0"/>
          <w:color w:val="000000" w:themeColor="text1"/>
        </w:rPr>
      </w:pPr>
      <w:r w:rsidRPr="00F30663">
        <w:rPr>
          <w:color w:val="000000" w:themeColor="text1"/>
        </w:rPr>
        <w:t>2</w:t>
      </w:r>
      <w:r w:rsidRPr="00CE03EE">
        <w:rPr>
          <w:color w:val="000000" w:themeColor="text1"/>
        </w:rPr>
        <w:t>.</w:t>
      </w:r>
      <w:r w:rsidRPr="00F30663">
        <w:rPr>
          <w:color w:val="000000" w:themeColor="text1"/>
        </w:rPr>
        <w:t>2</w:t>
      </w:r>
      <w:r w:rsidRPr="00CE03EE">
        <w:rPr>
          <w:color w:val="000000" w:themeColor="text1"/>
        </w:rPr>
        <w:t xml:space="preserve"> </w:t>
      </w:r>
      <w:r w:rsidRPr="00CE03EE">
        <w:tab/>
      </w:r>
      <w:r w:rsidRPr="00CE03EE">
        <w:rPr>
          <w:color w:val="000000" w:themeColor="text1"/>
        </w:rPr>
        <w:t>Prix de détail de l</w:t>
      </w:r>
      <w:r w:rsidR="00C869EE">
        <w:rPr>
          <w:color w:val="000000" w:themeColor="text1"/>
        </w:rPr>
        <w:t>’</w:t>
      </w:r>
      <w:r w:rsidRPr="00CE03EE">
        <w:rPr>
          <w:color w:val="000000" w:themeColor="text1"/>
        </w:rPr>
        <w:t>électricité en Europe</w:t>
      </w:r>
    </w:p>
    <w:p w:rsidR="00207704" w:rsidRPr="00CE03EE" w:rsidRDefault="00AE56D8" w:rsidP="004D2CC1">
      <w:pPr>
        <w:spacing w:after="0"/>
        <w:rPr>
          <w:color w:val="000000"/>
        </w:rPr>
      </w:pPr>
      <w:r w:rsidRPr="00CE03EE">
        <w:rPr>
          <w:color w:val="000000"/>
        </w:rPr>
        <w:t xml:space="preserve">Sur des marchés parfaitement concurrentiels, </w:t>
      </w:r>
      <w:r w:rsidR="00EF7A3A" w:rsidRPr="00CE03EE">
        <w:rPr>
          <w:color w:val="000000"/>
        </w:rPr>
        <w:t xml:space="preserve">tout </w:t>
      </w:r>
      <w:r w:rsidRPr="00CE03EE">
        <w:rPr>
          <w:color w:val="000000"/>
        </w:rPr>
        <w:t xml:space="preserve">changement sur </w:t>
      </w:r>
      <w:r w:rsidR="00C869EE" w:rsidRPr="00CE03EE">
        <w:rPr>
          <w:color w:val="000000"/>
        </w:rPr>
        <w:t>le marché</w:t>
      </w:r>
      <w:r w:rsidRPr="00CE03EE">
        <w:rPr>
          <w:color w:val="000000"/>
        </w:rPr>
        <w:t xml:space="preserve"> de gros devrait se répercuter rapidement et totalement sur le marché de détail. Cependant, en Europe, différents facteurs limitent cette répercussion</w:t>
      </w:r>
      <w:r w:rsidRPr="00CE03EE">
        <w:rPr>
          <w:rStyle w:val="FootnoteReference"/>
          <w:color w:val="000000"/>
        </w:rPr>
        <w:footnoteReference w:id="6"/>
      </w:r>
      <w:r w:rsidRPr="00CE03EE">
        <w:rPr>
          <w:color w:val="000000"/>
        </w:rPr>
        <w:t xml:space="preserve">. En outre, </w:t>
      </w:r>
      <w:r w:rsidR="00EF7A3A" w:rsidRPr="00CE03EE">
        <w:rPr>
          <w:color w:val="000000"/>
        </w:rPr>
        <w:t xml:space="preserve">une part importante des </w:t>
      </w:r>
      <w:r w:rsidRPr="00CE03EE">
        <w:rPr>
          <w:color w:val="000000"/>
        </w:rPr>
        <w:t>prix de détail résulte de la réglementation, sous la forme de taxes et de prélèvements ou de tarifs de réseau réglementés.</w:t>
      </w:r>
    </w:p>
    <w:p w:rsidR="009478D6" w:rsidRPr="00CE03EE" w:rsidRDefault="009478D6" w:rsidP="004D2CC1">
      <w:pPr>
        <w:spacing w:after="0"/>
        <w:rPr>
          <w:color w:val="000000"/>
        </w:rPr>
      </w:pPr>
      <w:r w:rsidRPr="00CE03EE">
        <w:rPr>
          <w:b/>
        </w:rPr>
        <w:t>Le prix moyen</w:t>
      </w:r>
      <w:r w:rsidRPr="00CE03EE">
        <w:rPr>
          <w:rStyle w:val="FootnoteReference"/>
          <w:b/>
        </w:rPr>
        <w:footnoteReference w:id="7"/>
      </w:r>
      <w:r w:rsidRPr="00CE03EE">
        <w:rPr>
          <w:b/>
        </w:rPr>
        <w:t xml:space="preserve"> de l</w:t>
      </w:r>
      <w:r w:rsidR="00C869EE">
        <w:rPr>
          <w:b/>
        </w:rPr>
        <w:t>’</w:t>
      </w:r>
      <w:r w:rsidRPr="00CE03EE">
        <w:rPr>
          <w:b/>
        </w:rPr>
        <w:t>électricité fournie aux ménages était de</w:t>
      </w:r>
      <w:r w:rsidRPr="00CE03EE">
        <w:rPr>
          <w:color w:val="000000"/>
        </w:rPr>
        <w:t xml:space="preserve"> </w:t>
      </w:r>
      <w:r w:rsidRPr="00F30663">
        <w:rPr>
          <w:b/>
        </w:rPr>
        <w:t>208</w:t>
      </w:r>
      <w:r w:rsidRPr="00CE03EE">
        <w:rPr>
          <w:b/>
        </w:rPr>
        <w:t>,</w:t>
      </w:r>
      <w:r w:rsidRPr="00F30663">
        <w:rPr>
          <w:b/>
        </w:rPr>
        <w:t>7</w:t>
      </w:r>
      <w:r w:rsidRPr="00CE03EE">
        <w:rPr>
          <w:b/>
        </w:rPr>
        <w:t> EUR</w:t>
      </w:r>
      <w:r w:rsidRPr="00CE03EE">
        <w:rPr>
          <w:color w:val="000000"/>
        </w:rPr>
        <w:t xml:space="preserve"> </w:t>
      </w:r>
      <w:r w:rsidRPr="00CE03EE">
        <w:rPr>
          <w:b/>
        </w:rPr>
        <w:t xml:space="preserve">MWh en </w:t>
      </w:r>
      <w:r w:rsidRPr="00F30663">
        <w:rPr>
          <w:b/>
        </w:rPr>
        <w:t>2015</w:t>
      </w:r>
      <w:r w:rsidRPr="00CE03EE">
        <w:rPr>
          <w:b/>
        </w:rPr>
        <w:t xml:space="preserve">. </w:t>
      </w:r>
      <w:r w:rsidRPr="00CE03EE">
        <w:t xml:space="preserve">À la différence des prix de gros, le prix moyen a augmenté à un taux annuel moyen de </w:t>
      </w:r>
      <w:r w:rsidRPr="00F30663">
        <w:t>3</w:t>
      </w:r>
      <w:r w:rsidRPr="00CE03EE">
        <w:t>,</w:t>
      </w:r>
      <w:r w:rsidRPr="00F30663">
        <w:t>2</w:t>
      </w:r>
      <w:r w:rsidR="0085744A" w:rsidRPr="00CE03EE">
        <w:t> %</w:t>
      </w:r>
      <w:r w:rsidRPr="00CE03EE">
        <w:t xml:space="preserve"> entre </w:t>
      </w:r>
      <w:r w:rsidRPr="00F30663">
        <w:t>2008</w:t>
      </w:r>
      <w:r w:rsidRPr="00CE03EE">
        <w:t xml:space="preserve"> et </w:t>
      </w:r>
      <w:r w:rsidRPr="00F30663">
        <w:t>2015</w:t>
      </w:r>
      <w:r w:rsidRPr="00CE03EE">
        <w:t>. Afin de mieux comprendre les facteurs qui sous-tendent cette évolution, il est nécessaire d</w:t>
      </w:r>
      <w:r w:rsidR="00C869EE">
        <w:t>’</w:t>
      </w:r>
      <w:r w:rsidRPr="00CE03EE">
        <w:t xml:space="preserve">examiner dans le détail les différents composants du prix. La figure </w:t>
      </w:r>
      <w:r w:rsidRPr="00F30663">
        <w:t>3</w:t>
      </w:r>
      <w:r w:rsidRPr="00CE03EE">
        <w:t xml:space="preserve"> montre l</w:t>
      </w:r>
      <w:r w:rsidR="00C869EE">
        <w:t>’</w:t>
      </w:r>
      <w:r w:rsidRPr="00CE03EE">
        <w:t>évolution du prix moyen pondéré de l</w:t>
      </w:r>
      <w:r w:rsidR="00C869EE">
        <w:t>’</w:t>
      </w:r>
      <w:r w:rsidRPr="00CE03EE">
        <w:t>électricité dans l</w:t>
      </w:r>
      <w:r w:rsidR="00C869EE">
        <w:t>’</w:t>
      </w:r>
      <w:r w:rsidRPr="00CE03EE">
        <w:t>UE pour les ménages, ventilé selon ses principaux composants (</w:t>
      </w:r>
      <w:r w:rsidRPr="00CE03EE">
        <w:rPr>
          <w:color w:val="000000"/>
        </w:rPr>
        <w:t>énergie, réseau et taxes et prélèvements).</w:t>
      </w:r>
    </w:p>
    <w:p w:rsidR="00F6553D" w:rsidRPr="00CE03EE" w:rsidRDefault="00F6553D" w:rsidP="004D2CC1">
      <w:pPr>
        <w:spacing w:after="0"/>
        <w:ind w:left="1134" w:hanging="1134"/>
        <w:rPr>
          <w:b/>
          <w:color w:val="000000"/>
        </w:rPr>
      </w:pPr>
      <w:r w:rsidRPr="00CE03EE">
        <w:rPr>
          <w:b/>
          <w:color w:val="000000"/>
        </w:rPr>
        <w:t xml:space="preserve">Figure </w:t>
      </w:r>
      <w:r w:rsidRPr="00F30663">
        <w:rPr>
          <w:b/>
          <w:color w:val="000000"/>
        </w:rPr>
        <w:t>3</w:t>
      </w:r>
      <w:r w:rsidRPr="00CE03EE">
        <w:rPr>
          <w:b/>
          <w:color w:val="000000"/>
        </w:rPr>
        <w:t>:</w:t>
      </w:r>
      <w:r w:rsidRPr="00CE03EE">
        <w:tab/>
      </w:r>
      <w:r w:rsidRPr="00CE03EE">
        <w:rPr>
          <w:b/>
          <w:color w:val="000000"/>
        </w:rPr>
        <w:t>Composants des prix de détail moyens de l</w:t>
      </w:r>
      <w:r w:rsidR="00C869EE">
        <w:rPr>
          <w:b/>
          <w:color w:val="000000"/>
        </w:rPr>
        <w:t>’</w:t>
      </w:r>
      <w:r w:rsidRPr="00CE03EE">
        <w:rPr>
          <w:b/>
          <w:color w:val="000000"/>
        </w:rPr>
        <w:t>électricité fournie aux ménages dans l</w:t>
      </w:r>
      <w:r w:rsidR="00C869EE">
        <w:rPr>
          <w:b/>
          <w:color w:val="000000"/>
        </w:rPr>
        <w:t>’</w:t>
      </w:r>
      <w:r w:rsidRPr="00CE03EE">
        <w:rPr>
          <w:b/>
          <w:color w:val="000000"/>
        </w:rPr>
        <w:t>UE</w:t>
      </w:r>
    </w:p>
    <w:p w:rsidR="00E84A5E" w:rsidRPr="00CE03EE" w:rsidRDefault="00323DA4" w:rsidP="004D2CC1">
      <w:pPr>
        <w:spacing w:after="0"/>
        <w:rPr>
          <w:b/>
          <w:color w:val="000000"/>
        </w:rPr>
      </w:pPr>
      <w:r w:rsidRPr="00CE03EE">
        <w:rPr>
          <w:noProof/>
          <w:lang w:val="en-GB" w:eastAsia="en-GB" w:bidi="ar-SA"/>
        </w:rPr>
        <w:drawing>
          <wp:inline distT="0" distB="0" distL="0" distR="0" wp14:anchorId="3A391B2D" wp14:editId="3BD4507C">
            <wp:extent cx="5410200" cy="206375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0200" cy="2063750"/>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267E81" w:rsidRPr="00CE03EE">
        <w:rPr>
          <w:color w:val="000000"/>
          <w:sz w:val="16"/>
        </w:rPr>
        <w:t>.</w:t>
      </w:r>
    </w:p>
    <w:p w:rsidR="005E1896" w:rsidRPr="00CE03EE" w:rsidRDefault="00E84A5E" w:rsidP="004D2CC1">
      <w:pPr>
        <w:spacing w:after="0"/>
        <w:rPr>
          <w:color w:val="000000"/>
        </w:rPr>
      </w:pPr>
      <w:r w:rsidRPr="00CE03EE">
        <w:rPr>
          <w:color w:val="000000"/>
        </w:rPr>
        <w:t xml:space="preserve">Le </w:t>
      </w:r>
      <w:r w:rsidRPr="00CE03EE">
        <w:rPr>
          <w:b/>
          <w:color w:val="000000"/>
        </w:rPr>
        <w:t xml:space="preserve">composant «énergie» </w:t>
      </w:r>
      <w:r w:rsidRPr="00CE03EE">
        <w:rPr>
          <w:color w:val="000000"/>
        </w:rPr>
        <w:t>(la part du prix payée au distributeur d</w:t>
      </w:r>
      <w:r w:rsidR="00C869EE">
        <w:rPr>
          <w:color w:val="000000"/>
        </w:rPr>
        <w:t>’</w:t>
      </w:r>
      <w:r w:rsidRPr="00CE03EE">
        <w:rPr>
          <w:color w:val="000000"/>
        </w:rPr>
        <w:t xml:space="preserve">électricité) a diminué de </w:t>
      </w:r>
      <w:r w:rsidRPr="00F30663">
        <w:rPr>
          <w:color w:val="000000"/>
        </w:rPr>
        <w:t>15</w:t>
      </w:r>
      <w:r w:rsidR="0085744A" w:rsidRPr="00CE03EE">
        <w:rPr>
          <w:color w:val="000000"/>
        </w:rPr>
        <w:t> %</w:t>
      </w:r>
      <w:r w:rsidRPr="00CE03EE">
        <w:rPr>
          <w:color w:val="000000"/>
        </w:rPr>
        <w:t xml:space="preserve"> entre </w:t>
      </w:r>
      <w:r w:rsidRPr="00F30663">
        <w:rPr>
          <w:color w:val="000000"/>
        </w:rPr>
        <w:t>2008</w:t>
      </w:r>
      <w:r w:rsidRPr="00CE03EE">
        <w:rPr>
          <w:color w:val="000000"/>
        </w:rPr>
        <w:t xml:space="preserve"> et </w:t>
      </w:r>
      <w:r w:rsidRPr="00F30663">
        <w:rPr>
          <w:color w:val="000000"/>
        </w:rPr>
        <w:t>2015</w:t>
      </w:r>
      <w:r w:rsidRPr="00CE03EE">
        <w:rPr>
          <w:color w:val="000000"/>
        </w:rPr>
        <w:t xml:space="preserve">. Cette évolution, modeste par rapport aux changements importants </w:t>
      </w:r>
      <w:r w:rsidR="00391547" w:rsidRPr="00CE03EE">
        <w:rPr>
          <w:color w:val="000000"/>
        </w:rPr>
        <w:t xml:space="preserve">concernant </w:t>
      </w:r>
      <w:r w:rsidRPr="00CE03EE">
        <w:rPr>
          <w:color w:val="000000"/>
        </w:rPr>
        <w:t>les prix de gros, semble indiquer que la concurrence sur les marchés de détail n</w:t>
      </w:r>
      <w:r w:rsidR="00C869EE">
        <w:rPr>
          <w:color w:val="000000"/>
        </w:rPr>
        <w:t>’</w:t>
      </w:r>
      <w:r w:rsidRPr="00CE03EE">
        <w:rPr>
          <w:color w:val="000000"/>
        </w:rPr>
        <w:t>est pas totalement efficace. L</w:t>
      </w:r>
      <w:r w:rsidR="00C869EE">
        <w:rPr>
          <w:color w:val="000000"/>
        </w:rPr>
        <w:t>’</w:t>
      </w:r>
      <w:r w:rsidRPr="00CE03EE">
        <w:rPr>
          <w:color w:val="000000"/>
        </w:rPr>
        <w:t>analyse indique que le degré de concurrence et la réglementation des prix du marché influent sur la répercussion du composant «énergie». Lorsqu</w:t>
      </w:r>
      <w:r w:rsidR="00C869EE">
        <w:rPr>
          <w:color w:val="000000"/>
        </w:rPr>
        <w:t>’</w:t>
      </w:r>
      <w:r w:rsidRPr="00CE03EE">
        <w:rPr>
          <w:color w:val="000000"/>
        </w:rPr>
        <w:t xml:space="preserve">ils sont réglementés, les prix de détail sont (logiquement) moins sensibles (en amplitude et en vitesse) à la baisse des prix de gros. En outre, la mesure dans laquelle le composant «énergie» varie selon les États membres a diminué de </w:t>
      </w:r>
      <w:r w:rsidRPr="00F30663">
        <w:rPr>
          <w:color w:val="000000"/>
        </w:rPr>
        <w:t>19</w:t>
      </w:r>
      <w:r w:rsidR="0085744A" w:rsidRPr="00CE03EE">
        <w:rPr>
          <w:color w:val="000000"/>
        </w:rPr>
        <w:t> %</w:t>
      </w:r>
      <w:r w:rsidRPr="00CE03EE">
        <w:rPr>
          <w:color w:val="000000"/>
        </w:rPr>
        <w:t xml:space="preserve"> entre </w:t>
      </w:r>
      <w:r w:rsidRPr="00F30663">
        <w:rPr>
          <w:color w:val="000000"/>
        </w:rPr>
        <w:t>2008</w:t>
      </w:r>
      <w:r w:rsidRPr="00CE03EE">
        <w:rPr>
          <w:color w:val="000000"/>
        </w:rPr>
        <w:t xml:space="preserve"> et </w:t>
      </w:r>
      <w:r w:rsidRPr="00F30663">
        <w:rPr>
          <w:color w:val="000000"/>
        </w:rPr>
        <w:t>2015</w:t>
      </w:r>
      <w:r w:rsidRPr="00CE03EE">
        <w:rPr>
          <w:color w:val="000000"/>
        </w:rPr>
        <w:t>, indiquant que le développement du marché intérieur a eu une incidence sur la convergence des prix de gros et sur la répercussion de cette convergence sur les prix de détail. D</w:t>
      </w:r>
      <w:r w:rsidR="00C869EE">
        <w:rPr>
          <w:color w:val="000000"/>
        </w:rPr>
        <w:t>’</w:t>
      </w:r>
      <w:r w:rsidRPr="00CE03EE">
        <w:rPr>
          <w:color w:val="000000"/>
        </w:rPr>
        <w:t>une manière générale, cela signifie que, bien que l</w:t>
      </w:r>
      <w:r w:rsidR="00C869EE">
        <w:rPr>
          <w:color w:val="000000"/>
        </w:rPr>
        <w:t>’</w:t>
      </w:r>
      <w:r w:rsidRPr="00CE03EE">
        <w:rPr>
          <w:color w:val="000000"/>
        </w:rPr>
        <w:t>évolution des prix de gros se répercute dans une certaine mesure, la part du prix représentée par l</w:t>
      </w:r>
      <w:r w:rsidR="00C869EE">
        <w:rPr>
          <w:color w:val="000000"/>
        </w:rPr>
        <w:t>’</w:t>
      </w:r>
      <w:r w:rsidRPr="00CE03EE">
        <w:rPr>
          <w:color w:val="000000"/>
        </w:rPr>
        <w:t xml:space="preserve">énergie pourrait </w:t>
      </w:r>
      <w:r w:rsidR="00391547" w:rsidRPr="00CE03EE">
        <w:rPr>
          <w:color w:val="000000"/>
        </w:rPr>
        <w:t xml:space="preserve">y </w:t>
      </w:r>
      <w:r w:rsidRPr="00CE03EE">
        <w:rPr>
          <w:color w:val="000000"/>
        </w:rPr>
        <w:t>être plus sensible sur le marché intérieur.</w:t>
      </w:r>
    </w:p>
    <w:p w:rsidR="00865438" w:rsidRPr="00CE03EE" w:rsidRDefault="00865438" w:rsidP="004D2CC1">
      <w:pPr>
        <w:spacing w:after="0"/>
        <w:rPr>
          <w:color w:val="000000"/>
        </w:rPr>
      </w:pPr>
      <w:r w:rsidRPr="00CE03EE">
        <w:rPr>
          <w:color w:val="000000"/>
        </w:rPr>
        <w:t>Cependant, comme l</w:t>
      </w:r>
      <w:r w:rsidR="00C869EE">
        <w:rPr>
          <w:color w:val="000000"/>
        </w:rPr>
        <w:t>’</w:t>
      </w:r>
      <w:r w:rsidRPr="00CE03EE">
        <w:rPr>
          <w:color w:val="000000"/>
        </w:rPr>
        <w:t xml:space="preserve">illustre la figure </w:t>
      </w:r>
      <w:r w:rsidRPr="00F30663">
        <w:rPr>
          <w:color w:val="000000"/>
        </w:rPr>
        <w:t>3</w:t>
      </w:r>
      <w:r w:rsidRPr="00CE03EE">
        <w:rPr>
          <w:color w:val="000000"/>
        </w:rPr>
        <w:t>, d</w:t>
      </w:r>
      <w:r w:rsidR="00C869EE">
        <w:rPr>
          <w:color w:val="000000"/>
        </w:rPr>
        <w:t>’</w:t>
      </w:r>
      <w:r w:rsidRPr="00CE03EE">
        <w:rPr>
          <w:color w:val="000000"/>
        </w:rPr>
        <w:t>autres composants sont soumis à des évolutions plus importantes. En moyenne, le</w:t>
      </w:r>
      <w:r w:rsidRPr="00CE03EE">
        <w:rPr>
          <w:b/>
          <w:color w:val="000000"/>
        </w:rPr>
        <w:t xml:space="preserve"> composant «réseau»</w:t>
      </w:r>
      <w:r w:rsidRPr="00CE03EE">
        <w:rPr>
          <w:color w:val="000000"/>
        </w:rPr>
        <w:t xml:space="preserve"> a augmenté annuellement de </w:t>
      </w:r>
      <w:r w:rsidRPr="00F30663">
        <w:rPr>
          <w:color w:val="000000"/>
        </w:rPr>
        <w:t>3</w:t>
      </w:r>
      <w:r w:rsidRPr="00CE03EE">
        <w:rPr>
          <w:color w:val="000000"/>
        </w:rPr>
        <w:t>,</w:t>
      </w:r>
      <w:r w:rsidRPr="00F30663">
        <w:rPr>
          <w:color w:val="000000"/>
        </w:rPr>
        <w:t>3</w:t>
      </w:r>
      <w:r w:rsidR="0085744A" w:rsidRPr="00CE03EE">
        <w:rPr>
          <w:color w:val="000000"/>
        </w:rPr>
        <w:t> %</w:t>
      </w:r>
      <w:r w:rsidRPr="00CE03EE">
        <w:rPr>
          <w:color w:val="000000"/>
        </w:rPr>
        <w:t xml:space="preserve">. Le </w:t>
      </w:r>
      <w:r w:rsidRPr="00CE03EE">
        <w:rPr>
          <w:b/>
          <w:color w:val="000000"/>
        </w:rPr>
        <w:t>composant «taxes et prélèvements»</w:t>
      </w:r>
      <w:r w:rsidRPr="00CE03EE">
        <w:rPr>
          <w:color w:val="000000"/>
        </w:rPr>
        <w:t xml:space="preserve"> a lui aussi augmenté considérablement, sa part dans le prix moyen passant de </w:t>
      </w:r>
      <w:r w:rsidRPr="00F30663">
        <w:rPr>
          <w:color w:val="000000"/>
        </w:rPr>
        <w:t>28</w:t>
      </w:r>
      <w:r w:rsidR="0085744A" w:rsidRPr="00CE03EE">
        <w:rPr>
          <w:color w:val="000000"/>
        </w:rPr>
        <w:t> %</w:t>
      </w:r>
      <w:r w:rsidRPr="00CE03EE">
        <w:rPr>
          <w:color w:val="000000"/>
        </w:rPr>
        <w:t xml:space="preserve"> à </w:t>
      </w:r>
      <w:r w:rsidRPr="00F30663">
        <w:rPr>
          <w:color w:val="000000"/>
        </w:rPr>
        <w:t>38</w:t>
      </w:r>
      <w:r w:rsidR="0085744A" w:rsidRPr="00CE03EE">
        <w:rPr>
          <w:color w:val="000000"/>
        </w:rPr>
        <w:t> %</w:t>
      </w:r>
      <w:r w:rsidRPr="00CE03EE">
        <w:rPr>
          <w:color w:val="000000"/>
        </w:rPr>
        <w:t>.</w:t>
      </w:r>
    </w:p>
    <w:p w:rsidR="005C63BE" w:rsidRPr="00CE03EE" w:rsidRDefault="000E5B86" w:rsidP="00B165D8">
      <w:pPr>
        <w:spacing w:after="0"/>
        <w:ind w:left="1134" w:hanging="1134"/>
        <w:rPr>
          <w:b/>
          <w:color w:val="000000"/>
        </w:rPr>
      </w:pPr>
      <w:r w:rsidRPr="00CE03EE">
        <w:rPr>
          <w:b/>
          <w:color w:val="000000"/>
        </w:rPr>
        <w:t xml:space="preserve">Figure </w:t>
      </w:r>
      <w:r w:rsidRPr="00F30663">
        <w:rPr>
          <w:b/>
          <w:color w:val="000000"/>
        </w:rPr>
        <w:t>4</w:t>
      </w:r>
      <w:r w:rsidRPr="00CE03EE">
        <w:rPr>
          <w:b/>
          <w:color w:val="000000"/>
        </w:rPr>
        <w:t>:</w:t>
      </w:r>
      <w:r w:rsidRPr="00CE03EE">
        <w:tab/>
      </w:r>
      <w:r w:rsidRPr="00CE03EE">
        <w:rPr>
          <w:b/>
          <w:color w:val="000000"/>
        </w:rPr>
        <w:t>Prix de détail nationaux de l</w:t>
      </w:r>
      <w:r w:rsidR="00C869EE">
        <w:rPr>
          <w:b/>
          <w:color w:val="000000"/>
        </w:rPr>
        <w:t>’</w:t>
      </w:r>
      <w:r w:rsidRPr="00CE03EE">
        <w:rPr>
          <w:b/>
          <w:color w:val="000000"/>
        </w:rPr>
        <w:t xml:space="preserve">électricité fournie aux ménages en </w:t>
      </w:r>
      <w:r w:rsidRPr="00F30663">
        <w:rPr>
          <w:b/>
          <w:color w:val="000000"/>
        </w:rPr>
        <w:t>2015</w:t>
      </w:r>
    </w:p>
    <w:p w:rsidR="000E5B86" w:rsidRPr="00CE03EE" w:rsidRDefault="002C39D3" w:rsidP="004D2CC1">
      <w:pPr>
        <w:spacing w:before="0" w:after="0"/>
        <w:rPr>
          <w:color w:val="000000"/>
        </w:rPr>
      </w:pPr>
      <w:r w:rsidRPr="00CE03EE">
        <w:rPr>
          <w:noProof/>
          <w:lang w:val="en-GB" w:eastAsia="en-GB" w:bidi="ar-SA"/>
        </w:rPr>
        <w:drawing>
          <wp:inline distT="0" distB="0" distL="0" distR="0" wp14:anchorId="5B20754B" wp14:editId="0740ACB2">
            <wp:extent cx="5831840" cy="27833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1840" cy="2783336"/>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267E81" w:rsidRPr="00CE03EE">
        <w:rPr>
          <w:color w:val="000000"/>
          <w:sz w:val="16"/>
        </w:rPr>
        <w:t>.</w:t>
      </w:r>
    </w:p>
    <w:p w:rsidR="005C6AA0" w:rsidRPr="00CE03EE" w:rsidRDefault="006F1021" w:rsidP="00B165D8">
      <w:pPr>
        <w:spacing w:after="0"/>
        <w:rPr>
          <w:color w:val="000000"/>
        </w:rPr>
      </w:pPr>
      <w:r w:rsidRPr="00CE03EE">
        <w:rPr>
          <w:color w:val="000000"/>
        </w:rPr>
        <w:t>L</w:t>
      </w:r>
      <w:r w:rsidR="00C869EE">
        <w:rPr>
          <w:color w:val="000000"/>
        </w:rPr>
        <w:t>’</w:t>
      </w:r>
      <w:r w:rsidRPr="00CE03EE">
        <w:rPr>
          <w:color w:val="000000"/>
        </w:rPr>
        <w:t xml:space="preserve">analyse de la Commission a subdivisé le composant «taxes et prélèvements» en </w:t>
      </w:r>
      <w:r w:rsidRPr="00F30663">
        <w:rPr>
          <w:color w:val="000000"/>
        </w:rPr>
        <w:t>10</w:t>
      </w:r>
      <w:r w:rsidRPr="00CE03EE">
        <w:rPr>
          <w:color w:val="000000"/>
        </w:rPr>
        <w:t xml:space="preserve"> sous-composants</w:t>
      </w:r>
      <w:r w:rsidRPr="00CE03EE">
        <w:rPr>
          <w:rStyle w:val="FootnoteReference"/>
          <w:color w:val="000000"/>
        </w:rPr>
        <w:footnoteReference w:id="8"/>
      </w:r>
      <w:r w:rsidRPr="00CE03EE">
        <w:rPr>
          <w:color w:val="000000"/>
        </w:rPr>
        <w:t xml:space="preserve"> </w:t>
      </w:r>
      <w:r w:rsidR="00391547" w:rsidRPr="00CE03EE">
        <w:rPr>
          <w:color w:val="000000"/>
        </w:rPr>
        <w:t xml:space="preserve">pour tenter </w:t>
      </w:r>
      <w:r w:rsidRPr="00CE03EE">
        <w:rPr>
          <w:color w:val="000000"/>
        </w:rPr>
        <w:t xml:space="preserve">de </w:t>
      </w:r>
      <w:r w:rsidR="00391547" w:rsidRPr="00CE03EE">
        <w:rPr>
          <w:color w:val="000000"/>
        </w:rPr>
        <w:t>prendre en compte</w:t>
      </w:r>
      <w:r w:rsidRPr="00CE03EE">
        <w:rPr>
          <w:color w:val="000000"/>
        </w:rPr>
        <w:t xml:space="preserve"> systématiquement les taxes et prélèvements divers que les États membres imposent sur les prix de l</w:t>
      </w:r>
      <w:r w:rsidR="00C869EE">
        <w:rPr>
          <w:color w:val="000000"/>
        </w:rPr>
        <w:t>’</w:t>
      </w:r>
      <w:r w:rsidRPr="00CE03EE">
        <w:rPr>
          <w:color w:val="000000"/>
        </w:rPr>
        <w:t>électricité fournie aux ménages. Les prélèvements sont affectés au financement de politiques spécifiques, bien qu</w:t>
      </w:r>
      <w:r w:rsidR="00C869EE">
        <w:rPr>
          <w:color w:val="000000"/>
        </w:rPr>
        <w:t>’</w:t>
      </w:r>
      <w:r w:rsidRPr="00CE03EE">
        <w:rPr>
          <w:color w:val="000000"/>
        </w:rPr>
        <w:t>ils ne représentent pas l</w:t>
      </w:r>
      <w:r w:rsidR="00C869EE">
        <w:rPr>
          <w:color w:val="000000"/>
        </w:rPr>
        <w:t>’</w:t>
      </w:r>
      <w:r w:rsidRPr="00CE03EE">
        <w:rPr>
          <w:color w:val="000000"/>
        </w:rPr>
        <w:t>ensemble des dépenses publiques pour une politique déterminée. Les taxes ne sont généralement pas affectées à des politiques spécifiques.</w:t>
      </w:r>
    </w:p>
    <w:p w:rsidR="00B165D8" w:rsidRPr="00CE03EE" w:rsidRDefault="00B165D8" w:rsidP="00B165D8">
      <w:pPr>
        <w:spacing w:after="0"/>
        <w:rPr>
          <w:color w:val="000000"/>
        </w:rPr>
      </w:pPr>
    </w:p>
    <w:p w:rsidR="00D93CCE" w:rsidRPr="00CE03EE" w:rsidRDefault="00D93CCE" w:rsidP="00B165D8">
      <w:pPr>
        <w:spacing w:before="0" w:after="0"/>
        <w:ind w:left="1134" w:hanging="1134"/>
        <w:jc w:val="left"/>
        <w:rPr>
          <w:b/>
          <w:color w:val="000000"/>
        </w:rPr>
      </w:pPr>
      <w:r w:rsidRPr="00CE03EE">
        <w:rPr>
          <w:b/>
          <w:color w:val="000000"/>
        </w:rPr>
        <w:t xml:space="preserve">Figure </w:t>
      </w:r>
      <w:r w:rsidRPr="00F30663">
        <w:rPr>
          <w:b/>
          <w:color w:val="000000"/>
        </w:rPr>
        <w:t>5</w:t>
      </w:r>
      <w:r w:rsidRPr="00CE03EE">
        <w:rPr>
          <w:b/>
          <w:color w:val="000000"/>
        </w:rPr>
        <w:t>:</w:t>
      </w:r>
      <w:r w:rsidRPr="00CE03EE">
        <w:tab/>
      </w:r>
      <w:r w:rsidRPr="00CE03EE">
        <w:rPr>
          <w:b/>
          <w:color w:val="000000"/>
        </w:rPr>
        <w:t>Ventilation du composant «taxes et prélèvements» des prix de l</w:t>
      </w:r>
      <w:r w:rsidR="00C869EE">
        <w:rPr>
          <w:b/>
          <w:color w:val="000000"/>
        </w:rPr>
        <w:t>’</w:t>
      </w:r>
      <w:r w:rsidRPr="00CE03EE">
        <w:rPr>
          <w:b/>
          <w:color w:val="000000"/>
        </w:rPr>
        <w:t>électricité</w:t>
      </w:r>
    </w:p>
    <w:p w:rsidR="00D93CCE" w:rsidRPr="00CE03EE" w:rsidRDefault="002C39D3" w:rsidP="00B165D8">
      <w:pPr>
        <w:spacing w:before="0" w:after="0"/>
        <w:rPr>
          <w:color w:val="000000"/>
        </w:rPr>
      </w:pPr>
      <w:r w:rsidRPr="00CE03EE">
        <w:rPr>
          <w:noProof/>
          <w:lang w:val="en-GB" w:eastAsia="en-GB" w:bidi="ar-SA"/>
        </w:rPr>
        <w:drawing>
          <wp:inline distT="0" distB="0" distL="0" distR="0" wp14:anchorId="572DD219" wp14:editId="13E1F415">
            <wp:extent cx="5575300" cy="2661285"/>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5300" cy="2661285"/>
                    </a:xfrm>
                    <a:prstGeom prst="rect">
                      <a:avLst/>
                    </a:prstGeom>
                    <a:noFill/>
                    <a:ln>
                      <a:noFill/>
                    </a:ln>
                  </pic:spPr>
                </pic:pic>
              </a:graphicData>
            </a:graphic>
          </wp:inline>
        </w:drawing>
      </w:r>
    </w:p>
    <w:p w:rsidR="00D93CCE" w:rsidRPr="00CE03EE" w:rsidRDefault="00D93CCE" w:rsidP="004D2CC1">
      <w:pPr>
        <w:spacing w:before="0" w:after="0"/>
        <w:jc w:val="right"/>
        <w:rPr>
          <w:b/>
          <w:color w:val="000000"/>
        </w:rPr>
      </w:pPr>
      <w:r w:rsidRPr="00CE03EE">
        <w:rPr>
          <w:color w:val="000000"/>
          <w:sz w:val="16"/>
        </w:rPr>
        <w:t>Source: États membres, données collectées par la Commission</w:t>
      </w:r>
      <w:r w:rsidR="00267E81" w:rsidRPr="00CE03EE">
        <w:rPr>
          <w:color w:val="000000"/>
          <w:sz w:val="16"/>
        </w:rPr>
        <w:t>.</w:t>
      </w:r>
    </w:p>
    <w:p w:rsidR="00DC7A82" w:rsidRPr="00CE03EE" w:rsidRDefault="00D3071C" w:rsidP="004D2CC1">
      <w:pPr>
        <w:spacing w:after="0"/>
        <w:rPr>
          <w:color w:val="000000"/>
        </w:rPr>
      </w:pPr>
      <w:r w:rsidRPr="00CE03EE">
        <w:t xml:space="preserve">La TVA constitue le sous-composant le plus important, soit </w:t>
      </w:r>
      <w:r w:rsidRPr="00F30663">
        <w:t>37</w:t>
      </w:r>
      <w:r w:rsidR="0085744A" w:rsidRPr="00CE03EE">
        <w:t> %</w:t>
      </w:r>
      <w:r w:rsidRPr="00CE03EE">
        <w:t xml:space="preserve"> </w:t>
      </w:r>
      <w:r w:rsidR="00A2295B" w:rsidRPr="00CE03EE">
        <w:t>des</w:t>
      </w:r>
      <w:r w:rsidRPr="00CE03EE">
        <w:t xml:space="preserve"> «taxes et prélèvements» en </w:t>
      </w:r>
      <w:r w:rsidRPr="00F30663">
        <w:t>2015</w:t>
      </w:r>
      <w:r w:rsidRPr="00CE03EE">
        <w:t xml:space="preserve">, contre </w:t>
      </w:r>
      <w:r w:rsidRPr="00F30663">
        <w:t>48</w:t>
      </w:r>
      <w:r w:rsidR="0085744A" w:rsidRPr="00CE03EE">
        <w:t> %</w:t>
      </w:r>
      <w:r w:rsidRPr="00CE03EE">
        <w:t xml:space="preserve"> en </w:t>
      </w:r>
      <w:r w:rsidRPr="00F30663">
        <w:t>2008</w:t>
      </w:r>
      <w:r w:rsidRPr="00CE03EE">
        <w:t xml:space="preserve">. Comme taxe </w:t>
      </w:r>
      <w:r w:rsidRPr="00CE03EE">
        <w:rPr>
          <w:i/>
        </w:rPr>
        <w:t>ad valorem</w:t>
      </w:r>
      <w:r w:rsidRPr="00CE03EE">
        <w:t>, la TVA présente l</w:t>
      </w:r>
      <w:r w:rsidR="00C869EE">
        <w:t>’</w:t>
      </w:r>
      <w:r w:rsidRPr="00CE03EE">
        <w:t>avantage de ne pas atténuer les signaux</w:t>
      </w:r>
      <w:r w:rsidR="003B7960" w:rsidRPr="00CE03EE">
        <w:t xml:space="preserve"> </w:t>
      </w:r>
      <w:r w:rsidRPr="00CE03EE">
        <w:t xml:space="preserve">de prix de gros dans les prix de détail. </w:t>
      </w:r>
      <w:r w:rsidR="00A2295B" w:rsidRPr="00CE03EE">
        <w:t>S</w:t>
      </w:r>
      <w:r w:rsidRPr="00CE03EE">
        <w:t xml:space="preserve">ous-composant </w:t>
      </w:r>
      <w:r w:rsidR="00A2295B" w:rsidRPr="00CE03EE">
        <w:t xml:space="preserve">répertorié comme </w:t>
      </w:r>
      <w:r w:rsidRPr="00CE03EE">
        <w:t>le plus important pour la politique énergétique</w:t>
      </w:r>
      <w:r w:rsidR="00A2295B" w:rsidRPr="00CE03EE">
        <w:t>, la TVA</w:t>
      </w:r>
      <w:r w:rsidRPr="00CE03EE">
        <w:t xml:space="preserve"> est constitué</w:t>
      </w:r>
      <w:r w:rsidR="00A2295B" w:rsidRPr="00CE03EE">
        <w:t>e</w:t>
      </w:r>
      <w:r w:rsidRPr="00CE03EE">
        <w:t xml:space="preserve"> de prélèvements destinés au financement de l</w:t>
      </w:r>
      <w:r w:rsidR="00C869EE">
        <w:t>’</w:t>
      </w:r>
      <w:r w:rsidRPr="00CE03EE">
        <w:t>«énergie renouvelable et la production combinée de chaleur et d</w:t>
      </w:r>
      <w:r w:rsidR="00C869EE">
        <w:t>’</w:t>
      </w:r>
      <w:r w:rsidRPr="00CE03EE">
        <w:t xml:space="preserve">électricité». </w:t>
      </w:r>
      <w:r w:rsidR="00A2295B" w:rsidRPr="00CE03EE">
        <w:t xml:space="preserve">Elle </w:t>
      </w:r>
      <w:r w:rsidRPr="00CE03EE">
        <w:t xml:space="preserve">représentait </w:t>
      </w:r>
      <w:r w:rsidRPr="00F30663">
        <w:t>33</w:t>
      </w:r>
      <w:r w:rsidR="0085744A" w:rsidRPr="00CE03EE">
        <w:t> %</w:t>
      </w:r>
      <w:r w:rsidRPr="00CE03EE">
        <w:t xml:space="preserve"> du composant total en </w:t>
      </w:r>
      <w:r w:rsidRPr="00F30663">
        <w:t>2015</w:t>
      </w:r>
      <w:r w:rsidRPr="00CE03EE">
        <w:t xml:space="preserve">, contre </w:t>
      </w:r>
      <w:r w:rsidRPr="00F30663">
        <w:t>14</w:t>
      </w:r>
      <w:r w:rsidR="0085744A" w:rsidRPr="00CE03EE">
        <w:t> %</w:t>
      </w:r>
      <w:r w:rsidRPr="00CE03EE">
        <w:t xml:space="preserve"> en </w:t>
      </w:r>
      <w:r w:rsidRPr="00F30663">
        <w:t>2008</w:t>
      </w:r>
      <w:r w:rsidRPr="00CE03EE">
        <w:rPr>
          <w:color w:val="000000"/>
        </w:rPr>
        <w:t>.</w:t>
      </w:r>
    </w:p>
    <w:p w:rsidR="00C70946" w:rsidRPr="00CE03EE" w:rsidRDefault="00B35FB1" w:rsidP="004D2CC1">
      <w:pPr>
        <w:spacing w:after="0"/>
        <w:rPr>
          <w:color w:val="000000"/>
        </w:rPr>
      </w:pPr>
      <w:r w:rsidRPr="00CE03EE">
        <w:rPr>
          <w:color w:val="000000"/>
        </w:rPr>
        <w:t xml:space="preserve">Cette analyse des prix moyens pour les ménages </w:t>
      </w:r>
      <w:r w:rsidR="003B7960" w:rsidRPr="00CE03EE">
        <w:rPr>
          <w:color w:val="000000"/>
        </w:rPr>
        <w:t xml:space="preserve">masque </w:t>
      </w:r>
      <w:r w:rsidRPr="00CE03EE">
        <w:rPr>
          <w:color w:val="000000"/>
        </w:rPr>
        <w:t>d</w:t>
      </w:r>
      <w:r w:rsidR="00C869EE">
        <w:rPr>
          <w:color w:val="000000"/>
        </w:rPr>
        <w:t>’</w:t>
      </w:r>
      <w:r w:rsidRPr="00CE03EE">
        <w:rPr>
          <w:color w:val="000000"/>
        </w:rPr>
        <w:t xml:space="preserve">importantes différences </w:t>
      </w:r>
      <w:r w:rsidR="00A2295B" w:rsidRPr="00CE03EE">
        <w:rPr>
          <w:color w:val="000000"/>
        </w:rPr>
        <w:t>à l'intérieur</w:t>
      </w:r>
      <w:r w:rsidRPr="00CE03EE">
        <w:rPr>
          <w:color w:val="000000"/>
        </w:rPr>
        <w:t xml:space="preserve"> de l</w:t>
      </w:r>
      <w:r w:rsidR="00C869EE">
        <w:rPr>
          <w:color w:val="000000"/>
        </w:rPr>
        <w:t>’</w:t>
      </w:r>
      <w:r w:rsidRPr="00CE03EE">
        <w:rPr>
          <w:color w:val="000000"/>
        </w:rPr>
        <w:t xml:space="preserve">UE. Les prix varient du simple au triple entre le pays le plus cher et le moins cher. </w:t>
      </w:r>
      <w:r w:rsidRPr="00CE03EE">
        <w:t xml:space="preserve">Les besoins </w:t>
      </w:r>
      <w:r w:rsidR="008A312C" w:rsidRPr="00CE03EE">
        <w:t xml:space="preserve">budgétaires </w:t>
      </w:r>
      <w:r w:rsidRPr="00CE03EE">
        <w:t>des États membres et les prélèvements liés aux politiques provoquent des écarts importants dans la part des taxes et des prélèvements dans le prix final: pour la TVA et d</w:t>
      </w:r>
      <w:r w:rsidR="00C869EE">
        <w:t>’</w:t>
      </w:r>
      <w:r w:rsidRPr="00CE03EE">
        <w:t xml:space="preserve">autres taxes, cette part se situe entre </w:t>
      </w:r>
      <w:r w:rsidRPr="00F30663">
        <w:t>59</w:t>
      </w:r>
      <w:r w:rsidR="0085744A" w:rsidRPr="00CE03EE">
        <w:t> %</w:t>
      </w:r>
      <w:r w:rsidRPr="00CE03EE">
        <w:t xml:space="preserve"> (DK) </w:t>
      </w:r>
      <w:r w:rsidR="00A2295B" w:rsidRPr="00CE03EE">
        <w:t xml:space="preserve">et </w:t>
      </w:r>
      <w:r w:rsidRPr="00F30663">
        <w:t>5</w:t>
      </w:r>
      <w:r w:rsidR="0085744A" w:rsidRPr="00CE03EE">
        <w:t> %</w:t>
      </w:r>
      <w:r w:rsidRPr="00CE03EE">
        <w:t xml:space="preserve"> (MT); </w:t>
      </w:r>
      <w:r w:rsidR="008A312C" w:rsidRPr="00CE03EE">
        <w:t xml:space="preserve">les </w:t>
      </w:r>
      <w:r w:rsidRPr="00CE03EE">
        <w:t>prélèvements pour les sources d</w:t>
      </w:r>
      <w:r w:rsidR="00C869EE">
        <w:t>’</w:t>
      </w:r>
      <w:r w:rsidRPr="00CE03EE">
        <w:t>énergie renouvelables et la production combinée de chaleur et d</w:t>
      </w:r>
      <w:r w:rsidR="00C869EE">
        <w:t>’</w:t>
      </w:r>
      <w:r w:rsidRPr="00CE03EE">
        <w:t xml:space="preserve">électricité représentent </w:t>
      </w:r>
      <w:r w:rsidRPr="00F30663">
        <w:t>12</w:t>
      </w:r>
      <w:r w:rsidR="0085744A" w:rsidRPr="00CE03EE">
        <w:t> %</w:t>
      </w:r>
      <w:r w:rsidRPr="00CE03EE">
        <w:t xml:space="preserve"> en moyenne</w:t>
      </w:r>
      <w:r w:rsidRPr="00CE03EE">
        <w:rPr>
          <w:rStyle w:val="FootnoteReference"/>
        </w:rPr>
        <w:footnoteReference w:id="9"/>
      </w:r>
      <w:r w:rsidR="008A312C" w:rsidRPr="00CE03EE">
        <w:t>,</w:t>
      </w:r>
      <w:r w:rsidRPr="00CE03EE">
        <w:t xml:space="preserve"> mais se situent entre </w:t>
      </w:r>
      <w:r w:rsidRPr="00F30663">
        <w:t>22</w:t>
      </w:r>
      <w:r w:rsidRPr="00CE03EE">
        <w:t>-</w:t>
      </w:r>
      <w:r w:rsidRPr="00F30663">
        <w:t>23</w:t>
      </w:r>
      <w:r w:rsidR="0085744A" w:rsidRPr="00CE03EE">
        <w:t> %</w:t>
      </w:r>
      <w:r w:rsidRPr="00CE03EE">
        <w:t xml:space="preserve"> (PT, DE) et </w:t>
      </w:r>
      <w:r w:rsidRPr="00F30663">
        <w:t>0</w:t>
      </w:r>
      <w:r w:rsidRPr="00CE03EE">
        <w:t>-</w:t>
      </w:r>
      <w:r w:rsidRPr="00F30663">
        <w:t>2</w:t>
      </w:r>
      <w:r w:rsidR="008A312C" w:rsidRPr="00CE03EE">
        <w:t> </w:t>
      </w:r>
      <w:r w:rsidRPr="00CE03EE">
        <w:t>% (HU,</w:t>
      </w:r>
      <w:r w:rsidR="008A312C" w:rsidRPr="00CE03EE">
        <w:t xml:space="preserve"> </w:t>
      </w:r>
      <w:r w:rsidRPr="00CE03EE">
        <w:t>IE).</w:t>
      </w:r>
    </w:p>
    <w:p w:rsidR="00A80AF8" w:rsidRPr="00CE03EE" w:rsidRDefault="0083307D" w:rsidP="004D2CC1">
      <w:pPr>
        <w:spacing w:after="0"/>
        <w:rPr>
          <w:color w:val="000000"/>
        </w:rPr>
      </w:pPr>
      <w:r w:rsidRPr="00CE03EE">
        <w:rPr>
          <w:color w:val="000000"/>
        </w:rPr>
        <w:t>Les chiffres des prix de l</w:t>
      </w:r>
      <w:r w:rsidR="00C869EE">
        <w:rPr>
          <w:color w:val="000000"/>
        </w:rPr>
        <w:t>’</w:t>
      </w:r>
      <w:r w:rsidRPr="00CE03EE">
        <w:rPr>
          <w:color w:val="000000"/>
        </w:rPr>
        <w:t xml:space="preserve">électricité fournie aux </w:t>
      </w:r>
      <w:r w:rsidR="00D97FBD" w:rsidRPr="00CE03EE">
        <w:rPr>
          <w:i/>
          <w:color w:val="000000"/>
        </w:rPr>
        <w:t>entreprises</w:t>
      </w:r>
      <w:r w:rsidRPr="00CE03EE">
        <w:rPr>
          <w:rStyle w:val="FootnoteReference"/>
          <w:color w:val="000000"/>
        </w:rPr>
        <w:footnoteReference w:id="10"/>
      </w:r>
      <w:r w:rsidRPr="00CE03EE">
        <w:rPr>
          <w:color w:val="000000"/>
        </w:rPr>
        <w:t xml:space="preserve"> </w:t>
      </w:r>
      <w:r w:rsidR="008A312C" w:rsidRPr="00CE03EE">
        <w:rPr>
          <w:color w:val="000000"/>
        </w:rPr>
        <w:t xml:space="preserve">font apparaître </w:t>
      </w:r>
      <w:r w:rsidRPr="00CE03EE">
        <w:rPr>
          <w:color w:val="000000"/>
        </w:rPr>
        <w:t>des hausses plus modestes, soit une hausse moyenne dans l</w:t>
      </w:r>
      <w:r w:rsidR="00C869EE">
        <w:rPr>
          <w:color w:val="000000"/>
        </w:rPr>
        <w:t>’</w:t>
      </w:r>
      <w:r w:rsidRPr="00CE03EE">
        <w:rPr>
          <w:color w:val="000000"/>
        </w:rPr>
        <w:t xml:space="preserve">UE comprise entre </w:t>
      </w:r>
      <w:r w:rsidRPr="00F30663">
        <w:rPr>
          <w:color w:val="000000"/>
        </w:rPr>
        <w:t>0</w:t>
      </w:r>
      <w:r w:rsidRPr="00CE03EE">
        <w:rPr>
          <w:color w:val="000000"/>
        </w:rPr>
        <w:t>,</w:t>
      </w:r>
      <w:r w:rsidRPr="00F30663">
        <w:rPr>
          <w:color w:val="000000"/>
        </w:rPr>
        <w:t>8</w:t>
      </w:r>
      <w:r w:rsidR="0085744A" w:rsidRPr="00CE03EE">
        <w:rPr>
          <w:color w:val="000000"/>
        </w:rPr>
        <w:t> %</w:t>
      </w:r>
      <w:r w:rsidRPr="00CE03EE">
        <w:rPr>
          <w:color w:val="000000"/>
        </w:rPr>
        <w:t xml:space="preserve"> et </w:t>
      </w:r>
      <w:r w:rsidRPr="00F30663">
        <w:rPr>
          <w:color w:val="000000"/>
        </w:rPr>
        <w:t>3</w:t>
      </w:r>
      <w:r w:rsidRPr="00CE03EE">
        <w:rPr>
          <w:color w:val="000000"/>
        </w:rPr>
        <w:t>,</w:t>
      </w:r>
      <w:r w:rsidRPr="00F30663">
        <w:rPr>
          <w:color w:val="000000"/>
        </w:rPr>
        <w:t>1</w:t>
      </w:r>
      <w:r w:rsidR="0085744A" w:rsidRPr="00CE03EE">
        <w:rPr>
          <w:color w:val="000000"/>
        </w:rPr>
        <w:t> %</w:t>
      </w:r>
      <w:r w:rsidRPr="00CE03EE">
        <w:rPr>
          <w:rStyle w:val="FootnoteReference"/>
          <w:color w:val="000000"/>
        </w:rPr>
        <w:footnoteReference w:id="11"/>
      </w:r>
      <w:r w:rsidRPr="00CE03EE">
        <w:rPr>
          <w:color w:val="000000"/>
        </w:rPr>
        <w:t xml:space="preserve"> par an entre </w:t>
      </w:r>
      <w:r w:rsidRPr="00F30663">
        <w:rPr>
          <w:color w:val="000000"/>
        </w:rPr>
        <w:t>2008</w:t>
      </w:r>
      <w:r w:rsidRPr="00CE03EE">
        <w:rPr>
          <w:color w:val="000000"/>
        </w:rPr>
        <w:t xml:space="preserve"> et </w:t>
      </w:r>
      <w:r w:rsidRPr="00F30663">
        <w:rPr>
          <w:color w:val="000000"/>
        </w:rPr>
        <w:t>2015</w:t>
      </w:r>
      <w:r w:rsidRPr="00CE03EE">
        <w:rPr>
          <w:color w:val="000000"/>
        </w:rPr>
        <w:t xml:space="preserve">. La figure </w:t>
      </w:r>
      <w:r w:rsidRPr="00F30663">
        <w:rPr>
          <w:color w:val="000000"/>
        </w:rPr>
        <w:t>6</w:t>
      </w:r>
      <w:r w:rsidRPr="00CE03EE">
        <w:rPr>
          <w:color w:val="000000"/>
        </w:rPr>
        <w:t xml:space="preserve"> utilise une tranche de consommation industrielle représentative (</w:t>
      </w:r>
      <w:r w:rsidR="008A312C" w:rsidRPr="00F30663">
        <w:rPr>
          <w:color w:val="000000"/>
        </w:rPr>
        <w:t>2</w:t>
      </w:r>
      <w:r w:rsidR="008A312C" w:rsidRPr="00CE03EE">
        <w:rPr>
          <w:color w:val="000000"/>
        </w:rPr>
        <w:t> </w:t>
      </w:r>
      <w:r w:rsidRPr="00F30663">
        <w:rPr>
          <w:color w:val="000000"/>
        </w:rPr>
        <w:t>000</w:t>
      </w:r>
      <w:r w:rsidR="008A312C" w:rsidRPr="00CE03EE">
        <w:t>-</w:t>
      </w:r>
      <w:r w:rsidR="008A312C" w:rsidRPr="00F30663">
        <w:rPr>
          <w:color w:val="000000"/>
        </w:rPr>
        <w:t>20</w:t>
      </w:r>
      <w:r w:rsidR="008A312C" w:rsidRPr="00CE03EE">
        <w:rPr>
          <w:color w:val="000000"/>
        </w:rPr>
        <w:t> </w:t>
      </w:r>
      <w:r w:rsidR="008A312C" w:rsidRPr="00F30663">
        <w:rPr>
          <w:color w:val="000000"/>
        </w:rPr>
        <w:t>000</w:t>
      </w:r>
      <w:r w:rsidR="008A312C" w:rsidRPr="00CE03EE">
        <w:rPr>
          <w:color w:val="000000"/>
        </w:rPr>
        <w:t> </w:t>
      </w:r>
      <w:r w:rsidRPr="00CE03EE">
        <w:rPr>
          <w:color w:val="000000"/>
        </w:rPr>
        <w:t>MWh/an). Les</w:t>
      </w:r>
      <w:r w:rsidRPr="00CE03EE">
        <w:rPr>
          <w:i/>
          <w:color w:val="000000"/>
        </w:rPr>
        <w:t xml:space="preserve"> grands</w:t>
      </w:r>
      <w:r w:rsidRPr="00CE03EE">
        <w:rPr>
          <w:color w:val="000000"/>
        </w:rPr>
        <w:t xml:space="preserve"> consommateurs d</w:t>
      </w:r>
      <w:r w:rsidR="00C869EE">
        <w:rPr>
          <w:color w:val="000000"/>
        </w:rPr>
        <w:t>’</w:t>
      </w:r>
      <w:r w:rsidRPr="00CE03EE">
        <w:rPr>
          <w:color w:val="000000"/>
        </w:rPr>
        <w:t>énergie, y compris les industries les plus grandes consommatrices d</w:t>
      </w:r>
      <w:r w:rsidR="00C869EE">
        <w:rPr>
          <w:color w:val="000000"/>
        </w:rPr>
        <w:t>’</w:t>
      </w:r>
      <w:r w:rsidRPr="00CE03EE">
        <w:rPr>
          <w:color w:val="000000"/>
        </w:rPr>
        <w:t>énergie, peuvent produire leur propre électricité, disposent de contrats d</w:t>
      </w:r>
      <w:r w:rsidR="00C869EE">
        <w:rPr>
          <w:color w:val="000000"/>
        </w:rPr>
        <w:t>’</w:t>
      </w:r>
      <w:r w:rsidRPr="00CE03EE">
        <w:rPr>
          <w:color w:val="000000"/>
        </w:rPr>
        <w:t xml:space="preserve">approvisionnement en énergie à long terme ou bénéficient souvent de tarifs </w:t>
      </w:r>
      <w:r w:rsidR="008A312C" w:rsidRPr="00CE03EE">
        <w:rPr>
          <w:color w:val="000000"/>
        </w:rPr>
        <w:t xml:space="preserve">de </w:t>
      </w:r>
      <w:r w:rsidRPr="00CE03EE">
        <w:rPr>
          <w:color w:val="000000"/>
        </w:rPr>
        <w:t xml:space="preserve">réseau et de taxes et prélèvements inférieurs, qui peuvent se traduire par des prix de </w:t>
      </w:r>
      <w:r w:rsidRPr="00F30663">
        <w:rPr>
          <w:color w:val="000000"/>
        </w:rPr>
        <w:t>50</w:t>
      </w:r>
      <w:r w:rsidR="0085744A" w:rsidRPr="00CE03EE">
        <w:rPr>
          <w:color w:val="000000"/>
        </w:rPr>
        <w:t> %</w:t>
      </w:r>
      <w:r w:rsidRPr="00CE03EE">
        <w:rPr>
          <w:color w:val="000000"/>
        </w:rPr>
        <w:t xml:space="preserve"> inférieurs à ceux appliqués à d</w:t>
      </w:r>
      <w:r w:rsidR="00C869EE">
        <w:rPr>
          <w:color w:val="000000"/>
        </w:rPr>
        <w:t>’</w:t>
      </w:r>
      <w:r w:rsidRPr="00CE03EE">
        <w:rPr>
          <w:color w:val="000000"/>
        </w:rPr>
        <w:t>autres consommateurs industriels dans le même pays.</w:t>
      </w:r>
    </w:p>
    <w:p w:rsidR="00511B94" w:rsidRPr="00CE03EE" w:rsidRDefault="00511B94" w:rsidP="004D2CC1">
      <w:pPr>
        <w:spacing w:after="0"/>
        <w:ind w:left="1134" w:hanging="1134"/>
        <w:rPr>
          <w:b/>
          <w:color w:val="000000"/>
        </w:rPr>
      </w:pPr>
    </w:p>
    <w:p w:rsidR="008C78CF" w:rsidRPr="00CE03EE" w:rsidRDefault="008C78CF" w:rsidP="00B165D8">
      <w:pPr>
        <w:spacing w:after="0"/>
        <w:rPr>
          <w:b/>
          <w:color w:val="000000"/>
        </w:rPr>
      </w:pPr>
    </w:p>
    <w:p w:rsidR="000F17F4" w:rsidRPr="00CE03EE" w:rsidRDefault="000F17F4" w:rsidP="004D2CC1">
      <w:pPr>
        <w:spacing w:after="0"/>
        <w:ind w:left="1134" w:hanging="1134"/>
        <w:rPr>
          <w:color w:val="000000"/>
        </w:rPr>
      </w:pPr>
      <w:r w:rsidRPr="00CE03EE">
        <w:rPr>
          <w:b/>
          <w:color w:val="000000"/>
        </w:rPr>
        <w:t xml:space="preserve">Figure </w:t>
      </w:r>
      <w:r w:rsidRPr="00F30663">
        <w:rPr>
          <w:b/>
          <w:color w:val="000000"/>
        </w:rPr>
        <w:t>6</w:t>
      </w:r>
      <w:r w:rsidRPr="00CE03EE">
        <w:rPr>
          <w:b/>
          <w:color w:val="000000"/>
        </w:rPr>
        <w:t>:</w:t>
      </w:r>
      <w:r w:rsidRPr="00CE03EE">
        <w:tab/>
      </w:r>
      <w:r w:rsidRPr="00CE03EE">
        <w:rPr>
          <w:b/>
          <w:color w:val="000000"/>
        </w:rPr>
        <w:t>Composants des prix de détail moyens de l</w:t>
      </w:r>
      <w:r w:rsidR="00C869EE">
        <w:rPr>
          <w:b/>
          <w:color w:val="000000"/>
        </w:rPr>
        <w:t>’</w:t>
      </w:r>
      <w:r w:rsidRPr="00CE03EE">
        <w:rPr>
          <w:b/>
          <w:color w:val="000000"/>
        </w:rPr>
        <w:t xml:space="preserve">électricité fournie </w:t>
      </w:r>
      <w:r w:rsidR="00D97FBD" w:rsidRPr="00CE03EE">
        <w:rPr>
          <w:b/>
          <w:color w:val="000000"/>
        </w:rPr>
        <w:t>aux entreprises</w:t>
      </w:r>
      <w:r w:rsidRPr="00CE03EE">
        <w:rPr>
          <w:b/>
          <w:color w:val="000000"/>
        </w:rPr>
        <w:t xml:space="preserve"> dans l</w:t>
      </w:r>
      <w:r w:rsidR="00C869EE">
        <w:rPr>
          <w:b/>
          <w:color w:val="000000"/>
        </w:rPr>
        <w:t>’</w:t>
      </w:r>
      <w:r w:rsidRPr="00CE03EE">
        <w:rPr>
          <w:b/>
          <w:color w:val="000000"/>
        </w:rPr>
        <w:t>UE</w:t>
      </w:r>
    </w:p>
    <w:p w:rsidR="00FE550D" w:rsidRPr="00CE03EE" w:rsidRDefault="002C39D3" w:rsidP="004D2CC1">
      <w:pPr>
        <w:spacing w:before="0" w:after="0"/>
        <w:rPr>
          <w:szCs w:val="24"/>
        </w:rPr>
      </w:pPr>
      <w:r w:rsidRPr="00CE03EE">
        <w:rPr>
          <w:noProof/>
          <w:lang w:val="en-GB" w:eastAsia="en-GB" w:bidi="ar-SA"/>
        </w:rPr>
        <w:drawing>
          <wp:inline distT="0" distB="0" distL="0" distR="0" wp14:anchorId="5E5D8BCA" wp14:editId="45C8AD22">
            <wp:extent cx="5670550" cy="275018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70550" cy="2750185"/>
                    </a:xfrm>
                    <a:prstGeom prst="rect">
                      <a:avLst/>
                    </a:prstGeom>
                    <a:noFill/>
                    <a:ln>
                      <a:noFill/>
                    </a:ln>
                  </pic:spPr>
                </pic:pic>
              </a:graphicData>
            </a:graphic>
          </wp:inline>
        </w:drawing>
      </w:r>
    </w:p>
    <w:p w:rsidR="005024FF" w:rsidRPr="00CE03EE" w:rsidRDefault="005024FF" w:rsidP="004D2CC1">
      <w:pPr>
        <w:spacing w:before="0" w:after="0"/>
        <w:jc w:val="right"/>
        <w:rPr>
          <w:color w:val="000000"/>
          <w:sz w:val="16"/>
          <w:szCs w:val="16"/>
        </w:rPr>
      </w:pP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267E81" w:rsidRPr="00CE03EE">
        <w:rPr>
          <w:color w:val="000000"/>
          <w:sz w:val="16"/>
        </w:rPr>
        <w:t>.</w:t>
      </w:r>
    </w:p>
    <w:p w:rsidR="0068496D" w:rsidRPr="00CE03EE" w:rsidRDefault="0068496D" w:rsidP="004D2CC1">
      <w:pPr>
        <w:spacing w:after="0"/>
        <w:rPr>
          <w:color w:val="000000"/>
        </w:rPr>
      </w:pPr>
      <w:r w:rsidRPr="00CE03EE">
        <w:rPr>
          <w:color w:val="000000"/>
        </w:rPr>
        <w:t>Comme pour les prix de l</w:t>
      </w:r>
      <w:r w:rsidR="00C869EE">
        <w:rPr>
          <w:color w:val="000000"/>
        </w:rPr>
        <w:t>’</w:t>
      </w:r>
      <w:r w:rsidRPr="00CE03EE">
        <w:rPr>
          <w:color w:val="000000"/>
        </w:rPr>
        <w:t>électricité fournie aux ménages, des écarts importants subsistent dans l</w:t>
      </w:r>
      <w:r w:rsidR="00C869EE">
        <w:rPr>
          <w:color w:val="000000"/>
        </w:rPr>
        <w:t>’</w:t>
      </w:r>
      <w:r w:rsidRPr="00CE03EE">
        <w:rPr>
          <w:color w:val="000000"/>
        </w:rPr>
        <w:t xml:space="preserve">ensemble des États membres, tandis que les prix varient selon un facteur de </w:t>
      </w:r>
      <w:r w:rsidRPr="00F30663">
        <w:rPr>
          <w:color w:val="000000"/>
        </w:rPr>
        <w:t>2</w:t>
      </w:r>
      <w:r w:rsidRPr="00CE03EE">
        <w:rPr>
          <w:color w:val="000000"/>
        </w:rPr>
        <w:t>,</w:t>
      </w:r>
      <w:r w:rsidRPr="00F30663">
        <w:rPr>
          <w:color w:val="000000"/>
        </w:rPr>
        <w:t>75</w:t>
      </w:r>
      <w:r w:rsidRPr="00CE03EE">
        <w:rPr>
          <w:color w:val="000000"/>
        </w:rPr>
        <w:t>.</w:t>
      </w:r>
    </w:p>
    <w:p w:rsidR="00B165D8" w:rsidRPr="00CE03EE" w:rsidRDefault="00B165D8">
      <w:pPr>
        <w:spacing w:before="0" w:after="200" w:line="276" w:lineRule="auto"/>
        <w:jc w:val="left"/>
        <w:rPr>
          <w:b/>
          <w:color w:val="000000"/>
        </w:rPr>
      </w:pPr>
      <w:r w:rsidRPr="00CE03EE">
        <w:br w:type="page"/>
      </w:r>
    </w:p>
    <w:p w:rsidR="000F17F4" w:rsidRPr="00CE03EE" w:rsidRDefault="000F17F4" w:rsidP="004D2CC1">
      <w:pPr>
        <w:spacing w:after="0"/>
        <w:ind w:left="1134" w:hanging="1134"/>
        <w:rPr>
          <w:b/>
          <w:color w:val="000000"/>
        </w:rPr>
      </w:pPr>
      <w:r w:rsidRPr="00CE03EE">
        <w:rPr>
          <w:b/>
          <w:color w:val="000000"/>
        </w:rPr>
        <w:t xml:space="preserve">Figure </w:t>
      </w:r>
      <w:r w:rsidRPr="00F30663">
        <w:rPr>
          <w:b/>
          <w:color w:val="000000"/>
        </w:rPr>
        <w:t>7</w:t>
      </w:r>
      <w:r w:rsidRPr="00CE03EE">
        <w:rPr>
          <w:b/>
          <w:color w:val="000000"/>
        </w:rPr>
        <w:t>:</w:t>
      </w:r>
      <w:r w:rsidRPr="00CE03EE">
        <w:tab/>
      </w:r>
      <w:r w:rsidRPr="00CE03EE">
        <w:rPr>
          <w:b/>
          <w:color w:val="000000"/>
        </w:rPr>
        <w:t>Prix de détail moyens de l</w:t>
      </w:r>
      <w:r w:rsidR="00C869EE">
        <w:rPr>
          <w:b/>
          <w:color w:val="000000"/>
        </w:rPr>
        <w:t>’</w:t>
      </w:r>
      <w:r w:rsidRPr="00CE03EE">
        <w:rPr>
          <w:b/>
          <w:color w:val="000000"/>
        </w:rPr>
        <w:t xml:space="preserve">électricité fournie </w:t>
      </w:r>
      <w:r w:rsidR="00D97FBD" w:rsidRPr="00CE03EE">
        <w:rPr>
          <w:b/>
          <w:color w:val="000000"/>
        </w:rPr>
        <w:t>aux entreprises</w:t>
      </w:r>
      <w:r w:rsidRPr="00CE03EE">
        <w:rPr>
          <w:b/>
          <w:color w:val="000000"/>
        </w:rPr>
        <w:t xml:space="preserve"> en </w:t>
      </w:r>
      <w:r w:rsidRPr="00F30663">
        <w:rPr>
          <w:b/>
          <w:color w:val="000000"/>
        </w:rPr>
        <w:t>2015</w:t>
      </w:r>
    </w:p>
    <w:p w:rsidR="000E5B86" w:rsidRPr="00CE03EE" w:rsidRDefault="002C39D3" w:rsidP="004D2CC1">
      <w:pPr>
        <w:spacing w:before="0" w:after="0"/>
        <w:rPr>
          <w:b/>
          <w:color w:val="000000"/>
        </w:rPr>
      </w:pPr>
      <w:r w:rsidRPr="00CE03EE">
        <w:rPr>
          <w:noProof/>
          <w:lang w:val="en-GB" w:eastAsia="en-GB" w:bidi="ar-SA"/>
        </w:rPr>
        <w:drawing>
          <wp:inline distT="0" distB="0" distL="0" distR="0" wp14:anchorId="3EA6C8A5" wp14:editId="1F6C2CDF">
            <wp:extent cx="5831840" cy="256501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1840" cy="2565012"/>
                    </a:xfrm>
                    <a:prstGeom prst="rect">
                      <a:avLst/>
                    </a:prstGeom>
                    <a:noFill/>
                    <a:ln>
                      <a:noFill/>
                    </a:ln>
                  </pic:spPr>
                </pic:pic>
              </a:graphicData>
            </a:graphic>
          </wp:inline>
        </w:drawing>
      </w:r>
    </w:p>
    <w:p w:rsidR="005024FF" w:rsidRPr="00CE03EE" w:rsidRDefault="005024FF" w:rsidP="004D2CC1">
      <w:pPr>
        <w:spacing w:before="0" w:after="0"/>
        <w:jc w:val="right"/>
        <w:rPr>
          <w:color w:val="000000"/>
          <w:sz w:val="16"/>
          <w:szCs w:val="16"/>
        </w:rPr>
      </w:pP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267E81" w:rsidRPr="00CE03EE">
        <w:rPr>
          <w:color w:val="000000"/>
          <w:sz w:val="16"/>
        </w:rPr>
        <w:t>.</w:t>
      </w:r>
    </w:p>
    <w:p w:rsidR="007430BD" w:rsidRPr="00CE03EE" w:rsidRDefault="007430BD" w:rsidP="004D2CC1">
      <w:pPr>
        <w:spacing w:after="0"/>
      </w:pPr>
      <w:r w:rsidRPr="00CE03EE">
        <w:rPr>
          <w:color w:val="000000"/>
        </w:rPr>
        <w:t xml:space="preserve">Le </w:t>
      </w:r>
      <w:r w:rsidRPr="00CE03EE">
        <w:rPr>
          <w:b/>
          <w:color w:val="000000"/>
        </w:rPr>
        <w:t>composant «énergie</w:t>
      </w:r>
      <w:r w:rsidRPr="00CE03EE">
        <w:rPr>
          <w:color w:val="000000"/>
        </w:rPr>
        <w:t>» des prix moyens de l</w:t>
      </w:r>
      <w:r w:rsidR="00C869EE">
        <w:rPr>
          <w:color w:val="000000"/>
        </w:rPr>
        <w:t>’</w:t>
      </w:r>
      <w:r w:rsidRPr="00CE03EE">
        <w:rPr>
          <w:color w:val="000000"/>
        </w:rPr>
        <w:t xml:space="preserve">électricité industrielle a baissé de </w:t>
      </w:r>
      <w:r w:rsidRPr="00F30663">
        <w:rPr>
          <w:color w:val="000000"/>
        </w:rPr>
        <w:t>2</w:t>
      </w:r>
      <w:r w:rsidRPr="00CE03EE">
        <w:rPr>
          <w:color w:val="000000"/>
        </w:rPr>
        <w:t>,</w:t>
      </w:r>
      <w:r w:rsidRPr="00F30663">
        <w:rPr>
          <w:color w:val="000000"/>
        </w:rPr>
        <w:t>8</w:t>
      </w:r>
      <w:r w:rsidR="0085744A" w:rsidRPr="00CE03EE">
        <w:rPr>
          <w:color w:val="000000"/>
        </w:rPr>
        <w:t> %</w:t>
      </w:r>
      <w:r w:rsidRPr="00CE03EE">
        <w:rPr>
          <w:color w:val="000000"/>
        </w:rPr>
        <w:t xml:space="preserve"> par an entre </w:t>
      </w:r>
      <w:r w:rsidRPr="00F30663">
        <w:rPr>
          <w:color w:val="000000"/>
        </w:rPr>
        <w:t>2008</w:t>
      </w:r>
      <w:r w:rsidRPr="00CE03EE">
        <w:rPr>
          <w:color w:val="000000"/>
        </w:rPr>
        <w:t xml:space="preserve"> et </w:t>
      </w:r>
      <w:r w:rsidRPr="00F30663">
        <w:rPr>
          <w:color w:val="000000"/>
        </w:rPr>
        <w:t>2015</w:t>
      </w:r>
      <w:r w:rsidRPr="00CE03EE">
        <w:rPr>
          <w:color w:val="000000"/>
        </w:rPr>
        <w:t>. L</w:t>
      </w:r>
      <w:r w:rsidR="00C869EE">
        <w:rPr>
          <w:color w:val="000000"/>
        </w:rPr>
        <w:t>’</w:t>
      </w:r>
      <w:r w:rsidRPr="00CE03EE">
        <w:rPr>
          <w:color w:val="000000"/>
        </w:rPr>
        <w:t>écart pour ce composant dans l</w:t>
      </w:r>
      <w:r w:rsidR="00C869EE">
        <w:rPr>
          <w:color w:val="000000"/>
        </w:rPr>
        <w:t>’</w:t>
      </w:r>
      <w:r w:rsidRPr="00CE03EE">
        <w:rPr>
          <w:color w:val="000000"/>
        </w:rPr>
        <w:t>ensemble des États membres s</w:t>
      </w:r>
      <w:r w:rsidR="00C869EE">
        <w:rPr>
          <w:color w:val="000000"/>
        </w:rPr>
        <w:t>’</w:t>
      </w:r>
      <w:r w:rsidRPr="00CE03EE">
        <w:rPr>
          <w:color w:val="000000"/>
        </w:rPr>
        <w:t>e</w:t>
      </w:r>
      <w:r w:rsidR="006F2709" w:rsidRPr="00CE03EE">
        <w:rPr>
          <w:color w:val="000000"/>
        </w:rPr>
        <w:t>s</w:t>
      </w:r>
      <w:r w:rsidRPr="00CE03EE">
        <w:rPr>
          <w:color w:val="000000"/>
        </w:rPr>
        <w:t xml:space="preserve">t également </w:t>
      </w:r>
      <w:r w:rsidR="006F2709" w:rsidRPr="00CE03EE">
        <w:rPr>
          <w:color w:val="000000"/>
        </w:rPr>
        <w:t>resserré</w:t>
      </w:r>
      <w:r w:rsidRPr="00CE03EE">
        <w:rPr>
          <w:color w:val="000000"/>
        </w:rPr>
        <w:t xml:space="preserve">, de </w:t>
      </w:r>
      <w:r w:rsidRPr="00F30663">
        <w:rPr>
          <w:color w:val="000000"/>
        </w:rPr>
        <w:t>12</w:t>
      </w:r>
      <w:r w:rsidR="0085744A" w:rsidRPr="00CE03EE">
        <w:rPr>
          <w:color w:val="000000"/>
        </w:rPr>
        <w:t> %</w:t>
      </w:r>
      <w:r w:rsidRPr="00CE03EE">
        <w:rPr>
          <w:color w:val="000000"/>
        </w:rPr>
        <w:t xml:space="preserve">. Cette convergence partielle des prix </w:t>
      </w:r>
      <w:r w:rsidR="006F2709" w:rsidRPr="00CE03EE">
        <w:rPr>
          <w:color w:val="000000"/>
        </w:rPr>
        <w:t xml:space="preserve">signifie </w:t>
      </w:r>
      <w:r w:rsidRPr="00CE03EE">
        <w:rPr>
          <w:color w:val="000000"/>
        </w:rPr>
        <w:t xml:space="preserve">que </w:t>
      </w:r>
      <w:r w:rsidRPr="00CE03EE">
        <w:t>les politiques énergétiques de l</w:t>
      </w:r>
      <w:r w:rsidR="00C869EE">
        <w:t>’</w:t>
      </w:r>
      <w:r w:rsidRPr="00CE03EE">
        <w:t>UE en faveur d</w:t>
      </w:r>
      <w:r w:rsidR="00C869EE">
        <w:t>’</w:t>
      </w:r>
      <w:r w:rsidRPr="00CE03EE">
        <w:t xml:space="preserve">une concurrence accrue, qui </w:t>
      </w:r>
      <w:r w:rsidR="00555E24" w:rsidRPr="00CE03EE">
        <w:t xml:space="preserve">résulte </w:t>
      </w:r>
      <w:r w:rsidRPr="00CE03EE">
        <w:t>du couplage de marchés et des échanges transfrontaliers, ont une incidence positive. Cela dit, sept États membres</w:t>
      </w:r>
      <w:r w:rsidRPr="00CE03EE">
        <w:rPr>
          <w:rStyle w:val="FootnoteReference"/>
        </w:rPr>
        <w:footnoteReference w:id="12"/>
      </w:r>
      <w:r w:rsidRPr="00CE03EE">
        <w:t xml:space="preserve"> ont en </w:t>
      </w:r>
      <w:r w:rsidR="00490185" w:rsidRPr="00CE03EE">
        <w:t xml:space="preserve">fait </w:t>
      </w:r>
      <w:r w:rsidRPr="00CE03EE">
        <w:t xml:space="preserve">connu une </w:t>
      </w:r>
      <w:r w:rsidRPr="00CE03EE">
        <w:rPr>
          <w:i/>
        </w:rPr>
        <w:t>augmentation</w:t>
      </w:r>
      <w:r w:rsidRPr="00CE03EE">
        <w:t xml:space="preserve"> du composant «énergie» au cours de la période, </w:t>
      </w:r>
      <w:r w:rsidR="00555E24" w:rsidRPr="00CE03EE">
        <w:t xml:space="preserve">laquelle </w:t>
      </w:r>
      <w:r w:rsidRPr="00CE03EE">
        <w:t>pourrait</w:t>
      </w:r>
      <w:r w:rsidR="00490185" w:rsidRPr="00CE03EE">
        <w:t>,</w:t>
      </w:r>
      <w:r w:rsidRPr="00CE03EE">
        <w:t xml:space="preserve"> </w:t>
      </w:r>
      <w:r w:rsidR="00490185" w:rsidRPr="00CE03EE">
        <w:t xml:space="preserve">dans certains cas, </w:t>
      </w:r>
      <w:r w:rsidRPr="00CE03EE">
        <w:t xml:space="preserve">être </w:t>
      </w:r>
      <w:r w:rsidR="00490185" w:rsidRPr="00CE03EE">
        <w:t>l'</w:t>
      </w:r>
      <w:r w:rsidRPr="00CE03EE">
        <w:t>indication d</w:t>
      </w:r>
      <w:r w:rsidR="00C869EE">
        <w:t>’</w:t>
      </w:r>
      <w:r w:rsidRPr="00CE03EE">
        <w:t xml:space="preserve">une concurrence inadéquate au niveau </w:t>
      </w:r>
      <w:r w:rsidR="00490185" w:rsidRPr="00CE03EE">
        <w:t xml:space="preserve">des prix </w:t>
      </w:r>
      <w:r w:rsidRPr="00CE03EE">
        <w:t>d</w:t>
      </w:r>
      <w:r w:rsidR="00490185" w:rsidRPr="00CE03EE">
        <w:t>e</w:t>
      </w:r>
      <w:r w:rsidRPr="00CE03EE">
        <w:t xml:space="preserve"> détail, permettant aux fournisseurs d</w:t>
      </w:r>
      <w:r w:rsidR="00C869EE">
        <w:t>’</w:t>
      </w:r>
      <w:r w:rsidRPr="00CE03EE">
        <w:t>éviter de répercuter une baisse des prix de gros.</w:t>
      </w:r>
    </w:p>
    <w:p w:rsidR="006147D1" w:rsidRPr="00CE03EE" w:rsidRDefault="00407C56" w:rsidP="004D2CC1">
      <w:pPr>
        <w:spacing w:after="0"/>
      </w:pPr>
      <w:r w:rsidRPr="00CE03EE">
        <w:t xml:space="preserve">Le </w:t>
      </w:r>
      <w:r w:rsidRPr="00CE03EE">
        <w:rPr>
          <w:b/>
        </w:rPr>
        <w:t>composant «réseau</w:t>
      </w:r>
      <w:r w:rsidRPr="00CE03EE">
        <w:t xml:space="preserve"> » des prix de l</w:t>
      </w:r>
      <w:r w:rsidR="00C869EE">
        <w:t>’</w:t>
      </w:r>
      <w:r w:rsidRPr="00CE03EE">
        <w:t xml:space="preserve">électricité fournie </w:t>
      </w:r>
      <w:r w:rsidR="00D97FBD" w:rsidRPr="00CE03EE">
        <w:t>aux entreprises</w:t>
      </w:r>
      <w:r w:rsidRPr="00CE03EE">
        <w:t xml:space="preserve"> a augmenté annuellement de </w:t>
      </w:r>
      <w:r w:rsidRPr="00F30663">
        <w:t>3</w:t>
      </w:r>
      <w:r w:rsidRPr="00CE03EE">
        <w:t>,</w:t>
      </w:r>
      <w:r w:rsidRPr="00F30663">
        <w:t>2</w:t>
      </w:r>
      <w:r w:rsidR="0085744A" w:rsidRPr="00CE03EE">
        <w:t> %</w:t>
      </w:r>
      <w:r w:rsidRPr="00CE03EE">
        <w:t xml:space="preserve"> au cours de la période, et la</w:t>
      </w:r>
      <w:r w:rsidRPr="00CE03EE">
        <w:rPr>
          <w:b/>
        </w:rPr>
        <w:t xml:space="preserve"> part des taxes et prélèvements </w:t>
      </w:r>
      <w:r w:rsidRPr="00CE03EE">
        <w:t xml:space="preserve">a augmenté considérablement, passant de </w:t>
      </w:r>
      <w:r w:rsidRPr="00F30663">
        <w:t>12</w:t>
      </w:r>
      <w:r w:rsidR="0085744A" w:rsidRPr="00CE03EE">
        <w:t> %</w:t>
      </w:r>
      <w:r w:rsidRPr="00CE03EE">
        <w:t xml:space="preserve"> à </w:t>
      </w:r>
      <w:r w:rsidRPr="00F30663">
        <w:t>32</w:t>
      </w:r>
      <w:r w:rsidR="0085744A" w:rsidRPr="00CE03EE">
        <w:t> %</w:t>
      </w:r>
      <w:r w:rsidRPr="00CE03EE">
        <w:t xml:space="preserve"> du prix. En moyenne, près des deux tiers du composant «réseau» du prix sont </w:t>
      </w:r>
      <w:r w:rsidR="00555E24" w:rsidRPr="00CE03EE">
        <w:t xml:space="preserve">imputés </w:t>
      </w:r>
      <w:r w:rsidRPr="00CE03EE">
        <w:t>aux réseau</w:t>
      </w:r>
      <w:r w:rsidR="00490185" w:rsidRPr="00CE03EE">
        <w:t>x</w:t>
      </w:r>
      <w:r w:rsidRPr="00CE03EE">
        <w:t xml:space="preserve"> de distribution, mais les données restent insuffisantes en raison des différentes méthodes de calcul </w:t>
      </w:r>
      <w:r w:rsidR="00555E24" w:rsidRPr="00CE03EE">
        <w:t xml:space="preserve">dans </w:t>
      </w:r>
      <w:r w:rsidRPr="00CE03EE">
        <w:t xml:space="preserve">les États membres. Comme dans le cas des prix pour les ménages, le composant «taxes et prélèvements» des données relatives </w:t>
      </w:r>
      <w:r w:rsidR="00D97FBD" w:rsidRPr="00CE03EE">
        <w:t>aux entreprises</w:t>
      </w:r>
      <w:r w:rsidRPr="00CE03EE">
        <w:t xml:space="preserve"> a été subdivisé en sous-composants</w:t>
      </w:r>
      <w:r w:rsidRPr="00F30663">
        <w:rPr>
          <w:vertAlign w:val="superscript"/>
        </w:rPr>
        <w:t>7</w:t>
      </w:r>
      <w:r w:rsidR="00490185" w:rsidRPr="00CE03EE">
        <w:t>.</w:t>
      </w:r>
      <w:r w:rsidRPr="00CE03EE">
        <w:t xml:space="preserve"> Certains de ces sous-composants (TVA et d</w:t>
      </w:r>
      <w:r w:rsidR="00C869EE">
        <w:t>’</w:t>
      </w:r>
      <w:r w:rsidRPr="00CE03EE">
        <w:t xml:space="preserve">autres taxes) sont remboursés </w:t>
      </w:r>
      <w:r w:rsidR="00D97FBD" w:rsidRPr="00CE03EE">
        <w:t>aux entreprises</w:t>
      </w:r>
      <w:r w:rsidRPr="00CE03EE">
        <w:t>, c</w:t>
      </w:r>
      <w:r w:rsidR="00C869EE">
        <w:t>’</w:t>
      </w:r>
      <w:r w:rsidRPr="00CE03EE">
        <w:t>est pourquoi l</w:t>
      </w:r>
      <w:r w:rsidR="00C869EE">
        <w:t>’</w:t>
      </w:r>
      <w:r w:rsidRPr="00CE03EE">
        <w:t>incidence de ce composant est nettement plus faible que pour les ménages: l</w:t>
      </w:r>
      <w:r w:rsidR="00D97FBD" w:rsidRPr="00CE03EE">
        <w:t>es entreprises</w:t>
      </w:r>
      <w:r w:rsidRPr="00CE03EE">
        <w:t xml:space="preserve"> paie</w:t>
      </w:r>
      <w:r w:rsidR="00D97FBD" w:rsidRPr="00CE03EE">
        <w:t>nt</w:t>
      </w:r>
      <w:r w:rsidRPr="00CE03EE">
        <w:t xml:space="preserve"> </w:t>
      </w:r>
      <w:r w:rsidR="00490185" w:rsidRPr="00F30663">
        <w:t>34</w:t>
      </w:r>
      <w:r w:rsidR="00490185" w:rsidRPr="00CE03EE">
        <w:t> </w:t>
      </w:r>
      <w:r w:rsidRPr="00CE03EE">
        <w:t xml:space="preserve">EUR/MWh, contre </w:t>
      </w:r>
      <w:r w:rsidRPr="00F30663">
        <w:t>79</w:t>
      </w:r>
      <w:r w:rsidRPr="00CE03EE">
        <w:t> EUR/MWh pour les ménages.</w:t>
      </w:r>
    </w:p>
    <w:p w:rsidR="008C78CF" w:rsidRPr="00CE03EE" w:rsidRDefault="008C78CF" w:rsidP="004D2CC1">
      <w:pPr>
        <w:spacing w:after="0"/>
        <w:rPr>
          <w:b/>
        </w:rPr>
      </w:pPr>
    </w:p>
    <w:p w:rsidR="00B165D8" w:rsidRPr="00CE03EE" w:rsidRDefault="00B165D8">
      <w:pPr>
        <w:spacing w:before="0" w:after="200" w:line="276" w:lineRule="auto"/>
        <w:jc w:val="left"/>
        <w:rPr>
          <w:b/>
        </w:rPr>
      </w:pPr>
      <w:r w:rsidRPr="00CE03EE">
        <w:br w:type="page"/>
      </w:r>
    </w:p>
    <w:p w:rsidR="002F2983" w:rsidRPr="00CE03EE" w:rsidRDefault="002F2983" w:rsidP="004D2CC1">
      <w:pPr>
        <w:spacing w:after="0"/>
        <w:rPr>
          <w:b/>
        </w:rPr>
      </w:pPr>
      <w:r w:rsidRPr="00CE03EE">
        <w:rPr>
          <w:b/>
        </w:rPr>
        <w:t>Prix de l</w:t>
      </w:r>
      <w:r w:rsidR="00C869EE">
        <w:rPr>
          <w:b/>
        </w:rPr>
        <w:t>’</w:t>
      </w:r>
      <w:r w:rsidRPr="00CE03EE">
        <w:rPr>
          <w:b/>
        </w:rPr>
        <w:t>électricité à l</w:t>
      </w:r>
      <w:r w:rsidR="00C869EE">
        <w:rPr>
          <w:b/>
        </w:rPr>
        <w:t>’</w:t>
      </w:r>
      <w:r w:rsidRPr="00CE03EE">
        <w:rPr>
          <w:b/>
        </w:rPr>
        <w:t>échelle mondiale</w:t>
      </w:r>
    </w:p>
    <w:p w:rsidR="00664452" w:rsidRPr="00CE03EE" w:rsidRDefault="00E50DAC" w:rsidP="004D2CC1">
      <w:pPr>
        <w:spacing w:after="0"/>
      </w:pPr>
      <w:r w:rsidRPr="00CE03EE">
        <w:t>S</w:t>
      </w:r>
      <w:r w:rsidR="00C869EE">
        <w:t>’</w:t>
      </w:r>
      <w:r w:rsidRPr="00CE03EE">
        <w:t>il est clair que les prix de l</w:t>
      </w:r>
      <w:r w:rsidR="00C869EE">
        <w:t>’</w:t>
      </w:r>
      <w:r w:rsidRPr="00CE03EE">
        <w:t xml:space="preserve">électricité fournie </w:t>
      </w:r>
      <w:r w:rsidR="00D97FBD" w:rsidRPr="00CE03EE">
        <w:t>aux entreprises</w:t>
      </w:r>
      <w:r w:rsidRPr="00CE03EE">
        <w:t xml:space="preserve"> dans l</w:t>
      </w:r>
      <w:r w:rsidR="00C869EE">
        <w:t>’</w:t>
      </w:r>
      <w:r w:rsidRPr="00CE03EE">
        <w:t>UE varient considérablement selon les États membres et les secteurs, il convient également d</w:t>
      </w:r>
      <w:r w:rsidR="00C869EE">
        <w:t>’</w:t>
      </w:r>
      <w:r w:rsidRPr="00CE03EE">
        <w:t>observer les différentes tendances moyennes dans le monde.</w:t>
      </w:r>
    </w:p>
    <w:p w:rsidR="002F2983" w:rsidRPr="00CE03EE" w:rsidRDefault="00042CF9" w:rsidP="004D2CC1">
      <w:pPr>
        <w:spacing w:after="0"/>
        <w:ind w:left="1134" w:hanging="1134"/>
        <w:rPr>
          <w:b/>
          <w:color w:val="000000"/>
        </w:rPr>
      </w:pPr>
      <w:r w:rsidRPr="00CE03EE">
        <w:rPr>
          <w:b/>
          <w:color w:val="000000"/>
        </w:rPr>
        <w:t xml:space="preserve">Figure </w:t>
      </w:r>
      <w:r w:rsidRPr="00F30663">
        <w:rPr>
          <w:b/>
          <w:color w:val="000000"/>
        </w:rPr>
        <w:t>8</w:t>
      </w:r>
      <w:r w:rsidRPr="00CE03EE">
        <w:rPr>
          <w:b/>
          <w:color w:val="000000"/>
        </w:rPr>
        <w:t>:</w:t>
      </w:r>
      <w:r w:rsidRPr="00CE03EE">
        <w:tab/>
      </w:r>
      <w:r w:rsidRPr="00CE03EE">
        <w:rPr>
          <w:b/>
          <w:color w:val="000000"/>
        </w:rPr>
        <w:t>Prix moyens de l</w:t>
      </w:r>
      <w:r w:rsidR="00C869EE">
        <w:rPr>
          <w:b/>
          <w:color w:val="000000"/>
        </w:rPr>
        <w:t>’</w:t>
      </w:r>
      <w:r w:rsidRPr="00CE03EE">
        <w:rPr>
          <w:b/>
          <w:color w:val="000000"/>
        </w:rPr>
        <w:t xml:space="preserve">électricité fournie </w:t>
      </w:r>
      <w:r w:rsidR="00D97FBD" w:rsidRPr="00CE03EE">
        <w:rPr>
          <w:b/>
          <w:color w:val="000000"/>
        </w:rPr>
        <w:t>aux entreprises</w:t>
      </w:r>
      <w:r w:rsidRPr="00CE03EE">
        <w:rPr>
          <w:b/>
          <w:color w:val="000000"/>
        </w:rPr>
        <w:t xml:space="preserve"> dans l</w:t>
      </w:r>
      <w:r w:rsidR="00C869EE">
        <w:rPr>
          <w:b/>
          <w:color w:val="000000"/>
        </w:rPr>
        <w:t>’</w:t>
      </w:r>
      <w:r w:rsidRPr="00CE03EE">
        <w:rPr>
          <w:b/>
          <w:color w:val="000000"/>
        </w:rPr>
        <w:t>UE et chez ses principaux partenaires commerciaux</w:t>
      </w:r>
    </w:p>
    <w:p w:rsidR="00E84A5E" w:rsidRPr="00CE03EE" w:rsidRDefault="002C39D3" w:rsidP="004D2CC1">
      <w:pPr>
        <w:spacing w:before="0" w:after="0"/>
        <w:jc w:val="left"/>
        <w:rPr>
          <w:i/>
          <w:iCs/>
          <w:sz w:val="16"/>
          <w:szCs w:val="16"/>
        </w:rPr>
      </w:pPr>
      <w:r w:rsidRPr="00CE03EE">
        <w:rPr>
          <w:noProof/>
          <w:lang w:val="en-GB" w:eastAsia="en-GB" w:bidi="ar-SA"/>
        </w:rPr>
        <w:drawing>
          <wp:inline distT="0" distB="0" distL="0" distR="0" wp14:anchorId="14023311" wp14:editId="336DD4AA">
            <wp:extent cx="5831840" cy="3591776"/>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31840" cy="3591776"/>
                    </a:xfrm>
                    <a:prstGeom prst="rect">
                      <a:avLst/>
                    </a:prstGeom>
                    <a:noFill/>
                    <a:ln>
                      <a:noFill/>
                    </a:ln>
                  </pic:spPr>
                </pic:pic>
              </a:graphicData>
            </a:graphic>
          </wp:inline>
        </w:drawing>
      </w:r>
    </w:p>
    <w:p w:rsidR="002F2983" w:rsidRPr="00CE03EE" w:rsidRDefault="002F2983" w:rsidP="004D2CC1">
      <w:pPr>
        <w:spacing w:before="0" w:after="0"/>
        <w:jc w:val="left"/>
        <w:rPr>
          <w:sz w:val="16"/>
          <w:szCs w:val="16"/>
        </w:rPr>
      </w:pPr>
      <w:r w:rsidRPr="00CE03EE">
        <w:rPr>
          <w:sz w:val="16"/>
        </w:rPr>
        <w:t xml:space="preserve">Source: ministère des </w:t>
      </w:r>
      <w:r w:rsidR="00490185" w:rsidRPr="00CE03EE">
        <w:rPr>
          <w:sz w:val="16"/>
        </w:rPr>
        <w:t>M</w:t>
      </w:r>
      <w:r w:rsidRPr="00CE03EE">
        <w:rPr>
          <w:sz w:val="16"/>
        </w:rPr>
        <w:t>ines et de l</w:t>
      </w:r>
      <w:r w:rsidR="00C869EE">
        <w:rPr>
          <w:sz w:val="16"/>
        </w:rPr>
        <w:t>’</w:t>
      </w:r>
      <w:r w:rsidR="00490185" w:rsidRPr="00CE03EE">
        <w:rPr>
          <w:sz w:val="16"/>
        </w:rPr>
        <w:t xml:space="preserve">Énergie </w:t>
      </w:r>
      <w:r w:rsidRPr="00CE03EE">
        <w:rPr>
          <w:sz w:val="16"/>
        </w:rPr>
        <w:t xml:space="preserve">du Brésil, </w:t>
      </w:r>
      <w:r w:rsidR="00490185" w:rsidRPr="00CE03EE">
        <w:rPr>
          <w:sz w:val="16"/>
        </w:rPr>
        <w:t xml:space="preserve">centre </w:t>
      </w:r>
      <w:r w:rsidRPr="00CE03EE">
        <w:rPr>
          <w:sz w:val="16"/>
        </w:rPr>
        <w:t>chinois de surveillance des prix, CNDR, compagnie nationale d</w:t>
      </w:r>
      <w:r w:rsidR="00C869EE">
        <w:rPr>
          <w:sz w:val="16"/>
        </w:rPr>
        <w:t>’</w:t>
      </w:r>
      <w:r w:rsidRPr="00CE03EE">
        <w:rPr>
          <w:sz w:val="16"/>
        </w:rPr>
        <w:t>électricité d</w:t>
      </w:r>
      <w:r w:rsidR="00C869EE">
        <w:rPr>
          <w:sz w:val="16"/>
        </w:rPr>
        <w:t>’</w:t>
      </w:r>
      <w:r w:rsidRPr="00CE03EE">
        <w:rPr>
          <w:sz w:val="16"/>
        </w:rPr>
        <w:t xml:space="preserve">Indonésie, </w:t>
      </w:r>
      <w:r w:rsidR="00490185" w:rsidRPr="00CE03EE">
        <w:rPr>
          <w:sz w:val="16"/>
        </w:rPr>
        <w:t xml:space="preserve">service </w:t>
      </w:r>
      <w:r w:rsidRPr="00CE03EE">
        <w:rPr>
          <w:sz w:val="16"/>
        </w:rPr>
        <w:t xml:space="preserve">fédéral des statistiques de la Fédération de Russie; </w:t>
      </w:r>
      <w:r w:rsidR="00490185" w:rsidRPr="00CE03EE">
        <w:rPr>
          <w:sz w:val="16"/>
        </w:rPr>
        <w:t xml:space="preserve">données </w:t>
      </w:r>
      <w:r w:rsidRPr="00CE03EE">
        <w:rPr>
          <w:sz w:val="16"/>
        </w:rPr>
        <w:t>de l</w:t>
      </w:r>
      <w:r w:rsidR="00C869EE">
        <w:rPr>
          <w:sz w:val="16"/>
        </w:rPr>
        <w:t>’</w:t>
      </w:r>
      <w:r w:rsidRPr="00CE03EE">
        <w:rPr>
          <w:sz w:val="16"/>
        </w:rPr>
        <w:t>A</w:t>
      </w:r>
      <w:r w:rsidR="00490185" w:rsidRPr="00CE03EE">
        <w:rPr>
          <w:sz w:val="16"/>
        </w:rPr>
        <w:t>IE</w:t>
      </w:r>
      <w:r w:rsidRPr="00CE03EE">
        <w:rPr>
          <w:sz w:val="16"/>
        </w:rPr>
        <w:t xml:space="preserve"> pour la Turquie, la Corée du Sud, le Japon, les États-Unis et le Mexique.</w:t>
      </w:r>
    </w:p>
    <w:p w:rsidR="002B1EE8" w:rsidRPr="00CE03EE" w:rsidRDefault="002F2983" w:rsidP="004D2CC1">
      <w:pPr>
        <w:spacing w:after="0"/>
      </w:pPr>
      <w:r w:rsidRPr="00CE03EE">
        <w:t xml:space="preserve">Cette analyse montre que les prix moyens de l’électricité fournie </w:t>
      </w:r>
      <w:r w:rsidR="00D97FBD" w:rsidRPr="00CE03EE">
        <w:t>aux entreprises</w:t>
      </w:r>
      <w:r w:rsidRPr="00CE03EE">
        <w:t xml:space="preserve"> dans l</w:t>
      </w:r>
      <w:r w:rsidR="00C869EE">
        <w:t>’</w:t>
      </w:r>
      <w:r w:rsidRPr="00CE03EE">
        <w:t>UE sont nettement plus bas qu</w:t>
      </w:r>
      <w:r w:rsidR="00C869EE">
        <w:t>’</w:t>
      </w:r>
      <w:r w:rsidRPr="00CE03EE">
        <w:t>au Japon, plus ou moins similaires à ceux du Brésil, de la Chine et de la Turquie, et plus élevés qu</w:t>
      </w:r>
      <w:r w:rsidR="00C869EE">
        <w:t>’</w:t>
      </w:r>
      <w:r w:rsidRPr="00CE03EE">
        <w:t xml:space="preserve">en Corée, aux États-Unis, en Russie et en Indonésie. Entre </w:t>
      </w:r>
      <w:r w:rsidRPr="00F30663">
        <w:t>2008</w:t>
      </w:r>
      <w:r w:rsidRPr="00CE03EE">
        <w:t xml:space="preserve"> et </w:t>
      </w:r>
      <w:r w:rsidRPr="00F30663">
        <w:t>2015</w:t>
      </w:r>
      <w:r w:rsidRPr="00CE03EE">
        <w:t>, les prix dans l</w:t>
      </w:r>
      <w:r w:rsidR="00C869EE">
        <w:t>’</w:t>
      </w:r>
      <w:r w:rsidRPr="00CE03EE">
        <w:t xml:space="preserve">UE ont augmenté de </w:t>
      </w:r>
      <w:r w:rsidRPr="00F30663">
        <w:t>17</w:t>
      </w:r>
      <w:r w:rsidR="0085744A" w:rsidRPr="00CE03EE">
        <w:t> %</w:t>
      </w:r>
      <w:r w:rsidRPr="00CE03EE">
        <w:t>, mais les hausses de prix ont été nettement plus importantes en Chine (</w:t>
      </w:r>
      <w:r w:rsidRPr="00F30663">
        <w:t>66</w:t>
      </w:r>
      <w:r w:rsidR="0085744A" w:rsidRPr="00CE03EE">
        <w:t> %</w:t>
      </w:r>
      <w:r w:rsidRPr="00CE03EE">
        <w:t>), en Indonésie (</w:t>
      </w:r>
      <w:r w:rsidRPr="00F30663">
        <w:t>41</w:t>
      </w:r>
      <w:r w:rsidR="0085744A" w:rsidRPr="00CE03EE">
        <w:t> %</w:t>
      </w:r>
      <w:r w:rsidRPr="00CE03EE">
        <w:t>), au Japon (</w:t>
      </w:r>
      <w:r w:rsidRPr="00F30663">
        <w:t>34</w:t>
      </w:r>
      <w:r w:rsidR="0085744A" w:rsidRPr="00CE03EE">
        <w:t> %</w:t>
      </w:r>
      <w:r w:rsidRPr="00CE03EE">
        <w:t>) et aux États-Unis (</w:t>
      </w:r>
      <w:r w:rsidRPr="00F30663">
        <w:t>32</w:t>
      </w:r>
      <w:r w:rsidR="0085744A" w:rsidRPr="00CE03EE">
        <w:t> %</w:t>
      </w:r>
      <w:r w:rsidRPr="00CE03EE">
        <w:t xml:space="preserve">). Cette analyse </w:t>
      </w:r>
      <w:r w:rsidR="008464B9" w:rsidRPr="00CE03EE">
        <w:t xml:space="preserve">tient compte de </w:t>
      </w:r>
      <w:r w:rsidRPr="00CE03EE">
        <w:t>l</w:t>
      </w:r>
      <w:r w:rsidR="00C869EE">
        <w:t>’</w:t>
      </w:r>
      <w:r w:rsidRPr="00CE03EE">
        <w:t>effet des taux de change, qui est considérable dans certains cas (ex.: l</w:t>
      </w:r>
      <w:r w:rsidR="00C869EE">
        <w:t>’</w:t>
      </w:r>
      <w:r w:rsidRPr="00CE03EE">
        <w:t>appréciation du yuan explique la hausse pour la Chine</w:t>
      </w:r>
      <w:r w:rsidR="00D51F68" w:rsidRPr="00CE03EE">
        <w:t xml:space="preserve">, </w:t>
      </w:r>
      <w:r w:rsidRPr="00CE03EE">
        <w:t>les prix n</w:t>
      </w:r>
      <w:r w:rsidR="00C869EE">
        <w:t>’</w:t>
      </w:r>
      <w:r w:rsidR="00D51F68" w:rsidRPr="00CE03EE">
        <w:t xml:space="preserve">ayant </w:t>
      </w:r>
      <w:r w:rsidRPr="00CE03EE">
        <w:t xml:space="preserve">augmenté que légèrement en monnaie nationale). Le tableau </w:t>
      </w:r>
      <w:r w:rsidRPr="00F30663">
        <w:t>1</w:t>
      </w:r>
      <w:r w:rsidRPr="00CE03EE">
        <w:t xml:space="preserve"> montre l’évolution des prix dans l</w:t>
      </w:r>
      <w:r w:rsidR="00C869EE">
        <w:t>’</w:t>
      </w:r>
      <w:r w:rsidRPr="00CE03EE">
        <w:t>UE rapportés à ceux de ses partenaires commerciaux.</w:t>
      </w:r>
    </w:p>
    <w:p w:rsidR="002B1EE8" w:rsidRPr="00CE03EE" w:rsidRDefault="002B1EE8" w:rsidP="004D2CC1">
      <w:pPr>
        <w:pStyle w:val="Caption"/>
        <w:keepNext/>
        <w:spacing w:before="120"/>
        <w:ind w:left="1134" w:hanging="1134"/>
        <w:rPr>
          <w:rFonts w:ascii="Times New Roman" w:hAnsi="Times New Roman"/>
          <w:color w:val="auto"/>
          <w:sz w:val="24"/>
          <w:szCs w:val="24"/>
        </w:rPr>
      </w:pPr>
      <w:r w:rsidRPr="00CE03EE">
        <w:rPr>
          <w:rFonts w:ascii="Times New Roman" w:hAnsi="Times New Roman"/>
          <w:color w:val="auto"/>
          <w:sz w:val="24"/>
        </w:rPr>
        <w:t>Tableau</w:t>
      </w:r>
      <w:r w:rsidRPr="00CE03EE">
        <w:rPr>
          <w:rFonts w:ascii="Times New Roman" w:hAnsi="Times New Roman"/>
          <w:color w:val="auto"/>
          <w:sz w:val="24"/>
          <w:szCs w:val="24"/>
        </w:rPr>
        <w:fldChar w:fldCharType="begin"/>
      </w:r>
      <w:r w:rsidRPr="00CE03EE">
        <w:rPr>
          <w:rFonts w:ascii="Times New Roman" w:hAnsi="Times New Roman"/>
          <w:color w:val="auto"/>
          <w:sz w:val="24"/>
          <w:szCs w:val="24"/>
        </w:rPr>
        <w:instrText xml:space="preserve"> SEQ Table \* ARABIC </w:instrText>
      </w:r>
      <w:r w:rsidRPr="00CE03EE">
        <w:rPr>
          <w:rFonts w:ascii="Times New Roman" w:hAnsi="Times New Roman"/>
          <w:color w:val="auto"/>
          <w:sz w:val="24"/>
          <w:szCs w:val="24"/>
        </w:rPr>
        <w:fldChar w:fldCharType="separate"/>
      </w:r>
      <w:r w:rsidRPr="00F30663">
        <w:rPr>
          <w:rFonts w:ascii="Times New Roman" w:hAnsi="Times New Roman"/>
          <w:noProof/>
          <w:color w:val="auto"/>
          <w:sz w:val="24"/>
          <w:szCs w:val="24"/>
        </w:rPr>
        <w:t>1</w:t>
      </w:r>
      <w:r w:rsidRPr="00CE03EE">
        <w:rPr>
          <w:rFonts w:ascii="Times New Roman" w:hAnsi="Times New Roman"/>
          <w:color w:val="auto"/>
          <w:sz w:val="24"/>
          <w:szCs w:val="24"/>
        </w:rPr>
        <w:fldChar w:fldCharType="end"/>
      </w:r>
      <w:r w:rsidRPr="00CE03EE">
        <w:rPr>
          <w:rFonts w:ascii="Times New Roman" w:hAnsi="Times New Roman"/>
          <w:color w:val="auto"/>
          <w:sz w:val="24"/>
        </w:rPr>
        <w:t>:</w:t>
      </w:r>
      <w:r w:rsidRPr="00CE03EE">
        <w:tab/>
      </w:r>
      <w:r w:rsidRPr="00CE03EE">
        <w:rPr>
          <w:rFonts w:ascii="Times New Roman" w:hAnsi="Times New Roman"/>
          <w:color w:val="auto"/>
          <w:sz w:val="24"/>
        </w:rPr>
        <w:t>Prix de l</w:t>
      </w:r>
      <w:r w:rsidR="00C869EE">
        <w:rPr>
          <w:rFonts w:ascii="Times New Roman" w:hAnsi="Times New Roman"/>
          <w:color w:val="auto"/>
          <w:sz w:val="24"/>
        </w:rPr>
        <w:t>’</w:t>
      </w:r>
      <w:r w:rsidRPr="00CE03EE">
        <w:rPr>
          <w:rFonts w:ascii="Times New Roman" w:hAnsi="Times New Roman"/>
          <w:color w:val="auto"/>
          <w:sz w:val="24"/>
        </w:rPr>
        <w:t xml:space="preserve">électricité fournie </w:t>
      </w:r>
      <w:r w:rsidR="00D97FBD" w:rsidRPr="00CE03EE">
        <w:rPr>
          <w:rFonts w:ascii="Times New Roman" w:hAnsi="Times New Roman"/>
          <w:color w:val="auto"/>
          <w:sz w:val="24"/>
        </w:rPr>
        <w:t>aux entreprises</w:t>
      </w:r>
      <w:r w:rsidRPr="00CE03EE">
        <w:rPr>
          <w:rFonts w:ascii="Times New Roman" w:hAnsi="Times New Roman"/>
          <w:color w:val="auto"/>
          <w:sz w:val="24"/>
        </w:rPr>
        <w:t xml:space="preserve"> dans l</w:t>
      </w:r>
      <w:r w:rsidR="00C869EE">
        <w:rPr>
          <w:rFonts w:ascii="Times New Roman" w:hAnsi="Times New Roman"/>
          <w:color w:val="auto"/>
          <w:sz w:val="24"/>
        </w:rPr>
        <w:t>’</w:t>
      </w:r>
      <w:r w:rsidRPr="00CE03EE">
        <w:rPr>
          <w:rFonts w:ascii="Times New Roman" w:hAnsi="Times New Roman"/>
          <w:color w:val="auto"/>
          <w:sz w:val="24"/>
        </w:rPr>
        <w:t>UE par rapport à d</w:t>
      </w:r>
      <w:r w:rsidR="00C869EE">
        <w:rPr>
          <w:rFonts w:ascii="Times New Roman" w:hAnsi="Times New Roman"/>
          <w:color w:val="auto"/>
          <w:sz w:val="24"/>
        </w:rPr>
        <w:t>’</w:t>
      </w:r>
      <w:r w:rsidRPr="00CE03EE">
        <w:rPr>
          <w:rFonts w:ascii="Times New Roman" w:hAnsi="Times New Roman"/>
          <w:color w:val="auto"/>
          <w:sz w:val="24"/>
        </w:rPr>
        <w:t>autres pays</w:t>
      </w:r>
    </w:p>
    <w:tbl>
      <w:tblPr>
        <w:tblStyle w:val="TableGrid"/>
        <w:tblW w:w="0" w:type="auto"/>
        <w:jc w:val="center"/>
        <w:tblLayout w:type="fixed"/>
        <w:tblLook w:val="04A0" w:firstRow="1" w:lastRow="0" w:firstColumn="1" w:lastColumn="0" w:noHBand="0" w:noVBand="1"/>
      </w:tblPr>
      <w:tblGrid>
        <w:gridCol w:w="1027"/>
        <w:gridCol w:w="1027"/>
        <w:gridCol w:w="1027"/>
        <w:gridCol w:w="1027"/>
        <w:gridCol w:w="1027"/>
        <w:gridCol w:w="1027"/>
        <w:gridCol w:w="1027"/>
      </w:tblGrid>
      <w:tr w:rsidR="00EE555B" w:rsidRPr="00CE03EE" w:rsidTr="00792017">
        <w:trPr>
          <w:jc w:val="center"/>
        </w:trPr>
        <w:tc>
          <w:tcPr>
            <w:tcW w:w="1027" w:type="dxa"/>
            <w:noWrap/>
            <w:hideMark/>
          </w:tcPr>
          <w:p w:rsidR="00EE555B" w:rsidRPr="00CE03EE" w:rsidRDefault="00EE555B" w:rsidP="004D2CC1">
            <w:pPr>
              <w:spacing w:before="0" w:after="0"/>
              <w:jc w:val="center"/>
              <w:rPr>
                <w:b/>
                <w:bCs/>
              </w:rPr>
            </w:pPr>
            <w:r w:rsidRPr="00CE03EE">
              <w:rPr>
                <w:b/>
              </w:rPr>
              <w:t>Année</w:t>
            </w:r>
          </w:p>
        </w:tc>
        <w:tc>
          <w:tcPr>
            <w:tcW w:w="1027" w:type="dxa"/>
          </w:tcPr>
          <w:p w:rsidR="00EE555B" w:rsidRPr="00CE03EE" w:rsidRDefault="00790CB7" w:rsidP="004D2CC1">
            <w:pPr>
              <w:spacing w:before="0" w:after="0"/>
              <w:jc w:val="center"/>
              <w:rPr>
                <w:b/>
                <w:bCs/>
              </w:rPr>
            </w:pPr>
            <w:r w:rsidRPr="00CE03EE">
              <w:rPr>
                <w:b/>
              </w:rPr>
              <w:t>États-Unis</w:t>
            </w:r>
          </w:p>
        </w:tc>
        <w:tc>
          <w:tcPr>
            <w:tcW w:w="1027" w:type="dxa"/>
          </w:tcPr>
          <w:p w:rsidR="00EE555B" w:rsidRPr="00CE03EE" w:rsidRDefault="00EE555B" w:rsidP="004D2CC1">
            <w:pPr>
              <w:spacing w:before="0" w:after="0"/>
              <w:jc w:val="center"/>
              <w:rPr>
                <w:b/>
                <w:bCs/>
              </w:rPr>
            </w:pPr>
            <w:r w:rsidRPr="00CE03EE">
              <w:rPr>
                <w:b/>
              </w:rPr>
              <w:t>Japon</w:t>
            </w:r>
          </w:p>
        </w:tc>
        <w:tc>
          <w:tcPr>
            <w:tcW w:w="1027" w:type="dxa"/>
            <w:hideMark/>
          </w:tcPr>
          <w:p w:rsidR="00EE555B" w:rsidRPr="00CE03EE" w:rsidRDefault="00EE555B" w:rsidP="004D2CC1">
            <w:pPr>
              <w:spacing w:before="0" w:after="0"/>
              <w:jc w:val="center"/>
              <w:rPr>
                <w:b/>
                <w:bCs/>
              </w:rPr>
            </w:pPr>
            <w:r w:rsidRPr="00CE03EE">
              <w:rPr>
                <w:b/>
              </w:rPr>
              <w:t>Brésil</w:t>
            </w:r>
          </w:p>
        </w:tc>
        <w:tc>
          <w:tcPr>
            <w:tcW w:w="1027" w:type="dxa"/>
          </w:tcPr>
          <w:p w:rsidR="00EE555B" w:rsidRPr="00CE03EE" w:rsidRDefault="00EE555B" w:rsidP="004D2CC1">
            <w:pPr>
              <w:spacing w:before="0" w:after="0"/>
              <w:jc w:val="center"/>
              <w:rPr>
                <w:b/>
                <w:bCs/>
              </w:rPr>
            </w:pPr>
            <w:r w:rsidRPr="00CE03EE">
              <w:rPr>
                <w:b/>
              </w:rPr>
              <w:t>Chine</w:t>
            </w:r>
          </w:p>
        </w:tc>
        <w:tc>
          <w:tcPr>
            <w:tcW w:w="1027" w:type="dxa"/>
          </w:tcPr>
          <w:p w:rsidR="00EE555B" w:rsidRPr="00CE03EE" w:rsidRDefault="00EE555B" w:rsidP="004D2CC1">
            <w:pPr>
              <w:spacing w:before="0" w:after="0"/>
              <w:jc w:val="center"/>
              <w:rPr>
                <w:b/>
                <w:bCs/>
              </w:rPr>
            </w:pPr>
            <w:r w:rsidRPr="00CE03EE">
              <w:rPr>
                <w:b/>
              </w:rPr>
              <w:t>Turquie</w:t>
            </w:r>
          </w:p>
        </w:tc>
        <w:tc>
          <w:tcPr>
            <w:tcW w:w="1027" w:type="dxa"/>
          </w:tcPr>
          <w:p w:rsidR="00EE555B" w:rsidRPr="00CE03EE" w:rsidRDefault="00EE555B" w:rsidP="004D2CC1">
            <w:pPr>
              <w:spacing w:before="0" w:after="0"/>
              <w:jc w:val="center"/>
              <w:rPr>
                <w:b/>
                <w:bCs/>
              </w:rPr>
            </w:pPr>
            <w:r w:rsidRPr="00CE03EE">
              <w:rPr>
                <w:b/>
              </w:rPr>
              <w:t>Russie</w:t>
            </w:r>
          </w:p>
        </w:tc>
      </w:tr>
      <w:tr w:rsidR="00EE555B" w:rsidRPr="00CE03EE" w:rsidTr="0065378E">
        <w:trPr>
          <w:jc w:val="center"/>
        </w:trPr>
        <w:tc>
          <w:tcPr>
            <w:tcW w:w="1027" w:type="dxa"/>
            <w:noWrap/>
            <w:hideMark/>
          </w:tcPr>
          <w:p w:rsidR="00EE555B" w:rsidRPr="00CE03EE" w:rsidRDefault="00EE555B" w:rsidP="004D2CC1">
            <w:pPr>
              <w:spacing w:before="0" w:after="0"/>
              <w:jc w:val="center"/>
              <w:rPr>
                <w:b/>
                <w:bCs/>
              </w:rPr>
            </w:pPr>
            <w:r w:rsidRPr="00F30663">
              <w:rPr>
                <w:b/>
              </w:rPr>
              <w:t>2012</w:t>
            </w:r>
          </w:p>
        </w:tc>
        <w:tc>
          <w:tcPr>
            <w:tcW w:w="1027" w:type="dxa"/>
          </w:tcPr>
          <w:p w:rsidR="00EE555B" w:rsidRPr="00CE03EE" w:rsidRDefault="00EE555B" w:rsidP="004D2CC1">
            <w:pPr>
              <w:spacing w:before="0" w:after="0"/>
              <w:jc w:val="center"/>
              <w:rPr>
                <w:bCs/>
              </w:rPr>
            </w:pPr>
            <w:r w:rsidRPr="00F30663">
              <w:t>2</w:t>
            </w:r>
            <w:r w:rsidRPr="00CE03EE">
              <w:t>,</w:t>
            </w:r>
            <w:r w:rsidRPr="00F30663">
              <w:t>2</w:t>
            </w:r>
          </w:p>
        </w:tc>
        <w:tc>
          <w:tcPr>
            <w:tcW w:w="1027" w:type="dxa"/>
          </w:tcPr>
          <w:p w:rsidR="00EE555B" w:rsidRPr="00CE03EE" w:rsidRDefault="00EE555B" w:rsidP="004D2CC1">
            <w:pPr>
              <w:spacing w:before="0" w:after="0"/>
              <w:jc w:val="center"/>
              <w:rPr>
                <w:bCs/>
              </w:rPr>
            </w:pPr>
            <w:r w:rsidRPr="00F30663">
              <w:t>0</w:t>
            </w:r>
            <w:r w:rsidRPr="00CE03EE">
              <w:t>,</w:t>
            </w:r>
            <w:r w:rsidRPr="00F30663">
              <w:t>4</w:t>
            </w:r>
          </w:p>
        </w:tc>
        <w:tc>
          <w:tcPr>
            <w:tcW w:w="1027" w:type="dxa"/>
            <w:noWrap/>
            <w:hideMark/>
          </w:tcPr>
          <w:p w:rsidR="00EE555B" w:rsidRPr="00CE03EE" w:rsidRDefault="00EE555B" w:rsidP="004D2CC1">
            <w:pPr>
              <w:spacing w:before="0" w:after="0"/>
              <w:jc w:val="center"/>
              <w:rPr>
                <w:bCs/>
              </w:rPr>
            </w:pPr>
            <w:r w:rsidRPr="00F30663">
              <w:t>0</w:t>
            </w:r>
            <w:r w:rsidRPr="00CE03EE">
              <w:t>,</w:t>
            </w:r>
            <w:r w:rsidRPr="00F30663">
              <w:t>8</w:t>
            </w:r>
          </w:p>
        </w:tc>
        <w:tc>
          <w:tcPr>
            <w:tcW w:w="1027" w:type="dxa"/>
          </w:tcPr>
          <w:p w:rsidR="00EE555B" w:rsidRPr="00CE03EE" w:rsidRDefault="00EE555B" w:rsidP="004D2CC1">
            <w:pPr>
              <w:spacing w:before="0" w:after="0"/>
              <w:jc w:val="center"/>
              <w:rPr>
                <w:bCs/>
              </w:rPr>
            </w:pPr>
            <w:r w:rsidRPr="00F30663">
              <w:t>1</w:t>
            </w:r>
            <w:r w:rsidRPr="00CE03EE">
              <w:t>,</w:t>
            </w:r>
            <w:r w:rsidRPr="00F30663">
              <w:t>1</w:t>
            </w:r>
          </w:p>
        </w:tc>
        <w:tc>
          <w:tcPr>
            <w:tcW w:w="1027" w:type="dxa"/>
          </w:tcPr>
          <w:p w:rsidR="00EE555B" w:rsidRPr="00CE03EE" w:rsidRDefault="00EE555B" w:rsidP="004D2CC1">
            <w:pPr>
              <w:spacing w:before="0" w:after="0"/>
              <w:jc w:val="center"/>
              <w:rPr>
                <w:bCs/>
              </w:rPr>
            </w:pPr>
            <w:r w:rsidRPr="00F30663">
              <w:t>0</w:t>
            </w:r>
            <w:r w:rsidRPr="00CE03EE">
              <w:t>,</w:t>
            </w:r>
            <w:r w:rsidRPr="00F30663">
              <w:t>9</w:t>
            </w:r>
          </w:p>
        </w:tc>
        <w:tc>
          <w:tcPr>
            <w:tcW w:w="1027" w:type="dxa"/>
          </w:tcPr>
          <w:p w:rsidR="00EE555B" w:rsidRPr="00CE03EE" w:rsidRDefault="00EE555B" w:rsidP="004D2CC1">
            <w:pPr>
              <w:spacing w:before="0" w:after="0"/>
              <w:jc w:val="center"/>
              <w:rPr>
                <w:bCs/>
              </w:rPr>
            </w:pPr>
            <w:r w:rsidRPr="00F30663">
              <w:t>2</w:t>
            </w:r>
            <w:r w:rsidRPr="00CE03EE">
              <w:t>,</w:t>
            </w:r>
            <w:r w:rsidRPr="00F30663">
              <w:t>1</w:t>
            </w:r>
          </w:p>
        </w:tc>
      </w:tr>
      <w:tr w:rsidR="00EE555B" w:rsidRPr="00CE03EE" w:rsidTr="0065378E">
        <w:trPr>
          <w:jc w:val="center"/>
        </w:trPr>
        <w:tc>
          <w:tcPr>
            <w:tcW w:w="1027" w:type="dxa"/>
            <w:noWrap/>
            <w:hideMark/>
          </w:tcPr>
          <w:p w:rsidR="00EE555B" w:rsidRPr="00CE03EE" w:rsidRDefault="00EE555B" w:rsidP="004D2CC1">
            <w:pPr>
              <w:spacing w:before="0" w:after="0"/>
              <w:jc w:val="center"/>
              <w:rPr>
                <w:b/>
                <w:bCs/>
              </w:rPr>
            </w:pPr>
            <w:r w:rsidRPr="00F30663">
              <w:rPr>
                <w:b/>
              </w:rPr>
              <w:t>2013</w:t>
            </w:r>
          </w:p>
        </w:tc>
        <w:tc>
          <w:tcPr>
            <w:tcW w:w="1027" w:type="dxa"/>
          </w:tcPr>
          <w:p w:rsidR="00EE555B" w:rsidRPr="00CE03EE" w:rsidRDefault="00EE555B" w:rsidP="004D2CC1">
            <w:pPr>
              <w:spacing w:before="0" w:after="0"/>
              <w:jc w:val="center"/>
              <w:rPr>
                <w:bCs/>
              </w:rPr>
            </w:pPr>
            <w:r w:rsidRPr="00F30663">
              <w:t>1</w:t>
            </w:r>
            <w:r w:rsidRPr="00CE03EE">
              <w:t>,</w:t>
            </w:r>
            <w:r w:rsidRPr="00F30663">
              <w:t>9</w:t>
            </w:r>
          </w:p>
        </w:tc>
        <w:tc>
          <w:tcPr>
            <w:tcW w:w="1027" w:type="dxa"/>
          </w:tcPr>
          <w:p w:rsidR="00EE555B" w:rsidRPr="00CE03EE" w:rsidRDefault="00EE555B" w:rsidP="004D2CC1">
            <w:pPr>
              <w:spacing w:before="0" w:after="0"/>
              <w:jc w:val="center"/>
              <w:rPr>
                <w:bCs/>
              </w:rPr>
            </w:pPr>
            <w:r w:rsidRPr="00F30663">
              <w:t>0</w:t>
            </w:r>
            <w:r w:rsidRPr="00CE03EE">
              <w:t>,</w:t>
            </w:r>
            <w:r w:rsidRPr="00F30663">
              <w:t>4</w:t>
            </w:r>
          </w:p>
        </w:tc>
        <w:tc>
          <w:tcPr>
            <w:tcW w:w="1027" w:type="dxa"/>
            <w:noWrap/>
            <w:hideMark/>
          </w:tcPr>
          <w:p w:rsidR="00EE555B" w:rsidRPr="00CE03EE" w:rsidRDefault="00EE555B" w:rsidP="004D2CC1">
            <w:pPr>
              <w:spacing w:before="0" w:after="0"/>
              <w:jc w:val="center"/>
              <w:rPr>
                <w:bCs/>
              </w:rPr>
            </w:pPr>
            <w:r w:rsidRPr="00F30663">
              <w:t>0</w:t>
            </w:r>
            <w:r w:rsidRPr="00CE03EE">
              <w:t>,</w:t>
            </w:r>
            <w:r w:rsidRPr="00F30663">
              <w:t>9</w:t>
            </w:r>
          </w:p>
        </w:tc>
        <w:tc>
          <w:tcPr>
            <w:tcW w:w="1027" w:type="dxa"/>
          </w:tcPr>
          <w:p w:rsidR="00EE555B" w:rsidRPr="00CE03EE" w:rsidRDefault="00EE555B" w:rsidP="004D2CC1">
            <w:pPr>
              <w:spacing w:before="0" w:after="0"/>
              <w:jc w:val="center"/>
              <w:rPr>
                <w:bCs/>
              </w:rPr>
            </w:pPr>
            <w:r w:rsidRPr="00F30663">
              <w:t>1</w:t>
            </w:r>
            <w:r w:rsidRPr="00CE03EE">
              <w:t>,</w:t>
            </w:r>
            <w:r w:rsidRPr="00F30663">
              <w:t>1</w:t>
            </w:r>
          </w:p>
        </w:tc>
        <w:tc>
          <w:tcPr>
            <w:tcW w:w="1027" w:type="dxa"/>
          </w:tcPr>
          <w:p w:rsidR="00EE555B" w:rsidRPr="00CE03EE" w:rsidRDefault="00EE555B" w:rsidP="004D2CC1">
            <w:pPr>
              <w:spacing w:before="0" w:after="0"/>
              <w:jc w:val="center"/>
              <w:rPr>
                <w:bCs/>
              </w:rPr>
            </w:pPr>
            <w:r w:rsidRPr="00F30663">
              <w:t>1</w:t>
            </w:r>
            <w:r w:rsidRPr="00CE03EE">
              <w:t>,</w:t>
            </w:r>
            <w:r w:rsidRPr="00F30663">
              <w:t>0</w:t>
            </w:r>
          </w:p>
        </w:tc>
        <w:tc>
          <w:tcPr>
            <w:tcW w:w="1027" w:type="dxa"/>
          </w:tcPr>
          <w:p w:rsidR="00EE555B" w:rsidRPr="00CE03EE" w:rsidRDefault="00EE555B" w:rsidP="004D2CC1">
            <w:pPr>
              <w:spacing w:before="0" w:after="0"/>
              <w:jc w:val="center"/>
              <w:rPr>
                <w:bCs/>
              </w:rPr>
            </w:pPr>
            <w:r w:rsidRPr="00F30663">
              <w:t>2</w:t>
            </w:r>
            <w:r w:rsidRPr="00CE03EE">
              <w:t>,</w:t>
            </w:r>
            <w:r w:rsidRPr="00F30663">
              <w:t>2</w:t>
            </w:r>
          </w:p>
        </w:tc>
      </w:tr>
      <w:tr w:rsidR="00EE555B" w:rsidRPr="00CE03EE" w:rsidTr="0065378E">
        <w:trPr>
          <w:jc w:val="center"/>
        </w:trPr>
        <w:tc>
          <w:tcPr>
            <w:tcW w:w="1027" w:type="dxa"/>
            <w:noWrap/>
            <w:hideMark/>
          </w:tcPr>
          <w:p w:rsidR="00EE555B" w:rsidRPr="00CE03EE" w:rsidRDefault="00EE555B" w:rsidP="004D2CC1">
            <w:pPr>
              <w:spacing w:before="0" w:after="0"/>
              <w:jc w:val="center"/>
              <w:rPr>
                <w:b/>
                <w:bCs/>
              </w:rPr>
            </w:pPr>
            <w:r w:rsidRPr="00F30663">
              <w:rPr>
                <w:b/>
              </w:rPr>
              <w:t>2014</w:t>
            </w:r>
          </w:p>
        </w:tc>
        <w:tc>
          <w:tcPr>
            <w:tcW w:w="1027" w:type="dxa"/>
          </w:tcPr>
          <w:p w:rsidR="00EE555B" w:rsidRPr="00CE03EE" w:rsidRDefault="00EE555B" w:rsidP="004D2CC1">
            <w:pPr>
              <w:spacing w:before="0" w:after="0"/>
              <w:jc w:val="center"/>
              <w:rPr>
                <w:bCs/>
              </w:rPr>
            </w:pPr>
            <w:r w:rsidRPr="00F30663">
              <w:t>1</w:t>
            </w:r>
            <w:r w:rsidRPr="00CE03EE">
              <w:t>,</w:t>
            </w:r>
            <w:r w:rsidRPr="00F30663">
              <w:t>3</w:t>
            </w:r>
          </w:p>
        </w:tc>
        <w:tc>
          <w:tcPr>
            <w:tcW w:w="1027" w:type="dxa"/>
          </w:tcPr>
          <w:p w:rsidR="00EE555B" w:rsidRPr="00CE03EE" w:rsidRDefault="00EE555B" w:rsidP="004D2CC1">
            <w:pPr>
              <w:spacing w:before="0" w:after="0"/>
              <w:jc w:val="center"/>
              <w:rPr>
                <w:bCs/>
              </w:rPr>
            </w:pPr>
            <w:r w:rsidRPr="00F30663">
              <w:t>0</w:t>
            </w:r>
            <w:r w:rsidRPr="00CE03EE">
              <w:t>,</w:t>
            </w:r>
            <w:r w:rsidRPr="00F30663">
              <w:t>4</w:t>
            </w:r>
          </w:p>
        </w:tc>
        <w:tc>
          <w:tcPr>
            <w:tcW w:w="1027" w:type="dxa"/>
            <w:noWrap/>
            <w:hideMark/>
          </w:tcPr>
          <w:p w:rsidR="00EE555B" w:rsidRPr="00CE03EE" w:rsidRDefault="00EE555B" w:rsidP="004D2CC1">
            <w:pPr>
              <w:spacing w:before="0" w:after="0"/>
              <w:jc w:val="center"/>
              <w:rPr>
                <w:bCs/>
              </w:rPr>
            </w:pPr>
            <w:r w:rsidRPr="00F30663">
              <w:t>0</w:t>
            </w:r>
            <w:r w:rsidRPr="00CE03EE">
              <w:t>,</w:t>
            </w:r>
            <w:r w:rsidRPr="00F30663">
              <w:t>8</w:t>
            </w:r>
          </w:p>
        </w:tc>
        <w:tc>
          <w:tcPr>
            <w:tcW w:w="1027" w:type="dxa"/>
          </w:tcPr>
          <w:p w:rsidR="00EE555B" w:rsidRPr="00CE03EE" w:rsidRDefault="00EE555B" w:rsidP="004D2CC1">
            <w:pPr>
              <w:spacing w:before="0" w:after="0"/>
              <w:jc w:val="center"/>
              <w:rPr>
                <w:bCs/>
              </w:rPr>
            </w:pPr>
            <w:r w:rsidRPr="00F30663">
              <w:t>1</w:t>
            </w:r>
            <w:r w:rsidRPr="00CE03EE">
              <w:t>,</w:t>
            </w:r>
            <w:r w:rsidRPr="00F30663">
              <w:t>1</w:t>
            </w:r>
          </w:p>
        </w:tc>
        <w:tc>
          <w:tcPr>
            <w:tcW w:w="1027" w:type="dxa"/>
          </w:tcPr>
          <w:p w:rsidR="00EE555B" w:rsidRPr="00CE03EE" w:rsidRDefault="00EE555B" w:rsidP="004D2CC1">
            <w:pPr>
              <w:spacing w:before="0" w:after="0"/>
              <w:jc w:val="center"/>
              <w:rPr>
                <w:bCs/>
              </w:rPr>
            </w:pPr>
            <w:r w:rsidRPr="00F30663">
              <w:t>1</w:t>
            </w:r>
            <w:r w:rsidRPr="00CE03EE">
              <w:t>,</w:t>
            </w:r>
            <w:r w:rsidRPr="00F30663">
              <w:t>1</w:t>
            </w:r>
          </w:p>
        </w:tc>
        <w:tc>
          <w:tcPr>
            <w:tcW w:w="1027" w:type="dxa"/>
          </w:tcPr>
          <w:p w:rsidR="00EE555B" w:rsidRPr="00CE03EE" w:rsidRDefault="00EE555B" w:rsidP="004D2CC1">
            <w:pPr>
              <w:spacing w:before="0" w:after="0"/>
              <w:jc w:val="center"/>
              <w:rPr>
                <w:bCs/>
              </w:rPr>
            </w:pPr>
            <w:r w:rsidRPr="00F30663">
              <w:t>2</w:t>
            </w:r>
            <w:r w:rsidRPr="00CE03EE">
              <w:t>,</w:t>
            </w:r>
            <w:r w:rsidRPr="00F30663">
              <w:t>6</w:t>
            </w:r>
          </w:p>
        </w:tc>
      </w:tr>
      <w:tr w:rsidR="00EE555B" w:rsidRPr="00CE03EE" w:rsidTr="0065378E">
        <w:trPr>
          <w:jc w:val="center"/>
        </w:trPr>
        <w:tc>
          <w:tcPr>
            <w:tcW w:w="1027" w:type="dxa"/>
            <w:noWrap/>
            <w:hideMark/>
          </w:tcPr>
          <w:p w:rsidR="00EE555B" w:rsidRPr="00CE03EE" w:rsidRDefault="00EE555B" w:rsidP="004D2CC1">
            <w:pPr>
              <w:spacing w:before="0" w:after="0"/>
              <w:jc w:val="center"/>
              <w:rPr>
                <w:b/>
                <w:bCs/>
              </w:rPr>
            </w:pPr>
            <w:r w:rsidRPr="00F30663">
              <w:rPr>
                <w:b/>
              </w:rPr>
              <w:t>2015</w:t>
            </w:r>
          </w:p>
        </w:tc>
        <w:tc>
          <w:tcPr>
            <w:tcW w:w="1027" w:type="dxa"/>
          </w:tcPr>
          <w:p w:rsidR="00EE555B" w:rsidRPr="00CE03EE" w:rsidRDefault="00EE555B" w:rsidP="004D2CC1">
            <w:pPr>
              <w:spacing w:before="0" w:after="0"/>
              <w:jc w:val="center"/>
              <w:rPr>
                <w:bCs/>
              </w:rPr>
            </w:pPr>
            <w:r w:rsidRPr="00F30663">
              <w:t>1</w:t>
            </w:r>
            <w:r w:rsidRPr="00CE03EE">
              <w:t>,</w:t>
            </w:r>
            <w:r w:rsidRPr="00F30663">
              <w:t>7</w:t>
            </w:r>
          </w:p>
        </w:tc>
        <w:tc>
          <w:tcPr>
            <w:tcW w:w="1027" w:type="dxa"/>
          </w:tcPr>
          <w:p w:rsidR="00EE555B" w:rsidRPr="00CE03EE" w:rsidRDefault="00EE555B" w:rsidP="004D2CC1">
            <w:pPr>
              <w:spacing w:before="0" w:after="0"/>
              <w:jc w:val="center"/>
              <w:rPr>
                <w:bCs/>
              </w:rPr>
            </w:pPr>
            <w:r w:rsidRPr="00F30663">
              <w:t>0</w:t>
            </w:r>
            <w:r w:rsidRPr="00CE03EE">
              <w:t>,</w:t>
            </w:r>
            <w:r w:rsidRPr="00F30663">
              <w:t>5</w:t>
            </w:r>
          </w:p>
        </w:tc>
        <w:tc>
          <w:tcPr>
            <w:tcW w:w="1027" w:type="dxa"/>
            <w:noWrap/>
            <w:hideMark/>
          </w:tcPr>
          <w:p w:rsidR="00EE555B" w:rsidRPr="00CE03EE" w:rsidRDefault="008464B9" w:rsidP="008464B9">
            <w:pPr>
              <w:spacing w:before="0" w:after="0"/>
              <w:jc w:val="center"/>
              <w:rPr>
                <w:bCs/>
              </w:rPr>
            </w:pPr>
            <w:r w:rsidRPr="00CE03EE">
              <w:t>n</w:t>
            </w:r>
            <w:r w:rsidR="00EE555B" w:rsidRPr="00CE03EE">
              <w:t>.</w:t>
            </w:r>
            <w:r w:rsidRPr="00CE03EE">
              <w:t>d</w:t>
            </w:r>
            <w:r w:rsidR="00EE555B" w:rsidRPr="00CE03EE">
              <w:t>.</w:t>
            </w:r>
          </w:p>
        </w:tc>
        <w:tc>
          <w:tcPr>
            <w:tcW w:w="1027" w:type="dxa"/>
          </w:tcPr>
          <w:p w:rsidR="00EE555B" w:rsidRPr="00CE03EE" w:rsidRDefault="00EE555B" w:rsidP="004D2CC1">
            <w:pPr>
              <w:spacing w:before="0" w:after="0"/>
              <w:jc w:val="center"/>
              <w:rPr>
                <w:bCs/>
              </w:rPr>
            </w:pPr>
            <w:r w:rsidRPr="00F30663">
              <w:t>1</w:t>
            </w:r>
            <w:r w:rsidRPr="00CE03EE">
              <w:t>,</w:t>
            </w:r>
            <w:r w:rsidRPr="00F30663">
              <w:t>0</w:t>
            </w:r>
          </w:p>
        </w:tc>
        <w:tc>
          <w:tcPr>
            <w:tcW w:w="1027" w:type="dxa"/>
          </w:tcPr>
          <w:p w:rsidR="00EE555B" w:rsidRPr="00CE03EE" w:rsidRDefault="00EE555B" w:rsidP="004D2CC1">
            <w:pPr>
              <w:spacing w:before="0" w:after="0"/>
              <w:jc w:val="center"/>
              <w:rPr>
                <w:bCs/>
              </w:rPr>
            </w:pPr>
            <w:r w:rsidRPr="00F30663">
              <w:t>1</w:t>
            </w:r>
            <w:r w:rsidRPr="00CE03EE">
              <w:t>,</w:t>
            </w:r>
            <w:r w:rsidRPr="00F30663">
              <w:t>0</w:t>
            </w:r>
          </w:p>
        </w:tc>
        <w:tc>
          <w:tcPr>
            <w:tcW w:w="1027" w:type="dxa"/>
          </w:tcPr>
          <w:p w:rsidR="00EE555B" w:rsidRPr="00CE03EE" w:rsidRDefault="00EE555B" w:rsidP="004D2CC1">
            <w:pPr>
              <w:spacing w:before="0" w:after="0"/>
              <w:jc w:val="center"/>
              <w:rPr>
                <w:bCs/>
              </w:rPr>
            </w:pPr>
            <w:r w:rsidRPr="00F30663">
              <w:t>3</w:t>
            </w:r>
            <w:r w:rsidRPr="00CE03EE">
              <w:t>,</w:t>
            </w:r>
            <w:r w:rsidRPr="00F30663">
              <w:t>5</w:t>
            </w:r>
          </w:p>
        </w:tc>
      </w:tr>
    </w:tbl>
    <w:p w:rsidR="002B1EE8" w:rsidRPr="00CE03EE" w:rsidRDefault="00CA5FE1" w:rsidP="004D2CC1">
      <w:pPr>
        <w:spacing w:after="0"/>
        <w:rPr>
          <w:sz w:val="16"/>
          <w:szCs w:val="16"/>
        </w:rPr>
      </w:pPr>
      <w:r w:rsidRPr="00CE03EE">
        <w:rPr>
          <w:i/>
          <w:sz w:val="16"/>
        </w:rPr>
        <w:t>Source:</w:t>
      </w:r>
      <w:r w:rsidRPr="00CE03EE">
        <w:rPr>
          <w:sz w:val="16"/>
        </w:rPr>
        <w:t xml:space="preserve"> </w:t>
      </w:r>
      <w:r w:rsidR="008464B9" w:rsidRPr="00CE03EE">
        <w:rPr>
          <w:sz w:val="16"/>
        </w:rPr>
        <w:t>AIE</w:t>
      </w:r>
      <w:r w:rsidRPr="00CE03EE">
        <w:rPr>
          <w:sz w:val="16"/>
        </w:rPr>
        <w:t xml:space="preserve">, Platts, ministère des </w:t>
      </w:r>
      <w:r w:rsidR="008464B9" w:rsidRPr="00CE03EE">
        <w:rPr>
          <w:sz w:val="16"/>
        </w:rPr>
        <w:t xml:space="preserve">Mines </w:t>
      </w:r>
      <w:r w:rsidRPr="00CE03EE">
        <w:rPr>
          <w:sz w:val="16"/>
        </w:rPr>
        <w:t>et de l</w:t>
      </w:r>
      <w:r w:rsidR="00C869EE">
        <w:rPr>
          <w:sz w:val="16"/>
        </w:rPr>
        <w:t>’</w:t>
      </w:r>
      <w:r w:rsidR="008464B9" w:rsidRPr="00CE03EE">
        <w:rPr>
          <w:sz w:val="16"/>
        </w:rPr>
        <w:t xml:space="preserve">Énergie </w:t>
      </w:r>
      <w:r w:rsidRPr="00CE03EE">
        <w:rPr>
          <w:sz w:val="16"/>
        </w:rPr>
        <w:t xml:space="preserve">du Brésil, </w:t>
      </w:r>
      <w:r w:rsidR="008464B9" w:rsidRPr="00CE03EE">
        <w:rPr>
          <w:sz w:val="16"/>
        </w:rPr>
        <w:t xml:space="preserve">centre </w:t>
      </w:r>
      <w:r w:rsidRPr="00CE03EE">
        <w:rPr>
          <w:sz w:val="16"/>
        </w:rPr>
        <w:t xml:space="preserve">chinois de surveillance des prix, </w:t>
      </w:r>
      <w:r w:rsidR="008464B9" w:rsidRPr="00CE03EE">
        <w:rPr>
          <w:sz w:val="16"/>
        </w:rPr>
        <w:t xml:space="preserve">service </w:t>
      </w:r>
      <w:r w:rsidRPr="00CE03EE">
        <w:rPr>
          <w:sz w:val="16"/>
        </w:rPr>
        <w:t>fédéral des statistiques de la Fédération de Russie</w:t>
      </w:r>
      <w:r w:rsidR="00D51F68" w:rsidRPr="00CE03EE">
        <w:rPr>
          <w:sz w:val="16"/>
        </w:rPr>
        <w:t>.</w:t>
      </w:r>
    </w:p>
    <w:p w:rsidR="00FC71DD" w:rsidRDefault="00D51F68" w:rsidP="004D2CC1">
      <w:pPr>
        <w:spacing w:before="0" w:after="0"/>
        <w:rPr>
          <w:sz w:val="16"/>
        </w:rPr>
      </w:pPr>
      <w:r w:rsidRPr="00CE03EE">
        <w:rPr>
          <w:sz w:val="16"/>
        </w:rPr>
        <w:t>Ex</w:t>
      </w:r>
      <w:r w:rsidR="00EE555B" w:rsidRPr="00CE03EE">
        <w:rPr>
          <w:sz w:val="16"/>
        </w:rPr>
        <w:t>.: les prix dans l</w:t>
      </w:r>
      <w:r w:rsidR="00C869EE">
        <w:rPr>
          <w:sz w:val="16"/>
        </w:rPr>
        <w:t>’</w:t>
      </w:r>
      <w:r w:rsidR="00EE555B" w:rsidRPr="00CE03EE">
        <w:rPr>
          <w:sz w:val="16"/>
        </w:rPr>
        <w:t xml:space="preserve">UE ont été </w:t>
      </w:r>
      <w:r w:rsidR="00EE555B" w:rsidRPr="00F30663">
        <w:rPr>
          <w:sz w:val="16"/>
        </w:rPr>
        <w:t>2</w:t>
      </w:r>
      <w:r w:rsidR="00EE555B" w:rsidRPr="00CE03EE">
        <w:rPr>
          <w:sz w:val="16"/>
        </w:rPr>
        <w:t>,</w:t>
      </w:r>
      <w:r w:rsidR="00EE555B" w:rsidRPr="00F30663">
        <w:rPr>
          <w:sz w:val="16"/>
        </w:rPr>
        <w:t>2</w:t>
      </w:r>
      <w:r w:rsidR="00EE555B" w:rsidRPr="00CE03EE">
        <w:rPr>
          <w:sz w:val="16"/>
        </w:rPr>
        <w:t xml:space="preserve"> fois supérieurs à ceux des États-Unis</w:t>
      </w:r>
      <w:r w:rsidRPr="00CE03EE">
        <w:rPr>
          <w:sz w:val="16"/>
        </w:rPr>
        <w:t xml:space="preserve"> en </w:t>
      </w:r>
      <w:r w:rsidRPr="00F30663">
        <w:rPr>
          <w:sz w:val="16"/>
        </w:rPr>
        <w:t>2012</w:t>
      </w:r>
      <w:r w:rsidR="00EE555B" w:rsidRPr="00CE03EE">
        <w:rPr>
          <w:sz w:val="16"/>
        </w:rPr>
        <w:t>; ce coefficient a diminué et s</w:t>
      </w:r>
      <w:r w:rsidR="00C869EE">
        <w:rPr>
          <w:sz w:val="16"/>
        </w:rPr>
        <w:t>’</w:t>
      </w:r>
      <w:r w:rsidR="00EE555B" w:rsidRPr="00CE03EE">
        <w:rPr>
          <w:sz w:val="16"/>
        </w:rPr>
        <w:t xml:space="preserve">est établi à </w:t>
      </w:r>
      <w:r w:rsidR="00EE555B" w:rsidRPr="00F30663">
        <w:rPr>
          <w:sz w:val="16"/>
        </w:rPr>
        <w:t>1</w:t>
      </w:r>
      <w:r w:rsidR="00EE555B" w:rsidRPr="00CE03EE">
        <w:rPr>
          <w:sz w:val="16"/>
        </w:rPr>
        <w:t>,</w:t>
      </w:r>
      <w:r w:rsidR="00EE555B" w:rsidRPr="00F30663">
        <w:rPr>
          <w:sz w:val="16"/>
        </w:rPr>
        <w:t>7</w:t>
      </w:r>
      <w:r w:rsidRPr="00CE03EE">
        <w:rPr>
          <w:sz w:val="16"/>
        </w:rPr>
        <w:t xml:space="preserve"> en </w:t>
      </w:r>
      <w:r w:rsidRPr="00F30663">
        <w:rPr>
          <w:sz w:val="16"/>
        </w:rPr>
        <w:t>2015</w:t>
      </w:r>
      <w:r w:rsidR="00EE555B" w:rsidRPr="00CE03EE">
        <w:rPr>
          <w:sz w:val="16"/>
        </w:rPr>
        <w:t>.</w:t>
      </w:r>
    </w:p>
    <w:p w:rsidR="00FC71DD" w:rsidRDefault="00FC71DD" w:rsidP="00FC71DD">
      <w:r>
        <w:br w:type="page"/>
      </w:r>
    </w:p>
    <w:p w:rsidR="00780678" w:rsidRPr="00CE03EE" w:rsidRDefault="009C4D49" w:rsidP="004D2CC1">
      <w:pPr>
        <w:pStyle w:val="Heading1"/>
        <w:spacing w:before="120"/>
        <w:ind w:left="567" w:hanging="567"/>
      </w:pPr>
      <w:r w:rsidRPr="00CE03EE">
        <w:t xml:space="preserve">Prix du gaz </w:t>
      </w:r>
      <w:r w:rsidR="008464B9" w:rsidRPr="00CE03EE">
        <w:t xml:space="preserve">en </w:t>
      </w:r>
      <w:r w:rsidRPr="00CE03EE">
        <w:t>Europe</w:t>
      </w:r>
    </w:p>
    <w:p w:rsidR="001C13B0" w:rsidRPr="00CE03EE" w:rsidRDefault="00BB574D" w:rsidP="004D2CC1">
      <w:pPr>
        <w:spacing w:after="0"/>
      </w:pPr>
      <w:r w:rsidRPr="00CE03EE">
        <w:t xml:space="preserve">Le gaz représente </w:t>
      </w:r>
      <w:r w:rsidRPr="00F30663">
        <w:t>23</w:t>
      </w:r>
      <w:r w:rsidR="0085744A" w:rsidRPr="00CE03EE">
        <w:t> %</w:t>
      </w:r>
      <w:r w:rsidRPr="00CE03EE">
        <w:t xml:space="preserve"> de la consommation d</w:t>
      </w:r>
      <w:r w:rsidR="00C869EE">
        <w:t>’</w:t>
      </w:r>
      <w:r w:rsidRPr="00CE03EE">
        <w:t xml:space="preserve">énergie primaire </w:t>
      </w:r>
      <w:r w:rsidR="00267E81" w:rsidRPr="00CE03EE">
        <w:t xml:space="preserve">de </w:t>
      </w:r>
      <w:r w:rsidRPr="00CE03EE">
        <w:t>l</w:t>
      </w:r>
      <w:r w:rsidR="00C869EE">
        <w:t>’</w:t>
      </w:r>
      <w:r w:rsidRPr="00CE03EE">
        <w:t xml:space="preserve">UE. Il </w:t>
      </w:r>
      <w:r w:rsidR="00267E81" w:rsidRPr="00CE03EE">
        <w:t>permet</w:t>
      </w:r>
      <w:r w:rsidRPr="00CE03EE">
        <w:t xml:space="preserve"> de </w:t>
      </w:r>
      <w:r w:rsidR="00267E81" w:rsidRPr="00CE03EE">
        <w:t xml:space="preserve">produire </w:t>
      </w:r>
      <w:r w:rsidRPr="00F30663">
        <w:t>15</w:t>
      </w:r>
      <w:r w:rsidR="0085744A" w:rsidRPr="00CE03EE">
        <w:t> %</w:t>
      </w:r>
      <w:r w:rsidRPr="00CE03EE">
        <w:t xml:space="preserve"> de notre électricité et répond à près d</w:t>
      </w:r>
      <w:r w:rsidR="00C869EE">
        <w:t>’</w:t>
      </w:r>
      <w:r w:rsidRPr="00CE03EE">
        <w:t>un tiers des besoins énergétiques des ménages et de</w:t>
      </w:r>
      <w:r w:rsidR="00D97FBD" w:rsidRPr="00CE03EE">
        <w:t>s</w:t>
      </w:r>
      <w:r w:rsidRPr="00CE03EE">
        <w:t xml:space="preserve"> </w:t>
      </w:r>
      <w:r w:rsidR="00D97FBD" w:rsidRPr="00CE03EE">
        <w:t>entreprises</w:t>
      </w:r>
      <w:r w:rsidRPr="00CE03EE">
        <w:t>. Par ailleurs, l</w:t>
      </w:r>
      <w:r w:rsidR="00C869EE">
        <w:t>’</w:t>
      </w:r>
      <w:r w:rsidRPr="00CE03EE">
        <w:t>UE doit de plus en plus importer</w:t>
      </w:r>
      <w:r w:rsidRPr="00CE03EE">
        <w:rPr>
          <w:rStyle w:val="FootnoteReference"/>
        </w:rPr>
        <w:footnoteReference w:id="13"/>
      </w:r>
      <w:r w:rsidRPr="00CE03EE">
        <w:t xml:space="preserve"> du gaz auprès d</w:t>
      </w:r>
      <w:r w:rsidR="00C869EE">
        <w:t>’</w:t>
      </w:r>
      <w:r w:rsidRPr="00CE03EE">
        <w:t xml:space="preserve">un nombre limité de fournisseurs. </w:t>
      </w:r>
      <w:r w:rsidR="008464B9" w:rsidRPr="00CE03EE">
        <w:t>Aussi</w:t>
      </w:r>
      <w:r w:rsidRPr="00CE03EE">
        <w:t xml:space="preserve"> les prix sont</w:t>
      </w:r>
      <w:r w:rsidR="008464B9" w:rsidRPr="00CE03EE">
        <w:t>-ils</w:t>
      </w:r>
      <w:r w:rsidRPr="00CE03EE">
        <w:t xml:space="preserve"> encore plus exposés aux tendances mondiales, et le bon fonctionnement des marchés et des infrastructures est</w:t>
      </w:r>
      <w:r w:rsidR="008464B9" w:rsidRPr="00CE03EE">
        <w:t>-il encore</w:t>
      </w:r>
      <w:r w:rsidRPr="00CE03EE">
        <w:t xml:space="preserve"> plus important.</w:t>
      </w:r>
    </w:p>
    <w:p w:rsidR="0092130C" w:rsidRPr="00CE03EE" w:rsidRDefault="0092130C" w:rsidP="004D2CC1">
      <w:pPr>
        <w:spacing w:after="0"/>
      </w:pPr>
    </w:p>
    <w:p w:rsidR="0092130C" w:rsidRPr="00CE03EE" w:rsidRDefault="0092130C" w:rsidP="004D2CC1">
      <w:pPr>
        <w:spacing w:after="0"/>
      </w:pPr>
    </w:p>
    <w:p w:rsidR="00042CF9" w:rsidRPr="00CE03EE" w:rsidRDefault="00042CF9" w:rsidP="004D2CC1">
      <w:pPr>
        <w:spacing w:after="0"/>
        <w:ind w:left="1134" w:hanging="1134"/>
        <w:rPr>
          <w:b/>
          <w:color w:val="000000"/>
        </w:rPr>
      </w:pPr>
      <w:r w:rsidRPr="00CE03EE">
        <w:rPr>
          <w:b/>
          <w:color w:val="000000"/>
        </w:rPr>
        <w:t xml:space="preserve">Figure </w:t>
      </w:r>
      <w:r w:rsidRPr="00F30663">
        <w:rPr>
          <w:b/>
          <w:color w:val="000000"/>
        </w:rPr>
        <w:t>9</w:t>
      </w:r>
      <w:r w:rsidRPr="00CE03EE">
        <w:rPr>
          <w:b/>
          <w:color w:val="000000"/>
        </w:rPr>
        <w:t>:</w:t>
      </w:r>
      <w:r w:rsidRPr="00CE03EE">
        <w:tab/>
      </w:r>
      <w:r w:rsidRPr="00CE03EE">
        <w:rPr>
          <w:b/>
          <w:color w:val="000000"/>
        </w:rPr>
        <w:t>Évolution des prix de gros du gaz dans l</w:t>
      </w:r>
      <w:r w:rsidR="00C869EE">
        <w:rPr>
          <w:b/>
          <w:color w:val="000000"/>
        </w:rPr>
        <w:t>’</w:t>
      </w:r>
      <w:r w:rsidRPr="00CE03EE">
        <w:rPr>
          <w:b/>
          <w:color w:val="000000"/>
        </w:rPr>
        <w:t>UE</w:t>
      </w:r>
    </w:p>
    <w:p w:rsidR="00350E85" w:rsidRPr="00CE03EE" w:rsidRDefault="00A9221F" w:rsidP="004D2CC1">
      <w:pPr>
        <w:spacing w:after="0"/>
        <w:rPr>
          <w:b/>
          <w:color w:val="000000"/>
        </w:rPr>
      </w:pPr>
      <w:r w:rsidRPr="00CE03EE">
        <w:rPr>
          <w:noProof/>
          <w:lang w:val="en-GB" w:eastAsia="en-GB" w:bidi="ar-SA"/>
        </w:rPr>
        <w:drawing>
          <wp:inline distT="0" distB="0" distL="0" distR="0" wp14:anchorId="17844E29" wp14:editId="49B72A8C">
            <wp:extent cx="5831840" cy="2909845"/>
            <wp:effectExtent l="0" t="0" r="0" b="508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31840" cy="2909845"/>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Platts</w:t>
      </w:r>
      <w:r w:rsidR="00267E81" w:rsidRPr="00CE03EE">
        <w:rPr>
          <w:color w:val="000000"/>
          <w:sz w:val="16"/>
        </w:rPr>
        <w:t>.</w:t>
      </w:r>
    </w:p>
    <w:p w:rsidR="001446CE" w:rsidRPr="00CE03EE" w:rsidRDefault="00626788" w:rsidP="004D2CC1">
      <w:pPr>
        <w:spacing w:after="0"/>
        <w:rPr>
          <w:color w:val="000000"/>
        </w:rPr>
      </w:pPr>
      <w:r w:rsidRPr="00CE03EE">
        <w:rPr>
          <w:color w:val="000000"/>
        </w:rPr>
        <w:t>Les prix de gros du gaz ont augmenté jusqu</w:t>
      </w:r>
      <w:r w:rsidR="00C869EE">
        <w:rPr>
          <w:color w:val="000000"/>
        </w:rPr>
        <w:t>’</w:t>
      </w:r>
      <w:r w:rsidRPr="00CE03EE">
        <w:rPr>
          <w:color w:val="000000"/>
        </w:rPr>
        <w:t xml:space="preserve">en </w:t>
      </w:r>
      <w:r w:rsidRPr="00F30663">
        <w:rPr>
          <w:color w:val="000000"/>
        </w:rPr>
        <w:t>2013</w:t>
      </w:r>
      <w:r w:rsidRPr="00CE03EE">
        <w:rPr>
          <w:color w:val="000000"/>
        </w:rPr>
        <w:t xml:space="preserve">, mais ont baissé de plus de </w:t>
      </w:r>
      <w:r w:rsidRPr="00F30663">
        <w:rPr>
          <w:color w:val="000000"/>
        </w:rPr>
        <w:t>50</w:t>
      </w:r>
      <w:r w:rsidR="0085744A" w:rsidRPr="00CE03EE">
        <w:rPr>
          <w:color w:val="000000"/>
        </w:rPr>
        <w:t> %</w:t>
      </w:r>
      <w:r w:rsidRPr="00CE03EE">
        <w:rPr>
          <w:color w:val="000000"/>
        </w:rPr>
        <w:t xml:space="preserve"> depuis. Plus que dans le cas de l</w:t>
      </w:r>
      <w:r w:rsidR="00C869EE">
        <w:rPr>
          <w:color w:val="000000"/>
        </w:rPr>
        <w:t>’</w:t>
      </w:r>
      <w:r w:rsidRPr="00CE03EE">
        <w:rPr>
          <w:color w:val="000000"/>
        </w:rPr>
        <w:t>électricité, l</w:t>
      </w:r>
      <w:r w:rsidR="008464B9" w:rsidRPr="00CE03EE">
        <w:rPr>
          <w:color w:val="000000"/>
        </w:rPr>
        <w:t>a</w:t>
      </w:r>
      <w:r w:rsidRPr="00CE03EE">
        <w:rPr>
          <w:color w:val="000000"/>
        </w:rPr>
        <w:t xml:space="preserve"> </w:t>
      </w:r>
      <w:r w:rsidR="00981071" w:rsidRPr="00CE03EE">
        <w:rPr>
          <w:color w:val="000000"/>
        </w:rPr>
        <w:t xml:space="preserve">récente </w:t>
      </w:r>
      <w:r w:rsidRPr="00CE03EE">
        <w:rPr>
          <w:color w:val="000000"/>
        </w:rPr>
        <w:t xml:space="preserve">baisse </w:t>
      </w:r>
      <w:r w:rsidR="00981071" w:rsidRPr="00CE03EE">
        <w:rPr>
          <w:color w:val="000000"/>
        </w:rPr>
        <w:t>manifeste</w:t>
      </w:r>
      <w:r w:rsidRPr="00CE03EE">
        <w:rPr>
          <w:color w:val="000000"/>
        </w:rPr>
        <w:t xml:space="preserve"> des prix de gros du gaz en Europe </w:t>
      </w:r>
      <w:r w:rsidR="008464B9" w:rsidRPr="00CE03EE">
        <w:rPr>
          <w:color w:val="000000"/>
        </w:rPr>
        <w:t>e</w:t>
      </w:r>
      <w:r w:rsidRPr="00CE03EE">
        <w:rPr>
          <w:color w:val="000000"/>
        </w:rPr>
        <w:t xml:space="preserve">st </w:t>
      </w:r>
      <w:r w:rsidR="00981071" w:rsidRPr="00CE03EE">
        <w:rPr>
          <w:color w:val="000000"/>
        </w:rPr>
        <w:t>due aux</w:t>
      </w:r>
      <w:r w:rsidRPr="00CE03EE">
        <w:rPr>
          <w:color w:val="000000"/>
        </w:rPr>
        <w:t xml:space="preserve"> évolutions à l</w:t>
      </w:r>
      <w:r w:rsidR="00C869EE">
        <w:rPr>
          <w:color w:val="000000"/>
        </w:rPr>
        <w:t>’</w:t>
      </w:r>
      <w:r w:rsidRPr="00CE03EE">
        <w:rPr>
          <w:color w:val="000000"/>
        </w:rPr>
        <w:t>échelle mondiale. La faible demande mondiale résultant de la lente reprise économique et de la remise en service de certaines centrales nucléaires japonaises, l</w:t>
      </w:r>
      <w:r w:rsidR="00C869EE">
        <w:rPr>
          <w:color w:val="000000"/>
        </w:rPr>
        <w:t>’</w:t>
      </w:r>
      <w:r w:rsidRPr="00CE03EE">
        <w:rPr>
          <w:color w:val="000000"/>
        </w:rPr>
        <w:t>indexation des prix du gaz sur celui du pétrole (en baisse) et l</w:t>
      </w:r>
      <w:r w:rsidR="00C869EE">
        <w:rPr>
          <w:color w:val="000000"/>
        </w:rPr>
        <w:t>’</w:t>
      </w:r>
      <w:r w:rsidRPr="00CE03EE">
        <w:rPr>
          <w:color w:val="000000"/>
        </w:rPr>
        <w:t>augmentation considérable de l</w:t>
      </w:r>
      <w:r w:rsidR="00C869EE">
        <w:rPr>
          <w:color w:val="000000"/>
        </w:rPr>
        <w:t>’</w:t>
      </w:r>
      <w:r w:rsidRPr="00CE03EE">
        <w:rPr>
          <w:color w:val="000000"/>
        </w:rPr>
        <w:t>offre de GNL ont entraîné une pression à la baisse et une convergence des prix de gros du gaz.</w:t>
      </w:r>
    </w:p>
    <w:p w:rsidR="0086683A" w:rsidRPr="00CE03EE" w:rsidRDefault="0086683A" w:rsidP="004D2CC1">
      <w:pPr>
        <w:spacing w:after="0"/>
        <w:rPr>
          <w:b/>
        </w:rPr>
      </w:pPr>
      <w:r w:rsidRPr="00CE03EE">
        <w:rPr>
          <w:b/>
        </w:rPr>
        <w:t>Prix de détail du gaz en Europe</w:t>
      </w:r>
    </w:p>
    <w:p w:rsidR="00F341A0" w:rsidRPr="00CE03EE" w:rsidRDefault="0086683A" w:rsidP="00B165D8">
      <w:pPr>
        <w:spacing w:after="0"/>
        <w:rPr>
          <w:color w:val="000000"/>
        </w:rPr>
      </w:pPr>
      <w:r w:rsidRPr="00CE03EE">
        <w:rPr>
          <w:color w:val="000000"/>
        </w:rPr>
        <w:t>Les prix du gaz fourni aux ménages dans l</w:t>
      </w:r>
      <w:r w:rsidR="00C869EE">
        <w:rPr>
          <w:color w:val="000000"/>
        </w:rPr>
        <w:t>’</w:t>
      </w:r>
      <w:r w:rsidRPr="00CE03EE">
        <w:rPr>
          <w:color w:val="000000"/>
        </w:rPr>
        <w:t xml:space="preserve">UE ont augmenté depuis </w:t>
      </w:r>
      <w:r w:rsidRPr="00F30663">
        <w:rPr>
          <w:color w:val="000000"/>
        </w:rPr>
        <w:t>2008</w:t>
      </w:r>
      <w:r w:rsidRPr="00CE03EE">
        <w:rPr>
          <w:color w:val="000000"/>
        </w:rPr>
        <w:t xml:space="preserve"> d</w:t>
      </w:r>
      <w:r w:rsidR="00C869EE">
        <w:rPr>
          <w:color w:val="000000"/>
        </w:rPr>
        <w:t>’</w:t>
      </w:r>
      <w:r w:rsidRPr="00CE03EE">
        <w:rPr>
          <w:color w:val="000000"/>
        </w:rPr>
        <w:t xml:space="preserve">environ </w:t>
      </w:r>
      <w:r w:rsidRPr="00F30663">
        <w:rPr>
          <w:color w:val="000000"/>
        </w:rPr>
        <w:t>2</w:t>
      </w:r>
      <w:r w:rsidR="0085744A" w:rsidRPr="00CE03EE">
        <w:rPr>
          <w:color w:val="000000"/>
        </w:rPr>
        <w:t> %</w:t>
      </w:r>
      <w:r w:rsidRPr="00CE03EE">
        <w:rPr>
          <w:color w:val="000000"/>
        </w:rPr>
        <w:t xml:space="preserve"> par an. Les prix ont fortement convergé au cours de cette période, mais le prix le plus élevé (SE) </w:t>
      </w:r>
      <w:r w:rsidR="00267E81" w:rsidRPr="00CE03EE">
        <w:rPr>
          <w:color w:val="000000"/>
        </w:rPr>
        <w:t>e</w:t>
      </w:r>
      <w:r w:rsidR="00981071" w:rsidRPr="00CE03EE">
        <w:rPr>
          <w:color w:val="000000"/>
        </w:rPr>
        <w:t>st toujours éga</w:t>
      </w:r>
      <w:r w:rsidR="00267E81" w:rsidRPr="00CE03EE">
        <w:rPr>
          <w:color w:val="000000"/>
        </w:rPr>
        <w:t>l</w:t>
      </w:r>
      <w:r w:rsidR="00981071" w:rsidRPr="00CE03EE">
        <w:rPr>
          <w:color w:val="000000"/>
        </w:rPr>
        <w:t xml:space="preserve"> à </w:t>
      </w:r>
      <w:r w:rsidRPr="00CE03EE">
        <w:rPr>
          <w:color w:val="000000"/>
        </w:rPr>
        <w:t xml:space="preserve">près de quatre fois le </w:t>
      </w:r>
      <w:r w:rsidR="00981071" w:rsidRPr="00CE03EE">
        <w:rPr>
          <w:color w:val="000000"/>
        </w:rPr>
        <w:t xml:space="preserve">prix le </w:t>
      </w:r>
      <w:r w:rsidRPr="00CE03EE">
        <w:rPr>
          <w:color w:val="000000"/>
        </w:rPr>
        <w:t>plus bas (RO).</w:t>
      </w:r>
    </w:p>
    <w:p w:rsidR="00B165D8" w:rsidRPr="00CE03EE" w:rsidRDefault="00B165D8" w:rsidP="00B165D8">
      <w:pPr>
        <w:spacing w:after="0"/>
        <w:rPr>
          <w:color w:val="000000"/>
        </w:rPr>
      </w:pPr>
    </w:p>
    <w:p w:rsidR="00FC71DD" w:rsidRDefault="00FC71DD">
      <w:pPr>
        <w:spacing w:before="0" w:after="200" w:line="276" w:lineRule="auto"/>
        <w:jc w:val="left"/>
        <w:rPr>
          <w:b/>
          <w:color w:val="000000"/>
        </w:rPr>
      </w:pPr>
      <w:r>
        <w:rPr>
          <w:b/>
          <w:color w:val="000000"/>
        </w:rPr>
        <w:br w:type="page"/>
      </w:r>
    </w:p>
    <w:p w:rsidR="00042CF9" w:rsidRPr="00CE03EE" w:rsidRDefault="00042CF9" w:rsidP="00FC71DD">
      <w:pPr>
        <w:keepNext/>
        <w:spacing w:after="0"/>
        <w:ind w:left="1134" w:hanging="1134"/>
        <w:rPr>
          <w:b/>
          <w:color w:val="000000"/>
        </w:rPr>
      </w:pPr>
      <w:r w:rsidRPr="00CE03EE">
        <w:rPr>
          <w:b/>
          <w:color w:val="000000"/>
        </w:rPr>
        <w:t xml:space="preserve">Figure </w:t>
      </w:r>
      <w:r w:rsidRPr="00F30663">
        <w:rPr>
          <w:b/>
          <w:color w:val="000000"/>
        </w:rPr>
        <w:t>10</w:t>
      </w:r>
      <w:r w:rsidRPr="00CE03EE">
        <w:rPr>
          <w:b/>
          <w:color w:val="000000"/>
        </w:rPr>
        <w:t>:</w:t>
      </w:r>
      <w:r w:rsidRPr="00CE03EE">
        <w:tab/>
      </w:r>
      <w:r w:rsidRPr="00CE03EE">
        <w:rPr>
          <w:b/>
          <w:color w:val="000000"/>
        </w:rPr>
        <w:t>Composants des prix de détail moyens du gaz fourni aux ménages dans l</w:t>
      </w:r>
      <w:r w:rsidR="00C869EE">
        <w:rPr>
          <w:b/>
          <w:color w:val="000000"/>
        </w:rPr>
        <w:t>’</w:t>
      </w:r>
      <w:r w:rsidRPr="00CE03EE">
        <w:rPr>
          <w:b/>
          <w:color w:val="000000"/>
        </w:rPr>
        <w:t>UE</w:t>
      </w:r>
    </w:p>
    <w:p w:rsidR="000E5B86" w:rsidRPr="00CE03EE" w:rsidRDefault="00622081" w:rsidP="00FC71DD">
      <w:pPr>
        <w:keepNext/>
        <w:spacing w:after="0"/>
        <w:rPr>
          <w:b/>
          <w:color w:val="000000"/>
        </w:rPr>
      </w:pPr>
      <w:r w:rsidRPr="00CE03EE">
        <w:rPr>
          <w:noProof/>
          <w:lang w:val="en-GB" w:eastAsia="en-GB" w:bidi="ar-SA"/>
        </w:rPr>
        <w:drawing>
          <wp:inline distT="0" distB="0" distL="0" distR="0" wp14:anchorId="226ECD5A" wp14:editId="0FC8C8DE">
            <wp:extent cx="5831840" cy="1848538"/>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1840" cy="1848538"/>
                    </a:xfrm>
                    <a:prstGeom prst="rect">
                      <a:avLst/>
                    </a:prstGeom>
                    <a:noFill/>
                    <a:ln>
                      <a:noFill/>
                    </a:ln>
                  </pic:spPr>
                </pic:pic>
              </a:graphicData>
            </a:graphic>
          </wp:inline>
        </w:drawing>
      </w:r>
    </w:p>
    <w:p w:rsidR="0014550F" w:rsidRPr="00CE03EE" w:rsidRDefault="0014550F" w:rsidP="004D2CC1">
      <w:pPr>
        <w:spacing w:before="0" w:after="0"/>
        <w:jc w:val="right"/>
        <w:rPr>
          <w:color w:val="000000"/>
          <w:sz w:val="16"/>
          <w:szCs w:val="16"/>
        </w:rPr>
      </w:pPr>
      <w:r w:rsidRPr="00CE03EE">
        <w:rPr>
          <w:color w:val="000000"/>
          <w:sz w:val="16"/>
        </w:rPr>
        <w:t>Source: États membres, données collectées par la Commission</w:t>
      </w:r>
      <w:r w:rsidR="00267E81" w:rsidRPr="00CE03EE">
        <w:rPr>
          <w:color w:val="000000"/>
          <w:sz w:val="16"/>
        </w:rPr>
        <w:t>.</w:t>
      </w:r>
    </w:p>
    <w:p w:rsidR="00B165D8" w:rsidRPr="00CE03EE" w:rsidRDefault="00B165D8">
      <w:pPr>
        <w:spacing w:before="0" w:after="200" w:line="276" w:lineRule="auto"/>
        <w:jc w:val="left"/>
        <w:rPr>
          <w:b/>
          <w:color w:val="000000"/>
        </w:rPr>
      </w:pPr>
      <w:r w:rsidRPr="00CE03EE">
        <w:br w:type="page"/>
      </w:r>
    </w:p>
    <w:p w:rsidR="00042CF9" w:rsidRPr="00CE03EE" w:rsidRDefault="00042CF9" w:rsidP="004D2CC1">
      <w:pPr>
        <w:spacing w:after="0"/>
        <w:ind w:left="1134" w:hanging="1134"/>
        <w:rPr>
          <w:b/>
          <w:color w:val="000000"/>
        </w:rPr>
      </w:pPr>
      <w:r w:rsidRPr="00CE03EE">
        <w:rPr>
          <w:b/>
          <w:color w:val="000000"/>
        </w:rPr>
        <w:t xml:space="preserve">Figure </w:t>
      </w:r>
      <w:r w:rsidRPr="00F30663">
        <w:rPr>
          <w:b/>
          <w:color w:val="000000"/>
        </w:rPr>
        <w:t>11</w:t>
      </w:r>
      <w:r w:rsidRPr="00CE03EE">
        <w:rPr>
          <w:b/>
          <w:color w:val="000000"/>
        </w:rPr>
        <w:t>:</w:t>
      </w:r>
      <w:r w:rsidRPr="00CE03EE">
        <w:tab/>
      </w:r>
      <w:r w:rsidRPr="00CE03EE">
        <w:rPr>
          <w:b/>
          <w:color w:val="000000"/>
        </w:rPr>
        <w:t xml:space="preserve">Prix de détail moyens du gaz fourni aux ménages en </w:t>
      </w:r>
      <w:r w:rsidRPr="00F30663">
        <w:rPr>
          <w:b/>
          <w:color w:val="000000"/>
        </w:rPr>
        <w:t>2015</w:t>
      </w:r>
    </w:p>
    <w:p w:rsidR="000D6D31" w:rsidRPr="00CE03EE" w:rsidRDefault="002C39D3" w:rsidP="004D2CC1">
      <w:pPr>
        <w:spacing w:before="0" w:after="0"/>
        <w:rPr>
          <w:szCs w:val="24"/>
        </w:rPr>
      </w:pPr>
      <w:r w:rsidRPr="00CE03EE">
        <w:rPr>
          <w:noProof/>
          <w:lang w:val="en-GB" w:eastAsia="en-GB" w:bidi="ar-SA"/>
        </w:rPr>
        <w:drawing>
          <wp:inline distT="0" distB="0" distL="0" distR="0" wp14:anchorId="6714611D" wp14:editId="13DE7B84">
            <wp:extent cx="5349875" cy="213614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9875" cy="2136140"/>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267E81" w:rsidRPr="00CE03EE">
        <w:rPr>
          <w:color w:val="000000"/>
          <w:sz w:val="16"/>
        </w:rPr>
        <w:t>.</w:t>
      </w:r>
    </w:p>
    <w:p w:rsidR="000D2D9D" w:rsidRPr="00CE03EE" w:rsidRDefault="00F35B81" w:rsidP="004D2CC1">
      <w:pPr>
        <w:spacing w:after="0"/>
        <w:rPr>
          <w:color w:val="000000"/>
        </w:rPr>
      </w:pPr>
      <w:r w:rsidRPr="00CE03EE">
        <w:t xml:space="preserve">Le </w:t>
      </w:r>
      <w:r w:rsidRPr="00CE03EE">
        <w:rPr>
          <w:b/>
        </w:rPr>
        <w:t>composant «énergie</w:t>
      </w:r>
      <w:r w:rsidRPr="00CE03EE">
        <w:t xml:space="preserve"> » a augmenté de </w:t>
      </w:r>
      <w:r w:rsidRPr="00F30663">
        <w:t>0</w:t>
      </w:r>
      <w:r w:rsidRPr="00CE03EE">
        <w:t>,</w:t>
      </w:r>
      <w:r w:rsidRPr="00F30663">
        <w:t>3</w:t>
      </w:r>
      <w:r w:rsidR="0085744A" w:rsidRPr="00CE03EE">
        <w:t> %</w:t>
      </w:r>
      <w:r w:rsidRPr="00CE03EE">
        <w:t xml:space="preserve"> par an entre </w:t>
      </w:r>
      <w:r w:rsidRPr="00F30663">
        <w:t>2008</w:t>
      </w:r>
      <w:r w:rsidRPr="00CE03EE">
        <w:t xml:space="preserve"> et </w:t>
      </w:r>
      <w:r w:rsidRPr="00F30663">
        <w:t>2015</w:t>
      </w:r>
      <w:r w:rsidRPr="00CE03EE">
        <w:t>, bien qu</w:t>
      </w:r>
      <w:r w:rsidR="00C869EE">
        <w:t>’</w:t>
      </w:r>
      <w:r w:rsidRPr="00CE03EE">
        <w:t xml:space="preserve">il ait connu des fluctuations au cours de cette période. Le </w:t>
      </w:r>
      <w:r w:rsidRPr="00CE03EE">
        <w:rPr>
          <w:b/>
        </w:rPr>
        <w:t>composant «réseau</w:t>
      </w:r>
      <w:r w:rsidRPr="00CE03EE">
        <w:t xml:space="preserve">» a augmenté de </w:t>
      </w:r>
      <w:r w:rsidRPr="00F30663">
        <w:t>2</w:t>
      </w:r>
      <w:r w:rsidRPr="00CE03EE">
        <w:t>,</w:t>
      </w:r>
      <w:r w:rsidRPr="00F30663">
        <w:t>5</w:t>
      </w:r>
      <w:r w:rsidR="0085744A" w:rsidRPr="00CE03EE">
        <w:t> %</w:t>
      </w:r>
      <w:r w:rsidR="00981071" w:rsidRPr="00CE03EE">
        <w:t xml:space="preserve"> par an</w:t>
      </w:r>
      <w:r w:rsidRPr="00CE03EE">
        <w:t xml:space="preserve">, contribuant considérablement à la hausse totale des prix pour les ménages. Le </w:t>
      </w:r>
      <w:r w:rsidRPr="00CE03EE">
        <w:rPr>
          <w:b/>
        </w:rPr>
        <w:t>composant «taxes et prélèvements</w:t>
      </w:r>
      <w:r w:rsidRPr="00CE03EE">
        <w:t xml:space="preserve"> » a </w:t>
      </w:r>
      <w:r w:rsidR="009A3E38" w:rsidRPr="00CE03EE">
        <w:t xml:space="preserve">connu </w:t>
      </w:r>
      <w:r w:rsidRPr="00CE03EE">
        <w:t xml:space="preserve">une hausse de </w:t>
      </w:r>
      <w:r w:rsidRPr="00F30663">
        <w:t>4</w:t>
      </w:r>
      <w:r w:rsidRPr="00CE03EE">
        <w:t>,</w:t>
      </w:r>
      <w:r w:rsidRPr="00F30663">
        <w:t>2</w:t>
      </w:r>
      <w:r w:rsidR="0085744A" w:rsidRPr="00CE03EE">
        <w:t> %</w:t>
      </w:r>
      <w:r w:rsidRPr="00CE03EE">
        <w:t xml:space="preserve"> par an, s</w:t>
      </w:r>
      <w:r w:rsidR="00C869EE">
        <w:t>’</w:t>
      </w:r>
      <w:r w:rsidRPr="00CE03EE">
        <w:t xml:space="preserve">établissant à </w:t>
      </w:r>
      <w:r w:rsidRPr="00F30663">
        <w:t>15</w:t>
      </w:r>
      <w:r w:rsidRPr="00CE03EE">
        <w:t>,</w:t>
      </w:r>
      <w:r w:rsidR="00981071" w:rsidRPr="00F30663">
        <w:t>6</w:t>
      </w:r>
      <w:r w:rsidR="00981071" w:rsidRPr="00CE03EE">
        <w:t> </w:t>
      </w:r>
      <w:r w:rsidRPr="00CE03EE">
        <w:t>EUR/MWh. La progression de ce dernier composant est imputable dans une large mesure aux redevances. (Les sous-composants ne sont pas significatifs et sont examinés dans le document de travail des services</w:t>
      </w:r>
      <w:r w:rsidR="00981071" w:rsidRPr="00CE03EE">
        <w:t xml:space="preserve"> de la Commission</w:t>
      </w:r>
      <w:r w:rsidRPr="00CE03EE">
        <w:t xml:space="preserve">). </w:t>
      </w:r>
    </w:p>
    <w:p w:rsidR="000D6D31" w:rsidRPr="00CE03EE" w:rsidRDefault="00E67309" w:rsidP="004D2CC1">
      <w:pPr>
        <w:spacing w:after="0"/>
      </w:pPr>
      <w:r w:rsidRPr="00CE03EE">
        <w:t>Les prix du gaz pour</w:t>
      </w:r>
      <w:r w:rsidRPr="00CE03EE">
        <w:rPr>
          <w:i/>
        </w:rPr>
        <w:t xml:space="preserve"> </w:t>
      </w:r>
      <w:r w:rsidRPr="00CE03EE">
        <w:t xml:space="preserve">les </w:t>
      </w:r>
      <w:r w:rsidRPr="00CE03EE">
        <w:rPr>
          <w:i/>
        </w:rPr>
        <w:t>grands</w:t>
      </w:r>
      <w:r w:rsidRPr="00CE03EE">
        <w:rPr>
          <w:rStyle w:val="FootnoteReference"/>
        </w:rPr>
        <w:footnoteReference w:id="14"/>
      </w:r>
      <w:r w:rsidRPr="00CE03EE">
        <w:t xml:space="preserve"> consommateurs industriels en </w:t>
      </w:r>
      <w:r w:rsidRPr="00F30663">
        <w:t>2015</w:t>
      </w:r>
      <w:r w:rsidRPr="00CE03EE">
        <w:t xml:space="preserve"> ont été </w:t>
      </w:r>
      <w:r w:rsidRPr="00CE03EE">
        <w:rPr>
          <w:i/>
        </w:rPr>
        <w:t>inférieurs</w:t>
      </w:r>
      <w:r w:rsidRPr="00CE03EE">
        <w:t xml:space="preserve"> à ceux de </w:t>
      </w:r>
      <w:r w:rsidRPr="00F30663">
        <w:t>2008</w:t>
      </w:r>
      <w:r w:rsidRPr="00CE03EE">
        <w:t>. Le composant «énergie» demeure de loin le plus important et constitue par conséquent l</w:t>
      </w:r>
      <w:r w:rsidR="00C869EE">
        <w:t>’</w:t>
      </w:r>
      <w:r w:rsidRPr="00CE03EE">
        <w:t>élément le plus déterminant de la fixation du prix. L</w:t>
      </w:r>
      <w:r w:rsidR="00C869EE">
        <w:t>’</w:t>
      </w:r>
      <w:r w:rsidRPr="00CE03EE">
        <w:t xml:space="preserve">incidence des taxes et prélèvements est faible, soit à peine </w:t>
      </w:r>
      <w:r w:rsidRPr="00F30663">
        <w:t>8</w:t>
      </w:r>
      <w:r w:rsidR="0085744A" w:rsidRPr="00CE03EE">
        <w:t> %</w:t>
      </w:r>
      <w:r w:rsidRPr="00CE03EE">
        <w:t xml:space="preserve"> du prix. Les prix du gaz fourni </w:t>
      </w:r>
      <w:r w:rsidR="00D97FBD" w:rsidRPr="00CE03EE">
        <w:t>aux entreprises</w:t>
      </w:r>
      <w:r w:rsidRPr="00CE03EE">
        <w:t xml:space="preserve"> sont déterminés par les prix mondiaux des produits de base plutôt que par </w:t>
      </w:r>
      <w:r w:rsidR="009A3E38" w:rsidRPr="00CE03EE">
        <w:t>d</w:t>
      </w:r>
      <w:r w:rsidRPr="00CE03EE">
        <w:t>es écarts importants entre les niveaux nationaux des taxes et des prélèvements; par conséquent, les prix pour les grands consommateurs industriels vari</w:t>
      </w:r>
      <w:r w:rsidR="009A3E38" w:rsidRPr="00CE03EE">
        <w:t>e</w:t>
      </w:r>
      <w:r w:rsidRPr="00CE03EE">
        <w:t>n</w:t>
      </w:r>
      <w:r w:rsidR="009A3E38" w:rsidRPr="00CE03EE">
        <w:t>t</w:t>
      </w:r>
      <w:r w:rsidRPr="00CE03EE">
        <w:t xml:space="preserve"> relativement </w:t>
      </w:r>
      <w:r w:rsidR="009A3E38" w:rsidRPr="00CE03EE">
        <w:t xml:space="preserve">peu </w:t>
      </w:r>
      <w:r w:rsidRPr="00CE03EE">
        <w:t>dans l</w:t>
      </w:r>
      <w:r w:rsidR="00C869EE">
        <w:t>’</w:t>
      </w:r>
      <w:r w:rsidRPr="00CE03EE">
        <w:t>ensemble de l</w:t>
      </w:r>
      <w:r w:rsidR="00C869EE">
        <w:t>’</w:t>
      </w:r>
      <w:r w:rsidRPr="00CE03EE">
        <w:t>Europe. La composition des prix pour les grands consommateurs industriels est restée remarquablement stable au fil du temps. C</w:t>
      </w:r>
      <w:r w:rsidR="00C869EE">
        <w:t>’</w:t>
      </w:r>
      <w:r w:rsidRPr="00CE03EE">
        <w:t xml:space="preserve">est </w:t>
      </w:r>
      <w:r w:rsidR="00D97FBD" w:rsidRPr="00CE03EE">
        <w:t xml:space="preserve">concernant </w:t>
      </w:r>
      <w:r w:rsidRPr="00CE03EE">
        <w:t xml:space="preserve">le prix du gaz fourni </w:t>
      </w:r>
      <w:r w:rsidR="00D97FBD" w:rsidRPr="00CE03EE">
        <w:t>aux entreprises</w:t>
      </w:r>
      <w:r w:rsidRPr="00CE03EE">
        <w:t xml:space="preserve"> que l</w:t>
      </w:r>
      <w:r w:rsidR="00C869EE">
        <w:t>’</w:t>
      </w:r>
      <w:r w:rsidRPr="00CE03EE">
        <w:t>on observe la plus grande répercussion du prix d</w:t>
      </w:r>
      <w:r w:rsidR="00981071" w:rsidRPr="00CE03EE">
        <w:t>e</w:t>
      </w:r>
      <w:r w:rsidRPr="00CE03EE">
        <w:t xml:space="preserve"> gros sur le prix de détail. Ce prix </w:t>
      </w:r>
      <w:r w:rsidR="009A3E38" w:rsidRPr="00CE03EE">
        <w:t xml:space="preserve">fait </w:t>
      </w:r>
      <w:r w:rsidRPr="00CE03EE">
        <w:t xml:space="preserve">par ailleurs </w:t>
      </w:r>
      <w:r w:rsidR="009A3E38" w:rsidRPr="00CE03EE">
        <w:t xml:space="preserve">apparaître </w:t>
      </w:r>
      <w:r w:rsidRPr="00CE03EE">
        <w:t xml:space="preserve">une convergence entre les marchés nationaux de </w:t>
      </w:r>
      <w:r w:rsidRPr="00F30663">
        <w:t>58</w:t>
      </w:r>
      <w:r w:rsidR="0085744A" w:rsidRPr="00CE03EE">
        <w:t> %</w:t>
      </w:r>
      <w:r w:rsidRPr="00CE03EE">
        <w:t xml:space="preserve"> depuis </w:t>
      </w:r>
      <w:r w:rsidRPr="00F30663">
        <w:t>2008</w:t>
      </w:r>
      <w:r w:rsidRPr="00CE03EE">
        <w:t>, indiquant que les marchés du gaz de l</w:t>
      </w:r>
      <w:r w:rsidR="00C869EE">
        <w:t>’</w:t>
      </w:r>
      <w:r w:rsidRPr="00CE03EE">
        <w:t>UE sont plus intégrés et co</w:t>
      </w:r>
      <w:r w:rsidR="00BC1614" w:rsidRPr="00CE03EE">
        <w:t>ncurrentiels</w:t>
      </w:r>
      <w:r w:rsidRPr="00CE03EE">
        <w:t xml:space="preserve"> que par le passé.</w:t>
      </w:r>
    </w:p>
    <w:p w:rsidR="00F341A0" w:rsidRPr="00CE03EE" w:rsidRDefault="00F341A0" w:rsidP="004D2CC1">
      <w:pPr>
        <w:spacing w:before="0" w:after="200"/>
        <w:jc w:val="left"/>
        <w:rPr>
          <w:b/>
          <w:color w:val="000000"/>
        </w:rPr>
      </w:pPr>
    </w:p>
    <w:p w:rsidR="00FC71DD" w:rsidRDefault="00FC71DD">
      <w:pPr>
        <w:spacing w:before="0" w:after="200" w:line="276" w:lineRule="auto"/>
        <w:jc w:val="left"/>
        <w:rPr>
          <w:b/>
          <w:color w:val="000000"/>
        </w:rPr>
      </w:pPr>
      <w:r>
        <w:rPr>
          <w:b/>
          <w:color w:val="000000"/>
        </w:rPr>
        <w:br w:type="page"/>
      </w:r>
    </w:p>
    <w:p w:rsidR="004F4F88" w:rsidRPr="00CE03EE" w:rsidRDefault="00042CF9" w:rsidP="00FC71DD">
      <w:pPr>
        <w:keepNext/>
        <w:spacing w:after="0"/>
        <w:ind w:left="1134" w:hanging="1134"/>
        <w:rPr>
          <w:b/>
          <w:color w:val="000000"/>
        </w:rPr>
      </w:pPr>
      <w:r w:rsidRPr="00CE03EE">
        <w:rPr>
          <w:b/>
          <w:color w:val="000000"/>
        </w:rPr>
        <w:t xml:space="preserve">Figure </w:t>
      </w:r>
      <w:r w:rsidRPr="00F30663">
        <w:rPr>
          <w:b/>
          <w:color w:val="000000"/>
        </w:rPr>
        <w:t>12</w:t>
      </w:r>
      <w:r w:rsidRPr="00CE03EE">
        <w:rPr>
          <w:b/>
          <w:color w:val="000000"/>
        </w:rPr>
        <w:t>:</w:t>
      </w:r>
      <w:r w:rsidRPr="00CE03EE">
        <w:tab/>
      </w:r>
      <w:r w:rsidRPr="00CE03EE">
        <w:rPr>
          <w:b/>
          <w:color w:val="000000"/>
        </w:rPr>
        <w:t xml:space="preserve">Composants des prix de détail moyens du gaz fourni aux grandes </w:t>
      </w:r>
      <w:r w:rsidR="00D97FBD" w:rsidRPr="00CE03EE">
        <w:rPr>
          <w:b/>
          <w:color w:val="000000"/>
        </w:rPr>
        <w:t>entreprises</w:t>
      </w:r>
      <w:r w:rsidRPr="00CE03EE">
        <w:rPr>
          <w:b/>
          <w:color w:val="000000"/>
        </w:rPr>
        <w:t xml:space="preserve"> dans l</w:t>
      </w:r>
      <w:r w:rsidR="00C869EE">
        <w:rPr>
          <w:b/>
          <w:color w:val="000000"/>
        </w:rPr>
        <w:t>’</w:t>
      </w:r>
      <w:r w:rsidRPr="00CE03EE">
        <w:rPr>
          <w:b/>
          <w:color w:val="000000"/>
        </w:rPr>
        <w:t>UE</w:t>
      </w:r>
    </w:p>
    <w:p w:rsidR="00307430" w:rsidRPr="00CE03EE" w:rsidRDefault="00AB1E31" w:rsidP="00FC71DD">
      <w:pPr>
        <w:keepNext/>
        <w:spacing w:before="0" w:after="0"/>
        <w:rPr>
          <w:color w:val="000000"/>
        </w:rPr>
      </w:pPr>
      <w:r w:rsidRPr="00CE03EE">
        <w:rPr>
          <w:noProof/>
          <w:lang w:val="en-GB" w:eastAsia="en-GB" w:bidi="ar-SA"/>
        </w:rPr>
        <w:drawing>
          <wp:inline distT="0" distB="0" distL="0" distR="0" wp14:anchorId="3A815C7D" wp14:editId="0FC5FD95">
            <wp:extent cx="5831840" cy="2685300"/>
            <wp:effectExtent l="0" t="0" r="0" b="127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1840" cy="2685300"/>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7F1775" w:rsidRPr="00CE03EE">
        <w:rPr>
          <w:color w:val="000000"/>
          <w:sz w:val="16"/>
        </w:rPr>
        <w:t>.</w:t>
      </w:r>
    </w:p>
    <w:p w:rsidR="00B165D8" w:rsidRPr="00CE03EE" w:rsidRDefault="00B165D8">
      <w:pPr>
        <w:spacing w:before="0" w:after="200" w:line="276" w:lineRule="auto"/>
        <w:jc w:val="left"/>
        <w:rPr>
          <w:b/>
          <w:color w:val="000000"/>
        </w:rPr>
      </w:pPr>
      <w:r w:rsidRPr="00CE03EE">
        <w:br w:type="page"/>
      </w:r>
    </w:p>
    <w:p w:rsidR="00042CF9" w:rsidRPr="00CE03EE" w:rsidRDefault="00042CF9" w:rsidP="004D2CC1">
      <w:pPr>
        <w:spacing w:after="0"/>
        <w:ind w:left="1134" w:hanging="1134"/>
        <w:rPr>
          <w:b/>
          <w:color w:val="000000"/>
        </w:rPr>
      </w:pPr>
      <w:r w:rsidRPr="00CE03EE">
        <w:rPr>
          <w:b/>
          <w:color w:val="000000"/>
        </w:rPr>
        <w:t xml:space="preserve">Figure </w:t>
      </w:r>
      <w:r w:rsidRPr="00F30663">
        <w:rPr>
          <w:b/>
          <w:color w:val="000000"/>
        </w:rPr>
        <w:t>13</w:t>
      </w:r>
      <w:r w:rsidRPr="00CE03EE">
        <w:rPr>
          <w:b/>
          <w:color w:val="000000"/>
        </w:rPr>
        <w:t>:</w:t>
      </w:r>
      <w:r w:rsidRPr="00CE03EE">
        <w:tab/>
      </w:r>
      <w:r w:rsidRPr="00CE03EE">
        <w:rPr>
          <w:b/>
          <w:color w:val="000000"/>
        </w:rPr>
        <w:t xml:space="preserve">Prix de détail moyens du gaz fourni aux grandes </w:t>
      </w:r>
      <w:r w:rsidR="00D97FBD" w:rsidRPr="00CE03EE">
        <w:rPr>
          <w:b/>
          <w:color w:val="000000"/>
        </w:rPr>
        <w:t>entreprises</w:t>
      </w:r>
      <w:r w:rsidRPr="00CE03EE">
        <w:rPr>
          <w:b/>
          <w:color w:val="000000"/>
        </w:rPr>
        <w:t xml:space="preserve"> en </w:t>
      </w:r>
      <w:r w:rsidRPr="00F30663">
        <w:rPr>
          <w:b/>
          <w:color w:val="000000"/>
        </w:rPr>
        <w:t>2015</w:t>
      </w:r>
    </w:p>
    <w:p w:rsidR="00E00E0F" w:rsidRPr="00CE03EE" w:rsidRDefault="002C39D3" w:rsidP="004D2CC1">
      <w:pPr>
        <w:spacing w:after="0"/>
        <w:ind w:left="1134" w:hanging="1134"/>
        <w:rPr>
          <w:b/>
          <w:color w:val="000000"/>
        </w:rPr>
      </w:pPr>
      <w:r w:rsidRPr="00CE03EE">
        <w:rPr>
          <w:noProof/>
          <w:lang w:val="en-GB" w:eastAsia="en-GB" w:bidi="ar-SA"/>
        </w:rPr>
        <w:drawing>
          <wp:inline distT="0" distB="0" distL="0" distR="0" wp14:anchorId="62F32952" wp14:editId="258525DA">
            <wp:extent cx="5831840" cy="26143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31840" cy="2614398"/>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États membres, données collectées par la Commission</w:t>
      </w:r>
      <w:r w:rsidR="007F1775" w:rsidRPr="00CE03EE">
        <w:rPr>
          <w:color w:val="000000"/>
          <w:sz w:val="16"/>
        </w:rPr>
        <w:t>.</w:t>
      </w:r>
    </w:p>
    <w:p w:rsidR="00E00E0F" w:rsidRPr="00CE03EE" w:rsidRDefault="00E00E0F" w:rsidP="004D2CC1">
      <w:pPr>
        <w:spacing w:before="0" w:after="0"/>
        <w:ind w:left="1134" w:hanging="1134"/>
        <w:jc w:val="left"/>
        <w:rPr>
          <w:b/>
          <w:color w:val="000000"/>
        </w:rPr>
      </w:pPr>
    </w:p>
    <w:p w:rsidR="00546B48" w:rsidRPr="00CE03EE" w:rsidRDefault="00042CF9" w:rsidP="004D2CC1">
      <w:pPr>
        <w:spacing w:before="0" w:after="0"/>
        <w:ind w:left="1134" w:hanging="1134"/>
        <w:jc w:val="left"/>
        <w:rPr>
          <w:b/>
        </w:rPr>
      </w:pPr>
      <w:r w:rsidRPr="00CE03EE">
        <w:rPr>
          <w:b/>
          <w:color w:val="000000"/>
        </w:rPr>
        <w:t xml:space="preserve">Figure </w:t>
      </w:r>
      <w:r w:rsidRPr="00F30663">
        <w:rPr>
          <w:b/>
          <w:color w:val="000000"/>
        </w:rPr>
        <w:t>14</w:t>
      </w:r>
      <w:r w:rsidRPr="00CE03EE">
        <w:rPr>
          <w:b/>
          <w:color w:val="000000"/>
        </w:rPr>
        <w:t>:</w:t>
      </w:r>
      <w:r w:rsidRPr="00CE03EE">
        <w:tab/>
      </w:r>
      <w:r w:rsidRPr="00CE03EE">
        <w:rPr>
          <w:b/>
        </w:rPr>
        <w:t>Prix du gaz à l</w:t>
      </w:r>
      <w:r w:rsidR="00C869EE">
        <w:rPr>
          <w:b/>
        </w:rPr>
        <w:t>’</w:t>
      </w:r>
      <w:r w:rsidRPr="00CE03EE">
        <w:rPr>
          <w:b/>
        </w:rPr>
        <w:t>échelle mondiale</w:t>
      </w:r>
    </w:p>
    <w:p w:rsidR="004506D7" w:rsidRPr="00CE03EE" w:rsidRDefault="00B52A88" w:rsidP="004D2CC1">
      <w:pPr>
        <w:spacing w:before="0" w:after="0"/>
        <w:jc w:val="left"/>
        <w:rPr>
          <w:color w:val="000000"/>
          <w:sz w:val="16"/>
          <w:szCs w:val="16"/>
        </w:rPr>
      </w:pPr>
      <w:r w:rsidRPr="00CE03EE">
        <w:t xml:space="preserve"> </w:t>
      </w:r>
      <w:r w:rsidR="002C39D3" w:rsidRPr="00CE03EE">
        <w:rPr>
          <w:noProof/>
          <w:lang w:val="en-GB" w:eastAsia="en-GB" w:bidi="ar-SA"/>
        </w:rPr>
        <w:drawing>
          <wp:inline distT="0" distB="0" distL="0" distR="0" wp14:anchorId="0009E7BA" wp14:editId="170B81A5">
            <wp:extent cx="5831840" cy="3047427"/>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31840" cy="3047427"/>
                    </a:xfrm>
                    <a:prstGeom prst="rect">
                      <a:avLst/>
                    </a:prstGeom>
                    <a:noFill/>
                    <a:ln>
                      <a:noFill/>
                    </a:ln>
                  </pic:spPr>
                </pic:pic>
              </a:graphicData>
            </a:graphic>
          </wp:inline>
        </w:drawing>
      </w:r>
    </w:p>
    <w:p w:rsidR="00E84A5E" w:rsidRPr="00CE03EE" w:rsidRDefault="00E84A5E" w:rsidP="004D2CC1">
      <w:pPr>
        <w:spacing w:before="0" w:after="0"/>
        <w:jc w:val="right"/>
        <w:rPr>
          <w:color w:val="000000"/>
          <w:sz w:val="16"/>
          <w:szCs w:val="16"/>
        </w:rPr>
      </w:pPr>
      <w:r w:rsidRPr="00CE03EE">
        <w:rPr>
          <w:color w:val="000000"/>
          <w:sz w:val="16"/>
        </w:rPr>
        <w:t>Source: Platts, ThomsonReuters</w:t>
      </w:r>
      <w:r w:rsidR="007F1775" w:rsidRPr="00CE03EE">
        <w:rPr>
          <w:color w:val="000000"/>
          <w:sz w:val="16"/>
        </w:rPr>
        <w:t>.</w:t>
      </w:r>
    </w:p>
    <w:p w:rsidR="0007403A" w:rsidRPr="00CE03EE" w:rsidRDefault="00664452" w:rsidP="004D2CC1">
      <w:pPr>
        <w:tabs>
          <w:tab w:val="num" w:pos="720"/>
        </w:tabs>
        <w:spacing w:after="0"/>
      </w:pPr>
      <w:r w:rsidRPr="00CE03EE">
        <w:t>Les prix du gaz à l</w:t>
      </w:r>
      <w:r w:rsidR="00C869EE">
        <w:t>’</w:t>
      </w:r>
      <w:r w:rsidRPr="00CE03EE">
        <w:t>échelle</w:t>
      </w:r>
      <w:r w:rsidRPr="00CE03EE">
        <w:rPr>
          <w:i/>
        </w:rPr>
        <w:t xml:space="preserve"> mondiale</w:t>
      </w:r>
      <w:r w:rsidRPr="00CE03EE">
        <w:t xml:space="preserve"> ont affiché une forte convergence en </w:t>
      </w:r>
      <w:r w:rsidRPr="00F30663">
        <w:t>2014</w:t>
      </w:r>
      <w:r w:rsidRPr="00CE03EE">
        <w:t xml:space="preserve"> et au début </w:t>
      </w:r>
      <w:r w:rsidR="00B02E58" w:rsidRPr="00CE03EE">
        <w:t xml:space="preserve">de </w:t>
      </w:r>
      <w:r w:rsidRPr="00F30663">
        <w:t>2015</w:t>
      </w:r>
      <w:r w:rsidRPr="00CE03EE">
        <w:t>. Les prix du gaz dans l</w:t>
      </w:r>
      <w:r w:rsidR="00C869EE">
        <w:t>’</w:t>
      </w:r>
      <w:r w:rsidRPr="00CE03EE">
        <w:t>UE</w:t>
      </w:r>
      <w:r w:rsidR="007F1775" w:rsidRPr="00CE03EE">
        <w:t>,</w:t>
      </w:r>
      <w:r w:rsidRPr="00CE03EE">
        <w:t xml:space="preserve"> rapportés aux prix du gaz aux États-Unis</w:t>
      </w:r>
      <w:r w:rsidR="007F1775" w:rsidRPr="00CE03EE">
        <w:t>,</w:t>
      </w:r>
      <w:r w:rsidRPr="00CE03EE">
        <w:t xml:space="preserve"> ont évolu</w:t>
      </w:r>
      <w:r w:rsidR="00FA35BD" w:rsidRPr="00CE03EE">
        <w:t>é</w:t>
      </w:r>
      <w:r w:rsidRPr="00CE03EE">
        <w:t xml:space="preserve"> favorable</w:t>
      </w:r>
      <w:r w:rsidR="00FA35BD" w:rsidRPr="00CE03EE">
        <w:t>ment</w:t>
      </w:r>
      <w:r w:rsidRPr="00CE03EE">
        <w:t xml:space="preserve"> au cours des deux dernières années. </w:t>
      </w:r>
      <w:r w:rsidR="00FA35BD" w:rsidRPr="00CE03EE">
        <w:t xml:space="preserve">Ils </w:t>
      </w:r>
      <w:r w:rsidRPr="00CE03EE">
        <w:t xml:space="preserve">ont été en moyenne deux fois et demie supérieurs aux prix </w:t>
      </w:r>
      <w:r w:rsidR="00F33126" w:rsidRPr="00CE03EE">
        <w:t>américains</w:t>
      </w:r>
      <w:r w:rsidRPr="00CE03EE">
        <w:t xml:space="preserve"> en </w:t>
      </w:r>
      <w:r w:rsidRPr="00F30663">
        <w:t>2015</w:t>
      </w:r>
      <w:r w:rsidRPr="00CE03EE">
        <w:t xml:space="preserve">, tandis que ce </w:t>
      </w:r>
      <w:r w:rsidR="00FA35BD" w:rsidRPr="00CE03EE">
        <w:t xml:space="preserve">ratio </w:t>
      </w:r>
      <w:r w:rsidRPr="00CE03EE">
        <w:t>s</w:t>
      </w:r>
      <w:r w:rsidR="00C869EE">
        <w:t>’</w:t>
      </w:r>
      <w:r w:rsidRPr="00CE03EE">
        <w:t xml:space="preserve">établissait entre </w:t>
      </w:r>
      <w:r w:rsidRPr="00F30663">
        <w:t>3</w:t>
      </w:r>
      <w:r w:rsidRPr="00CE03EE">
        <w:t xml:space="preserve"> et </w:t>
      </w:r>
      <w:r w:rsidRPr="00F30663">
        <w:t>5</w:t>
      </w:r>
      <w:r w:rsidRPr="00CE03EE">
        <w:t xml:space="preserve"> en </w:t>
      </w:r>
      <w:r w:rsidRPr="00F30663">
        <w:t>2012</w:t>
      </w:r>
      <w:r w:rsidRPr="00CE03EE">
        <w:t>. Ce</w:t>
      </w:r>
      <w:r w:rsidR="00F33126" w:rsidRPr="00CE03EE">
        <w:t>la</w:t>
      </w:r>
      <w:r w:rsidRPr="00CE03EE">
        <w:t xml:space="preserve"> s</w:t>
      </w:r>
      <w:r w:rsidR="00C869EE">
        <w:t>’</w:t>
      </w:r>
      <w:r w:rsidRPr="00CE03EE">
        <w:t>explique par des facteurs tels que l</w:t>
      </w:r>
      <w:r w:rsidR="00C869EE">
        <w:t>’</w:t>
      </w:r>
      <w:r w:rsidRPr="00CE03EE">
        <w:t>offre croissante de gaz à l</w:t>
      </w:r>
      <w:r w:rsidR="00C869EE">
        <w:t>’</w:t>
      </w:r>
      <w:r w:rsidRPr="00CE03EE">
        <w:t>échelle mondiale et l</w:t>
      </w:r>
      <w:r w:rsidR="00C869EE">
        <w:t>’</w:t>
      </w:r>
      <w:r w:rsidRPr="00CE03EE">
        <w:t xml:space="preserve">utilisation de GNL en Europe, </w:t>
      </w:r>
      <w:r w:rsidR="00F33126" w:rsidRPr="00CE03EE">
        <w:t xml:space="preserve">la </w:t>
      </w:r>
      <w:r w:rsidRPr="00CE03EE">
        <w:t>baisse de la demande européenne et asiatique et l</w:t>
      </w:r>
      <w:r w:rsidR="00C869EE">
        <w:t>’</w:t>
      </w:r>
      <w:r w:rsidRPr="00CE03EE">
        <w:t xml:space="preserve">indexation des prix du gaz sur celui du pétrole. Les prix du GNL en Asie ont considérablement baissé en </w:t>
      </w:r>
      <w:r w:rsidRPr="00F30663">
        <w:t>2014</w:t>
      </w:r>
      <w:r w:rsidRPr="00CE03EE">
        <w:t xml:space="preserve"> et convergé avec les prix européens au début </w:t>
      </w:r>
      <w:r w:rsidRPr="00F30663">
        <w:t>2015</w:t>
      </w:r>
      <w:r w:rsidRPr="00CE03EE">
        <w:t xml:space="preserve">. </w:t>
      </w:r>
    </w:p>
    <w:p w:rsidR="00FC71DD" w:rsidRDefault="00FC71DD">
      <w:pPr>
        <w:spacing w:before="0" w:after="200" w:line="276" w:lineRule="auto"/>
        <w:jc w:val="left"/>
        <w:rPr>
          <w:rFonts w:eastAsia="Calibri"/>
          <w:b/>
          <w:bCs/>
          <w:szCs w:val="18"/>
        </w:rPr>
      </w:pPr>
      <w:r>
        <w:br w:type="page"/>
      </w:r>
    </w:p>
    <w:p w:rsidR="00EB2313" w:rsidRPr="00CE03EE" w:rsidRDefault="00EB2313" w:rsidP="004D2CC1">
      <w:pPr>
        <w:pStyle w:val="Caption"/>
        <w:keepNext/>
        <w:spacing w:before="120"/>
        <w:ind w:left="1134" w:hanging="1134"/>
        <w:rPr>
          <w:rFonts w:ascii="Times New Roman" w:hAnsi="Times New Roman"/>
          <w:color w:val="auto"/>
          <w:sz w:val="24"/>
          <w:szCs w:val="24"/>
        </w:rPr>
      </w:pPr>
      <w:r w:rsidRPr="00CE03EE">
        <w:rPr>
          <w:rFonts w:ascii="Times New Roman" w:hAnsi="Times New Roman"/>
          <w:color w:val="auto"/>
          <w:sz w:val="24"/>
        </w:rPr>
        <w:t>Tableau</w:t>
      </w:r>
      <w:r w:rsidRPr="00CE03EE">
        <w:rPr>
          <w:rFonts w:ascii="Times New Roman" w:hAnsi="Times New Roman"/>
          <w:color w:val="auto"/>
          <w:sz w:val="24"/>
          <w:szCs w:val="24"/>
        </w:rPr>
        <w:fldChar w:fldCharType="begin"/>
      </w:r>
      <w:r w:rsidRPr="00CE03EE">
        <w:rPr>
          <w:rFonts w:ascii="Times New Roman" w:hAnsi="Times New Roman"/>
          <w:color w:val="auto"/>
          <w:sz w:val="24"/>
          <w:szCs w:val="24"/>
        </w:rPr>
        <w:instrText xml:space="preserve"> SEQ Table \* ARABIC </w:instrText>
      </w:r>
      <w:r w:rsidRPr="00CE03EE">
        <w:rPr>
          <w:rFonts w:ascii="Times New Roman" w:hAnsi="Times New Roman"/>
          <w:color w:val="auto"/>
          <w:sz w:val="24"/>
          <w:szCs w:val="24"/>
        </w:rPr>
        <w:fldChar w:fldCharType="separate"/>
      </w:r>
      <w:r w:rsidRPr="00F30663">
        <w:rPr>
          <w:rFonts w:ascii="Times New Roman" w:hAnsi="Times New Roman"/>
          <w:noProof/>
          <w:color w:val="auto"/>
          <w:sz w:val="24"/>
          <w:szCs w:val="24"/>
        </w:rPr>
        <w:t>2</w:t>
      </w:r>
      <w:r w:rsidRPr="00CE03EE">
        <w:rPr>
          <w:rFonts w:ascii="Times New Roman" w:hAnsi="Times New Roman"/>
          <w:color w:val="auto"/>
          <w:sz w:val="24"/>
          <w:szCs w:val="24"/>
        </w:rPr>
        <w:fldChar w:fldCharType="end"/>
      </w:r>
      <w:r w:rsidRPr="00CE03EE">
        <w:rPr>
          <w:rFonts w:ascii="Times New Roman" w:hAnsi="Times New Roman"/>
          <w:color w:val="auto"/>
          <w:sz w:val="24"/>
        </w:rPr>
        <w:t>:</w:t>
      </w:r>
      <w:r w:rsidRPr="00CE03EE">
        <w:tab/>
      </w:r>
      <w:r w:rsidRPr="00CE03EE">
        <w:rPr>
          <w:rFonts w:ascii="Times New Roman" w:hAnsi="Times New Roman"/>
          <w:color w:val="auto"/>
          <w:sz w:val="24"/>
        </w:rPr>
        <w:t xml:space="preserve">Prix du gaz fourni </w:t>
      </w:r>
      <w:r w:rsidR="00D97FBD" w:rsidRPr="00CE03EE">
        <w:rPr>
          <w:rFonts w:ascii="Times New Roman" w:hAnsi="Times New Roman"/>
          <w:color w:val="auto"/>
          <w:sz w:val="24"/>
        </w:rPr>
        <w:t>aux entreprises</w:t>
      </w:r>
      <w:r w:rsidRPr="00CE03EE">
        <w:rPr>
          <w:rFonts w:ascii="Times New Roman" w:hAnsi="Times New Roman"/>
          <w:color w:val="auto"/>
          <w:sz w:val="24"/>
        </w:rPr>
        <w:t xml:space="preserve"> dans l</w:t>
      </w:r>
      <w:r w:rsidR="00C869EE">
        <w:rPr>
          <w:rFonts w:ascii="Times New Roman" w:hAnsi="Times New Roman"/>
          <w:color w:val="auto"/>
          <w:sz w:val="24"/>
        </w:rPr>
        <w:t>’</w:t>
      </w:r>
      <w:r w:rsidRPr="00CE03EE">
        <w:rPr>
          <w:rFonts w:ascii="Times New Roman" w:hAnsi="Times New Roman"/>
          <w:color w:val="auto"/>
          <w:sz w:val="24"/>
        </w:rPr>
        <w:t>UE par rapport à d</w:t>
      </w:r>
      <w:r w:rsidR="00C869EE">
        <w:rPr>
          <w:rFonts w:ascii="Times New Roman" w:hAnsi="Times New Roman"/>
          <w:color w:val="auto"/>
          <w:sz w:val="24"/>
        </w:rPr>
        <w:t>’</w:t>
      </w:r>
      <w:r w:rsidRPr="00CE03EE">
        <w:rPr>
          <w:rFonts w:ascii="Times New Roman" w:hAnsi="Times New Roman"/>
          <w:color w:val="auto"/>
          <w:sz w:val="24"/>
        </w:rPr>
        <w:t>autres pays</w:t>
      </w:r>
    </w:p>
    <w:tbl>
      <w:tblPr>
        <w:tblStyle w:val="TableGrid"/>
        <w:tblW w:w="0" w:type="auto"/>
        <w:jc w:val="center"/>
        <w:tblLayout w:type="fixed"/>
        <w:tblLook w:val="04A0" w:firstRow="1" w:lastRow="0" w:firstColumn="1" w:lastColumn="0" w:noHBand="0" w:noVBand="1"/>
      </w:tblPr>
      <w:tblGrid>
        <w:gridCol w:w="1027"/>
        <w:gridCol w:w="1027"/>
        <w:gridCol w:w="1027"/>
        <w:gridCol w:w="1027"/>
        <w:gridCol w:w="1027"/>
        <w:gridCol w:w="1027"/>
        <w:gridCol w:w="1027"/>
      </w:tblGrid>
      <w:tr w:rsidR="00F401B9" w:rsidRPr="00CE03EE" w:rsidTr="002B72D4">
        <w:trPr>
          <w:jc w:val="center"/>
        </w:trPr>
        <w:tc>
          <w:tcPr>
            <w:tcW w:w="1027" w:type="dxa"/>
            <w:noWrap/>
            <w:hideMark/>
          </w:tcPr>
          <w:p w:rsidR="00FF39E1" w:rsidRPr="00CE03EE" w:rsidRDefault="00F401B9" w:rsidP="004D2CC1">
            <w:pPr>
              <w:spacing w:before="0" w:after="0"/>
              <w:jc w:val="left"/>
              <w:rPr>
                <w:b/>
                <w:bCs/>
              </w:rPr>
            </w:pPr>
            <w:r w:rsidRPr="00CE03EE">
              <w:rPr>
                <w:b/>
              </w:rPr>
              <w:t>Année</w:t>
            </w:r>
          </w:p>
        </w:tc>
        <w:tc>
          <w:tcPr>
            <w:tcW w:w="1027" w:type="dxa"/>
            <w:hideMark/>
          </w:tcPr>
          <w:p w:rsidR="00FF39E1" w:rsidRPr="00CE03EE" w:rsidRDefault="00740480" w:rsidP="004D2CC1">
            <w:pPr>
              <w:spacing w:before="0" w:after="0"/>
              <w:jc w:val="center"/>
              <w:rPr>
                <w:b/>
                <w:bCs/>
              </w:rPr>
            </w:pPr>
            <w:r w:rsidRPr="00CE03EE">
              <w:rPr>
                <w:b/>
              </w:rPr>
              <w:t>États-Unis</w:t>
            </w:r>
          </w:p>
        </w:tc>
        <w:tc>
          <w:tcPr>
            <w:tcW w:w="1027" w:type="dxa"/>
            <w:noWrap/>
            <w:hideMark/>
          </w:tcPr>
          <w:p w:rsidR="00FF39E1" w:rsidRPr="00CE03EE" w:rsidRDefault="00FF39E1" w:rsidP="004D2CC1">
            <w:pPr>
              <w:spacing w:before="0" w:after="0"/>
              <w:jc w:val="center"/>
              <w:rPr>
                <w:b/>
                <w:bCs/>
              </w:rPr>
            </w:pPr>
            <w:r w:rsidRPr="00CE03EE">
              <w:rPr>
                <w:b/>
              </w:rPr>
              <w:t>Japon</w:t>
            </w:r>
          </w:p>
        </w:tc>
        <w:tc>
          <w:tcPr>
            <w:tcW w:w="1027" w:type="dxa"/>
            <w:hideMark/>
          </w:tcPr>
          <w:p w:rsidR="00FF39E1" w:rsidRPr="00CE03EE" w:rsidRDefault="00FF39E1" w:rsidP="004D2CC1">
            <w:pPr>
              <w:spacing w:before="0" w:after="0"/>
              <w:jc w:val="center"/>
              <w:rPr>
                <w:b/>
                <w:bCs/>
              </w:rPr>
            </w:pPr>
            <w:r w:rsidRPr="00CE03EE">
              <w:rPr>
                <w:b/>
              </w:rPr>
              <w:t>Russie</w:t>
            </w:r>
          </w:p>
        </w:tc>
        <w:tc>
          <w:tcPr>
            <w:tcW w:w="1027" w:type="dxa"/>
            <w:hideMark/>
          </w:tcPr>
          <w:p w:rsidR="00FF39E1" w:rsidRPr="00CE03EE" w:rsidRDefault="00FF39E1" w:rsidP="004D2CC1">
            <w:pPr>
              <w:spacing w:before="0" w:after="0"/>
              <w:jc w:val="center"/>
              <w:rPr>
                <w:b/>
                <w:bCs/>
              </w:rPr>
            </w:pPr>
            <w:r w:rsidRPr="00CE03EE">
              <w:rPr>
                <w:b/>
              </w:rPr>
              <w:t>Chine</w:t>
            </w:r>
          </w:p>
        </w:tc>
        <w:tc>
          <w:tcPr>
            <w:tcW w:w="1027" w:type="dxa"/>
            <w:hideMark/>
          </w:tcPr>
          <w:p w:rsidR="00FF39E1" w:rsidRPr="00CE03EE" w:rsidRDefault="00FF39E1" w:rsidP="004D2CC1">
            <w:pPr>
              <w:spacing w:before="0" w:after="0"/>
              <w:jc w:val="center"/>
              <w:rPr>
                <w:b/>
                <w:bCs/>
              </w:rPr>
            </w:pPr>
            <w:r w:rsidRPr="00CE03EE">
              <w:rPr>
                <w:b/>
              </w:rPr>
              <w:t>Brésil</w:t>
            </w:r>
          </w:p>
        </w:tc>
        <w:tc>
          <w:tcPr>
            <w:tcW w:w="1027" w:type="dxa"/>
            <w:hideMark/>
          </w:tcPr>
          <w:p w:rsidR="00FF39E1" w:rsidRPr="00CE03EE" w:rsidRDefault="00FF39E1" w:rsidP="004D2CC1">
            <w:pPr>
              <w:spacing w:before="0" w:after="0"/>
              <w:jc w:val="center"/>
              <w:rPr>
                <w:b/>
                <w:bCs/>
              </w:rPr>
            </w:pPr>
            <w:r w:rsidRPr="00CE03EE">
              <w:rPr>
                <w:b/>
              </w:rPr>
              <w:t>Turquie</w:t>
            </w:r>
          </w:p>
        </w:tc>
      </w:tr>
      <w:tr w:rsidR="00F401B9" w:rsidRPr="00CE03EE" w:rsidTr="002B72D4">
        <w:trPr>
          <w:jc w:val="center"/>
        </w:trPr>
        <w:tc>
          <w:tcPr>
            <w:tcW w:w="1027" w:type="dxa"/>
            <w:noWrap/>
            <w:hideMark/>
          </w:tcPr>
          <w:p w:rsidR="00FF39E1" w:rsidRPr="00CE03EE" w:rsidRDefault="00FF39E1" w:rsidP="004D2CC1">
            <w:pPr>
              <w:spacing w:before="0" w:after="0"/>
              <w:rPr>
                <w:b/>
                <w:bCs/>
              </w:rPr>
            </w:pPr>
            <w:r w:rsidRPr="00F30663">
              <w:rPr>
                <w:b/>
              </w:rPr>
              <w:t>2012</w:t>
            </w:r>
          </w:p>
        </w:tc>
        <w:tc>
          <w:tcPr>
            <w:tcW w:w="1027" w:type="dxa"/>
            <w:noWrap/>
            <w:hideMark/>
          </w:tcPr>
          <w:p w:rsidR="00FF39E1" w:rsidRPr="00CE03EE" w:rsidRDefault="00FF39E1" w:rsidP="004D2CC1">
            <w:pPr>
              <w:spacing w:before="0" w:after="0"/>
              <w:jc w:val="center"/>
            </w:pPr>
            <w:r w:rsidRPr="00F30663">
              <w:t>3</w:t>
            </w:r>
            <w:r w:rsidRPr="00CE03EE">
              <w:t>,</w:t>
            </w:r>
            <w:r w:rsidRPr="00F30663">
              <w:t>3</w:t>
            </w:r>
          </w:p>
        </w:tc>
        <w:tc>
          <w:tcPr>
            <w:tcW w:w="1027" w:type="dxa"/>
            <w:noWrap/>
            <w:hideMark/>
          </w:tcPr>
          <w:p w:rsidR="00FF39E1" w:rsidRPr="00CE03EE" w:rsidRDefault="00FF39E1" w:rsidP="004D2CC1">
            <w:pPr>
              <w:spacing w:before="0" w:after="0"/>
              <w:jc w:val="center"/>
            </w:pPr>
            <w:r w:rsidRPr="00F30663">
              <w:t>0</w:t>
            </w:r>
            <w:r w:rsidRPr="00CE03EE">
              <w:t>,</w:t>
            </w:r>
            <w:r w:rsidRPr="00F30663">
              <w:t>6</w:t>
            </w:r>
          </w:p>
        </w:tc>
        <w:tc>
          <w:tcPr>
            <w:tcW w:w="1027" w:type="dxa"/>
            <w:noWrap/>
            <w:hideMark/>
          </w:tcPr>
          <w:p w:rsidR="00FF39E1" w:rsidRPr="00CE03EE" w:rsidRDefault="00FF39E1" w:rsidP="004D2CC1">
            <w:pPr>
              <w:spacing w:before="0" w:after="0"/>
              <w:jc w:val="center"/>
            </w:pPr>
            <w:r w:rsidRPr="00F30663">
              <w:t>4</w:t>
            </w:r>
            <w:r w:rsidRPr="00CE03EE">
              <w:t>,</w:t>
            </w:r>
            <w:r w:rsidRPr="00F30663">
              <w:t>0</w:t>
            </w:r>
          </w:p>
        </w:tc>
        <w:tc>
          <w:tcPr>
            <w:tcW w:w="1027" w:type="dxa"/>
            <w:noWrap/>
            <w:hideMark/>
          </w:tcPr>
          <w:p w:rsidR="00FF39E1" w:rsidRPr="00CE03EE" w:rsidRDefault="00FF39E1" w:rsidP="004D2CC1">
            <w:pPr>
              <w:spacing w:before="0" w:after="0"/>
              <w:jc w:val="center"/>
            </w:pPr>
            <w:r w:rsidRPr="00F30663">
              <w:t>1</w:t>
            </w:r>
            <w:r w:rsidRPr="00CE03EE">
              <w:t>,</w:t>
            </w:r>
            <w:r w:rsidRPr="00F30663">
              <w:t>0</w:t>
            </w:r>
          </w:p>
        </w:tc>
        <w:tc>
          <w:tcPr>
            <w:tcW w:w="1027" w:type="dxa"/>
            <w:noWrap/>
            <w:hideMark/>
          </w:tcPr>
          <w:p w:rsidR="00FF39E1" w:rsidRPr="00CE03EE" w:rsidRDefault="00FF39E1" w:rsidP="004D2CC1">
            <w:pPr>
              <w:spacing w:before="0" w:after="0"/>
              <w:jc w:val="center"/>
            </w:pPr>
            <w:r w:rsidRPr="00F30663">
              <w:t>1</w:t>
            </w:r>
            <w:r w:rsidRPr="00CE03EE">
              <w:t>,</w:t>
            </w:r>
            <w:r w:rsidRPr="00F30663">
              <w:t>0</w:t>
            </w:r>
          </w:p>
        </w:tc>
        <w:tc>
          <w:tcPr>
            <w:tcW w:w="1027" w:type="dxa"/>
            <w:noWrap/>
            <w:hideMark/>
          </w:tcPr>
          <w:p w:rsidR="00FF39E1" w:rsidRPr="00CE03EE" w:rsidRDefault="00FF39E1" w:rsidP="004D2CC1">
            <w:pPr>
              <w:spacing w:before="0" w:after="0"/>
              <w:jc w:val="center"/>
            </w:pPr>
            <w:r w:rsidRPr="00F30663">
              <w:t>1</w:t>
            </w:r>
            <w:r w:rsidRPr="00CE03EE">
              <w:t>,</w:t>
            </w:r>
            <w:r w:rsidRPr="00F30663">
              <w:t>2</w:t>
            </w:r>
          </w:p>
        </w:tc>
      </w:tr>
      <w:tr w:rsidR="00F401B9" w:rsidRPr="00CE03EE" w:rsidTr="002B72D4">
        <w:trPr>
          <w:jc w:val="center"/>
        </w:trPr>
        <w:tc>
          <w:tcPr>
            <w:tcW w:w="1027" w:type="dxa"/>
            <w:noWrap/>
            <w:hideMark/>
          </w:tcPr>
          <w:p w:rsidR="00FF39E1" w:rsidRPr="00CE03EE" w:rsidRDefault="00FF39E1" w:rsidP="004D2CC1">
            <w:pPr>
              <w:spacing w:before="0" w:after="0"/>
              <w:rPr>
                <w:b/>
                <w:bCs/>
              </w:rPr>
            </w:pPr>
            <w:r w:rsidRPr="00F30663">
              <w:rPr>
                <w:b/>
              </w:rPr>
              <w:t>2013</w:t>
            </w:r>
          </w:p>
        </w:tc>
        <w:tc>
          <w:tcPr>
            <w:tcW w:w="1027" w:type="dxa"/>
            <w:noWrap/>
            <w:hideMark/>
          </w:tcPr>
          <w:p w:rsidR="00FF39E1" w:rsidRPr="00CE03EE" w:rsidRDefault="00FF39E1" w:rsidP="004D2CC1">
            <w:pPr>
              <w:spacing w:before="0" w:after="0"/>
              <w:jc w:val="center"/>
            </w:pPr>
            <w:r w:rsidRPr="00F30663">
              <w:t>2</w:t>
            </w:r>
            <w:r w:rsidRPr="00CE03EE">
              <w:t>,</w:t>
            </w:r>
            <w:r w:rsidRPr="00F30663">
              <w:t>7</w:t>
            </w:r>
          </w:p>
        </w:tc>
        <w:tc>
          <w:tcPr>
            <w:tcW w:w="1027" w:type="dxa"/>
            <w:noWrap/>
            <w:hideMark/>
          </w:tcPr>
          <w:p w:rsidR="00FF39E1" w:rsidRPr="00CE03EE" w:rsidRDefault="00FF39E1" w:rsidP="004D2CC1">
            <w:pPr>
              <w:spacing w:before="0" w:after="0"/>
              <w:jc w:val="center"/>
            </w:pPr>
            <w:r w:rsidRPr="00F30663">
              <w:t>0</w:t>
            </w:r>
            <w:r w:rsidRPr="00CE03EE">
              <w:t>,</w:t>
            </w:r>
            <w:r w:rsidRPr="00F30663">
              <w:t>6</w:t>
            </w:r>
          </w:p>
        </w:tc>
        <w:tc>
          <w:tcPr>
            <w:tcW w:w="1027" w:type="dxa"/>
            <w:noWrap/>
            <w:hideMark/>
          </w:tcPr>
          <w:p w:rsidR="00FF39E1" w:rsidRPr="00CE03EE" w:rsidRDefault="00FF39E1" w:rsidP="004D2CC1">
            <w:pPr>
              <w:spacing w:before="0" w:after="0"/>
              <w:jc w:val="center"/>
            </w:pPr>
            <w:r w:rsidRPr="00F30663">
              <w:t>4</w:t>
            </w:r>
            <w:r w:rsidRPr="00CE03EE">
              <w:t>,</w:t>
            </w:r>
            <w:r w:rsidRPr="00F30663">
              <w:t>1</w:t>
            </w:r>
          </w:p>
        </w:tc>
        <w:tc>
          <w:tcPr>
            <w:tcW w:w="1027" w:type="dxa"/>
            <w:noWrap/>
            <w:hideMark/>
          </w:tcPr>
          <w:p w:rsidR="00FF39E1" w:rsidRPr="00CE03EE" w:rsidRDefault="00FF39E1" w:rsidP="004D2CC1">
            <w:pPr>
              <w:spacing w:before="0" w:after="0"/>
              <w:jc w:val="center"/>
            </w:pPr>
            <w:r w:rsidRPr="00F30663">
              <w:t>1</w:t>
            </w:r>
            <w:r w:rsidRPr="00CE03EE">
              <w:t>,</w:t>
            </w:r>
            <w:r w:rsidRPr="00F30663">
              <w:t>0</w:t>
            </w:r>
          </w:p>
        </w:tc>
        <w:tc>
          <w:tcPr>
            <w:tcW w:w="1027" w:type="dxa"/>
            <w:noWrap/>
            <w:hideMark/>
          </w:tcPr>
          <w:p w:rsidR="00FF39E1" w:rsidRPr="00CE03EE" w:rsidRDefault="00FF39E1" w:rsidP="004D2CC1">
            <w:pPr>
              <w:spacing w:before="0" w:after="0"/>
              <w:jc w:val="center"/>
            </w:pPr>
            <w:r w:rsidRPr="00F30663">
              <w:t>0</w:t>
            </w:r>
            <w:r w:rsidRPr="00CE03EE">
              <w:t>,</w:t>
            </w:r>
            <w:r w:rsidRPr="00F30663">
              <w:t>8</w:t>
            </w:r>
          </w:p>
        </w:tc>
        <w:tc>
          <w:tcPr>
            <w:tcW w:w="1027" w:type="dxa"/>
            <w:noWrap/>
            <w:hideMark/>
          </w:tcPr>
          <w:p w:rsidR="00FF39E1" w:rsidRPr="00CE03EE" w:rsidRDefault="00FF39E1" w:rsidP="004D2CC1">
            <w:pPr>
              <w:spacing w:before="0" w:after="0"/>
              <w:jc w:val="center"/>
            </w:pPr>
            <w:r w:rsidRPr="00F30663">
              <w:t>1</w:t>
            </w:r>
            <w:r w:rsidRPr="00CE03EE">
              <w:t>,</w:t>
            </w:r>
            <w:r w:rsidRPr="00F30663">
              <w:t>2</w:t>
            </w:r>
          </w:p>
        </w:tc>
      </w:tr>
      <w:tr w:rsidR="00F401B9" w:rsidRPr="00CE03EE" w:rsidTr="002B72D4">
        <w:trPr>
          <w:jc w:val="center"/>
        </w:trPr>
        <w:tc>
          <w:tcPr>
            <w:tcW w:w="1027" w:type="dxa"/>
            <w:noWrap/>
            <w:hideMark/>
          </w:tcPr>
          <w:p w:rsidR="00FF39E1" w:rsidRPr="00CE03EE" w:rsidRDefault="00FF39E1" w:rsidP="004D2CC1">
            <w:pPr>
              <w:spacing w:before="0" w:after="0"/>
              <w:rPr>
                <w:b/>
                <w:bCs/>
              </w:rPr>
            </w:pPr>
            <w:r w:rsidRPr="00F30663">
              <w:rPr>
                <w:b/>
              </w:rPr>
              <w:t>2014</w:t>
            </w:r>
          </w:p>
        </w:tc>
        <w:tc>
          <w:tcPr>
            <w:tcW w:w="1027" w:type="dxa"/>
            <w:noWrap/>
            <w:hideMark/>
          </w:tcPr>
          <w:p w:rsidR="00FF39E1" w:rsidRPr="00CE03EE" w:rsidRDefault="00FF39E1" w:rsidP="004D2CC1">
            <w:pPr>
              <w:spacing w:before="0" w:after="0"/>
              <w:jc w:val="center"/>
            </w:pPr>
            <w:r w:rsidRPr="00F30663">
              <w:t>1</w:t>
            </w:r>
            <w:r w:rsidRPr="00CE03EE">
              <w:t>,</w:t>
            </w:r>
            <w:r w:rsidRPr="00F30663">
              <w:t>9</w:t>
            </w:r>
          </w:p>
        </w:tc>
        <w:tc>
          <w:tcPr>
            <w:tcW w:w="1027" w:type="dxa"/>
            <w:noWrap/>
            <w:hideMark/>
          </w:tcPr>
          <w:p w:rsidR="00FF39E1" w:rsidRPr="00CE03EE" w:rsidRDefault="00FF39E1" w:rsidP="004D2CC1">
            <w:pPr>
              <w:spacing w:before="0" w:after="0"/>
              <w:jc w:val="center"/>
            </w:pPr>
            <w:r w:rsidRPr="00F30663">
              <w:t>0</w:t>
            </w:r>
            <w:r w:rsidRPr="00CE03EE">
              <w:t>,</w:t>
            </w:r>
            <w:r w:rsidRPr="00F30663">
              <w:t>6</w:t>
            </w:r>
          </w:p>
        </w:tc>
        <w:tc>
          <w:tcPr>
            <w:tcW w:w="1027" w:type="dxa"/>
            <w:noWrap/>
            <w:hideMark/>
          </w:tcPr>
          <w:p w:rsidR="00FF39E1" w:rsidRPr="00CE03EE" w:rsidRDefault="00FF39E1" w:rsidP="004D2CC1">
            <w:pPr>
              <w:spacing w:before="0" w:after="0"/>
              <w:jc w:val="center"/>
            </w:pPr>
            <w:r w:rsidRPr="00F30663">
              <w:t>4</w:t>
            </w:r>
            <w:r w:rsidRPr="00CE03EE">
              <w:t>,</w:t>
            </w:r>
            <w:r w:rsidRPr="00F30663">
              <w:t>3</w:t>
            </w:r>
          </w:p>
        </w:tc>
        <w:tc>
          <w:tcPr>
            <w:tcW w:w="1027" w:type="dxa"/>
            <w:noWrap/>
            <w:hideMark/>
          </w:tcPr>
          <w:p w:rsidR="00FF39E1" w:rsidRPr="00CE03EE" w:rsidRDefault="00FF39E1" w:rsidP="004D2CC1">
            <w:pPr>
              <w:spacing w:before="0" w:after="0"/>
              <w:jc w:val="center"/>
            </w:pPr>
            <w:r w:rsidRPr="00F30663">
              <w:t>0</w:t>
            </w:r>
            <w:r w:rsidRPr="00CE03EE">
              <w:t>,</w:t>
            </w:r>
            <w:r w:rsidRPr="00F30663">
              <w:t>9</w:t>
            </w:r>
          </w:p>
        </w:tc>
        <w:tc>
          <w:tcPr>
            <w:tcW w:w="1027" w:type="dxa"/>
            <w:noWrap/>
            <w:hideMark/>
          </w:tcPr>
          <w:p w:rsidR="00FF39E1" w:rsidRPr="00CE03EE" w:rsidRDefault="00FF39E1" w:rsidP="004D2CC1">
            <w:pPr>
              <w:spacing w:before="0" w:after="0"/>
              <w:jc w:val="center"/>
            </w:pPr>
            <w:r w:rsidRPr="00F30663">
              <w:t>0</w:t>
            </w:r>
            <w:r w:rsidRPr="00CE03EE">
              <w:t>,</w:t>
            </w:r>
            <w:r w:rsidRPr="00F30663">
              <w:t>9</w:t>
            </w:r>
          </w:p>
        </w:tc>
        <w:tc>
          <w:tcPr>
            <w:tcW w:w="1027" w:type="dxa"/>
            <w:noWrap/>
            <w:hideMark/>
          </w:tcPr>
          <w:p w:rsidR="00FF39E1" w:rsidRPr="00CE03EE" w:rsidRDefault="00FF39E1" w:rsidP="004D2CC1">
            <w:pPr>
              <w:spacing w:before="0" w:after="0"/>
              <w:jc w:val="center"/>
            </w:pPr>
            <w:r w:rsidRPr="00F30663">
              <w:t>1</w:t>
            </w:r>
            <w:r w:rsidRPr="00CE03EE">
              <w:t>,</w:t>
            </w:r>
            <w:r w:rsidRPr="00F30663">
              <w:t>3</w:t>
            </w:r>
          </w:p>
        </w:tc>
      </w:tr>
      <w:tr w:rsidR="00F401B9" w:rsidRPr="00CE03EE" w:rsidTr="002B72D4">
        <w:trPr>
          <w:jc w:val="center"/>
        </w:trPr>
        <w:tc>
          <w:tcPr>
            <w:tcW w:w="1027" w:type="dxa"/>
            <w:noWrap/>
            <w:hideMark/>
          </w:tcPr>
          <w:p w:rsidR="00FF39E1" w:rsidRPr="00CE03EE" w:rsidRDefault="00FF39E1" w:rsidP="004D2CC1">
            <w:pPr>
              <w:spacing w:before="0" w:after="0"/>
              <w:rPr>
                <w:b/>
                <w:bCs/>
              </w:rPr>
            </w:pPr>
            <w:r w:rsidRPr="00F30663">
              <w:rPr>
                <w:b/>
              </w:rPr>
              <w:t>2015</w:t>
            </w:r>
          </w:p>
        </w:tc>
        <w:tc>
          <w:tcPr>
            <w:tcW w:w="1027" w:type="dxa"/>
            <w:noWrap/>
            <w:hideMark/>
          </w:tcPr>
          <w:p w:rsidR="00FF39E1" w:rsidRPr="00CE03EE" w:rsidRDefault="00FF39E1" w:rsidP="004D2CC1">
            <w:pPr>
              <w:spacing w:before="0" w:after="0"/>
              <w:jc w:val="center"/>
            </w:pPr>
            <w:r w:rsidRPr="00F30663">
              <w:t>2</w:t>
            </w:r>
            <w:r w:rsidRPr="00CE03EE">
              <w:t>,</w:t>
            </w:r>
            <w:r w:rsidRPr="00F30663">
              <w:t>5</w:t>
            </w:r>
          </w:p>
        </w:tc>
        <w:tc>
          <w:tcPr>
            <w:tcW w:w="1027" w:type="dxa"/>
            <w:noWrap/>
            <w:hideMark/>
          </w:tcPr>
          <w:p w:rsidR="00FF39E1" w:rsidRPr="00CE03EE" w:rsidRDefault="00FF39E1" w:rsidP="004D2CC1">
            <w:pPr>
              <w:spacing w:before="0" w:after="0"/>
              <w:jc w:val="center"/>
            </w:pPr>
            <w:r w:rsidRPr="00F30663">
              <w:t>0</w:t>
            </w:r>
            <w:r w:rsidRPr="00CE03EE">
              <w:t>,</w:t>
            </w:r>
            <w:r w:rsidRPr="00F30663">
              <w:t>9</w:t>
            </w:r>
          </w:p>
        </w:tc>
        <w:tc>
          <w:tcPr>
            <w:tcW w:w="1027" w:type="dxa"/>
            <w:noWrap/>
            <w:hideMark/>
          </w:tcPr>
          <w:p w:rsidR="00FF39E1" w:rsidRPr="00CE03EE" w:rsidRDefault="00FF39E1" w:rsidP="004D2CC1">
            <w:pPr>
              <w:spacing w:before="0" w:after="0"/>
              <w:jc w:val="center"/>
            </w:pPr>
            <w:r w:rsidRPr="00F30663">
              <w:t>5</w:t>
            </w:r>
            <w:r w:rsidRPr="00CE03EE">
              <w:t>,</w:t>
            </w:r>
            <w:r w:rsidRPr="00F30663">
              <w:t>1</w:t>
            </w:r>
          </w:p>
        </w:tc>
        <w:tc>
          <w:tcPr>
            <w:tcW w:w="1027" w:type="dxa"/>
            <w:noWrap/>
            <w:hideMark/>
          </w:tcPr>
          <w:p w:rsidR="00FF39E1" w:rsidRPr="00CE03EE" w:rsidRDefault="00FF39E1" w:rsidP="004D2CC1">
            <w:pPr>
              <w:spacing w:before="0" w:after="0"/>
              <w:jc w:val="center"/>
            </w:pPr>
            <w:r w:rsidRPr="00F30663">
              <w:t>0</w:t>
            </w:r>
            <w:r w:rsidRPr="00CE03EE">
              <w:t>,</w:t>
            </w:r>
            <w:r w:rsidRPr="00F30663">
              <w:t>7</w:t>
            </w:r>
          </w:p>
        </w:tc>
        <w:tc>
          <w:tcPr>
            <w:tcW w:w="1027" w:type="dxa"/>
            <w:noWrap/>
            <w:hideMark/>
          </w:tcPr>
          <w:p w:rsidR="00FF39E1" w:rsidRPr="00CE03EE" w:rsidRDefault="00FF39E1" w:rsidP="004D2CC1">
            <w:pPr>
              <w:spacing w:before="0" w:after="0"/>
              <w:jc w:val="center"/>
            </w:pPr>
            <w:r w:rsidRPr="00CE03EE">
              <w:t>s.o.</w:t>
            </w:r>
          </w:p>
        </w:tc>
        <w:tc>
          <w:tcPr>
            <w:tcW w:w="1027" w:type="dxa"/>
            <w:noWrap/>
            <w:hideMark/>
          </w:tcPr>
          <w:p w:rsidR="00FF39E1" w:rsidRPr="00CE03EE" w:rsidRDefault="00FF39E1" w:rsidP="004D2CC1">
            <w:pPr>
              <w:spacing w:before="0" w:after="0"/>
              <w:jc w:val="center"/>
            </w:pPr>
            <w:r w:rsidRPr="00F30663">
              <w:t>1</w:t>
            </w:r>
            <w:r w:rsidRPr="00CE03EE">
              <w:t>,</w:t>
            </w:r>
            <w:r w:rsidRPr="00F30663">
              <w:t>2</w:t>
            </w:r>
          </w:p>
        </w:tc>
      </w:tr>
    </w:tbl>
    <w:p w:rsidR="00EB2313" w:rsidRPr="00CE03EE" w:rsidRDefault="00EB2313" w:rsidP="004D2CC1">
      <w:pPr>
        <w:spacing w:after="0"/>
        <w:rPr>
          <w:sz w:val="16"/>
          <w:szCs w:val="16"/>
        </w:rPr>
      </w:pPr>
      <w:r w:rsidRPr="00CE03EE">
        <w:rPr>
          <w:i/>
          <w:sz w:val="16"/>
        </w:rPr>
        <w:t>Source:</w:t>
      </w:r>
      <w:r w:rsidRPr="00CE03EE">
        <w:rPr>
          <w:sz w:val="16"/>
        </w:rPr>
        <w:t xml:space="preserve"> </w:t>
      </w:r>
      <w:r w:rsidR="00B02E58" w:rsidRPr="00CE03EE">
        <w:rPr>
          <w:sz w:val="16"/>
        </w:rPr>
        <w:t>AIE</w:t>
      </w:r>
      <w:r w:rsidRPr="00CE03EE">
        <w:rPr>
          <w:sz w:val="16"/>
        </w:rPr>
        <w:t xml:space="preserve">, Platts, ministère des </w:t>
      </w:r>
      <w:r w:rsidR="00B02E58" w:rsidRPr="00CE03EE">
        <w:rPr>
          <w:sz w:val="16"/>
        </w:rPr>
        <w:t xml:space="preserve">Mines </w:t>
      </w:r>
      <w:r w:rsidRPr="00CE03EE">
        <w:rPr>
          <w:sz w:val="16"/>
        </w:rPr>
        <w:t>et de l</w:t>
      </w:r>
      <w:r w:rsidR="00C869EE">
        <w:rPr>
          <w:sz w:val="16"/>
        </w:rPr>
        <w:t>’</w:t>
      </w:r>
      <w:r w:rsidR="00B02E58" w:rsidRPr="00CE03EE">
        <w:rPr>
          <w:sz w:val="16"/>
        </w:rPr>
        <w:t xml:space="preserve">Énergie </w:t>
      </w:r>
      <w:r w:rsidRPr="00CE03EE">
        <w:rPr>
          <w:sz w:val="16"/>
        </w:rPr>
        <w:t xml:space="preserve">du Brésil, </w:t>
      </w:r>
      <w:r w:rsidR="00B02E58" w:rsidRPr="00CE03EE">
        <w:rPr>
          <w:sz w:val="16"/>
        </w:rPr>
        <w:t xml:space="preserve">centre </w:t>
      </w:r>
      <w:r w:rsidRPr="00CE03EE">
        <w:rPr>
          <w:sz w:val="16"/>
        </w:rPr>
        <w:t xml:space="preserve">chinois de surveillance des prix, </w:t>
      </w:r>
      <w:r w:rsidR="00B02E58" w:rsidRPr="00CE03EE">
        <w:rPr>
          <w:sz w:val="16"/>
        </w:rPr>
        <w:t xml:space="preserve">service </w:t>
      </w:r>
      <w:r w:rsidRPr="00CE03EE">
        <w:rPr>
          <w:sz w:val="16"/>
        </w:rPr>
        <w:t>fédéral des statistiques de la Fédération de Russie. Pour les États-Unis et le Japon, les données relatives aux prix à l</w:t>
      </w:r>
      <w:r w:rsidR="00C869EE">
        <w:rPr>
          <w:sz w:val="16"/>
        </w:rPr>
        <w:t>’</w:t>
      </w:r>
      <w:r w:rsidRPr="00CE03EE">
        <w:rPr>
          <w:sz w:val="16"/>
        </w:rPr>
        <w:t>importation de GNL sont comparées avec les prix à l</w:t>
      </w:r>
      <w:r w:rsidR="00C869EE">
        <w:rPr>
          <w:sz w:val="16"/>
        </w:rPr>
        <w:t>’</w:t>
      </w:r>
      <w:r w:rsidRPr="00CE03EE">
        <w:rPr>
          <w:sz w:val="16"/>
        </w:rPr>
        <w:t>importation de GNL en Europe occidentale.</w:t>
      </w:r>
    </w:p>
    <w:p w:rsidR="00B165D8" w:rsidRPr="00CE03EE" w:rsidRDefault="00F33126" w:rsidP="004D2CC1">
      <w:pPr>
        <w:spacing w:before="0" w:after="0"/>
        <w:rPr>
          <w:sz w:val="16"/>
          <w:szCs w:val="16"/>
        </w:rPr>
      </w:pPr>
      <w:r w:rsidRPr="00CE03EE">
        <w:rPr>
          <w:sz w:val="16"/>
        </w:rPr>
        <w:t>Ex</w:t>
      </w:r>
      <w:r w:rsidR="00EE555B" w:rsidRPr="00CE03EE">
        <w:rPr>
          <w:sz w:val="16"/>
        </w:rPr>
        <w:t>.: les prix dans l</w:t>
      </w:r>
      <w:r w:rsidR="00C869EE">
        <w:rPr>
          <w:sz w:val="16"/>
        </w:rPr>
        <w:t>’</w:t>
      </w:r>
      <w:r w:rsidR="00EE555B" w:rsidRPr="00CE03EE">
        <w:rPr>
          <w:sz w:val="16"/>
        </w:rPr>
        <w:t xml:space="preserve">UE ont été </w:t>
      </w:r>
      <w:r w:rsidR="00EE555B" w:rsidRPr="00F30663">
        <w:rPr>
          <w:sz w:val="16"/>
        </w:rPr>
        <w:t>3</w:t>
      </w:r>
      <w:r w:rsidR="00EE555B" w:rsidRPr="00CE03EE">
        <w:rPr>
          <w:sz w:val="16"/>
        </w:rPr>
        <w:t>,</w:t>
      </w:r>
      <w:r w:rsidR="00EE555B" w:rsidRPr="00F30663">
        <w:rPr>
          <w:sz w:val="16"/>
        </w:rPr>
        <w:t>3</w:t>
      </w:r>
      <w:r w:rsidR="00EE555B" w:rsidRPr="00CE03EE">
        <w:rPr>
          <w:sz w:val="16"/>
        </w:rPr>
        <w:t xml:space="preserve"> fois supérieurs à ceux des États-Unis</w:t>
      </w:r>
      <w:r w:rsidRPr="00CE03EE">
        <w:rPr>
          <w:sz w:val="16"/>
        </w:rPr>
        <w:t xml:space="preserve"> en </w:t>
      </w:r>
      <w:r w:rsidRPr="00F30663">
        <w:rPr>
          <w:sz w:val="16"/>
        </w:rPr>
        <w:t>2012</w:t>
      </w:r>
      <w:r w:rsidR="00EE555B" w:rsidRPr="00CE03EE">
        <w:rPr>
          <w:sz w:val="16"/>
        </w:rPr>
        <w:t>; ce coefficient a diminué et s</w:t>
      </w:r>
      <w:r w:rsidR="00C869EE">
        <w:rPr>
          <w:sz w:val="16"/>
        </w:rPr>
        <w:t>’</w:t>
      </w:r>
      <w:r w:rsidR="00EE555B" w:rsidRPr="00CE03EE">
        <w:rPr>
          <w:sz w:val="16"/>
        </w:rPr>
        <w:t xml:space="preserve">est établi à </w:t>
      </w:r>
      <w:r w:rsidR="00EE555B" w:rsidRPr="00F30663">
        <w:rPr>
          <w:sz w:val="16"/>
        </w:rPr>
        <w:t>2</w:t>
      </w:r>
      <w:r w:rsidR="00EE555B" w:rsidRPr="00CE03EE">
        <w:rPr>
          <w:sz w:val="16"/>
        </w:rPr>
        <w:t>,</w:t>
      </w:r>
      <w:r w:rsidR="00EE555B" w:rsidRPr="00F30663">
        <w:rPr>
          <w:sz w:val="16"/>
        </w:rPr>
        <w:t>5</w:t>
      </w:r>
      <w:r w:rsidRPr="00CE03EE">
        <w:rPr>
          <w:sz w:val="16"/>
        </w:rPr>
        <w:t xml:space="preserve"> en </w:t>
      </w:r>
      <w:r w:rsidRPr="00F30663">
        <w:rPr>
          <w:sz w:val="16"/>
        </w:rPr>
        <w:t>2015</w:t>
      </w:r>
      <w:r w:rsidR="00EE555B" w:rsidRPr="00CE03EE">
        <w:rPr>
          <w:sz w:val="16"/>
        </w:rPr>
        <w:t>.</w:t>
      </w:r>
    </w:p>
    <w:p w:rsidR="00B165D8" w:rsidRPr="00CE03EE" w:rsidRDefault="00B165D8">
      <w:pPr>
        <w:spacing w:before="0" w:after="200" w:line="276" w:lineRule="auto"/>
        <w:jc w:val="left"/>
        <w:rPr>
          <w:sz w:val="16"/>
          <w:szCs w:val="16"/>
        </w:rPr>
      </w:pPr>
      <w:r w:rsidRPr="00CE03EE">
        <w:br w:type="page"/>
      </w:r>
    </w:p>
    <w:p w:rsidR="00B165D8" w:rsidRPr="00CE03EE" w:rsidRDefault="00B165D8" w:rsidP="004D2CC1">
      <w:pPr>
        <w:spacing w:before="0" w:after="0"/>
        <w:rPr>
          <w:sz w:val="16"/>
          <w:szCs w:val="16"/>
        </w:rPr>
      </w:pPr>
    </w:p>
    <w:p w:rsidR="00E67309" w:rsidRPr="00CE03EE" w:rsidRDefault="00E67309" w:rsidP="004D2CC1">
      <w:pPr>
        <w:pStyle w:val="Heading1"/>
        <w:spacing w:before="120"/>
        <w:ind w:left="567" w:hanging="567"/>
      </w:pPr>
      <w:r w:rsidRPr="00CE03EE">
        <w:t>Prix des produits pétroliers en Europe</w:t>
      </w:r>
    </w:p>
    <w:p w:rsidR="00E67309" w:rsidRPr="00CE03EE" w:rsidRDefault="00B91B2F" w:rsidP="004D2CC1">
      <w:pPr>
        <w:spacing w:after="0"/>
      </w:pPr>
      <w:r w:rsidRPr="00CE03EE">
        <w:t>Les cours du pétrole brut ont baissé depuis la mi-</w:t>
      </w:r>
      <w:r w:rsidRPr="00F30663">
        <w:t>2014</w:t>
      </w:r>
      <w:r w:rsidRPr="00CE03EE">
        <w:t>, en raison de la faiblesse de la demande et d</w:t>
      </w:r>
      <w:r w:rsidR="00C869EE">
        <w:t>’</w:t>
      </w:r>
      <w:r w:rsidRPr="00CE03EE">
        <w:t>une croissance soutenue de l</w:t>
      </w:r>
      <w:r w:rsidR="00C869EE">
        <w:t>’</w:t>
      </w:r>
      <w:r w:rsidRPr="00CE03EE">
        <w:t>offre. D</w:t>
      </w:r>
      <w:r w:rsidR="00C869EE">
        <w:t>’</w:t>
      </w:r>
      <w:r w:rsidRPr="00CE03EE">
        <w:t xml:space="preserve">un maximum de </w:t>
      </w:r>
      <w:r w:rsidRPr="00F30663">
        <w:t>115</w:t>
      </w:r>
      <w:r w:rsidRPr="00CE03EE">
        <w:t xml:space="preserve"> USD/bbl en juin </w:t>
      </w:r>
      <w:r w:rsidRPr="00F30663">
        <w:t>2014</w:t>
      </w:r>
      <w:r w:rsidRPr="00CE03EE">
        <w:t xml:space="preserve">, le Brent a chuté à </w:t>
      </w:r>
      <w:r w:rsidRPr="00F30663">
        <w:t>26</w:t>
      </w:r>
      <w:r w:rsidRPr="00CE03EE">
        <w:t xml:space="preserve"> USD/bbl le </w:t>
      </w:r>
      <w:r w:rsidRPr="00F30663">
        <w:t>20</w:t>
      </w:r>
      <w:r w:rsidRPr="00CE03EE">
        <w:t xml:space="preserve"> janvier </w:t>
      </w:r>
      <w:r w:rsidRPr="00F30663">
        <w:t>2016</w:t>
      </w:r>
      <w:r w:rsidRPr="00CE03EE">
        <w:t xml:space="preserve">, son niveau le plus bas depuis </w:t>
      </w:r>
      <w:r w:rsidRPr="00F30663">
        <w:t>2003</w:t>
      </w:r>
      <w:r w:rsidRPr="00CE03EE">
        <w:t xml:space="preserve">. Cela signifie que le cours a baissé de </w:t>
      </w:r>
      <w:r w:rsidRPr="00F30663">
        <w:t>77</w:t>
      </w:r>
      <w:r w:rsidR="0085744A" w:rsidRPr="00CE03EE">
        <w:t> %</w:t>
      </w:r>
      <w:r w:rsidRPr="00CE03EE">
        <w:t xml:space="preserve"> en </w:t>
      </w:r>
      <w:r w:rsidRPr="00F30663">
        <w:t>19</w:t>
      </w:r>
      <w:r w:rsidRPr="00CE03EE">
        <w:t xml:space="preserve"> mois. En juin </w:t>
      </w:r>
      <w:r w:rsidRPr="00F30663">
        <w:t>2016</w:t>
      </w:r>
      <w:r w:rsidRPr="00CE03EE">
        <w:t xml:space="preserve">, les cours se sont rétablis à </w:t>
      </w:r>
      <w:r w:rsidRPr="00F30663">
        <w:t>50</w:t>
      </w:r>
      <w:r w:rsidRPr="00CE03EE">
        <w:t xml:space="preserve"> USD/bbl et se situent depuis lors dans la tranche </w:t>
      </w:r>
      <w:r w:rsidRPr="00F30663">
        <w:t>40</w:t>
      </w:r>
      <w:r w:rsidRPr="00CE03EE">
        <w:t>-</w:t>
      </w:r>
      <w:r w:rsidRPr="00F30663">
        <w:t>50</w:t>
      </w:r>
      <w:r w:rsidRPr="00CE03EE">
        <w:t xml:space="preserve"> USD/bbl.</w:t>
      </w:r>
    </w:p>
    <w:p w:rsidR="00E67309" w:rsidRPr="00CE03EE" w:rsidRDefault="00E67309" w:rsidP="004D2CC1">
      <w:pPr>
        <w:spacing w:after="0"/>
      </w:pPr>
      <w:r w:rsidRPr="00CE03EE">
        <w:t>La forte chute des cours du pétrole s</w:t>
      </w:r>
      <w:r w:rsidR="00C869EE">
        <w:t>’</w:t>
      </w:r>
      <w:r w:rsidRPr="00CE03EE">
        <w:t>est répercutée sur les marchés de détail, mais ses effets ont été atténués par la dépréciation de l</w:t>
      </w:r>
      <w:r w:rsidR="00C869EE">
        <w:t>’</w:t>
      </w:r>
      <w:r w:rsidRPr="00CE03EE">
        <w:t>euro et les droits d</w:t>
      </w:r>
      <w:r w:rsidR="00C869EE">
        <w:t>’</w:t>
      </w:r>
      <w:r w:rsidRPr="00CE03EE">
        <w:t>accise sur les produits pétroliers, qui représentent une proportion importante du prix à la consommation. Cependant, les prix à la consommation de l</w:t>
      </w:r>
      <w:r w:rsidR="00C869EE">
        <w:t>’</w:t>
      </w:r>
      <w:r w:rsidRPr="00CE03EE">
        <w:t xml:space="preserve">essence et du diesel (y compris les taxes et les droits) ont baissé de </w:t>
      </w:r>
      <w:r w:rsidRPr="00F30663">
        <w:t>24</w:t>
      </w:r>
      <w:r w:rsidR="0085744A" w:rsidRPr="00CE03EE">
        <w:t> %</w:t>
      </w:r>
      <w:r w:rsidRPr="00CE03EE">
        <w:t xml:space="preserve"> et de </w:t>
      </w:r>
      <w:r w:rsidRPr="00F30663">
        <w:t>28</w:t>
      </w:r>
      <w:r w:rsidR="0085744A" w:rsidRPr="00CE03EE">
        <w:t> %</w:t>
      </w:r>
      <w:r w:rsidRPr="00CE03EE">
        <w:t xml:space="preserve"> respectivement entre la fin juin </w:t>
      </w:r>
      <w:r w:rsidRPr="00F30663">
        <w:t>2014</w:t>
      </w:r>
      <w:r w:rsidRPr="00CE03EE">
        <w:t xml:space="preserve"> et la mi-février </w:t>
      </w:r>
      <w:r w:rsidRPr="00F30663">
        <w:t>2016</w:t>
      </w:r>
      <w:r w:rsidRPr="00CE03EE">
        <w:t xml:space="preserve">, les prix de détail </w:t>
      </w:r>
      <w:r w:rsidR="003B498F" w:rsidRPr="00CE03EE">
        <w:t>atteignant</w:t>
      </w:r>
      <w:r w:rsidRPr="00CE03EE">
        <w:t xml:space="preserve"> </w:t>
      </w:r>
      <w:r w:rsidR="003B498F" w:rsidRPr="00CE03EE">
        <w:t xml:space="preserve">un </w:t>
      </w:r>
      <w:r w:rsidRPr="00CE03EE">
        <w:t>plancher et les prix moyens à la consommation de</w:t>
      </w:r>
      <w:r w:rsidR="00EE466B" w:rsidRPr="00CE03EE">
        <w:t>s</w:t>
      </w:r>
      <w:r w:rsidRPr="00CE03EE">
        <w:t xml:space="preserve"> carburants en Europe se situant à leur niveau le plus bas depuis </w:t>
      </w:r>
      <w:r w:rsidRPr="00F30663">
        <w:t>2009</w:t>
      </w:r>
      <w:r w:rsidRPr="00CE03EE">
        <w:t>.</w:t>
      </w:r>
    </w:p>
    <w:p w:rsidR="003A1442" w:rsidRPr="00CE03EE" w:rsidRDefault="00E67309" w:rsidP="004D2CC1">
      <w:pPr>
        <w:spacing w:after="0"/>
      </w:pPr>
      <w:r w:rsidRPr="00CE03EE">
        <w:t>Les taxes et prélèvements sur l</w:t>
      </w:r>
      <w:r w:rsidR="00C869EE">
        <w:t>’</w:t>
      </w:r>
      <w:r w:rsidRPr="00CE03EE">
        <w:t>essence et le gazole routier sont élevés, mais ont varié au fil du temps. La directive sur la taxation de l’énergie</w:t>
      </w:r>
      <w:r w:rsidRPr="00CE03EE">
        <w:rPr>
          <w:rStyle w:val="FootnoteReference"/>
        </w:rPr>
        <w:footnoteReference w:id="15"/>
      </w:r>
      <w:r w:rsidRPr="00CE03EE">
        <w:t xml:space="preserve"> fixe des taux d</w:t>
      </w:r>
      <w:r w:rsidR="00C869EE">
        <w:t>’</w:t>
      </w:r>
      <w:r w:rsidRPr="00CE03EE">
        <w:t xml:space="preserve">accise minimaux, mais pratiquement tous les États membres choisissent </w:t>
      </w:r>
      <w:r w:rsidR="00EE466B" w:rsidRPr="00CE03EE">
        <w:t>de fixer</w:t>
      </w:r>
      <w:r w:rsidRPr="00CE03EE">
        <w:t xml:space="preserve"> des taux plus élevés. Les droits d</w:t>
      </w:r>
      <w:r w:rsidR="00C869EE">
        <w:t>’</w:t>
      </w:r>
      <w:r w:rsidRPr="00CE03EE">
        <w:t>accise sur l</w:t>
      </w:r>
      <w:r w:rsidR="00C869EE">
        <w:t>’</w:t>
      </w:r>
      <w:r w:rsidRPr="00CE03EE">
        <w:t xml:space="preserve">essence se situent entre </w:t>
      </w:r>
      <w:r w:rsidRPr="00F30663">
        <w:t>0</w:t>
      </w:r>
      <w:r w:rsidRPr="00CE03EE">
        <w:t>,</w:t>
      </w:r>
      <w:r w:rsidRPr="00F30663">
        <w:t>36</w:t>
      </w:r>
      <w:r w:rsidRPr="00CE03EE">
        <w:t xml:space="preserve"> EUR/litre en Bulgarie (le taux minimal) et </w:t>
      </w:r>
      <w:r w:rsidRPr="00F30663">
        <w:t>0</w:t>
      </w:r>
      <w:r w:rsidRPr="00CE03EE">
        <w:t>,</w:t>
      </w:r>
      <w:r w:rsidR="00EE466B" w:rsidRPr="00F30663">
        <w:t>77</w:t>
      </w:r>
      <w:r w:rsidR="00EE466B" w:rsidRPr="00CE03EE">
        <w:t> </w:t>
      </w:r>
      <w:r w:rsidRPr="00CE03EE">
        <w:t>EUR/litre aux Pays-Bas. Pour un ensemble de raisons d</w:t>
      </w:r>
      <w:r w:rsidR="00C869EE">
        <w:t>’</w:t>
      </w:r>
      <w:r w:rsidRPr="00CE03EE">
        <w:t xml:space="preserve">ordre environnemental, économique et </w:t>
      </w:r>
      <w:r w:rsidR="003B498F" w:rsidRPr="00CE03EE">
        <w:t>budgétaire</w:t>
      </w:r>
      <w:r w:rsidRPr="00CE03EE">
        <w:t>, l</w:t>
      </w:r>
      <w:r w:rsidR="00C869EE">
        <w:t>’</w:t>
      </w:r>
      <w:r w:rsidRPr="00CE03EE">
        <w:t xml:space="preserve">essence et le diesel constituent une assiette fiscale importante pour les États membres. En </w:t>
      </w:r>
      <w:r w:rsidRPr="00F30663">
        <w:t>2015</w:t>
      </w:r>
      <w:r w:rsidRPr="00CE03EE">
        <w:t xml:space="preserve">, les taxes ont représenté </w:t>
      </w:r>
      <w:r w:rsidRPr="00F30663">
        <w:t>63</w:t>
      </w:r>
      <w:r w:rsidR="0085744A" w:rsidRPr="00CE03EE">
        <w:t> %</w:t>
      </w:r>
      <w:r w:rsidRPr="00CE03EE">
        <w:t xml:space="preserve"> du prix moyen de détail de l</w:t>
      </w:r>
      <w:r w:rsidR="00C869EE">
        <w:t>’</w:t>
      </w:r>
      <w:r w:rsidRPr="00CE03EE">
        <w:t xml:space="preserve">essence et </w:t>
      </w:r>
      <w:r w:rsidRPr="00F30663">
        <w:t>57</w:t>
      </w:r>
      <w:r w:rsidR="0085744A" w:rsidRPr="00CE03EE">
        <w:t> %</w:t>
      </w:r>
      <w:r w:rsidRPr="00CE03EE">
        <w:t xml:space="preserve"> du prix du diesel.</w:t>
      </w:r>
    </w:p>
    <w:p w:rsidR="00F22EFA" w:rsidRPr="00CE03EE" w:rsidRDefault="00F22EFA" w:rsidP="004D2CC1">
      <w:pPr>
        <w:spacing w:before="0" w:after="200"/>
        <w:jc w:val="left"/>
        <w:rPr>
          <w:b/>
          <w:color w:val="000000"/>
        </w:rPr>
      </w:pPr>
    </w:p>
    <w:p w:rsidR="00E86A4C" w:rsidRPr="00CE03EE" w:rsidRDefault="00042CF9" w:rsidP="004D2CC1">
      <w:pPr>
        <w:ind w:left="1134" w:hanging="1134"/>
        <w:jc w:val="left"/>
        <w:rPr>
          <w:b/>
          <w:color w:val="000000"/>
        </w:rPr>
      </w:pPr>
      <w:r w:rsidRPr="00CE03EE">
        <w:rPr>
          <w:b/>
          <w:color w:val="000000"/>
        </w:rPr>
        <w:t xml:space="preserve">Figure </w:t>
      </w:r>
      <w:r w:rsidRPr="00F30663">
        <w:rPr>
          <w:b/>
          <w:color w:val="000000"/>
        </w:rPr>
        <w:t>15</w:t>
      </w:r>
      <w:r w:rsidRPr="00CE03EE">
        <w:rPr>
          <w:b/>
          <w:color w:val="000000"/>
        </w:rPr>
        <w:t>:</w:t>
      </w:r>
      <w:r w:rsidRPr="00CE03EE">
        <w:tab/>
      </w:r>
      <w:r w:rsidRPr="00CE03EE">
        <w:rPr>
          <w:b/>
        </w:rPr>
        <w:t>Prix de l</w:t>
      </w:r>
      <w:r w:rsidR="00C869EE">
        <w:rPr>
          <w:b/>
        </w:rPr>
        <w:t>’</w:t>
      </w:r>
      <w:r w:rsidRPr="00CE03EE">
        <w:rPr>
          <w:b/>
        </w:rPr>
        <w:t>essence par État membre</w:t>
      </w:r>
      <w:r w:rsidRPr="00CE03EE">
        <w:t xml:space="preserve"> (</w:t>
      </w:r>
      <w:r w:rsidRPr="00F30663">
        <w:rPr>
          <w:b/>
        </w:rPr>
        <w:t>2015</w:t>
      </w:r>
      <w:r w:rsidRPr="00CE03EE">
        <w:rPr>
          <w:b/>
        </w:rPr>
        <w:t>)</w:t>
      </w:r>
    </w:p>
    <w:p w:rsidR="005D4BF4" w:rsidRPr="00CE03EE" w:rsidRDefault="002C39D3" w:rsidP="004D2CC1">
      <w:pPr>
        <w:spacing w:before="0" w:after="0"/>
        <w:jc w:val="center"/>
      </w:pPr>
      <w:r w:rsidRPr="00CE03EE">
        <w:rPr>
          <w:noProof/>
          <w:lang w:val="en-GB" w:eastAsia="en-GB" w:bidi="ar-SA"/>
        </w:rPr>
        <w:drawing>
          <wp:inline distT="0" distB="0" distL="0" distR="0" wp14:anchorId="2F795DD4" wp14:editId="5E1148B4">
            <wp:extent cx="5831840" cy="32095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31840" cy="3209521"/>
                    </a:xfrm>
                    <a:prstGeom prst="rect">
                      <a:avLst/>
                    </a:prstGeom>
                    <a:noFill/>
                    <a:ln>
                      <a:noFill/>
                    </a:ln>
                  </pic:spPr>
                </pic:pic>
              </a:graphicData>
            </a:graphic>
          </wp:inline>
        </w:drawing>
      </w:r>
    </w:p>
    <w:p w:rsidR="00E67309" w:rsidRPr="00CE03EE" w:rsidRDefault="004506D7" w:rsidP="004D2CC1">
      <w:pPr>
        <w:spacing w:before="0" w:after="0"/>
        <w:jc w:val="right"/>
        <w:rPr>
          <w:color w:val="000000"/>
          <w:sz w:val="16"/>
          <w:szCs w:val="16"/>
        </w:rPr>
      </w:pPr>
      <w:r w:rsidRPr="00CE03EE">
        <w:rPr>
          <w:color w:val="000000"/>
          <w:sz w:val="16"/>
        </w:rPr>
        <w:t>Source: Commission européenne</w:t>
      </w:r>
      <w:r w:rsidR="003B498F" w:rsidRPr="00CE03EE">
        <w:rPr>
          <w:color w:val="000000"/>
          <w:sz w:val="16"/>
        </w:rPr>
        <w:t>.</w:t>
      </w:r>
    </w:p>
    <w:p w:rsidR="00E67309" w:rsidRPr="00CE03EE" w:rsidRDefault="00E67309" w:rsidP="004D2CC1">
      <w:pPr>
        <w:pStyle w:val="Heading1"/>
        <w:spacing w:before="120"/>
        <w:ind w:left="567" w:hanging="567"/>
      </w:pPr>
      <w:r w:rsidRPr="00CE03EE">
        <w:t>Coûts de l</w:t>
      </w:r>
      <w:r w:rsidR="00C869EE">
        <w:t>’</w:t>
      </w:r>
      <w:r w:rsidRPr="00CE03EE">
        <w:t>énergie en Europe</w:t>
      </w:r>
    </w:p>
    <w:p w:rsidR="008C6C0F" w:rsidRPr="00CE03EE" w:rsidRDefault="008C6C0F" w:rsidP="004D2CC1">
      <w:r w:rsidRPr="00CE03EE">
        <w:rPr>
          <w:color w:val="000000"/>
        </w:rPr>
        <w:t>Il ressort de l</w:t>
      </w:r>
      <w:r w:rsidR="00C869EE">
        <w:rPr>
          <w:color w:val="000000"/>
        </w:rPr>
        <w:t>’</w:t>
      </w:r>
      <w:r w:rsidRPr="00CE03EE">
        <w:rPr>
          <w:color w:val="000000"/>
        </w:rPr>
        <w:t>analyse ci-dessus que les prix de gros de l</w:t>
      </w:r>
      <w:r w:rsidR="00C869EE">
        <w:rPr>
          <w:color w:val="000000"/>
        </w:rPr>
        <w:t>’</w:t>
      </w:r>
      <w:r w:rsidRPr="00CE03EE">
        <w:rPr>
          <w:color w:val="000000"/>
        </w:rPr>
        <w:t>électricité, du gaz et du pétrole ont baissé en raison d</w:t>
      </w:r>
      <w:r w:rsidR="00C869EE">
        <w:rPr>
          <w:color w:val="000000"/>
        </w:rPr>
        <w:t>’</w:t>
      </w:r>
      <w:r w:rsidRPr="00CE03EE">
        <w:rPr>
          <w:color w:val="000000"/>
        </w:rPr>
        <w:t xml:space="preserve">un certain nombre de facteurs (ex.: </w:t>
      </w:r>
      <w:r w:rsidR="00BE31BD" w:rsidRPr="00CE03EE">
        <w:rPr>
          <w:color w:val="000000"/>
        </w:rPr>
        <w:t>augmentation de l'</w:t>
      </w:r>
      <w:r w:rsidRPr="00CE03EE">
        <w:rPr>
          <w:color w:val="000000"/>
        </w:rPr>
        <w:t xml:space="preserve">offre et </w:t>
      </w:r>
      <w:r w:rsidR="003B498F" w:rsidRPr="00CE03EE">
        <w:rPr>
          <w:color w:val="000000"/>
        </w:rPr>
        <w:t xml:space="preserve">diminution </w:t>
      </w:r>
      <w:r w:rsidRPr="00CE03EE">
        <w:rPr>
          <w:color w:val="000000"/>
        </w:rPr>
        <w:t>de la demande). Cette baisse des prix s</w:t>
      </w:r>
      <w:r w:rsidR="00C869EE">
        <w:rPr>
          <w:color w:val="000000"/>
        </w:rPr>
        <w:t>’</w:t>
      </w:r>
      <w:r w:rsidRPr="00CE03EE">
        <w:rPr>
          <w:color w:val="000000"/>
        </w:rPr>
        <w:t>est répercutée sur les prix de détail des produits pétroliers. Toutefois, les prix de détail de l</w:t>
      </w:r>
      <w:r w:rsidR="00C869EE">
        <w:rPr>
          <w:color w:val="000000"/>
        </w:rPr>
        <w:t>’</w:t>
      </w:r>
      <w:r w:rsidRPr="00CE03EE">
        <w:rPr>
          <w:color w:val="000000"/>
        </w:rPr>
        <w:t xml:space="preserve">électricité et du gaz sont restés constants ou ont légèrement augmenté car la hausse des coûts de réseau, </w:t>
      </w:r>
      <w:r w:rsidR="003B498F" w:rsidRPr="00CE03EE">
        <w:rPr>
          <w:color w:val="000000"/>
        </w:rPr>
        <w:t>d</w:t>
      </w:r>
      <w:r w:rsidRPr="00CE03EE">
        <w:rPr>
          <w:color w:val="000000"/>
        </w:rPr>
        <w:t xml:space="preserve">es taxes et </w:t>
      </w:r>
      <w:r w:rsidR="003B498F" w:rsidRPr="00CE03EE">
        <w:rPr>
          <w:color w:val="000000"/>
        </w:rPr>
        <w:t>d</w:t>
      </w:r>
      <w:r w:rsidRPr="00CE03EE">
        <w:rPr>
          <w:color w:val="000000"/>
        </w:rPr>
        <w:t xml:space="preserve">es prélèvements </w:t>
      </w:r>
      <w:r w:rsidR="003B498F" w:rsidRPr="00CE03EE">
        <w:rPr>
          <w:color w:val="000000"/>
        </w:rPr>
        <w:t xml:space="preserve">a </w:t>
      </w:r>
      <w:r w:rsidRPr="00CE03EE">
        <w:rPr>
          <w:color w:val="000000"/>
        </w:rPr>
        <w:t xml:space="preserve">absorbé </w:t>
      </w:r>
      <w:r w:rsidR="003B498F" w:rsidRPr="00CE03EE">
        <w:rPr>
          <w:color w:val="000000"/>
        </w:rPr>
        <w:t xml:space="preserve">cette </w:t>
      </w:r>
      <w:r w:rsidRPr="00CE03EE">
        <w:rPr>
          <w:color w:val="000000"/>
        </w:rPr>
        <w:t xml:space="preserve">baisse des prix de gros. Ces évolutions des prix, ainsi que notre </w:t>
      </w:r>
      <w:r w:rsidRPr="00CE03EE">
        <w:rPr>
          <w:i/>
          <w:color w:val="000000"/>
        </w:rPr>
        <w:t>consommation</w:t>
      </w:r>
      <w:r w:rsidRPr="00CE03EE">
        <w:rPr>
          <w:color w:val="000000"/>
        </w:rPr>
        <w:t xml:space="preserve"> d</w:t>
      </w:r>
      <w:r w:rsidR="00C869EE">
        <w:rPr>
          <w:color w:val="000000"/>
        </w:rPr>
        <w:t>’</w:t>
      </w:r>
      <w:r w:rsidRPr="00CE03EE">
        <w:rPr>
          <w:color w:val="000000"/>
        </w:rPr>
        <w:t>énergie, sont importantes pour évaluer l</w:t>
      </w:r>
      <w:r w:rsidR="00C869EE">
        <w:rPr>
          <w:color w:val="000000"/>
        </w:rPr>
        <w:t>’</w:t>
      </w:r>
      <w:r w:rsidRPr="00CE03EE">
        <w:rPr>
          <w:color w:val="000000"/>
        </w:rPr>
        <w:t>incidence sur les coûts de l</w:t>
      </w:r>
      <w:r w:rsidR="00C869EE">
        <w:rPr>
          <w:color w:val="000000"/>
        </w:rPr>
        <w:t>’</w:t>
      </w:r>
      <w:r w:rsidRPr="00CE03EE">
        <w:rPr>
          <w:color w:val="000000"/>
        </w:rPr>
        <w:t>énergie des ménages et de</w:t>
      </w:r>
      <w:r w:rsidR="00D97FBD" w:rsidRPr="00CE03EE">
        <w:rPr>
          <w:color w:val="000000"/>
        </w:rPr>
        <w:t>s entreprises</w:t>
      </w:r>
      <w:r w:rsidRPr="00CE03EE">
        <w:rPr>
          <w:color w:val="000000"/>
        </w:rPr>
        <w:t>.</w:t>
      </w:r>
    </w:p>
    <w:p w:rsidR="00AE1A44" w:rsidRPr="00CE03EE" w:rsidRDefault="00D52B88" w:rsidP="004D2CC1">
      <w:pPr>
        <w:pStyle w:val="Heading2"/>
        <w:spacing w:before="120"/>
        <w:ind w:left="567" w:hanging="567"/>
        <w:rPr>
          <w:b w:val="0"/>
          <w:color w:val="000000" w:themeColor="text1"/>
        </w:rPr>
      </w:pPr>
      <w:r w:rsidRPr="00F30663">
        <w:rPr>
          <w:color w:val="000000" w:themeColor="text1"/>
        </w:rPr>
        <w:t>5</w:t>
      </w:r>
      <w:r w:rsidR="00543DAD" w:rsidRPr="00CE03EE">
        <w:rPr>
          <w:color w:val="000000" w:themeColor="text1"/>
        </w:rPr>
        <w:t>.</w:t>
      </w:r>
      <w:r w:rsidRPr="00F30663">
        <w:rPr>
          <w:color w:val="000000" w:themeColor="text1"/>
        </w:rPr>
        <w:t>1</w:t>
      </w:r>
      <w:r w:rsidRPr="00CE03EE">
        <w:rPr>
          <w:color w:val="000000" w:themeColor="text1"/>
        </w:rPr>
        <w:t xml:space="preserve"> </w:t>
      </w:r>
      <w:r w:rsidRPr="00CE03EE">
        <w:tab/>
      </w:r>
      <w:r w:rsidRPr="00CE03EE">
        <w:rPr>
          <w:color w:val="000000" w:themeColor="text1"/>
        </w:rPr>
        <w:t>Dépenses énergétiques des ménages</w:t>
      </w:r>
    </w:p>
    <w:p w:rsidR="00CF1482" w:rsidRPr="00CE03EE" w:rsidRDefault="00740480" w:rsidP="004D2CC1">
      <w:pPr>
        <w:spacing w:after="0"/>
        <w:rPr>
          <w:color w:val="000000"/>
        </w:rPr>
      </w:pPr>
      <w:r w:rsidRPr="00CE03EE">
        <w:rPr>
          <w:color w:val="000000"/>
        </w:rPr>
        <w:t>Pour les ménages, la consommation finale d</w:t>
      </w:r>
      <w:r w:rsidR="00C869EE">
        <w:rPr>
          <w:color w:val="000000"/>
        </w:rPr>
        <w:t>’</w:t>
      </w:r>
      <w:r w:rsidRPr="00CE03EE">
        <w:rPr>
          <w:color w:val="000000"/>
        </w:rPr>
        <w:t xml:space="preserve">électricité, de gaz et de mazout </w:t>
      </w:r>
      <w:r w:rsidR="00BE31BD" w:rsidRPr="00CE03EE">
        <w:rPr>
          <w:color w:val="000000"/>
        </w:rPr>
        <w:t>n'</w:t>
      </w:r>
      <w:r w:rsidRPr="00CE03EE">
        <w:rPr>
          <w:color w:val="000000"/>
        </w:rPr>
        <w:t xml:space="preserve">a diminué ou augmenté </w:t>
      </w:r>
      <w:r w:rsidR="00BE31BD" w:rsidRPr="00CE03EE">
        <w:rPr>
          <w:color w:val="000000"/>
        </w:rPr>
        <w:t xml:space="preserve">que </w:t>
      </w:r>
      <w:r w:rsidRPr="00CE03EE">
        <w:rPr>
          <w:color w:val="000000"/>
        </w:rPr>
        <w:t xml:space="preserve">très légèrement depuis </w:t>
      </w:r>
      <w:r w:rsidRPr="00F30663">
        <w:rPr>
          <w:color w:val="000000"/>
        </w:rPr>
        <w:t>2008</w:t>
      </w:r>
      <w:r w:rsidRPr="00CE03EE">
        <w:rPr>
          <w:color w:val="000000"/>
        </w:rPr>
        <w:t>. Cependant, la hausse des prix de détail de l</w:t>
      </w:r>
      <w:r w:rsidR="00C869EE">
        <w:rPr>
          <w:color w:val="000000"/>
        </w:rPr>
        <w:t>’</w:t>
      </w:r>
      <w:r w:rsidRPr="00CE03EE">
        <w:rPr>
          <w:color w:val="000000"/>
        </w:rPr>
        <w:t>électricité et du gaz a entraîné une augmentation des dépenses énergétiques des ménages dans l</w:t>
      </w:r>
      <w:r w:rsidR="00C869EE">
        <w:rPr>
          <w:color w:val="000000"/>
        </w:rPr>
        <w:t>’</w:t>
      </w:r>
      <w:r w:rsidRPr="00CE03EE">
        <w:rPr>
          <w:color w:val="000000"/>
        </w:rPr>
        <w:t>UE [à l</w:t>
      </w:r>
      <w:r w:rsidR="00C869EE">
        <w:rPr>
          <w:color w:val="000000"/>
        </w:rPr>
        <w:t>’</w:t>
      </w:r>
      <w:r w:rsidRPr="00CE03EE">
        <w:rPr>
          <w:color w:val="000000"/>
        </w:rPr>
        <w:t>exclusion des dépenses de transport (</w:t>
      </w:r>
      <w:r w:rsidR="007C03BC" w:rsidRPr="00CE03EE">
        <w:rPr>
          <w:color w:val="000000"/>
        </w:rPr>
        <w:t>essence</w:t>
      </w:r>
      <w:r w:rsidRPr="00CE03EE">
        <w:rPr>
          <w:color w:val="000000"/>
        </w:rPr>
        <w:t xml:space="preserve">), qui sont déclarées séparément], qui sont passées de </w:t>
      </w:r>
      <w:r w:rsidRPr="00F30663">
        <w:rPr>
          <w:color w:val="000000"/>
        </w:rPr>
        <w:t>5</w:t>
      </w:r>
      <w:r w:rsidRPr="00CE03EE">
        <w:rPr>
          <w:color w:val="000000"/>
        </w:rPr>
        <w:t>,</w:t>
      </w:r>
      <w:r w:rsidRPr="00F30663">
        <w:rPr>
          <w:color w:val="000000"/>
        </w:rPr>
        <w:t>3</w:t>
      </w:r>
      <w:r w:rsidR="0085744A" w:rsidRPr="00CE03EE">
        <w:rPr>
          <w:color w:val="000000"/>
        </w:rPr>
        <w:t> %</w:t>
      </w:r>
      <w:r w:rsidRPr="00CE03EE">
        <w:rPr>
          <w:color w:val="000000"/>
        </w:rPr>
        <w:t xml:space="preserve"> des dépenses des ménages en </w:t>
      </w:r>
      <w:r w:rsidRPr="00F30663">
        <w:rPr>
          <w:color w:val="000000"/>
        </w:rPr>
        <w:t>2008</w:t>
      </w:r>
      <w:r w:rsidRPr="00CE03EE">
        <w:rPr>
          <w:color w:val="000000"/>
        </w:rPr>
        <w:t xml:space="preserve"> à </w:t>
      </w:r>
      <w:r w:rsidRPr="00F30663">
        <w:rPr>
          <w:color w:val="000000"/>
        </w:rPr>
        <w:t>5</w:t>
      </w:r>
      <w:r w:rsidRPr="00CE03EE">
        <w:rPr>
          <w:color w:val="000000"/>
        </w:rPr>
        <w:t>,</w:t>
      </w:r>
      <w:r w:rsidRPr="00F30663">
        <w:rPr>
          <w:color w:val="000000"/>
        </w:rPr>
        <w:t>8</w:t>
      </w:r>
      <w:r w:rsidR="0085744A" w:rsidRPr="00CE03EE">
        <w:rPr>
          <w:color w:val="000000"/>
        </w:rPr>
        <w:t> %</w:t>
      </w:r>
      <w:r w:rsidRPr="00CE03EE">
        <w:rPr>
          <w:color w:val="000000"/>
        </w:rPr>
        <w:t xml:space="preserve"> en </w:t>
      </w:r>
      <w:r w:rsidRPr="00F30663">
        <w:rPr>
          <w:color w:val="000000"/>
        </w:rPr>
        <w:t>2014</w:t>
      </w:r>
      <w:r w:rsidRPr="00CE03EE">
        <w:rPr>
          <w:color w:val="000000"/>
        </w:rPr>
        <w:t xml:space="preserve">. Par ailleurs, la chute des prix de détail des produits pétroliers a contribué à la baisse des dépenses de carburant, qui sont passées de </w:t>
      </w:r>
      <w:r w:rsidRPr="00F30663">
        <w:rPr>
          <w:color w:val="000000"/>
        </w:rPr>
        <w:t>4</w:t>
      </w:r>
      <w:r w:rsidRPr="00CE03EE">
        <w:rPr>
          <w:color w:val="000000"/>
        </w:rPr>
        <w:t>,</w:t>
      </w:r>
      <w:r w:rsidRPr="00F30663">
        <w:rPr>
          <w:color w:val="000000"/>
        </w:rPr>
        <w:t>3</w:t>
      </w:r>
      <w:r w:rsidR="0085744A" w:rsidRPr="00CE03EE">
        <w:rPr>
          <w:color w:val="000000"/>
        </w:rPr>
        <w:t> %</w:t>
      </w:r>
      <w:r w:rsidRPr="00CE03EE">
        <w:rPr>
          <w:color w:val="000000"/>
        </w:rPr>
        <w:t xml:space="preserve"> des dépenses des ménages à </w:t>
      </w:r>
      <w:r w:rsidRPr="00F30663">
        <w:rPr>
          <w:color w:val="000000"/>
        </w:rPr>
        <w:t>3</w:t>
      </w:r>
      <w:r w:rsidRPr="00CE03EE">
        <w:rPr>
          <w:color w:val="000000"/>
        </w:rPr>
        <w:t>,</w:t>
      </w:r>
      <w:r w:rsidRPr="00F30663">
        <w:rPr>
          <w:color w:val="000000"/>
        </w:rPr>
        <w:t>9</w:t>
      </w:r>
      <w:r w:rsidR="0085744A" w:rsidRPr="00CE03EE">
        <w:rPr>
          <w:color w:val="000000"/>
        </w:rPr>
        <w:t> %</w:t>
      </w:r>
      <w:r w:rsidRPr="00CE03EE">
        <w:rPr>
          <w:color w:val="000000"/>
        </w:rPr>
        <w:t xml:space="preserve">. </w:t>
      </w:r>
    </w:p>
    <w:p w:rsidR="00225A59" w:rsidRPr="00CE03EE" w:rsidRDefault="00042CF9" w:rsidP="004D2CC1">
      <w:pPr>
        <w:spacing w:after="0"/>
        <w:ind w:left="1134" w:hanging="1134"/>
        <w:rPr>
          <w:b/>
          <w:color w:val="000000"/>
        </w:rPr>
      </w:pPr>
      <w:r w:rsidRPr="00CE03EE">
        <w:rPr>
          <w:b/>
          <w:color w:val="000000"/>
        </w:rPr>
        <w:t xml:space="preserve">Figure </w:t>
      </w:r>
      <w:r w:rsidRPr="00F30663">
        <w:rPr>
          <w:b/>
          <w:color w:val="000000"/>
        </w:rPr>
        <w:t>16</w:t>
      </w:r>
      <w:r w:rsidRPr="00CE03EE">
        <w:rPr>
          <w:b/>
          <w:color w:val="000000"/>
        </w:rPr>
        <w:t>:</w:t>
      </w:r>
      <w:r w:rsidRPr="00CE03EE">
        <w:tab/>
      </w:r>
      <w:r w:rsidRPr="00CE03EE">
        <w:rPr>
          <w:b/>
          <w:color w:val="000000"/>
        </w:rPr>
        <w:t>Différents biens de consommation dans les dépenses de consommation des ménages (</w:t>
      </w:r>
      <w:r w:rsidRPr="00F30663">
        <w:rPr>
          <w:b/>
          <w:color w:val="000000"/>
        </w:rPr>
        <w:t>2014</w:t>
      </w:r>
      <w:r w:rsidRPr="00CE03EE">
        <w:rPr>
          <w:b/>
          <w:color w:val="000000"/>
        </w:rPr>
        <w:t>)</w:t>
      </w:r>
    </w:p>
    <w:p w:rsidR="00CF1482" w:rsidRPr="00CE03EE" w:rsidRDefault="002C39D3" w:rsidP="004D2CC1">
      <w:pPr>
        <w:spacing w:before="0" w:after="0"/>
        <w:rPr>
          <w:sz w:val="20"/>
        </w:rPr>
      </w:pPr>
      <w:r w:rsidRPr="00CE03EE">
        <w:rPr>
          <w:noProof/>
          <w:lang w:val="en-GB" w:eastAsia="en-GB" w:bidi="ar-SA"/>
        </w:rPr>
        <w:drawing>
          <wp:inline distT="0" distB="0" distL="0" distR="0" wp14:anchorId="581EFC04" wp14:editId="37B706C9">
            <wp:extent cx="5831840" cy="291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31840" cy="2918119"/>
                    </a:xfrm>
                    <a:prstGeom prst="rect">
                      <a:avLst/>
                    </a:prstGeom>
                    <a:noFill/>
                    <a:ln>
                      <a:noFill/>
                    </a:ln>
                  </pic:spPr>
                </pic:pic>
              </a:graphicData>
            </a:graphic>
          </wp:inline>
        </w:drawing>
      </w:r>
    </w:p>
    <w:p w:rsidR="00CF1482" w:rsidRPr="00CE03EE" w:rsidRDefault="00CF1482" w:rsidP="004D2CC1">
      <w:pPr>
        <w:spacing w:before="0" w:after="0"/>
        <w:jc w:val="right"/>
        <w:rPr>
          <w:sz w:val="16"/>
          <w:szCs w:val="16"/>
        </w:rPr>
      </w:pPr>
      <w:r w:rsidRPr="00CE03EE">
        <w:rPr>
          <w:sz w:val="16"/>
        </w:rPr>
        <w:t>Source: Commission européenne, instituts nationaux de statistique et calculs propres.</w:t>
      </w:r>
    </w:p>
    <w:p w:rsidR="00C92C85" w:rsidRPr="00CE03EE" w:rsidRDefault="005B4DDF" w:rsidP="004D2CC1">
      <w:pPr>
        <w:spacing w:after="0"/>
        <w:rPr>
          <w:color w:val="000000"/>
        </w:rPr>
      </w:pPr>
      <w:r w:rsidRPr="00CE03EE">
        <w:rPr>
          <w:color w:val="000000"/>
        </w:rPr>
        <w:t>La valeur moyenne des dépenses énergétiques des ménages (à l</w:t>
      </w:r>
      <w:r w:rsidR="00C869EE">
        <w:rPr>
          <w:color w:val="000000"/>
        </w:rPr>
        <w:t>’</w:t>
      </w:r>
      <w:r w:rsidRPr="00CE03EE">
        <w:rPr>
          <w:color w:val="000000"/>
        </w:rPr>
        <w:t xml:space="preserve">exclusion des transports) </w:t>
      </w:r>
      <w:r w:rsidR="007A05C9" w:rsidRPr="00CE03EE">
        <w:rPr>
          <w:color w:val="000000"/>
        </w:rPr>
        <w:t xml:space="preserve">masque </w:t>
      </w:r>
      <w:r w:rsidRPr="00CE03EE">
        <w:rPr>
          <w:color w:val="000000"/>
        </w:rPr>
        <w:t xml:space="preserve">de larges écarts entre les États membres (plus riches et moins riches, plus chauds et plus froids) et entre les tranches de revenu au sein des États membres. </w:t>
      </w:r>
      <w:r w:rsidR="003E10F4" w:rsidRPr="00CE03EE">
        <w:rPr>
          <w:color w:val="000000"/>
        </w:rPr>
        <w:t xml:space="preserve">La </w:t>
      </w:r>
      <w:r w:rsidRPr="00CE03EE">
        <w:rPr>
          <w:color w:val="000000"/>
        </w:rPr>
        <w:t xml:space="preserve">part </w:t>
      </w:r>
      <w:r w:rsidR="003E10F4" w:rsidRPr="00CE03EE">
        <w:rPr>
          <w:color w:val="000000"/>
        </w:rPr>
        <w:t xml:space="preserve">de l'énergie </w:t>
      </w:r>
      <w:r w:rsidRPr="00CE03EE">
        <w:rPr>
          <w:color w:val="000000"/>
        </w:rPr>
        <w:t xml:space="preserve">va de </w:t>
      </w:r>
      <w:r w:rsidRPr="00F30663">
        <w:rPr>
          <w:color w:val="000000"/>
        </w:rPr>
        <w:t>3</w:t>
      </w:r>
      <w:r w:rsidR="0085744A" w:rsidRPr="00CE03EE">
        <w:rPr>
          <w:color w:val="000000"/>
        </w:rPr>
        <w:t> %</w:t>
      </w:r>
      <w:r w:rsidRPr="00CE03EE">
        <w:rPr>
          <w:color w:val="000000"/>
        </w:rPr>
        <w:t xml:space="preserve"> à Malte à </w:t>
      </w:r>
      <w:r w:rsidRPr="00F30663">
        <w:rPr>
          <w:color w:val="000000"/>
        </w:rPr>
        <w:t>14</w:t>
      </w:r>
      <w:r w:rsidRPr="00CE03EE">
        <w:rPr>
          <w:color w:val="000000"/>
        </w:rPr>
        <w:t>,</w:t>
      </w:r>
      <w:r w:rsidRPr="00F30663">
        <w:rPr>
          <w:color w:val="000000"/>
        </w:rPr>
        <w:t>5</w:t>
      </w:r>
      <w:r w:rsidR="0085744A" w:rsidRPr="00CE03EE">
        <w:rPr>
          <w:color w:val="000000"/>
        </w:rPr>
        <w:t> %</w:t>
      </w:r>
      <w:r w:rsidRPr="00CE03EE">
        <w:rPr>
          <w:color w:val="000000"/>
        </w:rPr>
        <w:t xml:space="preserve"> en Slovaquie. L</w:t>
      </w:r>
      <w:r w:rsidR="00C869EE">
        <w:rPr>
          <w:color w:val="000000"/>
        </w:rPr>
        <w:t>’</w:t>
      </w:r>
      <w:r w:rsidRPr="00CE03EE">
        <w:rPr>
          <w:color w:val="000000"/>
        </w:rPr>
        <w:t>analyse des différents types de ménages révèle que les ménages plus pauvres dépensent une part plus importante de leur revenu dans l</w:t>
      </w:r>
      <w:r w:rsidR="00C869EE">
        <w:rPr>
          <w:color w:val="000000"/>
        </w:rPr>
        <w:t>’</w:t>
      </w:r>
      <w:r w:rsidRPr="00CE03EE">
        <w:rPr>
          <w:color w:val="000000"/>
        </w:rPr>
        <w:t>énergie que les ménages plus riches.</w:t>
      </w:r>
    </w:p>
    <w:p w:rsidR="00FC71DD" w:rsidRDefault="00FC71DD">
      <w:pPr>
        <w:spacing w:before="0" w:after="200" w:line="276" w:lineRule="auto"/>
        <w:jc w:val="left"/>
        <w:rPr>
          <w:b/>
          <w:color w:val="000000"/>
        </w:rPr>
      </w:pPr>
      <w:r>
        <w:rPr>
          <w:b/>
          <w:color w:val="000000"/>
        </w:rPr>
        <w:br w:type="page"/>
      </w:r>
    </w:p>
    <w:p w:rsidR="00C92C85" w:rsidRPr="00CE03EE" w:rsidRDefault="00042CF9" w:rsidP="00FC71DD">
      <w:pPr>
        <w:keepNext/>
        <w:ind w:left="1134" w:hanging="1134"/>
      </w:pPr>
      <w:r w:rsidRPr="00CE03EE">
        <w:rPr>
          <w:b/>
          <w:color w:val="000000"/>
        </w:rPr>
        <w:t xml:space="preserve">Figure </w:t>
      </w:r>
      <w:r w:rsidRPr="00F30663">
        <w:rPr>
          <w:b/>
          <w:color w:val="000000"/>
        </w:rPr>
        <w:t>17</w:t>
      </w:r>
      <w:r w:rsidRPr="00CE03EE">
        <w:rPr>
          <w:b/>
          <w:color w:val="000000"/>
        </w:rPr>
        <w:t>: Part des dépenses énergétiques des ménages par tranche de revenu (</w:t>
      </w:r>
      <w:r w:rsidRPr="00F30663">
        <w:rPr>
          <w:b/>
          <w:color w:val="000000"/>
        </w:rPr>
        <w:t>2014</w:t>
      </w:r>
      <w:r w:rsidRPr="00CE03EE">
        <w:rPr>
          <w:b/>
          <w:color w:val="000000"/>
        </w:rPr>
        <w:t>)</w:t>
      </w:r>
    </w:p>
    <w:p w:rsidR="00C92C85" w:rsidRPr="00CE03EE" w:rsidRDefault="00123931" w:rsidP="00FC71DD">
      <w:pPr>
        <w:keepNext/>
        <w:spacing w:before="0" w:after="0"/>
        <w:rPr>
          <w:szCs w:val="24"/>
        </w:rPr>
      </w:pPr>
      <w:r w:rsidRPr="00CE03EE">
        <w:rPr>
          <w:noProof/>
          <w:lang w:val="en-GB" w:eastAsia="en-GB" w:bidi="ar-SA"/>
        </w:rPr>
        <w:drawing>
          <wp:inline distT="0" distB="0" distL="0" distR="0" wp14:anchorId="44DD3EA0" wp14:editId="76B868F2">
            <wp:extent cx="5831840" cy="29812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31840" cy="2981296"/>
                    </a:xfrm>
                    <a:prstGeom prst="rect">
                      <a:avLst/>
                    </a:prstGeom>
                    <a:noFill/>
                    <a:ln>
                      <a:noFill/>
                    </a:ln>
                  </pic:spPr>
                </pic:pic>
              </a:graphicData>
            </a:graphic>
          </wp:inline>
        </w:drawing>
      </w:r>
    </w:p>
    <w:p w:rsidR="0007403A" w:rsidRPr="00CE03EE" w:rsidRDefault="0007403A" w:rsidP="004D2CC1">
      <w:pPr>
        <w:spacing w:before="0" w:after="0"/>
        <w:jc w:val="right"/>
        <w:rPr>
          <w:sz w:val="16"/>
          <w:szCs w:val="16"/>
        </w:rPr>
      </w:pPr>
      <w:r w:rsidRPr="00CE03EE">
        <w:rPr>
          <w:sz w:val="16"/>
        </w:rPr>
        <w:t>Source: Commission européenne, instituts nationaux de statistique et calculs propres.</w:t>
      </w:r>
    </w:p>
    <w:p w:rsidR="00CE2042" w:rsidRPr="00CE03EE" w:rsidRDefault="00C92C85" w:rsidP="004D2CC1">
      <w:pPr>
        <w:spacing w:after="0"/>
      </w:pPr>
      <w:r w:rsidRPr="00CE03EE">
        <w:t xml:space="preserve">En moyenne, la part des dépenses des ménages </w:t>
      </w:r>
      <w:r w:rsidR="007A05C9" w:rsidRPr="00CE03EE">
        <w:t>consacrée à</w:t>
      </w:r>
      <w:r w:rsidRPr="00CE03EE">
        <w:t xml:space="preserve"> l</w:t>
      </w:r>
      <w:r w:rsidR="00C869EE">
        <w:t>’</w:t>
      </w:r>
      <w:r w:rsidRPr="00CE03EE">
        <w:t>énergie s</w:t>
      </w:r>
      <w:r w:rsidR="00C869EE">
        <w:t>’</w:t>
      </w:r>
      <w:r w:rsidRPr="00CE03EE">
        <w:t xml:space="preserve">élève à </w:t>
      </w:r>
      <w:r w:rsidRPr="00F30663">
        <w:t>8</w:t>
      </w:r>
      <w:r w:rsidRPr="00CE03EE">
        <w:t>,</w:t>
      </w:r>
      <w:r w:rsidRPr="00F30663">
        <w:t>6</w:t>
      </w:r>
      <w:r w:rsidR="0085744A" w:rsidRPr="00CE03EE">
        <w:t> %</w:t>
      </w:r>
      <w:r w:rsidRPr="00CE03EE">
        <w:t xml:space="preserve"> pour les ménages les plus pauvres (contre </w:t>
      </w:r>
      <w:r w:rsidRPr="00F30663">
        <w:t>5</w:t>
      </w:r>
      <w:r w:rsidRPr="00CE03EE">
        <w:t>,</w:t>
      </w:r>
      <w:r w:rsidRPr="00F30663">
        <w:t>7</w:t>
      </w:r>
      <w:r w:rsidR="0085744A" w:rsidRPr="00CE03EE">
        <w:t> %</w:t>
      </w:r>
      <w:r w:rsidRPr="00CE03EE">
        <w:t xml:space="preserve"> en </w:t>
      </w:r>
      <w:r w:rsidRPr="00F30663">
        <w:t>2004</w:t>
      </w:r>
      <w:r w:rsidRPr="00CE03EE">
        <w:t xml:space="preserve">), à </w:t>
      </w:r>
      <w:r w:rsidRPr="00F30663">
        <w:t>6</w:t>
      </w:r>
      <w:r w:rsidRPr="00CE03EE">
        <w:t>,</w:t>
      </w:r>
      <w:r w:rsidRPr="00F30663">
        <w:t>2</w:t>
      </w:r>
      <w:r w:rsidR="0085744A" w:rsidRPr="00CE03EE">
        <w:t> %</w:t>
      </w:r>
      <w:r w:rsidRPr="00CE03EE">
        <w:t xml:space="preserve"> pour les revenus intermédiaires et à </w:t>
      </w:r>
      <w:r w:rsidRPr="00F30663">
        <w:t>4</w:t>
      </w:r>
      <w:r w:rsidRPr="00CE03EE">
        <w:t>,</w:t>
      </w:r>
      <w:r w:rsidRPr="00F30663">
        <w:t>3</w:t>
      </w:r>
      <w:r w:rsidR="0085744A" w:rsidRPr="00CE03EE">
        <w:t> %</w:t>
      </w:r>
      <w:r w:rsidRPr="00CE03EE">
        <w:t xml:space="preserve"> pour les ménages à revenu élevé. Ces chiffres montrent que, </w:t>
      </w:r>
      <w:r w:rsidR="003E10F4" w:rsidRPr="00CE03EE">
        <w:t>surtout</w:t>
      </w:r>
      <w:r w:rsidRPr="00CE03EE">
        <w:t xml:space="preserve"> en période de faible croissance économique, les consommateurs vulnérables sont relativement plus touchés par les hausses de prix que le ménage moyen, </w:t>
      </w:r>
      <w:r w:rsidR="003E10F4" w:rsidRPr="00CE03EE">
        <w:t>et soulignent combien l</w:t>
      </w:r>
      <w:r w:rsidRPr="00CE03EE">
        <w:t>es mesures sociales</w:t>
      </w:r>
      <w:r w:rsidRPr="00CE03EE">
        <w:rPr>
          <w:i/>
        </w:rPr>
        <w:t xml:space="preserve"> </w:t>
      </w:r>
      <w:r w:rsidRPr="00CE03EE">
        <w:t xml:space="preserve">destinées aux consommateurs vulnérables </w:t>
      </w:r>
      <w:r w:rsidR="003E10F4" w:rsidRPr="00CE03EE">
        <w:t>sont nécessaires pour</w:t>
      </w:r>
      <w:r w:rsidRPr="00CE03EE">
        <w:t xml:space="preserve"> combattre la </w:t>
      </w:r>
      <w:r w:rsidR="007A05C9" w:rsidRPr="00CE03EE">
        <w:t xml:space="preserve">précarité </w:t>
      </w:r>
      <w:r w:rsidRPr="00CE03EE">
        <w:t>énergétique.</w:t>
      </w:r>
    </w:p>
    <w:p w:rsidR="004D2F84" w:rsidRPr="00CE03EE" w:rsidRDefault="004D2F84" w:rsidP="004D2CC1">
      <w:pPr>
        <w:spacing w:after="0"/>
      </w:pPr>
      <w:r w:rsidRPr="00CE03EE">
        <w:t>Cette analyse montre également que, dans certains États membres, les ménages ont réagi à la hausse des prix de l</w:t>
      </w:r>
      <w:r w:rsidR="00C869EE">
        <w:t>’</w:t>
      </w:r>
      <w:r w:rsidRPr="00CE03EE">
        <w:t>énergie en réduisant leur consommation d</w:t>
      </w:r>
      <w:r w:rsidR="00C869EE">
        <w:t>’</w:t>
      </w:r>
      <w:r w:rsidRPr="00CE03EE">
        <w:t xml:space="preserve">énergie (voir figure </w:t>
      </w:r>
      <w:r w:rsidRPr="00F30663">
        <w:t>18</w:t>
      </w:r>
      <w:r w:rsidRPr="00CE03EE">
        <w:t>). La consommation d</w:t>
      </w:r>
      <w:r w:rsidR="00C869EE">
        <w:t>’</w:t>
      </w:r>
      <w:r w:rsidRPr="00CE03EE">
        <w:t>énergie des ménages dans l</w:t>
      </w:r>
      <w:r w:rsidR="00C869EE">
        <w:t>’</w:t>
      </w:r>
      <w:r w:rsidRPr="00CE03EE">
        <w:t>UE (à l</w:t>
      </w:r>
      <w:r w:rsidR="00C869EE">
        <w:t>’</w:t>
      </w:r>
      <w:r w:rsidRPr="00CE03EE">
        <w:t>exclusion des transports) a baissé au cours de cette période d</w:t>
      </w:r>
      <w:r w:rsidR="00C869EE">
        <w:t>’</w:t>
      </w:r>
      <w:r w:rsidRPr="00CE03EE">
        <w:t xml:space="preserve">environ </w:t>
      </w:r>
      <w:r w:rsidRPr="00F30663">
        <w:t>4</w:t>
      </w:r>
      <w:r w:rsidR="0085744A" w:rsidRPr="00CE03EE">
        <w:t> %</w:t>
      </w:r>
      <w:r w:rsidRPr="00CE03EE">
        <w:t>, malgré l</w:t>
      </w:r>
      <w:r w:rsidR="00C869EE">
        <w:t>’</w:t>
      </w:r>
      <w:r w:rsidRPr="00CE03EE">
        <w:t>augmentation du nombre de ménages et de leur taille. Ce</w:t>
      </w:r>
      <w:r w:rsidR="005C4F96" w:rsidRPr="00CE03EE">
        <w:t>la</w:t>
      </w:r>
      <w:r w:rsidRPr="00CE03EE">
        <w:t xml:space="preserve"> s</w:t>
      </w:r>
      <w:r w:rsidR="00C869EE">
        <w:t>’</w:t>
      </w:r>
      <w:r w:rsidRPr="00CE03EE">
        <w:t>explique dans une large mesure par des économies d</w:t>
      </w:r>
      <w:r w:rsidR="00C869EE">
        <w:t>’</w:t>
      </w:r>
      <w:r w:rsidRPr="00CE03EE">
        <w:t xml:space="preserve">énergie. Dans de nombreux cas, </w:t>
      </w:r>
      <w:r w:rsidR="005C4F96" w:rsidRPr="00CE03EE">
        <w:t xml:space="preserve">c'est le résultat </w:t>
      </w:r>
      <w:r w:rsidRPr="00CE03EE">
        <w:t>d</w:t>
      </w:r>
      <w:r w:rsidR="00C869EE">
        <w:t>’</w:t>
      </w:r>
      <w:r w:rsidRPr="00CE03EE">
        <w:t xml:space="preserve">une </w:t>
      </w:r>
      <w:r w:rsidR="00C81A50" w:rsidRPr="00CE03EE">
        <w:t>amélioration de l'</w:t>
      </w:r>
      <w:r w:rsidRPr="00CE03EE">
        <w:t xml:space="preserve">efficacité énergétique résidentielle, mais dans certains pays, les </w:t>
      </w:r>
      <w:r w:rsidR="00543DAD" w:rsidRPr="00CE03EE">
        <w:t xml:space="preserve">restrictions du </w:t>
      </w:r>
      <w:r w:rsidRPr="00CE03EE">
        <w:t>pouvoir d</w:t>
      </w:r>
      <w:r w:rsidR="00C869EE">
        <w:t>’</w:t>
      </w:r>
      <w:r w:rsidRPr="00CE03EE">
        <w:t xml:space="preserve">achat </w:t>
      </w:r>
      <w:r w:rsidR="007A05C9" w:rsidRPr="00CE03EE">
        <w:t>pourraient être la cause de</w:t>
      </w:r>
      <w:r w:rsidRPr="00CE03EE">
        <w:t xml:space="preserve"> ces baisses considérables de la consommation.</w:t>
      </w:r>
    </w:p>
    <w:p w:rsidR="00F30663" w:rsidRDefault="00F30663">
      <w:pPr>
        <w:spacing w:before="0" w:after="200" w:line="276" w:lineRule="auto"/>
        <w:jc w:val="left"/>
        <w:rPr>
          <w:b/>
          <w:color w:val="000000"/>
        </w:rPr>
      </w:pPr>
      <w:r>
        <w:rPr>
          <w:b/>
          <w:color w:val="000000"/>
        </w:rPr>
        <w:br w:type="page"/>
      </w:r>
    </w:p>
    <w:p w:rsidR="00AE1A44" w:rsidRPr="00CE03EE" w:rsidRDefault="00420C0D" w:rsidP="004D2CC1">
      <w:pPr>
        <w:ind w:left="1134" w:hanging="1134"/>
        <w:rPr>
          <w:b/>
          <w:color w:val="000000"/>
        </w:rPr>
      </w:pPr>
      <w:r w:rsidRPr="00CE03EE">
        <w:rPr>
          <w:b/>
          <w:color w:val="000000"/>
        </w:rPr>
        <w:t xml:space="preserve">Figure </w:t>
      </w:r>
      <w:r w:rsidRPr="00F30663">
        <w:rPr>
          <w:b/>
          <w:color w:val="000000"/>
        </w:rPr>
        <w:t>18</w:t>
      </w:r>
      <w:r w:rsidRPr="00CE03EE">
        <w:rPr>
          <w:b/>
          <w:color w:val="000000"/>
        </w:rPr>
        <w:t>:</w:t>
      </w:r>
      <w:r w:rsidRPr="00CE03EE">
        <w:tab/>
      </w:r>
      <w:r w:rsidRPr="00CE03EE">
        <w:rPr>
          <w:b/>
          <w:color w:val="000000"/>
        </w:rPr>
        <w:t>Évolution de la consommation d</w:t>
      </w:r>
      <w:r w:rsidR="00C869EE">
        <w:rPr>
          <w:b/>
          <w:color w:val="000000"/>
        </w:rPr>
        <w:t>’</w:t>
      </w:r>
      <w:r w:rsidRPr="00CE03EE">
        <w:rPr>
          <w:b/>
          <w:color w:val="000000"/>
        </w:rPr>
        <w:t>énergie dans certains États membres (</w:t>
      </w:r>
      <w:r w:rsidRPr="00F30663">
        <w:rPr>
          <w:b/>
          <w:color w:val="000000"/>
        </w:rPr>
        <w:t>2004</w:t>
      </w:r>
      <w:r w:rsidRPr="00CE03EE">
        <w:rPr>
          <w:b/>
          <w:color w:val="000000"/>
        </w:rPr>
        <w:t>-</w:t>
      </w:r>
      <w:r w:rsidRPr="00F30663">
        <w:rPr>
          <w:b/>
          <w:color w:val="000000"/>
        </w:rPr>
        <w:t>2013</w:t>
      </w:r>
      <w:r w:rsidRPr="00CE03EE">
        <w:rPr>
          <w:b/>
          <w:color w:val="000000"/>
        </w:rPr>
        <w:t>)</w:t>
      </w:r>
    </w:p>
    <w:p w:rsidR="00AE1A44" w:rsidRPr="00CE03EE" w:rsidRDefault="00123931" w:rsidP="004D2CC1">
      <w:pPr>
        <w:spacing w:before="0" w:after="0"/>
        <w:rPr>
          <w:szCs w:val="24"/>
        </w:rPr>
      </w:pPr>
      <w:r w:rsidRPr="00CE03EE">
        <w:rPr>
          <w:noProof/>
          <w:lang w:val="en-GB" w:eastAsia="en-GB" w:bidi="ar-SA"/>
        </w:rPr>
        <w:drawing>
          <wp:inline distT="0" distB="0" distL="0" distR="0" wp14:anchorId="1CD32458" wp14:editId="6B2608D3">
            <wp:extent cx="5732060" cy="3109428"/>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29527" cy="3108054"/>
                    </a:xfrm>
                    <a:prstGeom prst="rect">
                      <a:avLst/>
                    </a:prstGeom>
                    <a:noFill/>
                    <a:ln>
                      <a:noFill/>
                    </a:ln>
                  </pic:spPr>
                </pic:pic>
              </a:graphicData>
            </a:graphic>
          </wp:inline>
        </w:drawing>
      </w:r>
    </w:p>
    <w:p w:rsidR="00946D75" w:rsidRPr="00CE03EE" w:rsidRDefault="00AE1A44" w:rsidP="004D2CC1">
      <w:pPr>
        <w:spacing w:before="0" w:after="0"/>
        <w:jc w:val="right"/>
        <w:rPr>
          <w:color w:val="000000"/>
        </w:rPr>
      </w:pPr>
      <w:r w:rsidRPr="00CE03EE">
        <w:rPr>
          <w:sz w:val="16"/>
        </w:rPr>
        <w:t xml:space="preserve">Source: Base de données </w:t>
      </w:r>
      <w:r w:rsidR="00543DAD" w:rsidRPr="00CE03EE">
        <w:rPr>
          <w:sz w:val="16"/>
        </w:rPr>
        <w:t>ODYSSEE</w:t>
      </w:r>
      <w:r w:rsidR="005C4F96" w:rsidRPr="00CE03EE">
        <w:rPr>
          <w:sz w:val="16"/>
        </w:rPr>
        <w:t>.</w:t>
      </w:r>
    </w:p>
    <w:p w:rsidR="00693E0E" w:rsidRPr="00CE03EE" w:rsidRDefault="00D52B88" w:rsidP="004D2CC1">
      <w:pPr>
        <w:pStyle w:val="Heading2"/>
        <w:spacing w:before="120"/>
        <w:ind w:left="567" w:hanging="567"/>
        <w:rPr>
          <w:b w:val="0"/>
          <w:color w:val="000000" w:themeColor="text1"/>
        </w:rPr>
      </w:pPr>
      <w:r w:rsidRPr="00F30663">
        <w:rPr>
          <w:color w:val="000000" w:themeColor="text1"/>
        </w:rPr>
        <w:t>5</w:t>
      </w:r>
      <w:r w:rsidR="00543DAD" w:rsidRPr="00CE03EE">
        <w:rPr>
          <w:color w:val="000000" w:themeColor="text1"/>
        </w:rPr>
        <w:t>.</w:t>
      </w:r>
      <w:r w:rsidRPr="00F30663">
        <w:rPr>
          <w:color w:val="000000" w:themeColor="text1"/>
        </w:rPr>
        <w:t>2</w:t>
      </w:r>
      <w:r w:rsidRPr="00CE03EE">
        <w:rPr>
          <w:color w:val="000000" w:themeColor="text1"/>
        </w:rPr>
        <w:t xml:space="preserve"> </w:t>
      </w:r>
      <w:r w:rsidRPr="00CE03EE">
        <w:tab/>
      </w:r>
      <w:r w:rsidRPr="00CE03EE">
        <w:rPr>
          <w:color w:val="000000" w:themeColor="text1"/>
        </w:rPr>
        <w:t>Coûts énergétiques de</w:t>
      </w:r>
      <w:r w:rsidR="00D97FBD" w:rsidRPr="00CE03EE">
        <w:rPr>
          <w:color w:val="000000" w:themeColor="text1"/>
        </w:rPr>
        <w:t>s entreprises</w:t>
      </w:r>
    </w:p>
    <w:p w:rsidR="00232CCC" w:rsidRPr="00CE03EE" w:rsidRDefault="00693E0E" w:rsidP="004D2CC1">
      <w:pPr>
        <w:spacing w:after="0"/>
        <w:rPr>
          <w:color w:val="000000"/>
        </w:rPr>
      </w:pPr>
      <w:r w:rsidRPr="00CE03EE">
        <w:rPr>
          <w:color w:val="000000"/>
        </w:rPr>
        <w:t>L</w:t>
      </w:r>
      <w:r w:rsidR="00C869EE">
        <w:rPr>
          <w:color w:val="000000"/>
        </w:rPr>
        <w:t>’</w:t>
      </w:r>
      <w:r w:rsidRPr="00CE03EE">
        <w:rPr>
          <w:color w:val="000000"/>
        </w:rPr>
        <w:t>évolution des prix de l</w:t>
      </w:r>
      <w:r w:rsidR="00C869EE">
        <w:rPr>
          <w:color w:val="000000"/>
        </w:rPr>
        <w:t>’</w:t>
      </w:r>
      <w:r w:rsidRPr="00CE03EE">
        <w:rPr>
          <w:color w:val="000000"/>
        </w:rPr>
        <w:t>énergie au cours des dernières années n</w:t>
      </w:r>
      <w:r w:rsidR="00C869EE">
        <w:rPr>
          <w:color w:val="000000"/>
        </w:rPr>
        <w:t>’</w:t>
      </w:r>
      <w:r w:rsidRPr="00CE03EE">
        <w:rPr>
          <w:color w:val="000000"/>
        </w:rPr>
        <w:t xml:space="preserve">a pas entraîné </w:t>
      </w:r>
      <w:r w:rsidR="00543DAD" w:rsidRPr="00CE03EE">
        <w:rPr>
          <w:color w:val="000000"/>
        </w:rPr>
        <w:t>d'</w:t>
      </w:r>
      <w:r w:rsidRPr="00CE03EE">
        <w:rPr>
          <w:color w:val="000000"/>
        </w:rPr>
        <w:t>accroissement de la part du coût de l</w:t>
      </w:r>
      <w:r w:rsidR="00C869EE">
        <w:rPr>
          <w:color w:val="000000"/>
        </w:rPr>
        <w:t>’</w:t>
      </w:r>
      <w:r w:rsidRPr="00CE03EE">
        <w:rPr>
          <w:color w:val="000000"/>
        </w:rPr>
        <w:t xml:space="preserve">énergie dans les coûts de production des entreprises européennes, qui se situe à moins de </w:t>
      </w:r>
      <w:r w:rsidRPr="00F30663">
        <w:rPr>
          <w:color w:val="000000"/>
        </w:rPr>
        <w:t>2</w:t>
      </w:r>
      <w:r w:rsidR="0085744A" w:rsidRPr="00CE03EE">
        <w:rPr>
          <w:color w:val="000000"/>
        </w:rPr>
        <w:t> %</w:t>
      </w:r>
      <w:r w:rsidRPr="00CE03EE">
        <w:rPr>
          <w:color w:val="000000"/>
        </w:rPr>
        <w:t>. Cependant, afin de réduire le coût de l</w:t>
      </w:r>
      <w:r w:rsidR="00C869EE">
        <w:rPr>
          <w:color w:val="000000"/>
        </w:rPr>
        <w:t>’</w:t>
      </w:r>
      <w:r w:rsidRPr="00CE03EE">
        <w:rPr>
          <w:color w:val="000000"/>
        </w:rPr>
        <w:t>énergie pour l‎</w:t>
      </w:r>
      <w:r w:rsidR="00D97FBD" w:rsidRPr="00CE03EE">
        <w:rPr>
          <w:color w:val="000000"/>
        </w:rPr>
        <w:t>es entreprises</w:t>
      </w:r>
      <w:r w:rsidRPr="00CE03EE">
        <w:rPr>
          <w:color w:val="000000"/>
        </w:rPr>
        <w:t xml:space="preserve">, la plupart des gouvernements des États membres ont octroyé des subventions </w:t>
      </w:r>
      <w:r w:rsidR="00543DAD" w:rsidRPr="00CE03EE">
        <w:rPr>
          <w:color w:val="000000"/>
        </w:rPr>
        <w:t>sous la forme</w:t>
      </w:r>
      <w:r w:rsidRPr="00CE03EE">
        <w:rPr>
          <w:color w:val="000000"/>
        </w:rPr>
        <w:t xml:space="preserve"> d</w:t>
      </w:r>
      <w:r w:rsidR="00C869EE">
        <w:rPr>
          <w:color w:val="000000"/>
        </w:rPr>
        <w:t>’</w:t>
      </w:r>
      <w:r w:rsidRPr="00CE03EE">
        <w:rPr>
          <w:color w:val="000000"/>
        </w:rPr>
        <w:t>exonérations et de réductions des taxes et prélèvements sur l</w:t>
      </w:r>
      <w:r w:rsidR="00C869EE">
        <w:rPr>
          <w:color w:val="000000"/>
        </w:rPr>
        <w:t>’</w:t>
      </w:r>
      <w:r w:rsidRPr="00CE03EE">
        <w:rPr>
          <w:color w:val="000000"/>
        </w:rPr>
        <w:t>énergie (ex.: les prélèvements sur les énergies renouvelables ou sur l</w:t>
      </w:r>
      <w:r w:rsidR="00C869EE">
        <w:rPr>
          <w:color w:val="000000"/>
        </w:rPr>
        <w:t>’</w:t>
      </w:r>
      <w:r w:rsidRPr="00CE03EE">
        <w:rPr>
          <w:color w:val="000000"/>
        </w:rPr>
        <w:t>efficacité énergétique, ou les tarifs d</w:t>
      </w:r>
      <w:r w:rsidR="00543DAD" w:rsidRPr="00CE03EE">
        <w:rPr>
          <w:color w:val="000000"/>
        </w:rPr>
        <w:t>e</w:t>
      </w:r>
      <w:r w:rsidRPr="00CE03EE">
        <w:rPr>
          <w:color w:val="000000"/>
        </w:rPr>
        <w:t xml:space="preserve"> réseau). Selon ses caractéristiques et l</w:t>
      </w:r>
      <w:r w:rsidR="00C869EE">
        <w:rPr>
          <w:color w:val="000000"/>
        </w:rPr>
        <w:t>’</w:t>
      </w:r>
      <w:r w:rsidRPr="00CE03EE">
        <w:rPr>
          <w:color w:val="000000"/>
        </w:rPr>
        <w:t>État membre dans lequel elle est établie, une entreprise peut bénéficier de prix de l</w:t>
      </w:r>
      <w:r w:rsidR="00C869EE">
        <w:rPr>
          <w:color w:val="000000"/>
        </w:rPr>
        <w:t>’</w:t>
      </w:r>
      <w:r w:rsidRPr="00CE03EE">
        <w:rPr>
          <w:color w:val="000000"/>
        </w:rPr>
        <w:t xml:space="preserve">énergie de </w:t>
      </w:r>
      <w:r w:rsidRPr="00F30663">
        <w:rPr>
          <w:color w:val="000000"/>
        </w:rPr>
        <w:t>50</w:t>
      </w:r>
      <w:r w:rsidR="0085744A" w:rsidRPr="00CE03EE">
        <w:rPr>
          <w:color w:val="000000"/>
        </w:rPr>
        <w:t> %</w:t>
      </w:r>
      <w:r w:rsidRPr="00CE03EE">
        <w:rPr>
          <w:color w:val="000000"/>
        </w:rPr>
        <w:t xml:space="preserve"> inférieurs à ceux d</w:t>
      </w:r>
      <w:r w:rsidR="00C869EE">
        <w:rPr>
          <w:color w:val="000000"/>
        </w:rPr>
        <w:t>’</w:t>
      </w:r>
      <w:r w:rsidRPr="00CE03EE">
        <w:rPr>
          <w:color w:val="000000"/>
        </w:rPr>
        <w:t>une autre entreprise dans le même secteur.</w:t>
      </w:r>
    </w:p>
    <w:p w:rsidR="00110F78" w:rsidRPr="00CE03EE" w:rsidRDefault="00B54FF9" w:rsidP="004D2CC1">
      <w:pPr>
        <w:spacing w:after="0"/>
        <w:rPr>
          <w:color w:val="000000"/>
        </w:rPr>
      </w:pPr>
      <w:r w:rsidRPr="00CE03EE">
        <w:rPr>
          <w:color w:val="000000"/>
        </w:rPr>
        <w:t>Il est toutefois nécessaire d</w:t>
      </w:r>
      <w:r w:rsidR="00C869EE">
        <w:rPr>
          <w:color w:val="000000"/>
        </w:rPr>
        <w:t>’</w:t>
      </w:r>
      <w:r w:rsidRPr="00CE03EE">
        <w:rPr>
          <w:color w:val="000000"/>
        </w:rPr>
        <w:t>évaluer les coûts de l</w:t>
      </w:r>
      <w:r w:rsidR="00C869EE">
        <w:rPr>
          <w:color w:val="000000"/>
        </w:rPr>
        <w:t>’</w:t>
      </w:r>
      <w:r w:rsidRPr="00CE03EE">
        <w:rPr>
          <w:color w:val="000000"/>
        </w:rPr>
        <w:t>énergie plus précisément pour certains secteurs dans lesquels les</w:t>
      </w:r>
      <w:r w:rsidR="00543DAD" w:rsidRPr="00CE03EE">
        <w:rPr>
          <w:color w:val="000000"/>
        </w:rPr>
        <w:t>dits</w:t>
      </w:r>
      <w:r w:rsidRPr="00CE03EE">
        <w:rPr>
          <w:color w:val="000000"/>
        </w:rPr>
        <w:t xml:space="preserve"> coûts sont plus importants et l</w:t>
      </w:r>
      <w:r w:rsidR="00C869EE">
        <w:rPr>
          <w:color w:val="000000"/>
        </w:rPr>
        <w:t>’</w:t>
      </w:r>
      <w:r w:rsidRPr="00CE03EE">
        <w:rPr>
          <w:color w:val="000000"/>
        </w:rPr>
        <w:t>exposition à la concurrence internationale est élevée. Il s</w:t>
      </w:r>
      <w:r w:rsidR="00C869EE">
        <w:rPr>
          <w:color w:val="000000"/>
        </w:rPr>
        <w:t>’</w:t>
      </w:r>
      <w:r w:rsidRPr="00CE03EE">
        <w:rPr>
          <w:color w:val="000000"/>
        </w:rPr>
        <w:t>agit en l</w:t>
      </w:r>
      <w:r w:rsidR="00C869EE">
        <w:rPr>
          <w:color w:val="000000"/>
        </w:rPr>
        <w:t>’</w:t>
      </w:r>
      <w:r w:rsidRPr="00CE03EE">
        <w:rPr>
          <w:color w:val="000000"/>
        </w:rPr>
        <w:t>occurrence d</w:t>
      </w:r>
      <w:r w:rsidR="00C869EE">
        <w:rPr>
          <w:color w:val="000000"/>
        </w:rPr>
        <w:t>’</w:t>
      </w:r>
      <w:r w:rsidRPr="00CE03EE">
        <w:rPr>
          <w:color w:val="000000"/>
        </w:rPr>
        <w:t>industries grandes consommatrices d</w:t>
      </w:r>
      <w:r w:rsidR="00C869EE">
        <w:rPr>
          <w:color w:val="000000"/>
        </w:rPr>
        <w:t>’</w:t>
      </w:r>
      <w:r w:rsidRPr="00CE03EE">
        <w:rPr>
          <w:color w:val="000000"/>
        </w:rPr>
        <w:t>énergie, d</w:t>
      </w:r>
      <w:r w:rsidR="00C869EE">
        <w:rPr>
          <w:color w:val="000000"/>
        </w:rPr>
        <w:t>’</w:t>
      </w:r>
      <w:r w:rsidRPr="00CE03EE">
        <w:rPr>
          <w:color w:val="000000"/>
        </w:rPr>
        <w:t>un certain poids économique et exposées aux risques des échanges (</w:t>
      </w:r>
      <w:r w:rsidR="005C4F96" w:rsidRPr="00CE03EE">
        <w:rPr>
          <w:color w:val="000000"/>
        </w:rPr>
        <w:t xml:space="preserve">où </w:t>
      </w:r>
      <w:r w:rsidRPr="00CE03EE">
        <w:rPr>
          <w:color w:val="000000"/>
        </w:rPr>
        <w:t>le coût de l</w:t>
      </w:r>
      <w:r w:rsidR="00C869EE">
        <w:rPr>
          <w:color w:val="000000"/>
        </w:rPr>
        <w:t>’</w:t>
      </w:r>
      <w:r w:rsidRPr="00CE03EE">
        <w:rPr>
          <w:color w:val="000000"/>
        </w:rPr>
        <w:t xml:space="preserve">énergie représente </w:t>
      </w:r>
      <w:r w:rsidR="005C4F96" w:rsidRPr="00CE03EE">
        <w:rPr>
          <w:color w:val="000000"/>
        </w:rPr>
        <w:t xml:space="preserve">en moyenne de </w:t>
      </w:r>
      <w:r w:rsidRPr="00F30663">
        <w:rPr>
          <w:color w:val="000000"/>
        </w:rPr>
        <w:t>3</w:t>
      </w:r>
      <w:r w:rsidR="0085744A" w:rsidRPr="00CE03EE">
        <w:rPr>
          <w:color w:val="000000"/>
        </w:rPr>
        <w:t> %</w:t>
      </w:r>
      <w:r w:rsidRPr="00CE03EE">
        <w:rPr>
          <w:color w:val="000000"/>
        </w:rPr>
        <w:t xml:space="preserve"> </w:t>
      </w:r>
      <w:r w:rsidR="005C4F96" w:rsidRPr="00CE03EE">
        <w:rPr>
          <w:color w:val="000000"/>
        </w:rPr>
        <w:t xml:space="preserve">à </w:t>
      </w:r>
      <w:r w:rsidR="005C4F96" w:rsidRPr="00F30663">
        <w:rPr>
          <w:color w:val="000000"/>
        </w:rPr>
        <w:t>40</w:t>
      </w:r>
      <w:r w:rsidR="005C4F96" w:rsidRPr="00CE03EE">
        <w:rPr>
          <w:color w:val="000000"/>
        </w:rPr>
        <w:t> %</w:t>
      </w:r>
      <w:r w:rsidRPr="00CE03EE">
        <w:rPr>
          <w:color w:val="000000"/>
        </w:rPr>
        <w:t xml:space="preserve">, voire </w:t>
      </w:r>
      <w:r w:rsidR="005C4F96" w:rsidRPr="00CE03EE">
        <w:rPr>
          <w:color w:val="000000"/>
        </w:rPr>
        <w:t xml:space="preserve">plus </w:t>
      </w:r>
      <w:r w:rsidRPr="00CE03EE">
        <w:rPr>
          <w:color w:val="000000"/>
        </w:rPr>
        <w:t>dans certains cas</w:t>
      </w:r>
      <w:r w:rsidR="005C4F96" w:rsidRPr="00CE03EE">
        <w:rPr>
          <w:color w:val="000000"/>
        </w:rPr>
        <w:t>, des coûts de production totaux</w:t>
      </w:r>
      <w:r w:rsidRPr="00CE03EE">
        <w:rPr>
          <w:color w:val="000000"/>
        </w:rPr>
        <w:t>). L</w:t>
      </w:r>
      <w:r w:rsidR="00C869EE">
        <w:rPr>
          <w:color w:val="000000"/>
        </w:rPr>
        <w:t>’</w:t>
      </w:r>
      <w:r w:rsidRPr="00CE03EE">
        <w:rPr>
          <w:color w:val="000000"/>
        </w:rPr>
        <w:t xml:space="preserve">analyse réalisée par la Commission révèle que, pour les </w:t>
      </w:r>
      <w:r w:rsidRPr="00F30663">
        <w:rPr>
          <w:color w:val="000000"/>
        </w:rPr>
        <w:t>14</w:t>
      </w:r>
      <w:r w:rsidRPr="00CE03EE">
        <w:rPr>
          <w:color w:val="000000"/>
        </w:rPr>
        <w:t xml:space="preserve"> secteurs sélectionnés, la part des coûts de l</w:t>
      </w:r>
      <w:r w:rsidR="00C869EE">
        <w:rPr>
          <w:color w:val="000000"/>
        </w:rPr>
        <w:t>’</w:t>
      </w:r>
      <w:r w:rsidRPr="00CE03EE">
        <w:rPr>
          <w:color w:val="000000"/>
        </w:rPr>
        <w:t>énergie et les coûts de l</w:t>
      </w:r>
      <w:r w:rsidR="00C869EE">
        <w:rPr>
          <w:color w:val="000000"/>
        </w:rPr>
        <w:t>’</w:t>
      </w:r>
      <w:r w:rsidRPr="00CE03EE">
        <w:rPr>
          <w:color w:val="000000"/>
        </w:rPr>
        <w:t xml:space="preserve">énergie en valeur absolue ont diminué entre </w:t>
      </w:r>
      <w:r w:rsidRPr="00F30663">
        <w:rPr>
          <w:color w:val="000000"/>
        </w:rPr>
        <w:t>2008</w:t>
      </w:r>
      <w:r w:rsidRPr="00CE03EE">
        <w:rPr>
          <w:color w:val="000000"/>
        </w:rPr>
        <w:t xml:space="preserve"> et </w:t>
      </w:r>
      <w:r w:rsidRPr="00F30663">
        <w:rPr>
          <w:color w:val="000000"/>
        </w:rPr>
        <w:t>2013</w:t>
      </w:r>
      <w:r w:rsidRPr="00CE03EE">
        <w:rPr>
          <w:color w:val="000000"/>
        </w:rPr>
        <w:t>. Cette diminution résult</w:t>
      </w:r>
      <w:r w:rsidR="00543DAD" w:rsidRPr="00CE03EE">
        <w:rPr>
          <w:color w:val="000000"/>
        </w:rPr>
        <w:t>e</w:t>
      </w:r>
      <w:r w:rsidRPr="00CE03EE">
        <w:rPr>
          <w:color w:val="000000"/>
        </w:rPr>
        <w:t xml:space="preserve"> de la baisse des prix de l</w:t>
      </w:r>
      <w:r w:rsidR="00C869EE">
        <w:rPr>
          <w:color w:val="000000"/>
        </w:rPr>
        <w:t>’</w:t>
      </w:r>
      <w:r w:rsidRPr="00CE03EE">
        <w:rPr>
          <w:color w:val="000000"/>
        </w:rPr>
        <w:t>énergie, des exonérations et réductions fiscales, de la baisse de la consommation d</w:t>
      </w:r>
      <w:r w:rsidR="00C869EE">
        <w:rPr>
          <w:color w:val="000000"/>
        </w:rPr>
        <w:t>’</w:t>
      </w:r>
      <w:r w:rsidRPr="00CE03EE">
        <w:rPr>
          <w:color w:val="000000"/>
        </w:rPr>
        <w:t xml:space="preserve">énergie </w:t>
      </w:r>
      <w:r w:rsidR="005C4F96" w:rsidRPr="00CE03EE">
        <w:rPr>
          <w:color w:val="000000"/>
        </w:rPr>
        <w:t xml:space="preserve">due </w:t>
      </w:r>
      <w:r w:rsidRPr="00CE03EE">
        <w:rPr>
          <w:color w:val="000000"/>
        </w:rPr>
        <w:t>à la réduction des niveaux de production, d</w:t>
      </w:r>
      <w:r w:rsidR="00C869EE">
        <w:rPr>
          <w:color w:val="000000"/>
        </w:rPr>
        <w:t>’</w:t>
      </w:r>
      <w:r w:rsidRPr="00CE03EE">
        <w:rPr>
          <w:color w:val="000000"/>
        </w:rPr>
        <w:t>une réorientation de la production vers des produits à moindre intensité énergétique, de l</w:t>
      </w:r>
      <w:r w:rsidR="00C869EE">
        <w:rPr>
          <w:color w:val="000000"/>
        </w:rPr>
        <w:t>’</w:t>
      </w:r>
      <w:r w:rsidRPr="00CE03EE">
        <w:rPr>
          <w:color w:val="000000"/>
        </w:rPr>
        <w:t>adoption de mesures d</w:t>
      </w:r>
      <w:r w:rsidR="00C869EE">
        <w:rPr>
          <w:color w:val="000000"/>
        </w:rPr>
        <w:t>’</w:t>
      </w:r>
      <w:r w:rsidRPr="00CE03EE">
        <w:rPr>
          <w:color w:val="000000"/>
        </w:rPr>
        <w:t>efficacité énergétique et de la baisse plus lente du coût d</w:t>
      </w:r>
      <w:r w:rsidR="00C869EE">
        <w:rPr>
          <w:color w:val="000000"/>
        </w:rPr>
        <w:t>’</w:t>
      </w:r>
      <w:r w:rsidRPr="00CE03EE">
        <w:rPr>
          <w:color w:val="000000"/>
        </w:rPr>
        <w:t>autres facteurs de production.</w:t>
      </w:r>
    </w:p>
    <w:p w:rsidR="00110F78" w:rsidRPr="00CE03EE" w:rsidRDefault="00110F78" w:rsidP="004D2CC1">
      <w:pPr>
        <w:spacing w:after="0"/>
        <w:rPr>
          <w:b/>
          <w:color w:val="000000"/>
        </w:rPr>
      </w:pPr>
      <w:r w:rsidRPr="00CE03EE">
        <w:rPr>
          <w:b/>
          <w:color w:val="000000"/>
        </w:rPr>
        <w:t>Une comparaison internationale des coûts de l</w:t>
      </w:r>
      <w:r w:rsidR="00C869EE">
        <w:rPr>
          <w:b/>
          <w:color w:val="000000"/>
        </w:rPr>
        <w:t>’</w:t>
      </w:r>
      <w:r w:rsidRPr="00CE03EE">
        <w:rPr>
          <w:b/>
          <w:color w:val="000000"/>
        </w:rPr>
        <w:t>énergie</w:t>
      </w:r>
    </w:p>
    <w:p w:rsidR="00C93C57" w:rsidRPr="00CE03EE" w:rsidRDefault="00FF358A" w:rsidP="004D2CC1">
      <w:pPr>
        <w:spacing w:after="0"/>
        <w:rPr>
          <w:color w:val="000000"/>
        </w:rPr>
      </w:pPr>
      <w:r w:rsidRPr="00CE03EE">
        <w:rPr>
          <w:color w:val="000000"/>
        </w:rPr>
        <w:t>Dans l</w:t>
      </w:r>
      <w:r w:rsidR="00C869EE">
        <w:rPr>
          <w:color w:val="000000"/>
        </w:rPr>
        <w:t>’</w:t>
      </w:r>
      <w:r w:rsidRPr="00CE03EE">
        <w:rPr>
          <w:color w:val="000000"/>
        </w:rPr>
        <w:t>ensemble, l</w:t>
      </w:r>
      <w:r w:rsidR="00C869EE">
        <w:rPr>
          <w:color w:val="000000"/>
        </w:rPr>
        <w:t>’</w:t>
      </w:r>
      <w:r w:rsidRPr="00CE03EE">
        <w:rPr>
          <w:color w:val="000000"/>
        </w:rPr>
        <w:t>économie européenne n</w:t>
      </w:r>
      <w:r w:rsidR="00C869EE">
        <w:rPr>
          <w:color w:val="000000"/>
        </w:rPr>
        <w:t>’</w:t>
      </w:r>
      <w:r w:rsidRPr="00CE03EE">
        <w:rPr>
          <w:color w:val="000000"/>
        </w:rPr>
        <w:t>est pas une économie à forte intensité énergétique. Depuis des décennies, l</w:t>
      </w:r>
      <w:r w:rsidR="00C869EE">
        <w:rPr>
          <w:color w:val="000000"/>
        </w:rPr>
        <w:t>’</w:t>
      </w:r>
      <w:r w:rsidRPr="00CE03EE">
        <w:rPr>
          <w:color w:val="000000"/>
        </w:rPr>
        <w:t xml:space="preserve">UE restructure son économie </w:t>
      </w:r>
      <w:r w:rsidR="006C341B" w:rsidRPr="00CE03EE">
        <w:rPr>
          <w:color w:val="000000"/>
        </w:rPr>
        <w:t>en fonction de</w:t>
      </w:r>
      <w:r w:rsidRPr="00CE03EE">
        <w:rPr>
          <w:color w:val="000000"/>
        </w:rPr>
        <w:t xml:space="preserve"> l</w:t>
      </w:r>
      <w:r w:rsidR="00C869EE">
        <w:rPr>
          <w:color w:val="000000"/>
        </w:rPr>
        <w:t>’</w:t>
      </w:r>
      <w:r w:rsidRPr="00CE03EE">
        <w:rPr>
          <w:color w:val="000000"/>
        </w:rPr>
        <w:t>évolution des marchés nationaux et mondiaux et de la demande de différents biens et, de plus en plus, de services. La restructuration résulte également de la disponibilité des ressources, des signaux de prix et de l</w:t>
      </w:r>
      <w:r w:rsidR="00C869EE">
        <w:rPr>
          <w:color w:val="000000"/>
        </w:rPr>
        <w:t>’</w:t>
      </w:r>
      <w:r w:rsidRPr="00CE03EE">
        <w:rPr>
          <w:color w:val="000000"/>
        </w:rPr>
        <w:t>évolution technologique. Cependant, comme mentionné ci-dessus, certaines industries grandes consommatrices d</w:t>
      </w:r>
      <w:r w:rsidR="00C869EE">
        <w:rPr>
          <w:color w:val="000000"/>
        </w:rPr>
        <w:t>’</w:t>
      </w:r>
      <w:r w:rsidRPr="00CE03EE">
        <w:rPr>
          <w:color w:val="000000"/>
        </w:rPr>
        <w:t>énergie font face à la concurrence internationale. C</w:t>
      </w:r>
      <w:r w:rsidR="00C869EE">
        <w:rPr>
          <w:color w:val="000000"/>
        </w:rPr>
        <w:t>’</w:t>
      </w:r>
      <w:r w:rsidRPr="00CE03EE">
        <w:rPr>
          <w:color w:val="000000"/>
        </w:rPr>
        <w:t>est pourquoi il est important de déterminer comment l</w:t>
      </w:r>
      <w:r w:rsidR="00C869EE">
        <w:rPr>
          <w:color w:val="000000"/>
        </w:rPr>
        <w:t>’</w:t>
      </w:r>
      <w:r w:rsidRPr="00CE03EE">
        <w:rPr>
          <w:color w:val="000000"/>
        </w:rPr>
        <w:t>évolution des coûts et des prix de l</w:t>
      </w:r>
      <w:r w:rsidR="00C869EE">
        <w:rPr>
          <w:color w:val="000000"/>
        </w:rPr>
        <w:t>’</w:t>
      </w:r>
      <w:r w:rsidRPr="00CE03EE">
        <w:rPr>
          <w:color w:val="000000"/>
        </w:rPr>
        <w:t>énergie dans l</w:t>
      </w:r>
      <w:r w:rsidR="00C869EE">
        <w:rPr>
          <w:color w:val="000000"/>
        </w:rPr>
        <w:t>’</w:t>
      </w:r>
      <w:r w:rsidRPr="00CE03EE">
        <w:rPr>
          <w:color w:val="000000"/>
        </w:rPr>
        <w:t>UE doit être rapprochée des évolutions sur le plan international.</w:t>
      </w:r>
    </w:p>
    <w:p w:rsidR="001B09C6" w:rsidRPr="00CE03EE" w:rsidRDefault="00C93C57" w:rsidP="004D2CC1">
      <w:pPr>
        <w:spacing w:after="0"/>
        <w:rPr>
          <w:color w:val="000000"/>
        </w:rPr>
      </w:pPr>
      <w:r w:rsidRPr="00CE03EE">
        <w:rPr>
          <w:color w:val="000000"/>
        </w:rPr>
        <w:t>Comme indiqué dans les sections précédentes, les prix moyens de l</w:t>
      </w:r>
      <w:r w:rsidR="00C869EE">
        <w:rPr>
          <w:color w:val="000000"/>
        </w:rPr>
        <w:t>’</w:t>
      </w:r>
      <w:r w:rsidRPr="00CE03EE">
        <w:rPr>
          <w:color w:val="000000"/>
        </w:rPr>
        <w:t xml:space="preserve">électricité et du gaz fournis </w:t>
      </w:r>
      <w:r w:rsidR="00D61290" w:rsidRPr="00CE03EE">
        <w:rPr>
          <w:color w:val="000000"/>
        </w:rPr>
        <w:t>aux entreprises</w:t>
      </w:r>
      <w:r w:rsidRPr="00CE03EE">
        <w:rPr>
          <w:color w:val="000000"/>
        </w:rPr>
        <w:t xml:space="preserve"> dans l</w:t>
      </w:r>
      <w:r w:rsidR="00C869EE">
        <w:rPr>
          <w:color w:val="000000"/>
        </w:rPr>
        <w:t>’</w:t>
      </w:r>
      <w:r w:rsidRPr="00CE03EE">
        <w:rPr>
          <w:color w:val="000000"/>
        </w:rPr>
        <w:t xml:space="preserve">UE ont augmenté de manière relativement modérée entre </w:t>
      </w:r>
      <w:r w:rsidRPr="00F30663">
        <w:rPr>
          <w:color w:val="000000"/>
        </w:rPr>
        <w:t>2008</w:t>
      </w:r>
      <w:r w:rsidRPr="00CE03EE">
        <w:rPr>
          <w:color w:val="000000"/>
        </w:rPr>
        <w:t xml:space="preserve"> et </w:t>
      </w:r>
      <w:r w:rsidRPr="00F30663">
        <w:rPr>
          <w:color w:val="000000"/>
        </w:rPr>
        <w:t>2015</w:t>
      </w:r>
      <w:r w:rsidRPr="00CE03EE">
        <w:rPr>
          <w:color w:val="000000"/>
        </w:rPr>
        <w:t xml:space="preserve"> tandis qu</w:t>
      </w:r>
      <w:r w:rsidR="00C869EE">
        <w:rPr>
          <w:color w:val="000000"/>
        </w:rPr>
        <w:t>’</w:t>
      </w:r>
      <w:r w:rsidRPr="00CE03EE">
        <w:rPr>
          <w:color w:val="000000"/>
        </w:rPr>
        <w:t xml:space="preserve">ils ont augmenté </w:t>
      </w:r>
      <w:r w:rsidR="00824521" w:rsidRPr="00CE03EE">
        <w:rPr>
          <w:color w:val="000000"/>
        </w:rPr>
        <w:t xml:space="preserve">beaucoup </w:t>
      </w:r>
      <w:r w:rsidRPr="00CE03EE">
        <w:rPr>
          <w:color w:val="000000"/>
        </w:rPr>
        <w:t>plus rapidement dans les pays asiatiques (Chine, Corée du Sud et Japon en particulier).</w:t>
      </w:r>
    </w:p>
    <w:p w:rsidR="000122E6" w:rsidRPr="00CE03EE" w:rsidRDefault="001B09C6" w:rsidP="004D2CC1">
      <w:pPr>
        <w:spacing w:after="0"/>
        <w:rPr>
          <w:color w:val="000000"/>
        </w:rPr>
      </w:pPr>
      <w:r w:rsidRPr="00CE03EE">
        <w:rPr>
          <w:color w:val="000000"/>
        </w:rPr>
        <w:t>Les données disponibles (limitées) permettant de comparer les coûts de l</w:t>
      </w:r>
      <w:r w:rsidR="00C869EE">
        <w:rPr>
          <w:color w:val="000000"/>
        </w:rPr>
        <w:t>’</w:t>
      </w:r>
      <w:r w:rsidRPr="00CE03EE">
        <w:rPr>
          <w:color w:val="000000"/>
        </w:rPr>
        <w:t>énergie et l</w:t>
      </w:r>
      <w:r w:rsidR="00C869EE">
        <w:rPr>
          <w:color w:val="000000"/>
        </w:rPr>
        <w:t>’</w:t>
      </w:r>
      <w:r w:rsidRPr="00CE03EE">
        <w:rPr>
          <w:color w:val="000000"/>
        </w:rPr>
        <w:t>intensité énergétique</w:t>
      </w:r>
      <w:r w:rsidRPr="00CE03EE">
        <w:rPr>
          <w:rStyle w:val="FootnoteReference"/>
          <w:color w:val="000000"/>
        </w:rPr>
        <w:footnoteReference w:id="16"/>
      </w:r>
      <w:r w:rsidRPr="00CE03EE">
        <w:rPr>
          <w:color w:val="000000"/>
        </w:rPr>
        <w:t xml:space="preserve"> dans le monde indiquent que les industries grandes consommatrices d</w:t>
      </w:r>
      <w:r w:rsidR="00C869EE">
        <w:rPr>
          <w:color w:val="000000"/>
        </w:rPr>
        <w:t>’</w:t>
      </w:r>
      <w:r w:rsidRPr="00CE03EE">
        <w:rPr>
          <w:color w:val="000000"/>
        </w:rPr>
        <w:t>énergie en Chine nécessitent beaucoup plus d</w:t>
      </w:r>
      <w:r w:rsidR="00C869EE">
        <w:rPr>
          <w:color w:val="000000"/>
        </w:rPr>
        <w:t>’</w:t>
      </w:r>
      <w:r w:rsidRPr="00CE03EE">
        <w:rPr>
          <w:color w:val="000000"/>
        </w:rPr>
        <w:t>énergie qu</w:t>
      </w:r>
      <w:r w:rsidR="00C869EE">
        <w:rPr>
          <w:color w:val="000000"/>
        </w:rPr>
        <w:t>’</w:t>
      </w:r>
      <w:r w:rsidRPr="00CE03EE">
        <w:rPr>
          <w:color w:val="000000"/>
        </w:rPr>
        <w:t>aux États-Unis et dans l</w:t>
      </w:r>
      <w:r w:rsidR="00C869EE">
        <w:rPr>
          <w:color w:val="000000"/>
        </w:rPr>
        <w:t>’</w:t>
      </w:r>
      <w:r w:rsidRPr="00CE03EE">
        <w:rPr>
          <w:color w:val="000000"/>
        </w:rPr>
        <w:t>UE</w:t>
      </w:r>
      <w:r w:rsidRPr="00CE03EE">
        <w:rPr>
          <w:rStyle w:val="FootnoteReference"/>
          <w:color w:val="000000"/>
        </w:rPr>
        <w:footnoteReference w:id="17"/>
      </w:r>
      <w:r w:rsidRPr="00CE03EE">
        <w:rPr>
          <w:color w:val="000000"/>
        </w:rPr>
        <w:t xml:space="preserve">. En revanche, certains secteurs </w:t>
      </w:r>
      <w:r w:rsidR="00D61290" w:rsidRPr="00CE03EE">
        <w:rPr>
          <w:color w:val="000000"/>
        </w:rPr>
        <w:t xml:space="preserve">d'activité </w:t>
      </w:r>
      <w:r w:rsidR="00824521" w:rsidRPr="00CE03EE">
        <w:rPr>
          <w:color w:val="000000"/>
        </w:rPr>
        <w:t xml:space="preserve">de </w:t>
      </w:r>
      <w:r w:rsidRPr="00CE03EE">
        <w:rPr>
          <w:color w:val="000000"/>
        </w:rPr>
        <w:t>l</w:t>
      </w:r>
      <w:r w:rsidR="00C869EE">
        <w:rPr>
          <w:color w:val="000000"/>
        </w:rPr>
        <w:t>’</w:t>
      </w:r>
      <w:r w:rsidRPr="00CE03EE">
        <w:rPr>
          <w:color w:val="000000"/>
        </w:rPr>
        <w:t>UE semblent nécessiter plus d</w:t>
      </w:r>
      <w:r w:rsidR="00C869EE">
        <w:rPr>
          <w:color w:val="000000"/>
        </w:rPr>
        <w:t>’</w:t>
      </w:r>
      <w:r w:rsidRPr="00CE03EE">
        <w:rPr>
          <w:color w:val="000000"/>
        </w:rPr>
        <w:t xml:space="preserve">énergie que les mêmes secteurs aux États-Unis. </w:t>
      </w:r>
      <w:r w:rsidR="00194A16" w:rsidRPr="00CE03EE">
        <w:rPr>
          <w:color w:val="000000"/>
        </w:rPr>
        <w:t>Malgré cela</w:t>
      </w:r>
      <w:r w:rsidRPr="00CE03EE">
        <w:rPr>
          <w:color w:val="000000"/>
        </w:rPr>
        <w:t>, dans la plupart des cas, il semble que l</w:t>
      </w:r>
      <w:r w:rsidR="00C869EE">
        <w:rPr>
          <w:color w:val="000000"/>
        </w:rPr>
        <w:t>’</w:t>
      </w:r>
      <w:r w:rsidRPr="00CE03EE">
        <w:rPr>
          <w:color w:val="000000"/>
        </w:rPr>
        <w:t xml:space="preserve">énergie </w:t>
      </w:r>
      <w:r w:rsidR="00824521" w:rsidRPr="00CE03EE">
        <w:rPr>
          <w:color w:val="000000"/>
        </w:rPr>
        <w:t xml:space="preserve">représente une proportion </w:t>
      </w:r>
      <w:r w:rsidRPr="00CE03EE">
        <w:rPr>
          <w:color w:val="000000"/>
        </w:rPr>
        <w:t>des coûts de production</w:t>
      </w:r>
      <w:r w:rsidR="00824521" w:rsidRPr="00CE03EE">
        <w:t xml:space="preserve"> </w:t>
      </w:r>
      <w:r w:rsidRPr="00CE03EE">
        <w:rPr>
          <w:color w:val="000000"/>
        </w:rPr>
        <w:t>des industries grandes consommatrices d</w:t>
      </w:r>
      <w:r w:rsidR="00C869EE">
        <w:rPr>
          <w:color w:val="000000"/>
        </w:rPr>
        <w:t>’</w:t>
      </w:r>
      <w:r w:rsidRPr="00CE03EE">
        <w:rPr>
          <w:color w:val="000000"/>
        </w:rPr>
        <w:t xml:space="preserve">énergie </w:t>
      </w:r>
      <w:r w:rsidR="00824521" w:rsidRPr="00CE03EE">
        <w:rPr>
          <w:color w:val="000000"/>
        </w:rPr>
        <w:t xml:space="preserve">moins élevée </w:t>
      </w:r>
      <w:r w:rsidRPr="00CE03EE">
        <w:rPr>
          <w:color w:val="000000"/>
        </w:rPr>
        <w:t>dans l</w:t>
      </w:r>
      <w:r w:rsidR="00C869EE">
        <w:rPr>
          <w:color w:val="000000"/>
        </w:rPr>
        <w:t>’</w:t>
      </w:r>
      <w:r w:rsidRPr="00CE03EE">
        <w:rPr>
          <w:color w:val="000000"/>
        </w:rPr>
        <w:t>UE qu</w:t>
      </w:r>
      <w:r w:rsidR="00C869EE">
        <w:rPr>
          <w:color w:val="000000"/>
        </w:rPr>
        <w:t>’</w:t>
      </w:r>
      <w:r w:rsidRPr="00CE03EE">
        <w:rPr>
          <w:color w:val="000000"/>
        </w:rPr>
        <w:t xml:space="preserve">aux États-Unis, et </w:t>
      </w:r>
      <w:r w:rsidR="00824521" w:rsidRPr="00CE03EE">
        <w:rPr>
          <w:color w:val="000000"/>
        </w:rPr>
        <w:t xml:space="preserve">plus élevée </w:t>
      </w:r>
      <w:r w:rsidRPr="00CE03EE">
        <w:rPr>
          <w:color w:val="000000"/>
        </w:rPr>
        <w:t>qu</w:t>
      </w:r>
      <w:r w:rsidR="00C869EE">
        <w:rPr>
          <w:color w:val="000000"/>
        </w:rPr>
        <w:t>’</w:t>
      </w:r>
      <w:r w:rsidRPr="00CE03EE">
        <w:rPr>
          <w:color w:val="000000"/>
        </w:rPr>
        <w:t>au Japon. Cependant, la part des coûts de l</w:t>
      </w:r>
      <w:r w:rsidR="00C869EE">
        <w:rPr>
          <w:color w:val="000000"/>
        </w:rPr>
        <w:t>’</w:t>
      </w:r>
      <w:r w:rsidRPr="00CE03EE">
        <w:rPr>
          <w:color w:val="000000"/>
        </w:rPr>
        <w:t>énergie a diminué plus rapidement aux États-Unis que dans l</w:t>
      </w:r>
      <w:r w:rsidR="00C869EE">
        <w:rPr>
          <w:color w:val="000000"/>
        </w:rPr>
        <w:t>’</w:t>
      </w:r>
      <w:r w:rsidRPr="00CE03EE">
        <w:rPr>
          <w:color w:val="000000"/>
        </w:rPr>
        <w:t xml:space="preserve">UE depuis </w:t>
      </w:r>
      <w:r w:rsidRPr="00F30663">
        <w:rPr>
          <w:color w:val="000000"/>
        </w:rPr>
        <w:t>2008</w:t>
      </w:r>
      <w:r w:rsidRPr="00CE03EE">
        <w:rPr>
          <w:color w:val="000000"/>
        </w:rPr>
        <w:t>. Même s</w:t>
      </w:r>
      <w:r w:rsidR="00C869EE">
        <w:rPr>
          <w:color w:val="000000"/>
        </w:rPr>
        <w:t>’</w:t>
      </w:r>
      <w:r w:rsidRPr="00CE03EE">
        <w:rPr>
          <w:color w:val="000000"/>
        </w:rPr>
        <w:t>il est vrai que les prix de l</w:t>
      </w:r>
      <w:r w:rsidR="00C869EE">
        <w:rPr>
          <w:color w:val="000000"/>
        </w:rPr>
        <w:t>’</w:t>
      </w:r>
      <w:r w:rsidRPr="00CE03EE">
        <w:rPr>
          <w:color w:val="000000"/>
        </w:rPr>
        <w:t>énergie sont plus bas aux États-Unis, cela pourrait indiquer que s</w:t>
      </w:r>
      <w:r w:rsidR="00D61290" w:rsidRPr="00CE03EE">
        <w:rPr>
          <w:color w:val="000000"/>
        </w:rPr>
        <w:t>es</w:t>
      </w:r>
      <w:r w:rsidRPr="00CE03EE">
        <w:rPr>
          <w:color w:val="000000"/>
        </w:rPr>
        <w:t xml:space="preserve"> industrie</w:t>
      </w:r>
      <w:r w:rsidR="002D0274" w:rsidRPr="00CE03EE">
        <w:rPr>
          <w:color w:val="000000"/>
        </w:rPr>
        <w:t>s</w:t>
      </w:r>
      <w:r w:rsidRPr="00CE03EE">
        <w:rPr>
          <w:color w:val="000000"/>
        </w:rPr>
        <w:t xml:space="preserve"> grande</w:t>
      </w:r>
      <w:r w:rsidR="00D61290" w:rsidRPr="00CE03EE">
        <w:rPr>
          <w:color w:val="000000"/>
        </w:rPr>
        <w:t>s</w:t>
      </w:r>
      <w:r w:rsidRPr="00CE03EE">
        <w:rPr>
          <w:color w:val="000000"/>
        </w:rPr>
        <w:t xml:space="preserve"> consommatrice</w:t>
      </w:r>
      <w:r w:rsidR="00D61290" w:rsidRPr="00CE03EE">
        <w:rPr>
          <w:color w:val="000000"/>
        </w:rPr>
        <w:t>s</w:t>
      </w:r>
      <w:r w:rsidRPr="00CE03EE">
        <w:rPr>
          <w:color w:val="000000"/>
        </w:rPr>
        <w:t xml:space="preserve"> d</w:t>
      </w:r>
      <w:r w:rsidR="00C869EE">
        <w:rPr>
          <w:color w:val="000000"/>
        </w:rPr>
        <w:t>’</w:t>
      </w:r>
      <w:r w:rsidRPr="00CE03EE">
        <w:rPr>
          <w:color w:val="000000"/>
        </w:rPr>
        <w:t>énergie</w:t>
      </w:r>
      <w:r w:rsidR="00824521" w:rsidRPr="00CE03EE">
        <w:t xml:space="preserve"> </w:t>
      </w:r>
      <w:r w:rsidRPr="00CE03EE">
        <w:rPr>
          <w:color w:val="000000"/>
        </w:rPr>
        <w:t>s</w:t>
      </w:r>
      <w:r w:rsidR="00D61290" w:rsidRPr="00CE03EE">
        <w:rPr>
          <w:color w:val="000000"/>
        </w:rPr>
        <w:t>on</w:t>
      </w:r>
      <w:r w:rsidRPr="00CE03EE">
        <w:rPr>
          <w:color w:val="000000"/>
        </w:rPr>
        <w:t xml:space="preserve">t sur le point de «rattraper </w:t>
      </w:r>
      <w:r w:rsidR="00D61290" w:rsidRPr="00CE03EE">
        <w:rPr>
          <w:color w:val="000000"/>
        </w:rPr>
        <w:t xml:space="preserve">leur </w:t>
      </w:r>
      <w:r w:rsidRPr="00CE03EE">
        <w:rPr>
          <w:color w:val="000000"/>
        </w:rPr>
        <w:t>retard». D</w:t>
      </w:r>
      <w:r w:rsidR="00194A16" w:rsidRPr="00CE03EE">
        <w:rPr>
          <w:color w:val="000000"/>
        </w:rPr>
        <w:t>epuis</w:t>
      </w:r>
      <w:r w:rsidRPr="00CE03EE">
        <w:t xml:space="preserve"> </w:t>
      </w:r>
      <w:r w:rsidRPr="00F30663">
        <w:t>2008</w:t>
      </w:r>
      <w:r w:rsidRPr="00CE03EE">
        <w:t>, les données disponibles sur les améliorations de l</w:t>
      </w:r>
      <w:r w:rsidR="00C869EE">
        <w:t>’</w:t>
      </w:r>
      <w:r w:rsidRPr="00CE03EE">
        <w:t>efficacité énergétique</w:t>
      </w:r>
      <w:r w:rsidRPr="00CE03EE">
        <w:rPr>
          <w:rStyle w:val="FootnoteReference"/>
        </w:rPr>
        <w:footnoteReference w:id="18"/>
      </w:r>
      <w:r w:rsidRPr="00CE03EE">
        <w:t xml:space="preserve"> dans certaines industries européennes grandes consommatrices d</w:t>
      </w:r>
      <w:r w:rsidR="00C869EE">
        <w:t>’</w:t>
      </w:r>
      <w:r w:rsidRPr="00CE03EE">
        <w:t>énergie laissent entrevoir que ces améliorations semblent s</w:t>
      </w:r>
      <w:r w:rsidR="00C869EE">
        <w:t>’</w:t>
      </w:r>
      <w:r w:rsidRPr="00CE03EE">
        <w:t>être ralenties, voire arrêtées. Cela pourrait s</w:t>
      </w:r>
      <w:r w:rsidR="00C869EE">
        <w:t>’</w:t>
      </w:r>
      <w:r w:rsidRPr="00CE03EE">
        <w:t>expliquer par des facteurs tels que des possibilités limitées d</w:t>
      </w:r>
      <w:r w:rsidR="00C869EE">
        <w:t>’</w:t>
      </w:r>
      <w:r w:rsidRPr="00CE03EE">
        <w:t>amélioration technique, une réduction des taux d</w:t>
      </w:r>
      <w:r w:rsidR="00C869EE">
        <w:t>’</w:t>
      </w:r>
      <w:r w:rsidRPr="00CE03EE">
        <w:t>utilisation des capacités, mais aussi une disponibilité insuffisante de capitaux d</w:t>
      </w:r>
      <w:r w:rsidR="00C869EE">
        <w:t>’</w:t>
      </w:r>
      <w:r w:rsidRPr="00CE03EE">
        <w:t>investissement.</w:t>
      </w:r>
    </w:p>
    <w:p w:rsidR="001A72AB" w:rsidRPr="00CE03EE" w:rsidRDefault="00467E44" w:rsidP="004D2CC1">
      <w:pPr>
        <w:pStyle w:val="Heading1"/>
        <w:spacing w:before="120"/>
        <w:ind w:left="567" w:hanging="567"/>
      </w:pPr>
      <w:r w:rsidRPr="00CE03EE">
        <w:t>Subventions au titre de l</w:t>
      </w:r>
      <w:r w:rsidR="00C869EE">
        <w:t>’</w:t>
      </w:r>
      <w:r w:rsidRPr="00CE03EE">
        <w:t>énergie et recettes publiques</w:t>
      </w:r>
    </w:p>
    <w:p w:rsidR="008A4657" w:rsidRPr="00CE03EE" w:rsidRDefault="008A4657" w:rsidP="004D2CC1">
      <w:pPr>
        <w:spacing w:after="0"/>
        <w:rPr>
          <w:color w:val="000000"/>
        </w:rPr>
      </w:pPr>
      <w:r w:rsidRPr="00CE03EE">
        <w:rPr>
          <w:color w:val="000000"/>
        </w:rPr>
        <w:t>La compétitivité et le bon fonctionnement du marché de l</w:t>
      </w:r>
      <w:r w:rsidR="00C869EE">
        <w:rPr>
          <w:color w:val="000000"/>
        </w:rPr>
        <w:t>’</w:t>
      </w:r>
      <w:r w:rsidRPr="00CE03EE">
        <w:rPr>
          <w:color w:val="000000"/>
        </w:rPr>
        <w:t xml:space="preserve">énergie doivent permettre de fournir aux ménages et </w:t>
      </w:r>
      <w:r w:rsidR="00D61290" w:rsidRPr="00CE03EE">
        <w:rPr>
          <w:color w:val="000000"/>
        </w:rPr>
        <w:t>aux entreprises</w:t>
      </w:r>
      <w:r w:rsidRPr="00CE03EE">
        <w:rPr>
          <w:color w:val="000000"/>
        </w:rPr>
        <w:t xml:space="preserve"> l</w:t>
      </w:r>
      <w:r w:rsidR="00C869EE">
        <w:rPr>
          <w:color w:val="000000"/>
        </w:rPr>
        <w:t>’</w:t>
      </w:r>
      <w:r w:rsidRPr="00CE03EE">
        <w:rPr>
          <w:color w:val="000000"/>
        </w:rPr>
        <w:t>énergie dont ils ont besoin de la manière la plus rentable possible. Plus les signaux de prix sont clairs et plus l</w:t>
      </w:r>
      <w:r w:rsidR="00C869EE">
        <w:rPr>
          <w:color w:val="000000"/>
        </w:rPr>
        <w:t>’</w:t>
      </w:r>
      <w:r w:rsidRPr="00CE03EE">
        <w:rPr>
          <w:color w:val="000000"/>
        </w:rPr>
        <w:t>adéquation entre les coûts de production et les prix est étroite, plus la production et la consommation d</w:t>
      </w:r>
      <w:r w:rsidR="00C869EE">
        <w:rPr>
          <w:color w:val="000000"/>
        </w:rPr>
        <w:t>’</w:t>
      </w:r>
      <w:r w:rsidRPr="00CE03EE">
        <w:rPr>
          <w:color w:val="000000"/>
        </w:rPr>
        <w:t>énergie seront efficaces. Cependant, à plusieurs égards, le marché de l</w:t>
      </w:r>
      <w:r w:rsidR="00C869EE">
        <w:rPr>
          <w:color w:val="000000"/>
        </w:rPr>
        <w:t>’</w:t>
      </w:r>
      <w:r w:rsidRPr="00CE03EE">
        <w:rPr>
          <w:color w:val="000000"/>
        </w:rPr>
        <w:t xml:space="preserve">énergie ne fonctionne pas de manière satisfaisante. Une série de défaillances du marché et de la réglementation ont </w:t>
      </w:r>
      <w:r w:rsidR="001936D8" w:rsidRPr="00CE03EE">
        <w:rPr>
          <w:color w:val="000000"/>
        </w:rPr>
        <w:t>conduit l</w:t>
      </w:r>
      <w:r w:rsidRPr="00CE03EE">
        <w:rPr>
          <w:color w:val="000000"/>
        </w:rPr>
        <w:t xml:space="preserve">es pouvoirs publics </w:t>
      </w:r>
      <w:r w:rsidR="001936D8" w:rsidRPr="00CE03EE">
        <w:rPr>
          <w:color w:val="000000"/>
        </w:rPr>
        <w:t xml:space="preserve">à intervenir </w:t>
      </w:r>
      <w:r w:rsidRPr="00CE03EE">
        <w:rPr>
          <w:color w:val="000000"/>
        </w:rPr>
        <w:t>de façons très diverses au fil des ans afin d</w:t>
      </w:r>
      <w:r w:rsidR="00C869EE">
        <w:rPr>
          <w:color w:val="000000"/>
        </w:rPr>
        <w:t>’</w:t>
      </w:r>
      <w:r w:rsidRPr="00CE03EE">
        <w:rPr>
          <w:color w:val="000000"/>
        </w:rPr>
        <w:t>orienter le développement du secteur de l</w:t>
      </w:r>
      <w:r w:rsidR="00C869EE">
        <w:rPr>
          <w:color w:val="000000"/>
        </w:rPr>
        <w:t>’</w:t>
      </w:r>
      <w:r w:rsidRPr="00CE03EE">
        <w:rPr>
          <w:color w:val="000000"/>
        </w:rPr>
        <w:t xml:space="preserve">énergie. </w:t>
      </w:r>
      <w:r w:rsidR="001936D8" w:rsidRPr="00CE03EE">
        <w:rPr>
          <w:color w:val="000000"/>
        </w:rPr>
        <w:t xml:space="preserve">Ils ont pris des </w:t>
      </w:r>
      <w:r w:rsidRPr="00CE03EE">
        <w:rPr>
          <w:color w:val="000000"/>
        </w:rPr>
        <w:t xml:space="preserve">mesures réglementaires ou financières </w:t>
      </w:r>
      <w:r w:rsidR="001936D8" w:rsidRPr="00CE03EE">
        <w:rPr>
          <w:color w:val="000000"/>
        </w:rPr>
        <w:t>concernant</w:t>
      </w:r>
      <w:r w:rsidRPr="00CE03EE">
        <w:rPr>
          <w:color w:val="000000"/>
        </w:rPr>
        <w:t xml:space="preserve"> les producteurs ou les consommateurs d</w:t>
      </w:r>
      <w:r w:rsidR="00C869EE">
        <w:rPr>
          <w:color w:val="000000"/>
        </w:rPr>
        <w:t>’</w:t>
      </w:r>
      <w:r w:rsidRPr="00CE03EE">
        <w:rPr>
          <w:color w:val="000000"/>
        </w:rPr>
        <w:t>énergie afin d</w:t>
      </w:r>
      <w:r w:rsidR="00C869EE">
        <w:rPr>
          <w:color w:val="000000"/>
        </w:rPr>
        <w:t>’</w:t>
      </w:r>
      <w:r w:rsidRPr="00CE03EE">
        <w:rPr>
          <w:color w:val="000000"/>
        </w:rPr>
        <w:t>atteindre des objectifs politiques tels que la réduction de la pollution et des émissions de gaz à effet de serre, l</w:t>
      </w:r>
      <w:r w:rsidR="00C869EE">
        <w:rPr>
          <w:color w:val="000000"/>
        </w:rPr>
        <w:t>’</w:t>
      </w:r>
      <w:r w:rsidRPr="00CE03EE">
        <w:rPr>
          <w:color w:val="000000"/>
        </w:rPr>
        <w:t>amélioration de la sécurité de l’approvisionnement en énergie ou la réduction de la charge que représente le coût de l</w:t>
      </w:r>
      <w:r w:rsidR="00C869EE">
        <w:rPr>
          <w:color w:val="000000"/>
        </w:rPr>
        <w:t>’</w:t>
      </w:r>
      <w:r w:rsidRPr="00CE03EE">
        <w:rPr>
          <w:color w:val="000000"/>
        </w:rPr>
        <w:t>énergie pour les ménages pauvres ou les entreprises vulnérables. Ces mesures subventionnent souvent la production et la consommation d</w:t>
      </w:r>
      <w:r w:rsidR="00C869EE">
        <w:rPr>
          <w:color w:val="000000"/>
        </w:rPr>
        <w:t>’</w:t>
      </w:r>
      <w:r w:rsidRPr="00CE03EE">
        <w:rPr>
          <w:color w:val="000000"/>
        </w:rPr>
        <w:t xml:space="preserve">énergie et peuvent corriger les signaux de prix afin de refléter les défaillances du marché. </w:t>
      </w:r>
      <w:r w:rsidR="001936D8" w:rsidRPr="00CE03EE">
        <w:rPr>
          <w:color w:val="000000"/>
        </w:rPr>
        <w:t>Il s'agit notamment de</w:t>
      </w:r>
      <w:r w:rsidRPr="00CE03EE">
        <w:rPr>
          <w:color w:val="000000"/>
        </w:rPr>
        <w:t xml:space="preserve"> mesures explicites qui se </w:t>
      </w:r>
      <w:r w:rsidR="001936D8" w:rsidRPr="00CE03EE">
        <w:rPr>
          <w:color w:val="000000"/>
        </w:rPr>
        <w:t xml:space="preserve">traduisent </w:t>
      </w:r>
      <w:r w:rsidRPr="00CE03EE">
        <w:rPr>
          <w:color w:val="000000"/>
        </w:rPr>
        <w:t>dans les prix, comme l</w:t>
      </w:r>
      <w:r w:rsidR="00C869EE">
        <w:rPr>
          <w:color w:val="000000"/>
        </w:rPr>
        <w:t>’</w:t>
      </w:r>
      <w:r w:rsidRPr="00CE03EE">
        <w:rPr>
          <w:color w:val="000000"/>
        </w:rPr>
        <w:t>illustrent les sous-composants relatifs aux taxes et aux prélèvements sur l</w:t>
      </w:r>
      <w:r w:rsidR="00C869EE">
        <w:rPr>
          <w:color w:val="000000"/>
        </w:rPr>
        <w:t>’</w:t>
      </w:r>
      <w:r w:rsidRPr="00CE03EE">
        <w:rPr>
          <w:color w:val="000000"/>
        </w:rPr>
        <w:t>énergie examinés ci-dessus. Toutefois, certaines de ces mesures (mesures en faveur de la demande d</w:t>
      </w:r>
      <w:r w:rsidR="00C869EE">
        <w:rPr>
          <w:color w:val="000000"/>
        </w:rPr>
        <w:t>’</w:t>
      </w:r>
      <w:r w:rsidRPr="00CE03EE">
        <w:rPr>
          <w:color w:val="000000"/>
        </w:rPr>
        <w:t>énergie ou prix réglementés inférieurs aux coûts) peuvent également atténuer les signaux de prix qui</w:t>
      </w:r>
      <w:r w:rsidR="009C3806" w:rsidRPr="00CE03EE">
        <w:rPr>
          <w:color w:val="000000"/>
        </w:rPr>
        <w:t>,</w:t>
      </w:r>
      <w:r w:rsidRPr="00CE03EE">
        <w:rPr>
          <w:color w:val="000000"/>
        </w:rPr>
        <w:t xml:space="preserve"> autrement</w:t>
      </w:r>
      <w:r w:rsidR="009C3806" w:rsidRPr="00CE03EE">
        <w:rPr>
          <w:color w:val="000000"/>
        </w:rPr>
        <w:t>,</w:t>
      </w:r>
      <w:r w:rsidRPr="00CE03EE">
        <w:rPr>
          <w:color w:val="000000"/>
        </w:rPr>
        <w:t xml:space="preserve"> orienteraient la consommation et la production d</w:t>
      </w:r>
      <w:r w:rsidR="00C869EE">
        <w:rPr>
          <w:color w:val="000000"/>
        </w:rPr>
        <w:t>’</w:t>
      </w:r>
      <w:r w:rsidRPr="00CE03EE">
        <w:rPr>
          <w:color w:val="000000"/>
        </w:rPr>
        <w:t>énergie, l</w:t>
      </w:r>
      <w:r w:rsidR="00C869EE">
        <w:rPr>
          <w:color w:val="000000"/>
        </w:rPr>
        <w:t>’</w:t>
      </w:r>
      <w:r w:rsidRPr="00CE03EE">
        <w:rPr>
          <w:color w:val="000000"/>
        </w:rPr>
        <w:t>efficacité énergétique et les investissements. Les subventions en faveur des combustibles fossiles sont particulièrement problématiques, car elles défavorisent l</w:t>
      </w:r>
      <w:r w:rsidR="00C869EE">
        <w:rPr>
          <w:color w:val="000000"/>
        </w:rPr>
        <w:t>’</w:t>
      </w:r>
      <w:r w:rsidRPr="00CE03EE">
        <w:rPr>
          <w:color w:val="000000"/>
        </w:rPr>
        <w:t xml:space="preserve">énergie propre et entravent la transition vers une économie </w:t>
      </w:r>
      <w:r w:rsidR="00B310B3" w:rsidRPr="00CE03EE">
        <w:rPr>
          <w:color w:val="000000"/>
        </w:rPr>
        <w:t>à faible intensité de</w:t>
      </w:r>
      <w:r w:rsidRPr="00CE03EE">
        <w:rPr>
          <w:color w:val="000000"/>
        </w:rPr>
        <w:t xml:space="preserve"> carbone.</w:t>
      </w:r>
    </w:p>
    <w:p w:rsidR="00856500" w:rsidRPr="00CE03EE" w:rsidRDefault="00C531FB" w:rsidP="004D2CC1">
      <w:pPr>
        <w:spacing w:after="0"/>
        <w:rPr>
          <w:color w:val="000000"/>
        </w:rPr>
      </w:pPr>
      <w:r w:rsidRPr="00CE03EE">
        <w:rPr>
          <w:color w:val="000000"/>
        </w:rPr>
        <w:t xml:space="preserve">En </w:t>
      </w:r>
      <w:r w:rsidRPr="00F30663">
        <w:rPr>
          <w:color w:val="000000"/>
        </w:rPr>
        <w:t>2014</w:t>
      </w:r>
      <w:r w:rsidRPr="00CE03EE">
        <w:rPr>
          <w:color w:val="000000"/>
        </w:rPr>
        <w:t>, la Commission a réalisé une étude approfondie sur la nature des coûts de l</w:t>
      </w:r>
      <w:r w:rsidR="00C869EE">
        <w:rPr>
          <w:color w:val="000000"/>
        </w:rPr>
        <w:t>’</w:t>
      </w:r>
      <w:r w:rsidRPr="00CE03EE">
        <w:rPr>
          <w:color w:val="000000"/>
        </w:rPr>
        <w:t>énergie et des subventions en Europe</w:t>
      </w:r>
      <w:r w:rsidRPr="00CE03EE">
        <w:rPr>
          <w:rStyle w:val="FootnoteReference"/>
          <w:color w:val="000000"/>
        </w:rPr>
        <w:footnoteReference w:id="19"/>
      </w:r>
      <w:r w:rsidRPr="00CE03EE">
        <w:rPr>
          <w:color w:val="000000"/>
        </w:rPr>
        <w:t xml:space="preserve">. Cette étude a </w:t>
      </w:r>
      <w:r w:rsidR="001936D8" w:rsidRPr="00CE03EE">
        <w:rPr>
          <w:color w:val="000000"/>
        </w:rPr>
        <w:t xml:space="preserve">révélé </w:t>
      </w:r>
      <w:r w:rsidRPr="00CE03EE">
        <w:rPr>
          <w:color w:val="000000"/>
        </w:rPr>
        <w:t>qu</w:t>
      </w:r>
      <w:r w:rsidR="00C869EE">
        <w:rPr>
          <w:color w:val="000000"/>
        </w:rPr>
        <w:t>’</w:t>
      </w:r>
      <w:r w:rsidRPr="00CE03EE">
        <w:rPr>
          <w:color w:val="000000"/>
        </w:rPr>
        <w:t>un large éventail d</w:t>
      </w:r>
      <w:r w:rsidR="00C869EE">
        <w:rPr>
          <w:color w:val="000000"/>
        </w:rPr>
        <w:t>’</w:t>
      </w:r>
      <w:r w:rsidRPr="00CE03EE">
        <w:rPr>
          <w:color w:val="000000"/>
        </w:rPr>
        <w:t>interventions publiques constituaient d</w:t>
      </w:r>
      <w:r w:rsidR="001936D8" w:rsidRPr="00CE03EE">
        <w:rPr>
          <w:color w:val="000000"/>
        </w:rPr>
        <w:t>'importantes</w:t>
      </w:r>
      <w:r w:rsidRPr="00CE03EE">
        <w:rPr>
          <w:color w:val="000000"/>
        </w:rPr>
        <w:t xml:space="preserve"> subventions au secteur de l</w:t>
      </w:r>
      <w:r w:rsidR="00C869EE">
        <w:rPr>
          <w:color w:val="000000"/>
        </w:rPr>
        <w:t>’</w:t>
      </w:r>
      <w:r w:rsidRPr="00CE03EE">
        <w:rPr>
          <w:color w:val="000000"/>
        </w:rPr>
        <w:t>énergie (à l</w:t>
      </w:r>
      <w:r w:rsidR="00C869EE">
        <w:rPr>
          <w:color w:val="000000"/>
        </w:rPr>
        <w:t>’</w:t>
      </w:r>
      <w:r w:rsidRPr="00CE03EE">
        <w:rPr>
          <w:color w:val="000000"/>
        </w:rPr>
        <w:t>exclusion des transports), qui s</w:t>
      </w:r>
      <w:r w:rsidR="00C869EE">
        <w:rPr>
          <w:color w:val="000000"/>
        </w:rPr>
        <w:t>’</w:t>
      </w:r>
      <w:r w:rsidRPr="00CE03EE">
        <w:rPr>
          <w:color w:val="000000"/>
        </w:rPr>
        <w:t xml:space="preserve">élevaient en </w:t>
      </w:r>
      <w:r w:rsidRPr="00F30663">
        <w:rPr>
          <w:color w:val="000000"/>
        </w:rPr>
        <w:t>2012</w:t>
      </w:r>
      <w:r w:rsidRPr="00CE03EE">
        <w:rPr>
          <w:color w:val="000000"/>
        </w:rPr>
        <w:t xml:space="preserve"> à </w:t>
      </w:r>
      <w:r w:rsidRPr="00F30663">
        <w:rPr>
          <w:color w:val="000000"/>
        </w:rPr>
        <w:t>113</w:t>
      </w:r>
      <w:r w:rsidRPr="00CE03EE">
        <w:rPr>
          <w:color w:val="000000"/>
        </w:rPr>
        <w:t xml:space="preserve"> milliards d</w:t>
      </w:r>
      <w:r w:rsidR="00C869EE">
        <w:rPr>
          <w:color w:val="000000"/>
        </w:rPr>
        <w:t>’</w:t>
      </w:r>
      <w:r w:rsidRPr="00CE03EE">
        <w:rPr>
          <w:color w:val="000000"/>
        </w:rPr>
        <w:t xml:space="preserve">euros, dont environ </w:t>
      </w:r>
      <w:r w:rsidRPr="00F30663">
        <w:rPr>
          <w:color w:val="000000"/>
        </w:rPr>
        <w:t>17</w:t>
      </w:r>
      <w:r w:rsidRPr="00CE03EE">
        <w:rPr>
          <w:color w:val="000000"/>
        </w:rPr>
        <w:t>,</w:t>
      </w:r>
      <w:r w:rsidRPr="00F30663">
        <w:rPr>
          <w:color w:val="000000"/>
        </w:rPr>
        <w:t>2</w:t>
      </w:r>
      <w:r w:rsidRPr="00CE03EE">
        <w:rPr>
          <w:color w:val="000000"/>
        </w:rPr>
        <w:t xml:space="preserve"> milliards d</w:t>
      </w:r>
      <w:r w:rsidR="00C869EE">
        <w:rPr>
          <w:color w:val="000000"/>
        </w:rPr>
        <w:t>’</w:t>
      </w:r>
      <w:r w:rsidRPr="00CE03EE">
        <w:rPr>
          <w:color w:val="000000"/>
        </w:rPr>
        <w:t xml:space="preserve">euros </w:t>
      </w:r>
      <w:r w:rsidR="001936D8" w:rsidRPr="00CE03EE">
        <w:rPr>
          <w:color w:val="000000"/>
        </w:rPr>
        <w:t xml:space="preserve">sous la forme de subventions </w:t>
      </w:r>
      <w:r w:rsidR="001936D8" w:rsidRPr="00CE03EE">
        <w:rPr>
          <w:i/>
          <w:color w:val="000000"/>
        </w:rPr>
        <w:t>directes</w:t>
      </w:r>
      <w:r w:rsidR="001936D8" w:rsidRPr="00CE03EE">
        <w:rPr>
          <w:color w:val="000000"/>
        </w:rPr>
        <w:t xml:space="preserve"> en faveur des </w:t>
      </w:r>
      <w:r w:rsidRPr="00CE03EE">
        <w:rPr>
          <w:color w:val="000000"/>
        </w:rPr>
        <w:t>combustibles fossiles à des fins d</w:t>
      </w:r>
      <w:r w:rsidR="00C869EE">
        <w:rPr>
          <w:color w:val="000000"/>
        </w:rPr>
        <w:t>’</w:t>
      </w:r>
      <w:r w:rsidRPr="00CE03EE">
        <w:rPr>
          <w:color w:val="000000"/>
        </w:rPr>
        <w:t>électricité et de chauffage</w:t>
      </w:r>
      <w:r w:rsidRPr="00CE03EE">
        <w:rPr>
          <w:rStyle w:val="FootnoteReference"/>
          <w:color w:val="000000"/>
        </w:rPr>
        <w:footnoteReference w:id="20"/>
      </w:r>
      <w:r w:rsidR="00940BA7" w:rsidRPr="00CE03EE">
        <w:rPr>
          <w:color w:val="000000"/>
        </w:rPr>
        <w:t>.</w:t>
      </w:r>
      <w:r w:rsidRPr="00CE03EE">
        <w:rPr>
          <w:color w:val="000000"/>
        </w:rPr>
        <w:t xml:space="preserve"> </w:t>
      </w:r>
      <w:r w:rsidR="0033605D" w:rsidRPr="00CE03EE">
        <w:rPr>
          <w:color w:val="000000"/>
        </w:rPr>
        <w:t xml:space="preserve">Il a été estimé que les </w:t>
      </w:r>
      <w:r w:rsidRPr="00CE03EE">
        <w:rPr>
          <w:color w:val="000000"/>
        </w:rPr>
        <w:t xml:space="preserve">combustibles fossiles pour les transports ont </w:t>
      </w:r>
      <w:r w:rsidR="0033605D" w:rsidRPr="00CE03EE">
        <w:rPr>
          <w:color w:val="000000"/>
        </w:rPr>
        <w:t>bénéficié</w:t>
      </w:r>
      <w:r w:rsidRPr="00CE03EE">
        <w:rPr>
          <w:color w:val="000000"/>
        </w:rPr>
        <w:t xml:space="preserve"> séparément </w:t>
      </w:r>
      <w:r w:rsidR="0033605D" w:rsidRPr="00CE03EE">
        <w:rPr>
          <w:color w:val="000000"/>
        </w:rPr>
        <w:t xml:space="preserve">de </w:t>
      </w:r>
      <w:r w:rsidRPr="00F30663">
        <w:rPr>
          <w:color w:val="000000"/>
        </w:rPr>
        <w:t>24</w:t>
      </w:r>
      <w:r w:rsidRPr="00CE03EE">
        <w:rPr>
          <w:color w:val="000000"/>
        </w:rPr>
        <w:t>,</w:t>
      </w:r>
      <w:r w:rsidRPr="00F30663">
        <w:rPr>
          <w:color w:val="000000"/>
        </w:rPr>
        <w:t>7</w:t>
      </w:r>
      <w:r w:rsidRPr="00CE03EE">
        <w:rPr>
          <w:color w:val="000000"/>
        </w:rPr>
        <w:t xml:space="preserve"> milliards d</w:t>
      </w:r>
      <w:r w:rsidR="00C869EE">
        <w:rPr>
          <w:color w:val="000000"/>
        </w:rPr>
        <w:t>’</w:t>
      </w:r>
      <w:r w:rsidRPr="00CE03EE">
        <w:rPr>
          <w:color w:val="000000"/>
        </w:rPr>
        <w:t>euros. Si l</w:t>
      </w:r>
      <w:r w:rsidR="00C869EE">
        <w:rPr>
          <w:color w:val="000000"/>
        </w:rPr>
        <w:t>’</w:t>
      </w:r>
      <w:r w:rsidRPr="00CE03EE">
        <w:rPr>
          <w:color w:val="000000"/>
        </w:rPr>
        <w:t xml:space="preserve">on applique les définitions internationales plus générales (du FMI), y compris les coûts externes, les subventions en faveur des combustibles fossiles se sont </w:t>
      </w:r>
      <w:r w:rsidRPr="00CE03EE">
        <w:t xml:space="preserve">élevées à </w:t>
      </w:r>
      <w:r w:rsidRPr="00F30663">
        <w:t>300</w:t>
      </w:r>
      <w:r w:rsidRPr="00CE03EE">
        <w:t xml:space="preserve"> milliards d</w:t>
      </w:r>
      <w:r w:rsidR="00C869EE">
        <w:t>’</w:t>
      </w:r>
      <w:r w:rsidRPr="00CE03EE">
        <w:t>euros</w:t>
      </w:r>
      <w:r w:rsidRPr="00CE03EE">
        <w:rPr>
          <w:rStyle w:val="FootnoteReference"/>
        </w:rPr>
        <w:footnoteReference w:id="21"/>
      </w:r>
      <w:r w:rsidRPr="00CE03EE">
        <w:t xml:space="preserve"> dans l</w:t>
      </w:r>
      <w:r w:rsidR="00C869EE">
        <w:t>’</w:t>
      </w:r>
      <w:r w:rsidRPr="00CE03EE">
        <w:t>UE ainsi qu</w:t>
      </w:r>
      <w:r w:rsidR="00C869EE">
        <w:t>’</w:t>
      </w:r>
      <w:r w:rsidRPr="00CE03EE">
        <w:t xml:space="preserve">en Russie, à </w:t>
      </w:r>
      <w:r w:rsidRPr="00F30663">
        <w:t>250</w:t>
      </w:r>
      <w:r w:rsidRPr="00CE03EE">
        <w:t xml:space="preserve"> milliards d</w:t>
      </w:r>
      <w:r w:rsidR="00C869EE">
        <w:t>’</w:t>
      </w:r>
      <w:r w:rsidRPr="00CE03EE">
        <w:t xml:space="preserve">euros en Inde, à plus de </w:t>
      </w:r>
      <w:r w:rsidRPr="00F30663">
        <w:t>2</w:t>
      </w:r>
      <w:r w:rsidRPr="00CE03EE">
        <w:t xml:space="preserve"> </w:t>
      </w:r>
      <w:r w:rsidRPr="00F30663">
        <w:t>050</w:t>
      </w:r>
      <w:r w:rsidRPr="00CE03EE">
        <w:t xml:space="preserve"> milliards d</w:t>
      </w:r>
      <w:r w:rsidR="00C869EE">
        <w:t>’</w:t>
      </w:r>
      <w:r w:rsidRPr="00CE03EE">
        <w:t xml:space="preserve">euros en Chine et à </w:t>
      </w:r>
      <w:r w:rsidRPr="00F30663">
        <w:t>630</w:t>
      </w:r>
      <w:r w:rsidRPr="00CE03EE">
        <w:t xml:space="preserve"> milliards d</w:t>
      </w:r>
      <w:r w:rsidR="00C869EE">
        <w:t>’</w:t>
      </w:r>
      <w:r w:rsidRPr="00CE03EE">
        <w:t xml:space="preserve">euros aux États-Unis. </w:t>
      </w:r>
      <w:r w:rsidRPr="00CE03EE">
        <w:rPr>
          <w:color w:val="000000"/>
        </w:rPr>
        <w:t>L</w:t>
      </w:r>
      <w:r w:rsidR="00C869EE">
        <w:rPr>
          <w:color w:val="000000"/>
        </w:rPr>
        <w:t>’</w:t>
      </w:r>
      <w:r w:rsidRPr="00CE03EE">
        <w:rPr>
          <w:color w:val="000000"/>
        </w:rPr>
        <w:t>UE s</w:t>
      </w:r>
      <w:r w:rsidR="00C869EE">
        <w:rPr>
          <w:color w:val="000000"/>
        </w:rPr>
        <w:t>’</w:t>
      </w:r>
      <w:r w:rsidRPr="00CE03EE">
        <w:rPr>
          <w:color w:val="000000"/>
        </w:rPr>
        <w:t xml:space="preserve">est engagée à supprimer les subventions en faveur des combustibles fossiles et </w:t>
      </w:r>
      <w:r w:rsidR="00940BA7" w:rsidRPr="00CE03EE">
        <w:rPr>
          <w:color w:val="000000"/>
        </w:rPr>
        <w:t xml:space="preserve">nuisibles </w:t>
      </w:r>
      <w:r w:rsidRPr="00CE03EE">
        <w:rPr>
          <w:color w:val="000000"/>
        </w:rPr>
        <w:t>à l</w:t>
      </w:r>
      <w:r w:rsidR="00C869EE">
        <w:rPr>
          <w:color w:val="000000"/>
        </w:rPr>
        <w:t>’</w:t>
      </w:r>
      <w:r w:rsidRPr="00CE03EE">
        <w:rPr>
          <w:color w:val="000000"/>
        </w:rPr>
        <w:t>environnement, de façon à renforcer la compétitivité du marché et à améliorer les signaux de prix afin de mieux orienter l</w:t>
      </w:r>
      <w:r w:rsidR="00C869EE">
        <w:rPr>
          <w:color w:val="000000"/>
        </w:rPr>
        <w:t>’</w:t>
      </w:r>
      <w:r w:rsidRPr="00CE03EE">
        <w:rPr>
          <w:color w:val="000000"/>
        </w:rPr>
        <w:t>allocation des ressources, conformément aux engagements de l</w:t>
      </w:r>
      <w:r w:rsidR="00C869EE">
        <w:rPr>
          <w:color w:val="000000"/>
        </w:rPr>
        <w:t>’</w:t>
      </w:r>
      <w:r w:rsidRPr="00CE03EE">
        <w:rPr>
          <w:color w:val="000000"/>
        </w:rPr>
        <w:t xml:space="preserve">UE dans la lutte contre le changement climatique. La </w:t>
      </w:r>
      <w:r w:rsidR="00940BA7" w:rsidRPr="00CE03EE">
        <w:rPr>
          <w:color w:val="000000"/>
        </w:rPr>
        <w:t xml:space="preserve">récente </w:t>
      </w:r>
      <w:r w:rsidRPr="00CE03EE">
        <w:rPr>
          <w:color w:val="000000"/>
        </w:rPr>
        <w:t>baisse relative des prix de l</w:t>
      </w:r>
      <w:r w:rsidR="00C869EE">
        <w:rPr>
          <w:color w:val="000000"/>
        </w:rPr>
        <w:t>’</w:t>
      </w:r>
      <w:r w:rsidRPr="00CE03EE">
        <w:rPr>
          <w:color w:val="000000"/>
        </w:rPr>
        <w:t xml:space="preserve">énergie devrait </w:t>
      </w:r>
      <w:r w:rsidR="00940BA7" w:rsidRPr="00CE03EE">
        <w:rPr>
          <w:color w:val="000000"/>
        </w:rPr>
        <w:t xml:space="preserve">permettre aux gouvernements de </w:t>
      </w:r>
      <w:r w:rsidRPr="00CE03EE">
        <w:rPr>
          <w:color w:val="000000"/>
        </w:rPr>
        <w:t>suppr</w:t>
      </w:r>
      <w:r w:rsidR="00940BA7" w:rsidRPr="00CE03EE">
        <w:rPr>
          <w:color w:val="000000"/>
        </w:rPr>
        <w:t>imer plus aisément l</w:t>
      </w:r>
      <w:r w:rsidRPr="00CE03EE">
        <w:rPr>
          <w:color w:val="000000"/>
        </w:rPr>
        <w:t>es exonérations fiscales et autres subventions en faveur des prix et de la demande d</w:t>
      </w:r>
      <w:r w:rsidR="00C869EE">
        <w:rPr>
          <w:color w:val="000000"/>
        </w:rPr>
        <w:t>’</w:t>
      </w:r>
      <w:r w:rsidRPr="00CE03EE">
        <w:rPr>
          <w:color w:val="000000"/>
        </w:rPr>
        <w:t>énergie. Cela contribuerait par ailleurs à l</w:t>
      </w:r>
      <w:r w:rsidR="00C869EE">
        <w:rPr>
          <w:color w:val="000000"/>
        </w:rPr>
        <w:t>’</w:t>
      </w:r>
      <w:r w:rsidRPr="00CE03EE">
        <w:rPr>
          <w:color w:val="000000"/>
        </w:rPr>
        <w:t>assainissement budgétaire.</w:t>
      </w:r>
    </w:p>
    <w:p w:rsidR="00FA2FDC" w:rsidRPr="00CE03EE" w:rsidRDefault="00856500" w:rsidP="004D2CC1">
      <w:pPr>
        <w:spacing w:after="0"/>
        <w:rPr>
          <w:color w:val="000000"/>
        </w:rPr>
      </w:pPr>
      <w:r w:rsidRPr="00CE03EE">
        <w:rPr>
          <w:color w:val="000000"/>
        </w:rPr>
        <w:t>La fiscalité sur l</w:t>
      </w:r>
      <w:r w:rsidR="00C869EE">
        <w:rPr>
          <w:color w:val="000000"/>
        </w:rPr>
        <w:t>’</w:t>
      </w:r>
      <w:r w:rsidRPr="00CE03EE">
        <w:rPr>
          <w:color w:val="000000"/>
        </w:rPr>
        <w:t>énergie est une autre forme courante d</w:t>
      </w:r>
      <w:r w:rsidR="00C869EE">
        <w:rPr>
          <w:color w:val="000000"/>
        </w:rPr>
        <w:t>’</w:t>
      </w:r>
      <w:r w:rsidRPr="00CE03EE">
        <w:rPr>
          <w:color w:val="000000"/>
        </w:rPr>
        <w:t>intervention sur le marché de l</w:t>
      </w:r>
      <w:r w:rsidR="00C869EE">
        <w:rPr>
          <w:color w:val="000000"/>
        </w:rPr>
        <w:t>’</w:t>
      </w:r>
      <w:r w:rsidRPr="00CE03EE">
        <w:rPr>
          <w:color w:val="000000"/>
        </w:rPr>
        <w:t>énergie. Comme mentionné ci-dessus, ce type d</w:t>
      </w:r>
      <w:r w:rsidR="00C869EE">
        <w:rPr>
          <w:color w:val="000000"/>
        </w:rPr>
        <w:t>’</w:t>
      </w:r>
      <w:r w:rsidRPr="00CE03EE">
        <w:rPr>
          <w:color w:val="000000"/>
        </w:rPr>
        <w:t>intervention peut être utilisé pour corriger des défaillances du marché mais</w:t>
      </w:r>
      <w:r w:rsidR="0040183F" w:rsidRPr="00CE03EE">
        <w:rPr>
          <w:color w:val="000000"/>
        </w:rPr>
        <w:t>, souvent,</w:t>
      </w:r>
      <w:r w:rsidRPr="00CE03EE">
        <w:rPr>
          <w:color w:val="000000"/>
        </w:rPr>
        <w:t xml:space="preserve"> les gouvernements recherchent également des assiettes fiscales larges et stables </w:t>
      </w:r>
      <w:r w:rsidR="000B37C8" w:rsidRPr="00CE03EE">
        <w:rPr>
          <w:color w:val="000000"/>
        </w:rPr>
        <w:t>produisant</w:t>
      </w:r>
      <w:r w:rsidRPr="00CE03EE">
        <w:rPr>
          <w:color w:val="000000"/>
        </w:rPr>
        <w:t xml:space="preserve"> des recettes </w:t>
      </w:r>
      <w:r w:rsidR="000B37C8" w:rsidRPr="00CE03EE">
        <w:rPr>
          <w:color w:val="000000"/>
        </w:rPr>
        <w:t xml:space="preserve">constantes </w:t>
      </w:r>
      <w:r w:rsidRPr="00CE03EE">
        <w:rPr>
          <w:color w:val="000000"/>
        </w:rPr>
        <w:t>pour finance</w:t>
      </w:r>
      <w:r w:rsidR="000B37C8" w:rsidRPr="00CE03EE">
        <w:rPr>
          <w:color w:val="000000"/>
        </w:rPr>
        <w:t>r l</w:t>
      </w:r>
      <w:r w:rsidRPr="00CE03EE">
        <w:rPr>
          <w:color w:val="000000"/>
        </w:rPr>
        <w:t>es dépenses publiques. La consommation d</w:t>
      </w:r>
      <w:r w:rsidR="00C869EE">
        <w:rPr>
          <w:color w:val="000000"/>
        </w:rPr>
        <w:t>’</w:t>
      </w:r>
      <w:r w:rsidRPr="00CE03EE">
        <w:rPr>
          <w:color w:val="000000"/>
        </w:rPr>
        <w:t xml:space="preserve">énergie a longtemps fourni cette assiette. En </w:t>
      </w:r>
      <w:r w:rsidRPr="00F30663">
        <w:rPr>
          <w:color w:val="000000"/>
        </w:rPr>
        <w:t>2014</w:t>
      </w:r>
      <w:r w:rsidRPr="00CE03EE">
        <w:rPr>
          <w:color w:val="000000"/>
        </w:rPr>
        <w:t>, les taxes sur l</w:t>
      </w:r>
      <w:r w:rsidR="00C869EE">
        <w:rPr>
          <w:color w:val="000000"/>
        </w:rPr>
        <w:t>’</w:t>
      </w:r>
      <w:r w:rsidRPr="00CE03EE">
        <w:rPr>
          <w:color w:val="000000"/>
        </w:rPr>
        <w:t>énergie</w:t>
      </w:r>
      <w:r w:rsidRPr="00CE03EE">
        <w:rPr>
          <w:rStyle w:val="FootnoteReference"/>
          <w:color w:val="000000"/>
        </w:rPr>
        <w:footnoteReference w:id="22"/>
      </w:r>
      <w:r w:rsidRPr="00CE03EE">
        <w:rPr>
          <w:color w:val="000000"/>
        </w:rPr>
        <w:t xml:space="preserve"> collectées par les États membres de l</w:t>
      </w:r>
      <w:r w:rsidR="00C869EE">
        <w:rPr>
          <w:color w:val="000000"/>
        </w:rPr>
        <w:t>’</w:t>
      </w:r>
      <w:r w:rsidRPr="00CE03EE">
        <w:rPr>
          <w:color w:val="000000"/>
        </w:rPr>
        <w:t xml:space="preserve">UE se sont élevées à </w:t>
      </w:r>
      <w:r w:rsidRPr="00F30663">
        <w:rPr>
          <w:color w:val="000000"/>
        </w:rPr>
        <w:t>263</w:t>
      </w:r>
      <w:r w:rsidRPr="00CE03EE">
        <w:rPr>
          <w:color w:val="000000"/>
        </w:rPr>
        <w:t xml:space="preserve"> milliards d</w:t>
      </w:r>
      <w:r w:rsidR="00C869EE">
        <w:rPr>
          <w:color w:val="000000"/>
        </w:rPr>
        <w:t>’</w:t>
      </w:r>
      <w:r w:rsidRPr="00CE03EE">
        <w:rPr>
          <w:color w:val="000000"/>
        </w:rPr>
        <w:t xml:space="preserve">euros, soit </w:t>
      </w:r>
      <w:r w:rsidRPr="00F30663">
        <w:rPr>
          <w:color w:val="000000"/>
        </w:rPr>
        <w:t>1</w:t>
      </w:r>
      <w:r w:rsidRPr="00CE03EE">
        <w:rPr>
          <w:color w:val="000000"/>
        </w:rPr>
        <w:t>,</w:t>
      </w:r>
      <w:r w:rsidRPr="00F30663">
        <w:rPr>
          <w:color w:val="000000"/>
        </w:rPr>
        <w:t>88</w:t>
      </w:r>
      <w:r w:rsidR="0085744A" w:rsidRPr="00CE03EE">
        <w:rPr>
          <w:color w:val="000000"/>
        </w:rPr>
        <w:t> %</w:t>
      </w:r>
      <w:r w:rsidRPr="00CE03EE">
        <w:rPr>
          <w:color w:val="000000"/>
        </w:rPr>
        <w:t xml:space="preserve"> du PIB de l</w:t>
      </w:r>
      <w:r w:rsidR="00C869EE">
        <w:rPr>
          <w:color w:val="000000"/>
        </w:rPr>
        <w:t>’</w:t>
      </w:r>
      <w:r w:rsidRPr="00CE03EE">
        <w:rPr>
          <w:color w:val="000000"/>
        </w:rPr>
        <w:t>UE. Les droits d</w:t>
      </w:r>
      <w:r w:rsidR="00C869EE">
        <w:rPr>
          <w:color w:val="000000"/>
        </w:rPr>
        <w:t>’</w:t>
      </w:r>
      <w:r w:rsidRPr="00CE03EE">
        <w:rPr>
          <w:color w:val="000000"/>
        </w:rPr>
        <w:t>accise constituent la part la plus importante des taxes sur l</w:t>
      </w:r>
      <w:r w:rsidR="00C869EE">
        <w:rPr>
          <w:color w:val="000000"/>
        </w:rPr>
        <w:t>’</w:t>
      </w:r>
      <w:r w:rsidRPr="00CE03EE">
        <w:rPr>
          <w:color w:val="000000"/>
        </w:rPr>
        <w:t xml:space="preserve">énergie. En </w:t>
      </w:r>
      <w:r w:rsidRPr="00F30663">
        <w:rPr>
          <w:color w:val="000000"/>
        </w:rPr>
        <w:t>2015</w:t>
      </w:r>
      <w:r w:rsidRPr="00CE03EE">
        <w:rPr>
          <w:color w:val="000000"/>
        </w:rPr>
        <w:t xml:space="preserve">, les recettes des accises à elles seules se sont élevées à </w:t>
      </w:r>
      <w:r w:rsidRPr="00F30663">
        <w:rPr>
          <w:color w:val="000000"/>
        </w:rPr>
        <w:t>227</w:t>
      </w:r>
      <w:r w:rsidRPr="00CE03EE">
        <w:rPr>
          <w:color w:val="000000"/>
        </w:rPr>
        <w:t xml:space="preserve"> milliards d</w:t>
      </w:r>
      <w:r w:rsidR="00C869EE">
        <w:rPr>
          <w:color w:val="000000"/>
        </w:rPr>
        <w:t>’</w:t>
      </w:r>
      <w:r w:rsidRPr="00CE03EE">
        <w:rPr>
          <w:color w:val="000000"/>
        </w:rPr>
        <w:t xml:space="preserve">euros. La baisse de la consommation de produits énergétiques aurait </w:t>
      </w:r>
      <w:r w:rsidR="00B668AF" w:rsidRPr="00CE03EE">
        <w:rPr>
          <w:color w:val="000000"/>
        </w:rPr>
        <w:t xml:space="preserve">dû entraîner </w:t>
      </w:r>
      <w:r w:rsidRPr="00CE03EE">
        <w:rPr>
          <w:color w:val="000000"/>
        </w:rPr>
        <w:t>une baisse des recettes des accises mais</w:t>
      </w:r>
      <w:r w:rsidR="00B668AF" w:rsidRPr="00CE03EE">
        <w:rPr>
          <w:color w:val="000000"/>
        </w:rPr>
        <w:t>, souvent,</w:t>
      </w:r>
      <w:r w:rsidRPr="00CE03EE">
        <w:rPr>
          <w:color w:val="000000"/>
        </w:rPr>
        <w:t xml:space="preserve"> les États membres ont augmenté le taux d</w:t>
      </w:r>
      <w:r w:rsidR="00C869EE">
        <w:rPr>
          <w:color w:val="000000"/>
        </w:rPr>
        <w:t>’</w:t>
      </w:r>
      <w:r w:rsidRPr="00CE03EE">
        <w:rPr>
          <w:color w:val="000000"/>
        </w:rPr>
        <w:t>accise. Par conséquent, la consommation d</w:t>
      </w:r>
      <w:r w:rsidR="00C869EE">
        <w:rPr>
          <w:color w:val="000000"/>
        </w:rPr>
        <w:t>’</w:t>
      </w:r>
      <w:r w:rsidRPr="00CE03EE">
        <w:rPr>
          <w:color w:val="000000"/>
        </w:rPr>
        <w:t>énergie constitue toujours une assiette fiscale importante pour les recettes publiques, qui aide les États membres à rééquilibrer des situations budgétaires délicates. De manière plus générale, la fiscalité sur l</w:t>
      </w:r>
      <w:r w:rsidR="00C869EE">
        <w:rPr>
          <w:color w:val="000000"/>
        </w:rPr>
        <w:t>’</w:t>
      </w:r>
      <w:r w:rsidRPr="00CE03EE">
        <w:rPr>
          <w:color w:val="000000"/>
        </w:rPr>
        <w:t>énergie</w:t>
      </w:r>
      <w:r w:rsidR="00B668AF" w:rsidRPr="00CE03EE">
        <w:rPr>
          <w:color w:val="000000"/>
        </w:rPr>
        <w:t>,</w:t>
      </w:r>
      <w:r w:rsidRPr="00CE03EE">
        <w:rPr>
          <w:color w:val="000000"/>
        </w:rPr>
        <w:t xml:space="preserve"> </w:t>
      </w:r>
      <w:r w:rsidR="00B668AF" w:rsidRPr="00CE03EE">
        <w:rPr>
          <w:color w:val="000000"/>
        </w:rPr>
        <w:t>comparée à la fiscalité du travail et de l</w:t>
      </w:r>
      <w:r w:rsidR="00C869EE">
        <w:rPr>
          <w:color w:val="000000"/>
        </w:rPr>
        <w:t>’</w:t>
      </w:r>
      <w:r w:rsidR="00B668AF" w:rsidRPr="00CE03EE">
        <w:rPr>
          <w:color w:val="000000"/>
        </w:rPr>
        <w:t xml:space="preserve">investissement, </w:t>
      </w:r>
      <w:r w:rsidRPr="00CE03EE">
        <w:rPr>
          <w:color w:val="000000"/>
        </w:rPr>
        <w:t xml:space="preserve">peut </w:t>
      </w:r>
      <w:r w:rsidR="00B668AF" w:rsidRPr="00CE03EE">
        <w:rPr>
          <w:color w:val="000000"/>
        </w:rPr>
        <w:t xml:space="preserve">avoir </w:t>
      </w:r>
      <w:r w:rsidRPr="00CE03EE">
        <w:rPr>
          <w:color w:val="000000"/>
        </w:rPr>
        <w:t xml:space="preserve">un effet positif sur la croissance. </w:t>
      </w:r>
    </w:p>
    <w:p w:rsidR="000F011D" w:rsidRPr="00CE03EE" w:rsidRDefault="00FA2FDC" w:rsidP="004D2CC1">
      <w:pPr>
        <w:spacing w:after="0"/>
        <w:rPr>
          <w:color w:val="000000"/>
        </w:rPr>
      </w:pPr>
      <w:r w:rsidRPr="00CE03EE">
        <w:rPr>
          <w:color w:val="000000"/>
        </w:rPr>
        <w:t>Les prix de l</w:t>
      </w:r>
      <w:r w:rsidR="00C869EE">
        <w:rPr>
          <w:color w:val="000000"/>
        </w:rPr>
        <w:t>’</w:t>
      </w:r>
      <w:r w:rsidRPr="00CE03EE">
        <w:rPr>
          <w:color w:val="000000"/>
        </w:rPr>
        <w:t xml:space="preserve">énergie ont une autre incidence sur des aspects </w:t>
      </w:r>
      <w:r w:rsidR="000B37C8" w:rsidRPr="00CE03EE">
        <w:rPr>
          <w:color w:val="000000"/>
        </w:rPr>
        <w:t xml:space="preserve">plus </w:t>
      </w:r>
      <w:r w:rsidRPr="00CE03EE">
        <w:rPr>
          <w:color w:val="000000"/>
        </w:rPr>
        <w:t>généraux de l</w:t>
      </w:r>
      <w:r w:rsidR="00C869EE">
        <w:rPr>
          <w:color w:val="000000"/>
        </w:rPr>
        <w:t>’</w:t>
      </w:r>
      <w:r w:rsidRPr="00CE03EE">
        <w:rPr>
          <w:color w:val="000000"/>
        </w:rPr>
        <w:t>économie de l</w:t>
      </w:r>
      <w:r w:rsidR="00C869EE">
        <w:rPr>
          <w:color w:val="000000"/>
        </w:rPr>
        <w:t>’</w:t>
      </w:r>
      <w:r w:rsidRPr="00CE03EE">
        <w:rPr>
          <w:color w:val="000000"/>
        </w:rPr>
        <w:t>UE, à travers l</w:t>
      </w:r>
      <w:r w:rsidR="00C869EE">
        <w:rPr>
          <w:color w:val="000000"/>
        </w:rPr>
        <w:t>’</w:t>
      </w:r>
      <w:r w:rsidRPr="00CE03EE">
        <w:rPr>
          <w:color w:val="000000"/>
        </w:rPr>
        <w:t>inflation. L</w:t>
      </w:r>
      <w:r w:rsidR="00C869EE">
        <w:rPr>
          <w:color w:val="000000"/>
        </w:rPr>
        <w:t>’</w:t>
      </w:r>
      <w:r w:rsidRPr="00CE03EE">
        <w:rPr>
          <w:color w:val="000000"/>
        </w:rPr>
        <w:t>énergie joue un rôle évident dans les dépenses des ménages et les coûts de</w:t>
      </w:r>
      <w:r w:rsidR="00D61290" w:rsidRPr="00CE03EE">
        <w:rPr>
          <w:color w:val="000000"/>
        </w:rPr>
        <w:t>s entreprises</w:t>
      </w:r>
      <w:r w:rsidRPr="00CE03EE">
        <w:rPr>
          <w:color w:val="000000"/>
        </w:rPr>
        <w:t xml:space="preserve"> ainsi que</w:t>
      </w:r>
      <w:r w:rsidR="000B37C8" w:rsidRPr="00CE03EE">
        <w:rPr>
          <w:color w:val="000000"/>
        </w:rPr>
        <w:t>,</w:t>
      </w:r>
      <w:r w:rsidRPr="00CE03EE">
        <w:rPr>
          <w:color w:val="000000"/>
        </w:rPr>
        <w:t xml:space="preserve"> par l</w:t>
      </w:r>
      <w:r w:rsidR="00C869EE">
        <w:rPr>
          <w:color w:val="000000"/>
        </w:rPr>
        <w:t>’</w:t>
      </w:r>
      <w:r w:rsidRPr="00CE03EE">
        <w:rPr>
          <w:color w:val="000000"/>
        </w:rPr>
        <w:t>action des prix du pétrole, dans le secteur des transports en particulier. En tant que tels, les prix de l</w:t>
      </w:r>
      <w:r w:rsidR="00C869EE">
        <w:rPr>
          <w:color w:val="000000"/>
        </w:rPr>
        <w:t>’</w:t>
      </w:r>
      <w:r w:rsidRPr="00CE03EE">
        <w:rPr>
          <w:color w:val="000000"/>
        </w:rPr>
        <w:t>énergie constituent un facteur déterminant de l</w:t>
      </w:r>
      <w:r w:rsidR="00C869EE">
        <w:rPr>
          <w:color w:val="000000"/>
        </w:rPr>
        <w:t>’</w:t>
      </w:r>
      <w:r w:rsidRPr="00CE03EE">
        <w:rPr>
          <w:color w:val="000000"/>
        </w:rPr>
        <w:t xml:space="preserve">inflation. Le </w:t>
      </w:r>
      <w:r w:rsidR="00361EB9" w:rsidRPr="00CE03EE">
        <w:rPr>
          <w:color w:val="000000"/>
        </w:rPr>
        <w:t xml:space="preserve">pic </w:t>
      </w:r>
      <w:r w:rsidRPr="00CE03EE">
        <w:rPr>
          <w:color w:val="000000"/>
        </w:rPr>
        <w:t>des prix de l</w:t>
      </w:r>
      <w:r w:rsidR="00C869EE">
        <w:rPr>
          <w:color w:val="000000"/>
        </w:rPr>
        <w:t>’</w:t>
      </w:r>
      <w:r w:rsidRPr="00CE03EE">
        <w:rPr>
          <w:color w:val="000000"/>
        </w:rPr>
        <w:t xml:space="preserve">énergie en </w:t>
      </w:r>
      <w:r w:rsidRPr="00F30663">
        <w:rPr>
          <w:color w:val="000000"/>
        </w:rPr>
        <w:t>2008</w:t>
      </w:r>
      <w:r w:rsidRPr="00CE03EE">
        <w:rPr>
          <w:color w:val="000000"/>
        </w:rPr>
        <w:t xml:space="preserve"> et en </w:t>
      </w:r>
      <w:r w:rsidRPr="00F30663">
        <w:rPr>
          <w:color w:val="000000"/>
        </w:rPr>
        <w:t>2011</w:t>
      </w:r>
      <w:r w:rsidRPr="00CE03EE">
        <w:rPr>
          <w:color w:val="000000"/>
        </w:rPr>
        <w:t xml:space="preserve"> </w:t>
      </w:r>
      <w:r w:rsidR="00361EB9" w:rsidRPr="00CE03EE">
        <w:rPr>
          <w:color w:val="000000"/>
        </w:rPr>
        <w:t xml:space="preserve">a </w:t>
      </w:r>
      <w:r w:rsidRPr="00CE03EE">
        <w:rPr>
          <w:color w:val="000000"/>
        </w:rPr>
        <w:t xml:space="preserve">contribué à </w:t>
      </w:r>
      <w:r w:rsidRPr="00F30663">
        <w:rPr>
          <w:color w:val="000000"/>
        </w:rPr>
        <w:t>1</w:t>
      </w:r>
      <w:r w:rsidR="0085744A" w:rsidRPr="00CE03EE">
        <w:rPr>
          <w:color w:val="000000"/>
        </w:rPr>
        <w:t> %</w:t>
      </w:r>
      <w:r w:rsidRPr="00CE03EE">
        <w:rPr>
          <w:color w:val="000000"/>
        </w:rPr>
        <w:t xml:space="preserve"> de l</w:t>
      </w:r>
      <w:r w:rsidR="00C869EE">
        <w:rPr>
          <w:color w:val="000000"/>
        </w:rPr>
        <w:t>’</w:t>
      </w:r>
      <w:r w:rsidRPr="00CE03EE">
        <w:rPr>
          <w:color w:val="000000"/>
        </w:rPr>
        <w:t>inflation à l</w:t>
      </w:r>
      <w:r w:rsidR="00C869EE">
        <w:rPr>
          <w:color w:val="000000"/>
        </w:rPr>
        <w:t>’</w:t>
      </w:r>
      <w:r w:rsidRPr="00CE03EE">
        <w:rPr>
          <w:color w:val="000000"/>
        </w:rPr>
        <w:t xml:space="preserve">époque, de même que les prix </w:t>
      </w:r>
      <w:r w:rsidR="00361EB9" w:rsidRPr="00CE03EE">
        <w:rPr>
          <w:color w:val="000000"/>
        </w:rPr>
        <w:t>peu élevés</w:t>
      </w:r>
      <w:r w:rsidRPr="00CE03EE">
        <w:rPr>
          <w:color w:val="000000"/>
        </w:rPr>
        <w:t xml:space="preserve"> </w:t>
      </w:r>
      <w:r w:rsidR="0031340A" w:rsidRPr="00CE03EE">
        <w:rPr>
          <w:color w:val="000000"/>
        </w:rPr>
        <w:t>o</w:t>
      </w:r>
      <w:r w:rsidRPr="00CE03EE">
        <w:rPr>
          <w:color w:val="000000"/>
        </w:rPr>
        <w:t xml:space="preserve">nt </w:t>
      </w:r>
      <w:r w:rsidR="00361EB9" w:rsidRPr="00CE03EE">
        <w:rPr>
          <w:color w:val="000000"/>
        </w:rPr>
        <w:t>aujourd</w:t>
      </w:r>
      <w:r w:rsidR="00C869EE">
        <w:rPr>
          <w:color w:val="000000"/>
        </w:rPr>
        <w:t>’</w:t>
      </w:r>
      <w:r w:rsidR="00361EB9" w:rsidRPr="00CE03EE">
        <w:rPr>
          <w:color w:val="000000"/>
        </w:rPr>
        <w:t xml:space="preserve">hui </w:t>
      </w:r>
      <w:r w:rsidRPr="00CE03EE">
        <w:rPr>
          <w:color w:val="000000"/>
        </w:rPr>
        <w:t>un effet déflationniste sur l</w:t>
      </w:r>
      <w:r w:rsidR="00C869EE">
        <w:rPr>
          <w:color w:val="000000"/>
        </w:rPr>
        <w:t>’</w:t>
      </w:r>
      <w:r w:rsidRPr="00CE03EE">
        <w:rPr>
          <w:color w:val="000000"/>
        </w:rPr>
        <w:t>économie de l</w:t>
      </w:r>
      <w:r w:rsidR="00C869EE">
        <w:rPr>
          <w:color w:val="000000"/>
        </w:rPr>
        <w:t>’</w:t>
      </w:r>
      <w:r w:rsidRPr="00CE03EE">
        <w:rPr>
          <w:color w:val="000000"/>
        </w:rPr>
        <w:t>UE.</w:t>
      </w:r>
    </w:p>
    <w:p w:rsidR="00FC71DD" w:rsidRDefault="00FC71DD">
      <w:pPr>
        <w:spacing w:before="0" w:after="200" w:line="276" w:lineRule="auto"/>
        <w:jc w:val="left"/>
        <w:rPr>
          <w:b/>
          <w:color w:val="000000"/>
        </w:rPr>
      </w:pPr>
      <w:r>
        <w:rPr>
          <w:b/>
          <w:color w:val="000000"/>
        </w:rPr>
        <w:br w:type="page"/>
      </w:r>
    </w:p>
    <w:p w:rsidR="000F011D" w:rsidRPr="00CE03EE" w:rsidRDefault="007144D1" w:rsidP="00FC71DD">
      <w:pPr>
        <w:keepNext/>
        <w:ind w:left="1134" w:hanging="1134"/>
        <w:rPr>
          <w:b/>
          <w:color w:val="000000"/>
        </w:rPr>
      </w:pPr>
      <w:r w:rsidRPr="00CE03EE">
        <w:rPr>
          <w:b/>
          <w:color w:val="000000"/>
        </w:rPr>
        <w:t xml:space="preserve">Figure </w:t>
      </w:r>
      <w:r w:rsidRPr="00F30663">
        <w:rPr>
          <w:b/>
          <w:color w:val="000000"/>
        </w:rPr>
        <w:t>19</w:t>
      </w:r>
      <w:r w:rsidRPr="00CE03EE">
        <w:rPr>
          <w:b/>
          <w:color w:val="000000"/>
        </w:rPr>
        <w:t>:</w:t>
      </w:r>
      <w:r w:rsidRPr="00CE03EE">
        <w:tab/>
      </w:r>
      <w:r w:rsidRPr="00CE03EE">
        <w:rPr>
          <w:b/>
          <w:color w:val="000000"/>
        </w:rPr>
        <w:t>Impact des prix de l</w:t>
      </w:r>
      <w:r w:rsidR="00C869EE">
        <w:rPr>
          <w:b/>
          <w:color w:val="000000"/>
        </w:rPr>
        <w:t>’</w:t>
      </w:r>
      <w:r w:rsidRPr="00CE03EE">
        <w:rPr>
          <w:b/>
          <w:color w:val="000000"/>
        </w:rPr>
        <w:t>énergie sur l</w:t>
      </w:r>
      <w:r w:rsidR="00C869EE">
        <w:rPr>
          <w:b/>
          <w:color w:val="000000"/>
        </w:rPr>
        <w:t>’</w:t>
      </w:r>
      <w:r w:rsidRPr="00CE03EE">
        <w:rPr>
          <w:b/>
          <w:color w:val="000000"/>
        </w:rPr>
        <w:t>inflation dans l</w:t>
      </w:r>
      <w:r w:rsidR="00C869EE">
        <w:rPr>
          <w:b/>
          <w:color w:val="000000"/>
        </w:rPr>
        <w:t>’</w:t>
      </w:r>
      <w:r w:rsidRPr="00CE03EE">
        <w:rPr>
          <w:b/>
          <w:color w:val="000000"/>
        </w:rPr>
        <w:t>UE</w:t>
      </w:r>
    </w:p>
    <w:p w:rsidR="000F011D" w:rsidRPr="00CE03EE" w:rsidRDefault="00123931" w:rsidP="00FC71DD">
      <w:pPr>
        <w:keepNext/>
        <w:spacing w:before="0" w:after="0"/>
        <w:rPr>
          <w:szCs w:val="24"/>
        </w:rPr>
      </w:pPr>
      <w:r w:rsidRPr="00CE03EE">
        <w:rPr>
          <w:noProof/>
          <w:lang w:val="en-GB" w:eastAsia="en-GB" w:bidi="ar-SA"/>
        </w:rPr>
        <w:drawing>
          <wp:inline distT="0" distB="0" distL="0" distR="0" wp14:anchorId="17D84A2F" wp14:editId="5FA29888">
            <wp:extent cx="5831840" cy="2723662"/>
            <wp:effectExtent l="0" t="0" r="0" b="63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31840" cy="2723662"/>
                    </a:xfrm>
                    <a:prstGeom prst="rect">
                      <a:avLst/>
                    </a:prstGeom>
                    <a:noFill/>
                    <a:ln>
                      <a:noFill/>
                    </a:ln>
                  </pic:spPr>
                </pic:pic>
              </a:graphicData>
            </a:graphic>
          </wp:inline>
        </w:drawing>
      </w:r>
    </w:p>
    <w:p w:rsidR="00FA65AB" w:rsidRPr="00CE03EE" w:rsidRDefault="000F011D" w:rsidP="004D2CC1">
      <w:pPr>
        <w:spacing w:before="0" w:after="0"/>
        <w:jc w:val="right"/>
        <w:rPr>
          <w:sz w:val="16"/>
          <w:szCs w:val="16"/>
        </w:rPr>
      </w:pPr>
      <w:r w:rsidRPr="00CE03EE">
        <w:rPr>
          <w:sz w:val="16"/>
        </w:rPr>
        <w:t>Source: Eurostat</w:t>
      </w:r>
    </w:p>
    <w:p w:rsidR="000F011D" w:rsidRPr="00CE03EE" w:rsidRDefault="000F011D" w:rsidP="004D2CC1">
      <w:pPr>
        <w:pStyle w:val="Heading1"/>
        <w:numPr>
          <w:ilvl w:val="0"/>
          <w:numId w:val="0"/>
        </w:numPr>
        <w:spacing w:before="120"/>
      </w:pPr>
      <w:r w:rsidRPr="00CE03EE">
        <w:rPr>
          <w:color w:val="000000"/>
        </w:rPr>
        <w:t>Conclusion</w:t>
      </w:r>
    </w:p>
    <w:p w:rsidR="002507C9" w:rsidRPr="00CE03EE" w:rsidRDefault="002507C9" w:rsidP="004D2CC1">
      <w:pPr>
        <w:spacing w:after="0"/>
        <w:rPr>
          <w:color w:val="000000"/>
        </w:rPr>
      </w:pPr>
      <w:r w:rsidRPr="00CE03EE">
        <w:rPr>
          <w:color w:val="000000"/>
        </w:rPr>
        <w:t xml:space="preserve">La baisse rapide </w:t>
      </w:r>
      <w:r w:rsidR="00437E0A" w:rsidRPr="00CE03EE">
        <w:rPr>
          <w:color w:val="000000"/>
        </w:rPr>
        <w:t xml:space="preserve">du </w:t>
      </w:r>
      <w:r w:rsidRPr="00CE03EE">
        <w:rPr>
          <w:color w:val="000000"/>
        </w:rPr>
        <w:t>prix des produits de base au cours des dernières années, notamment du pétrole et du gaz, résulte de l</w:t>
      </w:r>
      <w:r w:rsidR="00C869EE">
        <w:rPr>
          <w:color w:val="000000"/>
        </w:rPr>
        <w:t>’</w:t>
      </w:r>
      <w:r w:rsidRPr="00CE03EE">
        <w:rPr>
          <w:color w:val="000000"/>
        </w:rPr>
        <w:t>évolution technologique ainsi que de</w:t>
      </w:r>
      <w:r w:rsidR="00437E0A" w:rsidRPr="00CE03EE">
        <w:rPr>
          <w:color w:val="000000"/>
        </w:rPr>
        <w:t xml:space="preserve"> l'</w:t>
      </w:r>
      <w:r w:rsidRPr="00CE03EE">
        <w:rPr>
          <w:color w:val="000000"/>
        </w:rPr>
        <w:t>évolution géopolitique et des marchés</w:t>
      </w:r>
      <w:r w:rsidR="00437E0A" w:rsidRPr="00CE03EE">
        <w:rPr>
          <w:color w:val="000000"/>
        </w:rPr>
        <w:t xml:space="preserve"> et </w:t>
      </w:r>
      <w:r w:rsidRPr="00CE03EE">
        <w:rPr>
          <w:color w:val="000000"/>
        </w:rPr>
        <w:t>a radicalement modifié le paysage énergétique. En Europe, importateur d</w:t>
      </w:r>
      <w:r w:rsidR="00C869EE">
        <w:rPr>
          <w:color w:val="000000"/>
        </w:rPr>
        <w:t>’</w:t>
      </w:r>
      <w:r w:rsidRPr="00CE03EE">
        <w:rPr>
          <w:color w:val="000000"/>
        </w:rPr>
        <w:t>énergie de premier plan, elle a permis de soulager provisoirement les ménages et les entreprise</w:t>
      </w:r>
      <w:r w:rsidR="00361EB9" w:rsidRPr="00CE03EE">
        <w:rPr>
          <w:color w:val="000000"/>
        </w:rPr>
        <w:t>s</w:t>
      </w:r>
      <w:r w:rsidRPr="00CE03EE">
        <w:rPr>
          <w:color w:val="000000"/>
        </w:rPr>
        <w:t xml:space="preserve"> dans une conjoncture économique difficile et a entraîné une relance ponctuelle de l</w:t>
      </w:r>
      <w:r w:rsidR="00C869EE">
        <w:rPr>
          <w:color w:val="000000"/>
        </w:rPr>
        <w:t>’</w:t>
      </w:r>
      <w:r w:rsidRPr="00CE03EE">
        <w:rPr>
          <w:color w:val="000000"/>
        </w:rPr>
        <w:t xml:space="preserve">économie. </w:t>
      </w:r>
      <w:r w:rsidR="00361EB9" w:rsidRPr="00CE03EE">
        <w:rPr>
          <w:color w:val="000000"/>
        </w:rPr>
        <w:t>Elle</w:t>
      </w:r>
      <w:r w:rsidRPr="00CE03EE">
        <w:rPr>
          <w:color w:val="000000"/>
        </w:rPr>
        <w:t xml:space="preserve"> </w:t>
      </w:r>
      <w:r w:rsidR="00361EB9" w:rsidRPr="00CE03EE">
        <w:rPr>
          <w:color w:val="000000"/>
        </w:rPr>
        <w:t xml:space="preserve">montre </w:t>
      </w:r>
      <w:r w:rsidR="00F43D59" w:rsidRPr="00CE03EE">
        <w:rPr>
          <w:color w:val="000000"/>
        </w:rPr>
        <w:t xml:space="preserve">qu'il est </w:t>
      </w:r>
      <w:r w:rsidRPr="00CE03EE">
        <w:rPr>
          <w:color w:val="000000"/>
        </w:rPr>
        <w:t>importan</w:t>
      </w:r>
      <w:r w:rsidR="00F43D59" w:rsidRPr="00CE03EE">
        <w:rPr>
          <w:color w:val="000000"/>
        </w:rPr>
        <w:t>t</w:t>
      </w:r>
      <w:r w:rsidRPr="00CE03EE">
        <w:rPr>
          <w:color w:val="000000"/>
        </w:rPr>
        <w:t xml:space="preserve"> de créer des marchés mondiaux de l</w:t>
      </w:r>
      <w:r w:rsidR="00C869EE">
        <w:rPr>
          <w:color w:val="000000"/>
        </w:rPr>
        <w:t>’</w:t>
      </w:r>
      <w:r w:rsidRPr="00CE03EE">
        <w:rPr>
          <w:color w:val="000000"/>
        </w:rPr>
        <w:t>énergie, en particulier pour les régions importatrices d</w:t>
      </w:r>
      <w:r w:rsidR="00C869EE">
        <w:rPr>
          <w:color w:val="000000"/>
        </w:rPr>
        <w:t>’</w:t>
      </w:r>
      <w:r w:rsidRPr="00CE03EE">
        <w:rPr>
          <w:color w:val="000000"/>
        </w:rPr>
        <w:t>énergie telles que l</w:t>
      </w:r>
      <w:r w:rsidR="00C869EE">
        <w:rPr>
          <w:color w:val="000000"/>
        </w:rPr>
        <w:t>’</w:t>
      </w:r>
      <w:r w:rsidRPr="00CE03EE">
        <w:rPr>
          <w:color w:val="000000"/>
        </w:rPr>
        <w:t xml:space="preserve">UE, et se traduit par une réduction des écarts de prix </w:t>
      </w:r>
      <w:r w:rsidRPr="00CE03EE">
        <w:rPr>
          <w:i/>
          <w:color w:val="000000"/>
        </w:rPr>
        <w:t>par rapport</w:t>
      </w:r>
      <w:r w:rsidRPr="00CE03EE">
        <w:rPr>
          <w:color w:val="000000"/>
        </w:rPr>
        <w:t xml:space="preserve"> à d</w:t>
      </w:r>
      <w:r w:rsidR="00C869EE">
        <w:rPr>
          <w:color w:val="000000"/>
        </w:rPr>
        <w:t>’</w:t>
      </w:r>
      <w:r w:rsidRPr="00CE03EE">
        <w:rPr>
          <w:color w:val="000000"/>
        </w:rPr>
        <w:t>autres régions. Cela s</w:t>
      </w:r>
      <w:r w:rsidR="00C869EE">
        <w:rPr>
          <w:color w:val="000000"/>
        </w:rPr>
        <w:t>’</w:t>
      </w:r>
      <w:r w:rsidRPr="00CE03EE">
        <w:rPr>
          <w:color w:val="000000"/>
        </w:rPr>
        <w:t xml:space="preserve">applique en particulier au gaz, </w:t>
      </w:r>
      <w:r w:rsidR="00F43D59" w:rsidRPr="00CE03EE">
        <w:rPr>
          <w:color w:val="000000"/>
        </w:rPr>
        <w:t xml:space="preserve">secteur dans </w:t>
      </w:r>
      <w:r w:rsidRPr="00CE03EE">
        <w:rPr>
          <w:color w:val="000000"/>
        </w:rPr>
        <w:t>lequel l</w:t>
      </w:r>
      <w:r w:rsidR="00C869EE">
        <w:rPr>
          <w:color w:val="000000"/>
        </w:rPr>
        <w:t>’</w:t>
      </w:r>
      <w:r w:rsidRPr="00CE03EE">
        <w:rPr>
          <w:color w:val="000000"/>
        </w:rPr>
        <w:t>évolution mondiale des marchés du GNL et de nouvelles sources d</w:t>
      </w:r>
      <w:r w:rsidR="00C869EE">
        <w:rPr>
          <w:color w:val="000000"/>
        </w:rPr>
        <w:t>’</w:t>
      </w:r>
      <w:r w:rsidRPr="00CE03EE">
        <w:rPr>
          <w:color w:val="000000"/>
        </w:rPr>
        <w:t xml:space="preserve">approvisionnement offrent des </w:t>
      </w:r>
      <w:r w:rsidR="00361EB9" w:rsidRPr="00CE03EE">
        <w:rPr>
          <w:color w:val="000000"/>
        </w:rPr>
        <w:t xml:space="preserve">possibilités </w:t>
      </w:r>
      <w:r w:rsidRPr="00CE03EE">
        <w:rPr>
          <w:color w:val="000000"/>
        </w:rPr>
        <w:t>à l</w:t>
      </w:r>
      <w:r w:rsidR="00C869EE">
        <w:rPr>
          <w:color w:val="000000"/>
        </w:rPr>
        <w:t>’</w:t>
      </w:r>
      <w:r w:rsidRPr="00CE03EE">
        <w:rPr>
          <w:color w:val="000000"/>
        </w:rPr>
        <w:t xml:space="preserve">Europe: </w:t>
      </w:r>
      <w:r w:rsidR="00361EB9" w:rsidRPr="00CE03EE">
        <w:rPr>
          <w:color w:val="000000"/>
        </w:rPr>
        <w:t xml:space="preserve">cette </w:t>
      </w:r>
      <w:r w:rsidRPr="00CE03EE">
        <w:rPr>
          <w:color w:val="000000"/>
        </w:rPr>
        <w:t xml:space="preserve">évolution peut contribuer à réduire </w:t>
      </w:r>
      <w:r w:rsidR="00361EB9" w:rsidRPr="00CE03EE">
        <w:rPr>
          <w:color w:val="000000"/>
        </w:rPr>
        <w:t>l'</w:t>
      </w:r>
      <w:r w:rsidRPr="00CE03EE">
        <w:rPr>
          <w:color w:val="000000"/>
        </w:rPr>
        <w:t>écart de prix avec d</w:t>
      </w:r>
      <w:r w:rsidR="00C869EE">
        <w:rPr>
          <w:color w:val="000000"/>
        </w:rPr>
        <w:t>’</w:t>
      </w:r>
      <w:r w:rsidRPr="00CE03EE">
        <w:rPr>
          <w:color w:val="000000"/>
        </w:rPr>
        <w:t>autres régions du monde telles que les États-Unis et, du point de vue de la décarbonation, elle améliore la compétitivité du gaz par rapport au charbon.</w:t>
      </w:r>
    </w:p>
    <w:p w:rsidR="0045444B" w:rsidRPr="00CE03EE" w:rsidRDefault="001A3CA4" w:rsidP="004D2CC1">
      <w:pPr>
        <w:spacing w:after="0"/>
        <w:rPr>
          <w:color w:val="000000"/>
        </w:rPr>
      </w:pPr>
      <w:r w:rsidRPr="00CE03EE">
        <w:rPr>
          <w:color w:val="000000"/>
        </w:rPr>
        <w:t xml:space="preserve">Cependant, </w:t>
      </w:r>
      <w:r w:rsidR="00361EB9" w:rsidRPr="00CE03EE">
        <w:rPr>
          <w:color w:val="000000"/>
        </w:rPr>
        <w:t xml:space="preserve">une baisse </w:t>
      </w:r>
      <w:r w:rsidRPr="00CE03EE">
        <w:rPr>
          <w:color w:val="000000"/>
        </w:rPr>
        <w:t xml:space="preserve">des prix peut </w:t>
      </w:r>
      <w:r w:rsidR="00361EB9" w:rsidRPr="00CE03EE">
        <w:rPr>
          <w:color w:val="000000"/>
        </w:rPr>
        <w:t>faire perdre de vue l</w:t>
      </w:r>
      <w:r w:rsidRPr="00CE03EE">
        <w:rPr>
          <w:color w:val="000000"/>
        </w:rPr>
        <w:t>es défis énergétiques que représentent la sécurité énergétique, la compétitivité et le changement climatique</w:t>
      </w:r>
      <w:r w:rsidR="00F43D59" w:rsidRPr="00CE03EE">
        <w:rPr>
          <w:color w:val="000000"/>
        </w:rPr>
        <w:t xml:space="preserve"> et qu</w:t>
      </w:r>
      <w:r w:rsidRPr="00CE03EE">
        <w:rPr>
          <w:color w:val="000000"/>
        </w:rPr>
        <w:t>i n</w:t>
      </w:r>
      <w:r w:rsidR="00C869EE">
        <w:rPr>
          <w:color w:val="000000"/>
        </w:rPr>
        <w:t>’</w:t>
      </w:r>
      <w:r w:rsidRPr="00CE03EE">
        <w:rPr>
          <w:color w:val="000000"/>
        </w:rPr>
        <w:t>ont pas disparu. En effet, les données et l</w:t>
      </w:r>
      <w:r w:rsidR="00C869EE">
        <w:rPr>
          <w:color w:val="000000"/>
        </w:rPr>
        <w:t>’</w:t>
      </w:r>
      <w:r w:rsidRPr="00CE03EE">
        <w:rPr>
          <w:color w:val="000000"/>
        </w:rPr>
        <w:t xml:space="preserve">analyse présentées dans le présent rapport brossent un tableau beaucoup plus nuancé et peuvent nous aider à définir les stratégies et les politiques appropriées à mesure </w:t>
      </w:r>
      <w:r w:rsidR="00936229" w:rsidRPr="00CE03EE">
        <w:rPr>
          <w:color w:val="000000"/>
        </w:rPr>
        <w:t>que nous développons</w:t>
      </w:r>
      <w:r w:rsidRPr="00CE03EE">
        <w:rPr>
          <w:color w:val="000000"/>
        </w:rPr>
        <w:t xml:space="preserve"> l</w:t>
      </w:r>
      <w:r w:rsidR="00C869EE">
        <w:rPr>
          <w:color w:val="000000"/>
        </w:rPr>
        <w:t>’</w:t>
      </w:r>
      <w:r w:rsidRPr="00CE03EE">
        <w:rPr>
          <w:color w:val="000000"/>
        </w:rPr>
        <w:t>Union de l</w:t>
      </w:r>
      <w:r w:rsidR="00C869EE">
        <w:rPr>
          <w:color w:val="000000"/>
        </w:rPr>
        <w:t>’</w:t>
      </w:r>
      <w:r w:rsidRPr="00CE03EE">
        <w:rPr>
          <w:color w:val="000000"/>
        </w:rPr>
        <w:t>énergie dans ce paysage énergétique</w:t>
      </w:r>
      <w:r w:rsidR="00936229" w:rsidRPr="00CE03EE">
        <w:rPr>
          <w:color w:val="000000"/>
        </w:rPr>
        <w:t xml:space="preserve"> en évolution</w:t>
      </w:r>
      <w:r w:rsidRPr="00CE03EE">
        <w:rPr>
          <w:color w:val="000000"/>
        </w:rPr>
        <w:t xml:space="preserve">. </w:t>
      </w:r>
      <w:r w:rsidR="00936229" w:rsidRPr="00CE03EE">
        <w:rPr>
          <w:color w:val="000000"/>
        </w:rPr>
        <w:t xml:space="preserve">Un bas niveau de </w:t>
      </w:r>
      <w:r w:rsidRPr="00CE03EE">
        <w:rPr>
          <w:color w:val="000000"/>
        </w:rPr>
        <w:t>prix ne doit pas être tenu pour acquis. Les donnée</w:t>
      </w:r>
      <w:r w:rsidR="00936229" w:rsidRPr="00CE03EE">
        <w:rPr>
          <w:color w:val="000000"/>
        </w:rPr>
        <w:t>s</w:t>
      </w:r>
      <w:r w:rsidRPr="00CE03EE">
        <w:rPr>
          <w:color w:val="000000"/>
        </w:rPr>
        <w:t xml:space="preserve"> dans le présent rapport montrent comment l</w:t>
      </w:r>
      <w:r w:rsidR="00C869EE">
        <w:rPr>
          <w:color w:val="000000"/>
        </w:rPr>
        <w:t>’</w:t>
      </w:r>
      <w:r w:rsidRPr="00CE03EE">
        <w:rPr>
          <w:color w:val="000000"/>
        </w:rPr>
        <w:t>offre et la demande peuvent évoluer brusquement. Cela est d</w:t>
      </w:r>
      <w:r w:rsidR="00C869EE">
        <w:rPr>
          <w:color w:val="000000"/>
        </w:rPr>
        <w:t>’</w:t>
      </w:r>
      <w:r w:rsidRPr="00CE03EE">
        <w:rPr>
          <w:color w:val="000000"/>
        </w:rPr>
        <w:t>autant plus vrai que de nouvelles ressources, telles que les puits de gaz et d</w:t>
      </w:r>
      <w:r w:rsidR="00C869EE">
        <w:rPr>
          <w:color w:val="000000"/>
        </w:rPr>
        <w:t>’</w:t>
      </w:r>
      <w:r w:rsidRPr="00CE03EE">
        <w:rPr>
          <w:color w:val="000000"/>
        </w:rPr>
        <w:t>huile de schiste, s</w:t>
      </w:r>
      <w:r w:rsidR="00C869EE">
        <w:rPr>
          <w:color w:val="000000"/>
        </w:rPr>
        <w:t>’</w:t>
      </w:r>
      <w:r w:rsidRPr="00CE03EE">
        <w:rPr>
          <w:color w:val="000000"/>
        </w:rPr>
        <w:t xml:space="preserve">épuisent rapidement et </w:t>
      </w:r>
      <w:r w:rsidR="00936229" w:rsidRPr="00CE03EE">
        <w:rPr>
          <w:color w:val="000000"/>
        </w:rPr>
        <w:t xml:space="preserve">exigent constamment des </w:t>
      </w:r>
      <w:r w:rsidRPr="00CE03EE">
        <w:rPr>
          <w:color w:val="000000"/>
        </w:rPr>
        <w:t xml:space="preserve">investissements de remplacement </w:t>
      </w:r>
      <w:r w:rsidR="00936229" w:rsidRPr="00CE03EE">
        <w:rPr>
          <w:color w:val="000000"/>
        </w:rPr>
        <w:t>pour</w:t>
      </w:r>
      <w:r w:rsidRPr="00CE03EE">
        <w:rPr>
          <w:color w:val="000000"/>
        </w:rPr>
        <w:t xml:space="preserve"> maintenir la production. </w:t>
      </w:r>
    </w:p>
    <w:p w:rsidR="007D6900" w:rsidRPr="00CE03EE" w:rsidRDefault="00E50DAC" w:rsidP="004D2CC1">
      <w:pPr>
        <w:spacing w:after="0"/>
        <w:rPr>
          <w:color w:val="000000"/>
        </w:rPr>
      </w:pPr>
      <w:r w:rsidRPr="00CE03EE">
        <w:rPr>
          <w:color w:val="000000"/>
        </w:rPr>
        <w:t>Si</w:t>
      </w:r>
      <w:r w:rsidR="002E1D42" w:rsidRPr="00CE03EE">
        <w:rPr>
          <w:color w:val="000000"/>
        </w:rPr>
        <w:t>, dans la plupart des activités économiques,</w:t>
      </w:r>
      <w:r w:rsidRPr="00CE03EE">
        <w:rPr>
          <w:color w:val="000000"/>
        </w:rPr>
        <w:t xml:space="preserve"> les coûts de l</w:t>
      </w:r>
      <w:r w:rsidR="00C869EE">
        <w:rPr>
          <w:color w:val="000000"/>
        </w:rPr>
        <w:t>’</w:t>
      </w:r>
      <w:r w:rsidRPr="00CE03EE">
        <w:rPr>
          <w:color w:val="000000"/>
        </w:rPr>
        <w:t>énergie représentent une faible part de</w:t>
      </w:r>
      <w:r w:rsidR="002E1D42" w:rsidRPr="00CE03EE">
        <w:rPr>
          <w:color w:val="000000"/>
        </w:rPr>
        <w:t>s coûts de production</w:t>
      </w:r>
      <w:r w:rsidRPr="00CE03EE">
        <w:rPr>
          <w:color w:val="000000"/>
        </w:rPr>
        <w:t>, les industries grandes consommatrices d</w:t>
      </w:r>
      <w:r w:rsidR="00C869EE">
        <w:rPr>
          <w:color w:val="000000"/>
        </w:rPr>
        <w:t>’</w:t>
      </w:r>
      <w:r w:rsidRPr="00CE03EE">
        <w:rPr>
          <w:color w:val="000000"/>
        </w:rPr>
        <w:t>énergie en Europe demeurent sensibles à la hausse des prix. Sur la base de l</w:t>
      </w:r>
      <w:r w:rsidR="00C869EE">
        <w:rPr>
          <w:color w:val="000000"/>
        </w:rPr>
        <w:t>’</w:t>
      </w:r>
      <w:r w:rsidRPr="00CE03EE">
        <w:rPr>
          <w:color w:val="000000"/>
        </w:rPr>
        <w:t>intensité énergétique, les données disponibles indiquent que les industries grandes consommatrices d</w:t>
      </w:r>
      <w:r w:rsidR="00C869EE">
        <w:rPr>
          <w:color w:val="000000"/>
        </w:rPr>
        <w:t>’</w:t>
      </w:r>
      <w:r w:rsidRPr="00CE03EE">
        <w:rPr>
          <w:color w:val="000000"/>
        </w:rPr>
        <w:t>énergie aux États-</w:t>
      </w:r>
      <w:r w:rsidR="002E1D42" w:rsidRPr="00CE03EE">
        <w:rPr>
          <w:color w:val="000000"/>
        </w:rPr>
        <w:t xml:space="preserve">Unis </w:t>
      </w:r>
      <w:r w:rsidRPr="00CE03EE">
        <w:rPr>
          <w:color w:val="000000"/>
        </w:rPr>
        <w:t xml:space="preserve">pourraient être en train de rattraper leur retard </w:t>
      </w:r>
      <w:r w:rsidR="002E1D42" w:rsidRPr="00CE03EE">
        <w:rPr>
          <w:color w:val="000000"/>
        </w:rPr>
        <w:t xml:space="preserve">sur l'UE </w:t>
      </w:r>
      <w:r w:rsidRPr="00CE03EE">
        <w:rPr>
          <w:color w:val="000000"/>
        </w:rPr>
        <w:t>en termes d</w:t>
      </w:r>
      <w:r w:rsidR="00C869EE">
        <w:rPr>
          <w:color w:val="000000"/>
        </w:rPr>
        <w:t>’</w:t>
      </w:r>
      <w:r w:rsidRPr="00CE03EE">
        <w:rPr>
          <w:color w:val="000000"/>
        </w:rPr>
        <w:t>efficacité énergétique dans certains secteurs. Davantage d</w:t>
      </w:r>
      <w:r w:rsidR="00C869EE">
        <w:rPr>
          <w:color w:val="000000"/>
        </w:rPr>
        <w:t>’</w:t>
      </w:r>
      <w:r w:rsidRPr="00CE03EE">
        <w:rPr>
          <w:color w:val="000000"/>
        </w:rPr>
        <w:t>investissements dans l</w:t>
      </w:r>
      <w:r w:rsidR="00C869EE">
        <w:rPr>
          <w:color w:val="000000"/>
        </w:rPr>
        <w:t>’</w:t>
      </w:r>
      <w:r w:rsidRPr="00CE03EE">
        <w:rPr>
          <w:color w:val="000000"/>
        </w:rPr>
        <w:t>efficacité énergétique, ainsi qu</w:t>
      </w:r>
      <w:r w:rsidR="00C869EE">
        <w:rPr>
          <w:color w:val="000000"/>
        </w:rPr>
        <w:t>’</w:t>
      </w:r>
      <w:r w:rsidRPr="00CE03EE">
        <w:rPr>
          <w:color w:val="000000"/>
        </w:rPr>
        <w:t xml:space="preserve">une réorientation vers des produits innovants à plus haute valeur ajoutée, peuvent contribuer à mettre fin à ce déséquilibre. </w:t>
      </w:r>
      <w:r w:rsidR="00B310B3" w:rsidRPr="00CE03EE">
        <w:rPr>
          <w:color w:val="000000"/>
        </w:rPr>
        <w:t>Certaines industries grandes consommatrices d</w:t>
      </w:r>
      <w:r w:rsidR="00C869EE">
        <w:rPr>
          <w:color w:val="000000"/>
        </w:rPr>
        <w:t>’</w:t>
      </w:r>
      <w:r w:rsidR="00B310B3" w:rsidRPr="00CE03EE">
        <w:rPr>
          <w:color w:val="000000"/>
        </w:rPr>
        <w:t>énergie peuvent bénéficier d</w:t>
      </w:r>
      <w:r w:rsidR="00C869EE">
        <w:rPr>
          <w:color w:val="000000"/>
        </w:rPr>
        <w:t>’</w:t>
      </w:r>
      <w:r w:rsidR="00B310B3" w:rsidRPr="00CE03EE">
        <w:rPr>
          <w:color w:val="000000"/>
        </w:rPr>
        <w:t xml:space="preserve">importantes exonérations et réductions fiscales, d'un niveau très variable d'un </w:t>
      </w:r>
      <w:r w:rsidRPr="00CE03EE">
        <w:rPr>
          <w:color w:val="000000"/>
        </w:rPr>
        <w:t>État membre</w:t>
      </w:r>
      <w:r w:rsidR="00B310B3" w:rsidRPr="00CE03EE">
        <w:rPr>
          <w:color w:val="000000"/>
        </w:rPr>
        <w:t xml:space="preserve"> à l'autre</w:t>
      </w:r>
      <w:r w:rsidRPr="00CE03EE">
        <w:rPr>
          <w:color w:val="000000"/>
        </w:rPr>
        <w:t>. Ces subventions ne devraient être accordées que si elles sont nécessaires pour soutenir l</w:t>
      </w:r>
      <w:r w:rsidR="00D61290" w:rsidRPr="00CE03EE">
        <w:rPr>
          <w:color w:val="000000"/>
        </w:rPr>
        <w:t>es entreprises</w:t>
      </w:r>
      <w:r w:rsidRPr="00CE03EE">
        <w:rPr>
          <w:color w:val="000000"/>
        </w:rPr>
        <w:t xml:space="preserve"> européenne</w:t>
      </w:r>
      <w:r w:rsidR="00D61290" w:rsidRPr="00CE03EE">
        <w:rPr>
          <w:color w:val="000000"/>
        </w:rPr>
        <w:t>s</w:t>
      </w:r>
      <w:r w:rsidRPr="00CE03EE">
        <w:rPr>
          <w:color w:val="000000"/>
        </w:rPr>
        <w:t xml:space="preserve"> dans une situation de concurrence internationale inégale et dans la mesure où elles réduisent autant que possible les distorsions de prix. De manière plus générale, les États membres devraient mettre à profit le faible niveau actuel des prix de l</w:t>
      </w:r>
      <w:r w:rsidR="00C869EE">
        <w:rPr>
          <w:color w:val="000000"/>
        </w:rPr>
        <w:t>’</w:t>
      </w:r>
      <w:r w:rsidRPr="00CE03EE">
        <w:rPr>
          <w:color w:val="000000"/>
        </w:rPr>
        <w:t xml:space="preserve">énergie pour supprimer les subventions et les exonérations fiscales inappropriées, qui déforment les signaux de prix et retardent la transition vers une économie </w:t>
      </w:r>
      <w:r w:rsidR="00B310B3" w:rsidRPr="00CE03EE">
        <w:rPr>
          <w:color w:val="000000"/>
        </w:rPr>
        <w:t xml:space="preserve">à faible intensité de </w:t>
      </w:r>
      <w:r w:rsidRPr="00CE03EE">
        <w:rPr>
          <w:color w:val="000000"/>
        </w:rPr>
        <w:t>carbone.</w:t>
      </w:r>
    </w:p>
    <w:p w:rsidR="009C29BC" w:rsidRPr="00CE03EE" w:rsidRDefault="009F3366" w:rsidP="004D2CC1">
      <w:pPr>
        <w:spacing w:after="0"/>
        <w:rPr>
          <w:color w:val="000000"/>
        </w:rPr>
      </w:pPr>
      <w:r w:rsidRPr="00CE03EE">
        <w:rPr>
          <w:color w:val="000000"/>
        </w:rPr>
        <w:t>Plusieurs</w:t>
      </w:r>
      <w:r w:rsidR="00A40622" w:rsidRPr="00CE03EE">
        <w:rPr>
          <w:color w:val="000000"/>
        </w:rPr>
        <w:t xml:space="preserve"> facteurs déterminent l</w:t>
      </w:r>
      <w:r w:rsidR="00C869EE">
        <w:rPr>
          <w:color w:val="000000"/>
        </w:rPr>
        <w:t>’</w:t>
      </w:r>
      <w:r w:rsidR="00A40622" w:rsidRPr="00CE03EE">
        <w:rPr>
          <w:color w:val="000000"/>
        </w:rPr>
        <w:t>évolution des prix et des coûts de l</w:t>
      </w:r>
      <w:r w:rsidR="00C869EE">
        <w:rPr>
          <w:color w:val="000000"/>
        </w:rPr>
        <w:t>’</w:t>
      </w:r>
      <w:r w:rsidR="00A40622" w:rsidRPr="00CE03EE">
        <w:rPr>
          <w:color w:val="000000"/>
        </w:rPr>
        <w:t xml:space="preserve">énergie en Europe. </w:t>
      </w:r>
      <w:r w:rsidR="00141232" w:rsidRPr="00CE03EE">
        <w:rPr>
          <w:color w:val="000000"/>
        </w:rPr>
        <w:t>Le</w:t>
      </w:r>
      <w:r w:rsidR="00A40622" w:rsidRPr="00CE03EE">
        <w:rPr>
          <w:color w:val="000000"/>
        </w:rPr>
        <w:t xml:space="preserve"> présent rapport </w:t>
      </w:r>
      <w:r w:rsidR="00141232" w:rsidRPr="00CE03EE">
        <w:rPr>
          <w:color w:val="000000"/>
        </w:rPr>
        <w:t>permet d'établir clairement qu'il y a une différence d</w:t>
      </w:r>
      <w:r w:rsidR="00C869EE">
        <w:rPr>
          <w:color w:val="000000"/>
        </w:rPr>
        <w:t>’</w:t>
      </w:r>
      <w:r w:rsidR="00A40622" w:rsidRPr="00CE03EE">
        <w:rPr>
          <w:color w:val="000000"/>
        </w:rPr>
        <w:t xml:space="preserve">évolution </w:t>
      </w:r>
      <w:r w:rsidR="00141232" w:rsidRPr="00CE03EE">
        <w:rPr>
          <w:color w:val="000000"/>
        </w:rPr>
        <w:t>entre l</w:t>
      </w:r>
      <w:r w:rsidR="00A40622" w:rsidRPr="00CE03EE">
        <w:rPr>
          <w:color w:val="000000"/>
        </w:rPr>
        <w:t xml:space="preserve">es prix de gros et </w:t>
      </w:r>
      <w:r w:rsidR="00141232" w:rsidRPr="00CE03EE">
        <w:rPr>
          <w:color w:val="000000"/>
        </w:rPr>
        <w:t>l</w:t>
      </w:r>
      <w:r w:rsidR="00A40622" w:rsidRPr="00CE03EE">
        <w:rPr>
          <w:color w:val="000000"/>
        </w:rPr>
        <w:t>es prix de détail de l</w:t>
      </w:r>
      <w:r w:rsidR="00C869EE">
        <w:rPr>
          <w:color w:val="000000"/>
        </w:rPr>
        <w:t>’</w:t>
      </w:r>
      <w:r w:rsidR="00A40622" w:rsidRPr="00CE03EE">
        <w:rPr>
          <w:color w:val="000000"/>
        </w:rPr>
        <w:t xml:space="preserve">électricité. Si les prix de gros ont atteint leur niveau le plus bas en </w:t>
      </w:r>
      <w:r w:rsidR="00A40622" w:rsidRPr="00F30663">
        <w:rPr>
          <w:color w:val="000000"/>
        </w:rPr>
        <w:t>2016</w:t>
      </w:r>
      <w:r w:rsidR="00A40622" w:rsidRPr="00CE03EE">
        <w:rPr>
          <w:color w:val="000000"/>
        </w:rPr>
        <w:t xml:space="preserve">, les prix à la consommation ont quant à eux augmenté de </w:t>
      </w:r>
      <w:r w:rsidR="00A40622" w:rsidRPr="00F30663">
        <w:rPr>
          <w:color w:val="000000"/>
        </w:rPr>
        <w:t>2</w:t>
      </w:r>
      <w:r w:rsidR="00A40622" w:rsidRPr="00CE03EE">
        <w:rPr>
          <w:color w:val="000000"/>
        </w:rPr>
        <w:t xml:space="preserve"> à </w:t>
      </w:r>
      <w:r w:rsidR="00A40622" w:rsidRPr="00F30663">
        <w:rPr>
          <w:color w:val="000000"/>
        </w:rPr>
        <w:t>3</w:t>
      </w:r>
      <w:r w:rsidR="0085744A" w:rsidRPr="00CE03EE">
        <w:rPr>
          <w:color w:val="000000"/>
        </w:rPr>
        <w:t> %</w:t>
      </w:r>
      <w:r w:rsidR="00A40622" w:rsidRPr="00CE03EE">
        <w:rPr>
          <w:color w:val="000000"/>
        </w:rPr>
        <w:t xml:space="preserve"> par an en moyenne</w:t>
      </w:r>
      <w:r w:rsidR="00A40622" w:rsidRPr="00CE03EE">
        <w:rPr>
          <w:rStyle w:val="FootnoteReference"/>
          <w:color w:val="000000"/>
        </w:rPr>
        <w:footnoteReference w:id="23"/>
      </w:r>
      <w:r w:rsidR="00A40622" w:rsidRPr="00CE03EE">
        <w:rPr>
          <w:color w:val="000000"/>
        </w:rPr>
        <w:t>. Cette situation résulte d‎u meilleur fonctionnement du marché associé à des défaillances du marché et à une augmentation des taxes et des prélèvements.</w:t>
      </w:r>
    </w:p>
    <w:p w:rsidR="00081E90" w:rsidRPr="00CE03EE" w:rsidRDefault="00F65A87" w:rsidP="004D2CC1">
      <w:pPr>
        <w:spacing w:after="0"/>
        <w:rPr>
          <w:color w:val="000000"/>
        </w:rPr>
      </w:pPr>
      <w:r w:rsidRPr="00CE03EE">
        <w:rPr>
          <w:color w:val="000000"/>
        </w:rPr>
        <w:t xml:space="preserve">La baisse des prix de gros </w:t>
      </w:r>
      <w:r w:rsidR="00141232" w:rsidRPr="00CE03EE">
        <w:rPr>
          <w:color w:val="000000"/>
        </w:rPr>
        <w:t xml:space="preserve">tient </w:t>
      </w:r>
      <w:r w:rsidRPr="00CE03EE">
        <w:rPr>
          <w:color w:val="000000"/>
        </w:rPr>
        <w:t xml:space="preserve">aux prix des produits de base, à la baisse de la demande et </w:t>
      </w:r>
      <w:r w:rsidR="00141232" w:rsidRPr="00CE03EE">
        <w:rPr>
          <w:color w:val="000000"/>
        </w:rPr>
        <w:t>au</w:t>
      </w:r>
      <w:r w:rsidRPr="00CE03EE">
        <w:rPr>
          <w:color w:val="000000"/>
        </w:rPr>
        <w:t xml:space="preserve"> meilleur fonctionnement du marché, grâce au couplage de marchés. </w:t>
      </w:r>
      <w:r w:rsidR="00B310B3" w:rsidRPr="00CE03EE">
        <w:rPr>
          <w:color w:val="000000"/>
        </w:rPr>
        <w:t>En fonction du</w:t>
      </w:r>
      <w:r w:rsidRPr="00CE03EE">
        <w:rPr>
          <w:color w:val="000000"/>
        </w:rPr>
        <w:t xml:space="preserve"> marché régional, il </w:t>
      </w:r>
      <w:r w:rsidR="00141232" w:rsidRPr="00CE03EE">
        <w:rPr>
          <w:color w:val="000000"/>
        </w:rPr>
        <w:t>y a aussi</w:t>
      </w:r>
      <w:r w:rsidRPr="00CE03EE">
        <w:rPr>
          <w:color w:val="000000"/>
        </w:rPr>
        <w:t xml:space="preserve"> une surcapacité de production d</w:t>
      </w:r>
      <w:r w:rsidR="00C869EE">
        <w:rPr>
          <w:color w:val="000000"/>
        </w:rPr>
        <w:t>’</w:t>
      </w:r>
      <w:r w:rsidRPr="00CE03EE">
        <w:rPr>
          <w:color w:val="000000"/>
        </w:rPr>
        <w:t xml:space="preserve">électricité, et de nouvelles capacités ne </w:t>
      </w:r>
      <w:r w:rsidR="00B310B3" w:rsidRPr="00CE03EE">
        <w:rPr>
          <w:color w:val="000000"/>
        </w:rPr>
        <w:t>se justifient pas</w:t>
      </w:r>
      <w:r w:rsidRPr="00CE03EE">
        <w:rPr>
          <w:color w:val="000000"/>
        </w:rPr>
        <w:t xml:space="preserve"> tant que les capacités plus anciennes ne sont pas retirées du marché. Les mesures nationales telles que les mécanismes de capacité et le soutien des énergies renouvelables entraînent également les prix de gros à la baisse, réduisant davantage les recettes et </w:t>
      </w:r>
      <w:r w:rsidR="00141232" w:rsidRPr="00CE03EE">
        <w:rPr>
          <w:color w:val="000000"/>
        </w:rPr>
        <w:t>empêchant</w:t>
      </w:r>
      <w:r w:rsidRPr="00CE03EE">
        <w:rPr>
          <w:color w:val="000000"/>
        </w:rPr>
        <w:t xml:space="preserve"> </w:t>
      </w:r>
      <w:r w:rsidR="00141232" w:rsidRPr="00CE03EE">
        <w:rPr>
          <w:color w:val="000000"/>
        </w:rPr>
        <w:t xml:space="preserve">le </w:t>
      </w:r>
      <w:r w:rsidRPr="00CE03EE">
        <w:rPr>
          <w:color w:val="000000"/>
        </w:rPr>
        <w:t xml:space="preserve">rééquilibrage automatique des signaux de prix du marché. Étant donné les investissements importants dans la capacité de production qui seront nécessaires </w:t>
      </w:r>
      <w:r w:rsidR="007002E8" w:rsidRPr="00CE03EE">
        <w:rPr>
          <w:color w:val="000000"/>
        </w:rPr>
        <w:t>à long terme pour atteindre</w:t>
      </w:r>
      <w:r w:rsidRPr="00CE03EE">
        <w:rPr>
          <w:color w:val="000000"/>
        </w:rPr>
        <w:t xml:space="preserve"> </w:t>
      </w:r>
      <w:r w:rsidR="007002E8" w:rsidRPr="00CE03EE">
        <w:rPr>
          <w:color w:val="000000"/>
        </w:rPr>
        <w:t xml:space="preserve">les </w:t>
      </w:r>
      <w:r w:rsidRPr="00CE03EE">
        <w:rPr>
          <w:color w:val="000000"/>
        </w:rPr>
        <w:t>objectif</w:t>
      </w:r>
      <w:r w:rsidR="007002E8" w:rsidRPr="00CE03EE">
        <w:rPr>
          <w:color w:val="000000"/>
        </w:rPr>
        <w:t>s</w:t>
      </w:r>
      <w:r w:rsidRPr="00CE03EE">
        <w:rPr>
          <w:color w:val="000000"/>
        </w:rPr>
        <w:t xml:space="preserve"> </w:t>
      </w:r>
      <w:r w:rsidR="007002E8" w:rsidRPr="00CE03EE">
        <w:rPr>
          <w:color w:val="000000"/>
        </w:rPr>
        <w:t xml:space="preserve">de l'Union en matière </w:t>
      </w:r>
      <w:r w:rsidRPr="00CE03EE">
        <w:rPr>
          <w:color w:val="000000"/>
        </w:rPr>
        <w:t>de sécurité de l</w:t>
      </w:r>
      <w:r w:rsidR="00C869EE">
        <w:rPr>
          <w:color w:val="000000"/>
        </w:rPr>
        <w:t>’</w:t>
      </w:r>
      <w:r w:rsidRPr="00CE03EE">
        <w:rPr>
          <w:color w:val="000000"/>
        </w:rPr>
        <w:t>approvisionnement, de compétitivité et de décarbonation, l</w:t>
      </w:r>
      <w:r w:rsidR="00C869EE">
        <w:rPr>
          <w:color w:val="000000"/>
        </w:rPr>
        <w:t>’</w:t>
      </w:r>
      <w:r w:rsidRPr="00CE03EE">
        <w:rPr>
          <w:color w:val="000000"/>
        </w:rPr>
        <w:t xml:space="preserve">UE </w:t>
      </w:r>
      <w:r w:rsidR="007002E8" w:rsidRPr="00CE03EE">
        <w:rPr>
          <w:color w:val="000000"/>
        </w:rPr>
        <w:t xml:space="preserve">doit avoir </w:t>
      </w:r>
      <w:r w:rsidRPr="00CE03EE">
        <w:rPr>
          <w:color w:val="000000"/>
        </w:rPr>
        <w:t xml:space="preserve">une conception du marché et un cadre de politique énergétique qui se fondent sur les mécanismes du marché, favorisent les investissements dans une production </w:t>
      </w:r>
      <w:r w:rsidR="007002E8" w:rsidRPr="00CE03EE">
        <w:rPr>
          <w:color w:val="000000"/>
        </w:rPr>
        <w:t xml:space="preserve">souple </w:t>
      </w:r>
      <w:r w:rsidRPr="00CE03EE">
        <w:rPr>
          <w:color w:val="000000"/>
        </w:rPr>
        <w:t xml:space="preserve">et à faibles émissions de carbone, y compris </w:t>
      </w:r>
      <w:r w:rsidR="00141232" w:rsidRPr="00CE03EE">
        <w:rPr>
          <w:color w:val="000000"/>
        </w:rPr>
        <w:t xml:space="preserve">par </w:t>
      </w:r>
      <w:r w:rsidRPr="00CE03EE">
        <w:rPr>
          <w:color w:val="000000"/>
        </w:rPr>
        <w:t>la gestion de la demande, le stockage et la connexion transfrontalière.</w:t>
      </w:r>
    </w:p>
    <w:p w:rsidR="00A40622" w:rsidRPr="00CE03EE" w:rsidRDefault="000C757E" w:rsidP="004D2CC1">
      <w:pPr>
        <w:spacing w:after="0"/>
        <w:rPr>
          <w:color w:val="000000"/>
        </w:rPr>
      </w:pPr>
      <w:r w:rsidRPr="00CE03EE">
        <w:rPr>
          <w:color w:val="000000"/>
        </w:rPr>
        <w:t>L</w:t>
      </w:r>
      <w:r w:rsidR="007002E8" w:rsidRPr="00CE03EE">
        <w:rPr>
          <w:color w:val="000000"/>
        </w:rPr>
        <w:t>a</w:t>
      </w:r>
      <w:r w:rsidRPr="00CE03EE">
        <w:rPr>
          <w:color w:val="000000"/>
        </w:rPr>
        <w:t xml:space="preserve"> baisse des prix de gros semble ne se répercuter que lentement et partiellement sur les consommateurs </w:t>
      </w:r>
      <w:r w:rsidR="007002E8" w:rsidRPr="00CE03EE">
        <w:rPr>
          <w:color w:val="000000"/>
        </w:rPr>
        <w:t xml:space="preserve">au </w:t>
      </w:r>
      <w:r w:rsidRPr="00CE03EE">
        <w:rPr>
          <w:color w:val="000000"/>
        </w:rPr>
        <w:t xml:space="preserve">détail, </w:t>
      </w:r>
      <w:r w:rsidR="00141232" w:rsidRPr="00CE03EE">
        <w:rPr>
          <w:color w:val="000000"/>
        </w:rPr>
        <w:t xml:space="preserve">mais </w:t>
      </w:r>
      <w:r w:rsidRPr="00CE03EE">
        <w:rPr>
          <w:color w:val="000000"/>
        </w:rPr>
        <w:t xml:space="preserve">plus rapidement sur les consommateurs industriels. Cela </w:t>
      </w:r>
      <w:r w:rsidR="007002E8" w:rsidRPr="00CE03EE">
        <w:rPr>
          <w:color w:val="000000"/>
        </w:rPr>
        <w:t>suggère</w:t>
      </w:r>
      <w:r w:rsidRPr="00CE03EE">
        <w:rPr>
          <w:color w:val="000000"/>
        </w:rPr>
        <w:t xml:space="preserve"> qu</w:t>
      </w:r>
      <w:r w:rsidR="00C869EE">
        <w:rPr>
          <w:color w:val="000000"/>
        </w:rPr>
        <w:t>’</w:t>
      </w:r>
      <w:r w:rsidRPr="00CE03EE">
        <w:rPr>
          <w:color w:val="000000"/>
        </w:rPr>
        <w:t>il est possible d</w:t>
      </w:r>
      <w:r w:rsidR="007002E8" w:rsidRPr="00CE03EE">
        <w:rPr>
          <w:color w:val="000000"/>
        </w:rPr>
        <w:t>'accroître</w:t>
      </w:r>
      <w:r w:rsidRPr="00CE03EE">
        <w:rPr>
          <w:color w:val="000000"/>
        </w:rPr>
        <w:t xml:space="preserve"> davantage la concurrence sur les marchés de détail. En outre, </w:t>
      </w:r>
      <w:r w:rsidR="007002E8" w:rsidRPr="00CE03EE">
        <w:rPr>
          <w:color w:val="000000"/>
        </w:rPr>
        <w:t xml:space="preserve">la </w:t>
      </w:r>
      <w:r w:rsidRPr="00CE03EE">
        <w:rPr>
          <w:color w:val="000000"/>
        </w:rPr>
        <w:t>hausse des tarifs d</w:t>
      </w:r>
      <w:r w:rsidR="007002E8" w:rsidRPr="00CE03EE">
        <w:rPr>
          <w:color w:val="000000"/>
        </w:rPr>
        <w:t>e</w:t>
      </w:r>
      <w:r w:rsidRPr="00CE03EE">
        <w:rPr>
          <w:color w:val="000000"/>
        </w:rPr>
        <w:t xml:space="preserve"> réseau, des taxes et des prélèvements </w:t>
      </w:r>
      <w:r w:rsidR="00BC1614" w:rsidRPr="00CE03EE">
        <w:rPr>
          <w:color w:val="000000"/>
        </w:rPr>
        <w:t xml:space="preserve">a </w:t>
      </w:r>
      <w:r w:rsidRPr="00CE03EE">
        <w:rPr>
          <w:color w:val="000000"/>
        </w:rPr>
        <w:t>fait plus que compenser la baisse des prix de gros. Ces hausses peuvent être la conséquence d</w:t>
      </w:r>
      <w:r w:rsidR="00C869EE">
        <w:rPr>
          <w:color w:val="000000"/>
        </w:rPr>
        <w:t>’</w:t>
      </w:r>
      <w:r w:rsidRPr="00CE03EE">
        <w:rPr>
          <w:color w:val="000000"/>
        </w:rPr>
        <w:t>investissements indispensables dans les interconnexions transfrontalières et les réseaux intelligents, qui présentent des avantages en termes d</w:t>
      </w:r>
      <w:r w:rsidR="00C869EE">
        <w:rPr>
          <w:color w:val="000000"/>
        </w:rPr>
        <w:t>’</w:t>
      </w:r>
      <w:r w:rsidRPr="00CE03EE">
        <w:rPr>
          <w:color w:val="000000"/>
        </w:rPr>
        <w:t xml:space="preserve">efficacité, de marché intérieur et de sécurité énergétique. </w:t>
      </w:r>
      <w:r w:rsidR="00BC1614" w:rsidRPr="00CE03EE">
        <w:rPr>
          <w:color w:val="000000"/>
        </w:rPr>
        <w:t>Il est possible que d</w:t>
      </w:r>
      <w:r w:rsidRPr="00CE03EE">
        <w:rPr>
          <w:color w:val="000000"/>
        </w:rPr>
        <w:t xml:space="preserve">es hausses de taxes et de prélèvements </w:t>
      </w:r>
      <w:r w:rsidR="00BC1614" w:rsidRPr="00CE03EE">
        <w:rPr>
          <w:color w:val="000000"/>
        </w:rPr>
        <w:t>soient</w:t>
      </w:r>
      <w:r w:rsidRPr="00CE03EE">
        <w:rPr>
          <w:color w:val="000000"/>
        </w:rPr>
        <w:t xml:space="preserve"> appliquées afin de corriger les défaillances du marché, pour des raisons </w:t>
      </w:r>
      <w:r w:rsidR="00141232" w:rsidRPr="00CE03EE">
        <w:rPr>
          <w:color w:val="000000"/>
        </w:rPr>
        <w:t xml:space="preserve">budgétaires </w:t>
      </w:r>
      <w:r w:rsidRPr="00CE03EE">
        <w:rPr>
          <w:color w:val="000000"/>
        </w:rPr>
        <w:t>d</w:t>
      </w:r>
      <w:r w:rsidR="00C869EE">
        <w:rPr>
          <w:color w:val="000000"/>
        </w:rPr>
        <w:t>’</w:t>
      </w:r>
      <w:r w:rsidRPr="00CE03EE">
        <w:rPr>
          <w:color w:val="000000"/>
        </w:rPr>
        <w:t>ordre général ou, directement, pour financer les investissements dans la production d</w:t>
      </w:r>
      <w:r w:rsidR="00C869EE">
        <w:rPr>
          <w:color w:val="000000"/>
        </w:rPr>
        <w:t>’</w:t>
      </w:r>
      <w:r w:rsidRPr="00CE03EE">
        <w:rPr>
          <w:color w:val="000000"/>
        </w:rPr>
        <w:t xml:space="preserve">énergie. (Il est essentiel </w:t>
      </w:r>
      <w:r w:rsidR="00BC1614" w:rsidRPr="00CE03EE">
        <w:rPr>
          <w:color w:val="000000"/>
        </w:rPr>
        <w:t xml:space="preserve">que les coûts des systèmes énergétiques soient </w:t>
      </w:r>
      <w:r w:rsidRPr="00CE03EE">
        <w:rPr>
          <w:color w:val="000000"/>
        </w:rPr>
        <w:t xml:space="preserve">totalement </w:t>
      </w:r>
      <w:r w:rsidR="00BC1614" w:rsidRPr="00CE03EE">
        <w:rPr>
          <w:color w:val="000000"/>
        </w:rPr>
        <w:t xml:space="preserve">couverts, </w:t>
      </w:r>
      <w:r w:rsidRPr="00CE03EE">
        <w:rPr>
          <w:color w:val="000000"/>
        </w:rPr>
        <w:t>au sein du secteur</w:t>
      </w:r>
      <w:r w:rsidR="00BC1614" w:rsidRPr="00CE03EE">
        <w:rPr>
          <w:color w:val="000000"/>
        </w:rPr>
        <w:t>,</w:t>
      </w:r>
      <w:r w:rsidRPr="00CE03EE">
        <w:rPr>
          <w:color w:val="000000"/>
        </w:rPr>
        <w:t xml:space="preserve"> par les consommateurs et de ne pas permettre une accumulation des déficits tarifaires.) Cependant, les taxes et prélèvements ne doivent pas </w:t>
      </w:r>
      <w:r w:rsidR="00BC1614" w:rsidRPr="00CE03EE">
        <w:rPr>
          <w:color w:val="000000"/>
        </w:rPr>
        <w:t>dissuader</w:t>
      </w:r>
      <w:r w:rsidRPr="00CE03EE">
        <w:rPr>
          <w:color w:val="000000"/>
        </w:rPr>
        <w:t xml:space="preserve"> </w:t>
      </w:r>
      <w:r w:rsidR="00BC1614" w:rsidRPr="00CE03EE">
        <w:rPr>
          <w:color w:val="000000"/>
        </w:rPr>
        <w:t xml:space="preserve">les </w:t>
      </w:r>
      <w:r w:rsidRPr="00CE03EE">
        <w:rPr>
          <w:color w:val="000000"/>
        </w:rPr>
        <w:t xml:space="preserve">producteurs </w:t>
      </w:r>
      <w:r w:rsidR="00BC1614" w:rsidRPr="00CE03EE">
        <w:rPr>
          <w:color w:val="000000"/>
        </w:rPr>
        <w:t>d'</w:t>
      </w:r>
      <w:r w:rsidRPr="00CE03EE">
        <w:rPr>
          <w:color w:val="000000"/>
        </w:rPr>
        <w:t xml:space="preserve">investir. </w:t>
      </w:r>
      <w:r w:rsidR="00BC1614" w:rsidRPr="00CE03EE">
        <w:rPr>
          <w:color w:val="000000"/>
        </w:rPr>
        <w:t>Du fait de l</w:t>
      </w:r>
      <w:r w:rsidRPr="00CE03EE">
        <w:rPr>
          <w:color w:val="000000"/>
        </w:rPr>
        <w:t xml:space="preserve">a faible répercussion des prix de gros sur les prix de détail et </w:t>
      </w:r>
      <w:r w:rsidR="00BC1614" w:rsidRPr="00CE03EE">
        <w:rPr>
          <w:color w:val="000000"/>
        </w:rPr>
        <w:t xml:space="preserve">de </w:t>
      </w:r>
      <w:r w:rsidRPr="00CE03EE">
        <w:rPr>
          <w:color w:val="000000"/>
        </w:rPr>
        <w:t>la sensibilité des ménages et de</w:t>
      </w:r>
      <w:r w:rsidR="00D61290" w:rsidRPr="00CE03EE">
        <w:rPr>
          <w:color w:val="000000"/>
        </w:rPr>
        <w:t>s</w:t>
      </w:r>
      <w:r w:rsidRPr="00CE03EE">
        <w:rPr>
          <w:color w:val="000000"/>
        </w:rPr>
        <w:t xml:space="preserve"> </w:t>
      </w:r>
      <w:r w:rsidR="00D61290" w:rsidRPr="00CE03EE">
        <w:rPr>
          <w:color w:val="000000"/>
        </w:rPr>
        <w:t>entreprises</w:t>
      </w:r>
      <w:r w:rsidRPr="00CE03EE">
        <w:rPr>
          <w:color w:val="000000"/>
        </w:rPr>
        <w:t xml:space="preserve"> aux prix</w:t>
      </w:r>
      <w:r w:rsidR="00BC1614" w:rsidRPr="00CE03EE">
        <w:rPr>
          <w:color w:val="000000"/>
        </w:rPr>
        <w:t>,</w:t>
      </w:r>
      <w:r w:rsidRPr="00CE03EE">
        <w:rPr>
          <w:color w:val="000000"/>
        </w:rPr>
        <w:t xml:space="preserve"> l</w:t>
      </w:r>
      <w:r w:rsidR="00C869EE">
        <w:rPr>
          <w:color w:val="000000"/>
        </w:rPr>
        <w:t>’</w:t>
      </w:r>
      <w:r w:rsidRPr="00CE03EE">
        <w:rPr>
          <w:color w:val="000000"/>
        </w:rPr>
        <w:t xml:space="preserve">UE </w:t>
      </w:r>
      <w:r w:rsidR="00BC1614" w:rsidRPr="00CE03EE">
        <w:rPr>
          <w:color w:val="000000"/>
        </w:rPr>
        <w:t xml:space="preserve">doit </w:t>
      </w:r>
      <w:r w:rsidRPr="00CE03EE">
        <w:rPr>
          <w:color w:val="000000"/>
        </w:rPr>
        <w:t>poursuiv</w:t>
      </w:r>
      <w:r w:rsidR="00BC1614" w:rsidRPr="00CE03EE">
        <w:rPr>
          <w:color w:val="000000"/>
        </w:rPr>
        <w:t>r</w:t>
      </w:r>
      <w:r w:rsidRPr="00CE03EE">
        <w:rPr>
          <w:color w:val="000000"/>
        </w:rPr>
        <w:t>e le développement du marché intérieur de l</w:t>
      </w:r>
      <w:r w:rsidR="00C869EE">
        <w:rPr>
          <w:color w:val="000000"/>
        </w:rPr>
        <w:t>’</w:t>
      </w:r>
      <w:r w:rsidRPr="00CE03EE">
        <w:rPr>
          <w:color w:val="000000"/>
        </w:rPr>
        <w:t>énergie s</w:t>
      </w:r>
      <w:r w:rsidR="00BC1614" w:rsidRPr="00CE03EE">
        <w:rPr>
          <w:color w:val="000000"/>
        </w:rPr>
        <w:t xml:space="preserve">elon </w:t>
      </w:r>
      <w:r w:rsidRPr="00CE03EE">
        <w:rPr>
          <w:color w:val="000000"/>
        </w:rPr>
        <w:t>une conception fonctionnelle du marché de l</w:t>
      </w:r>
      <w:r w:rsidR="00C869EE">
        <w:rPr>
          <w:color w:val="000000"/>
        </w:rPr>
        <w:t>’</w:t>
      </w:r>
      <w:r w:rsidRPr="00CE03EE">
        <w:rPr>
          <w:color w:val="000000"/>
        </w:rPr>
        <w:t xml:space="preserve">électricité. Des marchés </w:t>
      </w:r>
      <w:r w:rsidR="00BC1614" w:rsidRPr="00CE03EE">
        <w:rPr>
          <w:color w:val="000000"/>
        </w:rPr>
        <w:t xml:space="preserve">concurrentiels </w:t>
      </w:r>
      <w:r w:rsidRPr="00CE03EE">
        <w:rPr>
          <w:color w:val="000000"/>
        </w:rPr>
        <w:t>doivent se développer dans l</w:t>
      </w:r>
      <w:r w:rsidR="00C869EE">
        <w:rPr>
          <w:color w:val="000000"/>
        </w:rPr>
        <w:t>’</w:t>
      </w:r>
      <w:r w:rsidRPr="00CE03EE">
        <w:rPr>
          <w:color w:val="000000"/>
        </w:rPr>
        <w:t>ensemble de l</w:t>
      </w:r>
      <w:r w:rsidR="00C869EE">
        <w:rPr>
          <w:color w:val="000000"/>
        </w:rPr>
        <w:t>’</w:t>
      </w:r>
      <w:r w:rsidRPr="00CE03EE">
        <w:rPr>
          <w:color w:val="000000"/>
        </w:rPr>
        <w:t xml:space="preserve">UE, où les consommateurs </w:t>
      </w:r>
      <w:r w:rsidR="00BC1614" w:rsidRPr="00CE03EE">
        <w:rPr>
          <w:color w:val="000000"/>
        </w:rPr>
        <w:t>comme</w:t>
      </w:r>
      <w:r w:rsidRPr="00CE03EE">
        <w:rPr>
          <w:color w:val="000000"/>
        </w:rPr>
        <w:t xml:space="preserve"> les producteurs so</w:t>
      </w:r>
      <w:r w:rsidR="00BC1614" w:rsidRPr="00CE03EE">
        <w:rPr>
          <w:color w:val="000000"/>
        </w:rPr>
        <w:t>ie</w:t>
      </w:r>
      <w:r w:rsidRPr="00CE03EE">
        <w:rPr>
          <w:color w:val="000000"/>
        </w:rPr>
        <w:t xml:space="preserve">nt en mesure de réagir de manière </w:t>
      </w:r>
      <w:r w:rsidR="00BC1614" w:rsidRPr="00CE03EE">
        <w:rPr>
          <w:color w:val="000000"/>
        </w:rPr>
        <w:t xml:space="preserve">souple </w:t>
      </w:r>
      <w:r w:rsidRPr="00CE03EE">
        <w:rPr>
          <w:color w:val="000000"/>
        </w:rPr>
        <w:t>aux prix de gros ou de détail. Il est nécessaire que les prix de gros de l</w:t>
      </w:r>
      <w:r w:rsidR="00C869EE">
        <w:rPr>
          <w:color w:val="000000"/>
        </w:rPr>
        <w:t>’</w:t>
      </w:r>
      <w:r w:rsidRPr="00CE03EE">
        <w:rPr>
          <w:color w:val="000000"/>
        </w:rPr>
        <w:t>énergie couvrent totalement les coûts d</w:t>
      </w:r>
      <w:r w:rsidR="00C869EE">
        <w:rPr>
          <w:color w:val="000000"/>
        </w:rPr>
        <w:t>’</w:t>
      </w:r>
      <w:r w:rsidRPr="00CE03EE">
        <w:rPr>
          <w:color w:val="000000"/>
        </w:rPr>
        <w:t>investissement et les frais d</w:t>
      </w:r>
      <w:r w:rsidR="00C869EE">
        <w:rPr>
          <w:color w:val="000000"/>
        </w:rPr>
        <w:t>’</w:t>
      </w:r>
      <w:r w:rsidRPr="00CE03EE">
        <w:rPr>
          <w:color w:val="000000"/>
        </w:rPr>
        <w:t>exploitation pour que les investissements dans le secteur de l</w:t>
      </w:r>
      <w:r w:rsidR="00C869EE">
        <w:rPr>
          <w:color w:val="000000"/>
        </w:rPr>
        <w:t>’</w:t>
      </w:r>
      <w:r w:rsidRPr="00CE03EE">
        <w:rPr>
          <w:color w:val="000000"/>
        </w:rPr>
        <w:t>énergie soient déterminés par les forces du marché.</w:t>
      </w:r>
    </w:p>
    <w:p w:rsidR="000F011D" w:rsidRPr="00CE03EE" w:rsidRDefault="00EE184E" w:rsidP="004D2CC1">
      <w:pPr>
        <w:spacing w:after="0"/>
        <w:rPr>
          <w:color w:val="000000"/>
        </w:rPr>
      </w:pPr>
      <w:r w:rsidRPr="00CE03EE">
        <w:rPr>
          <w:color w:val="000000"/>
        </w:rPr>
        <w:t>Sur tous ces points</w:t>
      </w:r>
      <w:r w:rsidR="00B04D92" w:rsidRPr="00CE03EE">
        <w:rPr>
          <w:color w:val="000000"/>
        </w:rPr>
        <w:t xml:space="preserve">, les prochaines propositions de la Commission </w:t>
      </w:r>
      <w:r w:rsidRPr="00CE03EE">
        <w:rPr>
          <w:color w:val="000000"/>
        </w:rPr>
        <w:t xml:space="preserve">concernant </w:t>
      </w:r>
      <w:r w:rsidR="00B04D92" w:rsidRPr="00CE03EE">
        <w:rPr>
          <w:color w:val="000000"/>
        </w:rPr>
        <w:t>la conception du marché, les marchés de détail, les énergies renouvelables et la gouvernance s</w:t>
      </w:r>
      <w:r w:rsidRPr="00CE03EE">
        <w:rPr>
          <w:color w:val="000000"/>
        </w:rPr>
        <w:t>er</w:t>
      </w:r>
      <w:r w:rsidR="00B04D92" w:rsidRPr="00CE03EE">
        <w:rPr>
          <w:color w:val="000000"/>
        </w:rPr>
        <w:t xml:space="preserve">ont </w:t>
      </w:r>
      <w:r w:rsidRPr="00CE03EE">
        <w:rPr>
          <w:color w:val="000000"/>
        </w:rPr>
        <w:t>déterminantes pour</w:t>
      </w:r>
      <w:r w:rsidR="00B04D92" w:rsidRPr="00CE03EE">
        <w:rPr>
          <w:color w:val="000000"/>
        </w:rPr>
        <w:t xml:space="preserve"> créer un secteur de l</w:t>
      </w:r>
      <w:r w:rsidR="00C869EE">
        <w:rPr>
          <w:color w:val="000000"/>
        </w:rPr>
        <w:t>’</w:t>
      </w:r>
      <w:r w:rsidR="00B04D92" w:rsidRPr="00CE03EE">
        <w:rPr>
          <w:color w:val="000000"/>
        </w:rPr>
        <w:t>énergie innovant et compétitif, capable de fournir de l</w:t>
      </w:r>
      <w:r w:rsidR="00C869EE">
        <w:rPr>
          <w:color w:val="000000"/>
        </w:rPr>
        <w:t>’</w:t>
      </w:r>
      <w:r w:rsidR="00B04D92" w:rsidRPr="00CE03EE">
        <w:rPr>
          <w:color w:val="000000"/>
        </w:rPr>
        <w:t xml:space="preserve">énergie à un prix abordable aux ménages et </w:t>
      </w:r>
      <w:r w:rsidR="00D61290" w:rsidRPr="00CE03EE">
        <w:rPr>
          <w:color w:val="000000"/>
        </w:rPr>
        <w:t>aux entreprises</w:t>
      </w:r>
      <w:r w:rsidR="00B04D92" w:rsidRPr="00CE03EE">
        <w:rPr>
          <w:color w:val="000000"/>
        </w:rPr>
        <w:t xml:space="preserve">, en permettant </w:t>
      </w:r>
      <w:r w:rsidRPr="00CE03EE">
        <w:rPr>
          <w:color w:val="000000"/>
        </w:rPr>
        <w:t>aux entreprises</w:t>
      </w:r>
      <w:r w:rsidR="00B04D92" w:rsidRPr="00CE03EE">
        <w:rPr>
          <w:color w:val="000000"/>
        </w:rPr>
        <w:t xml:space="preserve"> européenne</w:t>
      </w:r>
      <w:r w:rsidRPr="00CE03EE">
        <w:rPr>
          <w:color w:val="000000"/>
        </w:rPr>
        <w:t>s</w:t>
      </w:r>
      <w:r w:rsidR="00B04D92" w:rsidRPr="00CE03EE">
        <w:rPr>
          <w:color w:val="000000"/>
        </w:rPr>
        <w:t xml:space="preserve"> </w:t>
      </w:r>
      <w:r w:rsidRPr="00CE03EE">
        <w:rPr>
          <w:color w:val="000000"/>
        </w:rPr>
        <w:t>d'exercer une concurr</w:t>
      </w:r>
      <w:r w:rsidR="00B04D92" w:rsidRPr="00CE03EE">
        <w:rPr>
          <w:color w:val="000000"/>
        </w:rPr>
        <w:t>ence efficace dans l</w:t>
      </w:r>
      <w:r w:rsidR="00C869EE">
        <w:rPr>
          <w:color w:val="000000"/>
        </w:rPr>
        <w:t>’</w:t>
      </w:r>
      <w:r w:rsidR="00B04D92" w:rsidRPr="00CE03EE">
        <w:rPr>
          <w:color w:val="000000"/>
        </w:rPr>
        <w:t>économie mondiale.</w:t>
      </w:r>
    </w:p>
    <w:sectPr w:rsidR="000F011D" w:rsidRPr="00CE03EE" w:rsidSect="00EB7642">
      <w:headerReference w:type="even" r:id="rId35"/>
      <w:headerReference w:type="default" r:id="rId36"/>
      <w:footerReference w:type="even" r:id="rId37"/>
      <w:footerReference w:type="default" r:id="rId38"/>
      <w:headerReference w:type="first" r:id="rId39"/>
      <w:footerReference w:type="first" r:id="rId40"/>
      <w:pgSz w:w="11906" w:h="16838"/>
      <w:pgMar w:top="1134" w:right="1361" w:bottom="567" w:left="1361" w:header="284" w:footer="45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EE" w:rsidRPr="00EA3561" w:rsidRDefault="00C869EE" w:rsidP="00EA4A4E">
      <w:pPr>
        <w:spacing w:before="0" w:after="0"/>
      </w:pPr>
      <w:r>
        <w:separator/>
      </w:r>
    </w:p>
  </w:endnote>
  <w:endnote w:type="continuationSeparator" w:id="0">
    <w:p w:rsidR="00C869EE" w:rsidRPr="00EA3561" w:rsidRDefault="00C869EE" w:rsidP="00EA4A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DD" w:rsidRPr="00FC71DD" w:rsidRDefault="00FC71DD" w:rsidP="00FC7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DD" w:rsidRPr="00FC71DD" w:rsidRDefault="00FC71DD" w:rsidP="00FC71DD">
    <w:pPr>
      <w:pStyle w:val="FooterCoverPage"/>
      <w:rPr>
        <w:rFonts w:ascii="Arial" w:hAnsi="Arial" w:cs="Arial"/>
        <w:b/>
        <w:sz w:val="48"/>
      </w:rPr>
    </w:pPr>
    <w:r w:rsidRPr="00FC71DD">
      <w:rPr>
        <w:rFonts w:ascii="Arial" w:hAnsi="Arial" w:cs="Arial"/>
        <w:b/>
        <w:sz w:val="48"/>
      </w:rPr>
      <w:t>FR</w:t>
    </w:r>
    <w:r w:rsidRPr="00FC71DD">
      <w:rPr>
        <w:rFonts w:ascii="Arial" w:hAnsi="Arial" w:cs="Arial"/>
        <w:b/>
        <w:sz w:val="48"/>
      </w:rPr>
      <w:tab/>
    </w:r>
    <w:r w:rsidRPr="00FC71DD">
      <w:rPr>
        <w:rFonts w:ascii="Arial" w:hAnsi="Arial" w:cs="Arial"/>
        <w:b/>
        <w:sz w:val="48"/>
      </w:rPr>
      <w:tab/>
    </w:r>
    <w:fldSimple w:instr=" DOCVARIABLE &quot;LW_Confidence&quot; \* MERGEFORMAT ">
      <w:r>
        <w:t xml:space="preserve"> </w:t>
      </w:r>
    </w:fldSimple>
    <w:r w:rsidRPr="00FC71DD">
      <w:tab/>
    </w:r>
    <w:r w:rsidRPr="00FC71DD">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DD" w:rsidRPr="00FC71DD" w:rsidRDefault="00FC71DD" w:rsidP="00FC71D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E" w:rsidRPr="00EA3561" w:rsidRDefault="00C869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97230"/>
      <w:docPartObj>
        <w:docPartGallery w:val="Page Numbers (Bottom of Page)"/>
        <w:docPartUnique/>
      </w:docPartObj>
    </w:sdtPr>
    <w:sdtEndPr>
      <w:rPr>
        <w:sz w:val="16"/>
        <w:szCs w:val="16"/>
      </w:rPr>
    </w:sdtEndPr>
    <w:sdtContent>
      <w:p w:rsidR="00C869EE" w:rsidRPr="00EA3561" w:rsidRDefault="00C869EE" w:rsidP="00B91617">
        <w:pPr>
          <w:pStyle w:val="Footer"/>
          <w:spacing w:before="240"/>
          <w:jc w:val="center"/>
          <w:rPr>
            <w:sz w:val="16"/>
            <w:szCs w:val="16"/>
          </w:rPr>
        </w:pPr>
        <w:r w:rsidRPr="00EA3561">
          <w:rPr>
            <w:sz w:val="16"/>
            <w:szCs w:val="16"/>
          </w:rPr>
          <w:fldChar w:fldCharType="begin"/>
        </w:r>
        <w:r w:rsidRPr="00EA3561">
          <w:rPr>
            <w:sz w:val="16"/>
            <w:szCs w:val="16"/>
          </w:rPr>
          <w:instrText xml:space="preserve"> PAGE   \* MERGEFORMAT </w:instrText>
        </w:r>
        <w:r w:rsidRPr="00EA3561">
          <w:rPr>
            <w:sz w:val="16"/>
            <w:szCs w:val="16"/>
          </w:rPr>
          <w:fldChar w:fldCharType="separate"/>
        </w:r>
        <w:r w:rsidR="00FC71DD">
          <w:rPr>
            <w:noProof/>
            <w:sz w:val="16"/>
            <w:szCs w:val="16"/>
          </w:rPr>
          <w:t>25</w:t>
        </w:r>
        <w:r w:rsidRPr="00EA3561">
          <w:rPr>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E" w:rsidRPr="00EA3561" w:rsidRDefault="00C86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EE" w:rsidRPr="00EA3561" w:rsidRDefault="00C869EE" w:rsidP="00EA4A4E">
      <w:pPr>
        <w:spacing w:before="0" w:after="0"/>
      </w:pPr>
      <w:r>
        <w:separator/>
      </w:r>
    </w:p>
  </w:footnote>
  <w:footnote w:type="continuationSeparator" w:id="0">
    <w:p w:rsidR="00C869EE" w:rsidRPr="00EA3561" w:rsidRDefault="00C869EE" w:rsidP="00EA4A4E">
      <w:pPr>
        <w:spacing w:before="0" w:after="0"/>
      </w:pPr>
      <w:r>
        <w:continuationSeparator/>
      </w:r>
    </w:p>
  </w:footnote>
  <w:footnote w:id="1">
    <w:p w:rsidR="00C869EE" w:rsidRDefault="00C869EE" w:rsidP="001037A2">
      <w:pPr>
        <w:pStyle w:val="FootnoteText"/>
        <w:ind w:left="284" w:hanging="284"/>
      </w:pPr>
      <w:r>
        <w:rPr>
          <w:rStyle w:val="FootnoteReference"/>
        </w:rPr>
        <w:footnoteRef/>
      </w:r>
      <w:r>
        <w:rPr>
          <w:rStyle w:val="FootnoteReference"/>
        </w:rPr>
        <w:t>.</w:t>
      </w:r>
      <w:r>
        <w:tab/>
        <w:t>COM(</w:t>
      </w:r>
      <w:r w:rsidRPr="00F30663">
        <w:t>2014</w:t>
      </w:r>
      <w:r>
        <w:t xml:space="preserve">) </w:t>
      </w:r>
      <w:r w:rsidRPr="00F30663">
        <w:t>21</w:t>
      </w:r>
      <w:r>
        <w:t xml:space="preserve"> /</w:t>
      </w:r>
      <w:r w:rsidRPr="00F30663">
        <w:t>2</w:t>
      </w:r>
      <w:r>
        <w:t>.</w:t>
      </w:r>
    </w:p>
  </w:footnote>
  <w:footnote w:id="2">
    <w:p w:rsidR="00C869EE" w:rsidRPr="005E236D" w:rsidRDefault="00C869EE" w:rsidP="00790CB7">
      <w:pPr>
        <w:pStyle w:val="FootnoteText"/>
        <w:ind w:left="284" w:hanging="284"/>
      </w:pPr>
      <w:r>
        <w:rPr>
          <w:rStyle w:val="FootnoteReference"/>
        </w:rPr>
        <w:footnoteRef/>
      </w:r>
      <w:r>
        <w:tab/>
        <w:t xml:space="preserve">Cela a débouché sur la proposition de la Commission et l‎’adoption du règlement (UE) </w:t>
      </w:r>
      <w:r w:rsidRPr="00F30663">
        <w:t>2016</w:t>
      </w:r>
      <w:r>
        <w:t>/</w:t>
      </w:r>
      <w:r w:rsidRPr="00F30663">
        <w:t>1952</w:t>
      </w:r>
      <w:r>
        <w:t xml:space="preserve"> du Parlement européen et du Conseil du </w:t>
      </w:r>
      <w:r w:rsidRPr="00F30663">
        <w:t>26</w:t>
      </w:r>
      <w:r>
        <w:t xml:space="preserve"> octobre </w:t>
      </w:r>
      <w:r w:rsidRPr="00F30663">
        <w:t>2016</w:t>
      </w:r>
      <w:r>
        <w:t xml:space="preserve"> sur les statistiques européennes concernant les prix du gaz et de l’électricité.</w:t>
      </w:r>
    </w:p>
  </w:footnote>
  <w:footnote w:id="3">
    <w:p w:rsidR="00C869EE" w:rsidRPr="005E236D" w:rsidRDefault="00C869EE" w:rsidP="00790CB7">
      <w:pPr>
        <w:pStyle w:val="FootnoteText"/>
        <w:ind w:left="284" w:hanging="284"/>
      </w:pPr>
      <w:r>
        <w:rPr>
          <w:rStyle w:val="FootnoteReference"/>
        </w:rPr>
        <w:footnoteRef/>
      </w:r>
      <w:r>
        <w:tab/>
        <w:t xml:space="preserve">Voir les références au point d‎’action </w:t>
      </w:r>
      <w:r w:rsidRPr="00F30663">
        <w:t>8</w:t>
      </w:r>
      <w:r>
        <w:t xml:space="preserve"> du cadre stratégique pour une Union de l‎’énergie (février </w:t>
      </w:r>
      <w:r w:rsidRPr="00F30663">
        <w:t>2015</w:t>
      </w:r>
      <w:r>
        <w:t xml:space="preserve">) et la feuille de route actualisée pour l‎’Union de l‎’énergie (novembre </w:t>
      </w:r>
      <w:r w:rsidRPr="00F30663">
        <w:t>2015</w:t>
      </w:r>
      <w:r>
        <w:t>).</w:t>
      </w:r>
    </w:p>
  </w:footnote>
  <w:footnote w:id="4">
    <w:p w:rsidR="00C869EE" w:rsidRPr="005E236D" w:rsidRDefault="00C869EE" w:rsidP="00790CB7">
      <w:pPr>
        <w:pStyle w:val="FootnoteText"/>
        <w:ind w:left="284" w:hanging="284"/>
      </w:pPr>
      <w:r>
        <w:rPr>
          <w:rStyle w:val="FootnoteReference"/>
        </w:rPr>
        <w:footnoteRef/>
      </w:r>
      <w:r>
        <w:tab/>
        <w:t xml:space="preserve">Simulations prévisionnelles de la Commission européenne à l‎’hiver </w:t>
      </w:r>
      <w:r w:rsidRPr="00F30663">
        <w:t>2015</w:t>
      </w:r>
      <w:r>
        <w:t>.</w:t>
      </w:r>
    </w:p>
  </w:footnote>
  <w:footnote w:id="5">
    <w:p w:rsidR="00C869EE" w:rsidRPr="005E236D" w:rsidRDefault="00C869EE" w:rsidP="00790CB7">
      <w:pPr>
        <w:pStyle w:val="FootnoteText"/>
        <w:ind w:left="284" w:hanging="284"/>
      </w:pPr>
      <w:r>
        <w:rPr>
          <w:rStyle w:val="FootnoteReference"/>
        </w:rPr>
        <w:footnoteRef/>
      </w:r>
      <w:r>
        <w:t xml:space="preserve"> </w:t>
      </w:r>
      <w:r>
        <w:tab/>
        <w:t>Prix moyen pondéré de l‎’électricité en Europe établi par Platts.</w:t>
      </w:r>
    </w:p>
  </w:footnote>
  <w:footnote w:id="6">
    <w:p w:rsidR="00C869EE" w:rsidRDefault="00C869EE">
      <w:pPr>
        <w:pStyle w:val="FootnoteText"/>
      </w:pPr>
      <w:r>
        <w:rPr>
          <w:rStyle w:val="FootnoteReference"/>
        </w:rPr>
        <w:footnoteRef/>
      </w:r>
      <w:r>
        <w:t xml:space="preserve">     Par exemple, le pouvoir de marché des exploitants traditionnels, les barrières à l‎’entrée, les prix réglementés.</w:t>
      </w:r>
    </w:p>
  </w:footnote>
  <w:footnote w:id="7">
    <w:p w:rsidR="00C869EE" w:rsidRPr="005E236D" w:rsidRDefault="00C869EE" w:rsidP="00790CB7">
      <w:pPr>
        <w:pStyle w:val="FootnoteText"/>
        <w:ind w:left="284" w:hanging="284"/>
      </w:pPr>
      <w:r>
        <w:rPr>
          <w:rStyle w:val="FootnoteReference"/>
        </w:rPr>
        <w:footnoteRef/>
      </w:r>
      <w:r>
        <w:t xml:space="preserve"> </w:t>
      </w:r>
      <w:r>
        <w:tab/>
        <w:t>Les prix moyens désignent les prix moyens pondérés dans l‎’UE-</w:t>
      </w:r>
      <w:r w:rsidRPr="00F30663">
        <w:t>28</w:t>
      </w:r>
      <w:r>
        <w:t>.</w:t>
      </w:r>
    </w:p>
  </w:footnote>
  <w:footnote w:id="8">
    <w:p w:rsidR="00C869EE" w:rsidRPr="00B46610" w:rsidRDefault="00C869EE" w:rsidP="00790CB7">
      <w:pPr>
        <w:spacing w:before="0" w:after="0"/>
        <w:ind w:left="284" w:hanging="284"/>
        <w:rPr>
          <w:sz w:val="20"/>
        </w:rPr>
      </w:pPr>
      <w:r>
        <w:rPr>
          <w:rStyle w:val="FootnoteReference"/>
          <w:sz w:val="20"/>
        </w:rPr>
        <w:footnoteRef/>
      </w:r>
      <w:r>
        <w:rPr>
          <w:sz w:val="20"/>
        </w:rPr>
        <w:t xml:space="preserve"> </w:t>
      </w:r>
      <w:r>
        <w:tab/>
      </w:r>
      <w:r w:rsidRPr="00F30663">
        <w:rPr>
          <w:sz w:val="20"/>
        </w:rPr>
        <w:t>1</w:t>
      </w:r>
      <w:r>
        <w:rPr>
          <w:sz w:val="20"/>
        </w:rPr>
        <w:t>. Énergie renouvelable et production combinée de chaleur et d‎’électricité;</w:t>
      </w:r>
      <w:r>
        <w:tab/>
      </w:r>
      <w:r>
        <w:rPr>
          <w:sz w:val="20"/>
        </w:rPr>
        <w:br/>
      </w:r>
      <w:r w:rsidRPr="00F30663">
        <w:rPr>
          <w:sz w:val="20"/>
        </w:rPr>
        <w:t>2</w:t>
      </w:r>
      <w:r>
        <w:rPr>
          <w:sz w:val="20"/>
        </w:rPr>
        <w:t xml:space="preserve">. Social (consommateurs vulnérables, tarifs sociaux, péréquation tarifaire des systèmes insulaires, fourniture de dernier recours, fonds de pension, politiques de l‎’emploi); </w:t>
      </w:r>
      <w:r>
        <w:tab/>
      </w:r>
      <w:r>
        <w:rPr>
          <w:sz w:val="20"/>
        </w:rPr>
        <w:br/>
      </w:r>
      <w:r w:rsidRPr="00F30663">
        <w:rPr>
          <w:sz w:val="20"/>
        </w:rPr>
        <w:t>3</w:t>
      </w:r>
      <w:r>
        <w:rPr>
          <w:sz w:val="20"/>
        </w:rPr>
        <w:t xml:space="preserve">. Financement du secteur nucléaire; </w:t>
      </w:r>
      <w:r>
        <w:tab/>
      </w:r>
      <w:r>
        <w:rPr>
          <w:sz w:val="20"/>
        </w:rPr>
        <w:br/>
      </w:r>
      <w:r w:rsidRPr="00F30663">
        <w:rPr>
          <w:sz w:val="20"/>
        </w:rPr>
        <w:t>4</w:t>
      </w:r>
      <w:r>
        <w:rPr>
          <w:sz w:val="20"/>
        </w:rPr>
        <w:t xml:space="preserve">. Efficacité énergétique; </w:t>
      </w:r>
      <w:r>
        <w:tab/>
      </w:r>
      <w:r>
        <w:rPr>
          <w:sz w:val="20"/>
        </w:rPr>
        <w:br/>
      </w:r>
      <w:r w:rsidRPr="00F30663">
        <w:rPr>
          <w:sz w:val="20"/>
        </w:rPr>
        <w:t>5</w:t>
      </w:r>
      <w:r>
        <w:rPr>
          <w:sz w:val="20"/>
        </w:rPr>
        <w:t xml:space="preserve">. Sécurité de l‎’approvisionnement (sécurité des politiques d‎’approvisionnement, financement de la production locale d‎’électricité/de combustibles, frais liés aux réserves d‎’urgence); </w:t>
      </w:r>
      <w:r>
        <w:tab/>
      </w:r>
      <w:r>
        <w:rPr>
          <w:sz w:val="20"/>
        </w:rPr>
        <w:br/>
      </w:r>
      <w:r w:rsidRPr="00F30663">
        <w:rPr>
          <w:sz w:val="20"/>
        </w:rPr>
        <w:t>6</w:t>
      </w:r>
      <w:r>
        <w:rPr>
          <w:sz w:val="20"/>
        </w:rPr>
        <w:t xml:space="preserve">. Redevances de concession (essentiellement pour l‎’occupation de terrains publics); </w:t>
      </w:r>
      <w:r>
        <w:tab/>
      </w:r>
      <w:r>
        <w:rPr>
          <w:sz w:val="20"/>
        </w:rPr>
        <w:br/>
      </w:r>
      <w:r w:rsidRPr="00F30663">
        <w:rPr>
          <w:sz w:val="20"/>
        </w:rPr>
        <w:t>7</w:t>
      </w:r>
      <w:r>
        <w:rPr>
          <w:sz w:val="20"/>
        </w:rPr>
        <w:t xml:space="preserve">. Autorités de régulation nationales et marché (financement du régulateur national ou de l‎’opérateur de marché); </w:t>
      </w:r>
      <w:r>
        <w:tab/>
      </w:r>
      <w:r>
        <w:rPr>
          <w:sz w:val="20"/>
        </w:rPr>
        <w:br/>
      </w:r>
      <w:r w:rsidRPr="00F30663">
        <w:rPr>
          <w:sz w:val="20"/>
        </w:rPr>
        <w:t>8</w:t>
      </w:r>
      <w:r>
        <w:rPr>
          <w:sz w:val="20"/>
        </w:rPr>
        <w:t xml:space="preserve">. Autres prélèvements (y compris R&amp;D, annuités de déficits et redevances de télévision publique); </w:t>
      </w:r>
      <w:r>
        <w:tab/>
      </w:r>
      <w:r>
        <w:rPr>
          <w:sz w:val="20"/>
        </w:rPr>
        <w:br/>
      </w:r>
      <w:r w:rsidRPr="00F30663">
        <w:rPr>
          <w:sz w:val="20"/>
        </w:rPr>
        <w:t>9</w:t>
      </w:r>
      <w:r>
        <w:rPr>
          <w:sz w:val="20"/>
        </w:rPr>
        <w:t xml:space="preserve">. TVA; </w:t>
      </w:r>
      <w:r>
        <w:tab/>
      </w:r>
      <w:r>
        <w:rPr>
          <w:sz w:val="20"/>
        </w:rPr>
        <w:br/>
      </w:r>
      <w:r w:rsidRPr="00F30663">
        <w:rPr>
          <w:sz w:val="20"/>
        </w:rPr>
        <w:t>10</w:t>
      </w:r>
      <w:r>
        <w:rPr>
          <w:sz w:val="20"/>
        </w:rPr>
        <w:t>. Autres taxes [droits d‎’accise (répertoriés par certains États membres comme taxe sur l‎’électricité, taxe sur le gaz naturel, taxe sur l‎’énergie, taxe spéciale sur l‎’énergie, taxe environnementale) et taxes telles que taxes sur la distribution, la transmission et les émissions de gaz à effet de serre].</w:t>
      </w:r>
    </w:p>
  </w:footnote>
  <w:footnote w:id="9">
    <w:p w:rsidR="00C869EE" w:rsidRPr="005E236D" w:rsidRDefault="00C869EE" w:rsidP="00790CB7">
      <w:pPr>
        <w:pStyle w:val="FootnoteText"/>
        <w:ind w:left="284" w:hanging="284"/>
      </w:pPr>
      <w:r>
        <w:rPr>
          <w:rStyle w:val="FootnoteReference"/>
        </w:rPr>
        <w:footnoteRef/>
      </w:r>
      <w:r>
        <w:t xml:space="preserve"> </w:t>
      </w:r>
      <w:r>
        <w:tab/>
        <w:t xml:space="preserve">En </w:t>
      </w:r>
      <w:r w:rsidRPr="00F30663">
        <w:t>2015</w:t>
      </w:r>
      <w:r>
        <w:t xml:space="preserve">, la part d’électricité produite à partir de sources d’énergie renouvelables dans l‎’UE était de </w:t>
      </w:r>
      <w:r w:rsidRPr="00F30663">
        <w:t>28</w:t>
      </w:r>
      <w:r>
        <w:t> %.</w:t>
      </w:r>
    </w:p>
  </w:footnote>
  <w:footnote w:id="10">
    <w:p w:rsidR="00C869EE" w:rsidRPr="005E236D" w:rsidRDefault="00C869EE" w:rsidP="00790CB7">
      <w:pPr>
        <w:pStyle w:val="FootnoteText"/>
        <w:ind w:left="284" w:hanging="284"/>
      </w:pPr>
      <w:r>
        <w:rPr>
          <w:rStyle w:val="FootnoteReference"/>
        </w:rPr>
        <w:footnoteRef/>
      </w:r>
      <w:r>
        <w:t xml:space="preserve"> </w:t>
      </w:r>
      <w:r>
        <w:tab/>
        <w:t>Dans le cas des consommateurs industriels, le prix de détail final exclut la TVA car elle est remboursable.</w:t>
      </w:r>
    </w:p>
  </w:footnote>
  <w:footnote w:id="11">
    <w:p w:rsidR="00C869EE" w:rsidRPr="005E236D" w:rsidRDefault="00C869EE" w:rsidP="008E1785">
      <w:pPr>
        <w:pStyle w:val="CommentText"/>
        <w:spacing w:before="0" w:after="0"/>
        <w:ind w:left="284" w:hanging="284"/>
      </w:pPr>
      <w:r>
        <w:rPr>
          <w:rStyle w:val="FootnoteReference"/>
        </w:rPr>
        <w:footnoteRef/>
      </w:r>
      <w:r>
        <w:t xml:space="preserve"> </w:t>
      </w:r>
      <w:r>
        <w:tab/>
        <w:t>Dans l‎’industrie, le prix pour les grands consommateurs d‎’énergie (</w:t>
      </w:r>
      <w:r w:rsidRPr="00F30663">
        <w:t>70</w:t>
      </w:r>
      <w:r>
        <w:t xml:space="preserve"> </w:t>
      </w:r>
      <w:r w:rsidRPr="00F30663">
        <w:t>000</w:t>
      </w:r>
      <w:r>
        <w:t>-</w:t>
      </w:r>
      <w:r w:rsidRPr="00F30663">
        <w:t>150</w:t>
      </w:r>
      <w:r>
        <w:t xml:space="preserve"> </w:t>
      </w:r>
      <w:r w:rsidRPr="00F30663">
        <w:t>000</w:t>
      </w:r>
      <w:r>
        <w:t xml:space="preserve"> MWh/an; c.-à-d. la tranche de consommation IF d‎’Eurostat) a augmenté de </w:t>
      </w:r>
      <w:r w:rsidRPr="00F30663">
        <w:t>0</w:t>
      </w:r>
      <w:r>
        <w:t>,</w:t>
      </w:r>
      <w:r w:rsidRPr="00F30663">
        <w:t>8</w:t>
      </w:r>
      <w:r>
        <w:t xml:space="preserve"> %/an; pour les consommateurs moyens </w:t>
      </w:r>
      <w:r>
        <w:rPr>
          <w:color w:val="000000"/>
        </w:rPr>
        <w:t>(</w:t>
      </w:r>
      <w:r w:rsidRPr="00F30663">
        <w:rPr>
          <w:color w:val="000000"/>
        </w:rPr>
        <w:t>2</w:t>
      </w:r>
      <w:r>
        <w:rPr>
          <w:color w:val="000000"/>
        </w:rPr>
        <w:t xml:space="preserve"> </w:t>
      </w:r>
      <w:r w:rsidRPr="00F30663">
        <w:rPr>
          <w:color w:val="000000"/>
        </w:rPr>
        <w:t>000</w:t>
      </w:r>
      <w:r>
        <w:rPr>
          <w:color w:val="000000"/>
        </w:rPr>
        <w:t>-</w:t>
      </w:r>
      <w:r w:rsidRPr="00F30663">
        <w:rPr>
          <w:color w:val="000000"/>
        </w:rPr>
        <w:t>20</w:t>
      </w:r>
      <w:r>
        <w:rPr>
          <w:color w:val="000000"/>
        </w:rPr>
        <w:t> </w:t>
      </w:r>
      <w:r w:rsidRPr="00F30663">
        <w:rPr>
          <w:color w:val="000000"/>
        </w:rPr>
        <w:t>000</w:t>
      </w:r>
      <w:r>
        <w:rPr>
          <w:color w:val="000000"/>
        </w:rPr>
        <w:t xml:space="preserve"> MWh/an; c.-à-d. la tranche ID) de </w:t>
      </w:r>
      <w:r w:rsidRPr="00F30663">
        <w:rPr>
          <w:color w:val="000000"/>
        </w:rPr>
        <w:t>2</w:t>
      </w:r>
      <w:r>
        <w:rPr>
          <w:color w:val="000000"/>
        </w:rPr>
        <w:t>,</w:t>
      </w:r>
      <w:r w:rsidRPr="00F30663">
        <w:rPr>
          <w:color w:val="000000"/>
        </w:rPr>
        <w:t>3</w:t>
      </w:r>
      <w:r>
        <w:rPr>
          <w:color w:val="000000"/>
        </w:rPr>
        <w:t xml:space="preserve"> %/an; et pour </w:t>
      </w:r>
      <w:r>
        <w:t>les petits consommateurs (</w:t>
      </w:r>
      <w:r w:rsidRPr="00F30663">
        <w:t>20</w:t>
      </w:r>
      <w:r>
        <w:t>-</w:t>
      </w:r>
      <w:r w:rsidRPr="00F30663">
        <w:t>500</w:t>
      </w:r>
      <w:r>
        <w:t xml:space="preserve"> MWh/an; c.-à-d. la tranche IB) de </w:t>
      </w:r>
      <w:r w:rsidRPr="00F30663">
        <w:t>3</w:t>
      </w:r>
      <w:r>
        <w:t>,</w:t>
      </w:r>
      <w:r w:rsidRPr="00F30663">
        <w:t>1</w:t>
      </w:r>
      <w:r>
        <w:t xml:space="preserve"> %. </w:t>
      </w:r>
      <w:r>
        <w:rPr>
          <w:color w:val="000000"/>
        </w:rPr>
        <w:t>les données agrégées ne reflètent pas tous les changements de prix pour les différentes entreprises.</w:t>
      </w:r>
    </w:p>
  </w:footnote>
  <w:footnote w:id="12">
    <w:p w:rsidR="00C869EE" w:rsidRPr="005E236D" w:rsidRDefault="00C869EE" w:rsidP="00790CB7">
      <w:pPr>
        <w:pStyle w:val="FootnoteText"/>
        <w:ind w:left="284" w:hanging="284"/>
      </w:pPr>
      <w:r>
        <w:rPr>
          <w:rStyle w:val="FootnoteReference"/>
        </w:rPr>
        <w:footnoteRef/>
      </w:r>
      <w:r>
        <w:t xml:space="preserve"> </w:t>
      </w:r>
      <w:r>
        <w:tab/>
        <w:t>HR, FR, IE, LV, PL, PT et UK.</w:t>
      </w:r>
    </w:p>
  </w:footnote>
  <w:footnote w:id="13">
    <w:p w:rsidR="00C869EE" w:rsidRPr="005E236D" w:rsidRDefault="00C869EE" w:rsidP="00790CB7">
      <w:pPr>
        <w:pStyle w:val="FootnoteText"/>
        <w:ind w:left="284" w:hanging="284"/>
      </w:pPr>
      <w:r>
        <w:rPr>
          <w:rStyle w:val="FootnoteReference"/>
        </w:rPr>
        <w:footnoteRef/>
      </w:r>
      <w:r>
        <w:t xml:space="preserve"> </w:t>
      </w:r>
      <w:r>
        <w:tab/>
        <w:t xml:space="preserve">En </w:t>
      </w:r>
      <w:r w:rsidRPr="00F30663">
        <w:t>2015</w:t>
      </w:r>
      <w:r>
        <w:t xml:space="preserve">, la dépendance envers les importations de gaz se chiffrait à </w:t>
      </w:r>
      <w:r w:rsidRPr="00F30663">
        <w:t>69</w:t>
      </w:r>
      <w:r>
        <w:t> %.</w:t>
      </w:r>
    </w:p>
  </w:footnote>
  <w:footnote w:id="14">
    <w:p w:rsidR="00C869EE" w:rsidRPr="005E236D" w:rsidRDefault="00C869EE" w:rsidP="007161FA">
      <w:pPr>
        <w:spacing w:before="0" w:after="0"/>
        <w:ind w:left="284" w:hanging="284"/>
      </w:pPr>
      <w:r>
        <w:rPr>
          <w:rStyle w:val="FootnoteReference"/>
          <w:sz w:val="20"/>
        </w:rPr>
        <w:footnoteRef/>
      </w:r>
      <w:r>
        <w:rPr>
          <w:sz w:val="20"/>
        </w:rPr>
        <w:t xml:space="preserve"> </w:t>
      </w:r>
      <w:r>
        <w:tab/>
      </w:r>
      <w:r>
        <w:rPr>
          <w:sz w:val="20"/>
        </w:rPr>
        <w:t xml:space="preserve">Désigne les consommateurs industriels dont la consommation annuelle est comprise en </w:t>
      </w:r>
      <w:r w:rsidRPr="00F30663">
        <w:rPr>
          <w:sz w:val="20"/>
        </w:rPr>
        <w:t>1</w:t>
      </w:r>
      <w:r>
        <w:rPr>
          <w:sz w:val="20"/>
        </w:rPr>
        <w:t xml:space="preserve"> et </w:t>
      </w:r>
      <w:r w:rsidRPr="00F30663">
        <w:rPr>
          <w:sz w:val="20"/>
        </w:rPr>
        <w:t>4</w:t>
      </w:r>
      <w:r>
        <w:rPr>
          <w:sz w:val="20"/>
        </w:rPr>
        <w:t xml:space="preserve"> millions GJ (tranche I</w:t>
      </w:r>
      <w:r w:rsidRPr="00F30663">
        <w:rPr>
          <w:sz w:val="20"/>
        </w:rPr>
        <w:t>5</w:t>
      </w:r>
      <w:r>
        <w:rPr>
          <w:sz w:val="20"/>
        </w:rPr>
        <w:t>).</w:t>
      </w:r>
    </w:p>
  </w:footnote>
  <w:footnote w:id="15">
    <w:p w:rsidR="00C869EE" w:rsidRPr="005E236D" w:rsidRDefault="00C869EE" w:rsidP="00790CB7">
      <w:pPr>
        <w:pStyle w:val="FootnoteText"/>
        <w:ind w:left="284" w:hanging="284"/>
      </w:pPr>
      <w:r>
        <w:rPr>
          <w:rStyle w:val="FootnoteReference"/>
        </w:rPr>
        <w:footnoteRef/>
      </w:r>
      <w:r>
        <w:t xml:space="preserve"> </w:t>
      </w:r>
      <w:r>
        <w:tab/>
        <w:t xml:space="preserve">Directive </w:t>
      </w:r>
      <w:r w:rsidRPr="00F30663">
        <w:t>2003</w:t>
      </w:r>
      <w:r>
        <w:t>/</w:t>
      </w:r>
      <w:r w:rsidRPr="00F30663">
        <w:t>96</w:t>
      </w:r>
      <w:r>
        <w:t xml:space="preserve">/CE du Conseil du </w:t>
      </w:r>
      <w:r w:rsidRPr="00F30663">
        <w:t>27</w:t>
      </w:r>
      <w:r>
        <w:t xml:space="preserve"> octobre </w:t>
      </w:r>
      <w:r w:rsidRPr="00F30663">
        <w:t>2003</w:t>
      </w:r>
      <w:r>
        <w:t xml:space="preserve"> restructurant le cadre communautaire de taxation des produits énergétiques et de l‎’électricité (JO L </w:t>
      </w:r>
      <w:r w:rsidRPr="00F30663">
        <w:t>283</w:t>
      </w:r>
      <w:r>
        <w:t xml:space="preserve"> du </w:t>
      </w:r>
      <w:r w:rsidRPr="00F30663">
        <w:t>31</w:t>
      </w:r>
      <w:r>
        <w:t>.</w:t>
      </w:r>
      <w:r w:rsidRPr="00F30663">
        <w:t>10</w:t>
      </w:r>
      <w:r>
        <w:t>.</w:t>
      </w:r>
      <w:r w:rsidRPr="00F30663">
        <w:t>2003</w:t>
      </w:r>
      <w:r>
        <w:t xml:space="preserve">, p. </w:t>
      </w:r>
      <w:r w:rsidRPr="00F30663">
        <w:t>51</w:t>
      </w:r>
      <w:r>
        <w:t>).</w:t>
      </w:r>
    </w:p>
  </w:footnote>
  <w:footnote w:id="16">
    <w:p w:rsidR="00C869EE" w:rsidRDefault="00C869EE" w:rsidP="00AB1434">
      <w:pPr>
        <w:pStyle w:val="FootnoteText"/>
      </w:pPr>
      <w:r>
        <w:rPr>
          <w:rStyle w:val="FootnoteReference"/>
        </w:rPr>
        <w:footnoteRef/>
      </w:r>
      <w:r>
        <w:t xml:space="preserve"> L‎’intensité énergétique est définie comme l‎’énergie utilisée par valeur ajoutée brute. L‎’intensité énergétique peut être utilisée comme indicateur de l‎’efficacité énergétique technique, mais elle sera influencée par les facteurs économiques ayant une incidence sur l‎’évolution de la valeur ajoutée brute. </w:t>
      </w:r>
    </w:p>
  </w:footnote>
  <w:footnote w:id="17">
    <w:p w:rsidR="00C869EE" w:rsidRDefault="00C869EE" w:rsidP="00743696">
      <w:pPr>
        <w:pStyle w:val="FootnoteText"/>
      </w:pPr>
      <w:r>
        <w:rPr>
          <w:rStyle w:val="FootnoteReference"/>
        </w:rPr>
        <w:footnoteRef/>
      </w:r>
      <w:r>
        <w:t xml:space="preserve"> Les données disponibles ne sont pas représentatives pour les substances chimiques de base, l‎’acier ou l‎’aluminium. </w:t>
      </w:r>
    </w:p>
  </w:footnote>
  <w:footnote w:id="18">
    <w:p w:rsidR="00C869EE" w:rsidRDefault="00C869EE">
      <w:pPr>
        <w:pStyle w:val="FootnoteText"/>
      </w:pPr>
      <w:r>
        <w:rPr>
          <w:rStyle w:val="FootnoteReference"/>
        </w:rPr>
        <w:footnoteRef/>
      </w:r>
      <w:r>
        <w:t xml:space="preserve"> Énergie utilisée par unité physique de production.</w:t>
      </w:r>
    </w:p>
  </w:footnote>
  <w:footnote w:id="19">
    <w:p w:rsidR="00C869EE" w:rsidRDefault="00C869EE">
      <w:pPr>
        <w:pStyle w:val="FootnoteText"/>
      </w:pPr>
      <w:r>
        <w:rPr>
          <w:rStyle w:val="FootnoteReference"/>
        </w:rPr>
        <w:footnoteRef/>
      </w:r>
      <w:r>
        <w:t>http://ec.europa.eu/energy/sites/ener/files/documents/ECOFYS%</w:t>
      </w:r>
      <w:r w:rsidRPr="00F30663">
        <w:t>202014</w:t>
      </w:r>
      <w:r>
        <w:t>%</w:t>
      </w:r>
      <w:r w:rsidRPr="00F30663">
        <w:t>20</w:t>
      </w:r>
      <w:r>
        <w:t>Subsidies%</w:t>
      </w:r>
      <w:r w:rsidRPr="00F30663">
        <w:t>20</w:t>
      </w:r>
      <w:r>
        <w:t>and%</w:t>
      </w:r>
      <w:r w:rsidRPr="00F30663">
        <w:t>20</w:t>
      </w:r>
      <w:r>
        <w:t>costs%</w:t>
      </w:r>
      <w:r w:rsidRPr="00F30663">
        <w:t>20</w:t>
      </w:r>
      <w:r>
        <w:t>of%</w:t>
      </w:r>
      <w:r w:rsidRPr="00F30663">
        <w:t>20</w:t>
      </w:r>
      <w:r>
        <w:t>EU%</w:t>
      </w:r>
      <w:r w:rsidRPr="00F30663">
        <w:t>20</w:t>
      </w:r>
      <w:r>
        <w:t>energy_</w:t>
      </w:r>
      <w:r w:rsidRPr="00F30663">
        <w:t>11</w:t>
      </w:r>
      <w:r>
        <w:t>_Nov.pdf</w:t>
      </w:r>
    </w:p>
  </w:footnote>
  <w:footnote w:id="20">
    <w:p w:rsidR="00C869EE" w:rsidRPr="00940BA7" w:rsidRDefault="00C869EE" w:rsidP="00D95DFC">
      <w:pPr>
        <w:pStyle w:val="FootnoteText"/>
      </w:pPr>
      <w:r>
        <w:rPr>
          <w:rStyle w:val="FootnoteReference"/>
        </w:rPr>
        <w:footnoteRef/>
      </w:r>
      <w:r>
        <w:rPr>
          <w:rStyle w:val="FootnoteReference"/>
        </w:rPr>
        <w:t xml:space="preserve"> </w:t>
      </w:r>
      <w:r>
        <w:t xml:space="preserve">Cela comprend les subventions en faveur du charbon et du gaz à hauteur de </w:t>
      </w:r>
      <w:r w:rsidRPr="00F30663">
        <w:t>9</w:t>
      </w:r>
      <w:r>
        <w:t>,</w:t>
      </w:r>
      <w:r w:rsidRPr="00F30663">
        <w:t>7</w:t>
      </w:r>
      <w:r>
        <w:t xml:space="preserve"> milliards d‎’euros et </w:t>
      </w:r>
      <w:r w:rsidRPr="00F30663">
        <w:t>6</w:t>
      </w:r>
      <w:r>
        <w:t>,</w:t>
      </w:r>
      <w:r w:rsidRPr="00F30663">
        <w:t>6</w:t>
      </w:r>
      <w:r>
        <w:t xml:space="preserve"> milliards d‎’euros respectivement; ces subventions proviennent du reliquat des aides traditionnelles aux investissements, des subventions en faveur des combustibles fossiles, des tarifs de rachat, de l‎’exonération fiscale des combustibles, de la production d‎’électricité, du démantèlement et de l‎’élimination des déchets</w:t>
      </w:r>
      <w:r w:rsidRPr="00940BA7">
        <w:t xml:space="preserve">. </w:t>
      </w:r>
      <w:r>
        <w:t>[</w:t>
      </w:r>
      <w:r w:rsidRPr="00730A26">
        <w:t xml:space="preserve">Source: étude de </w:t>
      </w:r>
      <w:r w:rsidRPr="00F30663">
        <w:t>2014</w:t>
      </w:r>
      <w:r w:rsidRPr="00730A26">
        <w:t xml:space="preserve"> sur les coûts et les subventions de l‎’énergie, pour les transports (subventions à l‎’achat de carburant), sur la base de l‎’inventaire </w:t>
      </w:r>
      <w:r w:rsidRPr="00F30663">
        <w:t>2013</w:t>
      </w:r>
      <w:r w:rsidRPr="00730A26">
        <w:t xml:space="preserve"> de l‎’OCDE.</w:t>
      </w:r>
      <w:r>
        <w:tab/>
      </w:r>
      <w:r w:rsidRPr="00940BA7">
        <w:t xml:space="preserve"> </w:t>
      </w:r>
      <w:hyperlink r:id="rId1">
        <w:r w:rsidRPr="00730A26">
          <w:t>https://ec.europa.eu/energy/sites/ener/files/documents/ECOFYS%</w:t>
        </w:r>
        <w:r w:rsidRPr="00F30663">
          <w:t>202014</w:t>
        </w:r>
        <w:r w:rsidRPr="00730A26">
          <w:t>%</w:t>
        </w:r>
        <w:r w:rsidRPr="00F30663">
          <w:t>20</w:t>
        </w:r>
        <w:r w:rsidRPr="00730A26">
          <w:t>Subsidies%</w:t>
        </w:r>
        <w:r w:rsidRPr="00F30663">
          <w:t>20</w:t>
        </w:r>
        <w:r w:rsidRPr="00730A26">
          <w:t>and%</w:t>
        </w:r>
        <w:r w:rsidRPr="00F30663">
          <w:t>20</w:t>
        </w:r>
        <w:r w:rsidRPr="00730A26">
          <w:t>costs%</w:t>
        </w:r>
        <w:r w:rsidRPr="00F30663">
          <w:t>20</w:t>
        </w:r>
        <w:r w:rsidRPr="00730A26">
          <w:t>of%</w:t>
        </w:r>
        <w:r w:rsidRPr="00F30663">
          <w:t>20</w:t>
        </w:r>
        <w:r w:rsidRPr="00730A26">
          <w:t>EU%</w:t>
        </w:r>
        <w:r w:rsidRPr="00F30663">
          <w:t>20</w:t>
        </w:r>
        <w:r w:rsidRPr="00730A26">
          <w:t>energy_</w:t>
        </w:r>
        <w:r w:rsidRPr="00F30663">
          <w:t>11</w:t>
        </w:r>
        <w:r w:rsidRPr="00730A26">
          <w:t>_Nov.pdf</w:t>
        </w:r>
      </w:hyperlink>
      <w:r>
        <w:t>]</w:t>
      </w:r>
    </w:p>
  </w:footnote>
  <w:footnote w:id="21">
    <w:p w:rsidR="00C869EE" w:rsidRPr="00940BA7" w:rsidRDefault="00C869EE">
      <w:pPr>
        <w:pStyle w:val="FootnoteText"/>
      </w:pPr>
      <w:r>
        <w:rPr>
          <w:rStyle w:val="FootnoteReference"/>
        </w:rPr>
        <w:footnoteRef/>
      </w:r>
      <w:r>
        <w:t xml:space="preserve"> E</w:t>
      </w:r>
      <w:r w:rsidRPr="00730A26">
        <w:t xml:space="preserve">stimations de </w:t>
      </w:r>
      <w:r w:rsidRPr="00F30663">
        <w:t>2015</w:t>
      </w:r>
      <w:r w:rsidRPr="00730A26">
        <w:t xml:space="preserve"> (</w:t>
      </w:r>
      <w:hyperlink r:id="rId2">
        <w:r w:rsidRPr="00730A26">
          <w:rPr>
            <w:rStyle w:val="Hyperlink"/>
          </w:rPr>
          <w:t>https://www.imf.org/external/pubs/ft/wp/</w:t>
        </w:r>
        <w:r w:rsidRPr="00F30663">
          <w:rPr>
            <w:rStyle w:val="Hyperlink"/>
          </w:rPr>
          <w:t>2015</w:t>
        </w:r>
        <w:r w:rsidRPr="00730A26">
          <w:rPr>
            <w:rStyle w:val="Hyperlink"/>
          </w:rPr>
          <w:t>/wp</w:t>
        </w:r>
        <w:r w:rsidRPr="00F30663">
          <w:rPr>
            <w:rStyle w:val="Hyperlink"/>
          </w:rPr>
          <w:t>15105</w:t>
        </w:r>
        <w:r w:rsidRPr="00730A26">
          <w:rPr>
            <w:rStyle w:val="Hyperlink"/>
          </w:rPr>
          <w:t>.pdf</w:t>
        </w:r>
      </w:hyperlink>
      <w:r w:rsidRPr="00730A26">
        <w:t>)</w:t>
      </w:r>
    </w:p>
  </w:footnote>
  <w:footnote w:id="22">
    <w:p w:rsidR="00C869EE" w:rsidRPr="005E236D" w:rsidRDefault="00C869EE" w:rsidP="00790CB7">
      <w:pPr>
        <w:pStyle w:val="FootnoteText"/>
        <w:ind w:left="284" w:hanging="284"/>
      </w:pPr>
      <w:r>
        <w:rPr>
          <w:rStyle w:val="FootnoteReference"/>
        </w:rPr>
        <w:footnoteRef/>
      </w:r>
      <w:r>
        <w:t xml:space="preserve"> </w:t>
      </w:r>
      <w:r>
        <w:tab/>
        <w:t>Taxes environnementales liées à l‎’énergie telles que définies par le règlement (UE) n° </w:t>
      </w:r>
      <w:r w:rsidRPr="00F30663">
        <w:t>691</w:t>
      </w:r>
      <w:r>
        <w:t>/</w:t>
      </w:r>
      <w:r w:rsidRPr="00F30663">
        <w:t>2011</w:t>
      </w:r>
      <w:r>
        <w:t xml:space="preserve"> relatif aux comptes économiques européens de l’environnement; celles-ci ne comprennent pas la TVA sur les produits énergétiques.</w:t>
      </w:r>
    </w:p>
  </w:footnote>
  <w:footnote w:id="23">
    <w:p w:rsidR="00C869EE" w:rsidRPr="005E236D" w:rsidRDefault="00C869EE" w:rsidP="00790CB7">
      <w:pPr>
        <w:pStyle w:val="FootnoteText"/>
        <w:ind w:left="284" w:hanging="284"/>
      </w:pPr>
      <w:r>
        <w:rPr>
          <w:rStyle w:val="FootnoteReference"/>
        </w:rPr>
        <w:footnoteRef/>
      </w:r>
      <w:r>
        <w:t xml:space="preserve"> </w:t>
      </w:r>
      <w:r>
        <w:tab/>
        <w:t xml:space="preserve">Les prix de </w:t>
      </w:r>
      <w:r w:rsidRPr="00730A26">
        <w:t>l‎’</w:t>
      </w:r>
      <w:r>
        <w:rPr>
          <w:i/>
        </w:rPr>
        <w:t xml:space="preserve">électricité </w:t>
      </w:r>
      <w:r w:rsidRPr="00730A26">
        <w:t>fournie</w:t>
      </w:r>
      <w:r>
        <w:t xml:space="preserve"> aux entreprises ont augmenté d‎’</w:t>
      </w:r>
      <w:r w:rsidR="00FC71DD">
        <w:t>e</w:t>
      </w:r>
      <w:bookmarkStart w:id="1" w:name="_GoBack"/>
      <w:bookmarkEnd w:id="1"/>
      <w:r>
        <w:t xml:space="preserve">nviron </w:t>
      </w:r>
      <w:r w:rsidRPr="00F30663">
        <w:t>2</w:t>
      </w:r>
      <w:r>
        <w:t xml:space="preserve"> %; les prix </w:t>
      </w:r>
      <w:r w:rsidRPr="00730A26">
        <w:t xml:space="preserve">du </w:t>
      </w:r>
      <w:r>
        <w:rPr>
          <w:i/>
        </w:rPr>
        <w:t>gaz</w:t>
      </w:r>
      <w:r w:rsidRPr="00730A26">
        <w:t xml:space="preserve"> fourni</w:t>
      </w:r>
      <w:r>
        <w:t xml:space="preserve"> aux entreprises sont restés stables ou ont diminué.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DD" w:rsidRPr="00FC71DD" w:rsidRDefault="00FC71DD" w:rsidP="00FC7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DD" w:rsidRPr="00FC71DD" w:rsidRDefault="00FC71DD" w:rsidP="00FC71D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DD" w:rsidRPr="00FC71DD" w:rsidRDefault="00FC71DD" w:rsidP="00FC71D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E" w:rsidRPr="00EA3561" w:rsidRDefault="00C869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E" w:rsidRPr="00EA3561" w:rsidRDefault="00C869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E" w:rsidRPr="00EA3561" w:rsidRDefault="00C86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1DB"/>
    <w:multiLevelType w:val="hybridMultilevel"/>
    <w:tmpl w:val="BEA68590"/>
    <w:lvl w:ilvl="0" w:tplc="8A6E44B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9C1CC7"/>
    <w:multiLevelType w:val="hybridMultilevel"/>
    <w:tmpl w:val="5A60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A01DA"/>
    <w:multiLevelType w:val="hybridMultilevel"/>
    <w:tmpl w:val="4A2A9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6416C3"/>
    <w:multiLevelType w:val="hybridMultilevel"/>
    <w:tmpl w:val="EA3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B446B5"/>
    <w:multiLevelType w:val="hybridMultilevel"/>
    <w:tmpl w:val="83B2E460"/>
    <w:lvl w:ilvl="0" w:tplc="E8604328">
      <w:start w:val="1"/>
      <w:numFmt w:val="bullet"/>
      <w:lvlText w:val="•"/>
      <w:lvlJc w:val="left"/>
      <w:pPr>
        <w:tabs>
          <w:tab w:val="num" w:pos="720"/>
        </w:tabs>
        <w:ind w:left="720" w:hanging="360"/>
      </w:pPr>
      <w:rPr>
        <w:rFonts w:ascii="Arial" w:hAnsi="Arial" w:hint="default"/>
      </w:rPr>
    </w:lvl>
    <w:lvl w:ilvl="1" w:tplc="C9A698D2" w:tentative="1">
      <w:start w:val="1"/>
      <w:numFmt w:val="bullet"/>
      <w:lvlText w:val="•"/>
      <w:lvlJc w:val="left"/>
      <w:pPr>
        <w:tabs>
          <w:tab w:val="num" w:pos="1440"/>
        </w:tabs>
        <w:ind w:left="1440" w:hanging="360"/>
      </w:pPr>
      <w:rPr>
        <w:rFonts w:ascii="Arial" w:hAnsi="Arial" w:hint="default"/>
      </w:rPr>
    </w:lvl>
    <w:lvl w:ilvl="2" w:tplc="4D3EC7F8" w:tentative="1">
      <w:start w:val="1"/>
      <w:numFmt w:val="bullet"/>
      <w:lvlText w:val="•"/>
      <w:lvlJc w:val="left"/>
      <w:pPr>
        <w:tabs>
          <w:tab w:val="num" w:pos="2160"/>
        </w:tabs>
        <w:ind w:left="2160" w:hanging="360"/>
      </w:pPr>
      <w:rPr>
        <w:rFonts w:ascii="Arial" w:hAnsi="Arial" w:hint="default"/>
      </w:rPr>
    </w:lvl>
    <w:lvl w:ilvl="3" w:tplc="14741C9A" w:tentative="1">
      <w:start w:val="1"/>
      <w:numFmt w:val="bullet"/>
      <w:lvlText w:val="•"/>
      <w:lvlJc w:val="left"/>
      <w:pPr>
        <w:tabs>
          <w:tab w:val="num" w:pos="2880"/>
        </w:tabs>
        <w:ind w:left="2880" w:hanging="360"/>
      </w:pPr>
      <w:rPr>
        <w:rFonts w:ascii="Arial" w:hAnsi="Arial" w:hint="default"/>
      </w:rPr>
    </w:lvl>
    <w:lvl w:ilvl="4" w:tplc="B5BA27AC" w:tentative="1">
      <w:start w:val="1"/>
      <w:numFmt w:val="bullet"/>
      <w:lvlText w:val="•"/>
      <w:lvlJc w:val="left"/>
      <w:pPr>
        <w:tabs>
          <w:tab w:val="num" w:pos="3600"/>
        </w:tabs>
        <w:ind w:left="3600" w:hanging="360"/>
      </w:pPr>
      <w:rPr>
        <w:rFonts w:ascii="Arial" w:hAnsi="Arial" w:hint="default"/>
      </w:rPr>
    </w:lvl>
    <w:lvl w:ilvl="5" w:tplc="70AE5738" w:tentative="1">
      <w:start w:val="1"/>
      <w:numFmt w:val="bullet"/>
      <w:lvlText w:val="•"/>
      <w:lvlJc w:val="left"/>
      <w:pPr>
        <w:tabs>
          <w:tab w:val="num" w:pos="4320"/>
        </w:tabs>
        <w:ind w:left="4320" w:hanging="360"/>
      </w:pPr>
      <w:rPr>
        <w:rFonts w:ascii="Arial" w:hAnsi="Arial" w:hint="default"/>
      </w:rPr>
    </w:lvl>
    <w:lvl w:ilvl="6" w:tplc="6290C502" w:tentative="1">
      <w:start w:val="1"/>
      <w:numFmt w:val="bullet"/>
      <w:lvlText w:val="•"/>
      <w:lvlJc w:val="left"/>
      <w:pPr>
        <w:tabs>
          <w:tab w:val="num" w:pos="5040"/>
        </w:tabs>
        <w:ind w:left="5040" w:hanging="360"/>
      </w:pPr>
      <w:rPr>
        <w:rFonts w:ascii="Arial" w:hAnsi="Arial" w:hint="default"/>
      </w:rPr>
    </w:lvl>
    <w:lvl w:ilvl="7" w:tplc="65AE1C1A" w:tentative="1">
      <w:start w:val="1"/>
      <w:numFmt w:val="bullet"/>
      <w:lvlText w:val="•"/>
      <w:lvlJc w:val="left"/>
      <w:pPr>
        <w:tabs>
          <w:tab w:val="num" w:pos="5760"/>
        </w:tabs>
        <w:ind w:left="5760" w:hanging="360"/>
      </w:pPr>
      <w:rPr>
        <w:rFonts w:ascii="Arial" w:hAnsi="Arial" w:hint="default"/>
      </w:rPr>
    </w:lvl>
    <w:lvl w:ilvl="8" w:tplc="758E605A" w:tentative="1">
      <w:start w:val="1"/>
      <w:numFmt w:val="bullet"/>
      <w:lvlText w:val="•"/>
      <w:lvlJc w:val="left"/>
      <w:pPr>
        <w:tabs>
          <w:tab w:val="num" w:pos="6480"/>
        </w:tabs>
        <w:ind w:left="6480" w:hanging="360"/>
      </w:pPr>
      <w:rPr>
        <w:rFonts w:ascii="Arial" w:hAnsi="Arial" w:hint="default"/>
      </w:rPr>
    </w:lvl>
  </w:abstractNum>
  <w:abstractNum w:abstractNumId="5">
    <w:nsid w:val="46ED2C7E"/>
    <w:multiLevelType w:val="hybridMultilevel"/>
    <w:tmpl w:val="2DC6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126B3F"/>
    <w:multiLevelType w:val="hybridMultilevel"/>
    <w:tmpl w:val="46EC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738B3"/>
    <w:multiLevelType w:val="hybridMultilevel"/>
    <w:tmpl w:val="F092BE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FB9108E"/>
    <w:multiLevelType w:val="hybridMultilevel"/>
    <w:tmpl w:val="8E2EE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0"/>
  </w:num>
  <w:num w:numId="5">
    <w:abstractNumId w:val="6"/>
  </w:num>
  <w:num w:numId="6">
    <w:abstractNumId w:val="0"/>
  </w:num>
  <w:num w:numId="7">
    <w:abstractNumId w:val="2"/>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0D3C79B46F14B328F60C7EF1B341F28"/>
    <w:docVar w:name="LW_CROSSREFERENCE" w:val="{SWD(2016) 420 final}"/>
    <w:docVar w:name="LW_DocType" w:val="NORMAL"/>
    <w:docVar w:name="LW_EMISSION" w:val="30.11.2016"/>
    <w:docVar w:name="LW_EMISSION_ISODATE" w:val="2016-11-30"/>
    <w:docVar w:name="LW_EMISSION_LOCATION" w:val="BRX"/>
    <w:docVar w:name="LW_EMISSION_PREFIX" w:val="Bruxelles, le "/>
    <w:docVar w:name="LW_EMISSION_SUFFIX" w:val=" "/>
    <w:docVar w:name="LW_ID_DOCTYPE_NONLW" w:val="CP-008"/>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769"/>
    <w:docVar w:name="LW_REF.INTERNE" w:val="&lt;UNUSED&gt;"/>
    <w:docVar w:name="LW_SOUS.TITRE.OBJ.CP" w:val="&lt;UNUSED&gt;"/>
    <w:docVar w:name="LW_SUPERTITRE" w:val="&lt;UNUSED&gt;"/>
    <w:docVar w:name="LW_TITRE.OBJ.CP" w:val="Prix et coûts de l\u8217?énergie en Europe"/>
    <w:docVar w:name="LW_TYPE.DOC.CP" w:val="RAPPORT DE LA COMMISSION AU PARLEMENT EUROPÉEN, AU CONSEIL, AU COMITÉ ÉCONOMIQUE ET SOCIAL EUROPÉEN ET AU COMITÉ DES RÉGIONS"/>
    <w:docVar w:name="Stamp" w:val="\\dossiers.dgt.cec.eu.int\dossiers\ENER\ENER-2016-00959\ENER-2016-00959-00-00-EN-REV-00.201610171506240327231.DOCX"/>
  </w:docVars>
  <w:rsids>
    <w:rsidRoot w:val="00956D46"/>
    <w:rsid w:val="0000342B"/>
    <w:rsid w:val="000122E6"/>
    <w:rsid w:val="000124E5"/>
    <w:rsid w:val="0002084F"/>
    <w:rsid w:val="00020B82"/>
    <w:rsid w:val="0002201D"/>
    <w:rsid w:val="00025296"/>
    <w:rsid w:val="000259AC"/>
    <w:rsid w:val="00025D78"/>
    <w:rsid w:val="000301D1"/>
    <w:rsid w:val="000311E5"/>
    <w:rsid w:val="0004291C"/>
    <w:rsid w:val="00042CF9"/>
    <w:rsid w:val="000442CA"/>
    <w:rsid w:val="00044D3F"/>
    <w:rsid w:val="00047D27"/>
    <w:rsid w:val="000530FC"/>
    <w:rsid w:val="000544A3"/>
    <w:rsid w:val="00061C59"/>
    <w:rsid w:val="0007403A"/>
    <w:rsid w:val="00076313"/>
    <w:rsid w:val="00080D4A"/>
    <w:rsid w:val="000811CE"/>
    <w:rsid w:val="00081E90"/>
    <w:rsid w:val="00083BF5"/>
    <w:rsid w:val="00084937"/>
    <w:rsid w:val="00086970"/>
    <w:rsid w:val="000920E9"/>
    <w:rsid w:val="00094DF6"/>
    <w:rsid w:val="00095EAC"/>
    <w:rsid w:val="00095F22"/>
    <w:rsid w:val="000A4989"/>
    <w:rsid w:val="000B118F"/>
    <w:rsid w:val="000B37C8"/>
    <w:rsid w:val="000B551B"/>
    <w:rsid w:val="000C078D"/>
    <w:rsid w:val="000C4811"/>
    <w:rsid w:val="000C757E"/>
    <w:rsid w:val="000D1AE6"/>
    <w:rsid w:val="000D2D9D"/>
    <w:rsid w:val="000D6C73"/>
    <w:rsid w:val="000D6D31"/>
    <w:rsid w:val="000E0D13"/>
    <w:rsid w:val="000E50BC"/>
    <w:rsid w:val="000E5B86"/>
    <w:rsid w:val="000E67D6"/>
    <w:rsid w:val="000F011D"/>
    <w:rsid w:val="000F0383"/>
    <w:rsid w:val="000F17F4"/>
    <w:rsid w:val="000F566E"/>
    <w:rsid w:val="001037A2"/>
    <w:rsid w:val="0010734F"/>
    <w:rsid w:val="00110F78"/>
    <w:rsid w:val="00114DCB"/>
    <w:rsid w:val="00116782"/>
    <w:rsid w:val="00123931"/>
    <w:rsid w:val="00125B1A"/>
    <w:rsid w:val="00126AD6"/>
    <w:rsid w:val="00141232"/>
    <w:rsid w:val="0014443E"/>
    <w:rsid w:val="001446CE"/>
    <w:rsid w:val="0014550F"/>
    <w:rsid w:val="00151A02"/>
    <w:rsid w:val="00160949"/>
    <w:rsid w:val="00163F5E"/>
    <w:rsid w:val="00166AF8"/>
    <w:rsid w:val="00172EA9"/>
    <w:rsid w:val="00173DDF"/>
    <w:rsid w:val="0017643A"/>
    <w:rsid w:val="001805FF"/>
    <w:rsid w:val="0019226E"/>
    <w:rsid w:val="00192B12"/>
    <w:rsid w:val="001936D8"/>
    <w:rsid w:val="00194A16"/>
    <w:rsid w:val="0019624A"/>
    <w:rsid w:val="001A0F37"/>
    <w:rsid w:val="001A3CA4"/>
    <w:rsid w:val="001A44FE"/>
    <w:rsid w:val="001A608D"/>
    <w:rsid w:val="001A72AB"/>
    <w:rsid w:val="001B09C6"/>
    <w:rsid w:val="001B2032"/>
    <w:rsid w:val="001B3A53"/>
    <w:rsid w:val="001B7D2C"/>
    <w:rsid w:val="001C0CE3"/>
    <w:rsid w:val="001C13B0"/>
    <w:rsid w:val="001C242D"/>
    <w:rsid w:val="001C772C"/>
    <w:rsid w:val="001D3EAC"/>
    <w:rsid w:val="001D772E"/>
    <w:rsid w:val="001E2909"/>
    <w:rsid w:val="001F18EA"/>
    <w:rsid w:val="001F572A"/>
    <w:rsid w:val="00204C40"/>
    <w:rsid w:val="00206A2E"/>
    <w:rsid w:val="00206A90"/>
    <w:rsid w:val="00207704"/>
    <w:rsid w:val="00213205"/>
    <w:rsid w:val="0021617E"/>
    <w:rsid w:val="00225A59"/>
    <w:rsid w:val="00226F1F"/>
    <w:rsid w:val="00227DC7"/>
    <w:rsid w:val="00230B52"/>
    <w:rsid w:val="00232868"/>
    <w:rsid w:val="00232CCC"/>
    <w:rsid w:val="002376D9"/>
    <w:rsid w:val="002433A9"/>
    <w:rsid w:val="002439E8"/>
    <w:rsid w:val="002507C9"/>
    <w:rsid w:val="002612B7"/>
    <w:rsid w:val="002657BA"/>
    <w:rsid w:val="00267379"/>
    <w:rsid w:val="00267E81"/>
    <w:rsid w:val="00280718"/>
    <w:rsid w:val="00287401"/>
    <w:rsid w:val="00293EF0"/>
    <w:rsid w:val="002943DC"/>
    <w:rsid w:val="00295240"/>
    <w:rsid w:val="002A3BFB"/>
    <w:rsid w:val="002B1EE8"/>
    <w:rsid w:val="002B5ED4"/>
    <w:rsid w:val="002B72D4"/>
    <w:rsid w:val="002C39D3"/>
    <w:rsid w:val="002C5A3F"/>
    <w:rsid w:val="002D0274"/>
    <w:rsid w:val="002E1667"/>
    <w:rsid w:val="002E1D42"/>
    <w:rsid w:val="002F28D2"/>
    <w:rsid w:val="002F2983"/>
    <w:rsid w:val="002F4FB6"/>
    <w:rsid w:val="003014B4"/>
    <w:rsid w:val="00307430"/>
    <w:rsid w:val="003107D6"/>
    <w:rsid w:val="00312ABA"/>
    <w:rsid w:val="0031340A"/>
    <w:rsid w:val="003163C9"/>
    <w:rsid w:val="00316BFF"/>
    <w:rsid w:val="00320AE0"/>
    <w:rsid w:val="0032102F"/>
    <w:rsid w:val="003230CD"/>
    <w:rsid w:val="00323407"/>
    <w:rsid w:val="00323DA4"/>
    <w:rsid w:val="00325848"/>
    <w:rsid w:val="0033605D"/>
    <w:rsid w:val="00350AE8"/>
    <w:rsid w:val="00350E85"/>
    <w:rsid w:val="003523EC"/>
    <w:rsid w:val="003538FE"/>
    <w:rsid w:val="00354A45"/>
    <w:rsid w:val="00357AF5"/>
    <w:rsid w:val="00361EB9"/>
    <w:rsid w:val="0036687A"/>
    <w:rsid w:val="00372547"/>
    <w:rsid w:val="00376E71"/>
    <w:rsid w:val="0038207D"/>
    <w:rsid w:val="00382166"/>
    <w:rsid w:val="00384EDD"/>
    <w:rsid w:val="00391547"/>
    <w:rsid w:val="00397CF9"/>
    <w:rsid w:val="003A1442"/>
    <w:rsid w:val="003A3508"/>
    <w:rsid w:val="003B37D5"/>
    <w:rsid w:val="003B45E7"/>
    <w:rsid w:val="003B498F"/>
    <w:rsid w:val="003B5215"/>
    <w:rsid w:val="003B7960"/>
    <w:rsid w:val="003D27A1"/>
    <w:rsid w:val="003E10F4"/>
    <w:rsid w:val="003E3B68"/>
    <w:rsid w:val="003E465E"/>
    <w:rsid w:val="0040058B"/>
    <w:rsid w:val="0040183F"/>
    <w:rsid w:val="0040394E"/>
    <w:rsid w:val="00407C56"/>
    <w:rsid w:val="00415342"/>
    <w:rsid w:val="00416A38"/>
    <w:rsid w:val="00420C0D"/>
    <w:rsid w:val="00424012"/>
    <w:rsid w:val="00426AB2"/>
    <w:rsid w:val="004313FA"/>
    <w:rsid w:val="00431CBE"/>
    <w:rsid w:val="0043455D"/>
    <w:rsid w:val="004351AF"/>
    <w:rsid w:val="00437E0A"/>
    <w:rsid w:val="00445D6B"/>
    <w:rsid w:val="0044634A"/>
    <w:rsid w:val="00446FE7"/>
    <w:rsid w:val="004506D7"/>
    <w:rsid w:val="0045444B"/>
    <w:rsid w:val="00454E65"/>
    <w:rsid w:val="00456C9B"/>
    <w:rsid w:val="00463985"/>
    <w:rsid w:val="00464AD6"/>
    <w:rsid w:val="00464D0E"/>
    <w:rsid w:val="00467E44"/>
    <w:rsid w:val="00473A39"/>
    <w:rsid w:val="004743CE"/>
    <w:rsid w:val="004824F4"/>
    <w:rsid w:val="00490185"/>
    <w:rsid w:val="004967E5"/>
    <w:rsid w:val="004A5D67"/>
    <w:rsid w:val="004B0806"/>
    <w:rsid w:val="004B1233"/>
    <w:rsid w:val="004B12D4"/>
    <w:rsid w:val="004B304C"/>
    <w:rsid w:val="004B68EC"/>
    <w:rsid w:val="004B6AC6"/>
    <w:rsid w:val="004C4CB9"/>
    <w:rsid w:val="004C54C5"/>
    <w:rsid w:val="004D074E"/>
    <w:rsid w:val="004D2CC1"/>
    <w:rsid w:val="004D2F84"/>
    <w:rsid w:val="004D3E27"/>
    <w:rsid w:val="004D5BE9"/>
    <w:rsid w:val="004E2F90"/>
    <w:rsid w:val="004E63D1"/>
    <w:rsid w:val="004F1D62"/>
    <w:rsid w:val="004F4869"/>
    <w:rsid w:val="004F4F88"/>
    <w:rsid w:val="004F6214"/>
    <w:rsid w:val="005024FF"/>
    <w:rsid w:val="0050575B"/>
    <w:rsid w:val="00511B94"/>
    <w:rsid w:val="0051226E"/>
    <w:rsid w:val="005165C3"/>
    <w:rsid w:val="00521291"/>
    <w:rsid w:val="00524738"/>
    <w:rsid w:val="005257CC"/>
    <w:rsid w:val="005363D5"/>
    <w:rsid w:val="0053722A"/>
    <w:rsid w:val="00543DAD"/>
    <w:rsid w:val="00546B48"/>
    <w:rsid w:val="005549A9"/>
    <w:rsid w:val="00555E24"/>
    <w:rsid w:val="005630D6"/>
    <w:rsid w:val="00580541"/>
    <w:rsid w:val="00580CA9"/>
    <w:rsid w:val="005813EF"/>
    <w:rsid w:val="005826B2"/>
    <w:rsid w:val="005910CC"/>
    <w:rsid w:val="00593A12"/>
    <w:rsid w:val="00595DC1"/>
    <w:rsid w:val="00597691"/>
    <w:rsid w:val="005A55A6"/>
    <w:rsid w:val="005A5CDF"/>
    <w:rsid w:val="005A6A89"/>
    <w:rsid w:val="005B4DDF"/>
    <w:rsid w:val="005C20AC"/>
    <w:rsid w:val="005C2243"/>
    <w:rsid w:val="005C4F96"/>
    <w:rsid w:val="005C63BE"/>
    <w:rsid w:val="005C664D"/>
    <w:rsid w:val="005C6AA0"/>
    <w:rsid w:val="005D4BF4"/>
    <w:rsid w:val="005E1896"/>
    <w:rsid w:val="005E236D"/>
    <w:rsid w:val="005E28AD"/>
    <w:rsid w:val="005F0D66"/>
    <w:rsid w:val="005F724D"/>
    <w:rsid w:val="00603743"/>
    <w:rsid w:val="0060749F"/>
    <w:rsid w:val="0061240C"/>
    <w:rsid w:val="006147D1"/>
    <w:rsid w:val="006156EA"/>
    <w:rsid w:val="00622081"/>
    <w:rsid w:val="0062301F"/>
    <w:rsid w:val="00626788"/>
    <w:rsid w:val="00634677"/>
    <w:rsid w:val="00635726"/>
    <w:rsid w:val="006367A0"/>
    <w:rsid w:val="00637AC1"/>
    <w:rsid w:val="006416EA"/>
    <w:rsid w:val="00641AA3"/>
    <w:rsid w:val="00645A64"/>
    <w:rsid w:val="006461AA"/>
    <w:rsid w:val="006535DB"/>
    <w:rsid w:val="0065378E"/>
    <w:rsid w:val="00654878"/>
    <w:rsid w:val="00655C84"/>
    <w:rsid w:val="00656831"/>
    <w:rsid w:val="0066070B"/>
    <w:rsid w:val="0066148E"/>
    <w:rsid w:val="00664452"/>
    <w:rsid w:val="00666796"/>
    <w:rsid w:val="00681A59"/>
    <w:rsid w:val="0068496D"/>
    <w:rsid w:val="00693E0E"/>
    <w:rsid w:val="00696E71"/>
    <w:rsid w:val="00697805"/>
    <w:rsid w:val="006C13EC"/>
    <w:rsid w:val="006C341B"/>
    <w:rsid w:val="006D72EF"/>
    <w:rsid w:val="006E0725"/>
    <w:rsid w:val="006E3FB3"/>
    <w:rsid w:val="006E4075"/>
    <w:rsid w:val="006F1021"/>
    <w:rsid w:val="006F2709"/>
    <w:rsid w:val="006F5A49"/>
    <w:rsid w:val="006F5B6A"/>
    <w:rsid w:val="006F79CF"/>
    <w:rsid w:val="007002E8"/>
    <w:rsid w:val="00705B92"/>
    <w:rsid w:val="0071037D"/>
    <w:rsid w:val="007144D1"/>
    <w:rsid w:val="0071600D"/>
    <w:rsid w:val="007161FA"/>
    <w:rsid w:val="007206E2"/>
    <w:rsid w:val="00725B97"/>
    <w:rsid w:val="00726A4C"/>
    <w:rsid w:val="00730A26"/>
    <w:rsid w:val="007316DA"/>
    <w:rsid w:val="00732B25"/>
    <w:rsid w:val="00734EAD"/>
    <w:rsid w:val="00740480"/>
    <w:rsid w:val="007430BD"/>
    <w:rsid w:val="007435C2"/>
    <w:rsid w:val="00743696"/>
    <w:rsid w:val="00747781"/>
    <w:rsid w:val="00752D49"/>
    <w:rsid w:val="00757D7D"/>
    <w:rsid w:val="00775F1E"/>
    <w:rsid w:val="007768B1"/>
    <w:rsid w:val="00780678"/>
    <w:rsid w:val="00784517"/>
    <w:rsid w:val="00790CB7"/>
    <w:rsid w:val="00792017"/>
    <w:rsid w:val="00792E35"/>
    <w:rsid w:val="007A05C9"/>
    <w:rsid w:val="007A47F2"/>
    <w:rsid w:val="007A77B6"/>
    <w:rsid w:val="007B7094"/>
    <w:rsid w:val="007C03BC"/>
    <w:rsid w:val="007D6900"/>
    <w:rsid w:val="007E3B4C"/>
    <w:rsid w:val="007F0D2C"/>
    <w:rsid w:val="007F1775"/>
    <w:rsid w:val="007F30CB"/>
    <w:rsid w:val="007F5C30"/>
    <w:rsid w:val="00802C42"/>
    <w:rsid w:val="008052F8"/>
    <w:rsid w:val="00806366"/>
    <w:rsid w:val="00824521"/>
    <w:rsid w:val="00824B59"/>
    <w:rsid w:val="00831AB4"/>
    <w:rsid w:val="0083307D"/>
    <w:rsid w:val="008347F9"/>
    <w:rsid w:val="0083745F"/>
    <w:rsid w:val="008464B9"/>
    <w:rsid w:val="00847376"/>
    <w:rsid w:val="00850455"/>
    <w:rsid w:val="00854349"/>
    <w:rsid w:val="00854E41"/>
    <w:rsid w:val="00856500"/>
    <w:rsid w:val="008565D3"/>
    <w:rsid w:val="0085744A"/>
    <w:rsid w:val="008625EF"/>
    <w:rsid w:val="00865438"/>
    <w:rsid w:val="0086683A"/>
    <w:rsid w:val="008676FA"/>
    <w:rsid w:val="00880C52"/>
    <w:rsid w:val="00880E8B"/>
    <w:rsid w:val="008958B4"/>
    <w:rsid w:val="00897AC5"/>
    <w:rsid w:val="008A2AE8"/>
    <w:rsid w:val="008A312C"/>
    <w:rsid w:val="008A4657"/>
    <w:rsid w:val="008A49FC"/>
    <w:rsid w:val="008A4B46"/>
    <w:rsid w:val="008B3360"/>
    <w:rsid w:val="008B59FB"/>
    <w:rsid w:val="008B66ED"/>
    <w:rsid w:val="008B6F49"/>
    <w:rsid w:val="008C235C"/>
    <w:rsid w:val="008C583A"/>
    <w:rsid w:val="008C58D6"/>
    <w:rsid w:val="008C6C0F"/>
    <w:rsid w:val="008C78CF"/>
    <w:rsid w:val="008D21D9"/>
    <w:rsid w:val="008D6F60"/>
    <w:rsid w:val="008E02A5"/>
    <w:rsid w:val="008E1785"/>
    <w:rsid w:val="008E69EC"/>
    <w:rsid w:val="008F6BF7"/>
    <w:rsid w:val="00902DF2"/>
    <w:rsid w:val="00907E7B"/>
    <w:rsid w:val="0091381B"/>
    <w:rsid w:val="0092130C"/>
    <w:rsid w:val="009248F0"/>
    <w:rsid w:val="00934501"/>
    <w:rsid w:val="00936229"/>
    <w:rsid w:val="00940BA7"/>
    <w:rsid w:val="00944087"/>
    <w:rsid w:val="00945E72"/>
    <w:rsid w:val="00946119"/>
    <w:rsid w:val="00946D75"/>
    <w:rsid w:val="009478D6"/>
    <w:rsid w:val="00954A6C"/>
    <w:rsid w:val="0095510D"/>
    <w:rsid w:val="00956D46"/>
    <w:rsid w:val="00972B4E"/>
    <w:rsid w:val="009735FF"/>
    <w:rsid w:val="0098103E"/>
    <w:rsid w:val="00981071"/>
    <w:rsid w:val="00982B27"/>
    <w:rsid w:val="009843AD"/>
    <w:rsid w:val="0099078C"/>
    <w:rsid w:val="0099090A"/>
    <w:rsid w:val="00991DB5"/>
    <w:rsid w:val="00992651"/>
    <w:rsid w:val="009A10DA"/>
    <w:rsid w:val="009A3E38"/>
    <w:rsid w:val="009B504D"/>
    <w:rsid w:val="009C0DF3"/>
    <w:rsid w:val="009C29BC"/>
    <w:rsid w:val="009C3806"/>
    <w:rsid w:val="009C4D49"/>
    <w:rsid w:val="009C7258"/>
    <w:rsid w:val="009D13DC"/>
    <w:rsid w:val="009D1A4A"/>
    <w:rsid w:val="009D6BA1"/>
    <w:rsid w:val="009D7FF1"/>
    <w:rsid w:val="009E1898"/>
    <w:rsid w:val="009E1F25"/>
    <w:rsid w:val="009E27F2"/>
    <w:rsid w:val="009E5060"/>
    <w:rsid w:val="009F191A"/>
    <w:rsid w:val="009F3366"/>
    <w:rsid w:val="009F57FF"/>
    <w:rsid w:val="00A02620"/>
    <w:rsid w:val="00A05C16"/>
    <w:rsid w:val="00A11826"/>
    <w:rsid w:val="00A11CCC"/>
    <w:rsid w:val="00A2009A"/>
    <w:rsid w:val="00A22077"/>
    <w:rsid w:val="00A22332"/>
    <w:rsid w:val="00A2295B"/>
    <w:rsid w:val="00A239C7"/>
    <w:rsid w:val="00A31695"/>
    <w:rsid w:val="00A35DA6"/>
    <w:rsid w:val="00A36D2F"/>
    <w:rsid w:val="00A370D8"/>
    <w:rsid w:val="00A40622"/>
    <w:rsid w:val="00A432F8"/>
    <w:rsid w:val="00A43DCD"/>
    <w:rsid w:val="00A577E7"/>
    <w:rsid w:val="00A639C7"/>
    <w:rsid w:val="00A663CB"/>
    <w:rsid w:val="00A736EE"/>
    <w:rsid w:val="00A7410D"/>
    <w:rsid w:val="00A778B0"/>
    <w:rsid w:val="00A80365"/>
    <w:rsid w:val="00A80AF8"/>
    <w:rsid w:val="00A9221F"/>
    <w:rsid w:val="00A97B83"/>
    <w:rsid w:val="00A97FF9"/>
    <w:rsid w:val="00AA2C6C"/>
    <w:rsid w:val="00AB1434"/>
    <w:rsid w:val="00AB1E31"/>
    <w:rsid w:val="00AB61E1"/>
    <w:rsid w:val="00AC1941"/>
    <w:rsid w:val="00AC212B"/>
    <w:rsid w:val="00AC558F"/>
    <w:rsid w:val="00AC6A05"/>
    <w:rsid w:val="00AD251E"/>
    <w:rsid w:val="00AD4236"/>
    <w:rsid w:val="00AE1A44"/>
    <w:rsid w:val="00AE553F"/>
    <w:rsid w:val="00AE56D8"/>
    <w:rsid w:val="00AF2A0C"/>
    <w:rsid w:val="00AF45CB"/>
    <w:rsid w:val="00AF5377"/>
    <w:rsid w:val="00AF63B2"/>
    <w:rsid w:val="00AF7C95"/>
    <w:rsid w:val="00B02E58"/>
    <w:rsid w:val="00B04D92"/>
    <w:rsid w:val="00B07D00"/>
    <w:rsid w:val="00B10C11"/>
    <w:rsid w:val="00B12CAB"/>
    <w:rsid w:val="00B13020"/>
    <w:rsid w:val="00B15DCB"/>
    <w:rsid w:val="00B16268"/>
    <w:rsid w:val="00B165D8"/>
    <w:rsid w:val="00B17E84"/>
    <w:rsid w:val="00B249DB"/>
    <w:rsid w:val="00B310B3"/>
    <w:rsid w:val="00B33EF9"/>
    <w:rsid w:val="00B34B2F"/>
    <w:rsid w:val="00B35FB1"/>
    <w:rsid w:val="00B360DD"/>
    <w:rsid w:val="00B439BF"/>
    <w:rsid w:val="00B44CFF"/>
    <w:rsid w:val="00B46610"/>
    <w:rsid w:val="00B52A88"/>
    <w:rsid w:val="00B54FF9"/>
    <w:rsid w:val="00B62D00"/>
    <w:rsid w:val="00B632BD"/>
    <w:rsid w:val="00B668AF"/>
    <w:rsid w:val="00B71E56"/>
    <w:rsid w:val="00B75CCE"/>
    <w:rsid w:val="00B75E07"/>
    <w:rsid w:val="00B77C08"/>
    <w:rsid w:val="00B85F6C"/>
    <w:rsid w:val="00B91617"/>
    <w:rsid w:val="00B91B2F"/>
    <w:rsid w:val="00B921B9"/>
    <w:rsid w:val="00BA623B"/>
    <w:rsid w:val="00BB141D"/>
    <w:rsid w:val="00BB283F"/>
    <w:rsid w:val="00BB489E"/>
    <w:rsid w:val="00BB574D"/>
    <w:rsid w:val="00BC1614"/>
    <w:rsid w:val="00BC426D"/>
    <w:rsid w:val="00BC7A7B"/>
    <w:rsid w:val="00BD3AD4"/>
    <w:rsid w:val="00BE31BD"/>
    <w:rsid w:val="00BE4488"/>
    <w:rsid w:val="00BF2257"/>
    <w:rsid w:val="00BF5FC6"/>
    <w:rsid w:val="00C057A7"/>
    <w:rsid w:val="00C10E27"/>
    <w:rsid w:val="00C11B6F"/>
    <w:rsid w:val="00C17748"/>
    <w:rsid w:val="00C22F1A"/>
    <w:rsid w:val="00C306FA"/>
    <w:rsid w:val="00C3227C"/>
    <w:rsid w:val="00C34270"/>
    <w:rsid w:val="00C34BB3"/>
    <w:rsid w:val="00C36591"/>
    <w:rsid w:val="00C40570"/>
    <w:rsid w:val="00C42F99"/>
    <w:rsid w:val="00C43D86"/>
    <w:rsid w:val="00C44F92"/>
    <w:rsid w:val="00C47A49"/>
    <w:rsid w:val="00C50B02"/>
    <w:rsid w:val="00C50C70"/>
    <w:rsid w:val="00C50EE3"/>
    <w:rsid w:val="00C52F7A"/>
    <w:rsid w:val="00C531FB"/>
    <w:rsid w:val="00C559AF"/>
    <w:rsid w:val="00C613F9"/>
    <w:rsid w:val="00C62363"/>
    <w:rsid w:val="00C70946"/>
    <w:rsid w:val="00C733D8"/>
    <w:rsid w:val="00C74859"/>
    <w:rsid w:val="00C76A3A"/>
    <w:rsid w:val="00C81A50"/>
    <w:rsid w:val="00C81BE6"/>
    <w:rsid w:val="00C85650"/>
    <w:rsid w:val="00C869EE"/>
    <w:rsid w:val="00C92C85"/>
    <w:rsid w:val="00C93C57"/>
    <w:rsid w:val="00C94D3B"/>
    <w:rsid w:val="00C97510"/>
    <w:rsid w:val="00CA5EBC"/>
    <w:rsid w:val="00CA5FE1"/>
    <w:rsid w:val="00CD27F5"/>
    <w:rsid w:val="00CD3AF1"/>
    <w:rsid w:val="00CE03EE"/>
    <w:rsid w:val="00CE131F"/>
    <w:rsid w:val="00CE2042"/>
    <w:rsid w:val="00CE2808"/>
    <w:rsid w:val="00CE2E55"/>
    <w:rsid w:val="00CE7CC7"/>
    <w:rsid w:val="00CF1482"/>
    <w:rsid w:val="00CF14D5"/>
    <w:rsid w:val="00CF388C"/>
    <w:rsid w:val="00CF5FC2"/>
    <w:rsid w:val="00D028F3"/>
    <w:rsid w:val="00D0465B"/>
    <w:rsid w:val="00D05AB5"/>
    <w:rsid w:val="00D10F9F"/>
    <w:rsid w:val="00D13163"/>
    <w:rsid w:val="00D133B2"/>
    <w:rsid w:val="00D135DF"/>
    <w:rsid w:val="00D20641"/>
    <w:rsid w:val="00D21263"/>
    <w:rsid w:val="00D27D73"/>
    <w:rsid w:val="00D3042D"/>
    <w:rsid w:val="00D3071C"/>
    <w:rsid w:val="00D403F5"/>
    <w:rsid w:val="00D41520"/>
    <w:rsid w:val="00D426E3"/>
    <w:rsid w:val="00D45A13"/>
    <w:rsid w:val="00D46D4D"/>
    <w:rsid w:val="00D507AC"/>
    <w:rsid w:val="00D51F68"/>
    <w:rsid w:val="00D5202C"/>
    <w:rsid w:val="00D52AB2"/>
    <w:rsid w:val="00D52B88"/>
    <w:rsid w:val="00D55ECE"/>
    <w:rsid w:val="00D61290"/>
    <w:rsid w:val="00D626F6"/>
    <w:rsid w:val="00D64232"/>
    <w:rsid w:val="00D6488E"/>
    <w:rsid w:val="00D80FD7"/>
    <w:rsid w:val="00D82A6B"/>
    <w:rsid w:val="00D86B1B"/>
    <w:rsid w:val="00D926CA"/>
    <w:rsid w:val="00D93CCE"/>
    <w:rsid w:val="00D953B8"/>
    <w:rsid w:val="00D95DFC"/>
    <w:rsid w:val="00D97C8E"/>
    <w:rsid w:val="00D97FBD"/>
    <w:rsid w:val="00DA082E"/>
    <w:rsid w:val="00DA2C64"/>
    <w:rsid w:val="00DA35F7"/>
    <w:rsid w:val="00DB378B"/>
    <w:rsid w:val="00DB5714"/>
    <w:rsid w:val="00DB579B"/>
    <w:rsid w:val="00DB5BA3"/>
    <w:rsid w:val="00DB6E66"/>
    <w:rsid w:val="00DC7A82"/>
    <w:rsid w:val="00DD3E33"/>
    <w:rsid w:val="00DE1107"/>
    <w:rsid w:val="00DE3182"/>
    <w:rsid w:val="00DE4D6A"/>
    <w:rsid w:val="00DF7FF0"/>
    <w:rsid w:val="00E00E0F"/>
    <w:rsid w:val="00E02669"/>
    <w:rsid w:val="00E029E8"/>
    <w:rsid w:val="00E032B0"/>
    <w:rsid w:val="00E040B0"/>
    <w:rsid w:val="00E0521B"/>
    <w:rsid w:val="00E14588"/>
    <w:rsid w:val="00E161A0"/>
    <w:rsid w:val="00E2589C"/>
    <w:rsid w:val="00E273CD"/>
    <w:rsid w:val="00E30A62"/>
    <w:rsid w:val="00E32B39"/>
    <w:rsid w:val="00E331CC"/>
    <w:rsid w:val="00E34D8D"/>
    <w:rsid w:val="00E35207"/>
    <w:rsid w:val="00E359A4"/>
    <w:rsid w:val="00E42662"/>
    <w:rsid w:val="00E44CAE"/>
    <w:rsid w:val="00E46D95"/>
    <w:rsid w:val="00E50DAC"/>
    <w:rsid w:val="00E513CF"/>
    <w:rsid w:val="00E57B1B"/>
    <w:rsid w:val="00E67309"/>
    <w:rsid w:val="00E67975"/>
    <w:rsid w:val="00E7055E"/>
    <w:rsid w:val="00E749BB"/>
    <w:rsid w:val="00E84A5E"/>
    <w:rsid w:val="00E855A1"/>
    <w:rsid w:val="00E85F16"/>
    <w:rsid w:val="00E86A4C"/>
    <w:rsid w:val="00E90E85"/>
    <w:rsid w:val="00EA3280"/>
    <w:rsid w:val="00EA3561"/>
    <w:rsid w:val="00EA4A4E"/>
    <w:rsid w:val="00EB00DC"/>
    <w:rsid w:val="00EB2313"/>
    <w:rsid w:val="00EB622A"/>
    <w:rsid w:val="00EB7642"/>
    <w:rsid w:val="00EC6DEB"/>
    <w:rsid w:val="00EC7B9E"/>
    <w:rsid w:val="00ED099A"/>
    <w:rsid w:val="00ED7662"/>
    <w:rsid w:val="00EE06EE"/>
    <w:rsid w:val="00EE184E"/>
    <w:rsid w:val="00EE41C2"/>
    <w:rsid w:val="00EE466B"/>
    <w:rsid w:val="00EE555B"/>
    <w:rsid w:val="00EE6B6B"/>
    <w:rsid w:val="00EF34E5"/>
    <w:rsid w:val="00EF7A3A"/>
    <w:rsid w:val="00F10E5D"/>
    <w:rsid w:val="00F13870"/>
    <w:rsid w:val="00F2228C"/>
    <w:rsid w:val="00F22EFA"/>
    <w:rsid w:val="00F30663"/>
    <w:rsid w:val="00F30852"/>
    <w:rsid w:val="00F31682"/>
    <w:rsid w:val="00F3231E"/>
    <w:rsid w:val="00F32E7E"/>
    <w:rsid w:val="00F33126"/>
    <w:rsid w:val="00F33CC0"/>
    <w:rsid w:val="00F33CE4"/>
    <w:rsid w:val="00F341A0"/>
    <w:rsid w:val="00F35B81"/>
    <w:rsid w:val="00F401B9"/>
    <w:rsid w:val="00F42635"/>
    <w:rsid w:val="00F43D59"/>
    <w:rsid w:val="00F44A39"/>
    <w:rsid w:val="00F44BB3"/>
    <w:rsid w:val="00F45A96"/>
    <w:rsid w:val="00F6553D"/>
    <w:rsid w:val="00F65A87"/>
    <w:rsid w:val="00F6712F"/>
    <w:rsid w:val="00F827AB"/>
    <w:rsid w:val="00F936FC"/>
    <w:rsid w:val="00F94551"/>
    <w:rsid w:val="00F975D8"/>
    <w:rsid w:val="00F976DC"/>
    <w:rsid w:val="00FA2FDC"/>
    <w:rsid w:val="00FA35BD"/>
    <w:rsid w:val="00FA55F7"/>
    <w:rsid w:val="00FA65AB"/>
    <w:rsid w:val="00FC4A83"/>
    <w:rsid w:val="00FC71DD"/>
    <w:rsid w:val="00FD68FD"/>
    <w:rsid w:val="00FE1EFD"/>
    <w:rsid w:val="00FE550D"/>
    <w:rsid w:val="00FF358A"/>
    <w:rsid w:val="00FF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46"/>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9C4D49"/>
    <w:pPr>
      <w:numPr>
        <w:numId w:val="4"/>
      </w:numP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DD3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link w:val="PagedecouvertureChar"/>
    <w:rsid w:val="00956D46"/>
    <w:pPr>
      <w:spacing w:before="0" w:after="0"/>
    </w:pPr>
  </w:style>
  <w:style w:type="paragraph" w:styleId="ListParagraph">
    <w:name w:val="List Paragraph"/>
    <w:basedOn w:val="Normal"/>
    <w:link w:val="ListParagraphChar"/>
    <w:uiPriority w:val="34"/>
    <w:qFormat/>
    <w:rsid w:val="00A35DA6"/>
    <w:pPr>
      <w:spacing w:before="0" w:after="0"/>
      <w:ind w:left="720"/>
      <w:jc w:val="left"/>
    </w:pPr>
    <w:rPr>
      <w:rFonts w:ascii="Calibri" w:eastAsiaTheme="minorHAnsi" w:hAnsi="Calibri"/>
      <w:sz w:val="22"/>
      <w:szCs w:val="22"/>
    </w:rPr>
  </w:style>
  <w:style w:type="paragraph" w:styleId="FootnoteText">
    <w:name w:val="footnote text"/>
    <w:aliases w:val="Footnote text,Fußnote,Fu§notentext Char,Fu§notentext Char1 Char1,Fu§notentext Char Char Char Char,Fu§notentext Char1 Char Char Char,Fu§notentext Char Char,Fu§notentext Char Char Char Char Char Char,Footnote Text Char Char"/>
    <w:basedOn w:val="Normal"/>
    <w:uiPriority w:val="99"/>
    <w:unhideWhenUsed/>
    <w:qFormat/>
    <w:rsid w:val="00EA4A4E"/>
    <w:pPr>
      <w:spacing w:before="0" w:after="0"/>
    </w:pPr>
    <w:rPr>
      <w:sz w:val="20"/>
    </w:rPr>
  </w:style>
  <w:style w:type="character" w:customStyle="1" w:styleId="FootnoteTextChar">
    <w:name w:val="Footnote Text Char"/>
    <w:aliases w:val="Footnote text Char,Fußnote Char,Fu§notentext Char Char1,Fu§notentext Char1 Char1 Char,Fu§notentext Char Char Char Char Char,Fu§notentext Char1 Char Char Char Char,Fu§notentext Char Char Char,Footnote Text Char Char Char,stile 1 Char"/>
    <w:basedOn w:val="DefaultParagraphFont"/>
    <w:uiPriority w:val="99"/>
    <w:rsid w:val="00EA4A4E"/>
    <w:rPr>
      <w:rFonts w:ascii="Times New Roman" w:eastAsia="Times New Roman" w:hAnsi="Times New Roman" w:cs="Times New Roman"/>
      <w:sz w:val="20"/>
      <w:szCs w:val="20"/>
      <w:lang w:eastAsia="fr-FR"/>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
    <w:basedOn w:val="DefaultParagraphFont"/>
    <w:uiPriority w:val="99"/>
    <w:unhideWhenUsed/>
    <w:qFormat/>
    <w:rsid w:val="00EA4A4E"/>
    <w:rPr>
      <w:vertAlign w:val="superscript"/>
    </w:rPr>
  </w:style>
  <w:style w:type="paragraph" w:styleId="Header">
    <w:name w:val="header"/>
    <w:basedOn w:val="Normal"/>
    <w:link w:val="HeaderChar"/>
    <w:uiPriority w:val="99"/>
    <w:unhideWhenUsed/>
    <w:rsid w:val="00C76A3A"/>
    <w:pPr>
      <w:tabs>
        <w:tab w:val="center" w:pos="4536"/>
        <w:tab w:val="right" w:pos="9072"/>
      </w:tabs>
      <w:spacing w:before="0" w:after="0"/>
    </w:pPr>
  </w:style>
  <w:style w:type="character" w:customStyle="1" w:styleId="HeaderChar">
    <w:name w:val="Header Char"/>
    <w:basedOn w:val="DefaultParagraphFont"/>
    <w:link w:val="Header"/>
    <w:uiPriority w:val="99"/>
    <w:rsid w:val="00C76A3A"/>
    <w:rPr>
      <w:rFonts w:ascii="Times New Roman" w:eastAsia="Times New Roman" w:hAnsi="Times New Roman" w:cs="Times New Roman"/>
      <w:sz w:val="24"/>
      <w:szCs w:val="20"/>
      <w:lang w:eastAsia="fr-FR"/>
    </w:rPr>
  </w:style>
  <w:style w:type="paragraph" w:styleId="Footer">
    <w:name w:val="footer"/>
    <w:basedOn w:val="Normal"/>
    <w:link w:val="FooterChar"/>
    <w:uiPriority w:val="99"/>
    <w:unhideWhenUsed/>
    <w:rsid w:val="00C76A3A"/>
    <w:pPr>
      <w:tabs>
        <w:tab w:val="center" w:pos="4536"/>
        <w:tab w:val="right" w:pos="9072"/>
      </w:tabs>
      <w:spacing w:before="0" w:after="0"/>
    </w:pPr>
  </w:style>
  <w:style w:type="character" w:customStyle="1" w:styleId="FooterChar">
    <w:name w:val="Footer Char"/>
    <w:basedOn w:val="DefaultParagraphFont"/>
    <w:link w:val="Footer"/>
    <w:uiPriority w:val="99"/>
    <w:rsid w:val="00C76A3A"/>
    <w:rPr>
      <w:rFonts w:ascii="Times New Roman" w:eastAsia="Times New Roman" w:hAnsi="Times New Roman" w:cs="Times New Roman"/>
      <w:sz w:val="24"/>
      <w:szCs w:val="20"/>
      <w:lang w:eastAsia="fr-FR"/>
    </w:rPr>
  </w:style>
  <w:style w:type="character" w:customStyle="1" w:styleId="Heading1Char">
    <w:name w:val="Heading 1 Char"/>
    <w:basedOn w:val="DefaultParagraphFont"/>
    <w:link w:val="Heading1"/>
    <w:uiPriority w:val="9"/>
    <w:rsid w:val="009C4D49"/>
    <w:rPr>
      <w:rFonts w:ascii="Times New Roman" w:hAnsi="Times New Roman" w:cs="Times New Roman"/>
      <w:b/>
      <w:sz w:val="32"/>
      <w:szCs w:val="32"/>
      <w:lang w:eastAsia="fr-FR"/>
    </w:rPr>
  </w:style>
  <w:style w:type="paragraph" w:styleId="Caption">
    <w:name w:val="caption"/>
    <w:basedOn w:val="Normal"/>
    <w:next w:val="Normal"/>
    <w:uiPriority w:val="35"/>
    <w:unhideWhenUsed/>
    <w:qFormat/>
    <w:rsid w:val="00E67309"/>
    <w:pPr>
      <w:spacing w:before="0"/>
    </w:pPr>
    <w:rPr>
      <w:rFonts w:ascii="Calibri" w:eastAsia="Calibri" w:hAnsi="Calibri"/>
      <w:b/>
      <w:bCs/>
      <w:color w:val="4F81BD"/>
      <w:sz w:val="18"/>
      <w:szCs w:val="18"/>
    </w:rPr>
  </w:style>
  <w:style w:type="character" w:customStyle="1" w:styleId="ListParagraphChar">
    <w:name w:val="List Paragraph Char"/>
    <w:link w:val="ListParagraph"/>
    <w:uiPriority w:val="34"/>
    <w:locked/>
    <w:rsid w:val="004D2F84"/>
    <w:rPr>
      <w:rFonts w:ascii="Calibri" w:hAnsi="Calibri" w:cs="Times New Roman"/>
      <w:lang w:eastAsia="fr-FR"/>
    </w:rPr>
  </w:style>
  <w:style w:type="character" w:customStyle="1" w:styleId="Marker">
    <w:name w:val="Marker"/>
    <w:basedOn w:val="DefaultParagraphFont"/>
    <w:rsid w:val="00DB378B"/>
    <w:rPr>
      <w:color w:val="0000FF"/>
      <w:shd w:val="clear" w:color="auto" w:fill="auto"/>
    </w:rPr>
  </w:style>
  <w:style w:type="paragraph" w:customStyle="1" w:styleId="FooterCoverPage">
    <w:name w:val="Footer Cover Page"/>
    <w:basedOn w:val="Normal"/>
    <w:link w:val="FooterCoverPageChar"/>
    <w:rsid w:val="00DB378B"/>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DB378B"/>
    <w:rPr>
      <w:rFonts w:ascii="Times New Roman" w:eastAsia="Times New Roman" w:hAnsi="Times New Roman" w:cs="Times New Roman"/>
      <w:sz w:val="24"/>
      <w:szCs w:val="20"/>
      <w:lang w:eastAsia="fr-FR"/>
    </w:rPr>
  </w:style>
  <w:style w:type="character" w:customStyle="1" w:styleId="FooterCoverPageChar">
    <w:name w:val="Footer Cover Page Char"/>
    <w:basedOn w:val="PagedecouvertureChar"/>
    <w:link w:val="FooterCoverPage"/>
    <w:rsid w:val="00DB378B"/>
    <w:rPr>
      <w:rFonts w:ascii="Times New Roman" w:eastAsia="Times New Roman" w:hAnsi="Times New Roman" w:cs="Times New Roman"/>
      <w:sz w:val="24"/>
      <w:szCs w:val="20"/>
      <w:lang w:eastAsia="fr-FR"/>
    </w:rPr>
  </w:style>
  <w:style w:type="paragraph" w:customStyle="1" w:styleId="HeaderCoverPage">
    <w:name w:val="Header Cover Page"/>
    <w:basedOn w:val="Normal"/>
    <w:link w:val="HeaderCoverPageChar"/>
    <w:rsid w:val="00DB378B"/>
    <w:pPr>
      <w:tabs>
        <w:tab w:val="center" w:pos="4535"/>
        <w:tab w:val="right" w:pos="9071"/>
      </w:tabs>
      <w:spacing w:before="0"/>
    </w:pPr>
  </w:style>
  <w:style w:type="character" w:customStyle="1" w:styleId="HeaderCoverPageChar">
    <w:name w:val="Header Cover Page Char"/>
    <w:basedOn w:val="PagedecouvertureChar"/>
    <w:link w:val="HeaderCoverPage"/>
    <w:rsid w:val="00DB378B"/>
    <w:rPr>
      <w:rFonts w:ascii="Times New Roman" w:eastAsia="Times New Roman" w:hAnsi="Times New Roman" w:cs="Times New Roman"/>
      <w:sz w:val="24"/>
      <w:szCs w:val="20"/>
      <w:lang w:eastAsia="fr-FR"/>
    </w:rPr>
  </w:style>
  <w:style w:type="paragraph" w:styleId="BalloonText">
    <w:name w:val="Balloon Text"/>
    <w:basedOn w:val="Normal"/>
    <w:link w:val="BalloonTextChar"/>
    <w:uiPriority w:val="99"/>
    <w:semiHidden/>
    <w:unhideWhenUsed/>
    <w:rsid w:val="00D648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88E"/>
    <w:rPr>
      <w:rFonts w:ascii="Tahoma" w:eastAsia="Times New Roman" w:hAnsi="Tahoma" w:cs="Tahoma"/>
      <w:sz w:val="16"/>
      <w:szCs w:val="16"/>
      <w:lang w:eastAsia="fr-FR"/>
    </w:rPr>
  </w:style>
  <w:style w:type="character" w:styleId="CommentReference">
    <w:name w:val="annotation reference"/>
    <w:basedOn w:val="DefaultParagraphFont"/>
    <w:uiPriority w:val="99"/>
    <w:semiHidden/>
    <w:unhideWhenUsed/>
    <w:rsid w:val="00D6488E"/>
    <w:rPr>
      <w:sz w:val="16"/>
      <w:szCs w:val="16"/>
    </w:rPr>
  </w:style>
  <w:style w:type="paragraph" w:styleId="CommentText">
    <w:name w:val="annotation text"/>
    <w:basedOn w:val="Normal"/>
    <w:link w:val="CommentTextChar"/>
    <w:uiPriority w:val="99"/>
    <w:unhideWhenUsed/>
    <w:rsid w:val="00D6488E"/>
    <w:rPr>
      <w:sz w:val="20"/>
    </w:rPr>
  </w:style>
  <w:style w:type="character" w:customStyle="1" w:styleId="CommentTextChar">
    <w:name w:val="Comment Text Char"/>
    <w:basedOn w:val="DefaultParagraphFont"/>
    <w:link w:val="CommentText"/>
    <w:uiPriority w:val="99"/>
    <w:rsid w:val="00D6488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D6488E"/>
    <w:rPr>
      <w:b/>
      <w:bCs/>
    </w:rPr>
  </w:style>
  <w:style w:type="character" w:customStyle="1" w:styleId="CommentSubjectChar">
    <w:name w:val="Comment Subject Char"/>
    <w:basedOn w:val="CommentTextChar"/>
    <w:link w:val="CommentSubject"/>
    <w:uiPriority w:val="99"/>
    <w:semiHidden/>
    <w:rsid w:val="00D6488E"/>
    <w:rPr>
      <w:rFonts w:ascii="Times New Roman" w:eastAsia="Times New Roman" w:hAnsi="Times New Roman" w:cs="Times New Roman"/>
      <w:b/>
      <w:bCs/>
      <w:sz w:val="20"/>
      <w:szCs w:val="20"/>
      <w:lang w:eastAsia="fr-FR"/>
    </w:rPr>
  </w:style>
  <w:style w:type="paragraph" w:styleId="Revision">
    <w:name w:val="Revision"/>
    <w:hidden/>
    <w:uiPriority w:val="99"/>
    <w:semiHidden/>
    <w:rsid w:val="000124E5"/>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DD3E33"/>
    <w:rPr>
      <w:rFonts w:asciiTheme="majorHAnsi" w:eastAsiaTheme="majorEastAsia" w:hAnsiTheme="majorHAnsi" w:cstheme="majorBidi"/>
      <w:b/>
      <w:bCs/>
      <w:color w:val="4F81BD" w:themeColor="accent1"/>
      <w:sz w:val="26"/>
      <w:szCs w:val="26"/>
      <w:lang w:eastAsia="fr-FR"/>
    </w:rPr>
  </w:style>
  <w:style w:type="character" w:styleId="Emphasis">
    <w:name w:val="Emphasis"/>
    <w:basedOn w:val="DefaultParagraphFont"/>
    <w:uiPriority w:val="20"/>
    <w:qFormat/>
    <w:rsid w:val="000E0D13"/>
    <w:rPr>
      <w:i/>
      <w:iCs/>
    </w:rPr>
  </w:style>
  <w:style w:type="character" w:styleId="Strong">
    <w:name w:val="Strong"/>
    <w:basedOn w:val="DefaultParagraphFont"/>
    <w:uiPriority w:val="22"/>
    <w:qFormat/>
    <w:rsid w:val="000E0D13"/>
    <w:rPr>
      <w:b/>
      <w:bCs/>
    </w:rPr>
  </w:style>
  <w:style w:type="table" w:styleId="TableGrid">
    <w:name w:val="Table Grid"/>
    <w:basedOn w:val="TableNormal"/>
    <w:uiPriority w:val="59"/>
    <w:rsid w:val="00E4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1E56"/>
    <w:rPr>
      <w:rFonts w:ascii="Times New Roman" w:hAnsi="Times New Roman" w:cs="Times New Roman" w:hint="default"/>
      <w:color w:val="000000"/>
      <w:u w:val="single"/>
    </w:rPr>
  </w:style>
  <w:style w:type="paragraph" w:styleId="Date">
    <w:name w:val="Date"/>
    <w:basedOn w:val="Normal"/>
    <w:next w:val="Normal"/>
    <w:link w:val="DateChar"/>
    <w:rsid w:val="00D133B2"/>
    <w:pPr>
      <w:spacing w:before="0" w:after="0"/>
      <w:ind w:left="5103" w:right="-567"/>
      <w:jc w:val="left"/>
    </w:pPr>
    <w:rPr>
      <w:rFonts w:ascii="Arial" w:hAnsi="Arial" w:cs="Arial"/>
      <w:sz w:val="28"/>
      <w:szCs w:val="22"/>
      <w:lang w:val="en-GB" w:eastAsia="en-GB" w:bidi="ar-SA"/>
    </w:rPr>
  </w:style>
  <w:style w:type="character" w:customStyle="1" w:styleId="DateChar">
    <w:name w:val="Date Char"/>
    <w:basedOn w:val="DefaultParagraphFont"/>
    <w:link w:val="Date"/>
    <w:rsid w:val="00D133B2"/>
    <w:rPr>
      <w:rFonts w:ascii="Arial" w:eastAsia="Times New Roman" w:hAnsi="Arial" w:cs="Arial"/>
      <w:sz w:val="28"/>
      <w:lang w:val="en-GB" w:eastAsia="en-GB" w:bidi="ar-SA"/>
    </w:rPr>
  </w:style>
  <w:style w:type="paragraph" w:styleId="Title">
    <w:name w:val="Title"/>
    <w:basedOn w:val="Normal"/>
    <w:link w:val="TitleChar"/>
    <w:qFormat/>
    <w:rsid w:val="00D133B2"/>
    <w:pPr>
      <w:spacing w:before="240" w:after="60"/>
      <w:jc w:val="center"/>
      <w:outlineLvl w:val="0"/>
    </w:pPr>
    <w:rPr>
      <w:rFonts w:ascii="Arial" w:hAnsi="Arial" w:cs="Arial"/>
      <w:b/>
      <w:kern w:val="28"/>
      <w:sz w:val="32"/>
      <w:szCs w:val="22"/>
      <w:lang w:val="en-GB" w:eastAsia="en-GB" w:bidi="ar-SA"/>
    </w:rPr>
  </w:style>
  <w:style w:type="character" w:customStyle="1" w:styleId="TitleChar">
    <w:name w:val="Title Char"/>
    <w:basedOn w:val="DefaultParagraphFont"/>
    <w:link w:val="Title"/>
    <w:rsid w:val="00D133B2"/>
    <w:rPr>
      <w:rFonts w:ascii="Arial" w:eastAsia="Times New Roman" w:hAnsi="Arial" w:cs="Arial"/>
      <w:b/>
      <w:kern w:val="28"/>
      <w:sz w:val="32"/>
      <w:lang w:val="en-GB" w:eastAsia="en-GB" w:bidi="ar-SA"/>
    </w:rPr>
  </w:style>
  <w:style w:type="paragraph" w:customStyle="1" w:styleId="ZCom">
    <w:name w:val="Z_Com"/>
    <w:basedOn w:val="Normal"/>
    <w:next w:val="ZDGName"/>
    <w:rsid w:val="00D133B2"/>
    <w:pPr>
      <w:widowControl w:val="0"/>
      <w:autoSpaceDE w:val="0"/>
      <w:autoSpaceDN w:val="0"/>
      <w:spacing w:before="0" w:after="0"/>
      <w:ind w:right="85"/>
    </w:pPr>
    <w:rPr>
      <w:rFonts w:ascii="Arial" w:hAnsi="Arial" w:cs="Arial"/>
      <w:sz w:val="28"/>
      <w:szCs w:val="24"/>
      <w:lang w:val="en-GB" w:eastAsia="en-GB" w:bidi="ar-SA"/>
    </w:rPr>
  </w:style>
  <w:style w:type="paragraph" w:customStyle="1" w:styleId="ZDGName">
    <w:name w:val="Z_DGName"/>
    <w:basedOn w:val="Normal"/>
    <w:rsid w:val="00D133B2"/>
    <w:pPr>
      <w:widowControl w:val="0"/>
      <w:autoSpaceDE w:val="0"/>
      <w:autoSpaceDN w:val="0"/>
      <w:spacing w:before="0" w:after="0"/>
      <w:ind w:right="85"/>
      <w:jc w:val="left"/>
    </w:pPr>
    <w:rPr>
      <w:rFonts w:ascii="Arial" w:hAnsi="Arial" w:cs="Arial"/>
      <w:sz w:val="16"/>
      <w:szCs w:val="16"/>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46"/>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9C4D49"/>
    <w:pPr>
      <w:numPr>
        <w:numId w:val="4"/>
      </w:numP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DD3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link w:val="PagedecouvertureChar"/>
    <w:rsid w:val="00956D46"/>
    <w:pPr>
      <w:spacing w:before="0" w:after="0"/>
    </w:pPr>
  </w:style>
  <w:style w:type="paragraph" w:styleId="ListParagraph">
    <w:name w:val="List Paragraph"/>
    <w:basedOn w:val="Normal"/>
    <w:link w:val="ListParagraphChar"/>
    <w:uiPriority w:val="34"/>
    <w:qFormat/>
    <w:rsid w:val="00A35DA6"/>
    <w:pPr>
      <w:spacing w:before="0" w:after="0"/>
      <w:ind w:left="720"/>
      <w:jc w:val="left"/>
    </w:pPr>
    <w:rPr>
      <w:rFonts w:ascii="Calibri" w:eastAsiaTheme="minorHAnsi" w:hAnsi="Calibri"/>
      <w:sz w:val="22"/>
      <w:szCs w:val="22"/>
    </w:rPr>
  </w:style>
  <w:style w:type="paragraph" w:styleId="FootnoteText">
    <w:name w:val="footnote text"/>
    <w:aliases w:val="Footnote text,Fußnote,Fu§notentext Char,Fu§notentext Char1 Char1,Fu§notentext Char Char Char Char,Fu§notentext Char1 Char Char Char,Fu§notentext Char Char,Fu§notentext Char Char Char Char Char Char,Footnote Text Char Char"/>
    <w:basedOn w:val="Normal"/>
    <w:uiPriority w:val="99"/>
    <w:unhideWhenUsed/>
    <w:qFormat/>
    <w:rsid w:val="00EA4A4E"/>
    <w:pPr>
      <w:spacing w:before="0" w:after="0"/>
    </w:pPr>
    <w:rPr>
      <w:sz w:val="20"/>
    </w:rPr>
  </w:style>
  <w:style w:type="character" w:customStyle="1" w:styleId="FootnoteTextChar">
    <w:name w:val="Footnote Text Char"/>
    <w:aliases w:val="Footnote text Char,Fußnote Char,Fu§notentext Char Char1,Fu§notentext Char1 Char1 Char,Fu§notentext Char Char Char Char Char,Fu§notentext Char1 Char Char Char Char,Fu§notentext Char Char Char,Footnote Text Char Char Char,stile 1 Char"/>
    <w:basedOn w:val="DefaultParagraphFont"/>
    <w:uiPriority w:val="99"/>
    <w:rsid w:val="00EA4A4E"/>
    <w:rPr>
      <w:rFonts w:ascii="Times New Roman" w:eastAsia="Times New Roman" w:hAnsi="Times New Roman" w:cs="Times New Roman"/>
      <w:sz w:val="20"/>
      <w:szCs w:val="20"/>
      <w:lang w:eastAsia="fr-FR"/>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
    <w:basedOn w:val="DefaultParagraphFont"/>
    <w:uiPriority w:val="99"/>
    <w:unhideWhenUsed/>
    <w:qFormat/>
    <w:rsid w:val="00EA4A4E"/>
    <w:rPr>
      <w:vertAlign w:val="superscript"/>
    </w:rPr>
  </w:style>
  <w:style w:type="paragraph" w:styleId="Header">
    <w:name w:val="header"/>
    <w:basedOn w:val="Normal"/>
    <w:link w:val="HeaderChar"/>
    <w:uiPriority w:val="99"/>
    <w:unhideWhenUsed/>
    <w:rsid w:val="00C76A3A"/>
    <w:pPr>
      <w:tabs>
        <w:tab w:val="center" w:pos="4536"/>
        <w:tab w:val="right" w:pos="9072"/>
      </w:tabs>
      <w:spacing w:before="0" w:after="0"/>
    </w:pPr>
  </w:style>
  <w:style w:type="character" w:customStyle="1" w:styleId="HeaderChar">
    <w:name w:val="Header Char"/>
    <w:basedOn w:val="DefaultParagraphFont"/>
    <w:link w:val="Header"/>
    <w:uiPriority w:val="99"/>
    <w:rsid w:val="00C76A3A"/>
    <w:rPr>
      <w:rFonts w:ascii="Times New Roman" w:eastAsia="Times New Roman" w:hAnsi="Times New Roman" w:cs="Times New Roman"/>
      <w:sz w:val="24"/>
      <w:szCs w:val="20"/>
      <w:lang w:eastAsia="fr-FR"/>
    </w:rPr>
  </w:style>
  <w:style w:type="paragraph" w:styleId="Footer">
    <w:name w:val="footer"/>
    <w:basedOn w:val="Normal"/>
    <w:link w:val="FooterChar"/>
    <w:uiPriority w:val="99"/>
    <w:unhideWhenUsed/>
    <w:rsid w:val="00C76A3A"/>
    <w:pPr>
      <w:tabs>
        <w:tab w:val="center" w:pos="4536"/>
        <w:tab w:val="right" w:pos="9072"/>
      </w:tabs>
      <w:spacing w:before="0" w:after="0"/>
    </w:pPr>
  </w:style>
  <w:style w:type="character" w:customStyle="1" w:styleId="FooterChar">
    <w:name w:val="Footer Char"/>
    <w:basedOn w:val="DefaultParagraphFont"/>
    <w:link w:val="Footer"/>
    <w:uiPriority w:val="99"/>
    <w:rsid w:val="00C76A3A"/>
    <w:rPr>
      <w:rFonts w:ascii="Times New Roman" w:eastAsia="Times New Roman" w:hAnsi="Times New Roman" w:cs="Times New Roman"/>
      <w:sz w:val="24"/>
      <w:szCs w:val="20"/>
      <w:lang w:eastAsia="fr-FR"/>
    </w:rPr>
  </w:style>
  <w:style w:type="character" w:customStyle="1" w:styleId="Heading1Char">
    <w:name w:val="Heading 1 Char"/>
    <w:basedOn w:val="DefaultParagraphFont"/>
    <w:link w:val="Heading1"/>
    <w:uiPriority w:val="9"/>
    <w:rsid w:val="009C4D49"/>
    <w:rPr>
      <w:rFonts w:ascii="Times New Roman" w:hAnsi="Times New Roman" w:cs="Times New Roman"/>
      <w:b/>
      <w:sz w:val="32"/>
      <w:szCs w:val="32"/>
      <w:lang w:eastAsia="fr-FR"/>
    </w:rPr>
  </w:style>
  <w:style w:type="paragraph" w:styleId="Caption">
    <w:name w:val="caption"/>
    <w:basedOn w:val="Normal"/>
    <w:next w:val="Normal"/>
    <w:uiPriority w:val="35"/>
    <w:unhideWhenUsed/>
    <w:qFormat/>
    <w:rsid w:val="00E67309"/>
    <w:pPr>
      <w:spacing w:before="0"/>
    </w:pPr>
    <w:rPr>
      <w:rFonts w:ascii="Calibri" w:eastAsia="Calibri" w:hAnsi="Calibri"/>
      <w:b/>
      <w:bCs/>
      <w:color w:val="4F81BD"/>
      <w:sz w:val="18"/>
      <w:szCs w:val="18"/>
    </w:rPr>
  </w:style>
  <w:style w:type="character" w:customStyle="1" w:styleId="ListParagraphChar">
    <w:name w:val="List Paragraph Char"/>
    <w:link w:val="ListParagraph"/>
    <w:uiPriority w:val="34"/>
    <w:locked/>
    <w:rsid w:val="004D2F84"/>
    <w:rPr>
      <w:rFonts w:ascii="Calibri" w:hAnsi="Calibri" w:cs="Times New Roman"/>
      <w:lang w:eastAsia="fr-FR"/>
    </w:rPr>
  </w:style>
  <w:style w:type="character" w:customStyle="1" w:styleId="Marker">
    <w:name w:val="Marker"/>
    <w:basedOn w:val="DefaultParagraphFont"/>
    <w:rsid w:val="00DB378B"/>
    <w:rPr>
      <w:color w:val="0000FF"/>
      <w:shd w:val="clear" w:color="auto" w:fill="auto"/>
    </w:rPr>
  </w:style>
  <w:style w:type="paragraph" w:customStyle="1" w:styleId="FooterCoverPage">
    <w:name w:val="Footer Cover Page"/>
    <w:basedOn w:val="Normal"/>
    <w:link w:val="FooterCoverPageChar"/>
    <w:rsid w:val="00DB378B"/>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DB378B"/>
    <w:rPr>
      <w:rFonts w:ascii="Times New Roman" w:eastAsia="Times New Roman" w:hAnsi="Times New Roman" w:cs="Times New Roman"/>
      <w:sz w:val="24"/>
      <w:szCs w:val="20"/>
      <w:lang w:eastAsia="fr-FR"/>
    </w:rPr>
  </w:style>
  <w:style w:type="character" w:customStyle="1" w:styleId="FooterCoverPageChar">
    <w:name w:val="Footer Cover Page Char"/>
    <w:basedOn w:val="PagedecouvertureChar"/>
    <w:link w:val="FooterCoverPage"/>
    <w:rsid w:val="00DB378B"/>
    <w:rPr>
      <w:rFonts w:ascii="Times New Roman" w:eastAsia="Times New Roman" w:hAnsi="Times New Roman" w:cs="Times New Roman"/>
      <w:sz w:val="24"/>
      <w:szCs w:val="20"/>
      <w:lang w:eastAsia="fr-FR"/>
    </w:rPr>
  </w:style>
  <w:style w:type="paragraph" w:customStyle="1" w:styleId="HeaderCoverPage">
    <w:name w:val="Header Cover Page"/>
    <w:basedOn w:val="Normal"/>
    <w:link w:val="HeaderCoverPageChar"/>
    <w:rsid w:val="00DB378B"/>
    <w:pPr>
      <w:tabs>
        <w:tab w:val="center" w:pos="4535"/>
        <w:tab w:val="right" w:pos="9071"/>
      </w:tabs>
      <w:spacing w:before="0"/>
    </w:pPr>
  </w:style>
  <w:style w:type="character" w:customStyle="1" w:styleId="HeaderCoverPageChar">
    <w:name w:val="Header Cover Page Char"/>
    <w:basedOn w:val="PagedecouvertureChar"/>
    <w:link w:val="HeaderCoverPage"/>
    <w:rsid w:val="00DB378B"/>
    <w:rPr>
      <w:rFonts w:ascii="Times New Roman" w:eastAsia="Times New Roman" w:hAnsi="Times New Roman" w:cs="Times New Roman"/>
      <w:sz w:val="24"/>
      <w:szCs w:val="20"/>
      <w:lang w:eastAsia="fr-FR"/>
    </w:rPr>
  </w:style>
  <w:style w:type="paragraph" w:styleId="BalloonText">
    <w:name w:val="Balloon Text"/>
    <w:basedOn w:val="Normal"/>
    <w:link w:val="BalloonTextChar"/>
    <w:uiPriority w:val="99"/>
    <w:semiHidden/>
    <w:unhideWhenUsed/>
    <w:rsid w:val="00D6488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88E"/>
    <w:rPr>
      <w:rFonts w:ascii="Tahoma" w:eastAsia="Times New Roman" w:hAnsi="Tahoma" w:cs="Tahoma"/>
      <w:sz w:val="16"/>
      <w:szCs w:val="16"/>
      <w:lang w:eastAsia="fr-FR"/>
    </w:rPr>
  </w:style>
  <w:style w:type="character" w:styleId="CommentReference">
    <w:name w:val="annotation reference"/>
    <w:basedOn w:val="DefaultParagraphFont"/>
    <w:uiPriority w:val="99"/>
    <w:semiHidden/>
    <w:unhideWhenUsed/>
    <w:rsid w:val="00D6488E"/>
    <w:rPr>
      <w:sz w:val="16"/>
      <w:szCs w:val="16"/>
    </w:rPr>
  </w:style>
  <w:style w:type="paragraph" w:styleId="CommentText">
    <w:name w:val="annotation text"/>
    <w:basedOn w:val="Normal"/>
    <w:link w:val="CommentTextChar"/>
    <w:uiPriority w:val="99"/>
    <w:unhideWhenUsed/>
    <w:rsid w:val="00D6488E"/>
    <w:rPr>
      <w:sz w:val="20"/>
    </w:rPr>
  </w:style>
  <w:style w:type="character" w:customStyle="1" w:styleId="CommentTextChar">
    <w:name w:val="Comment Text Char"/>
    <w:basedOn w:val="DefaultParagraphFont"/>
    <w:link w:val="CommentText"/>
    <w:uiPriority w:val="99"/>
    <w:rsid w:val="00D6488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D6488E"/>
    <w:rPr>
      <w:b/>
      <w:bCs/>
    </w:rPr>
  </w:style>
  <w:style w:type="character" w:customStyle="1" w:styleId="CommentSubjectChar">
    <w:name w:val="Comment Subject Char"/>
    <w:basedOn w:val="CommentTextChar"/>
    <w:link w:val="CommentSubject"/>
    <w:uiPriority w:val="99"/>
    <w:semiHidden/>
    <w:rsid w:val="00D6488E"/>
    <w:rPr>
      <w:rFonts w:ascii="Times New Roman" w:eastAsia="Times New Roman" w:hAnsi="Times New Roman" w:cs="Times New Roman"/>
      <w:b/>
      <w:bCs/>
      <w:sz w:val="20"/>
      <w:szCs w:val="20"/>
      <w:lang w:eastAsia="fr-FR"/>
    </w:rPr>
  </w:style>
  <w:style w:type="paragraph" w:styleId="Revision">
    <w:name w:val="Revision"/>
    <w:hidden/>
    <w:uiPriority w:val="99"/>
    <w:semiHidden/>
    <w:rsid w:val="000124E5"/>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DD3E33"/>
    <w:rPr>
      <w:rFonts w:asciiTheme="majorHAnsi" w:eastAsiaTheme="majorEastAsia" w:hAnsiTheme="majorHAnsi" w:cstheme="majorBidi"/>
      <w:b/>
      <w:bCs/>
      <w:color w:val="4F81BD" w:themeColor="accent1"/>
      <w:sz w:val="26"/>
      <w:szCs w:val="26"/>
      <w:lang w:eastAsia="fr-FR"/>
    </w:rPr>
  </w:style>
  <w:style w:type="character" w:styleId="Emphasis">
    <w:name w:val="Emphasis"/>
    <w:basedOn w:val="DefaultParagraphFont"/>
    <w:uiPriority w:val="20"/>
    <w:qFormat/>
    <w:rsid w:val="000E0D13"/>
    <w:rPr>
      <w:i/>
      <w:iCs/>
    </w:rPr>
  </w:style>
  <w:style w:type="character" w:styleId="Strong">
    <w:name w:val="Strong"/>
    <w:basedOn w:val="DefaultParagraphFont"/>
    <w:uiPriority w:val="22"/>
    <w:qFormat/>
    <w:rsid w:val="000E0D13"/>
    <w:rPr>
      <w:b/>
      <w:bCs/>
    </w:rPr>
  </w:style>
  <w:style w:type="table" w:styleId="TableGrid">
    <w:name w:val="Table Grid"/>
    <w:basedOn w:val="TableNormal"/>
    <w:uiPriority w:val="59"/>
    <w:rsid w:val="00E4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1E56"/>
    <w:rPr>
      <w:rFonts w:ascii="Times New Roman" w:hAnsi="Times New Roman" w:cs="Times New Roman" w:hint="default"/>
      <w:color w:val="000000"/>
      <w:u w:val="single"/>
    </w:rPr>
  </w:style>
  <w:style w:type="paragraph" w:styleId="Date">
    <w:name w:val="Date"/>
    <w:basedOn w:val="Normal"/>
    <w:next w:val="Normal"/>
    <w:link w:val="DateChar"/>
    <w:rsid w:val="00D133B2"/>
    <w:pPr>
      <w:spacing w:before="0" w:after="0"/>
      <w:ind w:left="5103" w:right="-567"/>
      <w:jc w:val="left"/>
    </w:pPr>
    <w:rPr>
      <w:rFonts w:ascii="Arial" w:hAnsi="Arial" w:cs="Arial"/>
      <w:sz w:val="28"/>
      <w:szCs w:val="22"/>
      <w:lang w:val="en-GB" w:eastAsia="en-GB" w:bidi="ar-SA"/>
    </w:rPr>
  </w:style>
  <w:style w:type="character" w:customStyle="1" w:styleId="DateChar">
    <w:name w:val="Date Char"/>
    <w:basedOn w:val="DefaultParagraphFont"/>
    <w:link w:val="Date"/>
    <w:rsid w:val="00D133B2"/>
    <w:rPr>
      <w:rFonts w:ascii="Arial" w:eastAsia="Times New Roman" w:hAnsi="Arial" w:cs="Arial"/>
      <w:sz w:val="28"/>
      <w:lang w:val="en-GB" w:eastAsia="en-GB" w:bidi="ar-SA"/>
    </w:rPr>
  </w:style>
  <w:style w:type="paragraph" w:styleId="Title">
    <w:name w:val="Title"/>
    <w:basedOn w:val="Normal"/>
    <w:link w:val="TitleChar"/>
    <w:qFormat/>
    <w:rsid w:val="00D133B2"/>
    <w:pPr>
      <w:spacing w:before="240" w:after="60"/>
      <w:jc w:val="center"/>
      <w:outlineLvl w:val="0"/>
    </w:pPr>
    <w:rPr>
      <w:rFonts w:ascii="Arial" w:hAnsi="Arial" w:cs="Arial"/>
      <w:b/>
      <w:kern w:val="28"/>
      <w:sz w:val="32"/>
      <w:szCs w:val="22"/>
      <w:lang w:val="en-GB" w:eastAsia="en-GB" w:bidi="ar-SA"/>
    </w:rPr>
  </w:style>
  <w:style w:type="character" w:customStyle="1" w:styleId="TitleChar">
    <w:name w:val="Title Char"/>
    <w:basedOn w:val="DefaultParagraphFont"/>
    <w:link w:val="Title"/>
    <w:rsid w:val="00D133B2"/>
    <w:rPr>
      <w:rFonts w:ascii="Arial" w:eastAsia="Times New Roman" w:hAnsi="Arial" w:cs="Arial"/>
      <w:b/>
      <w:kern w:val="28"/>
      <w:sz w:val="32"/>
      <w:lang w:val="en-GB" w:eastAsia="en-GB" w:bidi="ar-SA"/>
    </w:rPr>
  </w:style>
  <w:style w:type="paragraph" w:customStyle="1" w:styleId="ZCom">
    <w:name w:val="Z_Com"/>
    <w:basedOn w:val="Normal"/>
    <w:next w:val="ZDGName"/>
    <w:rsid w:val="00D133B2"/>
    <w:pPr>
      <w:widowControl w:val="0"/>
      <w:autoSpaceDE w:val="0"/>
      <w:autoSpaceDN w:val="0"/>
      <w:spacing w:before="0" w:after="0"/>
      <w:ind w:right="85"/>
    </w:pPr>
    <w:rPr>
      <w:rFonts w:ascii="Arial" w:hAnsi="Arial" w:cs="Arial"/>
      <w:sz w:val="28"/>
      <w:szCs w:val="24"/>
      <w:lang w:val="en-GB" w:eastAsia="en-GB" w:bidi="ar-SA"/>
    </w:rPr>
  </w:style>
  <w:style w:type="paragraph" w:customStyle="1" w:styleId="ZDGName">
    <w:name w:val="Z_DGName"/>
    <w:basedOn w:val="Normal"/>
    <w:rsid w:val="00D133B2"/>
    <w:pPr>
      <w:widowControl w:val="0"/>
      <w:autoSpaceDE w:val="0"/>
      <w:autoSpaceDN w:val="0"/>
      <w:spacing w:before="0" w:after="0"/>
      <w:ind w:right="85"/>
      <w:jc w:val="left"/>
    </w:pPr>
    <w:rPr>
      <w:rFonts w:ascii="Arial" w:hAnsi="Arial" w:cs="Arial"/>
      <w:sz w:val="16"/>
      <w:szCs w:val="16"/>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0606">
      <w:bodyDiv w:val="1"/>
      <w:marLeft w:val="0"/>
      <w:marRight w:val="0"/>
      <w:marTop w:val="0"/>
      <w:marBottom w:val="0"/>
      <w:divBdr>
        <w:top w:val="none" w:sz="0" w:space="0" w:color="auto"/>
        <w:left w:val="none" w:sz="0" w:space="0" w:color="auto"/>
        <w:bottom w:val="none" w:sz="0" w:space="0" w:color="auto"/>
        <w:right w:val="none" w:sz="0" w:space="0" w:color="auto"/>
      </w:divBdr>
    </w:div>
    <w:div w:id="108938490">
      <w:bodyDiv w:val="1"/>
      <w:marLeft w:val="0"/>
      <w:marRight w:val="0"/>
      <w:marTop w:val="0"/>
      <w:marBottom w:val="0"/>
      <w:divBdr>
        <w:top w:val="none" w:sz="0" w:space="0" w:color="auto"/>
        <w:left w:val="none" w:sz="0" w:space="0" w:color="auto"/>
        <w:bottom w:val="none" w:sz="0" w:space="0" w:color="auto"/>
        <w:right w:val="none" w:sz="0" w:space="0" w:color="auto"/>
      </w:divBdr>
    </w:div>
    <w:div w:id="299774098">
      <w:bodyDiv w:val="1"/>
      <w:marLeft w:val="0"/>
      <w:marRight w:val="0"/>
      <w:marTop w:val="0"/>
      <w:marBottom w:val="0"/>
      <w:divBdr>
        <w:top w:val="none" w:sz="0" w:space="0" w:color="auto"/>
        <w:left w:val="none" w:sz="0" w:space="0" w:color="auto"/>
        <w:bottom w:val="none" w:sz="0" w:space="0" w:color="auto"/>
        <w:right w:val="none" w:sz="0" w:space="0" w:color="auto"/>
      </w:divBdr>
    </w:div>
    <w:div w:id="404298519">
      <w:bodyDiv w:val="1"/>
      <w:marLeft w:val="0"/>
      <w:marRight w:val="0"/>
      <w:marTop w:val="0"/>
      <w:marBottom w:val="0"/>
      <w:divBdr>
        <w:top w:val="none" w:sz="0" w:space="0" w:color="auto"/>
        <w:left w:val="none" w:sz="0" w:space="0" w:color="auto"/>
        <w:bottom w:val="none" w:sz="0" w:space="0" w:color="auto"/>
        <w:right w:val="none" w:sz="0" w:space="0" w:color="auto"/>
      </w:divBdr>
    </w:div>
    <w:div w:id="715154505">
      <w:bodyDiv w:val="1"/>
      <w:marLeft w:val="0"/>
      <w:marRight w:val="0"/>
      <w:marTop w:val="0"/>
      <w:marBottom w:val="0"/>
      <w:divBdr>
        <w:top w:val="none" w:sz="0" w:space="0" w:color="auto"/>
        <w:left w:val="none" w:sz="0" w:space="0" w:color="auto"/>
        <w:bottom w:val="none" w:sz="0" w:space="0" w:color="auto"/>
        <w:right w:val="none" w:sz="0" w:space="0" w:color="auto"/>
      </w:divBdr>
    </w:div>
    <w:div w:id="809598231">
      <w:bodyDiv w:val="1"/>
      <w:marLeft w:val="0"/>
      <w:marRight w:val="0"/>
      <w:marTop w:val="0"/>
      <w:marBottom w:val="0"/>
      <w:divBdr>
        <w:top w:val="none" w:sz="0" w:space="0" w:color="auto"/>
        <w:left w:val="none" w:sz="0" w:space="0" w:color="auto"/>
        <w:bottom w:val="none" w:sz="0" w:space="0" w:color="auto"/>
        <w:right w:val="none" w:sz="0" w:space="0" w:color="auto"/>
      </w:divBdr>
    </w:div>
    <w:div w:id="828178774">
      <w:bodyDiv w:val="1"/>
      <w:marLeft w:val="0"/>
      <w:marRight w:val="0"/>
      <w:marTop w:val="0"/>
      <w:marBottom w:val="0"/>
      <w:divBdr>
        <w:top w:val="none" w:sz="0" w:space="0" w:color="auto"/>
        <w:left w:val="none" w:sz="0" w:space="0" w:color="auto"/>
        <w:bottom w:val="none" w:sz="0" w:space="0" w:color="auto"/>
        <w:right w:val="none" w:sz="0" w:space="0" w:color="auto"/>
      </w:divBdr>
      <w:divsChild>
        <w:div w:id="306084999">
          <w:marLeft w:val="274"/>
          <w:marRight w:val="0"/>
          <w:marTop w:val="86"/>
          <w:marBottom w:val="0"/>
          <w:divBdr>
            <w:top w:val="none" w:sz="0" w:space="0" w:color="auto"/>
            <w:left w:val="none" w:sz="0" w:space="0" w:color="auto"/>
            <w:bottom w:val="none" w:sz="0" w:space="0" w:color="auto"/>
            <w:right w:val="none" w:sz="0" w:space="0" w:color="auto"/>
          </w:divBdr>
        </w:div>
        <w:div w:id="775909091">
          <w:marLeft w:val="274"/>
          <w:marRight w:val="0"/>
          <w:marTop w:val="86"/>
          <w:marBottom w:val="0"/>
          <w:divBdr>
            <w:top w:val="none" w:sz="0" w:space="0" w:color="auto"/>
            <w:left w:val="none" w:sz="0" w:space="0" w:color="auto"/>
            <w:bottom w:val="none" w:sz="0" w:space="0" w:color="auto"/>
            <w:right w:val="none" w:sz="0" w:space="0" w:color="auto"/>
          </w:divBdr>
        </w:div>
        <w:div w:id="982663792">
          <w:marLeft w:val="274"/>
          <w:marRight w:val="0"/>
          <w:marTop w:val="86"/>
          <w:marBottom w:val="0"/>
          <w:divBdr>
            <w:top w:val="none" w:sz="0" w:space="0" w:color="auto"/>
            <w:left w:val="none" w:sz="0" w:space="0" w:color="auto"/>
            <w:bottom w:val="none" w:sz="0" w:space="0" w:color="auto"/>
            <w:right w:val="none" w:sz="0" w:space="0" w:color="auto"/>
          </w:divBdr>
        </w:div>
      </w:divsChild>
    </w:div>
    <w:div w:id="966861495">
      <w:bodyDiv w:val="1"/>
      <w:marLeft w:val="0"/>
      <w:marRight w:val="0"/>
      <w:marTop w:val="0"/>
      <w:marBottom w:val="0"/>
      <w:divBdr>
        <w:top w:val="none" w:sz="0" w:space="0" w:color="auto"/>
        <w:left w:val="none" w:sz="0" w:space="0" w:color="auto"/>
        <w:bottom w:val="none" w:sz="0" w:space="0" w:color="auto"/>
        <w:right w:val="none" w:sz="0" w:space="0" w:color="auto"/>
      </w:divBdr>
    </w:div>
    <w:div w:id="1077635534">
      <w:bodyDiv w:val="1"/>
      <w:marLeft w:val="0"/>
      <w:marRight w:val="0"/>
      <w:marTop w:val="0"/>
      <w:marBottom w:val="0"/>
      <w:divBdr>
        <w:top w:val="none" w:sz="0" w:space="0" w:color="auto"/>
        <w:left w:val="none" w:sz="0" w:space="0" w:color="auto"/>
        <w:bottom w:val="none" w:sz="0" w:space="0" w:color="auto"/>
        <w:right w:val="none" w:sz="0" w:space="0" w:color="auto"/>
      </w:divBdr>
    </w:div>
    <w:div w:id="1677537570">
      <w:bodyDiv w:val="1"/>
      <w:marLeft w:val="0"/>
      <w:marRight w:val="0"/>
      <w:marTop w:val="0"/>
      <w:marBottom w:val="0"/>
      <w:divBdr>
        <w:top w:val="none" w:sz="0" w:space="0" w:color="auto"/>
        <w:left w:val="none" w:sz="0" w:space="0" w:color="auto"/>
        <w:bottom w:val="none" w:sz="0" w:space="0" w:color="auto"/>
        <w:right w:val="none" w:sz="0" w:space="0" w:color="auto"/>
      </w:divBdr>
    </w:div>
    <w:div w:id="201025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mf.org/external/pubs/ft/wp/2015/wp15105.pdf" TargetMode="External"/><Relationship Id="rId1" Type="http://schemas.openxmlformats.org/officeDocument/2006/relationships/hyperlink" Target="https://ec.europa.eu/energy/sites/ener/files/documents/ECOFYS%202014%20Subsidies%20and%20costs%20of%20EU%20energy_11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7055-2AE4-4D3C-BDEE-FBDD9935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7515</Words>
  <Characters>40281</Characters>
  <Application>Microsoft Office Word</Application>
  <DocSecurity>0</DocSecurity>
  <Lines>682</Lines>
  <Paragraphs>226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2016-12-08T13:29:00Z</dcterms:created>
  <dcterms:modified xsi:type="dcterms:W3CDTF">2016-12-09T12:16:00Z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