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E16" w:rsidRDefault="00514E74">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53C1EA4-36A8-4050-AC52-C60C0EB113E4" style="width:450.6pt;height:347.6pt">
            <v:imagedata r:id="rId8" o:title=""/>
          </v:shape>
        </w:pict>
      </w:r>
    </w:p>
    <w:bookmarkEnd w:id="0"/>
    <w:p w:rsidR="00F37E16" w:rsidRDefault="00F37E16">
      <w:pPr>
        <w:rPr>
          <w:noProof/>
          <w:sz w:val="24"/>
          <w:szCs w:val="24"/>
        </w:rPr>
        <w:sectPr w:rsidR="00F37E16">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F37E16" w:rsidRDefault="00514E74">
      <w:pPr>
        <w:spacing w:after="120" w:line="240" w:lineRule="auto"/>
        <w:jc w:val="center"/>
        <w:rPr>
          <w:rFonts w:ascii="Times New Roman" w:hAnsi="Times New Roman" w:cs="Times New Roman"/>
          <w:b/>
          <w:noProof/>
          <w:sz w:val="24"/>
          <w:szCs w:val="24"/>
        </w:rPr>
      </w:pPr>
      <w:r>
        <w:rPr>
          <w:rFonts w:ascii="Times New Roman" w:hAnsi="Times New Roman"/>
          <w:b/>
          <w:noProof/>
          <w:sz w:val="24"/>
          <w:szCs w:val="24"/>
        </w:rPr>
        <w:lastRenderedPageBreak/>
        <w:t xml:space="preserve">Renforcer le processus d'adhésion – Une perspective européenne crédible pour les Balkans occidentaux  </w:t>
      </w:r>
    </w:p>
    <w:p w:rsidR="00F37E16" w:rsidRDefault="00F37E16">
      <w:pPr>
        <w:spacing w:after="120" w:line="240" w:lineRule="auto"/>
        <w:rPr>
          <w:rFonts w:ascii="Times New Roman" w:hAnsi="Times New Roman" w:cs="Times New Roman"/>
          <w:b/>
          <w:noProof/>
          <w:sz w:val="24"/>
          <w:szCs w:val="24"/>
          <w:u w:val="single"/>
        </w:rPr>
      </w:pPr>
    </w:p>
    <w:p w:rsidR="00F37E16" w:rsidRDefault="00514E74">
      <w:pPr>
        <w:pStyle w:val="ListParagraph"/>
        <w:numPr>
          <w:ilvl w:val="0"/>
          <w:numId w:val="6"/>
        </w:numPr>
        <w:spacing w:after="120" w:line="240" w:lineRule="auto"/>
        <w:contextualSpacing w:val="0"/>
        <w:rPr>
          <w:rFonts w:ascii="Times New Roman" w:hAnsi="Times New Roman" w:cs="Times New Roman"/>
          <w:b/>
          <w:noProof/>
          <w:sz w:val="24"/>
          <w:szCs w:val="24"/>
        </w:rPr>
      </w:pPr>
      <w:r>
        <w:rPr>
          <w:rFonts w:ascii="Times New Roman" w:hAnsi="Times New Roman"/>
          <w:b/>
          <w:noProof/>
          <w:sz w:val="24"/>
          <w:szCs w:val="24"/>
        </w:rPr>
        <w:t>Introduction</w:t>
      </w:r>
    </w:p>
    <w:p w:rsidR="00F37E16" w:rsidRDefault="00F37E16">
      <w:pPr>
        <w:spacing w:after="120" w:line="240" w:lineRule="auto"/>
        <w:jc w:val="both"/>
        <w:rPr>
          <w:rFonts w:ascii="Times New Roman" w:hAnsi="Times New Roman" w:cs="Times New Roman"/>
          <w:noProof/>
          <w:sz w:val="24"/>
          <w:szCs w:val="24"/>
        </w:rPr>
      </w:pPr>
    </w:p>
    <w:p w:rsidR="00F37E16" w:rsidRDefault="00514E74">
      <w:pPr>
        <w:spacing w:after="120" w:line="240" w:lineRule="auto"/>
        <w:jc w:val="both"/>
        <w:rPr>
          <w:rFonts w:ascii="Times New Roman" w:eastAsia="Calibri" w:hAnsi="Times New Roman" w:cs="Times New Roman"/>
          <w:iCs/>
          <w:noProof/>
          <w:sz w:val="24"/>
          <w:szCs w:val="24"/>
        </w:rPr>
      </w:pPr>
      <w:r>
        <w:rPr>
          <w:rFonts w:ascii="Times New Roman" w:hAnsi="Times New Roman"/>
          <w:noProof/>
          <w:sz w:val="24"/>
          <w:szCs w:val="24"/>
        </w:rPr>
        <w:t xml:space="preserve">Depuis les sommets de Feira et de Thessalonique en 2000 et 2003, l’Union européenne et ses États membres n’ont eu de cesse d’affirmer leur </w:t>
      </w:r>
      <w:r>
        <w:rPr>
          <w:rFonts w:ascii="Times New Roman" w:hAnsi="Times New Roman"/>
          <w:b/>
          <w:bCs/>
          <w:noProof/>
          <w:sz w:val="24"/>
          <w:szCs w:val="24"/>
        </w:rPr>
        <w:t>soutien sans équivoque à la perspective européenne des Balkans occidentaux</w:t>
      </w:r>
      <w:r>
        <w:rPr>
          <w:rFonts w:ascii="Times New Roman" w:hAnsi="Times New Roman"/>
          <w:noProof/>
          <w:sz w:val="24"/>
          <w:szCs w:val="24"/>
        </w:rPr>
        <w:t>. Dans ses conclusions, adoptées lors du Co</w:t>
      </w:r>
      <w:r>
        <w:rPr>
          <w:rFonts w:ascii="Times New Roman" w:hAnsi="Times New Roman"/>
          <w:noProof/>
          <w:sz w:val="24"/>
          <w:szCs w:val="24"/>
        </w:rPr>
        <w:t xml:space="preserve">nseil des affaires générales de juin 2019, le Conseil a aussi réaffirmé </w:t>
      </w:r>
      <w:r>
        <w:rPr>
          <w:rFonts w:ascii="Times New Roman" w:hAnsi="Times New Roman"/>
          <w:i/>
          <w:iCs/>
          <w:noProof/>
          <w:sz w:val="24"/>
          <w:szCs w:val="24"/>
        </w:rPr>
        <w:t xml:space="preserve">«son </w:t>
      </w:r>
      <w:r>
        <w:rPr>
          <w:rFonts w:ascii="Times New Roman" w:hAnsi="Times New Roman"/>
          <w:b/>
          <w:bCs/>
          <w:i/>
          <w:iCs/>
          <w:noProof/>
          <w:sz w:val="24"/>
          <w:szCs w:val="24"/>
        </w:rPr>
        <w:t>engagement en faveur de l'élargissement</w:t>
      </w:r>
      <w:r>
        <w:rPr>
          <w:rFonts w:ascii="Times New Roman" w:hAnsi="Times New Roman"/>
          <w:i/>
          <w:iCs/>
          <w:noProof/>
          <w:sz w:val="24"/>
          <w:szCs w:val="24"/>
        </w:rPr>
        <w:t xml:space="preserve">, qui demeure une politique essentielle de l'Union européenne, conformément au consensus renouvelé sur l'élargissement approuvé par le </w:t>
      </w:r>
      <w:r>
        <w:rPr>
          <w:rFonts w:ascii="Times New Roman" w:hAnsi="Times New Roman"/>
          <w:i/>
          <w:iCs/>
          <w:noProof/>
          <w:sz w:val="24"/>
          <w:szCs w:val="24"/>
        </w:rPr>
        <w:t>Conseil européen les 14 et 15 décembre 2006 et aux conclusions ultérieures du Conseil.»</w:t>
      </w:r>
      <w:r>
        <w:rPr>
          <w:rFonts w:ascii="Times New Roman" w:hAnsi="Times New Roman"/>
          <w:iCs/>
          <w:noProof/>
          <w:sz w:val="24"/>
          <w:szCs w:val="24"/>
        </w:rPr>
        <w:t xml:space="preserve"> Lors du Conseil de novembre 2019, l'utilité d'examiner l'efficacité du processus des négociations d'adhésion a été communément admise.</w:t>
      </w:r>
    </w:p>
    <w:p w:rsidR="00F37E16" w:rsidRDefault="00514E74">
      <w:pPr>
        <w:spacing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Cette </w:t>
      </w:r>
      <w:r>
        <w:rPr>
          <w:rFonts w:ascii="Times New Roman" w:hAnsi="Times New Roman"/>
          <w:b/>
          <w:noProof/>
          <w:sz w:val="24"/>
          <w:szCs w:val="24"/>
        </w:rPr>
        <w:t>perspective, ferme et fondé</w:t>
      </w:r>
      <w:r>
        <w:rPr>
          <w:rFonts w:ascii="Times New Roman" w:hAnsi="Times New Roman"/>
          <w:b/>
          <w:noProof/>
          <w:sz w:val="24"/>
          <w:szCs w:val="24"/>
        </w:rPr>
        <w:t>e sur le mérite, de l’adhésion pleine et entière</w:t>
      </w:r>
      <w:r>
        <w:rPr>
          <w:rFonts w:ascii="Times New Roman" w:hAnsi="Times New Roman"/>
          <w:noProof/>
          <w:sz w:val="24"/>
          <w:szCs w:val="24"/>
        </w:rPr>
        <w:t xml:space="preserve"> des Balkans occidentaux à l’UE est dans l’intérêt même de l’Union, tant sur le plan politique que sécuritaire et économique. À l’heure où les défis et les divisions se multiplient à l'échelle de la planète, </w:t>
      </w:r>
      <w:r>
        <w:rPr>
          <w:rFonts w:ascii="Times New Roman" w:hAnsi="Times New Roman"/>
          <w:noProof/>
          <w:sz w:val="24"/>
          <w:szCs w:val="24"/>
        </w:rPr>
        <w:t xml:space="preserve">cette perspective reste plus que jamais </w:t>
      </w:r>
      <w:r>
        <w:rPr>
          <w:rFonts w:ascii="Times New Roman" w:hAnsi="Times New Roman"/>
          <w:b/>
          <w:noProof/>
          <w:sz w:val="24"/>
          <w:szCs w:val="24"/>
        </w:rPr>
        <w:t>un investissement géostratégique</w:t>
      </w:r>
      <w:r>
        <w:rPr>
          <w:rFonts w:ascii="Times New Roman" w:hAnsi="Times New Roman"/>
          <w:noProof/>
          <w:sz w:val="24"/>
          <w:szCs w:val="24"/>
        </w:rPr>
        <w:t xml:space="preserve"> dans une Europe stable, solide et unie. Une perspective d’adhésion crédible est à la fois la principale incitation et le principal moteur de transformation dans la région et renforce </w:t>
      </w:r>
      <w:r>
        <w:rPr>
          <w:rFonts w:ascii="Times New Roman" w:hAnsi="Times New Roman"/>
          <w:noProof/>
          <w:sz w:val="24"/>
          <w:szCs w:val="24"/>
        </w:rPr>
        <w:t>dès lors notre sécurité et notre prospérité collectives. C’est un outil essentiel pour promouvoir la démocratie, l’état de droit et le respect des droits fondamentaux, qui sont également les principaux facteurs d’intégration économique et qui constituent u</w:t>
      </w:r>
      <w:r>
        <w:rPr>
          <w:rFonts w:ascii="Times New Roman" w:hAnsi="Times New Roman"/>
          <w:noProof/>
          <w:sz w:val="24"/>
          <w:szCs w:val="24"/>
        </w:rPr>
        <w:t xml:space="preserve">n ancrage déterminant pour la promotion de la réconciliation et de la stabilité régionales. Le maintien et la consolidation de cette politique sont par conséquent indispensables à la </w:t>
      </w:r>
      <w:r>
        <w:rPr>
          <w:rFonts w:ascii="Times New Roman" w:hAnsi="Times New Roman"/>
          <w:b/>
          <w:noProof/>
          <w:sz w:val="24"/>
          <w:szCs w:val="24"/>
        </w:rPr>
        <w:t>crédibilité de l’UE, à sa réussite et à son influence dans la région et a</w:t>
      </w:r>
      <w:r>
        <w:rPr>
          <w:rFonts w:ascii="Times New Roman" w:hAnsi="Times New Roman"/>
          <w:b/>
          <w:noProof/>
          <w:sz w:val="24"/>
          <w:szCs w:val="24"/>
        </w:rPr>
        <w:t>u-delà</w:t>
      </w:r>
      <w:r>
        <w:rPr>
          <w:rFonts w:ascii="Times New Roman" w:hAnsi="Times New Roman"/>
          <w:noProof/>
          <w:sz w:val="24"/>
          <w:szCs w:val="24"/>
        </w:rPr>
        <w:t xml:space="preserve">, surtout en cette période de concurrence géopolitique exacerbée. </w:t>
      </w:r>
    </w:p>
    <w:p w:rsidR="00F37E16" w:rsidRDefault="00514E74">
      <w:pPr>
        <w:spacing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Mais l’</w:t>
      </w:r>
      <w:r>
        <w:rPr>
          <w:rFonts w:ascii="Times New Roman" w:hAnsi="Times New Roman"/>
          <w:b/>
          <w:noProof/>
          <w:sz w:val="24"/>
          <w:szCs w:val="24"/>
        </w:rPr>
        <w:t>efficacité du</w:t>
      </w:r>
      <w:r>
        <w:rPr>
          <w:rFonts w:ascii="Times New Roman" w:hAnsi="Times New Roman"/>
          <w:noProof/>
          <w:sz w:val="24"/>
          <w:szCs w:val="24"/>
        </w:rPr>
        <w:t xml:space="preserve"> </w:t>
      </w:r>
      <w:r>
        <w:rPr>
          <w:rFonts w:ascii="Times New Roman" w:hAnsi="Times New Roman"/>
          <w:b/>
          <w:noProof/>
          <w:sz w:val="24"/>
          <w:szCs w:val="24"/>
        </w:rPr>
        <w:t>processus d’adhésion dans son ensemble et de sa mise en œuvre</w:t>
      </w:r>
      <w:r>
        <w:rPr>
          <w:rFonts w:ascii="Times New Roman" w:hAnsi="Times New Roman"/>
          <w:noProof/>
          <w:sz w:val="24"/>
          <w:szCs w:val="24"/>
        </w:rPr>
        <w:t xml:space="preserve"> </w:t>
      </w:r>
      <w:r>
        <w:rPr>
          <w:rFonts w:ascii="Times New Roman" w:hAnsi="Times New Roman"/>
          <w:b/>
          <w:noProof/>
          <w:sz w:val="24"/>
          <w:szCs w:val="24"/>
        </w:rPr>
        <w:t>doit de toute évidence encore être améliorée</w:t>
      </w:r>
      <w:r>
        <w:rPr>
          <w:rFonts w:ascii="Times New Roman" w:hAnsi="Times New Roman"/>
          <w:noProof/>
          <w:sz w:val="24"/>
          <w:szCs w:val="24"/>
        </w:rPr>
        <w:t xml:space="preserve">. Si la direction stratégique de cette politique a plus de raison d’être que jamais, il importe qu’elle soit nettement plus ancrée dans le pays. </w:t>
      </w:r>
    </w:p>
    <w:p w:rsidR="00F37E16" w:rsidRDefault="00514E74">
      <w:pPr>
        <w:spacing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 xml:space="preserve">Malgré les réformes qui se sont succédé, telles que la nouvelle approche sur les questions relatives à l'état </w:t>
      </w:r>
      <w:r>
        <w:rPr>
          <w:rFonts w:ascii="Times New Roman" w:hAnsi="Times New Roman"/>
          <w:noProof/>
          <w:sz w:val="24"/>
          <w:szCs w:val="24"/>
        </w:rPr>
        <w:t>de droit, l'accent mis sur les «fondamentaux» et les améliorations apportées dans le cadre de la stratégie de la Commission européenne pour les Balkans occidentaux de 2018</w:t>
      </w:r>
      <w:r>
        <w:rPr>
          <w:rStyle w:val="FootnoteReference"/>
          <w:noProof/>
          <w:sz w:val="24"/>
          <w:szCs w:val="24"/>
        </w:rPr>
        <w:footnoteReference w:id="2"/>
      </w:r>
      <w:r>
        <w:rPr>
          <w:rFonts w:ascii="Times New Roman" w:hAnsi="Times New Roman"/>
          <w:noProof/>
          <w:sz w:val="24"/>
          <w:szCs w:val="24"/>
        </w:rPr>
        <w:t>, il convient de renforcer le processus afin qu’il soit mieux à même de remédier aux</w:t>
      </w:r>
      <w:r>
        <w:rPr>
          <w:rFonts w:ascii="Times New Roman" w:hAnsi="Times New Roman"/>
          <w:noProof/>
          <w:sz w:val="24"/>
          <w:szCs w:val="24"/>
        </w:rPr>
        <w:t xml:space="preserve"> </w:t>
      </w:r>
      <w:r>
        <w:rPr>
          <w:rFonts w:ascii="Times New Roman" w:hAnsi="Times New Roman"/>
          <w:b/>
          <w:noProof/>
          <w:sz w:val="24"/>
          <w:szCs w:val="24"/>
        </w:rPr>
        <w:t>faiblesses structurelles</w:t>
      </w:r>
      <w:r>
        <w:rPr>
          <w:rFonts w:ascii="Times New Roman" w:hAnsi="Times New Roman"/>
          <w:noProof/>
          <w:sz w:val="24"/>
          <w:szCs w:val="24"/>
        </w:rPr>
        <w:t xml:space="preserve"> affichées par les pays, en particulier dans le domaine des «fondamentaux». </w:t>
      </w:r>
    </w:p>
    <w:p w:rsidR="00F37E16" w:rsidRDefault="00514E74">
      <w:pPr>
        <w:spacing w:after="120" w:line="240" w:lineRule="auto"/>
        <w:jc w:val="both"/>
        <w:rPr>
          <w:rFonts w:ascii="Times New Roman" w:eastAsia="Calibri" w:hAnsi="Times New Roman" w:cs="Times New Roman"/>
          <w:noProof/>
          <w:sz w:val="24"/>
          <w:szCs w:val="24"/>
        </w:rPr>
      </w:pPr>
      <w:r>
        <w:rPr>
          <w:rFonts w:ascii="Times New Roman" w:hAnsi="Times New Roman"/>
          <w:noProof/>
          <w:sz w:val="24"/>
          <w:szCs w:val="24"/>
        </w:rPr>
        <w:t>Il est capital de</w:t>
      </w:r>
      <w:r>
        <w:rPr>
          <w:rFonts w:ascii="Times New Roman" w:hAnsi="Times New Roman"/>
          <w:b/>
          <w:noProof/>
          <w:sz w:val="24"/>
          <w:szCs w:val="24"/>
        </w:rPr>
        <w:t xml:space="preserve"> renforcer la confiance des différentes parties prenantes</w:t>
      </w:r>
      <w:r>
        <w:rPr>
          <w:rFonts w:ascii="Times New Roman" w:hAnsi="Times New Roman"/>
          <w:noProof/>
          <w:sz w:val="24"/>
          <w:szCs w:val="24"/>
        </w:rPr>
        <w:t xml:space="preserve"> et de consolider </w:t>
      </w:r>
      <w:r>
        <w:rPr>
          <w:rFonts w:ascii="Times New Roman" w:hAnsi="Times New Roman"/>
          <w:b/>
          <w:noProof/>
          <w:sz w:val="24"/>
          <w:szCs w:val="24"/>
        </w:rPr>
        <w:t xml:space="preserve">le processus d’adhésion tout en le rendant plus efficace. </w:t>
      </w:r>
      <w:r>
        <w:rPr>
          <w:rFonts w:ascii="Times New Roman" w:hAnsi="Times New Roman"/>
          <w:noProof/>
          <w:sz w:val="24"/>
          <w:szCs w:val="24"/>
        </w:rPr>
        <w:t>Il i</w:t>
      </w:r>
      <w:r>
        <w:rPr>
          <w:rFonts w:ascii="Times New Roman" w:hAnsi="Times New Roman"/>
          <w:noProof/>
          <w:sz w:val="24"/>
          <w:szCs w:val="24"/>
        </w:rPr>
        <w:t>mporte qu’il devienne</w:t>
      </w:r>
      <w:r>
        <w:rPr>
          <w:rFonts w:ascii="Times New Roman" w:hAnsi="Times New Roman"/>
          <w:b/>
          <w:noProof/>
          <w:sz w:val="24"/>
          <w:szCs w:val="24"/>
        </w:rPr>
        <w:t xml:space="preserve"> plus prévisible, plus crédible </w:t>
      </w:r>
      <w:r>
        <w:rPr>
          <w:rFonts w:ascii="Times New Roman" w:hAnsi="Times New Roman"/>
          <w:noProof/>
          <w:sz w:val="24"/>
          <w:szCs w:val="24"/>
        </w:rPr>
        <w:t xml:space="preserve">(en le fondant sur des critères objectifs, sur des conditions positives et négatives rigoureuses et sur le principe de réversibilité), </w:t>
      </w:r>
      <w:r>
        <w:rPr>
          <w:rFonts w:ascii="Times New Roman" w:hAnsi="Times New Roman"/>
          <w:b/>
          <w:noProof/>
          <w:sz w:val="24"/>
          <w:szCs w:val="24"/>
        </w:rPr>
        <w:t>plus dynamique aussi, et qu’il fasse l’objet d’un pilotage politique</w:t>
      </w:r>
      <w:r>
        <w:rPr>
          <w:rFonts w:ascii="Times New Roman" w:hAnsi="Times New Roman"/>
          <w:b/>
          <w:noProof/>
          <w:sz w:val="24"/>
          <w:szCs w:val="24"/>
        </w:rPr>
        <w:t xml:space="preserve"> plus déterminé.</w:t>
      </w:r>
    </w:p>
    <w:p w:rsidR="00F37E16" w:rsidRDefault="00514E74">
      <w:pPr>
        <w:spacing w:after="120" w:line="240" w:lineRule="auto"/>
        <w:jc w:val="both"/>
        <w:rPr>
          <w:rFonts w:ascii="Times New Roman" w:eastAsia="Calibri" w:hAnsi="Times New Roman" w:cs="Times New Roman"/>
          <w:b/>
          <w:bCs/>
          <w:noProof/>
          <w:sz w:val="24"/>
          <w:szCs w:val="24"/>
        </w:rPr>
      </w:pPr>
      <w:r>
        <w:rPr>
          <w:rFonts w:ascii="Times New Roman" w:hAnsi="Times New Roman"/>
          <w:b/>
          <w:bCs/>
          <w:noProof/>
          <w:sz w:val="24"/>
          <w:szCs w:val="24"/>
        </w:rPr>
        <w:t>La présente communication énonce les</w:t>
      </w:r>
      <w:r>
        <w:rPr>
          <w:rFonts w:ascii="Times New Roman" w:hAnsi="Times New Roman"/>
          <w:noProof/>
          <w:sz w:val="24"/>
          <w:szCs w:val="24"/>
        </w:rPr>
        <w:t xml:space="preserve"> </w:t>
      </w:r>
      <w:r>
        <w:rPr>
          <w:rFonts w:ascii="Times New Roman" w:hAnsi="Times New Roman"/>
          <w:b/>
          <w:bCs/>
          <w:noProof/>
          <w:sz w:val="24"/>
          <w:szCs w:val="24"/>
        </w:rPr>
        <w:t>propositions concrètes de la Commission</w:t>
      </w:r>
      <w:r>
        <w:rPr>
          <w:rFonts w:ascii="Times New Roman" w:hAnsi="Times New Roman"/>
          <w:noProof/>
          <w:sz w:val="24"/>
          <w:szCs w:val="24"/>
        </w:rPr>
        <w:t xml:space="preserve"> en vue d’un renforcement de l’ensemble du processus d’adhésion. Ces propositions ont pour objectif </w:t>
      </w:r>
      <w:r>
        <w:rPr>
          <w:rFonts w:ascii="Times New Roman" w:hAnsi="Times New Roman"/>
          <w:noProof/>
          <w:sz w:val="24"/>
          <w:szCs w:val="24"/>
        </w:rPr>
        <w:lastRenderedPageBreak/>
        <w:t>global de renforcer la crédibilité et la confiance de part et d</w:t>
      </w:r>
      <w:r>
        <w:rPr>
          <w:rFonts w:ascii="Times New Roman" w:hAnsi="Times New Roman"/>
          <w:noProof/>
          <w:sz w:val="24"/>
          <w:szCs w:val="24"/>
        </w:rPr>
        <w:t>’autre et d’obtenir de meilleurs résultats sur le terrain. Les changements proposés peuvent être intégrés dans les cadres de négociation existants, ce qui permettra de garantir des conditions égales dans la région. Cela signifie que les cadres de négociati</w:t>
      </w:r>
      <w:r>
        <w:rPr>
          <w:rFonts w:ascii="Times New Roman" w:hAnsi="Times New Roman"/>
          <w:noProof/>
          <w:sz w:val="24"/>
          <w:szCs w:val="24"/>
        </w:rPr>
        <w:t>on pour la Serbie et le Monténégro ne seront pas modifiés, mais que les changements proposés pourraient s’insérer dans les cadres de négociation existants avec l’accord de ces deux pays.</w:t>
      </w:r>
    </w:p>
    <w:p w:rsidR="00F37E16" w:rsidRDefault="00514E74">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Dans le cadre de son engagement envers les Balkans occidentaux, l’Uni</w:t>
      </w:r>
      <w:r>
        <w:rPr>
          <w:rFonts w:ascii="Times New Roman" w:hAnsi="Times New Roman"/>
          <w:noProof/>
          <w:sz w:val="24"/>
          <w:szCs w:val="24"/>
        </w:rPr>
        <w:t xml:space="preserve">on européenne aura notamment à cœur de préparer ces derniers à satisfaire à toutes les exigences liées à l'adhésion. Il s’agira notamment de soutenir </w:t>
      </w:r>
      <w:r>
        <w:rPr>
          <w:rFonts w:ascii="Times New Roman" w:hAnsi="Times New Roman"/>
          <w:b/>
          <w:noProof/>
          <w:sz w:val="24"/>
          <w:szCs w:val="24"/>
        </w:rPr>
        <w:t>les réformes fondamentales sur les plans démocratique, économique et de l’état de droit</w:t>
      </w:r>
      <w:r>
        <w:rPr>
          <w:rFonts w:ascii="Times New Roman" w:hAnsi="Times New Roman"/>
          <w:noProof/>
          <w:sz w:val="24"/>
          <w:szCs w:val="24"/>
        </w:rPr>
        <w:t xml:space="preserve">, de même que </w:t>
      </w:r>
      <w:r>
        <w:rPr>
          <w:rFonts w:ascii="Times New Roman" w:hAnsi="Times New Roman"/>
          <w:noProof/>
          <w:sz w:val="24"/>
          <w:szCs w:val="24"/>
        </w:rPr>
        <w:t>l’alignement sur les valeurs européennes fondamentales. Ces mesures favoriseront, à leur tour, l’affermissement et l’accélération de</w:t>
      </w:r>
      <w:r>
        <w:rPr>
          <w:rFonts w:ascii="Times New Roman" w:hAnsi="Times New Roman"/>
          <w:b/>
          <w:noProof/>
          <w:sz w:val="24"/>
          <w:szCs w:val="24"/>
        </w:rPr>
        <w:t xml:space="preserve"> la croissance économique et de la convergence sociale</w:t>
      </w:r>
      <w:r>
        <w:rPr>
          <w:rFonts w:ascii="Times New Roman" w:hAnsi="Times New Roman"/>
          <w:noProof/>
          <w:sz w:val="24"/>
          <w:szCs w:val="24"/>
        </w:rPr>
        <w:t xml:space="preserve">. </w:t>
      </w:r>
    </w:p>
    <w:p w:rsidR="00F37E16" w:rsidRDefault="00514E74">
      <w:pPr>
        <w:pStyle w:val="Briefingtext"/>
        <w:spacing w:after="120"/>
        <w:rPr>
          <w:rFonts w:ascii="Times New Roman" w:eastAsia="Calibri" w:hAnsi="Times New Roman" w:cs="Times New Roman"/>
          <w:noProof/>
          <w:sz w:val="24"/>
        </w:rPr>
      </w:pPr>
      <w:r>
        <w:rPr>
          <w:rFonts w:ascii="Times New Roman" w:hAnsi="Times New Roman"/>
          <w:noProof/>
          <w:sz w:val="24"/>
        </w:rPr>
        <w:t xml:space="preserve">En outre, la </w:t>
      </w:r>
      <w:r>
        <w:rPr>
          <w:rFonts w:ascii="Times New Roman" w:hAnsi="Times New Roman"/>
          <w:b/>
          <w:noProof/>
          <w:sz w:val="24"/>
        </w:rPr>
        <w:t>communication stratégique</w:t>
      </w:r>
      <w:r>
        <w:rPr>
          <w:rFonts w:ascii="Times New Roman" w:hAnsi="Times New Roman"/>
          <w:noProof/>
          <w:sz w:val="24"/>
        </w:rPr>
        <w:t xml:space="preserve"> jouera un rôle déterminant d</w:t>
      </w:r>
      <w:r>
        <w:rPr>
          <w:rFonts w:ascii="Times New Roman" w:hAnsi="Times New Roman"/>
          <w:noProof/>
          <w:sz w:val="24"/>
        </w:rPr>
        <w:t>ans le renforcement de l’efficacité du processus d’adhésion. Il est essentiel de sensibiliser la région aux perspectives qu'offrent les réformes et une intégration plus poussée, et de lutter contre l’influence néfaste de certains pays tiers. Cela suppose a</w:t>
      </w:r>
      <w:r>
        <w:rPr>
          <w:rFonts w:ascii="Times New Roman" w:hAnsi="Times New Roman"/>
          <w:noProof/>
          <w:sz w:val="24"/>
        </w:rPr>
        <w:t xml:space="preserve">ussi des efforts à la fois plus crédibles et plus nombreux de la part des pays eux-mêmes. L’importance politique qu'accordent leurs autorités à l’objectif stratégique d’adhésion à l’UE sera évaluée avec plus de précision dans les rapports annuels. </w:t>
      </w:r>
    </w:p>
    <w:p w:rsidR="00F37E16" w:rsidRDefault="00514E74">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Cette a</w:t>
      </w:r>
      <w:r>
        <w:rPr>
          <w:rFonts w:ascii="Times New Roman" w:hAnsi="Times New Roman"/>
          <w:noProof/>
          <w:sz w:val="24"/>
          <w:szCs w:val="24"/>
        </w:rPr>
        <w:t>pproche constituera ainsi le fondement d’</w:t>
      </w:r>
      <w:r>
        <w:rPr>
          <w:rFonts w:ascii="Times New Roman" w:hAnsi="Times New Roman"/>
          <w:b/>
          <w:noProof/>
          <w:sz w:val="24"/>
          <w:szCs w:val="24"/>
        </w:rPr>
        <w:t>un programme axé sur l’avenir</w:t>
      </w:r>
      <w:r>
        <w:rPr>
          <w:rFonts w:ascii="Times New Roman" w:hAnsi="Times New Roman"/>
          <w:noProof/>
          <w:sz w:val="24"/>
          <w:szCs w:val="24"/>
        </w:rPr>
        <w:t>. Ce programme soutiendra la transformation des Balkans occidentaux en économies de marché viables, à même de s’intégrer pleinement dans le marché unique de l’UE, de créer des emplois et</w:t>
      </w:r>
      <w:r>
        <w:rPr>
          <w:rFonts w:ascii="Times New Roman" w:hAnsi="Times New Roman"/>
          <w:noProof/>
          <w:sz w:val="24"/>
          <w:szCs w:val="24"/>
        </w:rPr>
        <w:t xml:space="preserve"> des possibilités d’entreprendre, d’améliorer l'environnement des entreprises et le climat d'investissement, de promouvoir l’état de droit, ainsi que de mettre fin à la fuite des cerveaux au départ de la région. Ces réformes sont essentielles pour stimuler</w:t>
      </w:r>
      <w:r>
        <w:rPr>
          <w:rFonts w:ascii="Times New Roman" w:hAnsi="Times New Roman"/>
          <w:noProof/>
          <w:sz w:val="24"/>
          <w:szCs w:val="24"/>
        </w:rPr>
        <w:t xml:space="preserve"> les économies des Balkans et les ancrer aux marchés de l’UE en accélérant la nécessaire convergence avec l’UE. La Commission examinera en particulier la manière de faire progresser l’investissement, l’intégration socioéconomique et l’état de droit, d’amél</w:t>
      </w:r>
      <w:r>
        <w:rPr>
          <w:rFonts w:ascii="Times New Roman" w:hAnsi="Times New Roman"/>
          <w:noProof/>
          <w:sz w:val="24"/>
          <w:szCs w:val="24"/>
        </w:rPr>
        <w:t xml:space="preserve">iorer l’accès au marché unique de l’UE, de renforcer la connectivité et d’exploiter les possibilités offertes par l’économie verte. La Commission présentera une communication à ce sujet avant le sommet de Zagreb de mai 2020. </w:t>
      </w:r>
    </w:p>
    <w:p w:rsidR="00F37E16" w:rsidRDefault="00F37E16">
      <w:pPr>
        <w:spacing w:after="120" w:line="240" w:lineRule="auto"/>
        <w:jc w:val="both"/>
        <w:rPr>
          <w:rFonts w:ascii="Times New Roman" w:hAnsi="Times New Roman" w:cs="Times New Roman"/>
          <w:noProof/>
          <w:sz w:val="24"/>
          <w:szCs w:val="24"/>
        </w:rPr>
      </w:pPr>
    </w:p>
    <w:p w:rsidR="00F37E16" w:rsidRDefault="00514E74">
      <w:pPr>
        <w:pStyle w:val="ListParagraph"/>
        <w:numPr>
          <w:ilvl w:val="0"/>
          <w:numId w:val="6"/>
        </w:numPr>
        <w:spacing w:after="120" w:line="240" w:lineRule="auto"/>
        <w:contextualSpacing w:val="0"/>
        <w:rPr>
          <w:rFonts w:ascii="Times New Roman" w:hAnsi="Times New Roman" w:cs="Times New Roman"/>
          <w:b/>
          <w:noProof/>
          <w:sz w:val="24"/>
          <w:szCs w:val="24"/>
        </w:rPr>
      </w:pPr>
      <w:r>
        <w:rPr>
          <w:rFonts w:ascii="Times New Roman" w:hAnsi="Times New Roman"/>
          <w:b/>
          <w:noProof/>
          <w:sz w:val="24"/>
          <w:szCs w:val="24"/>
        </w:rPr>
        <w:t>Relancer le processus d’adhés</w:t>
      </w:r>
      <w:r>
        <w:rPr>
          <w:rFonts w:ascii="Times New Roman" w:hAnsi="Times New Roman"/>
          <w:b/>
          <w:noProof/>
          <w:sz w:val="24"/>
          <w:szCs w:val="24"/>
        </w:rPr>
        <w:t>ion</w:t>
      </w:r>
    </w:p>
    <w:p w:rsidR="00F37E16" w:rsidRDefault="00F37E16">
      <w:pPr>
        <w:pStyle w:val="ListParagraph"/>
        <w:spacing w:after="120" w:line="240" w:lineRule="auto"/>
        <w:ind w:left="1080"/>
        <w:contextualSpacing w:val="0"/>
        <w:rPr>
          <w:rFonts w:ascii="Times New Roman" w:hAnsi="Times New Roman" w:cs="Times New Roman"/>
          <w:b/>
          <w:noProof/>
          <w:sz w:val="24"/>
          <w:szCs w:val="24"/>
          <w:u w:val="single"/>
        </w:rPr>
      </w:pPr>
    </w:p>
    <w:p w:rsidR="00F37E16" w:rsidRDefault="00514E74">
      <w:pPr>
        <w:pStyle w:val="ListParagraph"/>
        <w:numPr>
          <w:ilvl w:val="0"/>
          <w:numId w:val="32"/>
        </w:numPr>
        <w:spacing w:after="120" w:line="240" w:lineRule="auto"/>
        <w:jc w:val="both"/>
        <w:rPr>
          <w:rFonts w:ascii="Times New Roman" w:hAnsi="Times New Roman" w:cs="Times New Roman"/>
          <w:b/>
          <w:noProof/>
          <w:sz w:val="24"/>
          <w:szCs w:val="24"/>
        </w:rPr>
      </w:pPr>
      <w:r>
        <w:rPr>
          <w:rFonts w:ascii="Times New Roman" w:hAnsi="Times New Roman"/>
          <w:b/>
          <w:noProof/>
          <w:sz w:val="24"/>
          <w:szCs w:val="24"/>
        </w:rPr>
        <w:t>Davantage de crédibilité</w:t>
      </w:r>
    </w:p>
    <w:p w:rsidR="00F37E16" w:rsidRDefault="00514E74">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Pour que le processus d’adhésion regagne de la crédibilité de part et d’autre et puisse donner sa pleine mesure, il doit pouvoir s’appuyer sur </w:t>
      </w:r>
      <w:r>
        <w:rPr>
          <w:rFonts w:ascii="Times New Roman" w:hAnsi="Times New Roman"/>
          <w:b/>
          <w:noProof/>
          <w:sz w:val="24"/>
          <w:szCs w:val="24"/>
        </w:rPr>
        <w:t>une confiance résolue et mutuelle et sur des engagements clairs pris par les deux p</w:t>
      </w:r>
      <w:r>
        <w:rPr>
          <w:rFonts w:ascii="Times New Roman" w:hAnsi="Times New Roman"/>
          <w:b/>
          <w:noProof/>
          <w:sz w:val="24"/>
          <w:szCs w:val="24"/>
        </w:rPr>
        <w:t>arties</w:t>
      </w:r>
      <w:r>
        <w:rPr>
          <w:rFonts w:ascii="Times New Roman" w:hAnsi="Times New Roman"/>
          <w:noProof/>
          <w:sz w:val="24"/>
          <w:szCs w:val="24"/>
        </w:rPr>
        <w:t xml:space="preserve">. </w:t>
      </w:r>
    </w:p>
    <w:p w:rsidR="00F37E16" w:rsidRDefault="00514E74">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Cela </w:t>
      </w:r>
      <w:r>
        <w:rPr>
          <w:rFonts w:ascii="Times New Roman" w:hAnsi="Times New Roman"/>
          <w:b/>
          <w:noProof/>
          <w:sz w:val="24"/>
          <w:szCs w:val="24"/>
        </w:rPr>
        <w:t xml:space="preserve">signifie que les dirigeants des Balkans occidentaux doivent honorer d’une manière plus crédible l'engagement qu'ils ont pris de </w:t>
      </w:r>
      <w:r>
        <w:rPr>
          <w:rFonts w:ascii="Times New Roman" w:hAnsi="Times New Roman"/>
          <w:noProof/>
          <w:sz w:val="24"/>
          <w:szCs w:val="24"/>
        </w:rPr>
        <w:t>mettre en place les réformes fondamentales requises, qu’il s’agisse de l’état de droit, de la lutte contre la corr</w:t>
      </w:r>
      <w:r>
        <w:rPr>
          <w:rFonts w:ascii="Times New Roman" w:hAnsi="Times New Roman"/>
          <w:noProof/>
          <w:sz w:val="24"/>
          <w:szCs w:val="24"/>
        </w:rPr>
        <w:t>uption, de l’économie ou du bon fonctionnement des institutions démocratiques et de l’administration publique ou encore de l’alignement de leur politique étrangère. Les États membres et les citoyens de l’UE ont des appréhensions légitimes et doivent être r</w:t>
      </w:r>
      <w:r>
        <w:rPr>
          <w:rFonts w:ascii="Times New Roman" w:hAnsi="Times New Roman"/>
          <w:noProof/>
          <w:sz w:val="24"/>
          <w:szCs w:val="24"/>
        </w:rPr>
        <w:t>assurés quant à la volonté politique sans faille de ces pays, qu'ils devront démontrer par des réformes structurelles tangibles. Les dirigeants des Balkans occidentaux doivent aussi consentir des efforts supplémentaires en vue de renforcer la coopération r</w:t>
      </w:r>
      <w:r>
        <w:rPr>
          <w:rFonts w:ascii="Times New Roman" w:hAnsi="Times New Roman"/>
          <w:noProof/>
          <w:sz w:val="24"/>
          <w:szCs w:val="24"/>
        </w:rPr>
        <w:t>égionale et les relations de bon voisinage, de manière à apporter stabilité et prospérité à leurs citoyens, tout en donnant à l’UE l'assurance que la région prend à bras-le-corps les conséquences de son passé.</w:t>
      </w:r>
    </w:p>
    <w:p w:rsidR="00F37E16" w:rsidRDefault="00514E74">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Cela signifie aussi que l’</w:t>
      </w:r>
      <w:r>
        <w:rPr>
          <w:rFonts w:ascii="Times New Roman" w:hAnsi="Times New Roman"/>
          <w:b/>
          <w:noProof/>
          <w:sz w:val="24"/>
          <w:szCs w:val="24"/>
        </w:rPr>
        <w:t>Union européenne tie</w:t>
      </w:r>
      <w:r>
        <w:rPr>
          <w:rFonts w:ascii="Times New Roman" w:hAnsi="Times New Roman"/>
          <w:b/>
          <w:noProof/>
          <w:sz w:val="24"/>
          <w:szCs w:val="24"/>
        </w:rPr>
        <w:t>nt son engagement sans faille en faveur d’un processus basé sur le mérite.</w:t>
      </w:r>
      <w:r>
        <w:rPr>
          <w:rFonts w:ascii="Times New Roman" w:hAnsi="Times New Roman"/>
          <w:noProof/>
          <w:sz w:val="24"/>
          <w:szCs w:val="24"/>
        </w:rPr>
        <w:t xml:space="preserve"> Lorsque des pays partenaires remplissent les critères objectifs et les conditions objectives qui ont été fixées, les États membres doivent accepter de passer à l’étape suivante du p</w:t>
      </w:r>
      <w:r>
        <w:rPr>
          <w:rFonts w:ascii="Times New Roman" w:hAnsi="Times New Roman"/>
          <w:noProof/>
          <w:sz w:val="24"/>
          <w:szCs w:val="24"/>
        </w:rPr>
        <w:t>rocessus. Toutes les parties doivent s’abstenir d’utiliser à mauvais escient les questions en suspens dans le cadre du processus d'adhésion à l’UE. De même, les États membres et les institutions doivent parler d’une même voix dans la région, en envoyant de</w:t>
      </w:r>
      <w:r>
        <w:rPr>
          <w:rFonts w:ascii="Times New Roman" w:hAnsi="Times New Roman"/>
          <w:noProof/>
          <w:sz w:val="24"/>
          <w:szCs w:val="24"/>
        </w:rPr>
        <w:t xml:space="preserve">s signaux clairs de soutien et d’encouragement et en parlant de manière claire et honnête des lacunes constatées.  </w:t>
      </w:r>
    </w:p>
    <w:p w:rsidR="00F37E16" w:rsidRDefault="00514E74">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La crédibilité devrait être renforcée en</w:t>
      </w:r>
      <w:r>
        <w:rPr>
          <w:rFonts w:ascii="Times New Roman" w:hAnsi="Times New Roman"/>
          <w:b/>
          <w:noProof/>
          <w:sz w:val="24"/>
          <w:szCs w:val="24"/>
        </w:rPr>
        <w:t xml:space="preserve"> mettant davantage encore l’accent sur les réformes fondamentales</w:t>
      </w:r>
      <w:r>
        <w:rPr>
          <w:rFonts w:ascii="Times New Roman" w:hAnsi="Times New Roman"/>
          <w:noProof/>
          <w:sz w:val="24"/>
          <w:szCs w:val="24"/>
        </w:rPr>
        <w:t>, qui sont essentielles pour progre</w:t>
      </w:r>
      <w:r>
        <w:rPr>
          <w:rFonts w:ascii="Times New Roman" w:hAnsi="Times New Roman"/>
          <w:noProof/>
          <w:sz w:val="24"/>
          <w:szCs w:val="24"/>
        </w:rPr>
        <w:t xml:space="preserve">sser sur la voie de l’adhésion à l’UE. Ces «fondamentaux» gagneront encore en importance dans les négociations d’adhésion. </w:t>
      </w:r>
      <w:r>
        <w:rPr>
          <w:rFonts w:ascii="Times New Roman" w:hAnsi="Times New Roman"/>
          <w:b/>
          <w:noProof/>
          <w:sz w:val="24"/>
          <w:szCs w:val="24"/>
        </w:rPr>
        <w:t>Les négociations sur les «fondamentaux» seront les premières ouvertes et les dernières clôturées</w:t>
      </w:r>
      <w:r>
        <w:rPr>
          <w:rFonts w:ascii="Times New Roman" w:hAnsi="Times New Roman"/>
          <w:noProof/>
          <w:sz w:val="24"/>
          <w:szCs w:val="24"/>
        </w:rPr>
        <w:t xml:space="preserve"> et les progrès en la matière dictero</w:t>
      </w:r>
      <w:r>
        <w:rPr>
          <w:rFonts w:ascii="Times New Roman" w:hAnsi="Times New Roman"/>
          <w:noProof/>
          <w:sz w:val="24"/>
          <w:szCs w:val="24"/>
        </w:rPr>
        <w:t>nt le rythme général des négociations. Les négociations sur les «fondamentaux» seront guidées par:</w:t>
      </w:r>
    </w:p>
    <w:p w:rsidR="00F37E16" w:rsidRDefault="00514E74">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une </w:t>
      </w:r>
      <w:r>
        <w:rPr>
          <w:rFonts w:ascii="Times New Roman" w:hAnsi="Times New Roman"/>
          <w:b/>
          <w:noProof/>
          <w:sz w:val="24"/>
          <w:szCs w:val="24"/>
        </w:rPr>
        <w:t>feuille de route sur les chapitres concernant l’état de droit,</w:t>
      </w:r>
      <w:r>
        <w:rPr>
          <w:rFonts w:ascii="Times New Roman" w:hAnsi="Times New Roman"/>
          <w:noProof/>
          <w:sz w:val="24"/>
          <w:szCs w:val="24"/>
        </w:rPr>
        <w:t xml:space="preserve"> équivalant aux plans d’action précédents, qui constituera le critère d'ouverture de négoci</w:t>
      </w:r>
      <w:r>
        <w:rPr>
          <w:rFonts w:ascii="Times New Roman" w:hAnsi="Times New Roman"/>
          <w:noProof/>
          <w:sz w:val="24"/>
          <w:szCs w:val="24"/>
        </w:rPr>
        <w:t>ations. Des critères provisoires continueront d’être fixés. Aucun autre chapitre ne sera provisoirement clôturé tant que ces critères ne seront pas remplis;</w:t>
      </w:r>
    </w:p>
    <w:p w:rsidR="00F37E16" w:rsidRDefault="00514E74">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une </w:t>
      </w:r>
      <w:r>
        <w:rPr>
          <w:rFonts w:ascii="Times New Roman" w:hAnsi="Times New Roman"/>
          <w:b/>
          <w:noProof/>
          <w:sz w:val="24"/>
          <w:szCs w:val="24"/>
        </w:rPr>
        <w:t>feuille de route sur le fonctionnement des institutions démocratiques</w:t>
      </w:r>
      <w:r>
        <w:rPr>
          <w:rFonts w:ascii="Times New Roman" w:hAnsi="Times New Roman"/>
          <w:noProof/>
          <w:sz w:val="24"/>
          <w:szCs w:val="24"/>
        </w:rPr>
        <w:t xml:space="preserve"> et la réforme de l’admini</w:t>
      </w:r>
      <w:r>
        <w:rPr>
          <w:rFonts w:ascii="Times New Roman" w:hAnsi="Times New Roman"/>
          <w:noProof/>
          <w:sz w:val="24"/>
          <w:szCs w:val="24"/>
        </w:rPr>
        <w:t xml:space="preserve">stration publique.  </w:t>
      </w:r>
    </w:p>
    <w:p w:rsidR="00F37E16" w:rsidRDefault="00514E74">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Un </w:t>
      </w:r>
      <w:r>
        <w:rPr>
          <w:rFonts w:ascii="Times New Roman" w:hAnsi="Times New Roman"/>
          <w:b/>
          <w:noProof/>
          <w:sz w:val="24"/>
          <w:szCs w:val="24"/>
        </w:rPr>
        <w:t>lien plus fort avec le programme de réforme économique</w:t>
      </w:r>
      <w:r>
        <w:rPr>
          <w:rFonts w:ascii="Times New Roman" w:hAnsi="Times New Roman"/>
          <w:noProof/>
          <w:sz w:val="24"/>
          <w:szCs w:val="24"/>
        </w:rPr>
        <w:t xml:space="preserve">, qui aidera les pays à remplir les critères économiques. </w:t>
      </w:r>
    </w:p>
    <w:p w:rsidR="00F37E16" w:rsidRDefault="00514E74">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En outre, la Commission renforcera encore les mesures sur l’état de droit et le développement des institutions. Les rés</w:t>
      </w:r>
      <w:r>
        <w:rPr>
          <w:rFonts w:ascii="Times New Roman" w:hAnsi="Times New Roman"/>
          <w:noProof/>
          <w:sz w:val="24"/>
          <w:szCs w:val="24"/>
        </w:rPr>
        <w:t>ultats obtenus dans le cadre de ces réformes seront une condition sine qua non à un approfondissement de l’intégration sectorielle et au progrès des négociations en général. De plus, la lutte contre la corruption sera intégrée dans le processus et une impo</w:t>
      </w:r>
      <w:r>
        <w:rPr>
          <w:rFonts w:ascii="Times New Roman" w:hAnsi="Times New Roman"/>
          <w:noProof/>
          <w:sz w:val="24"/>
          <w:szCs w:val="24"/>
        </w:rPr>
        <w:t>rtance particulière sera accordée aux chapitres correspondants. L’appui à la coopération régionale se poursuivra sans relâche. Il convient de redoubler d’efforts pour résoudre les différends bilatéraux, en mettant en particulier l’accent sur le dialogue en</w:t>
      </w:r>
      <w:r>
        <w:rPr>
          <w:rFonts w:ascii="Times New Roman" w:hAnsi="Times New Roman"/>
          <w:noProof/>
          <w:sz w:val="24"/>
          <w:szCs w:val="24"/>
        </w:rPr>
        <w:t xml:space="preserve">tre Belgrade et Pristina mené grâce à la médiation de l'UE, qui devrait se conclure par un accord de normalisation global et juridiquement contraignant. </w:t>
      </w:r>
    </w:p>
    <w:p w:rsidR="00F37E16" w:rsidRDefault="00F37E16">
      <w:pPr>
        <w:spacing w:after="120" w:line="240" w:lineRule="auto"/>
        <w:jc w:val="both"/>
        <w:rPr>
          <w:rFonts w:ascii="Times New Roman" w:hAnsi="Times New Roman" w:cs="Times New Roman"/>
          <w:noProof/>
          <w:sz w:val="24"/>
          <w:szCs w:val="24"/>
        </w:rPr>
      </w:pPr>
    </w:p>
    <w:p w:rsidR="00F37E16" w:rsidRDefault="00514E74">
      <w:pPr>
        <w:pStyle w:val="ListParagraph"/>
        <w:numPr>
          <w:ilvl w:val="0"/>
          <w:numId w:val="32"/>
        </w:numPr>
        <w:spacing w:after="120" w:line="240" w:lineRule="auto"/>
        <w:jc w:val="both"/>
        <w:rPr>
          <w:rFonts w:ascii="Times New Roman" w:hAnsi="Times New Roman" w:cs="Times New Roman"/>
          <w:b/>
          <w:noProof/>
          <w:sz w:val="24"/>
          <w:szCs w:val="24"/>
        </w:rPr>
      </w:pPr>
      <w:r>
        <w:rPr>
          <w:rFonts w:ascii="Times New Roman" w:hAnsi="Times New Roman"/>
          <w:b/>
          <w:noProof/>
          <w:sz w:val="24"/>
          <w:szCs w:val="24"/>
        </w:rPr>
        <w:t>Un pilotage politique plus déterminé</w:t>
      </w:r>
    </w:p>
    <w:p w:rsidR="00F37E16" w:rsidRDefault="00514E74">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L’adhésion à l’Union européenne est un processus qui nécessite, tout en les soutenant, des réformes fondamentales et des transformations politiques et économiques dans les pays qui aspirent à adhérer à l’Union ainsi qu’à démontrer leur aptitude à assumer d</w:t>
      </w:r>
      <w:r>
        <w:rPr>
          <w:rFonts w:ascii="Times New Roman" w:hAnsi="Times New Roman"/>
          <w:noProof/>
          <w:sz w:val="24"/>
          <w:szCs w:val="24"/>
        </w:rPr>
        <w:t xml:space="preserve">es responsabilités partagées en tant qu’État membre de l’UE. Il ne s’agit pas pour ces pays de passer en pilotage automatique, mais </w:t>
      </w:r>
      <w:r>
        <w:rPr>
          <w:rFonts w:ascii="Times New Roman" w:hAnsi="Times New Roman"/>
          <w:b/>
          <w:noProof/>
          <w:sz w:val="24"/>
          <w:szCs w:val="24"/>
        </w:rPr>
        <w:t>bien de faire un choix sociétal actif</w:t>
      </w:r>
      <w:r>
        <w:rPr>
          <w:rFonts w:ascii="Times New Roman" w:hAnsi="Times New Roman"/>
          <w:noProof/>
          <w:sz w:val="24"/>
          <w:szCs w:val="24"/>
        </w:rPr>
        <w:t>, consistant à atteindre les normes et les valeurs européennes les plus élevées et à le</w:t>
      </w:r>
      <w:r>
        <w:rPr>
          <w:rFonts w:ascii="Times New Roman" w:hAnsi="Times New Roman"/>
          <w:noProof/>
          <w:sz w:val="24"/>
          <w:szCs w:val="24"/>
        </w:rPr>
        <w:t xml:space="preserve">s respecter. De même, la résolution des États membres de partager leur avenir avec les Balkans occidentaux en tant que membres à part entière de l’Union est un engagement politique important et pas un simple engagement technique. </w:t>
      </w:r>
    </w:p>
    <w:p w:rsidR="00F37E16" w:rsidRDefault="00514E74">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Les deux parties devraient dès lors </w:t>
      </w:r>
      <w:r>
        <w:rPr>
          <w:rFonts w:ascii="Times New Roman" w:hAnsi="Times New Roman"/>
          <w:b/>
          <w:noProof/>
          <w:sz w:val="24"/>
          <w:szCs w:val="24"/>
        </w:rPr>
        <w:t>faire preuve d’un plus grand esprit d’initiative</w:t>
      </w:r>
      <w:r>
        <w:rPr>
          <w:rFonts w:ascii="Times New Roman" w:hAnsi="Times New Roman"/>
          <w:noProof/>
          <w:sz w:val="24"/>
          <w:szCs w:val="24"/>
        </w:rPr>
        <w:t xml:space="preserve"> et tenir leurs engagements respectifs en public lorsqu’ils abordent plus directement des questions qui les concernent. Compte tenu de l’enjeu, l’heure est venue de </w:t>
      </w:r>
      <w:r>
        <w:rPr>
          <w:rFonts w:ascii="Times New Roman" w:hAnsi="Times New Roman"/>
          <w:b/>
          <w:noProof/>
          <w:sz w:val="24"/>
          <w:szCs w:val="24"/>
        </w:rPr>
        <w:t xml:space="preserve">mettre </w:t>
      </w:r>
      <w:r>
        <w:rPr>
          <w:rFonts w:ascii="Times New Roman" w:hAnsi="Times New Roman"/>
          <w:b/>
          <w:noProof/>
          <w:sz w:val="24"/>
          <w:szCs w:val="24"/>
        </w:rPr>
        <w:t xml:space="preserve">au premier plan le caractère politique du processus </w:t>
      </w:r>
      <w:r>
        <w:rPr>
          <w:rFonts w:ascii="Times New Roman" w:hAnsi="Times New Roman"/>
          <w:noProof/>
          <w:sz w:val="24"/>
          <w:szCs w:val="24"/>
        </w:rPr>
        <w:t xml:space="preserve">et de garantir un pilotage plus déterminé et un engagement à haut niveau de la part des États membres. </w:t>
      </w:r>
    </w:p>
    <w:p w:rsidR="00F37E16" w:rsidRDefault="00514E74">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Cela devrait notamment passer par l’ouverture de nouvelles perspectives en vue d’</w:t>
      </w:r>
      <w:r>
        <w:rPr>
          <w:rFonts w:ascii="Times New Roman" w:hAnsi="Times New Roman"/>
          <w:b/>
          <w:noProof/>
          <w:sz w:val="24"/>
          <w:szCs w:val="24"/>
        </w:rPr>
        <w:t>un dialogue politiq</w:t>
      </w:r>
      <w:r>
        <w:rPr>
          <w:rFonts w:ascii="Times New Roman" w:hAnsi="Times New Roman"/>
          <w:b/>
          <w:noProof/>
          <w:sz w:val="24"/>
          <w:szCs w:val="24"/>
        </w:rPr>
        <w:t xml:space="preserve">ue et stratégique à haut niveau </w:t>
      </w:r>
      <w:r>
        <w:rPr>
          <w:rFonts w:ascii="Times New Roman" w:hAnsi="Times New Roman"/>
          <w:noProof/>
          <w:sz w:val="24"/>
          <w:szCs w:val="24"/>
        </w:rPr>
        <w:t>avec ces pays,</w:t>
      </w:r>
      <w:r>
        <w:rPr>
          <w:rFonts w:ascii="Times New Roman" w:hAnsi="Times New Roman"/>
          <w:b/>
          <w:noProof/>
          <w:sz w:val="24"/>
          <w:szCs w:val="24"/>
        </w:rPr>
        <w:t xml:space="preserve"> grâce à la tenue régulière de rencontres au sommet entre l'UE et les Balkans occidentaux et à l’intensification des contacts ministériels</w:t>
      </w:r>
      <w:r>
        <w:rPr>
          <w:rFonts w:ascii="Times New Roman" w:hAnsi="Times New Roman"/>
          <w:noProof/>
          <w:sz w:val="24"/>
          <w:szCs w:val="24"/>
        </w:rPr>
        <w:t>, surtout dans les domaines dans lesquels l’alignement progresse bien et</w:t>
      </w:r>
      <w:r>
        <w:rPr>
          <w:rFonts w:ascii="Times New Roman" w:hAnsi="Times New Roman"/>
          <w:noProof/>
          <w:sz w:val="24"/>
          <w:szCs w:val="24"/>
        </w:rPr>
        <w:t xml:space="preserve"> où les principaux critères ont été remplis. Un pareil renforcement de l’engagement pourrait entraîner la participation des pays en tant qu’</w:t>
      </w:r>
      <w:r>
        <w:rPr>
          <w:rFonts w:ascii="Times New Roman" w:hAnsi="Times New Roman"/>
          <w:b/>
          <w:noProof/>
          <w:sz w:val="24"/>
          <w:szCs w:val="24"/>
        </w:rPr>
        <w:t>observateurs</w:t>
      </w:r>
      <w:r>
        <w:rPr>
          <w:rFonts w:ascii="Times New Roman" w:hAnsi="Times New Roman"/>
          <w:noProof/>
          <w:sz w:val="24"/>
          <w:szCs w:val="24"/>
        </w:rPr>
        <w:t xml:space="preserve"> aux grandes réunions de l’UE portant sur des sujets revêtant pour eux une importance substantielle. </w:t>
      </w:r>
    </w:p>
    <w:p w:rsidR="00F37E16" w:rsidRDefault="00514E74">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Il</w:t>
      </w:r>
      <w:r>
        <w:rPr>
          <w:rFonts w:ascii="Times New Roman" w:hAnsi="Times New Roman"/>
          <w:noProof/>
          <w:sz w:val="24"/>
          <w:szCs w:val="24"/>
        </w:rPr>
        <w:t xml:space="preserve"> importe de faire en sorte que </w:t>
      </w:r>
      <w:r>
        <w:rPr>
          <w:rFonts w:ascii="Times New Roman" w:hAnsi="Times New Roman"/>
          <w:b/>
          <w:noProof/>
          <w:sz w:val="24"/>
          <w:szCs w:val="24"/>
        </w:rPr>
        <w:t>toutes les instances relevant de l’accord de stabilisation et d’association (ASA) s’intéressent davantage aux principales questions politiques</w:t>
      </w:r>
      <w:r>
        <w:rPr>
          <w:rFonts w:ascii="Times New Roman" w:hAnsi="Times New Roman"/>
          <w:noProof/>
          <w:sz w:val="24"/>
          <w:szCs w:val="24"/>
        </w:rPr>
        <w:t xml:space="preserve"> </w:t>
      </w:r>
      <w:r>
        <w:rPr>
          <w:rFonts w:ascii="Times New Roman" w:hAnsi="Times New Roman"/>
          <w:b/>
          <w:noProof/>
          <w:sz w:val="24"/>
          <w:szCs w:val="24"/>
        </w:rPr>
        <w:t>et aux grandes réformes</w:t>
      </w:r>
      <w:r>
        <w:rPr>
          <w:rFonts w:ascii="Times New Roman" w:hAnsi="Times New Roman"/>
          <w:noProof/>
          <w:sz w:val="24"/>
          <w:szCs w:val="24"/>
        </w:rPr>
        <w:t>, et ouvrent ainsi la voie à un véritable dialogue politiqu</w:t>
      </w:r>
      <w:r>
        <w:rPr>
          <w:rFonts w:ascii="Times New Roman" w:hAnsi="Times New Roman"/>
          <w:noProof/>
          <w:sz w:val="24"/>
          <w:szCs w:val="24"/>
        </w:rPr>
        <w:t xml:space="preserve">e. Les conférences intergouvernementales devraient favoriser un pilotage politique renforcé du processus des négociations d’adhésion. </w:t>
      </w:r>
    </w:p>
    <w:p w:rsidR="00F37E16" w:rsidRDefault="00514E74">
      <w:pPr>
        <w:spacing w:after="120" w:line="240" w:lineRule="auto"/>
        <w:jc w:val="both"/>
        <w:rPr>
          <w:rFonts w:ascii="Times New Roman" w:hAnsi="Times New Roman" w:cs="Times New Roman"/>
          <w:noProof/>
          <w:sz w:val="24"/>
          <w:szCs w:val="24"/>
        </w:rPr>
      </w:pPr>
      <w:r>
        <w:rPr>
          <w:rFonts w:ascii="Times New Roman" w:hAnsi="Times New Roman"/>
          <w:b/>
          <w:noProof/>
          <w:sz w:val="24"/>
          <w:szCs w:val="24"/>
          <w:u w:val="single"/>
        </w:rPr>
        <w:t>Les États membres</w:t>
      </w:r>
      <w:r>
        <w:rPr>
          <w:rFonts w:ascii="Times New Roman" w:hAnsi="Times New Roman"/>
          <w:b/>
          <w:noProof/>
          <w:sz w:val="24"/>
          <w:szCs w:val="24"/>
        </w:rPr>
        <w:t xml:space="preserve"> seront invités à contribuer plus systématiquement au processus d’adhésion</w:t>
      </w:r>
      <w:r>
        <w:rPr>
          <w:rFonts w:ascii="Times New Roman" w:hAnsi="Times New Roman"/>
          <w:noProof/>
          <w:sz w:val="24"/>
          <w:szCs w:val="24"/>
        </w:rPr>
        <w:t>, y compris au moyen d’un suiv</w:t>
      </w:r>
      <w:r>
        <w:rPr>
          <w:rFonts w:ascii="Times New Roman" w:hAnsi="Times New Roman"/>
          <w:noProof/>
          <w:sz w:val="24"/>
          <w:szCs w:val="24"/>
        </w:rPr>
        <w:t>i sur le terrain effectué par leurs experts, de contributions directes aux rapports annuels et de la mise à disposition de leur expertise sectorielle. Les États membres auront aussi la possibilité d’examiner et de suivre plus régulièrement les progrès glob</w:t>
      </w:r>
      <w:r>
        <w:rPr>
          <w:rFonts w:ascii="Times New Roman" w:hAnsi="Times New Roman"/>
          <w:noProof/>
          <w:sz w:val="24"/>
          <w:szCs w:val="24"/>
        </w:rPr>
        <w:t xml:space="preserve">aux réalisés.   </w:t>
      </w:r>
    </w:p>
    <w:p w:rsidR="00F37E16" w:rsidRDefault="00514E74">
      <w:pPr>
        <w:spacing w:after="120" w:line="240" w:lineRule="auto"/>
        <w:jc w:val="both"/>
        <w:rPr>
          <w:rFonts w:ascii="Times New Roman" w:hAnsi="Times New Roman" w:cs="Times New Roman"/>
          <w:noProof/>
          <w:sz w:val="24"/>
          <w:szCs w:val="24"/>
        </w:rPr>
      </w:pPr>
      <w:r>
        <w:rPr>
          <w:rFonts w:ascii="Times New Roman" w:hAnsi="Times New Roman"/>
          <w:b/>
          <w:noProof/>
          <w:sz w:val="24"/>
          <w:szCs w:val="24"/>
          <w:u w:val="single"/>
        </w:rPr>
        <w:t>La Commission</w:t>
      </w:r>
      <w:r>
        <w:rPr>
          <w:rFonts w:ascii="Times New Roman" w:hAnsi="Times New Roman"/>
          <w:noProof/>
          <w:sz w:val="24"/>
          <w:szCs w:val="24"/>
        </w:rPr>
        <w:t xml:space="preserve"> continuera à dresser le bilan des progrès globaux obtenus lors des négociations. </w:t>
      </w:r>
      <w:r>
        <w:rPr>
          <w:rFonts w:ascii="Times New Roman" w:hAnsi="Times New Roman"/>
          <w:b/>
          <w:noProof/>
          <w:sz w:val="24"/>
          <w:szCs w:val="24"/>
        </w:rPr>
        <w:t>Dans son «paquet élargissement» annuel, elle fera des propositions</w:t>
      </w:r>
      <w:r>
        <w:rPr>
          <w:rFonts w:ascii="Times New Roman" w:hAnsi="Times New Roman"/>
          <w:noProof/>
          <w:sz w:val="24"/>
          <w:szCs w:val="24"/>
        </w:rPr>
        <w:t xml:space="preserve"> pour l’année suivante, en donnant plus de détails sur les réformes, à approuv</w:t>
      </w:r>
      <w:r>
        <w:rPr>
          <w:rFonts w:ascii="Times New Roman" w:hAnsi="Times New Roman"/>
          <w:noProof/>
          <w:sz w:val="24"/>
          <w:szCs w:val="24"/>
        </w:rPr>
        <w:t xml:space="preserve">er par les États membres, </w:t>
      </w:r>
      <w:r>
        <w:rPr>
          <w:rFonts w:ascii="Times New Roman" w:hAnsi="Times New Roman"/>
          <w:b/>
          <w:noProof/>
          <w:sz w:val="24"/>
          <w:szCs w:val="24"/>
        </w:rPr>
        <w:t>y compris des propositions de mesures correctives</w:t>
      </w:r>
      <w:r>
        <w:rPr>
          <w:rFonts w:ascii="Times New Roman" w:hAnsi="Times New Roman"/>
          <w:noProof/>
          <w:sz w:val="24"/>
          <w:szCs w:val="24"/>
        </w:rPr>
        <w:t xml:space="preserve">. </w:t>
      </w:r>
    </w:p>
    <w:p w:rsidR="00F37E16" w:rsidRDefault="00514E74">
      <w:pPr>
        <w:spacing w:after="120" w:line="240" w:lineRule="auto"/>
        <w:jc w:val="both"/>
        <w:rPr>
          <w:rFonts w:ascii="Times New Roman" w:hAnsi="Times New Roman" w:cs="Times New Roman"/>
          <w:noProof/>
          <w:sz w:val="24"/>
          <w:szCs w:val="24"/>
        </w:rPr>
      </w:pPr>
      <w:r>
        <w:rPr>
          <w:rFonts w:ascii="Times New Roman" w:hAnsi="Times New Roman"/>
          <w:b/>
          <w:noProof/>
          <w:sz w:val="24"/>
          <w:szCs w:val="24"/>
          <w:u w:val="single"/>
        </w:rPr>
        <w:t>Des conférences intergouvernementales par pays</w:t>
      </w:r>
      <w:r>
        <w:rPr>
          <w:rFonts w:ascii="Times New Roman" w:hAnsi="Times New Roman"/>
          <w:b/>
          <w:noProof/>
          <w:sz w:val="24"/>
          <w:szCs w:val="24"/>
        </w:rPr>
        <w:t xml:space="preserve"> devraient être organisées après la publication du «paquet» annuel </w:t>
      </w:r>
      <w:r>
        <w:rPr>
          <w:rFonts w:ascii="Times New Roman" w:hAnsi="Times New Roman"/>
          <w:noProof/>
          <w:sz w:val="24"/>
          <w:szCs w:val="24"/>
        </w:rPr>
        <w:t xml:space="preserve">de rapports établis pour chaque pays par la Commission; </w:t>
      </w:r>
      <w:r>
        <w:rPr>
          <w:rFonts w:ascii="Times New Roman" w:hAnsi="Times New Roman"/>
          <w:b/>
          <w:noProof/>
          <w:sz w:val="24"/>
          <w:szCs w:val="24"/>
        </w:rPr>
        <w:t>elles dev</w:t>
      </w:r>
      <w:r>
        <w:rPr>
          <w:rFonts w:ascii="Times New Roman" w:hAnsi="Times New Roman"/>
          <w:b/>
          <w:noProof/>
          <w:sz w:val="24"/>
          <w:szCs w:val="24"/>
        </w:rPr>
        <w:t xml:space="preserve">raient servir d’enceintes au dialogue politique </w:t>
      </w:r>
      <w:r>
        <w:rPr>
          <w:rFonts w:ascii="Times New Roman" w:hAnsi="Times New Roman"/>
          <w:noProof/>
          <w:sz w:val="24"/>
          <w:szCs w:val="24"/>
        </w:rPr>
        <w:t>sur les réformes, être l’occasion de faire le point sur le processus d’adhésion en général et arrêter le calendrier pour l’année suivante, y compris en ce qui concerne l’ouverture et la fermeture de chapitres</w:t>
      </w:r>
      <w:r>
        <w:rPr>
          <w:rFonts w:ascii="Times New Roman" w:hAnsi="Times New Roman"/>
          <w:noProof/>
          <w:sz w:val="24"/>
          <w:szCs w:val="24"/>
        </w:rPr>
        <w:t xml:space="preserve">/de groupes de chapitres, ainsi que d’éventuelles mesures correctives. Toutes les parties devront veiller à être représentées lors des conférences intergouvernementales au </w:t>
      </w:r>
      <w:r>
        <w:rPr>
          <w:rFonts w:ascii="Times New Roman" w:hAnsi="Times New Roman"/>
          <w:b/>
          <w:noProof/>
          <w:sz w:val="24"/>
          <w:szCs w:val="24"/>
        </w:rPr>
        <w:t>niveau approprié afin de permettre un dialogue politique constructif</w:t>
      </w:r>
      <w:r>
        <w:rPr>
          <w:rFonts w:ascii="Times New Roman" w:hAnsi="Times New Roman"/>
          <w:noProof/>
          <w:sz w:val="24"/>
          <w:szCs w:val="24"/>
        </w:rPr>
        <w:t>.</w:t>
      </w:r>
    </w:p>
    <w:p w:rsidR="00F37E16" w:rsidRDefault="00514E74">
      <w:pPr>
        <w:spacing w:after="120" w:line="240" w:lineRule="auto"/>
        <w:jc w:val="both"/>
        <w:rPr>
          <w:rFonts w:ascii="Times New Roman" w:hAnsi="Times New Roman" w:cs="Times New Roman"/>
          <w:noProof/>
          <w:sz w:val="24"/>
          <w:szCs w:val="24"/>
        </w:rPr>
      </w:pPr>
      <w:r>
        <w:rPr>
          <w:rFonts w:ascii="Times New Roman" w:hAnsi="Times New Roman"/>
          <w:b/>
          <w:noProof/>
          <w:sz w:val="24"/>
          <w:szCs w:val="24"/>
          <w:u w:val="single"/>
        </w:rPr>
        <w:t>Les conseils d</w:t>
      </w:r>
      <w:r>
        <w:rPr>
          <w:rFonts w:ascii="Times New Roman" w:hAnsi="Times New Roman"/>
          <w:b/>
          <w:noProof/>
          <w:sz w:val="24"/>
          <w:szCs w:val="24"/>
          <w:u w:val="single"/>
        </w:rPr>
        <w:t>e stabilisation et d’association</w:t>
      </w:r>
      <w:r>
        <w:rPr>
          <w:rFonts w:ascii="Times New Roman" w:hAnsi="Times New Roman"/>
          <w:noProof/>
          <w:sz w:val="24"/>
          <w:szCs w:val="24"/>
        </w:rPr>
        <w:t xml:space="preserve"> constitueront aussi un puissant appoint pour le dialogue politique sur les réformes. Ils peuvent, en outre, de concert avec les comités et sous-comités de stabilisation et d’association, permettre un </w:t>
      </w:r>
      <w:r>
        <w:rPr>
          <w:rFonts w:ascii="Times New Roman" w:hAnsi="Times New Roman"/>
          <w:b/>
          <w:noProof/>
          <w:sz w:val="24"/>
          <w:szCs w:val="24"/>
        </w:rPr>
        <w:t>suivi renforcé des prog</w:t>
      </w:r>
      <w:r>
        <w:rPr>
          <w:rFonts w:ascii="Times New Roman" w:hAnsi="Times New Roman"/>
          <w:b/>
          <w:noProof/>
          <w:sz w:val="24"/>
          <w:szCs w:val="24"/>
        </w:rPr>
        <w:t>rès accomplis et couvrir les aspects liés à l’accélération de l’intégration</w:t>
      </w:r>
      <w:r>
        <w:rPr>
          <w:rFonts w:ascii="Times New Roman" w:hAnsi="Times New Roman"/>
          <w:noProof/>
          <w:sz w:val="24"/>
          <w:szCs w:val="24"/>
        </w:rPr>
        <w:t xml:space="preserve"> dans les groupes respectifs (voir ci-dessous). </w:t>
      </w:r>
    </w:p>
    <w:p w:rsidR="00F37E16" w:rsidRDefault="00514E74">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Un bilan politique approfondi devrait être dressé à des moments clefs du processus d’adhésion de chaque partenaire, par exemple lors</w:t>
      </w:r>
      <w:r>
        <w:rPr>
          <w:rFonts w:ascii="Times New Roman" w:hAnsi="Times New Roman"/>
          <w:noProof/>
          <w:sz w:val="24"/>
          <w:szCs w:val="24"/>
        </w:rPr>
        <w:t>que des critères provisoires liés aux réformes fondamentales sont remplis, à chaque fois que le Conseil décide que les conditions sont remplies pour ouvrir un groupe de chapitres et lorsque les négociations globales sont techniquement prêtes à être clôturé</w:t>
      </w:r>
      <w:r>
        <w:rPr>
          <w:rFonts w:ascii="Times New Roman" w:hAnsi="Times New Roman"/>
          <w:noProof/>
          <w:sz w:val="24"/>
          <w:szCs w:val="24"/>
        </w:rPr>
        <w:t>es.</w:t>
      </w:r>
    </w:p>
    <w:p w:rsidR="00F37E16" w:rsidRDefault="00F37E16">
      <w:pPr>
        <w:spacing w:after="120" w:line="240" w:lineRule="auto"/>
        <w:jc w:val="both"/>
        <w:rPr>
          <w:rFonts w:ascii="Times New Roman" w:hAnsi="Times New Roman" w:cs="Times New Roman"/>
          <w:noProof/>
          <w:sz w:val="24"/>
          <w:szCs w:val="24"/>
        </w:rPr>
      </w:pPr>
    </w:p>
    <w:p w:rsidR="00F37E16" w:rsidRDefault="00514E74" w:rsidP="00514E74">
      <w:pPr>
        <w:pStyle w:val="ListParagraph"/>
        <w:keepNext/>
        <w:numPr>
          <w:ilvl w:val="0"/>
          <w:numId w:val="32"/>
        </w:numPr>
        <w:spacing w:after="120" w:line="240" w:lineRule="auto"/>
        <w:ind w:left="714" w:hanging="357"/>
        <w:jc w:val="both"/>
        <w:rPr>
          <w:rFonts w:ascii="Times New Roman" w:hAnsi="Times New Roman" w:cs="Times New Roman"/>
          <w:b/>
          <w:noProof/>
          <w:sz w:val="24"/>
          <w:szCs w:val="24"/>
        </w:rPr>
      </w:pPr>
      <w:r>
        <w:rPr>
          <w:rFonts w:ascii="Times New Roman" w:hAnsi="Times New Roman"/>
          <w:b/>
          <w:noProof/>
          <w:sz w:val="24"/>
          <w:szCs w:val="24"/>
        </w:rPr>
        <w:t xml:space="preserve">Un processus plus dynamique </w:t>
      </w:r>
    </w:p>
    <w:p w:rsidR="00F37E16" w:rsidRDefault="00514E74">
      <w:pPr>
        <w:widowControl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Dans un souci de dynamiser davantage le processus de négociation et de favoriser la fertilisation croisée des efforts au-delà des différents chapitres, les </w:t>
      </w:r>
      <w:r>
        <w:rPr>
          <w:rFonts w:ascii="Times New Roman" w:hAnsi="Times New Roman"/>
          <w:b/>
          <w:noProof/>
          <w:sz w:val="24"/>
          <w:szCs w:val="24"/>
        </w:rPr>
        <w:t>chapitres de négociation seront regroupés en groupes thématiques</w:t>
      </w:r>
      <w:r>
        <w:rPr>
          <w:rFonts w:ascii="Times New Roman" w:hAnsi="Times New Roman"/>
          <w:noProof/>
          <w:sz w:val="24"/>
          <w:szCs w:val="24"/>
        </w:rPr>
        <w:t xml:space="preserve">. </w:t>
      </w:r>
      <w:r>
        <w:rPr>
          <w:rFonts w:ascii="Times New Roman" w:hAnsi="Times New Roman"/>
          <w:noProof/>
          <w:sz w:val="24"/>
          <w:szCs w:val="24"/>
        </w:rPr>
        <w:t xml:space="preserve">Ces groupes représentent des grands thèmes, tels que la bonne gouvernance, le marché intérieur, la compétitivité économique et la connectivité. </w:t>
      </w:r>
    </w:p>
    <w:p w:rsidR="00F37E16" w:rsidRDefault="00514E74">
      <w:pPr>
        <w:widowControl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Le fait de regrouper les chapitres permettra de </w:t>
      </w:r>
      <w:r>
        <w:rPr>
          <w:rFonts w:ascii="Times New Roman" w:hAnsi="Times New Roman"/>
          <w:b/>
          <w:noProof/>
          <w:sz w:val="24"/>
          <w:szCs w:val="24"/>
        </w:rPr>
        <w:t>mettre davantage</w:t>
      </w:r>
      <w:r>
        <w:rPr>
          <w:rFonts w:ascii="Times New Roman" w:hAnsi="Times New Roman"/>
          <w:noProof/>
          <w:sz w:val="24"/>
          <w:szCs w:val="24"/>
        </w:rPr>
        <w:t xml:space="preserve"> </w:t>
      </w:r>
      <w:r>
        <w:rPr>
          <w:rFonts w:ascii="Times New Roman" w:hAnsi="Times New Roman"/>
          <w:b/>
          <w:noProof/>
          <w:sz w:val="24"/>
          <w:szCs w:val="24"/>
        </w:rPr>
        <w:t>l’accent sur les secteurs clefs du dialogue po</w:t>
      </w:r>
      <w:r>
        <w:rPr>
          <w:rFonts w:ascii="Times New Roman" w:hAnsi="Times New Roman"/>
          <w:b/>
          <w:noProof/>
          <w:sz w:val="24"/>
          <w:szCs w:val="24"/>
        </w:rPr>
        <w:t>litique</w:t>
      </w:r>
      <w:r>
        <w:rPr>
          <w:rFonts w:ascii="Times New Roman" w:hAnsi="Times New Roman"/>
          <w:noProof/>
          <w:sz w:val="24"/>
          <w:szCs w:val="24"/>
        </w:rPr>
        <w:t xml:space="preserve"> et de mieux encadrer le dialogue politique à haut niveau. Cela permettra aussi </w:t>
      </w:r>
      <w:r>
        <w:rPr>
          <w:rFonts w:ascii="Times New Roman" w:hAnsi="Times New Roman"/>
          <w:b/>
          <w:noProof/>
          <w:sz w:val="24"/>
          <w:szCs w:val="24"/>
        </w:rPr>
        <w:t>de distinguer les réformes les plus importantes et les plus urgentes dans chaque secteur,</w:t>
      </w:r>
      <w:r>
        <w:rPr>
          <w:rFonts w:ascii="Times New Roman" w:hAnsi="Times New Roman"/>
          <w:noProof/>
          <w:sz w:val="24"/>
          <w:szCs w:val="24"/>
        </w:rPr>
        <w:t xml:space="preserve"> tout en renforçant l’ancrage de l’ensemble du processus de réformes en incitant</w:t>
      </w:r>
      <w:r>
        <w:rPr>
          <w:rFonts w:ascii="Times New Roman" w:hAnsi="Times New Roman"/>
          <w:noProof/>
          <w:sz w:val="24"/>
          <w:szCs w:val="24"/>
        </w:rPr>
        <w:t xml:space="preserve"> mieux à la mise en œuvre de réformes sectorielles dans l’intérêt des citoyens et des entreprises.</w:t>
      </w:r>
    </w:p>
    <w:p w:rsidR="00F37E16" w:rsidRDefault="00514E74">
      <w:pPr>
        <w:widowControl w:val="0"/>
        <w:spacing w:after="120" w:line="240" w:lineRule="auto"/>
        <w:jc w:val="both"/>
        <w:rPr>
          <w:rFonts w:ascii="Times New Roman" w:hAnsi="Times New Roman" w:cs="Times New Roman"/>
          <w:noProof/>
          <w:sz w:val="24"/>
          <w:szCs w:val="24"/>
        </w:rPr>
      </w:pPr>
      <w:r>
        <w:rPr>
          <w:rFonts w:ascii="Times New Roman" w:hAnsi="Times New Roman"/>
          <w:b/>
          <w:noProof/>
          <w:sz w:val="24"/>
          <w:szCs w:val="24"/>
        </w:rPr>
        <w:t>Les négociations sur chaque groupe seront ouvertes globalement</w:t>
      </w:r>
      <w:r>
        <w:rPr>
          <w:rFonts w:ascii="Times New Roman" w:hAnsi="Times New Roman"/>
          <w:noProof/>
          <w:sz w:val="24"/>
          <w:szCs w:val="24"/>
        </w:rPr>
        <w:t xml:space="preserve"> </w:t>
      </w:r>
      <w:r>
        <w:rPr>
          <w:rFonts w:ascii="Times New Roman" w:hAnsi="Times New Roman"/>
          <w:b/>
          <w:noProof/>
          <w:sz w:val="24"/>
          <w:szCs w:val="24"/>
        </w:rPr>
        <w:t>(une fois les critères d’ouverture remplis)</w:t>
      </w:r>
      <w:r>
        <w:rPr>
          <w:rFonts w:ascii="Times New Roman" w:hAnsi="Times New Roman"/>
          <w:noProof/>
          <w:sz w:val="24"/>
          <w:szCs w:val="24"/>
        </w:rPr>
        <w:t xml:space="preserve"> plutôt que sur la base de tel ou tel chapitre. À l</w:t>
      </w:r>
      <w:r>
        <w:rPr>
          <w:rFonts w:ascii="Times New Roman" w:hAnsi="Times New Roman"/>
          <w:noProof/>
          <w:sz w:val="24"/>
          <w:szCs w:val="24"/>
        </w:rPr>
        <w:t>’issue du processus d’examen analytique, réalisé par groupe de chapitres, l’UE et le pays candidat concerné conviendront des priorités à établir en matière d’intégration accélérée et de grandes réformes. Une fois ces priorités suffisamment examinées, le gr</w:t>
      </w:r>
      <w:r>
        <w:rPr>
          <w:rFonts w:ascii="Times New Roman" w:hAnsi="Times New Roman"/>
          <w:noProof/>
          <w:sz w:val="24"/>
          <w:szCs w:val="24"/>
        </w:rPr>
        <w:t xml:space="preserve">oupe de chapitres (englobant l’ensemble des chapitres associés) sera ouvert sans conditions supplémentaires et des critères de clôture seront définis pour chaque chapitre. Lorsque d’importantes réformes auront déjà été mises en œuvre avant l’ouverture, il </w:t>
      </w:r>
      <w:r>
        <w:rPr>
          <w:rFonts w:ascii="Times New Roman" w:hAnsi="Times New Roman"/>
          <w:noProof/>
          <w:sz w:val="24"/>
          <w:szCs w:val="24"/>
        </w:rPr>
        <w:t>conviendra de réduire le délai entre l’ouverture du groupe de chapitres et la clôture des différents chapitres, de préférence à moins d’un an, en fonction de l’avancée des réformes, en mettant l’accent sur les mesures restant à prendre pour garantir un ali</w:t>
      </w:r>
      <w:r>
        <w:rPr>
          <w:rFonts w:ascii="Times New Roman" w:hAnsi="Times New Roman"/>
          <w:noProof/>
          <w:sz w:val="24"/>
          <w:szCs w:val="24"/>
        </w:rPr>
        <w:t xml:space="preserve">gnement complet. </w:t>
      </w:r>
    </w:p>
    <w:p w:rsidR="00F37E16" w:rsidRDefault="00514E74">
      <w:pPr>
        <w:widowControl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Les </w:t>
      </w:r>
      <w:r>
        <w:rPr>
          <w:rFonts w:ascii="Times New Roman" w:hAnsi="Times New Roman"/>
          <w:b/>
          <w:noProof/>
          <w:sz w:val="24"/>
          <w:szCs w:val="24"/>
        </w:rPr>
        <w:t>groupes de chapitres seront alignés sur les domaines d’action des sous-comités de l’accord de stabilisation et d’association,</w:t>
      </w:r>
      <w:r>
        <w:rPr>
          <w:rFonts w:ascii="Times New Roman" w:hAnsi="Times New Roman"/>
          <w:noProof/>
          <w:sz w:val="24"/>
          <w:szCs w:val="24"/>
        </w:rPr>
        <w:t xml:space="preserve"> de sorte que les progrès d’un groupe puissent être suivis et que des mesures spécifiques d’alignement accéléré puissent être prises dans le cadre des structures dudit accord. Cela donnera lieu à des dialogues ciblés et permettra de recenser les </w:t>
      </w:r>
      <w:r>
        <w:rPr>
          <w:rFonts w:ascii="Times New Roman" w:hAnsi="Times New Roman"/>
          <w:b/>
          <w:noProof/>
          <w:sz w:val="24"/>
          <w:szCs w:val="24"/>
        </w:rPr>
        <w:t>possibilit</w:t>
      </w:r>
      <w:r>
        <w:rPr>
          <w:rFonts w:ascii="Times New Roman" w:hAnsi="Times New Roman"/>
          <w:b/>
          <w:noProof/>
          <w:sz w:val="24"/>
          <w:szCs w:val="24"/>
        </w:rPr>
        <w:t>és d’alignement</w:t>
      </w:r>
      <w:r>
        <w:rPr>
          <w:rFonts w:ascii="Times New Roman" w:hAnsi="Times New Roman"/>
          <w:noProof/>
          <w:sz w:val="24"/>
          <w:szCs w:val="24"/>
        </w:rPr>
        <w:t xml:space="preserve"> et d’intégration </w:t>
      </w:r>
      <w:r>
        <w:rPr>
          <w:rFonts w:ascii="Times New Roman" w:hAnsi="Times New Roman"/>
          <w:b/>
          <w:noProof/>
          <w:sz w:val="24"/>
          <w:szCs w:val="24"/>
        </w:rPr>
        <w:t>accélérés</w:t>
      </w:r>
      <w:r>
        <w:rPr>
          <w:rFonts w:ascii="Times New Roman" w:hAnsi="Times New Roman"/>
          <w:noProof/>
          <w:sz w:val="24"/>
          <w:szCs w:val="24"/>
        </w:rPr>
        <w:t xml:space="preserve"> dans tous les domaines d’action de l’UE, avec à la clef des avantages évidents pour l’Union européenne et les pays candidats.</w:t>
      </w:r>
    </w:p>
    <w:p w:rsidR="00F37E16" w:rsidRDefault="00514E74">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Afin d'insuffler davantage de dynamisme dans les </w:t>
      </w:r>
      <w:r>
        <w:rPr>
          <w:rFonts w:ascii="Times New Roman" w:hAnsi="Times New Roman"/>
          <w:b/>
          <w:noProof/>
          <w:sz w:val="24"/>
          <w:szCs w:val="24"/>
        </w:rPr>
        <w:t>négociations avec la Serbie et le Mont</w:t>
      </w:r>
      <w:r>
        <w:rPr>
          <w:rFonts w:ascii="Times New Roman" w:hAnsi="Times New Roman"/>
          <w:b/>
          <w:noProof/>
          <w:sz w:val="24"/>
          <w:szCs w:val="24"/>
        </w:rPr>
        <w:t>énégro</w:t>
      </w:r>
      <w:r>
        <w:rPr>
          <w:rFonts w:ascii="Times New Roman" w:hAnsi="Times New Roman"/>
          <w:noProof/>
          <w:sz w:val="24"/>
          <w:szCs w:val="24"/>
        </w:rPr>
        <w:t>, il sera possible d'articuler les travaux sur les chapitres autour des groupes de chapitres, tout en respectant les cadres de négociation actuels et en accord avec ces pays. Cela aura également pour effet de mettre davantage l’accent sur des secteur</w:t>
      </w:r>
      <w:r>
        <w:rPr>
          <w:rFonts w:ascii="Times New Roman" w:hAnsi="Times New Roman"/>
          <w:noProof/>
          <w:sz w:val="24"/>
          <w:szCs w:val="24"/>
        </w:rPr>
        <w:t>s clefs et de créer une dynamique politique dans les pays autour de questions déterminantes pour l’alignement. Il sera possible de se livrer à un exercice de recensement des domaines d’intérêt pour un alignement sectoriel et une intégration accélérés, et d</w:t>
      </w:r>
      <w:r>
        <w:rPr>
          <w:rFonts w:ascii="Times New Roman" w:hAnsi="Times New Roman"/>
          <w:noProof/>
          <w:sz w:val="24"/>
          <w:szCs w:val="24"/>
        </w:rPr>
        <w:t>es feuilles de route communes devront être adoptées et faire l'objet d'un suivi dans le cadre des structures de l’accord de stabilisation et d’association.</w:t>
      </w:r>
    </w:p>
    <w:p w:rsidR="00F37E16" w:rsidRDefault="00514E74">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 </w:t>
      </w:r>
    </w:p>
    <w:p w:rsidR="00F37E16" w:rsidRDefault="00514E74">
      <w:pPr>
        <w:pStyle w:val="ListParagraph"/>
        <w:numPr>
          <w:ilvl w:val="0"/>
          <w:numId w:val="32"/>
        </w:numPr>
        <w:spacing w:after="120" w:line="240" w:lineRule="auto"/>
        <w:jc w:val="both"/>
        <w:rPr>
          <w:rFonts w:ascii="Times New Roman" w:hAnsi="Times New Roman" w:cs="Times New Roman"/>
          <w:b/>
          <w:noProof/>
          <w:sz w:val="24"/>
          <w:szCs w:val="24"/>
          <w:u w:val="single"/>
        </w:rPr>
      </w:pPr>
      <w:r>
        <w:rPr>
          <w:rFonts w:ascii="Times New Roman" w:hAnsi="Times New Roman"/>
          <w:b/>
          <w:noProof/>
          <w:sz w:val="24"/>
          <w:szCs w:val="24"/>
        </w:rPr>
        <w:t xml:space="preserve">Prévisibilité et conditions positives et négatives </w:t>
      </w:r>
    </w:p>
    <w:p w:rsidR="00F37E16" w:rsidRDefault="00514E74">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Des voix s’élèvent dans les États membres et l</w:t>
      </w:r>
      <w:r>
        <w:rPr>
          <w:rFonts w:ascii="Times New Roman" w:hAnsi="Times New Roman"/>
          <w:noProof/>
          <w:sz w:val="24"/>
          <w:szCs w:val="24"/>
        </w:rPr>
        <w:t xml:space="preserve">es Balkans occidentaux en faveur d’un processus plus prévisible, garant d’une </w:t>
      </w:r>
      <w:r>
        <w:rPr>
          <w:rFonts w:ascii="Times New Roman" w:hAnsi="Times New Roman"/>
          <w:b/>
          <w:noProof/>
          <w:sz w:val="24"/>
          <w:szCs w:val="24"/>
        </w:rPr>
        <w:t xml:space="preserve">plus grande clarté quant aux attentes de l’Union </w:t>
      </w:r>
      <w:r>
        <w:rPr>
          <w:rFonts w:ascii="Times New Roman" w:hAnsi="Times New Roman"/>
          <w:noProof/>
          <w:sz w:val="24"/>
          <w:szCs w:val="24"/>
        </w:rPr>
        <w:t>à l’égard des pays concernés par l’élargissement aux différents stades du processus, et quant aux</w:t>
      </w:r>
      <w:r>
        <w:rPr>
          <w:rFonts w:ascii="Times New Roman" w:hAnsi="Times New Roman"/>
          <w:b/>
          <w:noProof/>
          <w:sz w:val="24"/>
          <w:szCs w:val="24"/>
        </w:rPr>
        <w:t xml:space="preserve"> conséquences positives et négat</w:t>
      </w:r>
      <w:r>
        <w:rPr>
          <w:rFonts w:ascii="Times New Roman" w:hAnsi="Times New Roman"/>
          <w:b/>
          <w:noProof/>
          <w:sz w:val="24"/>
          <w:szCs w:val="24"/>
        </w:rPr>
        <w:t xml:space="preserve">ives </w:t>
      </w:r>
      <w:r>
        <w:rPr>
          <w:rFonts w:ascii="Times New Roman" w:hAnsi="Times New Roman"/>
          <w:noProof/>
          <w:sz w:val="24"/>
          <w:szCs w:val="24"/>
        </w:rPr>
        <w:t>des</w:t>
      </w:r>
      <w:r>
        <w:rPr>
          <w:rFonts w:ascii="Times New Roman" w:hAnsi="Times New Roman"/>
          <w:b/>
          <w:noProof/>
          <w:sz w:val="24"/>
          <w:szCs w:val="24"/>
        </w:rPr>
        <w:t xml:space="preserve"> </w:t>
      </w:r>
      <w:r>
        <w:rPr>
          <w:rFonts w:ascii="Times New Roman" w:hAnsi="Times New Roman"/>
          <w:noProof/>
          <w:sz w:val="24"/>
          <w:szCs w:val="24"/>
        </w:rPr>
        <w:t xml:space="preserve">progrès réalisés ou de l’absence de progrès. </w:t>
      </w:r>
    </w:p>
    <w:p w:rsidR="00F37E16" w:rsidRDefault="00514E74">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La Commission utilisera le </w:t>
      </w:r>
      <w:r>
        <w:rPr>
          <w:rFonts w:ascii="Times New Roman" w:hAnsi="Times New Roman"/>
          <w:b/>
          <w:noProof/>
          <w:sz w:val="24"/>
          <w:szCs w:val="24"/>
        </w:rPr>
        <w:t>«paquet élargissement» pour s’assurer de l’alignement</w:t>
      </w:r>
      <w:r>
        <w:rPr>
          <w:rFonts w:ascii="Times New Roman" w:hAnsi="Times New Roman"/>
          <w:noProof/>
          <w:sz w:val="24"/>
          <w:szCs w:val="24"/>
        </w:rPr>
        <w:t xml:space="preserve"> des candidats sur l’acquis et </w:t>
      </w:r>
      <w:r>
        <w:rPr>
          <w:rFonts w:ascii="Times New Roman" w:hAnsi="Times New Roman"/>
          <w:b/>
          <w:noProof/>
          <w:sz w:val="24"/>
          <w:szCs w:val="24"/>
        </w:rPr>
        <w:t>fournira</w:t>
      </w:r>
      <w:r>
        <w:rPr>
          <w:rFonts w:ascii="Times New Roman" w:hAnsi="Times New Roman"/>
          <w:noProof/>
          <w:sz w:val="24"/>
          <w:szCs w:val="24"/>
        </w:rPr>
        <w:t xml:space="preserve"> </w:t>
      </w:r>
      <w:r>
        <w:rPr>
          <w:rFonts w:ascii="Times New Roman" w:hAnsi="Times New Roman"/>
          <w:b/>
          <w:noProof/>
          <w:sz w:val="24"/>
          <w:szCs w:val="24"/>
        </w:rPr>
        <w:t xml:space="preserve">des orientations plus précises </w:t>
      </w:r>
      <w:r>
        <w:rPr>
          <w:rFonts w:ascii="Times New Roman" w:hAnsi="Times New Roman"/>
          <w:noProof/>
          <w:sz w:val="24"/>
          <w:szCs w:val="24"/>
        </w:rPr>
        <w:t>sur les priorités de réformes particulières et sur</w:t>
      </w:r>
      <w:r>
        <w:rPr>
          <w:rFonts w:ascii="Times New Roman" w:hAnsi="Times New Roman"/>
          <w:noProof/>
          <w:sz w:val="24"/>
          <w:szCs w:val="24"/>
        </w:rPr>
        <w:t xml:space="preserve"> les critères d’alignement, ainsi que sur les attentes concernant les prochaines étapes du processus. Un pilotage politique plus déterminé et des conférences intergouvernementales recentrées augmenteront la prévisibilité et clarifieront la planification de</w:t>
      </w:r>
      <w:r>
        <w:rPr>
          <w:rFonts w:ascii="Times New Roman" w:hAnsi="Times New Roman"/>
          <w:noProof/>
          <w:sz w:val="24"/>
          <w:szCs w:val="24"/>
        </w:rPr>
        <w:t xml:space="preserve"> l’année à venir. Les acteurs politiques des différents pays auront ainsi une idée plus claire de ce qui doit être accompli pour passer à l’étape suivante. Ils auront notamment une indication des chapitres/groupes de chapitres susceptibles d’être ouverts o</w:t>
      </w:r>
      <w:r>
        <w:rPr>
          <w:rFonts w:ascii="Times New Roman" w:hAnsi="Times New Roman"/>
          <w:noProof/>
          <w:sz w:val="24"/>
          <w:szCs w:val="24"/>
        </w:rPr>
        <w:t xml:space="preserve">u clôturés et, le cas échéant, des conditions devant encore être remplies pour ce faire. </w:t>
      </w:r>
    </w:p>
    <w:p w:rsidR="00F37E16" w:rsidRDefault="00514E74">
      <w:pPr>
        <w:widowControl w:val="0"/>
        <w:spacing w:after="120" w:line="240" w:lineRule="auto"/>
        <w:jc w:val="both"/>
        <w:rPr>
          <w:rFonts w:ascii="Times New Roman" w:hAnsi="Times New Roman" w:cs="Times New Roman"/>
          <w:noProof/>
          <w:sz w:val="24"/>
          <w:szCs w:val="24"/>
        </w:rPr>
      </w:pPr>
      <w:r>
        <w:rPr>
          <w:rFonts w:ascii="Times New Roman" w:hAnsi="Times New Roman"/>
          <w:b/>
          <w:noProof/>
          <w:sz w:val="24"/>
          <w:szCs w:val="24"/>
        </w:rPr>
        <w:t xml:space="preserve">L’élément clef du processus d’adhésion basé sur le mérite est sa conditionnalité. </w:t>
      </w:r>
      <w:r>
        <w:rPr>
          <w:rFonts w:ascii="Times New Roman" w:hAnsi="Times New Roman"/>
          <w:noProof/>
          <w:sz w:val="24"/>
          <w:szCs w:val="24"/>
        </w:rPr>
        <w:t xml:space="preserve">Pour y parvenir, toutefois, </w:t>
      </w:r>
      <w:r>
        <w:rPr>
          <w:rFonts w:ascii="Times New Roman" w:hAnsi="Times New Roman"/>
          <w:b/>
          <w:noProof/>
          <w:sz w:val="24"/>
          <w:szCs w:val="24"/>
        </w:rPr>
        <w:t>il importe que les conditions soient claires</w:t>
      </w:r>
      <w:r>
        <w:rPr>
          <w:rFonts w:ascii="Times New Roman" w:hAnsi="Times New Roman"/>
          <w:noProof/>
          <w:sz w:val="24"/>
          <w:szCs w:val="24"/>
        </w:rPr>
        <w:t xml:space="preserve"> dès le dépa</w:t>
      </w:r>
      <w:r>
        <w:rPr>
          <w:rFonts w:ascii="Times New Roman" w:hAnsi="Times New Roman"/>
          <w:noProof/>
          <w:sz w:val="24"/>
          <w:szCs w:val="24"/>
        </w:rPr>
        <w:t xml:space="preserve">rt. Il est important que les pays candidats connaissent les critères à l’aune desquels leurs résultats seront mesurés et que les États membres aient une vision claire et commune de ce qu’ils attendent précisément des candidats. </w:t>
      </w:r>
      <w:r>
        <w:rPr>
          <w:rFonts w:ascii="Times New Roman" w:hAnsi="Times New Roman"/>
          <w:b/>
          <w:noProof/>
          <w:sz w:val="24"/>
          <w:szCs w:val="24"/>
        </w:rPr>
        <w:t>La Commission définira mieux</w:t>
      </w:r>
      <w:r>
        <w:rPr>
          <w:rFonts w:ascii="Times New Roman" w:hAnsi="Times New Roman"/>
          <w:b/>
          <w:noProof/>
          <w:sz w:val="24"/>
          <w:szCs w:val="24"/>
        </w:rPr>
        <w:t xml:space="preserve"> les conditions que les candidats doivent remplir</w:t>
      </w:r>
      <w:r>
        <w:rPr>
          <w:rFonts w:ascii="Times New Roman" w:hAnsi="Times New Roman"/>
          <w:noProof/>
          <w:sz w:val="24"/>
          <w:szCs w:val="24"/>
        </w:rPr>
        <w:t xml:space="preserve"> pour progresser, en particulier par l’intermédiaire de ses rapports annuels. Il y a lieu que ces conditions soient objectives, précises, détaillées, strictes et vérifiables. La Commission se servira aussi d</w:t>
      </w:r>
      <w:r>
        <w:rPr>
          <w:rFonts w:ascii="Times New Roman" w:hAnsi="Times New Roman"/>
          <w:noProof/>
          <w:sz w:val="24"/>
          <w:szCs w:val="24"/>
        </w:rPr>
        <w:t xml:space="preserve">’indicateurs de tierces parties, le cas échéant, afin de permettre aux États membres d’arrêter leurs décisions le plus possible en connaissance de cause. </w:t>
      </w:r>
    </w:p>
    <w:p w:rsidR="00F37E16" w:rsidRDefault="00514E74">
      <w:pPr>
        <w:spacing w:after="120" w:line="240" w:lineRule="auto"/>
        <w:jc w:val="both"/>
        <w:rPr>
          <w:rFonts w:ascii="Times New Roman" w:hAnsi="Times New Roman" w:cs="Times New Roman"/>
          <w:b/>
          <w:noProof/>
          <w:sz w:val="24"/>
          <w:szCs w:val="24"/>
          <w:u w:val="single"/>
        </w:rPr>
      </w:pPr>
      <w:r>
        <w:rPr>
          <w:rFonts w:ascii="Times New Roman" w:hAnsi="Times New Roman"/>
          <w:noProof/>
          <w:sz w:val="24"/>
          <w:szCs w:val="24"/>
        </w:rPr>
        <w:t xml:space="preserve">En fournissant </w:t>
      </w:r>
      <w:r>
        <w:rPr>
          <w:rFonts w:ascii="Times New Roman" w:hAnsi="Times New Roman"/>
          <w:b/>
          <w:noProof/>
          <w:sz w:val="24"/>
          <w:szCs w:val="24"/>
        </w:rPr>
        <w:t>des incitations claires et tangibles présentant un intérêt direct pour les citoyens, l</w:t>
      </w:r>
      <w:r>
        <w:rPr>
          <w:rFonts w:ascii="Times New Roman" w:hAnsi="Times New Roman"/>
          <w:b/>
          <w:noProof/>
          <w:sz w:val="24"/>
          <w:szCs w:val="24"/>
        </w:rPr>
        <w:t>’UE peut encourager l’avènement d’une véritable volonté politique</w:t>
      </w:r>
      <w:r>
        <w:rPr>
          <w:rFonts w:ascii="Times New Roman" w:hAnsi="Times New Roman"/>
          <w:noProof/>
          <w:sz w:val="24"/>
          <w:szCs w:val="24"/>
        </w:rPr>
        <w:t xml:space="preserve"> et récompenser les résultats découlant de réformes exigeantes et d’un processus de changements politiques, économiques et sociétaux. </w:t>
      </w:r>
      <w:r>
        <w:rPr>
          <w:rFonts w:ascii="Times New Roman" w:hAnsi="Times New Roman"/>
          <w:b/>
          <w:noProof/>
          <w:sz w:val="24"/>
          <w:szCs w:val="24"/>
        </w:rPr>
        <w:t>Si un pays progresse suffisamment sur la voie des priorit</w:t>
      </w:r>
      <w:r>
        <w:rPr>
          <w:rFonts w:ascii="Times New Roman" w:hAnsi="Times New Roman"/>
          <w:b/>
          <w:noProof/>
          <w:sz w:val="24"/>
          <w:szCs w:val="24"/>
        </w:rPr>
        <w:t xml:space="preserve">és en matière de réforme convenues dans les négociations, il devrait en résulter: </w:t>
      </w:r>
    </w:p>
    <w:p w:rsidR="00F37E16" w:rsidRDefault="00514E74">
      <w:pPr>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sz w:val="24"/>
          <w:szCs w:val="24"/>
          <w:u w:val="single"/>
        </w:rPr>
        <w:t>une plus grande intégration</w:t>
      </w:r>
      <w:r>
        <w:rPr>
          <w:rFonts w:ascii="Times New Roman" w:hAnsi="Times New Roman"/>
          <w:noProof/>
          <w:sz w:val="24"/>
          <w:szCs w:val="24"/>
        </w:rPr>
        <w:t xml:space="preserve"> dudit pays dans l’Union européenne, </w:t>
      </w:r>
      <w:r>
        <w:rPr>
          <w:rFonts w:ascii="Times New Roman" w:hAnsi="Times New Roman"/>
          <w:noProof/>
          <w:sz w:val="24"/>
          <w:szCs w:val="24"/>
          <w:u w:val="single"/>
        </w:rPr>
        <w:t>une accélération des travaux d’intégration et une montée en puissance des différentes politiques de l’UE</w:t>
      </w:r>
      <w:r>
        <w:rPr>
          <w:rFonts w:ascii="Times New Roman" w:hAnsi="Times New Roman"/>
          <w:noProof/>
          <w:sz w:val="24"/>
          <w:szCs w:val="24"/>
        </w:rPr>
        <w:t>, ain</w:t>
      </w:r>
      <w:r>
        <w:rPr>
          <w:rFonts w:ascii="Times New Roman" w:hAnsi="Times New Roman"/>
          <w:noProof/>
          <w:sz w:val="24"/>
          <w:szCs w:val="24"/>
        </w:rPr>
        <w:t xml:space="preserve">si que du marché et des programmes de l’UE, tout en garantissant des conditions égales; </w:t>
      </w:r>
    </w:p>
    <w:p w:rsidR="00F37E16" w:rsidRDefault="00514E74">
      <w:pPr>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sz w:val="24"/>
          <w:szCs w:val="24"/>
          <w:u w:val="single"/>
        </w:rPr>
        <w:t>une augmentation des financements et des investissements</w:t>
      </w:r>
      <w:r>
        <w:rPr>
          <w:rFonts w:ascii="Times New Roman" w:hAnsi="Times New Roman"/>
          <w:noProof/>
          <w:sz w:val="24"/>
          <w:szCs w:val="24"/>
        </w:rPr>
        <w:t xml:space="preserve"> – y compris au moyen d’un appui de l’instrument d’aide de préadhésion axé sur les performances et sur les réfo</w:t>
      </w:r>
      <w:r>
        <w:rPr>
          <w:rFonts w:ascii="Times New Roman" w:hAnsi="Times New Roman"/>
          <w:noProof/>
          <w:sz w:val="24"/>
          <w:szCs w:val="24"/>
        </w:rPr>
        <w:t>rmes, ainsi que d’une coopération plus étroite avec les institutions financières internationales en vue de mobiliser du soutien.</w:t>
      </w:r>
    </w:p>
    <w:p w:rsidR="00F37E16" w:rsidRDefault="00514E74">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Ces mesures devraient contribuer, par le recours aux fonds de l’UE, à créer une forte préférence européenne compatible avec les</w:t>
      </w:r>
      <w:r>
        <w:rPr>
          <w:rFonts w:ascii="Times New Roman" w:hAnsi="Times New Roman"/>
          <w:noProof/>
          <w:sz w:val="24"/>
          <w:szCs w:val="24"/>
        </w:rPr>
        <w:t xml:space="preserve"> règles de l’OMC, tout en renforçant l’économie locale. </w:t>
      </w:r>
    </w:p>
    <w:p w:rsidR="00F37E16" w:rsidRDefault="00514E74">
      <w:pPr>
        <w:widowControl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Alors que les progrès en matière de réformes demandent à être encouragés et récompensés de manière plus tangible, il est nécessaire également de prendre </w:t>
      </w:r>
      <w:r>
        <w:rPr>
          <w:rFonts w:ascii="Times New Roman" w:hAnsi="Times New Roman"/>
          <w:b/>
          <w:noProof/>
          <w:sz w:val="24"/>
          <w:szCs w:val="24"/>
        </w:rPr>
        <w:t>davantage de mesures décisives sanctionnant de</w:t>
      </w:r>
      <w:r>
        <w:rPr>
          <w:rFonts w:ascii="Times New Roman" w:hAnsi="Times New Roman"/>
          <w:b/>
          <w:noProof/>
          <w:sz w:val="24"/>
          <w:szCs w:val="24"/>
        </w:rPr>
        <w:t xml:space="preserve"> manière proportionnelle toute situation grave ou prolongée de stagnation, voire de recul</w:t>
      </w:r>
      <w:r>
        <w:rPr>
          <w:rFonts w:ascii="Times New Roman" w:hAnsi="Times New Roman"/>
          <w:noProof/>
          <w:sz w:val="24"/>
          <w:szCs w:val="24"/>
        </w:rPr>
        <w:t xml:space="preserve"> dans la mise en œuvre des réformes et le respect des exigences inhérentes au processus d’adhésion.</w:t>
      </w:r>
    </w:p>
    <w:p w:rsidR="00F37E16" w:rsidRDefault="00514E74">
      <w:pPr>
        <w:widowControl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Il convient que de telles décisions de mettre un terme au processus</w:t>
      </w:r>
      <w:r>
        <w:rPr>
          <w:rFonts w:ascii="Times New Roman" w:hAnsi="Times New Roman"/>
          <w:noProof/>
          <w:sz w:val="24"/>
          <w:szCs w:val="24"/>
        </w:rPr>
        <w:t xml:space="preserve">, voire d’en inverser le sens, soient communiquées par </w:t>
      </w:r>
      <w:r>
        <w:rPr>
          <w:rFonts w:ascii="Times New Roman" w:hAnsi="Times New Roman"/>
          <w:b/>
          <w:noProof/>
          <w:sz w:val="24"/>
          <w:szCs w:val="24"/>
        </w:rPr>
        <w:t>la Commission lors de son évaluation annuelle</w:t>
      </w:r>
      <w:r>
        <w:rPr>
          <w:rFonts w:ascii="Times New Roman" w:hAnsi="Times New Roman"/>
          <w:noProof/>
          <w:sz w:val="24"/>
          <w:szCs w:val="24"/>
        </w:rPr>
        <w:t xml:space="preserve"> dans le cadre de son «paquet élargissement» portant sur l’équilibre global des négociations d’adhésion et la mesure dans laquelle les réformes fondamentale</w:t>
      </w:r>
      <w:r>
        <w:rPr>
          <w:rFonts w:ascii="Times New Roman" w:hAnsi="Times New Roman"/>
          <w:noProof/>
          <w:sz w:val="24"/>
          <w:szCs w:val="24"/>
        </w:rPr>
        <w:t xml:space="preserve">s sont en cours d’exécution, en particulier sur l’état de droit. Les États membres pourront continuer à contribuer au processus en signalant à la Commission toute stagnation ou tout recul grave dans le processus de réforme. </w:t>
      </w:r>
    </w:p>
    <w:p w:rsidR="00F37E16" w:rsidRDefault="00514E74">
      <w:pPr>
        <w:widowControl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Pour les cas préoccupants, la C</w:t>
      </w:r>
      <w:r>
        <w:rPr>
          <w:rFonts w:ascii="Times New Roman" w:hAnsi="Times New Roman"/>
          <w:noProof/>
          <w:sz w:val="24"/>
          <w:szCs w:val="24"/>
        </w:rPr>
        <w:t>ommission peut à tout moment faire des propositions de sa propre initiative ou à la demande dûment motivée d’un État membre, afin de garantir qu’une réponse rapide est apportée à la situation en cause au moyen de procédures simplifiées, le cas échéant, y c</w:t>
      </w:r>
      <w:r>
        <w:rPr>
          <w:rFonts w:ascii="Times New Roman" w:hAnsi="Times New Roman"/>
          <w:noProof/>
          <w:sz w:val="24"/>
          <w:szCs w:val="24"/>
        </w:rPr>
        <w:t xml:space="preserve">ompris par un vote à la majorité qualifiée inversée.   </w:t>
      </w:r>
    </w:p>
    <w:p w:rsidR="00F37E16" w:rsidRDefault="00514E74">
      <w:pPr>
        <w:widowControl w:val="0"/>
        <w:spacing w:after="120" w:line="240" w:lineRule="auto"/>
        <w:jc w:val="both"/>
        <w:rPr>
          <w:rFonts w:ascii="Times New Roman" w:hAnsi="Times New Roman" w:cs="Times New Roman"/>
          <w:noProof/>
          <w:sz w:val="24"/>
          <w:szCs w:val="24"/>
        </w:rPr>
      </w:pPr>
      <w:bookmarkStart w:id="1" w:name="_GoBack"/>
      <w:bookmarkEnd w:id="1"/>
      <w:r>
        <w:rPr>
          <w:rFonts w:ascii="Times New Roman" w:hAnsi="Times New Roman"/>
          <w:noProof/>
          <w:sz w:val="24"/>
          <w:szCs w:val="24"/>
        </w:rPr>
        <w:t>L’</w:t>
      </w:r>
      <w:r>
        <w:rPr>
          <w:rFonts w:ascii="Times New Roman" w:hAnsi="Times New Roman"/>
          <w:b/>
          <w:noProof/>
          <w:sz w:val="24"/>
          <w:szCs w:val="24"/>
        </w:rPr>
        <w:t xml:space="preserve">UE pourrait remédier à certains problèmes potentiels de diverses manières. </w:t>
      </w:r>
    </w:p>
    <w:p w:rsidR="00F37E16" w:rsidRDefault="00514E74">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Les États membres pourraient décider de mettre les </w:t>
      </w:r>
      <w:r>
        <w:rPr>
          <w:rFonts w:ascii="Times New Roman" w:hAnsi="Times New Roman"/>
          <w:noProof/>
          <w:sz w:val="24"/>
          <w:szCs w:val="24"/>
          <w:u w:val="single"/>
        </w:rPr>
        <w:t>négociations</w:t>
      </w:r>
      <w:r>
        <w:rPr>
          <w:rFonts w:ascii="Times New Roman" w:hAnsi="Times New Roman"/>
          <w:noProof/>
          <w:sz w:val="24"/>
          <w:szCs w:val="24"/>
        </w:rPr>
        <w:t xml:space="preserve"> </w:t>
      </w:r>
      <w:r>
        <w:rPr>
          <w:rFonts w:ascii="Times New Roman" w:hAnsi="Times New Roman"/>
          <w:noProof/>
          <w:sz w:val="24"/>
          <w:szCs w:val="24"/>
          <w:u w:val="single"/>
        </w:rPr>
        <w:t>en sommeil</w:t>
      </w:r>
      <w:r>
        <w:rPr>
          <w:rFonts w:ascii="Times New Roman" w:hAnsi="Times New Roman"/>
          <w:noProof/>
          <w:sz w:val="24"/>
          <w:szCs w:val="24"/>
        </w:rPr>
        <w:t xml:space="preserve"> dans certains domaines ou, dans les cas les plus graves, de les </w:t>
      </w:r>
      <w:r>
        <w:rPr>
          <w:rFonts w:ascii="Times New Roman" w:hAnsi="Times New Roman"/>
          <w:noProof/>
          <w:sz w:val="24"/>
          <w:szCs w:val="24"/>
          <w:u w:val="single"/>
        </w:rPr>
        <w:t>suspendre</w:t>
      </w:r>
      <w:r>
        <w:rPr>
          <w:rFonts w:ascii="Times New Roman" w:hAnsi="Times New Roman"/>
          <w:noProof/>
          <w:sz w:val="24"/>
          <w:szCs w:val="24"/>
        </w:rPr>
        <w:t xml:space="preserve"> tout à fait. </w:t>
      </w:r>
      <w:r>
        <w:rPr>
          <w:rFonts w:ascii="Times New Roman" w:hAnsi="Times New Roman"/>
          <w:noProof/>
          <w:sz w:val="24"/>
          <w:szCs w:val="24"/>
          <w:u w:val="single"/>
        </w:rPr>
        <w:t xml:space="preserve">Des chapitres déjà clôturés pourraient être rouverts </w:t>
      </w:r>
      <w:r>
        <w:rPr>
          <w:rFonts w:ascii="Times New Roman" w:hAnsi="Times New Roman"/>
          <w:noProof/>
          <w:sz w:val="24"/>
          <w:szCs w:val="24"/>
        </w:rPr>
        <w:t>ou réinitialisés si des questions devaient être réévaluées.</w:t>
      </w:r>
    </w:p>
    <w:p w:rsidR="00F37E16" w:rsidRDefault="00514E74">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La </w:t>
      </w:r>
      <w:r>
        <w:rPr>
          <w:rFonts w:ascii="Times New Roman" w:hAnsi="Times New Roman"/>
          <w:noProof/>
          <w:sz w:val="24"/>
          <w:szCs w:val="24"/>
          <w:u w:val="single"/>
        </w:rPr>
        <w:t>portée et l’intensité du financement de l’UE pourrai</w:t>
      </w:r>
      <w:r>
        <w:rPr>
          <w:rFonts w:ascii="Times New Roman" w:hAnsi="Times New Roman"/>
          <w:noProof/>
          <w:sz w:val="24"/>
          <w:szCs w:val="24"/>
          <w:u w:val="single"/>
        </w:rPr>
        <w:t>ent être revues à la baisse, à l’exception du soutien à la société civile</w:t>
      </w:r>
      <w:r>
        <w:rPr>
          <w:rFonts w:ascii="Times New Roman" w:hAnsi="Times New Roman"/>
          <w:noProof/>
          <w:sz w:val="24"/>
          <w:szCs w:val="24"/>
        </w:rPr>
        <w:t xml:space="preserve">. </w:t>
      </w:r>
    </w:p>
    <w:p w:rsidR="00F37E16" w:rsidRDefault="00514E74">
      <w:pPr>
        <w:widowControl w:val="0"/>
        <w:numPr>
          <w:ilvl w:val="0"/>
          <w:numId w:val="24"/>
        </w:numPr>
        <w:spacing w:after="120" w:line="240" w:lineRule="auto"/>
        <w:jc w:val="both"/>
        <w:rPr>
          <w:rFonts w:ascii="Times New Roman" w:hAnsi="Times New Roman" w:cs="Times New Roman"/>
          <w:noProof/>
          <w:sz w:val="24"/>
          <w:szCs w:val="24"/>
        </w:rPr>
      </w:pPr>
      <w:r>
        <w:rPr>
          <w:rFonts w:ascii="Times New Roman" w:hAnsi="Times New Roman"/>
          <w:noProof/>
          <w:sz w:val="24"/>
          <w:szCs w:val="24"/>
          <w:u w:val="single"/>
        </w:rPr>
        <w:t>Les bénéfices que confère une intégration plus étroite</w:t>
      </w:r>
      <w:r>
        <w:rPr>
          <w:rFonts w:ascii="Times New Roman" w:hAnsi="Times New Roman"/>
          <w:noProof/>
          <w:sz w:val="24"/>
          <w:szCs w:val="24"/>
        </w:rPr>
        <w:t xml:space="preserve">, comme l’accès aux programmes de l’UE ou encore des concessions unilatérales pour l’accès au marché, </w:t>
      </w:r>
      <w:r>
        <w:rPr>
          <w:rFonts w:ascii="Times New Roman" w:hAnsi="Times New Roman"/>
          <w:noProof/>
          <w:sz w:val="24"/>
          <w:szCs w:val="24"/>
          <w:u w:val="single"/>
        </w:rPr>
        <w:t>pourraient être momentan</w:t>
      </w:r>
      <w:r>
        <w:rPr>
          <w:rFonts w:ascii="Times New Roman" w:hAnsi="Times New Roman"/>
          <w:noProof/>
          <w:sz w:val="24"/>
          <w:szCs w:val="24"/>
          <w:u w:val="single"/>
        </w:rPr>
        <w:t>ément interrompus ou supprimés</w:t>
      </w:r>
      <w:r>
        <w:rPr>
          <w:rFonts w:ascii="Times New Roman" w:hAnsi="Times New Roman"/>
          <w:noProof/>
          <w:sz w:val="24"/>
          <w:szCs w:val="24"/>
        </w:rPr>
        <w:t>.</w:t>
      </w:r>
    </w:p>
    <w:p w:rsidR="00F37E16" w:rsidRDefault="00514E74">
      <w:pPr>
        <w:widowControl w:val="0"/>
        <w:spacing w:after="120" w:line="240" w:lineRule="auto"/>
        <w:jc w:val="both"/>
        <w:rPr>
          <w:rFonts w:ascii="Times New Roman" w:hAnsi="Times New Roman" w:cs="Times New Roman"/>
          <w:noProof/>
          <w:sz w:val="24"/>
          <w:szCs w:val="24"/>
          <w:u w:val="single"/>
        </w:rPr>
      </w:pPr>
      <w:r>
        <w:rPr>
          <w:rFonts w:ascii="Times New Roman" w:hAnsi="Times New Roman"/>
          <w:noProof/>
          <w:sz w:val="24"/>
          <w:szCs w:val="24"/>
        </w:rPr>
        <w:t xml:space="preserve">La prévisibilité et la conditionnalité seront renforcées au moyen d’une </w:t>
      </w:r>
      <w:r>
        <w:rPr>
          <w:rFonts w:ascii="Times New Roman" w:hAnsi="Times New Roman"/>
          <w:b/>
          <w:noProof/>
          <w:sz w:val="24"/>
          <w:szCs w:val="24"/>
        </w:rPr>
        <w:t>plus grande transparence</w:t>
      </w:r>
      <w:r>
        <w:rPr>
          <w:rFonts w:ascii="Times New Roman" w:hAnsi="Times New Roman"/>
          <w:noProof/>
          <w:sz w:val="24"/>
          <w:szCs w:val="24"/>
        </w:rPr>
        <w:t>. Pour garantir la viabilité des réformes et faciliter le suivi de la mise en œuvre, toutes les réformes clefs des pays devraien</w:t>
      </w:r>
      <w:r>
        <w:rPr>
          <w:rFonts w:ascii="Times New Roman" w:hAnsi="Times New Roman"/>
          <w:noProof/>
          <w:sz w:val="24"/>
          <w:szCs w:val="24"/>
        </w:rPr>
        <w:t>t être réalisées dans la plus grande transparence et de manière inclusive, avec la participation des principales parties prenantes. De son côté, l’Union européenne devrait s’efforcer de rendre le processus plus transparent, en publiant plus largement les d</w:t>
      </w:r>
      <w:r>
        <w:rPr>
          <w:rFonts w:ascii="Times New Roman" w:hAnsi="Times New Roman"/>
          <w:noProof/>
          <w:sz w:val="24"/>
          <w:szCs w:val="24"/>
        </w:rPr>
        <w:t>ocuments les plus importants.</w:t>
      </w:r>
      <w:r>
        <w:rPr>
          <w:rFonts w:ascii="Times New Roman" w:hAnsi="Times New Roman"/>
          <w:noProof/>
          <w:sz w:val="24"/>
          <w:szCs w:val="24"/>
          <w:u w:val="single"/>
        </w:rPr>
        <w:t xml:space="preserve"> </w:t>
      </w:r>
    </w:p>
    <w:p w:rsidR="00F37E16" w:rsidRDefault="00514E74">
      <w:pPr>
        <w:pStyle w:val="Briefingtext"/>
        <w:spacing w:after="120"/>
        <w:rPr>
          <w:rFonts w:ascii="Times New Roman" w:eastAsia="Calibri" w:hAnsi="Times New Roman" w:cs="Times New Roman"/>
          <w:noProof/>
          <w:sz w:val="24"/>
        </w:rPr>
      </w:pPr>
      <w:r>
        <w:rPr>
          <w:rFonts w:ascii="Times New Roman" w:hAnsi="Times New Roman"/>
          <w:noProof/>
          <w:sz w:val="24"/>
        </w:rPr>
        <w:t>La Commission poursuivra aussi ses activités de communication et d’information, y compris au sein des États membres de l’UE, auxquels il incombe avant tout d’informer leurs citoyens des faits liés aux chances et aux défis str</w:t>
      </w:r>
      <w:r>
        <w:rPr>
          <w:rFonts w:ascii="Times New Roman" w:hAnsi="Times New Roman"/>
          <w:noProof/>
          <w:sz w:val="24"/>
        </w:rPr>
        <w:t xml:space="preserve">atégiques découlant du processus. </w:t>
      </w:r>
    </w:p>
    <w:p w:rsidR="00F37E16" w:rsidRDefault="00514E74">
      <w:pPr>
        <w:pStyle w:val="Briefingtext"/>
        <w:spacing w:after="120"/>
        <w:rPr>
          <w:rFonts w:ascii="Times New Roman" w:hAnsi="Times New Roman" w:cs="Times New Roman"/>
          <w:noProof/>
          <w:sz w:val="24"/>
        </w:rPr>
      </w:pPr>
      <w:r>
        <w:rPr>
          <w:rFonts w:ascii="Times New Roman" w:hAnsi="Times New Roman"/>
          <w:noProof/>
          <w:sz w:val="24"/>
        </w:rPr>
        <w:t>Un tableau exposant les groupes de chapitres proposés est joint en annexe. Les chapitres 34 «</w:t>
      </w:r>
      <w:r>
        <w:rPr>
          <w:rFonts w:ascii="Times New Roman" w:hAnsi="Times New Roman"/>
          <w:i/>
          <w:noProof/>
          <w:sz w:val="24"/>
        </w:rPr>
        <w:t>Institutions</w:t>
      </w:r>
      <w:r>
        <w:rPr>
          <w:rFonts w:ascii="Times New Roman" w:hAnsi="Times New Roman"/>
          <w:noProof/>
          <w:sz w:val="24"/>
        </w:rPr>
        <w:t>» et 35 «</w:t>
      </w:r>
      <w:r>
        <w:rPr>
          <w:rFonts w:ascii="Times New Roman" w:hAnsi="Times New Roman"/>
          <w:i/>
          <w:noProof/>
          <w:sz w:val="24"/>
        </w:rPr>
        <w:t>Questions diverses</w:t>
      </w:r>
      <w:r>
        <w:rPr>
          <w:rFonts w:ascii="Times New Roman" w:hAnsi="Times New Roman"/>
          <w:noProof/>
          <w:sz w:val="24"/>
        </w:rPr>
        <w:t xml:space="preserve">» seront traités séparément. </w:t>
      </w:r>
      <w:r>
        <w:rPr>
          <w:rFonts w:ascii="Times New Roman" w:hAnsi="Times New Roman"/>
          <w:noProof/>
          <w:sz w:val="24"/>
        </w:rPr>
        <w:br w:type="page"/>
      </w:r>
    </w:p>
    <w:p w:rsidR="00F37E16" w:rsidRDefault="00514E74">
      <w:pPr>
        <w:pageBreakBefore/>
        <w:spacing w:after="120" w:line="240" w:lineRule="auto"/>
        <w:jc w:val="both"/>
        <w:rPr>
          <w:rFonts w:ascii="Times New Roman" w:hAnsi="Times New Roman"/>
          <w:b/>
          <w:noProof/>
          <w:sz w:val="24"/>
          <w:szCs w:val="24"/>
          <w:u w:val="single"/>
        </w:rPr>
      </w:pPr>
      <w:r>
        <w:rPr>
          <w:rFonts w:ascii="Times New Roman" w:hAnsi="Times New Roman"/>
          <w:b/>
          <w:noProof/>
          <w:sz w:val="24"/>
          <w:szCs w:val="24"/>
          <w:u w:val="single"/>
        </w:rPr>
        <w:t>Annexe technique: groupes de chapitres de négociation</w:t>
      </w:r>
    </w:p>
    <w:p w:rsidR="00F37E16" w:rsidRDefault="00F37E16">
      <w:pPr>
        <w:spacing w:after="120" w:line="240" w:lineRule="auto"/>
        <w:jc w:val="both"/>
        <w:rPr>
          <w:rFonts w:ascii="Times New Roman" w:hAnsi="Times New Roman" w:cs="Times New Roman"/>
          <w:b/>
          <w:noProof/>
          <w:sz w:val="24"/>
          <w:szCs w:val="24"/>
          <w:u w:val="single"/>
        </w:rPr>
      </w:pPr>
    </w:p>
    <w:tbl>
      <w:tblPr>
        <w:tblStyle w:val="TableGrid1"/>
        <w:tblW w:w="0" w:type="auto"/>
        <w:tblLook w:val="04A0" w:firstRow="1" w:lastRow="0" w:firstColumn="1" w:lastColumn="0" w:noHBand="0" w:noVBand="1"/>
      </w:tblPr>
      <w:tblGrid>
        <w:gridCol w:w="4656"/>
        <w:gridCol w:w="4630"/>
      </w:tblGrid>
      <w:tr w:rsidR="00F37E16">
        <w:tc>
          <w:tcPr>
            <w:tcW w:w="4656" w:type="dxa"/>
          </w:tcPr>
          <w:p w:rsidR="00F37E16" w:rsidRDefault="00514E74">
            <w:pPr>
              <w:numPr>
                <w:ilvl w:val="0"/>
                <w:numId w:val="20"/>
              </w:numPr>
              <w:spacing w:after="120"/>
              <w:ind w:left="284" w:hanging="284"/>
              <w:rPr>
                <w:rFonts w:ascii="Times New Roman" w:hAnsi="Times New Roman" w:cs="Times New Roman"/>
                <w:b/>
                <w:noProof/>
                <w:color w:val="000000" w:themeColor="text1"/>
                <w:sz w:val="24"/>
                <w:szCs w:val="24"/>
              </w:rPr>
            </w:pPr>
            <w:r>
              <w:rPr>
                <w:rFonts w:ascii="Times New Roman" w:hAnsi="Times New Roman"/>
                <w:b/>
                <w:noProof/>
                <w:sz w:val="24"/>
                <w:szCs w:val="24"/>
              </w:rPr>
              <w:t xml:space="preserve">«Fondamentaux» </w:t>
            </w:r>
          </w:p>
        </w:tc>
        <w:tc>
          <w:tcPr>
            <w:tcW w:w="4630" w:type="dxa"/>
          </w:tcPr>
          <w:p w:rsidR="00F37E16" w:rsidRDefault="00514E74">
            <w:pPr>
              <w:rPr>
                <w:rFonts w:ascii="Times New Roman" w:hAnsi="Times New Roman" w:cs="Times New Roman"/>
                <w:noProof/>
                <w:sz w:val="24"/>
                <w:szCs w:val="24"/>
              </w:rPr>
            </w:pPr>
            <w:r>
              <w:rPr>
                <w:rFonts w:ascii="Times New Roman" w:hAnsi="Times New Roman"/>
                <w:noProof/>
                <w:sz w:val="24"/>
                <w:szCs w:val="24"/>
              </w:rPr>
              <w:t xml:space="preserve">23 - Appareil judiciaire et droits fondamentaux </w:t>
            </w:r>
          </w:p>
          <w:p w:rsidR="00F37E16" w:rsidRDefault="00514E74">
            <w:pPr>
              <w:rPr>
                <w:rFonts w:ascii="Times New Roman" w:hAnsi="Times New Roman" w:cs="Times New Roman"/>
                <w:noProof/>
                <w:sz w:val="24"/>
                <w:szCs w:val="24"/>
              </w:rPr>
            </w:pPr>
            <w:r>
              <w:rPr>
                <w:rFonts w:ascii="Times New Roman" w:hAnsi="Times New Roman"/>
                <w:noProof/>
                <w:sz w:val="24"/>
                <w:szCs w:val="24"/>
              </w:rPr>
              <w:t>24 - Justice, liberté et sécurité</w:t>
            </w:r>
          </w:p>
          <w:p w:rsidR="00F37E16" w:rsidRDefault="00514E74">
            <w:pPr>
              <w:rPr>
                <w:rFonts w:ascii="Times New Roman" w:hAnsi="Times New Roman" w:cs="Times New Roman"/>
                <w:noProof/>
                <w:sz w:val="24"/>
                <w:szCs w:val="24"/>
              </w:rPr>
            </w:pPr>
            <w:r>
              <w:rPr>
                <w:rFonts w:ascii="Times New Roman" w:hAnsi="Times New Roman"/>
                <w:noProof/>
                <w:sz w:val="24"/>
                <w:szCs w:val="24"/>
              </w:rPr>
              <w:t>Critères économiques</w:t>
            </w:r>
          </w:p>
          <w:p w:rsidR="00F37E16" w:rsidRDefault="00514E74">
            <w:pPr>
              <w:rPr>
                <w:rFonts w:ascii="Times New Roman" w:hAnsi="Times New Roman" w:cs="Times New Roman"/>
                <w:noProof/>
                <w:sz w:val="24"/>
                <w:szCs w:val="24"/>
              </w:rPr>
            </w:pPr>
            <w:r>
              <w:rPr>
                <w:rFonts w:ascii="Times New Roman" w:hAnsi="Times New Roman"/>
                <w:noProof/>
                <w:sz w:val="24"/>
                <w:szCs w:val="24"/>
              </w:rPr>
              <w:t xml:space="preserve">Fonctionnement des institutions démocratiques </w:t>
            </w:r>
          </w:p>
          <w:p w:rsidR="00F37E16" w:rsidRDefault="00514E74">
            <w:pPr>
              <w:rPr>
                <w:rFonts w:ascii="Times New Roman" w:hAnsi="Times New Roman" w:cs="Times New Roman"/>
                <w:noProof/>
                <w:sz w:val="24"/>
                <w:szCs w:val="24"/>
              </w:rPr>
            </w:pPr>
            <w:r>
              <w:rPr>
                <w:rFonts w:ascii="Times New Roman" w:hAnsi="Times New Roman"/>
                <w:noProof/>
                <w:sz w:val="24"/>
                <w:szCs w:val="24"/>
              </w:rPr>
              <w:t xml:space="preserve">Réforme de l'administration publique </w:t>
            </w:r>
          </w:p>
          <w:p w:rsidR="00F37E16" w:rsidRDefault="00514E74">
            <w:pPr>
              <w:rPr>
                <w:rFonts w:ascii="Times New Roman" w:hAnsi="Times New Roman" w:cs="Times New Roman"/>
                <w:noProof/>
                <w:sz w:val="24"/>
                <w:szCs w:val="24"/>
              </w:rPr>
            </w:pPr>
            <w:r>
              <w:rPr>
                <w:rFonts w:ascii="Times New Roman" w:hAnsi="Times New Roman"/>
                <w:noProof/>
                <w:sz w:val="24"/>
                <w:szCs w:val="24"/>
              </w:rPr>
              <w:t xml:space="preserve">5 - Marchés publics </w:t>
            </w:r>
          </w:p>
          <w:p w:rsidR="00F37E16" w:rsidRDefault="00514E74">
            <w:pPr>
              <w:rPr>
                <w:rFonts w:ascii="Times New Roman" w:hAnsi="Times New Roman" w:cs="Times New Roman"/>
                <w:noProof/>
                <w:sz w:val="24"/>
                <w:szCs w:val="24"/>
              </w:rPr>
            </w:pPr>
            <w:r>
              <w:rPr>
                <w:rFonts w:ascii="Times New Roman" w:hAnsi="Times New Roman"/>
                <w:noProof/>
                <w:sz w:val="24"/>
                <w:szCs w:val="24"/>
              </w:rPr>
              <w:t>18 - Statistiques</w:t>
            </w:r>
          </w:p>
          <w:p w:rsidR="00F37E16" w:rsidRDefault="00514E74">
            <w:pPr>
              <w:rPr>
                <w:rFonts w:ascii="Times New Roman" w:hAnsi="Times New Roman" w:cs="Times New Roman"/>
                <w:noProof/>
                <w:sz w:val="24"/>
                <w:szCs w:val="24"/>
              </w:rPr>
            </w:pPr>
            <w:r>
              <w:rPr>
                <w:rFonts w:ascii="Times New Roman" w:hAnsi="Times New Roman"/>
                <w:noProof/>
                <w:sz w:val="24"/>
                <w:szCs w:val="24"/>
              </w:rPr>
              <w:t>32 - Contrôle financier</w:t>
            </w:r>
          </w:p>
        </w:tc>
      </w:tr>
      <w:tr w:rsidR="00F37E16">
        <w:tc>
          <w:tcPr>
            <w:tcW w:w="4656" w:type="dxa"/>
          </w:tcPr>
          <w:p w:rsidR="00F37E16" w:rsidRDefault="00514E74">
            <w:pPr>
              <w:numPr>
                <w:ilvl w:val="0"/>
                <w:numId w:val="20"/>
              </w:numPr>
              <w:spacing w:after="120"/>
              <w:ind w:left="284" w:hanging="284"/>
              <w:rPr>
                <w:rFonts w:ascii="Times New Roman" w:hAnsi="Times New Roman" w:cs="Times New Roman"/>
                <w:b/>
                <w:noProof/>
                <w:color w:val="C00000"/>
                <w:sz w:val="24"/>
                <w:szCs w:val="24"/>
              </w:rPr>
            </w:pPr>
            <w:r>
              <w:rPr>
                <w:rFonts w:ascii="Times New Roman" w:hAnsi="Times New Roman"/>
                <w:b/>
                <w:noProof/>
                <w:sz w:val="24"/>
                <w:szCs w:val="24"/>
              </w:rPr>
              <w:t>Marché intérieur</w:t>
            </w:r>
          </w:p>
        </w:tc>
        <w:tc>
          <w:tcPr>
            <w:tcW w:w="4630" w:type="dxa"/>
          </w:tcPr>
          <w:p w:rsidR="00F37E16" w:rsidRDefault="00514E74">
            <w:pPr>
              <w:rPr>
                <w:rFonts w:ascii="Times New Roman" w:hAnsi="Times New Roman" w:cs="Times New Roman"/>
                <w:noProof/>
                <w:sz w:val="24"/>
                <w:szCs w:val="24"/>
              </w:rPr>
            </w:pPr>
            <w:r>
              <w:rPr>
                <w:rFonts w:ascii="Times New Roman" w:hAnsi="Times New Roman"/>
                <w:noProof/>
                <w:sz w:val="24"/>
                <w:szCs w:val="24"/>
              </w:rPr>
              <w:t xml:space="preserve">1 - Libre circulation des marchandises </w:t>
            </w:r>
          </w:p>
          <w:p w:rsidR="00F37E16" w:rsidRDefault="00514E74">
            <w:pPr>
              <w:rPr>
                <w:rFonts w:ascii="Times New Roman" w:hAnsi="Times New Roman" w:cs="Times New Roman"/>
                <w:noProof/>
                <w:sz w:val="24"/>
                <w:szCs w:val="24"/>
              </w:rPr>
            </w:pPr>
            <w:r>
              <w:rPr>
                <w:rFonts w:ascii="Times New Roman" w:hAnsi="Times New Roman"/>
                <w:noProof/>
                <w:sz w:val="24"/>
                <w:szCs w:val="24"/>
              </w:rPr>
              <w:t xml:space="preserve">2 - Libre circulation des travailleurs </w:t>
            </w:r>
          </w:p>
          <w:p w:rsidR="00F37E16" w:rsidRDefault="00514E74">
            <w:pPr>
              <w:rPr>
                <w:rFonts w:ascii="Times New Roman" w:hAnsi="Times New Roman" w:cs="Times New Roman"/>
                <w:noProof/>
                <w:sz w:val="24"/>
                <w:szCs w:val="24"/>
              </w:rPr>
            </w:pPr>
            <w:r>
              <w:rPr>
                <w:rFonts w:ascii="Times New Roman" w:hAnsi="Times New Roman"/>
                <w:noProof/>
                <w:sz w:val="24"/>
                <w:szCs w:val="24"/>
              </w:rPr>
              <w:t xml:space="preserve">3 - Droit d’établissement et libre prestation de services </w:t>
            </w:r>
          </w:p>
          <w:p w:rsidR="00F37E16" w:rsidRDefault="00514E74">
            <w:pPr>
              <w:rPr>
                <w:rFonts w:ascii="Times New Roman" w:hAnsi="Times New Roman" w:cs="Times New Roman"/>
                <w:noProof/>
                <w:sz w:val="24"/>
                <w:szCs w:val="24"/>
              </w:rPr>
            </w:pPr>
            <w:r>
              <w:rPr>
                <w:rFonts w:ascii="Times New Roman" w:hAnsi="Times New Roman"/>
                <w:noProof/>
                <w:sz w:val="24"/>
                <w:szCs w:val="24"/>
              </w:rPr>
              <w:t>4 - Libre circulation des capitaux</w:t>
            </w:r>
          </w:p>
          <w:p w:rsidR="00F37E16" w:rsidRDefault="00514E74">
            <w:pPr>
              <w:rPr>
                <w:rFonts w:ascii="Times New Roman" w:hAnsi="Times New Roman" w:cs="Times New Roman"/>
                <w:noProof/>
                <w:sz w:val="24"/>
                <w:szCs w:val="24"/>
              </w:rPr>
            </w:pPr>
            <w:r>
              <w:rPr>
                <w:rFonts w:ascii="Times New Roman" w:hAnsi="Times New Roman"/>
                <w:noProof/>
                <w:sz w:val="24"/>
                <w:szCs w:val="24"/>
              </w:rPr>
              <w:t>6 - Droit des sociétés</w:t>
            </w:r>
          </w:p>
          <w:p w:rsidR="00F37E16" w:rsidRDefault="00514E74">
            <w:pPr>
              <w:rPr>
                <w:rFonts w:ascii="Times New Roman" w:hAnsi="Times New Roman" w:cs="Times New Roman"/>
                <w:noProof/>
                <w:sz w:val="24"/>
                <w:szCs w:val="24"/>
              </w:rPr>
            </w:pPr>
            <w:r>
              <w:rPr>
                <w:rFonts w:ascii="Times New Roman" w:hAnsi="Times New Roman"/>
                <w:noProof/>
                <w:sz w:val="24"/>
                <w:szCs w:val="24"/>
              </w:rPr>
              <w:t>7 - Droit de la p</w:t>
            </w:r>
            <w:r>
              <w:rPr>
                <w:rFonts w:ascii="Times New Roman" w:hAnsi="Times New Roman"/>
                <w:noProof/>
                <w:sz w:val="24"/>
                <w:szCs w:val="24"/>
              </w:rPr>
              <w:t>ropriété intellectuelle</w:t>
            </w:r>
          </w:p>
          <w:p w:rsidR="00F37E16" w:rsidRDefault="00514E74">
            <w:pPr>
              <w:rPr>
                <w:rFonts w:ascii="Times New Roman" w:hAnsi="Times New Roman" w:cs="Times New Roman"/>
                <w:noProof/>
                <w:sz w:val="24"/>
                <w:szCs w:val="24"/>
              </w:rPr>
            </w:pPr>
            <w:r>
              <w:rPr>
                <w:rFonts w:ascii="Times New Roman" w:hAnsi="Times New Roman"/>
                <w:noProof/>
                <w:sz w:val="24"/>
                <w:szCs w:val="24"/>
              </w:rPr>
              <w:t>8 - Politique de concurrence</w:t>
            </w:r>
          </w:p>
          <w:p w:rsidR="00F37E16" w:rsidRDefault="00514E74">
            <w:pPr>
              <w:rPr>
                <w:rFonts w:ascii="Times New Roman" w:hAnsi="Times New Roman" w:cs="Times New Roman"/>
                <w:noProof/>
                <w:sz w:val="24"/>
                <w:szCs w:val="24"/>
              </w:rPr>
            </w:pPr>
            <w:r>
              <w:rPr>
                <w:rFonts w:ascii="Times New Roman" w:hAnsi="Times New Roman"/>
                <w:noProof/>
                <w:sz w:val="24"/>
                <w:szCs w:val="24"/>
              </w:rPr>
              <w:t xml:space="preserve">9 - Services financiers </w:t>
            </w:r>
          </w:p>
          <w:p w:rsidR="00F37E16" w:rsidRDefault="00514E74">
            <w:pPr>
              <w:rPr>
                <w:rFonts w:ascii="Times New Roman" w:hAnsi="Times New Roman" w:cs="Times New Roman"/>
                <w:noProof/>
                <w:sz w:val="24"/>
                <w:szCs w:val="24"/>
              </w:rPr>
            </w:pPr>
            <w:r>
              <w:rPr>
                <w:rFonts w:ascii="Times New Roman" w:hAnsi="Times New Roman"/>
                <w:noProof/>
                <w:sz w:val="24"/>
                <w:szCs w:val="24"/>
              </w:rPr>
              <w:t>28 - Protection des consommateurs et de la santé</w:t>
            </w:r>
          </w:p>
        </w:tc>
      </w:tr>
      <w:tr w:rsidR="00F37E16">
        <w:tc>
          <w:tcPr>
            <w:tcW w:w="4656" w:type="dxa"/>
          </w:tcPr>
          <w:p w:rsidR="00F37E16" w:rsidRDefault="00514E74">
            <w:pPr>
              <w:numPr>
                <w:ilvl w:val="0"/>
                <w:numId w:val="20"/>
              </w:numPr>
              <w:spacing w:after="120"/>
              <w:ind w:left="284" w:hanging="284"/>
              <w:rPr>
                <w:rFonts w:ascii="Times New Roman" w:hAnsi="Times New Roman" w:cs="Times New Roman"/>
                <w:b/>
                <w:noProof/>
                <w:color w:val="C00000"/>
                <w:sz w:val="24"/>
                <w:szCs w:val="24"/>
              </w:rPr>
            </w:pPr>
            <w:r>
              <w:rPr>
                <w:rFonts w:ascii="Times New Roman" w:hAnsi="Times New Roman"/>
                <w:b/>
                <w:noProof/>
                <w:sz w:val="24"/>
                <w:szCs w:val="24"/>
              </w:rPr>
              <w:t>Compétitivité et croissance inclusive</w:t>
            </w:r>
          </w:p>
        </w:tc>
        <w:tc>
          <w:tcPr>
            <w:tcW w:w="4630" w:type="dxa"/>
          </w:tcPr>
          <w:p w:rsidR="00F37E16" w:rsidRDefault="00514E74">
            <w:pPr>
              <w:rPr>
                <w:rFonts w:ascii="Times New Roman" w:hAnsi="Times New Roman" w:cs="Times New Roman"/>
                <w:noProof/>
                <w:sz w:val="24"/>
                <w:szCs w:val="24"/>
              </w:rPr>
            </w:pPr>
            <w:r>
              <w:rPr>
                <w:rFonts w:ascii="Times New Roman" w:hAnsi="Times New Roman"/>
                <w:noProof/>
                <w:sz w:val="24"/>
                <w:szCs w:val="24"/>
              </w:rPr>
              <w:t xml:space="preserve">10 - Société de l'information et médias </w:t>
            </w:r>
          </w:p>
          <w:p w:rsidR="00F37E16" w:rsidRDefault="00514E74">
            <w:pPr>
              <w:rPr>
                <w:rFonts w:ascii="Times New Roman" w:hAnsi="Times New Roman" w:cs="Times New Roman"/>
                <w:noProof/>
                <w:sz w:val="24"/>
                <w:szCs w:val="24"/>
              </w:rPr>
            </w:pPr>
            <w:r>
              <w:rPr>
                <w:rFonts w:ascii="Times New Roman" w:hAnsi="Times New Roman"/>
                <w:noProof/>
                <w:sz w:val="24"/>
                <w:szCs w:val="24"/>
              </w:rPr>
              <w:t xml:space="preserve">16 - Fiscalité </w:t>
            </w:r>
          </w:p>
          <w:p w:rsidR="00F37E16" w:rsidRDefault="00514E74">
            <w:pPr>
              <w:rPr>
                <w:rFonts w:ascii="Times New Roman" w:hAnsi="Times New Roman" w:cs="Times New Roman"/>
                <w:noProof/>
                <w:sz w:val="24"/>
                <w:szCs w:val="24"/>
              </w:rPr>
            </w:pPr>
            <w:r>
              <w:rPr>
                <w:rFonts w:ascii="Times New Roman" w:hAnsi="Times New Roman"/>
                <w:noProof/>
                <w:sz w:val="24"/>
                <w:szCs w:val="24"/>
              </w:rPr>
              <w:t>17 - Politique économique et moné</w:t>
            </w:r>
            <w:r>
              <w:rPr>
                <w:rFonts w:ascii="Times New Roman" w:hAnsi="Times New Roman"/>
                <w:noProof/>
                <w:sz w:val="24"/>
                <w:szCs w:val="24"/>
              </w:rPr>
              <w:t xml:space="preserve">taire </w:t>
            </w:r>
          </w:p>
          <w:p w:rsidR="00F37E16" w:rsidRDefault="00514E74">
            <w:pPr>
              <w:rPr>
                <w:rFonts w:ascii="Times New Roman" w:hAnsi="Times New Roman" w:cs="Times New Roman"/>
                <w:noProof/>
                <w:sz w:val="24"/>
                <w:szCs w:val="24"/>
              </w:rPr>
            </w:pPr>
            <w:r>
              <w:rPr>
                <w:rFonts w:ascii="Times New Roman" w:hAnsi="Times New Roman"/>
                <w:noProof/>
                <w:sz w:val="24"/>
                <w:szCs w:val="24"/>
              </w:rPr>
              <w:t xml:space="preserve">19 - Politique sociale et emploi </w:t>
            </w:r>
          </w:p>
          <w:p w:rsidR="00F37E16" w:rsidRDefault="00514E74">
            <w:pPr>
              <w:rPr>
                <w:rFonts w:ascii="Times New Roman" w:hAnsi="Times New Roman" w:cs="Times New Roman"/>
                <w:noProof/>
                <w:sz w:val="24"/>
                <w:szCs w:val="24"/>
              </w:rPr>
            </w:pPr>
            <w:r>
              <w:rPr>
                <w:rFonts w:ascii="Times New Roman" w:hAnsi="Times New Roman"/>
                <w:noProof/>
                <w:sz w:val="24"/>
                <w:szCs w:val="24"/>
              </w:rPr>
              <w:t>20 - Politique d’entreprise et politique industrielle</w:t>
            </w:r>
          </w:p>
          <w:p w:rsidR="00F37E16" w:rsidRDefault="00514E74">
            <w:pPr>
              <w:rPr>
                <w:rFonts w:ascii="Times New Roman" w:hAnsi="Times New Roman" w:cs="Times New Roman"/>
                <w:noProof/>
                <w:sz w:val="24"/>
                <w:szCs w:val="24"/>
              </w:rPr>
            </w:pPr>
            <w:r>
              <w:rPr>
                <w:rFonts w:ascii="Times New Roman" w:hAnsi="Times New Roman"/>
                <w:noProof/>
                <w:sz w:val="24"/>
                <w:szCs w:val="24"/>
              </w:rPr>
              <w:t xml:space="preserve">25 - Science et recherche </w:t>
            </w:r>
          </w:p>
          <w:p w:rsidR="00F37E16" w:rsidRDefault="00514E74">
            <w:pPr>
              <w:rPr>
                <w:rFonts w:ascii="Times New Roman" w:hAnsi="Times New Roman" w:cs="Times New Roman"/>
                <w:noProof/>
                <w:sz w:val="24"/>
                <w:szCs w:val="24"/>
              </w:rPr>
            </w:pPr>
            <w:r>
              <w:rPr>
                <w:rFonts w:ascii="Times New Roman" w:hAnsi="Times New Roman"/>
                <w:noProof/>
                <w:sz w:val="24"/>
                <w:szCs w:val="24"/>
              </w:rPr>
              <w:t>26 - Éducation et culture</w:t>
            </w:r>
          </w:p>
          <w:p w:rsidR="00F37E16" w:rsidRDefault="00514E74">
            <w:pPr>
              <w:rPr>
                <w:rFonts w:ascii="Times New Roman" w:hAnsi="Times New Roman" w:cs="Times New Roman"/>
                <w:b/>
                <w:noProof/>
                <w:color w:val="C00000"/>
                <w:sz w:val="24"/>
                <w:szCs w:val="24"/>
              </w:rPr>
            </w:pPr>
            <w:r>
              <w:rPr>
                <w:rFonts w:ascii="Times New Roman" w:hAnsi="Times New Roman"/>
                <w:noProof/>
                <w:sz w:val="24"/>
                <w:szCs w:val="24"/>
              </w:rPr>
              <w:t>29 - Union douanière</w:t>
            </w:r>
          </w:p>
        </w:tc>
      </w:tr>
      <w:tr w:rsidR="00F37E16">
        <w:tc>
          <w:tcPr>
            <w:tcW w:w="4656" w:type="dxa"/>
          </w:tcPr>
          <w:p w:rsidR="00F37E16" w:rsidRDefault="00514E74">
            <w:pPr>
              <w:numPr>
                <w:ilvl w:val="0"/>
                <w:numId w:val="20"/>
              </w:numPr>
              <w:spacing w:after="120"/>
              <w:ind w:left="284" w:hanging="284"/>
              <w:rPr>
                <w:rFonts w:ascii="Times New Roman" w:hAnsi="Times New Roman" w:cs="Times New Roman"/>
                <w:b/>
                <w:noProof/>
                <w:color w:val="C00000"/>
                <w:sz w:val="24"/>
                <w:szCs w:val="24"/>
              </w:rPr>
            </w:pPr>
            <w:r>
              <w:rPr>
                <w:rFonts w:ascii="Times New Roman" w:hAnsi="Times New Roman"/>
                <w:b/>
                <w:noProof/>
                <w:sz w:val="24"/>
                <w:szCs w:val="24"/>
              </w:rPr>
              <w:t>Programme environnemental et connectivité durable</w:t>
            </w:r>
          </w:p>
        </w:tc>
        <w:tc>
          <w:tcPr>
            <w:tcW w:w="4630" w:type="dxa"/>
          </w:tcPr>
          <w:p w:rsidR="00F37E16" w:rsidRDefault="00514E74">
            <w:pPr>
              <w:rPr>
                <w:rFonts w:ascii="Times New Roman" w:hAnsi="Times New Roman" w:cs="Times New Roman"/>
                <w:noProof/>
                <w:sz w:val="24"/>
                <w:szCs w:val="24"/>
              </w:rPr>
            </w:pPr>
            <w:r>
              <w:rPr>
                <w:rFonts w:ascii="Times New Roman" w:hAnsi="Times New Roman"/>
                <w:noProof/>
                <w:sz w:val="24"/>
                <w:szCs w:val="24"/>
              </w:rPr>
              <w:t xml:space="preserve">14 - Politique des transports </w:t>
            </w:r>
          </w:p>
          <w:p w:rsidR="00F37E16" w:rsidRDefault="00514E74">
            <w:pPr>
              <w:rPr>
                <w:rFonts w:ascii="Times New Roman" w:hAnsi="Times New Roman" w:cs="Times New Roman"/>
                <w:noProof/>
                <w:sz w:val="24"/>
                <w:szCs w:val="24"/>
              </w:rPr>
            </w:pPr>
            <w:r>
              <w:rPr>
                <w:rFonts w:ascii="Times New Roman" w:hAnsi="Times New Roman"/>
                <w:noProof/>
                <w:sz w:val="24"/>
                <w:szCs w:val="24"/>
              </w:rPr>
              <w:t xml:space="preserve">15 - Énergie </w:t>
            </w:r>
          </w:p>
          <w:p w:rsidR="00F37E16" w:rsidRDefault="00514E74">
            <w:pPr>
              <w:rPr>
                <w:rFonts w:ascii="Times New Roman" w:hAnsi="Times New Roman" w:cs="Times New Roman"/>
                <w:noProof/>
                <w:sz w:val="24"/>
                <w:szCs w:val="24"/>
              </w:rPr>
            </w:pPr>
            <w:r>
              <w:rPr>
                <w:rFonts w:ascii="Times New Roman" w:hAnsi="Times New Roman"/>
                <w:noProof/>
                <w:sz w:val="24"/>
                <w:szCs w:val="24"/>
              </w:rPr>
              <w:t xml:space="preserve">21 - Réseaux transeuropéens </w:t>
            </w:r>
          </w:p>
          <w:p w:rsidR="00F37E16" w:rsidRDefault="00514E74">
            <w:pPr>
              <w:rPr>
                <w:rFonts w:ascii="Times New Roman" w:hAnsi="Times New Roman" w:cs="Times New Roman"/>
                <w:b/>
                <w:noProof/>
                <w:color w:val="C00000"/>
                <w:sz w:val="24"/>
                <w:szCs w:val="24"/>
              </w:rPr>
            </w:pPr>
            <w:r>
              <w:rPr>
                <w:rFonts w:ascii="Times New Roman" w:hAnsi="Times New Roman"/>
                <w:noProof/>
                <w:sz w:val="24"/>
                <w:szCs w:val="24"/>
              </w:rPr>
              <w:t>27 - Environnement et changement climatique</w:t>
            </w:r>
          </w:p>
        </w:tc>
      </w:tr>
      <w:tr w:rsidR="00F37E16">
        <w:tc>
          <w:tcPr>
            <w:tcW w:w="4656" w:type="dxa"/>
          </w:tcPr>
          <w:p w:rsidR="00F37E16" w:rsidRDefault="00514E74">
            <w:pPr>
              <w:numPr>
                <w:ilvl w:val="0"/>
                <w:numId w:val="20"/>
              </w:numPr>
              <w:spacing w:after="120"/>
              <w:ind w:left="284" w:hanging="284"/>
              <w:rPr>
                <w:rFonts w:ascii="Times New Roman" w:hAnsi="Times New Roman" w:cs="Times New Roman"/>
                <w:b/>
                <w:noProof/>
                <w:color w:val="C00000"/>
                <w:sz w:val="24"/>
                <w:szCs w:val="24"/>
              </w:rPr>
            </w:pPr>
            <w:r>
              <w:rPr>
                <w:rFonts w:ascii="Times New Roman" w:hAnsi="Times New Roman"/>
                <w:b/>
                <w:noProof/>
                <w:sz w:val="24"/>
                <w:szCs w:val="24"/>
              </w:rPr>
              <w:t>Ressources, agriculture et cohésion</w:t>
            </w:r>
          </w:p>
        </w:tc>
        <w:tc>
          <w:tcPr>
            <w:tcW w:w="4630" w:type="dxa"/>
          </w:tcPr>
          <w:p w:rsidR="00F37E16" w:rsidRDefault="00514E74">
            <w:pPr>
              <w:rPr>
                <w:rFonts w:ascii="Times New Roman" w:hAnsi="Times New Roman" w:cs="Times New Roman"/>
                <w:noProof/>
                <w:sz w:val="24"/>
                <w:szCs w:val="24"/>
              </w:rPr>
            </w:pPr>
            <w:r>
              <w:rPr>
                <w:rFonts w:ascii="Times New Roman" w:hAnsi="Times New Roman"/>
                <w:noProof/>
                <w:sz w:val="24"/>
                <w:szCs w:val="24"/>
              </w:rPr>
              <w:t>11 - Agriculture et développement rural</w:t>
            </w:r>
          </w:p>
          <w:p w:rsidR="00F37E16" w:rsidRDefault="00514E74">
            <w:pPr>
              <w:rPr>
                <w:rFonts w:ascii="Times New Roman" w:hAnsi="Times New Roman" w:cs="Times New Roman"/>
                <w:noProof/>
                <w:sz w:val="24"/>
                <w:szCs w:val="24"/>
              </w:rPr>
            </w:pPr>
            <w:r>
              <w:rPr>
                <w:rFonts w:ascii="Times New Roman" w:hAnsi="Times New Roman"/>
                <w:noProof/>
                <w:sz w:val="24"/>
                <w:szCs w:val="24"/>
              </w:rPr>
              <w:t xml:space="preserve">12 - Sécurité sanitaire des aliments, politique vétérinaire et phytosanitaire </w:t>
            </w:r>
          </w:p>
          <w:p w:rsidR="00F37E16" w:rsidRDefault="00514E74">
            <w:pPr>
              <w:rPr>
                <w:rFonts w:ascii="Times New Roman" w:hAnsi="Times New Roman" w:cs="Times New Roman"/>
                <w:noProof/>
                <w:sz w:val="24"/>
                <w:szCs w:val="24"/>
              </w:rPr>
            </w:pPr>
            <w:r>
              <w:rPr>
                <w:rFonts w:ascii="Times New Roman" w:hAnsi="Times New Roman"/>
                <w:noProof/>
                <w:sz w:val="24"/>
                <w:szCs w:val="24"/>
              </w:rPr>
              <w:t xml:space="preserve">13 - Pêche </w:t>
            </w:r>
          </w:p>
          <w:p w:rsidR="00F37E16" w:rsidRDefault="00514E74">
            <w:pPr>
              <w:rPr>
                <w:rFonts w:ascii="Times New Roman" w:hAnsi="Times New Roman" w:cs="Times New Roman"/>
                <w:noProof/>
                <w:sz w:val="24"/>
                <w:szCs w:val="24"/>
              </w:rPr>
            </w:pPr>
            <w:r>
              <w:rPr>
                <w:rFonts w:ascii="Times New Roman" w:hAnsi="Times New Roman"/>
                <w:noProof/>
                <w:sz w:val="24"/>
                <w:szCs w:val="24"/>
              </w:rPr>
              <w:t>2</w:t>
            </w:r>
            <w:r>
              <w:rPr>
                <w:rFonts w:ascii="Times New Roman" w:hAnsi="Times New Roman"/>
                <w:noProof/>
                <w:sz w:val="24"/>
                <w:szCs w:val="24"/>
              </w:rPr>
              <w:t xml:space="preserve">2 - Politique régionale et coordination des instruments structurels </w:t>
            </w:r>
          </w:p>
          <w:p w:rsidR="00F37E16" w:rsidRDefault="00514E74">
            <w:pPr>
              <w:rPr>
                <w:rFonts w:ascii="Times New Roman" w:hAnsi="Times New Roman" w:cs="Times New Roman"/>
                <w:b/>
                <w:noProof/>
                <w:color w:val="C00000"/>
                <w:sz w:val="24"/>
                <w:szCs w:val="24"/>
              </w:rPr>
            </w:pPr>
            <w:r>
              <w:rPr>
                <w:rFonts w:ascii="Times New Roman" w:hAnsi="Times New Roman"/>
                <w:noProof/>
                <w:sz w:val="24"/>
                <w:szCs w:val="24"/>
              </w:rPr>
              <w:t>33 - Dispositions financières et budgétaires</w:t>
            </w:r>
          </w:p>
        </w:tc>
      </w:tr>
      <w:tr w:rsidR="00F37E16">
        <w:tc>
          <w:tcPr>
            <w:tcW w:w="4656" w:type="dxa"/>
          </w:tcPr>
          <w:p w:rsidR="00F37E16" w:rsidRDefault="00514E74">
            <w:pPr>
              <w:numPr>
                <w:ilvl w:val="0"/>
                <w:numId w:val="20"/>
              </w:numPr>
              <w:spacing w:after="120"/>
              <w:ind w:left="284" w:hanging="284"/>
              <w:rPr>
                <w:rFonts w:ascii="Times New Roman" w:hAnsi="Times New Roman" w:cs="Times New Roman"/>
                <w:b/>
                <w:noProof/>
                <w:color w:val="C00000"/>
                <w:sz w:val="24"/>
                <w:szCs w:val="24"/>
              </w:rPr>
            </w:pPr>
            <w:r>
              <w:rPr>
                <w:rFonts w:ascii="Times New Roman" w:hAnsi="Times New Roman"/>
                <w:b/>
                <w:noProof/>
                <w:sz w:val="24"/>
                <w:szCs w:val="24"/>
              </w:rPr>
              <w:t>Relations extérieures</w:t>
            </w:r>
          </w:p>
        </w:tc>
        <w:tc>
          <w:tcPr>
            <w:tcW w:w="4630" w:type="dxa"/>
          </w:tcPr>
          <w:p w:rsidR="00F37E16" w:rsidRDefault="00514E74">
            <w:pPr>
              <w:rPr>
                <w:rFonts w:ascii="Times New Roman" w:hAnsi="Times New Roman" w:cs="Times New Roman"/>
                <w:noProof/>
                <w:sz w:val="24"/>
                <w:szCs w:val="24"/>
              </w:rPr>
            </w:pPr>
            <w:r>
              <w:rPr>
                <w:rFonts w:ascii="Times New Roman" w:hAnsi="Times New Roman"/>
                <w:noProof/>
                <w:sz w:val="24"/>
                <w:szCs w:val="24"/>
              </w:rPr>
              <w:t xml:space="preserve">30 - Relations extérieures </w:t>
            </w:r>
          </w:p>
          <w:p w:rsidR="00F37E16" w:rsidRDefault="00514E74">
            <w:pPr>
              <w:rPr>
                <w:rFonts w:ascii="Times New Roman" w:hAnsi="Times New Roman" w:cs="Times New Roman"/>
                <w:b/>
                <w:noProof/>
                <w:color w:val="C00000"/>
                <w:sz w:val="24"/>
                <w:szCs w:val="24"/>
              </w:rPr>
            </w:pPr>
            <w:r>
              <w:rPr>
                <w:rFonts w:ascii="Times New Roman" w:hAnsi="Times New Roman"/>
                <w:noProof/>
                <w:sz w:val="24"/>
                <w:szCs w:val="24"/>
              </w:rPr>
              <w:t>31 - Politique étrangère, de sécurité et de défense</w:t>
            </w:r>
          </w:p>
        </w:tc>
      </w:tr>
    </w:tbl>
    <w:p w:rsidR="00F37E16" w:rsidRDefault="00F37E16">
      <w:pPr>
        <w:spacing w:before="100" w:beforeAutospacing="1" w:after="100" w:afterAutospacing="1"/>
        <w:rPr>
          <w:noProof/>
          <w:sz w:val="24"/>
          <w:szCs w:val="24"/>
        </w:rPr>
      </w:pPr>
    </w:p>
    <w:sectPr w:rsidR="00F37E16">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E16" w:rsidRDefault="00514E74">
      <w:pPr>
        <w:spacing w:after="0" w:line="240" w:lineRule="auto"/>
      </w:pPr>
      <w:r>
        <w:separator/>
      </w:r>
    </w:p>
  </w:endnote>
  <w:endnote w:type="continuationSeparator" w:id="0">
    <w:p w:rsidR="00F37E16" w:rsidRDefault="00514E74">
      <w:pPr>
        <w:spacing w:after="0" w:line="240" w:lineRule="auto"/>
      </w:pPr>
      <w:r>
        <w:continuationSeparator/>
      </w:r>
    </w:p>
  </w:endnote>
  <w:endnote w:type="continuationNotice" w:id="1">
    <w:p w:rsidR="00F37E16" w:rsidRDefault="00F37E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E16" w:rsidRDefault="00F37E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E16" w:rsidRDefault="00514E74">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E16" w:rsidRDefault="00F37E1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E16" w:rsidRDefault="00F37E1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924416"/>
      <w:docPartObj>
        <w:docPartGallery w:val="Page Numbers (Bottom of Page)"/>
        <w:docPartUnique/>
      </w:docPartObj>
    </w:sdtPr>
    <w:sdtEndPr>
      <w:rPr>
        <w:rFonts w:ascii="Times New Roman" w:hAnsi="Times New Roman"/>
      </w:rPr>
    </w:sdtEndPr>
    <w:sdtContent>
      <w:p w:rsidR="00F37E16" w:rsidRDefault="00514E74">
        <w:pPr>
          <w:pStyle w:val="Footer"/>
          <w:jc w:val="center"/>
          <w:rPr>
            <w:rFonts w:ascii="Times New Roman" w:hAnsi="Times New Roman"/>
          </w:rPr>
        </w:pPr>
        <w:r>
          <w:rPr>
            <w:rFonts w:ascii="Times New Roman" w:hAnsi="Times New Roman"/>
          </w:rPr>
          <w:fldChar w:fldCharType="begin"/>
        </w:r>
        <w:r>
          <w:rPr>
            <w:rFonts w:ascii="Times New Roman" w:hAnsi="Times New Roman" w:cs="Times New Roman"/>
          </w:rPr>
          <w:instrText xml:space="preserve"> PAGE   \* MERGEFORMAT </w:instrText>
        </w:r>
        <w:r>
          <w:rPr>
            <w:rFonts w:ascii="Times New Roman" w:hAnsi="Times New Roman"/>
          </w:rPr>
          <w:fldChar w:fldCharType="separate"/>
        </w:r>
        <w:r>
          <w:rPr>
            <w:rFonts w:ascii="Times New Roman" w:hAnsi="Times New Roman" w:cs="Times New Roman"/>
            <w:noProof/>
          </w:rPr>
          <w:t>4</w:t>
        </w:r>
        <w:r>
          <w:rPr>
            <w:rFonts w:ascii="Times New Roman" w:hAnsi="Times New Roman"/>
          </w:rPr>
          <w:fldChar w:fldCharType="end"/>
        </w:r>
      </w:p>
    </w:sdtContent>
  </w:sdt>
  <w:p w:rsidR="00F37E16" w:rsidRDefault="00F37E1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E16" w:rsidRDefault="00F37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E16" w:rsidRDefault="00514E74">
      <w:pPr>
        <w:spacing w:after="0" w:line="240" w:lineRule="auto"/>
      </w:pPr>
      <w:r>
        <w:separator/>
      </w:r>
    </w:p>
  </w:footnote>
  <w:footnote w:type="continuationSeparator" w:id="0">
    <w:p w:rsidR="00F37E16" w:rsidRDefault="00514E74">
      <w:pPr>
        <w:spacing w:after="0" w:line="240" w:lineRule="auto"/>
      </w:pPr>
      <w:r>
        <w:continuationSeparator/>
      </w:r>
    </w:p>
  </w:footnote>
  <w:footnote w:type="continuationNotice" w:id="1">
    <w:p w:rsidR="00F37E16" w:rsidRDefault="00F37E16">
      <w:pPr>
        <w:spacing w:after="0" w:line="240" w:lineRule="auto"/>
      </w:pPr>
    </w:p>
  </w:footnote>
  <w:footnote w:id="2">
    <w:p w:rsidR="00F37E16" w:rsidRDefault="00514E7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Une perspective d’élargissement crédible ainsi qu’un engagement de l’Union européenne renforcé pour les Balkans occidentaux [COM(2018) 65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E16" w:rsidRDefault="00F37E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E16" w:rsidRDefault="00F37E1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E16" w:rsidRDefault="00F37E1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E16" w:rsidRDefault="00F37E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E16" w:rsidRDefault="00F37E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E16" w:rsidRDefault="00F37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416E"/>
    <w:multiLevelType w:val="hybridMultilevel"/>
    <w:tmpl w:val="A1EA295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C7712D"/>
    <w:multiLevelType w:val="hybridMultilevel"/>
    <w:tmpl w:val="87149ED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52AB7"/>
    <w:multiLevelType w:val="hybridMultilevel"/>
    <w:tmpl w:val="DD443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D110A"/>
    <w:multiLevelType w:val="hybridMultilevel"/>
    <w:tmpl w:val="BD9224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793B20"/>
    <w:multiLevelType w:val="hybridMultilevel"/>
    <w:tmpl w:val="64243D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620FF1"/>
    <w:multiLevelType w:val="hybridMultilevel"/>
    <w:tmpl w:val="45261496"/>
    <w:lvl w:ilvl="0" w:tplc="1D1648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617F54"/>
    <w:multiLevelType w:val="hybridMultilevel"/>
    <w:tmpl w:val="117AE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71763A"/>
    <w:multiLevelType w:val="hybridMultilevel"/>
    <w:tmpl w:val="945C378E"/>
    <w:lvl w:ilvl="0" w:tplc="4ACCDFBA">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DD343D"/>
    <w:multiLevelType w:val="hybridMultilevel"/>
    <w:tmpl w:val="50A4FC54"/>
    <w:lvl w:ilvl="0" w:tplc="BA480F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73514C"/>
    <w:multiLevelType w:val="multilevel"/>
    <w:tmpl w:val="224C142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6345CF"/>
    <w:multiLevelType w:val="hybridMultilevel"/>
    <w:tmpl w:val="D79615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BA2BFA"/>
    <w:multiLevelType w:val="hybridMultilevel"/>
    <w:tmpl w:val="77883D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FC4FCB"/>
    <w:multiLevelType w:val="hybridMultilevel"/>
    <w:tmpl w:val="D21C0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9401E6"/>
    <w:multiLevelType w:val="hybridMultilevel"/>
    <w:tmpl w:val="257417F8"/>
    <w:lvl w:ilvl="0" w:tplc="1C92683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F868FC"/>
    <w:multiLevelType w:val="hybridMultilevel"/>
    <w:tmpl w:val="E196F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9E686E"/>
    <w:multiLevelType w:val="hybridMultilevel"/>
    <w:tmpl w:val="CF38284C"/>
    <w:lvl w:ilvl="0" w:tplc="1D164876">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C97028"/>
    <w:multiLevelType w:val="hybridMultilevel"/>
    <w:tmpl w:val="91784AC0"/>
    <w:lvl w:ilvl="0" w:tplc="1D164876">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E12096"/>
    <w:multiLevelType w:val="hybridMultilevel"/>
    <w:tmpl w:val="95B81AB6"/>
    <w:lvl w:ilvl="0" w:tplc="1C92683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E47A4B"/>
    <w:multiLevelType w:val="hybridMultilevel"/>
    <w:tmpl w:val="D4765D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7B3521"/>
    <w:multiLevelType w:val="hybridMultilevel"/>
    <w:tmpl w:val="016497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DC2FE5"/>
    <w:multiLevelType w:val="hybridMultilevel"/>
    <w:tmpl w:val="190A17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5D077E"/>
    <w:multiLevelType w:val="hybridMultilevel"/>
    <w:tmpl w:val="D4765D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D17E87"/>
    <w:multiLevelType w:val="hybridMultilevel"/>
    <w:tmpl w:val="14B6008A"/>
    <w:lvl w:ilvl="0" w:tplc="6128C87E">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3E142F"/>
    <w:multiLevelType w:val="hybridMultilevel"/>
    <w:tmpl w:val="A68496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4D2DC3"/>
    <w:multiLevelType w:val="hybridMultilevel"/>
    <w:tmpl w:val="A37C74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5C1E0A"/>
    <w:multiLevelType w:val="hybridMultilevel"/>
    <w:tmpl w:val="219A8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C9792E"/>
    <w:multiLevelType w:val="hybridMultilevel"/>
    <w:tmpl w:val="6AA844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1B4A79"/>
    <w:multiLevelType w:val="hybridMultilevel"/>
    <w:tmpl w:val="B9A684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15782E"/>
    <w:multiLevelType w:val="hybridMultilevel"/>
    <w:tmpl w:val="8514CF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C71342"/>
    <w:multiLevelType w:val="hybridMultilevel"/>
    <w:tmpl w:val="DCFE7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E11540"/>
    <w:multiLevelType w:val="hybridMultilevel"/>
    <w:tmpl w:val="42A8909C"/>
    <w:lvl w:ilvl="0" w:tplc="08090011">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92730A"/>
    <w:multiLevelType w:val="hybridMultilevel"/>
    <w:tmpl w:val="190E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31"/>
  </w:num>
  <w:num w:numId="4">
    <w:abstractNumId w:val="28"/>
  </w:num>
  <w:num w:numId="5">
    <w:abstractNumId w:val="12"/>
  </w:num>
  <w:num w:numId="6">
    <w:abstractNumId w:val="16"/>
  </w:num>
  <w:num w:numId="7">
    <w:abstractNumId w:val="17"/>
  </w:num>
  <w:num w:numId="8">
    <w:abstractNumId w:val="5"/>
  </w:num>
  <w:num w:numId="9">
    <w:abstractNumId w:val="13"/>
  </w:num>
  <w:num w:numId="10">
    <w:abstractNumId w:val="7"/>
  </w:num>
  <w:num w:numId="11">
    <w:abstractNumId w:val="1"/>
  </w:num>
  <w:num w:numId="12">
    <w:abstractNumId w:val="11"/>
  </w:num>
  <w:num w:numId="13">
    <w:abstractNumId w:val="8"/>
  </w:num>
  <w:num w:numId="14">
    <w:abstractNumId w:val="19"/>
  </w:num>
  <w:num w:numId="15">
    <w:abstractNumId w:val="21"/>
  </w:num>
  <w:num w:numId="16">
    <w:abstractNumId w:val="4"/>
  </w:num>
  <w:num w:numId="17">
    <w:abstractNumId w:val="9"/>
  </w:num>
  <w:num w:numId="18">
    <w:abstractNumId w:val="30"/>
  </w:num>
  <w:num w:numId="19">
    <w:abstractNumId w:val="10"/>
  </w:num>
  <w:num w:numId="20">
    <w:abstractNumId w:val="22"/>
  </w:num>
  <w:num w:numId="21">
    <w:abstractNumId w:val="0"/>
  </w:num>
  <w:num w:numId="22">
    <w:abstractNumId w:val="23"/>
  </w:num>
  <w:num w:numId="23">
    <w:abstractNumId w:val="26"/>
  </w:num>
  <w:num w:numId="24">
    <w:abstractNumId w:val="6"/>
  </w:num>
  <w:num w:numId="25">
    <w:abstractNumId w:val="24"/>
  </w:num>
  <w:num w:numId="26">
    <w:abstractNumId w:val="14"/>
  </w:num>
  <w:num w:numId="27">
    <w:abstractNumId w:val="29"/>
  </w:num>
  <w:num w:numId="28">
    <w:abstractNumId w:val="27"/>
  </w:num>
  <w:num w:numId="29">
    <w:abstractNumId w:val="15"/>
  </w:num>
  <w:num w:numId="30">
    <w:abstractNumId w:val="18"/>
  </w:num>
  <w:num w:numId="31">
    <w:abstractNumId w:val="3"/>
  </w:num>
  <w:num w:numId="32">
    <w:abstractNumId w:val="20"/>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hideSpellingErrors/>
  <w:hideGrammaticalErrors/>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B53C1EA4-36A8-4050-AC52-C60C0EB113E4"/>
    <w:docVar w:name="LW_COVERPAGE_TYPE" w:val="1"/>
    <w:docVar w:name="LW_CROSSREFERENCE" w:val="&lt;UNUSED&gt;"/>
    <w:docVar w:name="LW_DocType" w:val="NORMAL"/>
    <w:docVar w:name="LW_EMISSION" w:val="5.2.2020"/>
    <w:docVar w:name="LW_EMISSION_ISODATE" w:val="2020-02-05"/>
    <w:docVar w:name="LW_EMISSION_LOCATION" w:val="BRX"/>
    <w:docVar w:name="LW_EMISSION_PREFIX" w:val="Bruxelles, le "/>
    <w:docVar w:name="LW_EMISSION_SUFFIX" w:val=" "/>
    <w:docVar w:name="LW_ID_DOCTYPE_NONLW" w:val="CP-014"/>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20) 5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Renforcer le processus d'adhésion \u8211? Une perspective européenne crédible pour les Balkans occidentaux  &lt;/FMT&gt;_x000b_"/>
    <w:docVar w:name="LW_TYPE.DOC.CP" w:val="COMMUNICATION DE LA COMMISSION AU PARLEMENT EUROPÉEN, AU CONSEIL, AU COMITÉ ÉCONOMIQUE ET SOCIAL EUROPÉEN ET AU COMITÉ DES RÉGIONS"/>
    <w:docVar w:name="LW_TYPE.DOC.CP.USERTEXT" w:val="&lt;EMPTY&gt;"/>
  </w:docVars>
  <w:rsids>
    <w:rsidRoot w:val="00F37E16"/>
    <w:rsid w:val="00514E74"/>
    <w:rsid w:val="00F37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FootnoteText">
    <w:name w:val="footnote text"/>
    <w:aliases w:val="Fußnote,Footnote Text Char Char Char,Footnote Text Char Char,single space,Fußnotentextf,Footnote text,fn,Schriftart: 9 pt,Schriftart: 10 pt,Schriftart: 8 pt,WB-Fußnotentext,footnote text Carattere,Geneva 9,Font: Geneva 9"/>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ußnote Char,Footnote Text Char Char Char Char,Footnote Text Char Char Char1,single space Char,Fußnotentextf Char,Footnote text Char,fn Char,Schriftart: 9 pt Char,Schriftart: 10 pt Char,Schriftart: 8 pt Char,WB-Fußnotentext Char"/>
    <w:basedOn w:val="DefaultParagraphFont"/>
    <w:link w:val="FootnoteText"/>
    <w:uiPriority w:val="99"/>
    <w:rPr>
      <w:sz w:val="20"/>
      <w:szCs w:val="20"/>
    </w:rPr>
  </w:style>
  <w:style w:type="character" w:styleId="FootnoteReference">
    <w:name w:val="footnote reference"/>
    <w:aliases w:val="ftref,BVI fnr,(Footnote Reference), BVI fnr,Footnote symbol,Footnotes refss,Footnote Reference Superscript,SUPERS,Footnote,Footnote reference number,note TESI,EN Footnote Reference,Voetnootverwijzing,Times 10 Point,Ref"/>
    <w:basedOn w:val="DefaultParagraphFont"/>
    <w:uiPriority w:val="99"/>
    <w:unhideWhenUsed/>
    <w:qFormat/>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ingtext">
    <w:name w:val="Briefing text"/>
    <w:basedOn w:val="Normal"/>
    <w:link w:val="BriefingtextChar"/>
    <w:pPr>
      <w:spacing w:after="240" w:line="240" w:lineRule="auto"/>
      <w:jc w:val="both"/>
    </w:pPr>
    <w:rPr>
      <w:rFonts w:ascii="Arial" w:eastAsia="Times New Roman" w:hAnsi="Arial" w:cs="Arial"/>
      <w:szCs w:val="24"/>
    </w:rPr>
  </w:style>
  <w:style w:type="character" w:customStyle="1" w:styleId="BriefingtextChar">
    <w:name w:val="Briefing text Char"/>
    <w:link w:val="Briefingtext"/>
    <w:rPr>
      <w:rFonts w:ascii="Arial" w:eastAsia="Times New Roman" w:hAnsi="Arial" w:cs="Arial"/>
      <w:szCs w:val="24"/>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style>
  <w:style w:type="paragraph" w:styleId="PlainText">
    <w:name w:val="Plain Text"/>
    <w:basedOn w:val="Normal"/>
    <w:link w:val="PlainTextChar"/>
    <w:uiPriority w:val="99"/>
    <w:semiHidden/>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Pr>
      <w:rFonts w:ascii="Calibri" w:hAnsi="Calibri"/>
      <w:szCs w:val="21"/>
      <w:lang w:val="fr-F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FootnoteTextChar1">
    <w:name w:val="Footnote Text Char1"/>
    <w:basedOn w:val="DefaultParagraphFon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23303">
      <w:bodyDiv w:val="1"/>
      <w:marLeft w:val="0"/>
      <w:marRight w:val="0"/>
      <w:marTop w:val="0"/>
      <w:marBottom w:val="0"/>
      <w:divBdr>
        <w:top w:val="none" w:sz="0" w:space="0" w:color="auto"/>
        <w:left w:val="none" w:sz="0" w:space="0" w:color="auto"/>
        <w:bottom w:val="none" w:sz="0" w:space="0" w:color="auto"/>
        <w:right w:val="none" w:sz="0" w:space="0" w:color="auto"/>
      </w:divBdr>
    </w:div>
    <w:div w:id="437482872">
      <w:bodyDiv w:val="1"/>
      <w:marLeft w:val="0"/>
      <w:marRight w:val="0"/>
      <w:marTop w:val="0"/>
      <w:marBottom w:val="0"/>
      <w:divBdr>
        <w:top w:val="none" w:sz="0" w:space="0" w:color="auto"/>
        <w:left w:val="none" w:sz="0" w:space="0" w:color="auto"/>
        <w:bottom w:val="none" w:sz="0" w:space="0" w:color="auto"/>
        <w:right w:val="none" w:sz="0" w:space="0" w:color="auto"/>
      </w:divBdr>
    </w:div>
    <w:div w:id="486939901">
      <w:bodyDiv w:val="1"/>
      <w:marLeft w:val="0"/>
      <w:marRight w:val="0"/>
      <w:marTop w:val="0"/>
      <w:marBottom w:val="0"/>
      <w:divBdr>
        <w:top w:val="none" w:sz="0" w:space="0" w:color="auto"/>
        <w:left w:val="none" w:sz="0" w:space="0" w:color="auto"/>
        <w:bottom w:val="none" w:sz="0" w:space="0" w:color="auto"/>
        <w:right w:val="none" w:sz="0" w:space="0" w:color="auto"/>
      </w:divBdr>
    </w:div>
    <w:div w:id="609237200">
      <w:bodyDiv w:val="1"/>
      <w:marLeft w:val="0"/>
      <w:marRight w:val="0"/>
      <w:marTop w:val="0"/>
      <w:marBottom w:val="0"/>
      <w:divBdr>
        <w:top w:val="none" w:sz="0" w:space="0" w:color="auto"/>
        <w:left w:val="none" w:sz="0" w:space="0" w:color="auto"/>
        <w:bottom w:val="none" w:sz="0" w:space="0" w:color="auto"/>
        <w:right w:val="none" w:sz="0" w:space="0" w:color="auto"/>
      </w:divBdr>
    </w:div>
    <w:div w:id="684552790">
      <w:bodyDiv w:val="1"/>
      <w:marLeft w:val="0"/>
      <w:marRight w:val="0"/>
      <w:marTop w:val="0"/>
      <w:marBottom w:val="0"/>
      <w:divBdr>
        <w:top w:val="none" w:sz="0" w:space="0" w:color="auto"/>
        <w:left w:val="none" w:sz="0" w:space="0" w:color="auto"/>
        <w:bottom w:val="none" w:sz="0" w:space="0" w:color="auto"/>
        <w:right w:val="none" w:sz="0" w:space="0" w:color="auto"/>
      </w:divBdr>
    </w:div>
    <w:div w:id="1092967175">
      <w:bodyDiv w:val="1"/>
      <w:marLeft w:val="0"/>
      <w:marRight w:val="0"/>
      <w:marTop w:val="0"/>
      <w:marBottom w:val="0"/>
      <w:divBdr>
        <w:top w:val="none" w:sz="0" w:space="0" w:color="auto"/>
        <w:left w:val="none" w:sz="0" w:space="0" w:color="auto"/>
        <w:bottom w:val="none" w:sz="0" w:space="0" w:color="auto"/>
        <w:right w:val="none" w:sz="0" w:space="0" w:color="auto"/>
      </w:divBdr>
    </w:div>
    <w:div w:id="1127041799">
      <w:bodyDiv w:val="1"/>
      <w:marLeft w:val="0"/>
      <w:marRight w:val="0"/>
      <w:marTop w:val="0"/>
      <w:marBottom w:val="0"/>
      <w:divBdr>
        <w:top w:val="none" w:sz="0" w:space="0" w:color="auto"/>
        <w:left w:val="none" w:sz="0" w:space="0" w:color="auto"/>
        <w:bottom w:val="none" w:sz="0" w:space="0" w:color="auto"/>
        <w:right w:val="none" w:sz="0" w:space="0" w:color="auto"/>
      </w:divBdr>
    </w:div>
    <w:div w:id="1252397198">
      <w:bodyDiv w:val="1"/>
      <w:marLeft w:val="0"/>
      <w:marRight w:val="0"/>
      <w:marTop w:val="0"/>
      <w:marBottom w:val="0"/>
      <w:divBdr>
        <w:top w:val="none" w:sz="0" w:space="0" w:color="auto"/>
        <w:left w:val="none" w:sz="0" w:space="0" w:color="auto"/>
        <w:bottom w:val="none" w:sz="0" w:space="0" w:color="auto"/>
        <w:right w:val="none" w:sz="0" w:space="0" w:color="auto"/>
      </w:divBdr>
    </w:div>
    <w:div w:id="1329476042">
      <w:bodyDiv w:val="1"/>
      <w:marLeft w:val="0"/>
      <w:marRight w:val="0"/>
      <w:marTop w:val="0"/>
      <w:marBottom w:val="0"/>
      <w:divBdr>
        <w:top w:val="none" w:sz="0" w:space="0" w:color="auto"/>
        <w:left w:val="none" w:sz="0" w:space="0" w:color="auto"/>
        <w:bottom w:val="none" w:sz="0" w:space="0" w:color="auto"/>
        <w:right w:val="none" w:sz="0" w:space="0" w:color="auto"/>
      </w:divBdr>
    </w:div>
    <w:div w:id="1690524797">
      <w:bodyDiv w:val="1"/>
      <w:marLeft w:val="0"/>
      <w:marRight w:val="0"/>
      <w:marTop w:val="0"/>
      <w:marBottom w:val="0"/>
      <w:divBdr>
        <w:top w:val="none" w:sz="0" w:space="0" w:color="auto"/>
        <w:left w:val="none" w:sz="0" w:space="0" w:color="auto"/>
        <w:bottom w:val="none" w:sz="0" w:space="0" w:color="auto"/>
        <w:right w:val="none" w:sz="0" w:space="0" w:color="auto"/>
      </w:divBdr>
    </w:div>
    <w:div w:id="1777023546">
      <w:bodyDiv w:val="1"/>
      <w:marLeft w:val="0"/>
      <w:marRight w:val="0"/>
      <w:marTop w:val="0"/>
      <w:marBottom w:val="0"/>
      <w:divBdr>
        <w:top w:val="none" w:sz="0" w:space="0" w:color="auto"/>
        <w:left w:val="none" w:sz="0" w:space="0" w:color="auto"/>
        <w:bottom w:val="none" w:sz="0" w:space="0" w:color="auto"/>
        <w:right w:val="none" w:sz="0" w:space="0" w:color="auto"/>
      </w:divBdr>
    </w:div>
    <w:div w:id="1976325368">
      <w:bodyDiv w:val="1"/>
      <w:marLeft w:val="0"/>
      <w:marRight w:val="0"/>
      <w:marTop w:val="0"/>
      <w:marBottom w:val="0"/>
      <w:divBdr>
        <w:top w:val="none" w:sz="0" w:space="0" w:color="auto"/>
        <w:left w:val="none" w:sz="0" w:space="0" w:color="auto"/>
        <w:bottom w:val="none" w:sz="0" w:space="0" w:color="auto"/>
        <w:right w:val="none" w:sz="0" w:space="0" w:color="auto"/>
      </w:divBdr>
    </w:div>
    <w:div w:id="2142796223">
      <w:bodyDiv w:val="1"/>
      <w:marLeft w:val="0"/>
      <w:marRight w:val="0"/>
      <w:marTop w:val="0"/>
      <w:marBottom w:val="0"/>
      <w:divBdr>
        <w:top w:val="none" w:sz="0" w:space="0" w:color="auto"/>
        <w:left w:val="none" w:sz="0" w:space="0" w:color="auto"/>
        <w:bottom w:val="none" w:sz="0" w:space="0" w:color="auto"/>
        <w:right w:val="none" w:sz="0" w:space="0" w:color="auto"/>
      </w:divBdr>
    </w:div>
    <w:div w:id="2146852635">
      <w:bodyDiv w:val="1"/>
      <w:marLeft w:val="0"/>
      <w:marRight w:val="0"/>
      <w:marTop w:val="0"/>
      <w:marBottom w:val="0"/>
      <w:divBdr>
        <w:top w:val="none" w:sz="0" w:space="0" w:color="auto"/>
        <w:left w:val="none" w:sz="0" w:space="0" w:color="auto"/>
        <w:bottom w:val="none" w:sz="0" w:space="0" w:color="auto"/>
        <w:right w:val="none" w:sz="0" w:space="0" w:color="auto"/>
      </w:divBdr>
      <w:divsChild>
        <w:div w:id="1120762582">
          <w:marLeft w:val="0"/>
          <w:marRight w:val="0"/>
          <w:marTop w:val="0"/>
          <w:marBottom w:val="0"/>
          <w:divBdr>
            <w:top w:val="none" w:sz="0" w:space="0" w:color="auto"/>
            <w:left w:val="none" w:sz="0" w:space="0" w:color="auto"/>
            <w:bottom w:val="none" w:sz="0" w:space="0" w:color="auto"/>
            <w:right w:val="none" w:sz="0" w:space="0" w:color="auto"/>
          </w:divBdr>
          <w:divsChild>
            <w:div w:id="73501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72D4F-AFF8-4CDA-9B80-40C6D3AD8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3140</Words>
  <Characters>21700</Characters>
  <Application>Microsoft Office Word</Application>
  <DocSecurity>0</DocSecurity>
  <Lines>361</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2020-02-05T09:16:00Z</dcterms:created>
  <dcterms:modified xsi:type="dcterms:W3CDTF">2020-02-05T10:27:00Z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7.0, Build 20190717</vt:lpwstr>
  </property>
  <property fmtid="{D5CDD505-2E9C-101B-9397-08002B2CF9AE}" pid="8" name="Created using">
    <vt:lpwstr>LW 7.0, Build 20190717</vt:lpwstr>
  </property>
</Properties>
</file>