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9757998-45F1-4D85-9EC9-20B0E287C6D6" style="width:451pt;height:320.8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120" w:line="240" w:lineRule="auto"/>
        <w:jc w:val="center"/>
        <w:rPr>
          <w:rFonts w:ascii="Times New Roman" w:hAnsi="Times New Roman" w:cs="Times New Roman"/>
          <w:b/>
          <w:noProof/>
          <w:sz w:val="24"/>
          <w:szCs w:val="24"/>
        </w:rPr>
      </w:pPr>
      <w:bookmarkStart w:id="1" w:name="_GoBack"/>
      <w:bookmarkEnd w:id="1"/>
      <w:r>
        <w:rPr>
          <w:rFonts w:ascii="Times New Roman" w:hAnsi="Times New Roman"/>
          <w:b/>
          <w:noProof/>
          <w:sz w:val="24"/>
          <w:szCs w:val="24"/>
        </w:rPr>
        <w:lastRenderedPageBreak/>
        <w:t>A csatlakozási folyamat javítása – hiteles uniós perspektíva a Nyugat-Balkán számára</w:t>
      </w:r>
    </w:p>
    <w:p>
      <w:pPr>
        <w:spacing w:after="120" w:line="240" w:lineRule="auto"/>
        <w:rPr>
          <w:rFonts w:ascii="Times New Roman" w:hAnsi="Times New Roman" w:cs="Times New Roman"/>
          <w:b/>
          <w:noProof/>
          <w:sz w:val="24"/>
          <w:szCs w:val="24"/>
          <w:u w:val="single"/>
        </w:rPr>
      </w:pPr>
    </w:p>
    <w:p>
      <w:pPr>
        <w:pStyle w:val="ListParagraph"/>
        <w:numPr>
          <w:ilvl w:val="0"/>
          <w:numId w:val="6"/>
        </w:numPr>
        <w:spacing w:after="120" w:line="240" w:lineRule="auto"/>
        <w:contextualSpacing w:val="0"/>
        <w:rPr>
          <w:rFonts w:ascii="Times New Roman" w:hAnsi="Times New Roman" w:cs="Times New Roman"/>
          <w:b/>
          <w:noProof/>
          <w:sz w:val="24"/>
          <w:szCs w:val="24"/>
        </w:rPr>
      </w:pPr>
      <w:r>
        <w:rPr>
          <w:rFonts w:ascii="Times New Roman" w:hAnsi="Times New Roman"/>
          <w:b/>
          <w:noProof/>
          <w:sz w:val="24"/>
          <w:szCs w:val="24"/>
        </w:rPr>
        <w:t>Bevezetés</w:t>
      </w:r>
    </w:p>
    <w:p>
      <w:pPr>
        <w:spacing w:after="120" w:line="240" w:lineRule="auto"/>
        <w:jc w:val="both"/>
        <w:rPr>
          <w:rFonts w:ascii="Times New Roman" w:hAnsi="Times New Roman" w:cs="Times New Roman"/>
          <w:noProof/>
          <w:sz w:val="24"/>
          <w:szCs w:val="24"/>
        </w:rPr>
      </w:pPr>
    </w:p>
    <w:p>
      <w:pPr>
        <w:spacing w:after="120" w:line="240" w:lineRule="auto"/>
        <w:jc w:val="both"/>
        <w:rPr>
          <w:rFonts w:ascii="Times New Roman" w:eastAsia="Calibri" w:hAnsi="Times New Roman" w:cs="Times New Roman"/>
          <w:iCs/>
          <w:noProof/>
          <w:sz w:val="24"/>
          <w:szCs w:val="24"/>
        </w:rPr>
      </w:pPr>
      <w:r>
        <w:rPr>
          <w:rFonts w:ascii="Times New Roman" w:hAnsi="Times New Roman"/>
          <w:noProof/>
          <w:sz w:val="24"/>
          <w:szCs w:val="24"/>
        </w:rPr>
        <w:t xml:space="preserve">Az Európai Unió és tagállamai a 2000. évi feirai és a 2003. évi szaloniki csúcstalálkozó óta ismételten kinyilvánították, hogy </w:t>
      </w:r>
      <w:r>
        <w:rPr>
          <w:rFonts w:ascii="Times New Roman" w:hAnsi="Times New Roman"/>
          <w:b/>
          <w:bCs/>
          <w:noProof/>
          <w:sz w:val="24"/>
          <w:szCs w:val="24"/>
        </w:rPr>
        <w:t>egyértelműen támogatják a Nyugat-Balkán európai integrációs perspektíváját</w:t>
      </w:r>
      <w:r>
        <w:rPr>
          <w:rFonts w:ascii="Times New Roman" w:hAnsi="Times New Roman"/>
          <w:noProof/>
          <w:sz w:val="24"/>
          <w:szCs w:val="24"/>
        </w:rPr>
        <w:t xml:space="preserve">. Az Általános Ügyek Tanácsán 2019 júniusában elfogadott tanácsi következtetések ismét megerősítették a Tanács </w:t>
      </w:r>
      <w:r>
        <w:rPr>
          <w:rFonts w:ascii="Times New Roman" w:hAnsi="Times New Roman"/>
          <w:i/>
          <w:iCs/>
          <w:noProof/>
          <w:sz w:val="24"/>
          <w:szCs w:val="24"/>
        </w:rPr>
        <w:t>„</w:t>
      </w:r>
      <w:r>
        <w:rPr>
          <w:rFonts w:ascii="Times New Roman" w:hAnsi="Times New Roman"/>
          <w:b/>
          <w:bCs/>
          <w:i/>
          <w:iCs/>
          <w:noProof/>
          <w:sz w:val="24"/>
          <w:szCs w:val="24"/>
        </w:rPr>
        <w:t>elkötelezettségét a bővítés mellett</w:t>
      </w:r>
      <w:r>
        <w:rPr>
          <w:rFonts w:ascii="Times New Roman" w:hAnsi="Times New Roman"/>
          <w:i/>
          <w:iCs/>
          <w:noProof/>
          <w:sz w:val="24"/>
          <w:szCs w:val="24"/>
        </w:rPr>
        <w:t>, amely az Európai Tanács 2006. december 14–15-i ülésén jóváhagyott, megújított bővítési konszenzussal és az azt követő tanácsi következtetésekkel összhangban továbbra is az Európai Unió egyik kulcsfontosságú politikája.”</w:t>
      </w:r>
      <w:r>
        <w:rPr>
          <w:rFonts w:ascii="Times New Roman" w:hAnsi="Times New Roman"/>
          <w:iCs/>
          <w:noProof/>
          <w:sz w:val="24"/>
          <w:szCs w:val="24"/>
        </w:rPr>
        <w:t xml:space="preserve"> A Tanács 2019. novemberi ülésén közös értelmezés jött létre a csatlakozási tárgyalások folyamatának eredményességére vonatkozó vizsgálat hasznosságáról.</w:t>
      </w:r>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A Nyugat-Balkán </w:t>
      </w:r>
      <w:r>
        <w:rPr>
          <w:rFonts w:ascii="Times New Roman" w:hAnsi="Times New Roman"/>
          <w:b/>
          <w:noProof/>
          <w:sz w:val="24"/>
          <w:szCs w:val="24"/>
        </w:rPr>
        <w:t>érdemeken alapuló, teljes jogú uniós tagságának szilárd perspektívája</w:t>
      </w:r>
      <w:r>
        <w:rPr>
          <w:rFonts w:ascii="Times New Roman" w:hAnsi="Times New Roman"/>
          <w:noProof/>
          <w:sz w:val="24"/>
          <w:szCs w:val="24"/>
        </w:rPr>
        <w:t xml:space="preserve"> az Unió saját politikai, biztonsági és gazdasági érdeke. A növekvő globális kihívások és megosztottság idején ez mindenekelőtt továbbra is </w:t>
      </w:r>
      <w:r>
        <w:rPr>
          <w:rFonts w:ascii="Times New Roman" w:hAnsi="Times New Roman"/>
          <w:b/>
          <w:noProof/>
          <w:sz w:val="24"/>
          <w:szCs w:val="24"/>
        </w:rPr>
        <w:t>geostratégiai befektetést</w:t>
      </w:r>
      <w:r>
        <w:rPr>
          <w:rFonts w:ascii="Times New Roman" w:hAnsi="Times New Roman"/>
          <w:noProof/>
          <w:sz w:val="24"/>
          <w:szCs w:val="24"/>
        </w:rPr>
        <w:t xml:space="preserve"> jelent egy stabil, erős és egységes Európába. A hiteles csatlakozási perspektíva a régió átalakulásának fő ösztönzője és hajtóereje, amely erősíti kollektív biztonságunkat és jólétünket. Kulcsfontosságú eszköz a demokrácia, a jogállamiság és az alapvető jogok tiszteletben tartásának előmozdításához, amelyek a gazdasági integráció fő hajtóerejét, valamint a regionális megbékélés és stabilitás megszilárdításának nélkülözhetetlen alapját jelentik. E politika fenntartása és javítása épp ezért elengedhetetlen az </w:t>
      </w:r>
      <w:r>
        <w:rPr>
          <w:rFonts w:ascii="Times New Roman" w:hAnsi="Times New Roman"/>
          <w:b/>
          <w:noProof/>
          <w:sz w:val="24"/>
          <w:szCs w:val="24"/>
        </w:rPr>
        <w:t>EU hitelessége, sikere, valamint a régióban és azon túl érvényesítendő uniós befolyás szempontjából</w:t>
      </w:r>
      <w:r>
        <w:rPr>
          <w:rFonts w:ascii="Times New Roman" w:hAnsi="Times New Roman"/>
          <w:noProof/>
          <w:sz w:val="24"/>
          <w:szCs w:val="24"/>
        </w:rPr>
        <w:t xml:space="preserve"> – különösen a kiélezett geopolitikai verseny idején. </w:t>
      </w:r>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Ugyanakkor az is egyértelmű, hogy a </w:t>
      </w:r>
      <w:r>
        <w:rPr>
          <w:rFonts w:ascii="Times New Roman" w:hAnsi="Times New Roman"/>
          <w:b/>
          <w:noProof/>
          <w:sz w:val="24"/>
          <w:szCs w:val="24"/>
        </w:rPr>
        <w:t>csatlakozási folyamat egészének és végrehajtásának hatékonysága további javításra szorul</w:t>
      </w:r>
      <w:r>
        <w:rPr>
          <w:rFonts w:ascii="Times New Roman" w:hAnsi="Times New Roman"/>
          <w:noProof/>
          <w:sz w:val="24"/>
          <w:szCs w:val="24"/>
        </w:rPr>
        <w:t xml:space="preserve">. Bár e politika stratégiai iránya napjainkban érvényesebb, mint valaha, helyi szinten sokkal lendületesebben kell megjelennie. </w:t>
      </w:r>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Az egymást követő reformok – mint például a jogállamisággal kapcsolatos új megközelítés, az alapvető kérdések előtérbe helyezése és a Bizottság 2018. évi nyugat-balkáni stratégiájának</w:t>
      </w:r>
      <w:r>
        <w:rPr>
          <w:rStyle w:val="FootnoteReference"/>
          <w:noProof/>
          <w:sz w:val="24"/>
          <w:szCs w:val="24"/>
        </w:rPr>
        <w:footnoteReference w:id="2"/>
      </w:r>
      <w:r>
        <w:rPr>
          <w:rFonts w:ascii="Times New Roman" w:hAnsi="Times New Roman"/>
          <w:noProof/>
          <w:sz w:val="24"/>
          <w:szCs w:val="24"/>
        </w:rPr>
        <w:t xml:space="preserve"> égisze alatt megvalósult előrelépések – ellenére</w:t>
      </w:r>
      <w:r>
        <w:rPr>
          <w:noProof/>
          <w:sz w:val="24"/>
          <w:szCs w:val="24"/>
        </w:rPr>
        <w:t xml:space="preserve"> </w:t>
      </w:r>
      <w:r>
        <w:rPr>
          <w:rFonts w:ascii="Times New Roman" w:hAnsi="Times New Roman"/>
          <w:noProof/>
          <w:sz w:val="24"/>
          <w:szCs w:val="24"/>
        </w:rPr>
        <w:t xml:space="preserve">a folyamat során hatékonyabb eszközöket kell biztosítani az érintett országok </w:t>
      </w:r>
      <w:r>
        <w:rPr>
          <w:rFonts w:ascii="Times New Roman" w:hAnsi="Times New Roman"/>
          <w:b/>
          <w:noProof/>
          <w:sz w:val="24"/>
          <w:szCs w:val="24"/>
        </w:rPr>
        <w:t>strukturális hiányosságainak</w:t>
      </w:r>
      <w:r>
        <w:rPr>
          <w:rFonts w:ascii="Times New Roman" w:hAnsi="Times New Roman"/>
          <w:noProof/>
          <w:sz w:val="24"/>
          <w:szCs w:val="24"/>
        </w:rPr>
        <w:t xml:space="preserve"> kezelésére, különösen az alapvető kérdések területén. </w:t>
      </w:r>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Rendkívül fontos, hogy </w:t>
      </w:r>
      <w:r>
        <w:rPr>
          <w:rFonts w:ascii="Times New Roman" w:hAnsi="Times New Roman"/>
          <w:b/>
          <w:noProof/>
          <w:sz w:val="24"/>
          <w:szCs w:val="24"/>
        </w:rPr>
        <w:t>valamennyi érdekelt fél körében nagyobb bizalmat építsünk ki</w:t>
      </w:r>
      <w:r>
        <w:rPr>
          <w:rFonts w:ascii="Times New Roman" w:hAnsi="Times New Roman"/>
          <w:noProof/>
          <w:sz w:val="24"/>
          <w:szCs w:val="24"/>
        </w:rPr>
        <w:t xml:space="preserve">, valamint </w:t>
      </w:r>
      <w:r>
        <w:rPr>
          <w:rFonts w:ascii="Times New Roman" w:hAnsi="Times New Roman"/>
          <w:b/>
          <w:noProof/>
          <w:sz w:val="24"/>
          <w:szCs w:val="24"/>
        </w:rPr>
        <w:t>javítsuk és hatékonyabbá tegyük a csatlakozási folyamatot</w:t>
      </w:r>
      <w:r>
        <w:rPr>
          <w:rFonts w:ascii="Times New Roman" w:hAnsi="Times New Roman"/>
          <w:noProof/>
          <w:sz w:val="24"/>
          <w:szCs w:val="24"/>
        </w:rPr>
        <w:t>.</w:t>
      </w:r>
      <w:r>
        <w:rPr>
          <w:rFonts w:ascii="Times New Roman" w:hAnsi="Times New Roman"/>
          <w:b/>
          <w:noProof/>
          <w:sz w:val="24"/>
          <w:szCs w:val="24"/>
        </w:rPr>
        <w:t xml:space="preserve"> </w:t>
      </w:r>
      <w:r>
        <w:rPr>
          <w:rFonts w:ascii="Times New Roman" w:hAnsi="Times New Roman"/>
          <w:noProof/>
          <w:sz w:val="24"/>
          <w:szCs w:val="24"/>
        </w:rPr>
        <w:t xml:space="preserve">A csatlakozási folyamatot – objektív kritériumokra, szigorú pozitív és negatív feltételrendszerre, valamint a visszafordíthatóságra építve – </w:t>
      </w:r>
      <w:r>
        <w:rPr>
          <w:rFonts w:ascii="Times New Roman" w:hAnsi="Times New Roman"/>
          <w:b/>
          <w:noProof/>
          <w:sz w:val="24"/>
          <w:szCs w:val="24"/>
        </w:rPr>
        <w:t>kiszámíthatóbbá, hitelesebbé</w:t>
      </w:r>
      <w:r>
        <w:rPr>
          <w:rFonts w:ascii="Times New Roman" w:hAnsi="Times New Roman"/>
          <w:noProof/>
          <w:sz w:val="24"/>
          <w:szCs w:val="24"/>
        </w:rPr>
        <w:t xml:space="preserve">, továbbá </w:t>
      </w:r>
      <w:r>
        <w:rPr>
          <w:rFonts w:ascii="Times New Roman" w:hAnsi="Times New Roman"/>
          <w:b/>
          <w:noProof/>
          <w:sz w:val="24"/>
          <w:szCs w:val="24"/>
        </w:rPr>
        <w:t>dinamikusabbá kell tenni, politikai irányítását pedig meg kell erősíteni</w:t>
      </w:r>
      <w:r>
        <w:rPr>
          <w:rFonts w:ascii="Times New Roman" w:hAnsi="Times New Roman"/>
          <w:noProof/>
          <w:sz w:val="24"/>
          <w:szCs w:val="24"/>
        </w:rPr>
        <w:t>.</w:t>
      </w:r>
    </w:p>
    <w:p>
      <w:pPr>
        <w:spacing w:after="120" w:line="240" w:lineRule="auto"/>
        <w:jc w:val="both"/>
        <w:rPr>
          <w:rFonts w:ascii="Times New Roman" w:eastAsia="Calibri" w:hAnsi="Times New Roman" w:cs="Times New Roman"/>
          <w:b/>
          <w:bCs/>
          <w:noProof/>
          <w:sz w:val="24"/>
          <w:szCs w:val="24"/>
        </w:rPr>
      </w:pPr>
      <w:r>
        <w:rPr>
          <w:rFonts w:ascii="Times New Roman" w:hAnsi="Times New Roman"/>
          <w:b/>
          <w:bCs/>
          <w:noProof/>
          <w:sz w:val="24"/>
          <w:szCs w:val="24"/>
        </w:rPr>
        <w:t>E közleményben a Bizottság</w:t>
      </w:r>
      <w:r>
        <w:rPr>
          <w:rFonts w:ascii="Times New Roman" w:hAnsi="Times New Roman"/>
          <w:noProof/>
          <w:sz w:val="24"/>
          <w:szCs w:val="24"/>
        </w:rPr>
        <w:t xml:space="preserve"> </w:t>
      </w:r>
      <w:r>
        <w:rPr>
          <w:rFonts w:ascii="Times New Roman" w:hAnsi="Times New Roman"/>
          <w:b/>
          <w:bCs/>
          <w:noProof/>
          <w:sz w:val="24"/>
          <w:szCs w:val="24"/>
        </w:rPr>
        <w:t>konkrét javaslatokat határoz meg</w:t>
      </w:r>
      <w:r>
        <w:rPr>
          <w:rFonts w:ascii="Times New Roman" w:hAnsi="Times New Roman"/>
          <w:noProof/>
          <w:sz w:val="24"/>
          <w:szCs w:val="24"/>
        </w:rPr>
        <w:t xml:space="preserve"> a teljes csatlakozási folyamat javítása céljából, melyek általános célja a hitelesség és a bizalom növelése mindkét oldalon, valamint a jobb helyszíni eredmények biztosítása. A javasolt változtatások a meglévő tárgyalási kereteken belül megvalósíthatók, egyenlő versenyfeltételeket biztosítva a régióban. Ez azt jelenti, hogy a Szerbiára és Montenegróra vonatkozó tárgyalási keretek nem </w:t>
      </w:r>
      <w:r>
        <w:rPr>
          <w:rFonts w:ascii="Times New Roman" w:hAnsi="Times New Roman"/>
          <w:noProof/>
          <w:sz w:val="24"/>
          <w:szCs w:val="24"/>
        </w:rPr>
        <w:lastRenderedPageBreak/>
        <w:t>módosulnak, de a javasolt változtatások e két ország egyetértésével beépíthetők a meglévő keretekbe.</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Az Európai Unió Nyugat-Balkánnal kapcsolatos szerepvállalásának egyik fő célja, hogy felkészítse az érintett országokat a tagság valamennyi követelményének teljesítésére. Mindez magában foglalja az </w:t>
      </w:r>
      <w:r>
        <w:rPr>
          <w:rFonts w:ascii="Times New Roman" w:hAnsi="Times New Roman"/>
          <w:b/>
          <w:noProof/>
          <w:sz w:val="24"/>
          <w:szCs w:val="24"/>
        </w:rPr>
        <w:t>alapvető demokratikus, jogállamisággal kapcsolatos és gazdasági reformok</w:t>
      </w:r>
      <w:r>
        <w:rPr>
          <w:rFonts w:ascii="Times New Roman" w:hAnsi="Times New Roman"/>
          <w:noProof/>
          <w:sz w:val="24"/>
          <w:szCs w:val="24"/>
        </w:rPr>
        <w:t xml:space="preserve"> támogatását, valamint az alapvető európai értékekkel való harmonizációt, ami pedig ösztönözni fogja a folyamatos és gyorsított </w:t>
      </w:r>
      <w:r>
        <w:rPr>
          <w:rFonts w:ascii="Times New Roman" w:hAnsi="Times New Roman"/>
          <w:b/>
          <w:noProof/>
          <w:sz w:val="24"/>
          <w:szCs w:val="24"/>
        </w:rPr>
        <w:t>gazdasági növekedést és a társadalmi konvergenciát</w:t>
      </w:r>
      <w:r>
        <w:rPr>
          <w:rFonts w:ascii="Times New Roman" w:hAnsi="Times New Roman"/>
          <w:noProof/>
          <w:sz w:val="24"/>
          <w:szCs w:val="24"/>
        </w:rPr>
        <w:t xml:space="preserve">. </w:t>
      </w:r>
    </w:p>
    <w:p>
      <w:pPr>
        <w:pStyle w:val="Briefingtext"/>
        <w:spacing w:after="120"/>
        <w:rPr>
          <w:rFonts w:ascii="Times New Roman" w:eastAsia="Calibri" w:hAnsi="Times New Roman" w:cs="Times New Roman"/>
          <w:noProof/>
          <w:sz w:val="24"/>
        </w:rPr>
      </w:pPr>
      <w:r>
        <w:rPr>
          <w:rFonts w:ascii="Times New Roman" w:hAnsi="Times New Roman"/>
          <w:noProof/>
          <w:sz w:val="24"/>
        </w:rPr>
        <w:t xml:space="preserve">A csatlakozási folyamat hatékonyabbá tételéhez emellett a </w:t>
      </w:r>
      <w:r>
        <w:rPr>
          <w:rFonts w:ascii="Times New Roman" w:hAnsi="Times New Roman"/>
          <w:b/>
          <w:noProof/>
          <w:sz w:val="24"/>
        </w:rPr>
        <w:t>stratégiai kommunikáció</w:t>
      </w:r>
      <w:r>
        <w:rPr>
          <w:rFonts w:ascii="Times New Roman" w:hAnsi="Times New Roman"/>
          <w:noProof/>
          <w:sz w:val="24"/>
        </w:rPr>
        <w:t xml:space="preserve"> is fontos eszközül szolgál majd. Elengedhetetlenül fontos megismertetni a régió lakosaival a szorosabb integráció és a reformok kínálta lehetőségeket, és fellépni a harmadik országok rossz szándékú befolyásával szemben. Mindehhez az érintett országok részéről is hitelesebb erőfeszítésekre van szükség. Az éves jelentések a jövőben egyértelműbben fogják értékelni hatóságaik politikai elkötelezettségét az uniós csatlakozás stratégiai célja mellett.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Ez a szakpolitikai megközelítés lesz tehát az </w:t>
      </w:r>
      <w:r>
        <w:rPr>
          <w:rFonts w:ascii="Times New Roman" w:hAnsi="Times New Roman"/>
          <w:b/>
          <w:noProof/>
          <w:sz w:val="24"/>
          <w:szCs w:val="24"/>
        </w:rPr>
        <w:t>előremutató menetrend sarokköve</w:t>
      </w:r>
      <w:r>
        <w:rPr>
          <w:rFonts w:ascii="Times New Roman" w:hAnsi="Times New Roman"/>
          <w:noProof/>
          <w:sz w:val="24"/>
          <w:szCs w:val="24"/>
        </w:rPr>
        <w:t xml:space="preserve">. A menetrend támogatni fogja a Nyugat-Balkán olyan működő piacgazdaságokká való átalakítását, amelyek képesek teljes mértékben integrálódni az EU egységes piacába, munkahelyeket és vállalkozási lehetőségeket teremteni, javítani az üzleti és beruházási környezetet, előmozdítani a jogállamiságot és megállítani a képzett munkaerő régióból való elvándorlását. E reformok elengedhetetlenek a balkáni országok gazdaságának fellendítéséhez és ahhoz, hogy az EU-val való szükséges konvergencia felgyorsításával szorosan kapcsolódjanak az uniós piacokhoz. A Bizottság különösen azt fogja megvizsgálni, hogy miként lehetne előmozdítani a beruházásokat, a társadalmi-gazdasági integrációt és a jogbiztonságot, javítani az uniós egységes piachoz való hozzáférést, erősíteni az összeköttetéseket, valamint megragadni a zöld gazdaságban rejlő lehetőségeket. A Bizottság e tekintetben a 2020. májusi zágrábi csúcstalálkozó előtt közleményt terjeszt elő. </w:t>
      </w:r>
    </w:p>
    <w:p>
      <w:pPr>
        <w:spacing w:after="120" w:line="240" w:lineRule="auto"/>
        <w:jc w:val="both"/>
        <w:rPr>
          <w:rFonts w:ascii="Times New Roman" w:hAnsi="Times New Roman" w:cs="Times New Roman"/>
          <w:noProof/>
          <w:sz w:val="24"/>
          <w:szCs w:val="24"/>
        </w:rPr>
      </w:pPr>
    </w:p>
    <w:p>
      <w:pPr>
        <w:pStyle w:val="ListParagraph"/>
        <w:numPr>
          <w:ilvl w:val="0"/>
          <w:numId w:val="6"/>
        </w:numPr>
        <w:spacing w:after="120" w:line="240" w:lineRule="auto"/>
        <w:contextualSpacing w:val="0"/>
        <w:rPr>
          <w:rFonts w:ascii="Times New Roman" w:hAnsi="Times New Roman" w:cs="Times New Roman"/>
          <w:b/>
          <w:noProof/>
          <w:sz w:val="24"/>
          <w:szCs w:val="24"/>
        </w:rPr>
      </w:pPr>
      <w:r>
        <w:rPr>
          <w:rFonts w:ascii="Times New Roman" w:hAnsi="Times New Roman"/>
          <w:b/>
          <w:noProof/>
          <w:sz w:val="24"/>
          <w:szCs w:val="24"/>
        </w:rPr>
        <w:t>A csatlakozási folyamat felélénkítése</w:t>
      </w:r>
    </w:p>
    <w:p>
      <w:pPr>
        <w:pStyle w:val="ListParagraph"/>
        <w:spacing w:after="120" w:line="240" w:lineRule="auto"/>
        <w:ind w:left="1080"/>
        <w:contextualSpacing w:val="0"/>
        <w:rPr>
          <w:rFonts w:ascii="Times New Roman" w:hAnsi="Times New Roman" w:cs="Times New Roman"/>
          <w:b/>
          <w:noProof/>
          <w:sz w:val="24"/>
          <w:szCs w:val="24"/>
          <w:u w:val="single"/>
        </w:rPr>
      </w:pPr>
    </w:p>
    <w:p>
      <w:pPr>
        <w:pStyle w:val="ListParagraph"/>
        <w:numPr>
          <w:ilvl w:val="0"/>
          <w:numId w:val="32"/>
        </w:numPr>
        <w:spacing w:after="120" w:line="240" w:lineRule="auto"/>
        <w:jc w:val="both"/>
        <w:rPr>
          <w:rFonts w:ascii="Times New Roman" w:hAnsi="Times New Roman" w:cs="Times New Roman"/>
          <w:b/>
          <w:noProof/>
          <w:sz w:val="24"/>
          <w:szCs w:val="24"/>
        </w:rPr>
      </w:pPr>
      <w:r>
        <w:rPr>
          <w:rFonts w:ascii="Times New Roman" w:hAnsi="Times New Roman"/>
          <w:b/>
          <w:noProof/>
          <w:sz w:val="24"/>
          <w:szCs w:val="24"/>
        </w:rPr>
        <w:t>A hitelesség növelése</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Ahhoz, hogy a csatlakozási folyamat mindkét részről visszanyerje hitelességét és teljes mértékben kibontakoztassa a benne rejlő lehetőségeket, szilárd és </w:t>
      </w:r>
      <w:r>
        <w:rPr>
          <w:rFonts w:ascii="Times New Roman" w:hAnsi="Times New Roman"/>
          <w:b/>
          <w:noProof/>
          <w:sz w:val="24"/>
          <w:szCs w:val="24"/>
        </w:rPr>
        <w:t>kölcsönös bizalmon és mindkét fél egyértelmű elkötelezettségén kell alapulnia</w:t>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Ez </w:t>
      </w:r>
      <w:r>
        <w:rPr>
          <w:rFonts w:ascii="Times New Roman" w:hAnsi="Times New Roman"/>
          <w:b/>
          <w:noProof/>
          <w:sz w:val="24"/>
          <w:szCs w:val="24"/>
        </w:rPr>
        <w:t>azt jelenti, hogy a nyugat-balkáni vezetőknek nagyobb hitelességet tanúsítva kell eleget tenniük</w:t>
      </w:r>
      <w:r>
        <w:rPr>
          <w:rFonts w:ascii="Times New Roman" w:hAnsi="Times New Roman"/>
          <w:noProof/>
          <w:sz w:val="24"/>
          <w:szCs w:val="24"/>
        </w:rPr>
        <w:t xml:space="preserve"> a szükséges alapvető reformok végrehajtása iránti </w:t>
      </w:r>
      <w:r>
        <w:rPr>
          <w:rFonts w:ascii="Times New Roman" w:hAnsi="Times New Roman"/>
          <w:b/>
          <w:noProof/>
          <w:sz w:val="24"/>
          <w:szCs w:val="24"/>
        </w:rPr>
        <w:t>kötelezettségvállalásaiknak</w:t>
      </w:r>
      <w:r>
        <w:rPr>
          <w:rFonts w:ascii="Times New Roman" w:hAnsi="Times New Roman"/>
          <w:noProof/>
          <w:sz w:val="24"/>
          <w:szCs w:val="24"/>
        </w:rPr>
        <w:t>, legyen szó a jogállamiságról, a korrupció elleni küzdelemről, a gazdaságról vagy a demokratikus intézmények és a közigazgatás megfelelő működésének biztosításáról, illetve a külpolitika összehangolásáról. Az uniós tagállamoknak és polgároknak jogos aggályaik vannak, és meg kell győződniük az érintett országok egyértelmű politikai akaratáról, amelyet strukturális, kézzelfogható reformok bizonyítanak. A nyugat-balkáni vezetők részéről további erőfeszítések szükségesek a regionális együttműködés és a jószomszédi kapcsolatok megerősítése érdekében, hogy polgáraik számára stabilitást és jólétet teremtsenek, miközben biztosítják az EU-t arról, hogy a régió törekszik feldolgozni múltjának örökségét.</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Ez azt is jelenti, hogy </w:t>
      </w:r>
      <w:r>
        <w:rPr>
          <w:rFonts w:ascii="Times New Roman" w:hAnsi="Times New Roman"/>
          <w:b/>
          <w:noProof/>
          <w:sz w:val="24"/>
          <w:szCs w:val="24"/>
        </w:rPr>
        <w:t>az Európai Unió eleget tesz az érdemeken alapuló folyamat iránti szilárd elkötelezettségének</w:t>
      </w:r>
      <w:r>
        <w:rPr>
          <w:rFonts w:ascii="Times New Roman" w:hAnsi="Times New Roman"/>
          <w:noProof/>
          <w:sz w:val="24"/>
          <w:szCs w:val="24"/>
        </w:rPr>
        <w:t>. Amennyiben a partnerországok teljesítik az objektív kritériumokat és a megállapított objektív feltételeket, a tagállamok megállapodnak abban, hogy tovább lehet lépni a folyamat következő szakaszába. Minden félnek tartózkodnia kell attól, hogy visszaéljen az uniós csatlakozási folyamat lezáratlan kérdéseivel. Hasonlóképpen, a tagállamoknak és az intézményeknek egységesen kell fellépniük a régióban, egyértelműen jelezve támogatásukat és bátorításukat, ugyanakkor világosan és őszintén rámutatva az észlelt hiányosságokra.</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Javítani kell a hitelességet azáltal, hogy </w:t>
      </w:r>
      <w:r>
        <w:rPr>
          <w:rFonts w:ascii="Times New Roman" w:hAnsi="Times New Roman"/>
          <w:b/>
          <w:noProof/>
          <w:sz w:val="24"/>
          <w:szCs w:val="24"/>
        </w:rPr>
        <w:t>még erőteljesebb hangsúlyt helyezünk</w:t>
      </w:r>
      <w:r>
        <w:rPr>
          <w:rFonts w:ascii="Times New Roman" w:hAnsi="Times New Roman"/>
          <w:noProof/>
          <w:sz w:val="24"/>
          <w:szCs w:val="24"/>
        </w:rPr>
        <w:t xml:space="preserve"> az uniós tagság felé vezető út sikeréhez elengedhetetlen </w:t>
      </w:r>
      <w:r>
        <w:rPr>
          <w:rFonts w:ascii="Times New Roman" w:hAnsi="Times New Roman"/>
          <w:b/>
          <w:noProof/>
          <w:sz w:val="24"/>
          <w:szCs w:val="24"/>
        </w:rPr>
        <w:t>alapvető reformokra</w:t>
      </w:r>
      <w:r>
        <w:rPr>
          <w:rFonts w:ascii="Times New Roman" w:hAnsi="Times New Roman"/>
          <w:noProof/>
          <w:sz w:val="24"/>
          <w:szCs w:val="24"/>
        </w:rPr>
        <w:t xml:space="preserve">. Ezek az alapkérdések a csatlakozási tárgyalások során még inkább központi szerepet játszanak majd. </w:t>
      </w:r>
      <w:r>
        <w:rPr>
          <w:rFonts w:ascii="Times New Roman" w:hAnsi="Times New Roman"/>
          <w:b/>
          <w:noProof/>
          <w:sz w:val="24"/>
          <w:szCs w:val="24"/>
        </w:rPr>
        <w:t>Az alapkérdésekről szóló tárgyalások fognak először megkezdődni és utoljára lezárulni</w:t>
      </w:r>
      <w:r>
        <w:rPr>
          <w:rFonts w:ascii="Times New Roman" w:hAnsi="Times New Roman"/>
          <w:noProof/>
          <w:sz w:val="24"/>
          <w:szCs w:val="24"/>
        </w:rPr>
        <w:t>, és az itt elért eredmények fogják meghatározni a tárgyalások általános ütemét. Az alapkérdésekről szóló tárgyalásokat a következők vezérlik:</w:t>
      </w:r>
    </w:p>
    <w:p>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 tárgyalási nyitókritériumot egy olyan, a korábbi cselekvési terveknek megfelelő </w:t>
      </w:r>
      <w:r>
        <w:rPr>
          <w:rFonts w:ascii="Times New Roman" w:hAnsi="Times New Roman"/>
          <w:b/>
          <w:noProof/>
          <w:sz w:val="24"/>
          <w:szCs w:val="24"/>
        </w:rPr>
        <w:t>ütemterv</w:t>
      </w:r>
      <w:r>
        <w:rPr>
          <w:rFonts w:ascii="Times New Roman" w:hAnsi="Times New Roman"/>
          <w:noProof/>
          <w:sz w:val="24"/>
          <w:szCs w:val="24"/>
        </w:rPr>
        <w:t xml:space="preserve"> jelenti majd, amely a </w:t>
      </w:r>
      <w:r>
        <w:rPr>
          <w:rFonts w:ascii="Times New Roman" w:hAnsi="Times New Roman"/>
          <w:b/>
          <w:noProof/>
          <w:sz w:val="24"/>
          <w:szCs w:val="24"/>
        </w:rPr>
        <w:t>jogállamiságra</w:t>
      </w:r>
      <w:r>
        <w:rPr>
          <w:rFonts w:ascii="Times New Roman" w:hAnsi="Times New Roman"/>
          <w:noProof/>
          <w:sz w:val="24"/>
          <w:szCs w:val="24"/>
        </w:rPr>
        <w:t xml:space="preserve"> vonatkozó fejezetekből épül fel. Továbbra is meg kell határozni időközi kritériumokat. E kritériumok teljesüléséig nem kerül sor más fejezet ideiglenes lezárására.</w:t>
      </w:r>
    </w:p>
    <w:p>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 </w:t>
      </w:r>
      <w:r>
        <w:rPr>
          <w:rFonts w:ascii="Times New Roman" w:hAnsi="Times New Roman"/>
          <w:b/>
          <w:noProof/>
          <w:sz w:val="24"/>
          <w:szCs w:val="24"/>
        </w:rPr>
        <w:t>demokratikus intézmények működésére</w:t>
      </w:r>
      <w:r>
        <w:rPr>
          <w:rFonts w:ascii="Times New Roman" w:hAnsi="Times New Roman"/>
          <w:noProof/>
          <w:sz w:val="24"/>
          <w:szCs w:val="24"/>
        </w:rPr>
        <w:t xml:space="preserve"> és a közigazgatási reformra </w:t>
      </w:r>
      <w:r>
        <w:rPr>
          <w:rFonts w:ascii="Times New Roman" w:hAnsi="Times New Roman"/>
          <w:b/>
          <w:noProof/>
          <w:sz w:val="24"/>
          <w:szCs w:val="24"/>
        </w:rPr>
        <w:t>vonatkozó ütemterv</w:t>
      </w:r>
    </w:p>
    <w:p>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b/>
          <w:noProof/>
          <w:sz w:val="24"/>
          <w:szCs w:val="24"/>
        </w:rPr>
        <w:t>Szorosabb kapcsolat a gazdasági reformprogram</w:t>
      </w:r>
      <w:r>
        <w:rPr>
          <w:rFonts w:ascii="Times New Roman" w:hAnsi="Times New Roman"/>
          <w:noProof/>
          <w:sz w:val="24"/>
          <w:szCs w:val="24"/>
        </w:rPr>
        <w:t xml:space="preserve"> folyamatával, annak érdekében, hogy az országok segítséget kaphassanak a gazdasági kritériumok teljesítéséhez.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 Bizottság emellett tovább erősíti a jogállamisággal és az intézményfejlesztéssel kapcsolatos intézkedéseket. Az e reformok terén elért eredmények elengedhetetlenek lesznek a mélyebb ágazati integrációhoz és az általános előrehaladáshoz. Emellett a korrupcióellenes erőfeszítéseket horizontálisan fogjuk kezelni, hangsúlyos szerepet biztosítva ezeknek az érintett fejezetekben. A továbbiakban is változatlanul támogatjuk a regionális együttműködést. Minden erőfeszítést meg kell tenni a kétoldalú viták rendezése érdekében, különös hangsúlyt fektetve a Belgrád és Pristina között az EU közvetítésével zajló párbeszédre, melynek végcélja egy átfogó, jogilag kötelező erejű rendezési megállapodás megkötése. </w:t>
      </w:r>
    </w:p>
    <w:p>
      <w:pPr>
        <w:spacing w:after="120" w:line="240" w:lineRule="auto"/>
        <w:jc w:val="both"/>
        <w:rPr>
          <w:rFonts w:ascii="Times New Roman" w:hAnsi="Times New Roman" w:cs="Times New Roman"/>
          <w:noProof/>
          <w:sz w:val="24"/>
          <w:szCs w:val="24"/>
        </w:rPr>
      </w:pPr>
    </w:p>
    <w:p>
      <w:pPr>
        <w:pStyle w:val="ListParagraph"/>
        <w:numPr>
          <w:ilvl w:val="0"/>
          <w:numId w:val="32"/>
        </w:numPr>
        <w:spacing w:after="120" w:line="240" w:lineRule="auto"/>
        <w:jc w:val="both"/>
        <w:rPr>
          <w:rFonts w:ascii="Times New Roman" w:hAnsi="Times New Roman" w:cs="Times New Roman"/>
          <w:b/>
          <w:noProof/>
          <w:sz w:val="24"/>
          <w:szCs w:val="24"/>
        </w:rPr>
      </w:pPr>
      <w:r>
        <w:rPr>
          <w:rFonts w:ascii="Times New Roman" w:hAnsi="Times New Roman"/>
          <w:b/>
          <w:noProof/>
          <w:sz w:val="24"/>
          <w:szCs w:val="24"/>
        </w:rPr>
        <w:t>Erőteljesebb politikai irányítás</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Az Európai Unióhoz való csatlakozás olyan folyamat, amely a csatlakozni kívánó országokban alapvető reformokat és politikai és gazdasági változásokat tesz szükségessé, illetve támogat, emellett pedig megköveteli annak bizonyítását, hogy az érintett ország részt tud vállalni az EU tagállamaira háruló közös felelősségből. E folyamat során az előrehaladás nem automatikus: az adott ország részéről olyan </w:t>
      </w:r>
      <w:r>
        <w:rPr>
          <w:rFonts w:ascii="Times New Roman" w:hAnsi="Times New Roman"/>
          <w:b/>
          <w:noProof/>
          <w:sz w:val="24"/>
          <w:szCs w:val="24"/>
        </w:rPr>
        <w:t>aktív társadalmi döntést</w:t>
      </w:r>
      <w:r>
        <w:rPr>
          <w:rFonts w:ascii="Times New Roman" w:hAnsi="Times New Roman"/>
          <w:noProof/>
          <w:sz w:val="24"/>
          <w:szCs w:val="24"/>
        </w:rPr>
        <w:t xml:space="preserve"> kell tükröznie, amely a legszigorúbb európai normák és értékek elérését és tiszteletben tartását tűzte ki célul. Hasonlóképpen, a tagállamok azon elkötelezettsége, hogy közös jövőt alakítanak ki az Unióhoz teljes jogú tagként csatlakozó nyugat-balkáni államokkal, jelentős politikai, nem pedig csupán technikai kötelezettségvállalás.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Ez azt jelenti, hogy mindkét félnek </w:t>
      </w:r>
      <w:r>
        <w:rPr>
          <w:rFonts w:ascii="Times New Roman" w:hAnsi="Times New Roman"/>
          <w:b/>
          <w:noProof/>
          <w:sz w:val="24"/>
          <w:szCs w:val="24"/>
        </w:rPr>
        <w:t>nagyobb vezető szerepet kell vállalnia</w:t>
      </w:r>
      <w:r>
        <w:rPr>
          <w:rFonts w:ascii="Times New Roman" w:hAnsi="Times New Roman"/>
          <w:noProof/>
          <w:sz w:val="24"/>
          <w:szCs w:val="24"/>
        </w:rPr>
        <w:t xml:space="preserve">, és nyilvánosan eleget kell tennie kötelezettségvállalásainak, miközben közvetlenebb módon foglalkozik az aggodalomra okot adó kérdésekkel. Figyelembe véve e tárgykör horderejét, elérkezett az idő, hogy </w:t>
      </w:r>
      <w:r>
        <w:rPr>
          <w:rFonts w:ascii="Times New Roman" w:hAnsi="Times New Roman"/>
          <w:b/>
          <w:noProof/>
          <w:sz w:val="24"/>
          <w:szCs w:val="24"/>
        </w:rPr>
        <w:t>előtérbe és középpontba helyezzük a folyamat politikai jellegét</w:t>
      </w:r>
      <w:r>
        <w:rPr>
          <w:rFonts w:ascii="Times New Roman" w:hAnsi="Times New Roman"/>
          <w:noProof/>
          <w:sz w:val="24"/>
          <w:szCs w:val="24"/>
        </w:rPr>
        <w:t xml:space="preserve">, és biztosítsuk a tagállamok részéről az erőteljesebb irányítást és a magas szintű szerepvállalást.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Ennek keretében </w:t>
      </w:r>
      <w:r>
        <w:rPr>
          <w:rFonts w:ascii="Times New Roman" w:hAnsi="Times New Roman"/>
          <w:b/>
          <w:noProof/>
          <w:sz w:val="24"/>
          <w:szCs w:val="24"/>
        </w:rPr>
        <w:t>rendszeres EU-Nyugat-Balkán csúcstalálkozókon és intenzívebb miniszteri kapcsolatokon keresztül</w:t>
      </w:r>
      <w:r>
        <w:rPr>
          <w:rFonts w:ascii="Times New Roman" w:hAnsi="Times New Roman"/>
          <w:noProof/>
          <w:sz w:val="24"/>
          <w:szCs w:val="24"/>
        </w:rPr>
        <w:t xml:space="preserve"> új lehetőségeket kell teremteni az országokkal folytatott </w:t>
      </w:r>
      <w:r>
        <w:rPr>
          <w:rFonts w:ascii="Times New Roman" w:hAnsi="Times New Roman"/>
          <w:b/>
          <w:noProof/>
          <w:sz w:val="24"/>
          <w:szCs w:val="24"/>
        </w:rPr>
        <w:t>magas szintű politikai és szakpolitikai párbeszédre</w:t>
      </w:r>
      <w:r>
        <w:rPr>
          <w:rFonts w:ascii="Times New Roman" w:hAnsi="Times New Roman"/>
          <w:noProof/>
          <w:sz w:val="24"/>
          <w:szCs w:val="24"/>
        </w:rPr>
        <w:t xml:space="preserve">, különösen azokon a területeken, ahol jól halad a jogharmonizáció és teljesülnek a kulcsfontosságú kritériumok. Ez a fokozott szerepvállalás ahhoz vezethet, hogy az országok </w:t>
      </w:r>
      <w:r>
        <w:rPr>
          <w:rFonts w:ascii="Times New Roman" w:hAnsi="Times New Roman"/>
          <w:b/>
          <w:noProof/>
          <w:sz w:val="24"/>
          <w:szCs w:val="24"/>
        </w:rPr>
        <w:t>megfigyelőként</w:t>
      </w:r>
      <w:r>
        <w:rPr>
          <w:rFonts w:ascii="Times New Roman" w:hAnsi="Times New Roman"/>
          <w:noProof/>
          <w:sz w:val="24"/>
          <w:szCs w:val="24"/>
        </w:rPr>
        <w:t xml:space="preserve"> részt vehetnek a számukra alapvető fontosságú kérdésekkel foglalkozó kulcsfontosságú uniós üléseken.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Fontos lesz annak biztosítása, hogy a </w:t>
      </w:r>
      <w:r>
        <w:rPr>
          <w:rFonts w:ascii="Times New Roman" w:hAnsi="Times New Roman"/>
          <w:b/>
          <w:noProof/>
          <w:sz w:val="24"/>
          <w:szCs w:val="24"/>
        </w:rPr>
        <w:t>stabilizációs és társulási megállapodás hatálya alá tartozó valamennyi szerv sokkal nagyobb hangsúlyt helyezzen a kulcsfontosságú politikai kérdésekre és reformokra</w:t>
      </w:r>
      <w:r>
        <w:rPr>
          <w:rFonts w:ascii="Times New Roman" w:hAnsi="Times New Roman"/>
          <w:noProof/>
          <w:sz w:val="24"/>
          <w:szCs w:val="24"/>
        </w:rPr>
        <w:t xml:space="preserve">, és valódi politikai párbeszédet tegyen lehetővé. A kormányközi konferenciák a csatlakozási tárgyalási folyamat erőteljesebb politikai irányítását hivatottak biztosítani.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 Bizottság </w:t>
      </w:r>
      <w:r>
        <w:rPr>
          <w:rFonts w:ascii="Times New Roman" w:hAnsi="Times New Roman"/>
          <w:b/>
          <w:noProof/>
          <w:sz w:val="24"/>
          <w:szCs w:val="24"/>
        </w:rPr>
        <w:t xml:space="preserve">fel fogja kérni </w:t>
      </w:r>
      <w:r>
        <w:rPr>
          <w:rFonts w:ascii="Times New Roman" w:hAnsi="Times New Roman"/>
          <w:b/>
          <w:noProof/>
          <w:sz w:val="24"/>
          <w:szCs w:val="24"/>
          <w:u w:val="single"/>
        </w:rPr>
        <w:t>a tagállamokat</w:t>
      </w:r>
      <w:r>
        <w:rPr>
          <w:rFonts w:ascii="Times New Roman" w:hAnsi="Times New Roman"/>
          <w:b/>
          <w:noProof/>
          <w:sz w:val="24"/>
          <w:szCs w:val="24"/>
        </w:rPr>
        <w:t>, hogy szisztematikusabban járuljanak hozzá a csatlakozási folyamathoz</w:t>
      </w:r>
      <w:r>
        <w:rPr>
          <w:rFonts w:ascii="Times New Roman" w:hAnsi="Times New Roman"/>
          <w:noProof/>
          <w:sz w:val="24"/>
          <w:szCs w:val="24"/>
        </w:rPr>
        <w:t>, többek között a szakértőkön keresztüli helyszíni ellenőrzés, az éves jelentésekhez való közvetlen hozzájárulás és ágazati szakértelem biztosítása révén. A tagállamoknak lehetőségük lesz arra is, hogy rendszeresebben felülvizsgálják és nyomon kövessék az általános előrehaladást.</w:t>
      </w:r>
    </w:p>
    <w:p>
      <w:pPr>
        <w:spacing w:after="120" w:line="240" w:lineRule="auto"/>
        <w:jc w:val="both"/>
        <w:rPr>
          <w:rFonts w:ascii="Times New Roman" w:hAnsi="Times New Roman" w:cs="Times New Roman"/>
          <w:noProof/>
          <w:sz w:val="24"/>
          <w:szCs w:val="24"/>
        </w:rPr>
      </w:pPr>
      <w:r>
        <w:rPr>
          <w:rFonts w:ascii="Times New Roman" w:hAnsi="Times New Roman"/>
          <w:b/>
          <w:noProof/>
          <w:sz w:val="24"/>
          <w:szCs w:val="24"/>
          <w:u w:val="single"/>
        </w:rPr>
        <w:t>A Bizottság</w:t>
      </w:r>
      <w:r>
        <w:rPr>
          <w:rFonts w:ascii="Times New Roman" w:hAnsi="Times New Roman"/>
          <w:noProof/>
          <w:sz w:val="24"/>
          <w:szCs w:val="24"/>
        </w:rPr>
        <w:t xml:space="preserve"> továbbra is át fogja tekinteni a tárgyalások során elért általános eredményeket. A Bizottság </w:t>
      </w:r>
      <w:r>
        <w:rPr>
          <w:rFonts w:ascii="Times New Roman" w:hAnsi="Times New Roman"/>
          <w:b/>
          <w:noProof/>
          <w:sz w:val="24"/>
          <w:szCs w:val="24"/>
        </w:rPr>
        <w:t>éves bővítési csomagjában</w:t>
      </w:r>
      <w:r>
        <w:rPr>
          <w:rFonts w:ascii="Times New Roman" w:hAnsi="Times New Roman"/>
          <w:noProof/>
          <w:sz w:val="24"/>
          <w:szCs w:val="24"/>
        </w:rPr>
        <w:t xml:space="preserve"> a következő évre vonatkozóan a reformokat – </w:t>
      </w:r>
      <w:r>
        <w:rPr>
          <w:rFonts w:ascii="Times New Roman" w:hAnsi="Times New Roman"/>
          <w:b/>
          <w:noProof/>
          <w:sz w:val="24"/>
          <w:szCs w:val="24"/>
        </w:rPr>
        <w:t>beleértve a korrekciós intézkedésekre vonatkozó javaslatokat is</w:t>
      </w:r>
      <w:r>
        <w:rPr>
          <w:rFonts w:ascii="Times New Roman" w:hAnsi="Times New Roman"/>
          <w:noProof/>
          <w:sz w:val="24"/>
          <w:szCs w:val="24"/>
        </w:rPr>
        <w:t xml:space="preserve"> – részletesebben taglaló programra irányuló javaslatot fog jóváhagyásra a tagállamok elé terjeszteni.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 xml:space="preserve">Az egyes országokra vonatkozó jelentéseket tartalmazó éves bizottsági csomag közzétételét követően </w:t>
      </w:r>
      <w:r>
        <w:rPr>
          <w:rFonts w:ascii="Times New Roman" w:hAnsi="Times New Roman"/>
          <w:b/>
          <w:noProof/>
          <w:sz w:val="24"/>
          <w:szCs w:val="24"/>
          <w:u w:val="single"/>
        </w:rPr>
        <w:t xml:space="preserve">országspecifikus kormányközi konferenciákat </w:t>
      </w:r>
      <w:r>
        <w:rPr>
          <w:rFonts w:ascii="Times New Roman" w:hAnsi="Times New Roman"/>
          <w:b/>
          <w:noProof/>
          <w:sz w:val="24"/>
          <w:szCs w:val="24"/>
        </w:rPr>
        <w:t>kell tartani, melyeken fórumot kell biztosítani</w:t>
      </w:r>
      <w:r>
        <w:rPr>
          <w:rFonts w:ascii="Times New Roman" w:hAnsi="Times New Roman"/>
          <w:noProof/>
          <w:sz w:val="24"/>
          <w:szCs w:val="24"/>
        </w:rPr>
        <w:t xml:space="preserve"> a reformokról szóló </w:t>
      </w:r>
      <w:r>
        <w:rPr>
          <w:rFonts w:ascii="Times New Roman" w:hAnsi="Times New Roman"/>
          <w:b/>
          <w:noProof/>
          <w:sz w:val="24"/>
          <w:szCs w:val="24"/>
        </w:rPr>
        <w:t>politikai párbeszédhez</w:t>
      </w:r>
      <w:r>
        <w:rPr>
          <w:rFonts w:ascii="Times New Roman" w:hAnsi="Times New Roman"/>
          <w:noProof/>
          <w:sz w:val="24"/>
          <w:szCs w:val="24"/>
        </w:rPr>
        <w:t xml:space="preserve">, át kell tekinteni a csatlakozási folyamat egészét, és meg kell határozni a következő évre vonatkozó terveket, beleértve a fejezetek/témakörök megnyitását és lezárását, valamint a lehetséges korrekciós intézkedéseket. A </w:t>
      </w:r>
      <w:r>
        <w:rPr>
          <w:rFonts w:ascii="Times New Roman" w:hAnsi="Times New Roman"/>
          <w:b/>
          <w:noProof/>
          <w:sz w:val="24"/>
          <w:szCs w:val="24"/>
        </w:rPr>
        <w:t>gyümölcsöző politikai párbeszéd lehetővé tétele érdekében</w:t>
      </w:r>
      <w:r>
        <w:rPr>
          <w:rFonts w:ascii="Times New Roman" w:hAnsi="Times New Roman"/>
          <w:noProof/>
          <w:sz w:val="24"/>
          <w:szCs w:val="24"/>
        </w:rPr>
        <w:t xml:space="preserve"> a kormányközi konferencián valamennyi félnek </w:t>
      </w:r>
      <w:r>
        <w:rPr>
          <w:rFonts w:ascii="Times New Roman" w:hAnsi="Times New Roman"/>
          <w:b/>
          <w:noProof/>
          <w:sz w:val="24"/>
          <w:szCs w:val="24"/>
        </w:rPr>
        <w:t>megfelelő szinten</w:t>
      </w:r>
      <w:r>
        <w:rPr>
          <w:rFonts w:ascii="Times New Roman" w:hAnsi="Times New Roman"/>
          <w:noProof/>
          <w:sz w:val="24"/>
          <w:szCs w:val="24"/>
        </w:rPr>
        <w:t xml:space="preserve"> képviseltetnie kell magát.</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 </w:t>
      </w:r>
      <w:r>
        <w:rPr>
          <w:rFonts w:ascii="Times New Roman" w:hAnsi="Times New Roman"/>
          <w:b/>
          <w:noProof/>
          <w:sz w:val="24"/>
          <w:szCs w:val="24"/>
          <w:u w:val="single"/>
        </w:rPr>
        <w:t>stabilizációs és társulási tanácsok</w:t>
      </w:r>
      <w:r>
        <w:rPr>
          <w:rFonts w:ascii="Times New Roman" w:hAnsi="Times New Roman"/>
          <w:noProof/>
          <w:sz w:val="24"/>
          <w:szCs w:val="24"/>
        </w:rPr>
        <w:t xml:space="preserve"> szintén fontos, kiegészítő jellegű lehetőséget biztosítanak majd a reformokról folytatott politikai párbeszédhez. Emellett a stabilizációs és társulási bizottságokkal és albizottságokkal együtt lehetővé tehetik </w:t>
      </w:r>
      <w:r>
        <w:rPr>
          <w:rFonts w:ascii="Times New Roman" w:hAnsi="Times New Roman"/>
          <w:b/>
          <w:noProof/>
          <w:sz w:val="24"/>
          <w:szCs w:val="24"/>
        </w:rPr>
        <w:t>az előrehaladás erőteljesebb nyomon követését és a gyorsított integráció szempontjainak figyelembevételét</w:t>
      </w:r>
      <w:r>
        <w:rPr>
          <w:rFonts w:ascii="Times New Roman" w:hAnsi="Times New Roman"/>
          <w:noProof/>
          <w:sz w:val="24"/>
          <w:szCs w:val="24"/>
        </w:rPr>
        <w:t xml:space="preserve"> az adott témakörön belül (lásd lejjebb).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Mélyrehatóbb politikai számvetésre kell sort keríteni az egyes partnerek csatlakozási folyamatának kulcsfontosságú pillanataiban – például amikor az alapvető reformokra vonatkozó időközi kritériumok teljesülnek, amikor a Tanács dönt arról, hogy teljesülnek-e az egyes témakörök megnyitásának feltételei, vagy amikor az átfogó tárgyalások technikailag készen állnak a lezárásra.</w:t>
      </w:r>
    </w:p>
    <w:p>
      <w:pPr>
        <w:spacing w:after="120" w:line="240" w:lineRule="auto"/>
        <w:jc w:val="both"/>
        <w:rPr>
          <w:rFonts w:ascii="Times New Roman" w:hAnsi="Times New Roman" w:cs="Times New Roman"/>
          <w:noProof/>
          <w:sz w:val="24"/>
          <w:szCs w:val="24"/>
        </w:rPr>
      </w:pPr>
    </w:p>
    <w:p>
      <w:pPr>
        <w:pStyle w:val="ListParagraph"/>
        <w:numPr>
          <w:ilvl w:val="0"/>
          <w:numId w:val="32"/>
        </w:numPr>
        <w:spacing w:after="120" w:line="240" w:lineRule="auto"/>
        <w:jc w:val="both"/>
        <w:rPr>
          <w:rFonts w:ascii="Times New Roman" w:hAnsi="Times New Roman" w:cs="Times New Roman"/>
          <w:b/>
          <w:noProof/>
          <w:sz w:val="24"/>
          <w:szCs w:val="24"/>
        </w:rPr>
      </w:pPr>
      <w:r>
        <w:rPr>
          <w:rFonts w:ascii="Times New Roman" w:hAnsi="Times New Roman"/>
          <w:b/>
          <w:noProof/>
          <w:sz w:val="24"/>
          <w:szCs w:val="24"/>
        </w:rPr>
        <w:t xml:space="preserve">Dinamikusabb folyamat </w:t>
      </w:r>
    </w:p>
    <w:p>
      <w:pPr>
        <w:widowControl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 tárgyalási folyamat dinamikusabbá tétele és az egyes fejezeteken túlmutató erőfeszítések egymást erősítő hatásának előmozdítása érdekében </w:t>
      </w:r>
      <w:r>
        <w:rPr>
          <w:rFonts w:ascii="Times New Roman" w:hAnsi="Times New Roman"/>
          <w:b/>
          <w:noProof/>
          <w:sz w:val="24"/>
          <w:szCs w:val="24"/>
        </w:rPr>
        <w:t>a tárgyalási fejezeteket témakörök szerint fogják csoportosítani</w:t>
      </w:r>
      <w:r>
        <w:rPr>
          <w:rFonts w:ascii="Times New Roman" w:hAnsi="Times New Roman"/>
          <w:noProof/>
          <w:sz w:val="24"/>
          <w:szCs w:val="24"/>
        </w:rPr>
        <w:t xml:space="preserve">. Ezek a témakörök olyan átfogó témákat követnek, mint a jó kormányzás, a belső piac, a gazdasági versenyképesség és az összekapcsoltság. </w:t>
      </w:r>
    </w:p>
    <w:p>
      <w:pPr>
        <w:widowControl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 fejezetek témakörökbe rendezése lehetővé teszi, hogy </w:t>
      </w:r>
      <w:r>
        <w:rPr>
          <w:rFonts w:ascii="Times New Roman" w:hAnsi="Times New Roman"/>
          <w:b/>
          <w:noProof/>
          <w:sz w:val="24"/>
          <w:szCs w:val="24"/>
        </w:rPr>
        <w:t>a politikai párbeszédben nagyobb hangsúlyt kapjanak a fő ágazatok</w:t>
      </w:r>
      <w:r>
        <w:rPr>
          <w:rFonts w:ascii="Times New Roman" w:hAnsi="Times New Roman"/>
          <w:noProof/>
          <w:sz w:val="24"/>
          <w:szCs w:val="24"/>
        </w:rPr>
        <w:t xml:space="preserve">, és hatékonyabb keretet biztosít a magasabb szintű politikai szerepvállaláshoz. Segítségével meghatározható, hogy </w:t>
      </w:r>
      <w:r>
        <w:rPr>
          <w:rFonts w:ascii="Times New Roman" w:hAnsi="Times New Roman"/>
          <w:b/>
          <w:noProof/>
          <w:sz w:val="24"/>
          <w:szCs w:val="24"/>
        </w:rPr>
        <w:t>ágazatonként melyek a legfontosabb és legsürgetőbb reformok.</w:t>
      </w:r>
      <w:r>
        <w:rPr>
          <w:rFonts w:ascii="Times New Roman" w:hAnsi="Times New Roman"/>
          <w:noProof/>
          <w:sz w:val="24"/>
          <w:szCs w:val="24"/>
        </w:rPr>
        <w:t xml:space="preserve"> Így az ágazati reformoknak a polgárok és a vállalkozások érdekében történő hatékonyabb ösztönzése révén az általános reformfolyamatok nagyobb helyi szintű lendületet kapnak.</w:t>
      </w:r>
    </w:p>
    <w:p>
      <w:pPr>
        <w:widowControl w:val="0"/>
        <w:spacing w:after="120" w:line="240" w:lineRule="auto"/>
        <w:jc w:val="both"/>
        <w:rPr>
          <w:rFonts w:ascii="Times New Roman" w:hAnsi="Times New Roman" w:cs="Times New Roman"/>
          <w:noProof/>
          <w:sz w:val="24"/>
          <w:szCs w:val="24"/>
        </w:rPr>
      </w:pPr>
      <w:r>
        <w:rPr>
          <w:rFonts w:ascii="Times New Roman" w:hAnsi="Times New Roman"/>
          <w:b/>
          <w:noProof/>
          <w:sz w:val="24"/>
          <w:szCs w:val="24"/>
        </w:rPr>
        <w:t xml:space="preserve">Az egyes témakörökre vonatkozó tárgyalásokat </w:t>
      </w:r>
      <w:r>
        <w:rPr>
          <w:rFonts w:ascii="Times New Roman" w:hAnsi="Times New Roman"/>
          <w:noProof/>
          <w:sz w:val="24"/>
          <w:szCs w:val="24"/>
        </w:rPr>
        <w:t>–</w:t>
      </w:r>
      <w:r>
        <w:rPr>
          <w:rFonts w:ascii="Times New Roman" w:hAnsi="Times New Roman"/>
          <w:b/>
          <w:noProof/>
          <w:sz w:val="24"/>
          <w:szCs w:val="24"/>
        </w:rPr>
        <w:t>a tárgyalási nyitókritériumok teljesítését követően –</w:t>
      </w:r>
      <w:r>
        <w:rPr>
          <w:rFonts w:ascii="Times New Roman" w:hAnsi="Times New Roman"/>
          <w:noProof/>
          <w:sz w:val="24"/>
          <w:szCs w:val="24"/>
        </w:rPr>
        <w:t xml:space="preserve"> nem fejezeteként, hanem az egész témakörre együtt nyitják meg. A témakörönként elvégzett átvilágítási folyamat eredményeként az EU és a tagjelölt ország megállapodik a gyorsított integráció és a kulcsfontosságú reformok prioritásairól. E prioritások megfelelő kezelését követően a – valamennyi kapcsolódó fejezetre kiterjedő – témakört további feltételek nélkül megnyitják, és meghatározzák az egyes fejezetek zárókritériumait. Ha már a témakör megnyitása előtt fontos reformokat hajtottak végre, célszerű korlátozni az adott témakör megnyitásától az egyes fejezetek lezárásáig tartó időkeretet, lehetőleg úgy, hogy az ne haladja meg az egy évet, ugyanekkor ezt teljes mértékben függővé kell tenni a reformok előrehaladásától, és a teljes összehangolás biztosításához szükséges fennmaradó intézkedésekre kell helyezni a hangsúlyt. </w:t>
      </w:r>
    </w:p>
    <w:p>
      <w:pPr>
        <w:widowControl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 </w:t>
      </w:r>
      <w:r>
        <w:rPr>
          <w:rFonts w:ascii="Times New Roman" w:hAnsi="Times New Roman"/>
          <w:b/>
          <w:noProof/>
          <w:sz w:val="24"/>
          <w:szCs w:val="24"/>
        </w:rPr>
        <w:t>témaköröket összehangolják a stabilizációs és társulási albizottságokkal</w:t>
      </w:r>
      <w:r>
        <w:rPr>
          <w:rFonts w:ascii="Times New Roman" w:hAnsi="Times New Roman"/>
          <w:noProof/>
          <w:sz w:val="24"/>
          <w:szCs w:val="24"/>
        </w:rPr>
        <w:t xml:space="preserve">; így nyomon követhető a témakörben elért előrehaladás, a stabilizációs és társulási struktúrák keretében pedig konkrét intézkedések hozhatók az összehangolás felgyorsítása érdekében. Ez lehetővé teszi a célzott párbeszédeket, valamint </w:t>
      </w:r>
      <w:r>
        <w:rPr>
          <w:rFonts w:ascii="Times New Roman" w:hAnsi="Times New Roman"/>
          <w:b/>
          <w:noProof/>
          <w:sz w:val="24"/>
          <w:szCs w:val="24"/>
        </w:rPr>
        <w:t>a gyorsabb összehangolás</w:t>
      </w:r>
      <w:r>
        <w:rPr>
          <w:rFonts w:ascii="Times New Roman" w:hAnsi="Times New Roman"/>
          <w:noProof/>
          <w:sz w:val="24"/>
          <w:szCs w:val="24"/>
        </w:rPr>
        <w:t xml:space="preserve"> és integráció </w:t>
      </w:r>
      <w:r>
        <w:rPr>
          <w:rFonts w:ascii="Times New Roman" w:hAnsi="Times New Roman"/>
          <w:b/>
          <w:noProof/>
          <w:sz w:val="24"/>
          <w:szCs w:val="24"/>
        </w:rPr>
        <w:t>lehetőségeinek</w:t>
      </w:r>
      <w:r>
        <w:rPr>
          <w:rFonts w:ascii="Times New Roman" w:hAnsi="Times New Roman"/>
          <w:noProof/>
          <w:sz w:val="24"/>
          <w:szCs w:val="24"/>
        </w:rPr>
        <w:t xml:space="preserve"> azonosítását valamennyi uniós szakpolitikai területen, ami egyértelmű előnyökkel jár az Európai Unió és a tagjelölt országok számára.</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 </w:t>
      </w:r>
      <w:r>
        <w:rPr>
          <w:rFonts w:ascii="Times New Roman" w:hAnsi="Times New Roman"/>
          <w:b/>
          <w:noProof/>
          <w:sz w:val="24"/>
          <w:szCs w:val="24"/>
        </w:rPr>
        <w:t>Szerbiával és Montenegróval folytatott tárgyalások</w:t>
      </w:r>
      <w:r>
        <w:rPr>
          <w:rFonts w:ascii="Times New Roman" w:hAnsi="Times New Roman"/>
          <w:noProof/>
          <w:sz w:val="24"/>
          <w:szCs w:val="24"/>
        </w:rPr>
        <w:t xml:space="preserve"> dinamizmusának fokozása érdekében – tiszteletben tartva a meglévő tárgyalási kereteket és ezen országok beleegyezésével – a fejezetekkel kapcsolatos munkát témakörök köré is lehet szervezni. Ez azt is lehetővé teszi, hogy a kulcsfontosságú ágazatokra nagyobb politikai hangsúly kerüljön, és az országokban a jogharmonizáció kulcskérdései politikai lendületet kapjanak. Lehetőség lesz a gyorsított ágazati összehangolás és integráció szempontjából fontos területek meghatározásának folyamatába való bekapcsolódásra, valamint közös ütemtervek elfogadására és a stabilizációs és társulási megállapodás struktúrái keretében való figyelemmel kísérésükre.</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 </w:t>
      </w:r>
    </w:p>
    <w:p>
      <w:pPr>
        <w:pStyle w:val="ListParagraph"/>
        <w:numPr>
          <w:ilvl w:val="0"/>
          <w:numId w:val="32"/>
        </w:numPr>
        <w:spacing w:after="120" w:line="240" w:lineRule="auto"/>
        <w:jc w:val="both"/>
        <w:rPr>
          <w:rFonts w:ascii="Times New Roman" w:hAnsi="Times New Roman" w:cs="Times New Roman"/>
          <w:b/>
          <w:noProof/>
          <w:sz w:val="24"/>
          <w:szCs w:val="24"/>
          <w:u w:val="single"/>
        </w:rPr>
      </w:pPr>
      <w:r>
        <w:rPr>
          <w:rFonts w:ascii="Times New Roman" w:hAnsi="Times New Roman"/>
          <w:b/>
          <w:noProof/>
          <w:sz w:val="24"/>
          <w:szCs w:val="24"/>
        </w:rPr>
        <w:t xml:space="preserve">Kiszámíthatóság, pozitív és negatív feltételrendszer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Mind a tagállamok, mind a nyugat-balkáni országok részéről határozott igény mutatkozik egy kiszámíthatóbb folyamat iránt, amely </w:t>
      </w:r>
      <w:r>
        <w:rPr>
          <w:rFonts w:ascii="Times New Roman" w:hAnsi="Times New Roman"/>
          <w:b/>
          <w:noProof/>
          <w:sz w:val="24"/>
          <w:szCs w:val="24"/>
        </w:rPr>
        <w:t>nagyobb egyértelműséget biztosít annak tekintetében, hogy az Unió mit vár el</w:t>
      </w:r>
      <w:r>
        <w:rPr>
          <w:rFonts w:ascii="Times New Roman" w:hAnsi="Times New Roman"/>
          <w:noProof/>
          <w:sz w:val="24"/>
          <w:szCs w:val="24"/>
        </w:rPr>
        <w:t xml:space="preserve"> a bővítési országoktól a folyamat különböző szakaszaiban, és milyen</w:t>
      </w:r>
      <w:r>
        <w:rPr>
          <w:rFonts w:ascii="Times New Roman" w:hAnsi="Times New Roman"/>
          <w:b/>
          <w:noProof/>
          <w:sz w:val="24"/>
          <w:szCs w:val="24"/>
        </w:rPr>
        <w:t xml:space="preserve"> pozitív és negatív következményekkel</w:t>
      </w:r>
      <w:r>
        <w:rPr>
          <w:rFonts w:ascii="Times New Roman" w:hAnsi="Times New Roman"/>
          <w:noProof/>
          <w:sz w:val="24"/>
          <w:szCs w:val="24"/>
        </w:rPr>
        <w:t xml:space="preserve"> jár az előrehaladás vagy annak hiánya.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 Bizottság a </w:t>
      </w:r>
      <w:r>
        <w:rPr>
          <w:rFonts w:ascii="Times New Roman" w:hAnsi="Times New Roman"/>
          <w:b/>
          <w:noProof/>
          <w:sz w:val="24"/>
          <w:szCs w:val="24"/>
        </w:rPr>
        <w:t>bővítési csomag segítségével ellenőrizni fogja</w:t>
      </w:r>
      <w:r>
        <w:rPr>
          <w:rFonts w:ascii="Times New Roman" w:hAnsi="Times New Roman"/>
          <w:noProof/>
          <w:sz w:val="24"/>
          <w:szCs w:val="24"/>
        </w:rPr>
        <w:t xml:space="preserve">, hogy a tagjelölt országok </w:t>
      </w:r>
      <w:r>
        <w:rPr>
          <w:rFonts w:ascii="Times New Roman" w:hAnsi="Times New Roman"/>
          <w:b/>
          <w:noProof/>
          <w:sz w:val="24"/>
          <w:szCs w:val="24"/>
        </w:rPr>
        <w:t>megfelelnek-e</w:t>
      </w:r>
      <w:r>
        <w:rPr>
          <w:rFonts w:ascii="Times New Roman" w:hAnsi="Times New Roman"/>
          <w:noProof/>
          <w:sz w:val="24"/>
          <w:szCs w:val="24"/>
        </w:rPr>
        <w:t xml:space="preserve"> az uniós vívmányoknak, és </w:t>
      </w:r>
      <w:r>
        <w:rPr>
          <w:rFonts w:ascii="Times New Roman" w:hAnsi="Times New Roman"/>
          <w:b/>
          <w:noProof/>
          <w:sz w:val="24"/>
          <w:szCs w:val="24"/>
        </w:rPr>
        <w:t>egyértelműbb iránymutatást fog nyújtani</w:t>
      </w:r>
      <w:r>
        <w:rPr>
          <w:rFonts w:ascii="Times New Roman" w:hAnsi="Times New Roman"/>
          <w:noProof/>
          <w:sz w:val="24"/>
          <w:szCs w:val="24"/>
        </w:rPr>
        <w:t xml:space="preserve"> a konkrét reformprioritásokról és az összehangolási kritériumokról, valamint a folyamat következő lépéseivel kapcsolatos elvárásokról. Az erőteljesebb politikai irányítás és a megújított fókuszú kormányközi konferenciák erősítik a kiszámíthatóságot, és lehetővé teszik a következő évre vonatkozó átláthatóbb tervezést. Az országok politikai szereplői így egyértelműbb jelzést kapnak arról, hogy mit kell tenni az előrelépés érdekében. Ennek keretében arról is kapnak visszajelzést, hogy mely témakörök/fejezetek nyithatók meg vagy zárhatók le, és adott esetben milyen feltételeknek kell még teljesülniük ennek érdekében. </w:t>
      </w:r>
    </w:p>
    <w:p>
      <w:pPr>
        <w:widowControl w:val="0"/>
        <w:spacing w:after="120" w:line="240" w:lineRule="auto"/>
        <w:jc w:val="both"/>
        <w:rPr>
          <w:rFonts w:ascii="Times New Roman" w:hAnsi="Times New Roman" w:cs="Times New Roman"/>
          <w:noProof/>
          <w:sz w:val="24"/>
          <w:szCs w:val="24"/>
        </w:rPr>
      </w:pPr>
      <w:r>
        <w:rPr>
          <w:rFonts w:ascii="Times New Roman" w:hAnsi="Times New Roman"/>
          <w:b/>
          <w:noProof/>
          <w:sz w:val="24"/>
          <w:szCs w:val="24"/>
        </w:rPr>
        <w:t xml:space="preserve">Az érdemeken alapuló csatlakozási folyamat központi eleme a feltételekhez kötöttség. </w:t>
      </w:r>
      <w:r>
        <w:rPr>
          <w:rFonts w:ascii="Times New Roman" w:hAnsi="Times New Roman"/>
          <w:noProof/>
          <w:sz w:val="24"/>
          <w:szCs w:val="24"/>
        </w:rPr>
        <w:t xml:space="preserve">Ennek elérése érdekében azonban a kezdettől fogva </w:t>
      </w:r>
      <w:r>
        <w:rPr>
          <w:rFonts w:ascii="Times New Roman" w:hAnsi="Times New Roman"/>
          <w:b/>
          <w:noProof/>
          <w:sz w:val="24"/>
          <w:szCs w:val="24"/>
        </w:rPr>
        <w:t>egyértelmű feltételekre van szükség</w:t>
      </w:r>
      <w:r>
        <w:rPr>
          <w:rFonts w:ascii="Times New Roman" w:hAnsi="Times New Roman"/>
          <w:noProof/>
          <w:sz w:val="24"/>
          <w:szCs w:val="24"/>
        </w:rPr>
        <w:t xml:space="preserve">. Fontos, hogy a tagjelölt országok ismerjék azokat a kritériumokat, amelyek alapján teljesítményüket mérni fogják, és hogy a tagállamok egyértelműen megállapodjanak abban, hogy pontosan mit kérnek a tagjelöltektől. A </w:t>
      </w:r>
      <w:r>
        <w:rPr>
          <w:rFonts w:ascii="Times New Roman" w:hAnsi="Times New Roman"/>
          <w:b/>
          <w:noProof/>
          <w:sz w:val="24"/>
          <w:szCs w:val="24"/>
        </w:rPr>
        <w:t>Bizottság</w:t>
      </w:r>
      <w:r>
        <w:rPr>
          <w:rFonts w:ascii="Times New Roman" w:hAnsi="Times New Roman"/>
          <w:noProof/>
          <w:sz w:val="24"/>
          <w:szCs w:val="24"/>
        </w:rPr>
        <w:t xml:space="preserve"> – különösen éves jelentései révén – </w:t>
      </w:r>
      <w:r>
        <w:rPr>
          <w:rFonts w:ascii="Times New Roman" w:hAnsi="Times New Roman"/>
          <w:b/>
          <w:noProof/>
          <w:sz w:val="24"/>
          <w:szCs w:val="24"/>
        </w:rPr>
        <w:t>pontosabban meg fogja határozni a jelöltek előrehaladásának feltételeit</w:t>
      </w:r>
      <w:r>
        <w:rPr>
          <w:rFonts w:ascii="Times New Roman" w:hAnsi="Times New Roman"/>
          <w:noProof/>
          <w:sz w:val="24"/>
          <w:szCs w:val="24"/>
        </w:rPr>
        <w:t xml:space="preserve">. E feltételeknek objektívnek, pontosnak, részletesnek, szigorúnak és ellenőrizhetőnek kell lenniük. A Bizottság adott esetben harmadik felektől származó mutatókat is fel fog használni annak érdekében, hogy a tagállamok számára a lehető legszélesebb körű döntéshozatali alapot biztosítsa. </w:t>
      </w:r>
    </w:p>
    <w:p>
      <w:pPr>
        <w:spacing w:after="120" w:line="240" w:lineRule="auto"/>
        <w:jc w:val="both"/>
        <w:rPr>
          <w:rFonts w:ascii="Times New Roman" w:hAnsi="Times New Roman" w:cs="Times New Roman"/>
          <w:b/>
          <w:noProof/>
          <w:sz w:val="24"/>
          <w:szCs w:val="24"/>
          <w:u w:val="single"/>
        </w:rPr>
      </w:pPr>
      <w:r>
        <w:rPr>
          <w:rFonts w:ascii="Times New Roman" w:hAnsi="Times New Roman"/>
          <w:noProof/>
          <w:sz w:val="24"/>
          <w:szCs w:val="24"/>
        </w:rPr>
        <w:t xml:space="preserve">A </w:t>
      </w:r>
      <w:r>
        <w:rPr>
          <w:rFonts w:ascii="Times New Roman" w:hAnsi="Times New Roman"/>
          <w:b/>
          <w:noProof/>
          <w:sz w:val="24"/>
          <w:szCs w:val="24"/>
        </w:rPr>
        <w:t>polgárok közvetlen érdekeit szolgáló egyértelmű és kézzelfogható ösztönzők biztosításával az EU ösztönözni tudja a valódi politikai szándék kinyilvánítását</w:t>
      </w:r>
      <w:r>
        <w:rPr>
          <w:rFonts w:ascii="Times New Roman" w:hAnsi="Times New Roman"/>
          <w:noProof/>
          <w:sz w:val="24"/>
          <w:szCs w:val="24"/>
        </w:rPr>
        <w:t xml:space="preserve">, és jutalmazni tudja a nagy kihívást jelentő reformokból és a politikai, gazdasági és társadalmi változások folyamatából megszülető eredményeket. </w:t>
      </w:r>
      <w:r>
        <w:rPr>
          <w:rFonts w:ascii="Times New Roman" w:hAnsi="Times New Roman"/>
          <w:b/>
          <w:noProof/>
          <w:sz w:val="24"/>
          <w:szCs w:val="24"/>
        </w:rPr>
        <w:t xml:space="preserve">Ha az országok megfelelően haladnak a tárgyalások során elfogadott reformprioritások irányába, ennek a következő eredményekkel kell járnia: </w:t>
      </w:r>
    </w:p>
    <w:p>
      <w:pPr>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Az ország </w:t>
      </w:r>
      <w:r>
        <w:rPr>
          <w:rFonts w:ascii="Times New Roman" w:hAnsi="Times New Roman"/>
          <w:noProof/>
          <w:sz w:val="24"/>
          <w:szCs w:val="24"/>
          <w:u w:val="single"/>
        </w:rPr>
        <w:t>szorosabb integrációja</w:t>
      </w:r>
      <w:r>
        <w:rPr>
          <w:rFonts w:ascii="Times New Roman" w:hAnsi="Times New Roman"/>
          <w:noProof/>
          <w:sz w:val="24"/>
          <w:szCs w:val="24"/>
        </w:rPr>
        <w:t xml:space="preserve"> az Európai Unióval, </w:t>
      </w:r>
      <w:r>
        <w:rPr>
          <w:rFonts w:ascii="Times New Roman" w:hAnsi="Times New Roman"/>
          <w:noProof/>
          <w:sz w:val="24"/>
          <w:szCs w:val="24"/>
          <w:u w:val="single"/>
        </w:rPr>
        <w:t>az integráció felgyorsítását és az egyes uniós szakpolitikákba, az uniós piacra és az uniós programokba való fokozatos belépést célzó erőfeszítések</w:t>
      </w:r>
      <w:r>
        <w:rPr>
          <w:rFonts w:ascii="Times New Roman" w:hAnsi="Times New Roman"/>
          <w:noProof/>
          <w:sz w:val="24"/>
          <w:szCs w:val="24"/>
        </w:rPr>
        <w:t xml:space="preserve">, az egyenlő versenyfeltételek biztosítása mellett. </w:t>
      </w:r>
    </w:p>
    <w:p>
      <w:pPr>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 </w:t>
      </w:r>
      <w:r>
        <w:rPr>
          <w:rFonts w:ascii="Times New Roman" w:hAnsi="Times New Roman"/>
          <w:noProof/>
          <w:sz w:val="24"/>
          <w:szCs w:val="24"/>
          <w:u w:val="single"/>
        </w:rPr>
        <w:t>finanszírozás és a beruházások növelése</w:t>
      </w:r>
      <w:r>
        <w:rPr>
          <w:rFonts w:ascii="Times New Roman" w:hAnsi="Times New Roman"/>
          <w:noProof/>
          <w:sz w:val="24"/>
          <w:szCs w:val="24"/>
        </w:rPr>
        <w:t>, többek között egy teljesítményalapú és reformorientált előcsatlakozási támogatási eszköz és – a támogatások mozgósítása érdekében – a nemzetközi pénzügyi szervezetekkel való szorosabb együttműködésen keresztül.</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Ezeknek az intézkedéseknek az uniós alapok felhasználása révén hozzá kell járulniuk egy szilárd, WTO-kompatibilis európai preferencia megteremtéséhez, miközben erős helyi gazdaságot teremtenek. </w:t>
      </w:r>
    </w:p>
    <w:p>
      <w:pPr>
        <w:widowControl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Bár a reformok előrehaladását ösztönözni kell és kézzelfoghatóbb módon kell elismerni, emellett </w:t>
      </w:r>
      <w:r>
        <w:rPr>
          <w:rFonts w:ascii="Times New Roman" w:hAnsi="Times New Roman"/>
          <w:b/>
          <w:noProof/>
          <w:sz w:val="24"/>
          <w:szCs w:val="24"/>
        </w:rPr>
        <w:t>határozottabb intézkedésekre van szükség, amelyek arányosan szankcionálják</w:t>
      </w:r>
      <w:r>
        <w:rPr>
          <w:rFonts w:ascii="Times New Roman" w:hAnsi="Times New Roman"/>
          <w:noProof/>
          <w:sz w:val="24"/>
          <w:szCs w:val="24"/>
        </w:rPr>
        <w:t xml:space="preserve">, ha </w:t>
      </w:r>
      <w:r>
        <w:rPr>
          <w:rFonts w:ascii="Times New Roman" w:hAnsi="Times New Roman"/>
          <w:b/>
          <w:noProof/>
          <w:sz w:val="24"/>
          <w:szCs w:val="24"/>
        </w:rPr>
        <w:t>esetleg súlyos vagy elhúzódó stagnálás vagy akár visszalépés</w:t>
      </w:r>
      <w:r>
        <w:rPr>
          <w:rFonts w:ascii="Times New Roman" w:hAnsi="Times New Roman"/>
          <w:noProof/>
          <w:sz w:val="24"/>
          <w:szCs w:val="24"/>
        </w:rPr>
        <w:t xml:space="preserve"> tapasztalható a reformok végrehajtásában vagy a csatlakozási folyamat követelményeinek teljesítésében.</w:t>
      </w:r>
    </w:p>
    <w:p>
      <w:pPr>
        <w:widowControl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 folyamat leállítására vagy akár visszafordítására vonatkozó esetleges döntéseket </w:t>
      </w:r>
      <w:r>
        <w:rPr>
          <w:rFonts w:ascii="Times New Roman" w:hAnsi="Times New Roman"/>
          <w:b/>
          <w:noProof/>
          <w:sz w:val="24"/>
          <w:szCs w:val="24"/>
        </w:rPr>
        <w:t>a Bizottság éves bizottsági értékelését</w:t>
      </w:r>
      <w:r>
        <w:rPr>
          <w:rFonts w:ascii="Times New Roman" w:hAnsi="Times New Roman"/>
          <w:noProof/>
          <w:sz w:val="24"/>
          <w:szCs w:val="24"/>
        </w:rPr>
        <w:t xml:space="preserve"> figyelembe véve kell meghozni, amelyet a bővítési csomag keretében tesz közzé a csatlakozási tárgyalások általános egyenlegéről és az alapvető reformok, különösen a jogállamiság végrehajtásának mértékéről. A tagállamok továbbra is hozzá tudnak majd járulni e folyamathoz azáltal, hogy jelzik a Bizottságnak a reformfolyamatban észlelt esetleges stagnálást vagy súlyos visszaesést. </w:t>
      </w:r>
    </w:p>
    <w:p>
      <w:pPr>
        <w:widowControl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Súlyos esetekben a Bizottság hivatalból vagy valamely tagállam kellően indokolt kérésére bármikor javaslatot tehet, hogy biztosítsa a helyzetre való gyors reagálást, adott esetben egyszerűsített eljárások révén, ideértve a fordított minősített többségi szavazást is.</w:t>
      </w:r>
    </w:p>
    <w:p>
      <w:pPr>
        <w:rPr>
          <w:noProof/>
          <w:sz w:val="24"/>
          <w:szCs w:val="24"/>
        </w:rPr>
      </w:pPr>
      <w:r>
        <w:rPr>
          <w:noProof/>
          <w:sz w:val="24"/>
          <w:szCs w:val="24"/>
        </w:rPr>
        <w:br w:type="page"/>
      </w:r>
    </w:p>
    <w:p>
      <w:pPr>
        <w:widowControl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Az </w:t>
      </w:r>
      <w:r>
        <w:rPr>
          <w:rFonts w:ascii="Times New Roman" w:hAnsi="Times New Roman"/>
          <w:b/>
          <w:noProof/>
          <w:sz w:val="24"/>
          <w:szCs w:val="24"/>
        </w:rPr>
        <w:t>EU több módon is kezelhetné a lehetséges problémákat</w:t>
      </w:r>
      <w:r>
        <w:rPr>
          <w:rFonts w:ascii="Times New Roman" w:hAnsi="Times New Roman"/>
          <w:noProof/>
          <w:sz w:val="24"/>
          <w:szCs w:val="24"/>
        </w:rPr>
        <w:t>:</w:t>
      </w:r>
      <w:r>
        <w:rPr>
          <w:rFonts w:ascii="Times New Roman" w:hAnsi="Times New Roman"/>
          <w:b/>
          <w:noProof/>
          <w:sz w:val="24"/>
          <w:szCs w:val="24"/>
        </w:rPr>
        <w:t xml:space="preserve"> </w:t>
      </w:r>
    </w:p>
    <w:p>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 tagállamok dönthetnének úgy, hogy a </w:t>
      </w:r>
      <w:r>
        <w:rPr>
          <w:rFonts w:ascii="Times New Roman" w:hAnsi="Times New Roman"/>
          <w:noProof/>
          <w:sz w:val="24"/>
          <w:szCs w:val="24"/>
          <w:u w:val="single"/>
        </w:rPr>
        <w:t>tárgyalásokat</w:t>
      </w:r>
      <w:r>
        <w:rPr>
          <w:rFonts w:ascii="Times New Roman" w:hAnsi="Times New Roman"/>
          <w:noProof/>
          <w:sz w:val="24"/>
          <w:szCs w:val="24"/>
        </w:rPr>
        <w:t xml:space="preserve"> bizonyos területeken </w:t>
      </w:r>
      <w:r>
        <w:rPr>
          <w:rFonts w:ascii="Times New Roman" w:hAnsi="Times New Roman"/>
          <w:noProof/>
          <w:sz w:val="24"/>
          <w:szCs w:val="24"/>
          <w:u w:val="single"/>
        </w:rPr>
        <w:t>szüneteltetik</w:t>
      </w:r>
      <w:r>
        <w:rPr>
          <w:rFonts w:ascii="Times New Roman" w:hAnsi="Times New Roman"/>
          <w:noProof/>
          <w:sz w:val="24"/>
          <w:szCs w:val="24"/>
        </w:rPr>
        <w:t xml:space="preserve">, illetve a legsúlyosabb esetekben teljes egészében </w:t>
      </w:r>
      <w:r>
        <w:rPr>
          <w:rFonts w:ascii="Times New Roman" w:hAnsi="Times New Roman"/>
          <w:noProof/>
          <w:sz w:val="24"/>
          <w:szCs w:val="24"/>
          <w:u w:val="single"/>
        </w:rPr>
        <w:t>fel is függesztik</w:t>
      </w:r>
      <w:r>
        <w:rPr>
          <w:rFonts w:ascii="Times New Roman" w:hAnsi="Times New Roman"/>
          <w:noProof/>
          <w:sz w:val="24"/>
          <w:szCs w:val="24"/>
        </w:rPr>
        <w:t xml:space="preserve">. Újra meg lehetne nyitni a </w:t>
      </w:r>
      <w:r>
        <w:rPr>
          <w:rFonts w:ascii="Times New Roman" w:hAnsi="Times New Roman"/>
          <w:noProof/>
          <w:sz w:val="24"/>
          <w:szCs w:val="24"/>
          <w:u w:val="single"/>
        </w:rPr>
        <w:t>már lezárt fejezeteket</w:t>
      </w:r>
      <w:r>
        <w:rPr>
          <w:rFonts w:ascii="Times New Roman" w:hAnsi="Times New Roman"/>
          <w:noProof/>
          <w:sz w:val="24"/>
          <w:szCs w:val="24"/>
        </w:rPr>
        <w:t xml:space="preserve"> vagy újra lehetne kezdeni tárgyalásukat, ha egyes kérdéseket újból át kell tekinteni.</w:t>
      </w:r>
    </w:p>
    <w:p>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Az </w:t>
      </w:r>
      <w:r>
        <w:rPr>
          <w:rFonts w:ascii="Times New Roman" w:hAnsi="Times New Roman"/>
          <w:noProof/>
          <w:sz w:val="24"/>
          <w:szCs w:val="24"/>
          <w:u w:val="single"/>
        </w:rPr>
        <w:t>uniós finanszírozás hatókörét és intenzitását – a civil társadalomnak nyújtott támogatás kivételével – csökkenteni lehetne</w:t>
      </w:r>
      <w:r>
        <w:rPr>
          <w:rFonts w:ascii="Times New Roman" w:hAnsi="Times New Roman"/>
          <w:noProof/>
          <w:sz w:val="24"/>
          <w:szCs w:val="24"/>
        </w:rPr>
        <w:t>.</w:t>
      </w:r>
    </w:p>
    <w:p>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szCs w:val="24"/>
          <w:u w:val="single"/>
        </w:rPr>
        <w:t>Fel lehetne függeszteni vagy vissza lehetne vonni a szorosabb integráció előnyeit</w:t>
      </w:r>
      <w:r>
        <w:rPr>
          <w:rFonts w:ascii="Times New Roman" w:hAnsi="Times New Roman"/>
          <w:noProof/>
          <w:sz w:val="24"/>
          <w:szCs w:val="24"/>
        </w:rPr>
        <w:t xml:space="preserve"> — például az uniós programokhoz való hozzáférést vagy a piacra jutásra vonatkozó egyoldalú engedményeket.</w:t>
      </w:r>
    </w:p>
    <w:p>
      <w:pPr>
        <w:widowControl w:val="0"/>
        <w:spacing w:after="120" w:line="240" w:lineRule="auto"/>
        <w:jc w:val="both"/>
        <w:rPr>
          <w:rFonts w:ascii="Times New Roman" w:hAnsi="Times New Roman" w:cs="Times New Roman"/>
          <w:noProof/>
          <w:sz w:val="24"/>
          <w:szCs w:val="24"/>
          <w:u w:val="single"/>
        </w:rPr>
      </w:pPr>
      <w:r>
        <w:rPr>
          <w:rFonts w:ascii="Times New Roman" w:hAnsi="Times New Roman"/>
          <w:noProof/>
          <w:sz w:val="24"/>
          <w:szCs w:val="24"/>
        </w:rPr>
        <w:t xml:space="preserve">A kiszámíthatóságot és a feltételességet a </w:t>
      </w:r>
      <w:r>
        <w:rPr>
          <w:rFonts w:ascii="Times New Roman" w:hAnsi="Times New Roman"/>
          <w:b/>
          <w:noProof/>
          <w:sz w:val="24"/>
          <w:szCs w:val="24"/>
        </w:rPr>
        <w:t>nagyobb átláthatóság</w:t>
      </w:r>
      <w:r>
        <w:rPr>
          <w:rFonts w:ascii="Times New Roman" w:hAnsi="Times New Roman"/>
          <w:noProof/>
          <w:sz w:val="24"/>
          <w:szCs w:val="24"/>
        </w:rPr>
        <w:t xml:space="preserve"> is erősíti. A reformok fenntarthatóságának biztosítása és a végrehajtás nyomon követésének elősegítése érdekében az országokban a kulcsfontosságú reformokat teljes mértékben átlátható és inkluzív módon, a legfontosabb érdekelt felek bevonásával kell végrehajtani. Az Európai Uniónak a maga részéről arra kell törekednie, hogy a kulcsfontosságú dokumentumok szélesebb körű közzétételével átláthatóbbá tegye a folyamatot.</w:t>
      </w:r>
      <w:r>
        <w:rPr>
          <w:rFonts w:ascii="Times New Roman" w:hAnsi="Times New Roman"/>
          <w:noProof/>
          <w:sz w:val="24"/>
          <w:szCs w:val="24"/>
          <w:u w:val="single"/>
        </w:rPr>
        <w:t xml:space="preserve"> </w:t>
      </w:r>
    </w:p>
    <w:p>
      <w:pPr>
        <w:pStyle w:val="Briefingtext"/>
        <w:spacing w:after="120"/>
        <w:rPr>
          <w:rFonts w:ascii="Times New Roman" w:eastAsia="Calibri" w:hAnsi="Times New Roman" w:cs="Times New Roman"/>
          <w:noProof/>
          <w:sz w:val="24"/>
        </w:rPr>
      </w:pPr>
      <w:r>
        <w:rPr>
          <w:rFonts w:ascii="Times New Roman" w:hAnsi="Times New Roman"/>
          <w:noProof/>
          <w:sz w:val="24"/>
        </w:rPr>
        <w:t xml:space="preserve">A Bizottság folytatni fogja kommunikációs és tájékoztatási tevékenységeit is, többek között az uniós tagállamokban is, ahol elsősorban a tagállamok feladata, hogy tájékoztassák polgáraikat, és beszámoljanak a folyamat stratégiai lehetőségeiről és kihívásairól. </w:t>
      </w:r>
    </w:p>
    <w:p>
      <w:pPr>
        <w:pStyle w:val="Briefingtext"/>
        <w:spacing w:after="120"/>
        <w:rPr>
          <w:rFonts w:ascii="Times New Roman" w:hAnsi="Times New Roman" w:cs="Times New Roman"/>
          <w:noProof/>
          <w:sz w:val="24"/>
        </w:rPr>
      </w:pPr>
      <w:r>
        <w:rPr>
          <w:rFonts w:ascii="Times New Roman" w:hAnsi="Times New Roman"/>
          <w:noProof/>
          <w:sz w:val="24"/>
        </w:rPr>
        <w:t>A fejezetek javasolt tematikus felosztását tartalmazó táblázat a mellékletben található. A 34. fejezet („</w:t>
      </w:r>
      <w:r>
        <w:rPr>
          <w:rFonts w:ascii="Times New Roman" w:hAnsi="Times New Roman"/>
          <w:i/>
          <w:noProof/>
          <w:sz w:val="24"/>
        </w:rPr>
        <w:t>Intézmények</w:t>
      </w:r>
      <w:r>
        <w:rPr>
          <w:rFonts w:ascii="Times New Roman" w:hAnsi="Times New Roman"/>
          <w:noProof/>
          <w:sz w:val="24"/>
        </w:rPr>
        <w:t>”) és a 35. fejezet („</w:t>
      </w:r>
      <w:r>
        <w:rPr>
          <w:rFonts w:ascii="Times New Roman" w:hAnsi="Times New Roman"/>
          <w:i/>
          <w:noProof/>
          <w:sz w:val="24"/>
        </w:rPr>
        <w:t>Egyéb kérdések</w:t>
      </w:r>
      <w:r>
        <w:rPr>
          <w:rFonts w:ascii="Times New Roman" w:hAnsi="Times New Roman"/>
          <w:noProof/>
          <w:sz w:val="24"/>
        </w:rPr>
        <w:t xml:space="preserve">”) külön kezelendő. </w:t>
      </w:r>
      <w:r>
        <w:rPr>
          <w:rFonts w:ascii="Times New Roman" w:hAnsi="Times New Roman"/>
          <w:noProof/>
          <w:sz w:val="24"/>
        </w:rPr>
        <w:br w:type="page"/>
      </w:r>
    </w:p>
    <w:p>
      <w:pPr>
        <w:pageBreakBefore/>
        <w:spacing w:after="120" w:line="240" w:lineRule="auto"/>
        <w:jc w:val="both"/>
        <w:rPr>
          <w:rFonts w:ascii="Times New Roman" w:hAnsi="Times New Roman"/>
          <w:b/>
          <w:noProof/>
          <w:sz w:val="24"/>
          <w:szCs w:val="24"/>
          <w:u w:val="single"/>
        </w:rPr>
      </w:pPr>
      <w:r>
        <w:rPr>
          <w:rFonts w:ascii="Times New Roman" w:hAnsi="Times New Roman"/>
          <w:b/>
          <w:noProof/>
          <w:sz w:val="24"/>
          <w:szCs w:val="24"/>
          <w:u w:val="single"/>
        </w:rPr>
        <w:t>Technikai melléklet: A tárgyalási fejezetek témakörei</w:t>
      </w:r>
    </w:p>
    <w:p>
      <w:pPr>
        <w:spacing w:after="120" w:line="240" w:lineRule="auto"/>
        <w:jc w:val="both"/>
        <w:rPr>
          <w:rFonts w:ascii="Times New Roman" w:hAnsi="Times New Roman" w:cs="Times New Roman"/>
          <w:b/>
          <w:noProof/>
          <w:sz w:val="24"/>
          <w:szCs w:val="24"/>
          <w:u w:val="single"/>
        </w:rPr>
      </w:pPr>
    </w:p>
    <w:tbl>
      <w:tblPr>
        <w:tblStyle w:val="TableGrid1"/>
        <w:tblW w:w="0" w:type="auto"/>
        <w:tblLook w:val="04A0" w:firstRow="1" w:lastRow="0" w:firstColumn="1" w:lastColumn="0" w:noHBand="0" w:noVBand="1"/>
      </w:tblPr>
      <w:tblGrid>
        <w:gridCol w:w="3823"/>
        <w:gridCol w:w="5237"/>
      </w:tblGrid>
      <w:tr>
        <w:tc>
          <w:tcPr>
            <w:tcW w:w="3823" w:type="dxa"/>
          </w:tcPr>
          <w:p>
            <w:pPr>
              <w:numPr>
                <w:ilvl w:val="0"/>
                <w:numId w:val="20"/>
              </w:numPr>
              <w:spacing w:after="120"/>
              <w:ind w:left="284" w:hanging="284"/>
              <w:rPr>
                <w:rFonts w:ascii="Times New Roman" w:hAnsi="Times New Roman" w:cs="Times New Roman"/>
                <w:b/>
                <w:noProof/>
                <w:color w:val="000000" w:themeColor="text1"/>
                <w:sz w:val="24"/>
                <w:szCs w:val="24"/>
              </w:rPr>
            </w:pPr>
            <w:r>
              <w:rPr>
                <w:rFonts w:ascii="Times New Roman" w:hAnsi="Times New Roman"/>
                <w:b/>
                <w:noProof/>
                <w:sz w:val="24"/>
                <w:szCs w:val="24"/>
              </w:rPr>
              <w:t xml:space="preserve">Alapkérdések </w:t>
            </w:r>
          </w:p>
        </w:tc>
        <w:tc>
          <w:tcPr>
            <w:tcW w:w="5237" w:type="dxa"/>
          </w:tcPr>
          <w:p>
            <w:pPr>
              <w:rPr>
                <w:rFonts w:ascii="Times New Roman" w:hAnsi="Times New Roman" w:cs="Times New Roman"/>
                <w:noProof/>
                <w:sz w:val="24"/>
                <w:szCs w:val="24"/>
              </w:rPr>
            </w:pPr>
            <w:r>
              <w:rPr>
                <w:rFonts w:ascii="Times New Roman" w:hAnsi="Times New Roman"/>
                <w:noProof/>
                <w:sz w:val="24"/>
                <w:szCs w:val="24"/>
              </w:rPr>
              <w:t xml:space="preserve">23. – Igazságszolgáltatás és alapvető jogok </w:t>
            </w:r>
          </w:p>
          <w:p>
            <w:pPr>
              <w:rPr>
                <w:rFonts w:ascii="Times New Roman" w:hAnsi="Times New Roman" w:cs="Times New Roman"/>
                <w:noProof/>
                <w:sz w:val="24"/>
                <w:szCs w:val="24"/>
              </w:rPr>
            </w:pPr>
            <w:r>
              <w:rPr>
                <w:rFonts w:ascii="Times New Roman" w:hAnsi="Times New Roman"/>
                <w:noProof/>
                <w:sz w:val="24"/>
                <w:szCs w:val="24"/>
              </w:rPr>
              <w:t>24.– Jogérvényesülés, szabadság és biztonság</w:t>
            </w:r>
          </w:p>
          <w:p>
            <w:pPr>
              <w:rPr>
                <w:rFonts w:ascii="Times New Roman" w:hAnsi="Times New Roman" w:cs="Times New Roman"/>
                <w:noProof/>
                <w:sz w:val="24"/>
                <w:szCs w:val="24"/>
              </w:rPr>
            </w:pPr>
            <w:r>
              <w:rPr>
                <w:rFonts w:ascii="Times New Roman" w:hAnsi="Times New Roman"/>
                <w:noProof/>
                <w:sz w:val="24"/>
                <w:szCs w:val="24"/>
              </w:rPr>
              <w:t>Gazdasági kritériumok</w:t>
            </w:r>
          </w:p>
          <w:p>
            <w:pPr>
              <w:rPr>
                <w:rFonts w:ascii="Times New Roman" w:hAnsi="Times New Roman" w:cs="Times New Roman"/>
                <w:noProof/>
                <w:sz w:val="24"/>
                <w:szCs w:val="24"/>
              </w:rPr>
            </w:pPr>
            <w:r>
              <w:rPr>
                <w:rFonts w:ascii="Times New Roman" w:hAnsi="Times New Roman"/>
                <w:noProof/>
                <w:sz w:val="24"/>
                <w:szCs w:val="24"/>
              </w:rPr>
              <w:t xml:space="preserve">A demokratikus intézmények működése </w:t>
            </w:r>
          </w:p>
          <w:p>
            <w:pPr>
              <w:rPr>
                <w:rFonts w:ascii="Times New Roman" w:hAnsi="Times New Roman" w:cs="Times New Roman"/>
                <w:noProof/>
                <w:sz w:val="24"/>
                <w:szCs w:val="24"/>
              </w:rPr>
            </w:pPr>
            <w:r>
              <w:rPr>
                <w:rFonts w:ascii="Times New Roman" w:hAnsi="Times New Roman"/>
                <w:noProof/>
                <w:sz w:val="24"/>
                <w:szCs w:val="24"/>
              </w:rPr>
              <w:t xml:space="preserve">A közigazgatás reformja </w:t>
            </w:r>
          </w:p>
          <w:p>
            <w:pPr>
              <w:rPr>
                <w:rFonts w:ascii="Times New Roman" w:hAnsi="Times New Roman" w:cs="Times New Roman"/>
                <w:noProof/>
                <w:sz w:val="24"/>
                <w:szCs w:val="24"/>
              </w:rPr>
            </w:pPr>
            <w:r>
              <w:rPr>
                <w:rFonts w:ascii="Times New Roman" w:hAnsi="Times New Roman"/>
                <w:noProof/>
                <w:sz w:val="24"/>
                <w:szCs w:val="24"/>
              </w:rPr>
              <w:t xml:space="preserve">5. – Közbeszerzés </w:t>
            </w:r>
          </w:p>
          <w:p>
            <w:pPr>
              <w:rPr>
                <w:rFonts w:ascii="Times New Roman" w:hAnsi="Times New Roman" w:cs="Times New Roman"/>
                <w:noProof/>
                <w:sz w:val="24"/>
                <w:szCs w:val="24"/>
              </w:rPr>
            </w:pPr>
            <w:r>
              <w:rPr>
                <w:rFonts w:ascii="Times New Roman" w:hAnsi="Times New Roman"/>
                <w:noProof/>
                <w:sz w:val="24"/>
                <w:szCs w:val="24"/>
              </w:rPr>
              <w:t>18. – Statisztika</w:t>
            </w:r>
          </w:p>
          <w:p>
            <w:pPr>
              <w:rPr>
                <w:rFonts w:ascii="Times New Roman" w:hAnsi="Times New Roman" w:cs="Times New Roman"/>
                <w:noProof/>
                <w:sz w:val="24"/>
                <w:szCs w:val="24"/>
              </w:rPr>
            </w:pPr>
            <w:r>
              <w:rPr>
                <w:rFonts w:ascii="Times New Roman" w:hAnsi="Times New Roman"/>
                <w:noProof/>
                <w:sz w:val="24"/>
                <w:szCs w:val="24"/>
              </w:rPr>
              <w:t>32. – Pénzügyi ellenőrzés</w:t>
            </w:r>
          </w:p>
        </w:tc>
      </w:tr>
      <w:tr>
        <w:tc>
          <w:tcPr>
            <w:tcW w:w="3823" w:type="dxa"/>
          </w:tcPr>
          <w:p>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sz w:val="24"/>
                <w:szCs w:val="24"/>
              </w:rPr>
              <w:t>Belső piac</w:t>
            </w:r>
          </w:p>
        </w:tc>
        <w:tc>
          <w:tcPr>
            <w:tcW w:w="5237" w:type="dxa"/>
          </w:tcPr>
          <w:p>
            <w:pPr>
              <w:rPr>
                <w:rFonts w:ascii="Times New Roman" w:hAnsi="Times New Roman" w:cs="Times New Roman"/>
                <w:noProof/>
                <w:sz w:val="24"/>
                <w:szCs w:val="24"/>
              </w:rPr>
            </w:pPr>
            <w:r>
              <w:rPr>
                <w:rFonts w:ascii="Times New Roman" w:hAnsi="Times New Roman"/>
                <w:noProof/>
                <w:sz w:val="24"/>
                <w:szCs w:val="24"/>
              </w:rPr>
              <w:t xml:space="preserve">1. – Az áruk szabad mozgása </w:t>
            </w:r>
          </w:p>
          <w:p>
            <w:pPr>
              <w:rPr>
                <w:rFonts w:ascii="Times New Roman" w:hAnsi="Times New Roman" w:cs="Times New Roman"/>
                <w:noProof/>
                <w:sz w:val="24"/>
                <w:szCs w:val="24"/>
              </w:rPr>
            </w:pPr>
            <w:r>
              <w:rPr>
                <w:rFonts w:ascii="Times New Roman" w:hAnsi="Times New Roman"/>
                <w:noProof/>
                <w:sz w:val="24"/>
                <w:szCs w:val="24"/>
              </w:rPr>
              <w:t xml:space="preserve">2. – A munkavállalók szabad mozgása </w:t>
            </w:r>
          </w:p>
          <w:p>
            <w:pPr>
              <w:rPr>
                <w:rFonts w:ascii="Times New Roman" w:hAnsi="Times New Roman" w:cs="Times New Roman"/>
                <w:noProof/>
                <w:sz w:val="24"/>
                <w:szCs w:val="24"/>
              </w:rPr>
            </w:pPr>
            <w:r>
              <w:rPr>
                <w:rFonts w:ascii="Times New Roman" w:hAnsi="Times New Roman"/>
                <w:noProof/>
                <w:sz w:val="24"/>
                <w:szCs w:val="24"/>
              </w:rPr>
              <w:t xml:space="preserve">3. – Letelepedési jog és a szolgáltatásnyújtás szabadsága </w:t>
            </w:r>
          </w:p>
          <w:p>
            <w:pPr>
              <w:rPr>
                <w:rFonts w:ascii="Times New Roman" w:hAnsi="Times New Roman" w:cs="Times New Roman"/>
                <w:noProof/>
                <w:sz w:val="24"/>
                <w:szCs w:val="24"/>
              </w:rPr>
            </w:pPr>
            <w:r>
              <w:rPr>
                <w:rFonts w:ascii="Times New Roman" w:hAnsi="Times New Roman"/>
                <w:noProof/>
                <w:sz w:val="24"/>
                <w:szCs w:val="24"/>
              </w:rPr>
              <w:t>4. – A tőke szabad mozgása</w:t>
            </w:r>
          </w:p>
          <w:p>
            <w:pPr>
              <w:rPr>
                <w:rFonts w:ascii="Times New Roman" w:hAnsi="Times New Roman" w:cs="Times New Roman"/>
                <w:noProof/>
                <w:sz w:val="24"/>
                <w:szCs w:val="24"/>
              </w:rPr>
            </w:pPr>
            <w:r>
              <w:rPr>
                <w:rFonts w:ascii="Times New Roman" w:hAnsi="Times New Roman"/>
                <w:noProof/>
                <w:sz w:val="24"/>
                <w:szCs w:val="24"/>
              </w:rPr>
              <w:t>6. – Társasági jog</w:t>
            </w:r>
          </w:p>
          <w:p>
            <w:pPr>
              <w:rPr>
                <w:rFonts w:ascii="Times New Roman" w:hAnsi="Times New Roman" w:cs="Times New Roman"/>
                <w:noProof/>
                <w:sz w:val="24"/>
                <w:szCs w:val="24"/>
              </w:rPr>
            </w:pPr>
            <w:r>
              <w:rPr>
                <w:rFonts w:ascii="Times New Roman" w:hAnsi="Times New Roman"/>
                <w:noProof/>
                <w:sz w:val="24"/>
                <w:szCs w:val="24"/>
              </w:rPr>
              <w:t>7. – Szellemi alkotások joga</w:t>
            </w:r>
          </w:p>
          <w:p>
            <w:pPr>
              <w:rPr>
                <w:rFonts w:ascii="Times New Roman" w:hAnsi="Times New Roman" w:cs="Times New Roman"/>
                <w:noProof/>
                <w:sz w:val="24"/>
                <w:szCs w:val="24"/>
              </w:rPr>
            </w:pPr>
            <w:r>
              <w:rPr>
                <w:rFonts w:ascii="Times New Roman" w:hAnsi="Times New Roman"/>
                <w:noProof/>
                <w:sz w:val="24"/>
                <w:szCs w:val="24"/>
              </w:rPr>
              <w:t>8. – Versenypolitika</w:t>
            </w:r>
          </w:p>
          <w:p>
            <w:pPr>
              <w:rPr>
                <w:rFonts w:ascii="Times New Roman" w:hAnsi="Times New Roman" w:cs="Times New Roman"/>
                <w:noProof/>
                <w:sz w:val="24"/>
                <w:szCs w:val="24"/>
              </w:rPr>
            </w:pPr>
            <w:r>
              <w:rPr>
                <w:rFonts w:ascii="Times New Roman" w:hAnsi="Times New Roman"/>
                <w:noProof/>
                <w:sz w:val="24"/>
                <w:szCs w:val="24"/>
              </w:rPr>
              <w:t xml:space="preserve">9. – Pénzügyi szolgáltatások </w:t>
            </w:r>
          </w:p>
          <w:p>
            <w:pPr>
              <w:rPr>
                <w:rFonts w:ascii="Times New Roman" w:hAnsi="Times New Roman" w:cs="Times New Roman"/>
                <w:noProof/>
                <w:sz w:val="24"/>
                <w:szCs w:val="24"/>
              </w:rPr>
            </w:pPr>
            <w:r>
              <w:rPr>
                <w:rFonts w:ascii="Times New Roman" w:hAnsi="Times New Roman"/>
                <w:noProof/>
                <w:sz w:val="24"/>
                <w:szCs w:val="24"/>
              </w:rPr>
              <w:t>28. – Fogyasztó- és egészségvédelem</w:t>
            </w:r>
          </w:p>
        </w:tc>
      </w:tr>
      <w:tr>
        <w:tc>
          <w:tcPr>
            <w:tcW w:w="3823" w:type="dxa"/>
          </w:tcPr>
          <w:p>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sz w:val="24"/>
                <w:szCs w:val="24"/>
              </w:rPr>
              <w:t>Versenyképesség és gazdasági növekedés</w:t>
            </w:r>
          </w:p>
        </w:tc>
        <w:tc>
          <w:tcPr>
            <w:tcW w:w="5237" w:type="dxa"/>
          </w:tcPr>
          <w:p>
            <w:pPr>
              <w:rPr>
                <w:rFonts w:ascii="Times New Roman" w:hAnsi="Times New Roman" w:cs="Times New Roman"/>
                <w:noProof/>
                <w:sz w:val="24"/>
                <w:szCs w:val="24"/>
              </w:rPr>
            </w:pPr>
            <w:r>
              <w:rPr>
                <w:rFonts w:ascii="Times New Roman" w:hAnsi="Times New Roman"/>
                <w:noProof/>
                <w:sz w:val="24"/>
                <w:szCs w:val="24"/>
              </w:rPr>
              <w:t xml:space="preserve">10. – Információs társadalom és média </w:t>
            </w:r>
          </w:p>
          <w:p>
            <w:pPr>
              <w:rPr>
                <w:rFonts w:ascii="Times New Roman" w:hAnsi="Times New Roman" w:cs="Times New Roman"/>
                <w:noProof/>
                <w:sz w:val="24"/>
                <w:szCs w:val="24"/>
              </w:rPr>
            </w:pPr>
            <w:r>
              <w:rPr>
                <w:rFonts w:ascii="Times New Roman" w:hAnsi="Times New Roman"/>
                <w:noProof/>
                <w:sz w:val="24"/>
                <w:szCs w:val="24"/>
              </w:rPr>
              <w:t xml:space="preserve">16. – Adózás </w:t>
            </w:r>
          </w:p>
          <w:p>
            <w:pPr>
              <w:rPr>
                <w:rFonts w:ascii="Times New Roman" w:hAnsi="Times New Roman" w:cs="Times New Roman"/>
                <w:noProof/>
                <w:sz w:val="24"/>
                <w:szCs w:val="24"/>
              </w:rPr>
            </w:pPr>
            <w:r>
              <w:rPr>
                <w:rFonts w:ascii="Times New Roman" w:hAnsi="Times New Roman"/>
                <w:noProof/>
                <w:sz w:val="24"/>
                <w:szCs w:val="24"/>
              </w:rPr>
              <w:t xml:space="preserve">17. – Gazdasági és monetáris politika </w:t>
            </w:r>
          </w:p>
          <w:p>
            <w:pPr>
              <w:rPr>
                <w:rFonts w:ascii="Times New Roman" w:hAnsi="Times New Roman" w:cs="Times New Roman"/>
                <w:noProof/>
                <w:sz w:val="24"/>
                <w:szCs w:val="24"/>
              </w:rPr>
            </w:pPr>
            <w:r>
              <w:rPr>
                <w:rFonts w:ascii="Times New Roman" w:hAnsi="Times New Roman"/>
                <w:noProof/>
                <w:sz w:val="24"/>
                <w:szCs w:val="24"/>
              </w:rPr>
              <w:t xml:space="preserve">19. – Szociálpolitika és foglalkoztatás </w:t>
            </w:r>
          </w:p>
          <w:p>
            <w:pPr>
              <w:rPr>
                <w:rFonts w:ascii="Times New Roman" w:hAnsi="Times New Roman" w:cs="Times New Roman"/>
                <w:noProof/>
                <w:sz w:val="24"/>
                <w:szCs w:val="24"/>
              </w:rPr>
            </w:pPr>
            <w:r>
              <w:rPr>
                <w:rFonts w:ascii="Times New Roman" w:hAnsi="Times New Roman"/>
                <w:noProof/>
                <w:sz w:val="24"/>
                <w:szCs w:val="24"/>
              </w:rPr>
              <w:t>20. – Vállalkozás- és iparpolitika</w:t>
            </w:r>
          </w:p>
          <w:p>
            <w:pPr>
              <w:rPr>
                <w:rFonts w:ascii="Times New Roman" w:hAnsi="Times New Roman" w:cs="Times New Roman"/>
                <w:noProof/>
                <w:sz w:val="24"/>
                <w:szCs w:val="24"/>
              </w:rPr>
            </w:pPr>
            <w:r>
              <w:rPr>
                <w:rFonts w:ascii="Times New Roman" w:hAnsi="Times New Roman"/>
                <w:noProof/>
                <w:sz w:val="24"/>
                <w:szCs w:val="24"/>
              </w:rPr>
              <w:t xml:space="preserve">25. – Tudomány és kutatás </w:t>
            </w:r>
          </w:p>
          <w:p>
            <w:pPr>
              <w:rPr>
                <w:rFonts w:ascii="Times New Roman" w:hAnsi="Times New Roman" w:cs="Times New Roman"/>
                <w:noProof/>
                <w:sz w:val="24"/>
                <w:szCs w:val="24"/>
              </w:rPr>
            </w:pPr>
            <w:r>
              <w:rPr>
                <w:rFonts w:ascii="Times New Roman" w:hAnsi="Times New Roman"/>
                <w:noProof/>
                <w:sz w:val="24"/>
                <w:szCs w:val="24"/>
              </w:rPr>
              <w:t>26. – Oktatás és kultúra</w:t>
            </w:r>
          </w:p>
          <w:p>
            <w:pPr>
              <w:rPr>
                <w:rFonts w:ascii="Times New Roman" w:hAnsi="Times New Roman" w:cs="Times New Roman"/>
                <w:b/>
                <w:noProof/>
                <w:color w:val="C00000"/>
                <w:sz w:val="24"/>
                <w:szCs w:val="24"/>
              </w:rPr>
            </w:pPr>
            <w:r>
              <w:rPr>
                <w:rFonts w:ascii="Times New Roman" w:hAnsi="Times New Roman"/>
                <w:noProof/>
                <w:sz w:val="24"/>
                <w:szCs w:val="24"/>
              </w:rPr>
              <w:t>29. – Vámunió</w:t>
            </w:r>
          </w:p>
        </w:tc>
      </w:tr>
      <w:tr>
        <w:tc>
          <w:tcPr>
            <w:tcW w:w="3823" w:type="dxa"/>
          </w:tcPr>
          <w:p>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sz w:val="24"/>
                <w:szCs w:val="24"/>
              </w:rPr>
              <w:t>Zöld menetrend és fenntartható összeköttetések</w:t>
            </w:r>
          </w:p>
        </w:tc>
        <w:tc>
          <w:tcPr>
            <w:tcW w:w="5237" w:type="dxa"/>
          </w:tcPr>
          <w:p>
            <w:pPr>
              <w:rPr>
                <w:rFonts w:ascii="Times New Roman" w:hAnsi="Times New Roman" w:cs="Times New Roman"/>
                <w:noProof/>
                <w:sz w:val="24"/>
                <w:szCs w:val="24"/>
              </w:rPr>
            </w:pPr>
            <w:r>
              <w:rPr>
                <w:rFonts w:ascii="Times New Roman" w:hAnsi="Times New Roman"/>
                <w:noProof/>
                <w:sz w:val="24"/>
                <w:szCs w:val="24"/>
              </w:rPr>
              <w:t xml:space="preserve">14. – Közlekedéspolitika </w:t>
            </w:r>
          </w:p>
          <w:p>
            <w:pPr>
              <w:rPr>
                <w:rFonts w:ascii="Times New Roman" w:hAnsi="Times New Roman" w:cs="Times New Roman"/>
                <w:noProof/>
                <w:sz w:val="24"/>
                <w:szCs w:val="24"/>
              </w:rPr>
            </w:pPr>
            <w:r>
              <w:rPr>
                <w:rFonts w:ascii="Times New Roman" w:hAnsi="Times New Roman"/>
                <w:noProof/>
                <w:sz w:val="24"/>
                <w:szCs w:val="24"/>
              </w:rPr>
              <w:t xml:space="preserve">15. – Energia </w:t>
            </w:r>
          </w:p>
          <w:p>
            <w:pPr>
              <w:rPr>
                <w:rFonts w:ascii="Times New Roman" w:hAnsi="Times New Roman" w:cs="Times New Roman"/>
                <w:noProof/>
                <w:sz w:val="24"/>
                <w:szCs w:val="24"/>
              </w:rPr>
            </w:pPr>
            <w:r>
              <w:rPr>
                <w:rFonts w:ascii="Times New Roman" w:hAnsi="Times New Roman"/>
                <w:noProof/>
                <w:sz w:val="24"/>
                <w:szCs w:val="24"/>
              </w:rPr>
              <w:t xml:space="preserve">21. – Transzeurópai hálózatok </w:t>
            </w:r>
          </w:p>
          <w:p>
            <w:pPr>
              <w:rPr>
                <w:rFonts w:ascii="Times New Roman" w:hAnsi="Times New Roman" w:cs="Times New Roman"/>
                <w:b/>
                <w:noProof/>
                <w:color w:val="C00000"/>
                <w:sz w:val="24"/>
                <w:szCs w:val="24"/>
              </w:rPr>
            </w:pPr>
            <w:r>
              <w:rPr>
                <w:rFonts w:ascii="Times New Roman" w:hAnsi="Times New Roman"/>
                <w:noProof/>
                <w:sz w:val="24"/>
                <w:szCs w:val="24"/>
              </w:rPr>
              <w:t>27. – Környezetvédelem és éghajlatváltozás</w:t>
            </w:r>
          </w:p>
        </w:tc>
      </w:tr>
      <w:tr>
        <w:tc>
          <w:tcPr>
            <w:tcW w:w="3823" w:type="dxa"/>
          </w:tcPr>
          <w:p>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sz w:val="24"/>
                <w:szCs w:val="24"/>
              </w:rPr>
              <w:t>Erőforrások, mezőgazdaság és kohézió</w:t>
            </w:r>
          </w:p>
        </w:tc>
        <w:tc>
          <w:tcPr>
            <w:tcW w:w="5237" w:type="dxa"/>
          </w:tcPr>
          <w:p>
            <w:pPr>
              <w:rPr>
                <w:rFonts w:ascii="Times New Roman" w:hAnsi="Times New Roman" w:cs="Times New Roman"/>
                <w:noProof/>
                <w:sz w:val="24"/>
                <w:szCs w:val="24"/>
              </w:rPr>
            </w:pPr>
            <w:r>
              <w:rPr>
                <w:rFonts w:ascii="Times New Roman" w:hAnsi="Times New Roman"/>
                <w:noProof/>
                <w:sz w:val="24"/>
                <w:szCs w:val="24"/>
              </w:rPr>
              <w:t>11. – Mezőgazdaság és vidékfejlesztés</w:t>
            </w:r>
          </w:p>
          <w:p>
            <w:pPr>
              <w:rPr>
                <w:rFonts w:ascii="Times New Roman" w:hAnsi="Times New Roman" w:cs="Times New Roman"/>
                <w:noProof/>
                <w:sz w:val="24"/>
                <w:szCs w:val="24"/>
              </w:rPr>
            </w:pPr>
            <w:r>
              <w:rPr>
                <w:rFonts w:ascii="Times New Roman" w:hAnsi="Times New Roman"/>
                <w:noProof/>
                <w:sz w:val="24"/>
                <w:szCs w:val="24"/>
              </w:rPr>
              <w:t xml:space="preserve">12. – Élelmiszer-biztonsági, állat- és növényegészségügyi politika </w:t>
            </w:r>
          </w:p>
          <w:p>
            <w:pPr>
              <w:rPr>
                <w:rFonts w:ascii="Times New Roman" w:hAnsi="Times New Roman" w:cs="Times New Roman"/>
                <w:noProof/>
                <w:sz w:val="24"/>
                <w:szCs w:val="24"/>
              </w:rPr>
            </w:pPr>
            <w:r>
              <w:rPr>
                <w:rFonts w:ascii="Times New Roman" w:hAnsi="Times New Roman"/>
                <w:noProof/>
                <w:sz w:val="24"/>
                <w:szCs w:val="24"/>
              </w:rPr>
              <w:t xml:space="preserve">13. – Halászat </w:t>
            </w:r>
          </w:p>
          <w:p>
            <w:pPr>
              <w:rPr>
                <w:rFonts w:ascii="Times New Roman" w:hAnsi="Times New Roman" w:cs="Times New Roman"/>
                <w:noProof/>
                <w:sz w:val="24"/>
                <w:szCs w:val="24"/>
              </w:rPr>
            </w:pPr>
            <w:r>
              <w:rPr>
                <w:rFonts w:ascii="Times New Roman" w:hAnsi="Times New Roman"/>
                <w:noProof/>
                <w:sz w:val="24"/>
                <w:szCs w:val="24"/>
              </w:rPr>
              <w:t xml:space="preserve">22. – Regionális politika és a strukturális eszközök összehangolása </w:t>
            </w:r>
          </w:p>
          <w:p>
            <w:pPr>
              <w:rPr>
                <w:rFonts w:ascii="Times New Roman" w:hAnsi="Times New Roman" w:cs="Times New Roman"/>
                <w:b/>
                <w:noProof/>
                <w:color w:val="C00000"/>
                <w:sz w:val="24"/>
                <w:szCs w:val="24"/>
              </w:rPr>
            </w:pPr>
            <w:r>
              <w:rPr>
                <w:rFonts w:ascii="Times New Roman" w:hAnsi="Times New Roman"/>
                <w:noProof/>
                <w:sz w:val="24"/>
                <w:szCs w:val="24"/>
              </w:rPr>
              <w:t>33. – Pénzügyi &amp; költségvetési rendelkezések</w:t>
            </w:r>
          </w:p>
        </w:tc>
      </w:tr>
      <w:tr>
        <w:tc>
          <w:tcPr>
            <w:tcW w:w="3823" w:type="dxa"/>
          </w:tcPr>
          <w:p>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sz w:val="24"/>
                <w:szCs w:val="24"/>
              </w:rPr>
              <w:t>Külkapcsolatok</w:t>
            </w:r>
          </w:p>
        </w:tc>
        <w:tc>
          <w:tcPr>
            <w:tcW w:w="5237" w:type="dxa"/>
          </w:tcPr>
          <w:p>
            <w:pPr>
              <w:rPr>
                <w:rFonts w:ascii="Times New Roman" w:hAnsi="Times New Roman" w:cs="Times New Roman"/>
                <w:noProof/>
                <w:sz w:val="24"/>
                <w:szCs w:val="24"/>
              </w:rPr>
            </w:pPr>
            <w:r>
              <w:rPr>
                <w:rFonts w:ascii="Times New Roman" w:hAnsi="Times New Roman"/>
                <w:noProof/>
                <w:sz w:val="24"/>
                <w:szCs w:val="24"/>
              </w:rPr>
              <w:t xml:space="preserve">30. – Külkapcsolatok </w:t>
            </w:r>
          </w:p>
          <w:p>
            <w:pPr>
              <w:rPr>
                <w:rFonts w:ascii="Times New Roman" w:hAnsi="Times New Roman" w:cs="Times New Roman"/>
                <w:b/>
                <w:noProof/>
                <w:color w:val="C00000"/>
                <w:sz w:val="24"/>
                <w:szCs w:val="24"/>
              </w:rPr>
            </w:pPr>
            <w:r>
              <w:rPr>
                <w:rFonts w:ascii="Times New Roman" w:hAnsi="Times New Roman"/>
                <w:noProof/>
                <w:sz w:val="24"/>
                <w:szCs w:val="24"/>
              </w:rPr>
              <w:t>31. – Kül-, biztonság- és védelempolitika</w:t>
            </w:r>
          </w:p>
        </w:tc>
      </w:tr>
    </w:tbl>
    <w:p>
      <w:pPr>
        <w:spacing w:after="120" w:line="240" w:lineRule="auto"/>
        <w:rPr>
          <w:noProof/>
        </w:rPr>
      </w:pPr>
    </w:p>
    <w:p>
      <w:pPr>
        <w:spacing w:before="100" w:beforeAutospacing="1" w:after="100" w:afterAutospacing="1"/>
        <w:rPr>
          <w:noProof/>
          <w:color w:val="1F497D"/>
        </w:rPr>
      </w:pPr>
      <w:r>
        <w:rPr>
          <w:noProof/>
          <w:color w:val="1F497D"/>
        </w:rPr>
        <w:t xml:space="preserve"> </w:t>
      </w:r>
    </w:p>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924416"/>
      <w:docPartObj>
        <w:docPartGallery w:val="Page Numbers (Bottom of Page)"/>
        <w:docPartUnique/>
      </w:docPartObj>
    </w:sdtPr>
    <w:sdtEndPr>
      <w:rPr>
        <w:rFonts w:ascii="Times New Roman" w:hAnsi="Times New Roman"/>
      </w:rPr>
    </w:sdtEndPr>
    <w:sdtContent>
      <w:p>
        <w:pPr>
          <w:pStyle w:val="Footer"/>
          <w:jc w:val="center"/>
          <w:rPr>
            <w:rFonts w:ascii="Times New Roman" w:hAnsi="Times New Roman"/>
          </w:rPr>
        </w:pPr>
        <w:r>
          <w:rPr>
            <w:rFonts w:ascii="Times New Roman" w:hAnsi="Times New Roman"/>
          </w:rPr>
          <w:fldChar w:fldCharType="begin"/>
        </w:r>
        <w:r>
          <w:rPr>
            <w:rFonts w:ascii="Times New Roman" w:hAnsi="Times New Roman" w:cs="Times New Roman"/>
          </w:rPr>
          <w:instrText xml:space="preserve"> PAGE   \* MERGEFORMAT </w:instrText>
        </w:r>
        <w:r>
          <w:rPr>
            <w:rFonts w:ascii="Times New Roman" w:hAnsi="Times New Roman"/>
          </w:rPr>
          <w:fldChar w:fldCharType="separate"/>
        </w:r>
        <w:r>
          <w:rPr>
            <w:rFonts w:ascii="Times New Roman" w:hAnsi="Times New Roman" w:cs="Times New Roman"/>
            <w:noProof/>
          </w:rPr>
          <w:t>1</w:t>
        </w:r>
        <w:r>
          <w:rPr>
            <w:rFonts w:ascii="Times New Roman" w:hAnsi="Times New Roman"/>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Hiteles bővítési perspektíva a Nyugat-Balkánra vonatkozóan és fokozott uniós szerepvállalás a Nyugat-Balkánnal (COM(2018) 65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16E"/>
    <w:multiLevelType w:val="hybridMultilevel"/>
    <w:tmpl w:val="A1EA29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FC7712D"/>
    <w:multiLevelType w:val="hybridMultilevel"/>
    <w:tmpl w:val="87149ED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A52AB7"/>
    <w:multiLevelType w:val="hybridMultilevel"/>
    <w:tmpl w:val="DD44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AD110A"/>
    <w:multiLevelType w:val="hybridMultilevel"/>
    <w:tmpl w:val="BD9224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E793B20"/>
    <w:multiLevelType w:val="hybridMultilevel"/>
    <w:tmpl w:val="64243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0620FF1"/>
    <w:multiLevelType w:val="hybridMultilevel"/>
    <w:tmpl w:val="45261496"/>
    <w:lvl w:ilvl="0" w:tplc="1D1648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617F54"/>
    <w:multiLevelType w:val="hybridMultilevel"/>
    <w:tmpl w:val="117AE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71763A"/>
    <w:multiLevelType w:val="hybridMultilevel"/>
    <w:tmpl w:val="945C378E"/>
    <w:lvl w:ilvl="0" w:tplc="4ACCDFBA">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DD343D"/>
    <w:multiLevelType w:val="hybridMultilevel"/>
    <w:tmpl w:val="50A4FC54"/>
    <w:lvl w:ilvl="0" w:tplc="BA480F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D73514C"/>
    <w:multiLevelType w:val="multilevel"/>
    <w:tmpl w:val="224C14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E6345CF"/>
    <w:multiLevelType w:val="hybridMultilevel"/>
    <w:tmpl w:val="D79615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3BA2BFA"/>
    <w:multiLevelType w:val="hybridMultilevel"/>
    <w:tmpl w:val="77883D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FC4FCB"/>
    <w:multiLevelType w:val="hybridMultilevel"/>
    <w:tmpl w:val="D21C0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E9401E6"/>
    <w:multiLevelType w:val="hybridMultilevel"/>
    <w:tmpl w:val="257417F8"/>
    <w:lvl w:ilvl="0" w:tplc="1C92683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F868FC"/>
    <w:multiLevelType w:val="hybridMultilevel"/>
    <w:tmpl w:val="E196F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9E686E"/>
    <w:multiLevelType w:val="hybridMultilevel"/>
    <w:tmpl w:val="CF38284C"/>
    <w:lvl w:ilvl="0" w:tplc="1D164876">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CC97028"/>
    <w:multiLevelType w:val="hybridMultilevel"/>
    <w:tmpl w:val="91784AC0"/>
    <w:lvl w:ilvl="0" w:tplc="1D164876">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CE12096"/>
    <w:multiLevelType w:val="hybridMultilevel"/>
    <w:tmpl w:val="95B81AB6"/>
    <w:lvl w:ilvl="0" w:tplc="1C92683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E47A4B"/>
    <w:multiLevelType w:val="hybridMultilevel"/>
    <w:tmpl w:val="D4765D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D7B3521"/>
    <w:multiLevelType w:val="hybridMultilevel"/>
    <w:tmpl w:val="016497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DC2FE5"/>
    <w:multiLevelType w:val="hybridMultilevel"/>
    <w:tmpl w:val="190A17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5D077E"/>
    <w:multiLevelType w:val="hybridMultilevel"/>
    <w:tmpl w:val="D4765D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ED17E87"/>
    <w:multiLevelType w:val="hybridMultilevel"/>
    <w:tmpl w:val="14B6008A"/>
    <w:lvl w:ilvl="0" w:tplc="6128C87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43E142F"/>
    <w:multiLevelType w:val="hybridMultilevel"/>
    <w:tmpl w:val="A68496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54D2DC3"/>
    <w:multiLevelType w:val="hybridMultilevel"/>
    <w:tmpl w:val="A37C74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B5C1E0A"/>
    <w:multiLevelType w:val="hybridMultilevel"/>
    <w:tmpl w:val="219A8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BC9792E"/>
    <w:multiLevelType w:val="hybridMultilevel"/>
    <w:tmpl w:val="6AA844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A1B4A79"/>
    <w:multiLevelType w:val="hybridMultilevel"/>
    <w:tmpl w:val="B9A684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E15782E"/>
    <w:multiLevelType w:val="hybridMultilevel"/>
    <w:tmpl w:val="8514C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2C71342"/>
    <w:multiLevelType w:val="hybridMultilevel"/>
    <w:tmpl w:val="DCFE7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CE11540"/>
    <w:multiLevelType w:val="hybridMultilevel"/>
    <w:tmpl w:val="42A8909C"/>
    <w:lvl w:ilvl="0" w:tplc="08090011">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E92730A"/>
    <w:multiLevelType w:val="hybridMultilevel"/>
    <w:tmpl w:val="190E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31"/>
  </w:num>
  <w:num w:numId="4">
    <w:abstractNumId w:val="28"/>
  </w:num>
  <w:num w:numId="5">
    <w:abstractNumId w:val="12"/>
  </w:num>
  <w:num w:numId="6">
    <w:abstractNumId w:val="16"/>
  </w:num>
  <w:num w:numId="7">
    <w:abstractNumId w:val="17"/>
  </w:num>
  <w:num w:numId="8">
    <w:abstractNumId w:val="5"/>
  </w:num>
  <w:num w:numId="9">
    <w:abstractNumId w:val="13"/>
  </w:num>
  <w:num w:numId="10">
    <w:abstractNumId w:val="7"/>
  </w:num>
  <w:num w:numId="11">
    <w:abstractNumId w:val="1"/>
  </w:num>
  <w:num w:numId="12">
    <w:abstractNumId w:val="11"/>
  </w:num>
  <w:num w:numId="13">
    <w:abstractNumId w:val="8"/>
  </w:num>
  <w:num w:numId="14">
    <w:abstractNumId w:val="19"/>
  </w:num>
  <w:num w:numId="15">
    <w:abstractNumId w:val="21"/>
  </w:num>
  <w:num w:numId="16">
    <w:abstractNumId w:val="4"/>
  </w:num>
  <w:num w:numId="17">
    <w:abstractNumId w:val="9"/>
  </w:num>
  <w:num w:numId="18">
    <w:abstractNumId w:val="30"/>
  </w:num>
  <w:num w:numId="19">
    <w:abstractNumId w:val="10"/>
  </w:num>
  <w:num w:numId="20">
    <w:abstractNumId w:val="22"/>
  </w:num>
  <w:num w:numId="21">
    <w:abstractNumId w:val="0"/>
  </w:num>
  <w:num w:numId="22">
    <w:abstractNumId w:val="23"/>
  </w:num>
  <w:num w:numId="23">
    <w:abstractNumId w:val="26"/>
  </w:num>
  <w:num w:numId="24">
    <w:abstractNumId w:val="6"/>
  </w:num>
  <w:num w:numId="25">
    <w:abstractNumId w:val="24"/>
  </w:num>
  <w:num w:numId="26">
    <w:abstractNumId w:val="14"/>
  </w:num>
  <w:num w:numId="27">
    <w:abstractNumId w:val="29"/>
  </w:num>
  <w:num w:numId="28">
    <w:abstractNumId w:val="27"/>
  </w:num>
  <w:num w:numId="29">
    <w:abstractNumId w:val="15"/>
  </w:num>
  <w:num w:numId="30">
    <w:abstractNumId w:val="18"/>
  </w:num>
  <w:num w:numId="31">
    <w:abstractNumId w:val="3"/>
  </w:num>
  <w:num w:numId="32">
    <w:abstractNumId w:val="20"/>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hideGrammaticalErrors/>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9757998-45F1-4D85-9EC9-20B0E287C6D6"/>
    <w:docVar w:name="LW_COVERPAGE_TYPE" w:val="1"/>
    <w:docVar w:name="LW_CROSSREFERENCE" w:val="&lt;UNUSED&gt;"/>
    <w:docVar w:name="LW_DocType" w:val="NORMAL"/>
    <w:docVar w:name="LW_EMISSION" w:val="2020.2.5."/>
    <w:docVar w:name="LW_EMISSION_ISODATE" w:val="2020-02-05"/>
    <w:docVar w:name="LW_EMISSION_LOCATION" w:val="BRX"/>
    <w:docVar w:name="LW_EMISSION_PREFIX" w:val="Brüsszel, "/>
    <w:docVar w:name="LW_EMISSION_SUFFIX" w:val=" "/>
    <w:docVar w:name="LW_ID_DOCTYPE_NONLW" w:val="CP-014"/>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20) 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 csatlakozási folyamat javítása \u8211? hiteles uniós perspektíva a Nyugat-Balkán számára"/>
    <w:docVar w:name="LW_TYPE.DOC.CP" w:val="A BIZOTTSÁG KÖZLEMÉNYE AZ EURÓPAI PARLAMENTNEK, A TANÁCSNAK, AZ EURÓPAI GAZDASÁGI ÉS SZOCIÁLIS BIZOTTSÁGNAK ÉS A RÉGIÓK BIZOTTSÁGÁNAK"/>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aliases w:val="Fußnote,Footnote Text Char Char Char,Footnote Text Char Char,single space,Fußnotentextf,Footnote text,fn,Schriftart: 9 pt,Schriftart: 10 pt,Schriftart: 8 pt,WB-Fußnotentext,footnote text Carattere,Geneva 9,Font: Geneva 9"/>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ußnote Char,Footnote Text Char Char Char Char,Footnote Text Char Char Char1,single space Char,Fußnotentextf Char,Footnote text Char,fn Char,Schriftart: 9 pt Char,Schriftart: 10 pt Char,Schriftart: 8 pt Char,WB-Fußnotentext Char"/>
    <w:basedOn w:val="DefaultParagraphFont"/>
    <w:link w:val="FootnoteText"/>
    <w:uiPriority w:val="99"/>
    <w:rPr>
      <w:sz w:val="20"/>
      <w:szCs w:val="20"/>
    </w:rPr>
  </w:style>
  <w:style w:type="character" w:styleId="FootnoteReference">
    <w:name w:val="footnote reference"/>
    <w:aliases w:val="ftref,BVI fnr,(Footnote Reference), BVI fnr,Footnote symbol,Footnotes refss,Footnote Reference Superscript,SUPERS,Footnote,Footnote reference number,note TESI,EN Footnote Reference,Voetnootverwijzing,Times 10 Point,Ref"/>
    <w:basedOn w:val="DefaultParagraphFont"/>
    <w:uiPriority w:val="99"/>
    <w:unhideWhenUsed/>
    <w:qFormat/>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lang w:val="hu-HU"/>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FootnoteTextChar1">
    <w:name w:val="Footnote Text Char1"/>
    <w:basedOn w:val="DefaultParagraphFont"/>
    <w:uiPriority w:val="99"/>
    <w:semiHidden/>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aliases w:val="Fußnote,Footnote Text Char Char Char,Footnote Text Char Char,single space,Fußnotentextf,Footnote text,fn,Schriftart: 9 pt,Schriftart: 10 pt,Schriftart: 8 pt,WB-Fußnotentext,footnote text Carattere,Geneva 9,Font: Geneva 9"/>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ußnote Char,Footnote Text Char Char Char Char,Footnote Text Char Char Char1,single space Char,Fußnotentextf Char,Footnote text Char,fn Char,Schriftart: 9 pt Char,Schriftart: 10 pt Char,Schriftart: 8 pt Char,WB-Fußnotentext Char"/>
    <w:basedOn w:val="DefaultParagraphFont"/>
    <w:link w:val="FootnoteText"/>
    <w:uiPriority w:val="99"/>
    <w:rPr>
      <w:sz w:val="20"/>
      <w:szCs w:val="20"/>
    </w:rPr>
  </w:style>
  <w:style w:type="character" w:styleId="FootnoteReference">
    <w:name w:val="footnote reference"/>
    <w:aliases w:val="ftref,BVI fnr,(Footnote Reference), BVI fnr,Footnote symbol,Footnotes refss,Footnote Reference Superscript,SUPERS,Footnote,Footnote reference number,note TESI,EN Footnote Reference,Voetnootverwijzing,Times 10 Point,Ref"/>
    <w:basedOn w:val="DefaultParagraphFont"/>
    <w:uiPriority w:val="99"/>
    <w:unhideWhenUsed/>
    <w:qFormat/>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lang w:val="hu-HU"/>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FootnoteTextChar1">
    <w:name w:val="Footnote Text Char1"/>
    <w:basedOn w:val="DefaultParagraphFon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23303">
      <w:bodyDiv w:val="1"/>
      <w:marLeft w:val="0"/>
      <w:marRight w:val="0"/>
      <w:marTop w:val="0"/>
      <w:marBottom w:val="0"/>
      <w:divBdr>
        <w:top w:val="none" w:sz="0" w:space="0" w:color="auto"/>
        <w:left w:val="none" w:sz="0" w:space="0" w:color="auto"/>
        <w:bottom w:val="none" w:sz="0" w:space="0" w:color="auto"/>
        <w:right w:val="none" w:sz="0" w:space="0" w:color="auto"/>
      </w:divBdr>
    </w:div>
    <w:div w:id="437482872">
      <w:bodyDiv w:val="1"/>
      <w:marLeft w:val="0"/>
      <w:marRight w:val="0"/>
      <w:marTop w:val="0"/>
      <w:marBottom w:val="0"/>
      <w:divBdr>
        <w:top w:val="none" w:sz="0" w:space="0" w:color="auto"/>
        <w:left w:val="none" w:sz="0" w:space="0" w:color="auto"/>
        <w:bottom w:val="none" w:sz="0" w:space="0" w:color="auto"/>
        <w:right w:val="none" w:sz="0" w:space="0" w:color="auto"/>
      </w:divBdr>
    </w:div>
    <w:div w:id="486939901">
      <w:bodyDiv w:val="1"/>
      <w:marLeft w:val="0"/>
      <w:marRight w:val="0"/>
      <w:marTop w:val="0"/>
      <w:marBottom w:val="0"/>
      <w:divBdr>
        <w:top w:val="none" w:sz="0" w:space="0" w:color="auto"/>
        <w:left w:val="none" w:sz="0" w:space="0" w:color="auto"/>
        <w:bottom w:val="none" w:sz="0" w:space="0" w:color="auto"/>
        <w:right w:val="none" w:sz="0" w:space="0" w:color="auto"/>
      </w:divBdr>
    </w:div>
    <w:div w:id="609237200">
      <w:bodyDiv w:val="1"/>
      <w:marLeft w:val="0"/>
      <w:marRight w:val="0"/>
      <w:marTop w:val="0"/>
      <w:marBottom w:val="0"/>
      <w:divBdr>
        <w:top w:val="none" w:sz="0" w:space="0" w:color="auto"/>
        <w:left w:val="none" w:sz="0" w:space="0" w:color="auto"/>
        <w:bottom w:val="none" w:sz="0" w:space="0" w:color="auto"/>
        <w:right w:val="none" w:sz="0" w:space="0" w:color="auto"/>
      </w:divBdr>
    </w:div>
    <w:div w:id="684552790">
      <w:bodyDiv w:val="1"/>
      <w:marLeft w:val="0"/>
      <w:marRight w:val="0"/>
      <w:marTop w:val="0"/>
      <w:marBottom w:val="0"/>
      <w:divBdr>
        <w:top w:val="none" w:sz="0" w:space="0" w:color="auto"/>
        <w:left w:val="none" w:sz="0" w:space="0" w:color="auto"/>
        <w:bottom w:val="none" w:sz="0" w:space="0" w:color="auto"/>
        <w:right w:val="none" w:sz="0" w:space="0" w:color="auto"/>
      </w:divBdr>
    </w:div>
    <w:div w:id="1092967175">
      <w:bodyDiv w:val="1"/>
      <w:marLeft w:val="0"/>
      <w:marRight w:val="0"/>
      <w:marTop w:val="0"/>
      <w:marBottom w:val="0"/>
      <w:divBdr>
        <w:top w:val="none" w:sz="0" w:space="0" w:color="auto"/>
        <w:left w:val="none" w:sz="0" w:space="0" w:color="auto"/>
        <w:bottom w:val="none" w:sz="0" w:space="0" w:color="auto"/>
        <w:right w:val="none" w:sz="0" w:space="0" w:color="auto"/>
      </w:divBdr>
    </w:div>
    <w:div w:id="1127041799">
      <w:bodyDiv w:val="1"/>
      <w:marLeft w:val="0"/>
      <w:marRight w:val="0"/>
      <w:marTop w:val="0"/>
      <w:marBottom w:val="0"/>
      <w:divBdr>
        <w:top w:val="none" w:sz="0" w:space="0" w:color="auto"/>
        <w:left w:val="none" w:sz="0" w:space="0" w:color="auto"/>
        <w:bottom w:val="none" w:sz="0" w:space="0" w:color="auto"/>
        <w:right w:val="none" w:sz="0" w:space="0" w:color="auto"/>
      </w:divBdr>
    </w:div>
    <w:div w:id="1252397198">
      <w:bodyDiv w:val="1"/>
      <w:marLeft w:val="0"/>
      <w:marRight w:val="0"/>
      <w:marTop w:val="0"/>
      <w:marBottom w:val="0"/>
      <w:divBdr>
        <w:top w:val="none" w:sz="0" w:space="0" w:color="auto"/>
        <w:left w:val="none" w:sz="0" w:space="0" w:color="auto"/>
        <w:bottom w:val="none" w:sz="0" w:space="0" w:color="auto"/>
        <w:right w:val="none" w:sz="0" w:space="0" w:color="auto"/>
      </w:divBdr>
    </w:div>
    <w:div w:id="1329476042">
      <w:bodyDiv w:val="1"/>
      <w:marLeft w:val="0"/>
      <w:marRight w:val="0"/>
      <w:marTop w:val="0"/>
      <w:marBottom w:val="0"/>
      <w:divBdr>
        <w:top w:val="none" w:sz="0" w:space="0" w:color="auto"/>
        <w:left w:val="none" w:sz="0" w:space="0" w:color="auto"/>
        <w:bottom w:val="none" w:sz="0" w:space="0" w:color="auto"/>
        <w:right w:val="none" w:sz="0" w:space="0" w:color="auto"/>
      </w:divBdr>
    </w:div>
    <w:div w:id="1690524797">
      <w:bodyDiv w:val="1"/>
      <w:marLeft w:val="0"/>
      <w:marRight w:val="0"/>
      <w:marTop w:val="0"/>
      <w:marBottom w:val="0"/>
      <w:divBdr>
        <w:top w:val="none" w:sz="0" w:space="0" w:color="auto"/>
        <w:left w:val="none" w:sz="0" w:space="0" w:color="auto"/>
        <w:bottom w:val="none" w:sz="0" w:space="0" w:color="auto"/>
        <w:right w:val="none" w:sz="0" w:space="0" w:color="auto"/>
      </w:divBdr>
    </w:div>
    <w:div w:id="1777023546">
      <w:bodyDiv w:val="1"/>
      <w:marLeft w:val="0"/>
      <w:marRight w:val="0"/>
      <w:marTop w:val="0"/>
      <w:marBottom w:val="0"/>
      <w:divBdr>
        <w:top w:val="none" w:sz="0" w:space="0" w:color="auto"/>
        <w:left w:val="none" w:sz="0" w:space="0" w:color="auto"/>
        <w:bottom w:val="none" w:sz="0" w:space="0" w:color="auto"/>
        <w:right w:val="none" w:sz="0" w:space="0" w:color="auto"/>
      </w:divBdr>
    </w:div>
    <w:div w:id="1976325368">
      <w:bodyDiv w:val="1"/>
      <w:marLeft w:val="0"/>
      <w:marRight w:val="0"/>
      <w:marTop w:val="0"/>
      <w:marBottom w:val="0"/>
      <w:divBdr>
        <w:top w:val="none" w:sz="0" w:space="0" w:color="auto"/>
        <w:left w:val="none" w:sz="0" w:space="0" w:color="auto"/>
        <w:bottom w:val="none" w:sz="0" w:space="0" w:color="auto"/>
        <w:right w:val="none" w:sz="0" w:space="0" w:color="auto"/>
      </w:divBdr>
    </w:div>
    <w:div w:id="2142796223">
      <w:bodyDiv w:val="1"/>
      <w:marLeft w:val="0"/>
      <w:marRight w:val="0"/>
      <w:marTop w:val="0"/>
      <w:marBottom w:val="0"/>
      <w:divBdr>
        <w:top w:val="none" w:sz="0" w:space="0" w:color="auto"/>
        <w:left w:val="none" w:sz="0" w:space="0" w:color="auto"/>
        <w:bottom w:val="none" w:sz="0" w:space="0" w:color="auto"/>
        <w:right w:val="none" w:sz="0" w:space="0" w:color="auto"/>
      </w:divBdr>
    </w:div>
    <w:div w:id="2146852635">
      <w:bodyDiv w:val="1"/>
      <w:marLeft w:val="0"/>
      <w:marRight w:val="0"/>
      <w:marTop w:val="0"/>
      <w:marBottom w:val="0"/>
      <w:divBdr>
        <w:top w:val="none" w:sz="0" w:space="0" w:color="auto"/>
        <w:left w:val="none" w:sz="0" w:space="0" w:color="auto"/>
        <w:bottom w:val="none" w:sz="0" w:space="0" w:color="auto"/>
        <w:right w:val="none" w:sz="0" w:space="0" w:color="auto"/>
      </w:divBdr>
      <w:divsChild>
        <w:div w:id="1120762582">
          <w:marLeft w:val="0"/>
          <w:marRight w:val="0"/>
          <w:marTop w:val="0"/>
          <w:marBottom w:val="0"/>
          <w:divBdr>
            <w:top w:val="none" w:sz="0" w:space="0" w:color="auto"/>
            <w:left w:val="none" w:sz="0" w:space="0" w:color="auto"/>
            <w:bottom w:val="none" w:sz="0" w:space="0" w:color="auto"/>
            <w:right w:val="none" w:sz="0" w:space="0" w:color="auto"/>
          </w:divBdr>
          <w:divsChild>
            <w:div w:id="73501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9993-AC10-4020-94F3-763E8957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2819</Words>
  <Characters>20525</Characters>
  <Application>Microsoft Office Word</Application>
  <DocSecurity>0</DocSecurity>
  <Lines>342</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2020-02-05T07:16:00Z</dcterms:created>
  <dcterms:modified xsi:type="dcterms:W3CDTF">2020-02-17T10:45:00Z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 Build 20190717</vt:lpwstr>
  </property>
  <property fmtid="{D5CDD505-2E9C-101B-9397-08002B2CF9AE}" pid="8" name="Created using">
    <vt:lpwstr>LW 7.0, Build 20190717</vt:lpwstr>
  </property>
</Properties>
</file>