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FECEF74F-69CA-43EA-8EC6-98B1CE92FB91" style="width:451.25pt;height:556.75pt">
            <v:imagedata r:id="rId12" o:title=""/>
          </v:shape>
        </w:pict>
      </w:r>
    </w:p>
    <w:p>
      <w:pPr>
        <w:rPr>
          <w:noProof/>
        </w:rPr>
        <w:sectPr>
          <w:footerReference w:type="default" r:id="rId13"/>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INDOKOLÁS</w:t>
      </w:r>
    </w:p>
    <w:p>
      <w:pPr>
        <w:pStyle w:val="ManualHeading1"/>
        <w:rPr>
          <w:noProof/>
        </w:rPr>
      </w:pPr>
      <w:r>
        <w:rPr>
          <w:noProof/>
        </w:rPr>
        <w:t>1.</w:t>
      </w:r>
      <w:r>
        <w:rPr>
          <w:noProof/>
        </w:rPr>
        <w:tab/>
        <w:t>A JAVASLAT HÁTTERE</w:t>
      </w:r>
    </w:p>
    <w:p>
      <w:pPr>
        <w:rPr>
          <w:noProof/>
        </w:rPr>
      </w:pPr>
      <w:r>
        <w:rPr>
          <w:noProof/>
        </w:rPr>
        <w:t>A Covid19-világjárvány széles körű és súlyos népegészségügyi válság. Súlyosan érinti a polgárokat, a társadalmakat és a gazdaságokat az egész világon. Az egészségügyi válság és az annak ellenőrzésére tett szakpolitikai válaszlépések kiterjedése példa nélküli. Ennek következtében rendkívül bizonytalan, hogy milyen mélységet ér el a válság társadalmi-gazdasági hatása. Már ebben a szakaszban biztos, hogy példa nélküli és akut kihívásokat jelent a tagállamok pénzügyi és gazdasági rendszerei számára. A Bizottság tavaszi gazdasági előrejelzései</w:t>
      </w:r>
      <w:r>
        <w:rPr>
          <w:rStyle w:val="FootnoteReference"/>
          <w:noProof/>
        </w:rPr>
        <w:footnoteReference w:id="2"/>
      </w:r>
      <w:r>
        <w:rPr>
          <w:noProof/>
        </w:rPr>
        <w:t xml:space="preserve"> szerint az EU GDP-je idén mintegy 7,5 %-kal csökken, ami jóval jelentősebb mértékű, mint amit a 2009. évi globális pénzügyi válság idején tapasztaltunk, és 2021-ben is csak 6 %-os növekedés várható.</w:t>
      </w:r>
    </w:p>
    <w:p>
      <w:pPr>
        <w:rPr>
          <w:noProof/>
        </w:rPr>
      </w:pPr>
      <w:r>
        <w:rPr>
          <w:noProof/>
        </w:rPr>
        <w:t xml:space="preserve">A helyzetre válaszul a tagállamok kivételes diszkrecionális gazdasági és pénzügyi intézkedéseket fogadtak el. Az úgynevezett „automatikus stabilizátorok” hatásával, azaz a munkanélküliségi biztosítás és a társadalombiztosítási rendszerek keretében előirányzott kifizetésekkel, továbbá az adóbevétel-kieséssel együtt ezek az intézkedések jelentős hatást gyakorolnak a tagállamok államháztartására, mivel az összesített államháztartási hiány a GDP 2019. évi 0,6 %-áról az euróövezetben és az EU-ban egyaránt a GDP 8,5 %-ára fog nőni ebben az évben. </w:t>
      </w:r>
    </w:p>
    <w:p>
      <w:pPr>
        <w:rPr>
          <w:noProof/>
        </w:rPr>
      </w:pPr>
      <w:r>
        <w:rPr>
          <w:noProof/>
        </w:rPr>
        <w:t>A Covid19-világjárvány okozta válság világszerte jelentős hatással van a társadalmakra is, az egészségügyi rendszereket ért hatásoktól kezdve egészen a társadalmat és a gazdaságot érintő komoly globális következményekig. Válaszstratégiánknak átfogónak, koherensnek és integráltnak kell lennie, és kezelnie kell mind a népegészségügyi, mind a társadalmi-gazdasági kihívásokat. Gyenge és nem reziliens egészségügyi rendszereik, valamint az előttük álló összetett társadalmi-gazdasági és irányítási kihívások miatt a legkevésbé fejlett országok a leginkább sebezhetők a Covid19-világjárvánnyal szemben. Már most is nyilvánvaló, hogy a Covid19-világjárvány jelentős hatást fog gyakorolni partnerországaink gazdasági és makrogazdasági rendszereire. A kormányokat kihívás elé állítja az, hogy fenntartsák a makrogazdasági stabilitást és költségvetési mozgásteret biztosítsanak a legkiszolgáltatottabbak, a vállalkozások és a munkavállalók védelmére, valamint fenntartsák az alapvető szociális szolgáltatások biztosítását.</w:t>
      </w:r>
    </w:p>
    <w:p>
      <w:pPr>
        <w:rPr>
          <w:noProof/>
        </w:rPr>
      </w:pPr>
      <w:r>
        <w:rPr>
          <w:noProof/>
        </w:rPr>
        <w:t xml:space="preserve">Ez a rendkívüli helyzet koherens és egységes uniós szintű megközelítést tesz szükségessé. </w:t>
      </w:r>
    </w:p>
    <w:p>
      <w:pPr>
        <w:rPr>
          <w:noProof/>
        </w:rPr>
      </w:pPr>
      <w:r>
        <w:rPr>
          <w:noProof/>
        </w:rPr>
        <w:t>Az európai helyreállítás átfogó tervéhez jelentős állami és magánberuházásokra lesz szükség európai szinten a gazdaság élénkítése, minőségi munkahelyek létrehozása és a koronavírus által okozott közvetlen károk helyreállításába való beruházás érdekében. A Bizottság ezért azt javasolja, hogy az EU az uniós költségvetés teljes erejét latba vetve arra törekedjen, hogy az alábbiakra támaszkodva a helyreállítás első éveiben beruházásokat indukáljon, és a pénzügyi támogatást a folyamat elejére összpontosítsa:</w:t>
      </w:r>
    </w:p>
    <w:p>
      <w:pPr>
        <w:rPr>
          <w:noProof/>
        </w:rPr>
      </w:pPr>
      <w:r>
        <w:rPr>
          <w:noProof/>
        </w:rPr>
        <w:t>Európai Uniós Helyreállítási Eszköz</w:t>
      </w:r>
    </w:p>
    <w:p>
      <w:pPr>
        <w:rPr>
          <w:noProof/>
        </w:rPr>
      </w:pPr>
      <w:r>
        <w:rPr>
          <w:noProof/>
        </w:rPr>
        <w:t>Az EUMSZ 122. cikkén alapuló rendkívüli intézkedés, amelynek finanszírozása a saját forrásokról szóló határozatra irányuló javaslatban meghatározott felhatalmazáson fog alapulni. A válságra adott válaszként a források gyorsan ható intézkedések végrehajtását teszik majd lehetővé a megélhetés védelme, a megelőzés fokozása, valamint a reziliencia és a helyreállítás megerősítése érdekében.</w:t>
      </w:r>
    </w:p>
    <w:p>
      <w:pPr>
        <w:pStyle w:val="Bullet0"/>
        <w:numPr>
          <w:ilvl w:val="0"/>
          <w:numId w:val="20"/>
        </w:numPr>
        <w:rPr>
          <w:b/>
          <w:noProof/>
          <w:u w:color="000000"/>
          <w:bdr w:val="nil"/>
        </w:rPr>
      </w:pPr>
      <w:r>
        <w:rPr>
          <w:b/>
          <w:noProof/>
          <w:u w:color="000000"/>
          <w:bdr w:val="nil"/>
        </w:rPr>
        <w:lastRenderedPageBreak/>
        <w:t>Megerősített többéves pénzügyi keret a 2021–2027-es időszakra</w:t>
      </w:r>
    </w:p>
    <w:p>
      <w:pPr>
        <w:rPr>
          <w:noProof/>
        </w:rPr>
      </w:pPr>
      <w:r>
        <w:rPr>
          <w:noProof/>
        </w:rPr>
        <w:t>Az Európai Helyreállítási Eszköz keretébe tartozó helyreállítási és rezilienciaépítési intézkedések végrehajtása a Bizottság által a 2021–2027 közötti időszakra vonatkozó többéves pénzügyi kerethez javasolt konkrét uniós programok kapcsán már létrejött végrehajtási eszközökön keresztül történik, többek között az alábbiak révén:</w:t>
      </w:r>
    </w:p>
    <w:p>
      <w:pPr>
        <w:pStyle w:val="Tiret0"/>
        <w:numPr>
          <w:ilvl w:val="0"/>
          <w:numId w:val="35"/>
        </w:numPr>
        <w:rPr>
          <w:noProof/>
        </w:rPr>
      </w:pPr>
      <w:r>
        <w:rPr>
          <w:noProof/>
        </w:rPr>
        <w:t>az Európai horizont kutatási és innovációs keretprogram és az annak végrehajtását szolgáló egyedi program,</w:t>
      </w:r>
    </w:p>
    <w:p>
      <w:pPr>
        <w:pStyle w:val="Tiret0"/>
        <w:rPr>
          <w:noProof/>
        </w:rPr>
      </w:pPr>
      <w:r>
        <w:rPr>
          <w:noProof/>
        </w:rPr>
        <w:t>a Szomszédsági, Fejlesztési és Nemzetközi Együttműködési Eszköz,</w:t>
      </w:r>
    </w:p>
    <w:p>
      <w:pPr>
        <w:pStyle w:val="Tiret0"/>
        <w:rPr>
          <w:noProof/>
        </w:rPr>
      </w:pPr>
      <w:r>
        <w:rPr>
          <w:noProof/>
        </w:rPr>
        <w:t>az Európai Mezőgazdasági Vidékfejlesztési Alap.</w:t>
      </w:r>
    </w:p>
    <w:p>
      <w:pPr>
        <w:pBdr>
          <w:top w:val="nil"/>
          <w:left w:val="nil"/>
          <w:bottom w:val="nil"/>
          <w:right w:val="nil"/>
          <w:between w:val="nil"/>
          <w:bar w:val="nil"/>
        </w:pBdr>
        <w:spacing w:before="0" w:after="240"/>
        <w:rPr>
          <w:noProof/>
        </w:rPr>
      </w:pPr>
      <w:r>
        <w:rPr>
          <w:noProof/>
        </w:rPr>
        <w:t>Ezért módosítani kell a fenti uniós programokra vonatkozó bizottsági javaslatokat.</w:t>
      </w:r>
    </w:p>
    <w:p>
      <w:pPr>
        <w:pStyle w:val="ManualHeading1"/>
        <w:rPr>
          <w:noProof/>
        </w:rPr>
      </w:pPr>
      <w:r>
        <w:rPr>
          <w:noProof/>
        </w:rPr>
        <w:t>2.</w:t>
      </w:r>
      <w:r>
        <w:rPr>
          <w:noProof/>
        </w:rPr>
        <w:tab/>
        <w:t>JOGALAP, SZUBSZIDIARITÁS ÉS ARÁNYOSSÁG</w:t>
      </w:r>
    </w:p>
    <w:p>
      <w:pPr>
        <w:pStyle w:val="Bullet0"/>
        <w:rPr>
          <w:b/>
          <w:noProof/>
          <w:u w:color="000000"/>
          <w:bdr w:val="nil"/>
        </w:rPr>
      </w:pPr>
      <w:r>
        <w:rPr>
          <w:b/>
          <w:noProof/>
          <w:u w:color="000000"/>
          <w:bdr w:val="nil"/>
        </w:rPr>
        <w:t>Jogalap</w:t>
      </w:r>
    </w:p>
    <w:p>
      <w:pPr>
        <w:pBdr>
          <w:top w:val="nil"/>
          <w:left w:val="nil"/>
          <w:bottom w:val="nil"/>
          <w:right w:val="nil"/>
          <w:between w:val="nil"/>
          <w:bar w:val="nil"/>
        </w:pBdr>
        <w:spacing w:before="0" w:after="240"/>
        <w:rPr>
          <w:rFonts w:eastAsia="Arial Unicode MS"/>
          <w:noProof/>
          <w:color w:val="000000" w:themeColor="text1"/>
        </w:rPr>
      </w:pPr>
      <w:r>
        <w:rPr>
          <w:noProof/>
        </w:rPr>
        <w:t>Az uniós fellépést az Európai Unió működéséről szóló szerződés 43. cikkének (2) bekezdése, 173. cikkének (3) bekezdése, 182. cikkének (1) és (4) bekezdése, valamint 183., 188., 209. és 212. cikke indokolja.</w:t>
      </w:r>
    </w:p>
    <w:p>
      <w:pPr>
        <w:pStyle w:val="Bullet0"/>
        <w:rPr>
          <w:b/>
          <w:noProof/>
          <w:u w:color="000000"/>
          <w:bdr w:val="nil"/>
        </w:rPr>
      </w:pPr>
      <w:r>
        <w:rPr>
          <w:b/>
          <w:noProof/>
          <w:u w:color="000000"/>
          <w:bdr w:val="nil"/>
        </w:rPr>
        <w:t>Szubszidiaritás (nem kizárólagos hatáskör esetén)</w:t>
      </w:r>
    </w:p>
    <w:p>
      <w:pPr>
        <w:pBdr>
          <w:top w:val="nil"/>
          <w:left w:val="nil"/>
          <w:bottom w:val="nil"/>
          <w:right w:val="nil"/>
          <w:between w:val="nil"/>
          <w:bar w:val="nil"/>
        </w:pBdr>
        <w:spacing w:before="0" w:after="240"/>
        <w:rPr>
          <w:rFonts w:eastAsia="Arial Unicode MS"/>
          <w:noProof/>
        </w:rPr>
      </w:pPr>
      <w:r>
        <w:rPr>
          <w:noProof/>
        </w:rPr>
        <w:t>Az [ERI] indokolása részletezi a szubszidiaritással és az arányossággal kapcsolatos megfontolásokat.</w:t>
      </w:r>
    </w:p>
    <w:p>
      <w:pPr>
        <w:pBdr>
          <w:top w:val="nil"/>
          <w:left w:val="nil"/>
          <w:bottom w:val="nil"/>
          <w:right w:val="nil"/>
          <w:between w:val="nil"/>
          <w:bar w:val="nil"/>
        </w:pBdr>
        <w:spacing w:before="0" w:after="240"/>
        <w:rPr>
          <w:rFonts w:eastAsia="Arial Unicode MS"/>
          <w:noProof/>
        </w:rPr>
      </w:pPr>
      <w:r>
        <w:rPr>
          <w:noProof/>
        </w:rPr>
        <w:t>Továbbá az alábbi bizottsági javaslatok indokolásai részletezik az érintett programokra alkalmazandó szubszidiaritással és arányossággal kapcsolatos megfontolásokat:</w:t>
      </w:r>
    </w:p>
    <w:p>
      <w:pPr>
        <w:pStyle w:val="Tiret0"/>
        <w:numPr>
          <w:ilvl w:val="0"/>
          <w:numId w:val="19"/>
        </w:numPr>
        <w:rPr>
          <w:noProof/>
        </w:rPr>
      </w:pPr>
      <w:r>
        <w:rPr>
          <w:noProof/>
        </w:rPr>
        <w:t>COM(2018) 392: Javaslat – AZ EURÓPAI PARLAMENT ÉS A TANÁCS RENDELETE a közös agrárpolitika keretében a tagállamok által elkészítendő stratégiai tervhez (KAP-stratégiai terv) nyújtott, az Európai Mezőgazdasági Garanciaalap (EMGA) és az Európai Mezőgazdasági Vidékfejlesztési Alap (EMVA) által finanszírozott támogatásra vonatkozó szabályok megállapításáról, valamint az 1305/2013/EU európai parlamenti és tanácsi rendelet és az 1307/2013/EU európai parlamenti és tanácsi rendelet hatályon kívül helyezéséről (a továbbiakban: COM(2018) 392 bizottsági javaslat),</w:t>
      </w:r>
    </w:p>
    <w:p>
      <w:pPr>
        <w:pStyle w:val="Tiret0"/>
        <w:rPr>
          <w:noProof/>
        </w:rPr>
      </w:pPr>
      <w:r>
        <w:rPr>
          <w:noProof/>
        </w:rPr>
        <w:t xml:space="preserve">COM(2018) 435: Javaslat – AZ EURÓPAI PARLAMENT ÉS A TANÁCS RENDELETE a Horizont Európa kutatási és innovációs keretprogram létrehozásáról, valamint részvételi és terjesztési szabályainak megállapításáról (a továbbiakban: COM(2018) 435 bizottsági javaslat), </w:t>
      </w:r>
    </w:p>
    <w:p>
      <w:pPr>
        <w:pStyle w:val="Tiret0"/>
        <w:rPr>
          <w:noProof/>
        </w:rPr>
      </w:pPr>
      <w:r>
        <w:rPr>
          <w:noProof/>
        </w:rPr>
        <w:t>COM(2018) 436: Javaslat – AZ EURÓPAI PARLAMENT ÉS A TANÁCS HATÁROZATA a Horizont Európa kutatási és innovációs keretprogram végrehajtását szolgáló egyedi program létrehozásáról (a továbbiakban: COM(2018) 436 bizottsági javaslat),</w:t>
      </w:r>
    </w:p>
    <w:p>
      <w:pPr>
        <w:pStyle w:val="Tiret0"/>
        <w:rPr>
          <w:noProof/>
        </w:rPr>
      </w:pPr>
      <w:r>
        <w:rPr>
          <w:noProof/>
        </w:rPr>
        <w:t>COM(2018) 460: Javaslat – AZ EURÓPAI PARLAMENT ÉS A TANÁCS RENDELETE a Szomszédsági, Fejlesztési és Nemzetközi Együttműködési Eszköz létrehozásáról (a továbbiakban: COM(2018) 460 bizottsági javaslat).</w:t>
      </w:r>
    </w:p>
    <w:p>
      <w:pPr>
        <w:pStyle w:val="Bullet0"/>
        <w:rPr>
          <w:b/>
          <w:noProof/>
          <w:u w:color="000000"/>
          <w:bdr w:val="nil"/>
        </w:rPr>
      </w:pPr>
      <w:r>
        <w:rPr>
          <w:b/>
          <w:noProof/>
          <w:u w:color="000000"/>
          <w:bdr w:val="nil"/>
        </w:rPr>
        <w:t>A jogi aktus típusának megválasztása</w:t>
      </w:r>
    </w:p>
    <w:p>
      <w:pPr>
        <w:pBdr>
          <w:top w:val="nil"/>
          <w:left w:val="nil"/>
          <w:bottom w:val="nil"/>
          <w:right w:val="nil"/>
          <w:between w:val="nil"/>
          <w:bar w:val="nil"/>
        </w:pBdr>
        <w:spacing w:before="0" w:after="240"/>
        <w:rPr>
          <w:rFonts w:eastAsia="Arial Unicode MS"/>
          <w:noProof/>
          <w:color w:val="000000" w:themeColor="text1"/>
        </w:rPr>
      </w:pPr>
      <w:r>
        <w:rPr>
          <w:noProof/>
          <w:color w:val="000000" w:themeColor="text1"/>
        </w:rPr>
        <w:lastRenderedPageBreak/>
        <w:t>Ez a javaslat a COM(2018) 392, a COM(2018) 435, a COM(2018) 436 és a COM(2018) 460 bizottsági javaslatot módosítja.</w:t>
      </w:r>
    </w:p>
    <w:p>
      <w:pPr>
        <w:pStyle w:val="ManualHeading1"/>
        <w:rPr>
          <w:noProof/>
        </w:rPr>
      </w:pPr>
      <w:r>
        <w:rPr>
          <w:noProof/>
        </w:rPr>
        <w:t>3.</w:t>
      </w:r>
      <w:r>
        <w:rPr>
          <w:noProof/>
        </w:rPr>
        <w:tab/>
        <w:t>AZ UTÓLAGOS ÉRTÉKELÉSEK, AZ ÉRDEKELT FELEKKEL FOLYTATOTT KONZULTÁCIÓK ÉS A HATÁSVIZSGÁLATOK EREDMÉNYEI</w:t>
      </w:r>
    </w:p>
    <w:p>
      <w:pPr>
        <w:pStyle w:val="Bullet0"/>
        <w:rPr>
          <w:b/>
          <w:noProof/>
          <w:u w:color="000000"/>
          <w:bdr w:val="nil"/>
        </w:rPr>
      </w:pPr>
      <w:r>
        <w:rPr>
          <w:b/>
          <w:noProof/>
          <w:u w:color="000000"/>
          <w:bdr w:val="nil"/>
        </w:rPr>
        <w:t>Az érdekelt felekkel folytatott konzultációk</w:t>
      </w:r>
    </w:p>
    <w:p>
      <w:pPr>
        <w:pBdr>
          <w:top w:val="nil"/>
          <w:left w:val="nil"/>
          <w:bottom w:val="nil"/>
          <w:right w:val="nil"/>
          <w:between w:val="nil"/>
          <w:bar w:val="nil"/>
        </w:pBdr>
        <w:spacing w:before="0" w:after="240"/>
        <w:rPr>
          <w:rFonts w:eastAsia="Arial Unicode MS"/>
          <w:noProof/>
          <w:color w:val="000000" w:themeColor="text1"/>
        </w:rPr>
      </w:pPr>
      <w:r>
        <w:rPr>
          <w:noProof/>
          <w:color w:val="000000" w:themeColor="text1"/>
        </w:rPr>
        <w:t>Az alábbi eredeti bizottsági javaslatok indokolása részletezi a nyilvánossággal és az érdekelt felekkel folytatott konzultációkat: COM(2018) 392, COM(2018) 435, COM(2018) 436 és COM(2018) 460.</w:t>
      </w:r>
    </w:p>
    <w:p>
      <w:pPr>
        <w:pStyle w:val="Bullet0"/>
        <w:rPr>
          <w:b/>
          <w:noProof/>
          <w:u w:color="000000"/>
          <w:bdr w:val="nil"/>
        </w:rPr>
      </w:pPr>
      <w:r>
        <w:rPr>
          <w:b/>
          <w:noProof/>
          <w:u w:color="000000"/>
          <w:bdr w:val="nil"/>
        </w:rPr>
        <w:t>Értékelések és hatásvizsgálatok</w:t>
      </w:r>
    </w:p>
    <w:p>
      <w:pPr>
        <w:pBdr>
          <w:top w:val="nil"/>
          <w:left w:val="nil"/>
          <w:bottom w:val="nil"/>
          <w:right w:val="nil"/>
          <w:between w:val="nil"/>
          <w:bar w:val="nil"/>
        </w:pBdr>
        <w:spacing w:before="0" w:after="240"/>
        <w:rPr>
          <w:rFonts w:eastAsia="Arial Unicode MS"/>
          <w:noProof/>
          <w:color w:val="000000" w:themeColor="text1"/>
        </w:rPr>
      </w:pPr>
      <w:r>
        <w:rPr>
          <w:noProof/>
          <w:color w:val="000000" w:themeColor="text1"/>
        </w:rPr>
        <w:t>Az alábbi eredeti bizottsági javaslatok indokolása részletezi a javaslat alátámasztása céljából elvégzett utólagos és időközi értékelések eredményeit: COM(2018) 392, COM(2018) 435, COM(2018) 436 és COM(2018) 460.</w:t>
      </w:r>
    </w:p>
    <w:p>
      <w:pPr>
        <w:pStyle w:val="ManualHeading1"/>
        <w:rPr>
          <w:noProof/>
        </w:rPr>
      </w:pPr>
      <w:r>
        <w:rPr>
          <w:noProof/>
        </w:rPr>
        <w:t>4.</w:t>
      </w:r>
      <w:r>
        <w:rPr>
          <w:noProof/>
        </w:rPr>
        <w:tab/>
        <w:t>KÖLTSÉGVETÉSI VONZATOK</w:t>
      </w:r>
    </w:p>
    <w:p>
      <w:pPr>
        <w:pBdr>
          <w:top w:val="nil"/>
          <w:left w:val="nil"/>
          <w:bottom w:val="nil"/>
          <w:right w:val="nil"/>
          <w:between w:val="nil"/>
          <w:bar w:val="nil"/>
        </w:pBdr>
        <w:spacing w:before="0" w:after="240"/>
        <w:rPr>
          <w:rFonts w:eastAsia="Arial Unicode MS"/>
          <w:noProof/>
          <w:color w:val="000000" w:themeColor="text1"/>
        </w:rPr>
      </w:pPr>
      <w:r>
        <w:rPr>
          <w:noProof/>
          <w:color w:val="000000" w:themeColor="text1"/>
        </w:rPr>
        <w:t xml:space="preserve">Az Unió az Európai horizont kutatási és innovációs keretprogram számára összesen 14 647 millió EUR-t, az Európai Mezőgazdasági Vidékfejlesztési Alap számára összesen 16 483 millió EUR-t, a Szomszédsági, Fejlesztési és Nemzetközi Együttműködési Eszköz keretében nyújtott külső tevékenységi garancia növelésére pedig összesen 11 448 millió EUR-t fog rendelkezésre bocsátani. Az Előcsatlakozási Támogatási Eszköz (IPA) I. mellékletében felsorolt kedvezményezettek lesznek jogosultak e növelés igénybevételére. </w:t>
      </w:r>
      <w:r>
        <w:rPr>
          <w:noProof/>
        </w:rPr>
        <w:t>A kiegészítő finanszírozást az Európai Helyreállítási Eszközön keresztül bocsátják majd rendelkezésre a saját forrásokról szóló új határozatban biztosított felhatalmazás alapján.</w:t>
      </w:r>
    </w:p>
    <w:p>
      <w:pPr>
        <w:pBdr>
          <w:top w:val="nil"/>
          <w:left w:val="nil"/>
          <w:bottom w:val="nil"/>
          <w:right w:val="nil"/>
          <w:between w:val="nil"/>
          <w:bar w:val="nil"/>
        </w:pBdr>
        <w:spacing w:before="0" w:after="240"/>
        <w:rPr>
          <w:rFonts w:eastAsia="Arial Unicode MS"/>
          <w:noProof/>
          <w:color w:val="000000" w:themeColor="text1"/>
        </w:rPr>
      </w:pPr>
      <w:r>
        <w:rPr>
          <w:noProof/>
          <w:color w:val="000000" w:themeColor="text1"/>
        </w:rPr>
        <w:t>A költségvetési vonzatokkal kapcsolatos részleteket a pénzügyi kimutatás tartalmazza.</w:t>
      </w:r>
    </w:p>
    <w:p>
      <w:pPr>
        <w:pStyle w:val="ManualHeading1"/>
        <w:rPr>
          <w:noProof/>
        </w:rPr>
      </w:pPr>
      <w:r>
        <w:rPr>
          <w:noProof/>
        </w:rPr>
        <w:t>5.</w:t>
      </w:r>
      <w:r>
        <w:rPr>
          <w:noProof/>
        </w:rPr>
        <w:tab/>
        <w:t>EGYÉB ELEMEK</w:t>
      </w:r>
    </w:p>
    <w:p>
      <w:pPr>
        <w:pStyle w:val="Bullet0"/>
        <w:rPr>
          <w:b/>
          <w:noProof/>
          <w:u w:color="000000"/>
          <w:bdr w:val="nil"/>
        </w:rPr>
      </w:pPr>
      <w:r>
        <w:rPr>
          <w:b/>
          <w:noProof/>
          <w:u w:color="000000"/>
          <w:bdr w:val="nil"/>
        </w:rPr>
        <w:t>A javaslat egyes rendelkezéseinek részletes magyarázata</w:t>
      </w:r>
    </w:p>
    <w:p>
      <w:pPr>
        <w:pBdr>
          <w:top w:val="nil"/>
          <w:left w:val="nil"/>
          <w:bottom w:val="nil"/>
          <w:right w:val="nil"/>
          <w:between w:val="nil"/>
          <w:bar w:val="nil"/>
        </w:pBdr>
        <w:spacing w:before="0" w:after="240"/>
        <w:rPr>
          <w:rFonts w:eastAsia="Arial Unicode MS"/>
          <w:noProof/>
          <w:color w:val="000000" w:themeColor="text1"/>
        </w:rPr>
      </w:pPr>
      <w:r>
        <w:rPr>
          <w:noProof/>
          <w:color w:val="000000" w:themeColor="text1"/>
        </w:rPr>
        <w:t>A javaslat az alábbi bizottsági javaslatok célzott módosításaiból áll: COM(2018) 392, COM(2018) 435, COM(2018) 436 és COM(2018) 460.</w:t>
      </w:r>
    </w:p>
    <w:p>
      <w:pPr>
        <w:pBdr>
          <w:top w:val="nil"/>
          <w:left w:val="nil"/>
          <w:bottom w:val="nil"/>
          <w:right w:val="nil"/>
          <w:between w:val="nil"/>
          <w:bar w:val="nil"/>
        </w:pBdr>
        <w:spacing w:before="0" w:after="240"/>
        <w:rPr>
          <w:rFonts w:eastAsia="Arial Unicode MS"/>
          <w:noProof/>
          <w:color w:val="000000" w:themeColor="text1"/>
        </w:rPr>
      </w:pPr>
      <w:r>
        <w:rPr>
          <w:noProof/>
          <w:color w:val="000000" w:themeColor="text1"/>
        </w:rPr>
        <w:t xml:space="preserve">A főbb módosítások célja a következő: </w:t>
      </w:r>
    </w:p>
    <w:p>
      <w:pPr>
        <w:pStyle w:val="Tiret0"/>
        <w:numPr>
          <w:ilvl w:val="0"/>
          <w:numId w:val="10"/>
        </w:numPr>
        <w:rPr>
          <w:noProof/>
        </w:rPr>
      </w:pPr>
      <w:r>
        <w:rPr>
          <w:noProof/>
        </w:rPr>
        <w:t>Az Európai Uniós Helyreállítási Eszköz létrehozásáról szóló rendeletjavaslatban meghatározott intézkedések végrehajtásának lehetővé tétele a kutatási és innovációs keretprogram, a Szomszédsági, Fejlesztési és Nemzetközi Együttműködési Eszköz, valamint az Európai Mezőgazdasági Vidékfejlesztési Alap végrehajtási mechanizmusain keresztül;</w:t>
      </w:r>
    </w:p>
    <w:p>
      <w:pPr>
        <w:pStyle w:val="Tiret0"/>
        <w:rPr>
          <w:noProof/>
        </w:rPr>
      </w:pPr>
      <w:r>
        <w:rPr>
          <w:noProof/>
        </w:rPr>
        <w:t>Az Európai Uniós Helyreállítási Eszközből külső címzett bevételként történő finanszírozás lehetővé tétele a költségvetési rendelet 21. cikkének (5) bekezdése szerint;</w:t>
      </w:r>
    </w:p>
    <w:p>
      <w:pPr>
        <w:pStyle w:val="Tiret0"/>
        <w:rPr>
          <w:noProof/>
        </w:rPr>
      </w:pPr>
      <w:r>
        <w:rPr>
          <w:noProof/>
        </w:rPr>
        <w:t>Az Európai Uniós Helyreállítási Eszköz létrehozásáról szóló rendeletjavaslat 4. cikkében meghatározott célzott határidők betartásának biztosítása megfelelő kereszthivatkozások révén;</w:t>
      </w:r>
    </w:p>
    <w:p>
      <w:pPr>
        <w:rPr>
          <w:noProof/>
        </w:rPr>
        <w:sectPr>
          <w:footerReference w:type="default" r:id="rId14"/>
          <w:footerReference w:type="first" r:id="rId15"/>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2018/0224 (COD)</w:t>
      </w:r>
    </w:p>
    <w:p>
      <w:pPr>
        <w:pStyle w:val="Statut"/>
        <w:rPr>
          <w:noProof/>
        </w:rPr>
      </w:pPr>
      <w:r>
        <w:rPr>
          <w:noProof/>
        </w:rPr>
        <w:t>Módosított javaslat</w:t>
      </w:r>
    </w:p>
    <w:p>
      <w:pPr>
        <w:pStyle w:val="Typedudocument"/>
        <w:rPr>
          <w:noProof/>
        </w:rPr>
      </w:pPr>
      <w:r>
        <w:rPr>
          <w:noProof/>
        </w:rPr>
        <w:t>AZ EURÓPAI PARLAMENT ÉS A TANÁCS RENDELETE</w:t>
      </w:r>
    </w:p>
    <w:p>
      <w:pPr>
        <w:pStyle w:val="Titreobjet"/>
        <w:rPr>
          <w:noProof/>
        </w:rPr>
      </w:pPr>
      <w:r>
        <w:rPr>
          <w:noProof/>
        </w:rPr>
        <w:t xml:space="preserve">a Horizont Európa kutatási és innovációs keretprogram létrehozásáról, valamint részvételi és terjesztési szabályainak megállapításáról, </w:t>
      </w:r>
      <w:r>
        <w:rPr>
          <w:noProof/>
        </w:rPr>
        <w:br/>
        <w:t xml:space="preserve">  </w:t>
      </w:r>
      <w:r>
        <w:rPr>
          <w:noProof/>
        </w:rPr>
        <w:br/>
        <w:t xml:space="preserve">AZ EURÓPAI PARLAMENT ÉS A TANÁCS HATÁROZATA </w:t>
      </w:r>
      <w:r>
        <w:rPr>
          <w:noProof/>
        </w:rPr>
        <w:br/>
        <w:t xml:space="preserve">a Horizont Európa kutatási és innovációs keretprogram végrehajtását szolgáló egyedi program létrehozásáról, </w:t>
      </w:r>
      <w:r>
        <w:rPr>
          <w:noProof/>
        </w:rPr>
        <w:br/>
        <w:t xml:space="preserve">  </w:t>
      </w:r>
      <w:r>
        <w:rPr>
          <w:noProof/>
        </w:rPr>
        <w:br/>
        <w:t xml:space="preserve">AZ EURÓPAI PARLAMENT ÉS A TANÁCS RENDELETE a Szomszédsági, Fejlesztési és Nemzetközi Együttműködési Eszköz létrehozásáról, </w:t>
      </w:r>
      <w:r>
        <w:rPr>
          <w:noProof/>
        </w:rPr>
        <w:br/>
        <w:t xml:space="preserve"> </w:t>
      </w:r>
      <w:r>
        <w:rPr>
          <w:noProof/>
        </w:rPr>
        <w:br/>
        <w:t>AZ EURÓPAI PARLAMENT ÉS A TANÁCS RENDELETE a közös agrárpolitika keretében a tagállamok által elkészítendő stratégiai tervhez (KAP-stratégiai terv) nyújtott, az Európai Mezőgazdasági Garanciaalap (EMGA) és az Európai Mezőgazdasági Vidékfejlesztési Alap (EMVA) által finanszírozott támogatásra vonatkozó szabályok megállapításáról, valamint az 1305/2013/EU európai parlamenti és tanácsi rendelet és az 1307/2013/EU európai parlamenti és tanácsi rendelet hatályon kívül helyezéséről</w:t>
      </w:r>
    </w:p>
    <w:p>
      <w:pPr>
        <w:rPr>
          <w:noProof/>
        </w:rPr>
      </w:pPr>
      <w:r>
        <w:rPr>
          <w:noProof/>
        </w:rPr>
        <w:t xml:space="preserve">A COM(2018) 435, COM(2018) 436, COM(2018) 460, COM(2018) 392 bizottsági javaslatok a következőképpen módosulnak: </w:t>
      </w:r>
    </w:p>
    <w:p>
      <w:pPr>
        <w:pStyle w:val="ManualNumPar1"/>
        <w:rPr>
          <w:noProof/>
        </w:rPr>
      </w:pPr>
      <w:r>
        <w:rPr>
          <w:noProof/>
        </w:rPr>
        <w:t>1.</w:t>
      </w:r>
      <w:r>
        <w:rPr>
          <w:noProof/>
        </w:rPr>
        <w:tab/>
        <w:t>A Horizont Európa kutatási és innovációs keretprogram létrehozásáról, valamint részvételi és terjesztési szabályainak megállapításáról szóló európai parlamenti és tanácsi rendeletre irányuló COM(2018) 435 bizottsági javaslat a következőképpen módosul:</w:t>
      </w:r>
    </w:p>
    <w:p>
      <w:pPr>
        <w:pStyle w:val="Point0"/>
        <w:rPr>
          <w:noProof/>
        </w:rPr>
      </w:pPr>
      <w:r>
        <w:rPr>
          <w:noProof/>
        </w:rPr>
        <w:t>(1)</w:t>
      </w:r>
      <w:r>
        <w:rPr>
          <w:noProof/>
        </w:rPr>
        <w:tab/>
        <w:t>A szöveg a következő (15a) preambulumbekezdéssel egészül ki:</w:t>
      </w:r>
    </w:p>
    <w:p>
      <w:pPr>
        <w:pStyle w:val="Text1"/>
        <w:rPr>
          <w:noProof/>
          <w:color w:val="00B050"/>
          <w:sz w:val="22"/>
        </w:rPr>
      </w:pPr>
      <w:r>
        <w:rPr>
          <w:noProof/>
          <w:color w:val="000000" w:themeColor="text1"/>
        </w:rPr>
        <w:t xml:space="preserve">„(15a) </w:t>
      </w:r>
      <w:r>
        <w:rPr>
          <w:noProof/>
        </w:rPr>
        <w:tab/>
        <w:t>Az [Európai Uniós Helyreállítási Eszközről szóló] rendelettel összhangban és az annak keretében elkülönített források erejéig helyreállítási és rezilienciaépítési intézkedéseket kell végrehajtani e program keretében a Covid19-válság példátlan hatásainak kezelése érdekében. Az ilyen kiegészítő forrásokat úgy kell felhasználni, hogy biztosítsák az [ERI] rendeletben előírt határidők betartását.”</w:t>
      </w:r>
    </w:p>
    <w:p>
      <w:pPr>
        <w:pStyle w:val="Point0"/>
        <w:rPr>
          <w:noProof/>
        </w:rPr>
      </w:pPr>
      <w:r>
        <w:rPr>
          <w:noProof/>
        </w:rPr>
        <w:t>(2)</w:t>
      </w:r>
      <w:r>
        <w:rPr>
          <w:noProof/>
        </w:rPr>
        <w:tab/>
        <w:t xml:space="preserve">A javaslat a következő 9a. cikkel egészül ki: </w:t>
      </w:r>
    </w:p>
    <w:p>
      <w:pPr>
        <w:pStyle w:val="Titrearticle"/>
        <w:rPr>
          <w:noProof/>
        </w:rPr>
      </w:pPr>
      <w:r>
        <w:rPr>
          <w:noProof/>
        </w:rPr>
        <w:t xml:space="preserve">„9a. cikk </w:t>
      </w:r>
      <w:r>
        <w:rPr>
          <w:noProof/>
        </w:rPr>
        <w:br/>
        <w:t>Az Európai Uniós Helyreállítási Eszközből származó források</w:t>
      </w:r>
    </w:p>
    <w:p>
      <w:pPr>
        <w:pStyle w:val="Text1"/>
        <w:rPr>
          <w:noProof/>
        </w:rPr>
      </w:pPr>
      <w:r>
        <w:rPr>
          <w:noProof/>
        </w:rPr>
        <w:t>Az [ERI] rendelet 2. cikkében említett intézkedéseket e program keretében az említett [ERI] rendelet 3. cikke (2) bekezdése a) pontjának v. alpontjában szereplő összegek segítségével kell végrehajtani, az említett rendelet 4. cikke (4) és (8) bekezdésére is figyelemmel.</w:t>
      </w:r>
    </w:p>
    <w:p>
      <w:pPr>
        <w:pStyle w:val="Text1"/>
        <w:rPr>
          <w:noProof/>
        </w:rPr>
      </w:pPr>
      <w:r>
        <w:rPr>
          <w:noProof/>
        </w:rPr>
        <w:t>Ezek az összegek a költségvetési rendelet 21. cikkének (5) bekezdése szerint külső címzett bevételnek minősülnek.”</w:t>
      </w:r>
    </w:p>
    <w:p>
      <w:pPr>
        <w:pStyle w:val="ManualNumPar1"/>
        <w:rPr>
          <w:noProof/>
        </w:rPr>
      </w:pPr>
      <w:r>
        <w:rPr>
          <w:noProof/>
        </w:rPr>
        <w:lastRenderedPageBreak/>
        <w:t>2.</w:t>
      </w:r>
      <w:r>
        <w:rPr>
          <w:noProof/>
        </w:rPr>
        <w:tab/>
        <w:t>A Horizont Európa kutatási és innovációs keretprogram végrehajtását szolgáló egyedi program létrehozásáról szóló európai parlamenti és tanácsi határozatra irányuló COM(2018) 436 bizottsági javaslat a következő 4a. cikkel egészül ki:</w:t>
      </w:r>
    </w:p>
    <w:p>
      <w:pPr>
        <w:pStyle w:val="Titrearticle"/>
        <w:rPr>
          <w:bCs/>
          <w:noProof/>
        </w:rPr>
      </w:pPr>
      <w:r>
        <w:rPr>
          <w:noProof/>
        </w:rPr>
        <w:t xml:space="preserve">„4a. cikk </w:t>
      </w:r>
      <w:r>
        <w:rPr>
          <w:noProof/>
        </w:rPr>
        <w:br/>
        <w:t>Az Európai Uniós Helyreállítási Eszközből származó források</w:t>
      </w:r>
    </w:p>
    <w:p>
      <w:pPr>
        <w:pStyle w:val="Text1"/>
        <w:rPr>
          <w:noProof/>
        </w:rPr>
      </w:pPr>
      <w:r>
        <w:rPr>
          <w:noProof/>
        </w:rPr>
        <w:t>A [keretprogramról szóló rendelet] rendelet 9a. cikke szerint az [ERI] rendelet 2. cikkében említett intézkedéseket ennek az egyedi programnak a keretében az említett [ERI] rendelet 3. cikke (2) bekezdése a) pontjának v. alpontjában szereplő összegek segítségével kell végrehajtani, figyelemmel annak 4. cikke (4) és (8) bekezdésére.”</w:t>
      </w:r>
    </w:p>
    <w:p>
      <w:pPr>
        <w:pStyle w:val="ManualNumPar1"/>
        <w:rPr>
          <w:noProof/>
        </w:rPr>
      </w:pPr>
      <w:r>
        <w:rPr>
          <w:noProof/>
        </w:rPr>
        <w:t>3.</w:t>
      </w:r>
      <w:r>
        <w:rPr>
          <w:noProof/>
        </w:rPr>
        <w:tab/>
        <w:t>A Szomszédsági, Fejlesztési és Nemzetközi Együttműködési Eszköz létrehozásáról szóló európai parlamenti és tanácsi rendeletre irányuló COM(2018) 460 bizottsági javaslat a következőképpen módosul:</w:t>
      </w:r>
    </w:p>
    <w:p>
      <w:pPr>
        <w:pStyle w:val="Point0"/>
        <w:rPr>
          <w:noProof/>
        </w:rPr>
      </w:pPr>
      <w:r>
        <w:rPr>
          <w:noProof/>
        </w:rPr>
        <w:t>(1)</w:t>
      </w:r>
      <w:r>
        <w:rPr>
          <w:noProof/>
        </w:rPr>
        <w:tab/>
        <w:t>A szöveg a következő (36a) preambulumbekezdéssel egészül ki:</w:t>
      </w:r>
    </w:p>
    <w:p>
      <w:pPr>
        <w:pStyle w:val="Text1"/>
        <w:rPr>
          <w:noProof/>
        </w:rPr>
      </w:pPr>
      <w:r>
        <w:rPr>
          <w:noProof/>
        </w:rPr>
        <w:t>„(36a) Az [Európai Uniós Helyreállítási Eszközről szóló] rendelettel összhangban és az annak keretében elkülönített források erejéig helyreállítási és rezilienciaépítési intézkedéseket kell végrehajtani a Szomszédsági, Fejlesztési és Nemzetközi Együttműködési Eszköz keretében a Covid19-válság példátlan hatásainak kezelése érdekében. Az ilyen kiegészítő forrásokat úgy kell felhasználni, hogy biztosítsák az [ERI] rendeletben előírt határidők betartását.”</w:t>
      </w:r>
    </w:p>
    <w:p>
      <w:pPr>
        <w:pStyle w:val="Point0"/>
        <w:rPr>
          <w:noProof/>
        </w:rPr>
      </w:pPr>
      <w:r>
        <w:rPr>
          <w:noProof/>
        </w:rPr>
        <w:t>(2)</w:t>
      </w:r>
      <w:r>
        <w:rPr>
          <w:noProof/>
        </w:rPr>
        <w:tab/>
        <w:t>A szöveg a következő 6a. cikkel egészül ki:</w:t>
      </w:r>
    </w:p>
    <w:p>
      <w:pPr>
        <w:pStyle w:val="Titrearticle"/>
        <w:rPr>
          <w:noProof/>
        </w:rPr>
      </w:pPr>
      <w:r>
        <w:rPr>
          <w:noProof/>
        </w:rPr>
        <w:t xml:space="preserve">„6a. cikk </w:t>
      </w:r>
      <w:r>
        <w:rPr>
          <w:noProof/>
        </w:rPr>
        <w:br/>
        <w:t>Az Európai Uniós Helyreállítási Eszközből származó források</w:t>
      </w:r>
    </w:p>
    <w:p>
      <w:pPr>
        <w:pStyle w:val="Point1"/>
        <w:rPr>
          <w:noProof/>
        </w:rPr>
      </w:pPr>
      <w:r>
        <w:rPr>
          <w:noProof/>
        </w:rPr>
        <w:t>(1)</w:t>
      </w:r>
      <w:r>
        <w:rPr>
          <w:noProof/>
        </w:rPr>
        <w:tab/>
        <w:t>A külső tevékenységi garancia keretében a 26. cikk (3) bekezdésének második albekezdésében említett összeget az [ERI] rendelet 4. cikkének (6) bekezdésében meghatározott feltételekkel összhangban kell nyújtani, kivéve a makroszintű pénzügyi támogatási műveleteket, amelyeket az említett [ERI] rendelet 4. cikkének (7) bekezdésében meghatározottak szerint kell nyújtani. Ez az összeg az IPA III rendelet I. mellékletében felsorolt kedvezményezetteknél végrehajtott műveleteket is támogatja.</w:t>
      </w:r>
    </w:p>
    <w:p>
      <w:pPr>
        <w:pStyle w:val="Point1"/>
        <w:rPr>
          <w:noProof/>
        </w:rPr>
      </w:pPr>
      <w:r>
        <w:rPr>
          <w:noProof/>
        </w:rPr>
        <w:t>(2)</w:t>
      </w:r>
      <w:r>
        <w:rPr>
          <w:noProof/>
        </w:rPr>
        <w:tab/>
        <w:t>Az [ERI] rendelet 3. cikke (2) bekezdése c) pontjának iii. alpontjában említett összeget a költségvetési rendelet 211. cikke (4) bekezdésének első albekezdésében említett forrásokon felül az e rendelet szerinti külső tevékenységi garancia tartalékképzésére, valamint az [ERI] rendelet 2. cikke (2) bekezdésének második mondatában említett intézkedésekre kell felhasználni, annak 4. cikke (8) bekezdésére is figyelemmel.</w:t>
      </w:r>
    </w:p>
    <w:p>
      <w:pPr>
        <w:pStyle w:val="Text2"/>
        <w:rPr>
          <w:noProof/>
        </w:rPr>
      </w:pPr>
      <w:r>
        <w:rPr>
          <w:noProof/>
        </w:rPr>
        <w:t>A költségvetési rendelet 211. cikke (4) bekezdésének második albekezdésében említett forrásokon felül legfeljebb 11 285 762 000 EUR összeget kell figyelembe venni a költségvetési rendelet 211. cikkének (1) bekezdésében említett tartalékfeltöltési rátából eredő tartalékképzés kiszámításához.</w:t>
      </w:r>
    </w:p>
    <w:p>
      <w:pPr>
        <w:pStyle w:val="Text2"/>
        <w:rPr>
          <w:noProof/>
        </w:rPr>
      </w:pPr>
      <w:r>
        <w:rPr>
          <w:noProof/>
        </w:rPr>
        <w:t>Az első albekezdésben említett összeg a költségvetési rendelet 21. cikkének (5) bekezdése szerinti külső címzett bevételnek minősül.”</w:t>
      </w:r>
    </w:p>
    <w:p>
      <w:pPr>
        <w:pStyle w:val="Point0"/>
        <w:rPr>
          <w:noProof/>
        </w:rPr>
      </w:pPr>
      <w:r>
        <w:rPr>
          <w:noProof/>
        </w:rPr>
        <w:t>(3)</w:t>
      </w:r>
      <w:r>
        <w:rPr>
          <w:noProof/>
        </w:rPr>
        <w:tab/>
        <w:t>A 26. cikk a következőképpen módosul:</w:t>
      </w:r>
    </w:p>
    <w:p>
      <w:pPr>
        <w:pStyle w:val="Point1"/>
        <w:rPr>
          <w:noProof/>
        </w:rPr>
      </w:pPr>
      <w:r>
        <w:rPr>
          <w:noProof/>
        </w:rPr>
        <w:t>a)</w:t>
      </w:r>
      <w:r>
        <w:rPr>
          <w:noProof/>
        </w:rPr>
        <w:tab/>
        <w:t>A (3) bekezdés helyébe a következő szöveg lép:</w:t>
      </w:r>
    </w:p>
    <w:p>
      <w:pPr>
        <w:pStyle w:val="Text2"/>
        <w:rPr>
          <w:noProof/>
        </w:rPr>
      </w:pPr>
      <w:r>
        <w:rPr>
          <w:noProof/>
        </w:rPr>
        <w:lastRenderedPageBreak/>
        <w:t>„(3) A külső tevékenységi garancia keretében az Unió a 2021. január 1. és 2027 december 31. között aláírt műveletekhez legfeljebb 130 000 000 000 EUR értékben biztosíthat garanciát.</w:t>
      </w:r>
    </w:p>
    <w:p>
      <w:pPr>
        <w:pStyle w:val="Text2"/>
        <w:rPr>
          <w:noProof/>
        </w:rPr>
      </w:pPr>
      <w:r>
        <w:rPr>
          <w:noProof/>
        </w:rPr>
        <w:t>Az említett az összegből legfeljebb 70 000 000 000 EUR összeget kell elkülöníteni az [ERI] rendelet 2. cikke (1) bekezdésének második albekezdésében említett intézkedéseket végrehajtó műveletekre, és ez az összeg csak az említett rendelet 4. cikkének (3) bekezdésében említett időponttól kezdődően áll rendelkezésre.”;</w:t>
      </w:r>
    </w:p>
    <w:p>
      <w:pPr>
        <w:pStyle w:val="Point1"/>
        <w:rPr>
          <w:noProof/>
        </w:rPr>
      </w:pPr>
      <w:r>
        <w:rPr>
          <w:noProof/>
        </w:rPr>
        <w:t>b)</w:t>
      </w:r>
      <w:r>
        <w:rPr>
          <w:noProof/>
        </w:rPr>
        <w:tab/>
        <w:t>A (6) bekezdés helyébe a következő szöveg lép:</w:t>
      </w:r>
    </w:p>
    <w:p>
      <w:pPr>
        <w:pStyle w:val="Text2"/>
        <w:rPr>
          <w:noProof/>
        </w:rPr>
      </w:pPr>
      <w:r>
        <w:rPr>
          <w:noProof/>
        </w:rPr>
        <w:t>„(6) Az EFFA+ és a külső tevékenységi garancia finanszírozási és beruházási műveleteket támogathat a 4. cikk (2) bekezdésében említett földrajzi térségekben található partnerországokban. A külső tevékenységi garancia tartalékát a 6a. cikk sérelme nélkül a vonatkozó földrajzi program 6. cikk (2) bekezdésének a) pontja által létrehozott költségvetéséből finanszírozzák, és a közös tartalékalapba utalják át. Az EFFA+ és a külső tevékenységi garancia az [IPA III]-rendelet I. mellékletében felsorolt kedvezményezettek területén folytatott műveleteket is támogathat. E műveletek EFFA+ keretében történő finanszírozását és a külső tevékenységi garancia céltartalékképzését az [IPA] rendeletből kell finanszírozni, e rendelet 6a. cikke (1) bekezdésének sérelme nélkül. Az ENBE-rendelet 10. cikkének (2) bekezdésében említett, harmadik országoknak nyújtott kölcsönöket fedező külső tevékenységi garancia céltartalékképzését az említett rendeletből kell finanszírozni.”</w:t>
      </w:r>
    </w:p>
    <w:p>
      <w:pPr>
        <w:pStyle w:val="Point0"/>
        <w:rPr>
          <w:noProof/>
        </w:rPr>
      </w:pPr>
      <w:r>
        <w:rPr>
          <w:noProof/>
        </w:rPr>
        <w:t>(4)</w:t>
      </w:r>
      <w:r>
        <w:rPr>
          <w:noProof/>
        </w:rPr>
        <w:tab/>
        <w:t>A 39. cikk (1) bekezdésének helyébe a következő szöveg lép:</w:t>
      </w:r>
    </w:p>
    <w:p>
      <w:pPr>
        <w:pStyle w:val="Text1"/>
        <w:rPr>
          <w:noProof/>
        </w:rPr>
      </w:pPr>
      <w:r>
        <w:rPr>
          <w:noProof/>
        </w:rPr>
        <w:t>„(1) A 466/2014/EU határozat és a 480/2009/EK, Euratom rendelet 2021. január 1-jével hatályát veszti. Az (EU) 2017/1601 rendelet 2021. december 31-ével hatályát veszti.”</w:t>
      </w:r>
    </w:p>
    <w:p>
      <w:pPr>
        <w:pStyle w:val="ManualNumPar1"/>
        <w:rPr>
          <w:noProof/>
        </w:rPr>
      </w:pPr>
      <w:r>
        <w:rPr>
          <w:noProof/>
        </w:rPr>
        <w:t>4.</w:t>
      </w:r>
      <w:r>
        <w:rPr>
          <w:noProof/>
        </w:rPr>
        <w:tab/>
        <w:t>A közös agrárpolitika keretében a tagállamok által elkészítendő stratégiai tervhez (KAP-stratégiai terv) nyújtott, az Európai Mezőgazdasági Garanciaalap (EMGA) és az Európai Mezőgazdasági Vidékfejlesztési Alap (EMVA) által finanszírozott támogatásra vonatkozó szabályok megállapításáról, valamint az 1305/2013/EU európai parlamenti és tanácsi rendelet és az 1307/2013/EU európai parlamenti és tanácsi rendelet hatályon kívül helyezéséről szóló európai parlamenti és tanácsi rendeletre irányuló COM(2018) 392 bizottsági javaslat a következőképpen módosul:</w:t>
      </w:r>
    </w:p>
    <w:p>
      <w:pPr>
        <w:pStyle w:val="Point0"/>
        <w:rPr>
          <w:noProof/>
        </w:rPr>
      </w:pPr>
      <w:r>
        <w:rPr>
          <w:noProof/>
        </w:rPr>
        <w:t>(1)</w:t>
      </w:r>
      <w:r>
        <w:rPr>
          <w:noProof/>
        </w:rPr>
        <w:tab/>
        <w:t>A szöveg a következő új (71a) preambulumbekezdéssel egészül ki:</w:t>
      </w:r>
    </w:p>
    <w:p>
      <w:pPr>
        <w:pStyle w:val="Text1"/>
        <w:rPr>
          <w:noProof/>
        </w:rPr>
      </w:pPr>
      <w:r>
        <w:rPr>
          <w:noProof/>
        </w:rPr>
        <w:t xml:space="preserve">„(71a) Az [Európai Uniós Helyreállítási Eszközről szóló] rendelettel összhangban és az annak keretében elkülönített források erejéig helyreállítási és rezilienciaépítési intézkedéseket kell végrehajtani az </w:t>
      </w:r>
      <w:r>
        <w:rPr>
          <w:noProof/>
          <w:color w:val="000000" w:themeColor="text1"/>
        </w:rPr>
        <w:t>Európai Mezőgazdasági Vidékfejlesztési Alap</w:t>
      </w:r>
      <w:r>
        <w:rPr>
          <w:noProof/>
        </w:rPr>
        <w:t xml:space="preserve"> keretében a Covid19-válság példátlan hatásainak kezelése érdekében. Az ilyen kiegészítő forrásokat úgy kell felhasználni, hogy biztosítsák az [ERI] rendeletben előírt határidők betartását.”</w:t>
      </w:r>
    </w:p>
    <w:p>
      <w:pPr>
        <w:pStyle w:val="Point0"/>
        <w:rPr>
          <w:noProof/>
        </w:rPr>
      </w:pPr>
      <w:r>
        <w:rPr>
          <w:noProof/>
        </w:rPr>
        <w:t>(2)</w:t>
      </w:r>
      <w:r>
        <w:rPr>
          <w:noProof/>
        </w:rPr>
        <w:tab/>
        <w:t>A szöveg a következő új 84a. cikkel egészül ki:</w:t>
      </w:r>
    </w:p>
    <w:p>
      <w:pPr>
        <w:pStyle w:val="Titrearticle"/>
        <w:rPr>
          <w:noProof/>
        </w:rPr>
      </w:pPr>
      <w:r>
        <w:rPr>
          <w:noProof/>
        </w:rPr>
        <w:t xml:space="preserve">„84a. cikk </w:t>
      </w:r>
      <w:r>
        <w:rPr>
          <w:noProof/>
        </w:rPr>
        <w:br/>
        <w:t>Az Európai Uniós Helyreállítási Eszközből származó források</w:t>
      </w:r>
    </w:p>
    <w:p>
      <w:pPr>
        <w:pStyle w:val="Point1"/>
        <w:rPr>
          <w:noProof/>
        </w:rPr>
      </w:pPr>
      <w:r>
        <w:rPr>
          <w:noProof/>
        </w:rPr>
        <w:t>(1)</w:t>
      </w:r>
      <w:r>
        <w:rPr>
          <w:noProof/>
        </w:rPr>
        <w:tab/>
        <w:t xml:space="preserve">Az [ERI] rendelet 2. cikkében említett intézkedéseket az EMVA keretében az említett rendelet 3. cikke (2) bekezdése a) pontjának vii. alpontjában szereplő </w:t>
      </w:r>
      <w:r>
        <w:rPr>
          <w:noProof/>
        </w:rPr>
        <w:lastRenderedPageBreak/>
        <w:t>összegből folyó árakon 16 483 millió EUR összeg segítségével kell végrehajtani, az említett rendelet 4. cikke (3), (4) és (8) bekezdésére is figyelemmel.</w:t>
      </w:r>
    </w:p>
    <w:p>
      <w:pPr>
        <w:pStyle w:val="Text2"/>
        <w:rPr>
          <w:noProof/>
        </w:rPr>
      </w:pPr>
      <w:r>
        <w:rPr>
          <w:noProof/>
        </w:rPr>
        <w:t>Ez az összeg a költségvetési rendelet 21. cikkének (5) bekezdése szerint külső címzett bevételnek minősül.</w:t>
      </w:r>
    </w:p>
    <w:p>
      <w:pPr>
        <w:pStyle w:val="Text2"/>
        <w:rPr>
          <w:noProof/>
        </w:rPr>
      </w:pPr>
      <w:r>
        <w:rPr>
          <w:noProof/>
        </w:rPr>
        <w:t>Az összeget a 83. cikkben meghatározott globális forrásokon felül az EMVA keretében a 2022., 2023. és 2024. évre vonatkozó költségvetési kötelezettségvállalások kiegészítő forrásaként kell rendelkezésre bocsátani a következők szerint:</w:t>
      </w:r>
    </w:p>
    <w:p>
      <w:pPr>
        <w:pStyle w:val="Tiret2"/>
        <w:numPr>
          <w:ilvl w:val="0"/>
          <w:numId w:val="14"/>
        </w:numPr>
        <w:rPr>
          <w:rStyle w:val="conf-macro"/>
          <w:noProof/>
        </w:rPr>
      </w:pPr>
      <w:r>
        <w:rPr>
          <w:rStyle w:val="conf-macro"/>
          <w:noProof/>
        </w:rPr>
        <w:t>2022. 8 117 millió EUR;</w:t>
      </w:r>
    </w:p>
    <w:p>
      <w:pPr>
        <w:pStyle w:val="Tiret2"/>
        <w:rPr>
          <w:rStyle w:val="conf-macro"/>
          <w:noProof/>
        </w:rPr>
      </w:pPr>
      <w:r>
        <w:rPr>
          <w:rStyle w:val="conf-macro"/>
          <w:noProof/>
        </w:rPr>
        <w:t>2023. 4 140 millió EUR;</w:t>
      </w:r>
    </w:p>
    <w:p>
      <w:pPr>
        <w:pStyle w:val="Tiret2"/>
        <w:rPr>
          <w:rStyle w:val="conf-macro"/>
          <w:noProof/>
        </w:rPr>
      </w:pPr>
      <w:r>
        <w:rPr>
          <w:rStyle w:val="conf-macro"/>
          <w:noProof/>
        </w:rPr>
        <w:t>2024. 4 226 millió EUR.</w:t>
      </w:r>
    </w:p>
    <w:p>
      <w:pPr>
        <w:pStyle w:val="Point1"/>
        <w:rPr>
          <w:noProof/>
        </w:rPr>
      </w:pPr>
      <w:r>
        <w:rPr>
          <w:noProof/>
        </w:rPr>
        <w:t>(2)</w:t>
      </w:r>
      <w:r>
        <w:rPr>
          <w:noProof/>
        </w:rPr>
        <w:tab/>
        <w:t>Az (1) bekezdésben említett kiegészítő források tagállamok szerinti bontását a 83. cikk (3) bekezdésével összhangban kell meghatározni.</w:t>
      </w:r>
    </w:p>
    <w:p>
      <w:pPr>
        <w:pStyle w:val="Point1"/>
        <w:rPr>
          <w:noProof/>
        </w:rPr>
      </w:pPr>
      <w:r>
        <w:rPr>
          <w:noProof/>
        </w:rPr>
        <w:t>(3)</w:t>
      </w:r>
      <w:r>
        <w:rPr>
          <w:noProof/>
        </w:rPr>
        <w:tab/>
        <w:t>A [KAP finanszírozásáról, irányításáról és nyomon követéséről szóló európai parlamenti és tanácsi rendeletre irányuló bizottsági javaslat] 32. cikkében meghatározott kötelezettségvállalás-visszavonási szabályok alkalmazandók az e cikk (1) bekezdésében említett kiegészítő forrásokon alapuló költségvetési kötelezettségvállalásokra.</w:t>
      </w:r>
    </w:p>
    <w:p>
      <w:pPr>
        <w:pStyle w:val="Point1"/>
        <w:rPr>
          <w:noProof/>
        </w:rPr>
      </w:pPr>
      <w:r>
        <w:rPr>
          <w:noProof/>
        </w:rPr>
        <w:t>(4)</w:t>
      </w:r>
      <w:r>
        <w:rPr>
          <w:noProof/>
        </w:rPr>
        <w:tab/>
        <w:t>A 86. cikk nem alkalmazandó az e cikk (1) bekezdésben említett kiegészítő forrásokra.</w:t>
      </w:r>
    </w:p>
    <w:p>
      <w:pPr>
        <w:pStyle w:val="Point1"/>
        <w:rPr>
          <w:noProof/>
        </w:rPr>
      </w:pPr>
      <w:r>
        <w:rPr>
          <w:noProof/>
        </w:rPr>
        <w:t>(5)</w:t>
      </w:r>
      <w:r>
        <w:rPr>
          <w:noProof/>
        </w:rPr>
        <w:tab/>
        <w:t>Az (1) bekezdésben említett kiegészítő források teljes összegének legfeljebb 4 %-a a tagállamok kezdeményezésére technikai segítségnyújtásra különíthető el a tagállamok KAP-stratégiai tervéhez nyújtott EMVA-hozzájárulások keretében.</w:t>
      </w:r>
    </w:p>
    <w:p>
      <w:pPr>
        <w:pStyle w:val="Point1"/>
        <w:rPr>
          <w:rStyle w:val="conf-macro"/>
          <w:noProof/>
        </w:rPr>
      </w:pPr>
      <w:r>
        <w:rPr>
          <w:rStyle w:val="conf-macro"/>
          <w:noProof/>
        </w:rPr>
        <w:t>(6)</w:t>
      </w:r>
      <w:r>
        <w:rPr>
          <w:rStyle w:val="conf-macro"/>
          <w:noProof/>
        </w:rPr>
        <w:tab/>
      </w:r>
      <w:r>
        <w:rPr>
          <w:noProof/>
        </w:rPr>
        <w:t>Az (1) bekezdésben említett</w:t>
      </w:r>
      <w:r>
        <w:rPr>
          <w:rStyle w:val="conf-macro"/>
          <w:noProof/>
        </w:rPr>
        <w:t xml:space="preserve"> kiegészítő forrásokat</w:t>
      </w:r>
      <w:r>
        <w:rPr>
          <w:noProof/>
        </w:rPr>
        <w:t xml:space="preserve"> </w:t>
      </w:r>
      <w:r>
        <w:rPr>
          <w:rStyle w:val="conf-macro"/>
          <w:noProof/>
        </w:rPr>
        <w:t>a 6. cikkben meghatározott konkrét célkitűzéseket kiegészítő új konkrét célkitűzés keretében kell felhasználni a gazdaság helyreállítását előkészítő műveletek támogatására</w:t>
      </w:r>
      <w:r>
        <w:rPr>
          <w:noProof/>
        </w:rPr>
        <w:t>.”</w:t>
      </w:r>
    </w:p>
    <w:p>
      <w:pPr>
        <w:rPr>
          <w:noProof/>
        </w:rPr>
      </w:pPr>
    </w:p>
    <w:p>
      <w:pPr>
        <w:rPr>
          <w:noProof/>
        </w:rPr>
      </w:pPr>
    </w:p>
    <w:p>
      <w:pPr>
        <w:rPr>
          <w:noProof/>
        </w:rPr>
        <w:sectPr>
          <w:pgSz w:w="11907" w:h="16840" w:code="9"/>
          <w:pgMar w:top="1134" w:right="1418" w:bottom="1134" w:left="1418" w:header="709" w:footer="709" w:gutter="0"/>
          <w:cols w:space="708"/>
          <w:docGrid w:linePitch="360"/>
        </w:sectPr>
      </w:pPr>
    </w:p>
    <w:p>
      <w:pPr>
        <w:jc w:val="center"/>
        <w:rPr>
          <w:b/>
          <w:noProof/>
          <w:u w:val="single"/>
        </w:rPr>
      </w:pPr>
      <w:r>
        <w:rPr>
          <w:b/>
          <w:noProof/>
          <w:u w:val="single"/>
        </w:rPr>
        <w:lastRenderedPageBreak/>
        <w:t>PÉNZÜGYI KIMUTATÁS</w:t>
      </w:r>
    </w:p>
    <w:p>
      <w:pPr>
        <w:keepNext/>
        <w:tabs>
          <w:tab w:val="left" w:pos="850"/>
        </w:tabs>
        <w:spacing w:before="360"/>
        <w:ind w:left="850" w:hanging="850"/>
        <w:outlineLvl w:val="0"/>
        <w:rPr>
          <w:b/>
          <w:smallCaps/>
          <w:noProof/>
        </w:rPr>
      </w:pPr>
      <w:r>
        <w:rPr>
          <w:b/>
          <w:smallCaps/>
          <w:noProof/>
        </w:rPr>
        <w:t>1.</w:t>
      </w:r>
      <w:r>
        <w:rPr>
          <w:noProof/>
        </w:rPr>
        <w:tab/>
      </w:r>
      <w:r>
        <w:rPr>
          <w:b/>
          <w:smallCaps/>
          <w:noProof/>
        </w:rPr>
        <w:t xml:space="preserve">A JAVASLAT/KEZDEMÉNYEZÉS FŐBB ADATAI </w:t>
      </w:r>
    </w:p>
    <w:p>
      <w:pPr>
        <w:keepNext/>
        <w:tabs>
          <w:tab w:val="left" w:pos="850"/>
        </w:tabs>
        <w:ind w:left="850" w:hanging="850"/>
        <w:outlineLvl w:val="1"/>
        <w:rPr>
          <w:noProof/>
        </w:rPr>
      </w:pPr>
      <w:r>
        <w:rPr>
          <w:noProof/>
        </w:rPr>
        <w:tab/>
        <w:t>1.1.</w:t>
      </w:r>
      <w:r>
        <w:rPr>
          <w:noProof/>
        </w:rPr>
        <w:tab/>
        <w:t xml:space="preserve">A javaslat/kezdeményezés címe </w:t>
      </w:r>
    </w:p>
    <w:p>
      <w:pPr>
        <w:keepNext/>
        <w:tabs>
          <w:tab w:val="left" w:pos="850"/>
        </w:tabs>
        <w:ind w:left="850" w:hanging="850"/>
        <w:outlineLvl w:val="1"/>
        <w:rPr>
          <w:noProof/>
        </w:rPr>
      </w:pPr>
      <w:r>
        <w:rPr>
          <w:noProof/>
        </w:rPr>
        <w:tab/>
        <w:t>1.2.</w:t>
      </w:r>
      <w:r>
        <w:rPr>
          <w:noProof/>
        </w:rPr>
        <w:tab/>
        <w:t>A tevékenységalapú irányítás/tevékenységalapú költségvetés-tervezés keretébe tartozó érintett szakpolitikai terület(ek)</w:t>
      </w:r>
    </w:p>
    <w:p>
      <w:pPr>
        <w:keepNext/>
        <w:tabs>
          <w:tab w:val="left" w:pos="850"/>
        </w:tabs>
        <w:ind w:left="850" w:hanging="850"/>
        <w:outlineLvl w:val="1"/>
        <w:rPr>
          <w:noProof/>
        </w:rPr>
      </w:pPr>
      <w:r>
        <w:rPr>
          <w:noProof/>
        </w:rPr>
        <w:tab/>
        <w:t>1.3.</w:t>
      </w:r>
      <w:r>
        <w:rPr>
          <w:noProof/>
        </w:rPr>
        <w:tab/>
        <w:t xml:space="preserve">A javaslat/kezdeményezés típusa </w:t>
      </w:r>
    </w:p>
    <w:p>
      <w:pPr>
        <w:keepNext/>
        <w:tabs>
          <w:tab w:val="left" w:pos="850"/>
        </w:tabs>
        <w:ind w:left="850" w:hanging="850"/>
        <w:outlineLvl w:val="1"/>
        <w:rPr>
          <w:noProof/>
        </w:rPr>
      </w:pPr>
      <w:r>
        <w:rPr>
          <w:noProof/>
        </w:rPr>
        <w:tab/>
        <w:t>1.4.</w:t>
      </w:r>
      <w:r>
        <w:rPr>
          <w:noProof/>
        </w:rPr>
        <w:tab/>
        <w:t xml:space="preserve">Célkitűzés(ek) </w:t>
      </w:r>
    </w:p>
    <w:p>
      <w:pPr>
        <w:keepNext/>
        <w:tabs>
          <w:tab w:val="left" w:pos="850"/>
        </w:tabs>
        <w:ind w:left="850" w:hanging="850"/>
        <w:outlineLvl w:val="1"/>
        <w:rPr>
          <w:noProof/>
        </w:rPr>
      </w:pPr>
      <w:r>
        <w:rPr>
          <w:noProof/>
        </w:rPr>
        <w:tab/>
        <w:t>1.5.</w:t>
      </w:r>
      <w:r>
        <w:rPr>
          <w:noProof/>
        </w:rPr>
        <w:tab/>
        <w:t xml:space="preserve">A javaslat/kezdeményezés indoklása </w:t>
      </w:r>
    </w:p>
    <w:p>
      <w:pPr>
        <w:keepNext/>
        <w:tabs>
          <w:tab w:val="left" w:pos="850"/>
        </w:tabs>
        <w:ind w:left="850" w:hanging="850"/>
        <w:outlineLvl w:val="1"/>
        <w:rPr>
          <w:noProof/>
        </w:rPr>
      </w:pPr>
      <w:r>
        <w:rPr>
          <w:noProof/>
        </w:rPr>
        <w:tab/>
        <w:t>1.6.</w:t>
      </w:r>
      <w:r>
        <w:rPr>
          <w:noProof/>
        </w:rPr>
        <w:tab/>
        <w:t xml:space="preserve">Időtartam és pénzügyi hatás </w:t>
      </w:r>
    </w:p>
    <w:p>
      <w:pPr>
        <w:keepNext/>
        <w:tabs>
          <w:tab w:val="left" w:pos="850"/>
        </w:tabs>
        <w:ind w:left="850" w:hanging="850"/>
        <w:outlineLvl w:val="1"/>
        <w:rPr>
          <w:noProof/>
        </w:rPr>
      </w:pPr>
      <w:r>
        <w:rPr>
          <w:noProof/>
        </w:rPr>
        <w:tab/>
        <w:t>1.7.</w:t>
      </w:r>
      <w:r>
        <w:rPr>
          <w:noProof/>
        </w:rPr>
        <w:tab/>
        <w:t xml:space="preserve">Tervezett irányítási módszer(ek) </w:t>
      </w:r>
    </w:p>
    <w:p>
      <w:pPr>
        <w:keepNext/>
        <w:tabs>
          <w:tab w:val="left" w:pos="850"/>
        </w:tabs>
        <w:spacing w:before="360"/>
        <w:ind w:left="850" w:hanging="850"/>
        <w:outlineLvl w:val="0"/>
        <w:rPr>
          <w:b/>
          <w:smallCaps/>
          <w:noProof/>
        </w:rPr>
      </w:pPr>
      <w:r>
        <w:rPr>
          <w:b/>
          <w:smallCaps/>
          <w:noProof/>
        </w:rPr>
        <w:t>2.</w:t>
      </w:r>
      <w:r>
        <w:rPr>
          <w:noProof/>
        </w:rPr>
        <w:tab/>
      </w:r>
      <w:r>
        <w:rPr>
          <w:b/>
          <w:smallCaps/>
          <w:noProof/>
        </w:rPr>
        <w:t xml:space="preserve">IRÁNYÍTÁSI INTÉZKEDÉSEK </w:t>
      </w:r>
    </w:p>
    <w:p>
      <w:pPr>
        <w:keepNext/>
        <w:tabs>
          <w:tab w:val="left" w:pos="850"/>
        </w:tabs>
        <w:ind w:left="850" w:hanging="850"/>
        <w:outlineLvl w:val="1"/>
        <w:rPr>
          <w:noProof/>
        </w:rPr>
      </w:pPr>
      <w:r>
        <w:rPr>
          <w:noProof/>
        </w:rPr>
        <w:tab/>
        <w:t>2.1.</w:t>
      </w:r>
      <w:r>
        <w:rPr>
          <w:noProof/>
        </w:rPr>
        <w:tab/>
        <w:t xml:space="preserve">A nyomon követésre és a jelentéstételre vonatkozó rendelkezések </w:t>
      </w:r>
    </w:p>
    <w:p>
      <w:pPr>
        <w:keepNext/>
        <w:tabs>
          <w:tab w:val="left" w:pos="850"/>
        </w:tabs>
        <w:ind w:left="850" w:hanging="850"/>
        <w:outlineLvl w:val="1"/>
        <w:rPr>
          <w:noProof/>
        </w:rPr>
      </w:pPr>
      <w:r>
        <w:rPr>
          <w:noProof/>
        </w:rPr>
        <w:tab/>
        <w:t>2.2.</w:t>
      </w:r>
      <w:r>
        <w:rPr>
          <w:noProof/>
        </w:rPr>
        <w:tab/>
        <w:t xml:space="preserve">Irányítási és kontrollrendszer </w:t>
      </w:r>
    </w:p>
    <w:p>
      <w:pPr>
        <w:keepNext/>
        <w:tabs>
          <w:tab w:val="left" w:pos="850"/>
        </w:tabs>
        <w:ind w:left="850" w:hanging="850"/>
        <w:outlineLvl w:val="1"/>
        <w:rPr>
          <w:noProof/>
        </w:rPr>
      </w:pPr>
      <w:r>
        <w:rPr>
          <w:noProof/>
        </w:rPr>
        <w:tab/>
        <w:t>2.3.</w:t>
      </w:r>
      <w:r>
        <w:rPr>
          <w:noProof/>
        </w:rPr>
        <w:tab/>
        <w:t xml:space="preserve">A csalások és a szabálytalanságok megelőzésére vonatkozó intézkedések </w:t>
      </w:r>
    </w:p>
    <w:p>
      <w:pPr>
        <w:keepNext/>
        <w:tabs>
          <w:tab w:val="left" w:pos="850"/>
        </w:tabs>
        <w:spacing w:before="360"/>
        <w:ind w:left="850" w:hanging="850"/>
        <w:outlineLvl w:val="0"/>
        <w:rPr>
          <w:b/>
          <w:smallCaps/>
          <w:noProof/>
        </w:rPr>
      </w:pPr>
      <w:r>
        <w:rPr>
          <w:b/>
          <w:smallCaps/>
          <w:noProof/>
        </w:rPr>
        <w:t>3.</w:t>
      </w:r>
      <w:r>
        <w:rPr>
          <w:noProof/>
        </w:rPr>
        <w:tab/>
      </w:r>
      <w:r>
        <w:rPr>
          <w:b/>
          <w:smallCaps/>
          <w:noProof/>
        </w:rPr>
        <w:t xml:space="preserve">A JAVASLAT/KEZDEMÉNYEZÉS BECSÜLT PÉNZÜGYI HATÁSA </w:t>
      </w:r>
    </w:p>
    <w:p>
      <w:pPr>
        <w:keepNext/>
        <w:tabs>
          <w:tab w:val="left" w:pos="850"/>
        </w:tabs>
        <w:ind w:left="850" w:hanging="850"/>
        <w:outlineLvl w:val="1"/>
        <w:rPr>
          <w:noProof/>
        </w:rPr>
      </w:pPr>
      <w:r>
        <w:rPr>
          <w:noProof/>
        </w:rPr>
        <w:tab/>
        <w:t>3.1.</w:t>
      </w:r>
      <w:r>
        <w:rPr>
          <w:noProof/>
        </w:rPr>
        <w:tab/>
        <w:t xml:space="preserve">A többéves pénzügyi keret érintett fejezete/fejezetei és a költségvetés érintett kiadási sora/sorai </w:t>
      </w:r>
    </w:p>
    <w:p>
      <w:pPr>
        <w:keepNext/>
        <w:tabs>
          <w:tab w:val="left" w:pos="850"/>
        </w:tabs>
        <w:ind w:left="850" w:hanging="850"/>
        <w:outlineLvl w:val="1"/>
        <w:rPr>
          <w:b/>
          <w:noProof/>
        </w:rPr>
      </w:pPr>
      <w:r>
        <w:rPr>
          <w:noProof/>
        </w:rPr>
        <w:tab/>
        <w:t>3.2.</w:t>
      </w:r>
      <w:r>
        <w:rPr>
          <w:noProof/>
        </w:rPr>
        <w:tab/>
        <w:t>A kiadásra gyakorolt becsült hatás</w:t>
      </w:r>
      <w:r>
        <w:rPr>
          <w:b/>
          <w:noProof/>
        </w:rPr>
        <w:t xml:space="preserve"> </w:t>
      </w:r>
    </w:p>
    <w:p>
      <w:pPr>
        <w:keepNext/>
        <w:tabs>
          <w:tab w:val="left" w:pos="850"/>
        </w:tabs>
        <w:ind w:left="850" w:hanging="850"/>
        <w:outlineLvl w:val="2"/>
        <w:rPr>
          <w:i/>
          <w:noProof/>
        </w:rPr>
      </w:pPr>
      <w:r>
        <w:rPr>
          <w:noProof/>
        </w:rPr>
        <w:tab/>
      </w:r>
      <w:r>
        <w:rPr>
          <w:i/>
          <w:noProof/>
        </w:rPr>
        <w:t>3.2.1.</w:t>
      </w:r>
      <w:r>
        <w:rPr>
          <w:noProof/>
        </w:rPr>
        <w:tab/>
      </w:r>
      <w:r>
        <w:rPr>
          <w:i/>
          <w:noProof/>
        </w:rPr>
        <w:t xml:space="preserve">A kiadásra gyakorolt becsült hatás összefoglalása </w:t>
      </w:r>
    </w:p>
    <w:p>
      <w:pPr>
        <w:keepNext/>
        <w:tabs>
          <w:tab w:val="left" w:pos="850"/>
        </w:tabs>
        <w:ind w:left="850" w:hanging="850"/>
        <w:outlineLvl w:val="2"/>
        <w:rPr>
          <w:i/>
          <w:noProof/>
        </w:rPr>
      </w:pPr>
      <w:r>
        <w:rPr>
          <w:noProof/>
        </w:rPr>
        <w:tab/>
      </w:r>
      <w:r>
        <w:rPr>
          <w:i/>
          <w:noProof/>
        </w:rPr>
        <w:t>3.2.2.</w:t>
      </w:r>
      <w:r>
        <w:rPr>
          <w:noProof/>
        </w:rPr>
        <w:tab/>
      </w:r>
      <w:r>
        <w:rPr>
          <w:i/>
          <w:noProof/>
        </w:rPr>
        <w:t xml:space="preserve">Az operatív előirányzatokra gyakorolt becsült hatás </w:t>
      </w:r>
    </w:p>
    <w:p>
      <w:pPr>
        <w:keepNext/>
        <w:tabs>
          <w:tab w:val="left" w:pos="850"/>
        </w:tabs>
        <w:ind w:left="850" w:hanging="850"/>
        <w:outlineLvl w:val="2"/>
        <w:rPr>
          <w:i/>
          <w:noProof/>
        </w:rPr>
      </w:pPr>
      <w:r>
        <w:rPr>
          <w:noProof/>
        </w:rPr>
        <w:tab/>
      </w:r>
      <w:r>
        <w:rPr>
          <w:i/>
          <w:noProof/>
        </w:rPr>
        <w:t>3.2.3.</w:t>
      </w:r>
      <w:r>
        <w:rPr>
          <w:noProof/>
        </w:rPr>
        <w:tab/>
      </w:r>
      <w:r>
        <w:rPr>
          <w:i/>
          <w:noProof/>
        </w:rPr>
        <w:t>Az igazgatási előirányzatokra gyakorolt becsült hatás</w:t>
      </w:r>
    </w:p>
    <w:p>
      <w:pPr>
        <w:keepNext/>
        <w:tabs>
          <w:tab w:val="left" w:pos="850"/>
        </w:tabs>
        <w:ind w:left="850" w:hanging="850"/>
        <w:outlineLvl w:val="2"/>
        <w:rPr>
          <w:i/>
          <w:noProof/>
        </w:rPr>
      </w:pPr>
      <w:r>
        <w:rPr>
          <w:noProof/>
        </w:rPr>
        <w:tab/>
      </w:r>
      <w:r>
        <w:rPr>
          <w:i/>
          <w:noProof/>
        </w:rPr>
        <w:t>3.2.4.</w:t>
      </w:r>
      <w:r>
        <w:rPr>
          <w:noProof/>
        </w:rPr>
        <w:tab/>
      </w:r>
      <w:r>
        <w:rPr>
          <w:i/>
          <w:noProof/>
        </w:rPr>
        <w:t>A jelenlegi többéves pénzügyi kerettel való összeegyeztethetőség</w:t>
      </w:r>
    </w:p>
    <w:p>
      <w:pPr>
        <w:keepNext/>
        <w:tabs>
          <w:tab w:val="left" w:pos="850"/>
        </w:tabs>
        <w:ind w:left="850" w:hanging="850"/>
        <w:outlineLvl w:val="2"/>
        <w:rPr>
          <w:i/>
          <w:noProof/>
        </w:rPr>
      </w:pPr>
      <w:r>
        <w:rPr>
          <w:noProof/>
        </w:rPr>
        <w:tab/>
      </w:r>
      <w:r>
        <w:rPr>
          <w:i/>
          <w:noProof/>
        </w:rPr>
        <w:t>3.2.5.</w:t>
      </w:r>
      <w:r>
        <w:rPr>
          <w:noProof/>
        </w:rPr>
        <w:tab/>
      </w:r>
      <w:r>
        <w:rPr>
          <w:i/>
          <w:noProof/>
        </w:rPr>
        <w:t xml:space="preserve">Harmadik felek részvétele a finanszírozásban </w:t>
      </w:r>
    </w:p>
    <w:p>
      <w:pPr>
        <w:rPr>
          <w:noProof/>
        </w:rPr>
      </w:pPr>
      <w:r>
        <w:rPr>
          <w:noProof/>
        </w:rPr>
        <w:tab/>
        <w:t>3.3.</w:t>
      </w:r>
      <w:r>
        <w:rPr>
          <w:noProof/>
        </w:rPr>
        <w:tab/>
        <w:t>A bevételre gyakorolt becsült hatás</w:t>
      </w:r>
    </w:p>
    <w:p>
      <w:pPr>
        <w:spacing w:before="0" w:after="200" w:line="276" w:lineRule="auto"/>
        <w:jc w:val="left"/>
        <w:rPr>
          <w:noProof/>
        </w:rPr>
      </w:pPr>
      <w:r>
        <w:rPr>
          <w:noProof/>
        </w:rPr>
        <w:br w:type="page"/>
      </w:r>
    </w:p>
    <w:p>
      <w:pPr>
        <w:jc w:val="center"/>
        <w:rPr>
          <w:b/>
          <w:noProof/>
          <w:u w:val="single"/>
        </w:rPr>
      </w:pPr>
      <w:r>
        <w:rPr>
          <w:b/>
          <w:noProof/>
          <w:u w:val="single"/>
        </w:rPr>
        <w:lastRenderedPageBreak/>
        <w:t>PÉNZÜGYI KIMUTATÁS</w:t>
      </w:r>
    </w:p>
    <w:p>
      <w:pPr>
        <w:keepNext/>
        <w:spacing w:before="360"/>
        <w:outlineLvl w:val="0"/>
        <w:rPr>
          <w:rFonts w:eastAsiaTheme="majorEastAsia"/>
          <w:b/>
          <w:bCs/>
          <w:smallCaps/>
          <w:noProof/>
          <w:szCs w:val="28"/>
        </w:rPr>
      </w:pPr>
      <w:bookmarkStart w:id="1" w:name="_Toc514941971"/>
      <w:bookmarkStart w:id="2" w:name="_Toc40376060"/>
      <w:r>
        <w:rPr>
          <w:b/>
          <w:bCs/>
          <w:smallCaps/>
          <w:noProof/>
          <w:szCs w:val="28"/>
        </w:rPr>
        <w:t>A JAVASLAT/KEZDEMÉNYEZÉS FŐBB ADATAI</w:t>
      </w:r>
      <w:bookmarkEnd w:id="1"/>
      <w:bookmarkEnd w:id="2"/>
      <w:r>
        <w:rPr>
          <w:b/>
          <w:bCs/>
          <w:smallCaps/>
          <w:noProof/>
          <w:szCs w:val="28"/>
        </w:rPr>
        <w:t xml:space="preserve"> </w:t>
      </w:r>
    </w:p>
    <w:p>
      <w:pPr>
        <w:keepNext/>
        <w:outlineLvl w:val="1"/>
        <w:rPr>
          <w:rFonts w:eastAsiaTheme="majorEastAsia"/>
          <w:b/>
          <w:bCs/>
          <w:noProof/>
          <w:szCs w:val="26"/>
        </w:rPr>
      </w:pPr>
      <w:bookmarkStart w:id="3" w:name="_Toc514941972"/>
      <w:bookmarkStart w:id="4" w:name="_Toc40376061"/>
      <w:r>
        <w:rPr>
          <w:b/>
          <w:bCs/>
          <w:noProof/>
          <w:szCs w:val="26"/>
        </w:rPr>
        <w:t>A javaslat/kezdeményezés címe</w:t>
      </w:r>
      <w:bookmarkEnd w:id="3"/>
      <w:bookmarkEnd w:id="4"/>
      <w:r>
        <w:rPr>
          <w:b/>
          <w:bCs/>
          <w:noProof/>
          <w:szCs w:val="26"/>
        </w:rPr>
        <w:t xml:space="preserve"> </w:t>
      </w:r>
    </w:p>
    <w:p>
      <w:pPr>
        <w:ind w:left="850"/>
        <w:rPr>
          <w:noProof/>
        </w:rPr>
      </w:pPr>
      <w:bookmarkStart w:id="5" w:name="_Toc514941973"/>
      <w:r>
        <w:rPr>
          <w:noProof/>
        </w:rPr>
        <w:t>Módosított javaslat – AZ EURÓPAI PARLAMENT ÉS A TANÁCS RENDELETE a Horizont Európa kutatási és innovációs keretprogram létrehozásáról, valamint részvételi és terjesztési szabályainak megállapításáról (COM(2018) 435); – AZ EURÓPAI PARLAMENT ÉS A TANÁCS HATÁROZATA a Horizont Európa kutatási és innovációs keretprogram végrehajtását szolgáló egyedi program létrehozásáról (COM(2018) 436); – AZ EURÓPAI PARLAMENT ÉS A TANÁCS RENDELETE a közös agrárpolitika keretében a tagállamok által elkészítendő stratégiai tervhez (KAP-stratégiai terv) nyújtott támogatásra vonatkozó szabályok megállapításáról (COM(2018) 392); – AZ EURÓPAI PARLAMENT ÉS A TANÁCS RENDELETE a Szomszédsági, Fejlesztési és Nemzetközi Együttműködési Eszköz létrehozásáról</w:t>
      </w:r>
    </w:p>
    <w:p>
      <w:pPr>
        <w:keepNext/>
        <w:outlineLvl w:val="1"/>
        <w:rPr>
          <w:rFonts w:eastAsiaTheme="majorEastAsia"/>
          <w:b/>
          <w:bCs/>
          <w:noProof/>
          <w:szCs w:val="26"/>
        </w:rPr>
      </w:pPr>
      <w:bookmarkStart w:id="6" w:name="_Toc40374709"/>
      <w:bookmarkStart w:id="7" w:name="_Toc40376062"/>
      <w:bookmarkEnd w:id="6"/>
      <w:r>
        <w:rPr>
          <w:b/>
          <w:bCs/>
          <w:noProof/>
          <w:szCs w:val="26"/>
        </w:rPr>
        <w:t>Az érintett szakpolitikai terület(ek) (Programklaszter)</w:t>
      </w:r>
      <w:bookmarkEnd w:id="5"/>
      <w:bookmarkEnd w:id="7"/>
    </w:p>
    <w:p>
      <w:pPr>
        <w:pBdr>
          <w:top w:val="single" w:sz="4" w:space="1" w:color="auto"/>
          <w:left w:val="single" w:sz="4" w:space="4" w:color="auto"/>
          <w:bottom w:val="single" w:sz="4" w:space="1" w:color="auto"/>
          <w:right w:val="single" w:sz="4" w:space="4" w:color="auto"/>
        </w:pBdr>
        <w:ind w:left="850"/>
        <w:rPr>
          <w:noProof/>
        </w:rPr>
      </w:pPr>
      <w:bookmarkStart w:id="8" w:name="_Toc514941974"/>
      <w:r>
        <w:rPr>
          <w:noProof/>
        </w:rPr>
        <w:t>01. Kutatás és innováció</w:t>
      </w:r>
    </w:p>
    <w:p>
      <w:pPr>
        <w:pBdr>
          <w:top w:val="single" w:sz="4" w:space="1" w:color="auto"/>
          <w:left w:val="single" w:sz="4" w:space="4" w:color="auto"/>
          <w:bottom w:val="single" w:sz="4" w:space="1" w:color="auto"/>
          <w:right w:val="single" w:sz="4" w:space="4" w:color="auto"/>
        </w:pBdr>
        <w:ind w:left="850"/>
        <w:rPr>
          <w:noProof/>
        </w:rPr>
      </w:pPr>
      <w:r>
        <w:rPr>
          <w:noProof/>
        </w:rPr>
        <w:t>15. Külső tevékenység</w:t>
      </w:r>
    </w:p>
    <w:p>
      <w:pPr>
        <w:pBdr>
          <w:top w:val="single" w:sz="4" w:space="1" w:color="auto"/>
          <w:left w:val="single" w:sz="4" w:space="4" w:color="auto"/>
          <w:bottom w:val="single" w:sz="4" w:space="1" w:color="auto"/>
          <w:right w:val="single" w:sz="4" w:space="4" w:color="auto"/>
        </w:pBdr>
        <w:ind w:left="850"/>
        <w:rPr>
          <w:noProof/>
        </w:rPr>
      </w:pPr>
      <w:r>
        <w:rPr>
          <w:noProof/>
        </w:rPr>
        <w:t xml:space="preserve">08. Mezőgazdasági és tengerpolitika </w:t>
      </w:r>
    </w:p>
    <w:p>
      <w:pPr>
        <w:keepNext/>
        <w:outlineLvl w:val="1"/>
        <w:rPr>
          <w:rFonts w:eastAsiaTheme="majorEastAsia"/>
          <w:b/>
          <w:noProof/>
          <w:szCs w:val="24"/>
        </w:rPr>
      </w:pPr>
      <w:bookmarkStart w:id="9" w:name="_Toc40374711"/>
      <w:bookmarkStart w:id="10" w:name="_Toc40376063"/>
      <w:bookmarkEnd w:id="9"/>
      <w:r>
        <w:rPr>
          <w:b/>
          <w:bCs/>
          <w:noProof/>
          <w:szCs w:val="26"/>
        </w:rPr>
        <w:t>A javaslat/kezdeményezés a következőre irányul:</w:t>
      </w:r>
      <w:bookmarkEnd w:id="8"/>
      <w:bookmarkEnd w:id="10"/>
      <w:r>
        <w:rPr>
          <w:b/>
          <w:bCs/>
          <w:noProof/>
          <w:szCs w:val="26"/>
        </w:rPr>
        <w:t xml:space="preserve"> </w:t>
      </w:r>
    </w:p>
    <w:p>
      <w:pPr>
        <w:ind w:left="850"/>
        <w:rPr>
          <w:b/>
          <w:noProof/>
          <w:sz w:val="22"/>
        </w:rPr>
      </w:pPr>
      <w:r>
        <w:rPr>
          <w:noProof/>
          <w:sz w:val="22"/>
        </w:rPr>
        <w:sym w:font="Wingdings" w:char="F0A8"/>
      </w:r>
      <w:r>
        <w:rPr>
          <w:b/>
          <w:i/>
          <w:noProof/>
          <w:sz w:val="22"/>
        </w:rPr>
        <w:t xml:space="preserve"> </w:t>
      </w:r>
      <w:r>
        <w:rPr>
          <w:b/>
          <w:noProof/>
        </w:rPr>
        <w:t>új intézkedés</w:t>
      </w:r>
      <w:r>
        <w:rPr>
          <w:b/>
          <w:noProof/>
          <w:sz w:val="22"/>
        </w:rPr>
        <w:t xml:space="preserve"> </w:t>
      </w:r>
    </w:p>
    <w:p>
      <w:pPr>
        <w:ind w:left="850"/>
        <w:rPr>
          <w:noProof/>
          <w:sz w:val="22"/>
        </w:rPr>
      </w:pPr>
      <w:r>
        <w:rPr>
          <w:noProof/>
          <w:sz w:val="22"/>
        </w:rPr>
        <w:sym w:font="Wingdings" w:char="F0A8"/>
      </w:r>
      <w:r>
        <w:rPr>
          <w:i/>
          <w:noProof/>
          <w:sz w:val="22"/>
        </w:rPr>
        <w:t xml:space="preserve"> </w:t>
      </w:r>
      <w:r>
        <w:rPr>
          <w:b/>
          <w:noProof/>
        </w:rPr>
        <w:t>kísérleti projektet/előkészítő intézkedést követő új intézkedés</w:t>
      </w:r>
      <w:r>
        <w:rPr>
          <w:rStyle w:val="FootnoteReference"/>
          <w:noProof/>
        </w:rPr>
        <w:footnoteReference w:id="3"/>
      </w:r>
      <w:r>
        <w:rPr>
          <w:noProof/>
          <w:sz w:val="22"/>
        </w:rPr>
        <w:t xml:space="preserve"> </w:t>
      </w:r>
    </w:p>
    <w:p>
      <w:pPr>
        <w:ind w:left="850"/>
        <w:rPr>
          <w:noProof/>
          <w:sz w:val="22"/>
        </w:rPr>
      </w:pPr>
      <w:r>
        <w:rPr>
          <w:noProof/>
          <w:sz w:val="22"/>
        </w:rPr>
        <w:sym w:font="Wingdings" w:char="F0A8"/>
      </w:r>
      <w:r>
        <w:rPr>
          <w:i/>
          <w:noProof/>
          <w:sz w:val="22"/>
        </w:rPr>
        <w:t xml:space="preserve"> </w:t>
      </w:r>
      <w:r>
        <w:rPr>
          <w:b/>
          <w:noProof/>
        </w:rPr>
        <w:t>jelenlegi intézkedés meghosszabbítása</w:t>
      </w:r>
      <w:r>
        <w:rPr>
          <w:noProof/>
          <w:sz w:val="22"/>
        </w:rPr>
        <w:t xml:space="preserve"> </w:t>
      </w:r>
    </w:p>
    <w:p>
      <w:pPr>
        <w:ind w:left="850"/>
        <w:rPr>
          <w:noProof/>
        </w:rPr>
      </w:pPr>
      <w:r>
        <w:rPr>
          <w:noProof/>
          <w:sz w:val="22"/>
        </w:rPr>
        <w:t>X</w:t>
      </w:r>
      <w:r>
        <w:rPr>
          <w:i/>
          <w:noProof/>
          <w:sz w:val="22"/>
        </w:rPr>
        <w:t xml:space="preserve"> </w:t>
      </w:r>
      <w:r>
        <w:rPr>
          <w:b/>
          <w:noProof/>
        </w:rPr>
        <w:t>egy vagy több intézkedés összevonása vagy átalakítása egy másik/új intézkedéssé</w:t>
      </w:r>
      <w:r>
        <w:rPr>
          <w:noProof/>
        </w:rPr>
        <w:t xml:space="preserve"> </w:t>
      </w:r>
    </w:p>
    <w:p>
      <w:pPr>
        <w:keepNext/>
        <w:outlineLvl w:val="1"/>
        <w:rPr>
          <w:rFonts w:eastAsiaTheme="majorEastAsia"/>
          <w:b/>
          <w:noProof/>
          <w:szCs w:val="24"/>
        </w:rPr>
      </w:pPr>
      <w:bookmarkStart w:id="11" w:name="_Toc514941975"/>
      <w:bookmarkStart w:id="12" w:name="_Toc40376064"/>
      <w:r>
        <w:rPr>
          <w:b/>
          <w:bCs/>
          <w:noProof/>
          <w:szCs w:val="26"/>
        </w:rPr>
        <w:t>A javaslat/kezdeményezés indoklása</w:t>
      </w:r>
      <w:bookmarkEnd w:id="11"/>
      <w:bookmarkEnd w:id="12"/>
      <w:r>
        <w:rPr>
          <w:b/>
          <w:bCs/>
          <w:noProof/>
          <w:szCs w:val="26"/>
        </w:rPr>
        <w:t xml:space="preserve"> </w:t>
      </w:r>
    </w:p>
    <w:p>
      <w:pPr>
        <w:keepNext/>
        <w:outlineLvl w:val="2"/>
        <w:rPr>
          <w:rFonts w:eastAsiaTheme="majorEastAsia"/>
          <w:bCs/>
          <w:i/>
          <w:noProof/>
        </w:rPr>
      </w:pPr>
      <w:bookmarkStart w:id="13" w:name="_Toc514941976"/>
      <w:bookmarkStart w:id="14" w:name="_Toc40376065"/>
      <w:r>
        <w:rPr>
          <w:bCs/>
          <w:i/>
          <w:noProof/>
        </w:rPr>
        <w:t>Rövid vagy hosszú távon kielégítendő szükséglet(ek) a kezdeményezés végrehajtásának részletes ütemtervével</w:t>
      </w:r>
      <w:bookmarkEnd w:id="13"/>
      <w:bookmarkEnd w:id="14"/>
    </w:p>
    <w:p>
      <w:pPr>
        <w:pBdr>
          <w:top w:val="single" w:sz="4" w:space="1" w:color="auto"/>
          <w:left w:val="single" w:sz="4" w:space="4" w:color="auto"/>
          <w:bottom w:val="single" w:sz="4" w:space="1" w:color="auto"/>
          <w:right w:val="single" w:sz="4" w:space="4" w:color="auto"/>
        </w:pBdr>
        <w:ind w:left="850"/>
        <w:rPr>
          <w:noProof/>
        </w:rPr>
      </w:pPr>
      <w:r>
        <w:rPr>
          <w:noProof/>
        </w:rPr>
        <w:t>Az Európai horizont kutatási és innovációs keretprogram és a kutatási és innovációs keretprogram végrehajtását szolgáló egyedi program, a Szomszédsági, Fejlesztési és Nemzetközi Együttműködési Eszköz (NDICI), valamint a KAP-stratégiai terv alá tartozó EMVA-beavatkozások ezen célzott módosításai javasoltak a többéves pénzügyi keretre vonatkozó felülvizsgált javaslat, többek között az Európai Uniós Helyreállítási Eszköz (EURI) keretében. Ez az új eszköz az említett programok számára a többéves pénzügyi keretben a kötelezettségvállalási és kifizetési előirányzatokra vonatkozóan meghatározott felső határokat meghaladó forrásokat biztosít egy korlátozott időszakban, a költségvetési rendelet 21. cikke értelmében vett külső címzett bevétel formájában.</w:t>
      </w:r>
    </w:p>
    <w:p>
      <w:pPr>
        <w:pBdr>
          <w:top w:val="single" w:sz="4" w:space="1" w:color="auto"/>
          <w:left w:val="single" w:sz="4" w:space="4" w:color="auto"/>
          <w:bottom w:val="single" w:sz="4" w:space="1" w:color="auto"/>
          <w:right w:val="single" w:sz="4" w:space="4" w:color="auto"/>
        </w:pBdr>
        <w:ind w:left="850"/>
        <w:rPr>
          <w:noProof/>
        </w:rPr>
      </w:pPr>
      <w:r>
        <w:rPr>
          <w:noProof/>
        </w:rPr>
        <w:t xml:space="preserve">Általános szabályként a pénzügyi támogatást és a Bizottság vonatkozó intézkedéseit az időszak elejére kell ütemezni, 2024 végéig, míg a nem visszafizetendő támogatás </w:t>
      </w:r>
      <w:r>
        <w:rPr>
          <w:noProof/>
        </w:rPr>
        <w:lastRenderedPageBreak/>
        <w:t>esetében a teljes összeg legalább 60 %-át 2022 végéig fel kell használni. A többéves pénzügyi kereten belüli, 2024 utáni éveket így az érintett tevékenységek helyszíni végrehajtásának előmozdítására, a vonatkozó gazdasági és szociális ágazatokban várt fellendülés elérésére, valamint a reziliencia és a konvergencia előmozdítására kell felhasználnia a Bizottságnak.</w:t>
      </w:r>
    </w:p>
    <w:p>
      <w:pPr>
        <w:ind w:left="850"/>
        <w:rPr>
          <w:noProof/>
        </w:rPr>
      </w:pPr>
    </w:p>
    <w:p>
      <w:pPr>
        <w:keepNext/>
        <w:outlineLvl w:val="2"/>
        <w:rPr>
          <w:rFonts w:eastAsiaTheme="majorEastAsia"/>
          <w:bCs/>
          <w:i/>
          <w:noProof/>
        </w:rPr>
      </w:pPr>
      <w:bookmarkStart w:id="15" w:name="_Toc514941977"/>
      <w:bookmarkStart w:id="16" w:name="_Toc40376066"/>
      <w:r>
        <w:rPr>
          <w:bCs/>
          <w:i/>
          <w:noProof/>
        </w:rPr>
        <w:t>Az Unió részvételéből származó hozzáadott érték (adódhat többek között a koordinációból eredő előnyökből, a jogbiztonságból, a fokozott hatékonyságból vagy a kiegészítő jellegből). E pontban „az Unió részvételéből származó hozzáadott érték” azt az uniós részvételből adódó értéket jelenti, amely többletként jelentkezik ahhoz az értékhez képest, amely a tagállamok egyedüli fellépése esetén jött volna létre.</w:t>
      </w:r>
      <w:bookmarkEnd w:id="15"/>
      <w:bookmarkEnd w:id="16"/>
    </w:p>
    <w:p>
      <w:pPr>
        <w:pBdr>
          <w:top w:val="single" w:sz="4" w:space="1" w:color="auto"/>
          <w:left w:val="single" w:sz="4" w:space="4" w:color="auto"/>
          <w:bottom w:val="single" w:sz="4" w:space="1" w:color="auto"/>
          <w:right w:val="single" w:sz="4" w:space="4" w:color="auto"/>
        </w:pBdr>
        <w:ind w:left="850"/>
        <w:rPr>
          <w:noProof/>
        </w:rPr>
      </w:pPr>
      <w:r>
        <w:rPr>
          <w:noProof/>
        </w:rPr>
        <w:t>1.</w:t>
      </w:r>
      <w:r>
        <w:rPr>
          <w:noProof/>
        </w:rPr>
        <w:tab/>
        <w:t>Az Egészségügyi Világszervezet által 2020. március 11-én világjárványnak nyilvánított koronavírus-betegség (Covid19) terjedésének megfékezése érdekében a tagállamok és a harmadik országok példa nélküli intézkedéseket vezettek be. Ezek az intézkedések jelentős zavart okoztak a gazdasági tevékenységek terén. Mindenekelőtt zavarokat idéztek elő az ellátási láncokban és a termelésben, továbbá munkahelyi hiányzásokkal jártak. Általában véve ezen intézkedések miatt számos uniós és harmadik országbeli vállalkozás esetében kellett már eddig is vagy kell a későbbiekben a pénzügyi helyzet súlyos romlásával számolni.</w:t>
      </w:r>
    </w:p>
    <w:p>
      <w:pPr>
        <w:pBdr>
          <w:top w:val="single" w:sz="4" w:space="1" w:color="auto"/>
          <w:left w:val="single" w:sz="4" w:space="4" w:color="auto"/>
          <w:bottom w:val="single" w:sz="4" w:space="1" w:color="auto"/>
          <w:right w:val="single" w:sz="4" w:space="4" w:color="auto"/>
        </w:pBdr>
        <w:ind w:left="850"/>
        <w:rPr>
          <w:noProof/>
        </w:rPr>
      </w:pPr>
      <w:r>
        <w:rPr>
          <w:noProof/>
        </w:rPr>
        <w:t>2.</w:t>
      </w:r>
      <w:r>
        <w:rPr>
          <w:noProof/>
        </w:rPr>
        <w:tab/>
        <w:t>A válság gyorsan terjedt az Unió területén és a harmadik országokban. Az Unióban a növekedés jelentős visszaesése várható 2020-ban, és a visszaesés 2021-ben is folytatódhat. Fennáll a kockázata annak, hogy a helyreállítás nagyon egyenlőtlen lesz a különböző tagállamokban, ami növeli a nemzetgazdaságok közötti különbségeket. A tagállamok arra vonatkozó eltérő költségvetési lehetőségei, hogy ott nyújtsanak pénzügyi támogatást, ahol arra a helyreállításhoz leginkább szükség van, valamint a nemzeti intézkedések terén mutatkozó eltérések veszélyeztetik az egységes piacot.</w:t>
      </w:r>
    </w:p>
    <w:p>
      <w:pPr>
        <w:pBdr>
          <w:top w:val="single" w:sz="4" w:space="1" w:color="auto"/>
          <w:left w:val="single" w:sz="4" w:space="4" w:color="auto"/>
          <w:bottom w:val="single" w:sz="4" w:space="1" w:color="auto"/>
          <w:right w:val="single" w:sz="4" w:space="4" w:color="auto"/>
        </w:pBdr>
        <w:ind w:left="850"/>
        <w:rPr>
          <w:noProof/>
        </w:rPr>
      </w:pPr>
      <w:r>
        <w:rPr>
          <w:noProof/>
        </w:rPr>
        <w:t>3.</w:t>
      </w:r>
      <w:r>
        <w:rPr>
          <w:noProof/>
        </w:rPr>
        <w:tab/>
        <w:t>Átfogó gazdaságélénkítési intézkedéscsomagra van szükség a gazdaság energizálása, minőségi munkahelyek teremtése és a Covid19-világjárvány által okozott közvetlen károk helyreállításába való beruházás érdekében.</w:t>
      </w:r>
    </w:p>
    <w:p>
      <w:pPr>
        <w:pBdr>
          <w:top w:val="single" w:sz="4" w:space="1" w:color="auto"/>
          <w:left w:val="single" w:sz="4" w:space="4" w:color="auto"/>
          <w:bottom w:val="single" w:sz="4" w:space="1" w:color="auto"/>
          <w:right w:val="single" w:sz="4" w:space="4" w:color="auto"/>
        </w:pBdr>
        <w:ind w:left="850"/>
        <w:rPr>
          <w:noProof/>
        </w:rPr>
      </w:pPr>
      <w:r>
        <w:rPr>
          <w:noProof/>
        </w:rPr>
        <w:t>4.</w:t>
      </w:r>
      <w:r>
        <w:rPr>
          <w:noProof/>
        </w:rPr>
        <w:tab/>
        <w:t>Ez a rendkívüli helyzet koherens és egységes megközelítést tesz szükségessé az Unió szintjén a gazdaság további romlásának megelőzése és a gazdasági tevékenység kiegyensúlyozott helyreállításának ösztönzése érdekében, biztosítva a folytonosságot és növelve a zöld és digitális átállásra irányuló beruházásokat. Ezzel összefüggésben ezért létre kell hozni egy uniós Helyreállítási Eszközt a Covid19-világjárvány következményeinek, illetőleg az újbóli megjelenésének elkerüléséhez szükséges azonnali finanszírozási szükségletek kezelésére.</w:t>
      </w:r>
    </w:p>
    <w:p>
      <w:pPr>
        <w:pBdr>
          <w:top w:val="single" w:sz="4" w:space="1" w:color="auto"/>
          <w:left w:val="single" w:sz="4" w:space="4" w:color="auto"/>
          <w:bottom w:val="single" w:sz="4" w:space="1" w:color="auto"/>
          <w:right w:val="single" w:sz="4" w:space="4" w:color="auto"/>
        </w:pBdr>
        <w:ind w:left="850"/>
        <w:rPr>
          <w:noProof/>
        </w:rPr>
      </w:pPr>
      <w:r>
        <w:rPr>
          <w:noProof/>
        </w:rPr>
        <w:t>5. E logikát követve az eszköznek az Európai horizont kutatási és innovációs keretprogramon keresztül meg kell erősítenie az egészségügyi és az éghajlattal kapcsolatos kutatási és innovációs tevékenységek támogatását. Ez hozzá fog járulni a szükséghelyzetekre adandó hatékony és gyors válaszadásra való felkészültség megerősítéséhez és a tudományos alapú megoldásokba való beruházáshoz, valamint az európai zöld megállapodás célkitűzéseivel való következetesség biztosításához.</w:t>
      </w:r>
    </w:p>
    <w:p>
      <w:pPr>
        <w:pBdr>
          <w:top w:val="single" w:sz="4" w:space="1" w:color="auto"/>
          <w:left w:val="single" w:sz="4" w:space="4" w:color="auto"/>
          <w:bottom w:val="single" w:sz="4" w:space="1" w:color="auto"/>
          <w:right w:val="single" w:sz="4" w:space="4" w:color="auto"/>
        </w:pBdr>
        <w:ind w:left="850"/>
        <w:rPr>
          <w:noProof/>
        </w:rPr>
      </w:pPr>
      <w:r>
        <w:rPr>
          <w:noProof/>
        </w:rPr>
        <w:t xml:space="preserve">6. Az Unió gazdasága szempontjából nagyon fontos a szomszédos és fejlődő országokkal – köztük a Nyugat-Balkánnal, a szomszédságpolitikai partnerországokkal és az afrikai országokkal folytatott kereskedelem, valamint az említett területekhez fűződő gazdasági kapcsolatok. Emiatt, továbbá az Unió globális </w:t>
      </w:r>
      <w:r>
        <w:rPr>
          <w:noProof/>
        </w:rPr>
        <w:lastRenderedPageBreak/>
        <w:t>szerepével és felelősségével, valamint értékeivel összhangban a Helyreállítási Eszközből az NDICI-n keresztül folyósított pénzeszközöket arra is kell használni, hogy támogassuk az említett országoknak a Covid19-világjárvány hatásainak leküzdése, valamint a helyreállítás érdekében tett erőfeszítéseit.</w:t>
      </w:r>
    </w:p>
    <w:p>
      <w:pPr>
        <w:pBdr>
          <w:top w:val="single" w:sz="4" w:space="1" w:color="auto"/>
          <w:left w:val="single" w:sz="4" w:space="4" w:color="auto"/>
          <w:bottom w:val="single" w:sz="4" w:space="1" w:color="auto"/>
          <w:right w:val="single" w:sz="4" w:space="4" w:color="auto"/>
        </w:pBdr>
        <w:ind w:left="850"/>
        <w:rPr>
          <w:noProof/>
        </w:rPr>
      </w:pPr>
      <w:r>
        <w:rPr>
          <w:noProof/>
        </w:rPr>
        <w:t>7. Az eszköznek meg kell erősítenie az Európai Mezőgazdasági Vidékfejlesztési Alap (EMVA) keretében nyújtott támogatást is, kivételes kiegészítő forrásokat bocsátva a tagállamok rendelkezésére ahhoz, hogy támogatást nyújthassanak az erősen érintett mezőgazdasági és élelmiszeripari ágazatnak, hogy előmozdítsák a Covid19-járvány következtében kialakult válság elhárítását és előkészítsék a gazdaság helyreállítását.</w:t>
      </w:r>
    </w:p>
    <w:p>
      <w:pPr>
        <w:ind w:left="720"/>
        <w:rPr>
          <w:noProof/>
        </w:rPr>
      </w:pPr>
    </w:p>
    <w:p>
      <w:pPr>
        <w:keepNext/>
        <w:outlineLvl w:val="2"/>
        <w:rPr>
          <w:rFonts w:eastAsiaTheme="majorEastAsia"/>
          <w:bCs/>
          <w:i/>
          <w:noProof/>
        </w:rPr>
      </w:pPr>
      <w:bookmarkStart w:id="17" w:name="_Toc514941978"/>
      <w:bookmarkStart w:id="18" w:name="_Toc40376067"/>
      <w:r>
        <w:rPr>
          <w:bCs/>
          <w:i/>
          <w:noProof/>
        </w:rPr>
        <w:t>Hasonló korábbi tapasztalatok tanulsága</w:t>
      </w:r>
      <w:bookmarkEnd w:id="17"/>
      <w:bookmarkEnd w:id="18"/>
    </w:p>
    <w:p>
      <w:pPr>
        <w:pBdr>
          <w:top w:val="single" w:sz="4" w:space="1" w:color="auto"/>
          <w:left w:val="single" w:sz="4" w:space="4" w:color="auto"/>
          <w:bottom w:val="single" w:sz="4" w:space="1" w:color="auto"/>
          <w:right w:val="single" w:sz="4" w:space="4" w:color="auto"/>
        </w:pBdr>
        <w:ind w:left="850"/>
        <w:rPr>
          <w:noProof/>
          <w:highlight w:val="yellow"/>
        </w:rPr>
      </w:pPr>
      <w:r>
        <w:rPr>
          <w:noProof/>
        </w:rPr>
        <w:t>Ami a külkapcsolatokat illeti, a külső finanszírozási eszközök félidős felülvizsgálati jelentése</w:t>
      </w:r>
      <w:r>
        <w:rPr>
          <w:rStyle w:val="FootnoteReference"/>
          <w:noProof/>
        </w:rPr>
        <w:footnoteReference w:id="4"/>
      </w:r>
      <w:r>
        <w:rPr>
          <w:noProof/>
        </w:rPr>
        <w:t xml:space="preserve"> megállapítja, hogy a válságokkal és konfliktusokkal jellemezhető jelenlegi környezetben az Unió többéves pénzügyi keretének képesnek kell lennie arra, hogy gyorsan igazodjon a változó prioritásokhoz és az előre nem látható eseményekhez, továbbá gyors helyszíni eredményeket érjen el. Ugyanígy az eszközöknek pénzügyi és más szempontokból is kellően rugalmasnak kell lenniük ahhoz, hogy külső tevékenységével az EU reagálhasson azokra a kihívásokra, amelyekkel a globális színtéren szembesül. E rugalmasságot több szinten kell kialakítani. A költségvetéstől, amelynek jelentősebb mértékű tartalékokra van szüksége, a többéves programozásig kell terjednie, ezenkívül nagyobb fokú egyszerűsítés szükséges a megvalósítás szintjén a hatékonyság és eredményesség javítása érdekében. Ez a javaslat azzal reagál erre a megállapításra, hogy növeli a Covid19-világjárvány által okozott, előre nem látható válság kezeléséhez szükséges kiegészítő források rendelkezésre állását.</w:t>
      </w:r>
    </w:p>
    <w:p>
      <w:pPr>
        <w:pBdr>
          <w:top w:val="single" w:sz="4" w:space="1" w:color="auto"/>
          <w:left w:val="single" w:sz="4" w:space="4" w:color="auto"/>
          <w:bottom w:val="single" w:sz="4" w:space="1" w:color="auto"/>
          <w:right w:val="single" w:sz="4" w:space="4" w:color="auto"/>
        </w:pBdr>
        <w:ind w:left="850"/>
        <w:rPr>
          <w:noProof/>
        </w:rPr>
      </w:pPr>
      <w:r>
        <w:rPr>
          <w:noProof/>
        </w:rPr>
        <w:t xml:space="preserve">A kutatás és az innováció, különösen az Európai horizont kiemelt európai program a polgárok által prioritásnak tekintett területeken vezet eredményekhez, javítja az Unió termelékenységét és versenyképességét, alapvető szerepet játszik társadalmi-gazdasági modellünk és értékeink megőrzésében, és olyan megoldások kidolgozását teszi lehetővé, amelyek rendszerszinten adnak választ a kihívásokra. A jelenlegi rendkívüli körülmények között Európának gyors, kutatás és innováció vezérelte megoldásokra, valamint a fertőző betegségek mélyebb tudományos megismerésére van szüksége. A program megerősítése lehetővé tenné a megfizethető és innovatív védintézkedésekbe, virológiába, oltóanyagokba, kezelésekbe és diagnosztikába történő beruházásokat, valamint a kutatási eredmények népegészségügyi intézkedésekké való átalakítását. Alapvető fontosságú, hogy több erőforrást fordítsunk az éghajlattal kapcsolatos kutatásra és innovációra, ami támogatná a kapcsolódó gazdasági ágazatokban az uniós ipar versenyképességét, valamint biztosítsuk a helyreállításnak az európai zöld megállapodás céljaival való összhangját. A kutatás és innováció területén eszközölt beruházások segíthetnek az egészségre jelentős hatást gyakorló kibocsátások és természetkárosodás (pl. zoonotikus betegség) drámai mértékű növekedésének kezelésében. A program megerősítése támogatná azokat a vállalkozásokat, amelyek a fosszilis tüzelőanyagok fokozatos kivezetését célzó kutatást és innovációt folytatnak, és segítené a forradalmi technológiákba való beruházást az európai zöld megállapodás szempontjából </w:t>
      </w:r>
      <w:r>
        <w:rPr>
          <w:noProof/>
        </w:rPr>
        <w:lastRenderedPageBreak/>
        <w:t>releváns területeken. Pénzügyi és a növekedéshez szükséges egyéb eszközöket biztosítana a kkv-k, az induló vállalkozások és a közepes piaci tőkeértékű vállalatok kialakulóban lévő és áttörést jelentő innovációi számára. A javaslat a mezőgazdasági ágazat megsegítésére már meghozott egyéb konkrét intézkedéseket egészít ki. Szabályozási intézkedések megtételére került sor, mint például az állami támogatási szabályok kiigazítása vagy az idénymunkások rendelkezésre állásának megkönnyítése.</w:t>
      </w:r>
    </w:p>
    <w:p>
      <w:pPr>
        <w:pBdr>
          <w:top w:val="single" w:sz="4" w:space="1" w:color="auto"/>
          <w:left w:val="single" w:sz="4" w:space="4" w:color="auto"/>
          <w:bottom w:val="single" w:sz="4" w:space="1" w:color="auto"/>
          <w:right w:val="single" w:sz="4" w:space="4" w:color="auto"/>
        </w:pBdr>
        <w:ind w:left="850"/>
        <w:rPr>
          <w:noProof/>
        </w:rPr>
      </w:pPr>
      <w:r>
        <w:rPr>
          <w:noProof/>
        </w:rPr>
        <w:t>A Bizottság továbbá kiigazította a két mezőgazdasági alap, az EMGA és az EMVA szabályait és módosította az említett alapokat annak érdekében, hogy kivételes rugalmasságot biztosítson az európai strukturális és beruházási alapok felhasználása terén a Covid19-járványra reagálva (koronavírus-reagálási beruházási kezdeményezés), és számos egyéb intézkedés született a jelenlegi példa nélküli helyzet kezelése érdekében. Az intézkedések összhangban vannak az (EU) XXX/XX rendeletjavaslatban szereplő, az Európai Uniós Helyreállítási Eszköz létrehozásáról szóló bizottsági javaslattal.</w:t>
      </w:r>
    </w:p>
    <w:p>
      <w:pPr>
        <w:ind w:left="850"/>
        <w:rPr>
          <w:noProof/>
        </w:rPr>
      </w:pPr>
    </w:p>
    <w:p>
      <w:pPr>
        <w:keepNext/>
        <w:outlineLvl w:val="2"/>
        <w:rPr>
          <w:rFonts w:eastAsiaTheme="majorEastAsia"/>
          <w:bCs/>
          <w:i/>
          <w:noProof/>
        </w:rPr>
      </w:pPr>
      <w:bookmarkStart w:id="19" w:name="_Toc40374717"/>
      <w:bookmarkStart w:id="20" w:name="_Toc40374718"/>
      <w:bookmarkStart w:id="21" w:name="_Toc514941979"/>
      <w:bookmarkStart w:id="22" w:name="_Toc40376068"/>
      <w:bookmarkEnd w:id="19"/>
      <w:bookmarkEnd w:id="20"/>
      <w:r>
        <w:rPr>
          <w:bCs/>
          <w:i/>
          <w:noProof/>
        </w:rPr>
        <w:t>Egyéb releváns eszközökkel való összeegyeztethetőség és lehetséges szinergia</w:t>
      </w:r>
      <w:bookmarkEnd w:id="21"/>
      <w:bookmarkEnd w:id="22"/>
    </w:p>
    <w:p>
      <w:pPr>
        <w:pBdr>
          <w:top w:val="single" w:sz="4" w:space="1" w:color="auto"/>
          <w:left w:val="single" w:sz="4" w:space="4" w:color="auto"/>
          <w:bottom w:val="single" w:sz="4" w:space="1" w:color="auto"/>
          <w:right w:val="single" w:sz="4" w:space="4" w:color="auto"/>
        </w:pBdr>
        <w:ind w:left="850"/>
        <w:rPr>
          <w:noProof/>
        </w:rPr>
      </w:pPr>
      <w:r>
        <w:rPr>
          <w:noProof/>
        </w:rPr>
        <w:t>Az Európai horizont, az NDICI és a KAP-stratégiai terv alá tartozó EMVA beavatkozások tekintetében a Bizottság korábbi, 2018. évi javaslataiban már felsorolt szinergiákon felül ez a konkrét kezdeményezés a többéves pénzügyi keret felülvizsgált javaslatál összefüggésben erős szinergiákat hoz létre e programok és az (EU) XXX/XX rendeletjavaslatban felvázolt új Európai Uniós Helyreállítási Eszköz között. Ez utóbbi lehetővé teszi, hogy az említett ágazati programok számára az MFF felső határait meghaladó forrásokat biztosítsanak egy korlátozott időszakban, ami az említett eszközök célkitűzései és működése közötti kiegészítő jelleg eredményeként, továbbá a fenti 1.4.2. pontban ismertetett érvek és hozzáadott érték fényében valósulhat meg.</w:t>
      </w:r>
    </w:p>
    <w:p>
      <w:pPr>
        <w:ind w:left="720"/>
        <w:rPr>
          <w:noProof/>
        </w:rPr>
      </w:pPr>
    </w:p>
    <w:p>
      <w:pPr>
        <w:ind w:left="850"/>
        <w:rPr>
          <w:noProof/>
        </w:rPr>
      </w:pPr>
    </w:p>
    <w:p>
      <w:pPr>
        <w:ind w:left="850"/>
        <w:rPr>
          <w:noProof/>
        </w:rPr>
      </w:pPr>
    </w:p>
    <w:p>
      <w:pPr>
        <w:keepNext/>
        <w:outlineLvl w:val="1"/>
        <w:rPr>
          <w:rFonts w:eastAsiaTheme="majorEastAsia"/>
          <w:b/>
          <w:noProof/>
          <w:szCs w:val="24"/>
        </w:rPr>
      </w:pPr>
      <w:r>
        <w:rPr>
          <w:noProof/>
        </w:rPr>
        <w:br w:type="page"/>
      </w:r>
      <w:bookmarkStart w:id="23" w:name="_Toc514941980"/>
      <w:bookmarkStart w:id="24" w:name="_Toc40376069"/>
      <w:r>
        <w:rPr>
          <w:b/>
          <w:bCs/>
          <w:noProof/>
          <w:szCs w:val="26"/>
        </w:rPr>
        <w:lastRenderedPageBreak/>
        <w:t>Időtartam és pénzügyi hatás</w:t>
      </w:r>
      <w:bookmarkEnd w:id="23"/>
      <w:bookmarkEnd w:id="24"/>
      <w:r>
        <w:rPr>
          <w:b/>
          <w:bCs/>
          <w:noProof/>
          <w:szCs w:val="26"/>
        </w:rPr>
        <w:t xml:space="preserve"> </w:t>
      </w:r>
    </w:p>
    <w:p>
      <w:pPr>
        <w:ind w:left="850"/>
        <w:rPr>
          <w:noProof/>
        </w:rPr>
      </w:pPr>
      <w:r>
        <w:rPr>
          <w:noProof/>
        </w:rPr>
        <w:sym w:font="Wingdings" w:char="F0A8"/>
      </w:r>
      <w:r>
        <w:rPr>
          <w:b/>
          <w:i/>
          <w:noProof/>
        </w:rPr>
        <w:t xml:space="preserve"> </w:t>
      </w:r>
      <w:r>
        <w:rPr>
          <w:b/>
          <w:noProof/>
        </w:rPr>
        <w:t xml:space="preserve">határozott időtartam </w:t>
      </w:r>
    </w:p>
    <w:p>
      <w:pPr>
        <w:rPr>
          <w:rFonts w:eastAsia="Times New Roman"/>
          <w:noProof/>
        </w:rPr>
      </w:pPr>
      <w:r>
        <w:rPr>
          <w:noProof/>
        </w:rPr>
        <w:sym w:font="Wingdings" w:char="F0A8"/>
      </w:r>
      <w:r>
        <w:rPr>
          <w:noProof/>
        </w:rPr>
        <w:tab/>
        <w:t xml:space="preserve">időtartam: ÉÉÉÉ [HH/NN]-tól/-től ÉÉÉÉ [HH/NN]-ig </w:t>
      </w:r>
    </w:p>
    <w:p>
      <w:pPr>
        <w:rPr>
          <w:rFonts w:eastAsia="Times New Roman"/>
          <w:noProof/>
        </w:rPr>
      </w:pPr>
      <w:r>
        <w:rPr>
          <w:noProof/>
        </w:rPr>
        <w:sym w:font="Wingdings" w:char="F0A8"/>
      </w:r>
      <w:r>
        <w:rPr>
          <w:noProof/>
        </w:rPr>
        <w:tab/>
        <w:t xml:space="preserve">pénzügyi hatás: ÉÉÉÉ-tól/-től ÉÉÉÉ-ig a kötelezettségvállalási előirányzatok esetében és ÉÉÉÉ-tól/-től ÉÉÉÉ-ig a kifizetési előirányzatok esetében </w:t>
      </w:r>
    </w:p>
    <w:p>
      <w:pPr>
        <w:ind w:left="850"/>
        <w:rPr>
          <w:noProof/>
        </w:rPr>
      </w:pPr>
      <w:r>
        <w:rPr>
          <w:noProof/>
        </w:rPr>
        <w:t>X</w:t>
      </w:r>
      <w:r>
        <w:rPr>
          <w:b/>
          <w:i/>
          <w:noProof/>
        </w:rPr>
        <w:t xml:space="preserve"> </w:t>
      </w:r>
      <w:r>
        <w:rPr>
          <w:b/>
          <w:noProof/>
        </w:rPr>
        <w:t>határozatlan időtartam</w:t>
      </w:r>
    </w:p>
    <w:p>
      <w:pPr>
        <w:rPr>
          <w:rFonts w:eastAsia="Times New Roman"/>
          <w:noProof/>
        </w:rPr>
      </w:pPr>
      <w:r>
        <w:rPr>
          <w:noProof/>
        </w:rPr>
        <w:t>beindítási időszak: 2021-től</w:t>
      </w:r>
    </w:p>
    <w:p>
      <w:pPr>
        <w:rPr>
          <w:rFonts w:eastAsia="Times New Roman"/>
          <w:noProof/>
        </w:rPr>
      </w:pPr>
      <w:r>
        <w:rPr>
          <w:noProof/>
        </w:rPr>
        <w:t>azt követően: rendes ütem</w:t>
      </w:r>
    </w:p>
    <w:p>
      <w:pPr>
        <w:keepNext/>
        <w:outlineLvl w:val="1"/>
        <w:rPr>
          <w:rFonts w:eastAsiaTheme="majorEastAsia"/>
          <w:b/>
          <w:bCs/>
          <w:noProof/>
          <w:szCs w:val="26"/>
        </w:rPr>
      </w:pPr>
      <w:bookmarkStart w:id="25" w:name="_Toc514941981"/>
      <w:bookmarkStart w:id="26" w:name="_Toc40376070"/>
      <w:r>
        <w:rPr>
          <w:b/>
          <w:bCs/>
          <w:noProof/>
          <w:szCs w:val="26"/>
        </w:rPr>
        <w:t>Tervezett irányítási módszer(ek)</w:t>
      </w:r>
      <w:r>
        <w:rPr>
          <w:rStyle w:val="FootnoteReference"/>
          <w:noProof/>
        </w:rPr>
        <w:footnoteReference w:id="5"/>
      </w:r>
      <w:bookmarkEnd w:id="25"/>
      <w:bookmarkEnd w:id="26"/>
      <w:r>
        <w:rPr>
          <w:b/>
          <w:bCs/>
          <w:noProof/>
          <w:szCs w:val="26"/>
          <w:vertAlign w:val="superscript"/>
        </w:rPr>
        <w:t xml:space="preserve"> </w:t>
      </w:r>
    </w:p>
    <w:p>
      <w:pPr>
        <w:ind w:left="850"/>
        <w:rPr>
          <w:noProof/>
        </w:rPr>
      </w:pPr>
      <w:r>
        <w:rPr>
          <w:noProof/>
        </w:rPr>
        <w:t>X</w:t>
      </w:r>
      <w:r>
        <w:rPr>
          <w:i/>
          <w:noProof/>
        </w:rPr>
        <w:t xml:space="preserve"> </w:t>
      </w:r>
      <w:r>
        <w:rPr>
          <w:noProof/>
        </w:rPr>
        <w:t xml:space="preserve">Bizottság általi </w:t>
      </w:r>
      <w:r>
        <w:rPr>
          <w:b/>
          <w:noProof/>
        </w:rPr>
        <w:t>közvetlen irányítás</w:t>
      </w:r>
    </w:p>
    <w:p>
      <w:pPr>
        <w:rPr>
          <w:rFonts w:eastAsia="Times New Roman" w:cs="EUAlbertina"/>
          <w:noProof/>
        </w:rPr>
      </w:pPr>
      <w:r>
        <w:rPr>
          <w:noProof/>
        </w:rPr>
        <w:t xml:space="preserve">X a Bizottság szervezeti egységein keresztül, ideértve az uniós küldöttségek személyzetét </w:t>
      </w:r>
    </w:p>
    <w:p>
      <w:pPr>
        <w:rPr>
          <w:rFonts w:eastAsia="Times New Roman"/>
          <w:noProof/>
        </w:rPr>
      </w:pPr>
      <w:r>
        <w:rPr>
          <w:noProof/>
        </w:rPr>
        <w:t>X</w:t>
      </w:r>
      <w:r>
        <w:rPr>
          <w:noProof/>
        </w:rPr>
        <w:tab/>
        <w:t xml:space="preserve">végrehajtó ügynökségen keresztül </w:t>
      </w:r>
    </w:p>
    <w:p>
      <w:pPr>
        <w:ind w:left="850"/>
        <w:rPr>
          <w:noProof/>
        </w:rPr>
      </w:pPr>
      <w:r>
        <w:rPr>
          <w:noProof/>
        </w:rPr>
        <w:sym w:font="Wingdings" w:char="F0A8"/>
      </w:r>
      <w:r>
        <w:rPr>
          <w:b/>
          <w:i/>
          <w:noProof/>
        </w:rPr>
        <w:t xml:space="preserve"> </w:t>
      </w:r>
      <w:r>
        <w:rPr>
          <w:b/>
          <w:noProof/>
        </w:rPr>
        <w:t>Megosztott irányítás</w:t>
      </w:r>
      <w:r>
        <w:rPr>
          <w:noProof/>
        </w:rPr>
        <w:t xml:space="preserve"> a tagállamokkal </w:t>
      </w:r>
    </w:p>
    <w:p>
      <w:pPr>
        <w:ind w:left="850"/>
        <w:rPr>
          <w:noProof/>
        </w:rPr>
      </w:pPr>
      <w:r>
        <w:rPr>
          <w:noProof/>
        </w:rPr>
        <w:t>X</w:t>
      </w:r>
      <w:r>
        <w:rPr>
          <w:i/>
          <w:noProof/>
        </w:rPr>
        <w:t xml:space="preserve"> </w:t>
      </w:r>
      <w:r>
        <w:rPr>
          <w:b/>
          <w:noProof/>
        </w:rPr>
        <w:t>Közvetett irányítás</w:t>
      </w:r>
      <w:r>
        <w:rPr>
          <w:noProof/>
        </w:rPr>
        <w:t xml:space="preserve"> a költségvetés végrehajtásával kapcsolatos feladatoknak a következőkre történő átruházásával:</w:t>
      </w:r>
    </w:p>
    <w:p>
      <w:pPr>
        <w:rPr>
          <w:rFonts w:eastAsia="Times New Roman"/>
          <w:noProof/>
        </w:rPr>
      </w:pPr>
      <w:r>
        <w:rPr>
          <w:noProof/>
        </w:rPr>
        <w:t>X harmadik országok vagy az általuk kijelölt szervek</w:t>
      </w:r>
    </w:p>
    <w:p>
      <w:pPr>
        <w:rPr>
          <w:rFonts w:eastAsia="Times New Roman"/>
          <w:noProof/>
        </w:rPr>
      </w:pPr>
      <w:r>
        <w:rPr>
          <w:noProof/>
        </w:rPr>
        <w:t>X nemzetközi szervezetek és ügynökségeik (nevezze meg)</w:t>
      </w:r>
    </w:p>
    <w:p>
      <w:pPr>
        <w:rPr>
          <w:rFonts w:eastAsia="Times New Roman"/>
          <w:noProof/>
        </w:rPr>
      </w:pPr>
      <w:r>
        <w:rPr>
          <w:noProof/>
        </w:rPr>
        <w:t>X az EBB és az Európai Beruházási Alap</w:t>
      </w:r>
    </w:p>
    <w:p>
      <w:pPr>
        <w:rPr>
          <w:rFonts w:eastAsia="Times New Roman"/>
          <w:noProof/>
        </w:rPr>
      </w:pPr>
      <w:r>
        <w:rPr>
          <w:noProof/>
        </w:rPr>
        <w:t>X a költségvetési rendelet 70. és 71. cikkében említett szervek</w:t>
      </w:r>
    </w:p>
    <w:p>
      <w:pPr>
        <w:rPr>
          <w:rFonts w:eastAsia="Times New Roman"/>
          <w:noProof/>
        </w:rPr>
      </w:pPr>
      <w:r>
        <w:rPr>
          <w:noProof/>
        </w:rPr>
        <w:t>X közjogi szervek</w:t>
      </w:r>
    </w:p>
    <w:p>
      <w:pPr>
        <w:rPr>
          <w:rFonts w:eastAsia="Times New Roman"/>
          <w:noProof/>
        </w:rPr>
      </w:pPr>
      <w:r>
        <w:rPr>
          <w:noProof/>
        </w:rPr>
        <w:t>X magánjog alapján működő, közfeladatot ellátó szervek, amennyiben megfelelő pénzügyi garanciákat nyújtanak</w:t>
      </w:r>
    </w:p>
    <w:p>
      <w:pPr>
        <w:rPr>
          <w:rFonts w:eastAsia="Times New Roman"/>
          <w:noProof/>
        </w:rPr>
      </w:pPr>
      <w:r>
        <w:rPr>
          <w:noProof/>
        </w:rPr>
        <w:t>X valamely tagállam magánjoga alapján működő, köz- és magánszféra közötti partnerség végrehajtásával megbízott és megfelelő pénzügyi garanciákat nyújtó szervek</w:t>
      </w:r>
    </w:p>
    <w:p>
      <w:pPr>
        <w:rPr>
          <w:rFonts w:eastAsia="Times New Roman"/>
          <w:noProof/>
        </w:rPr>
      </w:pPr>
      <w:r>
        <w:rPr>
          <w:noProof/>
        </w:rPr>
        <w:t>X az EUSZ V. címének értelmében a KKBP terén konkrét fellépések végrehajtásával megbízott, és a vonatkozó alap-jogiaktusban meghatározott személyek.</w:t>
      </w:r>
    </w:p>
    <w:p>
      <w:pPr>
        <w:rPr>
          <w:noProof/>
        </w:rPr>
      </w:pPr>
      <w:r>
        <w:rPr>
          <w:noProof/>
        </w:rPr>
        <w:t>Megjegyzések:</w:t>
      </w:r>
    </w:p>
    <w:p>
      <w:pPr>
        <w:pBdr>
          <w:top w:val="single" w:sz="4" w:space="1" w:color="auto"/>
          <w:left w:val="single" w:sz="4" w:space="4" w:color="auto"/>
          <w:bottom w:val="single" w:sz="4" w:space="1" w:color="auto"/>
          <w:right w:val="single" w:sz="4" w:space="4" w:color="auto"/>
        </w:pBdr>
        <w:rPr>
          <w:noProof/>
        </w:rPr>
      </w:pPr>
      <w:r>
        <w:rPr>
          <w:noProof/>
        </w:rPr>
        <w:t>A Bizottság határozhat úgy, hogy az Európai horizont megerősítésének végrehajtását részben végrehajtó ügynökségre bízza a megerősítésre kerülő tevékenységek tekintetében választott irányítási módszerrel összhangban.</w:t>
      </w:r>
    </w:p>
    <w:p>
      <w:pPr>
        <w:rPr>
          <w:noProof/>
        </w:rPr>
      </w:pPr>
    </w:p>
    <w:p>
      <w:pPr>
        <w:rPr>
          <w:noProof/>
        </w:rPr>
        <w:sectPr>
          <w:pgSz w:w="11907" w:h="16840" w:code="9"/>
          <w:pgMar w:top="1134" w:right="1418" w:bottom="1134" w:left="1418" w:header="709" w:footer="709" w:gutter="0"/>
          <w:cols w:space="708"/>
          <w:docGrid w:linePitch="360"/>
        </w:sectPr>
      </w:pPr>
    </w:p>
    <w:p>
      <w:pPr>
        <w:keepNext/>
        <w:spacing w:before="360"/>
        <w:outlineLvl w:val="0"/>
        <w:rPr>
          <w:rFonts w:eastAsiaTheme="majorEastAsia"/>
          <w:b/>
          <w:smallCaps/>
          <w:noProof/>
          <w:szCs w:val="24"/>
        </w:rPr>
      </w:pPr>
      <w:bookmarkStart w:id="27" w:name="_Toc514941982"/>
      <w:bookmarkStart w:id="28" w:name="_Toc39837055"/>
      <w:bookmarkStart w:id="29" w:name="_Toc39839402"/>
      <w:bookmarkStart w:id="30" w:name="_Toc40376071"/>
      <w:r>
        <w:rPr>
          <w:b/>
          <w:bCs/>
          <w:smallCaps/>
          <w:noProof/>
          <w:szCs w:val="28"/>
        </w:rPr>
        <w:lastRenderedPageBreak/>
        <w:t>IRÁNYÍTÁSI INTÉZKEDÉSEK</w:t>
      </w:r>
      <w:bookmarkEnd w:id="27"/>
      <w:bookmarkEnd w:id="28"/>
      <w:bookmarkEnd w:id="29"/>
      <w:bookmarkEnd w:id="30"/>
      <w:r>
        <w:rPr>
          <w:b/>
          <w:bCs/>
          <w:smallCaps/>
          <w:noProof/>
          <w:szCs w:val="28"/>
        </w:rPr>
        <w:t xml:space="preserve"> </w:t>
      </w:r>
    </w:p>
    <w:p>
      <w:pPr>
        <w:keepNext/>
        <w:outlineLvl w:val="1"/>
        <w:rPr>
          <w:rFonts w:eastAsiaTheme="majorEastAsia"/>
          <w:b/>
          <w:bCs/>
          <w:noProof/>
          <w:szCs w:val="26"/>
        </w:rPr>
      </w:pPr>
      <w:bookmarkStart w:id="31" w:name="_Toc514941983"/>
      <w:bookmarkStart w:id="32" w:name="_Toc39837056"/>
      <w:bookmarkStart w:id="33" w:name="_Toc39839403"/>
      <w:bookmarkStart w:id="34" w:name="_Toc40376072"/>
      <w:r>
        <w:rPr>
          <w:b/>
          <w:bCs/>
          <w:noProof/>
          <w:szCs w:val="26"/>
        </w:rPr>
        <w:t>A nyomon követésre és a jelentéstételre vonatkozó rendelkezések</w:t>
      </w:r>
      <w:bookmarkEnd w:id="31"/>
      <w:bookmarkEnd w:id="32"/>
      <w:bookmarkEnd w:id="33"/>
      <w:bookmarkEnd w:id="34"/>
      <w:r>
        <w:rPr>
          <w:b/>
          <w:bCs/>
          <w:noProof/>
          <w:szCs w:val="26"/>
        </w:rPr>
        <w:t xml:space="preserve"> </w:t>
      </w:r>
    </w:p>
    <w:p>
      <w:pPr>
        <w:ind w:left="850"/>
        <w:rPr>
          <w:i/>
          <w:noProof/>
          <w:sz w:val="20"/>
          <w:szCs w:val="20"/>
        </w:rPr>
      </w:pPr>
      <w:r>
        <w:rPr>
          <w:i/>
          <w:noProof/>
          <w:sz w:val="20"/>
          <w:szCs w:val="20"/>
        </w:rPr>
        <w:t>Gyakoriság és feltételek</w:t>
      </w:r>
    </w:p>
    <w:p>
      <w:pPr>
        <w:pBdr>
          <w:top w:val="single" w:sz="4" w:space="1" w:color="auto"/>
          <w:left w:val="single" w:sz="4" w:space="4" w:color="auto"/>
          <w:bottom w:val="single" w:sz="4" w:space="1" w:color="auto"/>
          <w:right w:val="single" w:sz="4" w:space="4" w:color="auto"/>
        </w:pBdr>
        <w:ind w:left="850"/>
        <w:rPr>
          <w:noProof/>
        </w:rPr>
      </w:pPr>
      <w:r>
        <w:rPr>
          <w:noProof/>
        </w:rPr>
        <w:t>Lásd a következő bizottsági javaslatok pénzügyi kimutatásait: COM(2018) 460 final, COM(2018) 435 final, COM(2018) 436 final, (COM(2018) 392) final.</w:t>
      </w:r>
    </w:p>
    <w:p>
      <w:pPr>
        <w:keepNext/>
        <w:outlineLvl w:val="1"/>
        <w:rPr>
          <w:rFonts w:eastAsiaTheme="majorEastAsia"/>
          <w:b/>
          <w:noProof/>
          <w:szCs w:val="24"/>
        </w:rPr>
      </w:pPr>
      <w:bookmarkStart w:id="35" w:name="_Toc514941984"/>
      <w:bookmarkStart w:id="36" w:name="_Toc39837057"/>
      <w:bookmarkStart w:id="37" w:name="_Toc39839404"/>
      <w:bookmarkStart w:id="38" w:name="_Toc40376073"/>
      <w:r>
        <w:rPr>
          <w:b/>
          <w:bCs/>
          <w:noProof/>
          <w:szCs w:val="26"/>
        </w:rPr>
        <w:t>Irányítási és kontrollrendszer(ek)</w:t>
      </w:r>
      <w:bookmarkEnd w:id="35"/>
      <w:bookmarkEnd w:id="36"/>
      <w:bookmarkEnd w:id="37"/>
      <w:bookmarkEnd w:id="38"/>
      <w:r>
        <w:rPr>
          <w:b/>
          <w:bCs/>
          <w:noProof/>
          <w:szCs w:val="26"/>
        </w:rPr>
        <w:t xml:space="preserve"> </w:t>
      </w:r>
    </w:p>
    <w:p>
      <w:pPr>
        <w:pBdr>
          <w:top w:val="single" w:sz="4" w:space="1" w:color="auto"/>
          <w:left w:val="single" w:sz="4" w:space="4" w:color="auto"/>
          <w:bottom w:val="single" w:sz="4" w:space="1" w:color="auto"/>
          <w:right w:val="single" w:sz="4" w:space="4" w:color="auto"/>
        </w:pBdr>
        <w:ind w:left="850"/>
        <w:rPr>
          <w:noProof/>
        </w:rPr>
      </w:pPr>
      <w:bookmarkStart w:id="39" w:name="_Toc514941985"/>
      <w:bookmarkStart w:id="40" w:name="_Toc39837058"/>
      <w:bookmarkStart w:id="41" w:name="_Toc39839405"/>
      <w:r>
        <w:rPr>
          <w:noProof/>
        </w:rPr>
        <w:t>Lásd a következő bizottsági javaslatok pénzügyi kimutatásait: COM(2018) 460 final, COM(2018) 435 final, COM(2018) 436 final, (COM(2018) 392) final.</w:t>
      </w:r>
    </w:p>
    <w:bookmarkEnd w:id="39"/>
    <w:bookmarkEnd w:id="40"/>
    <w:bookmarkEnd w:id="41"/>
    <w:p>
      <w:pPr>
        <w:pBdr>
          <w:top w:val="single" w:sz="4" w:space="1" w:color="auto"/>
          <w:left w:val="single" w:sz="4" w:space="4" w:color="auto"/>
          <w:bottom w:val="single" w:sz="4" w:space="1" w:color="auto"/>
          <w:right w:val="single" w:sz="4" w:space="4" w:color="auto"/>
        </w:pBdr>
        <w:ind w:left="850"/>
        <w:rPr>
          <w:noProof/>
        </w:rPr>
      </w:pPr>
    </w:p>
    <w:p>
      <w:pPr>
        <w:keepNext/>
        <w:outlineLvl w:val="1"/>
        <w:rPr>
          <w:rFonts w:eastAsiaTheme="majorEastAsia"/>
          <w:b/>
          <w:noProof/>
          <w:szCs w:val="24"/>
        </w:rPr>
      </w:pPr>
      <w:bookmarkStart w:id="42" w:name="_Toc514941988"/>
      <w:bookmarkStart w:id="43" w:name="_Toc39837061"/>
      <w:bookmarkStart w:id="44" w:name="_Toc39839408"/>
      <w:bookmarkStart w:id="45" w:name="_Toc40376074"/>
      <w:r>
        <w:rPr>
          <w:b/>
          <w:bCs/>
          <w:noProof/>
          <w:szCs w:val="26"/>
        </w:rPr>
        <w:t>A csalások és a szabálytalanságok megelőzésére vonatkozó intézkedések</w:t>
      </w:r>
      <w:bookmarkEnd w:id="42"/>
      <w:bookmarkEnd w:id="43"/>
      <w:bookmarkEnd w:id="44"/>
      <w:bookmarkEnd w:id="45"/>
      <w:r>
        <w:rPr>
          <w:b/>
          <w:bCs/>
          <w:noProof/>
          <w:szCs w:val="26"/>
        </w:rPr>
        <w:t xml:space="preserve"> </w:t>
      </w:r>
    </w:p>
    <w:p>
      <w:pPr>
        <w:ind w:left="850"/>
        <w:rPr>
          <w:i/>
          <w:noProof/>
          <w:sz w:val="20"/>
          <w:szCs w:val="20"/>
        </w:rPr>
      </w:pPr>
      <w:r>
        <w:rPr>
          <w:i/>
          <w:noProof/>
          <w:sz w:val="20"/>
          <w:szCs w:val="20"/>
        </w:rPr>
        <w:t>Tüntesse fel a meglévő vagy tervezett megelőző és védintézkedéseket, pl. a csalás elleni stratégiából.</w:t>
      </w:r>
    </w:p>
    <w:p>
      <w:pPr>
        <w:pBdr>
          <w:top w:val="single" w:sz="4" w:space="1" w:color="auto"/>
          <w:left w:val="single" w:sz="4" w:space="4" w:color="auto"/>
          <w:bottom w:val="single" w:sz="4" w:space="1" w:color="auto"/>
          <w:right w:val="single" w:sz="4" w:space="4" w:color="auto"/>
        </w:pBdr>
        <w:ind w:left="850"/>
        <w:rPr>
          <w:noProof/>
        </w:rPr>
      </w:pPr>
      <w:r>
        <w:rPr>
          <w:noProof/>
        </w:rPr>
        <w:t>Lásd a következő bizottsági javaslatok pénzügyi kimutatásait: COM(2018) 460 final, COM(2018) 435 final, COM(2018) 436 final, (COM(2018) 392) final.</w:t>
      </w:r>
    </w:p>
    <w:p>
      <w:pPr>
        <w:pBdr>
          <w:top w:val="single" w:sz="4" w:space="1" w:color="auto"/>
          <w:left w:val="single" w:sz="4" w:space="4" w:color="auto"/>
          <w:bottom w:val="single" w:sz="4" w:space="1" w:color="auto"/>
          <w:right w:val="single" w:sz="4" w:space="4" w:color="auto"/>
        </w:pBdr>
        <w:ind w:left="850"/>
        <w:rPr>
          <w:noProof/>
        </w:rPr>
      </w:pPr>
    </w:p>
    <w:p>
      <w:pPr>
        <w:keepNext/>
        <w:spacing w:before="360"/>
        <w:outlineLvl w:val="0"/>
        <w:rPr>
          <w:rFonts w:eastAsiaTheme="majorEastAsia"/>
          <w:b/>
          <w:smallCaps/>
          <w:noProof/>
          <w:szCs w:val="24"/>
        </w:rPr>
      </w:pPr>
      <w:r>
        <w:rPr>
          <w:b/>
          <w:bCs/>
          <w:smallCaps/>
          <w:noProof/>
          <w:szCs w:val="28"/>
        </w:rPr>
        <w:t xml:space="preserve"> </w:t>
      </w:r>
      <w:bookmarkStart w:id="46" w:name="_Toc40374726"/>
      <w:bookmarkStart w:id="47" w:name="_Toc40374727"/>
      <w:bookmarkStart w:id="48" w:name="_Toc514941989"/>
      <w:bookmarkStart w:id="49" w:name="_Toc40376075"/>
      <w:bookmarkEnd w:id="46"/>
      <w:bookmarkEnd w:id="47"/>
      <w:r>
        <w:rPr>
          <w:b/>
          <w:bCs/>
          <w:smallCaps/>
          <w:noProof/>
          <w:szCs w:val="28"/>
        </w:rPr>
        <w:t>A JAVASLAT/KEZDEMÉNYEZÉS BECSÜLT PÉNZÜGYI HATÁSA</w:t>
      </w:r>
      <w:bookmarkEnd w:id="48"/>
      <w:bookmarkEnd w:id="49"/>
      <w:r>
        <w:rPr>
          <w:b/>
          <w:bCs/>
          <w:smallCaps/>
          <w:noProof/>
          <w:szCs w:val="28"/>
        </w:rPr>
        <w:t xml:space="preserve"> </w:t>
      </w:r>
    </w:p>
    <w:p>
      <w:pPr>
        <w:keepNext/>
        <w:outlineLvl w:val="1"/>
        <w:rPr>
          <w:rFonts w:eastAsiaTheme="majorEastAsia"/>
          <w:b/>
          <w:bCs/>
          <w:noProof/>
          <w:szCs w:val="26"/>
        </w:rPr>
      </w:pPr>
      <w:bookmarkStart w:id="50" w:name="_Toc514941990"/>
      <w:bookmarkStart w:id="51" w:name="_Toc40376076"/>
      <w:r>
        <w:rPr>
          <w:b/>
          <w:bCs/>
          <w:noProof/>
          <w:szCs w:val="26"/>
        </w:rPr>
        <w:t>A többéves pénzügyi keret fejezetei és a költségvetés javasolt új kiadási tétele/tételei</w:t>
      </w:r>
      <w:bookmarkEnd w:id="50"/>
      <w:bookmarkEnd w:id="51"/>
      <w:r>
        <w:rPr>
          <w:b/>
          <w:bCs/>
          <w:noProof/>
          <w:szCs w:val="26"/>
        </w:rPr>
        <w:t xml:space="preserve"> </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1044"/>
        <w:gridCol w:w="1134"/>
        <w:gridCol w:w="814"/>
        <w:gridCol w:w="1448"/>
      </w:tblGrid>
      <w:tr>
        <w:tc>
          <w:tcPr>
            <w:tcW w:w="1080" w:type="dxa"/>
            <w:vAlign w:val="center"/>
          </w:tcPr>
          <w:p>
            <w:pPr>
              <w:spacing w:before="60" w:after="60"/>
              <w:jc w:val="center"/>
              <w:rPr>
                <w:noProof/>
                <w:sz w:val="18"/>
              </w:rPr>
            </w:pPr>
          </w:p>
        </w:tc>
        <w:tc>
          <w:tcPr>
            <w:tcW w:w="3960" w:type="dxa"/>
            <w:vAlign w:val="center"/>
          </w:tcPr>
          <w:p>
            <w:pPr>
              <w:spacing w:before="60" w:after="60"/>
              <w:jc w:val="center"/>
              <w:rPr>
                <w:noProof/>
                <w:sz w:val="20"/>
              </w:rPr>
            </w:pPr>
          </w:p>
        </w:tc>
        <w:tc>
          <w:tcPr>
            <w:tcW w:w="1080" w:type="dxa"/>
            <w:vAlign w:val="center"/>
          </w:tcPr>
          <w:p>
            <w:pPr>
              <w:spacing w:before="60" w:after="60"/>
              <w:jc w:val="center"/>
              <w:rPr>
                <w:noProof/>
                <w:sz w:val="18"/>
              </w:rPr>
            </w:pPr>
          </w:p>
        </w:tc>
        <w:tc>
          <w:tcPr>
            <w:tcW w:w="4440" w:type="dxa"/>
            <w:gridSpan w:val="4"/>
            <w:vAlign w:val="center"/>
          </w:tcPr>
          <w:p>
            <w:pPr>
              <w:spacing w:before="60" w:after="60"/>
              <w:jc w:val="center"/>
              <w:rPr>
                <w:noProof/>
                <w:sz w:val="20"/>
              </w:rPr>
            </w:pPr>
          </w:p>
        </w:tc>
      </w:tr>
      <w:tr>
        <w:tc>
          <w:tcPr>
            <w:tcW w:w="1080" w:type="dxa"/>
            <w:vAlign w:val="center"/>
          </w:tcPr>
          <w:p>
            <w:pPr>
              <w:spacing w:before="60" w:after="60"/>
              <w:jc w:val="center"/>
              <w:rPr>
                <w:noProof/>
              </w:rPr>
            </w:pPr>
            <w:r>
              <w:rPr>
                <w:noProof/>
                <w:sz w:val="18"/>
              </w:rPr>
              <w:t>A többéves pénzügyi keret fejezete</w:t>
            </w:r>
          </w:p>
        </w:tc>
        <w:tc>
          <w:tcPr>
            <w:tcW w:w="3960" w:type="dxa"/>
            <w:vAlign w:val="center"/>
          </w:tcPr>
          <w:p>
            <w:pPr>
              <w:spacing w:before="60" w:after="60"/>
              <w:jc w:val="center"/>
              <w:rPr>
                <w:noProof/>
              </w:rPr>
            </w:pPr>
            <w:r>
              <w:rPr>
                <w:noProof/>
                <w:sz w:val="20"/>
              </w:rPr>
              <w:t>Költségvetési sor</w:t>
            </w:r>
          </w:p>
        </w:tc>
        <w:tc>
          <w:tcPr>
            <w:tcW w:w="1080" w:type="dxa"/>
            <w:vAlign w:val="center"/>
          </w:tcPr>
          <w:p>
            <w:pPr>
              <w:spacing w:before="60" w:after="60"/>
              <w:jc w:val="center"/>
              <w:rPr>
                <w:noProof/>
              </w:rPr>
            </w:pPr>
            <w:r>
              <w:rPr>
                <w:noProof/>
                <w:sz w:val="18"/>
              </w:rPr>
              <w:t>Kiadás</w:t>
            </w:r>
            <w:r>
              <w:rPr>
                <w:noProof/>
              </w:rPr>
              <w:br/>
            </w:r>
            <w:r>
              <w:rPr>
                <w:noProof/>
                <w:sz w:val="18"/>
              </w:rPr>
              <w:t>típusa</w:t>
            </w:r>
          </w:p>
        </w:tc>
        <w:tc>
          <w:tcPr>
            <w:tcW w:w="4440" w:type="dxa"/>
            <w:gridSpan w:val="4"/>
            <w:vAlign w:val="center"/>
          </w:tcPr>
          <w:p>
            <w:pPr>
              <w:spacing w:before="60" w:after="60"/>
              <w:jc w:val="center"/>
              <w:rPr>
                <w:noProof/>
              </w:rPr>
            </w:pPr>
            <w:r>
              <w:rPr>
                <w:noProof/>
                <w:sz w:val="20"/>
              </w:rPr>
              <w:t xml:space="preserve">Hozzájárulás </w:t>
            </w:r>
          </w:p>
        </w:tc>
      </w:tr>
      <w:tr>
        <w:tc>
          <w:tcPr>
            <w:tcW w:w="1080" w:type="dxa"/>
            <w:vAlign w:val="center"/>
          </w:tcPr>
          <w:p>
            <w:pPr>
              <w:jc w:val="center"/>
              <w:rPr>
                <w:noProof/>
              </w:rPr>
            </w:pPr>
          </w:p>
        </w:tc>
        <w:tc>
          <w:tcPr>
            <w:tcW w:w="3960" w:type="dxa"/>
            <w:vAlign w:val="center"/>
          </w:tcPr>
          <w:p>
            <w:pPr>
              <w:rPr>
                <w:b/>
                <w:noProof/>
                <w:sz w:val="20"/>
              </w:rPr>
            </w:pPr>
            <w:r>
              <w:rPr>
                <w:b/>
                <w:noProof/>
                <w:sz w:val="20"/>
              </w:rPr>
              <w:t>1. fejezet Egységes piac, innováció és digitális gazdaság</w:t>
            </w:r>
          </w:p>
        </w:tc>
        <w:tc>
          <w:tcPr>
            <w:tcW w:w="1080" w:type="dxa"/>
            <w:vAlign w:val="center"/>
          </w:tcPr>
          <w:p>
            <w:pPr>
              <w:jc w:val="center"/>
              <w:rPr>
                <w:noProof/>
                <w:sz w:val="18"/>
              </w:rPr>
            </w:pPr>
            <w:r>
              <w:rPr>
                <w:noProof/>
                <w:sz w:val="18"/>
                <w:szCs w:val="18"/>
              </w:rPr>
              <w:t>diff./nem diff.</w:t>
            </w:r>
            <w:r>
              <w:rPr>
                <w:rStyle w:val="FootnoteReference"/>
                <w:noProof/>
              </w:rPr>
              <w:footnoteReference w:id="6"/>
            </w:r>
          </w:p>
        </w:tc>
        <w:tc>
          <w:tcPr>
            <w:tcW w:w="1044" w:type="dxa"/>
            <w:vAlign w:val="center"/>
          </w:tcPr>
          <w:p>
            <w:pPr>
              <w:jc w:val="center"/>
              <w:rPr>
                <w:noProof/>
              </w:rPr>
            </w:pPr>
            <w:r>
              <w:rPr>
                <w:noProof/>
                <w:sz w:val="18"/>
                <w:szCs w:val="18"/>
              </w:rPr>
              <w:t>EFTA-országoktól</w:t>
            </w:r>
            <w:r>
              <w:rPr>
                <w:rStyle w:val="FootnoteReference"/>
                <w:noProof/>
              </w:rPr>
              <w:footnoteReference w:id="7"/>
            </w:r>
          </w:p>
          <w:p>
            <w:pPr>
              <w:jc w:val="center"/>
              <w:rPr>
                <w:noProof/>
                <w:sz w:val="18"/>
              </w:rPr>
            </w:pPr>
          </w:p>
        </w:tc>
        <w:tc>
          <w:tcPr>
            <w:tcW w:w="1134" w:type="dxa"/>
            <w:vAlign w:val="center"/>
          </w:tcPr>
          <w:p>
            <w:pPr>
              <w:jc w:val="center"/>
              <w:rPr>
                <w:noProof/>
              </w:rPr>
            </w:pPr>
            <w:r>
              <w:rPr>
                <w:noProof/>
                <w:sz w:val="18"/>
                <w:szCs w:val="18"/>
              </w:rPr>
              <w:t>tagjelölt országoktól</w:t>
            </w:r>
            <w:r>
              <w:rPr>
                <w:rStyle w:val="FootnoteReference"/>
                <w:noProof/>
              </w:rPr>
              <w:footnoteReference w:id="8"/>
            </w:r>
          </w:p>
          <w:p>
            <w:pPr>
              <w:jc w:val="center"/>
              <w:rPr>
                <w:noProof/>
                <w:sz w:val="18"/>
              </w:rPr>
            </w:pPr>
          </w:p>
        </w:tc>
        <w:tc>
          <w:tcPr>
            <w:tcW w:w="814" w:type="dxa"/>
            <w:vAlign w:val="center"/>
          </w:tcPr>
          <w:p>
            <w:pPr>
              <w:jc w:val="center"/>
              <w:rPr>
                <w:noProof/>
                <w:sz w:val="18"/>
              </w:rPr>
            </w:pPr>
            <w:r>
              <w:rPr>
                <w:noProof/>
                <w:sz w:val="18"/>
              </w:rPr>
              <w:t>harmadik országoktól</w:t>
            </w:r>
          </w:p>
        </w:tc>
        <w:tc>
          <w:tcPr>
            <w:tcW w:w="1448" w:type="dxa"/>
            <w:vAlign w:val="center"/>
          </w:tcPr>
          <w:p>
            <w:pPr>
              <w:jc w:val="center"/>
              <w:rPr>
                <w:noProof/>
                <w:sz w:val="16"/>
              </w:rPr>
            </w:pPr>
            <w:r>
              <w:rPr>
                <w:noProof/>
                <w:sz w:val="16"/>
              </w:rPr>
              <w:t xml:space="preserve">a költségvetési rendelet [21. cikke (2) bekezdésének b) pontja] értelmében </w:t>
            </w:r>
          </w:p>
        </w:tc>
      </w:tr>
      <w:tr>
        <w:tc>
          <w:tcPr>
            <w:tcW w:w="1080" w:type="dxa"/>
            <w:vAlign w:val="center"/>
          </w:tcPr>
          <w:p>
            <w:pPr>
              <w:jc w:val="center"/>
              <w:rPr>
                <w:noProof/>
              </w:rPr>
            </w:pPr>
            <w:r>
              <w:rPr>
                <w:noProof/>
              </w:rPr>
              <w:t>1</w:t>
            </w:r>
          </w:p>
        </w:tc>
        <w:tc>
          <w:tcPr>
            <w:tcW w:w="3960" w:type="dxa"/>
            <w:vAlign w:val="center"/>
          </w:tcPr>
          <w:p>
            <w:pPr>
              <w:spacing w:before="60"/>
              <w:rPr>
                <w:noProof/>
                <w:sz w:val="22"/>
              </w:rPr>
            </w:pPr>
            <w:r>
              <w:rPr>
                <w:noProof/>
                <w:sz w:val="22"/>
              </w:rPr>
              <w:t>01 01 01 01, 01 01 01 02, 01 01 01 03, 01 01 01 61, 01 01 01 62, 01 01 01 62, 01 01 01 63, 01 01 01 64 Az Európai horizont működéséhez szükséges kiadások, ideértve a programot végrehajtó végrehajtó ügynökségeknek nyújtott hozzájárulásokat is</w:t>
            </w:r>
          </w:p>
          <w:p>
            <w:pPr>
              <w:rPr>
                <w:noProof/>
                <w:sz w:val="20"/>
              </w:rPr>
            </w:pPr>
          </w:p>
        </w:tc>
        <w:tc>
          <w:tcPr>
            <w:tcW w:w="1080" w:type="dxa"/>
            <w:vAlign w:val="center"/>
          </w:tcPr>
          <w:p>
            <w:pPr>
              <w:jc w:val="center"/>
              <w:rPr>
                <w:noProof/>
                <w:sz w:val="22"/>
              </w:rPr>
            </w:pPr>
            <w:r>
              <w:rPr>
                <w:noProof/>
                <w:sz w:val="22"/>
              </w:rPr>
              <w:t>nem diff.</w:t>
            </w:r>
          </w:p>
        </w:tc>
        <w:tc>
          <w:tcPr>
            <w:tcW w:w="1044" w:type="dxa"/>
            <w:vAlign w:val="center"/>
          </w:tcPr>
          <w:p>
            <w:pPr>
              <w:jc w:val="center"/>
              <w:rPr>
                <w:noProof/>
                <w:sz w:val="18"/>
              </w:rPr>
            </w:pPr>
            <w:r>
              <w:rPr>
                <w:noProof/>
                <w:sz w:val="22"/>
              </w:rPr>
              <w:t>IGEN</w:t>
            </w:r>
          </w:p>
        </w:tc>
        <w:tc>
          <w:tcPr>
            <w:tcW w:w="1134" w:type="dxa"/>
            <w:vAlign w:val="center"/>
          </w:tcPr>
          <w:p>
            <w:pPr>
              <w:jc w:val="center"/>
              <w:rPr>
                <w:noProof/>
                <w:sz w:val="18"/>
              </w:rPr>
            </w:pPr>
            <w:r>
              <w:rPr>
                <w:noProof/>
                <w:sz w:val="22"/>
              </w:rPr>
              <w:t>IGEN</w:t>
            </w:r>
          </w:p>
        </w:tc>
        <w:tc>
          <w:tcPr>
            <w:tcW w:w="814" w:type="dxa"/>
            <w:vAlign w:val="center"/>
          </w:tcPr>
          <w:p>
            <w:pPr>
              <w:jc w:val="center"/>
              <w:rPr>
                <w:noProof/>
                <w:sz w:val="18"/>
              </w:rPr>
            </w:pPr>
            <w:r>
              <w:rPr>
                <w:noProof/>
                <w:sz w:val="22"/>
              </w:rPr>
              <w:t>IGEN</w:t>
            </w:r>
          </w:p>
        </w:tc>
        <w:tc>
          <w:tcPr>
            <w:tcW w:w="1448" w:type="dxa"/>
            <w:vAlign w:val="center"/>
          </w:tcPr>
          <w:p>
            <w:pPr>
              <w:jc w:val="center"/>
              <w:rPr>
                <w:noProof/>
                <w:sz w:val="16"/>
              </w:rPr>
            </w:pPr>
            <w:r>
              <w:rPr>
                <w:noProof/>
                <w:sz w:val="22"/>
              </w:rPr>
              <w:t>NEM</w:t>
            </w:r>
          </w:p>
        </w:tc>
      </w:tr>
      <w:tr>
        <w:tc>
          <w:tcPr>
            <w:tcW w:w="1080" w:type="dxa"/>
            <w:vAlign w:val="center"/>
          </w:tcPr>
          <w:p>
            <w:pPr>
              <w:jc w:val="center"/>
              <w:rPr>
                <w:noProof/>
              </w:rPr>
            </w:pPr>
            <w:r>
              <w:rPr>
                <w:noProof/>
              </w:rPr>
              <w:t>1</w:t>
            </w:r>
          </w:p>
        </w:tc>
        <w:tc>
          <w:tcPr>
            <w:tcW w:w="3960" w:type="dxa"/>
            <w:vAlign w:val="center"/>
          </w:tcPr>
          <w:p>
            <w:pPr>
              <w:spacing w:before="60"/>
              <w:rPr>
                <w:noProof/>
                <w:sz w:val="22"/>
              </w:rPr>
            </w:pPr>
            <w:r>
              <w:rPr>
                <w:noProof/>
                <w:sz w:val="22"/>
              </w:rPr>
              <w:t>01 02 02 10 „Egészségügy” klaszter</w:t>
            </w:r>
          </w:p>
        </w:tc>
        <w:tc>
          <w:tcPr>
            <w:tcW w:w="1080" w:type="dxa"/>
            <w:vAlign w:val="center"/>
          </w:tcPr>
          <w:p>
            <w:pPr>
              <w:jc w:val="center"/>
              <w:rPr>
                <w:noProof/>
                <w:sz w:val="18"/>
              </w:rPr>
            </w:pPr>
            <w:r>
              <w:rPr>
                <w:noProof/>
                <w:sz w:val="22"/>
              </w:rPr>
              <w:t>diff.</w:t>
            </w:r>
          </w:p>
        </w:tc>
        <w:tc>
          <w:tcPr>
            <w:tcW w:w="1044" w:type="dxa"/>
            <w:vAlign w:val="center"/>
          </w:tcPr>
          <w:p>
            <w:pPr>
              <w:jc w:val="center"/>
              <w:rPr>
                <w:noProof/>
                <w:sz w:val="18"/>
              </w:rPr>
            </w:pPr>
            <w:r>
              <w:rPr>
                <w:noProof/>
                <w:sz w:val="22"/>
              </w:rPr>
              <w:t>IGEN</w:t>
            </w:r>
          </w:p>
        </w:tc>
        <w:tc>
          <w:tcPr>
            <w:tcW w:w="1134" w:type="dxa"/>
            <w:vAlign w:val="center"/>
          </w:tcPr>
          <w:p>
            <w:pPr>
              <w:jc w:val="center"/>
              <w:rPr>
                <w:noProof/>
                <w:sz w:val="18"/>
              </w:rPr>
            </w:pPr>
            <w:r>
              <w:rPr>
                <w:noProof/>
                <w:sz w:val="22"/>
              </w:rPr>
              <w:t>IGEN</w:t>
            </w:r>
          </w:p>
        </w:tc>
        <w:tc>
          <w:tcPr>
            <w:tcW w:w="814" w:type="dxa"/>
            <w:vAlign w:val="center"/>
          </w:tcPr>
          <w:p>
            <w:pPr>
              <w:jc w:val="center"/>
              <w:rPr>
                <w:noProof/>
                <w:sz w:val="18"/>
              </w:rPr>
            </w:pPr>
            <w:r>
              <w:rPr>
                <w:noProof/>
                <w:sz w:val="22"/>
              </w:rPr>
              <w:t>IGEN</w:t>
            </w:r>
          </w:p>
        </w:tc>
        <w:tc>
          <w:tcPr>
            <w:tcW w:w="1448" w:type="dxa"/>
            <w:vAlign w:val="center"/>
          </w:tcPr>
          <w:p>
            <w:pPr>
              <w:jc w:val="center"/>
              <w:rPr>
                <w:noProof/>
                <w:sz w:val="16"/>
              </w:rPr>
            </w:pPr>
            <w:r>
              <w:rPr>
                <w:noProof/>
                <w:sz w:val="22"/>
              </w:rPr>
              <w:t>NEM</w:t>
            </w:r>
          </w:p>
        </w:tc>
      </w:tr>
      <w:tr>
        <w:tc>
          <w:tcPr>
            <w:tcW w:w="1080" w:type="dxa"/>
            <w:vAlign w:val="center"/>
          </w:tcPr>
          <w:p>
            <w:pPr>
              <w:jc w:val="center"/>
              <w:rPr>
                <w:noProof/>
              </w:rPr>
            </w:pPr>
            <w:r>
              <w:rPr>
                <w:noProof/>
              </w:rPr>
              <w:t>1</w:t>
            </w:r>
          </w:p>
        </w:tc>
        <w:tc>
          <w:tcPr>
            <w:tcW w:w="3960" w:type="dxa"/>
            <w:vAlign w:val="center"/>
          </w:tcPr>
          <w:p>
            <w:pPr>
              <w:spacing w:before="60"/>
              <w:rPr>
                <w:noProof/>
                <w:sz w:val="22"/>
              </w:rPr>
            </w:pPr>
            <w:r>
              <w:rPr>
                <w:noProof/>
                <w:sz w:val="22"/>
              </w:rPr>
              <w:t>01 02 02 40 „Digitális gazdaság, ipar és világűr” klaszter</w:t>
            </w:r>
          </w:p>
        </w:tc>
        <w:tc>
          <w:tcPr>
            <w:tcW w:w="1080" w:type="dxa"/>
            <w:vAlign w:val="center"/>
          </w:tcPr>
          <w:p>
            <w:pPr>
              <w:jc w:val="center"/>
              <w:rPr>
                <w:noProof/>
                <w:sz w:val="18"/>
              </w:rPr>
            </w:pPr>
            <w:r>
              <w:rPr>
                <w:noProof/>
                <w:sz w:val="22"/>
              </w:rPr>
              <w:t>diff.</w:t>
            </w:r>
          </w:p>
        </w:tc>
        <w:tc>
          <w:tcPr>
            <w:tcW w:w="1044" w:type="dxa"/>
            <w:vAlign w:val="center"/>
          </w:tcPr>
          <w:p>
            <w:pPr>
              <w:jc w:val="center"/>
              <w:rPr>
                <w:noProof/>
                <w:sz w:val="18"/>
              </w:rPr>
            </w:pPr>
            <w:r>
              <w:rPr>
                <w:noProof/>
                <w:sz w:val="22"/>
              </w:rPr>
              <w:t>IGEN</w:t>
            </w:r>
          </w:p>
        </w:tc>
        <w:tc>
          <w:tcPr>
            <w:tcW w:w="1134" w:type="dxa"/>
            <w:vAlign w:val="center"/>
          </w:tcPr>
          <w:p>
            <w:pPr>
              <w:jc w:val="center"/>
              <w:rPr>
                <w:noProof/>
                <w:sz w:val="18"/>
              </w:rPr>
            </w:pPr>
            <w:r>
              <w:rPr>
                <w:noProof/>
                <w:sz w:val="22"/>
              </w:rPr>
              <w:t>IGEN</w:t>
            </w:r>
          </w:p>
        </w:tc>
        <w:tc>
          <w:tcPr>
            <w:tcW w:w="814" w:type="dxa"/>
            <w:vAlign w:val="center"/>
          </w:tcPr>
          <w:p>
            <w:pPr>
              <w:jc w:val="center"/>
              <w:rPr>
                <w:noProof/>
                <w:sz w:val="18"/>
              </w:rPr>
            </w:pPr>
            <w:r>
              <w:rPr>
                <w:noProof/>
                <w:sz w:val="22"/>
              </w:rPr>
              <w:t>IGEN</w:t>
            </w:r>
          </w:p>
        </w:tc>
        <w:tc>
          <w:tcPr>
            <w:tcW w:w="1448" w:type="dxa"/>
            <w:vAlign w:val="center"/>
          </w:tcPr>
          <w:p>
            <w:pPr>
              <w:jc w:val="center"/>
              <w:rPr>
                <w:noProof/>
                <w:sz w:val="16"/>
              </w:rPr>
            </w:pPr>
            <w:r>
              <w:rPr>
                <w:noProof/>
                <w:sz w:val="22"/>
              </w:rPr>
              <w:t>NEM</w:t>
            </w:r>
          </w:p>
        </w:tc>
      </w:tr>
      <w:tr>
        <w:tc>
          <w:tcPr>
            <w:tcW w:w="1080" w:type="dxa"/>
            <w:vAlign w:val="center"/>
          </w:tcPr>
          <w:p>
            <w:pPr>
              <w:jc w:val="center"/>
              <w:rPr>
                <w:noProof/>
              </w:rPr>
            </w:pPr>
            <w:r>
              <w:rPr>
                <w:noProof/>
              </w:rPr>
              <w:lastRenderedPageBreak/>
              <w:t>1</w:t>
            </w:r>
          </w:p>
        </w:tc>
        <w:tc>
          <w:tcPr>
            <w:tcW w:w="3960" w:type="dxa"/>
            <w:vAlign w:val="center"/>
          </w:tcPr>
          <w:p>
            <w:pPr>
              <w:spacing w:before="60"/>
              <w:rPr>
                <w:noProof/>
                <w:sz w:val="22"/>
              </w:rPr>
            </w:pPr>
            <w:r>
              <w:rPr>
                <w:noProof/>
                <w:sz w:val="22"/>
              </w:rPr>
              <w:t>01 02 02 50 „Éghajlat, energiaügy és mobilitás” klaszter</w:t>
            </w:r>
          </w:p>
        </w:tc>
        <w:tc>
          <w:tcPr>
            <w:tcW w:w="1080" w:type="dxa"/>
            <w:vAlign w:val="center"/>
          </w:tcPr>
          <w:p>
            <w:pPr>
              <w:jc w:val="center"/>
              <w:rPr>
                <w:noProof/>
                <w:sz w:val="18"/>
              </w:rPr>
            </w:pPr>
            <w:r>
              <w:rPr>
                <w:noProof/>
                <w:sz w:val="22"/>
              </w:rPr>
              <w:t>diff.</w:t>
            </w:r>
          </w:p>
        </w:tc>
        <w:tc>
          <w:tcPr>
            <w:tcW w:w="1044" w:type="dxa"/>
            <w:vAlign w:val="center"/>
          </w:tcPr>
          <w:p>
            <w:pPr>
              <w:jc w:val="center"/>
              <w:rPr>
                <w:noProof/>
                <w:sz w:val="18"/>
              </w:rPr>
            </w:pPr>
            <w:r>
              <w:rPr>
                <w:noProof/>
                <w:sz w:val="22"/>
              </w:rPr>
              <w:t>IGEN</w:t>
            </w:r>
          </w:p>
        </w:tc>
        <w:tc>
          <w:tcPr>
            <w:tcW w:w="1134" w:type="dxa"/>
            <w:vAlign w:val="center"/>
          </w:tcPr>
          <w:p>
            <w:pPr>
              <w:jc w:val="center"/>
              <w:rPr>
                <w:noProof/>
                <w:sz w:val="18"/>
              </w:rPr>
            </w:pPr>
            <w:r>
              <w:rPr>
                <w:noProof/>
                <w:sz w:val="22"/>
              </w:rPr>
              <w:t>IGEN</w:t>
            </w:r>
          </w:p>
        </w:tc>
        <w:tc>
          <w:tcPr>
            <w:tcW w:w="814" w:type="dxa"/>
            <w:vAlign w:val="center"/>
          </w:tcPr>
          <w:p>
            <w:pPr>
              <w:jc w:val="center"/>
              <w:rPr>
                <w:noProof/>
                <w:sz w:val="18"/>
              </w:rPr>
            </w:pPr>
            <w:r>
              <w:rPr>
                <w:noProof/>
                <w:sz w:val="22"/>
              </w:rPr>
              <w:t>IGEN</w:t>
            </w:r>
          </w:p>
        </w:tc>
        <w:tc>
          <w:tcPr>
            <w:tcW w:w="1448" w:type="dxa"/>
            <w:vAlign w:val="center"/>
          </w:tcPr>
          <w:p>
            <w:pPr>
              <w:jc w:val="center"/>
              <w:rPr>
                <w:noProof/>
                <w:sz w:val="16"/>
              </w:rPr>
            </w:pPr>
            <w:r>
              <w:rPr>
                <w:noProof/>
                <w:sz w:val="22"/>
              </w:rPr>
              <w:t>NEM</w:t>
            </w:r>
          </w:p>
        </w:tc>
      </w:tr>
      <w:tr>
        <w:tc>
          <w:tcPr>
            <w:tcW w:w="1080" w:type="dxa"/>
            <w:vAlign w:val="center"/>
          </w:tcPr>
          <w:p>
            <w:pPr>
              <w:jc w:val="center"/>
              <w:rPr>
                <w:noProof/>
              </w:rPr>
            </w:pPr>
            <w:r>
              <w:rPr>
                <w:noProof/>
              </w:rPr>
              <w:t>1</w:t>
            </w:r>
          </w:p>
        </w:tc>
        <w:tc>
          <w:tcPr>
            <w:tcW w:w="3960" w:type="dxa"/>
            <w:vAlign w:val="center"/>
          </w:tcPr>
          <w:p>
            <w:pPr>
              <w:spacing w:before="60"/>
              <w:rPr>
                <w:noProof/>
                <w:sz w:val="22"/>
              </w:rPr>
            </w:pPr>
            <w:r>
              <w:rPr>
                <w:noProof/>
                <w:sz w:val="22"/>
              </w:rPr>
              <w:t>01 02 03 01 Európai Innovációs Tanács</w:t>
            </w:r>
          </w:p>
        </w:tc>
        <w:tc>
          <w:tcPr>
            <w:tcW w:w="1080" w:type="dxa"/>
            <w:vAlign w:val="center"/>
          </w:tcPr>
          <w:p>
            <w:pPr>
              <w:jc w:val="center"/>
              <w:rPr>
                <w:noProof/>
                <w:sz w:val="18"/>
              </w:rPr>
            </w:pPr>
            <w:r>
              <w:rPr>
                <w:noProof/>
                <w:sz w:val="22"/>
              </w:rPr>
              <w:t>diff.</w:t>
            </w:r>
          </w:p>
        </w:tc>
        <w:tc>
          <w:tcPr>
            <w:tcW w:w="1044" w:type="dxa"/>
            <w:vAlign w:val="center"/>
          </w:tcPr>
          <w:p>
            <w:pPr>
              <w:jc w:val="center"/>
              <w:rPr>
                <w:noProof/>
                <w:sz w:val="18"/>
              </w:rPr>
            </w:pPr>
            <w:r>
              <w:rPr>
                <w:noProof/>
                <w:sz w:val="22"/>
              </w:rPr>
              <w:t>IGEN</w:t>
            </w:r>
          </w:p>
        </w:tc>
        <w:tc>
          <w:tcPr>
            <w:tcW w:w="1134" w:type="dxa"/>
            <w:vAlign w:val="center"/>
          </w:tcPr>
          <w:p>
            <w:pPr>
              <w:jc w:val="center"/>
              <w:rPr>
                <w:noProof/>
                <w:sz w:val="18"/>
              </w:rPr>
            </w:pPr>
            <w:r>
              <w:rPr>
                <w:noProof/>
                <w:sz w:val="22"/>
              </w:rPr>
              <w:t>IGEN</w:t>
            </w:r>
          </w:p>
        </w:tc>
        <w:tc>
          <w:tcPr>
            <w:tcW w:w="814" w:type="dxa"/>
            <w:vAlign w:val="center"/>
          </w:tcPr>
          <w:p>
            <w:pPr>
              <w:jc w:val="center"/>
              <w:rPr>
                <w:noProof/>
                <w:sz w:val="18"/>
              </w:rPr>
            </w:pPr>
            <w:r>
              <w:rPr>
                <w:noProof/>
                <w:sz w:val="22"/>
              </w:rPr>
              <w:t>IGEN</w:t>
            </w:r>
          </w:p>
        </w:tc>
        <w:tc>
          <w:tcPr>
            <w:tcW w:w="1448" w:type="dxa"/>
            <w:vAlign w:val="center"/>
          </w:tcPr>
          <w:p>
            <w:pPr>
              <w:jc w:val="center"/>
              <w:rPr>
                <w:noProof/>
                <w:sz w:val="16"/>
              </w:rPr>
            </w:pPr>
            <w:r>
              <w:rPr>
                <w:noProof/>
                <w:sz w:val="22"/>
              </w:rPr>
              <w:t>NEM</w:t>
            </w:r>
          </w:p>
        </w:tc>
      </w:tr>
      <w:tr>
        <w:tc>
          <w:tcPr>
            <w:tcW w:w="1080" w:type="dxa"/>
            <w:vAlign w:val="center"/>
          </w:tcPr>
          <w:p>
            <w:pPr>
              <w:jc w:val="center"/>
              <w:rPr>
                <w:noProof/>
              </w:rPr>
            </w:pPr>
          </w:p>
        </w:tc>
        <w:tc>
          <w:tcPr>
            <w:tcW w:w="3960" w:type="dxa"/>
            <w:vAlign w:val="center"/>
          </w:tcPr>
          <w:p>
            <w:pPr>
              <w:rPr>
                <w:b/>
                <w:noProof/>
                <w:sz w:val="20"/>
                <w:szCs w:val="20"/>
              </w:rPr>
            </w:pPr>
            <w:r>
              <w:rPr>
                <w:b/>
                <w:noProof/>
                <w:sz w:val="20"/>
                <w:szCs w:val="20"/>
              </w:rPr>
              <w:t>3. fejezet Természeti erőforrások és környezet</w:t>
            </w:r>
          </w:p>
        </w:tc>
        <w:tc>
          <w:tcPr>
            <w:tcW w:w="1080" w:type="dxa"/>
            <w:vAlign w:val="center"/>
          </w:tcPr>
          <w:p>
            <w:pPr>
              <w:jc w:val="center"/>
              <w:rPr>
                <w:noProof/>
                <w:sz w:val="18"/>
                <w:szCs w:val="18"/>
              </w:rPr>
            </w:pPr>
            <w:r>
              <w:rPr>
                <w:noProof/>
                <w:sz w:val="18"/>
                <w:szCs w:val="18"/>
              </w:rPr>
              <w:t>diff./nem diff.</w:t>
            </w:r>
            <w:r>
              <w:rPr>
                <w:rStyle w:val="FootnoteReference"/>
                <w:noProof/>
              </w:rPr>
              <w:footnoteReference w:id="9"/>
            </w:r>
          </w:p>
        </w:tc>
        <w:tc>
          <w:tcPr>
            <w:tcW w:w="1044" w:type="dxa"/>
            <w:vAlign w:val="center"/>
          </w:tcPr>
          <w:p>
            <w:pPr>
              <w:jc w:val="center"/>
              <w:rPr>
                <w:noProof/>
              </w:rPr>
            </w:pPr>
            <w:r>
              <w:rPr>
                <w:noProof/>
                <w:sz w:val="18"/>
                <w:szCs w:val="18"/>
              </w:rPr>
              <w:t>EFTA-országoktól</w:t>
            </w:r>
            <w:r>
              <w:rPr>
                <w:rStyle w:val="FootnoteReference"/>
                <w:noProof/>
              </w:rPr>
              <w:footnoteReference w:id="10"/>
            </w:r>
          </w:p>
          <w:p>
            <w:pPr>
              <w:jc w:val="center"/>
              <w:rPr>
                <w:noProof/>
                <w:sz w:val="18"/>
                <w:szCs w:val="18"/>
              </w:rPr>
            </w:pPr>
          </w:p>
        </w:tc>
        <w:tc>
          <w:tcPr>
            <w:tcW w:w="1134" w:type="dxa"/>
            <w:vAlign w:val="center"/>
          </w:tcPr>
          <w:p>
            <w:pPr>
              <w:jc w:val="center"/>
              <w:rPr>
                <w:noProof/>
              </w:rPr>
            </w:pPr>
            <w:r>
              <w:rPr>
                <w:noProof/>
                <w:sz w:val="18"/>
                <w:szCs w:val="18"/>
              </w:rPr>
              <w:t>tagjelölt országoktól</w:t>
            </w:r>
            <w:r>
              <w:rPr>
                <w:rStyle w:val="FootnoteReference"/>
                <w:noProof/>
              </w:rPr>
              <w:footnoteReference w:id="11"/>
            </w:r>
          </w:p>
          <w:p>
            <w:pPr>
              <w:jc w:val="center"/>
              <w:rPr>
                <w:noProof/>
                <w:sz w:val="18"/>
                <w:szCs w:val="18"/>
              </w:rPr>
            </w:pPr>
          </w:p>
        </w:tc>
        <w:tc>
          <w:tcPr>
            <w:tcW w:w="814" w:type="dxa"/>
            <w:vAlign w:val="center"/>
          </w:tcPr>
          <w:p>
            <w:pPr>
              <w:jc w:val="center"/>
              <w:rPr>
                <w:noProof/>
                <w:sz w:val="18"/>
                <w:szCs w:val="18"/>
              </w:rPr>
            </w:pPr>
            <w:r>
              <w:rPr>
                <w:noProof/>
                <w:sz w:val="18"/>
                <w:szCs w:val="18"/>
              </w:rPr>
              <w:t>harmadik országoktól</w:t>
            </w:r>
          </w:p>
        </w:tc>
        <w:tc>
          <w:tcPr>
            <w:tcW w:w="1448" w:type="dxa"/>
            <w:vAlign w:val="center"/>
          </w:tcPr>
          <w:p>
            <w:pPr>
              <w:jc w:val="center"/>
              <w:rPr>
                <w:noProof/>
                <w:sz w:val="16"/>
                <w:szCs w:val="16"/>
              </w:rPr>
            </w:pPr>
            <w:r>
              <w:rPr>
                <w:noProof/>
                <w:sz w:val="16"/>
                <w:szCs w:val="16"/>
              </w:rPr>
              <w:t xml:space="preserve">a költségvetési rendelet [21. cikke (2) bekezdésének b) pontja] értelmében </w:t>
            </w:r>
          </w:p>
        </w:tc>
      </w:tr>
      <w:tr>
        <w:tc>
          <w:tcPr>
            <w:tcW w:w="1080" w:type="dxa"/>
            <w:vAlign w:val="center"/>
          </w:tcPr>
          <w:p>
            <w:pPr>
              <w:jc w:val="center"/>
              <w:rPr>
                <w:noProof/>
              </w:rPr>
            </w:pPr>
            <w:r>
              <w:rPr>
                <w:noProof/>
              </w:rPr>
              <w:t>3</w:t>
            </w:r>
          </w:p>
        </w:tc>
        <w:tc>
          <w:tcPr>
            <w:tcW w:w="3960" w:type="dxa"/>
            <w:vAlign w:val="center"/>
          </w:tcPr>
          <w:p>
            <w:pPr>
              <w:rPr>
                <w:b/>
                <w:noProof/>
                <w:sz w:val="20"/>
                <w:szCs w:val="20"/>
              </w:rPr>
            </w:pPr>
            <w:r>
              <w:rPr>
                <w:b/>
                <w:noProof/>
                <w:sz w:val="20"/>
                <w:szCs w:val="20"/>
              </w:rPr>
              <w:t>08 01 02 Az Európai Mezőgazdasági Vidékfejlesztési Alappal (EMVA) kapcsolatos működési kiadások</w:t>
            </w:r>
          </w:p>
        </w:tc>
        <w:tc>
          <w:tcPr>
            <w:tcW w:w="1080" w:type="dxa"/>
            <w:vAlign w:val="center"/>
          </w:tcPr>
          <w:p>
            <w:pPr>
              <w:jc w:val="center"/>
              <w:rPr>
                <w:noProof/>
                <w:sz w:val="18"/>
                <w:szCs w:val="18"/>
              </w:rPr>
            </w:pPr>
            <w:r>
              <w:rPr>
                <w:noProof/>
                <w:sz w:val="22"/>
              </w:rPr>
              <w:t>nem diff.</w:t>
            </w:r>
          </w:p>
        </w:tc>
        <w:tc>
          <w:tcPr>
            <w:tcW w:w="1044" w:type="dxa"/>
            <w:vAlign w:val="center"/>
          </w:tcPr>
          <w:p>
            <w:pPr>
              <w:jc w:val="center"/>
              <w:rPr>
                <w:noProof/>
                <w:sz w:val="18"/>
                <w:szCs w:val="18"/>
              </w:rPr>
            </w:pPr>
            <w:r>
              <w:rPr>
                <w:noProof/>
                <w:sz w:val="22"/>
              </w:rPr>
              <w:t>NEM</w:t>
            </w:r>
          </w:p>
        </w:tc>
        <w:tc>
          <w:tcPr>
            <w:tcW w:w="1134" w:type="dxa"/>
            <w:vAlign w:val="center"/>
          </w:tcPr>
          <w:p>
            <w:pPr>
              <w:jc w:val="center"/>
              <w:rPr>
                <w:noProof/>
                <w:sz w:val="18"/>
                <w:szCs w:val="18"/>
              </w:rPr>
            </w:pPr>
            <w:r>
              <w:rPr>
                <w:noProof/>
                <w:sz w:val="22"/>
              </w:rPr>
              <w:t>NEM</w:t>
            </w:r>
          </w:p>
        </w:tc>
        <w:tc>
          <w:tcPr>
            <w:tcW w:w="814" w:type="dxa"/>
            <w:vAlign w:val="center"/>
          </w:tcPr>
          <w:p>
            <w:pPr>
              <w:jc w:val="center"/>
              <w:rPr>
                <w:noProof/>
                <w:sz w:val="18"/>
                <w:szCs w:val="18"/>
              </w:rPr>
            </w:pPr>
            <w:r>
              <w:rPr>
                <w:noProof/>
                <w:sz w:val="22"/>
              </w:rPr>
              <w:t>NEM</w:t>
            </w:r>
          </w:p>
        </w:tc>
        <w:tc>
          <w:tcPr>
            <w:tcW w:w="1448" w:type="dxa"/>
            <w:vAlign w:val="center"/>
          </w:tcPr>
          <w:p>
            <w:pPr>
              <w:jc w:val="center"/>
              <w:rPr>
                <w:noProof/>
                <w:sz w:val="16"/>
                <w:szCs w:val="16"/>
              </w:rPr>
            </w:pPr>
            <w:r>
              <w:rPr>
                <w:noProof/>
                <w:sz w:val="22"/>
              </w:rPr>
              <w:t>NEM</w:t>
            </w:r>
          </w:p>
        </w:tc>
      </w:tr>
      <w:tr>
        <w:tc>
          <w:tcPr>
            <w:tcW w:w="1080" w:type="dxa"/>
            <w:vAlign w:val="center"/>
          </w:tcPr>
          <w:p>
            <w:pPr>
              <w:jc w:val="center"/>
              <w:rPr>
                <w:noProof/>
              </w:rPr>
            </w:pPr>
            <w:r>
              <w:rPr>
                <w:noProof/>
              </w:rPr>
              <w:t>3</w:t>
            </w:r>
          </w:p>
        </w:tc>
        <w:tc>
          <w:tcPr>
            <w:tcW w:w="3960" w:type="dxa"/>
            <w:vAlign w:val="center"/>
          </w:tcPr>
          <w:p>
            <w:pPr>
              <w:rPr>
                <w:b/>
                <w:noProof/>
                <w:sz w:val="20"/>
                <w:szCs w:val="20"/>
              </w:rPr>
            </w:pPr>
            <w:r>
              <w:rPr>
                <w:b/>
                <w:noProof/>
                <w:sz w:val="20"/>
                <w:szCs w:val="20"/>
              </w:rPr>
              <w:t>08 03 01 03 Az EURI által finanszírozott, a KAP-stratégiai terv alá tartozó vidékfejlesztési beavatkozástípusok</w:t>
            </w:r>
          </w:p>
        </w:tc>
        <w:tc>
          <w:tcPr>
            <w:tcW w:w="1080" w:type="dxa"/>
            <w:vAlign w:val="center"/>
          </w:tcPr>
          <w:p>
            <w:pPr>
              <w:jc w:val="center"/>
              <w:rPr>
                <w:noProof/>
                <w:sz w:val="18"/>
                <w:szCs w:val="18"/>
              </w:rPr>
            </w:pPr>
            <w:r>
              <w:rPr>
                <w:noProof/>
                <w:sz w:val="22"/>
              </w:rPr>
              <w:t>diff.</w:t>
            </w:r>
          </w:p>
        </w:tc>
        <w:tc>
          <w:tcPr>
            <w:tcW w:w="1044" w:type="dxa"/>
            <w:vAlign w:val="center"/>
          </w:tcPr>
          <w:p>
            <w:pPr>
              <w:jc w:val="center"/>
              <w:rPr>
                <w:noProof/>
                <w:sz w:val="18"/>
                <w:szCs w:val="18"/>
              </w:rPr>
            </w:pPr>
            <w:r>
              <w:rPr>
                <w:noProof/>
                <w:sz w:val="22"/>
              </w:rPr>
              <w:t>Nem</w:t>
            </w:r>
          </w:p>
        </w:tc>
        <w:tc>
          <w:tcPr>
            <w:tcW w:w="1134" w:type="dxa"/>
            <w:vAlign w:val="center"/>
          </w:tcPr>
          <w:p>
            <w:pPr>
              <w:jc w:val="center"/>
              <w:rPr>
                <w:noProof/>
                <w:sz w:val="18"/>
                <w:szCs w:val="18"/>
              </w:rPr>
            </w:pPr>
            <w:r>
              <w:rPr>
                <w:noProof/>
                <w:sz w:val="22"/>
              </w:rPr>
              <w:t>Nem</w:t>
            </w:r>
          </w:p>
        </w:tc>
        <w:tc>
          <w:tcPr>
            <w:tcW w:w="814" w:type="dxa"/>
            <w:vAlign w:val="center"/>
          </w:tcPr>
          <w:p>
            <w:pPr>
              <w:jc w:val="center"/>
              <w:rPr>
                <w:noProof/>
                <w:sz w:val="18"/>
                <w:szCs w:val="18"/>
              </w:rPr>
            </w:pPr>
            <w:r>
              <w:rPr>
                <w:noProof/>
                <w:sz w:val="22"/>
              </w:rPr>
              <w:t>Nem</w:t>
            </w:r>
          </w:p>
        </w:tc>
        <w:tc>
          <w:tcPr>
            <w:tcW w:w="1448" w:type="dxa"/>
            <w:vAlign w:val="center"/>
          </w:tcPr>
          <w:p>
            <w:pPr>
              <w:jc w:val="center"/>
              <w:rPr>
                <w:noProof/>
                <w:sz w:val="16"/>
                <w:szCs w:val="16"/>
              </w:rPr>
            </w:pPr>
            <w:r>
              <w:rPr>
                <w:noProof/>
                <w:sz w:val="22"/>
              </w:rPr>
              <w:t>NEM</w:t>
            </w:r>
          </w:p>
        </w:tc>
      </w:tr>
      <w:tr>
        <w:tc>
          <w:tcPr>
            <w:tcW w:w="1080" w:type="dxa"/>
            <w:vAlign w:val="center"/>
          </w:tcPr>
          <w:p>
            <w:pPr>
              <w:jc w:val="center"/>
              <w:rPr>
                <w:noProof/>
              </w:rPr>
            </w:pPr>
            <w:r>
              <w:rPr>
                <w:noProof/>
              </w:rPr>
              <w:t>3</w:t>
            </w:r>
          </w:p>
        </w:tc>
        <w:tc>
          <w:tcPr>
            <w:tcW w:w="3960" w:type="dxa"/>
            <w:vAlign w:val="center"/>
          </w:tcPr>
          <w:p>
            <w:pPr>
              <w:rPr>
                <w:b/>
                <w:noProof/>
                <w:sz w:val="20"/>
                <w:szCs w:val="20"/>
              </w:rPr>
            </w:pPr>
            <w:r>
              <w:rPr>
                <w:b/>
                <w:noProof/>
                <w:sz w:val="20"/>
                <w:szCs w:val="20"/>
              </w:rPr>
              <w:t>08 03 02 EMVA – Operatív technikai segítségnyújtás</w:t>
            </w:r>
          </w:p>
        </w:tc>
        <w:tc>
          <w:tcPr>
            <w:tcW w:w="1080" w:type="dxa"/>
            <w:vAlign w:val="center"/>
          </w:tcPr>
          <w:p>
            <w:pPr>
              <w:jc w:val="center"/>
              <w:rPr>
                <w:noProof/>
                <w:sz w:val="22"/>
              </w:rPr>
            </w:pPr>
            <w:r>
              <w:rPr>
                <w:noProof/>
                <w:sz w:val="22"/>
              </w:rPr>
              <w:t>diff.</w:t>
            </w:r>
          </w:p>
        </w:tc>
        <w:tc>
          <w:tcPr>
            <w:tcW w:w="1044" w:type="dxa"/>
            <w:vAlign w:val="center"/>
          </w:tcPr>
          <w:p>
            <w:pPr>
              <w:jc w:val="center"/>
              <w:rPr>
                <w:noProof/>
                <w:sz w:val="22"/>
              </w:rPr>
            </w:pPr>
            <w:r>
              <w:rPr>
                <w:noProof/>
                <w:sz w:val="22"/>
              </w:rPr>
              <w:t>Nem</w:t>
            </w:r>
          </w:p>
        </w:tc>
        <w:tc>
          <w:tcPr>
            <w:tcW w:w="1134" w:type="dxa"/>
            <w:vAlign w:val="center"/>
          </w:tcPr>
          <w:p>
            <w:pPr>
              <w:jc w:val="center"/>
              <w:rPr>
                <w:noProof/>
                <w:sz w:val="22"/>
              </w:rPr>
            </w:pPr>
            <w:r>
              <w:rPr>
                <w:noProof/>
                <w:sz w:val="22"/>
              </w:rPr>
              <w:t>Nem</w:t>
            </w:r>
          </w:p>
        </w:tc>
        <w:tc>
          <w:tcPr>
            <w:tcW w:w="814" w:type="dxa"/>
            <w:vAlign w:val="center"/>
          </w:tcPr>
          <w:p>
            <w:pPr>
              <w:jc w:val="center"/>
              <w:rPr>
                <w:noProof/>
                <w:sz w:val="22"/>
              </w:rPr>
            </w:pPr>
            <w:r>
              <w:rPr>
                <w:noProof/>
                <w:sz w:val="22"/>
              </w:rPr>
              <w:t>Nem</w:t>
            </w:r>
          </w:p>
        </w:tc>
        <w:tc>
          <w:tcPr>
            <w:tcW w:w="1448" w:type="dxa"/>
            <w:vAlign w:val="center"/>
          </w:tcPr>
          <w:p>
            <w:pPr>
              <w:jc w:val="center"/>
              <w:rPr>
                <w:noProof/>
                <w:sz w:val="22"/>
              </w:rPr>
            </w:pPr>
            <w:r>
              <w:rPr>
                <w:noProof/>
                <w:sz w:val="22"/>
              </w:rPr>
              <w:t>NEM</w:t>
            </w:r>
          </w:p>
        </w:tc>
      </w:tr>
      <w:tr>
        <w:tc>
          <w:tcPr>
            <w:tcW w:w="1080" w:type="dxa"/>
            <w:vAlign w:val="center"/>
          </w:tcPr>
          <w:p>
            <w:pPr>
              <w:jc w:val="center"/>
              <w:rPr>
                <w:noProof/>
              </w:rPr>
            </w:pPr>
          </w:p>
        </w:tc>
        <w:tc>
          <w:tcPr>
            <w:tcW w:w="3960" w:type="dxa"/>
            <w:vAlign w:val="center"/>
          </w:tcPr>
          <w:p>
            <w:pPr>
              <w:rPr>
                <w:b/>
                <w:noProof/>
              </w:rPr>
            </w:pPr>
            <w:r>
              <w:rPr>
                <w:b/>
                <w:noProof/>
                <w:sz w:val="20"/>
              </w:rPr>
              <w:t>6. fejezet Szomszédság és a világ</w:t>
            </w:r>
          </w:p>
        </w:tc>
        <w:tc>
          <w:tcPr>
            <w:tcW w:w="1080" w:type="dxa"/>
            <w:vAlign w:val="center"/>
          </w:tcPr>
          <w:p>
            <w:pPr>
              <w:jc w:val="center"/>
              <w:rPr>
                <w:noProof/>
              </w:rPr>
            </w:pPr>
            <w:r>
              <w:rPr>
                <w:noProof/>
                <w:sz w:val="18"/>
                <w:szCs w:val="18"/>
              </w:rPr>
              <w:t>diff./nem diff.</w:t>
            </w:r>
            <w:r>
              <w:rPr>
                <w:rStyle w:val="FootnoteReference"/>
                <w:noProof/>
              </w:rPr>
              <w:footnoteReference w:id="12"/>
            </w:r>
          </w:p>
        </w:tc>
        <w:tc>
          <w:tcPr>
            <w:tcW w:w="1044" w:type="dxa"/>
            <w:vAlign w:val="center"/>
          </w:tcPr>
          <w:p>
            <w:pPr>
              <w:jc w:val="center"/>
              <w:rPr>
                <w:noProof/>
              </w:rPr>
            </w:pPr>
            <w:r>
              <w:rPr>
                <w:noProof/>
                <w:sz w:val="18"/>
                <w:szCs w:val="18"/>
              </w:rPr>
              <w:t>EFTA-országoktól</w:t>
            </w:r>
            <w:r>
              <w:rPr>
                <w:rStyle w:val="FootnoteReference"/>
                <w:noProof/>
              </w:rPr>
              <w:footnoteReference w:id="13"/>
            </w:r>
          </w:p>
          <w:p>
            <w:pPr>
              <w:spacing w:before="0" w:after="0"/>
              <w:jc w:val="center"/>
              <w:rPr>
                <w:b/>
                <w:noProof/>
                <w:sz w:val="18"/>
              </w:rPr>
            </w:pPr>
          </w:p>
        </w:tc>
        <w:tc>
          <w:tcPr>
            <w:tcW w:w="1134" w:type="dxa"/>
            <w:vAlign w:val="center"/>
          </w:tcPr>
          <w:p>
            <w:pPr>
              <w:jc w:val="center"/>
              <w:rPr>
                <w:noProof/>
              </w:rPr>
            </w:pPr>
            <w:r>
              <w:rPr>
                <w:noProof/>
                <w:sz w:val="18"/>
                <w:szCs w:val="18"/>
              </w:rPr>
              <w:t>tagjelölt országoktól</w:t>
            </w:r>
            <w:r>
              <w:rPr>
                <w:rStyle w:val="FootnoteReference"/>
                <w:noProof/>
              </w:rPr>
              <w:footnoteReference w:id="14"/>
            </w:r>
          </w:p>
          <w:p>
            <w:pPr>
              <w:spacing w:before="0" w:after="0"/>
              <w:jc w:val="center"/>
              <w:rPr>
                <w:noProof/>
                <w:sz w:val="18"/>
              </w:rPr>
            </w:pPr>
          </w:p>
        </w:tc>
        <w:tc>
          <w:tcPr>
            <w:tcW w:w="814" w:type="dxa"/>
            <w:vAlign w:val="center"/>
          </w:tcPr>
          <w:p>
            <w:pPr>
              <w:jc w:val="center"/>
              <w:rPr>
                <w:noProof/>
                <w:sz w:val="18"/>
              </w:rPr>
            </w:pPr>
            <w:r>
              <w:rPr>
                <w:noProof/>
                <w:sz w:val="18"/>
              </w:rPr>
              <w:t>harmadik országoktól</w:t>
            </w:r>
          </w:p>
        </w:tc>
        <w:tc>
          <w:tcPr>
            <w:tcW w:w="1448" w:type="dxa"/>
            <w:vAlign w:val="center"/>
          </w:tcPr>
          <w:p>
            <w:pPr>
              <w:jc w:val="center"/>
              <w:rPr>
                <w:noProof/>
              </w:rPr>
            </w:pPr>
            <w:r>
              <w:rPr>
                <w:noProof/>
                <w:sz w:val="16"/>
              </w:rPr>
              <w:t xml:space="preserve">a költségvetési rendelet [21. cikke (2) bekezdésének b) pontja] értelmében </w:t>
            </w:r>
          </w:p>
        </w:tc>
      </w:tr>
      <w:tr>
        <w:tc>
          <w:tcPr>
            <w:tcW w:w="1080" w:type="dxa"/>
            <w:vAlign w:val="center"/>
          </w:tcPr>
          <w:p>
            <w:pPr>
              <w:jc w:val="center"/>
              <w:rPr>
                <w:noProof/>
              </w:rPr>
            </w:pPr>
            <w:r>
              <w:rPr>
                <w:noProof/>
              </w:rPr>
              <w:t>6</w:t>
            </w:r>
          </w:p>
        </w:tc>
        <w:tc>
          <w:tcPr>
            <w:tcW w:w="3960" w:type="dxa"/>
            <w:vAlign w:val="center"/>
          </w:tcPr>
          <w:p>
            <w:pPr>
              <w:spacing w:before="60"/>
              <w:rPr>
                <w:noProof/>
                <w:sz w:val="22"/>
              </w:rPr>
            </w:pPr>
            <w:r>
              <w:rPr>
                <w:noProof/>
                <w:sz w:val="22"/>
              </w:rPr>
              <w:t>15 01 01 A Szomszédsági, Fejlesztési és Nemzetközi Együttműködési Eszközzel kapcsolatos működési kiadások</w:t>
            </w:r>
          </w:p>
          <w:p>
            <w:pPr>
              <w:spacing w:after="60"/>
              <w:rPr>
                <w:noProof/>
              </w:rPr>
            </w:pPr>
          </w:p>
        </w:tc>
        <w:tc>
          <w:tcPr>
            <w:tcW w:w="1080" w:type="dxa"/>
            <w:vAlign w:val="center"/>
          </w:tcPr>
          <w:p>
            <w:pPr>
              <w:jc w:val="center"/>
              <w:rPr>
                <w:noProof/>
              </w:rPr>
            </w:pPr>
            <w:r>
              <w:rPr>
                <w:noProof/>
                <w:sz w:val="22"/>
              </w:rPr>
              <w:t>nem diff.</w:t>
            </w:r>
          </w:p>
        </w:tc>
        <w:tc>
          <w:tcPr>
            <w:tcW w:w="1044" w:type="dxa"/>
            <w:vAlign w:val="center"/>
          </w:tcPr>
          <w:p>
            <w:pPr>
              <w:jc w:val="center"/>
              <w:rPr>
                <w:noProof/>
              </w:rPr>
            </w:pPr>
            <w:r>
              <w:rPr>
                <w:noProof/>
                <w:sz w:val="22"/>
              </w:rPr>
              <w:t>NEM</w:t>
            </w:r>
          </w:p>
        </w:tc>
        <w:tc>
          <w:tcPr>
            <w:tcW w:w="1134" w:type="dxa"/>
            <w:vAlign w:val="center"/>
          </w:tcPr>
          <w:p>
            <w:pPr>
              <w:jc w:val="center"/>
              <w:rPr>
                <w:noProof/>
              </w:rPr>
            </w:pPr>
            <w:r>
              <w:rPr>
                <w:noProof/>
                <w:sz w:val="22"/>
              </w:rPr>
              <w:t>NEM</w:t>
            </w:r>
          </w:p>
        </w:tc>
        <w:tc>
          <w:tcPr>
            <w:tcW w:w="814" w:type="dxa"/>
            <w:vAlign w:val="center"/>
          </w:tcPr>
          <w:p>
            <w:pPr>
              <w:jc w:val="center"/>
              <w:rPr>
                <w:noProof/>
              </w:rPr>
            </w:pPr>
            <w:r>
              <w:rPr>
                <w:noProof/>
                <w:sz w:val="22"/>
              </w:rPr>
              <w:t>NEM</w:t>
            </w:r>
          </w:p>
        </w:tc>
        <w:tc>
          <w:tcPr>
            <w:tcW w:w="1448" w:type="dxa"/>
            <w:vAlign w:val="center"/>
          </w:tcPr>
          <w:p>
            <w:pPr>
              <w:jc w:val="center"/>
              <w:rPr>
                <w:noProof/>
              </w:rPr>
            </w:pPr>
            <w:r>
              <w:rPr>
                <w:noProof/>
                <w:sz w:val="22"/>
              </w:rPr>
              <w:t>NEM</w:t>
            </w:r>
          </w:p>
        </w:tc>
      </w:tr>
      <w:tr>
        <w:tc>
          <w:tcPr>
            <w:tcW w:w="1080" w:type="dxa"/>
            <w:vAlign w:val="center"/>
          </w:tcPr>
          <w:p>
            <w:pPr>
              <w:jc w:val="center"/>
              <w:rPr>
                <w:noProof/>
              </w:rPr>
            </w:pPr>
            <w:r>
              <w:rPr>
                <w:noProof/>
              </w:rPr>
              <w:t>6</w:t>
            </w:r>
          </w:p>
        </w:tc>
        <w:tc>
          <w:tcPr>
            <w:tcW w:w="3960" w:type="dxa"/>
            <w:vAlign w:val="center"/>
          </w:tcPr>
          <w:p>
            <w:pPr>
              <w:spacing w:before="60"/>
              <w:rPr>
                <w:noProof/>
                <w:sz w:val="22"/>
              </w:rPr>
            </w:pPr>
            <w:r>
              <w:rPr>
                <w:noProof/>
                <w:sz w:val="22"/>
              </w:rPr>
              <w:t>15 02 01 07 Az EURI külső tevékenységi garanciára történő tartalékképzése</w:t>
            </w:r>
          </w:p>
        </w:tc>
        <w:tc>
          <w:tcPr>
            <w:tcW w:w="1080" w:type="dxa"/>
            <w:vAlign w:val="center"/>
          </w:tcPr>
          <w:p>
            <w:pPr>
              <w:jc w:val="center"/>
              <w:rPr>
                <w:noProof/>
                <w:sz w:val="22"/>
              </w:rPr>
            </w:pPr>
            <w:r>
              <w:rPr>
                <w:noProof/>
                <w:sz w:val="22"/>
              </w:rPr>
              <w:t>diff.</w:t>
            </w:r>
          </w:p>
        </w:tc>
        <w:tc>
          <w:tcPr>
            <w:tcW w:w="1044" w:type="dxa"/>
            <w:vAlign w:val="center"/>
          </w:tcPr>
          <w:p>
            <w:pPr>
              <w:jc w:val="center"/>
              <w:rPr>
                <w:noProof/>
                <w:sz w:val="22"/>
              </w:rPr>
            </w:pPr>
            <w:r>
              <w:rPr>
                <w:noProof/>
                <w:sz w:val="22"/>
              </w:rPr>
              <w:t>IGEN</w:t>
            </w:r>
          </w:p>
        </w:tc>
        <w:tc>
          <w:tcPr>
            <w:tcW w:w="1134" w:type="dxa"/>
            <w:vAlign w:val="center"/>
          </w:tcPr>
          <w:p>
            <w:pPr>
              <w:jc w:val="center"/>
              <w:rPr>
                <w:noProof/>
                <w:sz w:val="22"/>
              </w:rPr>
            </w:pPr>
            <w:r>
              <w:rPr>
                <w:noProof/>
                <w:sz w:val="22"/>
              </w:rPr>
              <w:t>IGEN</w:t>
            </w:r>
          </w:p>
        </w:tc>
        <w:tc>
          <w:tcPr>
            <w:tcW w:w="814" w:type="dxa"/>
            <w:vAlign w:val="center"/>
          </w:tcPr>
          <w:p>
            <w:pPr>
              <w:jc w:val="center"/>
              <w:rPr>
                <w:noProof/>
                <w:sz w:val="22"/>
              </w:rPr>
            </w:pPr>
            <w:r>
              <w:rPr>
                <w:noProof/>
                <w:sz w:val="22"/>
              </w:rPr>
              <w:t>IGEN</w:t>
            </w:r>
          </w:p>
        </w:tc>
        <w:tc>
          <w:tcPr>
            <w:tcW w:w="1448" w:type="dxa"/>
            <w:vAlign w:val="center"/>
          </w:tcPr>
          <w:p>
            <w:pPr>
              <w:jc w:val="center"/>
              <w:rPr>
                <w:noProof/>
                <w:sz w:val="22"/>
              </w:rPr>
            </w:pPr>
            <w:r>
              <w:rPr>
                <w:noProof/>
                <w:sz w:val="22"/>
              </w:rPr>
              <w:t>NEM</w:t>
            </w:r>
          </w:p>
        </w:tc>
      </w:tr>
    </w:tbl>
    <w:p>
      <w:pPr>
        <w:rPr>
          <w:noProof/>
        </w:rPr>
        <w:sectPr>
          <w:pgSz w:w="11907" w:h="16840" w:code="1"/>
          <w:pgMar w:top="1134" w:right="1418" w:bottom="1134" w:left="1418" w:header="709" w:footer="709" w:gutter="0"/>
          <w:cols w:space="708"/>
          <w:docGrid w:linePitch="360"/>
        </w:sectPr>
      </w:pPr>
    </w:p>
    <w:p>
      <w:pPr>
        <w:keepNext/>
        <w:outlineLvl w:val="1"/>
        <w:rPr>
          <w:rFonts w:eastAsiaTheme="majorEastAsia"/>
          <w:b/>
          <w:noProof/>
          <w:szCs w:val="24"/>
        </w:rPr>
      </w:pPr>
      <w:bookmarkStart w:id="52" w:name="_Toc514941991"/>
      <w:bookmarkStart w:id="53" w:name="_Toc40376077"/>
      <w:r>
        <w:rPr>
          <w:b/>
          <w:bCs/>
          <w:noProof/>
          <w:szCs w:val="26"/>
        </w:rPr>
        <w:lastRenderedPageBreak/>
        <w:t>A kiadásra gyakorolt becsült hatás</w:t>
      </w:r>
      <w:bookmarkEnd w:id="52"/>
      <w:bookmarkEnd w:id="53"/>
      <w:r>
        <w:rPr>
          <w:b/>
          <w:bCs/>
          <w:noProof/>
          <w:szCs w:val="26"/>
        </w:rPr>
        <w:t xml:space="preserve"> </w:t>
      </w:r>
    </w:p>
    <w:p>
      <w:pPr>
        <w:keepNext/>
        <w:outlineLvl w:val="2"/>
        <w:rPr>
          <w:rFonts w:eastAsiaTheme="majorEastAsia"/>
          <w:bCs/>
          <w:i/>
          <w:noProof/>
          <w:u w:val="single"/>
        </w:rPr>
      </w:pPr>
      <w:bookmarkStart w:id="54" w:name="_Toc514941992"/>
      <w:bookmarkStart w:id="55" w:name="_Toc40376078"/>
      <w:r>
        <w:rPr>
          <w:bCs/>
          <w:i/>
          <w:noProof/>
        </w:rPr>
        <w:t>A kiadásra gyakorolt becsült hatás összefoglalása</w:t>
      </w:r>
      <w:bookmarkEnd w:id="54"/>
      <w:bookmarkEnd w:id="55"/>
      <w:r>
        <w:rPr>
          <w:bCs/>
          <w:i/>
          <w:noProof/>
        </w:rPr>
        <w:t xml:space="preserve"> </w:t>
      </w:r>
    </w:p>
    <w:p>
      <w:pPr>
        <w:jc w:val="right"/>
        <w:rPr>
          <w:noProof/>
          <w:sz w:val="20"/>
        </w:rPr>
      </w:pPr>
      <w:r>
        <w:rPr>
          <w:noProof/>
          <w:sz w:val="20"/>
        </w:rPr>
        <w:t>millió EUR (három tizedesjegyig)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clear" w:color="auto" w:fill="auto"/>
            <w:vAlign w:val="center"/>
          </w:tcPr>
          <w:p>
            <w:pPr>
              <w:spacing w:before="60" w:after="60"/>
              <w:jc w:val="center"/>
              <w:rPr>
                <w:b/>
                <w:noProof/>
              </w:rPr>
            </w:pPr>
            <w:r>
              <w:rPr>
                <w:b/>
                <w:noProof/>
                <w:sz w:val="22"/>
              </w:rPr>
              <w:t xml:space="preserve">A többéves pénzügyi keret fejezete </w:t>
            </w:r>
          </w:p>
        </w:tc>
        <w:tc>
          <w:tcPr>
            <w:tcW w:w="1080" w:type="dxa"/>
            <w:vAlign w:val="center"/>
          </w:tcPr>
          <w:p>
            <w:pPr>
              <w:spacing w:before="60" w:after="60"/>
              <w:jc w:val="center"/>
              <w:rPr>
                <w:noProof/>
              </w:rPr>
            </w:pPr>
            <w:r>
              <w:rPr>
                <w:b/>
                <w:noProof/>
                <w:sz w:val="22"/>
              </w:rPr>
              <w:t>&lt; 1, 3 &amp; 6 &gt;</w:t>
            </w:r>
          </w:p>
        </w:tc>
        <w:tc>
          <w:tcPr>
            <w:tcW w:w="7817" w:type="dxa"/>
            <w:vAlign w:val="center"/>
          </w:tcPr>
          <w:p>
            <w:pPr>
              <w:spacing w:before="60" w:after="60"/>
              <w:jc w:val="left"/>
              <w:rPr>
                <w:noProof/>
              </w:rPr>
            </w:pPr>
            <w:r>
              <w:rPr>
                <w:noProof/>
                <w:sz w:val="22"/>
              </w:rPr>
              <w:t xml:space="preserve"> [1. fejezet – Egységes piac, innováció és digitális gazdaság, 3. fejezet – Természeti erőforrások és környezet, 6. fejezet – Szomszédság és a világ]</w:t>
            </w:r>
          </w:p>
        </w:tc>
      </w:tr>
    </w:tbl>
    <w:p>
      <w:pPr>
        <w:rPr>
          <w:i/>
          <w:iCs/>
          <w:noProof/>
        </w:rPr>
      </w:pPr>
    </w:p>
    <w:p>
      <w:pPr>
        <w:rPr>
          <w:i/>
          <w:noProof/>
        </w:rPr>
      </w:pPr>
      <w:r>
        <w:rPr>
          <w:i/>
          <w:noProof/>
        </w:rPr>
        <w:t>A COM(2018) 435 rendeletjavaslat (a Horizont Európa keretprogramról szóló rendelet) 9. cikkében és a Horizont Európa végrehajtását szolgáló egyedi programról szóló határozatjavaslat 4. cikkében meghatározott pénzügyi keretösszegen felül 14 647 millió EUR (folyó árakon) fog rendelkezésre állni a költségvetési rendelet 21. cikkének (5) bekezdése szerinti külső címzett bevételként az Európai Uniós Helyreállítási Eszközből történő finanszírozásként.</w:t>
      </w:r>
      <w:r>
        <w:rPr>
          <w:i/>
          <w:iCs/>
          <w:noProof/>
        </w:rPr>
        <w:t xml:space="preserve"> Ebből legfeljebb 689,160 millió EUR fordítható igazgatási kiadásokra, beleértve a külső munkatársak költségeit is.</w:t>
      </w:r>
    </w:p>
    <w:p>
      <w:pPr>
        <w:rPr>
          <w:i/>
          <w:noProof/>
        </w:rPr>
      </w:pPr>
      <w:r>
        <w:rPr>
          <w:i/>
          <w:noProof/>
        </w:rPr>
        <w:t>A külső címzett bevételekből származó kiadások indikatív bontása a következő:</w:t>
      </w:r>
    </w:p>
    <w:p>
      <w:pPr>
        <w:rPr>
          <w:i/>
          <w:noProof/>
        </w:rPr>
      </w:pPr>
    </w:p>
    <w:p>
      <w:pPr>
        <w:rPr>
          <w:i/>
          <w:noProof/>
        </w:rPr>
      </w:pPr>
    </w:p>
    <w:tbl>
      <w:tblPr>
        <w:tblW w:w="14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88"/>
        <w:gridCol w:w="540"/>
        <w:gridCol w:w="1049"/>
        <w:gridCol w:w="990"/>
        <w:gridCol w:w="990"/>
        <w:gridCol w:w="976"/>
        <w:gridCol w:w="1004"/>
        <w:gridCol w:w="990"/>
        <w:gridCol w:w="990"/>
        <w:gridCol w:w="1033"/>
        <w:gridCol w:w="1127"/>
      </w:tblGrid>
      <w:tr>
        <w:tc>
          <w:tcPr>
            <w:tcW w:w="3510" w:type="dxa"/>
            <w:vAlign w:val="center"/>
          </w:tcPr>
          <w:p>
            <w:pPr>
              <w:jc w:val="center"/>
              <w:rPr>
                <w:noProof/>
              </w:rPr>
            </w:pPr>
            <w:r>
              <w:rPr>
                <w:noProof/>
                <w:sz w:val="22"/>
              </w:rPr>
              <w:t>[Európai horizont]</w:t>
            </w:r>
          </w:p>
        </w:tc>
        <w:tc>
          <w:tcPr>
            <w:tcW w:w="1388" w:type="dxa"/>
          </w:tcPr>
          <w:p>
            <w:pPr>
              <w:rPr>
                <w:noProof/>
                <w:sz w:val="20"/>
              </w:rPr>
            </w:pPr>
          </w:p>
        </w:tc>
        <w:tc>
          <w:tcPr>
            <w:tcW w:w="540" w:type="dxa"/>
          </w:tcPr>
          <w:p>
            <w:pPr>
              <w:jc w:val="center"/>
              <w:rPr>
                <w:noProof/>
                <w:sz w:val="20"/>
              </w:rPr>
            </w:pPr>
          </w:p>
        </w:tc>
        <w:tc>
          <w:tcPr>
            <w:tcW w:w="1049" w:type="dxa"/>
            <w:vAlign w:val="center"/>
          </w:tcPr>
          <w:p>
            <w:pPr>
              <w:jc w:val="center"/>
              <w:rPr>
                <w:noProof/>
                <w:sz w:val="20"/>
              </w:rPr>
            </w:pPr>
            <w:r>
              <w:rPr>
                <w:b/>
                <w:noProof/>
                <w:sz w:val="20"/>
              </w:rPr>
              <w:t>2021</w:t>
            </w:r>
          </w:p>
        </w:tc>
        <w:tc>
          <w:tcPr>
            <w:tcW w:w="990" w:type="dxa"/>
            <w:vAlign w:val="center"/>
          </w:tcPr>
          <w:p>
            <w:pPr>
              <w:jc w:val="center"/>
              <w:rPr>
                <w:noProof/>
                <w:sz w:val="20"/>
              </w:rPr>
            </w:pPr>
            <w:r>
              <w:rPr>
                <w:b/>
                <w:noProof/>
                <w:sz w:val="20"/>
              </w:rPr>
              <w:t>2022</w:t>
            </w:r>
          </w:p>
        </w:tc>
        <w:tc>
          <w:tcPr>
            <w:tcW w:w="990" w:type="dxa"/>
            <w:vAlign w:val="center"/>
          </w:tcPr>
          <w:p>
            <w:pPr>
              <w:jc w:val="center"/>
              <w:rPr>
                <w:noProof/>
                <w:sz w:val="20"/>
              </w:rPr>
            </w:pPr>
            <w:r>
              <w:rPr>
                <w:b/>
                <w:noProof/>
                <w:sz w:val="20"/>
              </w:rPr>
              <w:t>2023</w:t>
            </w:r>
          </w:p>
        </w:tc>
        <w:tc>
          <w:tcPr>
            <w:tcW w:w="976" w:type="dxa"/>
            <w:vAlign w:val="center"/>
          </w:tcPr>
          <w:p>
            <w:pPr>
              <w:jc w:val="center"/>
              <w:rPr>
                <w:noProof/>
                <w:sz w:val="20"/>
              </w:rPr>
            </w:pPr>
            <w:r>
              <w:rPr>
                <w:b/>
                <w:noProof/>
                <w:sz w:val="20"/>
              </w:rPr>
              <w:t>2024</w:t>
            </w:r>
          </w:p>
        </w:tc>
        <w:tc>
          <w:tcPr>
            <w:tcW w:w="1004" w:type="dxa"/>
            <w:vAlign w:val="center"/>
          </w:tcPr>
          <w:p>
            <w:pPr>
              <w:jc w:val="center"/>
              <w:rPr>
                <w:b/>
                <w:noProof/>
                <w:sz w:val="20"/>
              </w:rPr>
            </w:pPr>
            <w:r>
              <w:rPr>
                <w:b/>
                <w:noProof/>
                <w:sz w:val="20"/>
              </w:rPr>
              <w:t>2025</w:t>
            </w:r>
          </w:p>
        </w:tc>
        <w:tc>
          <w:tcPr>
            <w:tcW w:w="990" w:type="dxa"/>
            <w:vAlign w:val="center"/>
          </w:tcPr>
          <w:p>
            <w:pPr>
              <w:jc w:val="center"/>
              <w:rPr>
                <w:b/>
                <w:noProof/>
                <w:sz w:val="20"/>
              </w:rPr>
            </w:pPr>
            <w:r>
              <w:rPr>
                <w:b/>
                <w:noProof/>
                <w:sz w:val="20"/>
              </w:rPr>
              <w:t>2026</w:t>
            </w:r>
          </w:p>
        </w:tc>
        <w:tc>
          <w:tcPr>
            <w:tcW w:w="990" w:type="dxa"/>
            <w:vAlign w:val="center"/>
          </w:tcPr>
          <w:p>
            <w:pPr>
              <w:jc w:val="center"/>
              <w:rPr>
                <w:b/>
                <w:noProof/>
                <w:sz w:val="20"/>
              </w:rPr>
            </w:pPr>
            <w:r>
              <w:rPr>
                <w:b/>
                <w:noProof/>
                <w:sz w:val="20"/>
              </w:rPr>
              <w:t>2027</w:t>
            </w:r>
          </w:p>
        </w:tc>
        <w:tc>
          <w:tcPr>
            <w:tcW w:w="1033" w:type="dxa"/>
          </w:tcPr>
          <w:p>
            <w:pPr>
              <w:jc w:val="center"/>
              <w:rPr>
                <w:b/>
                <w:noProof/>
                <w:sz w:val="20"/>
              </w:rPr>
            </w:pPr>
            <w:r>
              <w:rPr>
                <w:b/>
                <w:i/>
                <w:noProof/>
                <w:sz w:val="20"/>
              </w:rPr>
              <w:t>2027 után</w:t>
            </w:r>
          </w:p>
        </w:tc>
        <w:tc>
          <w:tcPr>
            <w:tcW w:w="1127" w:type="dxa"/>
            <w:vAlign w:val="center"/>
          </w:tcPr>
          <w:p>
            <w:pPr>
              <w:jc w:val="center"/>
              <w:rPr>
                <w:b/>
                <w:noProof/>
                <w:sz w:val="20"/>
              </w:rPr>
            </w:pPr>
            <w:r>
              <w:rPr>
                <w:b/>
                <w:noProof/>
                <w:sz w:val="20"/>
              </w:rPr>
              <w:t>ÖSSZESEN</w:t>
            </w:r>
          </w:p>
        </w:tc>
      </w:tr>
      <w:tr>
        <w:tc>
          <w:tcPr>
            <w:tcW w:w="3510" w:type="dxa"/>
            <w:vMerge w:val="restart"/>
            <w:tcBorders>
              <w:top w:val="single" w:sz="4" w:space="0" w:color="auto"/>
              <w:left w:val="single" w:sz="4" w:space="0" w:color="auto"/>
              <w:right w:val="single" w:sz="4" w:space="0" w:color="auto"/>
            </w:tcBorders>
            <w:vAlign w:val="center"/>
          </w:tcPr>
          <w:p>
            <w:pPr>
              <w:jc w:val="center"/>
              <w:rPr>
                <w:noProof/>
                <w:sz w:val="22"/>
              </w:rPr>
            </w:pPr>
            <w:r>
              <w:rPr>
                <w:noProof/>
                <w:sz w:val="22"/>
              </w:rPr>
              <w:t>Operatív kiadások az EURI külső címzett bevételeiből</w:t>
            </w:r>
          </w:p>
        </w:tc>
        <w:tc>
          <w:tcPr>
            <w:tcW w:w="1388" w:type="dxa"/>
            <w:tcBorders>
              <w:top w:val="single" w:sz="4" w:space="0" w:color="auto"/>
              <w:left w:val="single" w:sz="4" w:space="0" w:color="auto"/>
              <w:bottom w:val="single" w:sz="4" w:space="0" w:color="auto"/>
              <w:right w:val="single" w:sz="4" w:space="0" w:color="auto"/>
            </w:tcBorders>
          </w:tcPr>
          <w:p>
            <w:pPr>
              <w:rPr>
                <w:noProof/>
                <w:sz w:val="20"/>
              </w:rPr>
            </w:pPr>
            <w:r>
              <w:rPr>
                <w:noProof/>
                <w:sz w:val="20"/>
              </w:rPr>
              <w:t>Kötelezettségvállalási előirányzatok</w:t>
            </w:r>
          </w:p>
        </w:tc>
        <w:tc>
          <w:tcPr>
            <w:tcW w:w="540" w:type="dxa"/>
            <w:tcBorders>
              <w:top w:val="single" w:sz="4" w:space="0" w:color="auto"/>
              <w:left w:val="single" w:sz="4" w:space="0" w:color="auto"/>
              <w:bottom w:val="single" w:sz="4" w:space="0" w:color="auto"/>
              <w:right w:val="single" w:sz="4" w:space="0" w:color="auto"/>
            </w:tcBorders>
          </w:tcPr>
          <w:p>
            <w:pPr>
              <w:jc w:val="center"/>
              <w:rPr>
                <w:noProof/>
                <w:sz w:val="20"/>
              </w:rPr>
            </w:pPr>
            <w:r>
              <w:rPr>
                <w:noProof/>
                <w:sz w:val="14"/>
              </w:rPr>
              <w:t>1</w:t>
            </w:r>
          </w:p>
        </w:tc>
        <w:tc>
          <w:tcPr>
            <w:tcW w:w="1049"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4 919,020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4 739,320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2 558,890</w:t>
            </w:r>
          </w:p>
        </w:tc>
        <w:tc>
          <w:tcPr>
            <w:tcW w:w="976"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1 740,610</w:t>
            </w:r>
          </w:p>
        </w:tc>
        <w:tc>
          <w:tcPr>
            <w:tcW w:w="1004" w:type="dxa"/>
            <w:tcBorders>
              <w:top w:val="single" w:sz="4" w:space="0" w:color="auto"/>
              <w:left w:val="single" w:sz="4" w:space="0" w:color="auto"/>
              <w:bottom w:val="single" w:sz="4" w:space="0" w:color="auto"/>
              <w:right w:val="single" w:sz="4" w:space="0" w:color="auto"/>
            </w:tcBorders>
            <w:vAlign w:val="center"/>
          </w:tcPr>
          <w:p>
            <w:pPr>
              <w:jc w:val="center"/>
              <w:rPr>
                <w:b/>
                <w:noProof/>
                <w:sz w:val="18"/>
              </w:rPr>
            </w:pP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rPr>
            </w:pP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rPr>
            </w:pPr>
          </w:p>
        </w:tc>
        <w:tc>
          <w:tcPr>
            <w:tcW w:w="1033" w:type="dxa"/>
            <w:tcBorders>
              <w:top w:val="single" w:sz="4" w:space="0" w:color="auto"/>
              <w:left w:val="single" w:sz="4" w:space="0" w:color="auto"/>
              <w:bottom w:val="single" w:sz="4" w:space="0" w:color="auto"/>
              <w:right w:val="single" w:sz="4" w:space="0" w:color="auto"/>
            </w:tcBorders>
          </w:tcPr>
          <w:p>
            <w:pPr>
              <w:jc w:val="center"/>
              <w:rPr>
                <w:b/>
                <w:i/>
                <w:noProof/>
                <w:sz w:val="18"/>
                <w:szCs w:val="18"/>
              </w:rPr>
            </w:pPr>
          </w:p>
        </w:tc>
        <w:tc>
          <w:tcPr>
            <w:tcW w:w="1127"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13 957,840</w:t>
            </w:r>
          </w:p>
        </w:tc>
      </w:tr>
      <w:tr>
        <w:tc>
          <w:tcPr>
            <w:tcW w:w="3510" w:type="dxa"/>
            <w:vMerge/>
            <w:tcBorders>
              <w:left w:val="single" w:sz="4" w:space="0" w:color="auto"/>
              <w:bottom w:val="single" w:sz="4" w:space="0" w:color="auto"/>
              <w:right w:val="single" w:sz="4" w:space="0" w:color="auto"/>
            </w:tcBorders>
            <w:vAlign w:val="center"/>
          </w:tcPr>
          <w:p>
            <w:pPr>
              <w:jc w:val="center"/>
              <w:rPr>
                <w:noProof/>
                <w:sz w:val="22"/>
              </w:rPr>
            </w:pPr>
          </w:p>
        </w:tc>
        <w:tc>
          <w:tcPr>
            <w:tcW w:w="1388" w:type="dxa"/>
            <w:tcBorders>
              <w:top w:val="single" w:sz="4" w:space="0" w:color="auto"/>
              <w:left w:val="single" w:sz="4" w:space="0" w:color="auto"/>
              <w:bottom w:val="single" w:sz="4" w:space="0" w:color="auto"/>
              <w:right w:val="single" w:sz="4" w:space="0" w:color="auto"/>
            </w:tcBorders>
          </w:tcPr>
          <w:p>
            <w:pPr>
              <w:rPr>
                <w:noProof/>
                <w:sz w:val="20"/>
              </w:rPr>
            </w:pPr>
            <w:r>
              <w:rPr>
                <w:noProof/>
                <w:sz w:val="20"/>
              </w:rPr>
              <w:t>Kifizetési előirányzatok</w:t>
            </w:r>
          </w:p>
        </w:tc>
        <w:tc>
          <w:tcPr>
            <w:tcW w:w="540" w:type="dxa"/>
            <w:tcBorders>
              <w:top w:val="single" w:sz="4" w:space="0" w:color="auto"/>
              <w:left w:val="single" w:sz="4" w:space="0" w:color="auto"/>
              <w:bottom w:val="single" w:sz="4" w:space="0" w:color="auto"/>
              <w:right w:val="single" w:sz="4" w:space="0" w:color="auto"/>
            </w:tcBorders>
          </w:tcPr>
          <w:p>
            <w:pPr>
              <w:jc w:val="center"/>
              <w:rPr>
                <w:noProof/>
                <w:sz w:val="20"/>
              </w:rPr>
            </w:pPr>
            <w:r>
              <w:rPr>
                <w:noProof/>
                <w:sz w:val="14"/>
              </w:rPr>
              <w:t>2</w:t>
            </w:r>
          </w:p>
        </w:tc>
        <w:tc>
          <w:tcPr>
            <w:tcW w:w="1049"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433,668</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3 479,853</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2 708,187</w:t>
            </w:r>
          </w:p>
        </w:tc>
        <w:tc>
          <w:tcPr>
            <w:tcW w:w="976"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2 475,285</w:t>
            </w:r>
          </w:p>
        </w:tc>
        <w:tc>
          <w:tcPr>
            <w:tcW w:w="1004"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1 978,160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1 860,712</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909,443</w:t>
            </w:r>
          </w:p>
        </w:tc>
        <w:tc>
          <w:tcPr>
            <w:tcW w:w="1033" w:type="dxa"/>
            <w:tcBorders>
              <w:top w:val="single" w:sz="4" w:space="0" w:color="auto"/>
              <w:left w:val="single" w:sz="4" w:space="0" w:color="auto"/>
              <w:bottom w:val="single" w:sz="4" w:space="0" w:color="auto"/>
              <w:right w:val="single" w:sz="4" w:space="0" w:color="auto"/>
            </w:tcBorders>
          </w:tcPr>
          <w:p>
            <w:pPr>
              <w:jc w:val="center"/>
              <w:rPr>
                <w:b/>
                <w:noProof/>
                <w:sz w:val="18"/>
                <w:szCs w:val="18"/>
              </w:rPr>
            </w:pPr>
            <w:r>
              <w:rPr>
                <w:b/>
                <w:noProof/>
                <w:sz w:val="18"/>
                <w:szCs w:val="18"/>
              </w:rPr>
              <w:t>112,532</w:t>
            </w:r>
          </w:p>
        </w:tc>
        <w:tc>
          <w:tcPr>
            <w:tcW w:w="1127"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13 957,840</w:t>
            </w:r>
          </w:p>
        </w:tc>
      </w:tr>
      <w:tr>
        <w:tc>
          <w:tcPr>
            <w:tcW w:w="3510" w:type="dxa"/>
            <w:tcBorders>
              <w:top w:val="single" w:sz="4" w:space="0" w:color="auto"/>
              <w:left w:val="single" w:sz="4" w:space="0" w:color="auto"/>
              <w:bottom w:val="single" w:sz="4" w:space="0" w:color="auto"/>
              <w:right w:val="single" w:sz="4" w:space="0" w:color="auto"/>
            </w:tcBorders>
            <w:vAlign w:val="center"/>
          </w:tcPr>
          <w:p>
            <w:pPr>
              <w:jc w:val="center"/>
              <w:rPr>
                <w:noProof/>
                <w:sz w:val="22"/>
              </w:rPr>
            </w:pPr>
            <w:r>
              <w:rPr>
                <w:noProof/>
                <w:sz w:val="22"/>
              </w:rPr>
              <w:t>Igazgatási működési kiadások az EURI külső címzett bevételeiből</w:t>
            </w:r>
          </w:p>
        </w:tc>
        <w:tc>
          <w:tcPr>
            <w:tcW w:w="1388" w:type="dxa"/>
            <w:tcBorders>
              <w:top w:val="single" w:sz="4" w:space="0" w:color="auto"/>
              <w:left w:val="single" w:sz="4" w:space="0" w:color="auto"/>
              <w:bottom w:val="single" w:sz="4" w:space="0" w:color="auto"/>
              <w:right w:val="single" w:sz="4" w:space="0" w:color="auto"/>
            </w:tcBorders>
            <w:vAlign w:val="center"/>
          </w:tcPr>
          <w:p>
            <w:pPr>
              <w:rPr>
                <w:noProof/>
                <w:sz w:val="20"/>
              </w:rPr>
            </w:pPr>
            <w:r>
              <w:rPr>
                <w:noProof/>
                <w:sz w:val="18"/>
              </w:rPr>
              <w:t>Kötelezettségvállalási előirányzatok = kifizetési előirányzatok</w:t>
            </w:r>
          </w:p>
        </w:tc>
        <w:tc>
          <w:tcPr>
            <w:tcW w:w="540" w:type="dxa"/>
            <w:tcBorders>
              <w:top w:val="single" w:sz="4" w:space="0" w:color="auto"/>
              <w:left w:val="single" w:sz="4" w:space="0" w:color="auto"/>
              <w:bottom w:val="single" w:sz="4" w:space="0" w:color="auto"/>
              <w:right w:val="single" w:sz="4" w:space="0" w:color="auto"/>
            </w:tcBorders>
            <w:vAlign w:val="center"/>
          </w:tcPr>
          <w:p>
            <w:pPr>
              <w:jc w:val="center"/>
              <w:rPr>
                <w:noProof/>
                <w:sz w:val="20"/>
              </w:rPr>
            </w:pPr>
            <w:r>
              <w:rPr>
                <w:noProof/>
                <w:sz w:val="14"/>
              </w:rPr>
              <w:t>3</w:t>
            </w:r>
          </w:p>
        </w:tc>
        <w:tc>
          <w:tcPr>
            <w:tcW w:w="1049"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126,980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197,680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132,110</w:t>
            </w:r>
          </w:p>
        </w:tc>
        <w:tc>
          <w:tcPr>
            <w:tcW w:w="976"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106,390</w:t>
            </w:r>
          </w:p>
        </w:tc>
        <w:tc>
          <w:tcPr>
            <w:tcW w:w="1004" w:type="dxa"/>
            <w:tcBorders>
              <w:top w:val="single" w:sz="4" w:space="0" w:color="auto"/>
              <w:left w:val="single" w:sz="4" w:space="0" w:color="auto"/>
              <w:bottom w:val="single" w:sz="4" w:space="0" w:color="auto"/>
              <w:right w:val="single" w:sz="4" w:space="0" w:color="auto"/>
            </w:tcBorders>
            <w:vAlign w:val="center"/>
          </w:tcPr>
          <w:p>
            <w:pPr>
              <w:jc w:val="center"/>
              <w:rPr>
                <w:b/>
                <w:noProof/>
                <w:sz w:val="18"/>
              </w:rPr>
            </w:pPr>
            <w:r>
              <w:rPr>
                <w:b/>
                <w:noProof/>
                <w:sz w:val="18"/>
                <w:szCs w:val="18"/>
              </w:rPr>
              <w:t>51,000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rPr>
            </w:pPr>
            <w:r>
              <w:rPr>
                <w:b/>
                <w:noProof/>
                <w:sz w:val="18"/>
                <w:szCs w:val="18"/>
              </w:rPr>
              <w:t>37,000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rPr>
            </w:pPr>
            <w:r>
              <w:rPr>
                <w:b/>
                <w:noProof/>
                <w:sz w:val="18"/>
                <w:szCs w:val="18"/>
              </w:rPr>
              <w:t>38,000</w:t>
            </w:r>
          </w:p>
        </w:tc>
        <w:tc>
          <w:tcPr>
            <w:tcW w:w="1033"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p>
        </w:tc>
        <w:tc>
          <w:tcPr>
            <w:tcW w:w="1127"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689,160</w:t>
            </w:r>
          </w:p>
        </w:tc>
      </w:tr>
      <w:tr>
        <w:tc>
          <w:tcPr>
            <w:tcW w:w="3510" w:type="dxa"/>
            <w:vMerge w:val="restart"/>
            <w:tcBorders>
              <w:top w:val="single" w:sz="4" w:space="0" w:color="auto"/>
              <w:left w:val="single" w:sz="4" w:space="0" w:color="auto"/>
              <w:right w:val="single" w:sz="4" w:space="0" w:color="auto"/>
            </w:tcBorders>
            <w:vAlign w:val="center"/>
          </w:tcPr>
          <w:p>
            <w:pPr>
              <w:jc w:val="center"/>
              <w:rPr>
                <w:noProof/>
                <w:sz w:val="22"/>
              </w:rPr>
            </w:pPr>
            <w:r>
              <w:rPr>
                <w:noProof/>
                <w:sz w:val="22"/>
              </w:rPr>
              <w:t>Külső címzett bevétel összesen</w:t>
            </w:r>
          </w:p>
        </w:tc>
        <w:tc>
          <w:tcPr>
            <w:tcW w:w="1388" w:type="dxa"/>
            <w:tcBorders>
              <w:top w:val="single" w:sz="4" w:space="0" w:color="auto"/>
              <w:left w:val="single" w:sz="4" w:space="0" w:color="auto"/>
              <w:bottom w:val="single" w:sz="4" w:space="0" w:color="auto"/>
              <w:right w:val="single" w:sz="4" w:space="0" w:color="auto"/>
            </w:tcBorders>
          </w:tcPr>
          <w:p>
            <w:pPr>
              <w:rPr>
                <w:noProof/>
                <w:sz w:val="20"/>
              </w:rPr>
            </w:pPr>
            <w:r>
              <w:rPr>
                <w:noProof/>
                <w:sz w:val="20"/>
              </w:rPr>
              <w:t>Kötelezettség</w:t>
            </w:r>
            <w:r>
              <w:rPr>
                <w:noProof/>
                <w:sz w:val="20"/>
              </w:rPr>
              <w:lastRenderedPageBreak/>
              <w:t>vállalási előirányzatok</w:t>
            </w:r>
          </w:p>
        </w:tc>
        <w:tc>
          <w:tcPr>
            <w:tcW w:w="540" w:type="dxa"/>
            <w:tcBorders>
              <w:top w:val="single" w:sz="4" w:space="0" w:color="auto"/>
              <w:left w:val="single" w:sz="4" w:space="0" w:color="auto"/>
              <w:bottom w:val="single" w:sz="4" w:space="0" w:color="auto"/>
              <w:right w:val="single" w:sz="4" w:space="0" w:color="auto"/>
            </w:tcBorders>
          </w:tcPr>
          <w:p>
            <w:pPr>
              <w:jc w:val="center"/>
              <w:rPr>
                <w:noProof/>
                <w:sz w:val="20"/>
              </w:rPr>
            </w:pPr>
            <w:r>
              <w:rPr>
                <w:noProof/>
                <w:sz w:val="14"/>
              </w:rPr>
              <w:lastRenderedPageBreak/>
              <w:t>=1+3</w:t>
            </w:r>
          </w:p>
        </w:tc>
        <w:tc>
          <w:tcPr>
            <w:tcW w:w="1049"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5 046,000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4 937,000</w:t>
            </w:r>
          </w:p>
        </w:tc>
        <w:tc>
          <w:tcPr>
            <w:tcW w:w="990" w:type="dxa"/>
            <w:tcBorders>
              <w:top w:val="single" w:sz="4" w:space="0" w:color="auto"/>
              <w:left w:val="single" w:sz="4" w:space="0" w:color="auto"/>
              <w:bottom w:val="single" w:sz="4" w:space="0" w:color="auto"/>
              <w:right w:val="single" w:sz="4" w:space="0" w:color="auto"/>
            </w:tcBorders>
            <w:vAlign w:val="center"/>
          </w:tcPr>
          <w:p>
            <w:pPr>
              <w:rPr>
                <w:b/>
                <w:noProof/>
                <w:sz w:val="18"/>
                <w:szCs w:val="18"/>
              </w:rPr>
            </w:pPr>
            <w:r>
              <w:rPr>
                <w:b/>
                <w:noProof/>
                <w:sz w:val="18"/>
                <w:szCs w:val="18"/>
              </w:rPr>
              <w:t>2 691,000</w:t>
            </w:r>
          </w:p>
        </w:tc>
        <w:tc>
          <w:tcPr>
            <w:tcW w:w="976"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1 847,000</w:t>
            </w:r>
          </w:p>
        </w:tc>
        <w:tc>
          <w:tcPr>
            <w:tcW w:w="1004" w:type="dxa"/>
            <w:tcBorders>
              <w:top w:val="single" w:sz="4" w:space="0" w:color="auto"/>
              <w:left w:val="single" w:sz="4" w:space="0" w:color="auto"/>
              <w:bottom w:val="single" w:sz="4" w:space="0" w:color="auto"/>
              <w:right w:val="single" w:sz="4" w:space="0" w:color="auto"/>
            </w:tcBorders>
            <w:vAlign w:val="center"/>
          </w:tcPr>
          <w:p>
            <w:pPr>
              <w:jc w:val="center"/>
              <w:rPr>
                <w:b/>
                <w:noProof/>
                <w:sz w:val="18"/>
              </w:rPr>
            </w:pPr>
            <w:r>
              <w:rPr>
                <w:b/>
                <w:noProof/>
                <w:sz w:val="18"/>
                <w:szCs w:val="18"/>
              </w:rPr>
              <w:t>51,000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rPr>
            </w:pPr>
            <w:r>
              <w:rPr>
                <w:b/>
                <w:noProof/>
                <w:sz w:val="18"/>
                <w:szCs w:val="18"/>
              </w:rPr>
              <w:t>37,000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rPr>
            </w:pPr>
            <w:r>
              <w:rPr>
                <w:b/>
                <w:noProof/>
                <w:sz w:val="18"/>
                <w:szCs w:val="18"/>
              </w:rPr>
              <w:t>38,000</w:t>
            </w:r>
          </w:p>
        </w:tc>
        <w:tc>
          <w:tcPr>
            <w:tcW w:w="1033" w:type="dxa"/>
            <w:tcBorders>
              <w:top w:val="single" w:sz="4" w:space="0" w:color="auto"/>
              <w:left w:val="single" w:sz="4" w:space="0" w:color="auto"/>
              <w:bottom w:val="single" w:sz="4" w:space="0" w:color="auto"/>
              <w:right w:val="single" w:sz="4" w:space="0" w:color="auto"/>
            </w:tcBorders>
            <w:vAlign w:val="center"/>
          </w:tcPr>
          <w:p>
            <w:pPr>
              <w:jc w:val="center"/>
              <w:rPr>
                <w:b/>
                <w:i/>
                <w:noProof/>
                <w:sz w:val="18"/>
                <w:szCs w:val="18"/>
              </w:rPr>
            </w:pPr>
          </w:p>
        </w:tc>
        <w:tc>
          <w:tcPr>
            <w:tcW w:w="1127"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14 647,000</w:t>
            </w:r>
          </w:p>
        </w:tc>
      </w:tr>
      <w:tr>
        <w:tc>
          <w:tcPr>
            <w:tcW w:w="3510" w:type="dxa"/>
            <w:vMerge/>
            <w:tcBorders>
              <w:left w:val="single" w:sz="4" w:space="0" w:color="auto"/>
              <w:bottom w:val="single" w:sz="4" w:space="0" w:color="auto"/>
              <w:right w:val="single" w:sz="4" w:space="0" w:color="auto"/>
            </w:tcBorders>
            <w:vAlign w:val="center"/>
          </w:tcPr>
          <w:p>
            <w:pPr>
              <w:jc w:val="center"/>
              <w:rPr>
                <w:noProof/>
                <w:sz w:val="22"/>
              </w:rPr>
            </w:pPr>
          </w:p>
        </w:tc>
        <w:tc>
          <w:tcPr>
            <w:tcW w:w="1388" w:type="dxa"/>
            <w:tcBorders>
              <w:top w:val="single" w:sz="4" w:space="0" w:color="auto"/>
              <w:left w:val="single" w:sz="4" w:space="0" w:color="auto"/>
              <w:bottom w:val="single" w:sz="4" w:space="0" w:color="auto"/>
              <w:right w:val="single" w:sz="4" w:space="0" w:color="auto"/>
            </w:tcBorders>
          </w:tcPr>
          <w:p>
            <w:pPr>
              <w:rPr>
                <w:noProof/>
                <w:sz w:val="20"/>
              </w:rPr>
            </w:pPr>
            <w:r>
              <w:rPr>
                <w:noProof/>
                <w:sz w:val="20"/>
              </w:rPr>
              <w:t>Kifizetési előirányzatok</w:t>
            </w:r>
          </w:p>
        </w:tc>
        <w:tc>
          <w:tcPr>
            <w:tcW w:w="540" w:type="dxa"/>
            <w:tcBorders>
              <w:top w:val="single" w:sz="4" w:space="0" w:color="auto"/>
              <w:left w:val="single" w:sz="4" w:space="0" w:color="auto"/>
              <w:bottom w:val="single" w:sz="4" w:space="0" w:color="auto"/>
              <w:right w:val="single" w:sz="4" w:space="0" w:color="auto"/>
            </w:tcBorders>
          </w:tcPr>
          <w:p>
            <w:pPr>
              <w:jc w:val="center"/>
              <w:rPr>
                <w:noProof/>
                <w:sz w:val="14"/>
              </w:rPr>
            </w:pPr>
            <w:r>
              <w:rPr>
                <w:noProof/>
                <w:sz w:val="14"/>
              </w:rPr>
              <w:t>=2+3</w:t>
            </w:r>
          </w:p>
        </w:tc>
        <w:tc>
          <w:tcPr>
            <w:tcW w:w="1049"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560,648</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3 677,533</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2 840,297</w:t>
            </w:r>
          </w:p>
        </w:tc>
        <w:tc>
          <w:tcPr>
            <w:tcW w:w="976"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2 581,675</w:t>
            </w:r>
          </w:p>
        </w:tc>
        <w:tc>
          <w:tcPr>
            <w:tcW w:w="1004"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2 029,160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1 897,712</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947,443</w:t>
            </w:r>
          </w:p>
        </w:tc>
        <w:tc>
          <w:tcPr>
            <w:tcW w:w="1033" w:type="dxa"/>
            <w:tcBorders>
              <w:top w:val="single" w:sz="4" w:space="0" w:color="auto"/>
              <w:left w:val="single" w:sz="4" w:space="0" w:color="auto"/>
              <w:bottom w:val="single" w:sz="4" w:space="0" w:color="auto"/>
              <w:right w:val="single" w:sz="4" w:space="0" w:color="auto"/>
            </w:tcBorders>
          </w:tcPr>
          <w:p>
            <w:pPr>
              <w:jc w:val="center"/>
              <w:rPr>
                <w:b/>
                <w:noProof/>
                <w:sz w:val="18"/>
                <w:szCs w:val="18"/>
              </w:rPr>
            </w:pPr>
            <w:r>
              <w:rPr>
                <w:b/>
                <w:noProof/>
                <w:sz w:val="18"/>
                <w:szCs w:val="18"/>
              </w:rPr>
              <w:t>112,532</w:t>
            </w:r>
          </w:p>
        </w:tc>
        <w:tc>
          <w:tcPr>
            <w:tcW w:w="1127"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14 647,000</w:t>
            </w:r>
          </w:p>
        </w:tc>
      </w:tr>
    </w:tbl>
    <w:p>
      <w:pPr>
        <w:rPr>
          <w:i/>
          <w:noProof/>
        </w:rPr>
      </w:pPr>
    </w:p>
    <w:p>
      <w:pPr>
        <w:rPr>
          <w:i/>
          <w:noProof/>
        </w:rPr>
      </w:pPr>
      <w:r>
        <w:rPr>
          <w:i/>
          <w:noProof/>
        </w:rPr>
        <w:t>A COM(2018) 392 rendeletjavaslat (a KAP-stratégiai terv alá tartozó EMVA beavatkozások) 83. cikkében meghatározott pénzügyi keretösszegen felül 16 483 millió EUR (folyó árakon) fog rendelkezésre állni a költségvetési rendelet 21. cikkének (5) bekezdése szerinti külső címzett bevételként a 2022–2024-es időszakban</w:t>
      </w:r>
      <w:r>
        <w:rPr>
          <w:rStyle w:val="FootnoteReference"/>
          <w:i/>
          <w:iCs/>
          <w:noProof/>
        </w:rPr>
        <w:footnoteReference w:id="15"/>
      </w:r>
      <w:r>
        <w:rPr>
          <w:i/>
          <w:noProof/>
        </w:rPr>
        <w:t xml:space="preserve"> az Európai Uniós Helyreállítási Eszközből történő finanszírozásként.</w:t>
      </w:r>
      <w:r>
        <w:rPr>
          <w:i/>
          <w:iCs/>
          <w:noProof/>
        </w:rPr>
        <w:t xml:space="preserve"> Ebből legfeljebb 6 000 millió EUR fordítható igazgatási kiadásokra, beleértve a külső munkatársak költségeit is. Az operatív technikai segítségnyújtás az operatív kiadás összegébe van belefoglalva, és azt követően kerül majd kiszámításra, hogy a COM(2018) 392 rendeletjavaslat 83. cikkének (3) bekezdése szerint minden egyes tagállam vonatkozásában meghatározásra kerültek az (1) bekezdésben említett kiegészítő források.</w:t>
      </w:r>
    </w:p>
    <w:p>
      <w:pPr>
        <w:rPr>
          <w:i/>
          <w:noProof/>
        </w:rPr>
      </w:pPr>
      <w:r>
        <w:rPr>
          <w:i/>
          <w:noProof/>
        </w:rPr>
        <w:t>A külső címzett bevételekből származó kiadások indikatív bontása a következő:</w:t>
      </w:r>
    </w:p>
    <w:tbl>
      <w:tblPr>
        <w:tblW w:w="14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1388"/>
        <w:gridCol w:w="540"/>
        <w:gridCol w:w="990"/>
        <w:gridCol w:w="990"/>
        <w:gridCol w:w="990"/>
        <w:gridCol w:w="976"/>
        <w:gridCol w:w="1004"/>
        <w:gridCol w:w="990"/>
        <w:gridCol w:w="990"/>
        <w:gridCol w:w="1033"/>
        <w:gridCol w:w="1127"/>
      </w:tblGrid>
      <w:tr>
        <w:tc>
          <w:tcPr>
            <w:tcW w:w="3652" w:type="dxa"/>
            <w:vAlign w:val="center"/>
          </w:tcPr>
          <w:p>
            <w:pPr>
              <w:jc w:val="center"/>
              <w:rPr>
                <w:noProof/>
              </w:rPr>
            </w:pPr>
            <w:r>
              <w:rPr>
                <w:noProof/>
                <w:sz w:val="22"/>
              </w:rPr>
              <w:t>[EMVA]</w:t>
            </w:r>
          </w:p>
        </w:tc>
        <w:tc>
          <w:tcPr>
            <w:tcW w:w="1388" w:type="dxa"/>
          </w:tcPr>
          <w:p>
            <w:pPr>
              <w:rPr>
                <w:noProof/>
                <w:sz w:val="20"/>
              </w:rPr>
            </w:pPr>
          </w:p>
        </w:tc>
        <w:tc>
          <w:tcPr>
            <w:tcW w:w="540" w:type="dxa"/>
          </w:tcPr>
          <w:p>
            <w:pPr>
              <w:jc w:val="center"/>
              <w:rPr>
                <w:noProof/>
                <w:sz w:val="20"/>
              </w:rPr>
            </w:pPr>
          </w:p>
        </w:tc>
        <w:tc>
          <w:tcPr>
            <w:tcW w:w="990" w:type="dxa"/>
            <w:vAlign w:val="center"/>
          </w:tcPr>
          <w:p>
            <w:pPr>
              <w:jc w:val="center"/>
              <w:rPr>
                <w:noProof/>
                <w:sz w:val="20"/>
                <w:szCs w:val="20"/>
              </w:rPr>
            </w:pPr>
            <w:r>
              <w:rPr>
                <w:b/>
                <w:noProof/>
                <w:sz w:val="20"/>
                <w:szCs w:val="20"/>
              </w:rPr>
              <w:t>2021</w:t>
            </w:r>
          </w:p>
        </w:tc>
        <w:tc>
          <w:tcPr>
            <w:tcW w:w="990" w:type="dxa"/>
            <w:vAlign w:val="center"/>
          </w:tcPr>
          <w:p>
            <w:pPr>
              <w:jc w:val="center"/>
              <w:rPr>
                <w:noProof/>
                <w:sz w:val="20"/>
                <w:szCs w:val="20"/>
              </w:rPr>
            </w:pPr>
            <w:r>
              <w:rPr>
                <w:b/>
                <w:noProof/>
                <w:sz w:val="20"/>
                <w:szCs w:val="20"/>
              </w:rPr>
              <w:t>2022</w:t>
            </w:r>
          </w:p>
        </w:tc>
        <w:tc>
          <w:tcPr>
            <w:tcW w:w="990" w:type="dxa"/>
            <w:vAlign w:val="center"/>
          </w:tcPr>
          <w:p>
            <w:pPr>
              <w:jc w:val="center"/>
              <w:rPr>
                <w:noProof/>
                <w:sz w:val="20"/>
                <w:szCs w:val="20"/>
              </w:rPr>
            </w:pPr>
            <w:r>
              <w:rPr>
                <w:b/>
                <w:noProof/>
                <w:sz w:val="20"/>
                <w:szCs w:val="20"/>
              </w:rPr>
              <w:t>2023</w:t>
            </w:r>
          </w:p>
        </w:tc>
        <w:tc>
          <w:tcPr>
            <w:tcW w:w="976" w:type="dxa"/>
            <w:vAlign w:val="center"/>
          </w:tcPr>
          <w:p>
            <w:pPr>
              <w:jc w:val="center"/>
              <w:rPr>
                <w:noProof/>
                <w:sz w:val="20"/>
                <w:szCs w:val="20"/>
              </w:rPr>
            </w:pPr>
            <w:r>
              <w:rPr>
                <w:b/>
                <w:noProof/>
                <w:sz w:val="20"/>
                <w:szCs w:val="20"/>
              </w:rPr>
              <w:t>2024</w:t>
            </w:r>
          </w:p>
        </w:tc>
        <w:tc>
          <w:tcPr>
            <w:tcW w:w="1004" w:type="dxa"/>
            <w:vAlign w:val="center"/>
          </w:tcPr>
          <w:p>
            <w:pPr>
              <w:jc w:val="center"/>
              <w:rPr>
                <w:b/>
                <w:noProof/>
                <w:sz w:val="20"/>
                <w:szCs w:val="20"/>
              </w:rPr>
            </w:pPr>
            <w:r>
              <w:rPr>
                <w:b/>
                <w:noProof/>
                <w:sz w:val="20"/>
                <w:szCs w:val="20"/>
              </w:rPr>
              <w:t>2025</w:t>
            </w:r>
          </w:p>
        </w:tc>
        <w:tc>
          <w:tcPr>
            <w:tcW w:w="990" w:type="dxa"/>
            <w:vAlign w:val="center"/>
          </w:tcPr>
          <w:p>
            <w:pPr>
              <w:jc w:val="center"/>
              <w:rPr>
                <w:b/>
                <w:noProof/>
                <w:sz w:val="20"/>
                <w:szCs w:val="20"/>
              </w:rPr>
            </w:pPr>
            <w:r>
              <w:rPr>
                <w:b/>
                <w:noProof/>
                <w:sz w:val="20"/>
                <w:szCs w:val="20"/>
              </w:rPr>
              <w:t>2026</w:t>
            </w:r>
          </w:p>
        </w:tc>
        <w:tc>
          <w:tcPr>
            <w:tcW w:w="990" w:type="dxa"/>
            <w:vAlign w:val="center"/>
          </w:tcPr>
          <w:p>
            <w:pPr>
              <w:jc w:val="center"/>
              <w:rPr>
                <w:b/>
                <w:noProof/>
                <w:sz w:val="20"/>
                <w:szCs w:val="20"/>
              </w:rPr>
            </w:pPr>
            <w:r>
              <w:rPr>
                <w:b/>
                <w:noProof/>
                <w:sz w:val="20"/>
                <w:szCs w:val="20"/>
              </w:rPr>
              <w:t>2027</w:t>
            </w:r>
          </w:p>
        </w:tc>
        <w:tc>
          <w:tcPr>
            <w:tcW w:w="1033" w:type="dxa"/>
          </w:tcPr>
          <w:p>
            <w:pPr>
              <w:jc w:val="center"/>
              <w:rPr>
                <w:b/>
                <w:noProof/>
                <w:sz w:val="20"/>
                <w:szCs w:val="20"/>
              </w:rPr>
            </w:pPr>
            <w:r>
              <w:rPr>
                <w:b/>
                <w:i/>
                <w:noProof/>
                <w:sz w:val="20"/>
                <w:szCs w:val="20"/>
              </w:rPr>
              <w:t>2027 után</w:t>
            </w:r>
          </w:p>
        </w:tc>
        <w:tc>
          <w:tcPr>
            <w:tcW w:w="1127" w:type="dxa"/>
            <w:vAlign w:val="center"/>
          </w:tcPr>
          <w:p>
            <w:pPr>
              <w:jc w:val="center"/>
              <w:rPr>
                <w:b/>
                <w:noProof/>
                <w:sz w:val="20"/>
                <w:szCs w:val="20"/>
              </w:rPr>
            </w:pPr>
            <w:r>
              <w:rPr>
                <w:b/>
                <w:noProof/>
                <w:sz w:val="20"/>
                <w:szCs w:val="20"/>
              </w:rPr>
              <w:t>ÖSSZESEN</w:t>
            </w:r>
          </w:p>
        </w:tc>
      </w:tr>
      <w:tr>
        <w:tc>
          <w:tcPr>
            <w:tcW w:w="3652" w:type="dxa"/>
            <w:vMerge w:val="restart"/>
            <w:tcBorders>
              <w:top w:val="single" w:sz="4" w:space="0" w:color="auto"/>
              <w:left w:val="single" w:sz="4" w:space="0" w:color="auto"/>
              <w:right w:val="single" w:sz="4" w:space="0" w:color="auto"/>
            </w:tcBorders>
            <w:vAlign w:val="center"/>
          </w:tcPr>
          <w:p>
            <w:pPr>
              <w:jc w:val="center"/>
              <w:rPr>
                <w:noProof/>
                <w:sz w:val="22"/>
              </w:rPr>
            </w:pPr>
            <w:r>
              <w:rPr>
                <w:noProof/>
                <w:sz w:val="22"/>
              </w:rPr>
              <w:t>Operatív kiadások az EURI külső címzett bevételeiből</w:t>
            </w:r>
          </w:p>
        </w:tc>
        <w:tc>
          <w:tcPr>
            <w:tcW w:w="1388" w:type="dxa"/>
            <w:tcBorders>
              <w:top w:val="single" w:sz="4" w:space="0" w:color="auto"/>
              <w:left w:val="single" w:sz="4" w:space="0" w:color="auto"/>
              <w:bottom w:val="single" w:sz="4" w:space="0" w:color="auto"/>
              <w:right w:val="single" w:sz="4" w:space="0" w:color="auto"/>
            </w:tcBorders>
          </w:tcPr>
          <w:p>
            <w:pPr>
              <w:rPr>
                <w:noProof/>
                <w:sz w:val="20"/>
                <w:szCs w:val="20"/>
              </w:rPr>
            </w:pPr>
            <w:r>
              <w:rPr>
                <w:noProof/>
                <w:sz w:val="20"/>
                <w:szCs w:val="20"/>
              </w:rPr>
              <w:t>Kötelezettségvállalási előirányzatok</w:t>
            </w:r>
          </w:p>
        </w:tc>
        <w:tc>
          <w:tcPr>
            <w:tcW w:w="540" w:type="dxa"/>
            <w:tcBorders>
              <w:top w:val="single" w:sz="4" w:space="0" w:color="auto"/>
              <w:left w:val="single" w:sz="4" w:space="0" w:color="auto"/>
              <w:bottom w:val="single" w:sz="4" w:space="0" w:color="auto"/>
              <w:right w:val="single" w:sz="4" w:space="0" w:color="auto"/>
            </w:tcBorders>
          </w:tcPr>
          <w:p>
            <w:pPr>
              <w:jc w:val="center"/>
              <w:rPr>
                <w:noProof/>
                <w:sz w:val="20"/>
                <w:szCs w:val="20"/>
              </w:rPr>
            </w:pPr>
            <w:r>
              <w:rPr>
                <w:noProof/>
                <w:sz w:val="14"/>
                <w:szCs w:val="14"/>
              </w:rPr>
              <w:t>1</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8 116,000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4 139,000</w:t>
            </w:r>
          </w:p>
        </w:tc>
        <w:tc>
          <w:tcPr>
            <w:tcW w:w="976"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4 222,000</w:t>
            </w:r>
          </w:p>
        </w:tc>
        <w:tc>
          <w:tcPr>
            <w:tcW w:w="1004"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p>
        </w:tc>
        <w:tc>
          <w:tcPr>
            <w:tcW w:w="1033" w:type="dxa"/>
            <w:tcBorders>
              <w:top w:val="single" w:sz="4" w:space="0" w:color="auto"/>
              <w:left w:val="single" w:sz="4" w:space="0" w:color="auto"/>
              <w:bottom w:val="single" w:sz="4" w:space="0" w:color="auto"/>
              <w:right w:val="single" w:sz="4" w:space="0" w:color="auto"/>
            </w:tcBorders>
          </w:tcPr>
          <w:p>
            <w:pPr>
              <w:jc w:val="center"/>
              <w:rPr>
                <w:b/>
                <w:i/>
                <w:noProof/>
                <w:sz w:val="18"/>
                <w:szCs w:val="18"/>
              </w:rPr>
            </w:pPr>
          </w:p>
        </w:tc>
        <w:tc>
          <w:tcPr>
            <w:tcW w:w="1127"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16 477,000</w:t>
            </w:r>
          </w:p>
        </w:tc>
      </w:tr>
      <w:tr>
        <w:tc>
          <w:tcPr>
            <w:tcW w:w="3652" w:type="dxa"/>
            <w:vMerge/>
            <w:tcBorders>
              <w:left w:val="single" w:sz="4" w:space="0" w:color="auto"/>
              <w:bottom w:val="single" w:sz="4" w:space="0" w:color="auto"/>
              <w:right w:val="single" w:sz="4" w:space="0" w:color="auto"/>
            </w:tcBorders>
            <w:vAlign w:val="center"/>
          </w:tcPr>
          <w:p>
            <w:pPr>
              <w:jc w:val="center"/>
              <w:rPr>
                <w:noProof/>
                <w:sz w:val="22"/>
              </w:rPr>
            </w:pPr>
          </w:p>
        </w:tc>
        <w:tc>
          <w:tcPr>
            <w:tcW w:w="1388" w:type="dxa"/>
            <w:tcBorders>
              <w:top w:val="single" w:sz="4" w:space="0" w:color="auto"/>
              <w:left w:val="single" w:sz="4" w:space="0" w:color="auto"/>
              <w:bottom w:val="single" w:sz="4" w:space="0" w:color="auto"/>
              <w:right w:val="single" w:sz="4" w:space="0" w:color="auto"/>
            </w:tcBorders>
          </w:tcPr>
          <w:p>
            <w:pPr>
              <w:rPr>
                <w:noProof/>
                <w:sz w:val="20"/>
                <w:szCs w:val="20"/>
              </w:rPr>
            </w:pPr>
            <w:r>
              <w:rPr>
                <w:noProof/>
                <w:sz w:val="20"/>
                <w:szCs w:val="20"/>
              </w:rPr>
              <w:t>Kifizetési előirányzatok</w:t>
            </w:r>
          </w:p>
        </w:tc>
        <w:tc>
          <w:tcPr>
            <w:tcW w:w="540" w:type="dxa"/>
            <w:tcBorders>
              <w:top w:val="single" w:sz="4" w:space="0" w:color="auto"/>
              <w:left w:val="single" w:sz="4" w:space="0" w:color="auto"/>
              <w:bottom w:val="single" w:sz="4" w:space="0" w:color="auto"/>
              <w:right w:val="single" w:sz="4" w:space="0" w:color="auto"/>
            </w:tcBorders>
          </w:tcPr>
          <w:p>
            <w:pPr>
              <w:jc w:val="center"/>
              <w:rPr>
                <w:noProof/>
                <w:sz w:val="20"/>
                <w:szCs w:val="20"/>
              </w:rPr>
            </w:pPr>
            <w:r>
              <w:rPr>
                <w:noProof/>
                <w:sz w:val="14"/>
                <w:szCs w:val="14"/>
              </w:rPr>
              <w:t>2</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2 029,000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3 875,350</w:t>
            </w:r>
          </w:p>
        </w:tc>
        <w:tc>
          <w:tcPr>
            <w:tcW w:w="976"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4 938,950</w:t>
            </w:r>
          </w:p>
        </w:tc>
        <w:tc>
          <w:tcPr>
            <w:tcW w:w="1004"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3 531,000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1 680,500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422,200</w:t>
            </w:r>
          </w:p>
        </w:tc>
        <w:tc>
          <w:tcPr>
            <w:tcW w:w="1033" w:type="dxa"/>
            <w:tcBorders>
              <w:top w:val="single" w:sz="4" w:space="0" w:color="auto"/>
              <w:left w:val="single" w:sz="4" w:space="0" w:color="auto"/>
              <w:bottom w:val="single" w:sz="4" w:space="0" w:color="auto"/>
              <w:right w:val="single" w:sz="4" w:space="0" w:color="auto"/>
            </w:tcBorders>
          </w:tcPr>
          <w:p>
            <w:pPr>
              <w:jc w:val="center"/>
              <w:rPr>
                <w:b/>
                <w:noProof/>
                <w:sz w:val="18"/>
                <w:szCs w:val="18"/>
              </w:rPr>
            </w:pPr>
          </w:p>
        </w:tc>
        <w:tc>
          <w:tcPr>
            <w:tcW w:w="1127"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16 477,000</w:t>
            </w:r>
          </w:p>
        </w:tc>
      </w:tr>
      <w:tr>
        <w:tc>
          <w:tcPr>
            <w:tcW w:w="3652" w:type="dxa"/>
            <w:vMerge w:val="restart"/>
            <w:tcBorders>
              <w:left w:val="single" w:sz="4" w:space="0" w:color="auto"/>
              <w:right w:val="single" w:sz="4" w:space="0" w:color="auto"/>
            </w:tcBorders>
            <w:vAlign w:val="center"/>
          </w:tcPr>
          <w:p>
            <w:pPr>
              <w:jc w:val="center"/>
              <w:rPr>
                <w:noProof/>
                <w:sz w:val="22"/>
              </w:rPr>
            </w:pPr>
            <w:r>
              <w:rPr>
                <w:noProof/>
                <w:sz w:val="22"/>
              </w:rPr>
              <w:t>EMVA – Operatív technikai segítségnyújtás (hozzájárulás az EURI külső címzett bevételeiből)</w:t>
            </w:r>
          </w:p>
        </w:tc>
        <w:tc>
          <w:tcPr>
            <w:tcW w:w="1388" w:type="dxa"/>
            <w:tcBorders>
              <w:top w:val="single" w:sz="4" w:space="0" w:color="auto"/>
              <w:left w:val="single" w:sz="4" w:space="0" w:color="auto"/>
              <w:bottom w:val="single" w:sz="4" w:space="0" w:color="auto"/>
              <w:right w:val="single" w:sz="4" w:space="0" w:color="auto"/>
            </w:tcBorders>
          </w:tcPr>
          <w:p>
            <w:pPr>
              <w:rPr>
                <w:noProof/>
                <w:sz w:val="20"/>
                <w:szCs w:val="20"/>
              </w:rPr>
            </w:pPr>
            <w:r>
              <w:rPr>
                <w:noProof/>
                <w:sz w:val="20"/>
                <w:szCs w:val="20"/>
              </w:rPr>
              <w:t>Kötelezettségvállalási előirányzatok</w:t>
            </w:r>
          </w:p>
        </w:tc>
        <w:tc>
          <w:tcPr>
            <w:tcW w:w="540" w:type="dxa"/>
            <w:tcBorders>
              <w:top w:val="single" w:sz="4" w:space="0" w:color="auto"/>
              <w:left w:val="single" w:sz="4" w:space="0" w:color="auto"/>
              <w:bottom w:val="single" w:sz="4" w:space="0" w:color="auto"/>
              <w:right w:val="single" w:sz="4" w:space="0" w:color="auto"/>
            </w:tcBorders>
          </w:tcPr>
          <w:p>
            <w:pPr>
              <w:jc w:val="center"/>
              <w:rPr>
                <w:noProof/>
                <w:sz w:val="14"/>
                <w:szCs w:val="14"/>
              </w:rPr>
            </w:pPr>
            <w:r>
              <w:rPr>
                <w:noProof/>
                <w:sz w:val="14"/>
                <w:szCs w:val="14"/>
              </w:rPr>
              <w:t>1</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p.m.</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p.m.</w:t>
            </w:r>
          </w:p>
        </w:tc>
        <w:tc>
          <w:tcPr>
            <w:tcW w:w="976"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p.m.</w:t>
            </w:r>
          </w:p>
        </w:tc>
        <w:tc>
          <w:tcPr>
            <w:tcW w:w="1004"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p>
        </w:tc>
        <w:tc>
          <w:tcPr>
            <w:tcW w:w="1033" w:type="dxa"/>
            <w:tcBorders>
              <w:top w:val="single" w:sz="4" w:space="0" w:color="auto"/>
              <w:left w:val="single" w:sz="4" w:space="0" w:color="auto"/>
              <w:bottom w:val="single" w:sz="4" w:space="0" w:color="auto"/>
              <w:right w:val="single" w:sz="4" w:space="0" w:color="auto"/>
            </w:tcBorders>
          </w:tcPr>
          <w:p>
            <w:pPr>
              <w:jc w:val="center"/>
              <w:rPr>
                <w:b/>
                <w:noProof/>
                <w:sz w:val="18"/>
                <w:szCs w:val="18"/>
              </w:rPr>
            </w:pPr>
          </w:p>
        </w:tc>
        <w:tc>
          <w:tcPr>
            <w:tcW w:w="1127"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p.m.</w:t>
            </w:r>
          </w:p>
        </w:tc>
      </w:tr>
      <w:tr>
        <w:tc>
          <w:tcPr>
            <w:tcW w:w="3652" w:type="dxa"/>
            <w:vMerge/>
            <w:tcBorders>
              <w:left w:val="single" w:sz="4" w:space="0" w:color="auto"/>
              <w:bottom w:val="single" w:sz="4" w:space="0" w:color="auto"/>
              <w:right w:val="single" w:sz="4" w:space="0" w:color="auto"/>
            </w:tcBorders>
            <w:vAlign w:val="center"/>
          </w:tcPr>
          <w:p>
            <w:pPr>
              <w:jc w:val="center"/>
              <w:rPr>
                <w:noProof/>
                <w:sz w:val="22"/>
              </w:rPr>
            </w:pPr>
          </w:p>
        </w:tc>
        <w:tc>
          <w:tcPr>
            <w:tcW w:w="1388" w:type="dxa"/>
            <w:tcBorders>
              <w:top w:val="single" w:sz="4" w:space="0" w:color="auto"/>
              <w:left w:val="single" w:sz="4" w:space="0" w:color="auto"/>
              <w:bottom w:val="single" w:sz="4" w:space="0" w:color="auto"/>
              <w:right w:val="single" w:sz="4" w:space="0" w:color="auto"/>
            </w:tcBorders>
          </w:tcPr>
          <w:p>
            <w:pPr>
              <w:rPr>
                <w:noProof/>
                <w:sz w:val="20"/>
                <w:szCs w:val="20"/>
              </w:rPr>
            </w:pPr>
            <w:r>
              <w:rPr>
                <w:noProof/>
                <w:sz w:val="20"/>
                <w:szCs w:val="20"/>
              </w:rPr>
              <w:t>Kifizetési előirányzatok</w:t>
            </w:r>
          </w:p>
        </w:tc>
        <w:tc>
          <w:tcPr>
            <w:tcW w:w="540" w:type="dxa"/>
            <w:tcBorders>
              <w:top w:val="single" w:sz="4" w:space="0" w:color="auto"/>
              <w:left w:val="single" w:sz="4" w:space="0" w:color="auto"/>
              <w:bottom w:val="single" w:sz="4" w:space="0" w:color="auto"/>
              <w:right w:val="single" w:sz="4" w:space="0" w:color="auto"/>
            </w:tcBorders>
          </w:tcPr>
          <w:p>
            <w:pPr>
              <w:jc w:val="center"/>
              <w:rPr>
                <w:noProof/>
                <w:sz w:val="14"/>
                <w:szCs w:val="14"/>
              </w:rPr>
            </w:pPr>
            <w:r>
              <w:rPr>
                <w:noProof/>
                <w:sz w:val="14"/>
                <w:szCs w:val="14"/>
              </w:rPr>
              <w:t>2</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p>
        </w:tc>
        <w:tc>
          <w:tcPr>
            <w:tcW w:w="990" w:type="dxa"/>
            <w:tcBorders>
              <w:top w:val="single" w:sz="4" w:space="0" w:color="auto"/>
              <w:left w:val="single" w:sz="4" w:space="0" w:color="auto"/>
              <w:bottom w:val="single" w:sz="4" w:space="0" w:color="auto"/>
              <w:right w:val="single" w:sz="4" w:space="0" w:color="auto"/>
            </w:tcBorders>
          </w:tcPr>
          <w:p>
            <w:pPr>
              <w:jc w:val="center"/>
              <w:rPr>
                <w:b/>
                <w:noProof/>
                <w:sz w:val="18"/>
                <w:szCs w:val="18"/>
              </w:rPr>
            </w:pPr>
            <w:r>
              <w:rPr>
                <w:b/>
                <w:noProof/>
                <w:sz w:val="18"/>
                <w:szCs w:val="18"/>
              </w:rPr>
              <w:t>p.m.</w:t>
            </w:r>
          </w:p>
        </w:tc>
        <w:tc>
          <w:tcPr>
            <w:tcW w:w="990" w:type="dxa"/>
            <w:tcBorders>
              <w:top w:val="single" w:sz="4" w:space="0" w:color="auto"/>
              <w:left w:val="single" w:sz="4" w:space="0" w:color="auto"/>
              <w:bottom w:val="single" w:sz="4" w:space="0" w:color="auto"/>
              <w:right w:val="single" w:sz="4" w:space="0" w:color="auto"/>
            </w:tcBorders>
          </w:tcPr>
          <w:p>
            <w:pPr>
              <w:jc w:val="center"/>
              <w:rPr>
                <w:b/>
                <w:noProof/>
                <w:sz w:val="18"/>
                <w:szCs w:val="18"/>
              </w:rPr>
            </w:pPr>
            <w:r>
              <w:rPr>
                <w:b/>
                <w:noProof/>
                <w:sz w:val="18"/>
                <w:szCs w:val="18"/>
              </w:rPr>
              <w:t>p.m.</w:t>
            </w:r>
          </w:p>
        </w:tc>
        <w:tc>
          <w:tcPr>
            <w:tcW w:w="976" w:type="dxa"/>
            <w:tcBorders>
              <w:top w:val="single" w:sz="4" w:space="0" w:color="auto"/>
              <w:left w:val="single" w:sz="4" w:space="0" w:color="auto"/>
              <w:bottom w:val="single" w:sz="4" w:space="0" w:color="auto"/>
              <w:right w:val="single" w:sz="4" w:space="0" w:color="auto"/>
            </w:tcBorders>
          </w:tcPr>
          <w:p>
            <w:pPr>
              <w:jc w:val="center"/>
              <w:rPr>
                <w:b/>
                <w:noProof/>
                <w:sz w:val="18"/>
                <w:szCs w:val="18"/>
              </w:rPr>
            </w:pPr>
            <w:r>
              <w:rPr>
                <w:b/>
                <w:noProof/>
                <w:sz w:val="18"/>
                <w:szCs w:val="18"/>
              </w:rPr>
              <w:t>p.m.</w:t>
            </w:r>
          </w:p>
        </w:tc>
        <w:tc>
          <w:tcPr>
            <w:tcW w:w="1004" w:type="dxa"/>
            <w:tcBorders>
              <w:top w:val="single" w:sz="4" w:space="0" w:color="auto"/>
              <w:left w:val="single" w:sz="4" w:space="0" w:color="auto"/>
              <w:bottom w:val="single" w:sz="4" w:space="0" w:color="auto"/>
              <w:right w:val="single" w:sz="4" w:space="0" w:color="auto"/>
            </w:tcBorders>
          </w:tcPr>
          <w:p>
            <w:pPr>
              <w:jc w:val="center"/>
              <w:rPr>
                <w:b/>
                <w:noProof/>
                <w:sz w:val="18"/>
                <w:szCs w:val="18"/>
              </w:rPr>
            </w:pPr>
            <w:r>
              <w:rPr>
                <w:b/>
                <w:noProof/>
                <w:sz w:val="18"/>
                <w:szCs w:val="18"/>
              </w:rPr>
              <w:t>p.m.</w:t>
            </w:r>
          </w:p>
        </w:tc>
        <w:tc>
          <w:tcPr>
            <w:tcW w:w="990" w:type="dxa"/>
            <w:tcBorders>
              <w:top w:val="single" w:sz="4" w:space="0" w:color="auto"/>
              <w:left w:val="single" w:sz="4" w:space="0" w:color="auto"/>
              <w:bottom w:val="single" w:sz="4" w:space="0" w:color="auto"/>
              <w:right w:val="single" w:sz="4" w:space="0" w:color="auto"/>
            </w:tcBorders>
          </w:tcPr>
          <w:p>
            <w:pPr>
              <w:jc w:val="center"/>
              <w:rPr>
                <w:b/>
                <w:noProof/>
                <w:sz w:val="18"/>
                <w:szCs w:val="18"/>
              </w:rPr>
            </w:pPr>
            <w:r>
              <w:rPr>
                <w:b/>
                <w:noProof/>
                <w:sz w:val="18"/>
                <w:szCs w:val="18"/>
              </w:rPr>
              <w:t>p.m.</w:t>
            </w:r>
          </w:p>
        </w:tc>
        <w:tc>
          <w:tcPr>
            <w:tcW w:w="990" w:type="dxa"/>
            <w:tcBorders>
              <w:top w:val="single" w:sz="4" w:space="0" w:color="auto"/>
              <w:left w:val="single" w:sz="4" w:space="0" w:color="auto"/>
              <w:bottom w:val="single" w:sz="4" w:space="0" w:color="auto"/>
              <w:right w:val="single" w:sz="4" w:space="0" w:color="auto"/>
            </w:tcBorders>
          </w:tcPr>
          <w:p>
            <w:pPr>
              <w:jc w:val="center"/>
              <w:rPr>
                <w:b/>
                <w:noProof/>
                <w:sz w:val="18"/>
                <w:szCs w:val="18"/>
              </w:rPr>
            </w:pPr>
            <w:r>
              <w:rPr>
                <w:b/>
                <w:noProof/>
                <w:sz w:val="18"/>
                <w:szCs w:val="18"/>
              </w:rPr>
              <w:t>p.m.</w:t>
            </w:r>
          </w:p>
        </w:tc>
        <w:tc>
          <w:tcPr>
            <w:tcW w:w="1033" w:type="dxa"/>
            <w:tcBorders>
              <w:top w:val="single" w:sz="4" w:space="0" w:color="auto"/>
              <w:left w:val="single" w:sz="4" w:space="0" w:color="auto"/>
              <w:bottom w:val="single" w:sz="4" w:space="0" w:color="auto"/>
              <w:right w:val="single" w:sz="4" w:space="0" w:color="auto"/>
            </w:tcBorders>
          </w:tcPr>
          <w:p>
            <w:pPr>
              <w:jc w:val="center"/>
              <w:rPr>
                <w:b/>
                <w:noProof/>
                <w:sz w:val="18"/>
                <w:szCs w:val="18"/>
              </w:rPr>
            </w:pPr>
            <w:r>
              <w:rPr>
                <w:b/>
                <w:noProof/>
                <w:sz w:val="18"/>
                <w:szCs w:val="18"/>
              </w:rPr>
              <w:t>p.m.</w:t>
            </w:r>
          </w:p>
        </w:tc>
        <w:tc>
          <w:tcPr>
            <w:tcW w:w="1127" w:type="dxa"/>
            <w:tcBorders>
              <w:top w:val="single" w:sz="4" w:space="0" w:color="auto"/>
              <w:left w:val="single" w:sz="4" w:space="0" w:color="auto"/>
              <w:bottom w:val="single" w:sz="4" w:space="0" w:color="auto"/>
              <w:right w:val="single" w:sz="4" w:space="0" w:color="auto"/>
            </w:tcBorders>
          </w:tcPr>
          <w:p>
            <w:pPr>
              <w:jc w:val="center"/>
              <w:rPr>
                <w:b/>
                <w:noProof/>
                <w:sz w:val="18"/>
                <w:szCs w:val="18"/>
              </w:rPr>
            </w:pPr>
            <w:r>
              <w:rPr>
                <w:b/>
                <w:noProof/>
                <w:sz w:val="18"/>
                <w:szCs w:val="18"/>
              </w:rPr>
              <w:t>p.m.</w:t>
            </w:r>
          </w:p>
        </w:tc>
      </w:tr>
      <w:tr>
        <w:tc>
          <w:tcPr>
            <w:tcW w:w="3652" w:type="dxa"/>
            <w:tcBorders>
              <w:top w:val="single" w:sz="4" w:space="0" w:color="auto"/>
              <w:left w:val="single" w:sz="4" w:space="0" w:color="auto"/>
              <w:bottom w:val="single" w:sz="4" w:space="0" w:color="auto"/>
              <w:right w:val="single" w:sz="4" w:space="0" w:color="auto"/>
            </w:tcBorders>
            <w:vAlign w:val="center"/>
          </w:tcPr>
          <w:p>
            <w:pPr>
              <w:jc w:val="center"/>
              <w:rPr>
                <w:noProof/>
                <w:sz w:val="22"/>
              </w:rPr>
            </w:pPr>
            <w:r>
              <w:rPr>
                <w:noProof/>
                <w:sz w:val="22"/>
              </w:rPr>
              <w:lastRenderedPageBreak/>
              <w:t>Igazgatási működési kiadások (hozzájárulás az EURI külső címzett bevételeiből)</w:t>
            </w:r>
          </w:p>
        </w:tc>
        <w:tc>
          <w:tcPr>
            <w:tcW w:w="1388" w:type="dxa"/>
            <w:tcBorders>
              <w:top w:val="single" w:sz="4" w:space="0" w:color="auto"/>
              <w:left w:val="single" w:sz="4" w:space="0" w:color="auto"/>
              <w:bottom w:val="single" w:sz="4" w:space="0" w:color="auto"/>
              <w:right w:val="single" w:sz="4" w:space="0" w:color="auto"/>
            </w:tcBorders>
            <w:vAlign w:val="center"/>
          </w:tcPr>
          <w:p>
            <w:pPr>
              <w:rPr>
                <w:noProof/>
                <w:sz w:val="20"/>
                <w:szCs w:val="20"/>
              </w:rPr>
            </w:pPr>
            <w:r>
              <w:rPr>
                <w:noProof/>
                <w:sz w:val="18"/>
                <w:szCs w:val="18"/>
              </w:rPr>
              <w:t>Kötelezettségvállalási előirányzatok = kifizetési előirányzatok</w:t>
            </w:r>
          </w:p>
        </w:tc>
        <w:tc>
          <w:tcPr>
            <w:tcW w:w="540" w:type="dxa"/>
            <w:tcBorders>
              <w:top w:val="single" w:sz="4" w:space="0" w:color="auto"/>
              <w:left w:val="single" w:sz="4" w:space="0" w:color="auto"/>
              <w:bottom w:val="single" w:sz="4" w:space="0" w:color="auto"/>
              <w:right w:val="single" w:sz="4" w:space="0" w:color="auto"/>
            </w:tcBorders>
            <w:vAlign w:val="center"/>
          </w:tcPr>
          <w:p>
            <w:pPr>
              <w:jc w:val="center"/>
              <w:rPr>
                <w:noProof/>
                <w:sz w:val="20"/>
                <w:szCs w:val="20"/>
              </w:rPr>
            </w:pPr>
            <w:r>
              <w:rPr>
                <w:noProof/>
                <w:sz w:val="14"/>
                <w:szCs w:val="14"/>
              </w:rPr>
              <w:t>3</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1,000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1,000</w:t>
            </w:r>
          </w:p>
        </w:tc>
        <w:tc>
          <w:tcPr>
            <w:tcW w:w="976"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1,000</w:t>
            </w:r>
          </w:p>
        </w:tc>
        <w:tc>
          <w:tcPr>
            <w:tcW w:w="1004"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1,000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1,000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1,000</w:t>
            </w:r>
          </w:p>
        </w:tc>
        <w:tc>
          <w:tcPr>
            <w:tcW w:w="1033"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p>
        </w:tc>
        <w:tc>
          <w:tcPr>
            <w:tcW w:w="1127"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6,000</w:t>
            </w:r>
          </w:p>
        </w:tc>
      </w:tr>
      <w:tr>
        <w:tc>
          <w:tcPr>
            <w:tcW w:w="3652" w:type="dxa"/>
            <w:vMerge w:val="restart"/>
            <w:tcBorders>
              <w:top w:val="single" w:sz="4" w:space="0" w:color="auto"/>
              <w:left w:val="single" w:sz="4" w:space="0" w:color="auto"/>
              <w:right w:val="single" w:sz="4" w:space="0" w:color="auto"/>
            </w:tcBorders>
            <w:vAlign w:val="center"/>
          </w:tcPr>
          <w:p>
            <w:pPr>
              <w:jc w:val="center"/>
              <w:rPr>
                <w:noProof/>
                <w:sz w:val="22"/>
              </w:rPr>
            </w:pPr>
            <w:r>
              <w:rPr>
                <w:noProof/>
                <w:sz w:val="22"/>
              </w:rPr>
              <w:t>Külső címzett bevétel összesen</w:t>
            </w:r>
          </w:p>
        </w:tc>
        <w:tc>
          <w:tcPr>
            <w:tcW w:w="1388" w:type="dxa"/>
            <w:tcBorders>
              <w:top w:val="single" w:sz="4" w:space="0" w:color="auto"/>
              <w:left w:val="single" w:sz="4" w:space="0" w:color="auto"/>
              <w:bottom w:val="single" w:sz="4" w:space="0" w:color="auto"/>
              <w:right w:val="single" w:sz="4" w:space="0" w:color="auto"/>
            </w:tcBorders>
          </w:tcPr>
          <w:p>
            <w:pPr>
              <w:rPr>
                <w:noProof/>
                <w:sz w:val="20"/>
                <w:szCs w:val="20"/>
              </w:rPr>
            </w:pPr>
            <w:r>
              <w:rPr>
                <w:noProof/>
                <w:sz w:val="20"/>
                <w:szCs w:val="20"/>
              </w:rPr>
              <w:t>Kötelezettségvállalási előirányzatok</w:t>
            </w:r>
          </w:p>
        </w:tc>
        <w:tc>
          <w:tcPr>
            <w:tcW w:w="540" w:type="dxa"/>
            <w:tcBorders>
              <w:top w:val="single" w:sz="4" w:space="0" w:color="auto"/>
              <w:left w:val="single" w:sz="4" w:space="0" w:color="auto"/>
              <w:bottom w:val="single" w:sz="4" w:space="0" w:color="auto"/>
              <w:right w:val="single" w:sz="4" w:space="0" w:color="auto"/>
            </w:tcBorders>
          </w:tcPr>
          <w:p>
            <w:pPr>
              <w:jc w:val="center"/>
              <w:rPr>
                <w:noProof/>
                <w:sz w:val="20"/>
                <w:szCs w:val="20"/>
              </w:rPr>
            </w:pPr>
            <w:r>
              <w:rPr>
                <w:noProof/>
                <w:sz w:val="14"/>
                <w:szCs w:val="14"/>
              </w:rPr>
              <w:t>=1+3</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8 117,000</w:t>
            </w:r>
          </w:p>
        </w:tc>
        <w:tc>
          <w:tcPr>
            <w:tcW w:w="990" w:type="dxa"/>
            <w:tcBorders>
              <w:top w:val="single" w:sz="4" w:space="0" w:color="auto"/>
              <w:left w:val="single" w:sz="4" w:space="0" w:color="auto"/>
              <w:bottom w:val="single" w:sz="4" w:space="0" w:color="auto"/>
              <w:right w:val="single" w:sz="4" w:space="0" w:color="auto"/>
            </w:tcBorders>
            <w:vAlign w:val="center"/>
          </w:tcPr>
          <w:p>
            <w:pPr>
              <w:rPr>
                <w:b/>
                <w:noProof/>
                <w:sz w:val="18"/>
                <w:szCs w:val="18"/>
              </w:rPr>
            </w:pPr>
            <w:r>
              <w:rPr>
                <w:b/>
                <w:noProof/>
                <w:sz w:val="18"/>
                <w:szCs w:val="18"/>
              </w:rPr>
              <w:t>4 140,000</w:t>
            </w:r>
          </w:p>
        </w:tc>
        <w:tc>
          <w:tcPr>
            <w:tcW w:w="976"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4 223,000</w:t>
            </w:r>
          </w:p>
        </w:tc>
        <w:tc>
          <w:tcPr>
            <w:tcW w:w="1004"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1,000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1,000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1,000</w:t>
            </w:r>
          </w:p>
        </w:tc>
        <w:tc>
          <w:tcPr>
            <w:tcW w:w="1033" w:type="dxa"/>
            <w:tcBorders>
              <w:top w:val="single" w:sz="4" w:space="0" w:color="auto"/>
              <w:left w:val="single" w:sz="4" w:space="0" w:color="auto"/>
              <w:bottom w:val="single" w:sz="4" w:space="0" w:color="auto"/>
              <w:right w:val="single" w:sz="4" w:space="0" w:color="auto"/>
            </w:tcBorders>
            <w:vAlign w:val="center"/>
          </w:tcPr>
          <w:p>
            <w:pPr>
              <w:jc w:val="center"/>
              <w:rPr>
                <w:b/>
                <w:i/>
                <w:noProof/>
                <w:sz w:val="18"/>
                <w:szCs w:val="18"/>
              </w:rPr>
            </w:pPr>
          </w:p>
        </w:tc>
        <w:tc>
          <w:tcPr>
            <w:tcW w:w="1127"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16 483,000</w:t>
            </w:r>
          </w:p>
        </w:tc>
      </w:tr>
      <w:tr>
        <w:tc>
          <w:tcPr>
            <w:tcW w:w="3652" w:type="dxa"/>
            <w:vMerge/>
            <w:tcBorders>
              <w:left w:val="single" w:sz="4" w:space="0" w:color="auto"/>
              <w:bottom w:val="single" w:sz="4" w:space="0" w:color="auto"/>
              <w:right w:val="single" w:sz="4" w:space="0" w:color="auto"/>
            </w:tcBorders>
            <w:vAlign w:val="center"/>
          </w:tcPr>
          <w:p>
            <w:pPr>
              <w:jc w:val="center"/>
              <w:rPr>
                <w:noProof/>
                <w:sz w:val="22"/>
              </w:rPr>
            </w:pPr>
          </w:p>
        </w:tc>
        <w:tc>
          <w:tcPr>
            <w:tcW w:w="1388" w:type="dxa"/>
            <w:tcBorders>
              <w:top w:val="single" w:sz="4" w:space="0" w:color="auto"/>
              <w:left w:val="single" w:sz="4" w:space="0" w:color="auto"/>
              <w:bottom w:val="single" w:sz="4" w:space="0" w:color="auto"/>
              <w:right w:val="single" w:sz="4" w:space="0" w:color="auto"/>
            </w:tcBorders>
          </w:tcPr>
          <w:p>
            <w:pPr>
              <w:rPr>
                <w:noProof/>
                <w:sz w:val="20"/>
                <w:szCs w:val="20"/>
              </w:rPr>
            </w:pPr>
            <w:r>
              <w:rPr>
                <w:noProof/>
                <w:sz w:val="20"/>
                <w:szCs w:val="20"/>
              </w:rPr>
              <w:t>Kifizetési előirányzatok</w:t>
            </w:r>
          </w:p>
        </w:tc>
        <w:tc>
          <w:tcPr>
            <w:tcW w:w="540" w:type="dxa"/>
            <w:tcBorders>
              <w:top w:val="single" w:sz="4" w:space="0" w:color="auto"/>
              <w:left w:val="single" w:sz="4" w:space="0" w:color="auto"/>
              <w:bottom w:val="single" w:sz="4" w:space="0" w:color="auto"/>
              <w:right w:val="single" w:sz="4" w:space="0" w:color="auto"/>
            </w:tcBorders>
          </w:tcPr>
          <w:p>
            <w:pPr>
              <w:jc w:val="center"/>
              <w:rPr>
                <w:noProof/>
                <w:sz w:val="14"/>
                <w:szCs w:val="14"/>
              </w:rPr>
            </w:pPr>
            <w:r>
              <w:rPr>
                <w:noProof/>
                <w:sz w:val="14"/>
                <w:szCs w:val="14"/>
              </w:rPr>
              <w:t>=2+3</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2 030,000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3 876,350</w:t>
            </w:r>
          </w:p>
        </w:tc>
        <w:tc>
          <w:tcPr>
            <w:tcW w:w="976"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4 939,950</w:t>
            </w:r>
          </w:p>
        </w:tc>
        <w:tc>
          <w:tcPr>
            <w:tcW w:w="1004"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3 532,000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1 681,500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423,200</w:t>
            </w:r>
          </w:p>
        </w:tc>
        <w:tc>
          <w:tcPr>
            <w:tcW w:w="1033" w:type="dxa"/>
            <w:tcBorders>
              <w:top w:val="single" w:sz="4" w:space="0" w:color="auto"/>
              <w:left w:val="single" w:sz="4" w:space="0" w:color="auto"/>
              <w:bottom w:val="single" w:sz="4" w:space="0" w:color="auto"/>
              <w:right w:val="single" w:sz="4" w:space="0" w:color="auto"/>
            </w:tcBorders>
          </w:tcPr>
          <w:p>
            <w:pPr>
              <w:jc w:val="center"/>
              <w:rPr>
                <w:b/>
                <w:noProof/>
                <w:sz w:val="18"/>
                <w:szCs w:val="18"/>
              </w:rPr>
            </w:pPr>
          </w:p>
        </w:tc>
        <w:tc>
          <w:tcPr>
            <w:tcW w:w="1127"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16 483,000</w:t>
            </w:r>
          </w:p>
        </w:tc>
      </w:tr>
    </w:tbl>
    <w:p>
      <w:pPr>
        <w:rPr>
          <w:i/>
          <w:noProof/>
        </w:rPr>
      </w:pPr>
      <w:r>
        <w:rPr>
          <w:i/>
          <w:iCs/>
          <w:noProof/>
        </w:rPr>
        <w:t>A</w:t>
      </w:r>
      <w:r>
        <w:rPr>
          <w:noProof/>
        </w:rPr>
        <w:t xml:space="preserve"> COM(2018) 460 final </w:t>
      </w:r>
      <w:r>
        <w:rPr>
          <w:i/>
          <w:iCs/>
          <w:noProof/>
        </w:rPr>
        <w:t>(NDICI) rendeletjavaslat 6. cikkében meghatározott pénzügyi keretösszegen felül 11 448,070 millió EUR (folyó árakon) fog rendelkezésre állni a költségvetési rendelet 21. cikkének (5) bekezdése szerinti külső címzett bevételként az Európai Uniós Helyreállítási Eszközből történő finanszírozásként. Ebből legfeljebb 162,308 millió EUR fordítható igazgatási kiadásokra, beleértve a külső munkatársak költségeit is.</w:t>
      </w:r>
    </w:p>
    <w:p>
      <w:pPr>
        <w:rPr>
          <w:noProof/>
        </w:rPr>
      </w:pPr>
    </w:p>
    <w:p>
      <w:pPr>
        <w:rPr>
          <w:i/>
          <w:noProof/>
        </w:rPr>
      </w:pPr>
      <w:r>
        <w:rPr>
          <w:i/>
          <w:noProof/>
        </w:rPr>
        <w:t>A külső címzett bevételekből származó kiadások indikatív bontása a következő:</w:t>
      </w:r>
    </w:p>
    <w:p>
      <w:pPr>
        <w:rPr>
          <w:i/>
          <w:noProof/>
        </w:rPr>
      </w:pPr>
    </w:p>
    <w:tbl>
      <w:tblPr>
        <w:tblW w:w="13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1388"/>
        <w:gridCol w:w="540"/>
        <w:gridCol w:w="990"/>
        <w:gridCol w:w="990"/>
        <w:gridCol w:w="990"/>
        <w:gridCol w:w="976"/>
        <w:gridCol w:w="1004"/>
        <w:gridCol w:w="990"/>
        <w:gridCol w:w="990"/>
        <w:gridCol w:w="1127"/>
      </w:tblGrid>
      <w:tr>
        <w:tc>
          <w:tcPr>
            <w:tcW w:w="3652" w:type="dxa"/>
            <w:vAlign w:val="center"/>
          </w:tcPr>
          <w:p>
            <w:pPr>
              <w:jc w:val="center"/>
              <w:rPr>
                <w:noProof/>
              </w:rPr>
            </w:pPr>
            <w:r>
              <w:rPr>
                <w:noProof/>
                <w:sz w:val="22"/>
              </w:rPr>
              <w:t>[Külső tevékenységi garancia – NDICI]</w:t>
            </w:r>
          </w:p>
        </w:tc>
        <w:tc>
          <w:tcPr>
            <w:tcW w:w="1388" w:type="dxa"/>
          </w:tcPr>
          <w:p>
            <w:pPr>
              <w:rPr>
                <w:noProof/>
                <w:sz w:val="20"/>
              </w:rPr>
            </w:pPr>
          </w:p>
        </w:tc>
        <w:tc>
          <w:tcPr>
            <w:tcW w:w="540" w:type="dxa"/>
          </w:tcPr>
          <w:p>
            <w:pPr>
              <w:jc w:val="center"/>
              <w:rPr>
                <w:noProof/>
                <w:sz w:val="20"/>
              </w:rPr>
            </w:pPr>
          </w:p>
        </w:tc>
        <w:tc>
          <w:tcPr>
            <w:tcW w:w="990" w:type="dxa"/>
            <w:vAlign w:val="center"/>
          </w:tcPr>
          <w:p>
            <w:pPr>
              <w:jc w:val="center"/>
              <w:rPr>
                <w:noProof/>
                <w:sz w:val="20"/>
              </w:rPr>
            </w:pPr>
            <w:r>
              <w:rPr>
                <w:b/>
                <w:noProof/>
                <w:sz w:val="20"/>
              </w:rPr>
              <w:t>2021</w:t>
            </w:r>
          </w:p>
        </w:tc>
        <w:tc>
          <w:tcPr>
            <w:tcW w:w="990" w:type="dxa"/>
            <w:vAlign w:val="center"/>
          </w:tcPr>
          <w:p>
            <w:pPr>
              <w:jc w:val="center"/>
              <w:rPr>
                <w:noProof/>
                <w:sz w:val="20"/>
              </w:rPr>
            </w:pPr>
            <w:r>
              <w:rPr>
                <w:b/>
                <w:noProof/>
                <w:sz w:val="20"/>
              </w:rPr>
              <w:t>2022</w:t>
            </w:r>
          </w:p>
        </w:tc>
        <w:tc>
          <w:tcPr>
            <w:tcW w:w="990" w:type="dxa"/>
            <w:vAlign w:val="center"/>
          </w:tcPr>
          <w:p>
            <w:pPr>
              <w:jc w:val="center"/>
              <w:rPr>
                <w:noProof/>
                <w:sz w:val="20"/>
              </w:rPr>
            </w:pPr>
            <w:r>
              <w:rPr>
                <w:b/>
                <w:noProof/>
                <w:sz w:val="20"/>
              </w:rPr>
              <w:t>2023</w:t>
            </w:r>
          </w:p>
        </w:tc>
        <w:tc>
          <w:tcPr>
            <w:tcW w:w="976" w:type="dxa"/>
            <w:vAlign w:val="center"/>
          </w:tcPr>
          <w:p>
            <w:pPr>
              <w:jc w:val="center"/>
              <w:rPr>
                <w:noProof/>
                <w:sz w:val="20"/>
              </w:rPr>
            </w:pPr>
            <w:r>
              <w:rPr>
                <w:b/>
                <w:noProof/>
                <w:sz w:val="20"/>
              </w:rPr>
              <w:t>2024</w:t>
            </w:r>
          </w:p>
        </w:tc>
        <w:tc>
          <w:tcPr>
            <w:tcW w:w="1004" w:type="dxa"/>
            <w:vAlign w:val="center"/>
          </w:tcPr>
          <w:p>
            <w:pPr>
              <w:jc w:val="center"/>
              <w:rPr>
                <w:b/>
                <w:noProof/>
                <w:sz w:val="20"/>
              </w:rPr>
            </w:pPr>
            <w:r>
              <w:rPr>
                <w:b/>
                <w:noProof/>
                <w:sz w:val="20"/>
              </w:rPr>
              <w:t>2025</w:t>
            </w:r>
          </w:p>
        </w:tc>
        <w:tc>
          <w:tcPr>
            <w:tcW w:w="990" w:type="dxa"/>
            <w:vAlign w:val="center"/>
          </w:tcPr>
          <w:p>
            <w:pPr>
              <w:jc w:val="center"/>
              <w:rPr>
                <w:b/>
                <w:noProof/>
                <w:sz w:val="20"/>
              </w:rPr>
            </w:pPr>
            <w:r>
              <w:rPr>
                <w:b/>
                <w:noProof/>
                <w:sz w:val="20"/>
              </w:rPr>
              <w:t>2026</w:t>
            </w:r>
          </w:p>
        </w:tc>
        <w:tc>
          <w:tcPr>
            <w:tcW w:w="990" w:type="dxa"/>
            <w:vAlign w:val="center"/>
          </w:tcPr>
          <w:p>
            <w:pPr>
              <w:jc w:val="center"/>
              <w:rPr>
                <w:b/>
                <w:noProof/>
                <w:sz w:val="20"/>
              </w:rPr>
            </w:pPr>
            <w:r>
              <w:rPr>
                <w:b/>
                <w:noProof/>
                <w:sz w:val="20"/>
              </w:rPr>
              <w:t>2027</w:t>
            </w:r>
          </w:p>
        </w:tc>
        <w:tc>
          <w:tcPr>
            <w:tcW w:w="1127" w:type="dxa"/>
            <w:vAlign w:val="center"/>
          </w:tcPr>
          <w:p>
            <w:pPr>
              <w:jc w:val="center"/>
              <w:rPr>
                <w:b/>
                <w:noProof/>
                <w:sz w:val="20"/>
              </w:rPr>
            </w:pPr>
            <w:r>
              <w:rPr>
                <w:b/>
                <w:noProof/>
                <w:sz w:val="20"/>
              </w:rPr>
              <w:t>ÖSSZESEN</w:t>
            </w:r>
          </w:p>
        </w:tc>
      </w:tr>
      <w:tr>
        <w:tc>
          <w:tcPr>
            <w:tcW w:w="3652" w:type="dxa"/>
            <w:vMerge w:val="restart"/>
            <w:tcBorders>
              <w:top w:val="single" w:sz="4" w:space="0" w:color="auto"/>
              <w:left w:val="single" w:sz="4" w:space="0" w:color="auto"/>
              <w:right w:val="single" w:sz="4" w:space="0" w:color="auto"/>
            </w:tcBorders>
            <w:vAlign w:val="center"/>
          </w:tcPr>
          <w:p>
            <w:pPr>
              <w:jc w:val="center"/>
              <w:rPr>
                <w:noProof/>
                <w:sz w:val="22"/>
              </w:rPr>
            </w:pPr>
            <w:r>
              <w:rPr>
                <w:noProof/>
                <w:sz w:val="22"/>
              </w:rPr>
              <w:t>Operatív kiadások az EURI külső címzett bevételeiből</w:t>
            </w:r>
          </w:p>
          <w:p>
            <w:pPr>
              <w:jc w:val="center"/>
              <w:rPr>
                <w:noProof/>
                <w:sz w:val="22"/>
              </w:rPr>
            </w:pPr>
          </w:p>
        </w:tc>
        <w:tc>
          <w:tcPr>
            <w:tcW w:w="1388" w:type="dxa"/>
            <w:tcBorders>
              <w:top w:val="single" w:sz="4" w:space="0" w:color="auto"/>
              <w:left w:val="single" w:sz="4" w:space="0" w:color="auto"/>
              <w:bottom w:val="single" w:sz="4" w:space="0" w:color="auto"/>
              <w:right w:val="single" w:sz="4" w:space="0" w:color="auto"/>
            </w:tcBorders>
          </w:tcPr>
          <w:p>
            <w:pPr>
              <w:rPr>
                <w:noProof/>
                <w:sz w:val="20"/>
              </w:rPr>
            </w:pPr>
            <w:r>
              <w:rPr>
                <w:noProof/>
                <w:sz w:val="20"/>
              </w:rPr>
              <w:t>Kötelezettségvállalási előirányzatok</w:t>
            </w:r>
          </w:p>
        </w:tc>
        <w:tc>
          <w:tcPr>
            <w:tcW w:w="540" w:type="dxa"/>
            <w:tcBorders>
              <w:top w:val="single" w:sz="4" w:space="0" w:color="auto"/>
              <w:left w:val="single" w:sz="4" w:space="0" w:color="auto"/>
              <w:bottom w:val="single" w:sz="4" w:space="0" w:color="auto"/>
              <w:right w:val="single" w:sz="4" w:space="0" w:color="auto"/>
            </w:tcBorders>
          </w:tcPr>
          <w:p>
            <w:pPr>
              <w:jc w:val="center"/>
              <w:rPr>
                <w:noProof/>
                <w:sz w:val="20"/>
              </w:rPr>
            </w:pPr>
            <w:r>
              <w:rPr>
                <w:noProof/>
                <w:sz w:val="14"/>
              </w:rPr>
              <w:t>1</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3 265,383 </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3 331,093 </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2 274,063 </w:t>
            </w:r>
          </w:p>
        </w:tc>
        <w:tc>
          <w:tcPr>
            <w:tcW w:w="976"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2 320,063 </w:t>
            </w:r>
          </w:p>
        </w:tc>
        <w:tc>
          <w:tcPr>
            <w:tcW w:w="1004"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27,383 </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33,389 </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34,389 </w:t>
            </w:r>
          </w:p>
        </w:tc>
        <w:tc>
          <w:tcPr>
            <w:tcW w:w="1127"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11 285,762 </w:t>
            </w:r>
          </w:p>
        </w:tc>
      </w:tr>
      <w:tr>
        <w:tc>
          <w:tcPr>
            <w:tcW w:w="3652" w:type="dxa"/>
            <w:vMerge/>
            <w:tcBorders>
              <w:left w:val="single" w:sz="4" w:space="0" w:color="auto"/>
              <w:bottom w:val="single" w:sz="4" w:space="0" w:color="auto"/>
              <w:right w:val="single" w:sz="4" w:space="0" w:color="auto"/>
            </w:tcBorders>
            <w:vAlign w:val="center"/>
          </w:tcPr>
          <w:p>
            <w:pPr>
              <w:jc w:val="center"/>
              <w:rPr>
                <w:noProof/>
                <w:sz w:val="22"/>
              </w:rPr>
            </w:pPr>
          </w:p>
        </w:tc>
        <w:tc>
          <w:tcPr>
            <w:tcW w:w="1388" w:type="dxa"/>
            <w:tcBorders>
              <w:top w:val="single" w:sz="4" w:space="0" w:color="auto"/>
              <w:left w:val="single" w:sz="4" w:space="0" w:color="auto"/>
              <w:bottom w:val="single" w:sz="4" w:space="0" w:color="auto"/>
              <w:right w:val="single" w:sz="4" w:space="0" w:color="auto"/>
            </w:tcBorders>
          </w:tcPr>
          <w:p>
            <w:pPr>
              <w:rPr>
                <w:noProof/>
                <w:sz w:val="20"/>
              </w:rPr>
            </w:pPr>
            <w:r>
              <w:rPr>
                <w:noProof/>
                <w:sz w:val="20"/>
              </w:rPr>
              <w:t>Kifizetési előirányzatok</w:t>
            </w:r>
          </w:p>
        </w:tc>
        <w:tc>
          <w:tcPr>
            <w:tcW w:w="540" w:type="dxa"/>
            <w:tcBorders>
              <w:top w:val="single" w:sz="4" w:space="0" w:color="auto"/>
              <w:left w:val="single" w:sz="4" w:space="0" w:color="auto"/>
              <w:bottom w:val="single" w:sz="4" w:space="0" w:color="auto"/>
              <w:right w:val="single" w:sz="4" w:space="0" w:color="auto"/>
            </w:tcBorders>
          </w:tcPr>
          <w:p>
            <w:pPr>
              <w:jc w:val="center"/>
              <w:rPr>
                <w:noProof/>
                <w:sz w:val="20"/>
              </w:rPr>
            </w:pPr>
            <w:r>
              <w:rPr>
                <w:noProof/>
                <w:sz w:val="14"/>
              </w:rPr>
              <w:t>2</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23,133 </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1 883,383 </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1 883,383 </w:t>
            </w:r>
          </w:p>
        </w:tc>
        <w:tc>
          <w:tcPr>
            <w:tcW w:w="976"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1 883,383 </w:t>
            </w:r>
          </w:p>
        </w:tc>
        <w:tc>
          <w:tcPr>
            <w:tcW w:w="1004"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1 883,383 </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1 888,389 </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1 840,709 </w:t>
            </w:r>
          </w:p>
        </w:tc>
        <w:tc>
          <w:tcPr>
            <w:tcW w:w="1127"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11 285,762 </w:t>
            </w:r>
          </w:p>
        </w:tc>
      </w:tr>
      <w:tr>
        <w:tc>
          <w:tcPr>
            <w:tcW w:w="3652" w:type="dxa"/>
            <w:tcBorders>
              <w:top w:val="single" w:sz="4" w:space="0" w:color="auto"/>
              <w:left w:val="single" w:sz="4" w:space="0" w:color="auto"/>
              <w:bottom w:val="single" w:sz="4" w:space="0" w:color="auto"/>
              <w:right w:val="single" w:sz="4" w:space="0" w:color="auto"/>
            </w:tcBorders>
            <w:vAlign w:val="center"/>
          </w:tcPr>
          <w:p>
            <w:pPr>
              <w:jc w:val="center"/>
              <w:rPr>
                <w:noProof/>
                <w:sz w:val="22"/>
              </w:rPr>
            </w:pPr>
            <w:r>
              <w:rPr>
                <w:noProof/>
                <w:sz w:val="22"/>
              </w:rPr>
              <w:t>Igazgatási működési kiadások az EURI külső címzett bevételeiből</w:t>
            </w:r>
          </w:p>
          <w:p>
            <w:pPr>
              <w:jc w:val="center"/>
              <w:rPr>
                <w:noProof/>
                <w:sz w:val="22"/>
              </w:rPr>
            </w:pPr>
          </w:p>
        </w:tc>
        <w:tc>
          <w:tcPr>
            <w:tcW w:w="1388" w:type="dxa"/>
            <w:tcBorders>
              <w:top w:val="single" w:sz="4" w:space="0" w:color="auto"/>
              <w:left w:val="single" w:sz="4" w:space="0" w:color="auto"/>
              <w:bottom w:val="single" w:sz="4" w:space="0" w:color="auto"/>
              <w:right w:val="single" w:sz="4" w:space="0" w:color="auto"/>
            </w:tcBorders>
            <w:vAlign w:val="center"/>
          </w:tcPr>
          <w:p>
            <w:pPr>
              <w:rPr>
                <w:noProof/>
                <w:sz w:val="20"/>
              </w:rPr>
            </w:pPr>
            <w:r>
              <w:rPr>
                <w:noProof/>
                <w:sz w:val="18"/>
              </w:rPr>
              <w:t xml:space="preserve">Kötelezettségvállalási előirányzatok = kifizetési </w:t>
            </w:r>
            <w:r>
              <w:rPr>
                <w:noProof/>
                <w:sz w:val="18"/>
              </w:rPr>
              <w:lastRenderedPageBreak/>
              <w:t>előirányzatok</w:t>
            </w:r>
          </w:p>
        </w:tc>
        <w:tc>
          <w:tcPr>
            <w:tcW w:w="540" w:type="dxa"/>
            <w:tcBorders>
              <w:top w:val="single" w:sz="4" w:space="0" w:color="auto"/>
              <w:left w:val="single" w:sz="4" w:space="0" w:color="auto"/>
              <w:bottom w:val="single" w:sz="4" w:space="0" w:color="auto"/>
              <w:right w:val="single" w:sz="4" w:space="0" w:color="auto"/>
            </w:tcBorders>
            <w:vAlign w:val="center"/>
          </w:tcPr>
          <w:p>
            <w:pPr>
              <w:jc w:val="center"/>
              <w:rPr>
                <w:noProof/>
                <w:sz w:val="20"/>
              </w:rPr>
            </w:pPr>
            <w:r>
              <w:rPr>
                <w:noProof/>
                <w:sz w:val="14"/>
              </w:rPr>
              <w:lastRenderedPageBreak/>
              <w:t>3</w:t>
            </w:r>
          </w:p>
        </w:tc>
        <w:tc>
          <w:tcPr>
            <w:tcW w:w="990" w:type="dxa"/>
            <w:tcBorders>
              <w:top w:val="single" w:sz="4" w:space="0" w:color="auto"/>
              <w:left w:val="single" w:sz="4" w:space="0" w:color="auto"/>
              <w:bottom w:val="single" w:sz="4" w:space="0" w:color="auto"/>
              <w:right w:val="single" w:sz="4" w:space="0" w:color="auto"/>
            </w:tcBorders>
          </w:tcPr>
          <w:p>
            <w:pPr>
              <w:jc w:val="center"/>
              <w:rPr>
                <w:b/>
                <w:noProof/>
                <w:sz w:val="16"/>
                <w:szCs w:val="16"/>
              </w:rPr>
            </w:pPr>
            <w:r>
              <w:rPr>
                <w:noProof/>
                <w:sz w:val="16"/>
                <w:szCs w:val="16"/>
              </w:rPr>
              <w:t xml:space="preserve"> 24,617 </w:t>
            </w:r>
          </w:p>
        </w:tc>
        <w:tc>
          <w:tcPr>
            <w:tcW w:w="990" w:type="dxa"/>
            <w:tcBorders>
              <w:top w:val="single" w:sz="4" w:space="0" w:color="auto"/>
              <w:left w:val="single" w:sz="4" w:space="0" w:color="auto"/>
              <w:bottom w:val="single" w:sz="4" w:space="0" w:color="auto"/>
              <w:right w:val="single" w:sz="4" w:space="0" w:color="auto"/>
            </w:tcBorders>
          </w:tcPr>
          <w:p>
            <w:pPr>
              <w:jc w:val="center"/>
              <w:rPr>
                <w:b/>
                <w:noProof/>
                <w:sz w:val="16"/>
                <w:szCs w:val="16"/>
              </w:rPr>
            </w:pPr>
            <w:r>
              <w:rPr>
                <w:noProof/>
                <w:sz w:val="16"/>
                <w:szCs w:val="16"/>
              </w:rPr>
              <w:t xml:space="preserve"> 24,617 </w:t>
            </w:r>
          </w:p>
        </w:tc>
        <w:tc>
          <w:tcPr>
            <w:tcW w:w="990" w:type="dxa"/>
            <w:tcBorders>
              <w:top w:val="single" w:sz="4" w:space="0" w:color="auto"/>
              <w:left w:val="single" w:sz="4" w:space="0" w:color="auto"/>
              <w:bottom w:val="single" w:sz="4" w:space="0" w:color="auto"/>
              <w:right w:val="single" w:sz="4" w:space="0" w:color="auto"/>
            </w:tcBorders>
          </w:tcPr>
          <w:p>
            <w:pPr>
              <w:jc w:val="center"/>
              <w:rPr>
                <w:b/>
                <w:noProof/>
                <w:sz w:val="16"/>
                <w:szCs w:val="16"/>
              </w:rPr>
            </w:pPr>
            <w:r>
              <w:rPr>
                <w:noProof/>
                <w:sz w:val="16"/>
                <w:szCs w:val="16"/>
              </w:rPr>
              <w:t xml:space="preserve"> 24,617 </w:t>
            </w:r>
          </w:p>
        </w:tc>
        <w:tc>
          <w:tcPr>
            <w:tcW w:w="976" w:type="dxa"/>
            <w:tcBorders>
              <w:top w:val="single" w:sz="4" w:space="0" w:color="auto"/>
              <w:left w:val="single" w:sz="4" w:space="0" w:color="auto"/>
              <w:bottom w:val="single" w:sz="4" w:space="0" w:color="auto"/>
              <w:right w:val="single" w:sz="4" w:space="0" w:color="auto"/>
            </w:tcBorders>
          </w:tcPr>
          <w:p>
            <w:pPr>
              <w:jc w:val="center"/>
              <w:rPr>
                <w:b/>
                <w:noProof/>
                <w:sz w:val="16"/>
                <w:szCs w:val="16"/>
              </w:rPr>
            </w:pPr>
            <w:r>
              <w:rPr>
                <w:noProof/>
                <w:sz w:val="16"/>
                <w:szCs w:val="16"/>
              </w:rPr>
              <w:t xml:space="preserve"> 24,617 </w:t>
            </w:r>
          </w:p>
        </w:tc>
        <w:tc>
          <w:tcPr>
            <w:tcW w:w="1004" w:type="dxa"/>
            <w:tcBorders>
              <w:top w:val="single" w:sz="4" w:space="0" w:color="auto"/>
              <w:left w:val="single" w:sz="4" w:space="0" w:color="auto"/>
              <w:bottom w:val="single" w:sz="4" w:space="0" w:color="auto"/>
              <w:right w:val="single" w:sz="4" w:space="0" w:color="auto"/>
            </w:tcBorders>
          </w:tcPr>
          <w:p>
            <w:pPr>
              <w:jc w:val="center"/>
              <w:rPr>
                <w:b/>
                <w:noProof/>
                <w:sz w:val="16"/>
                <w:szCs w:val="16"/>
              </w:rPr>
            </w:pPr>
            <w:r>
              <w:rPr>
                <w:noProof/>
                <w:sz w:val="16"/>
                <w:szCs w:val="16"/>
              </w:rPr>
              <w:t xml:space="preserve"> 24,617 </w:t>
            </w:r>
          </w:p>
        </w:tc>
        <w:tc>
          <w:tcPr>
            <w:tcW w:w="990" w:type="dxa"/>
            <w:tcBorders>
              <w:top w:val="single" w:sz="4" w:space="0" w:color="auto"/>
              <w:left w:val="single" w:sz="4" w:space="0" w:color="auto"/>
              <w:bottom w:val="single" w:sz="4" w:space="0" w:color="auto"/>
              <w:right w:val="single" w:sz="4" w:space="0" w:color="auto"/>
            </w:tcBorders>
          </w:tcPr>
          <w:p>
            <w:pPr>
              <w:jc w:val="center"/>
              <w:rPr>
                <w:b/>
                <w:noProof/>
                <w:sz w:val="16"/>
                <w:szCs w:val="16"/>
              </w:rPr>
            </w:pPr>
            <w:r>
              <w:rPr>
                <w:noProof/>
                <w:sz w:val="16"/>
                <w:szCs w:val="16"/>
              </w:rPr>
              <w:t xml:space="preserve"> 19,611 </w:t>
            </w:r>
          </w:p>
        </w:tc>
        <w:tc>
          <w:tcPr>
            <w:tcW w:w="990" w:type="dxa"/>
            <w:tcBorders>
              <w:top w:val="single" w:sz="4" w:space="0" w:color="auto"/>
              <w:left w:val="single" w:sz="4" w:space="0" w:color="auto"/>
              <w:bottom w:val="single" w:sz="4" w:space="0" w:color="auto"/>
              <w:right w:val="single" w:sz="4" w:space="0" w:color="auto"/>
            </w:tcBorders>
          </w:tcPr>
          <w:p>
            <w:pPr>
              <w:jc w:val="center"/>
              <w:rPr>
                <w:b/>
                <w:noProof/>
                <w:sz w:val="16"/>
                <w:szCs w:val="16"/>
              </w:rPr>
            </w:pPr>
            <w:r>
              <w:rPr>
                <w:noProof/>
                <w:sz w:val="16"/>
                <w:szCs w:val="16"/>
              </w:rPr>
              <w:t xml:space="preserve"> 19,611 </w:t>
            </w:r>
          </w:p>
        </w:tc>
        <w:tc>
          <w:tcPr>
            <w:tcW w:w="1127" w:type="dxa"/>
            <w:tcBorders>
              <w:top w:val="single" w:sz="4" w:space="0" w:color="auto"/>
              <w:left w:val="single" w:sz="4" w:space="0" w:color="auto"/>
              <w:bottom w:val="single" w:sz="4" w:space="0" w:color="auto"/>
              <w:right w:val="single" w:sz="4" w:space="0" w:color="auto"/>
            </w:tcBorders>
          </w:tcPr>
          <w:p>
            <w:pPr>
              <w:jc w:val="center"/>
              <w:rPr>
                <w:b/>
                <w:noProof/>
                <w:sz w:val="16"/>
                <w:szCs w:val="16"/>
              </w:rPr>
            </w:pPr>
            <w:r>
              <w:rPr>
                <w:noProof/>
                <w:sz w:val="16"/>
                <w:szCs w:val="16"/>
              </w:rPr>
              <w:t xml:space="preserve"> 162,308 </w:t>
            </w:r>
          </w:p>
        </w:tc>
      </w:tr>
      <w:tr>
        <w:tc>
          <w:tcPr>
            <w:tcW w:w="3652" w:type="dxa"/>
            <w:vMerge w:val="restart"/>
            <w:tcBorders>
              <w:top w:val="single" w:sz="4" w:space="0" w:color="auto"/>
              <w:left w:val="single" w:sz="4" w:space="0" w:color="auto"/>
              <w:right w:val="single" w:sz="4" w:space="0" w:color="auto"/>
            </w:tcBorders>
            <w:vAlign w:val="center"/>
          </w:tcPr>
          <w:p>
            <w:pPr>
              <w:jc w:val="center"/>
              <w:rPr>
                <w:noProof/>
                <w:sz w:val="22"/>
              </w:rPr>
            </w:pPr>
            <w:r>
              <w:rPr>
                <w:noProof/>
                <w:sz w:val="22"/>
              </w:rPr>
              <w:lastRenderedPageBreak/>
              <w:t>Külső címzett bevétel összesen</w:t>
            </w:r>
          </w:p>
        </w:tc>
        <w:tc>
          <w:tcPr>
            <w:tcW w:w="1388" w:type="dxa"/>
            <w:tcBorders>
              <w:top w:val="single" w:sz="4" w:space="0" w:color="auto"/>
              <w:left w:val="single" w:sz="4" w:space="0" w:color="auto"/>
              <w:bottom w:val="single" w:sz="4" w:space="0" w:color="auto"/>
              <w:right w:val="single" w:sz="4" w:space="0" w:color="auto"/>
            </w:tcBorders>
          </w:tcPr>
          <w:p>
            <w:pPr>
              <w:rPr>
                <w:noProof/>
                <w:sz w:val="20"/>
              </w:rPr>
            </w:pPr>
            <w:r>
              <w:rPr>
                <w:noProof/>
                <w:sz w:val="20"/>
              </w:rPr>
              <w:t>Kötelezettségvállalási előirányzatok</w:t>
            </w:r>
          </w:p>
        </w:tc>
        <w:tc>
          <w:tcPr>
            <w:tcW w:w="540" w:type="dxa"/>
            <w:tcBorders>
              <w:top w:val="single" w:sz="4" w:space="0" w:color="auto"/>
              <w:left w:val="single" w:sz="4" w:space="0" w:color="auto"/>
              <w:bottom w:val="single" w:sz="4" w:space="0" w:color="auto"/>
              <w:right w:val="single" w:sz="4" w:space="0" w:color="auto"/>
            </w:tcBorders>
          </w:tcPr>
          <w:p>
            <w:pPr>
              <w:jc w:val="center"/>
              <w:rPr>
                <w:noProof/>
                <w:sz w:val="20"/>
              </w:rPr>
            </w:pPr>
            <w:r>
              <w:rPr>
                <w:noProof/>
                <w:sz w:val="14"/>
              </w:rPr>
              <w:t>=1+3</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3 290,000 </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3 355,710 </w:t>
            </w:r>
          </w:p>
        </w:tc>
        <w:tc>
          <w:tcPr>
            <w:tcW w:w="990" w:type="dxa"/>
            <w:tcBorders>
              <w:top w:val="single" w:sz="4" w:space="0" w:color="auto"/>
              <w:left w:val="single" w:sz="4" w:space="0" w:color="auto"/>
              <w:bottom w:val="single" w:sz="4" w:space="0" w:color="auto"/>
              <w:right w:val="single" w:sz="4" w:space="0" w:color="auto"/>
            </w:tcBorders>
            <w:vAlign w:val="center"/>
          </w:tcPr>
          <w:p>
            <w:pPr>
              <w:rPr>
                <w:b/>
                <w:noProof/>
                <w:sz w:val="16"/>
                <w:szCs w:val="16"/>
              </w:rPr>
            </w:pPr>
            <w:r>
              <w:rPr>
                <w:noProof/>
                <w:sz w:val="16"/>
                <w:szCs w:val="16"/>
              </w:rPr>
              <w:t xml:space="preserve"> 2 298,680 </w:t>
            </w:r>
          </w:p>
        </w:tc>
        <w:tc>
          <w:tcPr>
            <w:tcW w:w="976"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2 344,680 </w:t>
            </w:r>
          </w:p>
        </w:tc>
        <w:tc>
          <w:tcPr>
            <w:tcW w:w="1004"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52,000 </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53,000 </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54,000 </w:t>
            </w:r>
          </w:p>
        </w:tc>
        <w:tc>
          <w:tcPr>
            <w:tcW w:w="1127"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11 448,070 </w:t>
            </w:r>
          </w:p>
        </w:tc>
      </w:tr>
      <w:tr>
        <w:tc>
          <w:tcPr>
            <w:tcW w:w="3652" w:type="dxa"/>
            <w:vMerge/>
            <w:tcBorders>
              <w:left w:val="single" w:sz="4" w:space="0" w:color="auto"/>
              <w:bottom w:val="single" w:sz="4" w:space="0" w:color="auto"/>
              <w:right w:val="single" w:sz="4" w:space="0" w:color="auto"/>
            </w:tcBorders>
            <w:vAlign w:val="center"/>
          </w:tcPr>
          <w:p>
            <w:pPr>
              <w:jc w:val="center"/>
              <w:rPr>
                <w:noProof/>
                <w:sz w:val="22"/>
              </w:rPr>
            </w:pPr>
          </w:p>
        </w:tc>
        <w:tc>
          <w:tcPr>
            <w:tcW w:w="1388" w:type="dxa"/>
            <w:tcBorders>
              <w:top w:val="single" w:sz="4" w:space="0" w:color="auto"/>
              <w:left w:val="single" w:sz="4" w:space="0" w:color="auto"/>
              <w:bottom w:val="single" w:sz="4" w:space="0" w:color="auto"/>
              <w:right w:val="single" w:sz="4" w:space="0" w:color="auto"/>
            </w:tcBorders>
          </w:tcPr>
          <w:p>
            <w:pPr>
              <w:rPr>
                <w:noProof/>
                <w:sz w:val="20"/>
              </w:rPr>
            </w:pPr>
            <w:r>
              <w:rPr>
                <w:noProof/>
                <w:sz w:val="20"/>
              </w:rPr>
              <w:t>Kifizetési előirányzatok</w:t>
            </w:r>
          </w:p>
        </w:tc>
        <w:tc>
          <w:tcPr>
            <w:tcW w:w="540" w:type="dxa"/>
            <w:tcBorders>
              <w:top w:val="single" w:sz="4" w:space="0" w:color="auto"/>
              <w:left w:val="single" w:sz="4" w:space="0" w:color="auto"/>
              <w:bottom w:val="single" w:sz="4" w:space="0" w:color="auto"/>
              <w:right w:val="single" w:sz="4" w:space="0" w:color="auto"/>
            </w:tcBorders>
          </w:tcPr>
          <w:p>
            <w:pPr>
              <w:jc w:val="center"/>
              <w:rPr>
                <w:noProof/>
                <w:sz w:val="14"/>
              </w:rPr>
            </w:pPr>
            <w:r>
              <w:rPr>
                <w:noProof/>
                <w:sz w:val="14"/>
              </w:rPr>
              <w:t>=2+3</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47,750 </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1 908,000 </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1 908,000 </w:t>
            </w:r>
          </w:p>
        </w:tc>
        <w:tc>
          <w:tcPr>
            <w:tcW w:w="976"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1 908,000 </w:t>
            </w:r>
          </w:p>
        </w:tc>
        <w:tc>
          <w:tcPr>
            <w:tcW w:w="1004" w:type="dxa"/>
            <w:tcBorders>
              <w:top w:val="single" w:sz="4" w:space="0" w:color="auto"/>
              <w:left w:val="single" w:sz="4" w:space="0" w:color="auto"/>
              <w:bottom w:val="single" w:sz="4" w:space="0" w:color="auto"/>
              <w:right w:val="single" w:sz="4" w:space="0" w:color="auto"/>
            </w:tcBorders>
            <w:vAlign w:val="center"/>
          </w:tcPr>
          <w:p>
            <w:pPr>
              <w:rPr>
                <w:b/>
                <w:noProof/>
                <w:sz w:val="16"/>
                <w:szCs w:val="16"/>
              </w:rPr>
            </w:pPr>
            <w:r>
              <w:rPr>
                <w:noProof/>
                <w:sz w:val="16"/>
                <w:szCs w:val="16"/>
              </w:rPr>
              <w:t xml:space="preserve"> 1 908,000 </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1 908,000 </w:t>
            </w:r>
          </w:p>
        </w:tc>
        <w:tc>
          <w:tcPr>
            <w:tcW w:w="990" w:type="dxa"/>
            <w:tcBorders>
              <w:top w:val="single" w:sz="4" w:space="0" w:color="auto"/>
              <w:left w:val="single" w:sz="4" w:space="0" w:color="auto"/>
              <w:bottom w:val="single" w:sz="4" w:space="0" w:color="auto"/>
              <w:right w:val="single" w:sz="4" w:space="0" w:color="auto"/>
            </w:tcBorders>
            <w:vAlign w:val="center"/>
          </w:tcPr>
          <w:p>
            <w:pPr>
              <w:rPr>
                <w:b/>
                <w:noProof/>
                <w:sz w:val="16"/>
                <w:szCs w:val="16"/>
              </w:rPr>
            </w:pPr>
            <w:r>
              <w:rPr>
                <w:noProof/>
                <w:sz w:val="16"/>
                <w:szCs w:val="16"/>
              </w:rPr>
              <w:t xml:space="preserve"> 1 860,320 </w:t>
            </w:r>
          </w:p>
        </w:tc>
        <w:tc>
          <w:tcPr>
            <w:tcW w:w="1127"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11 448,070 </w:t>
            </w:r>
          </w:p>
        </w:tc>
      </w:tr>
    </w:tbl>
    <w:p>
      <w:pPr>
        <w:rPr>
          <w:noProof/>
        </w:rPr>
      </w:pPr>
    </w:p>
    <w:p>
      <w:p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rPr>
            </w:pPr>
            <w:r>
              <w:rPr>
                <w:noProof/>
              </w:rPr>
              <w:br w:type="page"/>
            </w:r>
            <w:r>
              <w:rPr>
                <w:b/>
                <w:noProof/>
                <w:sz w:val="22"/>
              </w:rPr>
              <w:t xml:space="preserve">A többéves pénzügyi keret fejezete </w:t>
            </w:r>
          </w:p>
        </w:tc>
        <w:tc>
          <w:tcPr>
            <w:tcW w:w="1080" w:type="dxa"/>
            <w:shd w:val="thinDiagStripe" w:color="C0C0C0" w:fill="auto"/>
            <w:vAlign w:val="center"/>
          </w:tcPr>
          <w:p>
            <w:pPr>
              <w:spacing w:before="60" w:after="60"/>
              <w:jc w:val="center"/>
              <w:rPr>
                <w:noProof/>
              </w:rPr>
            </w:pPr>
            <w:r>
              <w:rPr>
                <w:noProof/>
              </w:rPr>
              <w:t>7</w:t>
            </w:r>
          </w:p>
        </w:tc>
        <w:tc>
          <w:tcPr>
            <w:tcW w:w="7817" w:type="dxa"/>
            <w:vAlign w:val="center"/>
          </w:tcPr>
          <w:p>
            <w:pPr>
              <w:spacing w:before="60" w:after="60"/>
              <w:rPr>
                <w:noProof/>
              </w:rPr>
            </w:pPr>
            <w:r>
              <w:rPr>
                <w:noProof/>
                <w:sz w:val="22"/>
              </w:rPr>
              <w:t>„Igazgatási kiadások”</w:t>
            </w:r>
          </w:p>
        </w:tc>
      </w:tr>
    </w:tbl>
    <w:p>
      <w:pPr>
        <w:jc w:val="left"/>
        <w:rPr>
          <w:noProof/>
        </w:rPr>
      </w:pPr>
    </w:p>
    <w:p>
      <w:pPr>
        <w:jc w:val="left"/>
        <w:rPr>
          <w:noProof/>
        </w:rPr>
      </w:pPr>
    </w:p>
    <w:p>
      <w:pPr>
        <w:jc w:val="right"/>
        <w:rPr>
          <w:noProof/>
          <w:sz w:val="20"/>
        </w:rPr>
      </w:pPr>
      <w:r>
        <w:rPr>
          <w:noProof/>
          <w:sz w:val="20"/>
        </w:rPr>
        <w:t>millió EUR (három tizedesjegyig)</w:t>
      </w:r>
    </w:p>
    <w:tbl>
      <w:tblPr>
        <w:tblW w:w="13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99"/>
        <w:gridCol w:w="2046"/>
        <w:gridCol w:w="868"/>
        <w:gridCol w:w="868"/>
        <w:gridCol w:w="868"/>
        <w:gridCol w:w="868"/>
        <w:gridCol w:w="868"/>
        <w:gridCol w:w="868"/>
        <w:gridCol w:w="868"/>
        <w:gridCol w:w="1291"/>
      </w:tblGrid>
      <w:tr>
        <w:trPr>
          <w:jc w:val="center"/>
        </w:trPr>
        <w:tc>
          <w:tcPr>
            <w:tcW w:w="6245" w:type="dxa"/>
            <w:gridSpan w:val="2"/>
            <w:tcBorders>
              <w:top w:val="nil"/>
              <w:left w:val="nil"/>
            </w:tcBorders>
            <w:vAlign w:val="center"/>
          </w:tcPr>
          <w:p>
            <w:pPr>
              <w:jc w:val="center"/>
              <w:rPr>
                <w:noProof/>
                <w:sz w:val="20"/>
              </w:rPr>
            </w:pPr>
          </w:p>
        </w:tc>
        <w:tc>
          <w:tcPr>
            <w:tcW w:w="868" w:type="dxa"/>
            <w:vAlign w:val="center"/>
          </w:tcPr>
          <w:p>
            <w:pPr>
              <w:jc w:val="center"/>
              <w:rPr>
                <w:b/>
                <w:noProof/>
                <w:sz w:val="20"/>
              </w:rPr>
            </w:pPr>
            <w:r>
              <w:rPr>
                <w:b/>
                <w:noProof/>
                <w:sz w:val="20"/>
              </w:rPr>
              <w:t>2021</w:t>
            </w:r>
          </w:p>
        </w:tc>
        <w:tc>
          <w:tcPr>
            <w:tcW w:w="868" w:type="dxa"/>
            <w:vAlign w:val="center"/>
          </w:tcPr>
          <w:p>
            <w:pPr>
              <w:jc w:val="center"/>
              <w:rPr>
                <w:b/>
                <w:noProof/>
                <w:sz w:val="20"/>
              </w:rPr>
            </w:pPr>
            <w:r>
              <w:rPr>
                <w:b/>
                <w:noProof/>
                <w:sz w:val="20"/>
              </w:rPr>
              <w:t>2022</w:t>
            </w:r>
          </w:p>
        </w:tc>
        <w:tc>
          <w:tcPr>
            <w:tcW w:w="868" w:type="dxa"/>
            <w:vAlign w:val="center"/>
          </w:tcPr>
          <w:p>
            <w:pPr>
              <w:jc w:val="center"/>
              <w:rPr>
                <w:b/>
                <w:noProof/>
                <w:sz w:val="20"/>
              </w:rPr>
            </w:pPr>
            <w:r>
              <w:rPr>
                <w:b/>
                <w:noProof/>
                <w:sz w:val="20"/>
              </w:rPr>
              <w:t>2023</w:t>
            </w:r>
          </w:p>
        </w:tc>
        <w:tc>
          <w:tcPr>
            <w:tcW w:w="868" w:type="dxa"/>
            <w:vAlign w:val="center"/>
          </w:tcPr>
          <w:p>
            <w:pPr>
              <w:jc w:val="center"/>
              <w:rPr>
                <w:b/>
                <w:noProof/>
                <w:sz w:val="20"/>
              </w:rPr>
            </w:pPr>
            <w:r>
              <w:rPr>
                <w:b/>
                <w:noProof/>
                <w:sz w:val="20"/>
              </w:rPr>
              <w:t>2024</w:t>
            </w:r>
          </w:p>
        </w:tc>
        <w:tc>
          <w:tcPr>
            <w:tcW w:w="868" w:type="dxa"/>
            <w:vAlign w:val="center"/>
          </w:tcPr>
          <w:p>
            <w:pPr>
              <w:jc w:val="center"/>
              <w:rPr>
                <w:b/>
                <w:noProof/>
                <w:sz w:val="18"/>
              </w:rPr>
            </w:pPr>
            <w:r>
              <w:rPr>
                <w:b/>
                <w:noProof/>
                <w:sz w:val="18"/>
              </w:rPr>
              <w:t>2025</w:t>
            </w:r>
          </w:p>
        </w:tc>
        <w:tc>
          <w:tcPr>
            <w:tcW w:w="868" w:type="dxa"/>
            <w:vAlign w:val="center"/>
          </w:tcPr>
          <w:p>
            <w:pPr>
              <w:jc w:val="center"/>
              <w:rPr>
                <w:b/>
                <w:noProof/>
                <w:sz w:val="18"/>
              </w:rPr>
            </w:pPr>
            <w:r>
              <w:rPr>
                <w:b/>
                <w:noProof/>
                <w:sz w:val="18"/>
              </w:rPr>
              <w:t>2026</w:t>
            </w:r>
          </w:p>
        </w:tc>
        <w:tc>
          <w:tcPr>
            <w:tcW w:w="868" w:type="dxa"/>
            <w:vAlign w:val="center"/>
          </w:tcPr>
          <w:p>
            <w:pPr>
              <w:jc w:val="center"/>
              <w:rPr>
                <w:b/>
                <w:noProof/>
                <w:sz w:val="18"/>
              </w:rPr>
            </w:pPr>
            <w:r>
              <w:rPr>
                <w:b/>
                <w:noProof/>
                <w:sz w:val="18"/>
              </w:rPr>
              <w:t>2027</w:t>
            </w:r>
          </w:p>
        </w:tc>
        <w:tc>
          <w:tcPr>
            <w:tcW w:w="1291" w:type="dxa"/>
            <w:vAlign w:val="center"/>
          </w:tcPr>
          <w:p>
            <w:pPr>
              <w:jc w:val="center"/>
              <w:rPr>
                <w:b/>
                <w:noProof/>
                <w:sz w:val="20"/>
              </w:rPr>
            </w:pPr>
            <w:r>
              <w:rPr>
                <w:b/>
                <w:noProof/>
                <w:sz w:val="20"/>
              </w:rPr>
              <w:t>ÖSSZESEN</w:t>
            </w:r>
          </w:p>
        </w:tc>
      </w:tr>
      <w:tr>
        <w:trPr>
          <w:trHeight w:val="313"/>
          <w:jc w:val="center"/>
        </w:trPr>
        <w:tc>
          <w:tcPr>
            <w:tcW w:w="6245" w:type="dxa"/>
            <w:gridSpan w:val="2"/>
            <w:vAlign w:val="center"/>
          </w:tcPr>
          <w:p>
            <w:pPr>
              <w:spacing w:before="20" w:after="20"/>
              <w:rPr>
                <w:noProof/>
              </w:rPr>
            </w:pPr>
            <w:r>
              <w:rPr>
                <w:noProof/>
                <w:sz w:val="22"/>
              </w:rPr>
              <w:t xml:space="preserve">Humánerőforrás </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291" w:type="dxa"/>
            <w:vAlign w:val="center"/>
          </w:tcPr>
          <w:p>
            <w:pPr>
              <w:spacing w:before="20" w:after="20"/>
              <w:jc w:val="right"/>
              <w:rPr>
                <w:b/>
                <w:noProof/>
                <w:sz w:val="20"/>
              </w:rPr>
            </w:pPr>
          </w:p>
        </w:tc>
      </w:tr>
      <w:tr>
        <w:trPr>
          <w:trHeight w:val="351"/>
          <w:jc w:val="center"/>
        </w:trPr>
        <w:tc>
          <w:tcPr>
            <w:tcW w:w="6245" w:type="dxa"/>
            <w:gridSpan w:val="2"/>
            <w:vAlign w:val="center"/>
          </w:tcPr>
          <w:p>
            <w:pPr>
              <w:spacing w:before="20" w:after="20"/>
              <w:rPr>
                <w:noProof/>
              </w:rPr>
            </w:pPr>
            <w:r>
              <w:rPr>
                <w:noProof/>
                <w:sz w:val="22"/>
              </w:rPr>
              <w:t xml:space="preserve">Egyéb igazgatási kiadások </w:t>
            </w: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1291" w:type="dxa"/>
            <w:vAlign w:val="center"/>
          </w:tcPr>
          <w:p>
            <w:pPr>
              <w:spacing w:before="20" w:after="20"/>
              <w:jc w:val="right"/>
              <w:rPr>
                <w:b/>
                <w:noProof/>
                <w:sz w:val="20"/>
              </w:rPr>
            </w:pPr>
          </w:p>
        </w:tc>
      </w:tr>
      <w:tr>
        <w:trPr>
          <w:trHeight w:val="351"/>
          <w:jc w:val="center"/>
        </w:trPr>
        <w:tc>
          <w:tcPr>
            <w:tcW w:w="4199" w:type="dxa"/>
            <w:vAlign w:val="center"/>
          </w:tcPr>
          <w:p>
            <w:pPr>
              <w:spacing w:before="20" w:after="20"/>
              <w:jc w:val="left"/>
              <w:rPr>
                <w:b/>
                <w:noProof/>
                <w:sz w:val="22"/>
              </w:rPr>
            </w:pPr>
            <w:r>
              <w:rPr>
                <w:b/>
                <w:noProof/>
                <w:sz w:val="22"/>
              </w:rPr>
              <w:t>A többéves pénzügyi keret</w:t>
            </w:r>
            <w:r>
              <w:rPr>
                <w:b/>
                <w:noProof/>
                <w:sz w:val="22"/>
              </w:rPr>
              <w:br/>
              <w:t>7. FEJEZETÉHEZ tartozó előirányzatok</w:t>
            </w:r>
            <w:r>
              <w:rPr>
                <w:b/>
                <w:noProof/>
                <w:sz w:val="22"/>
              </w:rPr>
              <w:br/>
              <w:t>ÖSSZESEN</w:t>
            </w:r>
          </w:p>
        </w:tc>
        <w:tc>
          <w:tcPr>
            <w:tcW w:w="2046" w:type="dxa"/>
            <w:vAlign w:val="center"/>
          </w:tcPr>
          <w:p>
            <w:pPr>
              <w:spacing w:before="20" w:after="20"/>
              <w:rPr>
                <w:noProof/>
                <w:sz w:val="22"/>
              </w:rPr>
            </w:pPr>
            <w:r>
              <w:rPr>
                <w:noProof/>
                <w:sz w:val="18"/>
              </w:rPr>
              <w:t>(Összes kötelezettségvállalási előirányzat = Összes kifizetési előirányzat)</w:t>
            </w:r>
          </w:p>
        </w:tc>
        <w:tc>
          <w:tcPr>
            <w:tcW w:w="868" w:type="dxa"/>
            <w:vAlign w:val="center"/>
          </w:tcPr>
          <w:p>
            <w:pPr>
              <w:spacing w:before="20" w:after="20"/>
              <w:jc w:val="right"/>
              <w:rPr>
                <w:b/>
                <w:noProof/>
                <w:sz w:val="20"/>
              </w:rPr>
            </w:pPr>
            <w:r>
              <w:rPr>
                <w:b/>
                <w:noProof/>
                <w:sz w:val="20"/>
              </w:rPr>
              <w:t>-</w:t>
            </w:r>
          </w:p>
        </w:tc>
        <w:tc>
          <w:tcPr>
            <w:tcW w:w="868" w:type="dxa"/>
            <w:vAlign w:val="center"/>
          </w:tcPr>
          <w:p>
            <w:pPr>
              <w:spacing w:before="20" w:after="20"/>
              <w:jc w:val="right"/>
              <w:rPr>
                <w:b/>
                <w:noProof/>
                <w:sz w:val="20"/>
              </w:rPr>
            </w:pPr>
            <w:r>
              <w:rPr>
                <w:b/>
                <w:noProof/>
                <w:sz w:val="20"/>
              </w:rPr>
              <w:t>-</w:t>
            </w:r>
          </w:p>
        </w:tc>
        <w:tc>
          <w:tcPr>
            <w:tcW w:w="868" w:type="dxa"/>
            <w:vAlign w:val="center"/>
          </w:tcPr>
          <w:p>
            <w:pPr>
              <w:spacing w:before="20" w:after="20"/>
              <w:jc w:val="right"/>
              <w:rPr>
                <w:b/>
                <w:noProof/>
                <w:sz w:val="20"/>
              </w:rPr>
            </w:pPr>
            <w:r>
              <w:rPr>
                <w:b/>
                <w:noProof/>
                <w:sz w:val="20"/>
              </w:rPr>
              <w:t>-</w:t>
            </w:r>
          </w:p>
        </w:tc>
        <w:tc>
          <w:tcPr>
            <w:tcW w:w="868" w:type="dxa"/>
            <w:vAlign w:val="center"/>
          </w:tcPr>
          <w:p>
            <w:pPr>
              <w:spacing w:before="20" w:after="20"/>
              <w:jc w:val="right"/>
              <w:rPr>
                <w:b/>
                <w:noProof/>
                <w:sz w:val="20"/>
              </w:rPr>
            </w:pPr>
            <w:r>
              <w:rPr>
                <w:b/>
                <w:noProof/>
                <w:sz w:val="20"/>
              </w:rPr>
              <w:t>-</w:t>
            </w:r>
          </w:p>
        </w:tc>
        <w:tc>
          <w:tcPr>
            <w:tcW w:w="868" w:type="dxa"/>
            <w:vAlign w:val="center"/>
          </w:tcPr>
          <w:p>
            <w:pPr>
              <w:spacing w:before="20" w:after="20"/>
              <w:jc w:val="right"/>
              <w:rPr>
                <w:b/>
                <w:noProof/>
                <w:sz w:val="20"/>
              </w:rPr>
            </w:pPr>
            <w:r>
              <w:rPr>
                <w:b/>
                <w:noProof/>
                <w:sz w:val="20"/>
              </w:rPr>
              <w:t>-</w:t>
            </w:r>
          </w:p>
        </w:tc>
        <w:tc>
          <w:tcPr>
            <w:tcW w:w="868" w:type="dxa"/>
            <w:vAlign w:val="center"/>
          </w:tcPr>
          <w:p>
            <w:pPr>
              <w:spacing w:before="20" w:after="20"/>
              <w:jc w:val="right"/>
              <w:rPr>
                <w:b/>
                <w:noProof/>
                <w:sz w:val="20"/>
              </w:rPr>
            </w:pPr>
            <w:r>
              <w:rPr>
                <w:b/>
                <w:noProof/>
                <w:sz w:val="20"/>
              </w:rPr>
              <w:t>-</w:t>
            </w:r>
          </w:p>
        </w:tc>
        <w:tc>
          <w:tcPr>
            <w:tcW w:w="868" w:type="dxa"/>
            <w:vAlign w:val="center"/>
          </w:tcPr>
          <w:p>
            <w:pPr>
              <w:spacing w:before="20" w:after="20"/>
              <w:jc w:val="right"/>
              <w:rPr>
                <w:b/>
                <w:noProof/>
                <w:sz w:val="20"/>
              </w:rPr>
            </w:pPr>
            <w:r>
              <w:rPr>
                <w:b/>
                <w:noProof/>
                <w:sz w:val="20"/>
              </w:rPr>
              <w:t>-</w:t>
            </w:r>
          </w:p>
        </w:tc>
        <w:tc>
          <w:tcPr>
            <w:tcW w:w="1291" w:type="dxa"/>
            <w:vAlign w:val="center"/>
          </w:tcPr>
          <w:p>
            <w:pPr>
              <w:spacing w:before="20" w:after="20"/>
              <w:jc w:val="right"/>
              <w:rPr>
                <w:b/>
                <w:noProof/>
                <w:sz w:val="20"/>
              </w:rPr>
            </w:pPr>
            <w:r>
              <w:rPr>
                <w:b/>
                <w:noProof/>
                <w:sz w:val="20"/>
              </w:rPr>
              <w:t>-</w:t>
            </w:r>
          </w:p>
        </w:tc>
      </w:tr>
    </w:tbl>
    <w:p>
      <w:pPr>
        <w:rPr>
          <w:noProof/>
        </w:rPr>
        <w:sectPr>
          <w:headerReference w:type="default" r:id="rId16"/>
          <w:footerReference w:type="default" r:id="rId17"/>
          <w:headerReference w:type="first" r:id="rId18"/>
          <w:footerReference w:type="first" r:id="rId19"/>
          <w:pgSz w:w="16840" w:h="11907" w:orient="landscape" w:code="9"/>
          <w:pgMar w:top="1134" w:right="1418" w:bottom="1134" w:left="1418" w:header="709" w:footer="709" w:gutter="0"/>
          <w:cols w:space="708"/>
          <w:docGrid w:linePitch="360"/>
        </w:sectPr>
      </w:pPr>
    </w:p>
    <w:p>
      <w:pPr>
        <w:keepNext/>
        <w:outlineLvl w:val="2"/>
        <w:rPr>
          <w:rFonts w:eastAsiaTheme="majorEastAsia"/>
          <w:i/>
          <w:noProof/>
          <w:szCs w:val="24"/>
        </w:rPr>
      </w:pPr>
      <w:bookmarkStart w:id="56" w:name="_Toc514941993"/>
      <w:bookmarkStart w:id="57" w:name="_Toc40376079"/>
      <w:r>
        <w:rPr>
          <w:bCs/>
          <w:i/>
          <w:noProof/>
        </w:rPr>
        <w:lastRenderedPageBreak/>
        <w:t>Az igazgatási előirányzatokra gyakorolt becsült hatás összefoglalása</w:t>
      </w:r>
      <w:bookmarkEnd w:id="56"/>
      <w:bookmarkEnd w:id="57"/>
    </w:p>
    <w:p>
      <w:pPr>
        <w:rPr>
          <w:rFonts w:eastAsia="Times New Roman"/>
          <w:noProof/>
        </w:rPr>
      </w:pPr>
      <w:r>
        <w:rPr>
          <w:noProof/>
        </w:rPr>
        <w:sym w:font="Wingdings" w:char="F0A8"/>
      </w:r>
      <w:r>
        <w:rPr>
          <w:noProof/>
        </w:rPr>
        <w:tab/>
        <w:t xml:space="preserve">A javaslat/kezdeményezés nem vonja maga után igazgatási jellegű előirányzatok felhasználását. </w:t>
      </w:r>
    </w:p>
    <w:p>
      <w:pPr>
        <w:rPr>
          <w:rFonts w:eastAsia="Times New Roman"/>
          <w:noProof/>
        </w:rPr>
      </w:pPr>
      <w:r>
        <w:rPr>
          <w:noProof/>
        </w:rPr>
        <w:t>X</w:t>
      </w:r>
      <w:r>
        <w:rPr>
          <w:noProof/>
        </w:rPr>
        <w:tab/>
        <w:t>A javaslat/kezdeményezés az alábbi igazgatási jellegű előirányzatok felhasználását vonja maga után:</w:t>
      </w:r>
    </w:p>
    <w:p>
      <w:pPr>
        <w:rPr>
          <w:noProof/>
          <w:sz w:val="20"/>
        </w:rPr>
      </w:pPr>
      <w:r>
        <w:rPr>
          <w:noProof/>
          <w:sz w:val="20"/>
        </w:rPr>
        <w:t>millió EUR (három tizedesjegyig)</w:t>
      </w: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vAlign w:val="center"/>
          </w:tcPr>
          <w:p>
            <w:pPr>
              <w:spacing w:before="60" w:after="60" w:line="200" w:lineRule="exact"/>
              <w:jc w:val="center"/>
              <w:rPr>
                <w:b/>
                <w:noProof/>
                <w:sz w:val="16"/>
                <w:szCs w:val="16"/>
              </w:rPr>
            </w:pPr>
            <w:r>
              <w:rPr>
                <w:b/>
                <w:noProof/>
                <w:sz w:val="16"/>
                <w:szCs w:val="16"/>
              </w:rPr>
              <w:t>Évek</w:t>
            </w:r>
          </w:p>
        </w:tc>
        <w:tc>
          <w:tcPr>
            <w:tcW w:w="1080" w:type="dxa"/>
            <w:vAlign w:val="center"/>
          </w:tcPr>
          <w:p>
            <w:pPr>
              <w:spacing w:before="60" w:after="60" w:line="200" w:lineRule="exact"/>
              <w:jc w:val="center"/>
              <w:rPr>
                <w:noProof/>
                <w:sz w:val="16"/>
                <w:szCs w:val="16"/>
              </w:rPr>
            </w:pPr>
            <w:r>
              <w:rPr>
                <w:b/>
                <w:noProof/>
                <w:sz w:val="20"/>
              </w:rPr>
              <w:t>2021</w:t>
            </w:r>
          </w:p>
        </w:tc>
        <w:tc>
          <w:tcPr>
            <w:tcW w:w="1080" w:type="dxa"/>
            <w:vAlign w:val="center"/>
          </w:tcPr>
          <w:p>
            <w:pPr>
              <w:spacing w:before="60" w:after="60" w:line="200" w:lineRule="exact"/>
              <w:jc w:val="center"/>
              <w:rPr>
                <w:noProof/>
                <w:sz w:val="16"/>
                <w:szCs w:val="16"/>
              </w:rPr>
            </w:pPr>
            <w:r>
              <w:rPr>
                <w:b/>
                <w:noProof/>
                <w:sz w:val="20"/>
              </w:rPr>
              <w:t>2022</w:t>
            </w:r>
          </w:p>
        </w:tc>
        <w:tc>
          <w:tcPr>
            <w:tcW w:w="1080" w:type="dxa"/>
            <w:vAlign w:val="center"/>
          </w:tcPr>
          <w:p>
            <w:pPr>
              <w:spacing w:before="60" w:after="60" w:line="200" w:lineRule="exact"/>
              <w:jc w:val="center"/>
              <w:rPr>
                <w:noProof/>
                <w:sz w:val="16"/>
                <w:szCs w:val="16"/>
              </w:rPr>
            </w:pPr>
            <w:r>
              <w:rPr>
                <w:b/>
                <w:noProof/>
                <w:sz w:val="20"/>
              </w:rPr>
              <w:t>2023</w:t>
            </w:r>
          </w:p>
        </w:tc>
        <w:tc>
          <w:tcPr>
            <w:tcW w:w="1080" w:type="dxa"/>
            <w:vAlign w:val="center"/>
          </w:tcPr>
          <w:p>
            <w:pPr>
              <w:spacing w:before="60" w:after="60" w:line="200" w:lineRule="exact"/>
              <w:jc w:val="center"/>
              <w:rPr>
                <w:noProof/>
                <w:sz w:val="16"/>
                <w:szCs w:val="16"/>
              </w:rPr>
            </w:pPr>
            <w:r>
              <w:rPr>
                <w:b/>
                <w:noProof/>
                <w:sz w:val="20"/>
              </w:rPr>
              <w:t>2024</w:t>
            </w:r>
          </w:p>
        </w:tc>
        <w:tc>
          <w:tcPr>
            <w:tcW w:w="1080" w:type="dxa"/>
            <w:vAlign w:val="center"/>
          </w:tcPr>
          <w:p>
            <w:pPr>
              <w:spacing w:before="60" w:after="60" w:line="200" w:lineRule="exact"/>
              <w:jc w:val="center"/>
              <w:rPr>
                <w:b/>
                <w:noProof/>
                <w:sz w:val="20"/>
              </w:rPr>
            </w:pPr>
            <w:r>
              <w:rPr>
                <w:b/>
                <w:noProof/>
                <w:sz w:val="20"/>
              </w:rPr>
              <w:t>2025</w:t>
            </w:r>
          </w:p>
        </w:tc>
        <w:tc>
          <w:tcPr>
            <w:tcW w:w="1080" w:type="dxa"/>
            <w:vAlign w:val="center"/>
          </w:tcPr>
          <w:p>
            <w:pPr>
              <w:spacing w:before="60" w:after="60" w:line="200" w:lineRule="exact"/>
              <w:jc w:val="center"/>
              <w:rPr>
                <w:b/>
                <w:noProof/>
                <w:sz w:val="20"/>
              </w:rPr>
            </w:pPr>
            <w:r>
              <w:rPr>
                <w:b/>
                <w:noProof/>
                <w:sz w:val="20"/>
              </w:rPr>
              <w:t>2026</w:t>
            </w:r>
          </w:p>
        </w:tc>
        <w:tc>
          <w:tcPr>
            <w:tcW w:w="1080" w:type="dxa"/>
            <w:vAlign w:val="center"/>
          </w:tcPr>
          <w:p>
            <w:pPr>
              <w:spacing w:before="60" w:after="60" w:line="200" w:lineRule="exact"/>
              <w:jc w:val="center"/>
              <w:rPr>
                <w:b/>
                <w:noProof/>
                <w:sz w:val="20"/>
              </w:rPr>
            </w:pPr>
            <w:r>
              <w:rPr>
                <w:b/>
                <w:noProof/>
                <w:sz w:val="20"/>
              </w:rPr>
              <w:t>2027</w:t>
            </w:r>
          </w:p>
        </w:tc>
        <w:tc>
          <w:tcPr>
            <w:tcW w:w="1080" w:type="dxa"/>
            <w:vAlign w:val="center"/>
          </w:tcPr>
          <w:p>
            <w:pPr>
              <w:spacing w:before="60" w:after="60" w:line="200" w:lineRule="exact"/>
              <w:jc w:val="center"/>
              <w:rPr>
                <w:b/>
                <w:noProof/>
                <w:sz w:val="16"/>
                <w:szCs w:val="16"/>
              </w:rPr>
            </w:pPr>
            <w:r>
              <w:rPr>
                <w:b/>
                <w:noProof/>
                <w:sz w:val="20"/>
              </w:rPr>
              <w:t>ÖSSZESEN</w:t>
            </w:r>
          </w:p>
        </w:tc>
      </w:tr>
    </w:tbl>
    <w:p>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A többéves pénzügyi keret</w:t>
            </w:r>
            <w:r>
              <w:rPr>
                <w:noProof/>
              </w:rPr>
              <w:t xml:space="preserve"> </w:t>
            </w:r>
            <w:r>
              <w:rPr>
                <w:noProof/>
              </w:rPr>
              <w:br/>
            </w:r>
            <w:r>
              <w:rPr>
                <w:b/>
                <w:noProof/>
                <w:sz w:val="16"/>
              </w:rPr>
              <w:t>7. FEJEZETE</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Humánerőforrás </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Egyéb igazgatási kiadások </w:t>
            </w:r>
          </w:p>
        </w:tc>
        <w:tc>
          <w:tcPr>
            <w:tcW w:w="1080" w:type="dxa"/>
            <w:vAlign w:val="center"/>
          </w:tcPr>
          <w:p>
            <w:pPr>
              <w:spacing w:before="60" w:after="60" w:line="200" w:lineRule="exact"/>
              <w:jc w:val="center"/>
              <w:rPr>
                <w:noProof/>
                <w:sz w:val="16"/>
                <w:szCs w:val="16"/>
              </w:rPr>
            </w:pPr>
          </w:p>
        </w:tc>
        <w:tc>
          <w:tcPr>
            <w:tcW w:w="1080" w:type="dxa"/>
            <w:vAlign w:val="center"/>
          </w:tcPr>
          <w:p>
            <w:pPr>
              <w:spacing w:before="60" w:after="60" w:line="200" w:lineRule="exact"/>
              <w:jc w:val="center"/>
              <w:rPr>
                <w:noProof/>
                <w:sz w:val="16"/>
                <w:szCs w:val="16"/>
              </w:rPr>
            </w:pPr>
          </w:p>
        </w:tc>
        <w:tc>
          <w:tcPr>
            <w:tcW w:w="1080" w:type="dxa"/>
            <w:vAlign w:val="center"/>
          </w:tcPr>
          <w:p>
            <w:pPr>
              <w:spacing w:before="60" w:after="60" w:line="200" w:lineRule="exact"/>
              <w:jc w:val="center"/>
              <w:rPr>
                <w:noProof/>
                <w:sz w:val="16"/>
                <w:szCs w:val="16"/>
              </w:rPr>
            </w:pPr>
          </w:p>
        </w:tc>
        <w:tc>
          <w:tcPr>
            <w:tcW w:w="1080" w:type="dxa"/>
            <w:vAlign w:val="center"/>
          </w:tcPr>
          <w:p>
            <w:pPr>
              <w:spacing w:before="60" w:after="60" w:line="200" w:lineRule="exact"/>
              <w:jc w:val="center"/>
              <w:rPr>
                <w:noProof/>
                <w:sz w:val="16"/>
                <w:szCs w:val="16"/>
              </w:rPr>
            </w:pPr>
          </w:p>
        </w:tc>
        <w:tc>
          <w:tcPr>
            <w:tcW w:w="1080" w:type="dxa"/>
            <w:vAlign w:val="center"/>
          </w:tcPr>
          <w:p>
            <w:pPr>
              <w:spacing w:before="60" w:after="60" w:line="200" w:lineRule="exact"/>
              <w:jc w:val="center"/>
              <w:rPr>
                <w:noProof/>
                <w:sz w:val="16"/>
                <w:szCs w:val="16"/>
              </w:rPr>
            </w:pPr>
          </w:p>
        </w:tc>
        <w:tc>
          <w:tcPr>
            <w:tcW w:w="1080" w:type="dxa"/>
            <w:vAlign w:val="center"/>
          </w:tcPr>
          <w:p>
            <w:pPr>
              <w:spacing w:before="60" w:after="60" w:line="200" w:lineRule="exact"/>
              <w:jc w:val="center"/>
              <w:rPr>
                <w:noProof/>
                <w:sz w:val="16"/>
                <w:szCs w:val="16"/>
              </w:rPr>
            </w:pPr>
          </w:p>
        </w:tc>
        <w:tc>
          <w:tcPr>
            <w:tcW w:w="1080" w:type="dxa"/>
            <w:vAlign w:val="center"/>
          </w:tcPr>
          <w:p>
            <w:pPr>
              <w:spacing w:before="60" w:after="60" w:line="200" w:lineRule="exact"/>
              <w:jc w:val="center"/>
              <w:rPr>
                <w:b/>
                <w:noProof/>
                <w:sz w:val="16"/>
                <w:szCs w:val="16"/>
              </w:rPr>
            </w:pPr>
          </w:p>
        </w:tc>
        <w:tc>
          <w:tcPr>
            <w:tcW w:w="1080" w:type="dxa"/>
            <w:vAlign w:val="center"/>
          </w:tcPr>
          <w:p>
            <w:pPr>
              <w:spacing w:before="60" w:after="60" w:line="200" w:lineRule="exact"/>
              <w:jc w:val="center"/>
              <w:rPr>
                <w:b/>
                <w:noProof/>
                <w:sz w:val="16"/>
                <w:szCs w:val="16"/>
              </w:rPr>
            </w:pPr>
          </w:p>
        </w:tc>
      </w:tr>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A többéves pénzügyi keret</w:t>
            </w:r>
            <w:r>
              <w:rPr>
                <w:noProof/>
              </w:rPr>
              <w:t xml:space="preserve"> </w:t>
            </w:r>
            <w:r>
              <w:rPr>
                <w:noProof/>
              </w:rPr>
              <w:br/>
            </w:r>
            <w:r>
              <w:rPr>
                <w:b/>
                <w:noProof/>
                <w:sz w:val="16"/>
              </w:rPr>
              <w:t xml:space="preserve">7. FEJEZETÉNEK részösszege </w:t>
            </w:r>
          </w:p>
        </w:tc>
        <w:tc>
          <w:tcPr>
            <w:tcW w:w="1080" w:type="dxa"/>
            <w:vAlign w:val="center"/>
          </w:tcPr>
          <w:p>
            <w:pPr>
              <w:spacing w:before="60" w:after="60" w:line="200" w:lineRule="exact"/>
              <w:jc w:val="center"/>
              <w:rPr>
                <w:noProof/>
                <w:sz w:val="16"/>
                <w:szCs w:val="16"/>
              </w:rPr>
            </w:pPr>
            <w:r>
              <w:rPr>
                <w:noProof/>
                <w:sz w:val="16"/>
                <w:szCs w:val="16"/>
              </w:rPr>
              <w:t>-</w:t>
            </w:r>
          </w:p>
        </w:tc>
        <w:tc>
          <w:tcPr>
            <w:tcW w:w="1080" w:type="dxa"/>
            <w:vAlign w:val="center"/>
          </w:tcPr>
          <w:p>
            <w:pPr>
              <w:spacing w:before="60" w:after="60" w:line="200" w:lineRule="exact"/>
              <w:jc w:val="center"/>
              <w:rPr>
                <w:noProof/>
                <w:sz w:val="16"/>
                <w:szCs w:val="16"/>
              </w:rPr>
            </w:pPr>
            <w:r>
              <w:rPr>
                <w:noProof/>
                <w:sz w:val="16"/>
                <w:szCs w:val="16"/>
              </w:rPr>
              <w:t>-</w:t>
            </w:r>
          </w:p>
        </w:tc>
        <w:tc>
          <w:tcPr>
            <w:tcW w:w="1080" w:type="dxa"/>
            <w:vAlign w:val="center"/>
          </w:tcPr>
          <w:p>
            <w:pPr>
              <w:spacing w:before="60" w:after="60" w:line="200" w:lineRule="exact"/>
              <w:jc w:val="center"/>
              <w:rPr>
                <w:noProof/>
                <w:sz w:val="16"/>
                <w:szCs w:val="16"/>
              </w:rPr>
            </w:pPr>
            <w:r>
              <w:rPr>
                <w:noProof/>
                <w:sz w:val="16"/>
                <w:szCs w:val="16"/>
              </w:rPr>
              <w:t>-</w:t>
            </w:r>
          </w:p>
        </w:tc>
        <w:tc>
          <w:tcPr>
            <w:tcW w:w="1080" w:type="dxa"/>
            <w:vAlign w:val="center"/>
          </w:tcPr>
          <w:p>
            <w:pPr>
              <w:spacing w:before="60" w:after="60" w:line="200" w:lineRule="exact"/>
              <w:jc w:val="center"/>
              <w:rPr>
                <w:noProof/>
                <w:sz w:val="16"/>
                <w:szCs w:val="16"/>
              </w:rPr>
            </w:pPr>
            <w:r>
              <w:rPr>
                <w:noProof/>
                <w:sz w:val="16"/>
                <w:szCs w:val="16"/>
              </w:rPr>
              <w:t>-</w:t>
            </w:r>
          </w:p>
        </w:tc>
        <w:tc>
          <w:tcPr>
            <w:tcW w:w="1080" w:type="dxa"/>
            <w:vAlign w:val="center"/>
          </w:tcPr>
          <w:p>
            <w:pPr>
              <w:spacing w:before="60" w:after="60" w:line="200" w:lineRule="exact"/>
              <w:jc w:val="center"/>
              <w:rPr>
                <w:noProof/>
                <w:sz w:val="16"/>
                <w:szCs w:val="16"/>
              </w:rPr>
            </w:pPr>
            <w:r>
              <w:rPr>
                <w:noProof/>
                <w:sz w:val="16"/>
                <w:szCs w:val="16"/>
              </w:rPr>
              <w:t>-</w:t>
            </w:r>
          </w:p>
        </w:tc>
        <w:tc>
          <w:tcPr>
            <w:tcW w:w="1080" w:type="dxa"/>
            <w:vAlign w:val="center"/>
          </w:tcPr>
          <w:p>
            <w:pPr>
              <w:spacing w:before="60" w:after="60" w:line="200" w:lineRule="exact"/>
              <w:jc w:val="center"/>
              <w:rPr>
                <w:noProof/>
                <w:sz w:val="16"/>
                <w:szCs w:val="16"/>
              </w:rPr>
            </w:pPr>
            <w:r>
              <w:rPr>
                <w:noProof/>
                <w:sz w:val="16"/>
                <w:szCs w:val="16"/>
              </w:rPr>
              <w:t>-</w:t>
            </w:r>
          </w:p>
        </w:tc>
        <w:tc>
          <w:tcPr>
            <w:tcW w:w="1080" w:type="dxa"/>
            <w:vAlign w:val="center"/>
          </w:tcPr>
          <w:p>
            <w:pPr>
              <w:spacing w:before="60" w:after="60" w:line="200" w:lineRule="exact"/>
              <w:jc w:val="center"/>
              <w:rPr>
                <w:b/>
                <w:noProof/>
                <w:sz w:val="16"/>
                <w:szCs w:val="16"/>
              </w:rPr>
            </w:pPr>
            <w:r>
              <w:rPr>
                <w:b/>
                <w:noProof/>
                <w:sz w:val="16"/>
                <w:szCs w:val="16"/>
              </w:rPr>
              <w:t>-</w:t>
            </w:r>
          </w:p>
        </w:tc>
        <w:tc>
          <w:tcPr>
            <w:tcW w:w="1080" w:type="dxa"/>
            <w:vAlign w:val="center"/>
          </w:tcPr>
          <w:p>
            <w:pPr>
              <w:spacing w:before="60" w:after="60" w:line="200" w:lineRule="exact"/>
              <w:jc w:val="center"/>
              <w:rPr>
                <w:b/>
                <w:noProof/>
                <w:sz w:val="16"/>
                <w:szCs w:val="16"/>
              </w:rPr>
            </w:pPr>
            <w:r>
              <w:rPr>
                <w:b/>
                <w:noProof/>
                <w:sz w:val="16"/>
                <w:szCs w:val="16"/>
              </w:rPr>
              <w:t>-</w:t>
            </w:r>
          </w:p>
        </w:tc>
      </w:tr>
    </w:tbl>
    <w:p>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szCs w:val="16"/>
              </w:rPr>
              <w:t>A többéves pénzügyi keret 7. FEJEZETÉBE</w:t>
            </w:r>
            <w:r>
              <w:rPr>
                <w:rStyle w:val="FootnoteReference"/>
                <w:noProof/>
              </w:rPr>
              <w:footnoteReference w:id="16"/>
            </w:r>
            <w:r>
              <w:rPr>
                <w:b/>
                <w:noProof/>
                <w:sz w:val="16"/>
                <w:szCs w:val="16"/>
              </w:rPr>
              <w:t xml:space="preserve"> bele nem tartozó előirányzatok</w:t>
            </w:r>
            <w:r>
              <w:rPr>
                <w:noProof/>
              </w:rPr>
              <w:t xml:space="preserve"> </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szCs w:val="16"/>
              </w:rPr>
              <w:t xml:space="preserve">Humánerőforrás – külső címzett bevétel (kutatás) </w:t>
            </w:r>
          </w:p>
        </w:tc>
        <w:tc>
          <w:tcPr>
            <w:tcW w:w="1080" w:type="dxa"/>
            <w:vAlign w:val="center"/>
          </w:tcPr>
          <w:p>
            <w:pPr>
              <w:spacing w:before="60" w:after="60" w:line="200" w:lineRule="exact"/>
              <w:jc w:val="right"/>
              <w:rPr>
                <w:noProof/>
                <w:sz w:val="16"/>
                <w:szCs w:val="16"/>
              </w:rPr>
            </w:pPr>
            <w:r>
              <w:rPr>
                <w:noProof/>
                <w:sz w:val="16"/>
                <w:szCs w:val="16"/>
              </w:rPr>
              <w:t>6,000</w:t>
            </w:r>
          </w:p>
        </w:tc>
        <w:tc>
          <w:tcPr>
            <w:tcW w:w="1080" w:type="dxa"/>
            <w:vAlign w:val="center"/>
          </w:tcPr>
          <w:p>
            <w:pPr>
              <w:spacing w:before="60" w:after="60" w:line="200" w:lineRule="exact"/>
              <w:jc w:val="right"/>
              <w:rPr>
                <w:noProof/>
                <w:sz w:val="16"/>
                <w:szCs w:val="16"/>
              </w:rPr>
            </w:pPr>
            <w:r>
              <w:rPr>
                <w:noProof/>
                <w:sz w:val="16"/>
                <w:szCs w:val="16"/>
              </w:rPr>
              <w:t>6,000</w:t>
            </w:r>
          </w:p>
        </w:tc>
        <w:tc>
          <w:tcPr>
            <w:tcW w:w="1080" w:type="dxa"/>
            <w:vAlign w:val="center"/>
          </w:tcPr>
          <w:p>
            <w:pPr>
              <w:spacing w:before="60" w:after="60" w:line="200" w:lineRule="exact"/>
              <w:jc w:val="right"/>
              <w:rPr>
                <w:noProof/>
                <w:sz w:val="16"/>
                <w:szCs w:val="16"/>
              </w:rPr>
            </w:pPr>
            <w:r>
              <w:rPr>
                <w:noProof/>
                <w:sz w:val="16"/>
                <w:szCs w:val="16"/>
              </w:rPr>
              <w:t>6,000</w:t>
            </w:r>
          </w:p>
        </w:tc>
        <w:tc>
          <w:tcPr>
            <w:tcW w:w="1080" w:type="dxa"/>
            <w:vAlign w:val="center"/>
          </w:tcPr>
          <w:p>
            <w:pPr>
              <w:spacing w:before="60" w:after="60" w:line="200" w:lineRule="exact"/>
              <w:jc w:val="right"/>
              <w:rPr>
                <w:noProof/>
                <w:sz w:val="16"/>
                <w:szCs w:val="16"/>
              </w:rPr>
            </w:pPr>
            <w:r>
              <w:rPr>
                <w:noProof/>
                <w:sz w:val="16"/>
                <w:szCs w:val="16"/>
              </w:rPr>
              <w:t>4,800</w:t>
            </w:r>
          </w:p>
        </w:tc>
        <w:tc>
          <w:tcPr>
            <w:tcW w:w="1080" w:type="dxa"/>
            <w:vAlign w:val="center"/>
          </w:tcPr>
          <w:p>
            <w:pPr>
              <w:spacing w:before="60" w:after="60" w:line="200" w:lineRule="exact"/>
              <w:jc w:val="right"/>
              <w:rPr>
                <w:noProof/>
                <w:sz w:val="16"/>
                <w:szCs w:val="16"/>
              </w:rPr>
            </w:pPr>
            <w:r>
              <w:rPr>
                <w:noProof/>
                <w:sz w:val="16"/>
                <w:szCs w:val="16"/>
              </w:rPr>
              <w:t>2,400</w:t>
            </w:r>
          </w:p>
        </w:tc>
        <w:tc>
          <w:tcPr>
            <w:tcW w:w="1080" w:type="dxa"/>
            <w:vAlign w:val="center"/>
          </w:tcPr>
          <w:p>
            <w:pPr>
              <w:spacing w:before="60" w:after="60" w:line="200" w:lineRule="exact"/>
              <w:jc w:val="right"/>
              <w:rPr>
                <w:noProof/>
                <w:sz w:val="16"/>
                <w:szCs w:val="16"/>
              </w:rPr>
            </w:pPr>
            <w:r>
              <w:rPr>
                <w:noProof/>
                <w:sz w:val="16"/>
                <w:szCs w:val="16"/>
              </w:rPr>
              <w:t>1,600</w:t>
            </w:r>
          </w:p>
        </w:tc>
        <w:tc>
          <w:tcPr>
            <w:tcW w:w="1080" w:type="dxa"/>
            <w:vAlign w:val="center"/>
          </w:tcPr>
          <w:p>
            <w:pPr>
              <w:spacing w:before="60" w:after="60" w:line="200" w:lineRule="exact"/>
              <w:jc w:val="right"/>
              <w:rPr>
                <w:b/>
                <w:noProof/>
                <w:sz w:val="16"/>
                <w:szCs w:val="16"/>
              </w:rPr>
            </w:pPr>
            <w:r>
              <w:rPr>
                <w:noProof/>
                <w:sz w:val="16"/>
                <w:szCs w:val="16"/>
              </w:rPr>
              <w:t>1,200</w:t>
            </w:r>
          </w:p>
        </w:tc>
        <w:tc>
          <w:tcPr>
            <w:tcW w:w="1080" w:type="dxa"/>
            <w:vAlign w:val="center"/>
          </w:tcPr>
          <w:p>
            <w:pPr>
              <w:spacing w:before="60" w:after="60" w:line="200" w:lineRule="exact"/>
              <w:jc w:val="right"/>
              <w:rPr>
                <w:b/>
                <w:noProof/>
                <w:sz w:val="16"/>
                <w:szCs w:val="16"/>
              </w:rPr>
            </w:pPr>
            <w:r>
              <w:rPr>
                <w:noProof/>
                <w:sz w:val="16"/>
                <w:szCs w:val="16"/>
              </w:rPr>
              <w:t>28,000</w:t>
            </w:r>
          </w:p>
        </w:tc>
      </w:tr>
      <w:tr>
        <w:trPr>
          <w:trHeight w:val="585"/>
        </w:trPr>
        <w:tc>
          <w:tcPr>
            <w:tcW w:w="1980" w:type="dxa"/>
            <w:vAlign w:val="center"/>
          </w:tcPr>
          <w:p>
            <w:pPr>
              <w:spacing w:before="60" w:after="60" w:line="200" w:lineRule="exact"/>
              <w:ind w:left="72"/>
              <w:jc w:val="left"/>
              <w:rPr>
                <w:noProof/>
                <w:sz w:val="16"/>
                <w:szCs w:val="16"/>
              </w:rPr>
            </w:pPr>
            <w:r>
              <w:rPr>
                <w:noProof/>
                <w:sz w:val="16"/>
                <w:szCs w:val="16"/>
              </w:rPr>
              <w:t>Egyéb igazgatási</w:t>
            </w:r>
            <w:r>
              <w:rPr>
                <w:noProof/>
              </w:rPr>
              <w:t xml:space="preserve"> </w:t>
            </w:r>
            <w:r>
              <w:rPr>
                <w:noProof/>
              </w:rPr>
              <w:br/>
            </w:r>
            <w:r>
              <w:rPr>
                <w:noProof/>
                <w:sz w:val="16"/>
                <w:szCs w:val="16"/>
              </w:rPr>
              <w:t xml:space="preserve">jellegű kiadások – külső címzett bevétel (kutatás) </w:t>
            </w:r>
          </w:p>
        </w:tc>
        <w:tc>
          <w:tcPr>
            <w:tcW w:w="1080" w:type="dxa"/>
          </w:tcPr>
          <w:p>
            <w:pPr>
              <w:spacing w:before="60" w:after="60" w:line="200" w:lineRule="exact"/>
              <w:jc w:val="right"/>
              <w:rPr>
                <w:noProof/>
                <w:sz w:val="16"/>
                <w:szCs w:val="16"/>
              </w:rPr>
            </w:pPr>
          </w:p>
          <w:p>
            <w:pPr>
              <w:spacing w:before="60" w:after="60" w:line="200" w:lineRule="exact"/>
              <w:jc w:val="right"/>
              <w:rPr>
                <w:noProof/>
                <w:sz w:val="16"/>
                <w:szCs w:val="16"/>
              </w:rPr>
            </w:pPr>
            <w:r>
              <w:rPr>
                <w:noProof/>
                <w:sz w:val="16"/>
                <w:szCs w:val="16"/>
              </w:rPr>
              <w:t>120,980</w:t>
            </w:r>
          </w:p>
        </w:tc>
        <w:tc>
          <w:tcPr>
            <w:tcW w:w="1080" w:type="dxa"/>
          </w:tcPr>
          <w:p>
            <w:pPr>
              <w:spacing w:before="60" w:after="60" w:line="200" w:lineRule="exact"/>
              <w:jc w:val="right"/>
              <w:rPr>
                <w:noProof/>
                <w:sz w:val="16"/>
                <w:szCs w:val="16"/>
              </w:rPr>
            </w:pPr>
          </w:p>
          <w:p>
            <w:pPr>
              <w:spacing w:before="60" w:after="60" w:line="200" w:lineRule="exact"/>
              <w:jc w:val="right"/>
              <w:rPr>
                <w:noProof/>
                <w:sz w:val="16"/>
                <w:szCs w:val="16"/>
              </w:rPr>
            </w:pPr>
            <w:r>
              <w:rPr>
                <w:noProof/>
                <w:sz w:val="16"/>
                <w:szCs w:val="16"/>
              </w:rPr>
              <w:t>191,680</w:t>
            </w:r>
          </w:p>
        </w:tc>
        <w:tc>
          <w:tcPr>
            <w:tcW w:w="1080" w:type="dxa"/>
          </w:tcPr>
          <w:p>
            <w:pPr>
              <w:spacing w:before="60" w:after="60" w:line="200" w:lineRule="exact"/>
              <w:jc w:val="right"/>
              <w:rPr>
                <w:noProof/>
                <w:sz w:val="16"/>
                <w:szCs w:val="16"/>
              </w:rPr>
            </w:pPr>
          </w:p>
          <w:p>
            <w:pPr>
              <w:spacing w:before="60" w:after="60" w:line="200" w:lineRule="exact"/>
              <w:jc w:val="right"/>
              <w:rPr>
                <w:noProof/>
                <w:sz w:val="16"/>
                <w:szCs w:val="16"/>
              </w:rPr>
            </w:pPr>
            <w:r>
              <w:rPr>
                <w:noProof/>
                <w:sz w:val="16"/>
                <w:szCs w:val="16"/>
              </w:rPr>
              <w:t>126,110</w:t>
            </w:r>
          </w:p>
        </w:tc>
        <w:tc>
          <w:tcPr>
            <w:tcW w:w="1080" w:type="dxa"/>
          </w:tcPr>
          <w:p>
            <w:pPr>
              <w:spacing w:before="60" w:after="60" w:line="200" w:lineRule="exact"/>
              <w:jc w:val="right"/>
              <w:rPr>
                <w:noProof/>
                <w:sz w:val="16"/>
                <w:szCs w:val="16"/>
              </w:rPr>
            </w:pPr>
          </w:p>
          <w:p>
            <w:pPr>
              <w:spacing w:before="60" w:after="60" w:line="200" w:lineRule="exact"/>
              <w:jc w:val="right"/>
              <w:rPr>
                <w:noProof/>
                <w:sz w:val="16"/>
                <w:szCs w:val="16"/>
              </w:rPr>
            </w:pPr>
            <w:r>
              <w:rPr>
                <w:noProof/>
                <w:sz w:val="16"/>
                <w:szCs w:val="16"/>
              </w:rPr>
              <w:t>101,590</w:t>
            </w:r>
          </w:p>
        </w:tc>
        <w:tc>
          <w:tcPr>
            <w:tcW w:w="1080" w:type="dxa"/>
          </w:tcPr>
          <w:p>
            <w:pPr>
              <w:spacing w:before="60" w:after="60" w:line="200" w:lineRule="exact"/>
              <w:jc w:val="right"/>
              <w:rPr>
                <w:noProof/>
                <w:sz w:val="16"/>
                <w:szCs w:val="16"/>
              </w:rPr>
            </w:pPr>
          </w:p>
          <w:p>
            <w:pPr>
              <w:spacing w:before="60" w:after="60" w:line="200" w:lineRule="exact"/>
              <w:jc w:val="right"/>
              <w:rPr>
                <w:noProof/>
                <w:sz w:val="16"/>
                <w:szCs w:val="16"/>
              </w:rPr>
            </w:pPr>
            <w:r>
              <w:rPr>
                <w:noProof/>
                <w:sz w:val="16"/>
                <w:szCs w:val="16"/>
              </w:rPr>
              <w:t>48,600</w:t>
            </w:r>
          </w:p>
        </w:tc>
        <w:tc>
          <w:tcPr>
            <w:tcW w:w="1080" w:type="dxa"/>
          </w:tcPr>
          <w:p>
            <w:pPr>
              <w:spacing w:before="60" w:after="60" w:line="200" w:lineRule="exact"/>
              <w:jc w:val="right"/>
              <w:rPr>
                <w:noProof/>
                <w:sz w:val="16"/>
                <w:szCs w:val="16"/>
              </w:rPr>
            </w:pPr>
          </w:p>
          <w:p>
            <w:pPr>
              <w:spacing w:before="60" w:after="60" w:line="200" w:lineRule="exact"/>
              <w:jc w:val="right"/>
              <w:rPr>
                <w:noProof/>
                <w:sz w:val="16"/>
                <w:szCs w:val="16"/>
              </w:rPr>
            </w:pPr>
            <w:r>
              <w:rPr>
                <w:noProof/>
                <w:sz w:val="16"/>
                <w:szCs w:val="16"/>
              </w:rPr>
              <w:t>35,400</w:t>
            </w:r>
          </w:p>
        </w:tc>
        <w:tc>
          <w:tcPr>
            <w:tcW w:w="1080" w:type="dxa"/>
          </w:tcPr>
          <w:p>
            <w:pPr>
              <w:spacing w:before="60" w:after="60" w:line="200" w:lineRule="exact"/>
              <w:jc w:val="right"/>
              <w:rPr>
                <w:noProof/>
                <w:sz w:val="16"/>
                <w:szCs w:val="16"/>
              </w:rPr>
            </w:pPr>
          </w:p>
          <w:p>
            <w:pPr>
              <w:spacing w:before="60" w:after="60" w:line="200" w:lineRule="exact"/>
              <w:jc w:val="right"/>
              <w:rPr>
                <w:noProof/>
                <w:sz w:val="16"/>
                <w:szCs w:val="16"/>
              </w:rPr>
            </w:pPr>
            <w:r>
              <w:rPr>
                <w:noProof/>
                <w:sz w:val="16"/>
                <w:szCs w:val="16"/>
              </w:rPr>
              <w:t>36,800</w:t>
            </w:r>
          </w:p>
        </w:tc>
        <w:tc>
          <w:tcPr>
            <w:tcW w:w="1080" w:type="dxa"/>
          </w:tcPr>
          <w:p>
            <w:pPr>
              <w:spacing w:before="60" w:after="60" w:line="200" w:lineRule="exact"/>
              <w:jc w:val="right"/>
              <w:rPr>
                <w:noProof/>
                <w:sz w:val="16"/>
                <w:szCs w:val="16"/>
              </w:rPr>
            </w:pPr>
          </w:p>
          <w:p>
            <w:pPr>
              <w:spacing w:before="60" w:after="60" w:line="200" w:lineRule="exact"/>
              <w:jc w:val="right"/>
              <w:rPr>
                <w:noProof/>
                <w:sz w:val="16"/>
                <w:szCs w:val="16"/>
              </w:rPr>
            </w:pPr>
            <w:r>
              <w:rPr>
                <w:noProof/>
                <w:sz w:val="16"/>
                <w:szCs w:val="16"/>
              </w:rPr>
              <w:t>661,160</w:t>
            </w:r>
          </w:p>
        </w:tc>
      </w:tr>
      <w:tr>
        <w:trPr>
          <w:trHeight w:val="585"/>
        </w:trPr>
        <w:tc>
          <w:tcPr>
            <w:tcW w:w="1980" w:type="dxa"/>
            <w:vAlign w:val="center"/>
          </w:tcPr>
          <w:p>
            <w:pPr>
              <w:spacing w:before="60" w:after="60" w:line="200" w:lineRule="exact"/>
              <w:ind w:left="72"/>
              <w:jc w:val="left"/>
              <w:rPr>
                <w:noProof/>
                <w:sz w:val="16"/>
              </w:rPr>
            </w:pPr>
            <w:r>
              <w:rPr>
                <w:noProof/>
                <w:sz w:val="16"/>
              </w:rPr>
              <w:t>Külső címzett bevétel (kutatás) részösszege</w:t>
            </w:r>
          </w:p>
        </w:tc>
        <w:tc>
          <w:tcPr>
            <w:tcW w:w="1080" w:type="dxa"/>
            <w:tcBorders>
              <w:top w:val="single" w:sz="4" w:space="0" w:color="auto"/>
              <w:left w:val="single" w:sz="4" w:space="0" w:color="auto"/>
              <w:bottom w:val="single" w:sz="4" w:space="0" w:color="auto"/>
              <w:right w:val="single" w:sz="4" w:space="0" w:color="auto"/>
            </w:tcBorders>
            <w:vAlign w:val="center"/>
          </w:tcPr>
          <w:p>
            <w:pPr>
              <w:spacing w:before="60" w:after="60" w:line="200" w:lineRule="exact"/>
              <w:jc w:val="right"/>
              <w:rPr>
                <w:noProof/>
                <w:sz w:val="16"/>
                <w:szCs w:val="16"/>
              </w:rPr>
            </w:pPr>
            <w:r>
              <w:rPr>
                <w:b/>
                <w:noProof/>
                <w:sz w:val="18"/>
                <w:szCs w:val="18"/>
              </w:rPr>
              <w:t>126,980</w:t>
            </w:r>
          </w:p>
        </w:tc>
        <w:tc>
          <w:tcPr>
            <w:tcW w:w="1080" w:type="dxa"/>
            <w:tcBorders>
              <w:top w:val="single" w:sz="4" w:space="0" w:color="auto"/>
              <w:left w:val="single" w:sz="4" w:space="0" w:color="auto"/>
              <w:bottom w:val="single" w:sz="4" w:space="0" w:color="auto"/>
              <w:right w:val="single" w:sz="4" w:space="0" w:color="auto"/>
            </w:tcBorders>
            <w:vAlign w:val="center"/>
          </w:tcPr>
          <w:p>
            <w:pPr>
              <w:spacing w:before="60" w:after="60" w:line="200" w:lineRule="exact"/>
              <w:jc w:val="right"/>
              <w:rPr>
                <w:noProof/>
                <w:sz w:val="16"/>
                <w:szCs w:val="16"/>
              </w:rPr>
            </w:pPr>
            <w:r>
              <w:rPr>
                <w:b/>
                <w:noProof/>
                <w:sz w:val="18"/>
                <w:szCs w:val="18"/>
              </w:rPr>
              <w:t>197,680</w:t>
            </w:r>
          </w:p>
        </w:tc>
        <w:tc>
          <w:tcPr>
            <w:tcW w:w="1080" w:type="dxa"/>
            <w:tcBorders>
              <w:top w:val="single" w:sz="4" w:space="0" w:color="auto"/>
              <w:left w:val="single" w:sz="4" w:space="0" w:color="auto"/>
              <w:bottom w:val="single" w:sz="4" w:space="0" w:color="auto"/>
              <w:right w:val="single" w:sz="4" w:space="0" w:color="auto"/>
            </w:tcBorders>
            <w:vAlign w:val="center"/>
          </w:tcPr>
          <w:p>
            <w:pPr>
              <w:spacing w:before="60" w:after="60" w:line="200" w:lineRule="exact"/>
              <w:jc w:val="right"/>
              <w:rPr>
                <w:noProof/>
                <w:sz w:val="16"/>
                <w:szCs w:val="16"/>
              </w:rPr>
            </w:pPr>
            <w:r>
              <w:rPr>
                <w:b/>
                <w:noProof/>
                <w:sz w:val="18"/>
                <w:szCs w:val="18"/>
              </w:rPr>
              <w:t>132,110</w:t>
            </w:r>
          </w:p>
        </w:tc>
        <w:tc>
          <w:tcPr>
            <w:tcW w:w="1080" w:type="dxa"/>
            <w:tcBorders>
              <w:top w:val="single" w:sz="4" w:space="0" w:color="auto"/>
              <w:left w:val="single" w:sz="4" w:space="0" w:color="auto"/>
              <w:bottom w:val="single" w:sz="4" w:space="0" w:color="auto"/>
              <w:right w:val="single" w:sz="4" w:space="0" w:color="auto"/>
            </w:tcBorders>
            <w:vAlign w:val="center"/>
          </w:tcPr>
          <w:p>
            <w:pPr>
              <w:spacing w:before="60" w:after="60" w:line="200" w:lineRule="exact"/>
              <w:jc w:val="right"/>
              <w:rPr>
                <w:noProof/>
                <w:sz w:val="16"/>
                <w:szCs w:val="16"/>
              </w:rPr>
            </w:pPr>
            <w:r>
              <w:rPr>
                <w:b/>
                <w:noProof/>
                <w:sz w:val="18"/>
                <w:szCs w:val="18"/>
              </w:rPr>
              <w:t>106,390</w:t>
            </w:r>
          </w:p>
        </w:tc>
        <w:tc>
          <w:tcPr>
            <w:tcW w:w="1080" w:type="dxa"/>
            <w:tcBorders>
              <w:top w:val="single" w:sz="4" w:space="0" w:color="auto"/>
              <w:left w:val="single" w:sz="4" w:space="0" w:color="auto"/>
              <w:bottom w:val="single" w:sz="4" w:space="0" w:color="auto"/>
              <w:right w:val="single" w:sz="4" w:space="0" w:color="auto"/>
            </w:tcBorders>
            <w:vAlign w:val="center"/>
          </w:tcPr>
          <w:p>
            <w:pPr>
              <w:spacing w:before="60" w:after="60" w:line="200" w:lineRule="exact"/>
              <w:jc w:val="right"/>
              <w:rPr>
                <w:noProof/>
                <w:sz w:val="16"/>
                <w:szCs w:val="16"/>
              </w:rPr>
            </w:pPr>
            <w:r>
              <w:rPr>
                <w:b/>
                <w:noProof/>
                <w:sz w:val="18"/>
                <w:szCs w:val="18"/>
              </w:rPr>
              <w:t>51,000</w:t>
            </w:r>
          </w:p>
        </w:tc>
        <w:tc>
          <w:tcPr>
            <w:tcW w:w="1080" w:type="dxa"/>
            <w:tcBorders>
              <w:top w:val="single" w:sz="4" w:space="0" w:color="auto"/>
              <w:left w:val="single" w:sz="4" w:space="0" w:color="auto"/>
              <w:bottom w:val="single" w:sz="4" w:space="0" w:color="auto"/>
              <w:right w:val="single" w:sz="4" w:space="0" w:color="auto"/>
            </w:tcBorders>
            <w:vAlign w:val="center"/>
          </w:tcPr>
          <w:p>
            <w:pPr>
              <w:spacing w:before="60" w:after="60" w:line="200" w:lineRule="exact"/>
              <w:jc w:val="right"/>
              <w:rPr>
                <w:noProof/>
                <w:sz w:val="16"/>
                <w:szCs w:val="16"/>
              </w:rPr>
            </w:pPr>
            <w:r>
              <w:rPr>
                <w:b/>
                <w:noProof/>
                <w:sz w:val="18"/>
                <w:szCs w:val="18"/>
              </w:rPr>
              <w:t>37,000</w:t>
            </w:r>
          </w:p>
        </w:tc>
        <w:tc>
          <w:tcPr>
            <w:tcW w:w="1080" w:type="dxa"/>
            <w:tcBorders>
              <w:top w:val="single" w:sz="4" w:space="0" w:color="auto"/>
              <w:left w:val="single" w:sz="4" w:space="0" w:color="auto"/>
              <w:bottom w:val="single" w:sz="4" w:space="0" w:color="auto"/>
              <w:right w:val="single" w:sz="4" w:space="0" w:color="auto"/>
            </w:tcBorders>
            <w:vAlign w:val="center"/>
          </w:tcPr>
          <w:p>
            <w:pPr>
              <w:spacing w:before="60" w:after="60" w:line="200" w:lineRule="exact"/>
              <w:jc w:val="right"/>
              <w:rPr>
                <w:noProof/>
                <w:sz w:val="16"/>
                <w:szCs w:val="16"/>
              </w:rPr>
            </w:pPr>
            <w:r>
              <w:rPr>
                <w:b/>
                <w:noProof/>
                <w:sz w:val="18"/>
                <w:szCs w:val="18"/>
              </w:rPr>
              <w:t>38,000</w:t>
            </w:r>
          </w:p>
        </w:tc>
        <w:tc>
          <w:tcPr>
            <w:tcW w:w="1080" w:type="dxa"/>
            <w:vAlign w:val="center"/>
          </w:tcPr>
          <w:p>
            <w:pPr>
              <w:spacing w:before="60" w:after="60" w:line="200" w:lineRule="exact"/>
              <w:jc w:val="right"/>
              <w:rPr>
                <w:noProof/>
                <w:sz w:val="16"/>
                <w:szCs w:val="16"/>
              </w:rPr>
            </w:pPr>
            <w:r>
              <w:rPr>
                <w:b/>
                <w:noProof/>
                <w:sz w:val="18"/>
                <w:szCs w:val="18"/>
              </w:rPr>
              <w:t>689,160</w:t>
            </w:r>
          </w:p>
        </w:tc>
      </w:tr>
      <w:tr>
        <w:trPr>
          <w:trHeight w:val="585"/>
        </w:trPr>
        <w:tc>
          <w:tcPr>
            <w:tcW w:w="1980" w:type="dxa"/>
            <w:vAlign w:val="center"/>
          </w:tcPr>
          <w:p>
            <w:pPr>
              <w:spacing w:before="60" w:after="60" w:line="200" w:lineRule="exact"/>
              <w:ind w:left="72"/>
              <w:jc w:val="left"/>
              <w:rPr>
                <w:noProof/>
                <w:sz w:val="16"/>
                <w:szCs w:val="16"/>
              </w:rPr>
            </w:pPr>
            <w:r>
              <w:rPr>
                <w:noProof/>
                <w:sz w:val="16"/>
                <w:szCs w:val="16"/>
              </w:rPr>
              <w:t>Humánerőforrás – külső címzett bevétel (nem kutatás) – NDICI</w:t>
            </w:r>
          </w:p>
        </w:tc>
        <w:tc>
          <w:tcPr>
            <w:tcW w:w="1080" w:type="dxa"/>
          </w:tcPr>
          <w:p>
            <w:pPr>
              <w:spacing w:before="60" w:after="60" w:line="200" w:lineRule="exact"/>
              <w:jc w:val="right"/>
              <w:rPr>
                <w:noProof/>
                <w:sz w:val="16"/>
                <w:szCs w:val="16"/>
              </w:rPr>
            </w:pPr>
            <w:r>
              <w:rPr>
                <w:noProof/>
                <w:sz w:val="16"/>
                <w:szCs w:val="16"/>
              </w:rPr>
              <w:t xml:space="preserve"> 16,440 </w:t>
            </w:r>
          </w:p>
        </w:tc>
        <w:tc>
          <w:tcPr>
            <w:tcW w:w="1080" w:type="dxa"/>
          </w:tcPr>
          <w:p>
            <w:pPr>
              <w:spacing w:before="60" w:after="60" w:line="200" w:lineRule="exact"/>
              <w:jc w:val="right"/>
              <w:rPr>
                <w:noProof/>
                <w:sz w:val="16"/>
                <w:szCs w:val="16"/>
              </w:rPr>
            </w:pPr>
            <w:r>
              <w:rPr>
                <w:noProof/>
                <w:sz w:val="16"/>
                <w:szCs w:val="16"/>
              </w:rPr>
              <w:t xml:space="preserve"> 16,440 </w:t>
            </w:r>
          </w:p>
        </w:tc>
        <w:tc>
          <w:tcPr>
            <w:tcW w:w="1080" w:type="dxa"/>
          </w:tcPr>
          <w:p>
            <w:pPr>
              <w:spacing w:before="60" w:after="60" w:line="200" w:lineRule="exact"/>
              <w:jc w:val="right"/>
              <w:rPr>
                <w:noProof/>
                <w:sz w:val="16"/>
                <w:szCs w:val="16"/>
              </w:rPr>
            </w:pPr>
            <w:r>
              <w:rPr>
                <w:noProof/>
                <w:sz w:val="16"/>
                <w:szCs w:val="16"/>
              </w:rPr>
              <w:t xml:space="preserve"> 16,440 </w:t>
            </w:r>
          </w:p>
        </w:tc>
        <w:tc>
          <w:tcPr>
            <w:tcW w:w="1080" w:type="dxa"/>
          </w:tcPr>
          <w:p>
            <w:pPr>
              <w:spacing w:before="60" w:after="60" w:line="200" w:lineRule="exact"/>
              <w:jc w:val="right"/>
              <w:rPr>
                <w:noProof/>
                <w:sz w:val="16"/>
                <w:szCs w:val="16"/>
              </w:rPr>
            </w:pPr>
            <w:r>
              <w:rPr>
                <w:noProof/>
                <w:sz w:val="16"/>
                <w:szCs w:val="16"/>
              </w:rPr>
              <w:t xml:space="preserve"> 16,440 </w:t>
            </w:r>
          </w:p>
        </w:tc>
        <w:tc>
          <w:tcPr>
            <w:tcW w:w="1080" w:type="dxa"/>
          </w:tcPr>
          <w:p>
            <w:pPr>
              <w:spacing w:before="60" w:after="60" w:line="200" w:lineRule="exact"/>
              <w:jc w:val="right"/>
              <w:rPr>
                <w:noProof/>
                <w:sz w:val="16"/>
                <w:szCs w:val="16"/>
              </w:rPr>
            </w:pPr>
            <w:r>
              <w:rPr>
                <w:noProof/>
                <w:sz w:val="16"/>
                <w:szCs w:val="16"/>
              </w:rPr>
              <w:t xml:space="preserve"> 16,440 </w:t>
            </w:r>
          </w:p>
        </w:tc>
        <w:tc>
          <w:tcPr>
            <w:tcW w:w="1080" w:type="dxa"/>
          </w:tcPr>
          <w:p>
            <w:pPr>
              <w:spacing w:before="60" w:after="60" w:line="200" w:lineRule="exact"/>
              <w:jc w:val="right"/>
              <w:rPr>
                <w:noProof/>
                <w:sz w:val="16"/>
                <w:szCs w:val="16"/>
              </w:rPr>
            </w:pPr>
            <w:r>
              <w:rPr>
                <w:noProof/>
                <w:sz w:val="16"/>
                <w:szCs w:val="16"/>
              </w:rPr>
              <w:t xml:space="preserve"> 11,434 </w:t>
            </w:r>
          </w:p>
        </w:tc>
        <w:tc>
          <w:tcPr>
            <w:tcW w:w="1080" w:type="dxa"/>
          </w:tcPr>
          <w:p>
            <w:pPr>
              <w:spacing w:before="60" w:after="60" w:line="200" w:lineRule="exact"/>
              <w:jc w:val="right"/>
              <w:rPr>
                <w:noProof/>
                <w:sz w:val="16"/>
                <w:szCs w:val="16"/>
              </w:rPr>
            </w:pPr>
            <w:r>
              <w:rPr>
                <w:noProof/>
                <w:sz w:val="16"/>
                <w:szCs w:val="16"/>
              </w:rPr>
              <w:t xml:space="preserve"> 11,434 </w:t>
            </w:r>
          </w:p>
        </w:tc>
        <w:tc>
          <w:tcPr>
            <w:tcW w:w="1080" w:type="dxa"/>
          </w:tcPr>
          <w:p>
            <w:pPr>
              <w:spacing w:before="60" w:after="60" w:line="200" w:lineRule="exact"/>
              <w:jc w:val="right"/>
              <w:rPr>
                <w:noProof/>
                <w:sz w:val="16"/>
                <w:szCs w:val="16"/>
              </w:rPr>
            </w:pPr>
            <w:r>
              <w:rPr>
                <w:noProof/>
                <w:sz w:val="16"/>
                <w:szCs w:val="16"/>
              </w:rPr>
              <w:t xml:space="preserve">105,068 </w:t>
            </w:r>
          </w:p>
        </w:tc>
      </w:tr>
      <w:tr>
        <w:trPr>
          <w:trHeight w:val="585"/>
        </w:trPr>
        <w:tc>
          <w:tcPr>
            <w:tcW w:w="1980" w:type="dxa"/>
            <w:vAlign w:val="center"/>
          </w:tcPr>
          <w:p>
            <w:pPr>
              <w:spacing w:before="60" w:after="60" w:line="200" w:lineRule="exact"/>
              <w:ind w:left="72"/>
              <w:jc w:val="left"/>
              <w:rPr>
                <w:noProof/>
                <w:sz w:val="16"/>
                <w:szCs w:val="16"/>
              </w:rPr>
            </w:pPr>
            <w:r>
              <w:rPr>
                <w:noProof/>
                <w:sz w:val="16"/>
                <w:szCs w:val="16"/>
              </w:rPr>
              <w:t>Egyéb igazgatási</w:t>
            </w:r>
            <w:r>
              <w:rPr>
                <w:noProof/>
              </w:rPr>
              <w:t xml:space="preserve"> </w:t>
            </w:r>
            <w:r>
              <w:rPr>
                <w:noProof/>
              </w:rPr>
              <w:br/>
            </w:r>
            <w:r>
              <w:rPr>
                <w:noProof/>
                <w:sz w:val="16"/>
                <w:szCs w:val="16"/>
              </w:rPr>
              <w:t>jellegű kiadások – külső címzett bevétel (nem kutatás) – NDICI</w:t>
            </w:r>
          </w:p>
        </w:tc>
        <w:tc>
          <w:tcPr>
            <w:tcW w:w="1080" w:type="dxa"/>
          </w:tcPr>
          <w:p>
            <w:pPr>
              <w:spacing w:before="60" w:after="60" w:line="200" w:lineRule="exact"/>
              <w:jc w:val="right"/>
              <w:rPr>
                <w:noProof/>
                <w:sz w:val="16"/>
                <w:szCs w:val="16"/>
              </w:rPr>
            </w:pPr>
            <w:r>
              <w:rPr>
                <w:noProof/>
                <w:sz w:val="16"/>
                <w:szCs w:val="16"/>
              </w:rPr>
              <w:t xml:space="preserve"> 8,177 </w:t>
            </w:r>
          </w:p>
        </w:tc>
        <w:tc>
          <w:tcPr>
            <w:tcW w:w="1080" w:type="dxa"/>
          </w:tcPr>
          <w:p>
            <w:pPr>
              <w:spacing w:before="60" w:after="60" w:line="200" w:lineRule="exact"/>
              <w:jc w:val="right"/>
              <w:rPr>
                <w:noProof/>
                <w:sz w:val="16"/>
                <w:szCs w:val="16"/>
              </w:rPr>
            </w:pPr>
            <w:r>
              <w:rPr>
                <w:noProof/>
                <w:sz w:val="16"/>
                <w:szCs w:val="16"/>
              </w:rPr>
              <w:t xml:space="preserve"> 8,177 </w:t>
            </w:r>
          </w:p>
        </w:tc>
        <w:tc>
          <w:tcPr>
            <w:tcW w:w="1080" w:type="dxa"/>
          </w:tcPr>
          <w:p>
            <w:pPr>
              <w:spacing w:before="60" w:after="60" w:line="200" w:lineRule="exact"/>
              <w:jc w:val="right"/>
              <w:rPr>
                <w:noProof/>
                <w:sz w:val="16"/>
                <w:szCs w:val="16"/>
              </w:rPr>
            </w:pPr>
            <w:r>
              <w:rPr>
                <w:noProof/>
                <w:sz w:val="16"/>
                <w:szCs w:val="16"/>
              </w:rPr>
              <w:t xml:space="preserve"> 8,177 </w:t>
            </w:r>
          </w:p>
        </w:tc>
        <w:tc>
          <w:tcPr>
            <w:tcW w:w="1080" w:type="dxa"/>
          </w:tcPr>
          <w:p>
            <w:pPr>
              <w:spacing w:before="60" w:after="60" w:line="200" w:lineRule="exact"/>
              <w:jc w:val="right"/>
              <w:rPr>
                <w:noProof/>
                <w:sz w:val="16"/>
                <w:szCs w:val="16"/>
              </w:rPr>
            </w:pPr>
            <w:r>
              <w:rPr>
                <w:noProof/>
                <w:sz w:val="16"/>
                <w:szCs w:val="16"/>
              </w:rPr>
              <w:t xml:space="preserve"> 8,177 </w:t>
            </w:r>
          </w:p>
        </w:tc>
        <w:tc>
          <w:tcPr>
            <w:tcW w:w="1080" w:type="dxa"/>
          </w:tcPr>
          <w:p>
            <w:pPr>
              <w:spacing w:before="60" w:after="60" w:line="200" w:lineRule="exact"/>
              <w:jc w:val="right"/>
              <w:rPr>
                <w:noProof/>
                <w:sz w:val="16"/>
                <w:szCs w:val="16"/>
              </w:rPr>
            </w:pPr>
            <w:r>
              <w:rPr>
                <w:noProof/>
                <w:sz w:val="16"/>
                <w:szCs w:val="16"/>
              </w:rPr>
              <w:t xml:space="preserve"> 8,177 </w:t>
            </w:r>
          </w:p>
        </w:tc>
        <w:tc>
          <w:tcPr>
            <w:tcW w:w="1080" w:type="dxa"/>
          </w:tcPr>
          <w:p>
            <w:pPr>
              <w:spacing w:before="60" w:after="60" w:line="200" w:lineRule="exact"/>
              <w:jc w:val="right"/>
              <w:rPr>
                <w:noProof/>
                <w:sz w:val="16"/>
                <w:szCs w:val="16"/>
              </w:rPr>
            </w:pPr>
            <w:r>
              <w:rPr>
                <w:noProof/>
                <w:sz w:val="16"/>
                <w:szCs w:val="16"/>
              </w:rPr>
              <w:t xml:space="preserve"> 8,177 </w:t>
            </w:r>
          </w:p>
        </w:tc>
        <w:tc>
          <w:tcPr>
            <w:tcW w:w="1080" w:type="dxa"/>
          </w:tcPr>
          <w:p>
            <w:pPr>
              <w:spacing w:before="60" w:after="60" w:line="200" w:lineRule="exact"/>
              <w:jc w:val="right"/>
              <w:rPr>
                <w:noProof/>
                <w:sz w:val="16"/>
                <w:szCs w:val="16"/>
              </w:rPr>
            </w:pPr>
            <w:r>
              <w:rPr>
                <w:noProof/>
                <w:sz w:val="16"/>
                <w:szCs w:val="16"/>
              </w:rPr>
              <w:t xml:space="preserve"> 8,177 </w:t>
            </w:r>
          </w:p>
        </w:tc>
        <w:tc>
          <w:tcPr>
            <w:tcW w:w="1080" w:type="dxa"/>
          </w:tcPr>
          <w:p>
            <w:pPr>
              <w:spacing w:before="60" w:after="60" w:line="200" w:lineRule="exact"/>
              <w:jc w:val="right"/>
              <w:rPr>
                <w:noProof/>
                <w:sz w:val="16"/>
                <w:szCs w:val="16"/>
              </w:rPr>
            </w:pPr>
            <w:r>
              <w:rPr>
                <w:noProof/>
                <w:sz w:val="16"/>
                <w:szCs w:val="16"/>
              </w:rPr>
              <w:t xml:space="preserve"> 57,240 </w:t>
            </w:r>
          </w:p>
        </w:tc>
      </w:tr>
      <w:tr>
        <w:trPr>
          <w:trHeight w:val="585"/>
        </w:trPr>
        <w:tc>
          <w:tcPr>
            <w:tcW w:w="1980" w:type="dxa"/>
            <w:vAlign w:val="center"/>
          </w:tcPr>
          <w:p>
            <w:pPr>
              <w:spacing w:before="60" w:after="60" w:line="200" w:lineRule="exact"/>
              <w:ind w:left="72"/>
              <w:jc w:val="left"/>
              <w:rPr>
                <w:noProof/>
                <w:sz w:val="16"/>
                <w:szCs w:val="16"/>
              </w:rPr>
            </w:pPr>
            <w:r>
              <w:rPr>
                <w:noProof/>
                <w:sz w:val="16"/>
                <w:szCs w:val="16"/>
              </w:rPr>
              <w:t>Humánerőforrás – külső címzett bevétel (nem kutatás) – EMVA</w:t>
            </w:r>
          </w:p>
        </w:tc>
        <w:tc>
          <w:tcPr>
            <w:tcW w:w="1080" w:type="dxa"/>
            <w:vAlign w:val="center"/>
          </w:tcPr>
          <w:p>
            <w:pPr>
              <w:spacing w:before="60" w:after="60" w:line="200" w:lineRule="exact"/>
              <w:jc w:val="right"/>
              <w:rPr>
                <w:noProof/>
                <w:sz w:val="16"/>
                <w:szCs w:val="16"/>
              </w:rPr>
            </w:pPr>
            <w:r>
              <w:rPr>
                <w:noProof/>
                <w:sz w:val="16"/>
                <w:szCs w:val="16"/>
              </w:rPr>
              <w:t>0,000</w:t>
            </w:r>
          </w:p>
        </w:tc>
        <w:tc>
          <w:tcPr>
            <w:tcW w:w="1080" w:type="dxa"/>
            <w:vAlign w:val="center"/>
          </w:tcPr>
          <w:p>
            <w:pPr>
              <w:spacing w:before="60" w:after="60" w:line="200" w:lineRule="exact"/>
              <w:jc w:val="right"/>
              <w:rPr>
                <w:noProof/>
                <w:sz w:val="16"/>
                <w:szCs w:val="16"/>
              </w:rPr>
            </w:pPr>
            <w:r>
              <w:rPr>
                <w:noProof/>
                <w:sz w:val="16"/>
                <w:szCs w:val="16"/>
              </w:rPr>
              <w:t>0,720</w:t>
            </w:r>
          </w:p>
        </w:tc>
        <w:tc>
          <w:tcPr>
            <w:tcW w:w="1080" w:type="dxa"/>
            <w:vAlign w:val="center"/>
          </w:tcPr>
          <w:p>
            <w:pPr>
              <w:spacing w:before="60" w:after="60" w:line="200" w:lineRule="exact"/>
              <w:jc w:val="right"/>
              <w:rPr>
                <w:noProof/>
                <w:sz w:val="16"/>
                <w:szCs w:val="16"/>
              </w:rPr>
            </w:pPr>
            <w:r>
              <w:rPr>
                <w:noProof/>
                <w:sz w:val="16"/>
                <w:szCs w:val="16"/>
              </w:rPr>
              <w:t>0,720</w:t>
            </w:r>
          </w:p>
        </w:tc>
        <w:tc>
          <w:tcPr>
            <w:tcW w:w="1080" w:type="dxa"/>
            <w:vAlign w:val="center"/>
          </w:tcPr>
          <w:p>
            <w:pPr>
              <w:spacing w:before="60" w:after="60" w:line="200" w:lineRule="exact"/>
              <w:jc w:val="right"/>
              <w:rPr>
                <w:noProof/>
                <w:sz w:val="16"/>
                <w:szCs w:val="16"/>
              </w:rPr>
            </w:pPr>
            <w:r>
              <w:rPr>
                <w:noProof/>
                <w:sz w:val="16"/>
                <w:szCs w:val="16"/>
              </w:rPr>
              <w:t>0,720</w:t>
            </w:r>
          </w:p>
        </w:tc>
        <w:tc>
          <w:tcPr>
            <w:tcW w:w="1080" w:type="dxa"/>
            <w:vAlign w:val="center"/>
          </w:tcPr>
          <w:p>
            <w:pPr>
              <w:spacing w:before="60" w:after="60" w:line="200" w:lineRule="exact"/>
              <w:jc w:val="right"/>
              <w:rPr>
                <w:noProof/>
                <w:sz w:val="16"/>
                <w:szCs w:val="16"/>
              </w:rPr>
            </w:pPr>
            <w:r>
              <w:rPr>
                <w:noProof/>
                <w:sz w:val="16"/>
                <w:szCs w:val="16"/>
              </w:rPr>
              <w:t>0,720</w:t>
            </w:r>
          </w:p>
        </w:tc>
        <w:tc>
          <w:tcPr>
            <w:tcW w:w="1080" w:type="dxa"/>
            <w:vAlign w:val="center"/>
          </w:tcPr>
          <w:p>
            <w:pPr>
              <w:spacing w:before="60" w:after="60" w:line="200" w:lineRule="exact"/>
              <w:jc w:val="right"/>
              <w:rPr>
                <w:noProof/>
                <w:sz w:val="16"/>
                <w:szCs w:val="16"/>
              </w:rPr>
            </w:pPr>
            <w:r>
              <w:rPr>
                <w:noProof/>
                <w:sz w:val="16"/>
                <w:szCs w:val="16"/>
              </w:rPr>
              <w:t>0,720</w:t>
            </w:r>
          </w:p>
        </w:tc>
        <w:tc>
          <w:tcPr>
            <w:tcW w:w="1080" w:type="dxa"/>
            <w:vAlign w:val="center"/>
          </w:tcPr>
          <w:p>
            <w:pPr>
              <w:spacing w:before="60" w:after="60" w:line="200" w:lineRule="exact"/>
              <w:jc w:val="right"/>
              <w:rPr>
                <w:noProof/>
                <w:sz w:val="16"/>
                <w:szCs w:val="16"/>
              </w:rPr>
            </w:pPr>
            <w:r>
              <w:rPr>
                <w:noProof/>
                <w:sz w:val="16"/>
                <w:szCs w:val="16"/>
              </w:rPr>
              <w:t>0,000</w:t>
            </w:r>
          </w:p>
        </w:tc>
        <w:tc>
          <w:tcPr>
            <w:tcW w:w="1080" w:type="dxa"/>
            <w:vAlign w:val="center"/>
          </w:tcPr>
          <w:p>
            <w:pPr>
              <w:spacing w:before="60" w:after="60" w:line="200" w:lineRule="exact"/>
              <w:jc w:val="right"/>
              <w:rPr>
                <w:noProof/>
                <w:sz w:val="16"/>
                <w:szCs w:val="16"/>
              </w:rPr>
            </w:pPr>
            <w:r>
              <w:rPr>
                <w:noProof/>
                <w:sz w:val="16"/>
                <w:szCs w:val="16"/>
              </w:rPr>
              <w:t>3,600</w:t>
            </w:r>
          </w:p>
        </w:tc>
      </w:tr>
      <w:tr>
        <w:trPr>
          <w:trHeight w:val="585"/>
        </w:trPr>
        <w:tc>
          <w:tcPr>
            <w:tcW w:w="1980" w:type="dxa"/>
            <w:vAlign w:val="center"/>
          </w:tcPr>
          <w:p>
            <w:pPr>
              <w:spacing w:before="60" w:after="60" w:line="200" w:lineRule="exact"/>
              <w:ind w:left="72"/>
              <w:jc w:val="left"/>
              <w:rPr>
                <w:noProof/>
                <w:sz w:val="16"/>
                <w:szCs w:val="16"/>
              </w:rPr>
            </w:pPr>
            <w:r>
              <w:rPr>
                <w:noProof/>
                <w:sz w:val="16"/>
                <w:szCs w:val="16"/>
              </w:rPr>
              <w:t>Egyéb igazgatási</w:t>
            </w:r>
            <w:r>
              <w:rPr>
                <w:noProof/>
              </w:rPr>
              <w:t xml:space="preserve"> </w:t>
            </w:r>
            <w:r>
              <w:rPr>
                <w:noProof/>
              </w:rPr>
              <w:br/>
            </w:r>
            <w:r>
              <w:rPr>
                <w:noProof/>
                <w:sz w:val="16"/>
                <w:szCs w:val="16"/>
              </w:rPr>
              <w:t>jellegű kiadások – külső címzett bevétel (nem kutatás) – EMVA</w:t>
            </w:r>
          </w:p>
        </w:tc>
        <w:tc>
          <w:tcPr>
            <w:tcW w:w="1080" w:type="dxa"/>
            <w:vAlign w:val="center"/>
          </w:tcPr>
          <w:p>
            <w:pPr>
              <w:spacing w:before="60" w:after="60" w:line="200" w:lineRule="exact"/>
              <w:jc w:val="right"/>
              <w:rPr>
                <w:noProof/>
                <w:sz w:val="16"/>
                <w:szCs w:val="16"/>
              </w:rPr>
            </w:pPr>
            <w:r>
              <w:rPr>
                <w:noProof/>
                <w:sz w:val="16"/>
                <w:szCs w:val="16"/>
              </w:rPr>
              <w:t>0,000</w:t>
            </w:r>
          </w:p>
        </w:tc>
        <w:tc>
          <w:tcPr>
            <w:tcW w:w="1080" w:type="dxa"/>
            <w:vAlign w:val="center"/>
          </w:tcPr>
          <w:p>
            <w:pPr>
              <w:spacing w:before="60" w:after="60" w:line="200" w:lineRule="exact"/>
              <w:jc w:val="right"/>
              <w:rPr>
                <w:noProof/>
                <w:sz w:val="16"/>
                <w:szCs w:val="16"/>
              </w:rPr>
            </w:pPr>
            <w:r>
              <w:rPr>
                <w:noProof/>
                <w:sz w:val="16"/>
                <w:szCs w:val="16"/>
              </w:rPr>
              <w:t>0,280</w:t>
            </w:r>
          </w:p>
        </w:tc>
        <w:tc>
          <w:tcPr>
            <w:tcW w:w="1080" w:type="dxa"/>
            <w:vAlign w:val="center"/>
          </w:tcPr>
          <w:p>
            <w:pPr>
              <w:spacing w:before="60" w:after="60" w:line="200" w:lineRule="exact"/>
              <w:jc w:val="right"/>
              <w:rPr>
                <w:noProof/>
                <w:sz w:val="16"/>
                <w:szCs w:val="16"/>
              </w:rPr>
            </w:pPr>
            <w:r>
              <w:rPr>
                <w:noProof/>
                <w:sz w:val="16"/>
                <w:szCs w:val="16"/>
              </w:rPr>
              <w:t>0,280</w:t>
            </w:r>
          </w:p>
        </w:tc>
        <w:tc>
          <w:tcPr>
            <w:tcW w:w="1080" w:type="dxa"/>
            <w:vAlign w:val="center"/>
          </w:tcPr>
          <w:p>
            <w:pPr>
              <w:spacing w:before="60" w:after="60" w:line="200" w:lineRule="exact"/>
              <w:jc w:val="right"/>
              <w:rPr>
                <w:noProof/>
                <w:sz w:val="16"/>
                <w:szCs w:val="16"/>
              </w:rPr>
            </w:pPr>
            <w:r>
              <w:rPr>
                <w:noProof/>
                <w:sz w:val="16"/>
                <w:szCs w:val="16"/>
              </w:rPr>
              <w:t>0,280</w:t>
            </w:r>
          </w:p>
        </w:tc>
        <w:tc>
          <w:tcPr>
            <w:tcW w:w="1080" w:type="dxa"/>
            <w:vAlign w:val="center"/>
          </w:tcPr>
          <w:p>
            <w:pPr>
              <w:spacing w:before="60" w:after="60" w:line="200" w:lineRule="exact"/>
              <w:jc w:val="right"/>
              <w:rPr>
                <w:noProof/>
                <w:sz w:val="16"/>
                <w:szCs w:val="16"/>
              </w:rPr>
            </w:pPr>
            <w:r>
              <w:rPr>
                <w:noProof/>
                <w:sz w:val="16"/>
                <w:szCs w:val="16"/>
              </w:rPr>
              <w:t>0,280</w:t>
            </w:r>
          </w:p>
        </w:tc>
        <w:tc>
          <w:tcPr>
            <w:tcW w:w="1080" w:type="dxa"/>
            <w:vAlign w:val="center"/>
          </w:tcPr>
          <w:p>
            <w:pPr>
              <w:spacing w:before="60" w:after="60" w:line="200" w:lineRule="exact"/>
              <w:jc w:val="right"/>
              <w:rPr>
                <w:noProof/>
                <w:sz w:val="16"/>
                <w:szCs w:val="16"/>
              </w:rPr>
            </w:pPr>
            <w:r>
              <w:rPr>
                <w:noProof/>
                <w:sz w:val="16"/>
                <w:szCs w:val="16"/>
              </w:rPr>
              <w:t>0,280</w:t>
            </w:r>
          </w:p>
        </w:tc>
        <w:tc>
          <w:tcPr>
            <w:tcW w:w="1080" w:type="dxa"/>
            <w:vAlign w:val="center"/>
          </w:tcPr>
          <w:p>
            <w:pPr>
              <w:spacing w:before="60" w:after="60" w:line="200" w:lineRule="exact"/>
              <w:jc w:val="right"/>
              <w:rPr>
                <w:noProof/>
                <w:sz w:val="16"/>
                <w:szCs w:val="16"/>
              </w:rPr>
            </w:pPr>
            <w:r>
              <w:rPr>
                <w:noProof/>
                <w:sz w:val="16"/>
                <w:szCs w:val="16"/>
              </w:rPr>
              <w:t>1,000</w:t>
            </w:r>
          </w:p>
        </w:tc>
        <w:tc>
          <w:tcPr>
            <w:tcW w:w="1080" w:type="dxa"/>
            <w:vAlign w:val="center"/>
          </w:tcPr>
          <w:p>
            <w:pPr>
              <w:spacing w:before="60" w:after="60" w:line="200" w:lineRule="exact"/>
              <w:jc w:val="right"/>
              <w:rPr>
                <w:noProof/>
                <w:sz w:val="16"/>
                <w:szCs w:val="16"/>
              </w:rPr>
            </w:pPr>
            <w:r>
              <w:rPr>
                <w:noProof/>
                <w:sz w:val="16"/>
                <w:szCs w:val="16"/>
              </w:rPr>
              <w:t>2,400</w:t>
            </w:r>
          </w:p>
        </w:tc>
      </w:tr>
      <w:tr>
        <w:trPr>
          <w:trHeight w:val="585"/>
        </w:trPr>
        <w:tc>
          <w:tcPr>
            <w:tcW w:w="1980" w:type="dxa"/>
            <w:vAlign w:val="center"/>
          </w:tcPr>
          <w:p>
            <w:pPr>
              <w:spacing w:before="60" w:after="60" w:line="200" w:lineRule="exact"/>
              <w:ind w:left="72"/>
              <w:jc w:val="left"/>
              <w:rPr>
                <w:noProof/>
                <w:sz w:val="16"/>
              </w:rPr>
            </w:pPr>
            <w:r>
              <w:rPr>
                <w:noProof/>
                <w:sz w:val="16"/>
              </w:rPr>
              <w:lastRenderedPageBreak/>
              <w:t>Külső címzett bevétel (nem kutatás) részösszege</w:t>
            </w:r>
          </w:p>
        </w:tc>
        <w:tc>
          <w:tcPr>
            <w:tcW w:w="1080" w:type="dxa"/>
            <w:vAlign w:val="bottom"/>
          </w:tcPr>
          <w:p>
            <w:pPr>
              <w:spacing w:before="60" w:after="60" w:line="200" w:lineRule="exact"/>
              <w:rPr>
                <w:noProof/>
                <w:sz w:val="16"/>
                <w:szCs w:val="16"/>
              </w:rPr>
            </w:pPr>
            <w:r>
              <w:rPr>
                <w:rFonts w:ascii="Calibri" w:hAnsi="Calibri"/>
                <w:noProof/>
                <w:sz w:val="22"/>
              </w:rPr>
              <w:t>24,617</w:t>
            </w:r>
          </w:p>
        </w:tc>
        <w:tc>
          <w:tcPr>
            <w:tcW w:w="1080" w:type="dxa"/>
            <w:vAlign w:val="bottom"/>
          </w:tcPr>
          <w:p>
            <w:pPr>
              <w:spacing w:before="60" w:after="60" w:line="200" w:lineRule="exact"/>
              <w:rPr>
                <w:noProof/>
                <w:sz w:val="16"/>
                <w:szCs w:val="16"/>
              </w:rPr>
            </w:pPr>
            <w:r>
              <w:rPr>
                <w:rFonts w:ascii="Calibri" w:hAnsi="Calibri"/>
                <w:noProof/>
                <w:sz w:val="22"/>
              </w:rPr>
              <w:t>25,617</w:t>
            </w:r>
          </w:p>
        </w:tc>
        <w:tc>
          <w:tcPr>
            <w:tcW w:w="1080" w:type="dxa"/>
            <w:vAlign w:val="bottom"/>
          </w:tcPr>
          <w:p>
            <w:pPr>
              <w:spacing w:before="60" w:after="60" w:line="200" w:lineRule="exact"/>
              <w:rPr>
                <w:noProof/>
                <w:sz w:val="16"/>
                <w:szCs w:val="16"/>
              </w:rPr>
            </w:pPr>
            <w:r>
              <w:rPr>
                <w:rFonts w:ascii="Calibri" w:hAnsi="Calibri"/>
                <w:noProof/>
                <w:sz w:val="22"/>
              </w:rPr>
              <w:t>25,617</w:t>
            </w:r>
          </w:p>
        </w:tc>
        <w:tc>
          <w:tcPr>
            <w:tcW w:w="1080" w:type="dxa"/>
            <w:vAlign w:val="bottom"/>
          </w:tcPr>
          <w:p>
            <w:pPr>
              <w:spacing w:before="60" w:after="60" w:line="200" w:lineRule="exact"/>
              <w:rPr>
                <w:noProof/>
                <w:sz w:val="16"/>
                <w:szCs w:val="16"/>
              </w:rPr>
            </w:pPr>
            <w:r>
              <w:rPr>
                <w:rFonts w:ascii="Calibri" w:hAnsi="Calibri"/>
                <w:noProof/>
                <w:sz w:val="22"/>
              </w:rPr>
              <w:t>25,617</w:t>
            </w:r>
          </w:p>
        </w:tc>
        <w:tc>
          <w:tcPr>
            <w:tcW w:w="1080" w:type="dxa"/>
            <w:vAlign w:val="bottom"/>
          </w:tcPr>
          <w:p>
            <w:pPr>
              <w:spacing w:before="60" w:after="60" w:line="200" w:lineRule="exact"/>
              <w:rPr>
                <w:noProof/>
                <w:sz w:val="16"/>
                <w:szCs w:val="16"/>
              </w:rPr>
            </w:pPr>
            <w:r>
              <w:rPr>
                <w:rFonts w:ascii="Calibri" w:hAnsi="Calibri"/>
                <w:noProof/>
                <w:sz w:val="22"/>
              </w:rPr>
              <w:t>25,617</w:t>
            </w:r>
          </w:p>
        </w:tc>
        <w:tc>
          <w:tcPr>
            <w:tcW w:w="1080" w:type="dxa"/>
            <w:vAlign w:val="bottom"/>
          </w:tcPr>
          <w:p>
            <w:pPr>
              <w:spacing w:before="60" w:after="60" w:line="200" w:lineRule="exact"/>
              <w:rPr>
                <w:noProof/>
                <w:sz w:val="16"/>
                <w:szCs w:val="16"/>
              </w:rPr>
            </w:pPr>
            <w:r>
              <w:rPr>
                <w:rFonts w:ascii="Calibri" w:hAnsi="Calibri"/>
                <w:noProof/>
                <w:sz w:val="22"/>
              </w:rPr>
              <w:t>20,611</w:t>
            </w:r>
          </w:p>
        </w:tc>
        <w:tc>
          <w:tcPr>
            <w:tcW w:w="1080" w:type="dxa"/>
            <w:vAlign w:val="bottom"/>
          </w:tcPr>
          <w:p>
            <w:pPr>
              <w:spacing w:before="60" w:after="60" w:line="200" w:lineRule="exact"/>
              <w:rPr>
                <w:noProof/>
                <w:sz w:val="16"/>
                <w:szCs w:val="16"/>
              </w:rPr>
            </w:pPr>
            <w:r>
              <w:rPr>
                <w:rFonts w:ascii="Calibri" w:hAnsi="Calibri"/>
                <w:noProof/>
                <w:sz w:val="22"/>
              </w:rPr>
              <w:t>20,611</w:t>
            </w:r>
          </w:p>
        </w:tc>
        <w:tc>
          <w:tcPr>
            <w:tcW w:w="1080" w:type="dxa"/>
            <w:vAlign w:val="bottom"/>
          </w:tcPr>
          <w:p>
            <w:pPr>
              <w:spacing w:before="60" w:after="60" w:line="200" w:lineRule="exact"/>
              <w:rPr>
                <w:noProof/>
                <w:sz w:val="16"/>
                <w:szCs w:val="16"/>
              </w:rPr>
            </w:pPr>
            <w:r>
              <w:rPr>
                <w:rFonts w:ascii="Calibri" w:hAnsi="Calibri"/>
                <w:noProof/>
                <w:sz w:val="22"/>
              </w:rPr>
              <w:t>168,307</w:t>
            </w:r>
          </w:p>
        </w:tc>
      </w:tr>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A többéves pénzügyi</w:t>
            </w:r>
            <w:r>
              <w:rPr>
                <w:b/>
                <w:noProof/>
                <w:sz w:val="16"/>
              </w:rPr>
              <w:br/>
              <w:t>keret 7. FEJEZETÉBE</w:t>
            </w:r>
            <w:r>
              <w:rPr>
                <w:b/>
                <w:noProof/>
                <w:sz w:val="16"/>
              </w:rPr>
              <w:br/>
              <w:t>bele nem tartozó</w:t>
            </w:r>
            <w:r>
              <w:rPr>
                <w:b/>
                <w:noProof/>
                <w:sz w:val="16"/>
              </w:rPr>
              <w:br/>
              <w:t xml:space="preserve">előirányzatok részösszege </w:t>
            </w:r>
          </w:p>
        </w:tc>
        <w:tc>
          <w:tcPr>
            <w:tcW w:w="1080" w:type="dxa"/>
            <w:vAlign w:val="bottom"/>
          </w:tcPr>
          <w:p>
            <w:pPr>
              <w:spacing w:before="60" w:after="60" w:line="200" w:lineRule="exact"/>
              <w:jc w:val="right"/>
              <w:rPr>
                <w:noProof/>
                <w:sz w:val="16"/>
                <w:szCs w:val="16"/>
              </w:rPr>
            </w:pPr>
            <w:r>
              <w:rPr>
                <w:rFonts w:ascii="Calibri" w:hAnsi="Calibri"/>
                <w:noProof/>
                <w:sz w:val="22"/>
              </w:rPr>
              <w:t>151,597</w:t>
            </w:r>
          </w:p>
        </w:tc>
        <w:tc>
          <w:tcPr>
            <w:tcW w:w="1080" w:type="dxa"/>
            <w:vAlign w:val="bottom"/>
          </w:tcPr>
          <w:p>
            <w:pPr>
              <w:spacing w:before="60" w:after="60" w:line="200" w:lineRule="exact"/>
              <w:rPr>
                <w:noProof/>
                <w:sz w:val="16"/>
                <w:szCs w:val="16"/>
              </w:rPr>
            </w:pPr>
            <w:r>
              <w:rPr>
                <w:rFonts w:ascii="Calibri" w:hAnsi="Calibri"/>
                <w:noProof/>
                <w:sz w:val="22"/>
              </w:rPr>
              <w:t>223,297</w:t>
            </w:r>
          </w:p>
        </w:tc>
        <w:tc>
          <w:tcPr>
            <w:tcW w:w="1080" w:type="dxa"/>
            <w:vAlign w:val="bottom"/>
          </w:tcPr>
          <w:p>
            <w:pPr>
              <w:spacing w:before="60" w:after="60" w:line="200" w:lineRule="exact"/>
              <w:rPr>
                <w:noProof/>
                <w:sz w:val="16"/>
                <w:szCs w:val="16"/>
              </w:rPr>
            </w:pPr>
            <w:r>
              <w:rPr>
                <w:rFonts w:ascii="Calibri" w:hAnsi="Calibri"/>
                <w:noProof/>
                <w:sz w:val="22"/>
              </w:rPr>
              <w:t>157,727</w:t>
            </w:r>
          </w:p>
        </w:tc>
        <w:tc>
          <w:tcPr>
            <w:tcW w:w="1080" w:type="dxa"/>
            <w:vAlign w:val="bottom"/>
          </w:tcPr>
          <w:p>
            <w:pPr>
              <w:spacing w:before="60" w:after="60" w:line="200" w:lineRule="exact"/>
              <w:rPr>
                <w:noProof/>
                <w:sz w:val="16"/>
                <w:szCs w:val="16"/>
              </w:rPr>
            </w:pPr>
            <w:r>
              <w:rPr>
                <w:rFonts w:ascii="Calibri" w:hAnsi="Calibri"/>
                <w:noProof/>
                <w:sz w:val="22"/>
              </w:rPr>
              <w:t>132,007</w:t>
            </w:r>
          </w:p>
        </w:tc>
        <w:tc>
          <w:tcPr>
            <w:tcW w:w="1080" w:type="dxa"/>
            <w:vAlign w:val="bottom"/>
          </w:tcPr>
          <w:p>
            <w:pPr>
              <w:spacing w:before="60" w:after="60" w:line="200" w:lineRule="exact"/>
              <w:rPr>
                <w:noProof/>
                <w:sz w:val="16"/>
                <w:szCs w:val="16"/>
              </w:rPr>
            </w:pPr>
            <w:r>
              <w:rPr>
                <w:rFonts w:ascii="Calibri" w:hAnsi="Calibri"/>
                <w:noProof/>
                <w:sz w:val="22"/>
              </w:rPr>
              <w:t>76,617</w:t>
            </w:r>
          </w:p>
        </w:tc>
        <w:tc>
          <w:tcPr>
            <w:tcW w:w="1080" w:type="dxa"/>
            <w:vAlign w:val="bottom"/>
          </w:tcPr>
          <w:p>
            <w:pPr>
              <w:spacing w:before="60" w:after="60" w:line="200" w:lineRule="exact"/>
              <w:rPr>
                <w:noProof/>
                <w:sz w:val="16"/>
                <w:szCs w:val="16"/>
              </w:rPr>
            </w:pPr>
            <w:r>
              <w:rPr>
                <w:rFonts w:ascii="Calibri" w:hAnsi="Calibri"/>
                <w:noProof/>
                <w:sz w:val="22"/>
              </w:rPr>
              <w:t>57,611</w:t>
            </w:r>
          </w:p>
        </w:tc>
        <w:tc>
          <w:tcPr>
            <w:tcW w:w="1080" w:type="dxa"/>
            <w:vAlign w:val="bottom"/>
          </w:tcPr>
          <w:p>
            <w:pPr>
              <w:spacing w:before="60" w:after="60" w:line="200" w:lineRule="exact"/>
              <w:jc w:val="right"/>
              <w:rPr>
                <w:b/>
                <w:noProof/>
                <w:sz w:val="16"/>
                <w:szCs w:val="16"/>
              </w:rPr>
            </w:pPr>
            <w:r>
              <w:rPr>
                <w:rFonts w:ascii="Calibri" w:hAnsi="Calibri"/>
                <w:noProof/>
                <w:sz w:val="22"/>
              </w:rPr>
              <w:t>58,611</w:t>
            </w:r>
          </w:p>
        </w:tc>
        <w:tc>
          <w:tcPr>
            <w:tcW w:w="1080" w:type="dxa"/>
            <w:vAlign w:val="bottom"/>
          </w:tcPr>
          <w:p>
            <w:pPr>
              <w:spacing w:before="60" w:after="60" w:line="200" w:lineRule="exact"/>
              <w:rPr>
                <w:b/>
                <w:noProof/>
                <w:sz w:val="16"/>
                <w:szCs w:val="16"/>
              </w:rPr>
            </w:pPr>
            <w:r>
              <w:rPr>
                <w:rFonts w:ascii="Calibri" w:hAnsi="Calibri"/>
                <w:noProof/>
                <w:sz w:val="22"/>
              </w:rPr>
              <w:t>857,467</w:t>
            </w:r>
          </w:p>
        </w:tc>
      </w:tr>
    </w:tbl>
    <w:p>
      <w:pPr>
        <w:spacing w:line="200" w:lineRule="exact"/>
        <w:rPr>
          <w:noProof/>
          <w:sz w:val="16"/>
          <w:szCs w:val="16"/>
        </w:rPr>
      </w:pPr>
    </w:p>
    <w:p>
      <w:pPr>
        <w:rPr>
          <w:noProof/>
          <w:sz w:val="18"/>
          <w:szCs w:val="18"/>
        </w:rPr>
      </w:pPr>
      <w:r>
        <w:rPr>
          <w:noProof/>
          <w:sz w:val="18"/>
          <w:szCs w:val="18"/>
        </w:rPr>
        <w:t>A humánerőforrással és más igazgatási jellegű kiadásokkal kapcsolatos előirányzat-igényeket az adott főigazgatóság rendelkezésére álló, az intézkedés irányításához rendelt előirányzatokkal és/vagy az adott főigazgatóságon belüli átcsoportosítással kell teljesíteni. A források adott esetben a költségvetési korlátok betartása mellett kiegészíthetők az éves elosztási eljárás keretében az irányító főigazgatósághoz rendelt további allokációkkal. Kiegészítő személyzet csak külső munkatárs lesz, kizárólag címzett bevételekből finanszírozva.</w:t>
      </w:r>
    </w:p>
    <w:p>
      <w:pPr>
        <w:keepNext/>
        <w:outlineLvl w:val="3"/>
        <w:rPr>
          <w:rFonts w:eastAsiaTheme="majorEastAsia"/>
          <w:iCs/>
          <w:noProof/>
          <w:szCs w:val="24"/>
        </w:rPr>
      </w:pPr>
      <w:r>
        <w:rPr>
          <w:noProof/>
        </w:rPr>
        <w:t>Becsült humánerőforrás-szükségletek</w:t>
      </w:r>
    </w:p>
    <w:p>
      <w:pPr>
        <w:rPr>
          <w:rFonts w:eastAsia="Times New Roman"/>
          <w:noProof/>
        </w:rPr>
      </w:pPr>
      <w:r>
        <w:rPr>
          <w:noProof/>
        </w:rPr>
        <w:sym w:font="Wingdings" w:char="F0A8"/>
      </w:r>
      <w:r>
        <w:rPr>
          <w:noProof/>
        </w:rPr>
        <w:tab/>
        <w:t xml:space="preserve">A javaslat/kezdeményezés nem igényel humánerőforrást. </w:t>
      </w:r>
    </w:p>
    <w:p>
      <w:pPr>
        <w:rPr>
          <w:rFonts w:eastAsia="Times New Roman"/>
          <w:noProof/>
        </w:rPr>
      </w:pPr>
      <w:r>
        <w:rPr>
          <w:noProof/>
        </w:rPr>
        <w:sym w:font="Wingdings" w:char="F0FE"/>
      </w:r>
      <w:r>
        <w:rPr>
          <w:noProof/>
        </w:rPr>
        <w:tab/>
        <w:t>A javaslat/kezdeményezés az alábbi humánerőforrás-igénnyel jár:</w:t>
      </w:r>
    </w:p>
    <w:p>
      <w:pPr>
        <w:spacing w:after="60"/>
        <w:jc w:val="right"/>
        <w:rPr>
          <w:i/>
          <w:noProof/>
          <w:sz w:val="20"/>
        </w:rPr>
      </w:pPr>
      <w:r>
        <w:rPr>
          <w:i/>
          <w:noProof/>
          <w:sz w:val="20"/>
        </w:rPr>
        <w:t>A becsléseket teljes munkaidős egyenértékben kell kifejezni</w:t>
      </w:r>
    </w:p>
    <w:tbl>
      <w:tblPr>
        <w:tblW w:w="5717" w:type="pct"/>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1"/>
        <w:gridCol w:w="1565"/>
        <w:gridCol w:w="990"/>
        <w:gridCol w:w="1134"/>
        <w:gridCol w:w="990"/>
        <w:gridCol w:w="1134"/>
        <w:gridCol w:w="1132"/>
        <w:gridCol w:w="994"/>
        <w:gridCol w:w="1119"/>
      </w:tblGrid>
      <w:tr>
        <w:trPr>
          <w:trHeight w:val="289"/>
        </w:trPr>
        <w:tc>
          <w:tcPr>
            <w:tcW w:w="1472" w:type="pct"/>
            <w:gridSpan w:val="2"/>
            <w:vAlign w:val="center"/>
          </w:tcPr>
          <w:p>
            <w:pPr>
              <w:spacing w:before="40" w:after="40"/>
              <w:jc w:val="center"/>
              <w:rPr>
                <w:i/>
                <w:noProof/>
                <w:sz w:val="16"/>
                <w:szCs w:val="16"/>
              </w:rPr>
            </w:pPr>
            <w:r>
              <w:rPr>
                <w:b/>
                <w:noProof/>
                <w:sz w:val="16"/>
                <w:szCs w:val="16"/>
              </w:rPr>
              <w:t>Évek</w:t>
            </w:r>
          </w:p>
        </w:tc>
        <w:tc>
          <w:tcPr>
            <w:tcW w:w="466" w:type="pct"/>
            <w:shd w:val="clear" w:color="auto" w:fill="auto"/>
            <w:vAlign w:val="center"/>
          </w:tcPr>
          <w:p>
            <w:pPr>
              <w:spacing w:before="20" w:after="20"/>
              <w:jc w:val="center"/>
              <w:rPr>
                <w:b/>
                <w:noProof/>
                <w:sz w:val="16"/>
                <w:szCs w:val="16"/>
              </w:rPr>
            </w:pPr>
            <w:r>
              <w:rPr>
                <w:b/>
                <w:noProof/>
                <w:sz w:val="20"/>
              </w:rPr>
              <w:t>2021</w:t>
            </w:r>
          </w:p>
        </w:tc>
        <w:tc>
          <w:tcPr>
            <w:tcW w:w="534" w:type="pct"/>
            <w:shd w:val="clear" w:color="auto" w:fill="auto"/>
            <w:vAlign w:val="center"/>
          </w:tcPr>
          <w:p>
            <w:pPr>
              <w:spacing w:before="20" w:after="20"/>
              <w:jc w:val="center"/>
              <w:rPr>
                <w:b/>
                <w:noProof/>
                <w:sz w:val="20"/>
              </w:rPr>
            </w:pPr>
            <w:r>
              <w:rPr>
                <w:b/>
                <w:noProof/>
                <w:sz w:val="20"/>
              </w:rPr>
              <w:t>2022</w:t>
            </w:r>
          </w:p>
        </w:tc>
        <w:tc>
          <w:tcPr>
            <w:tcW w:w="466" w:type="pct"/>
            <w:shd w:val="clear" w:color="auto" w:fill="auto"/>
            <w:vAlign w:val="center"/>
          </w:tcPr>
          <w:p>
            <w:pPr>
              <w:spacing w:before="20" w:after="20"/>
              <w:jc w:val="center"/>
              <w:rPr>
                <w:b/>
                <w:noProof/>
                <w:sz w:val="20"/>
              </w:rPr>
            </w:pPr>
            <w:r>
              <w:rPr>
                <w:b/>
                <w:noProof/>
                <w:sz w:val="20"/>
              </w:rPr>
              <w:t>2023</w:t>
            </w:r>
          </w:p>
        </w:tc>
        <w:tc>
          <w:tcPr>
            <w:tcW w:w="534" w:type="pct"/>
            <w:shd w:val="clear" w:color="auto" w:fill="auto"/>
            <w:vAlign w:val="center"/>
          </w:tcPr>
          <w:p>
            <w:pPr>
              <w:spacing w:before="20" w:after="20"/>
              <w:jc w:val="center"/>
              <w:rPr>
                <w:b/>
                <w:noProof/>
                <w:sz w:val="20"/>
              </w:rPr>
            </w:pPr>
            <w:r>
              <w:rPr>
                <w:b/>
                <w:noProof/>
                <w:sz w:val="20"/>
              </w:rPr>
              <w:t>2024</w:t>
            </w:r>
          </w:p>
        </w:tc>
        <w:tc>
          <w:tcPr>
            <w:tcW w:w="533" w:type="pct"/>
            <w:shd w:val="clear" w:color="auto" w:fill="auto"/>
            <w:vAlign w:val="center"/>
          </w:tcPr>
          <w:p>
            <w:pPr>
              <w:jc w:val="center"/>
              <w:rPr>
                <w:b/>
                <w:noProof/>
                <w:sz w:val="20"/>
              </w:rPr>
            </w:pPr>
            <w:r>
              <w:rPr>
                <w:b/>
                <w:noProof/>
                <w:sz w:val="20"/>
              </w:rPr>
              <w:t>2025</w:t>
            </w:r>
          </w:p>
        </w:tc>
        <w:tc>
          <w:tcPr>
            <w:tcW w:w="468" w:type="pct"/>
            <w:shd w:val="clear" w:color="auto" w:fill="auto"/>
            <w:vAlign w:val="center"/>
          </w:tcPr>
          <w:p>
            <w:pPr>
              <w:jc w:val="center"/>
              <w:rPr>
                <w:b/>
                <w:noProof/>
                <w:sz w:val="20"/>
              </w:rPr>
            </w:pPr>
            <w:r>
              <w:rPr>
                <w:b/>
                <w:noProof/>
                <w:sz w:val="20"/>
              </w:rPr>
              <w:t>2026</w:t>
            </w:r>
          </w:p>
        </w:tc>
        <w:tc>
          <w:tcPr>
            <w:tcW w:w="527" w:type="pct"/>
            <w:shd w:val="clear" w:color="auto" w:fill="auto"/>
            <w:vAlign w:val="center"/>
          </w:tcPr>
          <w:p>
            <w:pPr>
              <w:jc w:val="center"/>
              <w:rPr>
                <w:b/>
                <w:noProof/>
                <w:sz w:val="20"/>
              </w:rPr>
            </w:pPr>
            <w:r>
              <w:rPr>
                <w:b/>
                <w:noProof/>
                <w:sz w:val="20"/>
              </w:rPr>
              <w:t>2027</w:t>
            </w:r>
          </w:p>
        </w:tc>
      </w:tr>
      <w:tr>
        <w:trPr>
          <w:trHeight w:val="289"/>
        </w:trPr>
        <w:tc>
          <w:tcPr>
            <w:tcW w:w="5000" w:type="pct"/>
            <w:gridSpan w:val="9"/>
          </w:tcPr>
          <w:p>
            <w:pPr>
              <w:jc w:val="left"/>
              <w:rPr>
                <w:noProof/>
                <w:sz w:val="16"/>
                <w:szCs w:val="16"/>
              </w:rPr>
            </w:pPr>
            <w:r>
              <w:rPr>
                <w:b/>
                <w:noProof/>
                <w:sz w:val="16"/>
              </w:rPr>
              <w:sym w:font="Wingdings" w:char="F09F"/>
            </w:r>
            <w:r>
              <w:rPr>
                <w:b/>
                <w:noProof/>
                <w:sz w:val="16"/>
              </w:rPr>
              <w:t xml:space="preserve"> A létszámtervben szereplő álláshelyek (tisztviselők és ideiglenes alkalmazottak)</w:t>
            </w:r>
          </w:p>
        </w:tc>
      </w:tr>
      <w:tr>
        <w:trPr>
          <w:trHeight w:val="289"/>
        </w:trPr>
        <w:tc>
          <w:tcPr>
            <w:tcW w:w="1472" w:type="pct"/>
            <w:gridSpan w:val="2"/>
          </w:tcPr>
          <w:p>
            <w:pPr>
              <w:spacing w:beforeLines="20" w:before="48" w:afterLines="20" w:after="48"/>
              <w:ind w:left="134"/>
              <w:jc w:val="left"/>
              <w:rPr>
                <w:b/>
                <w:noProof/>
                <w:sz w:val="16"/>
                <w:szCs w:val="16"/>
              </w:rPr>
            </w:pPr>
            <w:r>
              <w:rPr>
                <w:noProof/>
                <w:sz w:val="16"/>
                <w:szCs w:val="16"/>
              </w:rPr>
              <w:t>A központban és a bizottsági képviseleteken</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289"/>
        </w:trPr>
        <w:tc>
          <w:tcPr>
            <w:tcW w:w="1472" w:type="pct"/>
            <w:gridSpan w:val="2"/>
          </w:tcPr>
          <w:p>
            <w:pPr>
              <w:spacing w:beforeLines="20" w:before="48" w:afterLines="20" w:after="48"/>
              <w:ind w:left="134"/>
              <w:jc w:val="left"/>
              <w:rPr>
                <w:noProof/>
                <w:sz w:val="16"/>
                <w:szCs w:val="16"/>
              </w:rPr>
            </w:pPr>
            <w:r>
              <w:rPr>
                <w:noProof/>
                <w:sz w:val="16"/>
                <w:szCs w:val="16"/>
              </w:rPr>
              <w:t>A küldöttségeknél</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289"/>
        </w:trPr>
        <w:tc>
          <w:tcPr>
            <w:tcW w:w="1472" w:type="pct"/>
            <w:gridSpan w:val="2"/>
          </w:tcPr>
          <w:p>
            <w:pPr>
              <w:spacing w:beforeLines="20" w:before="48" w:afterLines="20" w:after="48"/>
              <w:ind w:left="134"/>
              <w:jc w:val="left"/>
              <w:rPr>
                <w:noProof/>
                <w:sz w:val="16"/>
                <w:szCs w:val="16"/>
              </w:rPr>
            </w:pPr>
            <w:r>
              <w:rPr>
                <w:noProof/>
                <w:sz w:val="16"/>
                <w:szCs w:val="16"/>
              </w:rPr>
              <w:t>A kutatásban</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293"/>
        </w:trPr>
        <w:tc>
          <w:tcPr>
            <w:tcW w:w="5000" w:type="pct"/>
            <w:gridSpan w:val="9"/>
          </w:tcPr>
          <w:p>
            <w:pPr>
              <w:spacing w:before="60" w:after="60"/>
              <w:jc w:val="left"/>
              <w:rPr>
                <w:b/>
                <w:noProof/>
                <w:sz w:val="16"/>
                <w:szCs w:val="16"/>
              </w:rPr>
            </w:pPr>
            <w:r>
              <w:rPr>
                <w:b/>
                <w:noProof/>
                <w:sz w:val="16"/>
              </w:rPr>
              <w:sym w:font="Wingdings" w:char="F09F"/>
            </w:r>
            <w:r>
              <w:rPr>
                <w:b/>
                <w:noProof/>
                <w:sz w:val="16"/>
                <w:szCs w:val="16"/>
              </w:rPr>
              <w:t xml:space="preserve"> Külső munkatársak teljes munkaidős egyenértékben (FTE) kifejezve – AC, AL, END, INT és JED</w:t>
            </w:r>
            <w:r>
              <w:rPr>
                <w:noProof/>
                <w:sz w:val="16"/>
                <w:szCs w:val="16"/>
              </w:rPr>
              <w:t xml:space="preserve"> </w:t>
            </w:r>
            <w:r>
              <w:rPr>
                <w:rStyle w:val="FootnoteReference"/>
                <w:noProof/>
              </w:rPr>
              <w:footnoteReference w:id="17"/>
            </w:r>
          </w:p>
          <w:p>
            <w:pPr>
              <w:spacing w:before="0" w:after="0"/>
              <w:jc w:val="left"/>
              <w:rPr>
                <w:noProof/>
                <w:sz w:val="16"/>
                <w:szCs w:val="16"/>
              </w:rPr>
            </w:pPr>
            <w:r>
              <w:rPr>
                <w:noProof/>
                <w:sz w:val="16"/>
                <w:szCs w:val="16"/>
              </w:rPr>
              <w:t>7. fejezet</w:t>
            </w:r>
          </w:p>
        </w:tc>
      </w:tr>
      <w:tr>
        <w:trPr>
          <w:trHeight w:val="485"/>
        </w:trPr>
        <w:tc>
          <w:tcPr>
            <w:tcW w:w="735" w:type="pct"/>
            <w:vMerge w:val="restart"/>
            <w:vAlign w:val="center"/>
          </w:tcPr>
          <w:p>
            <w:pPr>
              <w:spacing w:beforeLines="20" w:before="48" w:afterLines="20" w:after="48"/>
              <w:ind w:left="136"/>
              <w:jc w:val="left"/>
              <w:rPr>
                <w:b/>
                <w:noProof/>
                <w:sz w:val="16"/>
                <w:szCs w:val="16"/>
              </w:rPr>
            </w:pPr>
            <w:r>
              <w:rPr>
                <w:noProof/>
                <w:sz w:val="16"/>
                <w:szCs w:val="16"/>
              </w:rPr>
              <w:t>A többéves pénzügyi keret 7. FEJEZETÉHEZ tartozó</w:t>
            </w:r>
            <w:r>
              <w:rPr>
                <w:noProof/>
                <w:sz w:val="16"/>
                <w:szCs w:val="16"/>
              </w:rPr>
              <w:br/>
              <w:t>előirányzatokból finanszírozva</w:t>
            </w:r>
            <w:r>
              <w:rPr>
                <w:b/>
                <w:noProof/>
                <w:sz w:val="16"/>
                <w:szCs w:val="16"/>
              </w:rPr>
              <w:t xml:space="preserve"> </w:t>
            </w:r>
          </w:p>
        </w:tc>
        <w:tc>
          <w:tcPr>
            <w:tcW w:w="737" w:type="pct"/>
            <w:vAlign w:val="center"/>
          </w:tcPr>
          <w:p>
            <w:pPr>
              <w:spacing w:beforeLines="20" w:before="48" w:afterLines="20" w:after="48"/>
              <w:ind w:left="136"/>
              <w:jc w:val="left"/>
              <w:rPr>
                <w:b/>
                <w:noProof/>
                <w:sz w:val="16"/>
                <w:szCs w:val="16"/>
              </w:rPr>
            </w:pPr>
            <w:r>
              <w:rPr>
                <w:noProof/>
                <w:sz w:val="16"/>
                <w:szCs w:val="16"/>
              </w:rPr>
              <w:t>- a központban</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289"/>
        </w:trPr>
        <w:tc>
          <w:tcPr>
            <w:tcW w:w="735" w:type="pct"/>
            <w:vMerge/>
            <w:vAlign w:val="center"/>
          </w:tcPr>
          <w:p>
            <w:pPr>
              <w:spacing w:beforeLines="20" w:before="48" w:afterLines="20" w:after="48"/>
              <w:ind w:left="136"/>
              <w:jc w:val="left"/>
              <w:rPr>
                <w:noProof/>
                <w:sz w:val="16"/>
                <w:szCs w:val="16"/>
              </w:rPr>
            </w:pPr>
          </w:p>
        </w:tc>
        <w:tc>
          <w:tcPr>
            <w:tcW w:w="737" w:type="pct"/>
            <w:vAlign w:val="center"/>
          </w:tcPr>
          <w:p>
            <w:pPr>
              <w:spacing w:beforeLines="20" w:before="48" w:afterLines="20" w:after="48"/>
              <w:ind w:left="136"/>
              <w:jc w:val="left"/>
              <w:rPr>
                <w:noProof/>
                <w:sz w:val="16"/>
                <w:szCs w:val="16"/>
              </w:rPr>
            </w:pPr>
            <w:r>
              <w:rPr>
                <w:noProof/>
                <w:sz w:val="16"/>
                <w:szCs w:val="16"/>
              </w:rPr>
              <w:t xml:space="preserve">- a küldöttségeknél </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370"/>
        </w:trPr>
        <w:tc>
          <w:tcPr>
            <w:tcW w:w="735" w:type="pct"/>
            <w:vMerge w:val="restart"/>
            <w:vAlign w:val="center"/>
          </w:tcPr>
          <w:p>
            <w:pPr>
              <w:spacing w:beforeLines="20" w:before="48" w:afterLines="20" w:after="48"/>
              <w:ind w:left="136"/>
              <w:jc w:val="left"/>
              <w:rPr>
                <w:b/>
                <w:noProof/>
                <w:sz w:val="16"/>
                <w:szCs w:val="16"/>
              </w:rPr>
            </w:pPr>
            <w:r>
              <w:rPr>
                <w:noProof/>
                <w:sz w:val="16"/>
                <w:szCs w:val="16"/>
              </w:rPr>
              <w:t>A programkeretből finanszírozva</w:t>
            </w:r>
            <w:r>
              <w:rPr>
                <w:b/>
                <w:noProof/>
                <w:sz w:val="16"/>
                <w:szCs w:val="16"/>
              </w:rPr>
              <w:t xml:space="preserve"> </w:t>
            </w:r>
            <w:r>
              <w:rPr>
                <w:rStyle w:val="FootnoteReference"/>
                <w:noProof/>
              </w:rPr>
              <w:footnoteReference w:id="18"/>
            </w:r>
          </w:p>
        </w:tc>
        <w:tc>
          <w:tcPr>
            <w:tcW w:w="737" w:type="pct"/>
            <w:shd w:val="clear" w:color="auto" w:fill="auto"/>
            <w:vAlign w:val="center"/>
          </w:tcPr>
          <w:p>
            <w:pPr>
              <w:spacing w:beforeLines="20" w:before="48" w:afterLines="20" w:after="48"/>
              <w:ind w:left="136"/>
              <w:jc w:val="left"/>
              <w:rPr>
                <w:b/>
                <w:noProof/>
                <w:sz w:val="16"/>
                <w:szCs w:val="16"/>
              </w:rPr>
            </w:pPr>
            <w:r>
              <w:rPr>
                <w:noProof/>
                <w:sz w:val="16"/>
                <w:szCs w:val="16"/>
              </w:rPr>
              <w:t>- a központban</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289"/>
        </w:trPr>
        <w:tc>
          <w:tcPr>
            <w:tcW w:w="735" w:type="pct"/>
            <w:vMerge/>
          </w:tcPr>
          <w:p>
            <w:pPr>
              <w:spacing w:beforeLines="20" w:before="48" w:afterLines="20" w:after="48"/>
              <w:ind w:left="136"/>
              <w:jc w:val="left"/>
              <w:rPr>
                <w:b/>
                <w:noProof/>
                <w:sz w:val="16"/>
                <w:szCs w:val="16"/>
              </w:rPr>
            </w:pPr>
          </w:p>
        </w:tc>
        <w:tc>
          <w:tcPr>
            <w:tcW w:w="737" w:type="pct"/>
            <w:shd w:val="clear" w:color="auto" w:fill="auto"/>
            <w:vAlign w:val="center"/>
          </w:tcPr>
          <w:p>
            <w:pPr>
              <w:spacing w:beforeLines="20" w:before="48" w:afterLines="20" w:after="48"/>
              <w:ind w:left="136"/>
              <w:jc w:val="left"/>
              <w:rPr>
                <w:b/>
                <w:noProof/>
                <w:sz w:val="16"/>
                <w:szCs w:val="16"/>
              </w:rPr>
            </w:pPr>
            <w:r>
              <w:rPr>
                <w:noProof/>
                <w:sz w:val="16"/>
                <w:szCs w:val="16"/>
              </w:rPr>
              <w:t xml:space="preserve">- a küldöttségeknél </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289"/>
        </w:trPr>
        <w:tc>
          <w:tcPr>
            <w:tcW w:w="1472" w:type="pct"/>
            <w:gridSpan w:val="2"/>
          </w:tcPr>
          <w:p>
            <w:pPr>
              <w:spacing w:beforeLines="20" w:before="48" w:afterLines="20" w:after="48"/>
              <w:ind w:left="136"/>
              <w:jc w:val="left"/>
              <w:rPr>
                <w:noProof/>
                <w:sz w:val="16"/>
                <w:szCs w:val="16"/>
              </w:rPr>
            </w:pPr>
            <w:r>
              <w:rPr>
                <w:noProof/>
                <w:sz w:val="16"/>
                <w:szCs w:val="16"/>
              </w:rPr>
              <w:t>Egyéb: külső címzett bevétel (kutatás)</w:t>
            </w:r>
            <w:r>
              <w:rPr>
                <w:rStyle w:val="FootnoteReference"/>
                <w:noProof/>
                <w:sz w:val="16"/>
                <w:szCs w:val="16"/>
              </w:rPr>
              <w:footnoteReference w:id="19"/>
            </w:r>
            <w:r>
              <w:rPr>
                <w:noProof/>
                <w:sz w:val="16"/>
                <w:szCs w:val="16"/>
              </w:rPr>
              <w:t xml:space="preserve"> </w:t>
            </w:r>
          </w:p>
        </w:tc>
        <w:tc>
          <w:tcPr>
            <w:tcW w:w="466"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75</w:t>
            </w:r>
          </w:p>
        </w:tc>
        <w:tc>
          <w:tcPr>
            <w:tcW w:w="534"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75</w:t>
            </w:r>
          </w:p>
        </w:tc>
        <w:tc>
          <w:tcPr>
            <w:tcW w:w="466"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75</w:t>
            </w:r>
          </w:p>
        </w:tc>
        <w:tc>
          <w:tcPr>
            <w:tcW w:w="534"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60</w:t>
            </w:r>
          </w:p>
        </w:tc>
        <w:tc>
          <w:tcPr>
            <w:tcW w:w="533"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30</w:t>
            </w:r>
          </w:p>
        </w:tc>
        <w:tc>
          <w:tcPr>
            <w:tcW w:w="468"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20</w:t>
            </w:r>
          </w:p>
        </w:tc>
        <w:tc>
          <w:tcPr>
            <w:tcW w:w="527"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15</w:t>
            </w:r>
          </w:p>
        </w:tc>
      </w:tr>
      <w:tr>
        <w:trPr>
          <w:trHeight w:val="289"/>
        </w:trPr>
        <w:tc>
          <w:tcPr>
            <w:tcW w:w="1472" w:type="pct"/>
            <w:gridSpan w:val="2"/>
            <w:tcBorders>
              <w:bottom w:val="double" w:sz="4" w:space="0" w:color="auto"/>
            </w:tcBorders>
          </w:tcPr>
          <w:p>
            <w:pPr>
              <w:spacing w:beforeLines="20" w:before="48" w:afterLines="20" w:after="48"/>
              <w:ind w:left="134"/>
              <w:jc w:val="left"/>
              <w:rPr>
                <w:noProof/>
                <w:sz w:val="16"/>
                <w:szCs w:val="16"/>
              </w:rPr>
            </w:pPr>
            <w:r>
              <w:rPr>
                <w:noProof/>
                <w:sz w:val="16"/>
                <w:szCs w:val="16"/>
              </w:rPr>
              <w:t>Egyéb: külső címzett bevétel (nem kutatás) – NDICI</w:t>
            </w:r>
          </w:p>
        </w:tc>
        <w:tc>
          <w:tcPr>
            <w:tcW w:w="466"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150</w:t>
            </w:r>
          </w:p>
        </w:tc>
        <w:tc>
          <w:tcPr>
            <w:tcW w:w="534"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150</w:t>
            </w:r>
          </w:p>
        </w:tc>
        <w:tc>
          <w:tcPr>
            <w:tcW w:w="466"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150</w:t>
            </w:r>
          </w:p>
        </w:tc>
        <w:tc>
          <w:tcPr>
            <w:tcW w:w="534"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150</w:t>
            </w:r>
          </w:p>
        </w:tc>
        <w:tc>
          <w:tcPr>
            <w:tcW w:w="533"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150</w:t>
            </w:r>
          </w:p>
        </w:tc>
        <w:tc>
          <w:tcPr>
            <w:tcW w:w="468"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105</w:t>
            </w:r>
          </w:p>
        </w:tc>
        <w:tc>
          <w:tcPr>
            <w:tcW w:w="527"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105</w:t>
            </w:r>
          </w:p>
        </w:tc>
      </w:tr>
      <w:tr>
        <w:trPr>
          <w:trHeight w:val="289"/>
        </w:trPr>
        <w:tc>
          <w:tcPr>
            <w:tcW w:w="1472" w:type="pct"/>
            <w:gridSpan w:val="2"/>
            <w:tcBorders>
              <w:bottom w:val="double" w:sz="4" w:space="0" w:color="auto"/>
            </w:tcBorders>
          </w:tcPr>
          <w:p>
            <w:pPr>
              <w:spacing w:beforeLines="20" w:before="48" w:afterLines="20" w:after="48"/>
              <w:ind w:left="134"/>
              <w:jc w:val="left"/>
              <w:rPr>
                <w:noProof/>
                <w:sz w:val="16"/>
                <w:szCs w:val="16"/>
              </w:rPr>
            </w:pPr>
            <w:r>
              <w:rPr>
                <w:noProof/>
                <w:sz w:val="16"/>
                <w:szCs w:val="16"/>
              </w:rPr>
              <w:t>Egyéb: külső címzett bevétel (nem kutatás) – EMVA</w:t>
            </w:r>
          </w:p>
        </w:tc>
        <w:tc>
          <w:tcPr>
            <w:tcW w:w="466"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0</w:t>
            </w:r>
          </w:p>
        </w:tc>
        <w:tc>
          <w:tcPr>
            <w:tcW w:w="534"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9</w:t>
            </w:r>
          </w:p>
        </w:tc>
        <w:tc>
          <w:tcPr>
            <w:tcW w:w="466"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9</w:t>
            </w:r>
          </w:p>
        </w:tc>
        <w:tc>
          <w:tcPr>
            <w:tcW w:w="534"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9</w:t>
            </w:r>
          </w:p>
        </w:tc>
        <w:tc>
          <w:tcPr>
            <w:tcW w:w="533"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9</w:t>
            </w:r>
          </w:p>
        </w:tc>
        <w:tc>
          <w:tcPr>
            <w:tcW w:w="468"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9</w:t>
            </w:r>
          </w:p>
        </w:tc>
        <w:tc>
          <w:tcPr>
            <w:tcW w:w="527" w:type="pct"/>
            <w:tcBorders>
              <w:bottom w:val="double" w:sz="4" w:space="0" w:color="auto"/>
            </w:tcBorders>
            <w:shd w:val="clear" w:color="auto" w:fill="auto"/>
            <w:vAlign w:val="center"/>
          </w:tcPr>
          <w:p>
            <w:pPr>
              <w:spacing w:beforeLines="20" w:before="48" w:afterLines="20" w:after="48"/>
              <w:jc w:val="center"/>
              <w:rPr>
                <w:noProof/>
                <w:sz w:val="16"/>
                <w:szCs w:val="16"/>
              </w:rPr>
            </w:pPr>
          </w:p>
        </w:tc>
      </w:tr>
      <w:tr>
        <w:trPr>
          <w:trHeight w:val="289"/>
        </w:trPr>
        <w:tc>
          <w:tcPr>
            <w:tcW w:w="1472" w:type="pct"/>
            <w:gridSpan w:val="2"/>
            <w:tcBorders>
              <w:top w:val="double" w:sz="4" w:space="0" w:color="auto"/>
            </w:tcBorders>
          </w:tcPr>
          <w:p>
            <w:pPr>
              <w:spacing w:beforeLines="20" w:before="48" w:afterLines="20" w:after="48"/>
              <w:ind w:left="136"/>
              <w:jc w:val="left"/>
              <w:rPr>
                <w:noProof/>
                <w:sz w:val="16"/>
                <w:szCs w:val="16"/>
              </w:rPr>
            </w:pPr>
            <w:r>
              <w:rPr>
                <w:b/>
                <w:noProof/>
                <w:sz w:val="16"/>
                <w:szCs w:val="16"/>
              </w:rPr>
              <w:t>ÖSSZESEN</w:t>
            </w:r>
          </w:p>
        </w:tc>
        <w:tc>
          <w:tcPr>
            <w:tcW w:w="466" w:type="pct"/>
            <w:tcBorders>
              <w:top w:val="double" w:sz="4" w:space="0" w:color="auto"/>
            </w:tcBorders>
            <w:shd w:val="clear" w:color="auto" w:fill="auto"/>
          </w:tcPr>
          <w:p>
            <w:pPr>
              <w:spacing w:beforeLines="20" w:before="48" w:afterLines="20" w:after="48"/>
              <w:rPr>
                <w:b/>
                <w:noProof/>
                <w:sz w:val="16"/>
                <w:szCs w:val="16"/>
              </w:rPr>
            </w:pPr>
            <w:r>
              <w:rPr>
                <w:noProof/>
              </w:rPr>
              <w:t>225</w:t>
            </w:r>
          </w:p>
        </w:tc>
        <w:tc>
          <w:tcPr>
            <w:tcW w:w="534" w:type="pct"/>
            <w:tcBorders>
              <w:top w:val="double" w:sz="4" w:space="0" w:color="auto"/>
            </w:tcBorders>
            <w:shd w:val="clear" w:color="auto" w:fill="auto"/>
          </w:tcPr>
          <w:p>
            <w:pPr>
              <w:spacing w:beforeLines="20" w:before="48" w:afterLines="20" w:after="48"/>
              <w:rPr>
                <w:b/>
                <w:noProof/>
                <w:sz w:val="16"/>
                <w:szCs w:val="16"/>
              </w:rPr>
            </w:pPr>
            <w:r>
              <w:rPr>
                <w:noProof/>
              </w:rPr>
              <w:t>234</w:t>
            </w:r>
          </w:p>
        </w:tc>
        <w:tc>
          <w:tcPr>
            <w:tcW w:w="466" w:type="pct"/>
            <w:tcBorders>
              <w:top w:val="double" w:sz="4" w:space="0" w:color="auto"/>
            </w:tcBorders>
            <w:shd w:val="clear" w:color="auto" w:fill="auto"/>
          </w:tcPr>
          <w:p>
            <w:pPr>
              <w:spacing w:beforeLines="20" w:before="48" w:afterLines="20" w:after="48"/>
              <w:rPr>
                <w:b/>
                <w:noProof/>
                <w:sz w:val="16"/>
                <w:szCs w:val="16"/>
              </w:rPr>
            </w:pPr>
            <w:r>
              <w:rPr>
                <w:noProof/>
              </w:rPr>
              <w:t>234</w:t>
            </w:r>
          </w:p>
        </w:tc>
        <w:tc>
          <w:tcPr>
            <w:tcW w:w="534" w:type="pct"/>
            <w:tcBorders>
              <w:top w:val="double" w:sz="4" w:space="0" w:color="auto"/>
            </w:tcBorders>
            <w:shd w:val="clear" w:color="auto" w:fill="auto"/>
          </w:tcPr>
          <w:p>
            <w:pPr>
              <w:spacing w:beforeLines="20" w:before="48" w:afterLines="20" w:after="48"/>
              <w:rPr>
                <w:b/>
                <w:noProof/>
                <w:sz w:val="16"/>
                <w:szCs w:val="16"/>
              </w:rPr>
            </w:pPr>
            <w:r>
              <w:rPr>
                <w:noProof/>
              </w:rPr>
              <w:t>219</w:t>
            </w:r>
          </w:p>
        </w:tc>
        <w:tc>
          <w:tcPr>
            <w:tcW w:w="533" w:type="pct"/>
            <w:tcBorders>
              <w:top w:val="double" w:sz="4" w:space="0" w:color="auto"/>
            </w:tcBorders>
            <w:shd w:val="clear" w:color="auto" w:fill="auto"/>
          </w:tcPr>
          <w:p>
            <w:pPr>
              <w:spacing w:beforeLines="20" w:before="48" w:afterLines="20" w:after="48"/>
              <w:rPr>
                <w:b/>
                <w:noProof/>
                <w:sz w:val="16"/>
                <w:szCs w:val="16"/>
              </w:rPr>
            </w:pPr>
            <w:r>
              <w:rPr>
                <w:noProof/>
              </w:rPr>
              <w:t>189</w:t>
            </w:r>
          </w:p>
        </w:tc>
        <w:tc>
          <w:tcPr>
            <w:tcW w:w="468" w:type="pct"/>
            <w:tcBorders>
              <w:top w:val="double" w:sz="4" w:space="0" w:color="auto"/>
            </w:tcBorders>
            <w:shd w:val="clear" w:color="auto" w:fill="auto"/>
          </w:tcPr>
          <w:p>
            <w:pPr>
              <w:spacing w:beforeLines="20" w:before="48" w:afterLines="20" w:after="48"/>
              <w:rPr>
                <w:b/>
                <w:noProof/>
                <w:sz w:val="16"/>
                <w:szCs w:val="16"/>
              </w:rPr>
            </w:pPr>
            <w:r>
              <w:rPr>
                <w:noProof/>
              </w:rPr>
              <w:t>134</w:t>
            </w:r>
          </w:p>
        </w:tc>
        <w:tc>
          <w:tcPr>
            <w:tcW w:w="527" w:type="pct"/>
            <w:tcBorders>
              <w:top w:val="double" w:sz="4" w:space="0" w:color="auto"/>
            </w:tcBorders>
            <w:shd w:val="clear" w:color="auto" w:fill="auto"/>
          </w:tcPr>
          <w:p>
            <w:pPr>
              <w:spacing w:beforeLines="20" w:before="48" w:afterLines="20" w:after="48"/>
              <w:rPr>
                <w:b/>
                <w:noProof/>
                <w:sz w:val="16"/>
                <w:szCs w:val="16"/>
              </w:rPr>
            </w:pPr>
            <w:r>
              <w:rPr>
                <w:noProof/>
              </w:rPr>
              <w:t>120</w:t>
            </w:r>
          </w:p>
        </w:tc>
      </w:tr>
    </w:tbl>
    <w:p>
      <w:pPr>
        <w:ind w:left="850"/>
        <w:rPr>
          <w:noProof/>
          <w:sz w:val="18"/>
          <w:szCs w:val="18"/>
        </w:rPr>
      </w:pPr>
      <w:r>
        <w:rPr>
          <w:noProof/>
          <w:sz w:val="18"/>
          <w:szCs w:val="18"/>
        </w:rPr>
        <w:t xml:space="preserve">A humánerőforrás-igényeknek az adott főigazgatóság rendelkezésére álló, az intézkedés irányításához rendelt és/vagy az adott főigazgatóságon belül átcsoportosított személyzettel kell eleget tenni. A források adott esetben a meglévő költségvetési korlátok betartása mellett kiegészíthetők az éves elosztási eljárás keretében az irányító </w:t>
      </w:r>
      <w:r>
        <w:rPr>
          <w:noProof/>
          <w:sz w:val="18"/>
          <w:szCs w:val="18"/>
        </w:rPr>
        <w:lastRenderedPageBreak/>
        <w:t>főigazgatósághoz rendelt további allokációkkal.</w:t>
      </w:r>
      <w:r>
        <w:rPr>
          <w:noProof/>
        </w:rPr>
        <w:t xml:space="preserve"> </w:t>
      </w:r>
      <w:r>
        <w:rPr>
          <w:noProof/>
          <w:sz w:val="18"/>
          <w:szCs w:val="18"/>
        </w:rPr>
        <w:t>Kiegészítő személyzet csak külső munkatárs lesz, kizárólag címzett bevételekből finanszírozva.</w:t>
      </w:r>
    </w:p>
    <w:p>
      <w:pPr>
        <w:rPr>
          <w:noProof/>
          <w:sz w:val="20"/>
        </w:rPr>
      </w:pPr>
      <w:r>
        <w:rPr>
          <w:noProof/>
          <w:sz w:val="20"/>
        </w:rPr>
        <w:t>Az elvégzendő feladatok leírása:</w:t>
      </w:r>
    </w:p>
    <w:tbl>
      <w:tblPr>
        <w:tblW w:w="10632" w:type="dxa"/>
        <w:tblInd w:w="-60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392"/>
      </w:tblGrid>
      <w:tr>
        <w:tc>
          <w:tcPr>
            <w:tcW w:w="3240" w:type="dxa"/>
          </w:tcPr>
          <w:p>
            <w:pPr>
              <w:spacing w:before="60" w:after="60"/>
              <w:rPr>
                <w:noProof/>
                <w:sz w:val="20"/>
              </w:rPr>
            </w:pPr>
            <w:r>
              <w:rPr>
                <w:noProof/>
                <w:sz w:val="20"/>
              </w:rPr>
              <w:t>Külső munkatársak</w:t>
            </w:r>
          </w:p>
        </w:tc>
        <w:tc>
          <w:tcPr>
            <w:tcW w:w="7392" w:type="dxa"/>
          </w:tcPr>
          <w:p>
            <w:pPr>
              <w:rPr>
                <w:noProof/>
                <w:sz w:val="20"/>
              </w:rPr>
            </w:pPr>
            <w:r>
              <w:rPr>
                <w:noProof/>
                <w:sz w:val="20"/>
              </w:rPr>
              <w:t>A külső személyzet a tisztviselőket és az ideiglenes alkalmazottakat fogja segíteni az ERI-rendeletben szereplő, és az érintett programok keretében végrehajtandó intézkedések megvalósításához való hozzájárulásban.</w:t>
            </w:r>
          </w:p>
        </w:tc>
      </w:tr>
    </w:tbl>
    <w:p>
      <w:pPr>
        <w:rPr>
          <w:noProof/>
        </w:rPr>
        <w:sectPr>
          <w:headerReference w:type="default" r:id="rId20"/>
          <w:footerReference w:type="default" r:id="rId21"/>
          <w:headerReference w:type="first" r:id="rId22"/>
          <w:footerReference w:type="first" r:id="rId23"/>
          <w:pgSz w:w="11907" w:h="16840"/>
          <w:pgMar w:top="1134" w:right="1418" w:bottom="1134" w:left="1418" w:header="709" w:footer="709" w:gutter="0"/>
          <w:cols w:space="708"/>
          <w:docGrid w:linePitch="360"/>
        </w:sectPr>
      </w:pPr>
    </w:p>
    <w:p>
      <w:pPr>
        <w:rPr>
          <w:noProof/>
        </w:rPr>
      </w:pPr>
    </w:p>
    <w:p>
      <w:pPr>
        <w:keepNext/>
        <w:outlineLvl w:val="1"/>
        <w:rPr>
          <w:rFonts w:eastAsiaTheme="majorEastAsia"/>
          <w:b/>
          <w:noProof/>
          <w:szCs w:val="24"/>
        </w:rPr>
      </w:pPr>
      <w:bookmarkStart w:id="58" w:name="_Toc514941995"/>
      <w:bookmarkStart w:id="59" w:name="_Toc40376080"/>
      <w:r>
        <w:rPr>
          <w:b/>
          <w:bCs/>
          <w:noProof/>
          <w:szCs w:val="26"/>
        </w:rPr>
        <w:t>A bevételre gyakorolt becsült hatás</w:t>
      </w:r>
      <w:bookmarkEnd w:id="58"/>
      <w:bookmarkEnd w:id="59"/>
      <w:r>
        <w:rPr>
          <w:b/>
          <w:bCs/>
          <w:noProof/>
          <w:szCs w:val="26"/>
        </w:rPr>
        <w:t xml:space="preserve"> </w:t>
      </w:r>
    </w:p>
    <w:p>
      <w:pPr>
        <w:rPr>
          <w:rFonts w:eastAsia="Times New Roman"/>
          <w:noProof/>
        </w:rPr>
      </w:pPr>
      <w:r>
        <w:rPr>
          <w:noProof/>
        </w:rPr>
        <w:t>X</w:t>
      </w:r>
      <w:r>
        <w:rPr>
          <w:noProof/>
        </w:rPr>
        <w:tab/>
        <w:t>A javaslatnak/kezdeményezésnek nincs pénzügyi hatása a bevételre.</w:t>
      </w:r>
    </w:p>
    <w:p>
      <w:pPr>
        <w:rPr>
          <w:rFonts w:eastAsia="Times New Roman"/>
          <w:noProof/>
        </w:rPr>
      </w:pPr>
      <w:r>
        <w:rPr>
          <w:noProof/>
        </w:rPr>
        <w:sym w:font="Wingdings" w:char="F0A8"/>
      </w:r>
      <w:r>
        <w:rPr>
          <w:noProof/>
        </w:rPr>
        <w:tab/>
        <w:t>A javaslatnak/kezdeményezésnek van pénzügyi hatása – a bevételre gyakorolt hatása a következő:</w:t>
      </w:r>
    </w:p>
    <w:p>
      <w:pPr>
        <w:ind w:left="2126" w:hanging="709"/>
        <w:rPr>
          <w:rFonts w:eastAsia="Times New Roman"/>
          <w:noProof/>
        </w:rPr>
      </w:pPr>
      <w:r>
        <w:rPr>
          <w:noProof/>
        </w:rPr>
        <w:sym w:font="Wingdings" w:char="F0A8"/>
      </w:r>
      <w:r>
        <w:rPr>
          <w:noProof/>
        </w:rPr>
        <w:tab/>
        <w:t xml:space="preserve">a javaslat a saját forrásokra gyakorol hatást </w:t>
      </w:r>
    </w:p>
    <w:p>
      <w:pPr>
        <w:ind w:left="2126" w:hanging="709"/>
        <w:rPr>
          <w:rFonts w:eastAsia="Times New Roman"/>
          <w:noProof/>
        </w:rPr>
      </w:pPr>
      <w:r>
        <w:rPr>
          <w:noProof/>
        </w:rPr>
        <w:sym w:font="Wingdings" w:char="F0A8"/>
      </w:r>
      <w:r>
        <w:rPr>
          <w:noProof/>
        </w:rPr>
        <w:tab/>
        <w:t>a javaslat az egyéb bevételekre gyakorol hatást</w:t>
      </w:r>
    </w:p>
    <w:p>
      <w:pPr>
        <w:rPr>
          <w:noProof/>
        </w:rPr>
      </w:pPr>
      <w:r>
        <w:rPr>
          <w:noProof/>
        </w:rPr>
        <w:t>kérjük adja meg, hogy a bevétel kiadási sorhoz van-e rendelve X</w:t>
      </w:r>
      <w:r>
        <w:rPr>
          <w:noProof/>
        </w:rPr>
        <w:tab/>
      </w:r>
    </w:p>
    <w:p>
      <w:pPr>
        <w:jc w:val="right"/>
        <w:rPr>
          <w:i/>
          <w:noProof/>
          <w:sz w:val="20"/>
        </w:rPr>
      </w:pPr>
      <w:r>
        <w:rPr>
          <w:noProof/>
        </w:rPr>
        <w:t>millió EUR (három tizedesjegyig)</w:t>
      </w:r>
    </w:p>
    <w:tbl>
      <w:tblPr>
        <w:tblW w:w="9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080"/>
        <w:gridCol w:w="900"/>
        <w:gridCol w:w="900"/>
        <w:gridCol w:w="1080"/>
        <w:gridCol w:w="1080"/>
        <w:gridCol w:w="1080"/>
        <w:gridCol w:w="1080"/>
      </w:tblGrid>
      <w:tr>
        <w:trPr>
          <w:trHeight w:val="388"/>
          <w:jc w:val="center"/>
        </w:trPr>
        <w:tc>
          <w:tcPr>
            <w:tcW w:w="2144" w:type="dxa"/>
            <w:vMerge w:val="restart"/>
            <w:vAlign w:val="center"/>
          </w:tcPr>
          <w:p>
            <w:pPr>
              <w:spacing w:before="40" w:after="40"/>
              <w:rPr>
                <w:noProof/>
                <w:sz w:val="18"/>
              </w:rPr>
            </w:pPr>
            <w:r>
              <w:rPr>
                <w:noProof/>
                <w:sz w:val="18"/>
              </w:rPr>
              <w:t>Bevételi költségvetési sor:</w:t>
            </w:r>
          </w:p>
        </w:tc>
        <w:tc>
          <w:tcPr>
            <w:tcW w:w="7200" w:type="dxa"/>
            <w:gridSpan w:val="7"/>
            <w:vAlign w:val="center"/>
          </w:tcPr>
          <w:p>
            <w:pPr>
              <w:jc w:val="center"/>
              <w:rPr>
                <w:noProof/>
                <w:sz w:val="18"/>
              </w:rPr>
            </w:pPr>
            <w:r>
              <w:rPr>
                <w:noProof/>
                <w:sz w:val="18"/>
              </w:rPr>
              <w:t>A javaslat/kezdeményezés hatása</w:t>
            </w:r>
            <w:r>
              <w:rPr>
                <w:rStyle w:val="FootnoteReference"/>
                <w:noProof/>
              </w:rPr>
              <w:footnoteReference w:id="20"/>
            </w:r>
          </w:p>
        </w:tc>
      </w:tr>
      <w:tr>
        <w:trPr>
          <w:trHeight w:val="388"/>
          <w:jc w:val="center"/>
        </w:trPr>
        <w:tc>
          <w:tcPr>
            <w:tcW w:w="2144" w:type="dxa"/>
            <w:vMerge/>
          </w:tcPr>
          <w:p>
            <w:pPr>
              <w:spacing w:before="40" w:after="40"/>
              <w:rPr>
                <w:noProof/>
                <w:sz w:val="18"/>
              </w:rPr>
            </w:pPr>
          </w:p>
        </w:tc>
        <w:tc>
          <w:tcPr>
            <w:tcW w:w="1080" w:type="dxa"/>
            <w:vAlign w:val="center"/>
          </w:tcPr>
          <w:p>
            <w:pPr>
              <w:jc w:val="center"/>
              <w:rPr>
                <w:noProof/>
                <w:sz w:val="18"/>
              </w:rPr>
            </w:pPr>
            <w:r>
              <w:rPr>
                <w:b/>
                <w:noProof/>
                <w:sz w:val="20"/>
              </w:rPr>
              <w:t>2021</w:t>
            </w:r>
          </w:p>
        </w:tc>
        <w:tc>
          <w:tcPr>
            <w:tcW w:w="900" w:type="dxa"/>
            <w:vAlign w:val="center"/>
          </w:tcPr>
          <w:p>
            <w:pPr>
              <w:jc w:val="center"/>
              <w:rPr>
                <w:b/>
                <w:noProof/>
                <w:sz w:val="20"/>
              </w:rPr>
            </w:pPr>
            <w:r>
              <w:rPr>
                <w:b/>
                <w:noProof/>
                <w:sz w:val="20"/>
              </w:rPr>
              <w:t>2022</w:t>
            </w:r>
          </w:p>
        </w:tc>
        <w:tc>
          <w:tcPr>
            <w:tcW w:w="900" w:type="dxa"/>
            <w:vAlign w:val="center"/>
          </w:tcPr>
          <w:p>
            <w:pPr>
              <w:jc w:val="center"/>
              <w:rPr>
                <w:b/>
                <w:noProof/>
                <w:sz w:val="20"/>
              </w:rPr>
            </w:pPr>
            <w:r>
              <w:rPr>
                <w:b/>
                <w:noProof/>
                <w:sz w:val="20"/>
              </w:rPr>
              <w:t>2023</w:t>
            </w:r>
          </w:p>
        </w:tc>
        <w:tc>
          <w:tcPr>
            <w:tcW w:w="1080" w:type="dxa"/>
            <w:vAlign w:val="center"/>
          </w:tcPr>
          <w:p>
            <w:pPr>
              <w:jc w:val="center"/>
              <w:rPr>
                <w:b/>
                <w:noProof/>
                <w:sz w:val="20"/>
              </w:rPr>
            </w:pPr>
            <w:r>
              <w:rPr>
                <w:b/>
                <w:noProof/>
                <w:sz w:val="20"/>
              </w:rPr>
              <w:t>2024</w:t>
            </w:r>
          </w:p>
        </w:tc>
        <w:tc>
          <w:tcPr>
            <w:tcW w:w="1080" w:type="dxa"/>
            <w:vAlign w:val="center"/>
          </w:tcPr>
          <w:p>
            <w:pPr>
              <w:jc w:val="center"/>
              <w:rPr>
                <w:b/>
                <w:noProof/>
                <w:sz w:val="20"/>
              </w:rPr>
            </w:pPr>
            <w:r>
              <w:rPr>
                <w:b/>
                <w:noProof/>
                <w:sz w:val="20"/>
              </w:rPr>
              <w:t>2025</w:t>
            </w:r>
          </w:p>
        </w:tc>
        <w:tc>
          <w:tcPr>
            <w:tcW w:w="1080" w:type="dxa"/>
            <w:vAlign w:val="center"/>
          </w:tcPr>
          <w:p>
            <w:pPr>
              <w:jc w:val="center"/>
              <w:rPr>
                <w:b/>
                <w:noProof/>
                <w:sz w:val="20"/>
              </w:rPr>
            </w:pPr>
            <w:r>
              <w:rPr>
                <w:b/>
                <w:noProof/>
                <w:sz w:val="20"/>
              </w:rPr>
              <w:t>2026</w:t>
            </w:r>
          </w:p>
        </w:tc>
        <w:tc>
          <w:tcPr>
            <w:tcW w:w="1080" w:type="dxa"/>
            <w:vAlign w:val="center"/>
          </w:tcPr>
          <w:p>
            <w:pPr>
              <w:jc w:val="center"/>
              <w:rPr>
                <w:b/>
                <w:noProof/>
                <w:sz w:val="20"/>
              </w:rPr>
            </w:pPr>
            <w:r>
              <w:rPr>
                <w:b/>
                <w:noProof/>
                <w:sz w:val="20"/>
              </w:rPr>
              <w:t>2027</w:t>
            </w:r>
          </w:p>
        </w:tc>
      </w:tr>
      <w:tr>
        <w:trPr>
          <w:trHeight w:val="388"/>
          <w:jc w:val="center"/>
        </w:trPr>
        <w:tc>
          <w:tcPr>
            <w:tcW w:w="2144" w:type="dxa"/>
            <w:vAlign w:val="center"/>
          </w:tcPr>
          <w:p>
            <w:pPr>
              <w:spacing w:before="40" w:after="40"/>
              <w:rPr>
                <w:noProof/>
                <w:sz w:val="18"/>
              </w:rPr>
            </w:pPr>
            <w:r>
              <w:rPr>
                <w:noProof/>
                <w:sz w:val="18"/>
              </w:rPr>
              <w:t>… jogcímcsoport</w:t>
            </w:r>
          </w:p>
        </w:tc>
        <w:tc>
          <w:tcPr>
            <w:tcW w:w="1080"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r>
    </w:tbl>
    <w:p>
      <w:pPr>
        <w:ind w:left="850"/>
        <w:rPr>
          <w:noProof/>
          <w:sz w:val="20"/>
          <w:szCs w:val="20"/>
        </w:rPr>
      </w:pPr>
      <w:r>
        <w:rPr>
          <w:noProof/>
          <w:sz w:val="20"/>
          <w:szCs w:val="20"/>
        </w:rPr>
        <w:t>A címzett bevételek esetében tüntesse fel az érintett kiadáshoz tartozó költségvetési sor(oka)t.</w:t>
      </w:r>
    </w:p>
    <w:p>
      <w:pPr>
        <w:ind w:left="850"/>
        <w:rPr>
          <w:noProof/>
        </w:rPr>
      </w:pPr>
      <w:r>
        <w:rPr>
          <w:noProof/>
        </w:rPr>
        <w:t>[…]</w:t>
      </w:r>
    </w:p>
    <w:p>
      <w:pPr>
        <w:ind w:left="850"/>
        <w:rPr>
          <w:noProof/>
          <w:sz w:val="16"/>
          <w:szCs w:val="16"/>
        </w:rPr>
      </w:pPr>
      <w:r>
        <w:rPr>
          <w:noProof/>
          <w:sz w:val="20"/>
          <w:szCs w:val="20"/>
        </w:rPr>
        <w:t>Egyéb megjegyzések (pl. a bevételre gyakorolt hatás számítására használt módszer/képlet vagy egyéb más információ).</w:t>
      </w:r>
      <w:r>
        <w:rPr>
          <w:noProof/>
          <w:sz w:val="16"/>
          <w:szCs w:val="16"/>
        </w:rPr>
        <w:t xml:space="preserve"> </w:t>
      </w:r>
    </w:p>
    <w:p>
      <w:pPr>
        <w:ind w:left="850"/>
        <w:rPr>
          <w:noProof/>
        </w:rPr>
      </w:pPr>
      <w:r>
        <w:rPr>
          <w:noProof/>
        </w:rPr>
        <w:t>[…]</w:t>
      </w:r>
    </w:p>
    <w:p>
      <w:pPr>
        <w:keepNext/>
        <w:rPr>
          <w:noProof/>
        </w:rPr>
      </w:pPr>
    </w:p>
    <w:p>
      <w:pPr>
        <w:rPr>
          <w:noProof/>
        </w:rPr>
      </w:pPr>
    </w:p>
    <w:sectPr>
      <w:pgSz w:w="11907" w:h="16840" w:code="9"/>
      <w:pgMar w:top="1134" w:right="1418" w:bottom="1134"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EUAlbertina">
    <w:altName w:val="EU 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HU</w:t>
    </w:r>
    <w:r>
      <w:rPr>
        <w:rFonts w:ascii="Arial" w:hAnsi="Arial" w:cs="Arial"/>
        <w:b/>
        <w:sz w:val="48"/>
      </w:rPr>
      <w:tab/>
    </w:r>
    <w:r>
      <w:rPr>
        <w:rFonts w:ascii="Arial" w:hAnsi="Arial" w:cs="Arial"/>
        <w:b/>
        <w:sz w:val="48"/>
      </w:rPr>
      <w:tab/>
    </w:r>
    <w:r>
      <w:tab/>
    </w:r>
    <w:r>
      <w:rPr>
        <w:rFonts w:ascii="Arial" w:hAnsi="Arial" w:cs="Arial"/>
        <w:b/>
        <w:sz w:val="48"/>
      </w:rPr>
      <w:t>HU</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HU</w:t>
    </w:r>
    <w:r>
      <w:rPr>
        <w:rFonts w:ascii="Arial" w:hAnsi="Arial" w:cs="Arial"/>
        <w:b/>
        <w:sz w:val="48"/>
      </w:rPr>
      <w:tab/>
    </w:r>
    <w:r>
      <w:fldChar w:fldCharType="begin"/>
    </w:r>
    <w:r>
      <w:instrText xml:space="preserve"> PAGE  \* MERGEFORMAT </w:instrText>
    </w:r>
    <w:r>
      <w:fldChar w:fldCharType="separate"/>
    </w:r>
    <w:r>
      <w:rPr>
        <w:noProof/>
      </w:rPr>
      <w:t>15</w:t>
    </w:r>
    <w:r>
      <w:fldChar w:fldCharType="end"/>
    </w:r>
    <w:r>
      <w:tab/>
    </w:r>
    <w:r>
      <w:tab/>
    </w:r>
    <w:r>
      <w:rPr>
        <w:rFonts w:ascii="Arial" w:hAnsi="Arial" w:cs="Arial"/>
        <w:b/>
        <w:sz w:val="48"/>
      </w:rPr>
      <w:t>HU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HU</w:t>
    </w:r>
    <w:r>
      <w:rPr>
        <w:rFonts w:ascii="Arial" w:hAnsi="Arial" w:cs="Arial"/>
        <w:b/>
        <w:sz w:val="48"/>
      </w:rPr>
      <w:tab/>
    </w:r>
    <w:r>
      <w:fldChar w:fldCharType="begin"/>
    </w:r>
    <w:r>
      <w:instrText xml:space="preserve"> PAGE  \* MERGEFORMAT </w:instrText>
    </w:r>
    <w:r>
      <w:fldChar w:fldCharType="separate"/>
    </w:r>
    <w:r>
      <w:rPr>
        <w:noProof/>
      </w:rPr>
      <w:t>19</w:t>
    </w:r>
    <w:r>
      <w:fldChar w:fldCharType="end"/>
    </w:r>
    <w:r>
      <w:tab/>
    </w:r>
    <w:r>
      <w:tab/>
    </w:r>
    <w:r>
      <w:rPr>
        <w:rFonts w:ascii="Arial" w:hAnsi="Arial" w:cs="Arial"/>
        <w:b/>
        <w:sz w:val="48"/>
      </w:rPr>
      <w:t>HU</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HU</w:t>
    </w:r>
    <w:r>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tab/>
    </w:r>
    <w:r>
      <w:rPr>
        <w:rFonts w:ascii="Arial" w:hAnsi="Arial" w:cs="Arial"/>
        <w:b/>
        <w:sz w:val="48"/>
      </w:rPr>
      <w:t>HU</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pPr>
      <w:r>
        <w:rPr>
          <w:rStyle w:val="FootnoteReference"/>
        </w:rPr>
        <w:footnoteRef/>
      </w:r>
      <w:r>
        <w:tab/>
        <w:t>European Economic Forecast, Institutional Paper 125. 2020. május.</w:t>
      </w:r>
    </w:p>
  </w:footnote>
  <w:footnote w:id="3">
    <w:p>
      <w:pPr>
        <w:pStyle w:val="FootnoteText"/>
        <w:rPr>
          <w:szCs w:val="24"/>
        </w:rPr>
      </w:pPr>
      <w:r>
        <w:rPr>
          <w:rStyle w:val="FootnoteReference"/>
        </w:rPr>
        <w:footnoteRef/>
      </w:r>
      <w:r>
        <w:tab/>
        <w:t>A költségvetési rendelet 58. cikke (2) bekezdésének a) vagy b) pontja szerint.</w:t>
      </w:r>
    </w:p>
  </w:footnote>
  <w:footnote w:id="4">
    <w:p>
      <w:pPr>
        <w:pStyle w:val="FootnoteText"/>
      </w:pPr>
      <w:r>
        <w:rPr>
          <w:rStyle w:val="FootnoteReference"/>
        </w:rPr>
        <w:footnoteRef/>
      </w:r>
      <w:r>
        <w:tab/>
        <w:t>COM(2017) 720 final.</w:t>
      </w:r>
    </w:p>
  </w:footnote>
  <w:footnote w:id="5">
    <w:p>
      <w:pPr>
        <w:pStyle w:val="FootnoteText"/>
        <w:jc w:val="left"/>
        <w:rPr>
          <w:szCs w:val="24"/>
        </w:rPr>
      </w:pPr>
      <w:r>
        <w:rPr>
          <w:rStyle w:val="FootnoteReference"/>
        </w:rPr>
        <w:footnoteRef/>
      </w:r>
      <w:r>
        <w:tab/>
        <w:t xml:space="preserve">Az egyes irányítási módszerek ismertetése, valamint a költségvetési rendeletre való megfelelő hivatkozások megtalálhatók a BudgWeb oldalon: </w:t>
      </w:r>
      <w:hyperlink r:id="rId1" w:history="1">
        <w:r>
          <w:rPr>
            <w:rStyle w:val="Hyperlink"/>
          </w:rPr>
          <w:t>https://myintracomm.ec.europa.eu/budgweb/EN/man/budgmanag/Pages/budgmanag.aspx</w:t>
        </w:r>
      </w:hyperlink>
      <w:r>
        <w:t xml:space="preserve"> </w:t>
      </w:r>
    </w:p>
  </w:footnote>
  <w:footnote w:id="6">
    <w:p>
      <w:pPr>
        <w:pStyle w:val="FootnoteText"/>
        <w:rPr>
          <w:szCs w:val="24"/>
        </w:rPr>
      </w:pPr>
      <w:r>
        <w:rPr>
          <w:rStyle w:val="FootnoteReference"/>
        </w:rPr>
        <w:footnoteRef/>
      </w:r>
      <w:r>
        <w:tab/>
        <w:t>Diff. = Differenciált előirányzatok / Nem diff. = Nem differenciált előirányzatok.</w:t>
      </w:r>
    </w:p>
  </w:footnote>
  <w:footnote w:id="7">
    <w:p>
      <w:pPr>
        <w:pStyle w:val="FootnoteText"/>
        <w:rPr>
          <w:szCs w:val="24"/>
        </w:rPr>
      </w:pPr>
      <w:r>
        <w:rPr>
          <w:rStyle w:val="FootnoteReference"/>
        </w:rPr>
        <w:footnoteRef/>
      </w:r>
      <w:r>
        <w:tab/>
        <w:t xml:space="preserve">EFTA: Európai Szabadkereskedelmi Társulás. </w:t>
      </w:r>
    </w:p>
  </w:footnote>
  <w:footnote w:id="8">
    <w:p>
      <w:pPr>
        <w:pStyle w:val="FootnoteText"/>
      </w:pPr>
      <w:r>
        <w:rPr>
          <w:rStyle w:val="FootnoteReference"/>
        </w:rPr>
        <w:footnoteRef/>
      </w:r>
      <w:r>
        <w:tab/>
        <w:t>Tagjelölt országok és adott esetben a nyugat-balkáni potenciális tagjelöltek.</w:t>
      </w:r>
    </w:p>
  </w:footnote>
  <w:footnote w:id="9">
    <w:p>
      <w:pPr>
        <w:pStyle w:val="FootnoteText"/>
        <w:rPr>
          <w:szCs w:val="24"/>
        </w:rPr>
      </w:pPr>
      <w:r>
        <w:rPr>
          <w:rStyle w:val="FootnoteReference"/>
        </w:rPr>
        <w:footnoteRef/>
      </w:r>
      <w:r>
        <w:tab/>
        <w:t>Diff. = Differenciált előirányzatok / Nem diff. = Nem differenciált előirányzatok.</w:t>
      </w:r>
    </w:p>
  </w:footnote>
  <w:footnote w:id="10">
    <w:p>
      <w:pPr>
        <w:pStyle w:val="FootnoteText"/>
        <w:rPr>
          <w:szCs w:val="24"/>
        </w:rPr>
      </w:pPr>
      <w:r>
        <w:rPr>
          <w:rStyle w:val="FootnoteReference"/>
        </w:rPr>
        <w:footnoteRef/>
      </w:r>
      <w:r>
        <w:tab/>
        <w:t xml:space="preserve">EFTA: Európai Szabadkereskedelmi Társulás. </w:t>
      </w:r>
    </w:p>
  </w:footnote>
  <w:footnote w:id="11">
    <w:p>
      <w:pPr>
        <w:pStyle w:val="FootnoteText"/>
      </w:pPr>
      <w:r>
        <w:rPr>
          <w:rStyle w:val="FootnoteReference"/>
        </w:rPr>
        <w:footnoteRef/>
      </w:r>
      <w:r>
        <w:tab/>
        <w:t>Tagjelölt országok és adott esetben a nyugat-balkáni potenciális tagjelöltek.</w:t>
      </w:r>
    </w:p>
  </w:footnote>
  <w:footnote w:id="12">
    <w:p>
      <w:pPr>
        <w:pStyle w:val="FootnoteText"/>
        <w:rPr>
          <w:szCs w:val="24"/>
        </w:rPr>
      </w:pPr>
      <w:r>
        <w:rPr>
          <w:rStyle w:val="FootnoteReference"/>
        </w:rPr>
        <w:footnoteRef/>
      </w:r>
      <w:r>
        <w:tab/>
        <w:t>Diff. = Differenciált előirányzatok / Nem diff. = Nem differenciált előirányzatok.</w:t>
      </w:r>
    </w:p>
  </w:footnote>
  <w:footnote w:id="13">
    <w:p>
      <w:pPr>
        <w:pStyle w:val="FootnoteText"/>
        <w:rPr>
          <w:szCs w:val="24"/>
        </w:rPr>
      </w:pPr>
      <w:r>
        <w:rPr>
          <w:rStyle w:val="FootnoteReference"/>
        </w:rPr>
        <w:footnoteRef/>
      </w:r>
      <w:r>
        <w:tab/>
        <w:t xml:space="preserve">EFTA: Európai Szabadkereskedelmi Társulás. </w:t>
      </w:r>
    </w:p>
  </w:footnote>
  <w:footnote w:id="14">
    <w:p>
      <w:pPr>
        <w:pStyle w:val="FootnoteText"/>
      </w:pPr>
      <w:r>
        <w:rPr>
          <w:rStyle w:val="FootnoteReference"/>
        </w:rPr>
        <w:footnoteRef/>
      </w:r>
      <w:r>
        <w:tab/>
        <w:t>Tagjelölt országok és adott esetben a nyugat-balkáni potenciális tagjelöltek.</w:t>
      </w:r>
    </w:p>
  </w:footnote>
  <w:footnote w:id="15">
    <w:p>
      <w:pPr>
        <w:pStyle w:val="FootnoteText"/>
      </w:pPr>
      <w:r>
        <w:rPr>
          <w:rStyle w:val="FootnoteReference"/>
        </w:rPr>
        <w:footnoteRef/>
      </w:r>
      <w:r>
        <w:tab/>
      </w:r>
      <w:r>
        <w:rPr>
          <w:i/>
        </w:rPr>
        <w:t>Az igazgatási kiadásokból finanszírozott olyan tékenységek, mint a végrehajtás nyomon követése – az auditot és a pénzügyi irányítást is beleértve – és a programok lezárási eljárásában való részvétel vonatkozásában 2027-ig lehet kötelezettségvállalásokat tenni (a részleteket lásd a fenti táblázatban).</w:t>
      </w:r>
    </w:p>
  </w:footnote>
  <w:footnote w:id="16">
    <w:p>
      <w:pPr>
        <w:pStyle w:val="FootnoteText"/>
        <w:rPr>
          <w:szCs w:val="24"/>
        </w:rPr>
      </w:pPr>
      <w:r>
        <w:rPr>
          <w:rStyle w:val="FootnoteReference"/>
        </w:rPr>
        <w:footnoteRef/>
      </w:r>
      <w:r>
        <w:tab/>
        <w:t>Technikai és/vagy igazgatási segítségnyújtás, valamint uniós programok és/vagy intézkedések végrehajtásához biztosított támogatási kiadások (korábban: BA-tételek), közvetett kutatás, közvetlen kutatás.</w:t>
      </w:r>
    </w:p>
  </w:footnote>
  <w:footnote w:id="17">
    <w:p>
      <w:pPr>
        <w:pStyle w:val="FootnoteText"/>
        <w:rPr>
          <w:szCs w:val="24"/>
        </w:rPr>
      </w:pPr>
      <w:r>
        <w:rPr>
          <w:rStyle w:val="FootnoteReference"/>
        </w:rPr>
        <w:footnoteRef/>
      </w:r>
      <w:r>
        <w:tab/>
        <w:t xml:space="preserve">AC = szerződéses alkalmazott; AL = helyi alkalmazott; END=kirendelt nemzeti szakértő; INT = kölcsönmunkaerő (átmeneti alkalmazott); JPD = küldöttségi pályakezdő szakértő. </w:t>
      </w:r>
    </w:p>
  </w:footnote>
  <w:footnote w:id="18">
    <w:p>
      <w:pPr>
        <w:pStyle w:val="FootnoteText"/>
        <w:rPr>
          <w:szCs w:val="24"/>
        </w:rPr>
      </w:pPr>
      <w:r>
        <w:rPr>
          <w:rStyle w:val="FootnoteReference"/>
        </w:rPr>
        <w:footnoteRef/>
      </w:r>
      <w:r>
        <w:tab/>
        <w:t>Az operatív előirányzatokból finanszírozott külső munkatársakra vonatkozó részleges felső határérték (korábban: BA-tételek).</w:t>
      </w:r>
    </w:p>
  </w:footnote>
  <w:footnote w:id="19">
    <w:p>
      <w:pPr>
        <w:pStyle w:val="FootnoteText"/>
      </w:pPr>
      <w:r>
        <w:rPr>
          <w:rStyle w:val="FootnoteReference"/>
        </w:rPr>
        <w:footnoteRef/>
      </w:r>
      <w:r>
        <w:tab/>
        <w:t>Ezek a becslések nem befolyásolják a végrehajtó ügynökségeknél jelentkező és címzett bevételekből finanszírozott, a forrásokra gyakorolt hatás alapos értékelésén alapuló kiegészítő személyiállomány-igényt.</w:t>
      </w:r>
    </w:p>
  </w:footnote>
  <w:footnote w:id="20">
    <w:p>
      <w:r>
        <w:rPr>
          <w:rStyle w:val="FootnoteReference"/>
        </w:rPr>
        <w:footnoteRef/>
      </w:r>
      <w:r>
        <w:tab/>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7C4850F8"/>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14C2BCF4"/>
    <w:lvl w:ilvl="0">
      <w:start w:val="1"/>
      <w:numFmt w:val="decimal"/>
      <w:pStyle w:val="ListNumber3"/>
      <w:lvlText w:val="%1."/>
      <w:lvlJc w:val="left"/>
      <w:pPr>
        <w:tabs>
          <w:tab w:val="num" w:pos="926"/>
        </w:tabs>
        <w:ind w:left="926" w:hanging="360"/>
      </w:pPr>
    </w:lvl>
  </w:abstractNum>
  <w:abstractNum w:abstractNumId="2">
    <w:nsid w:val="FFFFFF7F"/>
    <w:multiLevelType w:val="singleLevel"/>
    <w:tmpl w:val="EC4A51B4"/>
    <w:lvl w:ilvl="0">
      <w:start w:val="1"/>
      <w:numFmt w:val="decimal"/>
      <w:pStyle w:val="ListNumber2"/>
      <w:lvlText w:val="%1."/>
      <w:lvlJc w:val="left"/>
      <w:pPr>
        <w:tabs>
          <w:tab w:val="num" w:pos="643"/>
        </w:tabs>
        <w:ind w:left="643" w:hanging="360"/>
      </w:pPr>
    </w:lvl>
  </w:abstractNum>
  <w:abstractNum w:abstractNumId="3">
    <w:nsid w:val="FFFFFF81"/>
    <w:multiLevelType w:val="singleLevel"/>
    <w:tmpl w:val="C9F2EB6A"/>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BFC6B814"/>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7CFAF5DC"/>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3C085EEE"/>
    <w:lvl w:ilvl="0">
      <w:start w:val="1"/>
      <w:numFmt w:val="decimal"/>
      <w:pStyle w:val="ListNumber"/>
      <w:lvlText w:val="%1."/>
      <w:lvlJc w:val="left"/>
      <w:pPr>
        <w:tabs>
          <w:tab w:val="num" w:pos="360"/>
        </w:tabs>
        <w:ind w:left="360" w:hanging="360"/>
      </w:pPr>
    </w:lvl>
  </w:abstractNum>
  <w:abstractNum w:abstractNumId="7">
    <w:nsid w:val="FFFFFF89"/>
    <w:multiLevelType w:val="singleLevel"/>
    <w:tmpl w:val="1DEA1DBA"/>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6">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7">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9">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1">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3">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num>
  <w:num w:numId="15">
    <w:abstractNumId w:val="16"/>
  </w:num>
  <w:num w:numId="16">
    <w:abstractNumId w:val="15"/>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num>
  <w:num w:numId="20">
    <w:abstractNumId w:val="14"/>
    <w:lvlOverride w:ilvl="0">
      <w:startOverride w:val="1"/>
    </w:lvlOverride>
  </w:num>
  <w:num w:numId="21">
    <w:abstractNumId w:val="20"/>
  </w:num>
  <w:num w:numId="22">
    <w:abstractNumId w:val="12"/>
  </w:num>
  <w:num w:numId="23">
    <w:abstractNumId w:val="22"/>
  </w:num>
  <w:num w:numId="24">
    <w:abstractNumId w:val="11"/>
  </w:num>
  <w:num w:numId="25">
    <w:abstractNumId w:val="13"/>
  </w:num>
  <w:num w:numId="26">
    <w:abstractNumId w:val="9"/>
  </w:num>
  <w:num w:numId="27">
    <w:abstractNumId w:val="21"/>
  </w:num>
  <w:num w:numId="28">
    <w:abstractNumId w:val="8"/>
  </w:num>
  <w:num w:numId="29">
    <w:abstractNumId w:val="14"/>
  </w:num>
  <w:num w:numId="30">
    <w:abstractNumId w:val="18"/>
  </w:num>
  <w:num w:numId="31">
    <w:abstractNumId w:val="19"/>
  </w:num>
  <w:num w:numId="32">
    <w:abstractNumId w:val="10"/>
  </w:num>
  <w:num w:numId="33">
    <w:abstractNumId w:val="17"/>
  </w:num>
  <w:num w:numId="34">
    <w:abstractNumId w:val="23"/>
  </w:num>
  <w:num w:numId="35">
    <w:abstractNumId w:val="20"/>
    <w:lvlOverride w:ilvl="0">
      <w:startOverride w:val="1"/>
    </w:lvlOverride>
  </w:num>
  <w:num w:numId="36">
    <w:abstractNumId w:val="20"/>
  </w:num>
  <w:num w:numId="37">
    <w:abstractNumId w:val="12"/>
  </w:num>
  <w:num w:numId="38">
    <w:abstractNumId w:val="22"/>
  </w:num>
  <w:num w:numId="39">
    <w:abstractNumId w:val="11"/>
  </w:num>
  <w:num w:numId="40">
    <w:abstractNumId w:val="13"/>
  </w:num>
  <w:num w:numId="41">
    <w:abstractNumId w:val="9"/>
  </w:num>
  <w:num w:numId="42">
    <w:abstractNumId w:val="21"/>
  </w:num>
  <w:num w:numId="43">
    <w:abstractNumId w:val="8"/>
  </w:num>
  <w:num w:numId="44">
    <w:abstractNumId w:val="14"/>
  </w:num>
  <w:num w:numId="45">
    <w:abstractNumId w:val="18"/>
  </w:num>
  <w:num w:numId="46">
    <w:abstractNumId w:val="19"/>
  </w:num>
  <w:num w:numId="47">
    <w:abstractNumId w:val="10"/>
  </w:num>
  <w:num w:numId="48">
    <w:abstractNumId w:val="17"/>
  </w:num>
  <w:num w:numId="49">
    <w:abstractNumId w:val="2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attachedTemplate r:id="rId1"/>
  <w:revisionView w:markup="0"/>
  <w:defaultTabStop w:val="720"/>
  <w:hyphenationZone w:val="425"/>
  <w:characterSpacingControl w:val="doNotCompress"/>
  <w:hdrShapeDefaults>
    <o:shapedefaults v:ext="edit" spidmax="593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0-05-29 16:12:27"/>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66"/>
    <w:docVar w:name="DQCResult_ModifiedMarkers" w:val="0;0"/>
    <w:docVar w:name="DQCResult_ModifiedNumbering" w:val="0;0"/>
    <w:docVar w:name="DQCResult_Objects" w:val="0;0"/>
    <w:docVar w:name="DQCResult_Sections" w:val="0;1"/>
    <w:docVar w:name="DQCResult_StructureCheck" w:val="0;0"/>
    <w:docVar w:name="DQCResult_SuperfluousWhitespace" w:val="0;22"/>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FECEF74F-69CA-43EA-8EC6-98B1CE92FB91"/>
    <w:docVar w:name="LW_COVERPAGE_TYPE" w:val="1"/>
    <w:docVar w:name="LW_CROSSREFERENCE" w:val="&lt;UNUSED&gt;"/>
    <w:docVar w:name="LW_DocType" w:val="COM"/>
    <w:docVar w:name="LW_EMISSION" w:val="2020.5.29."/>
    <w:docVar w:name="LW_EMISSION_ISODATE" w:val="2020-05-29"/>
    <w:docVar w:name="LW_EMISSION_LOCATION" w:val="BRX"/>
    <w:docVar w:name="LW_EMISSION_PREFIX" w:val="Brüsszel, "/>
    <w:docVar w:name="LW_EMISSION_SUFFIX" w:val=" "/>
    <w:docVar w:name="LW_ID_DOCMODEL" w:val="SJ-023"/>
    <w:docVar w:name="LW_ID_DOCSIGNATURE" w:val="SJ-023"/>
    <w:docVar w:name="LW_ID_DOCSTRUCTURE" w:val="COM/PL/MOD"/>
    <w:docVar w:name="LW_ID_DOCTYPE" w:val="SG-005"/>
    <w:docVar w:name="LW_ID_EXP.MOTIFS.NEW" w:val="EM_PL_"/>
    <w:docVar w:name="LW_ID_STATUT" w:val="SG-005"/>
    <w:docVar w:name="LW_INTERETEEE.CP" w:val="&lt;UNUSED&gt;"/>
    <w:docVar w:name="LW_LANGUE" w:val="HU"/>
    <w:docVar w:name="LW_LEVEL_OF_SENSITIVITY" w:val="Standard treatment"/>
    <w:docVar w:name="LW_NOM.INST" w:val="EURÓPAI BIZOTTSÁG"/>
    <w:docVar w:name="LW_NOM.INST_JOINTDOC" w:val="&lt;EMPTY&gt;"/>
    <w:docVar w:name="LW_PART_NBR" w:val="1"/>
    <w:docVar w:name="LW_PART_NBR_TOTAL" w:val="1"/>
    <w:docVar w:name="LW_REF.II.NEW.CP" w:val="COD"/>
    <w:docVar w:name="LW_REF.II.NEW.CP_NUMBER" w:val="0224"/>
    <w:docVar w:name="LW_REF.II.NEW.CP_YEAR" w:val="2018"/>
    <w:docVar w:name="LW_REF.INST.NEW" w:val="COM"/>
    <w:docVar w:name="LW_REF.INST.NEW_ADOPTED" w:val="final"/>
    <w:docVar w:name="LW_REF.INST.NEW_TEXT" w:val="(2020) 45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Módosított javaslat"/>
    <w:docVar w:name="LW_SUPERTITRE" w:val="&lt;UNUSED&gt;"/>
    <w:docVar w:name="LW_TITRE.OBJ.CP" w:val="a Horizont Európa kutatási és innovációs keretprogram létrehozásáról, valamint részvételi és terjesztési szabályainak megállapításáról, _x000b_  _x000b_AZ EURÓPAI PARLAMENT ÉS A TANÁCS HATÁROZATA _x000b_a Horizont Európa kutatási és innovációs keretprogram végrehajtását szolgáló egyedi program létrehozásáról, _x000b_  _x000b_AZ EURÓPAI PARLAMENT ÉS A TANÁCS RENDELETE a Szomszédsági, Fejlesztési és Nemzetközi Együttm\u369?ködési Eszköz létrehozásáról, _x000b_ _x000b_AZ EURÓPAI PARLAMENT ÉS A TANÁCS RENDELETE a közös agrárpolitika keretében a tagállamok által elkészítend\u337? stratégiai tervhez (KAP-stratégiai terv) nyújtott, az Európai Mez\u337?gazdasági Garanciaalap (EMGA) és az Európai Mez\u337?gazdasági Vidékfejlesztési Alap (EMVA) által finanszírozott támogatásra vonatkozó szabályok megállapításáról, valamint az 1305/2013/EU európai parlamenti és tanácsi rendelet és az 1307/2013/EU európai parlamenti és tanácsi rendelet hatályon kívül helyezésér\u337?l"/>
    <w:docVar w:name="LW_TYPE.DOC.CP" w:val="AZ EURÓPAI PARLAMENT ÉS A TANÁCS RENDELETE"/>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hu-HU"/>
    </w:rPr>
  </w:style>
  <w:style w:type="paragraph" w:styleId="Heading1">
    <w:name w:val="heading 1"/>
    <w:basedOn w:val="Normal"/>
    <w:next w:val="Text1"/>
    <w:link w:val="Heading1Char"/>
    <w:uiPriority w:val="9"/>
    <w:qFormat/>
    <w:pPr>
      <w:keepNext/>
      <w:numPr>
        <w:numId w:val="4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2"/>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hu-HU"/>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hu-HU"/>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hu-HU"/>
    </w:rPr>
  </w:style>
  <w:style w:type="character" w:styleId="Hyperlink">
    <w:name w:val="Hyperlink"/>
    <w:basedOn w:val="DefaultParagraphFont"/>
    <w:uiPriority w:val="99"/>
    <w:unhideWhenUsed/>
    <w:rPr>
      <w:color w:val="0000FF" w:themeColor="hyperlink"/>
      <w:u w:val="single"/>
    </w:rPr>
  </w:style>
  <w:style w:type="paragraph" w:styleId="Revision">
    <w:name w:val="Revision"/>
    <w:hidden/>
    <w:uiPriority w:val="99"/>
    <w:semiHidden/>
    <w:pPr>
      <w:spacing w:after="0" w:line="240" w:lineRule="auto"/>
    </w:pPr>
    <w:rPr>
      <w:rFonts w:ascii="Times New Roman" w:hAnsi="Times New Roman" w:cs="Times New Roman"/>
      <w:sz w:val="24"/>
    </w:rPr>
  </w:style>
  <w:style w:type="character" w:customStyle="1" w:styleId="conf-macro">
    <w:name w:val="conf-macro"/>
    <w:basedOn w:val="DefaultParagraphFont"/>
  </w:style>
  <w:style w:type="paragraph" w:customStyle="1" w:styleId="ListDash1">
    <w:name w:val="List Dash 1"/>
    <w:basedOn w:val="Normal"/>
    <w:pPr>
      <w:numPr>
        <w:numId w:val="15"/>
      </w:numPr>
    </w:pPr>
    <w:rPr>
      <w:rFonts w:eastAsia="Times New Roman"/>
      <w:lang w:eastAsia="de-DE"/>
    </w:rPr>
  </w:style>
  <w:style w:type="paragraph" w:customStyle="1" w:styleId="ListDash2">
    <w:name w:val="List Dash 2"/>
    <w:basedOn w:val="Normal"/>
    <w:pPr>
      <w:numPr>
        <w:numId w:val="16"/>
      </w:numPr>
    </w:pPr>
    <w:rPr>
      <w:rFonts w:eastAsia="Times New Roman"/>
      <w:lang w:eastAsia="de-DE"/>
    </w:rPr>
  </w:style>
  <w:style w:type="paragraph" w:customStyle="1" w:styleId="ListNumberLevel2">
    <w:name w:val="List Number (Level 2)"/>
    <w:basedOn w:val="Normal"/>
    <w:pPr>
      <w:tabs>
        <w:tab w:val="num" w:pos="1417"/>
      </w:tabs>
      <w:ind w:left="1417" w:hanging="708"/>
    </w:pPr>
    <w:rPr>
      <w:rFonts w:eastAsia="Times New Roman"/>
      <w:lang w:eastAsia="de-DE"/>
    </w:rPr>
  </w:style>
  <w:style w:type="paragraph" w:customStyle="1" w:styleId="ListNumberLevel3">
    <w:name w:val="List Number (Level 3)"/>
    <w:basedOn w:val="Normal"/>
    <w:pPr>
      <w:tabs>
        <w:tab w:val="num" w:pos="2126"/>
      </w:tabs>
      <w:ind w:left="2126" w:hanging="709"/>
    </w:pPr>
    <w:rPr>
      <w:rFonts w:eastAsia="Times New Roman"/>
      <w:lang w:eastAsia="de-DE"/>
    </w:rPr>
  </w:style>
  <w:style w:type="paragraph" w:customStyle="1" w:styleId="ListNumberLevel4">
    <w:name w:val="List Number (Level 4)"/>
    <w:basedOn w:val="Normal"/>
    <w:pPr>
      <w:tabs>
        <w:tab w:val="num" w:pos="2835"/>
      </w:tabs>
      <w:ind w:left="2835" w:hanging="709"/>
    </w:pPr>
    <w:rPr>
      <w:rFonts w:eastAsia="Times New Roman"/>
      <w:lang w:eastAsia="de-DE"/>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Pr>
      <w:rFonts w:ascii="Times New Roman" w:hAnsi="Times New Roman" w:cs="Times New Roman"/>
      <w:sz w:val="24"/>
      <w:lang w:val="hu-HU"/>
    </w:rPr>
  </w:style>
  <w:style w:type="character" w:customStyle="1" w:styleId="FooterSensitivityChar">
    <w:name w:val="Footer Sensitivity Char"/>
    <w:basedOn w:val="DefaultParagraphFont"/>
    <w:rPr>
      <w:rFonts w:ascii="Times New Roman" w:hAnsi="Times New Roman" w:cs="Times New Roman"/>
      <w:b/>
      <w:sz w:val="32"/>
      <w:lang w:val="hu-HU"/>
    </w:rPr>
  </w:style>
  <w:style w:type="paragraph" w:customStyle="1" w:styleId="HeaderCoverPage">
    <w:name w:val="Header Cover Page"/>
    <w:basedOn w:val="Normal"/>
    <w:link w:val="HeaderCoverPageChar"/>
    <w:pPr>
      <w:tabs>
        <w:tab w:val="center" w:pos="4535"/>
        <w:tab w:val="right" w:pos="9071"/>
      </w:tabs>
      <w:spacing w:before="0"/>
    </w:pPr>
  </w:style>
  <w:style w:type="character" w:customStyle="1" w:styleId="HeaderCoverPageChar">
    <w:name w:val="Header Cover Page Char"/>
    <w:basedOn w:val="DefaultParagraphFont"/>
    <w:link w:val="HeaderCoverPage"/>
    <w:rPr>
      <w:rFonts w:ascii="Times New Roman" w:hAnsi="Times New Roman" w:cs="Times New Roman"/>
      <w:sz w:val="24"/>
      <w:lang w:val="hu-HU"/>
    </w:rPr>
  </w:style>
  <w:style w:type="character" w:customStyle="1" w:styleId="HeaderSensitivityChar">
    <w:name w:val="Header Sensitivity Char"/>
    <w:basedOn w:val="DefaultParagraphFont"/>
    <w:rPr>
      <w:rFonts w:ascii="Times New Roman" w:hAnsi="Times New Roman" w:cs="Times New Roman"/>
      <w:b/>
      <w:sz w:val="32"/>
      <w:lang w:val="hu-HU"/>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hu-HU"/>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hu-HU"/>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6"/>
      </w:numPr>
    </w:pPr>
  </w:style>
  <w:style w:type="paragraph" w:customStyle="1" w:styleId="Tiret1">
    <w:name w:val="Tiret 1"/>
    <w:basedOn w:val="Point1"/>
    <w:pPr>
      <w:numPr>
        <w:numId w:val="37"/>
      </w:numPr>
    </w:pPr>
  </w:style>
  <w:style w:type="paragraph" w:customStyle="1" w:styleId="Tiret2">
    <w:name w:val="Tiret 2"/>
    <w:basedOn w:val="Point2"/>
    <w:pPr>
      <w:numPr>
        <w:numId w:val="38"/>
      </w:numPr>
    </w:pPr>
  </w:style>
  <w:style w:type="paragraph" w:customStyle="1" w:styleId="Tiret3">
    <w:name w:val="Tiret 3"/>
    <w:basedOn w:val="Point3"/>
    <w:pPr>
      <w:numPr>
        <w:numId w:val="39"/>
      </w:numPr>
    </w:pPr>
  </w:style>
  <w:style w:type="paragraph" w:customStyle="1" w:styleId="Tiret4">
    <w:name w:val="Tiret 4"/>
    <w:basedOn w:val="Point4"/>
    <w:pPr>
      <w:numPr>
        <w:numId w:val="4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1"/>
      </w:numPr>
    </w:pPr>
  </w:style>
  <w:style w:type="paragraph" w:customStyle="1" w:styleId="NumPar2">
    <w:name w:val="NumPar 2"/>
    <w:basedOn w:val="Normal"/>
    <w:next w:val="Text1"/>
    <w:pPr>
      <w:numPr>
        <w:ilvl w:val="1"/>
        <w:numId w:val="41"/>
      </w:numPr>
    </w:pPr>
  </w:style>
  <w:style w:type="paragraph" w:customStyle="1" w:styleId="NumPar3">
    <w:name w:val="NumPar 3"/>
    <w:basedOn w:val="Normal"/>
    <w:next w:val="Text1"/>
    <w:pPr>
      <w:numPr>
        <w:ilvl w:val="2"/>
        <w:numId w:val="41"/>
      </w:numPr>
    </w:pPr>
  </w:style>
  <w:style w:type="paragraph" w:customStyle="1" w:styleId="NumPar4">
    <w:name w:val="NumPar 4"/>
    <w:basedOn w:val="Normal"/>
    <w:next w:val="Text1"/>
    <w:pPr>
      <w:numPr>
        <w:ilvl w:val="3"/>
        <w:numId w:val="4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3"/>
      </w:numPr>
    </w:pPr>
  </w:style>
  <w:style w:type="paragraph" w:customStyle="1" w:styleId="Point1number">
    <w:name w:val="Point 1 (number)"/>
    <w:basedOn w:val="Normal"/>
    <w:pPr>
      <w:numPr>
        <w:ilvl w:val="2"/>
        <w:numId w:val="43"/>
      </w:numPr>
    </w:pPr>
  </w:style>
  <w:style w:type="paragraph" w:customStyle="1" w:styleId="Point2number">
    <w:name w:val="Point 2 (number)"/>
    <w:basedOn w:val="Normal"/>
    <w:pPr>
      <w:numPr>
        <w:ilvl w:val="4"/>
        <w:numId w:val="43"/>
      </w:numPr>
    </w:pPr>
  </w:style>
  <w:style w:type="paragraph" w:customStyle="1" w:styleId="Point3number">
    <w:name w:val="Point 3 (number)"/>
    <w:basedOn w:val="Normal"/>
    <w:pPr>
      <w:numPr>
        <w:ilvl w:val="6"/>
        <w:numId w:val="43"/>
      </w:numPr>
    </w:pPr>
  </w:style>
  <w:style w:type="paragraph" w:customStyle="1" w:styleId="Point0letter">
    <w:name w:val="Point 0 (letter)"/>
    <w:basedOn w:val="Normal"/>
    <w:pPr>
      <w:numPr>
        <w:ilvl w:val="1"/>
        <w:numId w:val="43"/>
      </w:numPr>
    </w:pPr>
  </w:style>
  <w:style w:type="paragraph" w:customStyle="1" w:styleId="Point1letter">
    <w:name w:val="Point 1 (letter)"/>
    <w:basedOn w:val="Normal"/>
    <w:pPr>
      <w:numPr>
        <w:ilvl w:val="3"/>
        <w:numId w:val="43"/>
      </w:numPr>
    </w:pPr>
  </w:style>
  <w:style w:type="paragraph" w:customStyle="1" w:styleId="Point2letter">
    <w:name w:val="Point 2 (letter)"/>
    <w:basedOn w:val="Normal"/>
    <w:pPr>
      <w:numPr>
        <w:ilvl w:val="5"/>
        <w:numId w:val="43"/>
      </w:numPr>
    </w:pPr>
  </w:style>
  <w:style w:type="paragraph" w:customStyle="1" w:styleId="Point3letter">
    <w:name w:val="Point 3 (letter)"/>
    <w:basedOn w:val="Normal"/>
    <w:pPr>
      <w:numPr>
        <w:ilvl w:val="7"/>
        <w:numId w:val="43"/>
      </w:numPr>
    </w:pPr>
  </w:style>
  <w:style w:type="paragraph" w:customStyle="1" w:styleId="Point4letter">
    <w:name w:val="Point 4 (letter)"/>
    <w:basedOn w:val="Normal"/>
    <w:pPr>
      <w:numPr>
        <w:ilvl w:val="8"/>
        <w:numId w:val="43"/>
      </w:numPr>
    </w:pPr>
  </w:style>
  <w:style w:type="paragraph" w:customStyle="1" w:styleId="Bullet0">
    <w:name w:val="Bullet 0"/>
    <w:basedOn w:val="Normal"/>
    <w:pPr>
      <w:numPr>
        <w:numId w:val="44"/>
      </w:numPr>
    </w:pPr>
  </w:style>
  <w:style w:type="paragraph" w:customStyle="1" w:styleId="Bullet1">
    <w:name w:val="Bullet 1"/>
    <w:basedOn w:val="Normal"/>
    <w:pPr>
      <w:numPr>
        <w:numId w:val="45"/>
      </w:numPr>
    </w:pPr>
  </w:style>
  <w:style w:type="paragraph" w:customStyle="1" w:styleId="Bullet2">
    <w:name w:val="Bullet 2"/>
    <w:basedOn w:val="Normal"/>
    <w:pPr>
      <w:numPr>
        <w:numId w:val="46"/>
      </w:numPr>
    </w:pPr>
  </w:style>
  <w:style w:type="paragraph" w:customStyle="1" w:styleId="Bullet3">
    <w:name w:val="Bullet 3"/>
    <w:basedOn w:val="Normal"/>
    <w:pPr>
      <w:numPr>
        <w:numId w:val="47"/>
      </w:numPr>
    </w:pPr>
  </w:style>
  <w:style w:type="paragraph" w:customStyle="1" w:styleId="Bullet4">
    <w:name w:val="Bullet 4"/>
    <w:basedOn w:val="Normal"/>
    <w:pPr>
      <w:numPr>
        <w:numId w:val="4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hu-HU"/>
    </w:rPr>
  </w:style>
  <w:style w:type="paragraph" w:styleId="Heading1">
    <w:name w:val="heading 1"/>
    <w:basedOn w:val="Normal"/>
    <w:next w:val="Text1"/>
    <w:link w:val="Heading1Char"/>
    <w:uiPriority w:val="9"/>
    <w:qFormat/>
    <w:pPr>
      <w:keepNext/>
      <w:numPr>
        <w:numId w:val="4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2"/>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hu-HU"/>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hu-HU"/>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hu-HU"/>
    </w:rPr>
  </w:style>
  <w:style w:type="character" w:styleId="Hyperlink">
    <w:name w:val="Hyperlink"/>
    <w:basedOn w:val="DefaultParagraphFont"/>
    <w:uiPriority w:val="99"/>
    <w:unhideWhenUsed/>
    <w:rPr>
      <w:color w:val="0000FF" w:themeColor="hyperlink"/>
      <w:u w:val="single"/>
    </w:rPr>
  </w:style>
  <w:style w:type="paragraph" w:styleId="Revision">
    <w:name w:val="Revision"/>
    <w:hidden/>
    <w:uiPriority w:val="99"/>
    <w:semiHidden/>
    <w:pPr>
      <w:spacing w:after="0" w:line="240" w:lineRule="auto"/>
    </w:pPr>
    <w:rPr>
      <w:rFonts w:ascii="Times New Roman" w:hAnsi="Times New Roman" w:cs="Times New Roman"/>
      <w:sz w:val="24"/>
    </w:rPr>
  </w:style>
  <w:style w:type="character" w:customStyle="1" w:styleId="conf-macro">
    <w:name w:val="conf-macro"/>
    <w:basedOn w:val="DefaultParagraphFont"/>
  </w:style>
  <w:style w:type="paragraph" w:customStyle="1" w:styleId="ListDash1">
    <w:name w:val="List Dash 1"/>
    <w:basedOn w:val="Normal"/>
    <w:pPr>
      <w:numPr>
        <w:numId w:val="15"/>
      </w:numPr>
    </w:pPr>
    <w:rPr>
      <w:rFonts w:eastAsia="Times New Roman"/>
      <w:lang w:eastAsia="de-DE"/>
    </w:rPr>
  </w:style>
  <w:style w:type="paragraph" w:customStyle="1" w:styleId="ListDash2">
    <w:name w:val="List Dash 2"/>
    <w:basedOn w:val="Normal"/>
    <w:pPr>
      <w:numPr>
        <w:numId w:val="16"/>
      </w:numPr>
    </w:pPr>
    <w:rPr>
      <w:rFonts w:eastAsia="Times New Roman"/>
      <w:lang w:eastAsia="de-DE"/>
    </w:rPr>
  </w:style>
  <w:style w:type="paragraph" w:customStyle="1" w:styleId="ListNumberLevel2">
    <w:name w:val="List Number (Level 2)"/>
    <w:basedOn w:val="Normal"/>
    <w:pPr>
      <w:tabs>
        <w:tab w:val="num" w:pos="1417"/>
      </w:tabs>
      <w:ind w:left="1417" w:hanging="708"/>
    </w:pPr>
    <w:rPr>
      <w:rFonts w:eastAsia="Times New Roman"/>
      <w:lang w:eastAsia="de-DE"/>
    </w:rPr>
  </w:style>
  <w:style w:type="paragraph" w:customStyle="1" w:styleId="ListNumberLevel3">
    <w:name w:val="List Number (Level 3)"/>
    <w:basedOn w:val="Normal"/>
    <w:pPr>
      <w:tabs>
        <w:tab w:val="num" w:pos="2126"/>
      </w:tabs>
      <w:ind w:left="2126" w:hanging="709"/>
    </w:pPr>
    <w:rPr>
      <w:rFonts w:eastAsia="Times New Roman"/>
      <w:lang w:eastAsia="de-DE"/>
    </w:rPr>
  </w:style>
  <w:style w:type="paragraph" w:customStyle="1" w:styleId="ListNumberLevel4">
    <w:name w:val="List Number (Level 4)"/>
    <w:basedOn w:val="Normal"/>
    <w:pPr>
      <w:tabs>
        <w:tab w:val="num" w:pos="2835"/>
      </w:tabs>
      <w:ind w:left="2835" w:hanging="709"/>
    </w:pPr>
    <w:rPr>
      <w:rFonts w:eastAsia="Times New Roman"/>
      <w:lang w:eastAsia="de-DE"/>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Pr>
      <w:rFonts w:ascii="Times New Roman" w:hAnsi="Times New Roman" w:cs="Times New Roman"/>
      <w:sz w:val="24"/>
      <w:lang w:val="hu-HU"/>
    </w:rPr>
  </w:style>
  <w:style w:type="character" w:customStyle="1" w:styleId="FooterSensitivityChar">
    <w:name w:val="Footer Sensitivity Char"/>
    <w:basedOn w:val="DefaultParagraphFont"/>
    <w:rPr>
      <w:rFonts w:ascii="Times New Roman" w:hAnsi="Times New Roman" w:cs="Times New Roman"/>
      <w:b/>
      <w:sz w:val="32"/>
      <w:lang w:val="hu-HU"/>
    </w:rPr>
  </w:style>
  <w:style w:type="paragraph" w:customStyle="1" w:styleId="HeaderCoverPage">
    <w:name w:val="Header Cover Page"/>
    <w:basedOn w:val="Normal"/>
    <w:link w:val="HeaderCoverPageChar"/>
    <w:pPr>
      <w:tabs>
        <w:tab w:val="center" w:pos="4535"/>
        <w:tab w:val="right" w:pos="9071"/>
      </w:tabs>
      <w:spacing w:before="0"/>
    </w:pPr>
  </w:style>
  <w:style w:type="character" w:customStyle="1" w:styleId="HeaderCoverPageChar">
    <w:name w:val="Header Cover Page Char"/>
    <w:basedOn w:val="DefaultParagraphFont"/>
    <w:link w:val="HeaderCoverPage"/>
    <w:rPr>
      <w:rFonts w:ascii="Times New Roman" w:hAnsi="Times New Roman" w:cs="Times New Roman"/>
      <w:sz w:val="24"/>
      <w:lang w:val="hu-HU"/>
    </w:rPr>
  </w:style>
  <w:style w:type="character" w:customStyle="1" w:styleId="HeaderSensitivityChar">
    <w:name w:val="Header Sensitivity Char"/>
    <w:basedOn w:val="DefaultParagraphFont"/>
    <w:rPr>
      <w:rFonts w:ascii="Times New Roman" w:hAnsi="Times New Roman" w:cs="Times New Roman"/>
      <w:b/>
      <w:sz w:val="32"/>
      <w:lang w:val="hu-HU"/>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hu-HU"/>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hu-HU"/>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6"/>
      </w:numPr>
    </w:pPr>
  </w:style>
  <w:style w:type="paragraph" w:customStyle="1" w:styleId="Tiret1">
    <w:name w:val="Tiret 1"/>
    <w:basedOn w:val="Point1"/>
    <w:pPr>
      <w:numPr>
        <w:numId w:val="37"/>
      </w:numPr>
    </w:pPr>
  </w:style>
  <w:style w:type="paragraph" w:customStyle="1" w:styleId="Tiret2">
    <w:name w:val="Tiret 2"/>
    <w:basedOn w:val="Point2"/>
    <w:pPr>
      <w:numPr>
        <w:numId w:val="38"/>
      </w:numPr>
    </w:pPr>
  </w:style>
  <w:style w:type="paragraph" w:customStyle="1" w:styleId="Tiret3">
    <w:name w:val="Tiret 3"/>
    <w:basedOn w:val="Point3"/>
    <w:pPr>
      <w:numPr>
        <w:numId w:val="39"/>
      </w:numPr>
    </w:pPr>
  </w:style>
  <w:style w:type="paragraph" w:customStyle="1" w:styleId="Tiret4">
    <w:name w:val="Tiret 4"/>
    <w:basedOn w:val="Point4"/>
    <w:pPr>
      <w:numPr>
        <w:numId w:val="4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1"/>
      </w:numPr>
    </w:pPr>
  </w:style>
  <w:style w:type="paragraph" w:customStyle="1" w:styleId="NumPar2">
    <w:name w:val="NumPar 2"/>
    <w:basedOn w:val="Normal"/>
    <w:next w:val="Text1"/>
    <w:pPr>
      <w:numPr>
        <w:ilvl w:val="1"/>
        <w:numId w:val="41"/>
      </w:numPr>
    </w:pPr>
  </w:style>
  <w:style w:type="paragraph" w:customStyle="1" w:styleId="NumPar3">
    <w:name w:val="NumPar 3"/>
    <w:basedOn w:val="Normal"/>
    <w:next w:val="Text1"/>
    <w:pPr>
      <w:numPr>
        <w:ilvl w:val="2"/>
        <w:numId w:val="41"/>
      </w:numPr>
    </w:pPr>
  </w:style>
  <w:style w:type="paragraph" w:customStyle="1" w:styleId="NumPar4">
    <w:name w:val="NumPar 4"/>
    <w:basedOn w:val="Normal"/>
    <w:next w:val="Text1"/>
    <w:pPr>
      <w:numPr>
        <w:ilvl w:val="3"/>
        <w:numId w:val="4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3"/>
      </w:numPr>
    </w:pPr>
  </w:style>
  <w:style w:type="paragraph" w:customStyle="1" w:styleId="Point1number">
    <w:name w:val="Point 1 (number)"/>
    <w:basedOn w:val="Normal"/>
    <w:pPr>
      <w:numPr>
        <w:ilvl w:val="2"/>
        <w:numId w:val="43"/>
      </w:numPr>
    </w:pPr>
  </w:style>
  <w:style w:type="paragraph" w:customStyle="1" w:styleId="Point2number">
    <w:name w:val="Point 2 (number)"/>
    <w:basedOn w:val="Normal"/>
    <w:pPr>
      <w:numPr>
        <w:ilvl w:val="4"/>
        <w:numId w:val="43"/>
      </w:numPr>
    </w:pPr>
  </w:style>
  <w:style w:type="paragraph" w:customStyle="1" w:styleId="Point3number">
    <w:name w:val="Point 3 (number)"/>
    <w:basedOn w:val="Normal"/>
    <w:pPr>
      <w:numPr>
        <w:ilvl w:val="6"/>
        <w:numId w:val="43"/>
      </w:numPr>
    </w:pPr>
  </w:style>
  <w:style w:type="paragraph" w:customStyle="1" w:styleId="Point0letter">
    <w:name w:val="Point 0 (letter)"/>
    <w:basedOn w:val="Normal"/>
    <w:pPr>
      <w:numPr>
        <w:ilvl w:val="1"/>
        <w:numId w:val="43"/>
      </w:numPr>
    </w:pPr>
  </w:style>
  <w:style w:type="paragraph" w:customStyle="1" w:styleId="Point1letter">
    <w:name w:val="Point 1 (letter)"/>
    <w:basedOn w:val="Normal"/>
    <w:pPr>
      <w:numPr>
        <w:ilvl w:val="3"/>
        <w:numId w:val="43"/>
      </w:numPr>
    </w:pPr>
  </w:style>
  <w:style w:type="paragraph" w:customStyle="1" w:styleId="Point2letter">
    <w:name w:val="Point 2 (letter)"/>
    <w:basedOn w:val="Normal"/>
    <w:pPr>
      <w:numPr>
        <w:ilvl w:val="5"/>
        <w:numId w:val="43"/>
      </w:numPr>
    </w:pPr>
  </w:style>
  <w:style w:type="paragraph" w:customStyle="1" w:styleId="Point3letter">
    <w:name w:val="Point 3 (letter)"/>
    <w:basedOn w:val="Normal"/>
    <w:pPr>
      <w:numPr>
        <w:ilvl w:val="7"/>
        <w:numId w:val="43"/>
      </w:numPr>
    </w:pPr>
  </w:style>
  <w:style w:type="paragraph" w:customStyle="1" w:styleId="Point4letter">
    <w:name w:val="Point 4 (letter)"/>
    <w:basedOn w:val="Normal"/>
    <w:pPr>
      <w:numPr>
        <w:ilvl w:val="8"/>
        <w:numId w:val="43"/>
      </w:numPr>
    </w:pPr>
  </w:style>
  <w:style w:type="paragraph" w:customStyle="1" w:styleId="Bullet0">
    <w:name w:val="Bullet 0"/>
    <w:basedOn w:val="Normal"/>
    <w:pPr>
      <w:numPr>
        <w:numId w:val="44"/>
      </w:numPr>
    </w:pPr>
  </w:style>
  <w:style w:type="paragraph" w:customStyle="1" w:styleId="Bullet1">
    <w:name w:val="Bullet 1"/>
    <w:basedOn w:val="Normal"/>
    <w:pPr>
      <w:numPr>
        <w:numId w:val="45"/>
      </w:numPr>
    </w:pPr>
  </w:style>
  <w:style w:type="paragraph" w:customStyle="1" w:styleId="Bullet2">
    <w:name w:val="Bullet 2"/>
    <w:basedOn w:val="Normal"/>
    <w:pPr>
      <w:numPr>
        <w:numId w:val="46"/>
      </w:numPr>
    </w:pPr>
  </w:style>
  <w:style w:type="paragraph" w:customStyle="1" w:styleId="Bullet3">
    <w:name w:val="Bullet 3"/>
    <w:basedOn w:val="Normal"/>
    <w:pPr>
      <w:numPr>
        <w:numId w:val="47"/>
      </w:numPr>
    </w:pPr>
  </w:style>
  <w:style w:type="paragraph" w:customStyle="1" w:styleId="Bullet4">
    <w:name w:val="Bullet 4"/>
    <w:basedOn w:val="Normal"/>
    <w:pPr>
      <w:numPr>
        <w:numId w:val="4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10245">
      <w:bodyDiv w:val="1"/>
      <w:marLeft w:val="0"/>
      <w:marRight w:val="0"/>
      <w:marTop w:val="0"/>
      <w:marBottom w:val="0"/>
      <w:divBdr>
        <w:top w:val="none" w:sz="0" w:space="0" w:color="auto"/>
        <w:left w:val="none" w:sz="0" w:space="0" w:color="auto"/>
        <w:bottom w:val="none" w:sz="0" w:space="0" w:color="auto"/>
        <w:right w:val="none" w:sz="0" w:space="0" w:color="auto"/>
      </w:divBdr>
    </w:div>
    <w:div w:id="897010655">
      <w:bodyDiv w:val="1"/>
      <w:marLeft w:val="0"/>
      <w:marRight w:val="0"/>
      <w:marTop w:val="0"/>
      <w:marBottom w:val="0"/>
      <w:divBdr>
        <w:top w:val="none" w:sz="0" w:space="0" w:color="auto"/>
        <w:left w:val="none" w:sz="0" w:space="0" w:color="auto"/>
        <w:bottom w:val="none" w:sz="0" w:space="0" w:color="auto"/>
        <w:right w:val="none" w:sz="0" w:space="0" w:color="auto"/>
      </w:divBdr>
    </w:div>
    <w:div w:id="1619801731">
      <w:bodyDiv w:val="1"/>
      <w:marLeft w:val="0"/>
      <w:marRight w:val="0"/>
      <w:marTop w:val="0"/>
      <w:marBottom w:val="0"/>
      <w:divBdr>
        <w:top w:val="none" w:sz="0" w:space="0" w:color="auto"/>
        <w:left w:val="none" w:sz="0" w:space="0" w:color="auto"/>
        <w:bottom w:val="none" w:sz="0" w:space="0" w:color="auto"/>
        <w:right w:val="none" w:sz="0" w:space="0" w:color="auto"/>
      </w:divBdr>
    </w:div>
    <w:div w:id="2111074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6.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s://myintracomm.ec.europa.eu/budgweb/EN/man/budgmanag/Pages/budgmanag.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5035DF7AF93945BFBCEF7349104FBF" ma:contentTypeVersion="0" ma:contentTypeDescription="Create a new document." ma:contentTypeScope="" ma:versionID="4520faae18ad6378bc483200924bc68c">
  <xsd:schema xmlns:xsd="http://www.w3.org/2001/XMLSchema" xmlns:xs="http://www.w3.org/2001/XMLSchema" xmlns:p="http://schemas.microsoft.com/office/2006/metadata/properties" targetNamespace="http://schemas.microsoft.com/office/2006/metadata/properties" ma:root="true" ma:fieldsID="a298a1a8e83205e5a36c7145419b8c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8D2F9AB1-4B86-47BF-BE60-053414D77EEB}">
  <ds:schemaRefs>
    <ds:schemaRef ds:uri="http://purl.org/dc/dcmitype/"/>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office/infopath/2007/PartnerControls"/>
  </ds:schemaRefs>
</ds:datastoreItem>
</file>

<file path=customXml/itemProps2.xml><?xml version="1.0" encoding="utf-8"?>
<ds:datastoreItem xmlns:ds="http://schemas.openxmlformats.org/officeDocument/2006/customXml" ds:itemID="{5457D9B3-4F7E-4805-9A84-0F90B7F0EE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C1CADAE-DF96-4BB8-8D36-1B66A72A3F82}">
  <ds:schemaRefs>
    <ds:schemaRef ds:uri="http://schemas.microsoft.com/sharepoint/v3/contenttype/forms"/>
  </ds:schemaRefs>
</ds:datastoreItem>
</file>

<file path=customXml/itemProps4.xml><?xml version="1.0" encoding="utf-8"?>
<ds:datastoreItem xmlns:ds="http://schemas.openxmlformats.org/officeDocument/2006/customXml" ds:itemID="{A05F8D71-E1D2-40D8-AFF9-2CA7C41B8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4</TotalTime>
  <Pages>24</Pages>
  <Words>5653</Words>
  <Characters>39406</Characters>
  <Application>Microsoft Office Word</Application>
  <DocSecurity>0</DocSecurity>
  <Lines>1459</Lines>
  <Paragraphs>790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20</cp:revision>
  <dcterms:created xsi:type="dcterms:W3CDTF">2020-05-29T11:41:00Z</dcterms:created>
  <dcterms:modified xsi:type="dcterms:W3CDTF">2020-05-29T14:12:00Z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COM/PL/MOD</vt:lpwstr>
  </property>
  <property fmtid="{D5CDD505-2E9C-101B-9397-08002B2CF9AE}" pid="3" name="Version">
    <vt:lpwstr>7.0.8.0</vt:lpwstr>
  </property>
  <property fmtid="{D5CDD505-2E9C-101B-9397-08002B2CF9AE}" pid="4" name="Last edited using">
    <vt:lpwstr>LW 7.0, Build 20190717</vt:lpwstr>
  </property>
  <property fmtid="{D5CDD505-2E9C-101B-9397-08002B2CF9AE}" pid="5" name="Created using">
    <vt:lpwstr>LW 7.0, Build 20190717</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SG-005</vt:lpwstr>
  </property>
  <property fmtid="{D5CDD505-2E9C-101B-9397-08002B2CF9AE}" pid="10" name="ContentTypeId">
    <vt:lpwstr>0x010100B05035DF7AF93945BFBCEF7349104FBF</vt:lpwstr>
  </property>
  <property fmtid="{D5CDD505-2E9C-101B-9397-08002B2CF9AE}" pid="11" name="IsMyDocuments">
    <vt:bool>true</vt:bool>
  </property>
  <property fmtid="{D5CDD505-2E9C-101B-9397-08002B2CF9AE}" pid="12" name="DQCStatus">
    <vt:lpwstr>Green (DQC version 03)</vt:lpwstr>
  </property>
  <property name="OP_sanitized" fmtid="{D5CDD505-2E9C-101B-9397-08002B2CF9AE}" pid="13">
    <vt:lpwstr>True</vt:lpwstr>
  </property>
</Properties>
</file>